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10F15" w14:textId="77777777" w:rsidR="00AA627A" w:rsidRDefault="00AA6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szCs w:val="24"/>
        </w:rPr>
      </w:pPr>
      <w:r w:rsidRPr="006358BA">
        <w:rPr>
          <w:rFonts w:ascii="Helvetica" w:hAnsi="Helvetica"/>
          <w:b/>
          <w:sz w:val="24"/>
          <w:szCs w:val="24"/>
        </w:rPr>
        <w:t>Supporting Statement for Paperwork Reduction Act Submissions</w:t>
      </w:r>
    </w:p>
    <w:p w14:paraId="758C5398" w14:textId="77777777" w:rsidR="006358BA" w:rsidRPr="006358BA" w:rsidRDefault="006358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szCs w:val="24"/>
        </w:rPr>
      </w:pPr>
      <w:r w:rsidRPr="006358BA">
        <w:rPr>
          <w:rFonts w:ascii="Helvetica" w:hAnsi="Helvetica"/>
          <w:sz w:val="24"/>
          <w:szCs w:val="24"/>
        </w:rPr>
        <w:t xml:space="preserve">Ginnie Mae Mortgage-Backed Securities Programs </w:t>
      </w:r>
    </w:p>
    <w:p w14:paraId="236FEC8D" w14:textId="77777777" w:rsidR="006358BA" w:rsidRPr="006358BA" w:rsidRDefault="006358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sz w:val="24"/>
          <w:szCs w:val="24"/>
        </w:rPr>
      </w:pPr>
      <w:r w:rsidRPr="006358BA">
        <w:rPr>
          <w:rFonts w:ascii="Helvetica" w:hAnsi="Helvetica"/>
          <w:sz w:val="24"/>
          <w:szCs w:val="24"/>
        </w:rPr>
        <w:t>(OMB # 2503-0033)</w:t>
      </w:r>
    </w:p>
    <w:p w14:paraId="17D29A4B" w14:textId="77777777" w:rsidR="00AA627A" w:rsidRDefault="00AA627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14:paraId="0575E426" w14:textId="77777777" w:rsidR="00AA627A" w:rsidRDefault="00AA627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r>
        <w:rPr>
          <w:rFonts w:ascii="Helvetica" w:hAnsi="Helvetica"/>
          <w:b/>
          <w:sz w:val="18"/>
        </w:rPr>
        <w:t xml:space="preserve">A. </w:t>
      </w:r>
      <w:r>
        <w:rPr>
          <w:rFonts w:ascii="Helvetica" w:hAnsi="Helvetica"/>
          <w:b/>
          <w:sz w:val="18"/>
        </w:rPr>
        <w:tab/>
        <w:t>Justi</w:t>
      </w:r>
      <w:r>
        <w:rPr>
          <w:rFonts w:ascii="Helvetica" w:hAnsi="Helvetica"/>
          <w:b/>
          <w:color w:val="000000"/>
          <w:sz w:val="18"/>
        </w:rPr>
        <w:t>fication</w:t>
      </w:r>
    </w:p>
    <w:p w14:paraId="16BE426D" w14:textId="77777777" w:rsidR="00AA627A" w:rsidRDefault="00AA6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color w:val="000000"/>
          <w:sz w:val="18"/>
        </w:rPr>
      </w:pPr>
    </w:p>
    <w:p w14:paraId="1C07010E" w14:textId="77777777" w:rsidR="00AA627A" w:rsidRPr="00725A26" w:rsidRDefault="00AA627A">
      <w:pPr>
        <w:keepLines/>
        <w:tabs>
          <w:tab w:val="left" w:pos="360"/>
        </w:tabs>
        <w:spacing w:after="80"/>
        <w:ind w:left="360" w:hanging="360"/>
        <w:rPr>
          <w:rFonts w:ascii="Arial" w:hAnsi="Arial" w:cs="Arial"/>
          <w:b/>
          <w:color w:val="000000"/>
          <w:sz w:val="22"/>
        </w:rPr>
      </w:pPr>
      <w:r w:rsidRPr="00725A26">
        <w:rPr>
          <w:rFonts w:ascii="Arial" w:hAnsi="Arial" w:cs="Arial"/>
          <w:b/>
          <w:color w:val="000000"/>
          <w:sz w:val="18"/>
        </w:rPr>
        <w:t>1.</w:t>
      </w:r>
      <w:r w:rsidRPr="00725A26">
        <w:rPr>
          <w:rFonts w:ascii="Arial" w:hAnsi="Arial" w:cs="Arial"/>
          <w:b/>
          <w:color w:val="000000"/>
          <w:sz w:val="18"/>
        </w:rPr>
        <w:tab/>
        <w:t>W</w:t>
      </w:r>
      <w:r w:rsidRPr="00725A26">
        <w:rPr>
          <w:rFonts w:ascii="Arial" w:hAnsi="Arial" w:cs="Arial"/>
          <w:b/>
          <w:color w:val="000000"/>
          <w:sz w:val="22"/>
        </w:rPr>
        <w:t>hy is this information necessary?  Identify any legal or administrative requirements that necessitate the collection.  Attach a copy of the appropriate section of each statute and regulation mandating/authorizing the collection of information.</w:t>
      </w:r>
    </w:p>
    <w:p w14:paraId="53C02511" w14:textId="77777777" w:rsidR="005B3478" w:rsidRDefault="00AA627A">
      <w:pPr>
        <w:keepLines/>
        <w:tabs>
          <w:tab w:val="left" w:pos="360"/>
        </w:tabs>
        <w:spacing w:after="80"/>
        <w:ind w:left="360" w:hanging="360"/>
        <w:rPr>
          <w:color w:val="000000"/>
          <w:sz w:val="22"/>
        </w:rPr>
      </w:pPr>
      <w:r>
        <w:rPr>
          <w:color w:val="000000"/>
          <w:sz w:val="22"/>
        </w:rPr>
        <w:tab/>
      </w:r>
    </w:p>
    <w:p w14:paraId="0D5AD2BF" w14:textId="77777777" w:rsidR="00AA627A" w:rsidRPr="009E6ED4" w:rsidRDefault="005B3478">
      <w:pPr>
        <w:keepLines/>
        <w:tabs>
          <w:tab w:val="left" w:pos="360"/>
        </w:tabs>
        <w:spacing w:after="80"/>
        <w:ind w:left="360" w:hanging="360"/>
        <w:rPr>
          <w:bCs/>
          <w:color w:val="000000"/>
          <w:sz w:val="22"/>
          <w:szCs w:val="22"/>
        </w:rPr>
      </w:pPr>
      <w:r>
        <w:rPr>
          <w:color w:val="000000"/>
          <w:sz w:val="22"/>
        </w:rPr>
        <w:tab/>
      </w:r>
      <w:r w:rsidR="00AA627A" w:rsidRPr="009E6ED4">
        <w:rPr>
          <w:bCs/>
          <w:color w:val="000000"/>
          <w:sz w:val="22"/>
          <w:szCs w:val="22"/>
        </w:rPr>
        <w:t xml:space="preserve">Ginnie Mae is a wholly-owned corporation of the United States within the Department of Housing and Urban Development.  Its powers are prescribed generally by Title III of the National Housing Act, as </w:t>
      </w:r>
      <w:r w:rsidR="00740FC9" w:rsidRPr="009E6ED4">
        <w:rPr>
          <w:bCs/>
          <w:color w:val="000000"/>
          <w:sz w:val="22"/>
          <w:szCs w:val="22"/>
        </w:rPr>
        <w:t>a</w:t>
      </w:r>
      <w:r w:rsidR="00AA627A" w:rsidRPr="009E6ED4">
        <w:rPr>
          <w:bCs/>
          <w:color w:val="000000"/>
          <w:sz w:val="22"/>
          <w:szCs w:val="22"/>
        </w:rPr>
        <w:t xml:space="preserve">mended, 12 U.S.C. 1716 et.seq.  Ginnie Mae is authorized by Section 306(g) of the National Housing Act to guarantee the timely payment of principal and interest on </w:t>
      </w:r>
      <w:r w:rsidR="00371CFF" w:rsidRPr="009E6ED4">
        <w:rPr>
          <w:bCs/>
          <w:color w:val="000000"/>
          <w:sz w:val="22"/>
          <w:szCs w:val="22"/>
        </w:rPr>
        <w:t>Mortgage-Backed S</w:t>
      </w:r>
      <w:r w:rsidR="00AA627A" w:rsidRPr="009E6ED4">
        <w:rPr>
          <w:bCs/>
          <w:color w:val="000000"/>
          <w:sz w:val="22"/>
          <w:szCs w:val="22"/>
        </w:rPr>
        <w:t>ecurities</w:t>
      </w:r>
      <w:r w:rsidR="00371CFF" w:rsidRPr="009E6ED4">
        <w:rPr>
          <w:bCs/>
          <w:color w:val="000000"/>
          <w:sz w:val="22"/>
          <w:szCs w:val="22"/>
        </w:rPr>
        <w:t xml:space="preserve"> (MBS) secured by government home loans. </w:t>
      </w:r>
      <w:r w:rsidR="00F6183F" w:rsidRPr="009E6ED4">
        <w:rPr>
          <w:bCs/>
          <w:color w:val="000000"/>
          <w:sz w:val="22"/>
          <w:szCs w:val="22"/>
        </w:rPr>
        <w:t>These</w:t>
      </w:r>
      <w:r w:rsidR="00371CFF" w:rsidRPr="009E6ED4">
        <w:rPr>
          <w:bCs/>
          <w:color w:val="000000"/>
          <w:sz w:val="22"/>
          <w:szCs w:val="22"/>
        </w:rPr>
        <w:t xml:space="preserve"> loans are</w:t>
      </w:r>
      <w:r w:rsidR="00AA627A" w:rsidRPr="009E6ED4">
        <w:rPr>
          <w:bCs/>
          <w:color w:val="000000"/>
          <w:sz w:val="22"/>
          <w:szCs w:val="22"/>
        </w:rPr>
        <w:t xml:space="preserve"> insured</w:t>
      </w:r>
      <w:r w:rsidR="00371CFF" w:rsidRPr="009E6ED4">
        <w:rPr>
          <w:bCs/>
          <w:color w:val="000000"/>
          <w:sz w:val="22"/>
          <w:szCs w:val="22"/>
        </w:rPr>
        <w:t xml:space="preserve"> or guaranteed</w:t>
      </w:r>
      <w:r w:rsidR="00AA627A" w:rsidRPr="009E6ED4">
        <w:rPr>
          <w:bCs/>
          <w:color w:val="000000"/>
          <w:sz w:val="22"/>
          <w:szCs w:val="22"/>
        </w:rPr>
        <w:t xml:space="preserve"> by the Federal Housing Administration</w:t>
      </w:r>
      <w:r w:rsidR="00371CFF" w:rsidRPr="009E6ED4">
        <w:rPr>
          <w:bCs/>
          <w:color w:val="000000"/>
          <w:sz w:val="22"/>
          <w:szCs w:val="22"/>
        </w:rPr>
        <w:t xml:space="preserve"> FHA</w:t>
      </w:r>
      <w:r w:rsidR="00F6183F" w:rsidRPr="009E6ED4">
        <w:rPr>
          <w:bCs/>
          <w:color w:val="000000"/>
          <w:sz w:val="22"/>
          <w:szCs w:val="22"/>
        </w:rPr>
        <w:t>, the</w:t>
      </w:r>
      <w:r w:rsidR="00371CFF" w:rsidRPr="009E6ED4">
        <w:rPr>
          <w:bCs/>
          <w:color w:val="000000"/>
          <w:sz w:val="22"/>
          <w:szCs w:val="22"/>
        </w:rPr>
        <w:t xml:space="preserve"> U.S. Department of Housing and Urban Development’s (HUD), Office of Public and Indian Housing (PIH), the U.S. </w:t>
      </w:r>
      <w:r w:rsidR="00AA627A" w:rsidRPr="009E6ED4">
        <w:rPr>
          <w:bCs/>
          <w:color w:val="000000"/>
          <w:sz w:val="22"/>
          <w:szCs w:val="22"/>
        </w:rPr>
        <w:t>Department of Veterans Affairs</w:t>
      </w:r>
      <w:r w:rsidR="00371CFF" w:rsidRPr="009E6ED4">
        <w:rPr>
          <w:bCs/>
          <w:color w:val="000000"/>
          <w:sz w:val="22"/>
          <w:szCs w:val="22"/>
        </w:rPr>
        <w:t>’ (VA) Home Loan Program for Veterans, the U.S. Department of Agricultur</w:t>
      </w:r>
      <w:r w:rsidR="007B1B36" w:rsidRPr="009E6ED4">
        <w:rPr>
          <w:bCs/>
          <w:color w:val="000000"/>
          <w:sz w:val="22"/>
          <w:szCs w:val="22"/>
        </w:rPr>
        <w:t xml:space="preserve">e’s (USDA).  Rural Development Housing, and Community Facilities Programs and Rural Development Guaranteed Rural Rental Housing Program (RD) </w:t>
      </w:r>
      <w:r w:rsidR="00AA627A" w:rsidRPr="009E6ED4">
        <w:rPr>
          <w:bCs/>
          <w:color w:val="000000"/>
          <w:sz w:val="22"/>
          <w:szCs w:val="22"/>
        </w:rPr>
        <w:t xml:space="preserve"> </w:t>
      </w:r>
      <w:r w:rsidR="003417EE" w:rsidRPr="009E6ED4">
        <w:rPr>
          <w:sz w:val="22"/>
          <w:szCs w:val="22"/>
        </w:rPr>
        <w:t xml:space="preserve"> Ginnie Mae remains a self-financing, wholly owned U.S. Government </w:t>
      </w:r>
      <w:r w:rsidR="004866E9" w:rsidRPr="009E6ED4">
        <w:rPr>
          <w:sz w:val="22"/>
          <w:szCs w:val="22"/>
        </w:rPr>
        <w:t>Corporation</w:t>
      </w:r>
      <w:r w:rsidR="003417EE" w:rsidRPr="009E6ED4">
        <w:rPr>
          <w:sz w:val="22"/>
          <w:szCs w:val="22"/>
        </w:rPr>
        <w:t xml:space="preserve"> within HUD.</w:t>
      </w:r>
      <w:r w:rsidR="00AA627A" w:rsidRPr="009E6ED4">
        <w:rPr>
          <w:bCs/>
          <w:color w:val="000000"/>
          <w:sz w:val="22"/>
          <w:szCs w:val="22"/>
        </w:rPr>
        <w:t xml:space="preserve">  Ginnie Mae’s guaranty of mortgage-backed securities is back</w:t>
      </w:r>
      <w:r w:rsidR="00814A0B" w:rsidRPr="009E6ED4">
        <w:rPr>
          <w:bCs/>
          <w:color w:val="000000"/>
          <w:sz w:val="22"/>
          <w:szCs w:val="22"/>
        </w:rPr>
        <w:t>ed</w:t>
      </w:r>
      <w:r w:rsidR="00AA627A" w:rsidRPr="009E6ED4">
        <w:rPr>
          <w:bCs/>
          <w:color w:val="000000"/>
          <w:sz w:val="22"/>
          <w:szCs w:val="22"/>
        </w:rPr>
        <w:t xml:space="preserve"> by the full faith and credit of the United States.  The information being collected is necessary in order for Ginnie Mae to be able to properly administer its Mortgage-Backed Securities programs.</w:t>
      </w:r>
    </w:p>
    <w:p w14:paraId="7053AD7E" w14:textId="77777777" w:rsidR="00494171" w:rsidRPr="00494171" w:rsidRDefault="00785001" w:rsidP="00494171">
      <w:pPr>
        <w:keepLines/>
        <w:tabs>
          <w:tab w:val="left" w:pos="360"/>
        </w:tabs>
        <w:spacing w:after="80"/>
        <w:ind w:left="360" w:hanging="360"/>
        <w:rPr>
          <w:color w:val="000000"/>
          <w:spacing w:val="-4"/>
          <w:sz w:val="22"/>
          <w:szCs w:val="22"/>
        </w:rPr>
      </w:pPr>
      <w:r w:rsidRPr="009E6ED4">
        <w:rPr>
          <w:bCs/>
          <w:color w:val="000000"/>
          <w:sz w:val="22"/>
          <w:szCs w:val="22"/>
        </w:rPr>
        <w:tab/>
      </w:r>
      <w:r w:rsidR="00494171" w:rsidRPr="00494171">
        <w:rPr>
          <w:color w:val="000000"/>
          <w:sz w:val="22"/>
          <w:szCs w:val="22"/>
        </w:rPr>
        <w:t xml:space="preserve">Due to the elimination of the application used for Fingerprint Enrollment </w:t>
      </w:r>
      <w:r w:rsidR="00494171" w:rsidRPr="00494171">
        <w:rPr>
          <w:color w:val="000000"/>
          <w:spacing w:val="-4"/>
          <w:sz w:val="22"/>
          <w:szCs w:val="22"/>
        </w:rPr>
        <w:t>used by Ginnie Mae issuers and document custodians to access the Ginnie</w:t>
      </w:r>
      <w:r w:rsidR="00494171" w:rsidRPr="00A11135">
        <w:rPr>
          <w:i/>
          <w:color w:val="000000"/>
          <w:spacing w:val="-4"/>
          <w:sz w:val="22"/>
          <w:szCs w:val="22"/>
        </w:rPr>
        <w:t>NET</w:t>
      </w:r>
      <w:r w:rsidR="00494171" w:rsidRPr="00494171">
        <w:rPr>
          <w:color w:val="000000"/>
          <w:spacing w:val="-4"/>
          <w:sz w:val="22"/>
          <w:szCs w:val="22"/>
        </w:rPr>
        <w:t xml:space="preserve"> system, Ginnie Mae is revising our Appendix III-29 to include the following:</w:t>
      </w:r>
    </w:p>
    <w:p w14:paraId="5533BF3F" w14:textId="77777777" w:rsidR="00494171" w:rsidRDefault="00494171" w:rsidP="00494171">
      <w:pPr>
        <w:ind w:left="360" w:right="72"/>
        <w:rPr>
          <w:color w:val="000000"/>
          <w:spacing w:val="-4"/>
          <w:sz w:val="22"/>
          <w:szCs w:val="22"/>
        </w:rPr>
      </w:pPr>
      <w:r>
        <w:rPr>
          <w:color w:val="000000"/>
          <w:spacing w:val="-4"/>
          <w:sz w:val="22"/>
          <w:szCs w:val="22"/>
        </w:rPr>
        <w:t>T</w:t>
      </w:r>
      <w:r w:rsidRPr="00494171">
        <w:rPr>
          <w:color w:val="000000"/>
          <w:spacing w:val="-4"/>
          <w:sz w:val="22"/>
          <w:szCs w:val="22"/>
        </w:rPr>
        <w:t>he name of the appendix will be changed to:  Ginnie Mae Systems Access Appendix will have six (6) clearing defined sections.  They are as follows:</w:t>
      </w:r>
    </w:p>
    <w:p w14:paraId="3D3CB31F" w14:textId="77777777" w:rsidR="00494171" w:rsidRPr="00494171" w:rsidRDefault="00494171" w:rsidP="00494171">
      <w:pPr>
        <w:ind w:left="360" w:right="72"/>
        <w:rPr>
          <w:color w:val="000000"/>
          <w:spacing w:val="-4"/>
          <w:sz w:val="22"/>
          <w:szCs w:val="22"/>
        </w:rPr>
      </w:pPr>
    </w:p>
    <w:p w14:paraId="5CB080EE" w14:textId="77777777" w:rsidR="00494171" w:rsidRDefault="00494171" w:rsidP="00494171">
      <w:pPr>
        <w:ind w:left="2970" w:right="72" w:hanging="2250"/>
        <w:rPr>
          <w:color w:val="000000"/>
          <w:spacing w:val="-4"/>
          <w:sz w:val="22"/>
          <w:szCs w:val="22"/>
        </w:rPr>
      </w:pPr>
      <w:r w:rsidRPr="00494171">
        <w:rPr>
          <w:color w:val="000000"/>
          <w:spacing w:val="-4"/>
          <w:sz w:val="22"/>
          <w:szCs w:val="22"/>
        </w:rPr>
        <w:t>Appendix III-29:</w:t>
      </w:r>
      <w:r w:rsidRPr="00494171">
        <w:rPr>
          <w:color w:val="000000"/>
          <w:spacing w:val="-4"/>
          <w:sz w:val="22"/>
          <w:szCs w:val="22"/>
        </w:rPr>
        <w:tab/>
        <w:t>Instructions: incorporates language to make the Appendix applicable to Ginnie Mae’s Ginnie</w:t>
      </w:r>
      <w:r w:rsidRPr="00A11135">
        <w:rPr>
          <w:i/>
          <w:color w:val="000000"/>
          <w:spacing w:val="-4"/>
          <w:sz w:val="22"/>
          <w:szCs w:val="22"/>
        </w:rPr>
        <w:t>NET</w:t>
      </w:r>
      <w:r w:rsidRPr="00494171">
        <w:rPr>
          <w:color w:val="000000"/>
          <w:spacing w:val="-4"/>
          <w:sz w:val="22"/>
          <w:szCs w:val="22"/>
        </w:rPr>
        <w:t xml:space="preserve"> system as well as the Ginnie Mae GMEP system.  It clarifies the relationship of the Appendix to Ginnie Mae form HUD 11708.</w:t>
      </w:r>
    </w:p>
    <w:p w14:paraId="7A4F0E0A" w14:textId="77777777" w:rsidR="00E3370A" w:rsidRPr="00494171" w:rsidRDefault="00E3370A" w:rsidP="00494171">
      <w:pPr>
        <w:ind w:left="2970" w:right="72" w:hanging="2250"/>
        <w:rPr>
          <w:color w:val="000000"/>
          <w:spacing w:val="-4"/>
          <w:sz w:val="22"/>
          <w:szCs w:val="22"/>
        </w:rPr>
      </w:pPr>
    </w:p>
    <w:p w14:paraId="45DA7ED5" w14:textId="77777777" w:rsidR="00494171" w:rsidRPr="00494171" w:rsidRDefault="00494171" w:rsidP="00494171">
      <w:pPr>
        <w:ind w:left="2970" w:right="72" w:hanging="2250"/>
        <w:rPr>
          <w:color w:val="000000"/>
          <w:spacing w:val="-4"/>
          <w:sz w:val="22"/>
          <w:szCs w:val="22"/>
        </w:rPr>
      </w:pPr>
      <w:r w:rsidRPr="00494171">
        <w:rPr>
          <w:color w:val="000000"/>
          <w:spacing w:val="-4"/>
          <w:sz w:val="22"/>
          <w:szCs w:val="22"/>
        </w:rPr>
        <w:t>Appendix III-29 (A):</w:t>
      </w:r>
      <w:r>
        <w:rPr>
          <w:color w:val="000000"/>
          <w:spacing w:val="-4"/>
          <w:sz w:val="22"/>
          <w:szCs w:val="22"/>
        </w:rPr>
        <w:tab/>
      </w:r>
      <w:r w:rsidRPr="00494171">
        <w:rPr>
          <w:color w:val="000000"/>
          <w:spacing w:val="-4"/>
          <w:sz w:val="22"/>
          <w:szCs w:val="22"/>
        </w:rPr>
        <w:t>Issuer Security Officer Registration:</w:t>
      </w:r>
    </w:p>
    <w:p w14:paraId="6A408C1D" w14:textId="77777777" w:rsidR="00494171" w:rsidRDefault="00494171" w:rsidP="00494171">
      <w:pPr>
        <w:ind w:left="2970" w:right="72"/>
        <w:rPr>
          <w:color w:val="000000"/>
          <w:spacing w:val="-4"/>
          <w:sz w:val="22"/>
          <w:szCs w:val="22"/>
        </w:rPr>
      </w:pPr>
      <w:r w:rsidRPr="00494171">
        <w:rPr>
          <w:color w:val="000000"/>
          <w:spacing w:val="-4"/>
          <w:sz w:val="22"/>
          <w:szCs w:val="22"/>
        </w:rPr>
        <w:t>Incorporates language to make the Appendix applicable to Ginnie Mae’s Ginnie</w:t>
      </w:r>
      <w:r w:rsidRPr="00A11135">
        <w:rPr>
          <w:i/>
          <w:color w:val="000000"/>
          <w:spacing w:val="-4"/>
          <w:sz w:val="22"/>
          <w:szCs w:val="22"/>
        </w:rPr>
        <w:t>NET</w:t>
      </w:r>
      <w:r w:rsidRPr="00494171">
        <w:rPr>
          <w:color w:val="000000"/>
          <w:spacing w:val="-4"/>
          <w:sz w:val="22"/>
          <w:szCs w:val="22"/>
        </w:rPr>
        <w:t xml:space="preserve"> system as well as the Ginnie Mae GMEP system.</w:t>
      </w:r>
    </w:p>
    <w:p w14:paraId="494C3377" w14:textId="77777777" w:rsidR="00E3370A" w:rsidRPr="00494171" w:rsidRDefault="00E3370A" w:rsidP="00494171">
      <w:pPr>
        <w:ind w:left="2970" w:right="72"/>
        <w:rPr>
          <w:color w:val="000000"/>
          <w:spacing w:val="-4"/>
          <w:sz w:val="22"/>
          <w:szCs w:val="22"/>
        </w:rPr>
      </w:pPr>
    </w:p>
    <w:p w14:paraId="0B5F2A89" w14:textId="77777777" w:rsidR="00494171" w:rsidRPr="00494171" w:rsidRDefault="00494171" w:rsidP="00494171">
      <w:pPr>
        <w:ind w:left="2880" w:right="72" w:hanging="2160"/>
        <w:rPr>
          <w:color w:val="000000"/>
          <w:spacing w:val="-4"/>
          <w:sz w:val="22"/>
          <w:szCs w:val="22"/>
        </w:rPr>
      </w:pPr>
      <w:r w:rsidRPr="00494171">
        <w:rPr>
          <w:color w:val="000000"/>
          <w:spacing w:val="-4"/>
          <w:sz w:val="22"/>
          <w:szCs w:val="22"/>
        </w:rPr>
        <w:t>Appendix III-29 (B):</w:t>
      </w:r>
      <w:r w:rsidR="000F15BF">
        <w:rPr>
          <w:color w:val="000000"/>
          <w:spacing w:val="-4"/>
          <w:sz w:val="22"/>
          <w:szCs w:val="22"/>
        </w:rPr>
        <w:tab/>
        <w:t xml:space="preserve">  </w:t>
      </w:r>
      <w:r w:rsidRPr="00494171">
        <w:rPr>
          <w:color w:val="000000"/>
          <w:spacing w:val="-4"/>
          <w:sz w:val="22"/>
          <w:szCs w:val="22"/>
        </w:rPr>
        <w:t>User Registration for Issuer Only:</w:t>
      </w:r>
    </w:p>
    <w:p w14:paraId="5CEF7620" w14:textId="77777777" w:rsidR="00494171" w:rsidRDefault="00494171" w:rsidP="00494171">
      <w:pPr>
        <w:ind w:left="2970" w:right="72" w:hanging="2250"/>
        <w:rPr>
          <w:color w:val="000000"/>
          <w:spacing w:val="-4"/>
          <w:sz w:val="22"/>
          <w:szCs w:val="22"/>
        </w:rPr>
      </w:pPr>
      <w:r w:rsidRPr="00494171">
        <w:rPr>
          <w:color w:val="000000"/>
          <w:spacing w:val="-4"/>
          <w:sz w:val="22"/>
          <w:szCs w:val="22"/>
        </w:rPr>
        <w:tab/>
        <w:t>Incorporates language to ensure the user acknowledgements and signed rules of behavior encompass</w:t>
      </w:r>
      <w:r w:rsidR="0099026C">
        <w:rPr>
          <w:color w:val="000000"/>
          <w:spacing w:val="-4"/>
          <w:sz w:val="22"/>
          <w:szCs w:val="22"/>
        </w:rPr>
        <w:t>es</w:t>
      </w:r>
      <w:r w:rsidRPr="00494171">
        <w:rPr>
          <w:color w:val="000000"/>
          <w:spacing w:val="-4"/>
          <w:sz w:val="22"/>
          <w:szCs w:val="22"/>
        </w:rPr>
        <w:t xml:space="preserve"> the use of the Ginnie</w:t>
      </w:r>
      <w:r w:rsidRPr="00A11135">
        <w:rPr>
          <w:i/>
          <w:color w:val="000000"/>
          <w:spacing w:val="-4"/>
          <w:sz w:val="22"/>
          <w:szCs w:val="22"/>
        </w:rPr>
        <w:t>NET</w:t>
      </w:r>
      <w:r w:rsidRPr="00494171">
        <w:rPr>
          <w:color w:val="000000"/>
          <w:spacing w:val="-4"/>
          <w:sz w:val="22"/>
          <w:szCs w:val="22"/>
        </w:rPr>
        <w:t xml:space="preserve"> system.  Adding a Ginnie</w:t>
      </w:r>
      <w:r w:rsidRPr="00A11135">
        <w:rPr>
          <w:i/>
          <w:color w:val="000000"/>
          <w:spacing w:val="-4"/>
          <w:sz w:val="22"/>
          <w:szCs w:val="22"/>
        </w:rPr>
        <w:t>NET</w:t>
      </w:r>
      <w:r w:rsidRPr="00494171">
        <w:rPr>
          <w:color w:val="000000"/>
          <w:spacing w:val="-4"/>
          <w:sz w:val="22"/>
          <w:szCs w:val="22"/>
        </w:rPr>
        <w:t xml:space="preserve"> section with two (2) check boxes to the following types of Ginnie</w:t>
      </w:r>
      <w:r w:rsidRPr="00A11135">
        <w:rPr>
          <w:i/>
          <w:color w:val="000000"/>
          <w:spacing w:val="-4"/>
          <w:sz w:val="22"/>
          <w:szCs w:val="22"/>
        </w:rPr>
        <w:t>NET</w:t>
      </w:r>
      <w:r w:rsidRPr="00494171">
        <w:rPr>
          <w:color w:val="000000"/>
          <w:spacing w:val="-4"/>
          <w:sz w:val="22"/>
          <w:szCs w:val="22"/>
        </w:rPr>
        <w:t xml:space="preserve"> functions:  Ginnie</w:t>
      </w:r>
      <w:r w:rsidRPr="00A11135">
        <w:rPr>
          <w:i/>
          <w:color w:val="000000"/>
          <w:spacing w:val="-4"/>
          <w:sz w:val="22"/>
          <w:szCs w:val="22"/>
        </w:rPr>
        <w:t>NET</w:t>
      </w:r>
      <w:r w:rsidRPr="00494171">
        <w:rPr>
          <w:color w:val="000000"/>
          <w:spacing w:val="-4"/>
          <w:sz w:val="22"/>
          <w:szCs w:val="22"/>
        </w:rPr>
        <w:t xml:space="preserve"> RSA SecurID Token Holder and Ginnie</w:t>
      </w:r>
      <w:r w:rsidRPr="00A11135">
        <w:rPr>
          <w:i/>
          <w:color w:val="000000"/>
          <w:spacing w:val="-4"/>
          <w:sz w:val="22"/>
          <w:szCs w:val="22"/>
        </w:rPr>
        <w:t>NET</w:t>
      </w:r>
      <w:r w:rsidRPr="00494171">
        <w:rPr>
          <w:color w:val="000000"/>
          <w:spacing w:val="-4"/>
          <w:sz w:val="22"/>
          <w:szCs w:val="22"/>
        </w:rPr>
        <w:t xml:space="preserve"> User.</w:t>
      </w:r>
    </w:p>
    <w:p w14:paraId="699397D8" w14:textId="77777777" w:rsidR="00E3370A" w:rsidRPr="00494171" w:rsidRDefault="00E3370A" w:rsidP="00494171">
      <w:pPr>
        <w:ind w:left="2970" w:right="72" w:hanging="2250"/>
        <w:rPr>
          <w:color w:val="000000"/>
          <w:spacing w:val="-4"/>
          <w:sz w:val="22"/>
          <w:szCs w:val="22"/>
        </w:rPr>
      </w:pPr>
    </w:p>
    <w:p w14:paraId="5E351AB9" w14:textId="77777777" w:rsidR="00494171" w:rsidRPr="00494171" w:rsidRDefault="00494171" w:rsidP="00494171">
      <w:pPr>
        <w:ind w:left="2970" w:right="72" w:hanging="2250"/>
        <w:rPr>
          <w:color w:val="000000"/>
          <w:spacing w:val="-4"/>
          <w:sz w:val="22"/>
          <w:szCs w:val="22"/>
        </w:rPr>
      </w:pPr>
      <w:r w:rsidRPr="00494171">
        <w:rPr>
          <w:color w:val="000000"/>
          <w:spacing w:val="-4"/>
          <w:sz w:val="22"/>
          <w:szCs w:val="22"/>
        </w:rPr>
        <w:t>Appendix III-29 (C):</w:t>
      </w:r>
      <w:r>
        <w:rPr>
          <w:color w:val="000000"/>
          <w:spacing w:val="-4"/>
          <w:sz w:val="22"/>
          <w:szCs w:val="22"/>
        </w:rPr>
        <w:tab/>
      </w:r>
      <w:r w:rsidRPr="00494171">
        <w:rPr>
          <w:color w:val="000000"/>
          <w:spacing w:val="-4"/>
          <w:sz w:val="22"/>
          <w:szCs w:val="22"/>
        </w:rPr>
        <w:t xml:space="preserve">Custodian Security Officer Registration:  </w:t>
      </w:r>
    </w:p>
    <w:p w14:paraId="364F2292" w14:textId="77777777" w:rsidR="00494171" w:rsidRDefault="00494171" w:rsidP="00494171">
      <w:pPr>
        <w:ind w:left="2970" w:right="72"/>
        <w:rPr>
          <w:color w:val="000000"/>
          <w:spacing w:val="-4"/>
          <w:sz w:val="22"/>
          <w:szCs w:val="22"/>
        </w:rPr>
      </w:pPr>
      <w:r w:rsidRPr="00494171">
        <w:rPr>
          <w:color w:val="000000"/>
          <w:spacing w:val="-4"/>
          <w:sz w:val="22"/>
          <w:szCs w:val="22"/>
        </w:rPr>
        <w:t>Incorporates language to make the Appendix applicable to Ginnie Mae’s Ginnie</w:t>
      </w:r>
      <w:r w:rsidRPr="00A11135">
        <w:rPr>
          <w:i/>
          <w:color w:val="000000"/>
          <w:spacing w:val="-4"/>
          <w:sz w:val="22"/>
          <w:szCs w:val="22"/>
        </w:rPr>
        <w:t>NET</w:t>
      </w:r>
      <w:r w:rsidRPr="00494171">
        <w:rPr>
          <w:color w:val="000000"/>
          <w:spacing w:val="-4"/>
          <w:sz w:val="22"/>
          <w:szCs w:val="22"/>
        </w:rPr>
        <w:t xml:space="preserve"> system as well as the Ginnie Mae GMEP system.</w:t>
      </w:r>
    </w:p>
    <w:p w14:paraId="14EDFC14" w14:textId="77777777" w:rsidR="00E3370A" w:rsidRPr="00494171" w:rsidRDefault="00E3370A" w:rsidP="00494171">
      <w:pPr>
        <w:ind w:left="2970" w:right="72"/>
        <w:rPr>
          <w:color w:val="000000"/>
          <w:spacing w:val="-4"/>
          <w:sz w:val="22"/>
          <w:szCs w:val="22"/>
        </w:rPr>
      </w:pPr>
    </w:p>
    <w:p w14:paraId="08EC5838" w14:textId="77777777" w:rsidR="00494171" w:rsidRPr="00494171" w:rsidRDefault="00494171" w:rsidP="00494171">
      <w:pPr>
        <w:ind w:left="2970" w:right="72" w:hanging="2250"/>
        <w:rPr>
          <w:color w:val="000000"/>
          <w:spacing w:val="-4"/>
          <w:sz w:val="22"/>
          <w:szCs w:val="22"/>
        </w:rPr>
      </w:pPr>
      <w:r w:rsidRPr="00494171">
        <w:rPr>
          <w:color w:val="000000"/>
          <w:spacing w:val="-4"/>
          <w:sz w:val="22"/>
          <w:szCs w:val="22"/>
        </w:rPr>
        <w:t>Appendix III-29 (D):</w:t>
      </w:r>
      <w:r>
        <w:rPr>
          <w:color w:val="000000"/>
          <w:spacing w:val="-4"/>
          <w:sz w:val="22"/>
          <w:szCs w:val="22"/>
        </w:rPr>
        <w:tab/>
      </w:r>
      <w:r w:rsidRPr="00494171">
        <w:rPr>
          <w:color w:val="000000"/>
          <w:spacing w:val="-4"/>
          <w:sz w:val="22"/>
          <w:szCs w:val="22"/>
        </w:rPr>
        <w:t>Custodian User Registration:</w:t>
      </w:r>
    </w:p>
    <w:p w14:paraId="6E0124B9" w14:textId="77777777" w:rsidR="00494171" w:rsidRPr="00494171" w:rsidRDefault="00494171" w:rsidP="00494171">
      <w:pPr>
        <w:ind w:left="2970" w:right="72" w:hanging="2160"/>
        <w:rPr>
          <w:color w:val="000000"/>
          <w:spacing w:val="-4"/>
          <w:sz w:val="22"/>
          <w:szCs w:val="22"/>
        </w:rPr>
      </w:pPr>
      <w:r w:rsidRPr="00494171">
        <w:rPr>
          <w:color w:val="000000"/>
          <w:spacing w:val="-4"/>
          <w:sz w:val="22"/>
          <w:szCs w:val="22"/>
        </w:rPr>
        <w:tab/>
        <w:t xml:space="preserve">Incorporates language to ensure the user acknowledgements </w:t>
      </w:r>
      <w:r w:rsidR="0099026C">
        <w:rPr>
          <w:color w:val="000000"/>
          <w:spacing w:val="-4"/>
          <w:sz w:val="22"/>
          <w:szCs w:val="22"/>
        </w:rPr>
        <w:t>and signed rules of behavior</w:t>
      </w:r>
      <w:r w:rsidRPr="00494171">
        <w:rPr>
          <w:color w:val="000000"/>
          <w:spacing w:val="-4"/>
          <w:sz w:val="22"/>
          <w:szCs w:val="22"/>
        </w:rPr>
        <w:t xml:space="preserve"> encompass</w:t>
      </w:r>
      <w:r w:rsidR="0099026C">
        <w:rPr>
          <w:color w:val="000000"/>
          <w:spacing w:val="-4"/>
          <w:sz w:val="22"/>
          <w:szCs w:val="22"/>
        </w:rPr>
        <w:t>es</w:t>
      </w:r>
      <w:r w:rsidRPr="00494171">
        <w:rPr>
          <w:color w:val="000000"/>
          <w:spacing w:val="-4"/>
          <w:sz w:val="22"/>
          <w:szCs w:val="22"/>
        </w:rPr>
        <w:t xml:space="preserve"> the use of the Ginnie</w:t>
      </w:r>
      <w:r w:rsidRPr="00A11135">
        <w:rPr>
          <w:i/>
          <w:color w:val="000000"/>
          <w:spacing w:val="-4"/>
          <w:sz w:val="22"/>
          <w:szCs w:val="22"/>
        </w:rPr>
        <w:t>NET</w:t>
      </w:r>
      <w:r w:rsidRPr="00494171">
        <w:rPr>
          <w:color w:val="000000"/>
          <w:spacing w:val="-4"/>
          <w:sz w:val="22"/>
          <w:szCs w:val="22"/>
        </w:rPr>
        <w:t xml:space="preserve"> system.</w:t>
      </w:r>
    </w:p>
    <w:p w14:paraId="3CEAB8E1" w14:textId="77777777" w:rsidR="00494171" w:rsidRDefault="00494171" w:rsidP="00494171">
      <w:pPr>
        <w:ind w:left="2970" w:right="72"/>
        <w:rPr>
          <w:color w:val="000000"/>
          <w:spacing w:val="-4"/>
          <w:sz w:val="22"/>
          <w:szCs w:val="22"/>
        </w:rPr>
      </w:pPr>
      <w:r w:rsidRPr="00494171">
        <w:rPr>
          <w:color w:val="000000"/>
          <w:spacing w:val="-4"/>
          <w:sz w:val="22"/>
          <w:szCs w:val="22"/>
        </w:rPr>
        <w:t>Adding a check box for Ginnie</w:t>
      </w:r>
      <w:r w:rsidRPr="00A11135">
        <w:rPr>
          <w:i/>
          <w:color w:val="000000"/>
          <w:spacing w:val="-4"/>
          <w:sz w:val="22"/>
          <w:szCs w:val="22"/>
        </w:rPr>
        <w:t>NET</w:t>
      </w:r>
      <w:r w:rsidRPr="00494171">
        <w:rPr>
          <w:color w:val="000000"/>
          <w:spacing w:val="-4"/>
          <w:sz w:val="22"/>
          <w:szCs w:val="22"/>
        </w:rPr>
        <w:t xml:space="preserve"> SecurID Token Holder</w:t>
      </w:r>
    </w:p>
    <w:p w14:paraId="13C36A54" w14:textId="77777777" w:rsidR="00E3370A" w:rsidRPr="00494171" w:rsidRDefault="00E3370A" w:rsidP="00494171">
      <w:pPr>
        <w:ind w:left="2970" w:right="72"/>
        <w:rPr>
          <w:color w:val="000000"/>
          <w:spacing w:val="-4"/>
          <w:sz w:val="22"/>
          <w:szCs w:val="22"/>
        </w:rPr>
      </w:pPr>
    </w:p>
    <w:p w14:paraId="4AD2E325" w14:textId="77777777" w:rsidR="00494171" w:rsidRPr="00494171" w:rsidRDefault="00494171" w:rsidP="00494171">
      <w:pPr>
        <w:ind w:left="2970" w:right="72" w:hanging="2250"/>
        <w:rPr>
          <w:color w:val="000000"/>
          <w:spacing w:val="-4"/>
          <w:sz w:val="22"/>
          <w:szCs w:val="22"/>
        </w:rPr>
      </w:pPr>
      <w:r w:rsidRPr="00494171">
        <w:rPr>
          <w:color w:val="000000"/>
          <w:spacing w:val="-4"/>
          <w:sz w:val="22"/>
          <w:szCs w:val="22"/>
        </w:rPr>
        <w:t>Appendix III-29 (E):</w:t>
      </w:r>
      <w:r>
        <w:rPr>
          <w:color w:val="000000"/>
          <w:spacing w:val="-4"/>
          <w:sz w:val="22"/>
          <w:szCs w:val="22"/>
        </w:rPr>
        <w:tab/>
      </w:r>
      <w:r w:rsidRPr="00494171">
        <w:rPr>
          <w:color w:val="000000"/>
          <w:spacing w:val="-4"/>
          <w:sz w:val="22"/>
          <w:szCs w:val="22"/>
        </w:rPr>
        <w:t>RSA SecurID Token Request</w:t>
      </w:r>
    </w:p>
    <w:p w14:paraId="1760D8FD" w14:textId="77777777" w:rsidR="00494171" w:rsidRDefault="00494171" w:rsidP="00494171">
      <w:pPr>
        <w:ind w:left="2970" w:right="72" w:hanging="2160"/>
        <w:rPr>
          <w:color w:val="000000"/>
          <w:spacing w:val="-4"/>
          <w:sz w:val="22"/>
          <w:szCs w:val="22"/>
        </w:rPr>
      </w:pPr>
      <w:r w:rsidRPr="00494171">
        <w:rPr>
          <w:color w:val="000000"/>
          <w:spacing w:val="-4"/>
          <w:sz w:val="22"/>
          <w:szCs w:val="22"/>
        </w:rPr>
        <w:tab/>
        <w:t>New form to be used by Ginnie Mae Issuers and Document Custodians to obtain the required RSA Token and identify user access</w:t>
      </w:r>
    </w:p>
    <w:p w14:paraId="79710D84" w14:textId="77777777" w:rsidR="00E3370A" w:rsidRPr="00494171" w:rsidRDefault="00E3370A" w:rsidP="00494171">
      <w:pPr>
        <w:ind w:left="2970" w:right="72" w:hanging="2160"/>
        <w:rPr>
          <w:color w:val="000000"/>
          <w:spacing w:val="-4"/>
          <w:sz w:val="22"/>
          <w:szCs w:val="22"/>
        </w:rPr>
      </w:pPr>
    </w:p>
    <w:p w14:paraId="01207638" w14:textId="77777777" w:rsidR="00E3370A" w:rsidRDefault="00E3370A" w:rsidP="00214B5E">
      <w:pPr>
        <w:spacing w:before="7"/>
        <w:ind w:left="360" w:right="504"/>
        <w:jc w:val="both"/>
        <w:rPr>
          <w:color w:val="000000"/>
          <w:spacing w:val="-1"/>
          <w:sz w:val="22"/>
          <w:szCs w:val="22"/>
        </w:rPr>
      </w:pPr>
    </w:p>
    <w:p w14:paraId="55640029" w14:textId="77777777" w:rsidR="00E3370A" w:rsidRPr="00494171" w:rsidRDefault="00E3370A" w:rsidP="00214B5E">
      <w:pPr>
        <w:spacing w:before="7"/>
        <w:ind w:left="360" w:right="504"/>
        <w:jc w:val="both"/>
        <w:rPr>
          <w:color w:val="000000"/>
          <w:spacing w:val="-1"/>
          <w:sz w:val="22"/>
          <w:szCs w:val="22"/>
        </w:rPr>
      </w:pPr>
    </w:p>
    <w:p w14:paraId="7866F91D" w14:textId="77777777" w:rsidR="00494171" w:rsidRDefault="00E3370A" w:rsidP="00811971">
      <w:pPr>
        <w:spacing w:before="36"/>
        <w:ind w:left="360"/>
        <w:rPr>
          <w:color w:val="000000"/>
          <w:spacing w:val="-3"/>
          <w:sz w:val="22"/>
          <w:szCs w:val="22"/>
        </w:rPr>
      </w:pPr>
      <w:r>
        <w:rPr>
          <w:color w:val="000000"/>
          <w:spacing w:val="-3"/>
          <w:sz w:val="22"/>
          <w:szCs w:val="22"/>
        </w:rPr>
        <w:lastRenderedPageBreak/>
        <w:t>As a result of the revisions to Appendix III-29, Ginnie Mae will be eliminating the use of Appendix III-14 (Enrollment Administrator and GinnieNET Authorized Signatories.</w:t>
      </w:r>
    </w:p>
    <w:p w14:paraId="216FB922" w14:textId="77777777" w:rsidR="00E3370A" w:rsidRDefault="00E3370A" w:rsidP="00811971">
      <w:pPr>
        <w:spacing w:before="36"/>
        <w:ind w:left="360"/>
        <w:rPr>
          <w:color w:val="000000"/>
          <w:spacing w:val="-3"/>
          <w:sz w:val="22"/>
          <w:szCs w:val="22"/>
        </w:rPr>
      </w:pPr>
    </w:p>
    <w:p w14:paraId="561E20E5" w14:textId="54880E2D" w:rsidR="00E3370A" w:rsidRDefault="00E3370A" w:rsidP="00811971">
      <w:pPr>
        <w:spacing w:before="36"/>
        <w:ind w:left="360"/>
        <w:rPr>
          <w:color w:val="000000"/>
          <w:spacing w:val="-3"/>
          <w:sz w:val="22"/>
          <w:szCs w:val="22"/>
        </w:rPr>
      </w:pPr>
      <w:r>
        <w:rPr>
          <w:color w:val="000000"/>
          <w:spacing w:val="-3"/>
          <w:sz w:val="22"/>
          <w:szCs w:val="22"/>
        </w:rPr>
        <w:t>With the implementation of Ginnie Mae’s streamlined investor reporting under the revised Appendix VI-19</w:t>
      </w:r>
      <w:r w:rsidR="00BD3FF9">
        <w:rPr>
          <w:color w:val="000000"/>
          <w:spacing w:val="-3"/>
          <w:sz w:val="22"/>
          <w:szCs w:val="22"/>
        </w:rPr>
        <w:t xml:space="preserve"> (Monthly Pool and Loan Level Report)</w:t>
      </w:r>
      <w:r>
        <w:rPr>
          <w:color w:val="000000"/>
          <w:spacing w:val="-3"/>
          <w:sz w:val="22"/>
          <w:szCs w:val="22"/>
        </w:rPr>
        <w:t>, the following appendices will be eliminated:  Appendix VII-1(Collection of Remaining Principal Balances) and Appendix VII-2 (</w:t>
      </w:r>
      <w:r w:rsidR="00BD3FF9">
        <w:rPr>
          <w:color w:val="000000"/>
          <w:spacing w:val="-3"/>
          <w:sz w:val="22"/>
          <w:szCs w:val="22"/>
        </w:rPr>
        <w:t xml:space="preserve">Remaining Principal Balance Submission Formats for </w:t>
      </w:r>
      <w:r w:rsidR="00E42189">
        <w:rPr>
          <w:color w:val="000000"/>
          <w:spacing w:val="-3"/>
          <w:sz w:val="22"/>
          <w:szCs w:val="22"/>
        </w:rPr>
        <w:t>Home Equity Conversion Mortgage-Backed Security</w:t>
      </w:r>
      <w:r w:rsidR="00E42189" w:rsidRPr="0099026C">
        <w:rPr>
          <w:color w:val="000000"/>
          <w:spacing w:val="-3"/>
          <w:sz w:val="22"/>
          <w:szCs w:val="22"/>
        </w:rPr>
        <w:t xml:space="preserve"> </w:t>
      </w:r>
      <w:r w:rsidR="00E42189">
        <w:rPr>
          <w:color w:val="000000"/>
          <w:spacing w:val="-3"/>
          <w:sz w:val="22"/>
          <w:szCs w:val="22"/>
        </w:rPr>
        <w:t>(</w:t>
      </w:r>
      <w:r w:rsidR="001E4559" w:rsidRPr="0099026C">
        <w:rPr>
          <w:color w:val="000000"/>
          <w:spacing w:val="-3"/>
          <w:sz w:val="22"/>
          <w:szCs w:val="22"/>
        </w:rPr>
        <w:t>HMBS</w:t>
      </w:r>
      <w:r w:rsidR="00E42189">
        <w:rPr>
          <w:color w:val="000000"/>
          <w:spacing w:val="-3"/>
          <w:sz w:val="22"/>
          <w:szCs w:val="22"/>
        </w:rPr>
        <w:t>)</w:t>
      </w:r>
      <w:r w:rsidR="001E4559">
        <w:rPr>
          <w:color w:val="000000"/>
          <w:spacing w:val="-3"/>
          <w:sz w:val="22"/>
          <w:szCs w:val="22"/>
        </w:rPr>
        <w:t xml:space="preserve"> </w:t>
      </w:r>
      <w:r w:rsidR="00BD3FF9">
        <w:rPr>
          <w:color w:val="000000"/>
          <w:spacing w:val="-3"/>
          <w:sz w:val="22"/>
          <w:szCs w:val="22"/>
        </w:rPr>
        <w:t>Pools.  As part of this streamlined investor reporting process, in order to capture RFS exceptions listed in Appendix VI-19, Ginnie Mae has release Appendix VI-14 (Multifamily Prepayment Penalty Record File Layout) and Appendix VI-16 (Quarterly Custodial Account Verification Record File Layout).</w:t>
      </w:r>
    </w:p>
    <w:p w14:paraId="5CE0DF56" w14:textId="77777777" w:rsidR="00BD3FF9" w:rsidRDefault="00BD3FF9" w:rsidP="00811971">
      <w:pPr>
        <w:spacing w:before="36"/>
        <w:ind w:left="360"/>
        <w:rPr>
          <w:color w:val="000000"/>
          <w:spacing w:val="-3"/>
          <w:sz w:val="22"/>
          <w:szCs w:val="22"/>
        </w:rPr>
      </w:pPr>
    </w:p>
    <w:p w14:paraId="39E4C088" w14:textId="175990AD" w:rsidR="00BD3FF9" w:rsidRDefault="00BD3FF9" w:rsidP="00811971">
      <w:pPr>
        <w:spacing w:before="36"/>
        <w:ind w:left="360"/>
        <w:rPr>
          <w:color w:val="000000"/>
          <w:spacing w:val="-3"/>
          <w:sz w:val="22"/>
          <w:szCs w:val="22"/>
        </w:rPr>
      </w:pPr>
      <w:r>
        <w:rPr>
          <w:color w:val="000000"/>
          <w:spacing w:val="-3"/>
          <w:sz w:val="22"/>
          <w:szCs w:val="22"/>
        </w:rPr>
        <w:t xml:space="preserve">Due to the increase in the number of Ginnie Mae active issuers in our </w:t>
      </w:r>
      <w:r w:rsidR="001E4559">
        <w:rPr>
          <w:color w:val="000000"/>
          <w:spacing w:val="-3"/>
          <w:sz w:val="22"/>
          <w:szCs w:val="22"/>
        </w:rPr>
        <w:t xml:space="preserve">HMBS </w:t>
      </w:r>
      <w:r>
        <w:rPr>
          <w:color w:val="000000"/>
          <w:spacing w:val="-3"/>
          <w:sz w:val="22"/>
          <w:szCs w:val="22"/>
        </w:rPr>
        <w:t xml:space="preserve">program, Ginnie Mae is now including </w:t>
      </w:r>
      <w:r w:rsidR="00240FFA">
        <w:rPr>
          <w:color w:val="000000"/>
          <w:spacing w:val="-3"/>
          <w:sz w:val="22"/>
          <w:szCs w:val="22"/>
        </w:rPr>
        <w:t>F</w:t>
      </w:r>
      <w:r w:rsidR="00F6183F">
        <w:rPr>
          <w:color w:val="000000"/>
          <w:spacing w:val="-3"/>
          <w:sz w:val="22"/>
          <w:szCs w:val="22"/>
        </w:rPr>
        <w:t xml:space="preserve">orm 11703-II – Appendix I-7 (Master Agreement for Participation Accounting and </w:t>
      </w:r>
      <w:r>
        <w:rPr>
          <w:color w:val="000000"/>
          <w:spacing w:val="-3"/>
          <w:sz w:val="22"/>
          <w:szCs w:val="22"/>
        </w:rPr>
        <w:t>Forms 11705H/11706H – Appendix III-28 (Schedule of Subscribers and Ginnie Mae Guaranty Agreement and Pool Participations –</w:t>
      </w:r>
      <w:r w:rsidRPr="0099026C">
        <w:rPr>
          <w:color w:val="000000"/>
          <w:spacing w:val="-3"/>
          <w:sz w:val="22"/>
          <w:szCs w:val="22"/>
        </w:rPr>
        <w:t>HMBS</w:t>
      </w:r>
      <w:r>
        <w:rPr>
          <w:color w:val="000000"/>
          <w:spacing w:val="-3"/>
          <w:sz w:val="22"/>
          <w:szCs w:val="22"/>
        </w:rPr>
        <w:t xml:space="preserve"> Pooling Import File Layout) in our collection.  This form combines both 11705H/11706H (Appendix III-28) into one import file layout.</w:t>
      </w:r>
    </w:p>
    <w:p w14:paraId="17BAF687" w14:textId="77777777" w:rsidR="00BD3FF9" w:rsidRDefault="00BD3FF9" w:rsidP="00811971">
      <w:pPr>
        <w:spacing w:before="36"/>
        <w:ind w:left="360"/>
        <w:rPr>
          <w:color w:val="000000"/>
          <w:spacing w:val="-3"/>
          <w:sz w:val="22"/>
          <w:szCs w:val="22"/>
        </w:rPr>
      </w:pPr>
    </w:p>
    <w:p w14:paraId="7A9059B4" w14:textId="77777777" w:rsidR="00233F68" w:rsidRDefault="00811971" w:rsidP="00811971">
      <w:pPr>
        <w:spacing w:before="36"/>
        <w:ind w:left="360"/>
        <w:rPr>
          <w:color w:val="000000"/>
          <w:spacing w:val="-3"/>
          <w:sz w:val="22"/>
          <w:szCs w:val="22"/>
        </w:rPr>
      </w:pPr>
      <w:r>
        <w:rPr>
          <w:color w:val="000000"/>
          <w:spacing w:val="-3"/>
          <w:sz w:val="22"/>
          <w:szCs w:val="22"/>
        </w:rPr>
        <w:t>The change in burden hours is a result of t</w:t>
      </w:r>
      <w:r w:rsidR="00BD3FF9">
        <w:rPr>
          <w:color w:val="000000"/>
          <w:spacing w:val="-3"/>
          <w:sz w:val="22"/>
          <w:szCs w:val="22"/>
        </w:rPr>
        <w:t>he</w:t>
      </w:r>
      <w:r w:rsidR="00233F68">
        <w:rPr>
          <w:color w:val="000000"/>
          <w:spacing w:val="-3"/>
          <w:sz w:val="22"/>
          <w:szCs w:val="22"/>
        </w:rPr>
        <w:t xml:space="preserve"> following:  </w:t>
      </w:r>
    </w:p>
    <w:p w14:paraId="0ECE453B" w14:textId="77777777" w:rsidR="00233F68" w:rsidRDefault="00BD3FF9" w:rsidP="00233F68">
      <w:pPr>
        <w:pStyle w:val="ListParagraph"/>
        <w:numPr>
          <w:ilvl w:val="0"/>
          <w:numId w:val="32"/>
        </w:numPr>
        <w:spacing w:before="36"/>
        <w:rPr>
          <w:color w:val="000000"/>
          <w:spacing w:val="-3"/>
          <w:sz w:val="22"/>
          <w:szCs w:val="22"/>
        </w:rPr>
      </w:pPr>
      <w:r w:rsidRPr="00233F68">
        <w:rPr>
          <w:color w:val="000000"/>
          <w:spacing w:val="-3"/>
          <w:sz w:val="22"/>
          <w:szCs w:val="22"/>
        </w:rPr>
        <w:t xml:space="preserve">addition of the new sections in Appendix III-29, </w:t>
      </w:r>
    </w:p>
    <w:p w14:paraId="1A429F35" w14:textId="77777777" w:rsidR="00233F68" w:rsidRDefault="00BD3FF9" w:rsidP="00233F68">
      <w:pPr>
        <w:pStyle w:val="ListParagraph"/>
        <w:numPr>
          <w:ilvl w:val="0"/>
          <w:numId w:val="32"/>
        </w:numPr>
        <w:spacing w:before="36"/>
        <w:rPr>
          <w:color w:val="000000"/>
          <w:spacing w:val="-3"/>
          <w:sz w:val="22"/>
          <w:szCs w:val="22"/>
        </w:rPr>
      </w:pPr>
      <w:r w:rsidRPr="00233F68">
        <w:rPr>
          <w:color w:val="000000"/>
          <w:spacing w:val="-3"/>
          <w:sz w:val="22"/>
          <w:szCs w:val="22"/>
        </w:rPr>
        <w:t>addit</w:t>
      </w:r>
      <w:r w:rsidR="00A11135" w:rsidRPr="00233F68">
        <w:rPr>
          <w:color w:val="000000"/>
          <w:spacing w:val="-3"/>
          <w:sz w:val="22"/>
          <w:szCs w:val="22"/>
        </w:rPr>
        <w:t>i</w:t>
      </w:r>
      <w:r w:rsidRPr="00233F68">
        <w:rPr>
          <w:color w:val="000000"/>
          <w:spacing w:val="-3"/>
          <w:sz w:val="22"/>
          <w:szCs w:val="22"/>
        </w:rPr>
        <w:t xml:space="preserve">ons of </w:t>
      </w:r>
      <w:r w:rsidR="00240FFA" w:rsidRPr="00233F68">
        <w:rPr>
          <w:color w:val="000000"/>
          <w:spacing w:val="-3"/>
          <w:sz w:val="22"/>
          <w:szCs w:val="22"/>
        </w:rPr>
        <w:t>Appendi</w:t>
      </w:r>
      <w:r w:rsidR="00233F68">
        <w:rPr>
          <w:color w:val="000000"/>
          <w:spacing w:val="-3"/>
          <w:sz w:val="22"/>
          <w:szCs w:val="22"/>
        </w:rPr>
        <w:t>ces</w:t>
      </w:r>
      <w:r w:rsidR="00240FFA" w:rsidRPr="00233F68">
        <w:rPr>
          <w:color w:val="000000"/>
          <w:spacing w:val="-3"/>
          <w:sz w:val="22"/>
          <w:szCs w:val="22"/>
        </w:rPr>
        <w:t xml:space="preserve"> I-7, </w:t>
      </w:r>
      <w:r w:rsidR="00811971" w:rsidRPr="00233F68">
        <w:rPr>
          <w:color w:val="000000"/>
          <w:spacing w:val="-3"/>
          <w:sz w:val="22"/>
          <w:szCs w:val="22"/>
        </w:rPr>
        <w:t>III-28</w:t>
      </w:r>
      <w:r w:rsidR="00240FFA" w:rsidRPr="00233F68">
        <w:rPr>
          <w:color w:val="000000"/>
          <w:spacing w:val="-3"/>
          <w:sz w:val="22"/>
          <w:szCs w:val="22"/>
        </w:rPr>
        <w:t>, VI-14, VI-16</w:t>
      </w:r>
      <w:r w:rsidR="00233F68" w:rsidRPr="00233F68">
        <w:rPr>
          <w:color w:val="000000"/>
          <w:spacing w:val="-3"/>
          <w:sz w:val="22"/>
          <w:szCs w:val="22"/>
        </w:rPr>
        <w:t>, VI-17, VI-21and Appendix VIII-1</w:t>
      </w:r>
    </w:p>
    <w:p w14:paraId="08E285A1" w14:textId="77777777" w:rsidR="00361B42" w:rsidRDefault="00811971" w:rsidP="00233F68">
      <w:pPr>
        <w:pStyle w:val="ListParagraph"/>
        <w:numPr>
          <w:ilvl w:val="0"/>
          <w:numId w:val="32"/>
        </w:numPr>
        <w:spacing w:before="36"/>
        <w:rPr>
          <w:color w:val="000000"/>
          <w:spacing w:val="-3"/>
          <w:sz w:val="22"/>
          <w:szCs w:val="22"/>
        </w:rPr>
      </w:pPr>
      <w:r w:rsidRPr="00233F68">
        <w:rPr>
          <w:color w:val="000000"/>
          <w:spacing w:val="-3"/>
          <w:sz w:val="22"/>
          <w:szCs w:val="22"/>
        </w:rPr>
        <w:t>elimination of Appendi</w:t>
      </w:r>
      <w:r w:rsidR="00233F68">
        <w:rPr>
          <w:color w:val="000000"/>
          <w:spacing w:val="-3"/>
          <w:sz w:val="22"/>
          <w:szCs w:val="22"/>
        </w:rPr>
        <w:t>ces</w:t>
      </w:r>
      <w:r w:rsidRPr="00233F68">
        <w:rPr>
          <w:color w:val="000000"/>
          <w:spacing w:val="-3"/>
          <w:sz w:val="22"/>
          <w:szCs w:val="22"/>
        </w:rPr>
        <w:t xml:space="preserve"> III-14</w:t>
      </w:r>
      <w:r w:rsidR="00361B42">
        <w:rPr>
          <w:color w:val="000000"/>
          <w:spacing w:val="-3"/>
          <w:sz w:val="22"/>
          <w:szCs w:val="22"/>
        </w:rPr>
        <w:t xml:space="preserve"> and </w:t>
      </w:r>
      <w:r w:rsidRPr="00233F68">
        <w:rPr>
          <w:color w:val="000000"/>
          <w:spacing w:val="-3"/>
          <w:sz w:val="22"/>
          <w:szCs w:val="22"/>
        </w:rPr>
        <w:t>Appendix VII-1</w:t>
      </w:r>
    </w:p>
    <w:p w14:paraId="752D2F00" w14:textId="77777777" w:rsidR="00BD3FF9" w:rsidRPr="00233F68" w:rsidRDefault="00240FFA" w:rsidP="00233F68">
      <w:pPr>
        <w:pStyle w:val="ListParagraph"/>
        <w:numPr>
          <w:ilvl w:val="0"/>
          <w:numId w:val="32"/>
        </w:numPr>
        <w:spacing w:before="36"/>
        <w:rPr>
          <w:color w:val="000000"/>
          <w:spacing w:val="-3"/>
          <w:sz w:val="22"/>
          <w:szCs w:val="22"/>
        </w:rPr>
      </w:pPr>
      <w:r w:rsidRPr="00233F68">
        <w:rPr>
          <w:color w:val="000000"/>
          <w:spacing w:val="-3"/>
          <w:sz w:val="22"/>
          <w:szCs w:val="22"/>
        </w:rPr>
        <w:t>increased the burden times listed on Appendi</w:t>
      </w:r>
      <w:r w:rsidR="00361B42">
        <w:rPr>
          <w:color w:val="000000"/>
          <w:spacing w:val="-3"/>
          <w:sz w:val="22"/>
          <w:szCs w:val="22"/>
        </w:rPr>
        <w:t>ces</w:t>
      </w:r>
      <w:r w:rsidRPr="00233F68">
        <w:rPr>
          <w:color w:val="000000"/>
          <w:spacing w:val="-3"/>
          <w:sz w:val="22"/>
          <w:szCs w:val="22"/>
        </w:rPr>
        <w:t xml:space="preserve"> I-1, Appendix III-7, Appendix III-13, Appendix III-29, Appendix VI-19</w:t>
      </w:r>
      <w:r w:rsidR="000F61C9">
        <w:rPr>
          <w:color w:val="000000"/>
          <w:spacing w:val="-3"/>
          <w:sz w:val="22"/>
          <w:szCs w:val="22"/>
        </w:rPr>
        <w:t xml:space="preserve"> to more realistic times</w:t>
      </w:r>
    </w:p>
    <w:p w14:paraId="61711812" w14:textId="77777777" w:rsidR="000F61C9" w:rsidRDefault="000F61C9" w:rsidP="00811971">
      <w:pPr>
        <w:spacing w:before="36"/>
        <w:ind w:left="360"/>
        <w:rPr>
          <w:color w:val="000000"/>
          <w:spacing w:val="-3"/>
          <w:sz w:val="22"/>
          <w:szCs w:val="22"/>
        </w:rPr>
      </w:pPr>
    </w:p>
    <w:p w14:paraId="4AB55B28" w14:textId="77777777" w:rsidR="00494171" w:rsidRPr="00072DC6" w:rsidRDefault="00494171" w:rsidP="00811971">
      <w:pPr>
        <w:spacing w:before="36"/>
        <w:ind w:left="360"/>
        <w:rPr>
          <w:color w:val="000000"/>
          <w:spacing w:val="-3"/>
          <w:sz w:val="24"/>
          <w:szCs w:val="24"/>
        </w:rPr>
      </w:pPr>
      <w:r w:rsidRPr="00494171">
        <w:rPr>
          <w:color w:val="000000"/>
          <w:spacing w:val="-3"/>
          <w:sz w:val="22"/>
          <w:szCs w:val="22"/>
        </w:rPr>
        <w:t>There are 20 forms and appendices in our collection which are volume driven</w:t>
      </w:r>
      <w:r w:rsidR="00214B5E">
        <w:rPr>
          <w:color w:val="000000"/>
          <w:spacing w:val="-3"/>
          <w:sz w:val="22"/>
          <w:szCs w:val="22"/>
        </w:rPr>
        <w:t xml:space="preserve"> </w:t>
      </w:r>
      <w:r w:rsidRPr="00494171">
        <w:rPr>
          <w:color w:val="000000"/>
          <w:spacing w:val="-3"/>
          <w:sz w:val="22"/>
          <w:szCs w:val="22"/>
        </w:rPr>
        <w:t>rather than participant driven: these have increased as our portfolio has grown.</w:t>
      </w:r>
    </w:p>
    <w:p w14:paraId="2A76E799" w14:textId="77777777" w:rsidR="00903283" w:rsidRPr="005C5B2B" w:rsidRDefault="00FC77AC" w:rsidP="00811971">
      <w:pPr>
        <w:keepLines/>
        <w:tabs>
          <w:tab w:val="left" w:pos="360"/>
        </w:tabs>
        <w:spacing w:after="80"/>
        <w:ind w:left="360" w:hanging="360"/>
        <w:rPr>
          <w:color w:val="000000"/>
          <w:sz w:val="18"/>
        </w:rPr>
      </w:pPr>
      <w:r w:rsidRPr="009E6ED4">
        <w:rPr>
          <w:bCs/>
          <w:sz w:val="22"/>
          <w:szCs w:val="22"/>
        </w:rPr>
        <w:tab/>
      </w:r>
    </w:p>
    <w:p w14:paraId="2E9F98CC" w14:textId="77777777" w:rsidR="00AA627A" w:rsidRPr="00725A26" w:rsidRDefault="00AA627A">
      <w:pPr>
        <w:keepLines/>
        <w:tabs>
          <w:tab w:val="left" w:pos="360"/>
        </w:tabs>
        <w:spacing w:after="80"/>
        <w:ind w:left="360" w:hanging="360"/>
        <w:rPr>
          <w:rFonts w:ascii="Arial" w:hAnsi="Arial" w:cs="Arial"/>
          <w:b/>
          <w:color w:val="000000"/>
          <w:sz w:val="18"/>
        </w:rPr>
      </w:pPr>
      <w:r w:rsidRPr="00725A26">
        <w:rPr>
          <w:rFonts w:ascii="Arial" w:hAnsi="Arial" w:cs="Arial"/>
          <w:b/>
          <w:color w:val="000000"/>
          <w:sz w:val="18"/>
        </w:rPr>
        <w:t>2.</w:t>
      </w:r>
      <w:r w:rsidRPr="00725A26">
        <w:rPr>
          <w:rFonts w:ascii="Arial" w:hAnsi="Arial" w:cs="Arial"/>
          <w:b/>
          <w:color w:val="000000"/>
          <w:sz w:val="18"/>
        </w:rPr>
        <w:tab/>
        <w:t>H</w:t>
      </w:r>
      <w:r w:rsidRPr="00725A26">
        <w:rPr>
          <w:rFonts w:ascii="Arial" w:hAnsi="Arial" w:cs="Arial"/>
          <w:b/>
          <w:color w:val="000000"/>
          <w:sz w:val="22"/>
        </w:rPr>
        <w:t xml:space="preserve">ow is the information collected and how is the information to be used?  </w:t>
      </w:r>
    </w:p>
    <w:p w14:paraId="3BB59723" w14:textId="77777777" w:rsidR="00AA627A" w:rsidRDefault="00AA627A">
      <w:pPr>
        <w:tabs>
          <w:tab w:val="left" w:pos="360"/>
        </w:tabs>
        <w:rPr>
          <w:color w:val="000000"/>
          <w:sz w:val="18"/>
        </w:rPr>
      </w:pPr>
      <w:r>
        <w:rPr>
          <w:color w:val="000000"/>
          <w:sz w:val="18"/>
        </w:rPr>
        <w:tab/>
      </w:r>
    </w:p>
    <w:p w14:paraId="4073E910" w14:textId="77777777" w:rsidR="00AA627A" w:rsidRPr="009E6ED4" w:rsidRDefault="00AA627A">
      <w:pPr>
        <w:tabs>
          <w:tab w:val="left" w:pos="360"/>
          <w:tab w:val="left" w:pos="720"/>
        </w:tabs>
        <w:ind w:left="360"/>
        <w:rPr>
          <w:sz w:val="22"/>
          <w:szCs w:val="22"/>
        </w:rPr>
      </w:pPr>
      <w:r w:rsidRPr="009E6ED4">
        <w:rPr>
          <w:sz w:val="22"/>
          <w:szCs w:val="22"/>
        </w:rPr>
        <w:t xml:space="preserve">Ginnie Mae’s Mortgage-Backed Securities Guide 5500.3, Revision 1 ("Guide") provides instructions and guidance to participants in the Ginnie Mae Mortgage-Backed Securities programs ("Ginnie Mae I and Ginnie Mae II").  </w:t>
      </w:r>
      <w:r w:rsidR="00DB6E50" w:rsidRPr="009E6ED4">
        <w:rPr>
          <w:sz w:val="22"/>
          <w:szCs w:val="22"/>
        </w:rPr>
        <w:t>Participants are organizations</w:t>
      </w:r>
      <w:r w:rsidR="00451C94" w:rsidRPr="009E6ED4">
        <w:rPr>
          <w:sz w:val="22"/>
          <w:szCs w:val="22"/>
        </w:rPr>
        <w:t xml:space="preserve"> (mortgage companies, banks, etc.) </w:t>
      </w:r>
      <w:r w:rsidR="0099026C">
        <w:rPr>
          <w:sz w:val="22"/>
          <w:szCs w:val="22"/>
        </w:rPr>
        <w:t xml:space="preserve"> that has</w:t>
      </w:r>
      <w:r w:rsidR="00DB6E50" w:rsidRPr="009E6ED4">
        <w:rPr>
          <w:sz w:val="22"/>
          <w:szCs w:val="22"/>
        </w:rPr>
        <w:t xml:space="preserve"> been approved by Ginnie Mae to issue Ginnie Mae securities. </w:t>
      </w:r>
      <w:r w:rsidR="00451C94" w:rsidRPr="009E6ED4">
        <w:rPr>
          <w:sz w:val="22"/>
          <w:szCs w:val="22"/>
        </w:rPr>
        <w:t xml:space="preserve">  </w:t>
      </w:r>
      <w:r w:rsidRPr="009E6ED4">
        <w:rPr>
          <w:sz w:val="22"/>
          <w:szCs w:val="22"/>
        </w:rPr>
        <w:t xml:space="preserve">Participants in the Ginnie Mae I program issue securities backed by single-family or multifamily loans.  Participants in the Ginnie Mae II program issue securities backed by single-family loans.  Ginnie Mae II MBS are modified pass-through mortgage-backed securities on which registered holders receive an aggregate principal and interest payment from a central paying agent on all of their Ginnie Mae II MBS.  The Ginnie Mae II MBS also allow small issuers who do not meet the minimum dollar pool requirements of the Ginnie Mae I MBS to participate in the secondary mortgage market.  In addition, the Ginnie Mae II MBS permit the securitization of </w:t>
      </w:r>
      <w:r w:rsidR="00A314B2" w:rsidRPr="009E6ED4">
        <w:rPr>
          <w:sz w:val="22"/>
          <w:szCs w:val="22"/>
        </w:rPr>
        <w:t>A</w:t>
      </w:r>
      <w:r w:rsidRPr="009E6ED4">
        <w:rPr>
          <w:sz w:val="22"/>
          <w:szCs w:val="22"/>
        </w:rPr>
        <w:t xml:space="preserve">djustable </w:t>
      </w:r>
      <w:r w:rsidR="00A314B2" w:rsidRPr="009E6ED4">
        <w:rPr>
          <w:sz w:val="22"/>
          <w:szCs w:val="22"/>
        </w:rPr>
        <w:t>R</w:t>
      </w:r>
      <w:r w:rsidRPr="009E6ED4">
        <w:rPr>
          <w:sz w:val="22"/>
          <w:szCs w:val="22"/>
        </w:rPr>
        <w:t xml:space="preserve">ate </w:t>
      </w:r>
      <w:r w:rsidR="00A314B2" w:rsidRPr="009E6ED4">
        <w:rPr>
          <w:sz w:val="22"/>
          <w:szCs w:val="22"/>
        </w:rPr>
        <w:t>M</w:t>
      </w:r>
      <w:r w:rsidRPr="009E6ED4">
        <w:rPr>
          <w:sz w:val="22"/>
          <w:szCs w:val="22"/>
        </w:rPr>
        <w:t>ortgages ("ARMs").  Any requirement in a document created under a Ginnie Mae MBS program is effective as of the date of the Guide, including amendments.  Included in the Guide are Appendices.  The Appendices include the forms or documents needed to comply with program requirements.  Below are the required forms or data collected to</w:t>
      </w:r>
      <w:r w:rsidR="00E4024A">
        <w:rPr>
          <w:sz w:val="22"/>
          <w:szCs w:val="22"/>
        </w:rPr>
        <w:t xml:space="preserve"> participate in the MBS program.</w:t>
      </w:r>
    </w:p>
    <w:p w14:paraId="39C0F25D" w14:textId="77777777" w:rsidR="00AA627A" w:rsidRPr="009E6ED4" w:rsidRDefault="00AA627A">
      <w:pPr>
        <w:tabs>
          <w:tab w:val="left" w:pos="360"/>
          <w:tab w:val="left" w:pos="720"/>
        </w:tabs>
        <w:ind w:left="360"/>
        <w:rPr>
          <w:sz w:val="22"/>
          <w:szCs w:val="22"/>
        </w:rPr>
      </w:pPr>
    </w:p>
    <w:p w14:paraId="3A1EB4AD" w14:textId="77777777" w:rsidR="00AA627A" w:rsidRDefault="00AA627A">
      <w:pPr>
        <w:pStyle w:val="BodyTextIndent2"/>
        <w:tabs>
          <w:tab w:val="clear" w:pos="360"/>
          <w:tab w:val="clear" w:pos="720"/>
        </w:tabs>
        <w:rPr>
          <w:b w:val="0"/>
          <w:bCs/>
          <w:noProof w:val="0"/>
          <w:sz w:val="22"/>
          <w:szCs w:val="22"/>
        </w:rPr>
      </w:pPr>
      <w:r w:rsidRPr="009E6ED4">
        <w:rPr>
          <w:b w:val="0"/>
          <w:bCs/>
          <w:noProof w:val="0"/>
          <w:sz w:val="22"/>
          <w:szCs w:val="22"/>
        </w:rPr>
        <w:t xml:space="preserve">The following describes how, by whom, how frequently, and for what purpose the information is to be used.  The forms are available in a PDF fillable format unless stated otherwise on our website at </w:t>
      </w:r>
      <w:hyperlink r:id="rId12" w:history="1">
        <w:r w:rsidR="009E6ED4" w:rsidRPr="007D4A47">
          <w:rPr>
            <w:rStyle w:val="Hyperlink"/>
            <w:b w:val="0"/>
            <w:bCs/>
            <w:noProof w:val="0"/>
            <w:sz w:val="22"/>
            <w:szCs w:val="22"/>
          </w:rPr>
          <w:t>www.ginniemae.gov</w:t>
        </w:r>
      </w:hyperlink>
      <w:r w:rsidRPr="009E6ED4">
        <w:rPr>
          <w:b w:val="0"/>
          <w:bCs/>
          <w:noProof w:val="0"/>
          <w:sz w:val="22"/>
          <w:szCs w:val="22"/>
        </w:rPr>
        <w:t>.</w:t>
      </w:r>
    </w:p>
    <w:p w14:paraId="470610FC" w14:textId="77777777" w:rsidR="00494171" w:rsidRDefault="00494171">
      <w:pPr>
        <w:pStyle w:val="BodyTextIndent2"/>
        <w:tabs>
          <w:tab w:val="clear" w:pos="360"/>
          <w:tab w:val="clear" w:pos="720"/>
        </w:tabs>
        <w:rPr>
          <w:b w:val="0"/>
          <w:bCs/>
          <w:noProof w:val="0"/>
          <w:sz w:val="22"/>
          <w:szCs w:val="22"/>
        </w:rPr>
      </w:pPr>
    </w:p>
    <w:p w14:paraId="4EC67FF8" w14:textId="77777777" w:rsidR="00AA627A" w:rsidRPr="005D180B" w:rsidRDefault="00AA627A" w:rsidP="005D180B">
      <w:pPr>
        <w:pBdr>
          <w:bottom w:val="single" w:sz="4" w:space="1" w:color="auto"/>
        </w:pBdr>
        <w:tabs>
          <w:tab w:val="left" w:pos="360"/>
          <w:tab w:val="left" w:pos="720"/>
        </w:tabs>
        <w:ind w:left="360"/>
        <w:jc w:val="center"/>
        <w:rPr>
          <w:rFonts w:ascii="Arial" w:hAnsi="Arial" w:cs="Arial"/>
          <w:b/>
          <w:noProof/>
          <w:sz w:val="24"/>
        </w:rPr>
      </w:pPr>
      <w:r w:rsidRPr="005D180B">
        <w:rPr>
          <w:rFonts w:ascii="Arial" w:hAnsi="Arial" w:cs="Arial"/>
          <w:b/>
          <w:noProof/>
          <w:sz w:val="24"/>
        </w:rPr>
        <w:t xml:space="preserve">Forms </w:t>
      </w:r>
      <w:r w:rsidR="00CA4779" w:rsidRPr="005D180B">
        <w:rPr>
          <w:rFonts w:ascii="Arial" w:hAnsi="Arial" w:cs="Arial"/>
          <w:b/>
          <w:noProof/>
          <w:sz w:val="24"/>
        </w:rPr>
        <w:t>R</w:t>
      </w:r>
      <w:r w:rsidRPr="005D180B">
        <w:rPr>
          <w:rFonts w:ascii="Arial" w:hAnsi="Arial" w:cs="Arial"/>
          <w:b/>
          <w:noProof/>
          <w:sz w:val="24"/>
        </w:rPr>
        <w:t xml:space="preserve">equired for Approval to </w:t>
      </w:r>
      <w:r w:rsidR="00CA4779" w:rsidRPr="005D180B">
        <w:rPr>
          <w:rFonts w:ascii="Arial" w:hAnsi="Arial" w:cs="Arial"/>
          <w:b/>
          <w:noProof/>
          <w:sz w:val="24"/>
        </w:rPr>
        <w:t>B</w:t>
      </w:r>
      <w:r w:rsidRPr="005D180B">
        <w:rPr>
          <w:rFonts w:ascii="Arial" w:hAnsi="Arial" w:cs="Arial"/>
          <w:b/>
          <w:noProof/>
          <w:sz w:val="24"/>
        </w:rPr>
        <w:t xml:space="preserve">ecome a Ginnie Mae </w:t>
      </w:r>
      <w:r w:rsidR="00CA4779" w:rsidRPr="005D180B">
        <w:rPr>
          <w:rFonts w:ascii="Arial" w:hAnsi="Arial" w:cs="Arial"/>
          <w:b/>
          <w:noProof/>
          <w:sz w:val="24"/>
        </w:rPr>
        <w:t>I</w:t>
      </w:r>
      <w:r w:rsidR="009F37CB">
        <w:rPr>
          <w:rFonts w:ascii="Arial" w:hAnsi="Arial" w:cs="Arial"/>
          <w:b/>
          <w:noProof/>
          <w:sz w:val="24"/>
        </w:rPr>
        <w:t>ssuer</w:t>
      </w:r>
    </w:p>
    <w:p w14:paraId="30282091" w14:textId="77777777" w:rsidR="00AA627A" w:rsidRPr="00814A0B" w:rsidRDefault="00AA627A">
      <w:pPr>
        <w:tabs>
          <w:tab w:val="left" w:pos="360"/>
          <w:tab w:val="left" w:pos="720"/>
        </w:tabs>
        <w:ind w:left="360"/>
        <w:rPr>
          <w:rFonts w:ascii="Arial" w:hAnsi="Arial" w:cs="Arial"/>
          <w:b/>
          <w:noProof/>
        </w:rPr>
      </w:pPr>
    </w:p>
    <w:p w14:paraId="0E761B7E" w14:textId="77777777" w:rsidR="00AA627A" w:rsidRPr="00814A0B" w:rsidRDefault="00AA627A" w:rsidP="009F37CB">
      <w:pPr>
        <w:numPr>
          <w:ilvl w:val="0"/>
          <w:numId w:val="22"/>
        </w:numPr>
        <w:tabs>
          <w:tab w:val="left" w:pos="360"/>
        </w:tabs>
        <w:rPr>
          <w:rFonts w:ascii="Arial" w:hAnsi="Arial" w:cs="Arial"/>
          <w:b/>
          <w:noProof/>
          <w:u w:val="single"/>
        </w:rPr>
      </w:pPr>
      <w:r w:rsidRPr="005D180B">
        <w:rPr>
          <w:rFonts w:ascii="Arial" w:hAnsi="Arial" w:cs="Arial"/>
          <w:b/>
          <w:noProof/>
        </w:rPr>
        <w:t>Form HUD 11701/Appendix I-1/OMB No. 2502-0005 – Application for Approval Ginnie Mae Mortgage-Backed Securities Issuer</w:t>
      </w:r>
    </w:p>
    <w:p w14:paraId="640968D1" w14:textId="77777777" w:rsidR="00AA627A" w:rsidRPr="00814A0B" w:rsidRDefault="00AA627A">
      <w:pPr>
        <w:tabs>
          <w:tab w:val="left" w:pos="360"/>
          <w:tab w:val="left" w:pos="720"/>
        </w:tabs>
        <w:ind w:left="360"/>
        <w:rPr>
          <w:rFonts w:ascii="Arial" w:hAnsi="Arial" w:cs="Arial"/>
          <w:b/>
          <w:noProof/>
          <w:u w:val="single"/>
        </w:rPr>
      </w:pPr>
    </w:p>
    <w:p w14:paraId="58071508" w14:textId="77777777" w:rsidR="006B57F9" w:rsidRPr="00CB7AB5" w:rsidRDefault="00AA627A" w:rsidP="005D180B">
      <w:pPr>
        <w:tabs>
          <w:tab w:val="left" w:pos="360"/>
          <w:tab w:val="left" w:pos="720"/>
        </w:tabs>
        <w:ind w:left="720"/>
        <w:rPr>
          <w:noProof/>
          <w:sz w:val="22"/>
          <w:szCs w:val="22"/>
        </w:rPr>
      </w:pPr>
      <w:r w:rsidRPr="00CB7AB5">
        <w:rPr>
          <w:noProof/>
          <w:sz w:val="22"/>
          <w:szCs w:val="22"/>
        </w:rPr>
        <w:t>Th</w:t>
      </w:r>
      <w:r w:rsidR="007E0501" w:rsidRPr="00CB7AB5">
        <w:rPr>
          <w:noProof/>
          <w:sz w:val="22"/>
          <w:szCs w:val="22"/>
        </w:rPr>
        <w:t>is</w:t>
      </w:r>
      <w:r w:rsidRPr="00CB7AB5">
        <w:rPr>
          <w:noProof/>
          <w:sz w:val="22"/>
          <w:szCs w:val="22"/>
        </w:rPr>
        <w:t xml:space="preserve"> form is used </w:t>
      </w:r>
      <w:r w:rsidR="005D180B" w:rsidRPr="00CB7AB5">
        <w:rPr>
          <w:noProof/>
          <w:sz w:val="22"/>
          <w:szCs w:val="22"/>
        </w:rPr>
        <w:t xml:space="preserve">by interested parties that want to apply for approval in order to participate in the Ginnie Mae </w:t>
      </w:r>
      <w:r w:rsidRPr="00CB7AB5">
        <w:rPr>
          <w:noProof/>
          <w:sz w:val="22"/>
          <w:szCs w:val="22"/>
        </w:rPr>
        <w:t xml:space="preserve">programs.  </w:t>
      </w:r>
    </w:p>
    <w:p w14:paraId="22BEBE75" w14:textId="77777777" w:rsidR="009E4C3D" w:rsidRPr="00CB7AB5" w:rsidRDefault="009E4C3D" w:rsidP="005D180B">
      <w:pPr>
        <w:tabs>
          <w:tab w:val="left" w:pos="360"/>
          <w:tab w:val="left" w:pos="720"/>
        </w:tabs>
        <w:ind w:left="720"/>
        <w:rPr>
          <w:noProof/>
          <w:sz w:val="22"/>
          <w:szCs w:val="22"/>
        </w:rPr>
      </w:pPr>
    </w:p>
    <w:p w14:paraId="0A9D4D39" w14:textId="77777777" w:rsidR="005D180B" w:rsidRPr="00CB7AB5" w:rsidRDefault="00AA627A" w:rsidP="005D180B">
      <w:pPr>
        <w:tabs>
          <w:tab w:val="left" w:pos="360"/>
          <w:tab w:val="left" w:pos="720"/>
        </w:tabs>
        <w:ind w:left="720"/>
        <w:rPr>
          <w:noProof/>
          <w:sz w:val="22"/>
          <w:szCs w:val="22"/>
        </w:rPr>
      </w:pPr>
      <w:r w:rsidRPr="00CB7AB5">
        <w:rPr>
          <w:noProof/>
          <w:sz w:val="22"/>
          <w:szCs w:val="22"/>
        </w:rPr>
        <w:t>The information on the form is required by 24 CFR Part 202 and Section 306(g)</w:t>
      </w:r>
      <w:r w:rsidR="005D180B" w:rsidRPr="00CB7AB5">
        <w:rPr>
          <w:noProof/>
          <w:sz w:val="22"/>
          <w:szCs w:val="22"/>
        </w:rPr>
        <w:t xml:space="preserve"> </w:t>
      </w:r>
      <w:r w:rsidRPr="00CB7AB5">
        <w:rPr>
          <w:noProof/>
          <w:sz w:val="22"/>
          <w:szCs w:val="22"/>
        </w:rPr>
        <w:t>of the National Housing Act or by HUD Handbooks 4060.1 and 5500.3.</w:t>
      </w:r>
      <w:r w:rsidR="00532808" w:rsidRPr="00CB7AB5">
        <w:rPr>
          <w:noProof/>
          <w:sz w:val="22"/>
          <w:szCs w:val="22"/>
        </w:rPr>
        <w:t xml:space="preserve">  </w:t>
      </w:r>
    </w:p>
    <w:p w14:paraId="4FA83875" w14:textId="77777777" w:rsidR="005D180B" w:rsidRPr="00CB7AB5" w:rsidRDefault="005D180B" w:rsidP="005D180B">
      <w:pPr>
        <w:tabs>
          <w:tab w:val="left" w:pos="360"/>
          <w:tab w:val="left" w:pos="720"/>
        </w:tabs>
        <w:ind w:left="720"/>
        <w:rPr>
          <w:noProof/>
          <w:sz w:val="22"/>
          <w:szCs w:val="22"/>
        </w:rPr>
      </w:pPr>
    </w:p>
    <w:p w14:paraId="038AB58D" w14:textId="77777777" w:rsidR="00AA627A" w:rsidRPr="00CB7AB5" w:rsidRDefault="00AA627A" w:rsidP="005D180B">
      <w:pPr>
        <w:tabs>
          <w:tab w:val="left" w:pos="360"/>
          <w:tab w:val="left" w:pos="720"/>
        </w:tabs>
        <w:ind w:left="720"/>
        <w:rPr>
          <w:noProof/>
          <w:sz w:val="22"/>
          <w:szCs w:val="22"/>
        </w:rPr>
      </w:pPr>
      <w:r w:rsidRPr="00CB7AB5">
        <w:rPr>
          <w:noProof/>
          <w:sz w:val="22"/>
          <w:szCs w:val="22"/>
        </w:rPr>
        <w:lastRenderedPageBreak/>
        <w:t>Th</w:t>
      </w:r>
      <w:r w:rsidR="007E0501" w:rsidRPr="00CB7AB5">
        <w:rPr>
          <w:noProof/>
          <w:sz w:val="22"/>
          <w:szCs w:val="22"/>
        </w:rPr>
        <w:t>is</w:t>
      </w:r>
      <w:r w:rsidRPr="00CB7AB5">
        <w:rPr>
          <w:noProof/>
          <w:sz w:val="22"/>
          <w:szCs w:val="22"/>
        </w:rPr>
        <w:t xml:space="preserve"> form takes approximately </w:t>
      </w:r>
      <w:r w:rsidR="00476AE3" w:rsidRPr="00CB7AB5">
        <w:rPr>
          <w:noProof/>
          <w:sz w:val="22"/>
          <w:szCs w:val="22"/>
        </w:rPr>
        <w:t>3 hours</w:t>
      </w:r>
      <w:r w:rsidRPr="00CB7AB5">
        <w:rPr>
          <w:noProof/>
          <w:sz w:val="22"/>
          <w:szCs w:val="22"/>
        </w:rPr>
        <w:t xml:space="preserve"> for the company to review the instructions and complete.  </w:t>
      </w:r>
      <w:r w:rsidR="0081125F" w:rsidRPr="00CB7AB5">
        <w:rPr>
          <w:noProof/>
          <w:sz w:val="22"/>
          <w:szCs w:val="22"/>
        </w:rPr>
        <w:t xml:space="preserve">Ginnie Mae </w:t>
      </w:r>
      <w:r w:rsidR="00E110D5" w:rsidRPr="00CB7AB5">
        <w:rPr>
          <w:noProof/>
          <w:sz w:val="22"/>
          <w:szCs w:val="22"/>
        </w:rPr>
        <w:t>has</w:t>
      </w:r>
      <w:r w:rsidR="0081125F" w:rsidRPr="00CB7AB5">
        <w:rPr>
          <w:noProof/>
          <w:sz w:val="22"/>
          <w:szCs w:val="22"/>
        </w:rPr>
        <w:t xml:space="preserve"> increase</w:t>
      </w:r>
      <w:r w:rsidR="00476AE3" w:rsidRPr="00CB7AB5">
        <w:rPr>
          <w:noProof/>
          <w:sz w:val="22"/>
          <w:szCs w:val="22"/>
        </w:rPr>
        <w:t>d</w:t>
      </w:r>
      <w:r w:rsidR="0081125F" w:rsidRPr="00CB7AB5">
        <w:rPr>
          <w:noProof/>
          <w:sz w:val="22"/>
          <w:szCs w:val="22"/>
        </w:rPr>
        <w:t xml:space="preserve"> this burden from 1 hour to</w:t>
      </w:r>
      <w:r w:rsidR="00E110D5" w:rsidRPr="00CB7AB5">
        <w:rPr>
          <w:noProof/>
          <w:sz w:val="22"/>
          <w:szCs w:val="22"/>
        </w:rPr>
        <w:t xml:space="preserve"> more realistic time of </w:t>
      </w:r>
      <w:r w:rsidR="00CE59C4" w:rsidRPr="00CB7AB5">
        <w:rPr>
          <w:noProof/>
          <w:sz w:val="22"/>
          <w:szCs w:val="22"/>
        </w:rPr>
        <w:t>3</w:t>
      </w:r>
      <w:r w:rsidR="0081125F" w:rsidRPr="00CB7AB5">
        <w:rPr>
          <w:noProof/>
          <w:sz w:val="22"/>
          <w:szCs w:val="22"/>
        </w:rPr>
        <w:t xml:space="preserve"> hours</w:t>
      </w:r>
      <w:r w:rsidR="00E110D5" w:rsidRPr="00CB7AB5">
        <w:rPr>
          <w:noProof/>
          <w:sz w:val="22"/>
          <w:szCs w:val="22"/>
        </w:rPr>
        <w:t>.</w:t>
      </w:r>
    </w:p>
    <w:p w14:paraId="7B639BEA" w14:textId="77777777" w:rsidR="000748EB" w:rsidRPr="005D180B" w:rsidRDefault="000748EB" w:rsidP="005D180B">
      <w:pPr>
        <w:tabs>
          <w:tab w:val="left" w:pos="360"/>
          <w:tab w:val="left" w:pos="720"/>
        </w:tabs>
        <w:ind w:left="720"/>
        <w:rPr>
          <w:rFonts w:ascii="Arial" w:hAnsi="Arial" w:cs="Arial"/>
          <w:noProof/>
        </w:rPr>
      </w:pPr>
    </w:p>
    <w:p w14:paraId="37615AF7" w14:textId="77777777" w:rsidR="00AA627A" w:rsidRPr="00814A0B" w:rsidRDefault="00AA627A" w:rsidP="009F37CB">
      <w:pPr>
        <w:numPr>
          <w:ilvl w:val="0"/>
          <w:numId w:val="22"/>
        </w:numPr>
        <w:tabs>
          <w:tab w:val="left" w:pos="360"/>
        </w:tabs>
        <w:rPr>
          <w:rFonts w:ascii="Arial" w:hAnsi="Arial" w:cs="Arial"/>
          <w:b/>
          <w:noProof/>
        </w:rPr>
      </w:pPr>
      <w:r w:rsidRPr="005D180B">
        <w:rPr>
          <w:rFonts w:ascii="Arial" w:hAnsi="Arial" w:cs="Arial"/>
          <w:b/>
          <w:noProof/>
        </w:rPr>
        <w:t>Form HUD 11702/Appendix I-2/ Resolution of Board of Directors and Certificate of Authorized Signatures</w:t>
      </w:r>
      <w:r w:rsidRPr="00814A0B">
        <w:rPr>
          <w:rFonts w:ascii="Arial" w:hAnsi="Arial" w:cs="Arial"/>
          <w:b/>
          <w:noProof/>
        </w:rPr>
        <w:t xml:space="preserve"> </w:t>
      </w:r>
    </w:p>
    <w:p w14:paraId="2CEB926B" w14:textId="77777777" w:rsidR="00AA627A" w:rsidRPr="00814A0B" w:rsidRDefault="00AA627A">
      <w:pPr>
        <w:tabs>
          <w:tab w:val="left" w:pos="360"/>
          <w:tab w:val="left" w:pos="720"/>
        </w:tabs>
        <w:ind w:left="360"/>
        <w:rPr>
          <w:rFonts w:ascii="Arial" w:hAnsi="Arial" w:cs="Arial"/>
          <w:b/>
          <w:noProof/>
        </w:rPr>
      </w:pPr>
    </w:p>
    <w:p w14:paraId="645CE0CB" w14:textId="77777777" w:rsidR="00AA627A" w:rsidRPr="00CB7AB5" w:rsidRDefault="00AA627A" w:rsidP="005D180B">
      <w:pPr>
        <w:ind w:left="720"/>
        <w:rPr>
          <w:noProof/>
          <w:sz w:val="22"/>
          <w:szCs w:val="22"/>
        </w:rPr>
      </w:pPr>
      <w:r w:rsidRPr="00CB7AB5">
        <w:rPr>
          <w:noProof/>
          <w:sz w:val="22"/>
          <w:szCs w:val="22"/>
        </w:rPr>
        <w:t>Th</w:t>
      </w:r>
      <w:r w:rsidR="007E0501" w:rsidRPr="00CB7AB5">
        <w:rPr>
          <w:noProof/>
          <w:sz w:val="22"/>
          <w:szCs w:val="22"/>
        </w:rPr>
        <w:t>is</w:t>
      </w:r>
      <w:r w:rsidRPr="00CB7AB5">
        <w:rPr>
          <w:noProof/>
          <w:sz w:val="22"/>
          <w:szCs w:val="22"/>
        </w:rPr>
        <w:t xml:space="preserve"> form is completed by issuers to provide Ginnie Mae with a Resolution of the Board of Directors of the issuer's organization, authorizing the issuance of mortgage-backed securities and a listing of the names and</w:t>
      </w:r>
      <w:r w:rsidR="005D180B" w:rsidRPr="00CB7AB5">
        <w:rPr>
          <w:noProof/>
          <w:sz w:val="22"/>
          <w:szCs w:val="22"/>
        </w:rPr>
        <w:t xml:space="preserve"> </w:t>
      </w:r>
      <w:r w:rsidRPr="00CB7AB5">
        <w:rPr>
          <w:noProof/>
          <w:sz w:val="22"/>
          <w:szCs w:val="22"/>
        </w:rPr>
        <w:t xml:space="preserve">genuine signatures of the individuals authorized to execute the necessary documents in connection with mortgage-backed securities at the time of application into our program(s).   The form is </w:t>
      </w:r>
      <w:r w:rsidR="005D180B" w:rsidRPr="00CB7AB5">
        <w:rPr>
          <w:noProof/>
          <w:sz w:val="22"/>
          <w:szCs w:val="22"/>
        </w:rPr>
        <w:t>reviewed</w:t>
      </w:r>
      <w:r w:rsidRPr="00CB7AB5">
        <w:rPr>
          <w:noProof/>
          <w:sz w:val="22"/>
          <w:szCs w:val="22"/>
        </w:rPr>
        <w:t xml:space="preserve"> by Ginnie Mae's </w:t>
      </w:r>
      <w:r w:rsidR="00D659EA" w:rsidRPr="00CB7AB5">
        <w:rPr>
          <w:noProof/>
          <w:sz w:val="22"/>
          <w:szCs w:val="22"/>
        </w:rPr>
        <w:t>P</w:t>
      </w:r>
      <w:r w:rsidRPr="00CB7AB5">
        <w:rPr>
          <w:noProof/>
          <w:sz w:val="22"/>
          <w:szCs w:val="22"/>
        </w:rPr>
        <w:t xml:space="preserve">ool </w:t>
      </w:r>
      <w:r w:rsidR="00D659EA" w:rsidRPr="00CB7AB5">
        <w:rPr>
          <w:noProof/>
          <w:sz w:val="22"/>
          <w:szCs w:val="22"/>
        </w:rPr>
        <w:t>P</w:t>
      </w:r>
      <w:r w:rsidRPr="00CB7AB5">
        <w:rPr>
          <w:noProof/>
          <w:sz w:val="22"/>
          <w:szCs w:val="22"/>
        </w:rPr>
        <w:t xml:space="preserve">rocessing </w:t>
      </w:r>
      <w:r w:rsidR="00D659EA" w:rsidRPr="00CB7AB5">
        <w:rPr>
          <w:noProof/>
          <w:sz w:val="22"/>
          <w:szCs w:val="22"/>
        </w:rPr>
        <w:t>A</w:t>
      </w:r>
      <w:r w:rsidRPr="00CB7AB5">
        <w:rPr>
          <w:noProof/>
          <w:sz w:val="22"/>
          <w:szCs w:val="22"/>
        </w:rPr>
        <w:t>gent</w:t>
      </w:r>
      <w:r w:rsidR="00D659EA" w:rsidRPr="00CB7AB5">
        <w:rPr>
          <w:noProof/>
          <w:sz w:val="22"/>
          <w:szCs w:val="22"/>
        </w:rPr>
        <w:t xml:space="preserve"> (PPA)</w:t>
      </w:r>
      <w:r w:rsidRPr="00CB7AB5">
        <w:rPr>
          <w:noProof/>
          <w:sz w:val="22"/>
          <w:szCs w:val="22"/>
        </w:rPr>
        <w:t xml:space="preserve"> to </w:t>
      </w:r>
      <w:r w:rsidR="005D180B" w:rsidRPr="00CB7AB5">
        <w:rPr>
          <w:noProof/>
          <w:sz w:val="22"/>
          <w:szCs w:val="22"/>
        </w:rPr>
        <w:t xml:space="preserve">confirm that </w:t>
      </w:r>
      <w:r w:rsidRPr="00CB7AB5">
        <w:rPr>
          <w:noProof/>
          <w:sz w:val="22"/>
          <w:szCs w:val="22"/>
        </w:rPr>
        <w:t>individuals who signed pool document submissions</w:t>
      </w:r>
      <w:r w:rsidR="005D180B" w:rsidRPr="00CB7AB5">
        <w:rPr>
          <w:noProof/>
          <w:sz w:val="22"/>
          <w:szCs w:val="22"/>
        </w:rPr>
        <w:t xml:space="preserve"> are authorized to do so</w:t>
      </w:r>
      <w:r w:rsidRPr="00CB7AB5">
        <w:rPr>
          <w:noProof/>
          <w:sz w:val="22"/>
          <w:szCs w:val="22"/>
        </w:rPr>
        <w:t>.</w:t>
      </w:r>
    </w:p>
    <w:p w14:paraId="5A28C85A" w14:textId="77777777" w:rsidR="00AA627A" w:rsidRPr="00CB7AB5" w:rsidRDefault="00AA627A" w:rsidP="005D180B">
      <w:pPr>
        <w:tabs>
          <w:tab w:val="left" w:pos="360"/>
          <w:tab w:val="left" w:pos="720"/>
        </w:tabs>
        <w:ind w:left="360"/>
        <w:rPr>
          <w:noProof/>
          <w:sz w:val="22"/>
          <w:szCs w:val="22"/>
        </w:rPr>
      </w:pPr>
    </w:p>
    <w:p w14:paraId="699B0128" w14:textId="77777777" w:rsidR="005D180B" w:rsidRPr="00CB7AB5" w:rsidRDefault="00AA627A" w:rsidP="005D180B">
      <w:pPr>
        <w:tabs>
          <w:tab w:val="left" w:pos="360"/>
          <w:tab w:val="left" w:pos="720"/>
        </w:tabs>
        <w:ind w:left="720"/>
        <w:rPr>
          <w:noProof/>
          <w:sz w:val="22"/>
          <w:szCs w:val="22"/>
          <w:u w:val="single"/>
        </w:rPr>
      </w:pPr>
      <w:r w:rsidRPr="00CB7AB5">
        <w:rPr>
          <w:noProof/>
          <w:sz w:val="22"/>
          <w:szCs w:val="22"/>
        </w:rPr>
        <w:t xml:space="preserve">Ginnie Mae requires </w:t>
      </w:r>
      <w:r w:rsidR="008E6A6D" w:rsidRPr="00CB7AB5">
        <w:rPr>
          <w:noProof/>
          <w:sz w:val="22"/>
          <w:szCs w:val="22"/>
        </w:rPr>
        <w:t xml:space="preserve">this form to be updated </w:t>
      </w:r>
      <w:r w:rsidR="009F37CB" w:rsidRPr="00CB7AB5">
        <w:rPr>
          <w:noProof/>
          <w:sz w:val="22"/>
          <w:szCs w:val="22"/>
        </w:rPr>
        <w:t>annual</w:t>
      </w:r>
      <w:r w:rsidR="008E6A6D" w:rsidRPr="00CB7AB5">
        <w:rPr>
          <w:noProof/>
          <w:sz w:val="22"/>
          <w:szCs w:val="22"/>
        </w:rPr>
        <w:t xml:space="preserve">ly. </w:t>
      </w:r>
      <w:r w:rsidR="009F37CB" w:rsidRPr="00CB7AB5">
        <w:rPr>
          <w:noProof/>
          <w:sz w:val="22"/>
          <w:szCs w:val="22"/>
        </w:rPr>
        <w:t xml:space="preserve"> </w:t>
      </w:r>
      <w:r w:rsidR="008E6A6D" w:rsidRPr="00CB7AB5">
        <w:rPr>
          <w:noProof/>
          <w:sz w:val="22"/>
          <w:szCs w:val="22"/>
        </w:rPr>
        <w:t xml:space="preserve">Also, </w:t>
      </w:r>
      <w:r w:rsidR="009F37CB" w:rsidRPr="00CB7AB5">
        <w:rPr>
          <w:noProof/>
          <w:sz w:val="22"/>
          <w:szCs w:val="22"/>
        </w:rPr>
        <w:t xml:space="preserve">updates </w:t>
      </w:r>
      <w:r w:rsidR="008E6A6D" w:rsidRPr="00CB7AB5">
        <w:rPr>
          <w:noProof/>
          <w:sz w:val="22"/>
          <w:szCs w:val="22"/>
        </w:rPr>
        <w:t xml:space="preserve">are required </w:t>
      </w:r>
      <w:r w:rsidR="009F37CB" w:rsidRPr="00CB7AB5">
        <w:rPr>
          <w:noProof/>
          <w:sz w:val="22"/>
          <w:szCs w:val="22"/>
        </w:rPr>
        <w:t xml:space="preserve">when </w:t>
      </w:r>
      <w:r w:rsidRPr="00CB7AB5">
        <w:rPr>
          <w:noProof/>
          <w:sz w:val="22"/>
          <w:szCs w:val="22"/>
        </w:rPr>
        <w:t xml:space="preserve">there is a change in the authorized signers of the issuer's company or a change in the issuer’s name.  </w:t>
      </w:r>
      <w:r w:rsidR="005D180B" w:rsidRPr="00CB7AB5">
        <w:rPr>
          <w:noProof/>
          <w:sz w:val="22"/>
          <w:szCs w:val="22"/>
        </w:rPr>
        <w:t>Th</w:t>
      </w:r>
      <w:r w:rsidR="008E6A6D" w:rsidRPr="00CB7AB5">
        <w:rPr>
          <w:noProof/>
          <w:sz w:val="22"/>
          <w:szCs w:val="22"/>
        </w:rPr>
        <w:t>is</w:t>
      </w:r>
      <w:r w:rsidR="005D180B" w:rsidRPr="00CB7AB5">
        <w:rPr>
          <w:noProof/>
          <w:sz w:val="22"/>
          <w:szCs w:val="22"/>
        </w:rPr>
        <w:t xml:space="preserve"> information is required by Section 306(g) of the National Housing Act or by Ginnie Mae Handbook 5500.3, Rev. 1.</w:t>
      </w:r>
    </w:p>
    <w:p w14:paraId="7A883AE9" w14:textId="77777777" w:rsidR="00AA627A" w:rsidRPr="00CB7AB5" w:rsidRDefault="00AA627A" w:rsidP="005D180B">
      <w:pPr>
        <w:tabs>
          <w:tab w:val="left" w:pos="360"/>
          <w:tab w:val="left" w:pos="720"/>
        </w:tabs>
        <w:ind w:left="-720"/>
        <w:rPr>
          <w:noProof/>
          <w:sz w:val="22"/>
          <w:szCs w:val="22"/>
        </w:rPr>
      </w:pPr>
    </w:p>
    <w:p w14:paraId="5749059D" w14:textId="77777777" w:rsidR="005D180B" w:rsidRPr="00CB7AB5" w:rsidRDefault="005D180B" w:rsidP="005D180B">
      <w:pPr>
        <w:tabs>
          <w:tab w:val="left" w:pos="360"/>
          <w:tab w:val="left" w:pos="720"/>
        </w:tabs>
        <w:ind w:left="720"/>
        <w:rPr>
          <w:noProof/>
          <w:sz w:val="22"/>
          <w:szCs w:val="22"/>
        </w:rPr>
      </w:pPr>
      <w:r w:rsidRPr="00CB7AB5">
        <w:rPr>
          <w:noProof/>
          <w:sz w:val="22"/>
          <w:szCs w:val="22"/>
        </w:rPr>
        <w:t>Th</w:t>
      </w:r>
      <w:r w:rsidR="007E0501" w:rsidRPr="00CB7AB5">
        <w:rPr>
          <w:noProof/>
          <w:sz w:val="22"/>
          <w:szCs w:val="22"/>
        </w:rPr>
        <w:t>is</w:t>
      </w:r>
      <w:r w:rsidRPr="00CB7AB5">
        <w:rPr>
          <w:noProof/>
          <w:sz w:val="22"/>
          <w:szCs w:val="22"/>
        </w:rPr>
        <w:t xml:space="preserve"> form takes approximately 5 minutes to review instructions and complete.    </w:t>
      </w:r>
    </w:p>
    <w:p w14:paraId="27693360" w14:textId="77777777" w:rsidR="000319F1" w:rsidRPr="00CB7AB5" w:rsidRDefault="000319F1" w:rsidP="005D180B">
      <w:pPr>
        <w:tabs>
          <w:tab w:val="left" w:pos="360"/>
          <w:tab w:val="left" w:pos="720"/>
        </w:tabs>
        <w:ind w:left="720"/>
        <w:rPr>
          <w:noProof/>
          <w:sz w:val="22"/>
          <w:szCs w:val="22"/>
        </w:rPr>
      </w:pPr>
    </w:p>
    <w:p w14:paraId="09E4AD77" w14:textId="77777777" w:rsidR="000319F1" w:rsidRDefault="00B90064" w:rsidP="009B1121">
      <w:pPr>
        <w:ind w:firstLine="720"/>
        <w:rPr>
          <w:rFonts w:ascii="Arial" w:hAnsi="Arial" w:cs="Arial"/>
          <w:noProof/>
        </w:rPr>
      </w:pPr>
      <w:r w:rsidRPr="00CB7AB5">
        <w:rPr>
          <w:noProof/>
          <w:sz w:val="22"/>
          <w:szCs w:val="22"/>
        </w:rPr>
        <w:t>This form has be automated and document reserved for reference purposes only, not valid for submission.</w:t>
      </w:r>
    </w:p>
    <w:p w14:paraId="24DF5B90" w14:textId="77777777" w:rsidR="00AA627A" w:rsidRPr="00814A0B" w:rsidRDefault="00AA627A" w:rsidP="009B1121">
      <w:pPr>
        <w:ind w:firstLine="720"/>
        <w:rPr>
          <w:rFonts w:ascii="Arial" w:hAnsi="Arial" w:cs="Arial"/>
          <w:b/>
        </w:rPr>
      </w:pPr>
    </w:p>
    <w:p w14:paraId="27C87908" w14:textId="77777777" w:rsidR="00AA627A" w:rsidRPr="009F37CB" w:rsidRDefault="00AA627A" w:rsidP="009F37CB">
      <w:pPr>
        <w:keepLines/>
        <w:numPr>
          <w:ilvl w:val="0"/>
          <w:numId w:val="22"/>
        </w:numPr>
        <w:tabs>
          <w:tab w:val="left" w:pos="360"/>
        </w:tabs>
        <w:spacing w:after="80"/>
        <w:rPr>
          <w:rFonts w:ascii="Arial" w:hAnsi="Arial" w:cs="Arial"/>
          <w:b/>
        </w:rPr>
      </w:pPr>
      <w:r w:rsidRPr="009F37CB">
        <w:rPr>
          <w:rFonts w:ascii="Arial" w:hAnsi="Arial" w:cs="Arial"/>
          <w:b/>
        </w:rPr>
        <w:t>Appendix I-4</w:t>
      </w:r>
      <w:r w:rsidR="00DB6E50" w:rsidRPr="009F37CB">
        <w:rPr>
          <w:rFonts w:ascii="Arial" w:hAnsi="Arial" w:cs="Arial"/>
          <w:b/>
        </w:rPr>
        <w:t>/</w:t>
      </w:r>
      <w:r w:rsidRPr="009F37CB">
        <w:rPr>
          <w:rFonts w:ascii="Arial" w:hAnsi="Arial" w:cs="Arial"/>
          <w:b/>
        </w:rPr>
        <w:t xml:space="preserve"> Cross-Default Agreement</w:t>
      </w:r>
    </w:p>
    <w:p w14:paraId="50D7F9F4" w14:textId="77777777" w:rsidR="00AA627A" w:rsidRPr="00814A0B" w:rsidRDefault="00AA627A">
      <w:pPr>
        <w:rPr>
          <w:rFonts w:ascii="Arial" w:hAnsi="Arial" w:cs="Arial"/>
        </w:rPr>
      </w:pPr>
      <w:r w:rsidRPr="00814A0B">
        <w:rPr>
          <w:rFonts w:ascii="Arial" w:hAnsi="Arial" w:cs="Arial"/>
        </w:rPr>
        <w:tab/>
      </w:r>
    </w:p>
    <w:p w14:paraId="089CDB83" w14:textId="77777777" w:rsidR="00AA627A" w:rsidRPr="00CB7AB5" w:rsidRDefault="00AA627A" w:rsidP="009F37CB">
      <w:pPr>
        <w:tabs>
          <w:tab w:val="left" w:pos="360"/>
          <w:tab w:val="left" w:pos="720"/>
        </w:tabs>
        <w:ind w:left="720"/>
        <w:rPr>
          <w:sz w:val="22"/>
          <w:szCs w:val="22"/>
        </w:rPr>
      </w:pPr>
      <w:r w:rsidRPr="00CB7AB5">
        <w:rPr>
          <w:sz w:val="22"/>
          <w:szCs w:val="22"/>
        </w:rPr>
        <w:t xml:space="preserve">Cross Default Agreements are required whenever there are two or more affiliates engaged in mortgage origination, servicing, or securitization of Ginnie Mae pool or loan packages.  An affiliate is defined as an entity that can exercise control or significant influence over the management or operating policies of the applicant, directly or indirectly through some type of control or ownership as defined in GAAP FAS-57.  </w:t>
      </w:r>
    </w:p>
    <w:p w14:paraId="049DEA37" w14:textId="77777777" w:rsidR="00AA627A" w:rsidRPr="00CB7AB5" w:rsidRDefault="00AA627A" w:rsidP="009F37CB">
      <w:pPr>
        <w:tabs>
          <w:tab w:val="left" w:pos="360"/>
          <w:tab w:val="left" w:pos="720"/>
        </w:tabs>
        <w:ind w:left="720"/>
        <w:rPr>
          <w:sz w:val="22"/>
          <w:szCs w:val="22"/>
        </w:rPr>
      </w:pPr>
    </w:p>
    <w:p w14:paraId="392EE73E" w14:textId="77777777" w:rsidR="00AA627A" w:rsidRPr="00CB7AB5" w:rsidRDefault="00AA627A" w:rsidP="009F37CB">
      <w:pPr>
        <w:pStyle w:val="BodyTextIndent"/>
        <w:tabs>
          <w:tab w:val="left" w:pos="360"/>
          <w:tab w:val="left" w:pos="720"/>
        </w:tabs>
        <w:ind w:left="720"/>
        <w:rPr>
          <w:b w:val="0"/>
          <w:sz w:val="22"/>
          <w:szCs w:val="22"/>
        </w:rPr>
      </w:pPr>
      <w:r w:rsidRPr="00CB7AB5">
        <w:rPr>
          <w:b w:val="0"/>
          <w:sz w:val="22"/>
          <w:szCs w:val="22"/>
        </w:rPr>
        <w:t>A new Cross Default Agreement will be required if there are changes to an issuer’s name, but the affiliations remain or if there are new affiliations between Ginnie Mae issuer as a result of companies merging or buying assets.</w:t>
      </w:r>
      <w:r w:rsidR="009F37CB" w:rsidRPr="00CB7AB5">
        <w:rPr>
          <w:b w:val="0"/>
          <w:noProof/>
          <w:sz w:val="22"/>
          <w:szCs w:val="22"/>
        </w:rPr>
        <w:t xml:space="preserve"> The information is required by Ginnie Mae Handbook 5500.3, Rev. 1.</w:t>
      </w:r>
    </w:p>
    <w:p w14:paraId="576A1641" w14:textId="77777777" w:rsidR="00AA627A" w:rsidRPr="00CB7AB5" w:rsidRDefault="00AA627A" w:rsidP="009F37CB">
      <w:pPr>
        <w:tabs>
          <w:tab w:val="left" w:pos="360"/>
          <w:tab w:val="left" w:pos="720"/>
        </w:tabs>
        <w:ind w:left="360"/>
        <w:rPr>
          <w:sz w:val="22"/>
          <w:szCs w:val="22"/>
        </w:rPr>
      </w:pPr>
    </w:p>
    <w:p w14:paraId="1BE4A890" w14:textId="77777777" w:rsidR="00AA627A" w:rsidRPr="009F37CB" w:rsidRDefault="00AA627A" w:rsidP="009F37CB">
      <w:pPr>
        <w:tabs>
          <w:tab w:val="left" w:pos="360"/>
          <w:tab w:val="left" w:pos="720"/>
        </w:tabs>
        <w:ind w:left="720"/>
        <w:rPr>
          <w:rFonts w:ascii="Arial" w:hAnsi="Arial" w:cs="Arial"/>
          <w:noProof/>
          <w:u w:val="single"/>
        </w:rPr>
      </w:pPr>
      <w:r w:rsidRPr="00CB7AB5">
        <w:rPr>
          <w:sz w:val="22"/>
          <w:szCs w:val="22"/>
        </w:rPr>
        <w:t>The Cross Default Agreement takes an estimated 3 minutes per response to review and sign.</w:t>
      </w:r>
      <w:r w:rsidRPr="009F37CB">
        <w:rPr>
          <w:rFonts w:ascii="Arial" w:hAnsi="Arial" w:cs="Arial"/>
        </w:rPr>
        <w:t xml:space="preserve">  </w:t>
      </w:r>
      <w:bookmarkStart w:id="0" w:name="OLE_LINK1"/>
    </w:p>
    <w:bookmarkEnd w:id="0"/>
    <w:p w14:paraId="2E2353D6" w14:textId="77777777" w:rsidR="00AA627A" w:rsidRPr="00814A0B" w:rsidRDefault="00AA627A">
      <w:pPr>
        <w:tabs>
          <w:tab w:val="left" w:pos="360"/>
          <w:tab w:val="left" w:pos="720"/>
        </w:tabs>
        <w:ind w:left="720"/>
        <w:rPr>
          <w:rFonts w:ascii="Arial" w:hAnsi="Arial" w:cs="Arial"/>
          <w:b/>
          <w:noProof/>
          <w:u w:val="single"/>
        </w:rPr>
      </w:pPr>
    </w:p>
    <w:p w14:paraId="1C540313" w14:textId="77777777" w:rsidR="00AA627A" w:rsidRPr="009F37CB" w:rsidRDefault="00AA627A" w:rsidP="009F37CB">
      <w:pPr>
        <w:pStyle w:val="Heading5"/>
        <w:pBdr>
          <w:bottom w:val="single" w:sz="4" w:space="1" w:color="auto"/>
        </w:pBdr>
        <w:rPr>
          <w:rFonts w:ascii="Arial" w:hAnsi="Arial" w:cs="Arial"/>
          <w:u w:val="none"/>
        </w:rPr>
      </w:pPr>
      <w:r w:rsidRPr="009F37CB">
        <w:rPr>
          <w:rFonts w:ascii="Arial" w:hAnsi="Arial" w:cs="Arial"/>
          <w:u w:val="none"/>
        </w:rPr>
        <w:t xml:space="preserve">Forms </w:t>
      </w:r>
      <w:r w:rsidR="001B6DB9" w:rsidRPr="009F37CB">
        <w:rPr>
          <w:rFonts w:ascii="Arial" w:hAnsi="Arial" w:cs="Arial"/>
          <w:u w:val="none"/>
        </w:rPr>
        <w:t>R</w:t>
      </w:r>
      <w:r w:rsidRPr="009F37CB">
        <w:rPr>
          <w:rFonts w:ascii="Arial" w:hAnsi="Arial" w:cs="Arial"/>
          <w:u w:val="none"/>
        </w:rPr>
        <w:t>equired for Obtaining Commitment Authority and/or Pool Numbers</w:t>
      </w:r>
    </w:p>
    <w:p w14:paraId="5E06AA92" w14:textId="77777777" w:rsidR="00AA627A" w:rsidRPr="00814A0B" w:rsidRDefault="00AA627A">
      <w:pPr>
        <w:tabs>
          <w:tab w:val="left" w:pos="360"/>
          <w:tab w:val="left" w:pos="720"/>
        </w:tabs>
        <w:ind w:left="360"/>
        <w:rPr>
          <w:rFonts w:ascii="Arial" w:hAnsi="Arial" w:cs="Arial"/>
          <w:b/>
          <w:noProof/>
          <w:sz w:val="24"/>
          <w:u w:val="single"/>
        </w:rPr>
      </w:pPr>
    </w:p>
    <w:p w14:paraId="40CA857F" w14:textId="77777777" w:rsidR="00AA627A" w:rsidRPr="00EF73DC" w:rsidRDefault="00AA627A">
      <w:pPr>
        <w:ind w:left="720"/>
        <w:rPr>
          <w:rFonts w:ascii="Arial" w:hAnsi="Arial" w:cs="Arial"/>
          <w:bCs/>
        </w:rPr>
      </w:pPr>
      <w:r w:rsidRPr="00EF73DC">
        <w:rPr>
          <w:rFonts w:ascii="Arial" w:hAnsi="Arial" w:cs="Arial"/>
          <w:bCs/>
        </w:rPr>
        <w:t>An issuer must apply for Commitment Authority and Pools Numbers before they can place mortgages in a Ginnie Mae Pool.  The following two forms are used for this purpose.</w:t>
      </w:r>
    </w:p>
    <w:p w14:paraId="3470268A" w14:textId="77777777" w:rsidR="00AA627A" w:rsidRPr="00814A0B" w:rsidRDefault="00AA627A">
      <w:pPr>
        <w:tabs>
          <w:tab w:val="left" w:pos="360"/>
          <w:tab w:val="left" w:pos="720"/>
        </w:tabs>
        <w:ind w:left="360"/>
        <w:rPr>
          <w:rFonts w:ascii="Arial" w:hAnsi="Arial" w:cs="Arial"/>
          <w:b/>
          <w:noProof/>
          <w:u w:val="single"/>
        </w:rPr>
      </w:pPr>
    </w:p>
    <w:p w14:paraId="4D8347F6" w14:textId="77777777" w:rsidR="00AA627A" w:rsidRPr="009F37CB" w:rsidRDefault="00AA627A" w:rsidP="009F37CB">
      <w:pPr>
        <w:numPr>
          <w:ilvl w:val="0"/>
          <w:numId w:val="22"/>
        </w:numPr>
        <w:tabs>
          <w:tab w:val="left" w:pos="360"/>
        </w:tabs>
        <w:rPr>
          <w:rFonts w:ascii="Arial" w:hAnsi="Arial" w:cs="Arial"/>
          <w:b/>
          <w:noProof/>
        </w:rPr>
      </w:pPr>
      <w:r w:rsidRPr="009F37CB">
        <w:rPr>
          <w:rFonts w:ascii="Arial" w:hAnsi="Arial" w:cs="Arial"/>
          <w:b/>
          <w:noProof/>
        </w:rPr>
        <w:t>Form HUD 11700/Appendix II-1/ Letter of Transmittal for Commitment Authority and/or Pool Numbers</w:t>
      </w:r>
    </w:p>
    <w:p w14:paraId="406C7B50" w14:textId="77777777" w:rsidR="00AA627A" w:rsidRPr="00814A0B" w:rsidRDefault="00AA627A">
      <w:pPr>
        <w:tabs>
          <w:tab w:val="left" w:pos="360"/>
          <w:tab w:val="left" w:pos="720"/>
        </w:tabs>
        <w:ind w:left="360"/>
        <w:rPr>
          <w:rFonts w:ascii="Arial" w:hAnsi="Arial" w:cs="Arial"/>
          <w:b/>
          <w:noProof/>
        </w:rPr>
      </w:pPr>
    </w:p>
    <w:p w14:paraId="1CC388D4" w14:textId="77777777" w:rsidR="00AA627A" w:rsidRPr="00CB7AB5" w:rsidRDefault="009F37CB" w:rsidP="009F37CB">
      <w:pPr>
        <w:tabs>
          <w:tab w:val="left" w:pos="360"/>
          <w:tab w:val="left" w:pos="720"/>
        </w:tabs>
        <w:ind w:left="720"/>
        <w:rPr>
          <w:noProof/>
          <w:sz w:val="22"/>
          <w:szCs w:val="22"/>
        </w:rPr>
      </w:pPr>
      <w:r w:rsidRPr="00CB7AB5">
        <w:rPr>
          <w:noProof/>
          <w:sz w:val="22"/>
          <w:szCs w:val="22"/>
        </w:rPr>
        <w:t>This</w:t>
      </w:r>
      <w:r w:rsidR="00AA627A" w:rsidRPr="00CB7AB5">
        <w:rPr>
          <w:noProof/>
          <w:sz w:val="22"/>
          <w:szCs w:val="22"/>
        </w:rPr>
        <w:t xml:space="preserve"> is a multifunction</w:t>
      </w:r>
      <w:r w:rsidRPr="00CB7AB5">
        <w:rPr>
          <w:noProof/>
          <w:sz w:val="22"/>
          <w:szCs w:val="22"/>
        </w:rPr>
        <w:t>al</w:t>
      </w:r>
      <w:r w:rsidR="00AA627A" w:rsidRPr="00CB7AB5">
        <w:rPr>
          <w:noProof/>
          <w:sz w:val="22"/>
          <w:szCs w:val="22"/>
        </w:rPr>
        <w:t xml:space="preserve"> transmittal form which is completed by </w:t>
      </w:r>
      <w:r w:rsidRPr="00CB7AB5">
        <w:rPr>
          <w:noProof/>
          <w:sz w:val="22"/>
          <w:szCs w:val="22"/>
        </w:rPr>
        <w:t>the issuer</w:t>
      </w:r>
      <w:r w:rsidR="00AA627A" w:rsidRPr="00CB7AB5">
        <w:rPr>
          <w:noProof/>
          <w:sz w:val="22"/>
          <w:szCs w:val="22"/>
        </w:rPr>
        <w:t xml:space="preserve"> when requesting commitment authority and/or pool numbers.  The frequency of use depends on the issuer's need for specific services from Ginnie Mae.  When requesting only pool numbers, the issuer only needs to complete the HUD 11700 form.  When requesting commitment authority, the isuser has to prepare the HUD 11700 and the HUD 11704.</w:t>
      </w:r>
    </w:p>
    <w:p w14:paraId="1464DB8D" w14:textId="77777777" w:rsidR="00AA627A" w:rsidRPr="00CB7AB5" w:rsidRDefault="00AA627A" w:rsidP="009F37CB">
      <w:pPr>
        <w:tabs>
          <w:tab w:val="left" w:pos="360"/>
          <w:tab w:val="left" w:pos="720"/>
        </w:tabs>
        <w:rPr>
          <w:noProof/>
          <w:sz w:val="22"/>
          <w:szCs w:val="22"/>
        </w:rPr>
      </w:pPr>
    </w:p>
    <w:p w14:paraId="7C475BFA" w14:textId="77777777" w:rsidR="00AA627A" w:rsidRPr="00CB7AB5" w:rsidRDefault="00AA627A" w:rsidP="009F37CB">
      <w:pPr>
        <w:tabs>
          <w:tab w:val="left" w:pos="360"/>
          <w:tab w:val="left" w:pos="720"/>
        </w:tabs>
        <w:ind w:left="720"/>
        <w:rPr>
          <w:noProof/>
          <w:sz w:val="22"/>
          <w:szCs w:val="22"/>
        </w:rPr>
      </w:pPr>
      <w:r w:rsidRPr="00CB7AB5">
        <w:rPr>
          <w:noProof/>
          <w:sz w:val="22"/>
          <w:szCs w:val="22"/>
        </w:rPr>
        <w:t xml:space="preserve">A issuer can request both commitment authority and pool numbers within one request.  </w:t>
      </w:r>
      <w:r w:rsidR="009F37CB" w:rsidRPr="00CB7AB5">
        <w:rPr>
          <w:noProof/>
          <w:sz w:val="22"/>
          <w:szCs w:val="22"/>
        </w:rPr>
        <w:t xml:space="preserve">If the </w:t>
      </w:r>
      <w:r w:rsidRPr="00CB7AB5">
        <w:rPr>
          <w:noProof/>
          <w:sz w:val="22"/>
          <w:szCs w:val="22"/>
        </w:rPr>
        <w:t xml:space="preserve">issuer has available pool numbers, but lacks a sufficient amount of commiment authority necessary to form pools, the issuer can apply for Commitment Authority only.  </w:t>
      </w:r>
      <w:r w:rsidR="009F37CB" w:rsidRPr="00CB7AB5">
        <w:rPr>
          <w:noProof/>
          <w:sz w:val="22"/>
          <w:szCs w:val="22"/>
        </w:rPr>
        <w:t xml:space="preserve">An </w:t>
      </w:r>
      <w:r w:rsidRPr="00CB7AB5">
        <w:rPr>
          <w:noProof/>
          <w:sz w:val="22"/>
          <w:szCs w:val="22"/>
        </w:rPr>
        <w:t xml:space="preserve"> issuer</w:t>
      </w:r>
      <w:r w:rsidRPr="00CB7AB5">
        <w:rPr>
          <w:bCs/>
          <w:sz w:val="22"/>
          <w:szCs w:val="22"/>
        </w:rPr>
        <w:t xml:space="preserve"> may need to apply for Ginnie Mae Pool Numbers only.  This is done when an issuer has sufficient commitment authority available for use, but needs pool numbers.  There is no fee for requesting pool numbers.</w:t>
      </w:r>
    </w:p>
    <w:p w14:paraId="58A08905" w14:textId="77777777" w:rsidR="00AA627A" w:rsidRPr="00CB7AB5" w:rsidRDefault="00AA627A" w:rsidP="009F37CB">
      <w:pPr>
        <w:tabs>
          <w:tab w:val="left" w:pos="360"/>
          <w:tab w:val="left" w:pos="720"/>
        </w:tabs>
        <w:ind w:left="720"/>
        <w:rPr>
          <w:noProof/>
          <w:sz w:val="22"/>
          <w:szCs w:val="22"/>
        </w:rPr>
      </w:pPr>
    </w:p>
    <w:p w14:paraId="21B560C1" w14:textId="77777777" w:rsidR="00AA627A" w:rsidRPr="00CB7AB5" w:rsidRDefault="00AA627A" w:rsidP="009F37CB">
      <w:pPr>
        <w:pStyle w:val="BodyTextIndent3"/>
        <w:ind w:left="720"/>
        <w:rPr>
          <w:b w:val="0"/>
          <w:sz w:val="22"/>
          <w:szCs w:val="22"/>
        </w:rPr>
      </w:pPr>
      <w:r w:rsidRPr="00CB7AB5">
        <w:rPr>
          <w:b w:val="0"/>
          <w:sz w:val="22"/>
          <w:szCs w:val="22"/>
        </w:rPr>
        <w:t>There are two types of Commitment Authority a Ginne Mae issuer may apply for:</w:t>
      </w:r>
      <w:r w:rsidR="00EF73DC" w:rsidRPr="00CB7AB5">
        <w:rPr>
          <w:b w:val="0"/>
          <w:sz w:val="22"/>
          <w:szCs w:val="22"/>
        </w:rPr>
        <w:t xml:space="preserve"> 1) </w:t>
      </w:r>
      <w:r w:rsidRPr="00CB7AB5">
        <w:rPr>
          <w:b w:val="0"/>
          <w:sz w:val="22"/>
          <w:szCs w:val="22"/>
        </w:rPr>
        <w:t>Single Family or Single Line Commitment Authority which expires</w:t>
      </w:r>
      <w:r w:rsidR="00EF73DC" w:rsidRPr="00CB7AB5">
        <w:rPr>
          <w:b w:val="0"/>
          <w:sz w:val="22"/>
          <w:szCs w:val="22"/>
        </w:rPr>
        <w:t xml:space="preserve"> one year from date of approval and 2) </w:t>
      </w:r>
      <w:r w:rsidRPr="00CB7AB5">
        <w:rPr>
          <w:b w:val="0"/>
          <w:sz w:val="22"/>
          <w:szCs w:val="22"/>
        </w:rPr>
        <w:t>Multifamily or Multi-Line Commtment Authoirty which expires two years from date of approval.</w:t>
      </w:r>
    </w:p>
    <w:p w14:paraId="464DA115" w14:textId="77777777" w:rsidR="00AA627A" w:rsidRPr="00CB7AB5" w:rsidRDefault="00AA627A" w:rsidP="009F37CB">
      <w:pPr>
        <w:tabs>
          <w:tab w:val="left" w:pos="360"/>
          <w:tab w:val="left" w:pos="720"/>
        </w:tabs>
        <w:ind w:left="720"/>
        <w:rPr>
          <w:noProof/>
          <w:sz w:val="22"/>
          <w:szCs w:val="22"/>
        </w:rPr>
      </w:pPr>
    </w:p>
    <w:p w14:paraId="2B297BB8" w14:textId="77777777" w:rsidR="00AA627A" w:rsidRPr="00CB7AB5" w:rsidRDefault="00AA627A" w:rsidP="009F37CB">
      <w:pPr>
        <w:pStyle w:val="BodyTextIndent3"/>
        <w:ind w:left="720"/>
        <w:rPr>
          <w:b w:val="0"/>
          <w:sz w:val="22"/>
          <w:szCs w:val="22"/>
        </w:rPr>
      </w:pPr>
      <w:r w:rsidRPr="00CB7AB5">
        <w:rPr>
          <w:b w:val="0"/>
          <w:sz w:val="22"/>
          <w:szCs w:val="22"/>
        </w:rPr>
        <w:t xml:space="preserve">There </w:t>
      </w:r>
      <w:r w:rsidR="00476AE3" w:rsidRPr="00CB7AB5">
        <w:rPr>
          <w:b w:val="0"/>
          <w:sz w:val="22"/>
          <w:szCs w:val="22"/>
        </w:rPr>
        <w:t>only one type</w:t>
      </w:r>
      <w:r w:rsidRPr="00CB7AB5">
        <w:rPr>
          <w:b w:val="0"/>
          <w:sz w:val="22"/>
          <w:szCs w:val="22"/>
        </w:rPr>
        <w:t xml:space="preserve"> of Pool Numbers a Ginnie Mae issuer may apply for: </w:t>
      </w:r>
      <w:r w:rsidR="00476AE3" w:rsidRPr="00CB7AB5">
        <w:rPr>
          <w:b w:val="0"/>
          <w:sz w:val="22"/>
          <w:szCs w:val="22"/>
        </w:rPr>
        <w:t xml:space="preserve"> Alpha-Numeric</w:t>
      </w:r>
      <w:r w:rsidRPr="00CB7AB5">
        <w:rPr>
          <w:b w:val="0"/>
          <w:sz w:val="22"/>
          <w:szCs w:val="22"/>
        </w:rPr>
        <w:t>.</w:t>
      </w:r>
    </w:p>
    <w:p w14:paraId="717C1A8E" w14:textId="77777777" w:rsidR="00AA627A" w:rsidRPr="00CB7AB5" w:rsidRDefault="00AA627A" w:rsidP="009F37CB">
      <w:pPr>
        <w:pStyle w:val="BodyTextIndent3"/>
        <w:ind w:left="720"/>
        <w:rPr>
          <w:b w:val="0"/>
          <w:sz w:val="22"/>
          <w:szCs w:val="22"/>
        </w:rPr>
      </w:pPr>
    </w:p>
    <w:p w14:paraId="4113BC30" w14:textId="77777777" w:rsidR="00AA627A" w:rsidRPr="00CB7AB5" w:rsidRDefault="00AA627A" w:rsidP="009F37CB">
      <w:pPr>
        <w:pStyle w:val="BodyTextIndent"/>
        <w:tabs>
          <w:tab w:val="left" w:pos="360"/>
          <w:tab w:val="left" w:pos="720"/>
        </w:tabs>
        <w:ind w:left="720"/>
        <w:rPr>
          <w:b w:val="0"/>
          <w:bCs/>
          <w:noProof/>
          <w:sz w:val="22"/>
          <w:szCs w:val="22"/>
        </w:rPr>
      </w:pPr>
      <w:r w:rsidRPr="00CB7AB5">
        <w:rPr>
          <w:b w:val="0"/>
          <w:bCs/>
          <w:sz w:val="22"/>
          <w:szCs w:val="22"/>
        </w:rPr>
        <w:lastRenderedPageBreak/>
        <w:t>Pool Numbers have no expiration date and can only be used once.</w:t>
      </w:r>
      <w:r w:rsidR="00EF73DC" w:rsidRPr="00CB7AB5">
        <w:rPr>
          <w:b w:val="0"/>
          <w:sz w:val="22"/>
          <w:szCs w:val="22"/>
        </w:rPr>
        <w:t xml:space="preserve">  The information is required by Section 306(g) of the National Housing Act or by Ginnie Mae Handbook 5500.3, Rev. 1.</w:t>
      </w:r>
    </w:p>
    <w:p w14:paraId="2D2747FE" w14:textId="77777777" w:rsidR="00AA627A" w:rsidRPr="00CB7AB5" w:rsidRDefault="00AA627A">
      <w:pPr>
        <w:tabs>
          <w:tab w:val="left" w:pos="360"/>
          <w:tab w:val="left" w:pos="720"/>
        </w:tabs>
        <w:ind w:left="1440"/>
        <w:rPr>
          <w:b/>
          <w:noProof/>
          <w:sz w:val="22"/>
          <w:szCs w:val="22"/>
        </w:rPr>
      </w:pPr>
    </w:p>
    <w:p w14:paraId="5701AAD9" w14:textId="77777777" w:rsidR="00AA627A" w:rsidRPr="00CB7AB5" w:rsidRDefault="00AA627A" w:rsidP="00EF73DC">
      <w:pPr>
        <w:pStyle w:val="BodyTextIndent3"/>
        <w:ind w:left="720"/>
        <w:rPr>
          <w:b w:val="0"/>
          <w:sz w:val="22"/>
          <w:szCs w:val="22"/>
        </w:rPr>
      </w:pPr>
      <w:r w:rsidRPr="00CB7AB5">
        <w:rPr>
          <w:b w:val="0"/>
          <w:sz w:val="22"/>
          <w:szCs w:val="22"/>
        </w:rPr>
        <w:t xml:space="preserve">It </w:t>
      </w:r>
      <w:r w:rsidR="00EF73DC" w:rsidRPr="00CB7AB5">
        <w:rPr>
          <w:b w:val="0"/>
          <w:sz w:val="22"/>
          <w:szCs w:val="22"/>
        </w:rPr>
        <w:t xml:space="preserve">is estimated that it will take </w:t>
      </w:r>
      <w:r w:rsidR="00B5407A" w:rsidRPr="00CB7AB5">
        <w:rPr>
          <w:b w:val="0"/>
          <w:sz w:val="22"/>
          <w:szCs w:val="22"/>
        </w:rPr>
        <w:t xml:space="preserve">approximately </w:t>
      </w:r>
      <w:r w:rsidR="00EF73DC" w:rsidRPr="00CB7AB5">
        <w:rPr>
          <w:b w:val="0"/>
          <w:sz w:val="22"/>
          <w:szCs w:val="22"/>
        </w:rPr>
        <w:t>2</w:t>
      </w:r>
      <w:r w:rsidRPr="00CB7AB5">
        <w:rPr>
          <w:b w:val="0"/>
          <w:sz w:val="22"/>
          <w:szCs w:val="22"/>
        </w:rPr>
        <w:t xml:space="preserve"> minute</w:t>
      </w:r>
      <w:r w:rsidR="00B5407A" w:rsidRPr="00CB7AB5">
        <w:rPr>
          <w:b w:val="0"/>
          <w:sz w:val="22"/>
          <w:szCs w:val="22"/>
        </w:rPr>
        <w:t>s</w:t>
      </w:r>
      <w:r w:rsidRPr="00CB7AB5">
        <w:rPr>
          <w:b w:val="0"/>
          <w:sz w:val="22"/>
          <w:szCs w:val="22"/>
        </w:rPr>
        <w:t xml:space="preserve"> for issuers to </w:t>
      </w:r>
      <w:r w:rsidR="00EF73DC" w:rsidRPr="00CB7AB5">
        <w:rPr>
          <w:b w:val="0"/>
          <w:sz w:val="22"/>
          <w:szCs w:val="22"/>
        </w:rPr>
        <w:t>review and complete.</w:t>
      </w:r>
    </w:p>
    <w:p w14:paraId="76041CEC" w14:textId="77777777" w:rsidR="002E1AAA" w:rsidRPr="00CB7AB5" w:rsidRDefault="002E1AAA" w:rsidP="00EF73DC">
      <w:pPr>
        <w:pStyle w:val="BodyTextIndent3"/>
        <w:ind w:left="720"/>
        <w:rPr>
          <w:b w:val="0"/>
          <w:sz w:val="22"/>
          <w:szCs w:val="22"/>
        </w:rPr>
      </w:pPr>
    </w:p>
    <w:p w14:paraId="16D67EA0" w14:textId="77777777" w:rsidR="002E1AAA" w:rsidRPr="00CB7AB5" w:rsidRDefault="002E1AAA" w:rsidP="00EF73DC">
      <w:pPr>
        <w:pStyle w:val="BodyTextIndent3"/>
        <w:ind w:left="720"/>
        <w:rPr>
          <w:b w:val="0"/>
          <w:sz w:val="22"/>
          <w:szCs w:val="22"/>
        </w:rPr>
      </w:pPr>
      <w:r w:rsidRPr="00CB7AB5">
        <w:rPr>
          <w:b w:val="0"/>
          <w:sz w:val="22"/>
          <w:szCs w:val="22"/>
        </w:rPr>
        <w:t xml:space="preserve">This form has been automated and document </w:t>
      </w:r>
      <w:r w:rsidR="00804EBB" w:rsidRPr="00CB7AB5">
        <w:rPr>
          <w:b w:val="0"/>
          <w:sz w:val="22"/>
          <w:szCs w:val="22"/>
        </w:rPr>
        <w:t>reserv</w:t>
      </w:r>
      <w:r w:rsidRPr="00CB7AB5">
        <w:rPr>
          <w:b w:val="0"/>
          <w:sz w:val="22"/>
          <w:szCs w:val="22"/>
        </w:rPr>
        <w:t xml:space="preserve">ed for </w:t>
      </w:r>
      <w:r w:rsidR="007B4810" w:rsidRPr="00CB7AB5">
        <w:rPr>
          <w:b w:val="0"/>
          <w:sz w:val="22"/>
          <w:szCs w:val="22"/>
        </w:rPr>
        <w:t>business c</w:t>
      </w:r>
      <w:r w:rsidRPr="00CB7AB5">
        <w:rPr>
          <w:b w:val="0"/>
          <w:sz w:val="22"/>
          <w:szCs w:val="22"/>
        </w:rPr>
        <w:t>ontinuity only</w:t>
      </w:r>
      <w:r w:rsidR="00E4024A" w:rsidRPr="00CB7AB5">
        <w:rPr>
          <w:b w:val="0"/>
          <w:sz w:val="22"/>
          <w:szCs w:val="22"/>
        </w:rPr>
        <w:t>.</w:t>
      </w:r>
    </w:p>
    <w:p w14:paraId="3DC48163" w14:textId="77777777" w:rsidR="00AA627A" w:rsidRPr="00814A0B" w:rsidRDefault="00AA627A">
      <w:pPr>
        <w:tabs>
          <w:tab w:val="left" w:pos="360"/>
          <w:tab w:val="left" w:pos="720"/>
        </w:tabs>
        <w:ind w:left="720"/>
        <w:rPr>
          <w:rFonts w:ascii="Arial" w:hAnsi="Arial" w:cs="Arial"/>
          <w:b/>
          <w:noProof/>
        </w:rPr>
      </w:pPr>
    </w:p>
    <w:p w14:paraId="36A494D2" w14:textId="77777777" w:rsidR="00AA627A" w:rsidRPr="00EF73DC" w:rsidRDefault="00AA627A" w:rsidP="00EF73DC">
      <w:pPr>
        <w:pStyle w:val="Heading2"/>
        <w:numPr>
          <w:ilvl w:val="0"/>
          <w:numId w:val="22"/>
        </w:numPr>
        <w:tabs>
          <w:tab w:val="clear" w:pos="720"/>
        </w:tabs>
        <w:rPr>
          <w:rFonts w:ascii="Arial" w:hAnsi="Arial" w:cs="Arial"/>
          <w:u w:val="none"/>
        </w:rPr>
      </w:pPr>
      <w:r w:rsidRPr="00EF73DC">
        <w:rPr>
          <w:rFonts w:ascii="Arial" w:hAnsi="Arial" w:cs="Arial"/>
          <w:u w:val="none"/>
        </w:rPr>
        <w:t>Form HUD 11704/Appendix II-2/ Commitment</w:t>
      </w:r>
      <w:r w:rsidR="00A11135">
        <w:rPr>
          <w:rFonts w:ascii="Arial" w:hAnsi="Arial" w:cs="Arial"/>
          <w:u w:val="none"/>
        </w:rPr>
        <w:t xml:space="preserve"> </w:t>
      </w:r>
      <w:r w:rsidRPr="00EF73DC">
        <w:rPr>
          <w:rFonts w:ascii="Arial" w:hAnsi="Arial" w:cs="Arial"/>
          <w:u w:val="none"/>
        </w:rPr>
        <w:t>to Guarantee Mortgage-Backed Securities</w:t>
      </w:r>
    </w:p>
    <w:p w14:paraId="62EE1EAB" w14:textId="77777777" w:rsidR="00AA627A" w:rsidRPr="00814A0B" w:rsidRDefault="00AA627A">
      <w:pPr>
        <w:tabs>
          <w:tab w:val="left" w:pos="360"/>
          <w:tab w:val="left" w:pos="720"/>
        </w:tabs>
        <w:ind w:left="360"/>
        <w:rPr>
          <w:rFonts w:ascii="Arial" w:hAnsi="Arial" w:cs="Arial"/>
          <w:b/>
          <w:noProof/>
        </w:rPr>
      </w:pPr>
    </w:p>
    <w:p w14:paraId="641B72EA" w14:textId="77777777" w:rsidR="00EF73DC" w:rsidRPr="00EF73DC" w:rsidRDefault="00AA627A" w:rsidP="00EF73DC">
      <w:pPr>
        <w:ind w:left="720"/>
        <w:rPr>
          <w:rFonts w:ascii="Arial" w:hAnsi="Arial" w:cs="Arial"/>
        </w:rPr>
      </w:pPr>
      <w:r w:rsidRPr="00EF73DC">
        <w:rPr>
          <w:rFonts w:ascii="Arial" w:hAnsi="Arial" w:cs="Arial"/>
          <w:noProof/>
        </w:rPr>
        <w:t xml:space="preserve">This form is used by Ginnie Mae mortgage-backed securities (MBS) issuers to apply for commitment authority to guarantee mortgage-backed securities.  Upon receipt of the form, a Ginnie Mae Account Executive in the Office of </w:t>
      </w:r>
      <w:r w:rsidR="00CC43EC">
        <w:rPr>
          <w:rFonts w:ascii="Arial" w:hAnsi="Arial" w:cs="Arial"/>
          <w:noProof/>
        </w:rPr>
        <w:t>Issuer and Portfolio Management (</w:t>
      </w:r>
      <w:r w:rsidR="00E4024A">
        <w:rPr>
          <w:rFonts w:ascii="Arial" w:hAnsi="Arial" w:cs="Arial"/>
          <w:noProof/>
        </w:rPr>
        <w:t>O</w:t>
      </w:r>
      <w:r w:rsidR="00CC43EC">
        <w:rPr>
          <w:rFonts w:ascii="Arial" w:hAnsi="Arial" w:cs="Arial"/>
          <w:noProof/>
        </w:rPr>
        <w:t>IPM)</w:t>
      </w:r>
      <w:r w:rsidRPr="00EF73DC">
        <w:rPr>
          <w:rFonts w:ascii="Arial" w:hAnsi="Arial" w:cs="Arial"/>
          <w:noProof/>
        </w:rPr>
        <w:t xml:space="preserve"> reviews the application along with the request form HUD 11700, "Letter of Transmittal for Commitment Authority and/or Pool Numbers”.  If the request is approved, a Ginnie Mae Account Executive </w:t>
      </w:r>
      <w:r w:rsidR="00467E68">
        <w:rPr>
          <w:rFonts w:ascii="Arial" w:hAnsi="Arial" w:cs="Arial"/>
          <w:noProof/>
        </w:rPr>
        <w:t>ackno</w:t>
      </w:r>
      <w:r w:rsidR="00E829AB">
        <w:rPr>
          <w:rFonts w:ascii="Arial" w:hAnsi="Arial" w:cs="Arial"/>
          <w:noProof/>
        </w:rPr>
        <w:t>w</w:t>
      </w:r>
      <w:r w:rsidR="00467E68">
        <w:rPr>
          <w:rFonts w:ascii="Arial" w:hAnsi="Arial" w:cs="Arial"/>
          <w:noProof/>
        </w:rPr>
        <w:t>ledge</w:t>
      </w:r>
      <w:r w:rsidR="00AA08F8">
        <w:rPr>
          <w:rFonts w:ascii="Arial" w:hAnsi="Arial" w:cs="Arial"/>
          <w:noProof/>
        </w:rPr>
        <w:t>s</w:t>
      </w:r>
      <w:r w:rsidR="00467E68">
        <w:rPr>
          <w:rFonts w:ascii="Arial" w:hAnsi="Arial" w:cs="Arial"/>
          <w:noProof/>
        </w:rPr>
        <w:t xml:space="preserve"> </w:t>
      </w:r>
      <w:r w:rsidRPr="00EF73DC">
        <w:rPr>
          <w:rFonts w:ascii="Arial" w:hAnsi="Arial" w:cs="Arial"/>
          <w:noProof/>
        </w:rPr>
        <w:t xml:space="preserve"> the form HUD 11704 and  the issuer</w:t>
      </w:r>
      <w:r w:rsidR="00467E68">
        <w:rPr>
          <w:rFonts w:ascii="Arial" w:hAnsi="Arial" w:cs="Arial"/>
          <w:noProof/>
        </w:rPr>
        <w:t xml:space="preserve"> receives</w:t>
      </w:r>
      <w:r w:rsidR="00AA08F8">
        <w:rPr>
          <w:rFonts w:ascii="Arial" w:hAnsi="Arial" w:cs="Arial"/>
          <w:noProof/>
        </w:rPr>
        <w:t xml:space="preserve"> a</w:t>
      </w:r>
      <w:r w:rsidR="00467E68">
        <w:rPr>
          <w:rFonts w:ascii="Arial" w:hAnsi="Arial" w:cs="Arial"/>
          <w:noProof/>
        </w:rPr>
        <w:t xml:space="preserve"> e-mail via e-notification</w:t>
      </w:r>
      <w:r w:rsidRPr="00EF73DC">
        <w:rPr>
          <w:rFonts w:ascii="Arial" w:hAnsi="Arial" w:cs="Arial"/>
          <w:noProof/>
        </w:rPr>
        <w:t xml:space="preserve">  confirmation notice.  The approval of this form serves as a receipt and the commitment from Ginnie Mae to guarantee the securities which are backed by Ginnie Mae mortgage pools.  All issuers must meet Ginnie Mae's basic eligibility requirements to receive commitment authority.   </w:t>
      </w:r>
      <w:r w:rsidR="00EF73DC" w:rsidRPr="00EF73DC">
        <w:rPr>
          <w:rFonts w:ascii="Arial" w:hAnsi="Arial" w:cs="Arial"/>
        </w:rPr>
        <w:t>The information is required by Section 306(g) of the National Housing Act or by Ginnie Mae Handbook 5500.3, Rev. 1.</w:t>
      </w:r>
    </w:p>
    <w:p w14:paraId="0C147153" w14:textId="77777777" w:rsidR="00AA627A" w:rsidRPr="00EF73DC" w:rsidRDefault="00AA627A" w:rsidP="00EF73DC">
      <w:pPr>
        <w:tabs>
          <w:tab w:val="left" w:pos="360"/>
          <w:tab w:val="left" w:pos="720"/>
        </w:tabs>
        <w:ind w:left="720"/>
        <w:rPr>
          <w:rFonts w:ascii="Arial" w:hAnsi="Arial" w:cs="Arial"/>
          <w:noProof/>
        </w:rPr>
      </w:pPr>
    </w:p>
    <w:p w14:paraId="074C295D" w14:textId="77777777" w:rsidR="00AA627A" w:rsidRDefault="00AA627A" w:rsidP="00EF73DC">
      <w:pPr>
        <w:tabs>
          <w:tab w:val="left" w:pos="360"/>
          <w:tab w:val="left" w:pos="720"/>
        </w:tabs>
        <w:rPr>
          <w:rFonts w:ascii="Arial" w:hAnsi="Arial" w:cs="Arial"/>
          <w:noProof/>
        </w:rPr>
      </w:pPr>
      <w:r w:rsidRPr="00EF73DC">
        <w:rPr>
          <w:rFonts w:ascii="Arial" w:hAnsi="Arial" w:cs="Arial"/>
          <w:noProof/>
        </w:rPr>
        <w:tab/>
      </w:r>
      <w:r w:rsidRPr="00EF73DC">
        <w:rPr>
          <w:rFonts w:ascii="Arial" w:hAnsi="Arial" w:cs="Arial"/>
          <w:noProof/>
        </w:rPr>
        <w:tab/>
        <w:t xml:space="preserve">It takes an issuer an estimated </w:t>
      </w:r>
      <w:r w:rsidR="008960F2">
        <w:rPr>
          <w:rFonts w:ascii="Arial" w:hAnsi="Arial" w:cs="Arial"/>
          <w:noProof/>
        </w:rPr>
        <w:t>2</w:t>
      </w:r>
      <w:r w:rsidRPr="00EF73DC">
        <w:rPr>
          <w:rFonts w:ascii="Arial" w:hAnsi="Arial" w:cs="Arial"/>
          <w:noProof/>
        </w:rPr>
        <w:t xml:space="preserve"> minute</w:t>
      </w:r>
      <w:r w:rsidR="008960F2">
        <w:rPr>
          <w:rFonts w:ascii="Arial" w:hAnsi="Arial" w:cs="Arial"/>
          <w:noProof/>
        </w:rPr>
        <w:t>s</w:t>
      </w:r>
      <w:r w:rsidRPr="00EF73DC">
        <w:rPr>
          <w:rFonts w:ascii="Arial" w:hAnsi="Arial" w:cs="Arial"/>
          <w:noProof/>
        </w:rPr>
        <w:t xml:space="preserve"> to complete the form including reviewing the instructions.</w:t>
      </w:r>
    </w:p>
    <w:p w14:paraId="0FDB8EB5" w14:textId="77777777" w:rsidR="00391E6C" w:rsidRDefault="00391E6C" w:rsidP="00EF73DC">
      <w:pPr>
        <w:tabs>
          <w:tab w:val="left" w:pos="360"/>
          <w:tab w:val="left" w:pos="720"/>
        </w:tabs>
        <w:rPr>
          <w:rFonts w:ascii="Arial" w:hAnsi="Arial" w:cs="Arial"/>
          <w:noProof/>
        </w:rPr>
      </w:pPr>
      <w:r>
        <w:rPr>
          <w:rFonts w:ascii="Arial" w:hAnsi="Arial" w:cs="Arial"/>
          <w:noProof/>
        </w:rPr>
        <w:t xml:space="preserve">            This form has been automated and document </w:t>
      </w:r>
      <w:r w:rsidR="00804EBB">
        <w:rPr>
          <w:rFonts w:ascii="Arial" w:hAnsi="Arial" w:cs="Arial"/>
          <w:noProof/>
        </w:rPr>
        <w:t>reserv</w:t>
      </w:r>
      <w:r>
        <w:rPr>
          <w:rFonts w:ascii="Arial" w:hAnsi="Arial" w:cs="Arial"/>
          <w:noProof/>
        </w:rPr>
        <w:t xml:space="preserve">ed for </w:t>
      </w:r>
      <w:r w:rsidR="007B4810">
        <w:rPr>
          <w:rFonts w:ascii="Arial" w:hAnsi="Arial" w:cs="Arial"/>
          <w:noProof/>
        </w:rPr>
        <w:t>business c</w:t>
      </w:r>
      <w:r w:rsidR="002E1AAA">
        <w:rPr>
          <w:rFonts w:ascii="Arial" w:hAnsi="Arial" w:cs="Arial"/>
          <w:noProof/>
        </w:rPr>
        <w:t>on</w:t>
      </w:r>
      <w:r w:rsidR="00EB6B67">
        <w:rPr>
          <w:rFonts w:ascii="Arial" w:hAnsi="Arial" w:cs="Arial"/>
          <w:noProof/>
        </w:rPr>
        <w:t>t</w:t>
      </w:r>
      <w:r w:rsidR="002E1AAA">
        <w:rPr>
          <w:rFonts w:ascii="Arial" w:hAnsi="Arial" w:cs="Arial"/>
          <w:noProof/>
        </w:rPr>
        <w:t xml:space="preserve">inuity </w:t>
      </w:r>
      <w:r>
        <w:rPr>
          <w:rFonts w:ascii="Arial" w:hAnsi="Arial" w:cs="Arial"/>
          <w:noProof/>
        </w:rPr>
        <w:t>only.</w:t>
      </w:r>
    </w:p>
    <w:p w14:paraId="74FE78E3" w14:textId="77777777" w:rsidR="00391E6C" w:rsidRDefault="00391E6C" w:rsidP="00EF73DC">
      <w:pPr>
        <w:tabs>
          <w:tab w:val="left" w:pos="360"/>
          <w:tab w:val="left" w:pos="720"/>
        </w:tabs>
        <w:rPr>
          <w:rFonts w:ascii="Arial" w:hAnsi="Arial" w:cs="Arial"/>
          <w:noProof/>
        </w:rPr>
      </w:pPr>
    </w:p>
    <w:p w14:paraId="61709313" w14:textId="77777777" w:rsidR="00AA627A" w:rsidRPr="005D180B" w:rsidRDefault="00AA627A" w:rsidP="005D180B">
      <w:pPr>
        <w:pStyle w:val="Heading1"/>
        <w:pBdr>
          <w:bottom w:val="single" w:sz="4" w:space="1" w:color="auto"/>
        </w:pBdr>
        <w:jc w:val="center"/>
        <w:rPr>
          <w:rFonts w:ascii="Arial" w:hAnsi="Arial" w:cs="Arial"/>
          <w:u w:val="none"/>
        </w:rPr>
      </w:pPr>
      <w:r w:rsidRPr="005D180B">
        <w:rPr>
          <w:rFonts w:ascii="Arial" w:hAnsi="Arial" w:cs="Arial"/>
          <w:u w:val="none"/>
        </w:rPr>
        <w:t>Forms and Agreements Required for Processing/Issuing Ginnie Mae Pools</w:t>
      </w:r>
    </w:p>
    <w:p w14:paraId="36C72E6C" w14:textId="77777777" w:rsidR="00AA627A" w:rsidRPr="00814A0B" w:rsidRDefault="00AA627A">
      <w:pPr>
        <w:ind w:left="720" w:firstLine="720"/>
        <w:rPr>
          <w:rFonts w:ascii="Arial" w:hAnsi="Arial" w:cs="Arial"/>
          <w:b/>
          <w:sz w:val="24"/>
        </w:rPr>
      </w:pPr>
    </w:p>
    <w:p w14:paraId="124CBC01" w14:textId="77777777" w:rsidR="00AA627A" w:rsidRPr="00EF73DC" w:rsidRDefault="00AA627A" w:rsidP="00EF73DC">
      <w:pPr>
        <w:numPr>
          <w:ilvl w:val="0"/>
          <w:numId w:val="22"/>
        </w:numPr>
        <w:rPr>
          <w:rFonts w:ascii="Arial" w:hAnsi="Arial" w:cs="Arial"/>
          <w:b/>
        </w:rPr>
      </w:pPr>
      <w:r w:rsidRPr="00EF73DC">
        <w:rPr>
          <w:rFonts w:ascii="Arial" w:hAnsi="Arial" w:cs="Arial"/>
          <w:b/>
        </w:rPr>
        <w:t xml:space="preserve">Appendix III-13 / Electronic Data </w:t>
      </w:r>
      <w:r w:rsidR="00CD7740">
        <w:rPr>
          <w:rFonts w:ascii="Arial" w:hAnsi="Arial" w:cs="Arial"/>
          <w:b/>
        </w:rPr>
        <w:t>Interchange System Agreement</w:t>
      </w:r>
      <w:r w:rsidRPr="00EF73DC">
        <w:rPr>
          <w:rFonts w:ascii="Arial" w:hAnsi="Arial" w:cs="Arial"/>
          <w:b/>
        </w:rPr>
        <w:t xml:space="preserve"> </w:t>
      </w:r>
    </w:p>
    <w:p w14:paraId="24D532E1" w14:textId="77777777" w:rsidR="00AA627A" w:rsidRPr="00814A0B" w:rsidRDefault="00AA627A">
      <w:pPr>
        <w:rPr>
          <w:rFonts w:ascii="Arial" w:hAnsi="Arial" w:cs="Arial"/>
          <w:b/>
          <w:u w:val="single"/>
        </w:rPr>
      </w:pPr>
    </w:p>
    <w:p w14:paraId="220DA447" w14:textId="77777777" w:rsidR="00EF73DC" w:rsidRPr="00EF73DC" w:rsidRDefault="00AA627A" w:rsidP="00EF73DC">
      <w:pPr>
        <w:ind w:left="720"/>
        <w:rPr>
          <w:rFonts w:ascii="Arial" w:hAnsi="Arial" w:cs="Arial"/>
        </w:rPr>
      </w:pPr>
      <w:r w:rsidRPr="00814A0B">
        <w:rPr>
          <w:rFonts w:ascii="Arial" w:hAnsi="Arial" w:cs="Arial"/>
          <w:bCs/>
        </w:rPr>
        <w:t xml:space="preserve">The purpose of the </w:t>
      </w:r>
      <w:r w:rsidR="00E4024A" w:rsidRPr="00E4024A">
        <w:rPr>
          <w:rFonts w:ascii="Arial" w:hAnsi="Arial" w:cs="Arial"/>
        </w:rPr>
        <w:t xml:space="preserve">Electronic Data </w:t>
      </w:r>
      <w:r w:rsidR="00CD7740">
        <w:rPr>
          <w:rFonts w:ascii="Arial" w:hAnsi="Arial" w:cs="Arial"/>
        </w:rPr>
        <w:t>Interchange System</w:t>
      </w:r>
      <w:r w:rsidR="00E4024A" w:rsidRPr="00E4024A">
        <w:rPr>
          <w:rFonts w:ascii="Arial" w:hAnsi="Arial" w:cs="Arial"/>
        </w:rPr>
        <w:t xml:space="preserve"> Agreement</w:t>
      </w:r>
      <w:r w:rsidRPr="00814A0B">
        <w:rPr>
          <w:rFonts w:ascii="Arial" w:hAnsi="Arial" w:cs="Arial"/>
          <w:bCs/>
        </w:rPr>
        <w:t xml:space="preserve"> is to communicate to issuers the following:  Ginnie Mae’s intentions and expectations about its </w:t>
      </w:r>
      <w:r w:rsidR="00532808" w:rsidRPr="00814A0B">
        <w:rPr>
          <w:rFonts w:ascii="Arial" w:hAnsi="Arial" w:cs="Arial"/>
          <w:bCs/>
        </w:rPr>
        <w:t xml:space="preserve">data interchange </w:t>
      </w:r>
      <w:r w:rsidRPr="00814A0B">
        <w:rPr>
          <w:rFonts w:ascii="Arial" w:hAnsi="Arial" w:cs="Arial"/>
          <w:bCs/>
        </w:rPr>
        <w:t>program; logistics about the electronic exchange of documents, including general specifications (standards, document types, telecommunications method); technical specifications (acknowledgments, communications, and security); and policies and procedures and specific legal issues.</w:t>
      </w:r>
      <w:r w:rsidR="00EF73DC" w:rsidRPr="00EF73DC">
        <w:rPr>
          <w:rFonts w:ascii="Arial" w:hAnsi="Arial" w:cs="Arial"/>
          <w:b/>
        </w:rPr>
        <w:t xml:space="preserve"> </w:t>
      </w:r>
      <w:r w:rsidR="00EF73DC" w:rsidRPr="00EF73DC">
        <w:rPr>
          <w:rFonts w:ascii="Arial" w:hAnsi="Arial" w:cs="Arial"/>
        </w:rPr>
        <w:t>The information is required by Ginnie Mae Handbook 5500.3, Rev. 1.</w:t>
      </w:r>
    </w:p>
    <w:p w14:paraId="0063F6A9" w14:textId="77777777" w:rsidR="00AA627A" w:rsidRPr="00814A0B" w:rsidRDefault="00AA627A" w:rsidP="00EF73DC">
      <w:pPr>
        <w:pStyle w:val="BodyTextIndent"/>
        <w:ind w:left="720"/>
        <w:rPr>
          <w:rFonts w:ascii="Arial" w:hAnsi="Arial" w:cs="Arial"/>
          <w:bCs/>
        </w:rPr>
      </w:pPr>
    </w:p>
    <w:p w14:paraId="15FA7415" w14:textId="77777777" w:rsidR="00E110D5" w:rsidRPr="00E110D5" w:rsidRDefault="00A909D0" w:rsidP="00E110D5">
      <w:pPr>
        <w:tabs>
          <w:tab w:val="left" w:pos="360"/>
          <w:tab w:val="left" w:pos="720"/>
        </w:tabs>
        <w:ind w:left="720"/>
        <w:rPr>
          <w:rFonts w:ascii="Arial" w:hAnsi="Arial" w:cs="Arial"/>
          <w:noProof/>
        </w:rPr>
      </w:pPr>
      <w:r w:rsidRPr="00EF73DC">
        <w:rPr>
          <w:rFonts w:ascii="Arial" w:hAnsi="Arial" w:cs="Arial"/>
          <w:noProof/>
        </w:rPr>
        <w:t xml:space="preserve">It takes an issuer an estimated </w:t>
      </w:r>
      <w:r>
        <w:rPr>
          <w:rFonts w:ascii="Arial" w:hAnsi="Arial" w:cs="Arial"/>
          <w:noProof/>
        </w:rPr>
        <w:t>1 hour</w:t>
      </w:r>
      <w:r w:rsidRPr="00EF73DC">
        <w:rPr>
          <w:rFonts w:ascii="Arial" w:hAnsi="Arial" w:cs="Arial"/>
          <w:noProof/>
        </w:rPr>
        <w:t xml:space="preserve"> to complete the form including reviewing the instructions.</w:t>
      </w:r>
      <w:r w:rsidR="00E110D5">
        <w:rPr>
          <w:rFonts w:ascii="Arial" w:hAnsi="Arial" w:cs="Arial"/>
          <w:noProof/>
        </w:rPr>
        <w:t xml:space="preserve">  </w:t>
      </w:r>
      <w:r w:rsidR="00E110D5" w:rsidRPr="00E110D5">
        <w:rPr>
          <w:rFonts w:ascii="Arial" w:hAnsi="Arial" w:cs="Arial"/>
          <w:noProof/>
        </w:rPr>
        <w:t xml:space="preserve">Ginnie Mae has increased this burden </w:t>
      </w:r>
      <w:r w:rsidR="00E110D5">
        <w:rPr>
          <w:rFonts w:ascii="Arial" w:hAnsi="Arial" w:cs="Arial"/>
          <w:noProof/>
        </w:rPr>
        <w:t xml:space="preserve">time </w:t>
      </w:r>
      <w:r w:rsidR="00E110D5" w:rsidRPr="00E110D5">
        <w:rPr>
          <w:rFonts w:ascii="Arial" w:hAnsi="Arial" w:cs="Arial"/>
          <w:noProof/>
        </w:rPr>
        <w:t xml:space="preserve">from </w:t>
      </w:r>
      <w:r w:rsidR="00E110D5">
        <w:rPr>
          <w:rFonts w:ascii="Arial" w:hAnsi="Arial" w:cs="Arial"/>
          <w:noProof/>
        </w:rPr>
        <w:t>8 minutes</w:t>
      </w:r>
      <w:r w:rsidR="00E110D5" w:rsidRPr="00E110D5">
        <w:rPr>
          <w:rFonts w:ascii="Arial" w:hAnsi="Arial" w:cs="Arial"/>
          <w:noProof/>
        </w:rPr>
        <w:t xml:space="preserve"> to </w:t>
      </w:r>
      <w:r w:rsidR="00E110D5">
        <w:rPr>
          <w:rFonts w:ascii="Arial" w:hAnsi="Arial" w:cs="Arial"/>
          <w:noProof/>
        </w:rPr>
        <w:t>a more realistic time of 1 hour</w:t>
      </w:r>
      <w:r w:rsidR="00E110D5" w:rsidRPr="00E110D5">
        <w:rPr>
          <w:rFonts w:ascii="Arial" w:hAnsi="Arial" w:cs="Arial"/>
          <w:noProof/>
        </w:rPr>
        <w:t>.</w:t>
      </w:r>
    </w:p>
    <w:p w14:paraId="4444166F" w14:textId="77777777" w:rsidR="00A909D0" w:rsidRDefault="00A909D0" w:rsidP="00CE59C4">
      <w:pPr>
        <w:tabs>
          <w:tab w:val="left" w:pos="360"/>
          <w:tab w:val="left" w:pos="720"/>
        </w:tabs>
        <w:ind w:left="720"/>
        <w:rPr>
          <w:rFonts w:ascii="Arial" w:hAnsi="Arial" w:cs="Arial"/>
          <w:noProof/>
        </w:rPr>
      </w:pPr>
    </w:p>
    <w:p w14:paraId="031D6924" w14:textId="77777777" w:rsidR="00817819" w:rsidRDefault="00817819" w:rsidP="00817819">
      <w:pPr>
        <w:pStyle w:val="ListParagraph"/>
        <w:numPr>
          <w:ilvl w:val="0"/>
          <w:numId w:val="22"/>
        </w:numPr>
        <w:tabs>
          <w:tab w:val="left" w:pos="360"/>
          <w:tab w:val="left" w:pos="720"/>
        </w:tabs>
        <w:rPr>
          <w:rFonts w:ascii="Arial" w:hAnsi="Arial" w:cs="Arial"/>
          <w:b/>
        </w:rPr>
      </w:pPr>
      <w:r>
        <w:rPr>
          <w:rFonts w:ascii="Arial" w:hAnsi="Arial" w:cs="Arial"/>
          <w:b/>
        </w:rPr>
        <w:t>Appendix III-29/</w:t>
      </w:r>
      <w:r w:rsidR="00A909D0">
        <w:rPr>
          <w:rFonts w:ascii="Arial" w:hAnsi="Arial" w:cs="Arial"/>
          <w:b/>
        </w:rPr>
        <w:t xml:space="preserve">System Access </w:t>
      </w:r>
      <w:r>
        <w:rPr>
          <w:rFonts w:ascii="Arial" w:hAnsi="Arial" w:cs="Arial"/>
          <w:b/>
        </w:rPr>
        <w:t>Forms</w:t>
      </w:r>
    </w:p>
    <w:p w14:paraId="1A573457" w14:textId="77777777" w:rsidR="00817819" w:rsidRDefault="00817819" w:rsidP="00817819">
      <w:pPr>
        <w:tabs>
          <w:tab w:val="left" w:pos="360"/>
          <w:tab w:val="left" w:pos="720"/>
        </w:tabs>
        <w:rPr>
          <w:rFonts w:ascii="Arial" w:hAnsi="Arial" w:cs="Arial"/>
          <w:b/>
        </w:rPr>
      </w:pPr>
    </w:p>
    <w:p w14:paraId="1E7FB22B" w14:textId="77777777" w:rsidR="00817819" w:rsidRDefault="00817819" w:rsidP="00817819">
      <w:pPr>
        <w:tabs>
          <w:tab w:val="left" w:pos="360"/>
          <w:tab w:val="left" w:pos="720"/>
        </w:tabs>
        <w:ind w:left="720"/>
        <w:rPr>
          <w:rFonts w:ascii="Arial" w:hAnsi="Arial" w:cs="Arial"/>
        </w:rPr>
      </w:pPr>
      <w:r>
        <w:rPr>
          <w:rFonts w:ascii="Arial" w:hAnsi="Arial" w:cs="Arial"/>
        </w:rPr>
        <w:t xml:space="preserve">Ginnie Mae requires </w:t>
      </w:r>
      <w:r w:rsidR="00042778">
        <w:rPr>
          <w:rFonts w:ascii="Arial" w:hAnsi="Arial" w:cs="Arial"/>
        </w:rPr>
        <w:t xml:space="preserve">both </w:t>
      </w:r>
      <w:r>
        <w:rPr>
          <w:rFonts w:ascii="Arial" w:hAnsi="Arial" w:cs="Arial"/>
        </w:rPr>
        <w:t>Issuers</w:t>
      </w:r>
      <w:r w:rsidR="00042778">
        <w:rPr>
          <w:rFonts w:ascii="Arial" w:hAnsi="Arial" w:cs="Arial"/>
        </w:rPr>
        <w:t xml:space="preserve"> and Document Custodians</w:t>
      </w:r>
      <w:r>
        <w:rPr>
          <w:rFonts w:ascii="Arial" w:hAnsi="Arial" w:cs="Arial"/>
        </w:rPr>
        <w:t xml:space="preserve"> to complete this form to obtain access to Ginnie Mae’s </w:t>
      </w:r>
      <w:r w:rsidR="00042778">
        <w:rPr>
          <w:rFonts w:ascii="Arial" w:hAnsi="Arial" w:cs="Arial"/>
        </w:rPr>
        <w:t xml:space="preserve">Systems </w:t>
      </w:r>
      <w:r>
        <w:rPr>
          <w:rFonts w:ascii="Arial" w:hAnsi="Arial" w:cs="Arial"/>
        </w:rPr>
        <w:t>in order to access business applications that are used by program participants to conduct business with Ginnie Mae.</w:t>
      </w:r>
    </w:p>
    <w:p w14:paraId="23E2EDD2" w14:textId="77777777" w:rsidR="00042778" w:rsidRDefault="00042778" w:rsidP="00817819">
      <w:pPr>
        <w:tabs>
          <w:tab w:val="left" w:pos="360"/>
          <w:tab w:val="left" w:pos="720"/>
        </w:tabs>
        <w:ind w:left="720"/>
        <w:rPr>
          <w:rFonts w:ascii="Arial" w:hAnsi="Arial" w:cs="Arial"/>
        </w:rPr>
      </w:pPr>
    </w:p>
    <w:p w14:paraId="53CA4EBB" w14:textId="77777777" w:rsidR="00817819" w:rsidRDefault="00817819" w:rsidP="00817819">
      <w:pPr>
        <w:tabs>
          <w:tab w:val="left" w:pos="360"/>
          <w:tab w:val="left" w:pos="720"/>
        </w:tabs>
        <w:ind w:left="720"/>
        <w:rPr>
          <w:rFonts w:ascii="Arial" w:hAnsi="Arial" w:cs="Arial"/>
        </w:rPr>
      </w:pPr>
      <w:r>
        <w:rPr>
          <w:rFonts w:ascii="Arial" w:hAnsi="Arial" w:cs="Arial"/>
        </w:rPr>
        <w:t>The information is required by Ginnie Mae Handbook 5500.3, Rev. 1.</w:t>
      </w:r>
    </w:p>
    <w:p w14:paraId="133B33AD" w14:textId="77777777" w:rsidR="00817819" w:rsidRDefault="00817819" w:rsidP="00817819">
      <w:pPr>
        <w:tabs>
          <w:tab w:val="left" w:pos="360"/>
          <w:tab w:val="left" w:pos="720"/>
        </w:tabs>
        <w:ind w:left="720"/>
        <w:rPr>
          <w:rFonts w:ascii="Arial" w:hAnsi="Arial" w:cs="Arial"/>
        </w:rPr>
      </w:pPr>
    </w:p>
    <w:p w14:paraId="613A4239" w14:textId="77777777" w:rsidR="00E110D5" w:rsidRDefault="00817819" w:rsidP="00E110D5">
      <w:pPr>
        <w:tabs>
          <w:tab w:val="left" w:pos="360"/>
          <w:tab w:val="left" w:pos="720"/>
        </w:tabs>
        <w:ind w:left="720"/>
        <w:rPr>
          <w:rFonts w:ascii="Arial" w:hAnsi="Arial" w:cs="Arial"/>
        </w:rPr>
      </w:pPr>
      <w:r>
        <w:rPr>
          <w:rFonts w:ascii="Arial" w:hAnsi="Arial" w:cs="Arial"/>
        </w:rPr>
        <w:t>It is estimated that it will take 2 hours for issuer to review and complete.</w:t>
      </w:r>
      <w:r w:rsidR="00E110D5">
        <w:rPr>
          <w:rFonts w:ascii="Arial" w:hAnsi="Arial" w:cs="Arial"/>
        </w:rPr>
        <w:t xml:space="preserve">  </w:t>
      </w:r>
    </w:p>
    <w:p w14:paraId="130B5E66" w14:textId="77777777" w:rsidR="00E110D5" w:rsidRDefault="00E110D5" w:rsidP="00E110D5">
      <w:pPr>
        <w:tabs>
          <w:tab w:val="left" w:pos="360"/>
          <w:tab w:val="left" w:pos="720"/>
        </w:tabs>
        <w:ind w:left="720"/>
        <w:rPr>
          <w:rFonts w:ascii="Arial" w:hAnsi="Arial" w:cs="Arial"/>
        </w:rPr>
      </w:pPr>
    </w:p>
    <w:p w14:paraId="363132CA" w14:textId="77777777" w:rsidR="00E110D5" w:rsidRDefault="00E110D5" w:rsidP="00E110D5">
      <w:pPr>
        <w:tabs>
          <w:tab w:val="left" w:pos="360"/>
          <w:tab w:val="left" w:pos="720"/>
        </w:tabs>
        <w:ind w:left="720"/>
        <w:rPr>
          <w:rFonts w:ascii="Arial" w:hAnsi="Arial" w:cs="Arial"/>
        </w:rPr>
      </w:pPr>
      <w:r>
        <w:rPr>
          <w:rFonts w:ascii="Arial" w:hAnsi="Arial" w:cs="Arial"/>
        </w:rPr>
        <w:t>Ginnie Mae replaced Appendix III-14 (Enrollment Administrator and GinnieNET Authorized Signatories) with Appendix III-29.</w:t>
      </w:r>
    </w:p>
    <w:p w14:paraId="18765104" w14:textId="77777777" w:rsidR="00E110D5" w:rsidRDefault="00E110D5" w:rsidP="00E110D5">
      <w:pPr>
        <w:tabs>
          <w:tab w:val="left" w:pos="360"/>
          <w:tab w:val="left" w:pos="720"/>
        </w:tabs>
        <w:ind w:left="720"/>
        <w:rPr>
          <w:rFonts w:ascii="Arial" w:hAnsi="Arial" w:cs="Arial"/>
        </w:rPr>
      </w:pPr>
    </w:p>
    <w:p w14:paraId="0E0ED3EF" w14:textId="77777777" w:rsidR="00E110D5" w:rsidRPr="00E110D5" w:rsidRDefault="00E110D5" w:rsidP="00E110D5">
      <w:pPr>
        <w:tabs>
          <w:tab w:val="left" w:pos="360"/>
          <w:tab w:val="left" w:pos="720"/>
        </w:tabs>
        <w:ind w:left="720"/>
        <w:rPr>
          <w:rFonts w:ascii="Arial" w:hAnsi="Arial" w:cs="Arial"/>
          <w:noProof/>
        </w:rPr>
      </w:pPr>
      <w:r>
        <w:rPr>
          <w:rFonts w:ascii="Arial" w:hAnsi="Arial" w:cs="Arial"/>
          <w:noProof/>
        </w:rPr>
        <w:t xml:space="preserve">As part of this change, </w:t>
      </w:r>
      <w:r w:rsidRPr="00E110D5">
        <w:rPr>
          <w:rFonts w:ascii="Arial" w:hAnsi="Arial" w:cs="Arial"/>
          <w:noProof/>
        </w:rPr>
        <w:t xml:space="preserve">Ginnie Mae </w:t>
      </w:r>
      <w:r>
        <w:rPr>
          <w:rFonts w:ascii="Arial" w:hAnsi="Arial" w:cs="Arial"/>
          <w:noProof/>
        </w:rPr>
        <w:t>also</w:t>
      </w:r>
      <w:r w:rsidRPr="00E110D5">
        <w:rPr>
          <w:rFonts w:ascii="Arial" w:hAnsi="Arial" w:cs="Arial"/>
          <w:noProof/>
        </w:rPr>
        <w:t xml:space="preserve"> increased this burden</w:t>
      </w:r>
      <w:r>
        <w:rPr>
          <w:rFonts w:ascii="Arial" w:hAnsi="Arial" w:cs="Arial"/>
          <w:noProof/>
        </w:rPr>
        <w:t xml:space="preserve"> time</w:t>
      </w:r>
      <w:r w:rsidRPr="00E110D5">
        <w:rPr>
          <w:rFonts w:ascii="Arial" w:hAnsi="Arial" w:cs="Arial"/>
          <w:noProof/>
        </w:rPr>
        <w:t xml:space="preserve"> from </w:t>
      </w:r>
      <w:r>
        <w:rPr>
          <w:rFonts w:ascii="Arial" w:hAnsi="Arial" w:cs="Arial"/>
          <w:noProof/>
        </w:rPr>
        <w:t>8 minutes</w:t>
      </w:r>
      <w:r w:rsidRPr="00E110D5">
        <w:rPr>
          <w:rFonts w:ascii="Arial" w:hAnsi="Arial" w:cs="Arial"/>
          <w:noProof/>
        </w:rPr>
        <w:t xml:space="preserve"> to </w:t>
      </w:r>
      <w:r>
        <w:rPr>
          <w:rFonts w:ascii="Arial" w:hAnsi="Arial" w:cs="Arial"/>
          <w:noProof/>
        </w:rPr>
        <w:t xml:space="preserve">a more realistic time of </w:t>
      </w:r>
      <w:r w:rsidR="00D133DE">
        <w:rPr>
          <w:rFonts w:ascii="Arial" w:hAnsi="Arial" w:cs="Arial"/>
          <w:noProof/>
        </w:rPr>
        <w:t>2</w:t>
      </w:r>
      <w:r>
        <w:rPr>
          <w:rFonts w:ascii="Arial" w:hAnsi="Arial" w:cs="Arial"/>
          <w:noProof/>
        </w:rPr>
        <w:t xml:space="preserve"> hour</w:t>
      </w:r>
      <w:r w:rsidR="00D133DE">
        <w:rPr>
          <w:rFonts w:ascii="Arial" w:hAnsi="Arial" w:cs="Arial"/>
          <w:noProof/>
        </w:rPr>
        <w:t>s</w:t>
      </w:r>
      <w:r w:rsidRPr="00E110D5">
        <w:rPr>
          <w:rFonts w:ascii="Arial" w:hAnsi="Arial" w:cs="Arial"/>
          <w:noProof/>
        </w:rPr>
        <w:t>.</w:t>
      </w:r>
    </w:p>
    <w:p w14:paraId="69E52441" w14:textId="77777777" w:rsidR="00817819" w:rsidRPr="00817819" w:rsidRDefault="00817819" w:rsidP="00817819">
      <w:pPr>
        <w:tabs>
          <w:tab w:val="left" w:pos="360"/>
          <w:tab w:val="left" w:pos="720"/>
        </w:tabs>
        <w:ind w:left="720"/>
        <w:rPr>
          <w:rFonts w:ascii="Arial" w:hAnsi="Arial" w:cs="Arial"/>
          <w:b/>
        </w:rPr>
      </w:pPr>
    </w:p>
    <w:p w14:paraId="16ACC6CE" w14:textId="77777777" w:rsidR="00AA627A" w:rsidRPr="00EF73DC" w:rsidRDefault="00AA627A" w:rsidP="00F33E2D">
      <w:pPr>
        <w:pStyle w:val="Heading3"/>
        <w:pBdr>
          <w:bottom w:val="single" w:sz="4" w:space="1" w:color="auto"/>
        </w:pBdr>
        <w:ind w:left="180"/>
        <w:jc w:val="center"/>
        <w:rPr>
          <w:rFonts w:ascii="Arial" w:hAnsi="Arial" w:cs="Arial"/>
          <w:bCs/>
          <w:sz w:val="24"/>
          <w:u w:val="none"/>
        </w:rPr>
      </w:pPr>
      <w:r w:rsidRPr="00EF73DC">
        <w:rPr>
          <w:rFonts w:ascii="Arial" w:hAnsi="Arial" w:cs="Arial"/>
          <w:bCs/>
          <w:sz w:val="24"/>
          <w:u w:val="none"/>
        </w:rPr>
        <w:t xml:space="preserve">Ginnie Mae Master Agreements: HUD </w:t>
      </w:r>
      <w:r w:rsidR="001A31CE">
        <w:rPr>
          <w:rFonts w:ascii="Arial" w:hAnsi="Arial" w:cs="Arial"/>
          <w:bCs/>
          <w:sz w:val="24"/>
          <w:u w:val="none"/>
        </w:rPr>
        <w:t xml:space="preserve">11703-II, </w:t>
      </w:r>
      <w:r w:rsidRPr="00EF73DC">
        <w:rPr>
          <w:rFonts w:ascii="Arial" w:hAnsi="Arial" w:cs="Arial"/>
          <w:bCs/>
          <w:sz w:val="24"/>
          <w:u w:val="none"/>
        </w:rPr>
        <w:t>11707, 11709, 11715, and 11720</w:t>
      </w:r>
    </w:p>
    <w:p w14:paraId="7D53839B" w14:textId="77777777" w:rsidR="00AA627A" w:rsidRPr="00814A0B" w:rsidRDefault="00AA627A">
      <w:pPr>
        <w:ind w:left="720"/>
        <w:rPr>
          <w:rFonts w:ascii="Arial" w:hAnsi="Arial" w:cs="Arial"/>
          <w:b/>
          <w:bCs/>
        </w:rPr>
      </w:pPr>
    </w:p>
    <w:p w14:paraId="07ECC90C" w14:textId="77777777" w:rsidR="00234495" w:rsidRDefault="00AA627A" w:rsidP="00F33E2D">
      <w:pPr>
        <w:ind w:left="360"/>
        <w:rPr>
          <w:rFonts w:ascii="Arial" w:hAnsi="Arial" w:cs="Arial"/>
          <w:bCs/>
        </w:rPr>
      </w:pPr>
      <w:r w:rsidRPr="00F33E2D">
        <w:rPr>
          <w:rFonts w:ascii="Arial" w:hAnsi="Arial" w:cs="Arial"/>
          <w:bCs/>
        </w:rPr>
        <w:t xml:space="preserve">Ginnie Mae forms </w:t>
      </w:r>
      <w:r w:rsidR="00234495">
        <w:rPr>
          <w:rFonts w:ascii="Arial" w:hAnsi="Arial" w:cs="Arial"/>
          <w:bCs/>
        </w:rPr>
        <w:t xml:space="preserve">HUD 11703-II, </w:t>
      </w:r>
      <w:r w:rsidRPr="00F33E2D">
        <w:rPr>
          <w:rFonts w:ascii="Arial" w:hAnsi="Arial" w:cs="Arial"/>
          <w:bCs/>
        </w:rPr>
        <w:t xml:space="preserve">HUD 11707, 11709, 11715, and 11720 are Ginnie Mae Master Agreements.  These documents, prepared by issuers, eliminate the redundant and repetitive use of the same forms each time an issuer requests that a new Ginnie Mae security be issued.  The Master Agreements are the foundation for the paperless pools.  They define the relationships and responsibilities of the issuer, the issuer’s </w:t>
      </w:r>
      <w:r w:rsidR="00E110D5" w:rsidRPr="00F33E2D">
        <w:rPr>
          <w:rFonts w:ascii="Arial" w:hAnsi="Arial" w:cs="Arial"/>
          <w:bCs/>
        </w:rPr>
        <w:t>sub servicer</w:t>
      </w:r>
      <w:r w:rsidRPr="00F33E2D">
        <w:rPr>
          <w:rFonts w:ascii="Arial" w:hAnsi="Arial" w:cs="Arial"/>
          <w:bCs/>
        </w:rPr>
        <w:t xml:space="preserve"> and the issuer’s document custodian.</w:t>
      </w:r>
    </w:p>
    <w:p w14:paraId="21E98F07" w14:textId="77777777" w:rsidR="00234495" w:rsidRDefault="00234495" w:rsidP="00F33E2D">
      <w:pPr>
        <w:ind w:left="360"/>
        <w:rPr>
          <w:rFonts w:ascii="Arial" w:hAnsi="Arial" w:cs="Arial"/>
          <w:bCs/>
        </w:rPr>
      </w:pPr>
    </w:p>
    <w:p w14:paraId="1820C5D4" w14:textId="77777777" w:rsidR="00AA627A" w:rsidRDefault="00234495" w:rsidP="00F33E2D">
      <w:pPr>
        <w:ind w:left="360"/>
        <w:rPr>
          <w:rFonts w:ascii="Arial" w:hAnsi="Arial" w:cs="Arial"/>
          <w:bCs/>
        </w:rPr>
      </w:pPr>
      <w:r>
        <w:rPr>
          <w:rFonts w:ascii="Arial" w:hAnsi="Arial" w:cs="Arial"/>
          <w:bCs/>
        </w:rPr>
        <w:t>These forms have been automated and the data is being stored electronically via Ginnie Mae’s Master Agreement Management System</w:t>
      </w:r>
      <w:r w:rsidR="00906B8F">
        <w:rPr>
          <w:rFonts w:ascii="Arial" w:hAnsi="Arial" w:cs="Arial"/>
          <w:bCs/>
        </w:rPr>
        <w:t xml:space="preserve"> (“MAMS”) in the Ginnie Mae Enterprise Portal (“GMEP”).  The hardcopy forms have been preserved for use in case of business continuity (“COOP”) event.</w:t>
      </w:r>
    </w:p>
    <w:p w14:paraId="3C521807" w14:textId="77777777" w:rsidR="00906B8F" w:rsidRDefault="00906B8F" w:rsidP="00F33E2D">
      <w:pPr>
        <w:ind w:left="360"/>
        <w:rPr>
          <w:rFonts w:ascii="Arial" w:hAnsi="Arial" w:cs="Arial"/>
          <w:bCs/>
        </w:rPr>
      </w:pPr>
    </w:p>
    <w:p w14:paraId="34709F5B" w14:textId="77777777" w:rsidR="00906B8F" w:rsidRDefault="00906B8F" w:rsidP="00F33E2D">
      <w:pPr>
        <w:pStyle w:val="Heading3"/>
        <w:numPr>
          <w:ilvl w:val="0"/>
          <w:numId w:val="22"/>
        </w:numPr>
        <w:rPr>
          <w:rFonts w:ascii="Arial" w:hAnsi="Arial" w:cs="Arial"/>
          <w:bCs/>
          <w:u w:val="none"/>
        </w:rPr>
      </w:pPr>
      <w:r>
        <w:rPr>
          <w:rFonts w:ascii="Arial" w:hAnsi="Arial" w:cs="Arial"/>
          <w:bCs/>
          <w:u w:val="none"/>
        </w:rPr>
        <w:t>Form HUD 11703-II/Appendix 1-7/Master Agreement of Participation Accounting</w:t>
      </w:r>
    </w:p>
    <w:p w14:paraId="5F9E4597" w14:textId="77777777" w:rsidR="00906B8F" w:rsidRDefault="00906B8F" w:rsidP="00906B8F">
      <w:pPr>
        <w:ind w:left="720"/>
      </w:pPr>
    </w:p>
    <w:p w14:paraId="55E0A266" w14:textId="77777777" w:rsidR="00906B8F" w:rsidRDefault="00906B8F" w:rsidP="00906B8F">
      <w:pPr>
        <w:ind w:left="720"/>
        <w:rPr>
          <w:rFonts w:ascii="Arial" w:hAnsi="Arial" w:cs="Arial"/>
        </w:rPr>
      </w:pPr>
      <w:r w:rsidRPr="00906B8F">
        <w:rPr>
          <w:rFonts w:ascii="Arial" w:hAnsi="Arial" w:cs="Arial"/>
        </w:rPr>
        <w:t>This form is to be com</w:t>
      </w:r>
      <w:r>
        <w:rPr>
          <w:rFonts w:ascii="Arial" w:hAnsi="Arial" w:cs="Arial"/>
        </w:rPr>
        <w:t>pleted by issue</w:t>
      </w:r>
      <w:r w:rsidR="00BB6E5F">
        <w:rPr>
          <w:rFonts w:ascii="Arial" w:hAnsi="Arial" w:cs="Arial"/>
        </w:rPr>
        <w:t>r</w:t>
      </w:r>
      <w:r>
        <w:rPr>
          <w:rFonts w:ascii="Arial" w:hAnsi="Arial" w:cs="Arial"/>
        </w:rPr>
        <w:t>s and any participation agents approved to issue HMBS pools in the Ginnie Mae II MBS program.  The purpose of the form is to provide assurance to Ginnie Mae that the monitoring and accounting of Participations for each of the issuer’s securities will be performed in accordance with Ginnie Mae requirements.</w:t>
      </w:r>
    </w:p>
    <w:p w14:paraId="25C2F627" w14:textId="77777777" w:rsidR="00906B8F" w:rsidRDefault="00906B8F" w:rsidP="00906B8F">
      <w:pPr>
        <w:ind w:left="720"/>
        <w:rPr>
          <w:rFonts w:ascii="Arial" w:hAnsi="Arial" w:cs="Arial"/>
        </w:rPr>
      </w:pPr>
    </w:p>
    <w:p w14:paraId="4369FA81" w14:textId="77777777" w:rsidR="00906B8F" w:rsidRPr="00F33E2D" w:rsidRDefault="00906B8F" w:rsidP="00906B8F">
      <w:pPr>
        <w:ind w:left="720"/>
        <w:rPr>
          <w:rFonts w:ascii="Arial" w:hAnsi="Arial" w:cs="Arial"/>
          <w:bCs/>
        </w:rPr>
      </w:pPr>
      <w:r>
        <w:rPr>
          <w:rFonts w:ascii="Arial" w:hAnsi="Arial" w:cs="Arial"/>
          <w:noProof/>
        </w:rPr>
        <w:t xml:space="preserve">Ginnie Mae requires </w:t>
      </w:r>
      <w:r w:rsidRPr="00F33E2D">
        <w:rPr>
          <w:rFonts w:ascii="Arial" w:hAnsi="Arial" w:cs="Arial"/>
          <w:noProof/>
        </w:rPr>
        <w:t>this form</w:t>
      </w:r>
      <w:r>
        <w:rPr>
          <w:rFonts w:ascii="Arial" w:hAnsi="Arial" w:cs="Arial"/>
          <w:noProof/>
        </w:rPr>
        <w:t xml:space="preserve"> to be updated</w:t>
      </w:r>
      <w:r w:rsidRPr="00F33E2D">
        <w:rPr>
          <w:rFonts w:ascii="Arial" w:hAnsi="Arial" w:cs="Arial"/>
          <w:noProof/>
        </w:rPr>
        <w:t xml:space="preserve"> annually. </w:t>
      </w:r>
      <w:r w:rsidR="00BB6E5F">
        <w:rPr>
          <w:rFonts w:ascii="Arial" w:hAnsi="Arial" w:cs="Arial"/>
          <w:noProof/>
        </w:rPr>
        <w:t xml:space="preserve">Also, updates are required when </w:t>
      </w:r>
      <w:r w:rsidR="00BB6E5F" w:rsidRPr="005D180B">
        <w:rPr>
          <w:rFonts w:ascii="Arial" w:hAnsi="Arial" w:cs="Arial"/>
          <w:noProof/>
        </w:rPr>
        <w:t>there is a change in the authorized signers of the issuer's company</w:t>
      </w:r>
      <w:r w:rsidR="00BB6E5F">
        <w:rPr>
          <w:rFonts w:ascii="Arial" w:hAnsi="Arial" w:cs="Arial"/>
          <w:noProof/>
        </w:rPr>
        <w:t>,</w:t>
      </w:r>
      <w:r w:rsidR="00BB6E5F" w:rsidRPr="005D180B">
        <w:rPr>
          <w:rFonts w:ascii="Arial" w:hAnsi="Arial" w:cs="Arial"/>
          <w:noProof/>
        </w:rPr>
        <w:t xml:space="preserve"> a change in the issuer’s name</w:t>
      </w:r>
      <w:r w:rsidR="00BB6E5F">
        <w:rPr>
          <w:rFonts w:ascii="Arial" w:hAnsi="Arial" w:cs="Arial"/>
          <w:noProof/>
        </w:rPr>
        <w:t xml:space="preserve"> or a change in the issuer’s participation agents</w:t>
      </w:r>
      <w:r w:rsidR="00BB6E5F" w:rsidRPr="005D180B">
        <w:rPr>
          <w:rFonts w:ascii="Arial" w:hAnsi="Arial" w:cs="Arial"/>
          <w:noProof/>
        </w:rPr>
        <w:t>.</w:t>
      </w:r>
      <w:r w:rsidRPr="00F33E2D">
        <w:rPr>
          <w:rFonts w:ascii="Arial" w:hAnsi="Arial" w:cs="Arial"/>
          <w:noProof/>
        </w:rPr>
        <w:t xml:space="preserve"> </w:t>
      </w:r>
      <w:r w:rsidRPr="00F33E2D">
        <w:rPr>
          <w:rFonts w:ascii="Arial" w:hAnsi="Arial" w:cs="Arial"/>
          <w:bCs/>
        </w:rPr>
        <w:t xml:space="preserve">Issuers can electronically certify that the information has not changed in </w:t>
      </w:r>
      <w:r>
        <w:rPr>
          <w:rFonts w:ascii="Arial" w:hAnsi="Arial" w:cs="Arial"/>
          <w:bCs/>
        </w:rPr>
        <w:t>MAMS</w:t>
      </w:r>
      <w:r w:rsidRPr="00F33E2D">
        <w:rPr>
          <w:rFonts w:ascii="Arial" w:hAnsi="Arial" w:cs="Arial"/>
          <w:bCs/>
        </w:rPr>
        <w:t>.</w:t>
      </w:r>
    </w:p>
    <w:p w14:paraId="53BBF384" w14:textId="77777777" w:rsidR="00906B8F" w:rsidRPr="00F33E2D" w:rsidRDefault="00906B8F" w:rsidP="00906B8F">
      <w:pPr>
        <w:rPr>
          <w:rFonts w:ascii="Arial" w:hAnsi="Arial" w:cs="Arial"/>
          <w:noProof/>
        </w:rPr>
      </w:pPr>
    </w:p>
    <w:p w14:paraId="6C79E1D2" w14:textId="77777777" w:rsidR="00906B8F" w:rsidRDefault="00906B8F" w:rsidP="00906B8F">
      <w:pPr>
        <w:ind w:left="720"/>
        <w:rPr>
          <w:rFonts w:ascii="Arial" w:hAnsi="Arial" w:cs="Arial"/>
          <w:noProof/>
        </w:rPr>
      </w:pPr>
      <w:r>
        <w:rPr>
          <w:rFonts w:ascii="Arial" w:hAnsi="Arial" w:cs="Arial"/>
          <w:noProof/>
        </w:rPr>
        <w:t xml:space="preserve">The </w:t>
      </w:r>
      <w:r w:rsidRPr="00F33E2D">
        <w:rPr>
          <w:rFonts w:ascii="Arial" w:hAnsi="Arial" w:cs="Arial"/>
          <w:noProof/>
        </w:rPr>
        <w:t xml:space="preserve">estimated </w:t>
      </w:r>
      <w:r>
        <w:rPr>
          <w:rFonts w:ascii="Arial" w:hAnsi="Arial" w:cs="Arial"/>
          <w:noProof/>
        </w:rPr>
        <w:t xml:space="preserve">time to complete the form is 5 </w:t>
      </w:r>
      <w:r w:rsidRPr="00F33E2D">
        <w:rPr>
          <w:rFonts w:ascii="Arial" w:hAnsi="Arial" w:cs="Arial"/>
          <w:noProof/>
        </w:rPr>
        <w:t>minute</w:t>
      </w:r>
      <w:r>
        <w:rPr>
          <w:rFonts w:ascii="Arial" w:hAnsi="Arial" w:cs="Arial"/>
          <w:noProof/>
        </w:rPr>
        <w:t>s</w:t>
      </w:r>
      <w:r w:rsidRPr="00F33E2D">
        <w:rPr>
          <w:rFonts w:ascii="Arial" w:hAnsi="Arial" w:cs="Arial"/>
          <w:noProof/>
        </w:rPr>
        <w:t xml:space="preserve">, </w:t>
      </w:r>
      <w:r>
        <w:rPr>
          <w:rFonts w:ascii="Arial" w:hAnsi="Arial" w:cs="Arial"/>
          <w:noProof/>
        </w:rPr>
        <w:t>which includes</w:t>
      </w:r>
      <w:r w:rsidRPr="00F33E2D">
        <w:rPr>
          <w:rFonts w:ascii="Arial" w:hAnsi="Arial" w:cs="Arial"/>
          <w:noProof/>
        </w:rPr>
        <w:t xml:space="preserve"> time for the review</w:t>
      </w:r>
      <w:r>
        <w:rPr>
          <w:rFonts w:ascii="Arial" w:hAnsi="Arial" w:cs="Arial"/>
          <w:noProof/>
        </w:rPr>
        <w:t>ing</w:t>
      </w:r>
      <w:r w:rsidRPr="00F33E2D">
        <w:rPr>
          <w:rFonts w:ascii="Arial" w:hAnsi="Arial" w:cs="Arial"/>
          <w:noProof/>
        </w:rPr>
        <w:t xml:space="preserve"> of the instructions.  The information is required by Section 306(g) of the National Housing Act or by Ginnie Mae Handbook 5500.3, Rev. 1.</w:t>
      </w:r>
    </w:p>
    <w:p w14:paraId="1AD93173" w14:textId="77777777" w:rsidR="00906B8F" w:rsidRDefault="00906B8F" w:rsidP="00906B8F">
      <w:pPr>
        <w:ind w:left="720"/>
        <w:rPr>
          <w:rFonts w:ascii="Arial" w:hAnsi="Arial" w:cs="Arial"/>
          <w:noProof/>
        </w:rPr>
      </w:pPr>
    </w:p>
    <w:p w14:paraId="194ABB82" w14:textId="77777777" w:rsidR="00906B8F" w:rsidRPr="00F33E2D" w:rsidRDefault="00906B8F" w:rsidP="00906B8F">
      <w:pPr>
        <w:ind w:left="720"/>
        <w:rPr>
          <w:rFonts w:ascii="Arial" w:hAnsi="Arial" w:cs="Arial"/>
          <w:noProof/>
        </w:rPr>
      </w:pPr>
      <w:r>
        <w:rPr>
          <w:rFonts w:ascii="Arial" w:hAnsi="Arial" w:cs="Arial"/>
          <w:noProof/>
        </w:rPr>
        <w:t>This form has been automated and document reserved for reference purposes only, not valid for submission.</w:t>
      </w:r>
    </w:p>
    <w:p w14:paraId="63081C94" w14:textId="77777777" w:rsidR="00906B8F" w:rsidRPr="00906B8F" w:rsidRDefault="00906B8F" w:rsidP="00906B8F"/>
    <w:p w14:paraId="493D3601" w14:textId="77777777" w:rsidR="00AA627A" w:rsidRPr="00F33E2D" w:rsidRDefault="00AA627A" w:rsidP="00F33E2D">
      <w:pPr>
        <w:pStyle w:val="Heading3"/>
        <w:numPr>
          <w:ilvl w:val="0"/>
          <w:numId w:val="22"/>
        </w:numPr>
        <w:rPr>
          <w:rFonts w:ascii="Arial" w:hAnsi="Arial" w:cs="Arial"/>
          <w:bCs/>
          <w:u w:val="none"/>
        </w:rPr>
      </w:pPr>
      <w:r w:rsidRPr="00F33E2D">
        <w:rPr>
          <w:rFonts w:ascii="Arial" w:hAnsi="Arial" w:cs="Arial"/>
          <w:bCs/>
          <w:u w:val="none"/>
        </w:rPr>
        <w:t>Form HUD 11707/Appendix III-1/ Master Servicing Agreement</w:t>
      </w:r>
    </w:p>
    <w:p w14:paraId="4C4D8ED7" w14:textId="77777777" w:rsidR="00AA627A" w:rsidRPr="00814A0B" w:rsidRDefault="00AA627A">
      <w:pPr>
        <w:ind w:left="720"/>
        <w:rPr>
          <w:rFonts w:ascii="Arial" w:hAnsi="Arial" w:cs="Arial"/>
          <w:b/>
          <w:bCs/>
        </w:rPr>
      </w:pPr>
    </w:p>
    <w:p w14:paraId="566DBD13" w14:textId="77777777" w:rsidR="00AA627A" w:rsidRPr="00F33E2D" w:rsidRDefault="00AA627A" w:rsidP="00F33E2D">
      <w:pPr>
        <w:ind w:left="720"/>
        <w:rPr>
          <w:rFonts w:ascii="Arial" w:hAnsi="Arial" w:cs="Arial"/>
          <w:bCs/>
        </w:rPr>
      </w:pPr>
      <w:r w:rsidRPr="00F33E2D">
        <w:rPr>
          <w:rFonts w:ascii="Arial" w:hAnsi="Arial" w:cs="Arial"/>
          <w:bCs/>
        </w:rPr>
        <w:t>Th</w:t>
      </w:r>
      <w:r w:rsidR="007E0501">
        <w:rPr>
          <w:rFonts w:ascii="Arial" w:hAnsi="Arial" w:cs="Arial"/>
          <w:bCs/>
        </w:rPr>
        <w:t>is</w:t>
      </w:r>
      <w:r w:rsidRPr="00F33E2D">
        <w:rPr>
          <w:rFonts w:ascii="Arial" w:hAnsi="Arial" w:cs="Arial"/>
          <w:bCs/>
        </w:rPr>
        <w:t xml:space="preserve"> form is completed by the issuer to provide assurance to Ginnie Mae that servicing of the mortgages backing the securities approved for issuance will be performed in accordance with acceptable standards of mortgage servicing.  Th</w:t>
      </w:r>
      <w:r w:rsidR="007E0501">
        <w:rPr>
          <w:rFonts w:ascii="Arial" w:hAnsi="Arial" w:cs="Arial"/>
          <w:bCs/>
        </w:rPr>
        <w:t>is</w:t>
      </w:r>
      <w:r w:rsidRPr="00F33E2D">
        <w:rPr>
          <w:rFonts w:ascii="Arial" w:hAnsi="Arial" w:cs="Arial"/>
          <w:bCs/>
        </w:rPr>
        <w:t xml:space="preserve"> form is used by Ginnie Mae’s </w:t>
      </w:r>
      <w:r w:rsidR="00A2510C">
        <w:rPr>
          <w:rFonts w:ascii="Arial" w:hAnsi="Arial" w:cs="Arial"/>
          <w:bCs/>
        </w:rPr>
        <w:t>P</w:t>
      </w:r>
      <w:r w:rsidRPr="00F33E2D">
        <w:rPr>
          <w:rFonts w:ascii="Arial" w:hAnsi="Arial" w:cs="Arial"/>
          <w:bCs/>
        </w:rPr>
        <w:t xml:space="preserve">ool </w:t>
      </w:r>
      <w:r w:rsidR="00A2510C">
        <w:rPr>
          <w:rFonts w:ascii="Arial" w:hAnsi="Arial" w:cs="Arial"/>
          <w:bCs/>
        </w:rPr>
        <w:t>P</w:t>
      </w:r>
      <w:r w:rsidRPr="00F33E2D">
        <w:rPr>
          <w:rFonts w:ascii="Arial" w:hAnsi="Arial" w:cs="Arial"/>
          <w:bCs/>
        </w:rPr>
        <w:t xml:space="preserve">rocessing </w:t>
      </w:r>
      <w:r w:rsidR="00A2510C">
        <w:rPr>
          <w:rFonts w:ascii="Arial" w:hAnsi="Arial" w:cs="Arial"/>
          <w:bCs/>
        </w:rPr>
        <w:t>A</w:t>
      </w:r>
      <w:r w:rsidRPr="00F33E2D">
        <w:rPr>
          <w:rFonts w:ascii="Arial" w:hAnsi="Arial" w:cs="Arial"/>
          <w:bCs/>
        </w:rPr>
        <w:t>gent to determine if the issuer of the pool is the sole servicer, or if the issuer has established a sub-contract servicing arrangement with another institution to perform certain servicing functions on behalf of the issuer.  If the issuer chooses to use a sub-servicer, the sub-contract servicer must be an approved Ginnie Mae issuer.  Issuers may use more than one sub-contract servicer, however, there can only be one sub-contract servicer for each pool or loan package.  Th</w:t>
      </w:r>
      <w:r w:rsidR="00A2510C">
        <w:rPr>
          <w:rFonts w:ascii="Arial" w:hAnsi="Arial" w:cs="Arial"/>
          <w:bCs/>
        </w:rPr>
        <w:t>is</w:t>
      </w:r>
      <w:r w:rsidRPr="00F33E2D">
        <w:rPr>
          <w:rFonts w:ascii="Arial" w:hAnsi="Arial" w:cs="Arial"/>
          <w:bCs/>
        </w:rPr>
        <w:t xml:space="preserve"> form is required to be on file with the </w:t>
      </w:r>
      <w:r w:rsidR="00A2510C">
        <w:rPr>
          <w:rFonts w:ascii="Arial" w:hAnsi="Arial" w:cs="Arial"/>
          <w:bCs/>
        </w:rPr>
        <w:t>P</w:t>
      </w:r>
      <w:r w:rsidRPr="00F33E2D">
        <w:rPr>
          <w:rFonts w:ascii="Arial" w:hAnsi="Arial" w:cs="Arial"/>
          <w:bCs/>
        </w:rPr>
        <w:t xml:space="preserve">ool </w:t>
      </w:r>
      <w:r w:rsidR="00A2510C">
        <w:rPr>
          <w:rFonts w:ascii="Arial" w:hAnsi="Arial" w:cs="Arial"/>
          <w:bCs/>
        </w:rPr>
        <w:t>P</w:t>
      </w:r>
      <w:r w:rsidRPr="00F33E2D">
        <w:rPr>
          <w:rFonts w:ascii="Arial" w:hAnsi="Arial" w:cs="Arial"/>
          <w:bCs/>
        </w:rPr>
        <w:t xml:space="preserve">rocessing </w:t>
      </w:r>
      <w:r w:rsidR="00A2510C">
        <w:rPr>
          <w:rFonts w:ascii="Arial" w:hAnsi="Arial" w:cs="Arial"/>
          <w:bCs/>
        </w:rPr>
        <w:t>A</w:t>
      </w:r>
      <w:r w:rsidRPr="00F33E2D">
        <w:rPr>
          <w:rFonts w:ascii="Arial" w:hAnsi="Arial" w:cs="Arial"/>
          <w:bCs/>
        </w:rPr>
        <w:t>gent</w:t>
      </w:r>
      <w:r w:rsidR="00A2510C">
        <w:rPr>
          <w:rFonts w:ascii="Arial" w:hAnsi="Arial" w:cs="Arial"/>
          <w:bCs/>
        </w:rPr>
        <w:t xml:space="preserve"> </w:t>
      </w:r>
      <w:r w:rsidRPr="00F33E2D">
        <w:rPr>
          <w:rFonts w:ascii="Arial" w:hAnsi="Arial" w:cs="Arial"/>
          <w:bCs/>
        </w:rPr>
        <w:t>before the submission of the pools.</w:t>
      </w:r>
    </w:p>
    <w:p w14:paraId="4AFB5C1E" w14:textId="77777777" w:rsidR="00AA627A" w:rsidRPr="00F33E2D" w:rsidRDefault="00AA627A" w:rsidP="00F33E2D">
      <w:pPr>
        <w:rPr>
          <w:rFonts w:ascii="Arial" w:hAnsi="Arial" w:cs="Arial"/>
          <w:bCs/>
        </w:rPr>
      </w:pPr>
    </w:p>
    <w:p w14:paraId="2809B90D" w14:textId="77777777" w:rsidR="00AA627A" w:rsidRPr="00F33E2D" w:rsidRDefault="00E829AB" w:rsidP="00F33E2D">
      <w:pPr>
        <w:ind w:left="720"/>
        <w:rPr>
          <w:rFonts w:ascii="Arial" w:hAnsi="Arial" w:cs="Arial"/>
          <w:bCs/>
        </w:rPr>
      </w:pPr>
      <w:r>
        <w:rPr>
          <w:rFonts w:ascii="Arial" w:hAnsi="Arial" w:cs="Arial"/>
          <w:bCs/>
        </w:rPr>
        <w:t xml:space="preserve">Ginnie Mae requires this form to be updated annually. </w:t>
      </w:r>
      <w:r w:rsidR="0053499C">
        <w:rPr>
          <w:rFonts w:ascii="Arial" w:hAnsi="Arial" w:cs="Arial"/>
          <w:noProof/>
        </w:rPr>
        <w:t xml:space="preserve">Also, updates are required when </w:t>
      </w:r>
      <w:r w:rsidR="0053499C" w:rsidRPr="005D180B">
        <w:rPr>
          <w:rFonts w:ascii="Arial" w:hAnsi="Arial" w:cs="Arial"/>
          <w:noProof/>
        </w:rPr>
        <w:t>there is a change in the issuer’s name</w:t>
      </w:r>
      <w:r w:rsidR="0053499C">
        <w:rPr>
          <w:rFonts w:ascii="Arial" w:hAnsi="Arial" w:cs="Arial"/>
          <w:noProof/>
        </w:rPr>
        <w:t xml:space="preserve"> or a change in the issuer’s subservicer</w:t>
      </w:r>
      <w:r w:rsidR="0053499C" w:rsidRPr="005D180B">
        <w:rPr>
          <w:rFonts w:ascii="Arial" w:hAnsi="Arial" w:cs="Arial"/>
          <w:noProof/>
        </w:rPr>
        <w:t>.</w:t>
      </w:r>
      <w:r w:rsidR="0053499C">
        <w:rPr>
          <w:rFonts w:ascii="Arial" w:hAnsi="Arial" w:cs="Arial"/>
          <w:noProof/>
        </w:rPr>
        <w:t xml:space="preserve">  </w:t>
      </w:r>
      <w:r w:rsidR="00AA627A" w:rsidRPr="00F33E2D">
        <w:rPr>
          <w:rFonts w:ascii="Arial" w:hAnsi="Arial" w:cs="Arial"/>
          <w:bCs/>
        </w:rPr>
        <w:t xml:space="preserve">Issuers can electronically certify that the information has not changed in </w:t>
      </w:r>
      <w:r w:rsidR="00906B8F">
        <w:rPr>
          <w:rFonts w:ascii="Arial" w:hAnsi="Arial" w:cs="Arial"/>
          <w:bCs/>
        </w:rPr>
        <w:t>MAMS</w:t>
      </w:r>
      <w:r w:rsidR="00AA627A" w:rsidRPr="00F33E2D">
        <w:rPr>
          <w:rFonts w:ascii="Arial" w:hAnsi="Arial" w:cs="Arial"/>
          <w:bCs/>
        </w:rPr>
        <w:t>.</w:t>
      </w:r>
    </w:p>
    <w:p w14:paraId="180CEC82" w14:textId="77777777" w:rsidR="00AA627A" w:rsidRPr="00F33E2D" w:rsidRDefault="00AA627A" w:rsidP="00F33E2D">
      <w:pPr>
        <w:rPr>
          <w:rFonts w:ascii="Arial" w:hAnsi="Arial" w:cs="Arial"/>
          <w:bCs/>
        </w:rPr>
      </w:pPr>
    </w:p>
    <w:p w14:paraId="42DA0753" w14:textId="77777777" w:rsidR="00AA627A" w:rsidRPr="00F33E2D" w:rsidRDefault="00AA627A" w:rsidP="00F33E2D">
      <w:pPr>
        <w:ind w:firstLine="720"/>
        <w:rPr>
          <w:rFonts w:ascii="Arial" w:hAnsi="Arial" w:cs="Arial"/>
          <w:bCs/>
        </w:rPr>
      </w:pPr>
      <w:r w:rsidRPr="00F33E2D">
        <w:rPr>
          <w:rFonts w:ascii="Arial" w:hAnsi="Arial" w:cs="Arial"/>
          <w:bCs/>
        </w:rPr>
        <w:t xml:space="preserve">The estimated time to complete the form is </w:t>
      </w:r>
      <w:r w:rsidR="00906B8F">
        <w:rPr>
          <w:rFonts w:ascii="Arial" w:hAnsi="Arial" w:cs="Arial"/>
          <w:bCs/>
        </w:rPr>
        <w:t>2</w:t>
      </w:r>
      <w:r w:rsidRPr="00F33E2D">
        <w:rPr>
          <w:rFonts w:ascii="Arial" w:hAnsi="Arial" w:cs="Arial"/>
          <w:bCs/>
        </w:rPr>
        <w:t xml:space="preserve"> minute</w:t>
      </w:r>
      <w:r w:rsidR="008B54F1">
        <w:rPr>
          <w:rFonts w:ascii="Arial" w:hAnsi="Arial" w:cs="Arial"/>
          <w:bCs/>
        </w:rPr>
        <w:t>s</w:t>
      </w:r>
      <w:r w:rsidRPr="00F33E2D">
        <w:rPr>
          <w:rFonts w:ascii="Arial" w:hAnsi="Arial" w:cs="Arial"/>
          <w:bCs/>
        </w:rPr>
        <w:t>, which includes time for reviewing the instructions.</w:t>
      </w:r>
    </w:p>
    <w:p w14:paraId="4157DBA9" w14:textId="77777777" w:rsidR="00AA627A" w:rsidRDefault="00AA627A" w:rsidP="00F33E2D">
      <w:pPr>
        <w:pStyle w:val="BodyTextIndent"/>
        <w:ind w:left="720"/>
        <w:rPr>
          <w:rFonts w:ascii="Arial" w:hAnsi="Arial" w:cs="Arial"/>
          <w:b w:val="0"/>
          <w:bCs/>
        </w:rPr>
      </w:pPr>
      <w:r w:rsidRPr="00F33E2D">
        <w:rPr>
          <w:rFonts w:ascii="Arial" w:hAnsi="Arial" w:cs="Arial"/>
          <w:b w:val="0"/>
          <w:bCs/>
        </w:rPr>
        <w:t>The information is required by Section 306(g) of the National Housing Act or by Ginnie Mae Handbook 5500.3, Rev. 1.</w:t>
      </w:r>
    </w:p>
    <w:p w14:paraId="6292BA6F" w14:textId="77777777" w:rsidR="00EB6B67" w:rsidRDefault="00EB6B67" w:rsidP="00F33E2D">
      <w:pPr>
        <w:pStyle w:val="BodyTextIndent"/>
        <w:ind w:left="720"/>
        <w:rPr>
          <w:rFonts w:ascii="Arial" w:hAnsi="Arial" w:cs="Arial"/>
          <w:b w:val="0"/>
          <w:bCs/>
        </w:rPr>
      </w:pPr>
    </w:p>
    <w:p w14:paraId="32071E93" w14:textId="77777777" w:rsidR="00EB6B67" w:rsidRPr="00F33E2D" w:rsidRDefault="00EB6B67" w:rsidP="00F33E2D">
      <w:pPr>
        <w:pStyle w:val="BodyTextIndent"/>
        <w:ind w:left="720"/>
        <w:rPr>
          <w:rFonts w:ascii="Arial" w:hAnsi="Arial" w:cs="Arial"/>
          <w:b w:val="0"/>
          <w:bCs/>
        </w:rPr>
      </w:pPr>
      <w:r>
        <w:rPr>
          <w:rFonts w:ascii="Arial" w:hAnsi="Arial" w:cs="Arial"/>
          <w:b w:val="0"/>
          <w:bCs/>
        </w:rPr>
        <w:t xml:space="preserve">This form has been automated and document </w:t>
      </w:r>
      <w:r w:rsidR="00804EBB">
        <w:rPr>
          <w:rFonts w:ascii="Arial" w:hAnsi="Arial" w:cs="Arial"/>
          <w:b w:val="0"/>
          <w:bCs/>
        </w:rPr>
        <w:t>reserved</w:t>
      </w:r>
      <w:r>
        <w:rPr>
          <w:rFonts w:ascii="Arial" w:hAnsi="Arial" w:cs="Arial"/>
          <w:b w:val="0"/>
          <w:bCs/>
        </w:rPr>
        <w:t xml:space="preserve"> for </w:t>
      </w:r>
      <w:r w:rsidR="00065F0B">
        <w:rPr>
          <w:rFonts w:ascii="Arial" w:hAnsi="Arial" w:cs="Arial"/>
          <w:b w:val="0"/>
          <w:bCs/>
        </w:rPr>
        <w:t>reference purposes only, not valid for submission.</w:t>
      </w:r>
    </w:p>
    <w:p w14:paraId="562CB69B" w14:textId="77777777" w:rsidR="00AA627A" w:rsidRPr="00814A0B" w:rsidRDefault="00AA627A">
      <w:pPr>
        <w:ind w:left="1440"/>
        <w:rPr>
          <w:rFonts w:ascii="Arial" w:hAnsi="Arial" w:cs="Arial"/>
          <w:b/>
          <w:bCs/>
        </w:rPr>
      </w:pPr>
    </w:p>
    <w:p w14:paraId="0C6643E9" w14:textId="77777777" w:rsidR="00AA627A" w:rsidRPr="00F33E2D" w:rsidRDefault="00AA627A" w:rsidP="00F33E2D">
      <w:pPr>
        <w:numPr>
          <w:ilvl w:val="0"/>
          <w:numId w:val="22"/>
        </w:numPr>
        <w:rPr>
          <w:rFonts w:ascii="Arial" w:hAnsi="Arial" w:cs="Arial"/>
          <w:b/>
          <w:noProof/>
        </w:rPr>
      </w:pPr>
      <w:r w:rsidRPr="00F33E2D">
        <w:rPr>
          <w:rFonts w:ascii="Arial" w:hAnsi="Arial" w:cs="Arial"/>
          <w:b/>
          <w:noProof/>
        </w:rPr>
        <w:t>Form HUD 11709/Appendix III-2/ Master Agreement for Servicer's Principal and Interest Custodial Account</w:t>
      </w:r>
    </w:p>
    <w:p w14:paraId="4A47EED3" w14:textId="77777777" w:rsidR="00AA627A" w:rsidRPr="00814A0B" w:rsidRDefault="00AA627A">
      <w:pPr>
        <w:rPr>
          <w:rFonts w:ascii="Arial" w:hAnsi="Arial" w:cs="Arial"/>
          <w:b/>
          <w:noProof/>
        </w:rPr>
      </w:pPr>
    </w:p>
    <w:p w14:paraId="44A202CC" w14:textId="77777777" w:rsidR="00AA627A" w:rsidRPr="00F33E2D" w:rsidRDefault="00AA627A" w:rsidP="00F33E2D">
      <w:pPr>
        <w:pStyle w:val="BodyTextIndent"/>
        <w:ind w:left="720"/>
        <w:rPr>
          <w:rFonts w:ascii="Arial" w:hAnsi="Arial" w:cs="Arial"/>
          <w:b w:val="0"/>
          <w:noProof/>
        </w:rPr>
      </w:pPr>
      <w:r w:rsidRPr="00F33E2D">
        <w:rPr>
          <w:rFonts w:ascii="Arial" w:hAnsi="Arial" w:cs="Arial"/>
          <w:b w:val="0"/>
          <w:noProof/>
        </w:rPr>
        <w:t xml:space="preserve">This form provides evidence to the existence of a master principal and interest custodial account for the deposit of funds payable on mortgages pooled and guaranteed by Ginnie Mae.  This form is used in connection with issuing the mortgage-backed securities.  In addition, all deposits made by the issuer are subject to draft or check by Ginnie Mae, and all such amounts shall be payable to Ginnie Mae on demand and without notice.  The form is completed by the issuer and custodial bank and submitted to Ginnie Mae's </w:t>
      </w:r>
      <w:r w:rsidR="00A2510C">
        <w:rPr>
          <w:rFonts w:ascii="Arial" w:hAnsi="Arial" w:cs="Arial"/>
          <w:b w:val="0"/>
          <w:noProof/>
        </w:rPr>
        <w:t>P</w:t>
      </w:r>
      <w:r w:rsidRPr="00F33E2D">
        <w:rPr>
          <w:rFonts w:ascii="Arial" w:hAnsi="Arial" w:cs="Arial"/>
          <w:b w:val="0"/>
          <w:noProof/>
        </w:rPr>
        <w:t xml:space="preserve">ool </w:t>
      </w:r>
      <w:r w:rsidR="00A2510C">
        <w:rPr>
          <w:rFonts w:ascii="Arial" w:hAnsi="Arial" w:cs="Arial"/>
          <w:b w:val="0"/>
          <w:noProof/>
        </w:rPr>
        <w:t>P</w:t>
      </w:r>
      <w:r w:rsidRPr="00F33E2D">
        <w:rPr>
          <w:rFonts w:ascii="Arial" w:hAnsi="Arial" w:cs="Arial"/>
          <w:b w:val="0"/>
          <w:noProof/>
        </w:rPr>
        <w:t xml:space="preserve">rocessing </w:t>
      </w:r>
      <w:r w:rsidR="00A2510C">
        <w:rPr>
          <w:rFonts w:ascii="Arial" w:hAnsi="Arial" w:cs="Arial"/>
          <w:b w:val="0"/>
          <w:noProof/>
        </w:rPr>
        <w:t>A</w:t>
      </w:r>
      <w:r w:rsidR="00D56643">
        <w:rPr>
          <w:rFonts w:ascii="Arial" w:hAnsi="Arial" w:cs="Arial"/>
          <w:b w:val="0"/>
          <w:noProof/>
        </w:rPr>
        <w:t>gent.  The agreeme</w:t>
      </w:r>
      <w:r w:rsidRPr="00F33E2D">
        <w:rPr>
          <w:rFonts w:ascii="Arial" w:hAnsi="Arial" w:cs="Arial"/>
          <w:b w:val="0"/>
          <w:noProof/>
        </w:rPr>
        <w:t xml:space="preserve">nt covers each pool or loan package that is listed on the Schedule of Subscribers and Ginnie Mae Guaranty Agreement (form HUD 11705).  The form is required to be on file with the pool processing agent before submission of pools.  </w:t>
      </w:r>
    </w:p>
    <w:p w14:paraId="16522667" w14:textId="77777777" w:rsidR="00AA627A" w:rsidRPr="00F33E2D" w:rsidRDefault="00AA627A" w:rsidP="00F33E2D">
      <w:pPr>
        <w:rPr>
          <w:rFonts w:ascii="Arial" w:hAnsi="Arial" w:cs="Arial"/>
          <w:noProof/>
        </w:rPr>
      </w:pPr>
    </w:p>
    <w:p w14:paraId="6897EC2C" w14:textId="77777777" w:rsidR="00AA627A" w:rsidRPr="00F33E2D" w:rsidRDefault="00AA627A" w:rsidP="00F33E2D">
      <w:pPr>
        <w:ind w:left="720"/>
        <w:rPr>
          <w:rFonts w:ascii="Arial" w:hAnsi="Arial" w:cs="Arial"/>
          <w:noProof/>
        </w:rPr>
      </w:pPr>
      <w:r w:rsidRPr="00F33E2D">
        <w:rPr>
          <w:rFonts w:ascii="Arial" w:hAnsi="Arial" w:cs="Arial"/>
          <w:noProof/>
        </w:rPr>
        <w:t>Ginnie Mae must have this information in case an issuer defaults on its payments to securities holders/investors.  This enables Ginnie Mae to access the funds in the account to make the payments and prevent the issuer from further access to the funds.</w:t>
      </w:r>
    </w:p>
    <w:p w14:paraId="274C3B03" w14:textId="77777777" w:rsidR="00AA627A" w:rsidRPr="00F33E2D" w:rsidRDefault="00AA627A" w:rsidP="00F33E2D">
      <w:pPr>
        <w:rPr>
          <w:rFonts w:ascii="Arial" w:hAnsi="Arial" w:cs="Arial"/>
          <w:noProof/>
        </w:rPr>
      </w:pPr>
    </w:p>
    <w:p w14:paraId="3280B290" w14:textId="77777777" w:rsidR="00AA627A" w:rsidRPr="00F33E2D" w:rsidRDefault="008C0CEF" w:rsidP="00F33E2D">
      <w:pPr>
        <w:ind w:left="720"/>
        <w:rPr>
          <w:rFonts w:ascii="Arial" w:hAnsi="Arial" w:cs="Arial"/>
          <w:bCs/>
        </w:rPr>
      </w:pPr>
      <w:r>
        <w:rPr>
          <w:rFonts w:ascii="Arial" w:hAnsi="Arial" w:cs="Arial"/>
          <w:noProof/>
        </w:rPr>
        <w:t xml:space="preserve">Ginnie Mae requires </w:t>
      </w:r>
      <w:r w:rsidR="00AA627A" w:rsidRPr="00F33E2D">
        <w:rPr>
          <w:rFonts w:ascii="Arial" w:hAnsi="Arial" w:cs="Arial"/>
          <w:noProof/>
        </w:rPr>
        <w:t>this form</w:t>
      </w:r>
      <w:r>
        <w:rPr>
          <w:rFonts w:ascii="Arial" w:hAnsi="Arial" w:cs="Arial"/>
          <w:noProof/>
        </w:rPr>
        <w:t xml:space="preserve"> to be updated</w:t>
      </w:r>
      <w:r w:rsidR="00AA627A" w:rsidRPr="00F33E2D">
        <w:rPr>
          <w:rFonts w:ascii="Arial" w:hAnsi="Arial" w:cs="Arial"/>
          <w:noProof/>
        </w:rPr>
        <w:t xml:space="preserve"> annually.  </w:t>
      </w:r>
      <w:r w:rsidR="00762458">
        <w:rPr>
          <w:rFonts w:ascii="Arial" w:hAnsi="Arial" w:cs="Arial"/>
          <w:noProof/>
        </w:rPr>
        <w:t xml:space="preserve">Also, updates are required when </w:t>
      </w:r>
      <w:r w:rsidR="00762458" w:rsidRPr="005D180B">
        <w:rPr>
          <w:rFonts w:ascii="Arial" w:hAnsi="Arial" w:cs="Arial"/>
          <w:noProof/>
        </w:rPr>
        <w:t>there is a change in the issuer’s name</w:t>
      </w:r>
      <w:r w:rsidR="00762458">
        <w:rPr>
          <w:rFonts w:ascii="Arial" w:hAnsi="Arial" w:cs="Arial"/>
          <w:noProof/>
        </w:rPr>
        <w:t xml:space="preserve"> or a change in the issuer’s principal and interest custodial account</w:t>
      </w:r>
      <w:r w:rsidR="00762458" w:rsidRPr="005D180B">
        <w:rPr>
          <w:rFonts w:ascii="Arial" w:hAnsi="Arial" w:cs="Arial"/>
          <w:noProof/>
        </w:rPr>
        <w:t>.</w:t>
      </w:r>
      <w:r w:rsidR="00762458">
        <w:rPr>
          <w:rFonts w:ascii="Arial" w:hAnsi="Arial" w:cs="Arial"/>
          <w:noProof/>
        </w:rPr>
        <w:t xml:space="preserve">  </w:t>
      </w:r>
      <w:r w:rsidR="00AA627A" w:rsidRPr="00F33E2D">
        <w:rPr>
          <w:rFonts w:ascii="Arial" w:hAnsi="Arial" w:cs="Arial"/>
          <w:bCs/>
        </w:rPr>
        <w:t xml:space="preserve">Issuers can electronically certify that the information has not changed in </w:t>
      </w:r>
      <w:r w:rsidR="00445B01">
        <w:rPr>
          <w:rFonts w:ascii="Arial" w:hAnsi="Arial" w:cs="Arial"/>
          <w:bCs/>
        </w:rPr>
        <w:t>MAMS</w:t>
      </w:r>
      <w:r w:rsidR="00AA627A" w:rsidRPr="00F33E2D">
        <w:rPr>
          <w:rFonts w:ascii="Arial" w:hAnsi="Arial" w:cs="Arial"/>
          <w:bCs/>
        </w:rPr>
        <w:t>.</w:t>
      </w:r>
    </w:p>
    <w:p w14:paraId="0E4F1B4D" w14:textId="77777777" w:rsidR="00AA627A" w:rsidRPr="00F33E2D" w:rsidRDefault="00AA627A" w:rsidP="00F33E2D">
      <w:pPr>
        <w:rPr>
          <w:rFonts w:ascii="Arial" w:hAnsi="Arial" w:cs="Arial"/>
          <w:noProof/>
        </w:rPr>
      </w:pPr>
    </w:p>
    <w:p w14:paraId="0BD71C69" w14:textId="77777777" w:rsidR="00AA627A" w:rsidRDefault="00AA627A" w:rsidP="00F33E2D">
      <w:pPr>
        <w:ind w:left="720"/>
        <w:rPr>
          <w:rFonts w:ascii="Arial" w:hAnsi="Arial" w:cs="Arial"/>
          <w:noProof/>
        </w:rPr>
      </w:pPr>
      <w:r w:rsidRPr="00F33E2D">
        <w:rPr>
          <w:rFonts w:ascii="Arial" w:hAnsi="Arial" w:cs="Arial"/>
          <w:noProof/>
        </w:rPr>
        <w:t xml:space="preserve">Completion of the form HUD 11709 is estimated to average </w:t>
      </w:r>
      <w:r w:rsidR="008960F2">
        <w:rPr>
          <w:rFonts w:ascii="Arial" w:hAnsi="Arial" w:cs="Arial"/>
          <w:noProof/>
        </w:rPr>
        <w:t xml:space="preserve">2 </w:t>
      </w:r>
      <w:r w:rsidRPr="00F33E2D">
        <w:rPr>
          <w:rFonts w:ascii="Arial" w:hAnsi="Arial" w:cs="Arial"/>
          <w:noProof/>
        </w:rPr>
        <w:t>minute</w:t>
      </w:r>
      <w:r w:rsidR="008960F2">
        <w:rPr>
          <w:rFonts w:ascii="Arial" w:hAnsi="Arial" w:cs="Arial"/>
          <w:noProof/>
        </w:rPr>
        <w:t>s</w:t>
      </w:r>
      <w:r w:rsidRPr="00F33E2D">
        <w:rPr>
          <w:rFonts w:ascii="Arial" w:hAnsi="Arial" w:cs="Arial"/>
          <w:noProof/>
        </w:rPr>
        <w:t xml:space="preserve"> per response, including the time for the review</w:t>
      </w:r>
      <w:r w:rsidR="00B0582F" w:rsidRPr="00F33E2D">
        <w:rPr>
          <w:rFonts w:ascii="Arial" w:hAnsi="Arial" w:cs="Arial"/>
          <w:noProof/>
        </w:rPr>
        <w:t xml:space="preserve"> of the instructions.  The info</w:t>
      </w:r>
      <w:r w:rsidRPr="00F33E2D">
        <w:rPr>
          <w:rFonts w:ascii="Arial" w:hAnsi="Arial" w:cs="Arial"/>
          <w:noProof/>
        </w:rPr>
        <w:t>r</w:t>
      </w:r>
      <w:r w:rsidR="00B0582F" w:rsidRPr="00F33E2D">
        <w:rPr>
          <w:rFonts w:ascii="Arial" w:hAnsi="Arial" w:cs="Arial"/>
          <w:noProof/>
        </w:rPr>
        <w:t>m</w:t>
      </w:r>
      <w:r w:rsidRPr="00F33E2D">
        <w:rPr>
          <w:rFonts w:ascii="Arial" w:hAnsi="Arial" w:cs="Arial"/>
          <w:noProof/>
        </w:rPr>
        <w:t>ation is required by Section 306(g) of the National Housing Act or by Ginnie Mae Handbook 5500.3, Rev. 1.</w:t>
      </w:r>
    </w:p>
    <w:p w14:paraId="5669ADE7" w14:textId="77777777" w:rsidR="00EB6B67" w:rsidRDefault="00EB6B67" w:rsidP="00F33E2D">
      <w:pPr>
        <w:ind w:left="720"/>
        <w:rPr>
          <w:rFonts w:ascii="Arial" w:hAnsi="Arial" w:cs="Arial"/>
          <w:noProof/>
        </w:rPr>
      </w:pPr>
    </w:p>
    <w:p w14:paraId="2F4154E1" w14:textId="77777777" w:rsidR="00EB6B67" w:rsidRPr="00F33E2D" w:rsidRDefault="00EB6B67" w:rsidP="00F33E2D">
      <w:pPr>
        <w:ind w:left="720"/>
        <w:rPr>
          <w:rFonts w:ascii="Arial" w:hAnsi="Arial" w:cs="Arial"/>
          <w:noProof/>
        </w:rPr>
      </w:pPr>
      <w:r>
        <w:rPr>
          <w:rFonts w:ascii="Arial" w:hAnsi="Arial" w:cs="Arial"/>
          <w:noProof/>
        </w:rPr>
        <w:lastRenderedPageBreak/>
        <w:t xml:space="preserve">This form has been automated and document </w:t>
      </w:r>
      <w:r w:rsidR="00D56643">
        <w:rPr>
          <w:rFonts w:ascii="Arial" w:hAnsi="Arial" w:cs="Arial"/>
          <w:noProof/>
        </w:rPr>
        <w:t>reserved/saved</w:t>
      </w:r>
      <w:r>
        <w:rPr>
          <w:rFonts w:ascii="Arial" w:hAnsi="Arial" w:cs="Arial"/>
          <w:noProof/>
        </w:rPr>
        <w:t xml:space="preserve"> for </w:t>
      </w:r>
      <w:r w:rsidR="008A58D0">
        <w:rPr>
          <w:rFonts w:ascii="Arial" w:hAnsi="Arial" w:cs="Arial"/>
          <w:noProof/>
        </w:rPr>
        <w:t>reference</w:t>
      </w:r>
      <w:r>
        <w:rPr>
          <w:rFonts w:ascii="Arial" w:hAnsi="Arial" w:cs="Arial"/>
          <w:noProof/>
        </w:rPr>
        <w:t xml:space="preserve"> purposes only</w:t>
      </w:r>
      <w:r w:rsidR="008A58D0">
        <w:rPr>
          <w:rFonts w:ascii="Arial" w:hAnsi="Arial" w:cs="Arial"/>
          <w:noProof/>
        </w:rPr>
        <w:t>, not valid for submission.</w:t>
      </w:r>
    </w:p>
    <w:p w14:paraId="78620D08" w14:textId="77777777" w:rsidR="00AA627A" w:rsidRPr="00814A0B" w:rsidRDefault="00AA627A">
      <w:pPr>
        <w:rPr>
          <w:rFonts w:ascii="Arial" w:hAnsi="Arial" w:cs="Arial"/>
          <w:b/>
          <w:noProof/>
        </w:rPr>
      </w:pPr>
    </w:p>
    <w:p w14:paraId="649AEF2E" w14:textId="77777777"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Form HUD 11709-A/Appendix 1-6/ ACH Debit Authorization</w:t>
      </w:r>
    </w:p>
    <w:p w14:paraId="26D69A8B" w14:textId="77777777" w:rsidR="00AA627A" w:rsidRPr="00814A0B" w:rsidRDefault="00AA627A">
      <w:pPr>
        <w:rPr>
          <w:rFonts w:ascii="Arial" w:hAnsi="Arial" w:cs="Arial"/>
          <w:noProof/>
        </w:rPr>
      </w:pPr>
    </w:p>
    <w:p w14:paraId="11F39061" w14:textId="77777777" w:rsidR="00AA627A" w:rsidRPr="00541761" w:rsidRDefault="00AA627A" w:rsidP="00541761">
      <w:pPr>
        <w:ind w:left="720"/>
        <w:rPr>
          <w:rFonts w:ascii="Arial" w:hAnsi="Arial" w:cs="Arial"/>
          <w:noProof/>
        </w:rPr>
      </w:pPr>
      <w:r w:rsidRPr="00541761">
        <w:rPr>
          <w:rFonts w:ascii="Arial" w:hAnsi="Arial" w:cs="Arial"/>
          <w:noProof/>
        </w:rPr>
        <w:t>Th</w:t>
      </w:r>
      <w:r w:rsidR="007E0501">
        <w:rPr>
          <w:rFonts w:ascii="Arial" w:hAnsi="Arial" w:cs="Arial"/>
          <w:noProof/>
        </w:rPr>
        <w:t>is</w:t>
      </w:r>
      <w:r w:rsidRPr="00541761">
        <w:rPr>
          <w:rFonts w:ascii="Arial" w:hAnsi="Arial" w:cs="Arial"/>
          <w:noProof/>
        </w:rPr>
        <w:t xml:space="preserve"> form is used to authorize G</w:t>
      </w:r>
      <w:r w:rsidR="00A249E5">
        <w:rPr>
          <w:rFonts w:ascii="Arial" w:hAnsi="Arial" w:cs="Arial"/>
          <w:noProof/>
        </w:rPr>
        <w:t>i</w:t>
      </w:r>
      <w:r w:rsidRPr="00541761">
        <w:rPr>
          <w:rFonts w:ascii="Arial" w:hAnsi="Arial" w:cs="Arial"/>
          <w:noProof/>
        </w:rPr>
        <w:t xml:space="preserve">nnie Mae’s Depository, as security holder of all book-entry Ginnie Mae I MBS, to make Automated Clearing House (ACH) debits against an issuer's central principal and interest (P&amp;I) custodial account for all payments due on the securities.  It also authorizes the Central Paying and Transfer Agent, (CPTA), Ginnie Mae’s agent,  to initiate ACH debits against the issuer’s central P&amp;I custodial account for all payments due on Ginnie Mae II MBS and all monthly guaranty fees due to Ginnie Mae I and II MBS.  The Ginnie Mae Depository is authorized to initiate ACH debits against the central P&amp;I custodial account at the bank referenced on the form HUD 11709 for monthly P&amp;I payments and prepayment penalties on multifamily loans due in connection with all book-entry securities backed by Ginnie Mae I pools.   Ginnie Mae requests that issuers electronically submit their form 11709-A through </w:t>
      </w:r>
      <w:r w:rsidR="00445B01">
        <w:rPr>
          <w:rFonts w:ascii="Arial" w:hAnsi="Arial" w:cs="Arial"/>
          <w:noProof/>
        </w:rPr>
        <w:t>MAMS</w:t>
      </w:r>
      <w:r w:rsidRPr="00541761">
        <w:rPr>
          <w:rFonts w:ascii="Arial" w:hAnsi="Arial" w:cs="Arial"/>
          <w:noProof/>
        </w:rPr>
        <w:t>.</w:t>
      </w:r>
      <w:r w:rsidR="00A249E5">
        <w:rPr>
          <w:rFonts w:ascii="Arial" w:hAnsi="Arial" w:cs="Arial"/>
          <w:noProof/>
        </w:rPr>
        <w:t xml:space="preserve">  Also, updates are required when </w:t>
      </w:r>
      <w:r w:rsidR="00A249E5" w:rsidRPr="005D180B">
        <w:rPr>
          <w:rFonts w:ascii="Arial" w:hAnsi="Arial" w:cs="Arial"/>
          <w:noProof/>
        </w:rPr>
        <w:t>there is a change in the issuer’s name</w:t>
      </w:r>
      <w:r w:rsidR="00A249E5">
        <w:rPr>
          <w:rFonts w:ascii="Arial" w:hAnsi="Arial" w:cs="Arial"/>
          <w:noProof/>
        </w:rPr>
        <w:t xml:space="preserve"> or a change in the issuer’s principal and interest custodial account listed on the form HUD 11709</w:t>
      </w:r>
      <w:r w:rsidR="00A249E5" w:rsidRPr="005D180B">
        <w:rPr>
          <w:rFonts w:ascii="Arial" w:hAnsi="Arial" w:cs="Arial"/>
          <w:noProof/>
        </w:rPr>
        <w:t>.</w:t>
      </w:r>
    </w:p>
    <w:p w14:paraId="47F69076" w14:textId="77777777" w:rsidR="00AA627A" w:rsidRPr="00541761" w:rsidRDefault="00AA627A" w:rsidP="00541761">
      <w:pPr>
        <w:rPr>
          <w:rFonts w:ascii="Arial" w:hAnsi="Arial" w:cs="Arial"/>
          <w:noProof/>
        </w:rPr>
      </w:pPr>
    </w:p>
    <w:p w14:paraId="5910D3AF" w14:textId="77777777" w:rsidR="00AA627A" w:rsidRPr="00541761" w:rsidRDefault="00AA627A" w:rsidP="00541761">
      <w:pPr>
        <w:ind w:left="720"/>
        <w:rPr>
          <w:rFonts w:ascii="Arial" w:hAnsi="Arial" w:cs="Arial"/>
          <w:noProof/>
        </w:rPr>
      </w:pPr>
      <w:r w:rsidRPr="00541761">
        <w:rPr>
          <w:rFonts w:ascii="Arial" w:hAnsi="Arial" w:cs="Arial"/>
          <w:noProof/>
        </w:rPr>
        <w:t xml:space="preserve">Estimated time per response is an average of </w:t>
      </w:r>
      <w:r w:rsidR="008960F2">
        <w:rPr>
          <w:rFonts w:ascii="Arial" w:hAnsi="Arial" w:cs="Arial"/>
          <w:noProof/>
        </w:rPr>
        <w:t xml:space="preserve">2 </w:t>
      </w:r>
      <w:r w:rsidRPr="00541761">
        <w:rPr>
          <w:rFonts w:ascii="Arial" w:hAnsi="Arial" w:cs="Arial"/>
          <w:noProof/>
        </w:rPr>
        <w:t>minute</w:t>
      </w:r>
      <w:r w:rsidR="008960F2">
        <w:rPr>
          <w:rFonts w:ascii="Arial" w:hAnsi="Arial" w:cs="Arial"/>
          <w:noProof/>
        </w:rPr>
        <w:t>s</w:t>
      </w:r>
      <w:r w:rsidRPr="00541761">
        <w:rPr>
          <w:rFonts w:ascii="Arial" w:hAnsi="Arial" w:cs="Arial"/>
          <w:noProof/>
        </w:rPr>
        <w:t xml:space="preserve"> for completion, this includes reading the instructions, ensuring that the account numbers match the account number listed on the form HUD 11709, and signing the form.  The information is required by Section 306(g) of the National Housing Act or by Ginnie Mae Handbook 5500.3, Rev.1.</w:t>
      </w:r>
    </w:p>
    <w:p w14:paraId="7595D216" w14:textId="77777777" w:rsidR="00AA627A" w:rsidRPr="00814A0B" w:rsidRDefault="00AA627A">
      <w:pPr>
        <w:rPr>
          <w:rFonts w:ascii="Arial" w:hAnsi="Arial" w:cs="Arial"/>
          <w:b/>
          <w:noProof/>
        </w:rPr>
      </w:pPr>
    </w:p>
    <w:p w14:paraId="0FA99D51" w14:textId="77777777"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Form HUD Form 11715/Appendix III-4/ Master Custodial Agreement</w:t>
      </w:r>
    </w:p>
    <w:p w14:paraId="7904E1B2" w14:textId="77777777" w:rsidR="00AA627A" w:rsidRPr="00814A0B" w:rsidRDefault="00AA627A">
      <w:pPr>
        <w:rPr>
          <w:rFonts w:ascii="Arial" w:hAnsi="Arial" w:cs="Arial"/>
          <w:b/>
          <w:noProof/>
        </w:rPr>
      </w:pPr>
    </w:p>
    <w:p w14:paraId="4B536F7C" w14:textId="77777777" w:rsidR="00AA627A" w:rsidRPr="00541761" w:rsidRDefault="00AA627A" w:rsidP="00541761">
      <w:pPr>
        <w:ind w:left="720"/>
        <w:rPr>
          <w:rFonts w:ascii="Arial" w:hAnsi="Arial" w:cs="Arial"/>
          <w:noProof/>
        </w:rPr>
      </w:pPr>
      <w:r w:rsidRPr="00541761">
        <w:rPr>
          <w:rFonts w:ascii="Arial" w:hAnsi="Arial" w:cs="Arial"/>
          <w:noProof/>
        </w:rPr>
        <w:t xml:space="preserve">This form is used to provide Ginnie Mae with the name of the institution(s) which will serve as the document </w:t>
      </w:r>
    </w:p>
    <w:p w14:paraId="5AE8D1C5" w14:textId="77777777" w:rsidR="00AA627A" w:rsidRPr="00541761" w:rsidRDefault="00AA627A" w:rsidP="00541761">
      <w:pPr>
        <w:ind w:left="720"/>
        <w:rPr>
          <w:rFonts w:ascii="Arial" w:hAnsi="Arial" w:cs="Arial"/>
          <w:noProof/>
        </w:rPr>
      </w:pPr>
      <w:r w:rsidRPr="00541761">
        <w:rPr>
          <w:rFonts w:ascii="Arial" w:hAnsi="Arial" w:cs="Arial"/>
          <w:noProof/>
        </w:rPr>
        <w:t xml:space="preserve">custodian(s) for a particular Ginnie Mae issuer.  The document custodian(s) physically hold the mortgage </w:t>
      </w:r>
    </w:p>
    <w:p w14:paraId="30C457B9" w14:textId="77777777" w:rsidR="00AA627A" w:rsidRPr="00541761" w:rsidRDefault="00AA627A" w:rsidP="00541761">
      <w:pPr>
        <w:ind w:left="720"/>
        <w:rPr>
          <w:rFonts w:ascii="Arial" w:hAnsi="Arial" w:cs="Arial"/>
          <w:noProof/>
        </w:rPr>
      </w:pPr>
      <w:r w:rsidRPr="00541761">
        <w:rPr>
          <w:rFonts w:ascii="Arial" w:hAnsi="Arial" w:cs="Arial"/>
          <w:noProof/>
        </w:rPr>
        <w:t>documents in safekeeping on behalf of Ginnie Mae.  Th</w:t>
      </w:r>
      <w:r w:rsidR="007E0501">
        <w:rPr>
          <w:rFonts w:ascii="Arial" w:hAnsi="Arial" w:cs="Arial"/>
          <w:noProof/>
        </w:rPr>
        <w:t>is</w:t>
      </w:r>
      <w:r w:rsidRPr="00541761">
        <w:rPr>
          <w:rFonts w:ascii="Arial" w:hAnsi="Arial" w:cs="Arial"/>
          <w:noProof/>
        </w:rPr>
        <w:t xml:space="preserve"> form covers each pool or loan package that is listed </w:t>
      </w:r>
    </w:p>
    <w:p w14:paraId="77660FEC" w14:textId="77777777" w:rsidR="00AA627A" w:rsidRPr="00541761" w:rsidRDefault="00AA627A" w:rsidP="00541761">
      <w:pPr>
        <w:ind w:left="720"/>
        <w:rPr>
          <w:rFonts w:ascii="Arial" w:hAnsi="Arial" w:cs="Arial"/>
          <w:noProof/>
        </w:rPr>
      </w:pPr>
      <w:r w:rsidRPr="00541761">
        <w:rPr>
          <w:rFonts w:ascii="Arial" w:hAnsi="Arial" w:cs="Arial"/>
          <w:noProof/>
        </w:rPr>
        <w:t>on the form HUD 11705.  Issuers may have more than one document custodian.  Th</w:t>
      </w:r>
      <w:r w:rsidR="007E0501">
        <w:rPr>
          <w:rFonts w:ascii="Arial" w:hAnsi="Arial" w:cs="Arial"/>
          <w:noProof/>
        </w:rPr>
        <w:t>is</w:t>
      </w:r>
      <w:r w:rsidRPr="00541761">
        <w:rPr>
          <w:rFonts w:ascii="Arial" w:hAnsi="Arial" w:cs="Arial"/>
          <w:noProof/>
        </w:rPr>
        <w:t xml:space="preserve"> form sets out the terms </w:t>
      </w:r>
    </w:p>
    <w:p w14:paraId="217DC806" w14:textId="77777777" w:rsidR="00AA627A" w:rsidRPr="00541761" w:rsidRDefault="00AA627A" w:rsidP="00541761">
      <w:pPr>
        <w:ind w:left="720"/>
        <w:rPr>
          <w:rFonts w:ascii="Arial" w:hAnsi="Arial" w:cs="Arial"/>
          <w:noProof/>
        </w:rPr>
      </w:pPr>
      <w:r w:rsidRPr="00541761">
        <w:rPr>
          <w:rFonts w:ascii="Arial" w:hAnsi="Arial" w:cs="Arial"/>
          <w:noProof/>
        </w:rPr>
        <w:t xml:space="preserve">of the custodial relationship between the issuer and the document  custodian.   If an issuer defaults, Ginnie </w:t>
      </w:r>
    </w:p>
    <w:p w14:paraId="716F483F" w14:textId="77777777" w:rsidR="00AA627A" w:rsidRPr="00541761" w:rsidRDefault="00AA627A" w:rsidP="00541761">
      <w:pPr>
        <w:pStyle w:val="BodyTextIndent"/>
        <w:ind w:left="720"/>
        <w:rPr>
          <w:rFonts w:ascii="Arial" w:hAnsi="Arial" w:cs="Arial"/>
          <w:b w:val="0"/>
          <w:noProof/>
        </w:rPr>
      </w:pPr>
      <w:r w:rsidRPr="00541761">
        <w:rPr>
          <w:rFonts w:ascii="Arial" w:hAnsi="Arial" w:cs="Arial"/>
          <w:b w:val="0"/>
          <w:noProof/>
        </w:rPr>
        <w:t>Mae is able to access the mortgage documents which are the collateral backing the mortgage-backed securities and to access the funds to make payments, as well as preventing the issuer from futher access to the funds.  Th</w:t>
      </w:r>
      <w:r w:rsidR="007E0501">
        <w:rPr>
          <w:rFonts w:ascii="Arial" w:hAnsi="Arial" w:cs="Arial"/>
          <w:b w:val="0"/>
          <w:noProof/>
        </w:rPr>
        <w:t>is</w:t>
      </w:r>
      <w:r w:rsidRPr="00541761">
        <w:rPr>
          <w:rFonts w:ascii="Arial" w:hAnsi="Arial" w:cs="Arial"/>
          <w:b w:val="0"/>
          <w:noProof/>
        </w:rPr>
        <w:t xml:space="preserve"> form is completed by the issuer and the document custodian.  </w:t>
      </w:r>
    </w:p>
    <w:p w14:paraId="55339052" w14:textId="77777777" w:rsidR="00AA627A" w:rsidRPr="00541761" w:rsidRDefault="00AA627A" w:rsidP="00541761">
      <w:pPr>
        <w:rPr>
          <w:rFonts w:ascii="Arial" w:hAnsi="Arial" w:cs="Arial"/>
          <w:noProof/>
        </w:rPr>
      </w:pPr>
    </w:p>
    <w:p w14:paraId="3634884F" w14:textId="77777777" w:rsidR="00AA627A" w:rsidRPr="00541761" w:rsidRDefault="007E0501" w:rsidP="00541761">
      <w:pPr>
        <w:ind w:left="720"/>
        <w:rPr>
          <w:rFonts w:ascii="Arial" w:hAnsi="Arial" w:cs="Arial"/>
          <w:noProof/>
        </w:rPr>
      </w:pPr>
      <w:r>
        <w:rPr>
          <w:rFonts w:ascii="Arial" w:hAnsi="Arial" w:cs="Arial"/>
          <w:noProof/>
        </w:rPr>
        <w:t xml:space="preserve">Ginnie Mae requires </w:t>
      </w:r>
      <w:r w:rsidR="00AA627A" w:rsidRPr="00541761">
        <w:rPr>
          <w:rFonts w:ascii="Arial" w:hAnsi="Arial" w:cs="Arial"/>
          <w:noProof/>
        </w:rPr>
        <w:t xml:space="preserve"> this form</w:t>
      </w:r>
      <w:r w:rsidR="005E694D">
        <w:rPr>
          <w:rFonts w:ascii="Arial" w:hAnsi="Arial" w:cs="Arial"/>
          <w:noProof/>
        </w:rPr>
        <w:t xml:space="preserve"> to be updated</w:t>
      </w:r>
      <w:r w:rsidR="00AA627A" w:rsidRPr="00541761">
        <w:rPr>
          <w:rFonts w:ascii="Arial" w:hAnsi="Arial" w:cs="Arial"/>
          <w:noProof/>
        </w:rPr>
        <w:t xml:space="preserve"> annually. </w:t>
      </w:r>
      <w:r w:rsidR="00A249E5">
        <w:rPr>
          <w:rFonts w:ascii="Arial" w:hAnsi="Arial" w:cs="Arial"/>
          <w:noProof/>
        </w:rPr>
        <w:t xml:space="preserve">Also, updates are required when </w:t>
      </w:r>
      <w:r w:rsidR="00A249E5" w:rsidRPr="005D180B">
        <w:rPr>
          <w:rFonts w:ascii="Arial" w:hAnsi="Arial" w:cs="Arial"/>
          <w:noProof/>
        </w:rPr>
        <w:t>there is a change in the issuer’s name</w:t>
      </w:r>
      <w:r w:rsidR="00A249E5">
        <w:rPr>
          <w:rFonts w:ascii="Arial" w:hAnsi="Arial" w:cs="Arial"/>
          <w:noProof/>
        </w:rPr>
        <w:t xml:space="preserve"> or a change in the issuer’s document custodian(s)</w:t>
      </w:r>
      <w:r w:rsidR="00A249E5" w:rsidRPr="005D180B">
        <w:rPr>
          <w:rFonts w:ascii="Arial" w:hAnsi="Arial" w:cs="Arial"/>
          <w:noProof/>
        </w:rPr>
        <w:t>.</w:t>
      </w:r>
      <w:r w:rsidR="00A249E5">
        <w:rPr>
          <w:rFonts w:ascii="Arial" w:hAnsi="Arial" w:cs="Arial"/>
          <w:noProof/>
        </w:rPr>
        <w:t xml:space="preserve">  </w:t>
      </w:r>
      <w:r w:rsidR="00AA627A" w:rsidRPr="00541761">
        <w:rPr>
          <w:rFonts w:ascii="Arial" w:hAnsi="Arial" w:cs="Arial"/>
          <w:bCs/>
        </w:rPr>
        <w:t xml:space="preserve">Issuers can electronically certify that the information has not changed in </w:t>
      </w:r>
      <w:r w:rsidR="00445B01">
        <w:rPr>
          <w:rFonts w:ascii="Arial" w:hAnsi="Arial" w:cs="Arial"/>
          <w:bCs/>
        </w:rPr>
        <w:t>MAMS</w:t>
      </w:r>
      <w:r w:rsidR="00AA627A" w:rsidRPr="00541761">
        <w:rPr>
          <w:rFonts w:ascii="Arial" w:hAnsi="Arial" w:cs="Arial"/>
          <w:bCs/>
        </w:rPr>
        <w:t>.</w:t>
      </w:r>
      <w:r w:rsidR="00AA627A" w:rsidRPr="00541761">
        <w:rPr>
          <w:rFonts w:ascii="Arial" w:hAnsi="Arial" w:cs="Arial"/>
          <w:noProof/>
        </w:rPr>
        <w:t xml:space="preserve"> </w:t>
      </w:r>
    </w:p>
    <w:p w14:paraId="185E1578" w14:textId="77777777" w:rsidR="00AA627A" w:rsidRPr="00541761" w:rsidRDefault="00AA627A" w:rsidP="00541761">
      <w:pPr>
        <w:rPr>
          <w:rFonts w:ascii="Arial" w:hAnsi="Arial" w:cs="Arial"/>
          <w:noProof/>
        </w:rPr>
      </w:pPr>
    </w:p>
    <w:p w14:paraId="6C6A5D1B" w14:textId="77777777" w:rsidR="00AA627A" w:rsidRDefault="00AA627A" w:rsidP="00541761">
      <w:pPr>
        <w:ind w:left="720"/>
        <w:rPr>
          <w:rFonts w:ascii="Arial" w:hAnsi="Arial" w:cs="Arial"/>
          <w:noProof/>
        </w:rPr>
      </w:pPr>
      <w:r w:rsidRPr="00541761">
        <w:rPr>
          <w:rFonts w:ascii="Arial" w:hAnsi="Arial" w:cs="Arial"/>
          <w:noProof/>
        </w:rPr>
        <w:t>Completion of the form HUD 11715 is estimated to average of 2 minutes per response, including the time for the review of the instructions.  The information is required by Section 306(g) of the National Housing Act or by Ginnie Mae Handbook 5500.3, Rev. 1.</w:t>
      </w:r>
    </w:p>
    <w:p w14:paraId="4782BDB5" w14:textId="77777777" w:rsidR="00EB6B67" w:rsidRDefault="00EB6B67" w:rsidP="00541761">
      <w:pPr>
        <w:ind w:left="720"/>
        <w:rPr>
          <w:rFonts w:ascii="Arial" w:hAnsi="Arial" w:cs="Arial"/>
          <w:noProof/>
        </w:rPr>
      </w:pPr>
    </w:p>
    <w:p w14:paraId="7DB4ADFB" w14:textId="77777777" w:rsidR="00EB6B67" w:rsidRPr="00541761" w:rsidRDefault="00EB6B67" w:rsidP="00541761">
      <w:pPr>
        <w:ind w:left="720"/>
        <w:rPr>
          <w:rFonts w:ascii="Arial" w:hAnsi="Arial" w:cs="Arial"/>
          <w:noProof/>
        </w:rPr>
      </w:pPr>
      <w:r>
        <w:rPr>
          <w:rFonts w:ascii="Arial" w:hAnsi="Arial" w:cs="Arial"/>
          <w:noProof/>
        </w:rPr>
        <w:t xml:space="preserve">This form has been automated </w:t>
      </w:r>
      <w:r w:rsidR="00ED5F2C">
        <w:rPr>
          <w:rFonts w:ascii="Arial" w:hAnsi="Arial" w:cs="Arial"/>
          <w:noProof/>
        </w:rPr>
        <w:t xml:space="preserve">and </w:t>
      </w:r>
      <w:r>
        <w:rPr>
          <w:rFonts w:ascii="Arial" w:hAnsi="Arial" w:cs="Arial"/>
          <w:noProof/>
        </w:rPr>
        <w:t xml:space="preserve">document reserved for </w:t>
      </w:r>
      <w:r w:rsidR="00C3732A">
        <w:rPr>
          <w:rFonts w:ascii="Arial" w:hAnsi="Arial" w:cs="Arial"/>
          <w:noProof/>
        </w:rPr>
        <w:t>reference</w:t>
      </w:r>
      <w:r w:rsidR="00804EBB">
        <w:rPr>
          <w:rFonts w:ascii="Arial" w:hAnsi="Arial" w:cs="Arial"/>
          <w:noProof/>
        </w:rPr>
        <w:t xml:space="preserve"> purposes only</w:t>
      </w:r>
      <w:r w:rsidR="00C3732A">
        <w:rPr>
          <w:rFonts w:ascii="Arial" w:hAnsi="Arial" w:cs="Arial"/>
          <w:noProof/>
        </w:rPr>
        <w:t>, not valid for submission.</w:t>
      </w:r>
    </w:p>
    <w:p w14:paraId="17835F3C" w14:textId="77777777" w:rsidR="00AA627A" w:rsidRPr="00814A0B" w:rsidRDefault="00AA627A">
      <w:pPr>
        <w:rPr>
          <w:rFonts w:ascii="Arial" w:hAnsi="Arial" w:cs="Arial"/>
          <w:b/>
          <w:noProof/>
        </w:rPr>
      </w:pPr>
    </w:p>
    <w:p w14:paraId="25E94DC0" w14:textId="77777777" w:rsidR="00AA627A" w:rsidRPr="00541761" w:rsidRDefault="00AA627A" w:rsidP="00541761">
      <w:pPr>
        <w:numPr>
          <w:ilvl w:val="0"/>
          <w:numId w:val="22"/>
        </w:numPr>
        <w:rPr>
          <w:rFonts w:ascii="Arial" w:hAnsi="Arial" w:cs="Arial"/>
          <w:b/>
          <w:bCs/>
        </w:rPr>
      </w:pPr>
      <w:r w:rsidRPr="00541761">
        <w:rPr>
          <w:rFonts w:ascii="Arial" w:hAnsi="Arial" w:cs="Arial"/>
          <w:b/>
          <w:bCs/>
        </w:rPr>
        <w:t>Form HUD 11720/Appendix III-3/</w:t>
      </w:r>
      <w:r w:rsidR="005B330D" w:rsidRPr="00541761">
        <w:rPr>
          <w:rFonts w:ascii="Arial" w:hAnsi="Arial" w:cs="Arial"/>
          <w:b/>
          <w:bCs/>
        </w:rPr>
        <w:t xml:space="preserve"> </w:t>
      </w:r>
      <w:r w:rsidRPr="00541761">
        <w:rPr>
          <w:rFonts w:ascii="Arial" w:hAnsi="Arial" w:cs="Arial"/>
          <w:b/>
          <w:bCs/>
        </w:rPr>
        <w:t>Master Agreement for Servicer's</w:t>
      </w:r>
      <w:r w:rsidR="005B330D" w:rsidRPr="00541761">
        <w:rPr>
          <w:rFonts w:ascii="Arial" w:hAnsi="Arial" w:cs="Arial"/>
          <w:b/>
          <w:bCs/>
        </w:rPr>
        <w:t xml:space="preserve"> </w:t>
      </w:r>
      <w:r w:rsidRPr="00541761">
        <w:rPr>
          <w:rFonts w:ascii="Arial" w:hAnsi="Arial" w:cs="Arial"/>
          <w:b/>
          <w:bCs/>
        </w:rPr>
        <w:t>Escrow Custodial Account</w:t>
      </w:r>
    </w:p>
    <w:p w14:paraId="02588723" w14:textId="77777777" w:rsidR="00AA627A" w:rsidRPr="00814A0B" w:rsidRDefault="00AA627A">
      <w:pPr>
        <w:rPr>
          <w:rFonts w:ascii="Arial" w:hAnsi="Arial" w:cs="Arial"/>
          <w:b/>
          <w:noProof/>
        </w:rPr>
      </w:pPr>
    </w:p>
    <w:p w14:paraId="1944E8AA" w14:textId="77777777" w:rsidR="00AA627A" w:rsidRPr="00541761" w:rsidRDefault="00AA627A" w:rsidP="00541761">
      <w:pPr>
        <w:ind w:left="720"/>
        <w:rPr>
          <w:rFonts w:ascii="Arial" w:hAnsi="Arial" w:cs="Arial"/>
          <w:noProof/>
        </w:rPr>
      </w:pPr>
      <w:r w:rsidRPr="00541761">
        <w:rPr>
          <w:rFonts w:ascii="Arial" w:hAnsi="Arial" w:cs="Arial"/>
          <w:noProof/>
        </w:rPr>
        <w:t xml:space="preserve">This form identifies the institution which maintains the custodial account for the deposit of escrow funds </w:t>
      </w:r>
    </w:p>
    <w:p w14:paraId="039E75EA" w14:textId="77777777" w:rsidR="00AA627A" w:rsidRPr="00541761" w:rsidRDefault="00AA627A" w:rsidP="00541761">
      <w:pPr>
        <w:ind w:left="720"/>
        <w:rPr>
          <w:rFonts w:ascii="Arial" w:hAnsi="Arial" w:cs="Arial"/>
          <w:noProof/>
        </w:rPr>
      </w:pPr>
      <w:r w:rsidRPr="00541761">
        <w:rPr>
          <w:rFonts w:ascii="Arial" w:hAnsi="Arial" w:cs="Arial"/>
          <w:noProof/>
        </w:rPr>
        <w:t xml:space="preserve">received on mortgages pooled and guaranteed by Ginnie Mae in connection with the mortgage-backed </w:t>
      </w:r>
    </w:p>
    <w:p w14:paraId="711E464E" w14:textId="77777777" w:rsidR="00AA627A" w:rsidRPr="00541761" w:rsidRDefault="00AA627A" w:rsidP="00541761">
      <w:pPr>
        <w:ind w:left="720"/>
        <w:rPr>
          <w:rFonts w:ascii="Arial" w:hAnsi="Arial" w:cs="Arial"/>
          <w:noProof/>
        </w:rPr>
      </w:pPr>
      <w:r w:rsidRPr="00541761">
        <w:rPr>
          <w:rFonts w:ascii="Arial" w:hAnsi="Arial" w:cs="Arial"/>
          <w:noProof/>
        </w:rPr>
        <w:t xml:space="preserve">securities.  In addition, all deposits made by issuers are subject to draft or check by Ginnie Mae, and all such </w:t>
      </w:r>
    </w:p>
    <w:p w14:paraId="317C164C" w14:textId="77777777" w:rsidR="00AA627A" w:rsidRPr="00541761" w:rsidRDefault="00AA627A" w:rsidP="00541761">
      <w:pPr>
        <w:ind w:left="720"/>
        <w:rPr>
          <w:rFonts w:ascii="Arial" w:hAnsi="Arial" w:cs="Arial"/>
          <w:noProof/>
        </w:rPr>
      </w:pPr>
      <w:r w:rsidRPr="00541761">
        <w:rPr>
          <w:rFonts w:ascii="Arial" w:hAnsi="Arial" w:cs="Arial"/>
          <w:noProof/>
        </w:rPr>
        <w:t xml:space="preserve">amounts are made payable to Ginnie Mae on demand and without notice.  Escrow custodial accounts include </w:t>
      </w:r>
    </w:p>
    <w:p w14:paraId="0070341C" w14:textId="77777777" w:rsidR="00AA627A" w:rsidRPr="00541761" w:rsidRDefault="00AA627A" w:rsidP="00541761">
      <w:pPr>
        <w:pStyle w:val="BodyTextIndent"/>
        <w:ind w:left="720"/>
        <w:rPr>
          <w:rFonts w:ascii="Arial" w:hAnsi="Arial" w:cs="Arial"/>
          <w:b w:val="0"/>
          <w:noProof/>
        </w:rPr>
      </w:pPr>
      <w:r w:rsidRPr="00541761">
        <w:rPr>
          <w:rFonts w:ascii="Arial" w:hAnsi="Arial" w:cs="Arial"/>
          <w:b w:val="0"/>
          <w:noProof/>
        </w:rPr>
        <w:t xml:space="preserve">all funds collected to cover expenses to be paid under the mortgage, including, but not limited to, taxes, special assessments, ground rents, other charges that are or may become first liens on the property, hazard insurance premium, and mortgage insurance permiums.  Issuers may have more than one escrow custodial account.  The form is completed by the issuer and custodial bank and provided to Ginnie Mae's pool processing agent.  Ginnie Mae must have this form in case an issuer defaults on its payments to securities holders/investors.  This enables Ginnie Mae to access the funds in the account to make the payments and prevent the issuer from further access to the funds.  </w:t>
      </w:r>
    </w:p>
    <w:p w14:paraId="6B8BC91F" w14:textId="77777777" w:rsidR="00AA627A" w:rsidRPr="00541761" w:rsidRDefault="00AA627A" w:rsidP="00541761">
      <w:pPr>
        <w:rPr>
          <w:rFonts w:ascii="Arial" w:hAnsi="Arial" w:cs="Arial"/>
          <w:noProof/>
        </w:rPr>
      </w:pPr>
    </w:p>
    <w:p w14:paraId="6CAF97E1" w14:textId="77777777" w:rsidR="00AA627A" w:rsidRPr="00541761" w:rsidRDefault="00B24322" w:rsidP="00541761">
      <w:pPr>
        <w:ind w:left="720"/>
        <w:rPr>
          <w:rFonts w:ascii="Arial" w:hAnsi="Arial" w:cs="Arial"/>
          <w:noProof/>
        </w:rPr>
      </w:pPr>
      <w:r>
        <w:rPr>
          <w:rFonts w:ascii="Arial" w:hAnsi="Arial" w:cs="Arial"/>
          <w:noProof/>
        </w:rPr>
        <w:t>Ginnie Mae requir</w:t>
      </w:r>
      <w:r w:rsidR="00A249E5">
        <w:rPr>
          <w:rFonts w:ascii="Arial" w:hAnsi="Arial" w:cs="Arial"/>
          <w:noProof/>
        </w:rPr>
        <w:t>e</w:t>
      </w:r>
      <w:r>
        <w:rPr>
          <w:rFonts w:ascii="Arial" w:hAnsi="Arial" w:cs="Arial"/>
          <w:noProof/>
        </w:rPr>
        <w:t xml:space="preserve">s </w:t>
      </w:r>
      <w:r w:rsidR="00AA627A" w:rsidRPr="00541761">
        <w:rPr>
          <w:rFonts w:ascii="Arial" w:hAnsi="Arial" w:cs="Arial"/>
          <w:noProof/>
        </w:rPr>
        <w:t xml:space="preserve"> this form </w:t>
      </w:r>
      <w:r>
        <w:rPr>
          <w:rFonts w:ascii="Arial" w:hAnsi="Arial" w:cs="Arial"/>
          <w:noProof/>
        </w:rPr>
        <w:t xml:space="preserve">to be updated </w:t>
      </w:r>
      <w:r w:rsidR="00AA627A" w:rsidRPr="00541761">
        <w:rPr>
          <w:rFonts w:ascii="Arial" w:hAnsi="Arial" w:cs="Arial"/>
          <w:noProof/>
        </w:rPr>
        <w:t xml:space="preserve">annually. </w:t>
      </w:r>
      <w:r w:rsidR="00A249E5">
        <w:rPr>
          <w:rFonts w:ascii="Arial" w:hAnsi="Arial" w:cs="Arial"/>
          <w:noProof/>
        </w:rPr>
        <w:t xml:space="preserve">Also, updates are required when </w:t>
      </w:r>
      <w:r w:rsidR="00A249E5" w:rsidRPr="005D180B">
        <w:rPr>
          <w:rFonts w:ascii="Arial" w:hAnsi="Arial" w:cs="Arial"/>
          <w:noProof/>
        </w:rPr>
        <w:t>there is a change in the issuer’s name</w:t>
      </w:r>
      <w:r w:rsidR="00A249E5">
        <w:rPr>
          <w:rFonts w:ascii="Arial" w:hAnsi="Arial" w:cs="Arial"/>
          <w:noProof/>
        </w:rPr>
        <w:t xml:space="preserve"> or a change in the issuer’s escrow custodial accoun</w:t>
      </w:r>
      <w:r w:rsidR="00F84D5C">
        <w:rPr>
          <w:rFonts w:ascii="Arial" w:hAnsi="Arial" w:cs="Arial"/>
          <w:noProof/>
        </w:rPr>
        <w:t>t</w:t>
      </w:r>
      <w:r w:rsidR="00A249E5" w:rsidRPr="005D180B">
        <w:rPr>
          <w:rFonts w:ascii="Arial" w:hAnsi="Arial" w:cs="Arial"/>
          <w:noProof/>
        </w:rPr>
        <w:t>.</w:t>
      </w:r>
      <w:r w:rsidR="00A249E5">
        <w:rPr>
          <w:rFonts w:ascii="Arial" w:hAnsi="Arial" w:cs="Arial"/>
          <w:noProof/>
        </w:rPr>
        <w:t xml:space="preserve">  </w:t>
      </w:r>
      <w:r w:rsidR="00AA627A" w:rsidRPr="00541761">
        <w:rPr>
          <w:rFonts w:ascii="Arial" w:hAnsi="Arial" w:cs="Arial"/>
          <w:noProof/>
        </w:rPr>
        <w:t xml:space="preserve"> </w:t>
      </w:r>
      <w:r w:rsidR="00AA627A" w:rsidRPr="00541761">
        <w:rPr>
          <w:rFonts w:ascii="Arial" w:hAnsi="Arial" w:cs="Arial"/>
          <w:bCs/>
        </w:rPr>
        <w:t xml:space="preserve">Issuers can electronically certify that the information has not changed in </w:t>
      </w:r>
      <w:r w:rsidR="00445B01">
        <w:rPr>
          <w:rFonts w:ascii="Arial" w:hAnsi="Arial" w:cs="Arial"/>
          <w:bCs/>
        </w:rPr>
        <w:t>MAMS</w:t>
      </w:r>
      <w:r w:rsidR="00AA627A" w:rsidRPr="00541761">
        <w:rPr>
          <w:rFonts w:ascii="Arial" w:hAnsi="Arial" w:cs="Arial"/>
          <w:bCs/>
        </w:rPr>
        <w:t>.</w:t>
      </w:r>
    </w:p>
    <w:p w14:paraId="27629497" w14:textId="77777777" w:rsidR="00AA627A" w:rsidRPr="00541761" w:rsidRDefault="00AA627A" w:rsidP="00541761">
      <w:pPr>
        <w:rPr>
          <w:rFonts w:ascii="Arial" w:hAnsi="Arial" w:cs="Arial"/>
          <w:noProof/>
        </w:rPr>
      </w:pPr>
    </w:p>
    <w:p w14:paraId="0BEB3675" w14:textId="77777777" w:rsidR="00AA627A" w:rsidRPr="00F84D5C" w:rsidRDefault="00AA627A" w:rsidP="00541761">
      <w:pPr>
        <w:ind w:left="720"/>
        <w:rPr>
          <w:rFonts w:ascii="Arial" w:hAnsi="Arial" w:cs="Arial"/>
          <w:noProof/>
        </w:rPr>
      </w:pPr>
      <w:r w:rsidRPr="00541761">
        <w:rPr>
          <w:rFonts w:ascii="Arial" w:hAnsi="Arial" w:cs="Arial"/>
          <w:noProof/>
        </w:rPr>
        <w:t xml:space="preserve">Completion of the form HUD 11720 is estimated to average of </w:t>
      </w:r>
      <w:r w:rsidR="0048491E">
        <w:rPr>
          <w:rFonts w:ascii="Arial" w:hAnsi="Arial" w:cs="Arial"/>
          <w:noProof/>
        </w:rPr>
        <w:t>2</w:t>
      </w:r>
      <w:r w:rsidR="00D858AD">
        <w:rPr>
          <w:rFonts w:ascii="Arial" w:hAnsi="Arial" w:cs="Arial"/>
          <w:noProof/>
        </w:rPr>
        <w:t xml:space="preserve"> </w:t>
      </w:r>
      <w:r w:rsidRPr="00541761">
        <w:rPr>
          <w:rFonts w:ascii="Arial" w:hAnsi="Arial" w:cs="Arial"/>
          <w:noProof/>
        </w:rPr>
        <w:t>minute</w:t>
      </w:r>
      <w:r w:rsidR="0048491E">
        <w:rPr>
          <w:rFonts w:ascii="Arial" w:hAnsi="Arial" w:cs="Arial"/>
          <w:noProof/>
        </w:rPr>
        <w:t>s</w:t>
      </w:r>
      <w:r w:rsidRPr="00541761">
        <w:rPr>
          <w:rFonts w:ascii="Arial" w:hAnsi="Arial" w:cs="Arial"/>
          <w:noProof/>
        </w:rPr>
        <w:t xml:space="preserve"> per response, including the time for the review </w:t>
      </w:r>
      <w:r w:rsidR="00D56643">
        <w:rPr>
          <w:rFonts w:ascii="Arial" w:hAnsi="Arial" w:cs="Arial"/>
          <w:noProof/>
        </w:rPr>
        <w:t>of the instructions.  The infom</w:t>
      </w:r>
      <w:r w:rsidRPr="00541761">
        <w:rPr>
          <w:rFonts w:ascii="Arial" w:hAnsi="Arial" w:cs="Arial"/>
          <w:noProof/>
        </w:rPr>
        <w:t>ation is required by Section 306(g) of the National Housing Act or by Ginnie Mae Handbook 5500.3, Rev. 1.</w:t>
      </w:r>
    </w:p>
    <w:p w14:paraId="5994D28F" w14:textId="77777777" w:rsidR="00ED5F2C" w:rsidRDefault="00ED5F2C" w:rsidP="00541761">
      <w:pPr>
        <w:ind w:left="720"/>
        <w:rPr>
          <w:rFonts w:ascii="Arial" w:hAnsi="Arial" w:cs="Arial"/>
          <w:noProof/>
        </w:rPr>
      </w:pPr>
    </w:p>
    <w:p w14:paraId="3D5EB0A9" w14:textId="77777777" w:rsidR="00ED5F2C" w:rsidRPr="00541761" w:rsidRDefault="00ED5F2C" w:rsidP="00541761">
      <w:pPr>
        <w:ind w:left="720"/>
        <w:rPr>
          <w:rFonts w:ascii="Arial" w:hAnsi="Arial" w:cs="Arial"/>
          <w:noProof/>
        </w:rPr>
      </w:pPr>
      <w:r>
        <w:rPr>
          <w:rFonts w:ascii="Arial" w:hAnsi="Arial" w:cs="Arial"/>
          <w:noProof/>
        </w:rPr>
        <w:t xml:space="preserve">This form has been automated and document reserved for </w:t>
      </w:r>
      <w:r w:rsidR="00841612">
        <w:rPr>
          <w:rFonts w:ascii="Arial" w:hAnsi="Arial" w:cs="Arial"/>
          <w:noProof/>
        </w:rPr>
        <w:t>reference</w:t>
      </w:r>
      <w:r>
        <w:rPr>
          <w:rFonts w:ascii="Arial" w:hAnsi="Arial" w:cs="Arial"/>
          <w:noProof/>
        </w:rPr>
        <w:t xml:space="preserve"> purposes only</w:t>
      </w:r>
      <w:r w:rsidR="00841612">
        <w:rPr>
          <w:rFonts w:ascii="Arial" w:hAnsi="Arial" w:cs="Arial"/>
          <w:noProof/>
        </w:rPr>
        <w:t>, not valid for submission.</w:t>
      </w:r>
    </w:p>
    <w:p w14:paraId="74AC0EC5" w14:textId="77777777" w:rsidR="00AA627A" w:rsidRPr="00814A0B" w:rsidRDefault="00AA627A">
      <w:pPr>
        <w:rPr>
          <w:rFonts w:ascii="Arial" w:hAnsi="Arial" w:cs="Arial"/>
          <w:b/>
          <w:noProof/>
        </w:rPr>
      </w:pPr>
    </w:p>
    <w:p w14:paraId="07BF916F" w14:textId="77777777" w:rsidR="00AA627A" w:rsidRPr="00541761" w:rsidRDefault="00AA627A" w:rsidP="00541761">
      <w:pPr>
        <w:numPr>
          <w:ilvl w:val="0"/>
          <w:numId w:val="22"/>
        </w:numPr>
        <w:rPr>
          <w:rFonts w:ascii="Arial" w:hAnsi="Arial" w:cs="Arial"/>
          <w:b/>
          <w:noProof/>
        </w:rPr>
      </w:pPr>
      <w:r w:rsidRPr="00541761">
        <w:rPr>
          <w:rFonts w:ascii="Arial" w:hAnsi="Arial" w:cs="Arial"/>
          <w:b/>
          <w:noProof/>
        </w:rPr>
        <w:t>Form HUD 11705/Appendix III-6/ Schedule of Subscribers and Ginnie Mae Guaranty Agreement</w:t>
      </w:r>
    </w:p>
    <w:p w14:paraId="5B3AF829" w14:textId="77777777" w:rsidR="00AA627A" w:rsidRPr="00814A0B" w:rsidRDefault="00AA627A">
      <w:pPr>
        <w:rPr>
          <w:rFonts w:ascii="Arial" w:hAnsi="Arial" w:cs="Arial"/>
          <w:b/>
          <w:noProof/>
          <w:u w:val="single"/>
        </w:rPr>
      </w:pPr>
    </w:p>
    <w:p w14:paraId="004F1683" w14:textId="77777777" w:rsidR="00AA627A" w:rsidRPr="00541761" w:rsidRDefault="00AA627A" w:rsidP="00541761">
      <w:pPr>
        <w:ind w:left="720"/>
        <w:rPr>
          <w:rFonts w:ascii="Arial" w:hAnsi="Arial" w:cs="Arial"/>
          <w:noProof/>
        </w:rPr>
      </w:pPr>
      <w:r w:rsidRPr="00541761">
        <w:rPr>
          <w:rFonts w:ascii="Arial" w:hAnsi="Arial" w:cs="Arial"/>
          <w:noProof/>
        </w:rPr>
        <w:t xml:space="preserve">This form must be used by the issuer to submit pool or loan packages in either an electronic format using </w:t>
      </w:r>
    </w:p>
    <w:p w14:paraId="751F5C5B" w14:textId="77777777" w:rsidR="00AA627A" w:rsidRPr="00541761" w:rsidRDefault="00AA627A" w:rsidP="00541761">
      <w:pPr>
        <w:ind w:left="720"/>
        <w:rPr>
          <w:rFonts w:ascii="Arial" w:hAnsi="Arial" w:cs="Arial"/>
          <w:noProof/>
        </w:rPr>
      </w:pPr>
      <w:r w:rsidRPr="00A11135">
        <w:rPr>
          <w:rFonts w:ascii="Arial" w:hAnsi="Arial" w:cs="Arial"/>
          <w:noProof/>
        </w:rPr>
        <w:t>Ginnie</w:t>
      </w:r>
      <w:r w:rsidR="00A11135" w:rsidRPr="00A11135">
        <w:rPr>
          <w:rFonts w:ascii="Arial" w:hAnsi="Arial" w:cs="Arial"/>
          <w:i/>
          <w:noProof/>
        </w:rPr>
        <w:t>NET</w:t>
      </w:r>
      <w:r w:rsidRPr="00541761">
        <w:rPr>
          <w:rFonts w:ascii="Arial" w:hAnsi="Arial" w:cs="Arial"/>
          <w:noProof/>
        </w:rPr>
        <w:t xml:space="preserve"> or paper format.  Each time the issuer issues a new security, it agrees that the applicable Guaranty Agreement is in effect on the issue date of the securities and that it will govern all of the issuer's outstanding </w:t>
      </w:r>
    </w:p>
    <w:p w14:paraId="4F26F4D0" w14:textId="77777777" w:rsidR="00AA627A" w:rsidRPr="00541761" w:rsidRDefault="00AA627A" w:rsidP="00541761">
      <w:pPr>
        <w:ind w:left="720"/>
        <w:rPr>
          <w:rFonts w:ascii="Arial" w:hAnsi="Arial" w:cs="Arial"/>
          <w:noProof/>
        </w:rPr>
      </w:pPr>
      <w:r w:rsidRPr="00541761">
        <w:rPr>
          <w:rFonts w:ascii="Arial" w:hAnsi="Arial" w:cs="Arial"/>
          <w:noProof/>
        </w:rPr>
        <w:t xml:space="preserve">pool and loan packages, pooled mortgages, and securitiees whether created under the Ginnie Mae I MBS </w:t>
      </w:r>
    </w:p>
    <w:p w14:paraId="248AAB0D" w14:textId="77777777" w:rsidR="00AA627A" w:rsidRPr="00541761" w:rsidRDefault="00AA627A" w:rsidP="00541761">
      <w:pPr>
        <w:ind w:left="720"/>
        <w:rPr>
          <w:rFonts w:ascii="Arial" w:hAnsi="Arial" w:cs="Arial"/>
          <w:noProof/>
        </w:rPr>
      </w:pPr>
      <w:r w:rsidRPr="00541761">
        <w:rPr>
          <w:rFonts w:ascii="Arial" w:hAnsi="Arial" w:cs="Arial"/>
          <w:noProof/>
        </w:rPr>
        <w:t xml:space="preserve">program or the Ginnie Mae II MBS program.  The pool will vary as to the amount of each certificate, certificate holder, and the number of certificates for each holder.  The data provided on this form is the basis for the preparation of the securities issued under each Ginnie Mae MBS pool.  Upon receipt of the form, </w:t>
      </w:r>
      <w:r w:rsidR="00441D1D">
        <w:rPr>
          <w:rFonts w:ascii="Arial" w:hAnsi="Arial" w:cs="Arial"/>
          <w:noProof/>
        </w:rPr>
        <w:t>Ginnie Mae’s P</w:t>
      </w:r>
      <w:r w:rsidR="00D3666D">
        <w:rPr>
          <w:rFonts w:ascii="Arial" w:hAnsi="Arial" w:cs="Arial"/>
          <w:noProof/>
        </w:rPr>
        <w:t xml:space="preserve">ool </w:t>
      </w:r>
      <w:r w:rsidR="00441D1D">
        <w:rPr>
          <w:rFonts w:ascii="Arial" w:hAnsi="Arial" w:cs="Arial"/>
          <w:noProof/>
        </w:rPr>
        <w:t>P</w:t>
      </w:r>
      <w:r w:rsidR="00D3666D">
        <w:rPr>
          <w:rFonts w:ascii="Arial" w:hAnsi="Arial" w:cs="Arial"/>
          <w:noProof/>
        </w:rPr>
        <w:t xml:space="preserve">rocessing </w:t>
      </w:r>
      <w:r w:rsidR="00441D1D">
        <w:rPr>
          <w:rFonts w:ascii="Arial" w:hAnsi="Arial" w:cs="Arial"/>
          <w:noProof/>
        </w:rPr>
        <w:t>A</w:t>
      </w:r>
      <w:r w:rsidR="00D3666D">
        <w:rPr>
          <w:rFonts w:ascii="Arial" w:hAnsi="Arial" w:cs="Arial"/>
          <w:noProof/>
        </w:rPr>
        <w:t>gent</w:t>
      </w:r>
      <w:r w:rsidRPr="00541761">
        <w:rPr>
          <w:rFonts w:ascii="Arial" w:hAnsi="Arial" w:cs="Arial"/>
          <w:noProof/>
        </w:rPr>
        <w:t xml:space="preserve"> reviews the information submitted in conjunction with other documentation required for the issuance of MBS securities.  The approval of this form enables the actual preparation of the securities to be issued.</w:t>
      </w:r>
    </w:p>
    <w:p w14:paraId="76D0E33E" w14:textId="77777777" w:rsidR="00AA627A" w:rsidRPr="00541761" w:rsidRDefault="00AA627A" w:rsidP="00541761">
      <w:pPr>
        <w:rPr>
          <w:rFonts w:ascii="Arial" w:hAnsi="Arial" w:cs="Arial"/>
          <w:noProof/>
        </w:rPr>
      </w:pPr>
    </w:p>
    <w:p w14:paraId="46AAB357" w14:textId="77777777" w:rsidR="00AA627A" w:rsidRPr="00541761" w:rsidRDefault="00AA627A" w:rsidP="00541761">
      <w:pPr>
        <w:ind w:left="720"/>
        <w:rPr>
          <w:rFonts w:ascii="Arial" w:hAnsi="Arial" w:cs="Arial"/>
          <w:noProof/>
        </w:rPr>
      </w:pPr>
      <w:r w:rsidRPr="00541761">
        <w:rPr>
          <w:rFonts w:ascii="Arial" w:hAnsi="Arial" w:cs="Arial"/>
          <w:noProof/>
        </w:rPr>
        <w:t xml:space="preserve">It is estimated to take an average of </w:t>
      </w:r>
      <w:r w:rsidR="008B54F1">
        <w:rPr>
          <w:rFonts w:ascii="Arial" w:hAnsi="Arial" w:cs="Arial"/>
          <w:noProof/>
        </w:rPr>
        <w:t>3</w:t>
      </w:r>
      <w:r w:rsidR="00D858AD">
        <w:rPr>
          <w:rFonts w:ascii="Arial" w:hAnsi="Arial" w:cs="Arial"/>
          <w:noProof/>
        </w:rPr>
        <w:t xml:space="preserve"> </w:t>
      </w:r>
      <w:r w:rsidRPr="00541761">
        <w:rPr>
          <w:rFonts w:ascii="Arial" w:hAnsi="Arial" w:cs="Arial"/>
          <w:noProof/>
        </w:rPr>
        <w:t>minute</w:t>
      </w:r>
      <w:r w:rsidR="008B54F1">
        <w:rPr>
          <w:rFonts w:ascii="Arial" w:hAnsi="Arial" w:cs="Arial"/>
          <w:noProof/>
        </w:rPr>
        <w:t>s</w:t>
      </w:r>
      <w:r w:rsidRPr="00541761">
        <w:rPr>
          <w:rFonts w:ascii="Arial" w:hAnsi="Arial" w:cs="Arial"/>
          <w:noProof/>
        </w:rPr>
        <w:t xml:space="preserve"> to complete</w:t>
      </w:r>
      <w:r w:rsidR="006D6B3B" w:rsidRPr="00541761">
        <w:rPr>
          <w:rFonts w:ascii="Arial" w:hAnsi="Arial" w:cs="Arial"/>
          <w:noProof/>
        </w:rPr>
        <w:t xml:space="preserve"> </w:t>
      </w:r>
      <w:r w:rsidRPr="00541761">
        <w:rPr>
          <w:rFonts w:ascii="Arial" w:hAnsi="Arial" w:cs="Arial"/>
          <w:noProof/>
        </w:rPr>
        <w:t>th</w:t>
      </w:r>
      <w:r w:rsidR="00441D1D">
        <w:rPr>
          <w:rFonts w:ascii="Arial" w:hAnsi="Arial" w:cs="Arial"/>
          <w:noProof/>
        </w:rPr>
        <w:t>is</w:t>
      </w:r>
      <w:r w:rsidRPr="00541761">
        <w:rPr>
          <w:rFonts w:ascii="Arial" w:hAnsi="Arial" w:cs="Arial"/>
          <w:noProof/>
        </w:rPr>
        <w:t xml:space="preserve"> form.  The information is required by Section 306(g) of the National Housing Act or by Ginnie Mae Handbook 5500.3, Rev. 1.</w:t>
      </w:r>
    </w:p>
    <w:p w14:paraId="1DAEE726" w14:textId="77777777" w:rsidR="00AA627A" w:rsidRPr="00814A0B" w:rsidRDefault="00AA627A">
      <w:pPr>
        <w:rPr>
          <w:rFonts w:ascii="Arial" w:hAnsi="Arial" w:cs="Arial"/>
          <w:b/>
          <w:noProof/>
        </w:rPr>
      </w:pPr>
    </w:p>
    <w:p w14:paraId="59E66EC6" w14:textId="77777777"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Form HUD 11706/Appendix III-7/ Schedule of Pooled Mortgages</w:t>
      </w:r>
    </w:p>
    <w:p w14:paraId="78349730" w14:textId="77777777" w:rsidR="00AA627A" w:rsidRPr="00814A0B" w:rsidRDefault="00AA627A">
      <w:pPr>
        <w:rPr>
          <w:rFonts w:ascii="Arial" w:hAnsi="Arial" w:cs="Arial"/>
          <w:b/>
          <w:noProof/>
        </w:rPr>
      </w:pPr>
    </w:p>
    <w:p w14:paraId="149916E8" w14:textId="77777777" w:rsidR="00AA627A" w:rsidRPr="00541761" w:rsidRDefault="00AA627A" w:rsidP="00541761">
      <w:pPr>
        <w:ind w:left="720"/>
        <w:rPr>
          <w:rFonts w:ascii="Arial" w:hAnsi="Arial" w:cs="Arial"/>
          <w:noProof/>
        </w:rPr>
      </w:pPr>
      <w:r w:rsidRPr="00541761">
        <w:rPr>
          <w:rFonts w:ascii="Arial" w:hAnsi="Arial" w:cs="Arial"/>
          <w:noProof/>
        </w:rPr>
        <w:t xml:space="preserve">This form is used by the issuers when using a </w:t>
      </w:r>
      <w:r w:rsidRPr="00445B01">
        <w:rPr>
          <w:rFonts w:ascii="Arial" w:hAnsi="Arial" w:cs="Arial"/>
          <w:noProof/>
        </w:rPr>
        <w:t xml:space="preserve">paper format </w:t>
      </w:r>
      <w:r w:rsidRPr="00541761">
        <w:rPr>
          <w:rFonts w:ascii="Arial" w:hAnsi="Arial" w:cs="Arial"/>
          <w:noProof/>
        </w:rPr>
        <w:t xml:space="preserve">or an electronic format to submit pools to Ginnie Mae’s pool processing agent.  The purpose of the Form HUD 11706 is to provide a means of identifying and controlling the mortgages that collateralize the designated MBS pools or loan packages.  It provides a certification from the document custodian that certain required mortgage documents are being held by the document custodian on behalf of Ginnie Mae. </w:t>
      </w:r>
    </w:p>
    <w:p w14:paraId="50108F88" w14:textId="77777777" w:rsidR="00AA627A" w:rsidRPr="00541761" w:rsidRDefault="00AA627A" w:rsidP="00541761">
      <w:pPr>
        <w:rPr>
          <w:rFonts w:ascii="Arial" w:hAnsi="Arial" w:cs="Arial"/>
          <w:noProof/>
        </w:rPr>
      </w:pPr>
      <w:r w:rsidRPr="00541761">
        <w:rPr>
          <w:rFonts w:ascii="Arial" w:hAnsi="Arial" w:cs="Arial"/>
          <w:noProof/>
        </w:rPr>
        <w:t xml:space="preserve"> </w:t>
      </w:r>
    </w:p>
    <w:p w14:paraId="265F38AA" w14:textId="77777777" w:rsidR="00AA627A" w:rsidRDefault="00AA627A" w:rsidP="00541761">
      <w:pPr>
        <w:ind w:left="720"/>
        <w:rPr>
          <w:rFonts w:ascii="Arial" w:hAnsi="Arial" w:cs="Arial"/>
          <w:noProof/>
        </w:rPr>
      </w:pPr>
      <w:r w:rsidRPr="00541761">
        <w:rPr>
          <w:rFonts w:ascii="Arial" w:hAnsi="Arial" w:cs="Arial"/>
          <w:noProof/>
        </w:rPr>
        <w:t xml:space="preserve">It is estimated to take an average of </w:t>
      </w:r>
      <w:r w:rsidR="004F47CF">
        <w:rPr>
          <w:rFonts w:ascii="Arial" w:hAnsi="Arial" w:cs="Arial"/>
          <w:noProof/>
        </w:rPr>
        <w:t>5</w:t>
      </w:r>
      <w:r w:rsidRPr="00541761">
        <w:rPr>
          <w:rFonts w:ascii="Arial" w:hAnsi="Arial" w:cs="Arial"/>
          <w:noProof/>
        </w:rPr>
        <w:t xml:space="preserve"> minutes to complete</w:t>
      </w:r>
      <w:r w:rsidR="001B6DB9" w:rsidRPr="00541761">
        <w:rPr>
          <w:rFonts w:ascii="Arial" w:hAnsi="Arial" w:cs="Arial"/>
          <w:noProof/>
        </w:rPr>
        <w:t xml:space="preserve"> t</w:t>
      </w:r>
      <w:r w:rsidRPr="00541761">
        <w:rPr>
          <w:rFonts w:ascii="Arial" w:hAnsi="Arial" w:cs="Arial"/>
          <w:noProof/>
        </w:rPr>
        <w:t>h</w:t>
      </w:r>
      <w:r w:rsidR="00BA20B3">
        <w:rPr>
          <w:rFonts w:ascii="Arial" w:hAnsi="Arial" w:cs="Arial"/>
          <w:noProof/>
        </w:rPr>
        <w:t>is</w:t>
      </w:r>
      <w:r w:rsidRPr="00541761">
        <w:rPr>
          <w:rFonts w:ascii="Arial" w:hAnsi="Arial" w:cs="Arial"/>
          <w:noProof/>
        </w:rPr>
        <w:t xml:space="preserve"> form.  The information is required by Section 306(g) of the National Housing Act or by Ginnie Mae Handbook 5500.3, Rev. 1.</w:t>
      </w:r>
    </w:p>
    <w:p w14:paraId="2E0D8695" w14:textId="77777777" w:rsidR="00CD7740" w:rsidRDefault="00CD7740" w:rsidP="00541761">
      <w:pPr>
        <w:ind w:left="720"/>
        <w:rPr>
          <w:rFonts w:ascii="Arial" w:hAnsi="Arial" w:cs="Arial"/>
          <w:noProof/>
        </w:rPr>
      </w:pPr>
    </w:p>
    <w:p w14:paraId="57F0DE24" w14:textId="77777777" w:rsidR="00CD7740" w:rsidRDefault="00CD7740" w:rsidP="00541761">
      <w:pPr>
        <w:ind w:left="720"/>
        <w:rPr>
          <w:rFonts w:ascii="Arial" w:hAnsi="Arial" w:cs="Arial"/>
          <w:noProof/>
        </w:rPr>
      </w:pPr>
      <w:r w:rsidRPr="00E110D5">
        <w:rPr>
          <w:rFonts w:ascii="Arial" w:hAnsi="Arial" w:cs="Arial"/>
          <w:noProof/>
        </w:rPr>
        <w:t>Ginnie Mae increased this burden</w:t>
      </w:r>
      <w:r>
        <w:rPr>
          <w:rFonts w:ascii="Arial" w:hAnsi="Arial" w:cs="Arial"/>
          <w:noProof/>
        </w:rPr>
        <w:t xml:space="preserve"> time</w:t>
      </w:r>
      <w:r w:rsidRPr="00E110D5">
        <w:rPr>
          <w:rFonts w:ascii="Arial" w:hAnsi="Arial" w:cs="Arial"/>
          <w:noProof/>
        </w:rPr>
        <w:t xml:space="preserve"> from </w:t>
      </w:r>
      <w:r>
        <w:rPr>
          <w:rFonts w:ascii="Arial" w:hAnsi="Arial" w:cs="Arial"/>
          <w:noProof/>
        </w:rPr>
        <w:t>3 minutes</w:t>
      </w:r>
      <w:r w:rsidRPr="00E110D5">
        <w:rPr>
          <w:rFonts w:ascii="Arial" w:hAnsi="Arial" w:cs="Arial"/>
          <w:noProof/>
        </w:rPr>
        <w:t xml:space="preserve"> </w:t>
      </w:r>
      <w:r>
        <w:rPr>
          <w:rFonts w:ascii="Arial" w:hAnsi="Arial" w:cs="Arial"/>
          <w:noProof/>
        </w:rPr>
        <w:t>5 minutes</w:t>
      </w:r>
      <w:r w:rsidRPr="00E110D5">
        <w:rPr>
          <w:rFonts w:ascii="Arial" w:hAnsi="Arial" w:cs="Arial"/>
          <w:noProof/>
        </w:rPr>
        <w:t>.</w:t>
      </w:r>
    </w:p>
    <w:p w14:paraId="4E86E704" w14:textId="77777777" w:rsidR="009B1121" w:rsidRDefault="009B1121" w:rsidP="00541761">
      <w:pPr>
        <w:ind w:left="720"/>
        <w:rPr>
          <w:rFonts w:ascii="Arial" w:hAnsi="Arial" w:cs="Arial"/>
          <w:noProof/>
        </w:rPr>
      </w:pPr>
    </w:p>
    <w:p w14:paraId="2859596C" w14:textId="77777777" w:rsidR="009B1121" w:rsidRPr="00541761" w:rsidRDefault="009B1121" w:rsidP="009B1121">
      <w:pPr>
        <w:numPr>
          <w:ilvl w:val="0"/>
          <w:numId w:val="22"/>
        </w:numPr>
        <w:rPr>
          <w:rFonts w:ascii="Arial" w:hAnsi="Arial" w:cs="Arial"/>
          <w:b/>
          <w:noProof/>
        </w:rPr>
      </w:pPr>
      <w:r w:rsidRPr="00541761">
        <w:rPr>
          <w:rFonts w:ascii="Arial" w:hAnsi="Arial" w:cs="Arial"/>
          <w:b/>
          <w:noProof/>
        </w:rPr>
        <w:t>Form HUD 11705</w:t>
      </w:r>
      <w:r>
        <w:rPr>
          <w:rFonts w:ascii="Arial" w:hAnsi="Arial" w:cs="Arial"/>
          <w:b/>
          <w:noProof/>
        </w:rPr>
        <w:t>-H/Form HUD 11706-H</w:t>
      </w:r>
      <w:r w:rsidRPr="00541761">
        <w:rPr>
          <w:rFonts w:ascii="Arial" w:hAnsi="Arial" w:cs="Arial"/>
          <w:b/>
          <w:noProof/>
        </w:rPr>
        <w:t>/Appendix III-</w:t>
      </w:r>
      <w:r>
        <w:rPr>
          <w:rFonts w:ascii="Arial" w:hAnsi="Arial" w:cs="Arial"/>
          <w:b/>
          <w:noProof/>
        </w:rPr>
        <w:t>28</w:t>
      </w:r>
      <w:r w:rsidRPr="00541761">
        <w:rPr>
          <w:rFonts w:ascii="Arial" w:hAnsi="Arial" w:cs="Arial"/>
          <w:b/>
          <w:noProof/>
        </w:rPr>
        <w:t>/ Schedule of Subscribers and Ginnie Mae Guaranty Agreement</w:t>
      </w:r>
      <w:r w:rsidR="009A15A2">
        <w:rPr>
          <w:rFonts w:ascii="Arial" w:hAnsi="Arial" w:cs="Arial"/>
          <w:b/>
          <w:noProof/>
        </w:rPr>
        <w:t xml:space="preserve"> and Schedule of Pooled Mortgages</w:t>
      </w:r>
    </w:p>
    <w:p w14:paraId="06C85D54" w14:textId="77777777" w:rsidR="009B1121" w:rsidRPr="00814A0B" w:rsidRDefault="009B1121" w:rsidP="009B1121">
      <w:pPr>
        <w:rPr>
          <w:rFonts w:ascii="Arial" w:hAnsi="Arial" w:cs="Arial"/>
          <w:b/>
          <w:noProof/>
          <w:u w:val="single"/>
        </w:rPr>
      </w:pPr>
    </w:p>
    <w:p w14:paraId="4FB111DE" w14:textId="77777777" w:rsidR="008B774C" w:rsidRPr="00541761" w:rsidRDefault="00445B01" w:rsidP="008B774C">
      <w:pPr>
        <w:ind w:left="720"/>
        <w:rPr>
          <w:rFonts w:ascii="Arial" w:hAnsi="Arial" w:cs="Arial"/>
          <w:noProof/>
        </w:rPr>
      </w:pPr>
      <w:r>
        <w:rPr>
          <w:rFonts w:ascii="Arial" w:hAnsi="Arial" w:cs="Arial"/>
          <w:noProof/>
        </w:rPr>
        <w:t xml:space="preserve">These forms are </w:t>
      </w:r>
      <w:r w:rsidR="00246D25">
        <w:rPr>
          <w:rFonts w:ascii="Arial" w:hAnsi="Arial" w:cs="Arial"/>
          <w:noProof/>
        </w:rPr>
        <w:t>use</w:t>
      </w:r>
      <w:r w:rsidR="00D56643">
        <w:rPr>
          <w:rFonts w:ascii="Arial" w:hAnsi="Arial" w:cs="Arial"/>
          <w:noProof/>
        </w:rPr>
        <w:t>d</w:t>
      </w:r>
      <w:r w:rsidR="00246D25">
        <w:rPr>
          <w:rFonts w:ascii="Arial" w:hAnsi="Arial" w:cs="Arial"/>
          <w:noProof/>
        </w:rPr>
        <w:t xml:space="preserve"> for</w:t>
      </w:r>
      <w:r>
        <w:rPr>
          <w:rFonts w:ascii="Arial" w:hAnsi="Arial" w:cs="Arial"/>
          <w:noProof/>
        </w:rPr>
        <w:t xml:space="preserve"> the Ginnie Mae II HMBS Programs.  They should be used only by Ginnie Mae HMSB Issuers transmitting HMBS pool data through web-based </w:t>
      </w:r>
      <w:r w:rsidRPr="00A11135">
        <w:rPr>
          <w:rFonts w:ascii="Arial" w:hAnsi="Arial" w:cs="Arial"/>
          <w:i/>
          <w:noProof/>
        </w:rPr>
        <w:t>GinnieNET</w:t>
      </w:r>
      <w:r>
        <w:rPr>
          <w:rFonts w:ascii="Arial" w:hAnsi="Arial" w:cs="Arial"/>
          <w:noProof/>
        </w:rPr>
        <w:t>.  The purpose of the forms are to establish the contract between the Iss</w:t>
      </w:r>
      <w:r w:rsidR="00EC01CF">
        <w:rPr>
          <w:rFonts w:ascii="Arial" w:hAnsi="Arial" w:cs="Arial"/>
          <w:noProof/>
        </w:rPr>
        <w:t>uer and Ginnie Mae and provide a listing of subscribers and other information needed to prepare a Ginnie Mae HMBS.</w:t>
      </w:r>
      <w:r w:rsidR="008B774C" w:rsidRPr="00541761">
        <w:rPr>
          <w:rFonts w:ascii="Arial" w:hAnsi="Arial" w:cs="Arial"/>
          <w:noProof/>
        </w:rPr>
        <w:t xml:space="preserve"> </w:t>
      </w:r>
    </w:p>
    <w:p w14:paraId="57074DE2" w14:textId="77777777" w:rsidR="009B1121" w:rsidRPr="00541761" w:rsidRDefault="009B1121" w:rsidP="009B1121">
      <w:pPr>
        <w:rPr>
          <w:rFonts w:ascii="Arial" w:hAnsi="Arial" w:cs="Arial"/>
          <w:noProof/>
        </w:rPr>
      </w:pPr>
    </w:p>
    <w:p w14:paraId="4E43C7F1" w14:textId="77777777" w:rsidR="009B1121" w:rsidRPr="00541761" w:rsidRDefault="009B1121" w:rsidP="009B1121">
      <w:pPr>
        <w:ind w:left="720"/>
        <w:rPr>
          <w:rFonts w:ascii="Arial" w:hAnsi="Arial" w:cs="Arial"/>
          <w:noProof/>
        </w:rPr>
      </w:pPr>
      <w:r w:rsidRPr="00541761">
        <w:rPr>
          <w:rFonts w:ascii="Arial" w:hAnsi="Arial" w:cs="Arial"/>
          <w:noProof/>
        </w:rPr>
        <w:t xml:space="preserve">It is estimated to take an average of </w:t>
      </w:r>
      <w:r>
        <w:rPr>
          <w:rFonts w:ascii="Arial" w:hAnsi="Arial" w:cs="Arial"/>
          <w:noProof/>
        </w:rPr>
        <w:t xml:space="preserve">3 </w:t>
      </w:r>
      <w:r w:rsidRPr="00541761">
        <w:rPr>
          <w:rFonts w:ascii="Arial" w:hAnsi="Arial" w:cs="Arial"/>
          <w:noProof/>
        </w:rPr>
        <w:t>minute</w:t>
      </w:r>
      <w:r>
        <w:rPr>
          <w:rFonts w:ascii="Arial" w:hAnsi="Arial" w:cs="Arial"/>
          <w:noProof/>
        </w:rPr>
        <w:t>s</w:t>
      </w:r>
      <w:r w:rsidRPr="00541761">
        <w:rPr>
          <w:rFonts w:ascii="Arial" w:hAnsi="Arial" w:cs="Arial"/>
          <w:noProof/>
        </w:rPr>
        <w:t xml:space="preserve"> to complete </w:t>
      </w:r>
      <w:r w:rsidR="008B774C">
        <w:rPr>
          <w:rFonts w:ascii="Arial" w:hAnsi="Arial" w:cs="Arial"/>
          <w:noProof/>
        </w:rPr>
        <w:t>each</w:t>
      </w:r>
      <w:r w:rsidRPr="00541761">
        <w:rPr>
          <w:rFonts w:ascii="Arial" w:hAnsi="Arial" w:cs="Arial"/>
          <w:noProof/>
        </w:rPr>
        <w:t xml:space="preserve"> form.  The information is required by Section 306(g) of the National Housing Act or by Ginnie Mae Handbook 5500.3, Rev. 1.</w:t>
      </w:r>
    </w:p>
    <w:p w14:paraId="195A5786" w14:textId="77777777" w:rsidR="009B1121" w:rsidRPr="00814A0B" w:rsidRDefault="009B1121" w:rsidP="009B1121">
      <w:pPr>
        <w:rPr>
          <w:rFonts w:ascii="Arial" w:hAnsi="Arial" w:cs="Arial"/>
          <w:b/>
          <w:noProof/>
        </w:rPr>
      </w:pPr>
    </w:p>
    <w:p w14:paraId="39DC6388" w14:textId="77777777" w:rsidR="00AA627A" w:rsidRPr="00541761" w:rsidRDefault="00AA627A" w:rsidP="00541761">
      <w:pPr>
        <w:numPr>
          <w:ilvl w:val="0"/>
          <w:numId w:val="22"/>
        </w:numPr>
        <w:rPr>
          <w:rFonts w:ascii="Arial" w:hAnsi="Arial" w:cs="Arial"/>
          <w:b/>
          <w:bCs/>
        </w:rPr>
      </w:pPr>
      <w:r w:rsidRPr="00541761">
        <w:rPr>
          <w:rFonts w:ascii="Arial" w:hAnsi="Arial" w:cs="Arial"/>
          <w:b/>
          <w:bCs/>
        </w:rPr>
        <w:t>Form HUD 11711A/Form HUD 11711B/Appendix III-5/ Release of Security Interest and Certification and Agreement</w:t>
      </w:r>
    </w:p>
    <w:p w14:paraId="56E3268E" w14:textId="77777777" w:rsidR="00AA627A" w:rsidRPr="00814A0B" w:rsidRDefault="00AA627A">
      <w:pPr>
        <w:rPr>
          <w:rFonts w:ascii="Arial" w:hAnsi="Arial" w:cs="Arial"/>
          <w:b/>
          <w:noProof/>
        </w:rPr>
      </w:pPr>
    </w:p>
    <w:p w14:paraId="634B00BB" w14:textId="77777777" w:rsidR="00AA627A" w:rsidRPr="00541761" w:rsidRDefault="00AA627A" w:rsidP="00541761">
      <w:pPr>
        <w:ind w:left="720"/>
        <w:rPr>
          <w:rFonts w:ascii="Arial" w:hAnsi="Arial" w:cs="Arial"/>
          <w:noProof/>
        </w:rPr>
      </w:pPr>
      <w:r w:rsidRPr="00541761">
        <w:rPr>
          <w:rFonts w:ascii="Arial" w:hAnsi="Arial" w:cs="Arial"/>
          <w:noProof/>
        </w:rPr>
        <w:t xml:space="preserve">Form HUD 11711A is used to release security interests in pooled mortgages by prior secured institutions. They are prepared by the initial financial institution securing the interest and delivered to the document custodian.  </w:t>
      </w:r>
    </w:p>
    <w:p w14:paraId="4F67FC65" w14:textId="77777777" w:rsidR="00541761" w:rsidRDefault="00541761" w:rsidP="00541761">
      <w:pPr>
        <w:ind w:firstLine="720"/>
        <w:rPr>
          <w:rFonts w:ascii="Arial" w:hAnsi="Arial" w:cs="Arial"/>
          <w:noProof/>
        </w:rPr>
      </w:pPr>
    </w:p>
    <w:p w14:paraId="634A8F32" w14:textId="77777777" w:rsidR="00AA627A" w:rsidRPr="00541761" w:rsidRDefault="00AA627A" w:rsidP="00541761">
      <w:pPr>
        <w:ind w:firstLine="720"/>
        <w:rPr>
          <w:rFonts w:ascii="Arial" w:hAnsi="Arial" w:cs="Arial"/>
          <w:noProof/>
        </w:rPr>
      </w:pPr>
      <w:r w:rsidRPr="00541761">
        <w:rPr>
          <w:rFonts w:ascii="Arial" w:hAnsi="Arial" w:cs="Arial"/>
          <w:noProof/>
        </w:rPr>
        <w:t xml:space="preserve">Form HUD 11711B is used by the issuer and submitted to the document custodian.  This form provides </w:t>
      </w:r>
    </w:p>
    <w:p w14:paraId="3E646F92" w14:textId="77777777" w:rsidR="00AA627A" w:rsidRPr="00541761" w:rsidRDefault="00AA627A" w:rsidP="00541761">
      <w:pPr>
        <w:ind w:left="720"/>
        <w:rPr>
          <w:rFonts w:ascii="Arial" w:hAnsi="Arial" w:cs="Arial"/>
          <w:noProof/>
        </w:rPr>
      </w:pPr>
      <w:r w:rsidRPr="00541761">
        <w:rPr>
          <w:rFonts w:ascii="Arial" w:hAnsi="Arial" w:cs="Arial"/>
          <w:noProof/>
        </w:rPr>
        <w:t xml:space="preserve">certification by the issuer that the releases from Form 11711A encompass all mortgages in a pool or loan </w:t>
      </w:r>
    </w:p>
    <w:p w14:paraId="2E18F7ED" w14:textId="77777777" w:rsidR="00AA627A" w:rsidRPr="00541761" w:rsidRDefault="00AA627A" w:rsidP="00541761">
      <w:pPr>
        <w:ind w:left="720"/>
        <w:rPr>
          <w:rFonts w:ascii="Arial" w:hAnsi="Arial" w:cs="Arial"/>
          <w:noProof/>
        </w:rPr>
      </w:pPr>
      <w:r w:rsidRPr="00541761">
        <w:rPr>
          <w:rFonts w:ascii="Arial" w:hAnsi="Arial" w:cs="Arial"/>
          <w:noProof/>
        </w:rPr>
        <w:t xml:space="preserve">package.  These forms are used in conjunction with Form HUD 11706 to initially certify or reject pool or </w:t>
      </w:r>
    </w:p>
    <w:p w14:paraId="0EEC084E" w14:textId="77777777" w:rsidR="00AA627A" w:rsidRPr="00541761" w:rsidRDefault="00AA627A" w:rsidP="00541761">
      <w:pPr>
        <w:ind w:left="720"/>
        <w:rPr>
          <w:rFonts w:ascii="Arial" w:hAnsi="Arial" w:cs="Arial"/>
          <w:noProof/>
        </w:rPr>
      </w:pPr>
      <w:r w:rsidRPr="00541761">
        <w:rPr>
          <w:rFonts w:ascii="Arial" w:hAnsi="Arial" w:cs="Arial"/>
          <w:noProof/>
        </w:rPr>
        <w:t xml:space="preserve">loan packages.  </w:t>
      </w:r>
    </w:p>
    <w:p w14:paraId="10075D93" w14:textId="77777777" w:rsidR="00AA627A" w:rsidRPr="00541761" w:rsidRDefault="00AA627A" w:rsidP="00541761">
      <w:pPr>
        <w:rPr>
          <w:rFonts w:ascii="Arial" w:hAnsi="Arial" w:cs="Arial"/>
          <w:noProof/>
        </w:rPr>
      </w:pPr>
    </w:p>
    <w:p w14:paraId="059D7D97" w14:textId="77777777" w:rsidR="00AA627A" w:rsidRPr="00541761" w:rsidRDefault="00541761" w:rsidP="00541761">
      <w:pPr>
        <w:rPr>
          <w:rFonts w:ascii="Arial" w:hAnsi="Arial" w:cs="Arial"/>
          <w:bCs/>
        </w:rPr>
      </w:pPr>
      <w:r>
        <w:rPr>
          <w:rFonts w:ascii="Arial" w:hAnsi="Arial" w:cs="Arial"/>
        </w:rPr>
        <w:tab/>
      </w:r>
      <w:r w:rsidR="00AA627A" w:rsidRPr="00F84D5C">
        <w:rPr>
          <w:rFonts w:ascii="Arial" w:hAnsi="Arial" w:cs="Arial"/>
          <w:bCs/>
        </w:rPr>
        <w:t>Ginnie</w:t>
      </w:r>
      <w:r w:rsidR="00F84D5C" w:rsidRPr="00F84D5C">
        <w:rPr>
          <w:rFonts w:ascii="Arial" w:hAnsi="Arial" w:cs="Arial"/>
          <w:bCs/>
          <w:i/>
        </w:rPr>
        <w:t>NET</w:t>
      </w:r>
      <w:r w:rsidR="00AA627A" w:rsidRPr="00541761">
        <w:rPr>
          <w:rFonts w:ascii="Arial" w:hAnsi="Arial" w:cs="Arial"/>
          <w:bCs/>
        </w:rPr>
        <w:t xml:space="preserve"> allows issuers to electronically submit these forms to their document custodian for certification.</w:t>
      </w:r>
    </w:p>
    <w:p w14:paraId="05E7AB47" w14:textId="77777777" w:rsidR="00AA627A" w:rsidRPr="00541761" w:rsidRDefault="00AA627A" w:rsidP="00541761">
      <w:pPr>
        <w:rPr>
          <w:rFonts w:ascii="Arial" w:hAnsi="Arial" w:cs="Arial"/>
          <w:noProof/>
        </w:rPr>
      </w:pPr>
    </w:p>
    <w:p w14:paraId="23A276B8" w14:textId="77777777" w:rsidR="00AA627A" w:rsidRPr="00541761" w:rsidRDefault="00AA627A" w:rsidP="00541761">
      <w:pPr>
        <w:ind w:left="720"/>
        <w:rPr>
          <w:rFonts w:ascii="Arial" w:hAnsi="Arial" w:cs="Arial"/>
          <w:noProof/>
        </w:rPr>
      </w:pPr>
      <w:r w:rsidRPr="00541761">
        <w:rPr>
          <w:rFonts w:ascii="Arial" w:hAnsi="Arial" w:cs="Arial"/>
          <w:noProof/>
        </w:rPr>
        <w:t xml:space="preserve">It is estimated to take each form an average of  </w:t>
      </w:r>
      <w:r w:rsidR="008B54F1">
        <w:rPr>
          <w:rFonts w:ascii="Arial" w:hAnsi="Arial" w:cs="Arial"/>
          <w:noProof/>
        </w:rPr>
        <w:t>3</w:t>
      </w:r>
      <w:r w:rsidR="00541761">
        <w:rPr>
          <w:rFonts w:ascii="Arial" w:hAnsi="Arial" w:cs="Arial"/>
          <w:noProof/>
        </w:rPr>
        <w:t xml:space="preserve"> </w:t>
      </w:r>
      <w:r w:rsidRPr="00541761">
        <w:rPr>
          <w:rFonts w:ascii="Arial" w:hAnsi="Arial" w:cs="Arial"/>
          <w:noProof/>
        </w:rPr>
        <w:t>minute</w:t>
      </w:r>
      <w:r w:rsidR="008B54F1">
        <w:rPr>
          <w:rFonts w:ascii="Arial" w:hAnsi="Arial" w:cs="Arial"/>
          <w:noProof/>
        </w:rPr>
        <w:t>s</w:t>
      </w:r>
      <w:r w:rsidRPr="00541761">
        <w:rPr>
          <w:rFonts w:ascii="Arial" w:hAnsi="Arial" w:cs="Arial"/>
          <w:noProof/>
        </w:rPr>
        <w:t xml:space="preserve"> to complete.  The information is required by </w:t>
      </w:r>
    </w:p>
    <w:p w14:paraId="2AB145F7" w14:textId="77777777" w:rsidR="00AA627A" w:rsidRPr="00541761" w:rsidRDefault="00AA627A" w:rsidP="00541761">
      <w:pPr>
        <w:ind w:left="720"/>
        <w:rPr>
          <w:rFonts w:ascii="Arial" w:hAnsi="Arial" w:cs="Arial"/>
          <w:noProof/>
        </w:rPr>
      </w:pPr>
      <w:r w:rsidRPr="00541761">
        <w:rPr>
          <w:rFonts w:ascii="Arial" w:hAnsi="Arial" w:cs="Arial"/>
          <w:noProof/>
        </w:rPr>
        <w:t>Ginnie Mae Handbook 5500.3, Rev. 1.</w:t>
      </w:r>
    </w:p>
    <w:p w14:paraId="6DD5D564" w14:textId="77777777" w:rsidR="00AA627A" w:rsidRPr="00814A0B" w:rsidRDefault="00AA627A">
      <w:pPr>
        <w:rPr>
          <w:rFonts w:ascii="Arial" w:hAnsi="Arial" w:cs="Arial"/>
          <w:b/>
          <w:noProof/>
        </w:rPr>
      </w:pPr>
    </w:p>
    <w:p w14:paraId="3F68542A" w14:textId="77777777"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Form HUD 11732/Appendix III-22/ Custodian's Certification for Construction Securities</w:t>
      </w:r>
    </w:p>
    <w:p w14:paraId="2071AC65" w14:textId="77777777" w:rsidR="00AA627A" w:rsidRPr="00814A0B" w:rsidRDefault="00AA627A">
      <w:pPr>
        <w:rPr>
          <w:rFonts w:ascii="Arial" w:hAnsi="Arial" w:cs="Arial"/>
          <w:b/>
          <w:noProof/>
        </w:rPr>
      </w:pPr>
    </w:p>
    <w:p w14:paraId="43EF7010" w14:textId="77777777" w:rsidR="00AA627A" w:rsidRDefault="00AA627A" w:rsidP="00541761">
      <w:pPr>
        <w:pStyle w:val="BodyTextIndent"/>
        <w:ind w:left="720"/>
        <w:rPr>
          <w:rFonts w:ascii="Arial" w:hAnsi="Arial" w:cs="Arial"/>
          <w:b w:val="0"/>
          <w:noProof/>
        </w:rPr>
      </w:pPr>
      <w:r w:rsidRPr="00541761">
        <w:rPr>
          <w:rFonts w:ascii="Arial" w:hAnsi="Arial" w:cs="Arial"/>
          <w:b w:val="0"/>
          <w:noProof/>
        </w:rPr>
        <w:t xml:space="preserve">This form provides evidence that the document custodian:  (a) is holding a certification that disbursement has been made to the mortgagor; (b) has evidence of FHA insurance inclusive of the disbursement; and (c) has </w:t>
      </w:r>
      <w:r w:rsidRPr="00541761">
        <w:rPr>
          <w:rFonts w:ascii="Arial" w:hAnsi="Arial" w:cs="Arial"/>
          <w:b w:val="0"/>
          <w:noProof/>
        </w:rPr>
        <w:lastRenderedPageBreak/>
        <w:t xml:space="preserve">evidence of title insurance coverage inclusive of the latest disbursement.  This document is submitted, along with Form HUD 11705, 11706, 92403 and other documents before the initial issuance of securities.  </w:t>
      </w:r>
    </w:p>
    <w:p w14:paraId="53AAF9B1" w14:textId="77777777" w:rsidR="009911D6" w:rsidRDefault="009911D6" w:rsidP="00541761">
      <w:pPr>
        <w:pStyle w:val="BodyTextIndent"/>
        <w:ind w:left="720"/>
        <w:rPr>
          <w:rFonts w:ascii="Arial" w:hAnsi="Arial" w:cs="Arial"/>
          <w:b w:val="0"/>
          <w:noProof/>
        </w:rPr>
      </w:pPr>
    </w:p>
    <w:p w14:paraId="6139DA02" w14:textId="77777777" w:rsidR="00AA627A" w:rsidRDefault="00F84D5C" w:rsidP="00D56643">
      <w:pPr>
        <w:pStyle w:val="BodyTextIndent"/>
        <w:ind w:left="720"/>
        <w:rPr>
          <w:rFonts w:ascii="Arial" w:hAnsi="Arial" w:cs="Arial"/>
          <w:b w:val="0"/>
          <w:noProof/>
        </w:rPr>
      </w:pPr>
      <w:r w:rsidRPr="00F84D5C">
        <w:rPr>
          <w:rFonts w:ascii="Arial" w:hAnsi="Arial" w:cs="Arial"/>
          <w:b w:val="0"/>
          <w:bCs/>
        </w:rPr>
        <w:t>Ginnie</w:t>
      </w:r>
      <w:r w:rsidRPr="00F84D5C">
        <w:rPr>
          <w:rFonts w:ascii="Arial" w:hAnsi="Arial" w:cs="Arial"/>
          <w:b w:val="0"/>
          <w:bCs/>
          <w:i/>
        </w:rPr>
        <w:t>NET</w:t>
      </w:r>
      <w:r w:rsidR="009911D6">
        <w:rPr>
          <w:rFonts w:ascii="Arial" w:hAnsi="Arial" w:cs="Arial"/>
          <w:b w:val="0"/>
          <w:noProof/>
        </w:rPr>
        <w:t xml:space="preserve"> allows issuer to electronically submit these forms.</w:t>
      </w:r>
      <w:r w:rsidR="00D56643">
        <w:rPr>
          <w:rFonts w:ascii="Arial" w:hAnsi="Arial" w:cs="Arial"/>
          <w:b w:val="0"/>
          <w:noProof/>
        </w:rPr>
        <w:t xml:space="preserve"> </w:t>
      </w:r>
    </w:p>
    <w:p w14:paraId="036D6F59" w14:textId="77777777" w:rsidR="00D56643" w:rsidRPr="00D56643" w:rsidRDefault="00D56643" w:rsidP="00D56643">
      <w:pPr>
        <w:pStyle w:val="BodyTextIndent"/>
        <w:ind w:left="720"/>
        <w:rPr>
          <w:rFonts w:ascii="Arial" w:hAnsi="Arial" w:cs="Arial"/>
          <w:b w:val="0"/>
          <w:noProof/>
        </w:rPr>
      </w:pPr>
    </w:p>
    <w:p w14:paraId="18555D09" w14:textId="77777777" w:rsidR="00AA627A" w:rsidRPr="00541761" w:rsidRDefault="00AA627A" w:rsidP="00541761">
      <w:pPr>
        <w:ind w:left="720"/>
        <w:rPr>
          <w:rFonts w:ascii="Arial" w:hAnsi="Arial" w:cs="Arial"/>
          <w:noProof/>
        </w:rPr>
      </w:pPr>
      <w:r w:rsidRPr="00541761">
        <w:rPr>
          <w:rFonts w:ascii="Arial" w:hAnsi="Arial" w:cs="Arial"/>
          <w:noProof/>
        </w:rPr>
        <w:t>It is estimated to take an average of 1</w:t>
      </w:r>
      <w:r w:rsidR="00541761">
        <w:rPr>
          <w:rFonts w:ascii="Arial" w:hAnsi="Arial" w:cs="Arial"/>
          <w:noProof/>
        </w:rPr>
        <w:t xml:space="preserve"> </w:t>
      </w:r>
      <w:r w:rsidRPr="00541761">
        <w:rPr>
          <w:rFonts w:ascii="Arial" w:hAnsi="Arial" w:cs="Arial"/>
          <w:noProof/>
        </w:rPr>
        <w:t>minute to complete</w:t>
      </w:r>
      <w:r w:rsidR="00D2560B" w:rsidRPr="00541761">
        <w:rPr>
          <w:rFonts w:ascii="Arial" w:hAnsi="Arial" w:cs="Arial"/>
          <w:noProof/>
        </w:rPr>
        <w:t xml:space="preserve"> </w:t>
      </w:r>
      <w:r w:rsidRPr="00541761">
        <w:rPr>
          <w:rFonts w:ascii="Arial" w:hAnsi="Arial" w:cs="Arial"/>
          <w:noProof/>
        </w:rPr>
        <w:t xml:space="preserve">the form.  The information is required by </w:t>
      </w:r>
    </w:p>
    <w:p w14:paraId="1DDEE27C" w14:textId="77777777" w:rsidR="00AA627A" w:rsidRPr="00541761" w:rsidRDefault="00AA627A" w:rsidP="00541761">
      <w:pPr>
        <w:ind w:left="720"/>
        <w:rPr>
          <w:rFonts w:ascii="Arial" w:hAnsi="Arial" w:cs="Arial"/>
          <w:noProof/>
        </w:rPr>
      </w:pPr>
      <w:r w:rsidRPr="00541761">
        <w:rPr>
          <w:rFonts w:ascii="Arial" w:hAnsi="Arial" w:cs="Arial"/>
          <w:noProof/>
        </w:rPr>
        <w:t>Ginnie Mae Handbook 5500.3, Rev. 1.</w:t>
      </w:r>
    </w:p>
    <w:p w14:paraId="0AA37C14" w14:textId="77777777" w:rsidR="009E4C3D" w:rsidRPr="00814A0B" w:rsidRDefault="009E4C3D">
      <w:pPr>
        <w:rPr>
          <w:rFonts w:ascii="Arial" w:hAnsi="Arial" w:cs="Arial"/>
          <w:b/>
          <w:noProof/>
        </w:rPr>
      </w:pPr>
    </w:p>
    <w:p w14:paraId="3CDBB440" w14:textId="77777777" w:rsidR="00AA627A" w:rsidRPr="00541761" w:rsidRDefault="00AA627A" w:rsidP="00541761">
      <w:pPr>
        <w:numPr>
          <w:ilvl w:val="0"/>
          <w:numId w:val="22"/>
        </w:numPr>
        <w:rPr>
          <w:rFonts w:ascii="Arial" w:hAnsi="Arial" w:cs="Arial"/>
          <w:b/>
          <w:noProof/>
        </w:rPr>
      </w:pPr>
      <w:r w:rsidRPr="00541761">
        <w:rPr>
          <w:rFonts w:ascii="Arial" w:hAnsi="Arial" w:cs="Arial"/>
          <w:b/>
          <w:noProof/>
        </w:rPr>
        <w:t>Appendix III-21/ Certification Requirements for the Pooling of Multifamily Mature Loan Program</w:t>
      </w:r>
    </w:p>
    <w:p w14:paraId="539EE2CD" w14:textId="77777777" w:rsidR="00AA627A" w:rsidRPr="00541761" w:rsidRDefault="00AA627A">
      <w:pPr>
        <w:rPr>
          <w:rFonts w:ascii="Arial" w:hAnsi="Arial" w:cs="Arial"/>
          <w:b/>
          <w:noProof/>
        </w:rPr>
      </w:pPr>
    </w:p>
    <w:p w14:paraId="116FAD5D" w14:textId="77777777" w:rsidR="00AA627A" w:rsidRPr="00541761" w:rsidRDefault="00AA627A" w:rsidP="00541761">
      <w:pPr>
        <w:ind w:left="720"/>
        <w:rPr>
          <w:rFonts w:ascii="Arial" w:hAnsi="Arial" w:cs="Arial"/>
          <w:bCs/>
          <w:noProof/>
        </w:rPr>
      </w:pPr>
      <w:r w:rsidRPr="00541761">
        <w:rPr>
          <w:rFonts w:ascii="Arial" w:hAnsi="Arial" w:cs="Arial"/>
          <w:bCs/>
          <w:noProof/>
        </w:rPr>
        <w:t>This document is used at the time of submission of an application for pooling mul</w:t>
      </w:r>
      <w:r w:rsidR="00D56643">
        <w:rPr>
          <w:rFonts w:ascii="Arial" w:hAnsi="Arial" w:cs="Arial"/>
          <w:bCs/>
          <w:noProof/>
        </w:rPr>
        <w:t>t</w:t>
      </w:r>
      <w:r w:rsidRPr="00541761">
        <w:rPr>
          <w:rFonts w:ascii="Arial" w:hAnsi="Arial" w:cs="Arial"/>
          <w:bCs/>
          <w:noProof/>
        </w:rPr>
        <w:t xml:space="preserve">ifamily mature loan program mortgages.  If the issuer submits the certification </w:t>
      </w:r>
      <w:r w:rsidRPr="000A4CB3">
        <w:rPr>
          <w:rFonts w:ascii="Arial" w:hAnsi="Arial" w:cs="Arial"/>
          <w:bCs/>
          <w:noProof/>
        </w:rPr>
        <w:t xml:space="preserve">in paper format </w:t>
      </w:r>
      <w:r w:rsidRPr="00541761">
        <w:rPr>
          <w:rFonts w:ascii="Arial" w:hAnsi="Arial" w:cs="Arial"/>
          <w:bCs/>
          <w:noProof/>
        </w:rPr>
        <w:t>it must be on the issuer’s own letterhead, along with other required pooling documentation.  However, the issuer can do the certification electronically using Ginnie</w:t>
      </w:r>
      <w:r w:rsidR="00A11135" w:rsidRPr="00A11135">
        <w:rPr>
          <w:rFonts w:ascii="Arial" w:hAnsi="Arial" w:cs="Arial"/>
          <w:bCs/>
          <w:i/>
          <w:noProof/>
        </w:rPr>
        <w:t>NET</w:t>
      </w:r>
      <w:r w:rsidRPr="00541761">
        <w:rPr>
          <w:rFonts w:ascii="Arial" w:hAnsi="Arial" w:cs="Arial"/>
          <w:bCs/>
          <w:noProof/>
        </w:rPr>
        <w:t>.</w:t>
      </w:r>
    </w:p>
    <w:p w14:paraId="045A88EE" w14:textId="77777777" w:rsidR="00AA627A" w:rsidRPr="00541761" w:rsidRDefault="00AA627A" w:rsidP="00541761">
      <w:pPr>
        <w:rPr>
          <w:rFonts w:ascii="Arial" w:hAnsi="Arial" w:cs="Arial"/>
          <w:noProof/>
        </w:rPr>
      </w:pPr>
    </w:p>
    <w:p w14:paraId="2043B228" w14:textId="77777777" w:rsidR="00AA627A" w:rsidRPr="000A4CB3" w:rsidRDefault="00AA627A" w:rsidP="002B5DF9">
      <w:pPr>
        <w:ind w:left="720"/>
        <w:rPr>
          <w:rFonts w:ascii="Arial" w:hAnsi="Arial" w:cs="Arial"/>
        </w:rPr>
      </w:pPr>
      <w:r w:rsidRPr="00541761">
        <w:rPr>
          <w:rFonts w:ascii="Arial" w:hAnsi="Arial" w:cs="Arial"/>
          <w:noProof/>
        </w:rPr>
        <w:t xml:space="preserve">It is estimated to take an average of </w:t>
      </w:r>
      <w:r w:rsidR="008960F2">
        <w:rPr>
          <w:rFonts w:ascii="Arial" w:hAnsi="Arial" w:cs="Arial"/>
          <w:noProof/>
        </w:rPr>
        <w:t>3</w:t>
      </w:r>
      <w:r w:rsidRPr="00541761">
        <w:rPr>
          <w:rFonts w:ascii="Arial" w:hAnsi="Arial" w:cs="Arial"/>
          <w:noProof/>
        </w:rPr>
        <w:t xml:space="preserve"> minutes to complet</w:t>
      </w:r>
      <w:r w:rsidR="00D2560B" w:rsidRPr="00541761">
        <w:rPr>
          <w:rFonts w:ascii="Arial" w:hAnsi="Arial" w:cs="Arial"/>
          <w:noProof/>
        </w:rPr>
        <w:t>e t</w:t>
      </w:r>
      <w:r w:rsidRPr="00541761">
        <w:rPr>
          <w:rFonts w:ascii="Arial" w:hAnsi="Arial" w:cs="Arial"/>
          <w:noProof/>
        </w:rPr>
        <w:t xml:space="preserve">he form.  The information is required by </w:t>
      </w:r>
      <w:r w:rsidRPr="000A4CB3">
        <w:rPr>
          <w:rFonts w:ascii="Arial" w:hAnsi="Arial" w:cs="Arial"/>
        </w:rPr>
        <w:t>Ginnie Mae Handbook 5500.3, Rev. 1.</w:t>
      </w:r>
    </w:p>
    <w:p w14:paraId="60167C00" w14:textId="77777777" w:rsidR="00AA627A" w:rsidRPr="00814A0B" w:rsidRDefault="00AA627A">
      <w:pPr>
        <w:rPr>
          <w:rFonts w:ascii="Arial" w:hAnsi="Arial" w:cs="Arial"/>
          <w:b/>
          <w:noProof/>
        </w:rPr>
      </w:pPr>
    </w:p>
    <w:p w14:paraId="599FF32D" w14:textId="77777777" w:rsidR="00AA627A" w:rsidRPr="00541761" w:rsidRDefault="00AA627A" w:rsidP="00541761">
      <w:pPr>
        <w:pStyle w:val="Heading6"/>
        <w:numPr>
          <w:ilvl w:val="0"/>
          <w:numId w:val="22"/>
        </w:numPr>
        <w:rPr>
          <w:rFonts w:ascii="Arial" w:hAnsi="Arial" w:cs="Arial"/>
          <w:u w:val="none"/>
        </w:rPr>
      </w:pPr>
      <w:r w:rsidRPr="00541761">
        <w:rPr>
          <w:rFonts w:ascii="Arial" w:hAnsi="Arial" w:cs="Arial"/>
          <w:u w:val="none"/>
        </w:rPr>
        <w:t>Appendix III-9/ Authorization to Accept Facsimile Signed Correction Requests</w:t>
      </w:r>
    </w:p>
    <w:p w14:paraId="6840E3C1" w14:textId="77777777" w:rsidR="00AA627A" w:rsidRPr="00814A0B" w:rsidRDefault="00AA627A">
      <w:pPr>
        <w:rPr>
          <w:rFonts w:ascii="Arial" w:hAnsi="Arial" w:cs="Arial"/>
          <w:b/>
          <w:noProof/>
          <w:u w:val="single"/>
        </w:rPr>
      </w:pPr>
    </w:p>
    <w:p w14:paraId="1C6E5E39" w14:textId="77777777" w:rsidR="00AA627A" w:rsidRPr="00541761" w:rsidRDefault="00AA627A" w:rsidP="00541761">
      <w:pPr>
        <w:ind w:left="720"/>
        <w:rPr>
          <w:rFonts w:ascii="Arial" w:hAnsi="Arial" w:cs="Arial"/>
          <w:bCs/>
        </w:rPr>
      </w:pPr>
      <w:r w:rsidRPr="00541761">
        <w:rPr>
          <w:rFonts w:ascii="Arial" w:hAnsi="Arial" w:cs="Arial"/>
          <w:bCs/>
        </w:rPr>
        <w:t xml:space="preserve">This request is required when the </w:t>
      </w:r>
      <w:r w:rsidR="002E5F0A">
        <w:rPr>
          <w:rFonts w:ascii="Arial" w:hAnsi="Arial" w:cs="Arial"/>
          <w:bCs/>
        </w:rPr>
        <w:t xml:space="preserve">Ginnie Mae’s </w:t>
      </w:r>
      <w:r w:rsidR="00255C47">
        <w:rPr>
          <w:rFonts w:ascii="Arial" w:hAnsi="Arial" w:cs="Arial"/>
          <w:bCs/>
        </w:rPr>
        <w:t>Central Paying and T</w:t>
      </w:r>
      <w:r w:rsidRPr="002E5F0A">
        <w:rPr>
          <w:rFonts w:ascii="Arial" w:hAnsi="Arial" w:cs="Arial"/>
          <w:bCs/>
        </w:rPr>
        <w:t xml:space="preserve">ransfer </w:t>
      </w:r>
      <w:r w:rsidR="00255C47">
        <w:rPr>
          <w:rFonts w:ascii="Arial" w:hAnsi="Arial" w:cs="Arial"/>
          <w:bCs/>
        </w:rPr>
        <w:t>A</w:t>
      </w:r>
      <w:r w:rsidRPr="002E5F0A">
        <w:rPr>
          <w:rFonts w:ascii="Arial" w:hAnsi="Arial" w:cs="Arial"/>
          <w:bCs/>
        </w:rPr>
        <w:t>gent</w:t>
      </w:r>
      <w:r w:rsidR="00255C47">
        <w:rPr>
          <w:rFonts w:ascii="Arial" w:hAnsi="Arial" w:cs="Arial"/>
          <w:bCs/>
        </w:rPr>
        <w:t xml:space="preserve"> (CPTA)</w:t>
      </w:r>
      <w:r w:rsidRPr="002E5F0A">
        <w:rPr>
          <w:rFonts w:ascii="Arial" w:hAnsi="Arial" w:cs="Arial"/>
          <w:bCs/>
        </w:rPr>
        <w:t xml:space="preserve"> </w:t>
      </w:r>
      <w:r w:rsidRPr="00541761">
        <w:rPr>
          <w:rFonts w:ascii="Arial" w:hAnsi="Arial" w:cs="Arial"/>
          <w:bCs/>
        </w:rPr>
        <w:t>notifies the issuer that the pool/loan package information, which they submitted for issuance, has errors that need to be corrected before the pool can be approved.</w:t>
      </w:r>
    </w:p>
    <w:p w14:paraId="512174E4" w14:textId="77777777" w:rsidR="00AA627A" w:rsidRPr="00541761" w:rsidRDefault="00AA627A" w:rsidP="00541761">
      <w:pPr>
        <w:rPr>
          <w:rFonts w:ascii="Arial" w:hAnsi="Arial" w:cs="Arial"/>
          <w:noProof/>
        </w:rPr>
      </w:pPr>
    </w:p>
    <w:p w14:paraId="0B8E33E9" w14:textId="77777777" w:rsidR="00AA627A" w:rsidRDefault="00AA627A" w:rsidP="00541761">
      <w:pPr>
        <w:ind w:left="720"/>
        <w:rPr>
          <w:rFonts w:ascii="Arial" w:hAnsi="Arial" w:cs="Arial"/>
          <w:bCs/>
          <w:noProof/>
        </w:rPr>
      </w:pPr>
      <w:r w:rsidRPr="00541761">
        <w:rPr>
          <w:rFonts w:ascii="Arial" w:hAnsi="Arial" w:cs="Arial"/>
          <w:bCs/>
          <w:noProof/>
        </w:rPr>
        <w:t>It is estimated to take an average of 1</w:t>
      </w:r>
      <w:r w:rsidR="00D858AD">
        <w:rPr>
          <w:rFonts w:ascii="Arial" w:hAnsi="Arial" w:cs="Arial"/>
          <w:bCs/>
          <w:noProof/>
        </w:rPr>
        <w:t xml:space="preserve"> </w:t>
      </w:r>
      <w:r w:rsidRPr="00541761">
        <w:rPr>
          <w:rFonts w:ascii="Arial" w:hAnsi="Arial" w:cs="Arial"/>
          <w:bCs/>
          <w:noProof/>
        </w:rPr>
        <w:t>minute to complete</w:t>
      </w:r>
      <w:r w:rsidR="00D2560B" w:rsidRPr="00541761">
        <w:rPr>
          <w:rFonts w:ascii="Arial" w:hAnsi="Arial" w:cs="Arial"/>
          <w:bCs/>
          <w:noProof/>
        </w:rPr>
        <w:t xml:space="preserve"> t</w:t>
      </w:r>
      <w:r w:rsidRPr="00541761">
        <w:rPr>
          <w:rFonts w:ascii="Arial" w:hAnsi="Arial" w:cs="Arial"/>
          <w:bCs/>
          <w:noProof/>
        </w:rPr>
        <w:t>he form.  The information is required by Ginnie Mae Handbook 5500.3, Rev. 1.</w:t>
      </w:r>
    </w:p>
    <w:p w14:paraId="696A2664" w14:textId="77777777" w:rsidR="00541761" w:rsidRDefault="00541761" w:rsidP="00541761">
      <w:pPr>
        <w:ind w:left="720"/>
        <w:rPr>
          <w:rFonts w:ascii="Arial" w:hAnsi="Arial" w:cs="Arial"/>
          <w:bCs/>
          <w:noProof/>
        </w:rPr>
      </w:pPr>
    </w:p>
    <w:p w14:paraId="284FC5BD" w14:textId="77777777" w:rsidR="00541761" w:rsidRPr="00541761" w:rsidRDefault="00541761" w:rsidP="00541761">
      <w:pPr>
        <w:ind w:left="720"/>
        <w:rPr>
          <w:rFonts w:ascii="Arial" w:hAnsi="Arial" w:cs="Arial"/>
          <w:bCs/>
          <w:noProof/>
        </w:rPr>
      </w:pPr>
    </w:p>
    <w:p w14:paraId="17619D5C" w14:textId="77777777" w:rsidR="00AA627A" w:rsidRPr="00541761" w:rsidRDefault="00AA627A" w:rsidP="00541761">
      <w:pPr>
        <w:pStyle w:val="Heading9"/>
        <w:pBdr>
          <w:bottom w:val="single" w:sz="4" w:space="1" w:color="auto"/>
        </w:pBdr>
        <w:rPr>
          <w:rFonts w:ascii="Arial" w:hAnsi="Arial" w:cs="Arial"/>
        </w:rPr>
      </w:pPr>
      <w:r w:rsidRPr="00541761">
        <w:rPr>
          <w:rFonts w:ascii="Arial" w:hAnsi="Arial" w:cs="Arial"/>
        </w:rPr>
        <w:t>Forms and Documents Required for Ginnie Mae’s Pool Administration</w:t>
      </w:r>
    </w:p>
    <w:p w14:paraId="16DE80A8" w14:textId="77777777" w:rsidR="00AA627A" w:rsidRPr="00814A0B" w:rsidRDefault="00AA627A">
      <w:pPr>
        <w:rPr>
          <w:rFonts w:ascii="Arial" w:hAnsi="Arial" w:cs="Arial"/>
          <w:b/>
          <w:noProof/>
        </w:rPr>
      </w:pPr>
    </w:p>
    <w:p w14:paraId="70FA6347" w14:textId="77777777" w:rsidR="00AA627A" w:rsidRPr="00541761" w:rsidRDefault="00AA627A" w:rsidP="00541761">
      <w:pPr>
        <w:numPr>
          <w:ilvl w:val="0"/>
          <w:numId w:val="22"/>
        </w:numPr>
        <w:rPr>
          <w:rFonts w:ascii="Arial" w:hAnsi="Arial" w:cs="Arial"/>
          <w:b/>
          <w:bCs/>
        </w:rPr>
      </w:pPr>
      <w:r w:rsidRPr="00541761">
        <w:rPr>
          <w:rFonts w:ascii="Arial" w:hAnsi="Arial" w:cs="Arial"/>
          <w:b/>
          <w:bCs/>
        </w:rPr>
        <w:t>Form HUD 11708/Appendix V-5/ Request for Release of Documents</w:t>
      </w:r>
    </w:p>
    <w:p w14:paraId="50BF881D" w14:textId="77777777" w:rsidR="00AA627A" w:rsidRPr="00814A0B" w:rsidRDefault="00AA627A">
      <w:pPr>
        <w:rPr>
          <w:rFonts w:ascii="Arial" w:hAnsi="Arial" w:cs="Arial"/>
          <w:noProof/>
        </w:rPr>
      </w:pPr>
    </w:p>
    <w:p w14:paraId="5ED59AF9" w14:textId="77777777" w:rsidR="00AA627A" w:rsidRPr="00541761" w:rsidRDefault="00AA627A" w:rsidP="00541761">
      <w:pPr>
        <w:ind w:left="720"/>
        <w:rPr>
          <w:rFonts w:ascii="Arial" w:hAnsi="Arial" w:cs="Arial"/>
          <w:noProof/>
        </w:rPr>
      </w:pPr>
      <w:r w:rsidRPr="00541761">
        <w:rPr>
          <w:rFonts w:ascii="Arial" w:hAnsi="Arial" w:cs="Arial"/>
          <w:noProof/>
        </w:rPr>
        <w:t xml:space="preserve">Mortgage documents may be released on occasion in connection with servicing, collection or prepayment in </w:t>
      </w:r>
    </w:p>
    <w:p w14:paraId="43A72583" w14:textId="77777777" w:rsidR="00AA627A" w:rsidRPr="00541761" w:rsidRDefault="00AA627A" w:rsidP="00541761">
      <w:pPr>
        <w:ind w:left="720"/>
        <w:rPr>
          <w:rFonts w:ascii="Arial" w:hAnsi="Arial" w:cs="Arial"/>
          <w:noProof/>
        </w:rPr>
      </w:pPr>
      <w:r w:rsidRPr="00541761">
        <w:rPr>
          <w:rFonts w:ascii="Arial" w:hAnsi="Arial" w:cs="Arial"/>
          <w:noProof/>
        </w:rPr>
        <w:t xml:space="preserve">full or foreclosure of mortgages; issuers are authorized to request such documents only if the documents are </w:t>
      </w:r>
    </w:p>
    <w:p w14:paraId="7E56F15F" w14:textId="77777777" w:rsidR="00AA627A" w:rsidRPr="00541761" w:rsidRDefault="00AA627A" w:rsidP="00541761">
      <w:pPr>
        <w:ind w:left="720"/>
        <w:rPr>
          <w:rFonts w:ascii="Arial" w:hAnsi="Arial" w:cs="Arial"/>
          <w:noProof/>
        </w:rPr>
      </w:pPr>
      <w:r w:rsidRPr="00541761">
        <w:rPr>
          <w:rFonts w:ascii="Arial" w:hAnsi="Arial" w:cs="Arial"/>
          <w:noProof/>
        </w:rPr>
        <w:t xml:space="preserve">necessary in carrying out such administrative actions.  This form is used by Ginnie Mae issuers to request </w:t>
      </w:r>
    </w:p>
    <w:p w14:paraId="6876C118" w14:textId="77777777" w:rsidR="00AA627A" w:rsidRPr="00541761" w:rsidRDefault="00AA627A" w:rsidP="00541761">
      <w:pPr>
        <w:pStyle w:val="BodyTextIndent"/>
        <w:ind w:left="720"/>
        <w:rPr>
          <w:rFonts w:ascii="Arial" w:hAnsi="Arial" w:cs="Arial"/>
          <w:b w:val="0"/>
          <w:noProof/>
        </w:rPr>
      </w:pPr>
      <w:r w:rsidRPr="00541761">
        <w:rPr>
          <w:rFonts w:ascii="Arial" w:hAnsi="Arial" w:cs="Arial"/>
          <w:b w:val="0"/>
          <w:noProof/>
        </w:rPr>
        <w:t xml:space="preserve">the release of mortgage documents held by the document custodian.  It is also used by the document custodian to acknowledge return of the documents from the issuer to the pool file.  Issuers can submit the </w:t>
      </w:r>
      <w:r w:rsidRPr="000A4CB3">
        <w:rPr>
          <w:rFonts w:ascii="Arial" w:hAnsi="Arial" w:cs="Arial"/>
          <w:b w:val="0"/>
          <w:noProof/>
        </w:rPr>
        <w:t>form in either paper format</w:t>
      </w:r>
      <w:r w:rsidRPr="00CF4E87">
        <w:rPr>
          <w:rFonts w:ascii="Arial" w:hAnsi="Arial" w:cs="Arial"/>
          <w:b w:val="0"/>
          <w:noProof/>
          <w:color w:val="FF0000"/>
        </w:rPr>
        <w:t xml:space="preserve"> </w:t>
      </w:r>
      <w:r w:rsidRPr="00541761">
        <w:rPr>
          <w:rFonts w:ascii="Arial" w:hAnsi="Arial" w:cs="Arial"/>
          <w:b w:val="0"/>
          <w:noProof/>
        </w:rPr>
        <w:t>or electronically using Ginnie</w:t>
      </w:r>
      <w:r w:rsidRPr="00A11135">
        <w:rPr>
          <w:rFonts w:ascii="Arial" w:hAnsi="Arial" w:cs="Arial"/>
          <w:b w:val="0"/>
          <w:i/>
          <w:noProof/>
        </w:rPr>
        <w:t>NET</w:t>
      </w:r>
      <w:r w:rsidRPr="00541761">
        <w:rPr>
          <w:rFonts w:ascii="Arial" w:hAnsi="Arial" w:cs="Arial"/>
          <w:b w:val="0"/>
          <w:noProof/>
        </w:rPr>
        <w:t xml:space="preserve">.  </w:t>
      </w:r>
    </w:p>
    <w:p w14:paraId="2EDAB207" w14:textId="77777777" w:rsidR="00AA627A" w:rsidRPr="00541761" w:rsidRDefault="00AA627A" w:rsidP="00541761">
      <w:pPr>
        <w:rPr>
          <w:rFonts w:ascii="Arial" w:hAnsi="Arial" w:cs="Arial"/>
          <w:noProof/>
        </w:rPr>
      </w:pPr>
    </w:p>
    <w:p w14:paraId="16EC7722" w14:textId="77777777" w:rsidR="00AA627A" w:rsidRPr="00541761" w:rsidRDefault="00AA627A" w:rsidP="00541761">
      <w:pPr>
        <w:ind w:left="720"/>
        <w:rPr>
          <w:rFonts w:ascii="Arial" w:hAnsi="Arial" w:cs="Arial"/>
          <w:noProof/>
        </w:rPr>
      </w:pPr>
      <w:r w:rsidRPr="00541761">
        <w:rPr>
          <w:rFonts w:ascii="Arial" w:hAnsi="Arial" w:cs="Arial"/>
          <w:noProof/>
        </w:rPr>
        <w:t xml:space="preserve">It is estimated to take an average of </w:t>
      </w:r>
      <w:r w:rsidR="008960F2">
        <w:rPr>
          <w:rFonts w:ascii="Arial" w:hAnsi="Arial" w:cs="Arial"/>
          <w:noProof/>
        </w:rPr>
        <w:t>3</w:t>
      </w:r>
      <w:r w:rsidRPr="00541761">
        <w:rPr>
          <w:rFonts w:ascii="Arial" w:hAnsi="Arial" w:cs="Arial"/>
          <w:noProof/>
        </w:rPr>
        <w:t xml:space="preserve"> minutes to complet</w:t>
      </w:r>
      <w:r w:rsidR="00D2560B" w:rsidRPr="00541761">
        <w:rPr>
          <w:rFonts w:ascii="Arial" w:hAnsi="Arial" w:cs="Arial"/>
          <w:noProof/>
        </w:rPr>
        <w:t xml:space="preserve">e </w:t>
      </w:r>
      <w:r w:rsidRPr="00541761">
        <w:rPr>
          <w:rFonts w:ascii="Arial" w:hAnsi="Arial" w:cs="Arial"/>
          <w:noProof/>
        </w:rPr>
        <w:t>the form.  The information is required by Section 306(g) of the National Housing Act or by Ginnie Mae Handbook 5500.3, Rev. 1.</w:t>
      </w:r>
    </w:p>
    <w:p w14:paraId="08A31CDC" w14:textId="77777777" w:rsidR="00467124" w:rsidRPr="00814A0B" w:rsidRDefault="00467124">
      <w:pPr>
        <w:pStyle w:val="Heading6"/>
        <w:rPr>
          <w:rFonts w:ascii="Arial" w:hAnsi="Arial" w:cs="Arial"/>
        </w:rPr>
      </w:pPr>
    </w:p>
    <w:p w14:paraId="7496DEAA" w14:textId="77777777" w:rsidR="00467124" w:rsidRPr="00725A26" w:rsidRDefault="002D63B5" w:rsidP="00541761">
      <w:pPr>
        <w:numPr>
          <w:ilvl w:val="0"/>
          <w:numId w:val="22"/>
        </w:numPr>
        <w:rPr>
          <w:rFonts w:ascii="Arial" w:hAnsi="Arial" w:cs="Arial"/>
          <w:b/>
          <w:noProof/>
        </w:rPr>
      </w:pPr>
      <w:r>
        <w:rPr>
          <w:rFonts w:ascii="Arial" w:hAnsi="Arial" w:cs="Arial"/>
          <w:b/>
          <w:noProof/>
        </w:rPr>
        <w:t>Appendix VI-19</w:t>
      </w:r>
      <w:r w:rsidR="007158F1">
        <w:rPr>
          <w:rFonts w:ascii="Arial" w:hAnsi="Arial" w:cs="Arial"/>
          <w:b/>
          <w:noProof/>
        </w:rPr>
        <w:t>/</w:t>
      </w:r>
      <w:r>
        <w:rPr>
          <w:rFonts w:ascii="Arial" w:hAnsi="Arial" w:cs="Arial"/>
          <w:b/>
          <w:noProof/>
        </w:rPr>
        <w:t xml:space="preserve"> </w:t>
      </w:r>
      <w:r w:rsidR="00290BBA" w:rsidRPr="00725A26">
        <w:rPr>
          <w:rFonts w:ascii="Arial" w:hAnsi="Arial" w:cs="Arial"/>
          <w:b/>
          <w:noProof/>
        </w:rPr>
        <w:t>Monthly Report of Pool and Loan Level Data</w:t>
      </w:r>
    </w:p>
    <w:p w14:paraId="5AE9092E" w14:textId="77777777" w:rsidR="00467124" w:rsidRPr="00814A0B" w:rsidRDefault="00467124" w:rsidP="00467124">
      <w:pPr>
        <w:rPr>
          <w:rFonts w:ascii="Arial" w:hAnsi="Arial" w:cs="Arial"/>
          <w:b/>
          <w:noProof/>
          <w:color w:val="FF0000"/>
          <w:u w:val="single"/>
        </w:rPr>
      </w:pPr>
    </w:p>
    <w:p w14:paraId="3912196E" w14:textId="77777777" w:rsidR="00290BBA" w:rsidRPr="00541761" w:rsidRDefault="00290BBA" w:rsidP="00541761">
      <w:pPr>
        <w:ind w:left="720"/>
        <w:rPr>
          <w:rFonts w:ascii="Arial" w:hAnsi="Arial" w:cs="Arial"/>
        </w:rPr>
      </w:pPr>
      <w:r w:rsidRPr="00541761">
        <w:rPr>
          <w:rFonts w:ascii="Arial" w:hAnsi="Arial" w:cs="Arial"/>
          <w:bCs/>
        </w:rPr>
        <w:t xml:space="preserve">Ginnie Mae issuers are required to submit pool and loan level data monthly for all pooled loans and loan </w:t>
      </w:r>
      <w:r w:rsidR="00E40405">
        <w:rPr>
          <w:rFonts w:ascii="Arial" w:hAnsi="Arial" w:cs="Arial"/>
          <w:bCs/>
        </w:rPr>
        <w:t>p</w:t>
      </w:r>
      <w:r w:rsidRPr="00541761">
        <w:rPr>
          <w:rFonts w:ascii="Arial" w:hAnsi="Arial" w:cs="Arial"/>
          <w:bCs/>
        </w:rPr>
        <w:t>ackages.  The report contains all non-liquidated loans as of the close of the month for which data is presented and must reconcile with the monthly accounting report in RFS.  The loan level data has become an integral part of Ginnie Mae’s Portfolio Analysis Database System (GPADS), which is used to identify those issuers who represent the greatest risk of default, and thus future potential risk of financial loss to Ginnie Mae.</w:t>
      </w:r>
    </w:p>
    <w:p w14:paraId="06666423" w14:textId="77777777" w:rsidR="00F04B0A" w:rsidRPr="00541761" w:rsidRDefault="00F04B0A" w:rsidP="00541761">
      <w:pPr>
        <w:pStyle w:val="BodyTextIndent"/>
        <w:ind w:left="720"/>
        <w:rPr>
          <w:rFonts w:ascii="Arial" w:hAnsi="Arial" w:cs="Arial"/>
          <w:b w:val="0"/>
          <w:noProof/>
          <w:color w:val="FF0000"/>
          <w:u w:val="single"/>
        </w:rPr>
      </w:pPr>
    </w:p>
    <w:p w14:paraId="211C37A8" w14:textId="77777777" w:rsidR="00467124" w:rsidRDefault="00467124" w:rsidP="00541761">
      <w:pPr>
        <w:ind w:left="720"/>
        <w:rPr>
          <w:rFonts w:ascii="Arial" w:hAnsi="Arial" w:cs="Arial"/>
          <w:noProof/>
        </w:rPr>
      </w:pPr>
      <w:r w:rsidRPr="00725A26">
        <w:rPr>
          <w:rFonts w:ascii="Arial" w:hAnsi="Arial" w:cs="Arial"/>
          <w:noProof/>
        </w:rPr>
        <w:t xml:space="preserve">It is estimated to take </w:t>
      </w:r>
      <w:r w:rsidR="004F47CF">
        <w:rPr>
          <w:rFonts w:ascii="Arial" w:hAnsi="Arial" w:cs="Arial"/>
          <w:noProof/>
        </w:rPr>
        <w:t>10</w:t>
      </w:r>
      <w:r w:rsidR="00A30F93">
        <w:rPr>
          <w:rFonts w:ascii="Arial" w:hAnsi="Arial" w:cs="Arial"/>
          <w:noProof/>
        </w:rPr>
        <w:t xml:space="preserve"> minutes</w:t>
      </w:r>
      <w:r w:rsidRPr="00725A26">
        <w:rPr>
          <w:rFonts w:ascii="Arial" w:hAnsi="Arial" w:cs="Arial"/>
          <w:noProof/>
        </w:rPr>
        <w:t xml:space="preserve"> for issuers to complete reporting the information.  </w:t>
      </w:r>
      <w:r w:rsidR="003000C1" w:rsidRPr="00725A26">
        <w:rPr>
          <w:rFonts w:ascii="Arial" w:hAnsi="Arial" w:cs="Arial"/>
          <w:noProof/>
        </w:rPr>
        <w:t>The information is required by Section 306(g) of the National Housing Act and/or by Ginnie Mae Handbook 5500.3, Rev. 1.</w:t>
      </w:r>
    </w:p>
    <w:p w14:paraId="528FF090" w14:textId="77777777" w:rsidR="00CD7740" w:rsidRDefault="00CD7740" w:rsidP="00541761">
      <w:pPr>
        <w:ind w:left="720"/>
        <w:rPr>
          <w:rFonts w:ascii="Arial" w:hAnsi="Arial" w:cs="Arial"/>
          <w:noProof/>
        </w:rPr>
      </w:pPr>
    </w:p>
    <w:p w14:paraId="770C978E" w14:textId="77777777" w:rsidR="00CD7740" w:rsidRDefault="00CD7740" w:rsidP="00CD7740">
      <w:pPr>
        <w:ind w:left="720"/>
        <w:rPr>
          <w:rFonts w:ascii="Arial" w:hAnsi="Arial" w:cs="Arial"/>
          <w:noProof/>
        </w:rPr>
      </w:pPr>
      <w:r w:rsidRPr="00E110D5">
        <w:rPr>
          <w:rFonts w:ascii="Arial" w:hAnsi="Arial" w:cs="Arial"/>
          <w:noProof/>
        </w:rPr>
        <w:t>Ginnie Mae increased this burden</w:t>
      </w:r>
      <w:r>
        <w:rPr>
          <w:rFonts w:ascii="Arial" w:hAnsi="Arial" w:cs="Arial"/>
          <w:noProof/>
        </w:rPr>
        <w:t xml:space="preserve"> time</w:t>
      </w:r>
      <w:r w:rsidRPr="00E110D5">
        <w:rPr>
          <w:rFonts w:ascii="Arial" w:hAnsi="Arial" w:cs="Arial"/>
          <w:noProof/>
        </w:rPr>
        <w:t xml:space="preserve"> from </w:t>
      </w:r>
      <w:r>
        <w:rPr>
          <w:rFonts w:ascii="Arial" w:hAnsi="Arial" w:cs="Arial"/>
          <w:noProof/>
        </w:rPr>
        <w:t>8 minutes</w:t>
      </w:r>
      <w:r w:rsidRPr="00E110D5">
        <w:rPr>
          <w:rFonts w:ascii="Arial" w:hAnsi="Arial" w:cs="Arial"/>
          <w:noProof/>
        </w:rPr>
        <w:t xml:space="preserve"> </w:t>
      </w:r>
      <w:r>
        <w:rPr>
          <w:rFonts w:ascii="Arial" w:hAnsi="Arial" w:cs="Arial"/>
          <w:noProof/>
        </w:rPr>
        <w:t>10 minutes</w:t>
      </w:r>
      <w:r w:rsidRPr="00E110D5">
        <w:rPr>
          <w:rFonts w:ascii="Arial" w:hAnsi="Arial" w:cs="Arial"/>
          <w:noProof/>
        </w:rPr>
        <w:t>.</w:t>
      </w:r>
    </w:p>
    <w:p w14:paraId="391F1B39" w14:textId="77777777" w:rsidR="00D436C0" w:rsidRPr="00814A0B" w:rsidRDefault="00D436C0" w:rsidP="00D56643">
      <w:pPr>
        <w:rPr>
          <w:rFonts w:ascii="Arial" w:hAnsi="Arial" w:cs="Arial"/>
          <w:b/>
          <w:noProof/>
          <w:color w:val="0000FF"/>
        </w:rPr>
      </w:pPr>
    </w:p>
    <w:p w14:paraId="79641E43" w14:textId="77777777" w:rsidR="007158F1" w:rsidRDefault="003000C1" w:rsidP="00541761">
      <w:pPr>
        <w:ind w:left="720"/>
        <w:rPr>
          <w:rFonts w:ascii="Arial" w:hAnsi="Arial" w:cs="Arial"/>
          <w:noProof/>
        </w:rPr>
      </w:pPr>
      <w:r w:rsidRPr="00541761">
        <w:rPr>
          <w:rFonts w:ascii="Arial" w:hAnsi="Arial" w:cs="Arial"/>
          <w:noProof/>
        </w:rPr>
        <w:t>While i</w:t>
      </w:r>
      <w:r w:rsidR="00AA627A" w:rsidRPr="00541761">
        <w:rPr>
          <w:rFonts w:ascii="Arial" w:hAnsi="Arial" w:cs="Arial"/>
          <w:noProof/>
        </w:rPr>
        <w:t xml:space="preserve">ssuers will no longer be required to submit the following forms: Monthly Accounting Report, form HUD 11710-A; and the Liquidation Schedule, form HUD 11710-E.; and Monthly Summary Report, </w:t>
      </w:r>
      <w:r w:rsidRPr="00541761">
        <w:rPr>
          <w:rFonts w:ascii="Arial" w:hAnsi="Arial" w:cs="Arial"/>
          <w:noProof/>
        </w:rPr>
        <w:t xml:space="preserve">they will be </w:t>
      </w:r>
      <w:r w:rsidR="00AA627A" w:rsidRPr="00541761">
        <w:rPr>
          <w:rFonts w:ascii="Arial" w:hAnsi="Arial" w:cs="Arial"/>
          <w:noProof/>
        </w:rPr>
        <w:t>required to maintain accounts and records on each pooled mortgage in a manner that will permit Ginnie Mae or its representatives to examine and/or audit them at any reasonable time.</w:t>
      </w:r>
    </w:p>
    <w:p w14:paraId="10E9F843" w14:textId="77777777" w:rsidR="007158F1" w:rsidRDefault="007158F1" w:rsidP="00541761">
      <w:pPr>
        <w:ind w:left="720"/>
        <w:rPr>
          <w:rFonts w:ascii="Arial" w:hAnsi="Arial" w:cs="Arial"/>
          <w:noProof/>
        </w:rPr>
      </w:pPr>
    </w:p>
    <w:p w14:paraId="7AE5E8FE" w14:textId="77777777" w:rsidR="007158F1" w:rsidRDefault="007158F1" w:rsidP="007158F1">
      <w:pPr>
        <w:numPr>
          <w:ilvl w:val="0"/>
          <w:numId w:val="22"/>
        </w:numPr>
        <w:rPr>
          <w:rFonts w:ascii="Arial" w:hAnsi="Arial" w:cs="Arial"/>
          <w:b/>
          <w:noProof/>
        </w:rPr>
      </w:pPr>
      <w:r>
        <w:rPr>
          <w:rFonts w:ascii="Arial" w:hAnsi="Arial" w:cs="Arial"/>
          <w:b/>
          <w:noProof/>
        </w:rPr>
        <w:t>Appendix VI-14/ Multifamily Prepayment Penalty Record File Layout</w:t>
      </w:r>
    </w:p>
    <w:p w14:paraId="6128637D" w14:textId="77777777" w:rsidR="007158F1" w:rsidRDefault="007158F1" w:rsidP="007158F1">
      <w:pPr>
        <w:rPr>
          <w:rFonts w:ascii="Arial" w:hAnsi="Arial" w:cs="Arial"/>
          <w:b/>
          <w:noProof/>
        </w:rPr>
      </w:pPr>
    </w:p>
    <w:p w14:paraId="657D9F21" w14:textId="77777777" w:rsidR="007158F1" w:rsidRDefault="007158F1" w:rsidP="007158F1">
      <w:pPr>
        <w:ind w:left="720"/>
        <w:rPr>
          <w:rFonts w:ascii="Arial" w:hAnsi="Arial" w:cs="Arial"/>
          <w:noProof/>
        </w:rPr>
      </w:pPr>
      <w:r>
        <w:rPr>
          <w:rFonts w:ascii="Arial" w:hAnsi="Arial" w:cs="Arial"/>
          <w:noProof/>
        </w:rPr>
        <w:lastRenderedPageBreak/>
        <w:t>Ginnie Mae issuers are required to complete monthly reporting on pool and loan level data.  As part of this process, multifamily issuers are also required to submit monthly prepayment penalty data to Ginnie Mae through RFS.</w:t>
      </w:r>
    </w:p>
    <w:p w14:paraId="1F4EA456" w14:textId="77777777" w:rsidR="007158F1" w:rsidRDefault="007158F1" w:rsidP="007158F1">
      <w:pPr>
        <w:ind w:left="720"/>
        <w:rPr>
          <w:rFonts w:ascii="Arial" w:hAnsi="Arial" w:cs="Arial"/>
          <w:noProof/>
        </w:rPr>
      </w:pPr>
    </w:p>
    <w:p w14:paraId="27032793" w14:textId="77777777" w:rsidR="007158F1" w:rsidRDefault="007158F1" w:rsidP="007158F1">
      <w:pPr>
        <w:ind w:left="720"/>
        <w:rPr>
          <w:rFonts w:ascii="Arial" w:hAnsi="Arial" w:cs="Arial"/>
          <w:noProof/>
        </w:rPr>
      </w:pPr>
      <w:r w:rsidRPr="00725A26">
        <w:rPr>
          <w:rFonts w:ascii="Arial" w:hAnsi="Arial" w:cs="Arial"/>
          <w:noProof/>
        </w:rPr>
        <w:t xml:space="preserve">It is estimated to take </w:t>
      </w:r>
      <w:r>
        <w:rPr>
          <w:rFonts w:ascii="Arial" w:hAnsi="Arial" w:cs="Arial"/>
          <w:noProof/>
        </w:rPr>
        <w:t>3 minutes</w:t>
      </w:r>
      <w:r w:rsidRPr="00725A26">
        <w:rPr>
          <w:rFonts w:ascii="Arial" w:hAnsi="Arial" w:cs="Arial"/>
          <w:noProof/>
        </w:rPr>
        <w:t xml:space="preserve"> for issuers to complete reporting the information.  The information is required by Section 306(g) of the National Housing Act and/or by Ginnie Mae Handbook 5500.3, Rev. 1.</w:t>
      </w:r>
    </w:p>
    <w:p w14:paraId="3F11EBF3" w14:textId="77777777" w:rsidR="007158F1" w:rsidRDefault="007158F1" w:rsidP="007158F1">
      <w:pPr>
        <w:ind w:left="720"/>
        <w:rPr>
          <w:rFonts w:ascii="Arial" w:hAnsi="Arial" w:cs="Arial"/>
          <w:noProof/>
        </w:rPr>
      </w:pPr>
    </w:p>
    <w:p w14:paraId="2D958FF0" w14:textId="77777777" w:rsidR="007158F1" w:rsidRDefault="007158F1" w:rsidP="007158F1">
      <w:pPr>
        <w:numPr>
          <w:ilvl w:val="0"/>
          <w:numId w:val="22"/>
        </w:numPr>
        <w:rPr>
          <w:rFonts w:ascii="Arial" w:hAnsi="Arial" w:cs="Arial"/>
          <w:b/>
          <w:noProof/>
        </w:rPr>
      </w:pPr>
      <w:r>
        <w:rPr>
          <w:rFonts w:ascii="Arial" w:hAnsi="Arial" w:cs="Arial"/>
          <w:b/>
          <w:noProof/>
        </w:rPr>
        <w:t>Appendix VI-16/ Quarterly Custodial Account Verification Record File Layout</w:t>
      </w:r>
    </w:p>
    <w:p w14:paraId="5DBFA8AD" w14:textId="77777777" w:rsidR="007158F1" w:rsidRPr="00725A26" w:rsidRDefault="007158F1" w:rsidP="007158F1">
      <w:pPr>
        <w:ind w:left="720"/>
        <w:rPr>
          <w:rFonts w:ascii="Arial" w:hAnsi="Arial" w:cs="Arial"/>
          <w:noProof/>
        </w:rPr>
      </w:pPr>
    </w:p>
    <w:p w14:paraId="1CB6E16C" w14:textId="77777777" w:rsidR="007158F1" w:rsidRPr="007158F1" w:rsidRDefault="00F470FD" w:rsidP="007158F1">
      <w:pPr>
        <w:ind w:left="720"/>
        <w:rPr>
          <w:rFonts w:ascii="Arial" w:hAnsi="Arial" w:cs="Arial"/>
          <w:noProof/>
        </w:rPr>
      </w:pPr>
      <w:r>
        <w:rPr>
          <w:rFonts w:ascii="Arial" w:hAnsi="Arial" w:cs="Arial"/>
          <w:noProof/>
        </w:rPr>
        <w:t>This form is required by any Mortgage-Backed Security Issuer with aggregate principal and interest payments due from borrowers of $100,000.00 or more in any one month as measured by the am</w:t>
      </w:r>
      <w:r w:rsidR="00D56643">
        <w:rPr>
          <w:rFonts w:ascii="Arial" w:hAnsi="Arial" w:cs="Arial"/>
          <w:noProof/>
        </w:rPr>
        <w:t>o</w:t>
      </w:r>
      <w:r>
        <w:rPr>
          <w:rFonts w:ascii="Arial" w:hAnsi="Arial" w:cs="Arial"/>
          <w:noProof/>
        </w:rPr>
        <w:t>unt of the fixed installment control.  The quarterly custodial account verification data must be submitted electronically or entered online to Ginnie Mae’s Reporting and Feedback System.</w:t>
      </w:r>
    </w:p>
    <w:p w14:paraId="2EF2A747" w14:textId="77777777" w:rsidR="007158F1" w:rsidRDefault="007158F1" w:rsidP="007158F1">
      <w:pPr>
        <w:ind w:left="720"/>
        <w:rPr>
          <w:rFonts w:ascii="Arial" w:hAnsi="Arial" w:cs="Arial"/>
          <w:noProof/>
        </w:rPr>
      </w:pPr>
    </w:p>
    <w:p w14:paraId="2E082DBB" w14:textId="77777777" w:rsidR="00F470FD" w:rsidRPr="00725A26" w:rsidRDefault="00F470FD" w:rsidP="00F470FD">
      <w:pPr>
        <w:ind w:left="720"/>
        <w:rPr>
          <w:rFonts w:ascii="Arial" w:hAnsi="Arial" w:cs="Arial"/>
          <w:noProof/>
        </w:rPr>
      </w:pPr>
      <w:r w:rsidRPr="00725A26">
        <w:rPr>
          <w:rFonts w:ascii="Arial" w:hAnsi="Arial" w:cs="Arial"/>
          <w:noProof/>
        </w:rPr>
        <w:t xml:space="preserve">It is estimated to take </w:t>
      </w:r>
      <w:r>
        <w:rPr>
          <w:rFonts w:ascii="Arial" w:hAnsi="Arial" w:cs="Arial"/>
          <w:noProof/>
        </w:rPr>
        <w:t>10 minutes</w:t>
      </w:r>
      <w:r w:rsidRPr="00725A26">
        <w:rPr>
          <w:rFonts w:ascii="Arial" w:hAnsi="Arial" w:cs="Arial"/>
          <w:noProof/>
        </w:rPr>
        <w:t xml:space="preserve"> for issuers to complete reporting the information.  The information is required by Section 306(g) of the National Housing Act and/or by Ginnie Mae Handbook 5500.3, Rev. 1.</w:t>
      </w:r>
    </w:p>
    <w:p w14:paraId="0ACF17BC" w14:textId="77777777" w:rsidR="007158F1" w:rsidRPr="007158F1" w:rsidRDefault="007158F1" w:rsidP="007158F1">
      <w:pPr>
        <w:ind w:left="720"/>
        <w:rPr>
          <w:rFonts w:ascii="Arial" w:hAnsi="Arial" w:cs="Arial"/>
          <w:noProof/>
        </w:rPr>
      </w:pPr>
    </w:p>
    <w:p w14:paraId="45CE2EA2" w14:textId="77777777" w:rsidR="00AA627A" w:rsidRPr="00541761" w:rsidRDefault="00AA627A" w:rsidP="00541761">
      <w:pPr>
        <w:numPr>
          <w:ilvl w:val="0"/>
          <w:numId w:val="22"/>
        </w:numPr>
        <w:rPr>
          <w:rFonts w:ascii="Arial" w:hAnsi="Arial" w:cs="Arial"/>
          <w:b/>
          <w:bCs/>
        </w:rPr>
      </w:pPr>
      <w:r w:rsidRPr="00541761">
        <w:rPr>
          <w:rFonts w:ascii="Arial" w:hAnsi="Arial" w:cs="Arial"/>
          <w:b/>
          <w:bCs/>
        </w:rPr>
        <w:t>Form HUD 11710-A/Appendix</w:t>
      </w:r>
      <w:r w:rsidR="00F470FD">
        <w:rPr>
          <w:rFonts w:ascii="Arial" w:hAnsi="Arial" w:cs="Arial"/>
          <w:b/>
          <w:bCs/>
        </w:rPr>
        <w:t xml:space="preserve"> </w:t>
      </w:r>
      <w:r w:rsidRPr="00541761">
        <w:rPr>
          <w:rFonts w:ascii="Arial" w:hAnsi="Arial" w:cs="Arial"/>
          <w:b/>
          <w:bCs/>
        </w:rPr>
        <w:t>VI-4/ Monthly Accounting Report</w:t>
      </w:r>
    </w:p>
    <w:p w14:paraId="11DFE48E" w14:textId="77777777" w:rsidR="00AA627A" w:rsidRPr="00814A0B" w:rsidRDefault="00AA627A">
      <w:pPr>
        <w:rPr>
          <w:rFonts w:ascii="Arial" w:hAnsi="Arial" w:cs="Arial"/>
          <w:b/>
          <w:noProof/>
        </w:rPr>
      </w:pPr>
    </w:p>
    <w:p w14:paraId="554FDE0C" w14:textId="77777777" w:rsidR="00AA627A" w:rsidRPr="00541761" w:rsidRDefault="00AA627A" w:rsidP="00541761">
      <w:pPr>
        <w:ind w:left="720"/>
        <w:rPr>
          <w:rFonts w:ascii="Arial" w:hAnsi="Arial" w:cs="Arial"/>
          <w:noProof/>
        </w:rPr>
      </w:pPr>
      <w:r w:rsidRPr="00541761">
        <w:rPr>
          <w:rFonts w:ascii="Arial" w:hAnsi="Arial" w:cs="Arial"/>
          <w:noProof/>
        </w:rPr>
        <w:t>The form HUD 11710-A provides the pool/loan activity for the month, the calculation of mortgage principal installments and the amount of principal remitted to securities holders for the month, the monthly guaranty fee due Ginnie Mae, and the status of custodial funds.</w:t>
      </w:r>
    </w:p>
    <w:p w14:paraId="7406509E" w14:textId="77777777" w:rsidR="00AA627A" w:rsidRDefault="00AA627A">
      <w:pPr>
        <w:rPr>
          <w:rFonts w:ascii="Arial" w:hAnsi="Arial" w:cs="Arial"/>
          <w:b/>
          <w:noProof/>
        </w:rPr>
      </w:pPr>
    </w:p>
    <w:p w14:paraId="314FAA92" w14:textId="77777777" w:rsidR="003E3CBD" w:rsidRPr="00725A26" w:rsidRDefault="003E3CBD" w:rsidP="003E3CBD">
      <w:pPr>
        <w:ind w:left="720"/>
        <w:rPr>
          <w:rFonts w:ascii="Arial" w:hAnsi="Arial" w:cs="Arial"/>
          <w:noProof/>
        </w:rPr>
      </w:pPr>
      <w:r w:rsidRPr="00725A26">
        <w:rPr>
          <w:rFonts w:ascii="Arial" w:hAnsi="Arial" w:cs="Arial"/>
          <w:noProof/>
        </w:rPr>
        <w:t xml:space="preserve">It is estimated to take </w:t>
      </w:r>
      <w:r w:rsidR="00B26A3E">
        <w:rPr>
          <w:rFonts w:ascii="Arial" w:hAnsi="Arial" w:cs="Arial"/>
          <w:noProof/>
        </w:rPr>
        <w:t>8</w:t>
      </w:r>
      <w:r>
        <w:rPr>
          <w:rFonts w:ascii="Arial" w:hAnsi="Arial" w:cs="Arial"/>
          <w:noProof/>
        </w:rPr>
        <w:t xml:space="preserve"> minutes</w:t>
      </w:r>
      <w:r w:rsidRPr="00725A26">
        <w:rPr>
          <w:rFonts w:ascii="Arial" w:hAnsi="Arial" w:cs="Arial"/>
          <w:noProof/>
        </w:rPr>
        <w:t xml:space="preserve"> for issuers to complete reporting the information.  The information is required by Section 306(g) of the National Housing Act and/or by Ginnie Mae Handbook 5500.3, Rev. 1.</w:t>
      </w:r>
    </w:p>
    <w:p w14:paraId="584F6F8A" w14:textId="77777777" w:rsidR="00AA627A" w:rsidRPr="00814A0B" w:rsidRDefault="00AA627A">
      <w:pPr>
        <w:rPr>
          <w:rFonts w:ascii="Arial" w:hAnsi="Arial" w:cs="Arial"/>
          <w:b/>
          <w:noProof/>
        </w:rPr>
      </w:pPr>
    </w:p>
    <w:p w14:paraId="7A76EC6D" w14:textId="77777777" w:rsidR="00AA627A" w:rsidRPr="00541761" w:rsidRDefault="00AA627A" w:rsidP="00541761">
      <w:pPr>
        <w:numPr>
          <w:ilvl w:val="0"/>
          <w:numId w:val="22"/>
        </w:numPr>
        <w:rPr>
          <w:rFonts w:ascii="Arial" w:hAnsi="Arial" w:cs="Arial"/>
          <w:b/>
          <w:noProof/>
        </w:rPr>
      </w:pPr>
      <w:r w:rsidRPr="00541761">
        <w:rPr>
          <w:rFonts w:ascii="Arial" w:hAnsi="Arial" w:cs="Arial"/>
          <w:b/>
          <w:noProof/>
        </w:rPr>
        <w:t>Form HUD11710-E/Appendix VI-4/ Liquidation Schedule</w:t>
      </w:r>
    </w:p>
    <w:p w14:paraId="3F5915FF" w14:textId="77777777" w:rsidR="00AA627A" w:rsidRPr="00814A0B" w:rsidRDefault="00AA627A" w:rsidP="00541761">
      <w:pPr>
        <w:rPr>
          <w:rFonts w:ascii="Arial" w:hAnsi="Arial" w:cs="Arial"/>
          <w:b/>
          <w:noProof/>
        </w:rPr>
      </w:pPr>
    </w:p>
    <w:p w14:paraId="57ADAFFA" w14:textId="77777777" w:rsidR="00AA627A" w:rsidRPr="00541761" w:rsidRDefault="00AA627A" w:rsidP="00541761">
      <w:pPr>
        <w:ind w:left="720"/>
        <w:rPr>
          <w:rFonts w:ascii="Arial" w:hAnsi="Arial" w:cs="Arial"/>
          <w:noProof/>
        </w:rPr>
      </w:pPr>
      <w:r w:rsidRPr="00541761">
        <w:rPr>
          <w:rFonts w:ascii="Arial" w:hAnsi="Arial" w:cs="Arial"/>
          <w:noProof/>
        </w:rPr>
        <w:t xml:space="preserve">The form HUD 11710-E provides the data for loans that have been liquidated from a pool.  The issuers are required to state the reason(s) for liquidating a loan.  </w:t>
      </w:r>
    </w:p>
    <w:p w14:paraId="3D44E994" w14:textId="77777777" w:rsidR="00AA627A" w:rsidRDefault="00AA627A">
      <w:pPr>
        <w:rPr>
          <w:rFonts w:ascii="Arial" w:hAnsi="Arial" w:cs="Arial"/>
          <w:b/>
          <w:noProof/>
        </w:rPr>
      </w:pPr>
    </w:p>
    <w:p w14:paraId="17C1B1DA" w14:textId="77777777" w:rsidR="003E3CBD" w:rsidRPr="00725A26" w:rsidRDefault="003E3CBD" w:rsidP="003E3CBD">
      <w:pPr>
        <w:ind w:left="720"/>
        <w:rPr>
          <w:rFonts w:ascii="Arial" w:hAnsi="Arial" w:cs="Arial"/>
          <w:noProof/>
        </w:rPr>
      </w:pPr>
      <w:r w:rsidRPr="00725A26">
        <w:rPr>
          <w:rFonts w:ascii="Arial" w:hAnsi="Arial" w:cs="Arial"/>
          <w:noProof/>
        </w:rPr>
        <w:t xml:space="preserve">It is estimated to take </w:t>
      </w:r>
      <w:r w:rsidR="00B26A3E">
        <w:rPr>
          <w:rFonts w:ascii="Arial" w:hAnsi="Arial" w:cs="Arial"/>
          <w:noProof/>
        </w:rPr>
        <w:t>8</w:t>
      </w:r>
      <w:r>
        <w:rPr>
          <w:rFonts w:ascii="Arial" w:hAnsi="Arial" w:cs="Arial"/>
          <w:noProof/>
        </w:rPr>
        <w:t xml:space="preserve"> minutes</w:t>
      </w:r>
      <w:r w:rsidRPr="00725A26">
        <w:rPr>
          <w:rFonts w:ascii="Arial" w:hAnsi="Arial" w:cs="Arial"/>
          <w:noProof/>
        </w:rPr>
        <w:t xml:space="preserve"> for issuers to complete reporting the information.  The information is required by Section 306(g) of the National Housing Act and/or by Ginnie Mae Handbook 5500.3, Rev. 1.</w:t>
      </w:r>
    </w:p>
    <w:p w14:paraId="7CD0BEED" w14:textId="77777777" w:rsidR="003E3CBD" w:rsidRPr="00814A0B" w:rsidRDefault="003E3CBD">
      <w:pPr>
        <w:rPr>
          <w:rFonts w:ascii="Arial" w:hAnsi="Arial" w:cs="Arial"/>
          <w:b/>
          <w:noProof/>
        </w:rPr>
      </w:pPr>
    </w:p>
    <w:p w14:paraId="6F3975EB" w14:textId="77777777" w:rsidR="00AA627A" w:rsidRPr="00541761" w:rsidRDefault="00AA627A" w:rsidP="00541761">
      <w:pPr>
        <w:numPr>
          <w:ilvl w:val="0"/>
          <w:numId w:val="22"/>
        </w:numPr>
        <w:rPr>
          <w:rFonts w:ascii="Arial" w:hAnsi="Arial" w:cs="Arial"/>
          <w:b/>
          <w:noProof/>
        </w:rPr>
      </w:pPr>
      <w:r w:rsidRPr="00541761">
        <w:rPr>
          <w:rFonts w:ascii="Arial" w:hAnsi="Arial" w:cs="Arial"/>
          <w:b/>
          <w:noProof/>
        </w:rPr>
        <w:t>Form HUD 1710-B/Appendix VI-12/ Issuer’s Monthly Serial Notes Accounting Schedule</w:t>
      </w:r>
    </w:p>
    <w:p w14:paraId="0A6DA0E6" w14:textId="77777777" w:rsidR="00AA627A" w:rsidRPr="00814A0B" w:rsidRDefault="00AA627A">
      <w:pPr>
        <w:rPr>
          <w:rFonts w:ascii="Arial" w:hAnsi="Arial" w:cs="Arial"/>
          <w:b/>
          <w:noProof/>
        </w:rPr>
      </w:pPr>
    </w:p>
    <w:p w14:paraId="2AC25A05" w14:textId="77777777" w:rsidR="00AA627A" w:rsidRDefault="00AA627A" w:rsidP="00541761">
      <w:pPr>
        <w:ind w:left="720"/>
        <w:rPr>
          <w:rFonts w:ascii="Arial" w:hAnsi="Arial" w:cs="Arial"/>
          <w:noProof/>
        </w:rPr>
      </w:pPr>
      <w:r w:rsidRPr="00541761">
        <w:rPr>
          <w:rFonts w:ascii="Arial" w:hAnsi="Arial" w:cs="Arial"/>
          <w:noProof/>
        </w:rPr>
        <w:t xml:space="preserve">The form HUD 1710-B is used to record principal and the status of Serial Units paid and Serial Note Certificates redeemed and outstanding during the current month.  </w:t>
      </w:r>
      <w:r w:rsidR="00A421AB" w:rsidRPr="00541761">
        <w:rPr>
          <w:rFonts w:ascii="Arial" w:hAnsi="Arial" w:cs="Arial"/>
          <w:noProof/>
        </w:rPr>
        <w:t>I</w:t>
      </w:r>
      <w:r w:rsidRPr="00541761">
        <w:rPr>
          <w:rFonts w:ascii="Arial" w:hAnsi="Arial" w:cs="Arial"/>
          <w:noProof/>
        </w:rPr>
        <w:t>t is used by those issuers who process Serial Note pools.</w:t>
      </w:r>
    </w:p>
    <w:p w14:paraId="7D0429B6" w14:textId="77777777" w:rsidR="003E3CBD" w:rsidRDefault="003E3CBD" w:rsidP="00541761">
      <w:pPr>
        <w:ind w:left="720"/>
        <w:rPr>
          <w:rFonts w:ascii="Arial" w:hAnsi="Arial" w:cs="Arial"/>
          <w:noProof/>
        </w:rPr>
      </w:pPr>
    </w:p>
    <w:p w14:paraId="23C1184A" w14:textId="77777777" w:rsidR="003E3CBD" w:rsidRPr="00725A26" w:rsidRDefault="003E3CBD" w:rsidP="003E3CBD">
      <w:pPr>
        <w:ind w:left="720"/>
        <w:rPr>
          <w:rFonts w:ascii="Arial" w:hAnsi="Arial" w:cs="Arial"/>
          <w:noProof/>
        </w:rPr>
      </w:pPr>
      <w:r w:rsidRPr="00725A26">
        <w:rPr>
          <w:rFonts w:ascii="Arial" w:hAnsi="Arial" w:cs="Arial"/>
          <w:noProof/>
        </w:rPr>
        <w:t xml:space="preserve">It is estimated to take </w:t>
      </w:r>
      <w:r w:rsidR="00B26A3E">
        <w:rPr>
          <w:rFonts w:ascii="Arial" w:hAnsi="Arial" w:cs="Arial"/>
          <w:noProof/>
        </w:rPr>
        <w:t>8</w:t>
      </w:r>
      <w:r>
        <w:rPr>
          <w:rFonts w:ascii="Arial" w:hAnsi="Arial" w:cs="Arial"/>
          <w:noProof/>
        </w:rPr>
        <w:t xml:space="preserve"> minutes</w:t>
      </w:r>
      <w:r w:rsidRPr="00725A26">
        <w:rPr>
          <w:rFonts w:ascii="Arial" w:hAnsi="Arial" w:cs="Arial"/>
          <w:noProof/>
        </w:rPr>
        <w:t xml:space="preserve"> for issuers to complete reporting the information.  The information is required by Section 306(g) of the National Housing Act and/or by Ginnie Mae Handbook 5500.3, Rev. 1.</w:t>
      </w:r>
    </w:p>
    <w:p w14:paraId="41CD9B63" w14:textId="77777777" w:rsidR="003E3CBD" w:rsidRPr="00541761" w:rsidRDefault="003E3CBD" w:rsidP="00541761">
      <w:pPr>
        <w:ind w:left="720"/>
        <w:rPr>
          <w:rFonts w:ascii="Arial" w:hAnsi="Arial" w:cs="Arial"/>
          <w:noProof/>
        </w:rPr>
      </w:pPr>
    </w:p>
    <w:p w14:paraId="07CEE9E7" w14:textId="77777777" w:rsidR="00AA627A" w:rsidRPr="003F12E6" w:rsidRDefault="00AA627A" w:rsidP="003F12E6">
      <w:pPr>
        <w:numPr>
          <w:ilvl w:val="0"/>
          <w:numId w:val="22"/>
        </w:numPr>
        <w:rPr>
          <w:rFonts w:ascii="Arial" w:hAnsi="Arial" w:cs="Arial"/>
          <w:b/>
          <w:noProof/>
        </w:rPr>
      </w:pPr>
      <w:r w:rsidRPr="003F12E6">
        <w:rPr>
          <w:rFonts w:ascii="Arial" w:hAnsi="Arial" w:cs="Arial"/>
          <w:b/>
          <w:noProof/>
        </w:rPr>
        <w:t>Form HUD 1710-C/Appendix VI-13/ Project Pool Report</w:t>
      </w:r>
    </w:p>
    <w:p w14:paraId="27EFFA97" w14:textId="77777777" w:rsidR="00AA627A" w:rsidRPr="00814A0B" w:rsidRDefault="00AA627A">
      <w:pPr>
        <w:rPr>
          <w:rFonts w:ascii="Arial" w:hAnsi="Arial" w:cs="Arial"/>
          <w:b/>
          <w:noProof/>
        </w:rPr>
      </w:pPr>
    </w:p>
    <w:p w14:paraId="3C6D4B1F" w14:textId="77777777" w:rsidR="00AA627A" w:rsidRPr="003F12E6" w:rsidRDefault="00AA627A" w:rsidP="003F12E6">
      <w:pPr>
        <w:ind w:left="720"/>
        <w:rPr>
          <w:rFonts w:ascii="Arial" w:hAnsi="Arial" w:cs="Arial"/>
          <w:noProof/>
        </w:rPr>
      </w:pPr>
      <w:r w:rsidRPr="003F12E6">
        <w:rPr>
          <w:rFonts w:ascii="Arial" w:hAnsi="Arial" w:cs="Arial"/>
          <w:noProof/>
        </w:rPr>
        <w:t>Form HUD 1710C is used by issuers only if  one or more project mortgages in a pool is not being amortized, or if other than the level monthly payment method is not being used on any of the project mortgages in a MBS pool.  It is used by those issuers who process project loan pools.</w:t>
      </w:r>
    </w:p>
    <w:p w14:paraId="47E7BD0D" w14:textId="77777777" w:rsidR="00AA627A" w:rsidRDefault="00AA627A">
      <w:pPr>
        <w:rPr>
          <w:rFonts w:ascii="Arial" w:hAnsi="Arial" w:cs="Arial"/>
          <w:b/>
          <w:noProof/>
        </w:rPr>
      </w:pPr>
    </w:p>
    <w:p w14:paraId="204C7EEE" w14:textId="77777777" w:rsidR="003E3CBD" w:rsidRDefault="003E3CBD" w:rsidP="003E3CBD">
      <w:pPr>
        <w:ind w:left="720"/>
        <w:rPr>
          <w:rFonts w:ascii="Arial" w:hAnsi="Arial" w:cs="Arial"/>
          <w:noProof/>
        </w:rPr>
      </w:pPr>
      <w:r w:rsidRPr="00725A26">
        <w:rPr>
          <w:rFonts w:ascii="Arial" w:hAnsi="Arial" w:cs="Arial"/>
          <w:noProof/>
        </w:rPr>
        <w:t xml:space="preserve">It is estimated to take </w:t>
      </w:r>
      <w:r w:rsidR="00B26A3E">
        <w:rPr>
          <w:rFonts w:ascii="Arial" w:hAnsi="Arial" w:cs="Arial"/>
          <w:noProof/>
        </w:rPr>
        <w:t>8</w:t>
      </w:r>
      <w:r>
        <w:rPr>
          <w:rFonts w:ascii="Arial" w:hAnsi="Arial" w:cs="Arial"/>
          <w:noProof/>
        </w:rPr>
        <w:t xml:space="preserve"> minutes</w:t>
      </w:r>
      <w:r w:rsidRPr="00725A26">
        <w:rPr>
          <w:rFonts w:ascii="Arial" w:hAnsi="Arial" w:cs="Arial"/>
          <w:noProof/>
        </w:rPr>
        <w:t xml:space="preserve"> for issuers to complete reporting the information.  The information is required by Section 306(g) of the National Housing Act and/or by Ginnie Mae Handbook 5500.3, Rev. 1.</w:t>
      </w:r>
    </w:p>
    <w:p w14:paraId="31AE36D2" w14:textId="77777777" w:rsidR="003E3CBD" w:rsidRPr="00814A0B" w:rsidRDefault="003E3CBD">
      <w:pPr>
        <w:rPr>
          <w:rFonts w:ascii="Arial" w:hAnsi="Arial" w:cs="Arial"/>
          <w:b/>
          <w:noProof/>
        </w:rPr>
      </w:pPr>
    </w:p>
    <w:p w14:paraId="0379DF46" w14:textId="77777777" w:rsidR="00AA627A" w:rsidRPr="003F12E6" w:rsidRDefault="00AA627A" w:rsidP="003F12E6">
      <w:pPr>
        <w:numPr>
          <w:ilvl w:val="0"/>
          <w:numId w:val="22"/>
        </w:numPr>
        <w:rPr>
          <w:rFonts w:ascii="Arial" w:hAnsi="Arial" w:cs="Arial"/>
          <w:b/>
          <w:noProof/>
        </w:rPr>
      </w:pPr>
      <w:r w:rsidRPr="003F12E6">
        <w:rPr>
          <w:rFonts w:ascii="Arial" w:hAnsi="Arial" w:cs="Arial"/>
          <w:b/>
          <w:noProof/>
        </w:rPr>
        <w:t>Form HUD 11710-D/Appendix VI-5/ Issuer’s Monthly Summary Report</w:t>
      </w:r>
    </w:p>
    <w:p w14:paraId="757730C1" w14:textId="77777777" w:rsidR="00AA627A" w:rsidRPr="00814A0B" w:rsidRDefault="00AA627A">
      <w:pPr>
        <w:rPr>
          <w:rFonts w:ascii="Arial" w:hAnsi="Arial" w:cs="Arial"/>
          <w:b/>
          <w:noProof/>
        </w:rPr>
      </w:pPr>
    </w:p>
    <w:p w14:paraId="78966262" w14:textId="77777777" w:rsidR="00AA627A" w:rsidRDefault="00AA627A" w:rsidP="003F12E6">
      <w:pPr>
        <w:ind w:left="720"/>
        <w:rPr>
          <w:rFonts w:ascii="Arial" w:hAnsi="Arial" w:cs="Arial"/>
          <w:noProof/>
        </w:rPr>
      </w:pPr>
      <w:r w:rsidRPr="003F12E6">
        <w:rPr>
          <w:rFonts w:ascii="Arial" w:hAnsi="Arial" w:cs="Arial"/>
          <w:noProof/>
        </w:rPr>
        <w:t>Th</w:t>
      </w:r>
      <w:r w:rsidR="00EF18FA">
        <w:rPr>
          <w:rFonts w:ascii="Arial" w:hAnsi="Arial" w:cs="Arial"/>
          <w:noProof/>
        </w:rPr>
        <w:t>is</w:t>
      </w:r>
      <w:r w:rsidRPr="003F12E6">
        <w:rPr>
          <w:rFonts w:ascii="Arial" w:hAnsi="Arial" w:cs="Arial"/>
          <w:noProof/>
        </w:rPr>
        <w:t xml:space="preserve"> form is used by i</w:t>
      </w:r>
      <w:r w:rsidR="000A5B72" w:rsidRPr="003F12E6">
        <w:rPr>
          <w:rFonts w:ascii="Arial" w:hAnsi="Arial" w:cs="Arial"/>
          <w:noProof/>
        </w:rPr>
        <w:t>ssuers to report to Ginnie Mae e</w:t>
      </w:r>
      <w:r w:rsidRPr="003F12E6">
        <w:rPr>
          <w:rFonts w:ascii="Arial" w:hAnsi="Arial" w:cs="Arial"/>
          <w:noProof/>
        </w:rPr>
        <w:t>ach month a summary of their outstanding pools</w:t>
      </w:r>
      <w:r w:rsidR="002B5DF9">
        <w:rPr>
          <w:rFonts w:ascii="Arial" w:hAnsi="Arial" w:cs="Arial"/>
          <w:noProof/>
        </w:rPr>
        <w:t xml:space="preserve"> </w:t>
      </w:r>
      <w:r w:rsidRPr="003F12E6">
        <w:rPr>
          <w:rFonts w:ascii="Arial" w:hAnsi="Arial" w:cs="Arial"/>
          <w:noProof/>
        </w:rPr>
        <w:t>or loan packages, provide a certification as to the accuracy of the reported information and to provide the format for reporting the Remaining Principals Balances  of each pool.</w:t>
      </w:r>
      <w:r w:rsidR="00290BBA" w:rsidRPr="003F12E6">
        <w:rPr>
          <w:rFonts w:ascii="Arial" w:hAnsi="Arial" w:cs="Arial"/>
          <w:noProof/>
        </w:rPr>
        <w:t xml:space="preserve">  This form is submitted monthly. </w:t>
      </w:r>
    </w:p>
    <w:p w14:paraId="3C49369F" w14:textId="77777777" w:rsidR="003E3CBD" w:rsidRDefault="003E3CBD" w:rsidP="003F12E6">
      <w:pPr>
        <w:ind w:left="720"/>
        <w:rPr>
          <w:rFonts w:ascii="Arial" w:hAnsi="Arial" w:cs="Arial"/>
          <w:noProof/>
        </w:rPr>
      </w:pPr>
    </w:p>
    <w:p w14:paraId="5FC156B0" w14:textId="77777777" w:rsidR="003E3CBD" w:rsidRDefault="003E3CBD" w:rsidP="003E3CBD">
      <w:pPr>
        <w:ind w:left="720"/>
        <w:rPr>
          <w:rFonts w:ascii="Arial" w:hAnsi="Arial" w:cs="Arial"/>
          <w:noProof/>
        </w:rPr>
      </w:pPr>
      <w:r w:rsidRPr="00725A26">
        <w:rPr>
          <w:rFonts w:ascii="Arial" w:hAnsi="Arial" w:cs="Arial"/>
          <w:noProof/>
        </w:rPr>
        <w:t xml:space="preserve">It is estimated to take </w:t>
      </w:r>
      <w:r w:rsidR="00B26A3E">
        <w:rPr>
          <w:rFonts w:ascii="Arial" w:hAnsi="Arial" w:cs="Arial"/>
          <w:noProof/>
        </w:rPr>
        <w:t>8</w:t>
      </w:r>
      <w:r>
        <w:rPr>
          <w:rFonts w:ascii="Arial" w:hAnsi="Arial" w:cs="Arial"/>
          <w:noProof/>
        </w:rPr>
        <w:t xml:space="preserve"> minutes</w:t>
      </w:r>
      <w:r w:rsidRPr="00725A26">
        <w:rPr>
          <w:rFonts w:ascii="Arial" w:hAnsi="Arial" w:cs="Arial"/>
          <w:noProof/>
        </w:rPr>
        <w:t xml:space="preserve"> for issuers to complete reporting the information.  The information is required by Section 306(g) of the National Housing Act and/or by Ginnie Mae Handbook 5500.3, Rev. 1.</w:t>
      </w:r>
    </w:p>
    <w:p w14:paraId="1727917B" w14:textId="77777777" w:rsidR="00817819" w:rsidRDefault="00817819" w:rsidP="003E3CBD">
      <w:pPr>
        <w:ind w:left="720"/>
        <w:rPr>
          <w:rFonts w:ascii="Arial" w:hAnsi="Arial" w:cs="Arial"/>
          <w:noProof/>
        </w:rPr>
      </w:pPr>
    </w:p>
    <w:p w14:paraId="6404D29B" w14:textId="77777777" w:rsidR="003D40A1" w:rsidRDefault="003D40A1" w:rsidP="003F12E6">
      <w:pPr>
        <w:pStyle w:val="Heading6"/>
        <w:numPr>
          <w:ilvl w:val="0"/>
          <w:numId w:val="22"/>
        </w:numPr>
        <w:rPr>
          <w:rFonts w:ascii="Arial" w:hAnsi="Arial" w:cs="Arial"/>
          <w:u w:val="none"/>
        </w:rPr>
      </w:pPr>
      <w:r>
        <w:rPr>
          <w:rFonts w:ascii="Arial" w:hAnsi="Arial" w:cs="Arial"/>
          <w:u w:val="none"/>
        </w:rPr>
        <w:t>Appendix VI-17/HMBS Issuer Pooling &amp; Reporting Specification for Mortgage-Backed Securities Administration Agent (MBSAA)</w:t>
      </w:r>
    </w:p>
    <w:p w14:paraId="2810639F" w14:textId="77777777" w:rsidR="003D40A1" w:rsidRDefault="003D40A1" w:rsidP="003D40A1"/>
    <w:p w14:paraId="17CA800A" w14:textId="77777777" w:rsidR="003D40A1" w:rsidRDefault="003D40A1" w:rsidP="003D40A1">
      <w:pPr>
        <w:ind w:left="720"/>
        <w:rPr>
          <w:rFonts w:ascii="Arial" w:hAnsi="Arial" w:cs="Arial"/>
        </w:rPr>
      </w:pPr>
      <w:r w:rsidRPr="003D40A1">
        <w:rPr>
          <w:rFonts w:ascii="Arial" w:hAnsi="Arial" w:cs="Arial"/>
        </w:rPr>
        <w:lastRenderedPageBreak/>
        <w:t xml:space="preserve">To provide Ginnie Mae with information concerning HMBS pool, loan level and participation level activity.  Pool, loan and </w:t>
      </w:r>
      <w:r>
        <w:rPr>
          <w:rFonts w:ascii="Arial" w:hAnsi="Arial" w:cs="Arial"/>
        </w:rPr>
        <w:t>participation level data must be submitted electronically to Ginnie Mae’s Reporting and Feedback System (“RFS”), HMBS Reporting Administration (“HRA”) module which is located in the Ginnie Mae Enterprise Portal.</w:t>
      </w:r>
    </w:p>
    <w:p w14:paraId="4E9EB8BA" w14:textId="77777777" w:rsidR="003D40A1" w:rsidRDefault="003D40A1" w:rsidP="003D40A1">
      <w:pPr>
        <w:ind w:left="720"/>
        <w:rPr>
          <w:rFonts w:ascii="Arial" w:hAnsi="Arial" w:cs="Arial"/>
        </w:rPr>
      </w:pPr>
    </w:p>
    <w:p w14:paraId="3A21A125" w14:textId="77777777" w:rsidR="003D40A1" w:rsidRDefault="003D40A1" w:rsidP="003D40A1">
      <w:pPr>
        <w:ind w:left="720"/>
        <w:rPr>
          <w:rFonts w:ascii="Arial" w:hAnsi="Arial" w:cs="Arial"/>
        </w:rPr>
      </w:pPr>
      <w:r>
        <w:rPr>
          <w:rFonts w:ascii="Arial" w:hAnsi="Arial" w:cs="Arial"/>
        </w:rPr>
        <w:t xml:space="preserve">It is estimated to take </w:t>
      </w:r>
      <w:r w:rsidR="002630BE">
        <w:rPr>
          <w:rFonts w:ascii="Arial" w:hAnsi="Arial" w:cs="Arial"/>
        </w:rPr>
        <w:t>8 minutes for issuers to complete reporting of this information.  The information is required by Section 306(g) of the National Housing Act and/or by Ginnie Mae Handbook 5500.3, Rev. 1.</w:t>
      </w:r>
    </w:p>
    <w:p w14:paraId="372FDFA9" w14:textId="77777777" w:rsidR="002630BE" w:rsidRDefault="002630BE" w:rsidP="003D40A1">
      <w:pPr>
        <w:ind w:left="720"/>
        <w:rPr>
          <w:rFonts w:ascii="Arial" w:hAnsi="Arial" w:cs="Arial"/>
        </w:rPr>
      </w:pPr>
    </w:p>
    <w:p w14:paraId="42A41A5B" w14:textId="77777777" w:rsidR="00817819" w:rsidRDefault="003D40A1" w:rsidP="003F12E6">
      <w:pPr>
        <w:pStyle w:val="Heading6"/>
        <w:numPr>
          <w:ilvl w:val="0"/>
          <w:numId w:val="22"/>
        </w:numPr>
        <w:rPr>
          <w:rFonts w:ascii="Arial" w:hAnsi="Arial" w:cs="Arial"/>
          <w:u w:val="none"/>
        </w:rPr>
      </w:pPr>
      <w:r>
        <w:rPr>
          <w:rFonts w:ascii="Arial" w:hAnsi="Arial" w:cs="Arial"/>
          <w:u w:val="none"/>
        </w:rPr>
        <w:t>Form HUD 11710-DH/Appendix VI-21/HMBS Issuer’s Monthly Summary Report</w:t>
      </w:r>
    </w:p>
    <w:p w14:paraId="2C93E53C" w14:textId="77777777" w:rsidR="003D40A1" w:rsidRDefault="003D40A1" w:rsidP="003D40A1"/>
    <w:p w14:paraId="40CDEFE9" w14:textId="77777777" w:rsidR="003D40A1" w:rsidRDefault="003D40A1" w:rsidP="003D40A1">
      <w:pPr>
        <w:ind w:left="720"/>
        <w:rPr>
          <w:rFonts w:ascii="Arial" w:hAnsi="Arial" w:cs="Arial"/>
        </w:rPr>
      </w:pPr>
      <w:r w:rsidRPr="003D40A1">
        <w:rPr>
          <w:rFonts w:ascii="Arial" w:hAnsi="Arial" w:cs="Arial"/>
        </w:rPr>
        <w:t xml:space="preserve">This form is </w:t>
      </w:r>
      <w:r>
        <w:rPr>
          <w:rFonts w:ascii="Arial" w:hAnsi="Arial" w:cs="Arial"/>
        </w:rPr>
        <w:t>used by issuers to report to Ginnie Mae a summary of information on an Issuer’s outstanding HMB</w:t>
      </w:r>
      <w:r w:rsidR="001E4559">
        <w:rPr>
          <w:rFonts w:ascii="Arial" w:hAnsi="Arial" w:cs="Arial"/>
        </w:rPr>
        <w:t>S</w:t>
      </w:r>
      <w:r>
        <w:rPr>
          <w:rFonts w:ascii="Arial" w:hAnsi="Arial" w:cs="Arial"/>
        </w:rPr>
        <w:t xml:space="preserve"> pools and participations and to provide a certification as to the accuracy of the information reported.</w:t>
      </w:r>
    </w:p>
    <w:p w14:paraId="37799191" w14:textId="77777777" w:rsidR="00F470FD" w:rsidRDefault="00F470FD" w:rsidP="003D40A1">
      <w:pPr>
        <w:ind w:left="720"/>
        <w:rPr>
          <w:rFonts w:ascii="Arial" w:hAnsi="Arial" w:cs="Arial"/>
        </w:rPr>
      </w:pPr>
    </w:p>
    <w:p w14:paraId="4DD22BEF" w14:textId="77777777" w:rsidR="00F470FD" w:rsidRDefault="00F470FD" w:rsidP="003D40A1">
      <w:pPr>
        <w:ind w:left="720"/>
        <w:rPr>
          <w:rFonts w:ascii="Arial" w:hAnsi="Arial" w:cs="Arial"/>
        </w:rPr>
      </w:pPr>
      <w:r>
        <w:rPr>
          <w:rFonts w:ascii="Arial" w:hAnsi="Arial" w:cs="Arial"/>
        </w:rPr>
        <w:t>While issuers will no longer be required to submit the Form HUD 11710-DH, they will be required to maintain accounts and records on each pooled mortgage in a manner that will permit Ginnie Mae or its representatives to examine and/or audit them at any reasonable time.</w:t>
      </w:r>
    </w:p>
    <w:p w14:paraId="12EC5BE0" w14:textId="77777777" w:rsidR="003D40A1" w:rsidRDefault="003D40A1" w:rsidP="003D40A1">
      <w:pPr>
        <w:ind w:left="720"/>
        <w:rPr>
          <w:rFonts w:ascii="Arial" w:hAnsi="Arial" w:cs="Arial"/>
        </w:rPr>
      </w:pPr>
    </w:p>
    <w:p w14:paraId="108D5102" w14:textId="77777777" w:rsidR="003D40A1" w:rsidRPr="003D40A1" w:rsidRDefault="003D40A1" w:rsidP="003D40A1">
      <w:pPr>
        <w:ind w:left="720"/>
        <w:rPr>
          <w:rFonts w:ascii="Arial" w:hAnsi="Arial" w:cs="Arial"/>
        </w:rPr>
      </w:pPr>
      <w:r>
        <w:rPr>
          <w:rFonts w:ascii="Arial" w:hAnsi="Arial" w:cs="Arial"/>
        </w:rPr>
        <w:t>It is estimated to take 8 minutes for issuers to complete reporting of the information.  The information is required by Section 306(g) of the National Housing Act and/or by Ginnie Mae Handbook 5500.3, Rev.1.</w:t>
      </w:r>
    </w:p>
    <w:p w14:paraId="186968C9" w14:textId="77777777" w:rsidR="00817819" w:rsidRDefault="00817819" w:rsidP="002630BE">
      <w:pPr>
        <w:pStyle w:val="Heading6"/>
        <w:ind w:left="720" w:firstLine="0"/>
        <w:rPr>
          <w:rFonts w:ascii="Arial" w:hAnsi="Arial" w:cs="Arial"/>
          <w:u w:val="none"/>
        </w:rPr>
      </w:pPr>
    </w:p>
    <w:p w14:paraId="1EE59D32" w14:textId="77777777" w:rsidR="00AA627A" w:rsidRPr="003F12E6" w:rsidRDefault="00AA627A" w:rsidP="003F12E6">
      <w:pPr>
        <w:pStyle w:val="Heading6"/>
        <w:numPr>
          <w:ilvl w:val="0"/>
          <w:numId w:val="22"/>
        </w:numPr>
        <w:rPr>
          <w:rFonts w:ascii="Arial" w:hAnsi="Arial" w:cs="Arial"/>
          <w:noProof/>
          <w:u w:val="none"/>
        </w:rPr>
      </w:pPr>
      <w:r w:rsidRPr="003F12E6">
        <w:rPr>
          <w:rFonts w:ascii="Arial" w:hAnsi="Arial" w:cs="Arial"/>
          <w:noProof/>
          <w:u w:val="none"/>
        </w:rPr>
        <w:t>Form HUD 11714/Appendix VI-10/ Issuer’s Monthly Remittance Advice</w:t>
      </w:r>
    </w:p>
    <w:p w14:paraId="69CC4727" w14:textId="77777777" w:rsidR="00AA627A" w:rsidRPr="00814A0B" w:rsidRDefault="00AA627A">
      <w:pPr>
        <w:rPr>
          <w:rFonts w:ascii="Arial" w:hAnsi="Arial" w:cs="Arial"/>
          <w:b/>
          <w:noProof/>
        </w:rPr>
      </w:pPr>
    </w:p>
    <w:p w14:paraId="5CD281A7" w14:textId="77777777" w:rsidR="00AA627A" w:rsidRPr="003F12E6" w:rsidRDefault="00AA627A" w:rsidP="003F12E6">
      <w:pPr>
        <w:ind w:left="720"/>
        <w:rPr>
          <w:rFonts w:ascii="Arial" w:hAnsi="Arial" w:cs="Arial"/>
          <w:noProof/>
        </w:rPr>
      </w:pPr>
      <w:r w:rsidRPr="003F12E6">
        <w:rPr>
          <w:rFonts w:ascii="Arial" w:hAnsi="Arial" w:cs="Arial"/>
          <w:noProof/>
        </w:rPr>
        <w:t xml:space="preserve">This form is used by issuers participating in the Ginnie Mae </w:t>
      </w:r>
      <w:r w:rsidR="000F15BF">
        <w:rPr>
          <w:rFonts w:ascii="Arial" w:hAnsi="Arial" w:cs="Arial"/>
          <w:noProof/>
        </w:rPr>
        <w:t>I</w:t>
      </w:r>
      <w:r w:rsidRPr="003F12E6">
        <w:rPr>
          <w:rFonts w:ascii="Arial" w:hAnsi="Arial" w:cs="Arial"/>
          <w:noProof/>
        </w:rPr>
        <w:t xml:space="preserve"> program only.  It provides a summary of </w:t>
      </w:r>
    </w:p>
    <w:p w14:paraId="12C4BF62" w14:textId="77777777" w:rsidR="00AA627A" w:rsidRPr="003F12E6" w:rsidRDefault="00AA627A" w:rsidP="003F12E6">
      <w:pPr>
        <w:ind w:left="720"/>
        <w:rPr>
          <w:rFonts w:ascii="Arial" w:hAnsi="Arial" w:cs="Arial"/>
          <w:noProof/>
        </w:rPr>
      </w:pPr>
      <w:r w:rsidRPr="003F12E6">
        <w:rPr>
          <w:rFonts w:ascii="Arial" w:hAnsi="Arial" w:cs="Arial"/>
          <w:noProof/>
        </w:rPr>
        <w:t>information to the security holder with respect to current month’s account transactions and calculation of the</w:t>
      </w:r>
    </w:p>
    <w:p w14:paraId="20EED2AB" w14:textId="77777777" w:rsidR="00AA627A" w:rsidRPr="003F12E6" w:rsidRDefault="00AA627A" w:rsidP="003F12E6">
      <w:pPr>
        <w:ind w:left="720"/>
        <w:rPr>
          <w:rFonts w:ascii="Arial" w:hAnsi="Arial" w:cs="Arial"/>
          <w:noProof/>
        </w:rPr>
      </w:pPr>
      <w:r w:rsidRPr="003F12E6">
        <w:rPr>
          <w:rFonts w:ascii="Arial" w:hAnsi="Arial" w:cs="Arial"/>
          <w:noProof/>
        </w:rPr>
        <w:t xml:space="preserve">security holders’ pro rata share percentage of total cash distribution.  The security holder must receive this remittance advice no later than the 15th of the month.  When  the use of the form HUD 11714 is permitted, it </w:t>
      </w:r>
    </w:p>
    <w:p w14:paraId="0514A937" w14:textId="77777777" w:rsidR="00AA627A" w:rsidRPr="003F12E6" w:rsidRDefault="00AA627A" w:rsidP="003F12E6">
      <w:pPr>
        <w:ind w:left="720"/>
        <w:rPr>
          <w:rFonts w:ascii="Arial" w:hAnsi="Arial" w:cs="Arial"/>
          <w:noProof/>
        </w:rPr>
      </w:pPr>
      <w:r w:rsidRPr="003F12E6">
        <w:rPr>
          <w:rFonts w:ascii="Arial" w:hAnsi="Arial" w:cs="Arial"/>
          <w:noProof/>
        </w:rPr>
        <w:t xml:space="preserve">may be sent along with the monthly payment of principal and interest. </w:t>
      </w:r>
    </w:p>
    <w:p w14:paraId="04AC5436" w14:textId="77777777" w:rsidR="00AA627A" w:rsidRPr="003F12E6" w:rsidRDefault="00AA627A" w:rsidP="003F12E6">
      <w:pPr>
        <w:rPr>
          <w:rFonts w:ascii="Arial" w:hAnsi="Arial" w:cs="Arial"/>
          <w:noProof/>
        </w:rPr>
      </w:pPr>
    </w:p>
    <w:p w14:paraId="62275C0E" w14:textId="77777777" w:rsidR="00AA627A" w:rsidRPr="003F12E6" w:rsidRDefault="00AA627A" w:rsidP="003F12E6">
      <w:pPr>
        <w:ind w:left="720"/>
        <w:rPr>
          <w:rFonts w:ascii="Arial" w:hAnsi="Arial" w:cs="Arial"/>
          <w:noProof/>
        </w:rPr>
      </w:pPr>
      <w:r w:rsidRPr="003F12E6">
        <w:rPr>
          <w:rFonts w:ascii="Arial" w:hAnsi="Arial" w:cs="Arial"/>
          <w:noProof/>
        </w:rPr>
        <w:t>Th</w:t>
      </w:r>
      <w:r w:rsidR="008A1FA1">
        <w:rPr>
          <w:rFonts w:ascii="Arial" w:hAnsi="Arial" w:cs="Arial"/>
          <w:noProof/>
        </w:rPr>
        <w:t>is</w:t>
      </w:r>
      <w:r w:rsidRPr="003F12E6">
        <w:rPr>
          <w:rFonts w:ascii="Arial" w:hAnsi="Arial" w:cs="Arial"/>
          <w:noProof/>
        </w:rPr>
        <w:t xml:space="preserve"> form is estimated to take 1</w:t>
      </w:r>
      <w:r w:rsidR="003F12E6">
        <w:rPr>
          <w:rFonts w:ascii="Arial" w:hAnsi="Arial" w:cs="Arial"/>
          <w:noProof/>
        </w:rPr>
        <w:t xml:space="preserve"> </w:t>
      </w:r>
      <w:r w:rsidRPr="003F12E6">
        <w:rPr>
          <w:rFonts w:ascii="Arial" w:hAnsi="Arial" w:cs="Arial"/>
          <w:noProof/>
        </w:rPr>
        <w:t>minute to complete.  The information is required by Section 306(g) of the National Housing Act or by Ginnie Mae Handbook 5500.3, Rev. 1.</w:t>
      </w:r>
    </w:p>
    <w:p w14:paraId="1B036705" w14:textId="77777777" w:rsidR="00AA627A" w:rsidRPr="00814A0B" w:rsidRDefault="00AA627A">
      <w:pPr>
        <w:rPr>
          <w:rFonts w:ascii="Arial" w:hAnsi="Arial" w:cs="Arial"/>
          <w:b/>
          <w:noProof/>
          <w:u w:val="single"/>
        </w:rPr>
      </w:pPr>
    </w:p>
    <w:p w14:paraId="6C93EDCD" w14:textId="77777777" w:rsidR="00AA627A" w:rsidRPr="003F12E6" w:rsidRDefault="00AA627A" w:rsidP="003F12E6">
      <w:pPr>
        <w:numPr>
          <w:ilvl w:val="0"/>
          <w:numId w:val="22"/>
        </w:numPr>
        <w:rPr>
          <w:rFonts w:ascii="Arial" w:hAnsi="Arial" w:cs="Arial"/>
          <w:b/>
          <w:noProof/>
        </w:rPr>
      </w:pPr>
      <w:r w:rsidRPr="003F12E6">
        <w:rPr>
          <w:rFonts w:ascii="Arial" w:hAnsi="Arial" w:cs="Arial"/>
          <w:b/>
          <w:noProof/>
        </w:rPr>
        <w:t xml:space="preserve">Form HUD 11714SN/Appendix VI-11/ Issuer’s Monthly Serial Note Remittance Advice </w:t>
      </w:r>
    </w:p>
    <w:p w14:paraId="0216BA27" w14:textId="77777777" w:rsidR="00AA627A" w:rsidRPr="00814A0B" w:rsidRDefault="00AA627A">
      <w:pPr>
        <w:rPr>
          <w:rFonts w:ascii="Arial" w:hAnsi="Arial" w:cs="Arial"/>
          <w:b/>
          <w:noProof/>
        </w:rPr>
      </w:pPr>
    </w:p>
    <w:p w14:paraId="3CF01434" w14:textId="77777777" w:rsidR="00AA627A" w:rsidRPr="003F12E6" w:rsidRDefault="00AA627A" w:rsidP="003F12E6">
      <w:pPr>
        <w:ind w:left="720"/>
        <w:rPr>
          <w:rFonts w:ascii="Arial" w:hAnsi="Arial" w:cs="Arial"/>
          <w:noProof/>
        </w:rPr>
      </w:pPr>
      <w:r w:rsidRPr="003F12E6">
        <w:rPr>
          <w:rFonts w:ascii="Arial" w:hAnsi="Arial" w:cs="Arial"/>
          <w:noProof/>
        </w:rPr>
        <w:t xml:space="preserve">This form is used by issuers participating in Ginnie Mae’s MBS I </w:t>
      </w:r>
      <w:r w:rsidR="00467124" w:rsidRPr="003F12E6">
        <w:rPr>
          <w:rFonts w:ascii="Arial" w:hAnsi="Arial" w:cs="Arial"/>
          <w:noProof/>
        </w:rPr>
        <w:t xml:space="preserve">Serial Note </w:t>
      </w:r>
      <w:r w:rsidRPr="003F12E6">
        <w:rPr>
          <w:rFonts w:ascii="Arial" w:hAnsi="Arial" w:cs="Arial"/>
          <w:noProof/>
        </w:rPr>
        <w:t>program only.  The issuer provides a summary to the holders of Serial Note Certificates with respect to the current month’s account transactions, calculation of interest and principal to be distributed, and data with respect to the redemption of Serial Units.  A separate Remittance Advice is addressed to each Serial Note Certificate holder.</w:t>
      </w:r>
    </w:p>
    <w:p w14:paraId="6143E4E9" w14:textId="77777777" w:rsidR="00AA627A" w:rsidRPr="003F12E6" w:rsidRDefault="00AA627A" w:rsidP="003F12E6">
      <w:pPr>
        <w:rPr>
          <w:rFonts w:ascii="Arial" w:hAnsi="Arial" w:cs="Arial"/>
          <w:noProof/>
          <w:u w:val="single"/>
        </w:rPr>
      </w:pPr>
    </w:p>
    <w:p w14:paraId="04B19D35" w14:textId="77777777" w:rsidR="00AA627A" w:rsidRPr="003F12E6" w:rsidRDefault="00AA627A" w:rsidP="003F12E6">
      <w:pPr>
        <w:ind w:left="720"/>
        <w:rPr>
          <w:rFonts w:ascii="Arial" w:hAnsi="Arial" w:cs="Arial"/>
          <w:noProof/>
        </w:rPr>
      </w:pPr>
      <w:r w:rsidRPr="003F12E6">
        <w:rPr>
          <w:rFonts w:ascii="Arial" w:hAnsi="Arial" w:cs="Arial"/>
          <w:noProof/>
        </w:rPr>
        <w:t>Th</w:t>
      </w:r>
      <w:r w:rsidR="008A1FA1">
        <w:rPr>
          <w:rFonts w:ascii="Arial" w:hAnsi="Arial" w:cs="Arial"/>
          <w:noProof/>
        </w:rPr>
        <w:t>is</w:t>
      </w:r>
      <w:r w:rsidRPr="003F12E6">
        <w:rPr>
          <w:rFonts w:ascii="Arial" w:hAnsi="Arial" w:cs="Arial"/>
          <w:noProof/>
        </w:rPr>
        <w:t xml:space="preserve"> form is estimated to take 1</w:t>
      </w:r>
      <w:r w:rsidR="003F12E6">
        <w:rPr>
          <w:rFonts w:ascii="Arial" w:hAnsi="Arial" w:cs="Arial"/>
          <w:noProof/>
        </w:rPr>
        <w:t xml:space="preserve"> </w:t>
      </w:r>
      <w:r w:rsidRPr="003F12E6">
        <w:rPr>
          <w:rFonts w:ascii="Arial" w:hAnsi="Arial" w:cs="Arial"/>
          <w:noProof/>
        </w:rPr>
        <w:t>minute to complete.  The information is required by Section 306(g) of the National Housing Act or by Ginnie Mae Handbook 5500.3, Rev. 1.</w:t>
      </w:r>
    </w:p>
    <w:p w14:paraId="2CE8B693" w14:textId="77777777" w:rsidR="00A421AB" w:rsidRPr="00814A0B" w:rsidRDefault="00A421AB" w:rsidP="00A421AB">
      <w:pPr>
        <w:ind w:left="1440"/>
        <w:rPr>
          <w:rStyle w:val="ft111"/>
          <w:rFonts w:ascii="Arial" w:hAnsi="Arial" w:cs="Arial"/>
          <w:color w:val="000000"/>
        </w:rPr>
      </w:pPr>
    </w:p>
    <w:p w14:paraId="76B0E158" w14:textId="77777777" w:rsidR="00AA627A" w:rsidRPr="003F12E6" w:rsidRDefault="00AA627A" w:rsidP="003F12E6">
      <w:pPr>
        <w:pStyle w:val="Heading6"/>
        <w:numPr>
          <w:ilvl w:val="0"/>
          <w:numId w:val="22"/>
        </w:numPr>
        <w:rPr>
          <w:rFonts w:ascii="Arial" w:hAnsi="Arial" w:cs="Arial"/>
          <w:u w:val="none"/>
        </w:rPr>
      </w:pPr>
      <w:r w:rsidRPr="003F12E6">
        <w:rPr>
          <w:rFonts w:ascii="Arial" w:hAnsi="Arial" w:cs="Arial"/>
          <w:u w:val="none"/>
        </w:rPr>
        <w:t>Appendix VI-2/ Letter for Loan Repurchases</w:t>
      </w:r>
    </w:p>
    <w:p w14:paraId="7AC1D2CB" w14:textId="77777777" w:rsidR="00AA627A" w:rsidRPr="00814A0B" w:rsidRDefault="00AA627A">
      <w:pPr>
        <w:rPr>
          <w:rFonts w:ascii="Arial" w:hAnsi="Arial" w:cs="Arial"/>
          <w:b/>
          <w:noProof/>
        </w:rPr>
      </w:pPr>
    </w:p>
    <w:p w14:paraId="78C0B040" w14:textId="77777777" w:rsidR="00AA627A" w:rsidRPr="003F12E6" w:rsidRDefault="00AA627A" w:rsidP="003F12E6">
      <w:pPr>
        <w:ind w:left="720"/>
        <w:rPr>
          <w:rFonts w:ascii="Arial" w:hAnsi="Arial" w:cs="Arial"/>
          <w:noProof/>
        </w:rPr>
      </w:pPr>
      <w:r w:rsidRPr="003F12E6">
        <w:rPr>
          <w:rFonts w:ascii="Arial" w:hAnsi="Arial" w:cs="Arial"/>
          <w:noProof/>
        </w:rPr>
        <w:t xml:space="preserve">This request is submitted by the issuer to buyout or purchase defective loans that prevent final certification </w:t>
      </w:r>
    </w:p>
    <w:p w14:paraId="133686DB" w14:textId="77777777" w:rsidR="00AA627A" w:rsidRPr="003F12E6" w:rsidRDefault="00AA627A" w:rsidP="003F12E6">
      <w:pPr>
        <w:ind w:left="720"/>
        <w:rPr>
          <w:rFonts w:ascii="Arial" w:hAnsi="Arial" w:cs="Arial"/>
          <w:noProof/>
        </w:rPr>
      </w:pPr>
      <w:r w:rsidRPr="003F12E6">
        <w:rPr>
          <w:rFonts w:ascii="Arial" w:hAnsi="Arial" w:cs="Arial"/>
          <w:noProof/>
        </w:rPr>
        <w:t xml:space="preserve">of pools within the allocated timeframe.  The </w:t>
      </w:r>
      <w:r w:rsidR="001D535A" w:rsidRPr="003F12E6">
        <w:rPr>
          <w:rFonts w:ascii="Arial" w:hAnsi="Arial" w:cs="Arial"/>
          <w:noProof/>
        </w:rPr>
        <w:t xml:space="preserve">request </w:t>
      </w:r>
      <w:r w:rsidRPr="003F12E6">
        <w:rPr>
          <w:rFonts w:ascii="Arial" w:hAnsi="Arial" w:cs="Arial"/>
          <w:noProof/>
        </w:rPr>
        <w:t xml:space="preserve">must be on the issuer’s company letterhead and contain the required certification language.  The loans which are defective are listed on an exhibit attached to the issuers letter stating the reason why </w:t>
      </w:r>
      <w:r w:rsidR="0000706C" w:rsidRPr="0000706C">
        <w:rPr>
          <w:rFonts w:ascii="Arial" w:hAnsi="Arial" w:cs="Arial"/>
          <w:noProof/>
        </w:rPr>
        <w:t>Federal Housing Administration (FHA)</w:t>
      </w:r>
      <w:r w:rsidRPr="003F12E6">
        <w:rPr>
          <w:rFonts w:ascii="Arial" w:hAnsi="Arial" w:cs="Arial"/>
          <w:noProof/>
        </w:rPr>
        <w:t xml:space="preserve">, </w:t>
      </w:r>
      <w:r w:rsidR="0000706C">
        <w:rPr>
          <w:rStyle w:val="tgc"/>
          <w:rFonts w:ascii="Arial" w:hAnsi="Arial" w:cs="Arial"/>
          <w:color w:val="222222"/>
          <w:lang w:val="en"/>
        </w:rPr>
        <w:t>Veterans Affairs (</w:t>
      </w:r>
      <w:r w:rsidRPr="003F12E6">
        <w:rPr>
          <w:rFonts w:ascii="Arial" w:hAnsi="Arial" w:cs="Arial"/>
          <w:noProof/>
        </w:rPr>
        <w:t>VA</w:t>
      </w:r>
      <w:r w:rsidR="0000706C">
        <w:rPr>
          <w:rFonts w:ascii="Arial" w:hAnsi="Arial" w:cs="Arial"/>
          <w:noProof/>
        </w:rPr>
        <w:t>)</w:t>
      </w:r>
      <w:r w:rsidRPr="003F12E6">
        <w:rPr>
          <w:rFonts w:ascii="Arial" w:hAnsi="Arial" w:cs="Arial"/>
          <w:noProof/>
        </w:rPr>
        <w:t xml:space="preserve">, </w:t>
      </w:r>
      <w:r w:rsidR="0000706C">
        <w:rPr>
          <w:rFonts w:ascii="Arial" w:hAnsi="Arial" w:cs="Arial"/>
          <w:noProof/>
        </w:rPr>
        <w:t>Rural Housing Service (</w:t>
      </w:r>
      <w:r w:rsidRPr="003F12E6">
        <w:rPr>
          <w:rFonts w:ascii="Arial" w:hAnsi="Arial" w:cs="Arial"/>
          <w:noProof/>
        </w:rPr>
        <w:t>RHS</w:t>
      </w:r>
      <w:r w:rsidR="0000706C">
        <w:rPr>
          <w:rFonts w:ascii="Arial" w:hAnsi="Arial" w:cs="Arial"/>
          <w:noProof/>
        </w:rPr>
        <w:t>)</w:t>
      </w:r>
      <w:r w:rsidRPr="003F12E6">
        <w:rPr>
          <w:rFonts w:ascii="Arial" w:hAnsi="Arial" w:cs="Arial"/>
          <w:noProof/>
        </w:rPr>
        <w:t xml:space="preserve">, or </w:t>
      </w:r>
      <w:r w:rsidR="0000706C">
        <w:rPr>
          <w:rFonts w:ascii="Arial" w:hAnsi="Arial" w:cs="Arial"/>
          <w:noProof/>
        </w:rPr>
        <w:t>Public Indian Housing (</w:t>
      </w:r>
      <w:r w:rsidRPr="003F12E6">
        <w:rPr>
          <w:rFonts w:ascii="Arial" w:hAnsi="Arial" w:cs="Arial"/>
          <w:noProof/>
        </w:rPr>
        <w:t>PIH</w:t>
      </w:r>
      <w:r w:rsidR="0000706C">
        <w:rPr>
          <w:rFonts w:ascii="Arial" w:hAnsi="Arial" w:cs="Arial"/>
          <w:noProof/>
        </w:rPr>
        <w:t>)</w:t>
      </w:r>
      <w:r w:rsidRPr="003F12E6">
        <w:rPr>
          <w:rFonts w:ascii="Arial" w:hAnsi="Arial" w:cs="Arial"/>
          <w:noProof/>
        </w:rPr>
        <w:t xml:space="preserve"> has not issued a </w:t>
      </w:r>
      <w:r w:rsidR="00D56643" w:rsidRPr="00D56643">
        <w:rPr>
          <w:rFonts w:ascii="Arial" w:hAnsi="Arial" w:cs="Arial"/>
          <w:noProof/>
        </w:rPr>
        <w:t>Mortgage Insurance Certificate (MIC), Loan Guaranty Certificate (LGC)</w:t>
      </w:r>
      <w:r w:rsidRPr="003F12E6">
        <w:rPr>
          <w:rFonts w:ascii="Arial" w:hAnsi="Arial" w:cs="Arial"/>
          <w:noProof/>
        </w:rPr>
        <w:t>, or Loan Note Guaranty.</w:t>
      </w:r>
      <w:r w:rsidR="001D535A" w:rsidRPr="003F12E6">
        <w:rPr>
          <w:rFonts w:ascii="Arial" w:hAnsi="Arial" w:cs="Arial"/>
          <w:noProof/>
        </w:rPr>
        <w:t xml:space="preserve">  Issuer </w:t>
      </w:r>
      <w:r w:rsidR="001D535A" w:rsidRPr="0077606B">
        <w:rPr>
          <w:rFonts w:ascii="Arial" w:hAnsi="Arial" w:cs="Arial"/>
          <w:noProof/>
        </w:rPr>
        <w:t xml:space="preserve">requests for a Ginnie </w:t>
      </w:r>
      <w:r w:rsidR="001D535A" w:rsidRPr="003F12E6">
        <w:rPr>
          <w:rFonts w:ascii="Arial" w:hAnsi="Arial" w:cs="Arial"/>
          <w:noProof/>
        </w:rPr>
        <w:t>Mae approval of  loan buyouts or repurchase of defective loans are done electronically.</w:t>
      </w:r>
    </w:p>
    <w:p w14:paraId="2DE03FEC" w14:textId="77777777" w:rsidR="00AA627A" w:rsidRPr="003F12E6" w:rsidRDefault="00AA627A" w:rsidP="003F12E6">
      <w:pPr>
        <w:rPr>
          <w:rFonts w:ascii="Arial" w:hAnsi="Arial" w:cs="Arial"/>
          <w:noProof/>
          <w:u w:val="single"/>
        </w:rPr>
      </w:pPr>
    </w:p>
    <w:p w14:paraId="0F011BB3" w14:textId="77777777" w:rsidR="00AA627A" w:rsidRPr="003F12E6" w:rsidRDefault="00AA627A" w:rsidP="003F12E6">
      <w:pPr>
        <w:pStyle w:val="Heading7"/>
        <w:ind w:left="720"/>
        <w:rPr>
          <w:rFonts w:ascii="Arial" w:hAnsi="Arial" w:cs="Arial"/>
          <w:b w:val="0"/>
        </w:rPr>
      </w:pPr>
      <w:r w:rsidRPr="003F12E6">
        <w:rPr>
          <w:rFonts w:ascii="Arial" w:hAnsi="Arial" w:cs="Arial"/>
          <w:b w:val="0"/>
        </w:rPr>
        <w:t xml:space="preserve">The letter is estimated to take 2 minutes to complete.  The information is required by Ginnie Mae </w:t>
      </w:r>
    </w:p>
    <w:p w14:paraId="38906923" w14:textId="77777777" w:rsidR="00AA627A" w:rsidRPr="003F12E6" w:rsidRDefault="00AA627A" w:rsidP="003F12E6">
      <w:pPr>
        <w:ind w:left="720"/>
        <w:rPr>
          <w:rFonts w:ascii="Arial" w:hAnsi="Arial" w:cs="Arial"/>
          <w:noProof/>
        </w:rPr>
      </w:pPr>
      <w:r w:rsidRPr="003F12E6">
        <w:rPr>
          <w:rFonts w:ascii="Arial" w:hAnsi="Arial" w:cs="Arial"/>
          <w:noProof/>
        </w:rPr>
        <w:t>Handbook 5500.3, Rev. 1.</w:t>
      </w:r>
    </w:p>
    <w:p w14:paraId="171E25A8" w14:textId="77777777" w:rsidR="00AA627A" w:rsidRPr="00814A0B" w:rsidRDefault="00AA627A">
      <w:pPr>
        <w:rPr>
          <w:rFonts w:ascii="Arial" w:hAnsi="Arial" w:cs="Arial"/>
          <w:b/>
          <w:noProof/>
          <w:u w:val="single"/>
        </w:rPr>
      </w:pPr>
    </w:p>
    <w:p w14:paraId="7A974B82" w14:textId="77777777" w:rsidR="00AA627A" w:rsidRPr="003F12E6" w:rsidRDefault="00AA627A" w:rsidP="003F12E6">
      <w:pPr>
        <w:pStyle w:val="Heading6"/>
        <w:numPr>
          <w:ilvl w:val="0"/>
          <w:numId w:val="22"/>
        </w:numPr>
        <w:rPr>
          <w:rFonts w:ascii="Arial" w:hAnsi="Arial" w:cs="Arial"/>
          <w:u w:val="none"/>
        </w:rPr>
      </w:pPr>
      <w:r w:rsidRPr="003F12E6">
        <w:rPr>
          <w:rFonts w:ascii="Arial" w:hAnsi="Arial" w:cs="Arial"/>
          <w:u w:val="none"/>
        </w:rPr>
        <w:t>Appendix VI-9/ Request for Reimbursement of Mortgage Insurance Claim Costs</w:t>
      </w:r>
    </w:p>
    <w:p w14:paraId="1938C43F" w14:textId="77777777" w:rsidR="00AA627A" w:rsidRPr="00814A0B" w:rsidRDefault="00AA627A">
      <w:pPr>
        <w:rPr>
          <w:rFonts w:ascii="Arial" w:hAnsi="Arial" w:cs="Arial"/>
          <w:b/>
          <w:noProof/>
        </w:rPr>
      </w:pPr>
    </w:p>
    <w:p w14:paraId="31CD6ED8" w14:textId="77777777" w:rsidR="00AA627A" w:rsidRPr="003F12E6" w:rsidRDefault="00AA627A" w:rsidP="003F12E6">
      <w:pPr>
        <w:ind w:left="720"/>
        <w:rPr>
          <w:rFonts w:ascii="Arial" w:hAnsi="Arial" w:cs="Arial"/>
          <w:noProof/>
        </w:rPr>
      </w:pPr>
      <w:r w:rsidRPr="003F12E6">
        <w:rPr>
          <w:rFonts w:ascii="Arial" w:hAnsi="Arial" w:cs="Arial"/>
          <w:noProof/>
        </w:rPr>
        <w:t xml:space="preserve">Request for Reimbursement of Mortgage Insurance Claims is made by a Ginnie Mae issuer when a default </w:t>
      </w:r>
    </w:p>
    <w:p w14:paraId="312212A9" w14:textId="77777777" w:rsidR="00AA627A" w:rsidRPr="003F12E6" w:rsidRDefault="00AA627A" w:rsidP="003F12E6">
      <w:pPr>
        <w:ind w:left="720"/>
        <w:rPr>
          <w:rFonts w:ascii="Arial" w:hAnsi="Arial" w:cs="Arial"/>
          <w:noProof/>
        </w:rPr>
      </w:pPr>
      <w:r w:rsidRPr="003F12E6">
        <w:rPr>
          <w:rFonts w:ascii="Arial" w:hAnsi="Arial" w:cs="Arial"/>
          <w:noProof/>
        </w:rPr>
        <w:t xml:space="preserve">involving a FHA mortgage occurs and the mortgage is part of a Ginnie Mae pool.  This form is only for </w:t>
      </w:r>
    </w:p>
    <w:p w14:paraId="0332AE19" w14:textId="77777777" w:rsidR="00AA627A" w:rsidRPr="003F12E6" w:rsidRDefault="00AA627A" w:rsidP="003F12E6">
      <w:pPr>
        <w:ind w:left="720"/>
        <w:rPr>
          <w:rFonts w:ascii="Arial" w:hAnsi="Arial" w:cs="Arial"/>
          <w:noProof/>
        </w:rPr>
      </w:pPr>
      <w:r w:rsidRPr="003F12E6">
        <w:rPr>
          <w:rFonts w:ascii="Arial" w:hAnsi="Arial" w:cs="Arial"/>
          <w:noProof/>
        </w:rPr>
        <w:t xml:space="preserve">Ginnie Mae issuers who are approved in Ginnie Mae’s Multifamily program and involve only fully-insured </w:t>
      </w:r>
    </w:p>
    <w:p w14:paraId="4A4D9A3F" w14:textId="77777777" w:rsidR="00AA627A" w:rsidRPr="003F12E6" w:rsidRDefault="00AA627A" w:rsidP="003F12E6">
      <w:pPr>
        <w:ind w:left="720"/>
        <w:rPr>
          <w:rFonts w:ascii="Arial" w:hAnsi="Arial" w:cs="Arial"/>
          <w:noProof/>
        </w:rPr>
      </w:pPr>
      <w:r w:rsidRPr="003F12E6">
        <w:rPr>
          <w:rFonts w:ascii="Arial" w:hAnsi="Arial" w:cs="Arial"/>
          <w:noProof/>
        </w:rPr>
        <w:t xml:space="preserve">FHA loans (coinsured or RHS loans are not eligible).  The issuer must notify Ginnie Mae at the earliest possible date of its intent to request reimbursement of allowable mortgage insurance claim costs, and where appropriate, its intent to request that Ginnie Mae purchase debentures.  </w:t>
      </w:r>
    </w:p>
    <w:p w14:paraId="1E234054" w14:textId="77777777" w:rsidR="00AA627A" w:rsidRPr="003F12E6" w:rsidRDefault="00AA627A" w:rsidP="003F12E6">
      <w:pPr>
        <w:rPr>
          <w:rFonts w:ascii="Arial" w:hAnsi="Arial" w:cs="Arial"/>
          <w:noProof/>
          <w:u w:val="single"/>
        </w:rPr>
      </w:pPr>
    </w:p>
    <w:p w14:paraId="49678E0A" w14:textId="77777777" w:rsidR="00AA627A" w:rsidRPr="003F12E6" w:rsidRDefault="00AA627A" w:rsidP="003F12E6">
      <w:pPr>
        <w:ind w:left="720"/>
        <w:rPr>
          <w:rFonts w:ascii="Arial" w:hAnsi="Arial" w:cs="Arial"/>
          <w:noProof/>
        </w:rPr>
      </w:pPr>
      <w:r w:rsidRPr="003F12E6">
        <w:rPr>
          <w:rFonts w:ascii="Arial" w:hAnsi="Arial" w:cs="Arial"/>
          <w:noProof/>
        </w:rPr>
        <w:lastRenderedPageBreak/>
        <w:t>The request is estimated to take</w:t>
      </w:r>
      <w:r w:rsidR="000748EB">
        <w:rPr>
          <w:rFonts w:ascii="Arial" w:hAnsi="Arial" w:cs="Arial"/>
          <w:noProof/>
        </w:rPr>
        <w:t xml:space="preserve"> 15</w:t>
      </w:r>
      <w:r w:rsidRPr="003F12E6">
        <w:rPr>
          <w:rFonts w:ascii="Arial" w:hAnsi="Arial" w:cs="Arial"/>
          <w:noProof/>
        </w:rPr>
        <w:t xml:space="preserve"> minutes to complete.  The information is required by Ginnie Mae Handbook 5500.3, Rev. 1 and subject to the provisions of Section 1001, U.S. Code, Title 18, governing statement made to the United States Government.  </w:t>
      </w:r>
    </w:p>
    <w:p w14:paraId="24C0DFF7" w14:textId="77777777" w:rsidR="00AA627A" w:rsidRPr="00814A0B" w:rsidRDefault="00AA627A" w:rsidP="003F12E6">
      <w:pPr>
        <w:rPr>
          <w:rFonts w:ascii="Arial" w:hAnsi="Arial" w:cs="Arial"/>
          <w:b/>
          <w:noProof/>
        </w:rPr>
      </w:pPr>
    </w:p>
    <w:p w14:paraId="165CC167" w14:textId="77777777" w:rsidR="00AA627A" w:rsidRPr="003F12E6" w:rsidRDefault="00AA627A">
      <w:pPr>
        <w:rPr>
          <w:rFonts w:ascii="Arial" w:hAnsi="Arial" w:cs="Arial"/>
          <w:b/>
          <w:bCs/>
        </w:rPr>
      </w:pPr>
      <w:r w:rsidRPr="00814A0B">
        <w:rPr>
          <w:rFonts w:ascii="Arial" w:hAnsi="Arial" w:cs="Arial"/>
        </w:rPr>
        <w:tab/>
      </w:r>
      <w:r w:rsidRPr="003F12E6">
        <w:rPr>
          <w:rFonts w:ascii="Arial" w:hAnsi="Arial" w:cs="Arial"/>
          <w:b/>
          <w:bCs/>
        </w:rPr>
        <w:t>S</w:t>
      </w:r>
      <w:r w:rsidR="00497931">
        <w:rPr>
          <w:rFonts w:ascii="Arial" w:hAnsi="Arial" w:cs="Arial"/>
          <w:b/>
          <w:bCs/>
        </w:rPr>
        <w:t xml:space="preserve">ervicemembers’ </w:t>
      </w:r>
      <w:r w:rsidRPr="003F12E6">
        <w:rPr>
          <w:rFonts w:ascii="Arial" w:hAnsi="Arial" w:cs="Arial"/>
          <w:b/>
          <w:bCs/>
        </w:rPr>
        <w:t>Interest Shortfall Assistance</w:t>
      </w:r>
    </w:p>
    <w:p w14:paraId="7F744882" w14:textId="77777777" w:rsidR="00AA627A" w:rsidRPr="00814A0B" w:rsidRDefault="00AA627A">
      <w:pPr>
        <w:rPr>
          <w:rFonts w:ascii="Arial" w:hAnsi="Arial" w:cs="Arial"/>
        </w:rPr>
      </w:pPr>
    </w:p>
    <w:p w14:paraId="2B0E96FE" w14:textId="77777777" w:rsidR="00AA627A" w:rsidRPr="003F12E6" w:rsidRDefault="00AA627A" w:rsidP="003F12E6">
      <w:pPr>
        <w:ind w:left="720"/>
        <w:rPr>
          <w:rFonts w:ascii="Arial" w:hAnsi="Arial" w:cs="Arial"/>
        </w:rPr>
      </w:pPr>
      <w:r w:rsidRPr="003F12E6">
        <w:rPr>
          <w:rFonts w:ascii="Arial" w:hAnsi="Arial" w:cs="Arial"/>
          <w:noProof/>
        </w:rPr>
        <w:t>Ginnie Mae issuers that have lost money because they</w:t>
      </w:r>
      <w:r w:rsidR="0000706C">
        <w:rPr>
          <w:rFonts w:ascii="Arial" w:hAnsi="Arial" w:cs="Arial"/>
          <w:noProof/>
        </w:rPr>
        <w:t xml:space="preserve"> were</w:t>
      </w:r>
      <w:r w:rsidRPr="003F12E6">
        <w:rPr>
          <w:rFonts w:ascii="Arial" w:hAnsi="Arial" w:cs="Arial"/>
          <w:noProof/>
        </w:rPr>
        <w:t xml:space="preserve"> granted relief under the S</w:t>
      </w:r>
      <w:r w:rsidR="00837BD6" w:rsidRPr="003F12E6">
        <w:rPr>
          <w:rFonts w:ascii="Arial" w:hAnsi="Arial" w:cs="Arial"/>
          <w:noProof/>
        </w:rPr>
        <w:t>ervicemem</w:t>
      </w:r>
      <w:r w:rsidR="000B12FC" w:rsidRPr="003F12E6">
        <w:rPr>
          <w:rFonts w:ascii="Arial" w:hAnsi="Arial" w:cs="Arial"/>
          <w:noProof/>
        </w:rPr>
        <w:t>bers</w:t>
      </w:r>
      <w:r w:rsidR="00837BD6" w:rsidRPr="003F12E6">
        <w:rPr>
          <w:rFonts w:ascii="Arial" w:hAnsi="Arial" w:cs="Arial"/>
          <w:noProof/>
        </w:rPr>
        <w:t>’</w:t>
      </w:r>
      <w:r w:rsidR="000B12FC" w:rsidRPr="003F12E6">
        <w:rPr>
          <w:rFonts w:ascii="Arial" w:hAnsi="Arial" w:cs="Arial"/>
          <w:noProof/>
        </w:rPr>
        <w:t xml:space="preserve"> </w:t>
      </w:r>
      <w:r w:rsidRPr="003F12E6">
        <w:rPr>
          <w:rFonts w:ascii="Arial" w:hAnsi="Arial" w:cs="Arial"/>
          <w:noProof/>
        </w:rPr>
        <w:t>Civil Relief Act (SCRA)</w:t>
      </w:r>
      <w:r w:rsidR="000B12FC" w:rsidRPr="003F12E6">
        <w:rPr>
          <w:rFonts w:ascii="Arial" w:hAnsi="Arial" w:cs="Arial"/>
          <w:noProof/>
        </w:rPr>
        <w:t xml:space="preserve"> (formerly known as the Solders’ and Sailors’ Civil Relief Act)</w:t>
      </w:r>
      <w:r w:rsidRPr="003F12E6">
        <w:rPr>
          <w:rFonts w:ascii="Arial" w:hAnsi="Arial" w:cs="Arial"/>
          <w:noProof/>
        </w:rPr>
        <w:t xml:space="preserve"> of 1940 may seek reimbursement from Ginnie Mae.  SCRA provides that a borrower's mortgage interest rate received prior to entering the military bear an interest rate not to exceed 6% a year during the borrower's period of active military duty.  Once the borrower's period of </w:t>
      </w:r>
      <w:r w:rsidR="000B12FC" w:rsidRPr="003F12E6">
        <w:rPr>
          <w:rFonts w:ascii="Arial" w:hAnsi="Arial" w:cs="Arial"/>
          <w:noProof/>
        </w:rPr>
        <w:t xml:space="preserve"> </w:t>
      </w:r>
      <w:r w:rsidRPr="003F12E6">
        <w:rPr>
          <w:rFonts w:ascii="Arial" w:hAnsi="Arial" w:cs="Arial"/>
          <w:noProof/>
        </w:rPr>
        <w:t>active military duty is over, the issuer is permitted thereafter to collect the rate of interest provided for</w:t>
      </w:r>
      <w:r w:rsidR="000B12FC" w:rsidRPr="003F12E6">
        <w:rPr>
          <w:rFonts w:ascii="Arial" w:hAnsi="Arial" w:cs="Arial"/>
          <w:noProof/>
        </w:rPr>
        <w:t xml:space="preserve"> </w:t>
      </w:r>
      <w:r w:rsidRPr="003F12E6">
        <w:rPr>
          <w:rFonts w:ascii="Arial" w:hAnsi="Arial" w:cs="Arial"/>
          <w:noProof/>
        </w:rPr>
        <w:t xml:space="preserve">in the original mortgage.  Quarterly, issuers may request reimbursement of interest shortfalls from Ginnie Mae.  Issuers must submit their request via </w:t>
      </w:r>
      <w:r w:rsidR="003E19F7" w:rsidRPr="003F12E6">
        <w:rPr>
          <w:rFonts w:ascii="Arial" w:hAnsi="Arial" w:cs="Arial"/>
          <w:noProof/>
        </w:rPr>
        <w:t>SCRA Module in the Ginnie Mae</w:t>
      </w:r>
      <w:r w:rsidR="00FA4A18">
        <w:rPr>
          <w:rFonts w:ascii="Arial" w:hAnsi="Arial" w:cs="Arial"/>
          <w:noProof/>
        </w:rPr>
        <w:t xml:space="preserve"> Enterprise</w:t>
      </w:r>
      <w:r w:rsidR="003E19F7" w:rsidRPr="003F12E6">
        <w:rPr>
          <w:rFonts w:ascii="Arial" w:hAnsi="Arial" w:cs="Arial"/>
          <w:noProof/>
        </w:rPr>
        <w:t xml:space="preserve"> Portal</w:t>
      </w:r>
      <w:r w:rsidRPr="003F12E6">
        <w:rPr>
          <w:rFonts w:ascii="Arial" w:hAnsi="Arial" w:cs="Arial"/>
          <w:noProof/>
        </w:rPr>
        <w:t xml:space="preserve">.  In addition to electronic submissions, issuers are required to submit hard copy information.  The electronic file is uploaded to Ginnie Mae's system for processing and the hard copy is needed for comparison to the orders.  Also, the original signature on the hard copy provides the issuer certification that the borrower is entitled to benefits under the </w:t>
      </w:r>
      <w:r w:rsidRPr="003F12E6">
        <w:rPr>
          <w:rFonts w:ascii="Arial" w:hAnsi="Arial" w:cs="Arial"/>
        </w:rPr>
        <w:t>SCRA, and that the information submitted is correct.  Issuers must provide the borrower's mortgage and military information in order to receive the benefits of a reduced interest rate.  The following appendices are used for processing the SCRA requests.</w:t>
      </w:r>
    </w:p>
    <w:p w14:paraId="69C35A2C" w14:textId="77777777" w:rsidR="00AA627A" w:rsidRPr="00814A0B" w:rsidRDefault="00AA627A">
      <w:pPr>
        <w:rPr>
          <w:rFonts w:ascii="Arial" w:hAnsi="Arial" w:cs="Arial"/>
          <w:b/>
          <w:noProof/>
        </w:rPr>
      </w:pPr>
    </w:p>
    <w:p w14:paraId="06674A44" w14:textId="77777777" w:rsidR="00AA627A" w:rsidRDefault="00AA627A" w:rsidP="00497931">
      <w:pPr>
        <w:numPr>
          <w:ilvl w:val="0"/>
          <w:numId w:val="22"/>
        </w:numPr>
        <w:rPr>
          <w:rFonts w:ascii="Arial" w:hAnsi="Arial" w:cs="Arial"/>
          <w:b/>
        </w:rPr>
      </w:pPr>
      <w:r w:rsidRPr="00814A0B">
        <w:rPr>
          <w:rFonts w:ascii="Arial" w:hAnsi="Arial" w:cs="Arial"/>
          <w:b/>
        </w:rPr>
        <w:t>Appendix XI-6/ Loan Eligibility Information</w:t>
      </w:r>
    </w:p>
    <w:p w14:paraId="4398C4FB" w14:textId="77777777" w:rsidR="006012F7" w:rsidRDefault="006012F7" w:rsidP="006012F7">
      <w:pPr>
        <w:rPr>
          <w:rFonts w:ascii="Arial" w:hAnsi="Arial" w:cs="Arial"/>
          <w:b/>
        </w:rPr>
      </w:pPr>
    </w:p>
    <w:p w14:paraId="56C9A673" w14:textId="77777777" w:rsidR="006012F7" w:rsidRDefault="006012F7" w:rsidP="006012F7">
      <w:pPr>
        <w:ind w:left="720"/>
        <w:rPr>
          <w:rFonts w:ascii="Arial" w:hAnsi="Arial" w:cs="Arial"/>
        </w:rPr>
      </w:pPr>
      <w:r w:rsidRPr="006012F7">
        <w:rPr>
          <w:rFonts w:ascii="Arial" w:hAnsi="Arial" w:cs="Arial"/>
        </w:rPr>
        <w:t xml:space="preserve">This </w:t>
      </w:r>
      <w:r>
        <w:rPr>
          <w:rFonts w:ascii="Arial" w:hAnsi="Arial" w:cs="Arial"/>
        </w:rPr>
        <w:t xml:space="preserve">form is used by Ginnie Mae issuers to determine if a loan is eligible for interest rate forgiveness under the </w:t>
      </w:r>
      <w:r w:rsidR="0000706C">
        <w:rPr>
          <w:rFonts w:ascii="Arial" w:hAnsi="Arial" w:cs="Arial"/>
        </w:rPr>
        <w:t>SCRA</w:t>
      </w:r>
      <w:r>
        <w:rPr>
          <w:rFonts w:ascii="Arial" w:hAnsi="Arial" w:cs="Arial"/>
        </w:rPr>
        <w:t>.  The information is submitted quarterly</w:t>
      </w:r>
      <w:r w:rsidR="00207867">
        <w:rPr>
          <w:rFonts w:ascii="Arial" w:hAnsi="Arial" w:cs="Arial"/>
        </w:rPr>
        <w:t>.  Once the loan is determined eligible, the issuer</w:t>
      </w:r>
      <w:r>
        <w:rPr>
          <w:rFonts w:ascii="Arial" w:hAnsi="Arial" w:cs="Arial"/>
        </w:rPr>
        <w:t xml:space="preserve"> </w:t>
      </w:r>
      <w:r w:rsidR="00207867">
        <w:rPr>
          <w:rFonts w:ascii="Arial" w:hAnsi="Arial" w:cs="Arial"/>
        </w:rPr>
        <w:t xml:space="preserve">will prepare the </w:t>
      </w:r>
      <w:r>
        <w:rPr>
          <w:rFonts w:ascii="Arial" w:hAnsi="Arial" w:cs="Arial"/>
        </w:rPr>
        <w:t>reimbursement requests in accordance to the Quarterly Reimbursement Requests (Appendix XI-8).</w:t>
      </w:r>
    </w:p>
    <w:p w14:paraId="11037EBE" w14:textId="77777777" w:rsidR="006012F7" w:rsidRDefault="006012F7" w:rsidP="006012F7">
      <w:pPr>
        <w:ind w:left="720"/>
        <w:rPr>
          <w:rFonts w:ascii="Arial" w:hAnsi="Arial" w:cs="Arial"/>
        </w:rPr>
      </w:pPr>
    </w:p>
    <w:p w14:paraId="4E220741" w14:textId="77777777" w:rsidR="006012F7" w:rsidRDefault="006012F7" w:rsidP="006012F7">
      <w:pPr>
        <w:ind w:left="720"/>
        <w:rPr>
          <w:rFonts w:ascii="Arial" w:hAnsi="Arial" w:cs="Arial"/>
          <w:noProof/>
        </w:rPr>
      </w:pPr>
      <w:r w:rsidRPr="00497931">
        <w:rPr>
          <w:rFonts w:ascii="Arial" w:hAnsi="Arial" w:cs="Arial"/>
          <w:noProof/>
        </w:rPr>
        <w:t>The information is required by Ginnie Mae H</w:t>
      </w:r>
      <w:r w:rsidR="0000706C">
        <w:rPr>
          <w:rFonts w:ascii="Arial" w:hAnsi="Arial" w:cs="Arial"/>
          <w:noProof/>
        </w:rPr>
        <w:t>a</w:t>
      </w:r>
      <w:r w:rsidRPr="00497931">
        <w:rPr>
          <w:rFonts w:ascii="Arial" w:hAnsi="Arial" w:cs="Arial"/>
          <w:noProof/>
        </w:rPr>
        <w:t>ndbook 5500.3, Rev. 1.</w:t>
      </w:r>
      <w:r w:rsidR="0000706C">
        <w:rPr>
          <w:rFonts w:ascii="Arial" w:hAnsi="Arial" w:cs="Arial"/>
          <w:noProof/>
        </w:rPr>
        <w:t xml:space="preserve">  The reque</w:t>
      </w:r>
      <w:r w:rsidR="00B01705">
        <w:rPr>
          <w:rFonts w:ascii="Arial" w:hAnsi="Arial" w:cs="Arial"/>
          <w:noProof/>
        </w:rPr>
        <w:t>st is estimated to take 2 minutes to complete.</w:t>
      </w:r>
    </w:p>
    <w:p w14:paraId="0A7D265A" w14:textId="77777777" w:rsidR="00AA627A" w:rsidRPr="00814A0B" w:rsidRDefault="00AA627A">
      <w:pPr>
        <w:ind w:left="1440"/>
        <w:rPr>
          <w:rFonts w:ascii="Arial" w:hAnsi="Arial" w:cs="Arial"/>
          <w:b/>
        </w:rPr>
      </w:pPr>
    </w:p>
    <w:p w14:paraId="7E350716" w14:textId="77777777" w:rsidR="00AA627A" w:rsidRDefault="00AA627A" w:rsidP="00497931">
      <w:pPr>
        <w:numPr>
          <w:ilvl w:val="0"/>
          <w:numId w:val="22"/>
        </w:numPr>
        <w:rPr>
          <w:rFonts w:ascii="Arial" w:hAnsi="Arial" w:cs="Arial"/>
          <w:b/>
          <w:noProof/>
        </w:rPr>
      </w:pPr>
      <w:r w:rsidRPr="00814A0B">
        <w:rPr>
          <w:rFonts w:ascii="Arial" w:hAnsi="Arial" w:cs="Arial"/>
          <w:b/>
        </w:rPr>
        <w:t>Appendix XI-8/ Quarterly Reimbursement Request</w:t>
      </w:r>
    </w:p>
    <w:p w14:paraId="535DC044" w14:textId="77777777" w:rsidR="00207867" w:rsidRDefault="00207867" w:rsidP="00207867">
      <w:pPr>
        <w:rPr>
          <w:rFonts w:ascii="Arial" w:hAnsi="Arial" w:cs="Arial"/>
          <w:b/>
        </w:rPr>
      </w:pPr>
    </w:p>
    <w:p w14:paraId="4EA5D27C" w14:textId="77777777" w:rsidR="00207867" w:rsidRDefault="00207867" w:rsidP="00207867">
      <w:pPr>
        <w:ind w:left="720"/>
        <w:rPr>
          <w:rFonts w:ascii="Arial" w:hAnsi="Arial" w:cs="Arial"/>
          <w:noProof/>
        </w:rPr>
      </w:pPr>
      <w:r w:rsidRPr="00207867">
        <w:rPr>
          <w:rFonts w:ascii="Arial" w:hAnsi="Arial" w:cs="Arial"/>
          <w:noProof/>
        </w:rPr>
        <w:t>This form</w:t>
      </w:r>
      <w:r>
        <w:rPr>
          <w:rFonts w:ascii="Arial" w:hAnsi="Arial" w:cs="Arial"/>
          <w:b/>
          <w:noProof/>
        </w:rPr>
        <w:t xml:space="preserve"> </w:t>
      </w:r>
      <w:r w:rsidRPr="00207867">
        <w:rPr>
          <w:rFonts w:ascii="Arial" w:hAnsi="Arial" w:cs="Arial"/>
          <w:noProof/>
        </w:rPr>
        <w:t xml:space="preserve">is </w:t>
      </w:r>
      <w:r>
        <w:rPr>
          <w:rFonts w:ascii="Arial" w:hAnsi="Arial" w:cs="Arial"/>
          <w:noProof/>
        </w:rPr>
        <w:t xml:space="preserve">used by Ginnie Mae issuers for quarterly reimbursement requests on loans which are eligible for interest rate forgiveness under the </w:t>
      </w:r>
      <w:r w:rsidR="0000706C">
        <w:rPr>
          <w:rFonts w:ascii="Arial" w:hAnsi="Arial" w:cs="Arial"/>
          <w:noProof/>
        </w:rPr>
        <w:t>SCRA</w:t>
      </w:r>
      <w:r>
        <w:rPr>
          <w:rFonts w:ascii="Arial" w:hAnsi="Arial" w:cs="Arial"/>
          <w:noProof/>
        </w:rPr>
        <w:t>.  Loan eligiblity information is prepared in accordance to Loan Eligiblity Information (Appendix XI-6).</w:t>
      </w:r>
    </w:p>
    <w:p w14:paraId="4A88BA76" w14:textId="77777777" w:rsidR="00207867" w:rsidRDefault="00207867" w:rsidP="00207867">
      <w:pPr>
        <w:ind w:left="720"/>
        <w:rPr>
          <w:rFonts w:ascii="Arial" w:hAnsi="Arial" w:cs="Arial"/>
          <w:noProof/>
        </w:rPr>
      </w:pPr>
    </w:p>
    <w:p w14:paraId="7A660B6B" w14:textId="77777777" w:rsidR="00B01705" w:rsidRDefault="00207867" w:rsidP="00B01705">
      <w:pPr>
        <w:ind w:left="720"/>
        <w:rPr>
          <w:rFonts w:ascii="Arial" w:hAnsi="Arial" w:cs="Arial"/>
          <w:noProof/>
        </w:rPr>
      </w:pPr>
      <w:r w:rsidRPr="00497931">
        <w:rPr>
          <w:rFonts w:ascii="Arial" w:hAnsi="Arial" w:cs="Arial"/>
          <w:noProof/>
        </w:rPr>
        <w:t>The information is required by Ginnie Mae H</w:t>
      </w:r>
      <w:r w:rsidR="0000706C">
        <w:rPr>
          <w:rFonts w:ascii="Arial" w:hAnsi="Arial" w:cs="Arial"/>
          <w:noProof/>
        </w:rPr>
        <w:t>a</w:t>
      </w:r>
      <w:r w:rsidRPr="00497931">
        <w:rPr>
          <w:rFonts w:ascii="Arial" w:hAnsi="Arial" w:cs="Arial"/>
          <w:noProof/>
        </w:rPr>
        <w:t>ndbook 5500.3, Rev. 1.</w:t>
      </w:r>
      <w:r w:rsidR="00B01705">
        <w:rPr>
          <w:rFonts w:ascii="Arial" w:hAnsi="Arial" w:cs="Arial"/>
          <w:noProof/>
        </w:rPr>
        <w:t xml:space="preserve">  The req</w:t>
      </w:r>
      <w:r w:rsidR="0000706C">
        <w:rPr>
          <w:rFonts w:ascii="Arial" w:hAnsi="Arial" w:cs="Arial"/>
          <w:noProof/>
        </w:rPr>
        <w:t>uest</w:t>
      </w:r>
      <w:r w:rsidR="00B01705">
        <w:rPr>
          <w:rFonts w:ascii="Arial" w:hAnsi="Arial" w:cs="Arial"/>
          <w:noProof/>
        </w:rPr>
        <w:t xml:space="preserve"> is estimated to take 2 minutes to complete.</w:t>
      </w:r>
    </w:p>
    <w:p w14:paraId="37D0FDCF" w14:textId="77777777" w:rsidR="00207867" w:rsidRPr="00207867" w:rsidRDefault="00207867" w:rsidP="00207867">
      <w:pPr>
        <w:ind w:left="720"/>
        <w:rPr>
          <w:rFonts w:ascii="Arial" w:hAnsi="Arial" w:cs="Arial"/>
          <w:noProof/>
        </w:rPr>
      </w:pPr>
    </w:p>
    <w:p w14:paraId="67A5C471" w14:textId="77777777" w:rsidR="008C71F4" w:rsidRDefault="008C71F4" w:rsidP="00497931">
      <w:pPr>
        <w:numPr>
          <w:ilvl w:val="0"/>
          <w:numId w:val="22"/>
        </w:numPr>
        <w:rPr>
          <w:rFonts w:ascii="Arial" w:hAnsi="Arial" w:cs="Arial"/>
          <w:b/>
          <w:noProof/>
        </w:rPr>
      </w:pPr>
      <w:r>
        <w:rPr>
          <w:rFonts w:ascii="Arial" w:hAnsi="Arial" w:cs="Arial"/>
          <w:b/>
          <w:noProof/>
        </w:rPr>
        <w:t>Appendix XI-9/ Servicemembers Civil Relief Act Eligibility and Reimbursement Files</w:t>
      </w:r>
    </w:p>
    <w:p w14:paraId="5D6DFF83" w14:textId="77777777" w:rsidR="00B01705" w:rsidRDefault="00B01705" w:rsidP="00B01705">
      <w:pPr>
        <w:rPr>
          <w:rFonts w:ascii="Arial" w:hAnsi="Arial" w:cs="Arial"/>
          <w:b/>
          <w:noProof/>
        </w:rPr>
      </w:pPr>
    </w:p>
    <w:p w14:paraId="5FF023F9" w14:textId="77777777" w:rsidR="00B01705" w:rsidRPr="00B01705" w:rsidRDefault="00B01705" w:rsidP="00B01705">
      <w:pPr>
        <w:ind w:left="720"/>
        <w:rPr>
          <w:rFonts w:ascii="Arial" w:hAnsi="Arial" w:cs="Arial"/>
          <w:noProof/>
        </w:rPr>
      </w:pPr>
      <w:r w:rsidRPr="00B01705">
        <w:rPr>
          <w:rFonts w:ascii="Arial" w:hAnsi="Arial" w:cs="Arial"/>
          <w:noProof/>
        </w:rPr>
        <w:t xml:space="preserve">Appendix XI-9 provides issuers with the import file format layout to be used when requesting their Quarterly Reimbursement Requests under the </w:t>
      </w:r>
      <w:r w:rsidR="0000706C">
        <w:rPr>
          <w:rFonts w:ascii="Arial" w:hAnsi="Arial" w:cs="Arial"/>
          <w:noProof/>
        </w:rPr>
        <w:t>SCRA</w:t>
      </w:r>
      <w:r w:rsidRPr="00B01705">
        <w:rPr>
          <w:rFonts w:ascii="Arial" w:hAnsi="Arial" w:cs="Arial"/>
          <w:noProof/>
        </w:rPr>
        <w:t>.</w:t>
      </w:r>
    </w:p>
    <w:p w14:paraId="1AA0EA11" w14:textId="77777777" w:rsidR="00AA627A" w:rsidRPr="00814A0B" w:rsidRDefault="00AA627A">
      <w:pPr>
        <w:ind w:left="1440"/>
        <w:rPr>
          <w:rFonts w:ascii="Arial" w:hAnsi="Arial" w:cs="Arial"/>
          <w:b/>
          <w:noProof/>
        </w:rPr>
      </w:pPr>
    </w:p>
    <w:p w14:paraId="2A404327" w14:textId="77777777" w:rsidR="00E5190C" w:rsidRDefault="0000706C" w:rsidP="00E5190C">
      <w:pPr>
        <w:ind w:left="720"/>
        <w:rPr>
          <w:rFonts w:ascii="Arial" w:hAnsi="Arial" w:cs="Arial"/>
          <w:noProof/>
        </w:rPr>
      </w:pPr>
      <w:r>
        <w:rPr>
          <w:rFonts w:ascii="Arial" w:hAnsi="Arial" w:cs="Arial"/>
          <w:noProof/>
        </w:rPr>
        <w:t>The request</w:t>
      </w:r>
      <w:r w:rsidR="00B01705">
        <w:rPr>
          <w:rFonts w:ascii="Arial" w:hAnsi="Arial" w:cs="Arial"/>
          <w:noProof/>
        </w:rPr>
        <w:t xml:space="preserve"> is estimated to take 2 minutes to complete.  </w:t>
      </w:r>
      <w:r w:rsidR="00AA627A" w:rsidRPr="00497931">
        <w:rPr>
          <w:rFonts w:ascii="Arial" w:hAnsi="Arial" w:cs="Arial"/>
          <w:noProof/>
        </w:rPr>
        <w:t xml:space="preserve">The information is required by Ginnie Mae </w:t>
      </w:r>
      <w:r>
        <w:rPr>
          <w:rFonts w:ascii="Arial" w:hAnsi="Arial" w:cs="Arial"/>
          <w:noProof/>
        </w:rPr>
        <w:t>Han</w:t>
      </w:r>
      <w:r w:rsidR="00AA627A" w:rsidRPr="00497931">
        <w:rPr>
          <w:rFonts w:ascii="Arial" w:hAnsi="Arial" w:cs="Arial"/>
          <w:noProof/>
        </w:rPr>
        <w:t>dbook 5500.3, Rev. 1.</w:t>
      </w:r>
    </w:p>
    <w:p w14:paraId="7E5CF2C0" w14:textId="77777777" w:rsidR="00E5190C" w:rsidRPr="00E5190C" w:rsidRDefault="00E5190C" w:rsidP="00E5190C">
      <w:pPr>
        <w:ind w:left="720"/>
        <w:rPr>
          <w:rFonts w:ascii="Arial" w:hAnsi="Arial" w:cs="Arial"/>
          <w:b/>
          <w:noProof/>
        </w:rPr>
      </w:pPr>
    </w:p>
    <w:p w14:paraId="4ED9A9CF" w14:textId="77777777" w:rsidR="00AA627A" w:rsidRPr="00E5190C" w:rsidRDefault="00AA627A" w:rsidP="00E5190C">
      <w:pPr>
        <w:numPr>
          <w:ilvl w:val="0"/>
          <w:numId w:val="22"/>
        </w:numPr>
        <w:rPr>
          <w:rStyle w:val="ft111"/>
          <w:rFonts w:ascii="Arial" w:hAnsi="Arial" w:cs="Arial"/>
          <w:color w:val="000000"/>
          <w:sz w:val="20"/>
        </w:rPr>
      </w:pPr>
      <w:r w:rsidRPr="00E5190C">
        <w:rPr>
          <w:rStyle w:val="ft111"/>
          <w:rFonts w:ascii="Arial" w:hAnsi="Arial" w:cs="Arial"/>
          <w:color w:val="000000"/>
          <w:sz w:val="20"/>
        </w:rPr>
        <w:t>Appendix VIII-3/ Assignment Agreements</w:t>
      </w:r>
    </w:p>
    <w:p w14:paraId="0F543FFF" w14:textId="77777777" w:rsidR="00AA627A" w:rsidRPr="00814A0B" w:rsidRDefault="00AA627A">
      <w:pPr>
        <w:rPr>
          <w:rFonts w:ascii="Arial" w:hAnsi="Arial" w:cs="Arial"/>
        </w:rPr>
      </w:pPr>
    </w:p>
    <w:p w14:paraId="2E27CC4A" w14:textId="77777777" w:rsidR="00AA627A" w:rsidRPr="00E5190C" w:rsidRDefault="00AA627A" w:rsidP="00E5190C">
      <w:pPr>
        <w:ind w:left="720"/>
        <w:rPr>
          <w:rStyle w:val="ft111"/>
          <w:rFonts w:ascii="Arial" w:hAnsi="Arial" w:cs="Arial"/>
          <w:b w:val="0"/>
        </w:rPr>
      </w:pPr>
      <w:r w:rsidRPr="00E5190C">
        <w:rPr>
          <w:rStyle w:val="ft111"/>
          <w:rFonts w:ascii="Arial" w:hAnsi="Arial" w:cs="Arial"/>
          <w:b w:val="0"/>
          <w:sz w:val="20"/>
        </w:rPr>
        <w:t>This form is used by Issuers who wish to transfer/sell its serving responsibilities for some or all of its Ginnie Mae pools or loan packages from itself to another Ginnie Mae issuer.  The agreements must be completed by the both the initial issuer (seller)</w:t>
      </w:r>
      <w:r w:rsidR="009A4E43">
        <w:rPr>
          <w:rStyle w:val="ft111"/>
          <w:rFonts w:ascii="Arial" w:hAnsi="Arial" w:cs="Arial"/>
          <w:b w:val="0"/>
          <w:sz w:val="20"/>
        </w:rPr>
        <w:t xml:space="preserve"> and</w:t>
      </w:r>
      <w:r w:rsidRPr="00E5190C">
        <w:rPr>
          <w:rStyle w:val="ft111"/>
          <w:rFonts w:ascii="Arial" w:hAnsi="Arial" w:cs="Arial"/>
          <w:b w:val="0"/>
          <w:sz w:val="20"/>
        </w:rPr>
        <w:t xml:space="preserve"> the issuer wishing to acquire the portfolio (buyer) and Ginnie Mae.</w:t>
      </w:r>
      <w:r w:rsidRPr="00E5190C">
        <w:rPr>
          <w:rStyle w:val="ft111"/>
          <w:rFonts w:ascii="Arial" w:hAnsi="Arial" w:cs="Arial"/>
          <w:b w:val="0"/>
        </w:rPr>
        <w:t xml:space="preserve"> </w:t>
      </w:r>
    </w:p>
    <w:p w14:paraId="47D504A1" w14:textId="77777777" w:rsidR="00AA627A" w:rsidRPr="00E5190C" w:rsidRDefault="00AA627A" w:rsidP="00E5190C">
      <w:pPr>
        <w:rPr>
          <w:rStyle w:val="ft111"/>
          <w:rFonts w:ascii="Arial" w:hAnsi="Arial" w:cs="Arial"/>
          <w:b w:val="0"/>
        </w:rPr>
      </w:pPr>
    </w:p>
    <w:p w14:paraId="521F74D8" w14:textId="77777777" w:rsidR="00AA627A" w:rsidRPr="00E5190C" w:rsidRDefault="00AA627A" w:rsidP="00E5190C">
      <w:pPr>
        <w:ind w:left="720"/>
        <w:rPr>
          <w:rStyle w:val="ft111"/>
          <w:rFonts w:ascii="Arial" w:hAnsi="Arial" w:cs="Arial"/>
          <w:b w:val="0"/>
        </w:rPr>
      </w:pPr>
      <w:r w:rsidRPr="00E5190C">
        <w:rPr>
          <w:rFonts w:ascii="Arial" w:hAnsi="Arial" w:cs="Arial"/>
          <w:noProof/>
        </w:rPr>
        <w:t>The request is estimated to take</w:t>
      </w:r>
      <w:r w:rsidR="00290C7F">
        <w:rPr>
          <w:rFonts w:ascii="Arial" w:hAnsi="Arial" w:cs="Arial"/>
          <w:noProof/>
        </w:rPr>
        <w:t xml:space="preserve"> </w:t>
      </w:r>
      <w:r w:rsidR="008960F2">
        <w:rPr>
          <w:rFonts w:ascii="Arial" w:hAnsi="Arial" w:cs="Arial"/>
          <w:noProof/>
        </w:rPr>
        <w:t>8</w:t>
      </w:r>
      <w:r w:rsidRPr="00E5190C">
        <w:rPr>
          <w:rFonts w:ascii="Arial" w:hAnsi="Arial" w:cs="Arial"/>
          <w:noProof/>
        </w:rPr>
        <w:t xml:space="preserve"> minutes.  The information is required by Ginnie Mae Handbook 5500.3, Rev. 1.</w:t>
      </w:r>
      <w:r w:rsidRPr="00E5190C">
        <w:rPr>
          <w:rStyle w:val="ft111"/>
          <w:rFonts w:ascii="Arial" w:hAnsi="Arial" w:cs="Arial"/>
          <w:b w:val="0"/>
        </w:rPr>
        <w:t xml:space="preserve">   </w:t>
      </w:r>
    </w:p>
    <w:p w14:paraId="1BD272F0" w14:textId="77777777" w:rsidR="00AA627A" w:rsidRPr="00814A0B" w:rsidRDefault="00AA627A">
      <w:pPr>
        <w:rPr>
          <w:rFonts w:ascii="Arial" w:hAnsi="Arial" w:cs="Arial"/>
          <w:b/>
          <w:noProof/>
          <w:u w:val="single"/>
        </w:rPr>
      </w:pPr>
    </w:p>
    <w:p w14:paraId="73902D50" w14:textId="77777777" w:rsidR="00AA627A" w:rsidRPr="00E5190C" w:rsidRDefault="00AA627A" w:rsidP="00E5190C">
      <w:pPr>
        <w:pStyle w:val="Heading2"/>
        <w:numPr>
          <w:ilvl w:val="0"/>
          <w:numId w:val="22"/>
        </w:numPr>
        <w:tabs>
          <w:tab w:val="clear" w:pos="360"/>
          <w:tab w:val="clear" w:pos="720"/>
        </w:tabs>
        <w:rPr>
          <w:rFonts w:ascii="Arial" w:hAnsi="Arial" w:cs="Arial"/>
          <w:bCs/>
          <w:noProof w:val="0"/>
          <w:u w:val="none"/>
        </w:rPr>
      </w:pPr>
      <w:r w:rsidRPr="00E5190C">
        <w:rPr>
          <w:rFonts w:ascii="Arial" w:hAnsi="Arial" w:cs="Arial"/>
          <w:bCs/>
          <w:noProof w:val="0"/>
          <w:u w:val="none"/>
        </w:rPr>
        <w:t xml:space="preserve">Appendix </w:t>
      </w:r>
      <w:r w:rsidR="00764E02">
        <w:rPr>
          <w:rFonts w:ascii="Arial" w:hAnsi="Arial" w:cs="Arial"/>
          <w:bCs/>
          <w:noProof w:val="0"/>
          <w:u w:val="none"/>
        </w:rPr>
        <w:t>VI-20/Electronic Submission of Issuers’ Insurance and Annual Audited Financial Documents</w:t>
      </w:r>
    </w:p>
    <w:p w14:paraId="7D2744E1" w14:textId="77777777" w:rsidR="00AA627A" w:rsidRPr="00814A0B" w:rsidRDefault="00AA627A">
      <w:pPr>
        <w:rPr>
          <w:rFonts w:ascii="Arial" w:hAnsi="Arial" w:cs="Arial"/>
          <w:b/>
          <w:noProof/>
        </w:rPr>
      </w:pPr>
    </w:p>
    <w:p w14:paraId="668A5E74" w14:textId="77777777" w:rsidR="00030896" w:rsidRPr="009F37CB" w:rsidRDefault="00030896" w:rsidP="00030896">
      <w:pPr>
        <w:tabs>
          <w:tab w:val="left" w:pos="360"/>
          <w:tab w:val="left" w:pos="720"/>
        </w:tabs>
        <w:ind w:left="720"/>
        <w:rPr>
          <w:rFonts w:ascii="Arial" w:hAnsi="Arial" w:cs="Arial"/>
          <w:noProof/>
        </w:rPr>
      </w:pPr>
      <w:r w:rsidRPr="009F37CB">
        <w:rPr>
          <w:rFonts w:ascii="Arial" w:hAnsi="Arial" w:cs="Arial"/>
          <w:noProof/>
        </w:rPr>
        <w:t xml:space="preserve">At the time of application, the applicant must provide copies of their annual financial statements for each of </w:t>
      </w:r>
    </w:p>
    <w:p w14:paraId="65566593" w14:textId="77777777" w:rsidR="00030896" w:rsidRPr="009F37CB" w:rsidRDefault="00030896" w:rsidP="00030896">
      <w:pPr>
        <w:tabs>
          <w:tab w:val="left" w:pos="360"/>
          <w:tab w:val="left" w:pos="720"/>
        </w:tabs>
        <w:ind w:left="720"/>
        <w:rPr>
          <w:rFonts w:ascii="Arial" w:hAnsi="Arial" w:cs="Arial"/>
          <w:noProof/>
        </w:rPr>
      </w:pPr>
      <w:r w:rsidRPr="009F37CB">
        <w:rPr>
          <w:rFonts w:ascii="Arial" w:hAnsi="Arial" w:cs="Arial"/>
          <w:noProof/>
        </w:rPr>
        <w:t xml:space="preserve">the latest three years, audited and certified by an Independent Auditor in accordance with Section 2-1 of the </w:t>
      </w:r>
    </w:p>
    <w:p w14:paraId="3E83A5A6" w14:textId="77777777" w:rsidR="00030896" w:rsidRPr="009F37CB" w:rsidRDefault="00030896" w:rsidP="00030896">
      <w:pPr>
        <w:tabs>
          <w:tab w:val="left" w:pos="360"/>
          <w:tab w:val="left" w:pos="720"/>
        </w:tabs>
        <w:ind w:left="720"/>
        <w:rPr>
          <w:rFonts w:ascii="Arial" w:hAnsi="Arial" w:cs="Arial"/>
          <w:noProof/>
        </w:rPr>
      </w:pPr>
      <w:r w:rsidRPr="009F37CB">
        <w:rPr>
          <w:rFonts w:ascii="Arial" w:hAnsi="Arial" w:cs="Arial"/>
          <w:noProof/>
        </w:rPr>
        <w:t>Consolidated Audit Guide for Auditors of HUD Programs, Handbook No. IG 2000.04 Rev. 2.  If the latest</w:t>
      </w:r>
    </w:p>
    <w:p w14:paraId="5B76A4B3" w14:textId="77777777" w:rsidR="00030896" w:rsidRPr="009F37CB" w:rsidRDefault="00030896" w:rsidP="00030896">
      <w:pPr>
        <w:tabs>
          <w:tab w:val="left" w:pos="360"/>
          <w:tab w:val="left" w:pos="720"/>
        </w:tabs>
        <w:ind w:left="720"/>
        <w:rPr>
          <w:rFonts w:ascii="Arial" w:hAnsi="Arial" w:cs="Arial"/>
          <w:noProof/>
        </w:rPr>
      </w:pPr>
      <w:r w:rsidRPr="009F37CB">
        <w:rPr>
          <w:rFonts w:ascii="Arial" w:hAnsi="Arial" w:cs="Arial"/>
          <w:noProof/>
        </w:rPr>
        <w:t xml:space="preserve">audited financial statement is six months prior to the date Ginnie Mae receives the application package, the </w:t>
      </w:r>
    </w:p>
    <w:p w14:paraId="7199473C" w14:textId="77777777" w:rsidR="00030896" w:rsidRDefault="00030896" w:rsidP="00030896">
      <w:pPr>
        <w:tabs>
          <w:tab w:val="left" w:pos="360"/>
          <w:tab w:val="left" w:pos="720"/>
        </w:tabs>
        <w:ind w:left="720"/>
        <w:rPr>
          <w:rFonts w:ascii="Arial" w:hAnsi="Arial" w:cs="Arial"/>
          <w:noProof/>
        </w:rPr>
      </w:pPr>
      <w:r w:rsidRPr="009F37CB">
        <w:rPr>
          <w:rFonts w:ascii="Arial" w:hAnsi="Arial" w:cs="Arial"/>
          <w:noProof/>
        </w:rPr>
        <w:t>applicant must also provide an unaudited financ</w:t>
      </w:r>
      <w:r w:rsidR="00F174AB">
        <w:rPr>
          <w:rFonts w:ascii="Arial" w:hAnsi="Arial" w:cs="Arial"/>
          <w:noProof/>
        </w:rPr>
        <w:t>ial statement certified by the Chief Executive O</w:t>
      </w:r>
      <w:r w:rsidRPr="009F37CB">
        <w:rPr>
          <w:rFonts w:ascii="Arial" w:hAnsi="Arial" w:cs="Arial"/>
          <w:noProof/>
        </w:rPr>
        <w:t>fficer. The information is required by Ginnie Mae Handbook 5500.3, Rev. 1.</w:t>
      </w:r>
    </w:p>
    <w:p w14:paraId="204EAB54" w14:textId="77777777" w:rsidR="00030896" w:rsidRDefault="00030896" w:rsidP="00E5190C">
      <w:pPr>
        <w:ind w:left="720"/>
        <w:rPr>
          <w:rFonts w:ascii="Arial" w:hAnsi="Arial" w:cs="Arial"/>
          <w:bCs/>
        </w:rPr>
      </w:pPr>
    </w:p>
    <w:p w14:paraId="050F89F7" w14:textId="77777777" w:rsidR="00AA627A" w:rsidRPr="00E5190C" w:rsidRDefault="00E10D67" w:rsidP="00E5190C">
      <w:pPr>
        <w:ind w:left="720"/>
        <w:rPr>
          <w:rFonts w:ascii="Arial" w:hAnsi="Arial" w:cs="Arial"/>
          <w:bCs/>
        </w:rPr>
      </w:pPr>
      <w:r>
        <w:rPr>
          <w:rFonts w:ascii="Arial" w:hAnsi="Arial" w:cs="Arial"/>
          <w:bCs/>
        </w:rPr>
        <w:lastRenderedPageBreak/>
        <w:t xml:space="preserve">Once approved, </w:t>
      </w:r>
      <w:r w:rsidR="00AA627A" w:rsidRPr="00E5190C">
        <w:rPr>
          <w:rFonts w:ascii="Arial" w:hAnsi="Arial" w:cs="Arial"/>
          <w:bCs/>
        </w:rPr>
        <w:t xml:space="preserve">Ginnie Mae collects Financial Statements and Audit Reports annually from each issuer participating in the MBS program.  The financial statements and reports must be audited and certified by an </w:t>
      </w:r>
    </w:p>
    <w:p w14:paraId="402C710B" w14:textId="77777777" w:rsidR="00AA627A" w:rsidRPr="00E5190C" w:rsidRDefault="00AA627A" w:rsidP="00E5190C">
      <w:pPr>
        <w:ind w:left="720"/>
        <w:rPr>
          <w:rFonts w:ascii="Arial" w:hAnsi="Arial" w:cs="Arial"/>
          <w:bCs/>
        </w:rPr>
      </w:pPr>
      <w:r w:rsidRPr="00E5190C">
        <w:rPr>
          <w:rFonts w:ascii="Arial" w:hAnsi="Arial" w:cs="Arial"/>
          <w:bCs/>
        </w:rPr>
        <w:t xml:space="preserve">Independent Auditor that meets the auditor qualifications set out in Chapters 1, 2, and 6 of the Consolidated </w:t>
      </w:r>
    </w:p>
    <w:p w14:paraId="03F98233" w14:textId="77777777" w:rsidR="00AA627A" w:rsidRPr="00E5190C" w:rsidRDefault="00AA627A" w:rsidP="00E5190C">
      <w:pPr>
        <w:ind w:left="720"/>
        <w:rPr>
          <w:rFonts w:ascii="Arial" w:hAnsi="Arial" w:cs="Arial"/>
          <w:bCs/>
        </w:rPr>
      </w:pPr>
      <w:r w:rsidRPr="00E5190C">
        <w:rPr>
          <w:rFonts w:ascii="Arial" w:hAnsi="Arial" w:cs="Arial"/>
          <w:bCs/>
        </w:rPr>
        <w:t>Audit Guide for Audits of HUD programs.  The financial statements must include a balance sheet, statement of operations and cash flows, prepared in accordance to Generally Accepted Accounting Principles (GAAP) and Government Auditing Standards (GAS).  On occasion, Ginnie Mae will request the issuer to submit internally prepared balance sheets and income statements to verify an issuer’s net worth.</w:t>
      </w:r>
    </w:p>
    <w:p w14:paraId="160491C8" w14:textId="77777777" w:rsidR="00AA627A" w:rsidRPr="00E5190C" w:rsidRDefault="00AA627A" w:rsidP="00E5190C">
      <w:pPr>
        <w:ind w:left="720"/>
        <w:rPr>
          <w:rFonts w:ascii="Arial" w:hAnsi="Arial" w:cs="Arial"/>
          <w:bCs/>
        </w:rPr>
      </w:pPr>
    </w:p>
    <w:p w14:paraId="4859626C" w14:textId="77777777" w:rsidR="008D3FE5" w:rsidRDefault="00AA627A" w:rsidP="00E5190C">
      <w:pPr>
        <w:ind w:left="720"/>
        <w:rPr>
          <w:rFonts w:ascii="Arial" w:hAnsi="Arial" w:cs="Arial"/>
          <w:bCs/>
        </w:rPr>
      </w:pPr>
      <w:r w:rsidRPr="00E5190C">
        <w:rPr>
          <w:rFonts w:ascii="Arial" w:hAnsi="Arial" w:cs="Arial"/>
          <w:bCs/>
        </w:rPr>
        <w:t>Issuers are required to submit their audited financial statement and accompanying reports to Ginnie</w:t>
      </w:r>
      <w:r w:rsidR="001D535A" w:rsidRPr="00E5190C">
        <w:rPr>
          <w:rFonts w:ascii="Arial" w:hAnsi="Arial" w:cs="Arial"/>
          <w:bCs/>
        </w:rPr>
        <w:t xml:space="preserve"> </w:t>
      </w:r>
      <w:r w:rsidRPr="00E5190C">
        <w:rPr>
          <w:rFonts w:ascii="Arial" w:hAnsi="Arial" w:cs="Arial"/>
          <w:bCs/>
        </w:rPr>
        <w:t>Mae within 90 days after the end of their fiscal year.  The information is required by Ginnie Mae Handbook 5500,3, Rev. 1 and the Consolidated Audit Guide for Audits of HUD Programs, Handbook No. IG 2000.04, Rev. 2 (Chapters 1,</w:t>
      </w:r>
      <w:r w:rsidR="00764E02">
        <w:rPr>
          <w:rFonts w:ascii="Arial" w:hAnsi="Arial" w:cs="Arial"/>
          <w:bCs/>
        </w:rPr>
        <w:t xml:space="preserve"> </w:t>
      </w:r>
      <w:r w:rsidRPr="00E5190C">
        <w:rPr>
          <w:rFonts w:ascii="Arial" w:hAnsi="Arial" w:cs="Arial"/>
          <w:bCs/>
        </w:rPr>
        <w:t xml:space="preserve">2, and 6). </w:t>
      </w:r>
      <w:r w:rsidR="009F054E" w:rsidRPr="00E5190C">
        <w:rPr>
          <w:rFonts w:ascii="Arial" w:hAnsi="Arial" w:cs="Arial"/>
          <w:bCs/>
        </w:rPr>
        <w:t xml:space="preserve"> </w:t>
      </w:r>
    </w:p>
    <w:p w14:paraId="2821AEFD" w14:textId="77777777" w:rsidR="009A4E43" w:rsidRDefault="009F054E" w:rsidP="00E5190C">
      <w:pPr>
        <w:ind w:left="720"/>
        <w:rPr>
          <w:rFonts w:ascii="Arial" w:hAnsi="Arial" w:cs="Arial"/>
          <w:bCs/>
        </w:rPr>
      </w:pPr>
      <w:r w:rsidRPr="00E5190C">
        <w:rPr>
          <w:rFonts w:ascii="Arial" w:hAnsi="Arial" w:cs="Arial"/>
          <w:bCs/>
        </w:rPr>
        <w:t xml:space="preserve"> </w:t>
      </w:r>
    </w:p>
    <w:p w14:paraId="2F42ED03" w14:textId="77777777" w:rsidR="00AA627A" w:rsidRDefault="009F054E" w:rsidP="00E5190C">
      <w:pPr>
        <w:ind w:left="720"/>
        <w:rPr>
          <w:rFonts w:ascii="Arial" w:hAnsi="Arial" w:cs="Arial"/>
          <w:bCs/>
        </w:rPr>
      </w:pPr>
      <w:r w:rsidRPr="00E5190C">
        <w:rPr>
          <w:rFonts w:ascii="Arial" w:hAnsi="Arial" w:cs="Arial"/>
          <w:bCs/>
        </w:rPr>
        <w:t>The financial statement is estimated to take an hour to prepare.</w:t>
      </w:r>
    </w:p>
    <w:p w14:paraId="358B6268" w14:textId="77777777" w:rsidR="00764E02" w:rsidRDefault="00764E02" w:rsidP="00E5190C">
      <w:pPr>
        <w:ind w:left="720"/>
        <w:rPr>
          <w:rFonts w:ascii="Arial" w:hAnsi="Arial" w:cs="Arial"/>
          <w:bCs/>
        </w:rPr>
      </w:pPr>
    </w:p>
    <w:p w14:paraId="3F4B1336" w14:textId="77777777" w:rsidR="00764E02" w:rsidRPr="00E5190C" w:rsidRDefault="00764E02" w:rsidP="00E5190C">
      <w:pPr>
        <w:ind w:left="720"/>
        <w:rPr>
          <w:rFonts w:ascii="Arial" w:hAnsi="Arial" w:cs="Arial"/>
          <w:bCs/>
        </w:rPr>
      </w:pPr>
      <w:r>
        <w:rPr>
          <w:rFonts w:ascii="Arial" w:hAnsi="Arial" w:cs="Arial"/>
          <w:bCs/>
        </w:rPr>
        <w:t>The annual financial statements are to be prepared in electronic form and submitted via the Ginnie Mae Enterprise Portal – Independent Public Accounting (“IPA”) module.</w:t>
      </w:r>
    </w:p>
    <w:p w14:paraId="3E2CD9E1" w14:textId="77777777" w:rsidR="00AA627A" w:rsidRDefault="00AA627A">
      <w:pPr>
        <w:rPr>
          <w:rFonts w:ascii="Arial" w:hAnsi="Arial" w:cs="Arial"/>
        </w:rPr>
      </w:pPr>
      <w:r w:rsidRPr="00814A0B">
        <w:rPr>
          <w:rFonts w:ascii="Arial" w:hAnsi="Arial" w:cs="Arial"/>
        </w:rPr>
        <w:t>.</w:t>
      </w:r>
    </w:p>
    <w:p w14:paraId="59AF6FB8" w14:textId="77777777" w:rsidR="009A4E43" w:rsidRPr="00E5190C" w:rsidRDefault="009A4E43" w:rsidP="009A4E43">
      <w:pPr>
        <w:numPr>
          <w:ilvl w:val="0"/>
          <w:numId w:val="22"/>
        </w:numPr>
        <w:rPr>
          <w:rFonts w:ascii="Arial" w:hAnsi="Arial" w:cs="Arial"/>
          <w:b/>
          <w:noProof/>
          <w:u w:val="single"/>
        </w:rPr>
      </w:pPr>
      <w:r>
        <w:rPr>
          <w:rFonts w:ascii="Arial" w:hAnsi="Arial" w:cs="Arial"/>
          <w:b/>
          <w:bCs/>
          <w:noProof/>
        </w:rPr>
        <w:t>Appendix VI–18/</w:t>
      </w:r>
      <w:r w:rsidRPr="00E5190C">
        <w:rPr>
          <w:rFonts w:ascii="Arial" w:hAnsi="Arial" w:cs="Arial"/>
          <w:b/>
          <w:bCs/>
          <w:noProof/>
        </w:rPr>
        <w:t xml:space="preserve">Widely Held Fixed Investment Trust </w:t>
      </w:r>
      <w:r>
        <w:rPr>
          <w:rFonts w:ascii="Arial" w:hAnsi="Arial" w:cs="Arial"/>
          <w:b/>
          <w:bCs/>
          <w:noProof/>
        </w:rPr>
        <w:t>(WHFIT)</w:t>
      </w:r>
    </w:p>
    <w:p w14:paraId="3A5DBDA9" w14:textId="77777777" w:rsidR="009A4E43" w:rsidRDefault="009A4E43" w:rsidP="009A4E43">
      <w:pPr>
        <w:ind w:left="720"/>
        <w:rPr>
          <w:rFonts w:ascii="Arial" w:hAnsi="Arial" w:cs="Arial"/>
          <w:b/>
          <w:bCs/>
          <w:noProof/>
        </w:rPr>
      </w:pPr>
    </w:p>
    <w:p w14:paraId="3941D1BD" w14:textId="77777777" w:rsidR="009A4E43" w:rsidRPr="00643C60" w:rsidRDefault="009A4E43" w:rsidP="009A4E43">
      <w:pPr>
        <w:ind w:left="720"/>
        <w:rPr>
          <w:rFonts w:ascii="Arial" w:hAnsi="Arial" w:cs="Arial"/>
        </w:rPr>
      </w:pPr>
      <w:r>
        <w:rPr>
          <w:rFonts w:ascii="Arial" w:hAnsi="Arial" w:cs="Arial"/>
        </w:rPr>
        <w:t xml:space="preserve">In order to comply with the IRS </w:t>
      </w:r>
      <w:r w:rsidRPr="00643C60">
        <w:rPr>
          <w:rFonts w:ascii="Arial" w:hAnsi="Arial" w:cs="Arial"/>
        </w:rPr>
        <w:t>WHFIT tax reporting requirement</w:t>
      </w:r>
      <w:r>
        <w:rPr>
          <w:rFonts w:ascii="Arial" w:hAnsi="Arial" w:cs="Arial"/>
        </w:rPr>
        <w:t xml:space="preserve">, Issuers are to submit three months of tax information once every quarter.  </w:t>
      </w:r>
      <w:r w:rsidRPr="00643C60">
        <w:rPr>
          <w:rFonts w:ascii="Arial" w:hAnsi="Arial" w:cs="Arial"/>
        </w:rPr>
        <w:t xml:space="preserve"> Issuers </w:t>
      </w:r>
      <w:r>
        <w:rPr>
          <w:rFonts w:ascii="Arial" w:hAnsi="Arial" w:cs="Arial"/>
        </w:rPr>
        <w:t xml:space="preserve">submit this information electronically </w:t>
      </w:r>
      <w:r w:rsidRPr="00643C60">
        <w:rPr>
          <w:rFonts w:ascii="Arial" w:hAnsi="Arial" w:cs="Arial"/>
        </w:rPr>
        <w:t xml:space="preserve">with a standard file layout </w:t>
      </w:r>
      <w:r>
        <w:rPr>
          <w:rFonts w:ascii="Arial" w:hAnsi="Arial" w:cs="Arial"/>
        </w:rPr>
        <w:t>i</w:t>
      </w:r>
      <w:r w:rsidRPr="00643C60">
        <w:rPr>
          <w:rFonts w:ascii="Arial" w:hAnsi="Arial" w:cs="Arial"/>
        </w:rPr>
        <w:t>n accordance with the IRS regulation, Ginnie Mae publish</w:t>
      </w:r>
      <w:r>
        <w:rPr>
          <w:rFonts w:ascii="Arial" w:hAnsi="Arial" w:cs="Arial"/>
        </w:rPr>
        <w:t>es</w:t>
      </w:r>
      <w:r w:rsidRPr="00643C60">
        <w:rPr>
          <w:rFonts w:ascii="Arial" w:hAnsi="Arial" w:cs="Arial"/>
        </w:rPr>
        <w:t xml:space="preserve"> this data on Ginnie Mae’s Tax and Factor reporting website.</w:t>
      </w:r>
    </w:p>
    <w:p w14:paraId="2D18153B" w14:textId="77777777" w:rsidR="009A4E43" w:rsidRDefault="009A4E43" w:rsidP="009A4E43">
      <w:pPr>
        <w:ind w:left="720"/>
        <w:rPr>
          <w:rFonts w:ascii="Arial" w:hAnsi="Arial" w:cs="Arial"/>
        </w:rPr>
      </w:pPr>
    </w:p>
    <w:p w14:paraId="0FF33C8C" w14:textId="77777777" w:rsidR="009A4E43" w:rsidRPr="00E5190C" w:rsidRDefault="009A4E43" w:rsidP="009A4E43">
      <w:pPr>
        <w:ind w:left="720"/>
        <w:rPr>
          <w:rFonts w:ascii="Arial" w:hAnsi="Arial" w:cs="Arial"/>
          <w:bCs/>
          <w:noProof/>
        </w:rPr>
      </w:pPr>
      <w:r>
        <w:rPr>
          <w:rFonts w:ascii="Arial" w:hAnsi="Arial" w:cs="Arial"/>
          <w:bCs/>
          <w:noProof/>
        </w:rPr>
        <w:t>It is estimated to take 8</w:t>
      </w:r>
      <w:r w:rsidRPr="00E5190C">
        <w:rPr>
          <w:rFonts w:ascii="Arial" w:hAnsi="Arial" w:cs="Arial"/>
          <w:bCs/>
          <w:noProof/>
        </w:rPr>
        <w:t xml:space="preserve"> minutes for completion of the report.  The information is required by Ginnie Mae Handbook 5500.3,  Rev. 1.</w:t>
      </w:r>
    </w:p>
    <w:p w14:paraId="01667E9C" w14:textId="77777777" w:rsidR="009A4E43" w:rsidRDefault="009A4E43" w:rsidP="009A4E43">
      <w:pPr>
        <w:pStyle w:val="Heading6"/>
        <w:rPr>
          <w:rFonts w:ascii="Arial" w:hAnsi="Arial" w:cs="Arial"/>
          <w:u w:val="none"/>
        </w:rPr>
      </w:pPr>
    </w:p>
    <w:p w14:paraId="5413DF8B" w14:textId="77777777" w:rsidR="00A032CB" w:rsidRDefault="00A032CB" w:rsidP="009A4E43">
      <w:pPr>
        <w:pStyle w:val="Heading6"/>
        <w:numPr>
          <w:ilvl w:val="0"/>
          <w:numId w:val="22"/>
        </w:numPr>
        <w:rPr>
          <w:rFonts w:ascii="Arial" w:hAnsi="Arial" w:cs="Arial"/>
          <w:u w:val="none"/>
        </w:rPr>
      </w:pPr>
      <w:r>
        <w:rPr>
          <w:rFonts w:ascii="Arial" w:hAnsi="Arial" w:cs="Arial"/>
          <w:u w:val="none"/>
        </w:rPr>
        <w:t>Appendix VIII-1/Acknowledgement Agreement and Accompanying Documents/Pledge of Servicing</w:t>
      </w:r>
    </w:p>
    <w:p w14:paraId="1973AC2B" w14:textId="77777777" w:rsidR="00A032CB" w:rsidRDefault="00A032CB" w:rsidP="00A032CB">
      <w:pPr>
        <w:ind w:left="720"/>
        <w:rPr>
          <w:rFonts w:ascii="Arial" w:hAnsi="Arial" w:cs="Arial"/>
        </w:rPr>
      </w:pPr>
      <w:r>
        <w:rPr>
          <w:rFonts w:ascii="Arial" w:hAnsi="Arial" w:cs="Arial"/>
        </w:rPr>
        <w:t>Issuers seeking approval by Ginnie Mae to pledge the Issuer’s Servicing Rights for single-family and multifamily loans as security for a loan must submit a proposed Acknowledgement Agreement entered into between the Issuer, the secured party and Ginnie Mae.</w:t>
      </w:r>
    </w:p>
    <w:p w14:paraId="05A0B64E" w14:textId="77777777" w:rsidR="00A032CB" w:rsidRDefault="00A032CB" w:rsidP="00A032CB">
      <w:pPr>
        <w:ind w:left="720"/>
        <w:rPr>
          <w:rFonts w:ascii="Arial" w:hAnsi="Arial" w:cs="Arial"/>
        </w:rPr>
      </w:pPr>
    </w:p>
    <w:p w14:paraId="017E8929" w14:textId="77777777" w:rsidR="00A032CB" w:rsidRPr="00E5190C" w:rsidRDefault="00A032CB" w:rsidP="00A032CB">
      <w:pPr>
        <w:ind w:left="720"/>
        <w:rPr>
          <w:rFonts w:ascii="Arial" w:hAnsi="Arial" w:cs="Arial"/>
          <w:bCs/>
          <w:noProof/>
        </w:rPr>
      </w:pPr>
      <w:r>
        <w:rPr>
          <w:rFonts w:ascii="Arial" w:hAnsi="Arial" w:cs="Arial"/>
        </w:rPr>
        <w:t xml:space="preserve">The request is estimated to take 1 hour.  </w:t>
      </w:r>
      <w:r w:rsidRPr="00E5190C">
        <w:rPr>
          <w:rFonts w:ascii="Arial" w:hAnsi="Arial" w:cs="Arial"/>
          <w:bCs/>
          <w:noProof/>
        </w:rPr>
        <w:t>The information is required by Ginnie Mae Handbook 5500.3,  Rev. 1.</w:t>
      </w:r>
    </w:p>
    <w:p w14:paraId="6E608D8F" w14:textId="77777777" w:rsidR="00A032CB" w:rsidRPr="00A032CB" w:rsidRDefault="00A032CB" w:rsidP="00A032CB">
      <w:pPr>
        <w:ind w:left="720"/>
        <w:rPr>
          <w:rFonts w:ascii="Arial" w:hAnsi="Arial" w:cs="Arial"/>
        </w:rPr>
      </w:pPr>
      <w:r>
        <w:rPr>
          <w:rFonts w:ascii="Arial" w:hAnsi="Arial" w:cs="Arial"/>
        </w:rPr>
        <w:t xml:space="preserve"> </w:t>
      </w:r>
    </w:p>
    <w:p w14:paraId="0923927A" w14:textId="77777777" w:rsidR="00AA627A" w:rsidRPr="00E5190C" w:rsidRDefault="00AA627A" w:rsidP="009A4E43">
      <w:pPr>
        <w:pStyle w:val="Heading6"/>
        <w:numPr>
          <w:ilvl w:val="0"/>
          <w:numId w:val="22"/>
        </w:numPr>
        <w:rPr>
          <w:rFonts w:ascii="Arial" w:hAnsi="Arial" w:cs="Arial"/>
          <w:u w:val="none"/>
        </w:rPr>
      </w:pPr>
      <w:r w:rsidRPr="00E5190C">
        <w:rPr>
          <w:rFonts w:ascii="Arial" w:hAnsi="Arial" w:cs="Arial"/>
          <w:u w:val="none"/>
        </w:rPr>
        <w:t>Mortgage Bankers Financial Reporting Form</w:t>
      </w:r>
    </w:p>
    <w:p w14:paraId="34B70426" w14:textId="77777777" w:rsidR="00AA627A" w:rsidRPr="00814A0B" w:rsidRDefault="00AA627A">
      <w:pPr>
        <w:rPr>
          <w:rFonts w:ascii="Arial" w:hAnsi="Arial" w:cs="Arial"/>
          <w:b/>
          <w:noProof/>
        </w:rPr>
      </w:pPr>
    </w:p>
    <w:p w14:paraId="6C26F7A0" w14:textId="77777777" w:rsidR="00AA627A" w:rsidRPr="00E5190C" w:rsidRDefault="00AA627A" w:rsidP="00643C60">
      <w:pPr>
        <w:ind w:left="720"/>
        <w:rPr>
          <w:rFonts w:ascii="Arial" w:hAnsi="Arial" w:cs="Arial"/>
          <w:b/>
          <w:noProof/>
        </w:rPr>
      </w:pPr>
      <w:r w:rsidRPr="00E5190C">
        <w:rPr>
          <w:rFonts w:ascii="Arial" w:hAnsi="Arial" w:cs="Arial"/>
          <w:noProof/>
        </w:rPr>
        <w:t xml:space="preserve">In addition to issuers filing annual audited financial statements, Ginnie Mae requires each issuer that is not regulated by FDIC, OTC, National Credit Union Association, or the </w:t>
      </w:r>
      <w:r w:rsidRPr="00E5190C">
        <w:rPr>
          <w:rFonts w:ascii="Arial" w:hAnsi="Arial" w:cs="Arial"/>
        </w:rPr>
        <w:t>Office of the Comptroller of the Currency (OCC)</w:t>
      </w:r>
      <w:r w:rsidRPr="00E5190C">
        <w:rPr>
          <w:rFonts w:ascii="Arial" w:hAnsi="Arial" w:cs="Arial"/>
          <w:noProof/>
        </w:rPr>
        <w:t xml:space="preserve"> is required to submit quarterly, unaudited financial statements.  This information is submitted electronically, and it can be accessed via WebMB </w:t>
      </w:r>
      <w:r w:rsidR="009A4E43">
        <w:rPr>
          <w:rFonts w:ascii="Arial" w:hAnsi="Arial" w:cs="Arial"/>
          <w:noProof/>
        </w:rPr>
        <w:t>at</w:t>
      </w:r>
      <w:r w:rsidRPr="00E5190C">
        <w:rPr>
          <w:rFonts w:ascii="Arial" w:hAnsi="Arial" w:cs="Arial"/>
          <w:noProof/>
        </w:rPr>
        <w:t xml:space="preserve"> www.mbfrf.org.  This information, in conjunction with other documents, is used to review and analyze an issuer’s current financial statu</w:t>
      </w:r>
      <w:r w:rsidRPr="00643C60">
        <w:rPr>
          <w:rFonts w:ascii="Arial" w:hAnsi="Arial" w:cs="Arial"/>
          <w:noProof/>
        </w:rPr>
        <w:t>s to obtain certain benefits of the MBS program.</w:t>
      </w:r>
    </w:p>
    <w:p w14:paraId="2DF69C74" w14:textId="77777777" w:rsidR="00AA627A" w:rsidRPr="00E5190C" w:rsidRDefault="00AA627A" w:rsidP="00E5190C">
      <w:pPr>
        <w:rPr>
          <w:rFonts w:ascii="Arial" w:hAnsi="Arial" w:cs="Arial"/>
          <w:noProof/>
          <w:u w:val="single"/>
        </w:rPr>
      </w:pPr>
    </w:p>
    <w:p w14:paraId="68DCD432" w14:textId="77777777" w:rsidR="00AA627A" w:rsidRPr="00E5190C" w:rsidRDefault="00AA627A" w:rsidP="000748EB">
      <w:pPr>
        <w:ind w:left="720"/>
        <w:rPr>
          <w:rStyle w:val="ft111"/>
          <w:rFonts w:ascii="Arial" w:hAnsi="Arial" w:cs="Arial"/>
          <w:b w:val="0"/>
          <w:color w:val="000000"/>
        </w:rPr>
      </w:pPr>
      <w:r w:rsidRPr="00E5190C">
        <w:rPr>
          <w:rFonts w:ascii="Arial" w:hAnsi="Arial" w:cs="Arial"/>
          <w:noProof/>
        </w:rPr>
        <w:t xml:space="preserve">It is estimated to take </w:t>
      </w:r>
      <w:r w:rsidR="00290C7F">
        <w:rPr>
          <w:rFonts w:ascii="Arial" w:hAnsi="Arial" w:cs="Arial"/>
          <w:noProof/>
        </w:rPr>
        <w:t>10</w:t>
      </w:r>
      <w:r w:rsidRPr="00E5190C">
        <w:rPr>
          <w:rFonts w:ascii="Arial" w:hAnsi="Arial" w:cs="Arial"/>
          <w:noProof/>
        </w:rPr>
        <w:t xml:space="preserve"> minutes for completion of the form.  The information is required by Ginnie Mae Handbook 5500.3,  Rev. 1.</w:t>
      </w:r>
    </w:p>
    <w:p w14:paraId="7AC57BFF" w14:textId="77777777" w:rsidR="00AA627A" w:rsidRPr="00814A0B" w:rsidRDefault="00AA627A">
      <w:pPr>
        <w:rPr>
          <w:rFonts w:ascii="Arial" w:hAnsi="Arial" w:cs="Arial"/>
          <w:b/>
          <w:noProof/>
          <w:u w:val="single"/>
        </w:rPr>
      </w:pPr>
    </w:p>
    <w:p w14:paraId="0532CCD1" w14:textId="77777777"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b/>
          <w:color w:val="000000"/>
          <w:sz w:val="18"/>
        </w:rPr>
        <w:t>3.</w:t>
      </w:r>
      <w:r w:rsidRPr="00CF597A">
        <w:rPr>
          <w:rFonts w:ascii="Arial" w:hAnsi="Arial" w:cs="Arial"/>
          <w:b/>
          <w:color w:val="000000"/>
          <w:sz w:val="18"/>
        </w:rPr>
        <w:tab/>
      </w:r>
      <w:r w:rsidRPr="00CF597A">
        <w:rPr>
          <w:rFonts w:ascii="Arial" w:hAnsi="Arial" w:cs="Arial"/>
          <w:b/>
          <w:color w:val="000000"/>
          <w:sz w:val="22"/>
        </w:rPr>
        <w:t>Describe whether, and to what extent, the collection of information is automated (item 13b1 of OMB form 83-i).  If it’s not automated, explain why not.  Also describe any other efforts to reduce burden.</w:t>
      </w:r>
    </w:p>
    <w:p w14:paraId="08E8260D" w14:textId="77777777" w:rsidR="009E4C3D" w:rsidRDefault="00AA627A" w:rsidP="009E4C3D">
      <w:pPr>
        <w:ind w:firstLine="360"/>
        <w:rPr>
          <w:rFonts w:ascii="Arial" w:hAnsi="Arial" w:cs="Arial"/>
        </w:rPr>
      </w:pPr>
      <w:r w:rsidRPr="009E4C3D">
        <w:rPr>
          <w:rFonts w:ascii="Arial" w:hAnsi="Arial" w:cs="Arial"/>
        </w:rPr>
        <w:t xml:space="preserve">Ginnie Mae has implemented automated and electronic means of submitting most of its collection of information </w:t>
      </w:r>
      <w:r w:rsidR="009E4C3D" w:rsidRPr="009E4C3D">
        <w:rPr>
          <w:rFonts w:ascii="Arial" w:hAnsi="Arial" w:cs="Arial"/>
        </w:rPr>
        <w:t xml:space="preserve">in </w:t>
      </w:r>
    </w:p>
    <w:p w14:paraId="4D087612" w14:textId="77777777" w:rsidR="00045E20" w:rsidRPr="009E4C3D" w:rsidRDefault="00C5264D" w:rsidP="009E4C3D">
      <w:pPr>
        <w:ind w:firstLine="360"/>
        <w:rPr>
          <w:rFonts w:ascii="Arial" w:hAnsi="Arial" w:cs="Arial"/>
        </w:rPr>
      </w:pPr>
      <w:r w:rsidRPr="009E4C3D">
        <w:rPr>
          <w:rFonts w:ascii="Arial" w:hAnsi="Arial" w:cs="Arial"/>
        </w:rPr>
        <w:t xml:space="preserve">order to minimize </w:t>
      </w:r>
      <w:r w:rsidR="00AA627A" w:rsidRPr="009E4C3D">
        <w:rPr>
          <w:rFonts w:ascii="Arial" w:hAnsi="Arial" w:cs="Arial"/>
        </w:rPr>
        <w:t>burden.</w:t>
      </w:r>
    </w:p>
    <w:p w14:paraId="58A676F7" w14:textId="77777777" w:rsidR="009E4C3D" w:rsidRDefault="009E4C3D">
      <w:pPr>
        <w:keepLines/>
        <w:tabs>
          <w:tab w:val="left" w:pos="360"/>
        </w:tabs>
        <w:spacing w:after="80"/>
        <w:ind w:left="720" w:hanging="360"/>
        <w:rPr>
          <w:rFonts w:ascii="Arial" w:hAnsi="Arial" w:cs="Arial"/>
          <w:bCs/>
          <w:color w:val="000000"/>
          <w:u w:val="single"/>
        </w:rPr>
      </w:pPr>
    </w:p>
    <w:p w14:paraId="052EC730" w14:textId="77777777" w:rsidR="00045E20" w:rsidRPr="00045E20" w:rsidRDefault="00045E20">
      <w:pPr>
        <w:keepLines/>
        <w:tabs>
          <w:tab w:val="left" w:pos="360"/>
        </w:tabs>
        <w:spacing w:after="80"/>
        <w:ind w:left="720" w:hanging="360"/>
        <w:rPr>
          <w:rFonts w:ascii="Arial" w:hAnsi="Arial" w:cs="Arial"/>
          <w:bCs/>
          <w:color w:val="000000"/>
          <w:u w:val="single"/>
        </w:rPr>
      </w:pPr>
      <w:r>
        <w:rPr>
          <w:rFonts w:ascii="Arial" w:hAnsi="Arial" w:cs="Arial"/>
          <w:bCs/>
          <w:color w:val="000000"/>
          <w:u w:val="single"/>
        </w:rPr>
        <w:t>GinnieNET:</w:t>
      </w:r>
    </w:p>
    <w:p w14:paraId="6E9C2DAA" w14:textId="77777777" w:rsidR="009E4C3D" w:rsidRDefault="00AA627A" w:rsidP="009E4C3D">
      <w:pPr>
        <w:ind w:firstLine="360"/>
        <w:rPr>
          <w:rFonts w:ascii="Arial" w:hAnsi="Arial" w:cs="Arial"/>
        </w:rPr>
      </w:pPr>
      <w:r w:rsidRPr="009E4C3D">
        <w:rPr>
          <w:rFonts w:ascii="Arial" w:hAnsi="Arial" w:cs="Arial"/>
        </w:rPr>
        <w:t>GinnieNET is used by the issuers and document custodians to collect and retrieve information a</w:t>
      </w:r>
      <w:r w:rsidR="009E4C3D" w:rsidRPr="009E4C3D">
        <w:rPr>
          <w:rFonts w:ascii="Arial" w:hAnsi="Arial" w:cs="Arial"/>
        </w:rPr>
        <w:t>s it relates to pool</w:t>
      </w:r>
    </w:p>
    <w:p w14:paraId="7890B98E" w14:textId="77777777" w:rsidR="009E4C3D" w:rsidRDefault="00C5264D" w:rsidP="009E4C3D">
      <w:pPr>
        <w:ind w:firstLine="360"/>
        <w:rPr>
          <w:rFonts w:ascii="Arial" w:hAnsi="Arial" w:cs="Arial"/>
        </w:rPr>
      </w:pPr>
      <w:r w:rsidRPr="009E4C3D">
        <w:rPr>
          <w:rFonts w:ascii="Arial" w:hAnsi="Arial" w:cs="Arial"/>
        </w:rPr>
        <w:t>processing.  It is also use</w:t>
      </w:r>
      <w:r w:rsidR="008C71F4" w:rsidRPr="009E4C3D">
        <w:rPr>
          <w:rFonts w:ascii="Arial" w:hAnsi="Arial" w:cs="Arial"/>
        </w:rPr>
        <w:t>d</w:t>
      </w:r>
      <w:r w:rsidRPr="009E4C3D">
        <w:rPr>
          <w:rFonts w:ascii="Arial" w:hAnsi="Arial" w:cs="Arial"/>
        </w:rPr>
        <w:t xml:space="preserve"> for the reporting of remaining principal balances to Ginnie</w:t>
      </w:r>
      <w:r w:rsidR="00AA627A" w:rsidRPr="009E4C3D">
        <w:rPr>
          <w:rFonts w:ascii="Arial" w:hAnsi="Arial" w:cs="Arial"/>
        </w:rPr>
        <w:t xml:space="preserve"> Mae.  Ginnie Mae participants </w:t>
      </w:r>
    </w:p>
    <w:p w14:paraId="632B84E1" w14:textId="77777777" w:rsidR="00045E20" w:rsidRPr="009E4C3D" w:rsidRDefault="00AA627A" w:rsidP="009E4C3D">
      <w:pPr>
        <w:ind w:firstLine="360"/>
        <w:rPr>
          <w:rFonts w:ascii="Arial" w:hAnsi="Arial" w:cs="Arial"/>
        </w:rPr>
      </w:pPr>
      <w:r w:rsidRPr="009E4C3D">
        <w:rPr>
          <w:rFonts w:ascii="Arial" w:hAnsi="Arial" w:cs="Arial"/>
        </w:rPr>
        <w:t xml:space="preserve">must </w:t>
      </w:r>
      <w:r w:rsidR="008C71F4" w:rsidRPr="009E4C3D">
        <w:rPr>
          <w:rFonts w:ascii="Arial" w:hAnsi="Arial" w:cs="Arial"/>
        </w:rPr>
        <w:t xml:space="preserve">submit </w:t>
      </w:r>
      <w:r w:rsidR="00E12A75" w:rsidRPr="009E4C3D">
        <w:rPr>
          <w:rFonts w:ascii="Arial" w:hAnsi="Arial" w:cs="Arial"/>
        </w:rPr>
        <w:t>their monthly report of pool and loan level data via the</w:t>
      </w:r>
      <w:r w:rsidR="003E19F7" w:rsidRPr="009E4C3D">
        <w:rPr>
          <w:rFonts w:ascii="Arial" w:hAnsi="Arial" w:cs="Arial"/>
        </w:rPr>
        <w:t xml:space="preserve"> RFS Module in </w:t>
      </w:r>
      <w:r w:rsidRPr="009E4C3D">
        <w:rPr>
          <w:rFonts w:ascii="Arial" w:hAnsi="Arial" w:cs="Arial"/>
        </w:rPr>
        <w:t xml:space="preserve">Ginnie Mae’s </w:t>
      </w:r>
      <w:r w:rsidR="00472F9A" w:rsidRPr="009E4C3D">
        <w:rPr>
          <w:rFonts w:ascii="Arial" w:hAnsi="Arial" w:cs="Arial"/>
        </w:rPr>
        <w:t xml:space="preserve">Enterprise </w:t>
      </w:r>
      <w:r w:rsidR="003E19F7" w:rsidRPr="009E4C3D">
        <w:rPr>
          <w:rFonts w:ascii="Arial" w:hAnsi="Arial" w:cs="Arial"/>
        </w:rPr>
        <w:t>portal</w:t>
      </w:r>
      <w:r w:rsidR="00E12A75" w:rsidRPr="009E4C3D">
        <w:rPr>
          <w:rFonts w:ascii="Arial" w:hAnsi="Arial" w:cs="Arial"/>
        </w:rPr>
        <w:t xml:space="preserve">.  </w:t>
      </w:r>
    </w:p>
    <w:p w14:paraId="1795952A" w14:textId="77777777" w:rsidR="009E4C3D" w:rsidRDefault="00045E20" w:rsidP="009E4C3D">
      <w:pPr>
        <w:ind w:firstLine="360"/>
        <w:rPr>
          <w:rFonts w:ascii="Arial" w:hAnsi="Arial" w:cs="Arial"/>
        </w:rPr>
      </w:pPr>
      <w:r w:rsidRPr="009E4C3D">
        <w:rPr>
          <w:rFonts w:ascii="Arial" w:hAnsi="Arial" w:cs="Arial"/>
        </w:rPr>
        <w:t xml:space="preserve">The following forms are submitted using GinnieNET:  11705, 11705H, 11706, 11706H, 11708, 11711B, 11714, </w:t>
      </w:r>
    </w:p>
    <w:p w14:paraId="60883589" w14:textId="77777777" w:rsidR="00045E20" w:rsidRPr="009E4C3D" w:rsidRDefault="00045E20" w:rsidP="009E4C3D">
      <w:pPr>
        <w:ind w:firstLine="360"/>
        <w:rPr>
          <w:rFonts w:ascii="Arial" w:hAnsi="Arial" w:cs="Arial"/>
        </w:rPr>
      </w:pPr>
      <w:r w:rsidRPr="009E4C3D">
        <w:rPr>
          <w:rFonts w:ascii="Arial" w:hAnsi="Arial" w:cs="Arial"/>
        </w:rPr>
        <w:t>11714SN and 11732.</w:t>
      </w:r>
    </w:p>
    <w:p w14:paraId="647ABB55" w14:textId="77777777" w:rsidR="00045E20" w:rsidRDefault="00045E20" w:rsidP="00F24AE4">
      <w:pPr>
        <w:keepLines/>
        <w:tabs>
          <w:tab w:val="left" w:pos="360"/>
        </w:tabs>
        <w:spacing w:after="80"/>
        <w:ind w:left="720" w:hanging="360"/>
        <w:rPr>
          <w:rFonts w:ascii="Arial" w:hAnsi="Arial" w:cs="Arial"/>
          <w:bCs/>
          <w:color w:val="000000"/>
        </w:rPr>
      </w:pPr>
      <w:r>
        <w:rPr>
          <w:rFonts w:ascii="Arial" w:hAnsi="Arial" w:cs="Arial"/>
          <w:bCs/>
          <w:color w:val="000000"/>
        </w:rPr>
        <w:tab/>
      </w:r>
    </w:p>
    <w:p w14:paraId="5371A1AA" w14:textId="77777777" w:rsidR="00F24AE4" w:rsidRPr="00A032CB" w:rsidRDefault="00F24AE4" w:rsidP="00F24AE4">
      <w:pPr>
        <w:keepLines/>
        <w:tabs>
          <w:tab w:val="left" w:pos="360"/>
        </w:tabs>
        <w:spacing w:after="80"/>
        <w:ind w:left="720" w:hanging="360"/>
        <w:rPr>
          <w:rFonts w:ascii="Arial" w:hAnsi="Arial" w:cs="Arial"/>
          <w:bCs/>
          <w:color w:val="000000"/>
        </w:rPr>
      </w:pPr>
      <w:r w:rsidRPr="00A032CB">
        <w:rPr>
          <w:rFonts w:ascii="Arial" w:hAnsi="Arial" w:cs="Arial"/>
          <w:bCs/>
          <w:color w:val="000000"/>
          <w:u w:val="single"/>
        </w:rPr>
        <w:t>Ginnie Mae Enterprise Wide Portal</w:t>
      </w:r>
      <w:r w:rsidR="00546BEE">
        <w:rPr>
          <w:rFonts w:ascii="Arial" w:hAnsi="Arial" w:cs="Arial"/>
          <w:bCs/>
          <w:color w:val="000000"/>
          <w:u w:val="single"/>
        </w:rPr>
        <w:t>:</w:t>
      </w:r>
    </w:p>
    <w:p w14:paraId="4953E547" w14:textId="77777777" w:rsidR="009E4C3D" w:rsidRDefault="009E4C3D" w:rsidP="009E4C3D">
      <w:pPr>
        <w:tabs>
          <w:tab w:val="left" w:pos="360"/>
        </w:tabs>
        <w:rPr>
          <w:rFonts w:ascii="Arial" w:hAnsi="Arial" w:cs="Arial"/>
          <w:bCs/>
          <w:color w:val="000000"/>
        </w:rPr>
      </w:pPr>
      <w:r>
        <w:rPr>
          <w:rFonts w:ascii="Arial" w:hAnsi="Arial" w:cs="Arial"/>
          <w:bCs/>
          <w:color w:val="000000"/>
        </w:rPr>
        <w:tab/>
      </w:r>
      <w:r w:rsidR="00F24AE4" w:rsidRPr="00A032CB">
        <w:rPr>
          <w:rFonts w:ascii="Arial" w:hAnsi="Arial" w:cs="Arial"/>
          <w:bCs/>
          <w:color w:val="000000"/>
        </w:rPr>
        <w:t xml:space="preserve">Ginnie Mae’s Enterprise Wide Portal is a secure web-based system.  The Ginnie Mae portal provides access to </w:t>
      </w:r>
    </w:p>
    <w:p w14:paraId="328FAB90" w14:textId="77777777" w:rsidR="00045E20" w:rsidRDefault="009E4C3D" w:rsidP="009E4C3D">
      <w:pPr>
        <w:tabs>
          <w:tab w:val="left" w:pos="360"/>
        </w:tabs>
        <w:rPr>
          <w:rFonts w:ascii="Arial" w:hAnsi="Arial" w:cs="Arial"/>
          <w:bCs/>
          <w:color w:val="000000"/>
        </w:rPr>
      </w:pPr>
      <w:r>
        <w:rPr>
          <w:rFonts w:ascii="Arial" w:hAnsi="Arial" w:cs="Arial"/>
          <w:bCs/>
          <w:color w:val="000000"/>
        </w:rPr>
        <w:tab/>
      </w:r>
      <w:r w:rsidR="00F24AE4" w:rsidRPr="00A032CB">
        <w:rPr>
          <w:rFonts w:ascii="Arial" w:hAnsi="Arial" w:cs="Arial"/>
          <w:bCs/>
          <w:color w:val="000000"/>
        </w:rPr>
        <w:t xml:space="preserve">several applications, which include </w:t>
      </w:r>
      <w:r w:rsidR="00045E20">
        <w:rPr>
          <w:rFonts w:ascii="Arial" w:hAnsi="Arial" w:cs="Arial"/>
          <w:bCs/>
          <w:color w:val="000000"/>
        </w:rPr>
        <w:t>the following:</w:t>
      </w:r>
    </w:p>
    <w:p w14:paraId="4CB573D3" w14:textId="77777777" w:rsidR="00045E20" w:rsidRDefault="00045E20" w:rsidP="00F24AE4">
      <w:pPr>
        <w:tabs>
          <w:tab w:val="left" w:pos="360"/>
        </w:tabs>
        <w:ind w:left="720"/>
        <w:rPr>
          <w:rFonts w:ascii="Arial" w:hAnsi="Arial" w:cs="Arial"/>
          <w:bCs/>
          <w:color w:val="000000"/>
        </w:rPr>
      </w:pPr>
    </w:p>
    <w:p w14:paraId="68294E8D" w14:textId="77777777" w:rsidR="009E4C3D" w:rsidRDefault="009E4C3D" w:rsidP="009E4C3D">
      <w:pPr>
        <w:tabs>
          <w:tab w:val="left" w:pos="360"/>
        </w:tabs>
        <w:rPr>
          <w:rFonts w:ascii="Arial" w:hAnsi="Arial" w:cs="Arial"/>
          <w:bCs/>
          <w:color w:val="000000"/>
        </w:rPr>
      </w:pPr>
      <w:r>
        <w:rPr>
          <w:rFonts w:ascii="Arial" w:hAnsi="Arial" w:cs="Arial"/>
          <w:bCs/>
          <w:color w:val="000000"/>
        </w:rPr>
        <w:tab/>
      </w:r>
      <w:r w:rsidR="00F24AE4" w:rsidRPr="00A032CB">
        <w:rPr>
          <w:rFonts w:ascii="Arial" w:hAnsi="Arial" w:cs="Arial"/>
          <w:bCs/>
          <w:color w:val="000000"/>
        </w:rPr>
        <w:t>Reporting and Feedback System</w:t>
      </w:r>
      <w:r w:rsidR="00045E20">
        <w:rPr>
          <w:rFonts w:ascii="Arial" w:hAnsi="Arial" w:cs="Arial"/>
          <w:bCs/>
          <w:color w:val="000000"/>
        </w:rPr>
        <w:t xml:space="preserve"> (11710D, 11710-DH, 11710A, 11710E, 1710B, 1710C, Appendices </w:t>
      </w:r>
      <w:r w:rsidR="00546BEE">
        <w:rPr>
          <w:rFonts w:ascii="Arial" w:hAnsi="Arial" w:cs="Arial"/>
          <w:bCs/>
          <w:color w:val="000000"/>
        </w:rPr>
        <w:t>VI-14, VI-16,</w:t>
      </w:r>
    </w:p>
    <w:p w14:paraId="13B75C74" w14:textId="77777777" w:rsidR="00045E20" w:rsidRDefault="009E4C3D" w:rsidP="009E4C3D">
      <w:pPr>
        <w:tabs>
          <w:tab w:val="left" w:pos="360"/>
        </w:tabs>
        <w:rPr>
          <w:rFonts w:ascii="Arial" w:hAnsi="Arial" w:cs="Arial"/>
          <w:bCs/>
          <w:color w:val="000000"/>
        </w:rPr>
      </w:pPr>
      <w:r>
        <w:rPr>
          <w:rFonts w:ascii="Arial" w:hAnsi="Arial" w:cs="Arial"/>
          <w:bCs/>
          <w:color w:val="000000"/>
        </w:rPr>
        <w:tab/>
      </w:r>
      <w:r w:rsidR="00546BEE">
        <w:rPr>
          <w:rFonts w:ascii="Arial" w:hAnsi="Arial" w:cs="Arial"/>
          <w:bCs/>
          <w:color w:val="000000"/>
        </w:rPr>
        <w:t xml:space="preserve"> </w:t>
      </w:r>
      <w:r w:rsidR="00045E20">
        <w:rPr>
          <w:rFonts w:ascii="Arial" w:hAnsi="Arial" w:cs="Arial"/>
          <w:bCs/>
          <w:color w:val="000000"/>
        </w:rPr>
        <w:t>VI-1</w:t>
      </w:r>
      <w:r w:rsidR="00BE30B2">
        <w:rPr>
          <w:rFonts w:ascii="Arial" w:hAnsi="Arial" w:cs="Arial"/>
          <w:bCs/>
          <w:color w:val="000000"/>
        </w:rPr>
        <w:t>7</w:t>
      </w:r>
      <w:r w:rsidR="00045E20">
        <w:rPr>
          <w:rFonts w:ascii="Arial" w:hAnsi="Arial" w:cs="Arial"/>
          <w:bCs/>
          <w:color w:val="000000"/>
        </w:rPr>
        <w:t xml:space="preserve"> and VI-1</w:t>
      </w:r>
      <w:r w:rsidR="00BE30B2">
        <w:rPr>
          <w:rFonts w:ascii="Arial" w:hAnsi="Arial" w:cs="Arial"/>
          <w:bCs/>
          <w:color w:val="000000"/>
        </w:rPr>
        <w:t>9</w:t>
      </w:r>
      <w:r w:rsidR="00045E20">
        <w:rPr>
          <w:rFonts w:ascii="Arial" w:hAnsi="Arial" w:cs="Arial"/>
          <w:bCs/>
          <w:color w:val="000000"/>
        </w:rPr>
        <w:t>)</w:t>
      </w:r>
      <w:r w:rsidR="004E6B1F">
        <w:rPr>
          <w:rFonts w:ascii="Arial" w:hAnsi="Arial" w:cs="Arial"/>
          <w:bCs/>
          <w:color w:val="000000"/>
        </w:rPr>
        <w:t>,</w:t>
      </w:r>
    </w:p>
    <w:p w14:paraId="7C6290D3" w14:textId="77777777" w:rsidR="00045E20" w:rsidRDefault="00045E20" w:rsidP="009E4C3D">
      <w:pPr>
        <w:tabs>
          <w:tab w:val="left" w:pos="360"/>
        </w:tabs>
        <w:rPr>
          <w:rFonts w:ascii="Arial" w:hAnsi="Arial" w:cs="Arial"/>
          <w:bCs/>
          <w:color w:val="000000"/>
        </w:rPr>
      </w:pPr>
      <w:r>
        <w:rPr>
          <w:rFonts w:ascii="Arial" w:hAnsi="Arial" w:cs="Arial"/>
          <w:bCs/>
          <w:color w:val="000000"/>
        </w:rPr>
        <w:tab/>
      </w:r>
      <w:r w:rsidR="00F24AE4" w:rsidRPr="00A032CB">
        <w:rPr>
          <w:rFonts w:ascii="Arial" w:hAnsi="Arial" w:cs="Arial"/>
          <w:bCs/>
          <w:color w:val="000000"/>
        </w:rPr>
        <w:t>Servicemember’s Civil Relief Act</w:t>
      </w:r>
      <w:r>
        <w:rPr>
          <w:rFonts w:ascii="Arial" w:hAnsi="Arial" w:cs="Arial"/>
          <w:bCs/>
          <w:color w:val="000000"/>
        </w:rPr>
        <w:t xml:space="preserve"> (Appendices XI-6, XI-8 and XI-9)</w:t>
      </w:r>
      <w:r w:rsidR="00F24AE4" w:rsidRPr="00A032CB">
        <w:rPr>
          <w:rFonts w:ascii="Arial" w:hAnsi="Arial" w:cs="Arial"/>
          <w:bCs/>
          <w:color w:val="000000"/>
        </w:rPr>
        <w:t>,</w:t>
      </w:r>
    </w:p>
    <w:p w14:paraId="6C5AE1D1" w14:textId="77777777" w:rsidR="00045E20" w:rsidRDefault="00045E20" w:rsidP="009E4C3D">
      <w:pPr>
        <w:tabs>
          <w:tab w:val="left" w:pos="360"/>
        </w:tabs>
        <w:rPr>
          <w:rFonts w:ascii="Arial" w:hAnsi="Arial" w:cs="Arial"/>
          <w:bCs/>
          <w:color w:val="000000"/>
        </w:rPr>
      </w:pPr>
      <w:r>
        <w:rPr>
          <w:rFonts w:ascii="Arial" w:hAnsi="Arial" w:cs="Arial"/>
          <w:bCs/>
          <w:color w:val="000000"/>
        </w:rPr>
        <w:tab/>
        <w:t>Master Agreement Management System (11702, 11703-II, 11707, 11709, 11709-A, 11715, and 11720)</w:t>
      </w:r>
    </w:p>
    <w:p w14:paraId="7595EFCE" w14:textId="77777777" w:rsidR="00045E20" w:rsidRDefault="00045E20" w:rsidP="009E4C3D">
      <w:pPr>
        <w:tabs>
          <w:tab w:val="left" w:pos="360"/>
        </w:tabs>
        <w:rPr>
          <w:rFonts w:ascii="Arial" w:hAnsi="Arial" w:cs="Arial"/>
          <w:bCs/>
          <w:color w:val="000000"/>
        </w:rPr>
      </w:pPr>
      <w:r>
        <w:rPr>
          <w:rFonts w:ascii="Arial" w:hAnsi="Arial" w:cs="Arial"/>
          <w:bCs/>
          <w:color w:val="000000"/>
        </w:rPr>
        <w:tab/>
        <w:t>Commitment Management (11700 and 11704)</w:t>
      </w:r>
    </w:p>
    <w:p w14:paraId="141DACCC" w14:textId="77777777" w:rsidR="00045E20" w:rsidRDefault="00045E20" w:rsidP="009E4C3D">
      <w:pPr>
        <w:tabs>
          <w:tab w:val="left" w:pos="360"/>
        </w:tabs>
        <w:rPr>
          <w:rFonts w:ascii="Arial" w:hAnsi="Arial" w:cs="Arial"/>
          <w:bCs/>
          <w:color w:val="000000"/>
        </w:rPr>
      </w:pPr>
      <w:r>
        <w:rPr>
          <w:rFonts w:ascii="Arial" w:hAnsi="Arial" w:cs="Arial"/>
          <w:bCs/>
          <w:color w:val="000000"/>
        </w:rPr>
        <w:tab/>
        <w:t>Request Pool Numbers (11700)</w:t>
      </w:r>
    </w:p>
    <w:p w14:paraId="517AC46F" w14:textId="77777777" w:rsidR="00045E20" w:rsidRDefault="00045E20" w:rsidP="009E4C3D">
      <w:pPr>
        <w:tabs>
          <w:tab w:val="left" w:pos="360"/>
        </w:tabs>
        <w:rPr>
          <w:rFonts w:ascii="Arial" w:hAnsi="Arial" w:cs="Arial"/>
          <w:bCs/>
          <w:color w:val="000000"/>
        </w:rPr>
      </w:pPr>
      <w:r>
        <w:rPr>
          <w:rFonts w:ascii="Arial" w:hAnsi="Arial" w:cs="Arial"/>
          <w:bCs/>
          <w:color w:val="000000"/>
        </w:rPr>
        <w:tab/>
        <w:t>Pool Transfer System (Appendix VIII-3)</w:t>
      </w:r>
    </w:p>
    <w:p w14:paraId="6DCEA43F" w14:textId="77777777" w:rsidR="00045E20" w:rsidRDefault="009E4C3D" w:rsidP="009E4C3D">
      <w:pPr>
        <w:tabs>
          <w:tab w:val="left" w:pos="360"/>
        </w:tabs>
        <w:rPr>
          <w:rFonts w:ascii="Arial" w:hAnsi="Arial" w:cs="Arial"/>
          <w:bCs/>
          <w:color w:val="000000"/>
        </w:rPr>
      </w:pPr>
      <w:r>
        <w:rPr>
          <w:rFonts w:ascii="Arial" w:hAnsi="Arial" w:cs="Arial"/>
          <w:bCs/>
          <w:color w:val="000000"/>
        </w:rPr>
        <w:tab/>
      </w:r>
      <w:r w:rsidR="00045E20">
        <w:rPr>
          <w:rFonts w:ascii="Arial" w:hAnsi="Arial" w:cs="Arial"/>
          <w:bCs/>
          <w:color w:val="000000"/>
        </w:rPr>
        <w:t>Independent Public Accounting (Appendix VI-20)</w:t>
      </w:r>
    </w:p>
    <w:p w14:paraId="2B80017E" w14:textId="77777777" w:rsidR="00546BEE" w:rsidRDefault="009E4C3D" w:rsidP="009E4C3D">
      <w:pPr>
        <w:tabs>
          <w:tab w:val="left" w:pos="360"/>
        </w:tabs>
        <w:rPr>
          <w:rFonts w:ascii="Arial" w:hAnsi="Arial" w:cs="Arial"/>
          <w:bCs/>
          <w:color w:val="000000"/>
        </w:rPr>
      </w:pPr>
      <w:r>
        <w:rPr>
          <w:rFonts w:ascii="Arial" w:hAnsi="Arial" w:cs="Arial"/>
          <w:bCs/>
          <w:color w:val="000000"/>
        </w:rPr>
        <w:tab/>
      </w:r>
      <w:r w:rsidR="00045E20">
        <w:rPr>
          <w:rFonts w:ascii="Arial" w:hAnsi="Arial" w:cs="Arial"/>
          <w:bCs/>
          <w:color w:val="000000"/>
        </w:rPr>
        <w:t>Widely Held Fixed Investment Trust (WHIFT – Appendix VI-18)</w:t>
      </w:r>
    </w:p>
    <w:p w14:paraId="68C61B4F" w14:textId="77777777" w:rsidR="00546BEE" w:rsidRDefault="00546BEE" w:rsidP="00F24AE4">
      <w:pPr>
        <w:tabs>
          <w:tab w:val="left" w:pos="360"/>
        </w:tabs>
        <w:ind w:left="720"/>
        <w:rPr>
          <w:rFonts w:ascii="Arial" w:hAnsi="Arial" w:cs="Arial"/>
          <w:bCs/>
          <w:color w:val="000000"/>
        </w:rPr>
      </w:pPr>
    </w:p>
    <w:p w14:paraId="13128C0E" w14:textId="77777777" w:rsidR="00546BEE" w:rsidRDefault="009E4C3D" w:rsidP="009E4C3D">
      <w:pPr>
        <w:tabs>
          <w:tab w:val="left" w:pos="360"/>
        </w:tabs>
        <w:rPr>
          <w:rFonts w:ascii="Arial" w:hAnsi="Arial" w:cs="Arial"/>
          <w:bCs/>
          <w:color w:val="000000"/>
          <w:u w:val="single"/>
        </w:rPr>
      </w:pPr>
      <w:r>
        <w:rPr>
          <w:rFonts w:ascii="Arial" w:hAnsi="Arial" w:cs="Arial"/>
          <w:bCs/>
          <w:color w:val="000000"/>
        </w:rPr>
        <w:tab/>
      </w:r>
      <w:r w:rsidR="00546BEE">
        <w:rPr>
          <w:rFonts w:ascii="Arial" w:hAnsi="Arial" w:cs="Arial"/>
          <w:bCs/>
          <w:color w:val="000000"/>
          <w:u w:val="single"/>
        </w:rPr>
        <w:t>Ginnie Mae Website:</w:t>
      </w:r>
    </w:p>
    <w:p w14:paraId="4993AD35" w14:textId="77777777" w:rsidR="00546BEE" w:rsidRDefault="00546BEE" w:rsidP="00F24AE4">
      <w:pPr>
        <w:tabs>
          <w:tab w:val="left" w:pos="360"/>
        </w:tabs>
        <w:ind w:left="720"/>
        <w:rPr>
          <w:rFonts w:ascii="Arial" w:hAnsi="Arial" w:cs="Arial"/>
          <w:bCs/>
          <w:color w:val="000000"/>
          <w:u w:val="single"/>
        </w:rPr>
      </w:pPr>
    </w:p>
    <w:p w14:paraId="4168A5F7" w14:textId="77777777" w:rsidR="00F24AE4" w:rsidRPr="00A032CB" w:rsidRDefault="00546BEE" w:rsidP="00546BEE">
      <w:pPr>
        <w:tabs>
          <w:tab w:val="left" w:pos="360"/>
        </w:tabs>
        <w:rPr>
          <w:rFonts w:ascii="Arial" w:hAnsi="Arial" w:cs="Arial"/>
          <w:bCs/>
          <w:color w:val="000000"/>
        </w:rPr>
      </w:pPr>
      <w:r>
        <w:rPr>
          <w:rFonts w:ascii="Arial" w:hAnsi="Arial" w:cs="Arial"/>
          <w:bCs/>
          <w:color w:val="000000"/>
        </w:rPr>
        <w:tab/>
        <w:t>How Do I Become an Issuer (Form 11701)</w:t>
      </w:r>
      <w:r w:rsidR="00F24AE4" w:rsidRPr="00A032CB">
        <w:rPr>
          <w:rFonts w:ascii="Arial" w:hAnsi="Arial" w:cs="Arial"/>
          <w:bCs/>
          <w:color w:val="000000"/>
        </w:rPr>
        <w:t xml:space="preserve">   </w:t>
      </w:r>
    </w:p>
    <w:p w14:paraId="66B3DB28" w14:textId="77777777" w:rsidR="008B774C" w:rsidRPr="00A032CB" w:rsidRDefault="008B774C" w:rsidP="00F24AE4">
      <w:pPr>
        <w:tabs>
          <w:tab w:val="left" w:pos="360"/>
        </w:tabs>
        <w:ind w:left="720"/>
        <w:rPr>
          <w:rFonts w:ascii="Arial" w:hAnsi="Arial" w:cs="Arial"/>
          <w:bCs/>
          <w:color w:val="000000"/>
        </w:rPr>
      </w:pPr>
    </w:p>
    <w:p w14:paraId="1CEB72FD" w14:textId="77777777"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b/>
          <w:color w:val="000000"/>
          <w:sz w:val="18"/>
        </w:rPr>
        <w:t>4.</w:t>
      </w:r>
      <w:r w:rsidRPr="00CF597A">
        <w:rPr>
          <w:rFonts w:ascii="Arial" w:hAnsi="Arial" w:cs="Arial"/>
          <w:b/>
          <w:color w:val="000000"/>
          <w:sz w:val="18"/>
        </w:rPr>
        <w:tab/>
      </w:r>
      <w:r w:rsidRPr="00CF597A">
        <w:rPr>
          <w:rFonts w:ascii="Arial" w:hAnsi="Arial" w:cs="Arial"/>
          <w:b/>
          <w:color w:val="000000"/>
          <w:sz w:val="22"/>
        </w:rPr>
        <w:t>Is this information collected elsewhere?  If so, why cannot any similar information already available be used or modified.</w:t>
      </w:r>
    </w:p>
    <w:p w14:paraId="0FA70524" w14:textId="77777777" w:rsidR="00AA627A" w:rsidRPr="00CF597A" w:rsidRDefault="00AA627A">
      <w:pPr>
        <w:keepLines/>
        <w:tabs>
          <w:tab w:val="left" w:pos="360"/>
        </w:tabs>
        <w:spacing w:after="80"/>
        <w:ind w:left="360" w:hanging="360"/>
        <w:rPr>
          <w:rFonts w:ascii="Arial" w:hAnsi="Arial" w:cs="Arial"/>
          <w:bCs/>
          <w:color w:val="000000"/>
        </w:rPr>
      </w:pPr>
      <w:r w:rsidRPr="00CF597A">
        <w:rPr>
          <w:rFonts w:ascii="Arial" w:hAnsi="Arial" w:cs="Arial"/>
          <w:color w:val="000000"/>
          <w:sz w:val="22"/>
        </w:rPr>
        <w:tab/>
      </w:r>
      <w:r w:rsidR="00F174AB">
        <w:rPr>
          <w:rFonts w:ascii="Arial" w:hAnsi="Arial" w:cs="Arial"/>
          <w:bCs/>
          <w:color w:val="000000"/>
        </w:rPr>
        <w:t xml:space="preserve">This information </w:t>
      </w:r>
      <w:r w:rsidRPr="00CF597A">
        <w:rPr>
          <w:rFonts w:ascii="Arial" w:hAnsi="Arial" w:cs="Arial"/>
          <w:bCs/>
          <w:color w:val="000000"/>
        </w:rPr>
        <w:t>collection</w:t>
      </w:r>
      <w:r w:rsidR="00F174AB">
        <w:rPr>
          <w:rFonts w:ascii="Arial" w:hAnsi="Arial" w:cs="Arial"/>
          <w:bCs/>
          <w:color w:val="000000"/>
        </w:rPr>
        <w:t xml:space="preserve"> effort does not duplicate any other effort, so it will not produce or create </w:t>
      </w:r>
      <w:r w:rsidRPr="00CF597A">
        <w:rPr>
          <w:rFonts w:ascii="Arial" w:hAnsi="Arial" w:cs="Arial"/>
          <w:bCs/>
          <w:color w:val="000000"/>
        </w:rPr>
        <w:t>duplication of information.</w:t>
      </w:r>
    </w:p>
    <w:p w14:paraId="157CF685" w14:textId="77777777" w:rsidR="00AA627A" w:rsidRPr="00CF597A" w:rsidRDefault="00AA627A">
      <w:pPr>
        <w:tabs>
          <w:tab w:val="left" w:pos="360"/>
        </w:tabs>
        <w:ind w:left="360" w:hanging="360"/>
        <w:rPr>
          <w:rFonts w:ascii="Arial" w:hAnsi="Arial" w:cs="Arial"/>
          <w:color w:val="000000"/>
          <w:sz w:val="18"/>
        </w:rPr>
      </w:pPr>
    </w:p>
    <w:p w14:paraId="760A07E2" w14:textId="77777777"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b/>
          <w:color w:val="000000"/>
          <w:sz w:val="18"/>
        </w:rPr>
        <w:t>5.</w:t>
      </w:r>
      <w:r w:rsidRPr="00CF597A">
        <w:rPr>
          <w:rFonts w:ascii="Arial" w:hAnsi="Arial" w:cs="Arial"/>
          <w:b/>
          <w:color w:val="000000"/>
          <w:sz w:val="18"/>
        </w:rPr>
        <w:tab/>
      </w:r>
      <w:r w:rsidRPr="00CF597A">
        <w:rPr>
          <w:rFonts w:ascii="Arial" w:hAnsi="Arial" w:cs="Arial"/>
          <w:b/>
          <w:color w:val="000000"/>
          <w:sz w:val="22"/>
        </w:rPr>
        <w:t>Does the collection of information impact small businesses or other small entities (item 5 of OMB form 83-i)?  Describe any methods used to minimize burden.</w:t>
      </w:r>
    </w:p>
    <w:p w14:paraId="79DD5273" w14:textId="77777777" w:rsidR="009E4C3D" w:rsidRDefault="00AA627A" w:rsidP="009E4C3D">
      <w:pPr>
        <w:ind w:firstLine="360"/>
        <w:rPr>
          <w:rFonts w:ascii="Arial" w:hAnsi="Arial" w:cs="Arial"/>
        </w:rPr>
      </w:pPr>
      <w:r w:rsidRPr="009E4C3D">
        <w:rPr>
          <w:rFonts w:ascii="Arial" w:hAnsi="Arial" w:cs="Arial"/>
        </w:rPr>
        <w:t>There is no significant economic impact on small businesses or entities through the coll</w:t>
      </w:r>
      <w:r w:rsidR="00F174AB">
        <w:rPr>
          <w:rFonts w:ascii="Arial" w:hAnsi="Arial" w:cs="Arial"/>
        </w:rPr>
        <w:t xml:space="preserve">ection of the information. </w:t>
      </w:r>
      <w:r w:rsidR="009E4C3D" w:rsidRPr="009E4C3D">
        <w:rPr>
          <w:rFonts w:ascii="Arial" w:hAnsi="Arial" w:cs="Arial"/>
        </w:rPr>
        <w:t xml:space="preserve">The </w:t>
      </w:r>
    </w:p>
    <w:p w14:paraId="3AB0EE9A" w14:textId="77777777" w:rsidR="009E4C3D" w:rsidRDefault="00AA627A" w:rsidP="009E4C3D">
      <w:pPr>
        <w:ind w:firstLine="360"/>
        <w:rPr>
          <w:rFonts w:ascii="Arial" w:hAnsi="Arial" w:cs="Arial"/>
        </w:rPr>
      </w:pPr>
      <w:r w:rsidRPr="009E4C3D">
        <w:rPr>
          <w:rFonts w:ascii="Arial" w:hAnsi="Arial" w:cs="Arial"/>
        </w:rPr>
        <w:t xml:space="preserve">forms are designed to minimize burden, and Ginnie Mae is constantly reviewing its forms and processes to see how </w:t>
      </w:r>
    </w:p>
    <w:p w14:paraId="30BE6848" w14:textId="77777777" w:rsidR="00AA627A" w:rsidRPr="009E4C3D" w:rsidRDefault="00AA627A" w:rsidP="009E4C3D">
      <w:pPr>
        <w:ind w:firstLine="360"/>
        <w:rPr>
          <w:rFonts w:ascii="Arial" w:hAnsi="Arial" w:cs="Arial"/>
        </w:rPr>
      </w:pPr>
      <w:r w:rsidRPr="009E4C3D">
        <w:rPr>
          <w:rFonts w:ascii="Arial" w:hAnsi="Arial" w:cs="Arial"/>
        </w:rPr>
        <w:t xml:space="preserve">the forms and/or processes can </w:t>
      </w:r>
      <w:r w:rsidR="00F174AB">
        <w:rPr>
          <w:rFonts w:ascii="Arial" w:hAnsi="Arial" w:cs="Arial"/>
        </w:rPr>
        <w:t xml:space="preserve">be </w:t>
      </w:r>
      <w:r w:rsidRPr="009E4C3D">
        <w:rPr>
          <w:rFonts w:ascii="Arial" w:hAnsi="Arial" w:cs="Arial"/>
        </w:rPr>
        <w:t>streamlined to further minimize burden.</w:t>
      </w:r>
    </w:p>
    <w:p w14:paraId="13B35FEF" w14:textId="77777777" w:rsidR="00A940A4" w:rsidRPr="009E4C3D" w:rsidRDefault="00A940A4" w:rsidP="0034288A">
      <w:pPr>
        <w:tabs>
          <w:tab w:val="left" w:pos="360"/>
        </w:tabs>
        <w:rPr>
          <w:rFonts w:ascii="Arial" w:hAnsi="Arial" w:cs="Arial"/>
          <w:color w:val="000000"/>
          <w:sz w:val="18"/>
        </w:rPr>
      </w:pPr>
    </w:p>
    <w:p w14:paraId="63741C21" w14:textId="77777777" w:rsidR="00AA627A" w:rsidRPr="00CF597A" w:rsidRDefault="00AA627A">
      <w:pPr>
        <w:keepLines/>
        <w:numPr>
          <w:ilvl w:val="0"/>
          <w:numId w:val="16"/>
        </w:numPr>
        <w:tabs>
          <w:tab w:val="num" w:pos="360"/>
        </w:tabs>
        <w:spacing w:after="80"/>
        <w:ind w:left="360"/>
        <w:rPr>
          <w:rFonts w:ascii="Arial" w:hAnsi="Arial" w:cs="Arial"/>
          <w:b/>
          <w:color w:val="000000"/>
          <w:sz w:val="22"/>
        </w:rPr>
      </w:pPr>
      <w:r w:rsidRPr="00CF597A">
        <w:rPr>
          <w:rFonts w:ascii="Arial" w:hAnsi="Arial" w:cs="Arial"/>
          <w:b/>
          <w:color w:val="000000"/>
          <w:sz w:val="22"/>
        </w:rPr>
        <w:t xml:space="preserve">Describe the consequence to Federal program or policy activities if the collection is not </w:t>
      </w:r>
      <w:r w:rsidR="00CF597A">
        <w:rPr>
          <w:rFonts w:ascii="Arial" w:hAnsi="Arial" w:cs="Arial"/>
          <w:b/>
          <w:color w:val="000000"/>
          <w:sz w:val="22"/>
        </w:rPr>
        <w:t>conducted or is conducted less</w:t>
      </w:r>
      <w:r w:rsidRPr="00CF597A">
        <w:rPr>
          <w:rFonts w:ascii="Arial" w:hAnsi="Arial" w:cs="Arial"/>
          <w:b/>
          <w:color w:val="000000"/>
          <w:sz w:val="22"/>
        </w:rPr>
        <w:t xml:space="preserve"> frequently, as well as any technical or legal obstacles to reducing burden.</w:t>
      </w:r>
    </w:p>
    <w:p w14:paraId="786802B0" w14:textId="77777777" w:rsidR="00AA627A" w:rsidRPr="00CF597A" w:rsidRDefault="00AA627A">
      <w:pPr>
        <w:keepLines/>
        <w:tabs>
          <w:tab w:val="left" w:pos="360"/>
        </w:tabs>
        <w:spacing w:after="80"/>
        <w:ind w:left="720" w:hanging="360"/>
        <w:rPr>
          <w:rFonts w:ascii="Arial" w:hAnsi="Arial" w:cs="Arial"/>
          <w:bCs/>
          <w:color w:val="000000"/>
        </w:rPr>
      </w:pPr>
      <w:r w:rsidRPr="00CF597A">
        <w:rPr>
          <w:rFonts w:ascii="Arial" w:hAnsi="Arial" w:cs="Arial"/>
          <w:b/>
          <w:bCs/>
          <w:color w:val="000000"/>
        </w:rPr>
        <w:tab/>
      </w:r>
      <w:r w:rsidRPr="00CF597A">
        <w:rPr>
          <w:rFonts w:ascii="Arial" w:hAnsi="Arial" w:cs="Arial"/>
          <w:bCs/>
          <w:color w:val="000000"/>
        </w:rPr>
        <w:t>Ginnie Mae is a wholly-owned corporation of the United States within the Department of Housing and Urban Development whose guaranty of mortgage-backed securities is back by the full faith and credit of the United States</w:t>
      </w:r>
      <w:r w:rsidR="00F174AB">
        <w:rPr>
          <w:rFonts w:ascii="Arial" w:hAnsi="Arial" w:cs="Arial"/>
          <w:bCs/>
          <w:color w:val="000000"/>
        </w:rPr>
        <w:t xml:space="preserve"> Government</w:t>
      </w:r>
      <w:r w:rsidRPr="00CF597A">
        <w:rPr>
          <w:rFonts w:ascii="Arial" w:hAnsi="Arial" w:cs="Arial"/>
          <w:bCs/>
          <w:color w:val="000000"/>
        </w:rPr>
        <w:t xml:space="preserve">. As such, the information required from issuers is necessary for Ginnie Mae to issue mortgage-backed securities as each security is unique and determined by the information provided on the forms received from the issuers.  The collections permit Ginnie Mae to verify:  1) the individuals who are signing documents on behalf of an issuer are authorized to do so; 2) the name and location of the entities responsible for the various Ginnie Mae accounts and mortgage documents, and 3) those entities </w:t>
      </w:r>
      <w:r w:rsidR="00F174AB">
        <w:rPr>
          <w:rFonts w:ascii="Arial" w:hAnsi="Arial" w:cs="Arial"/>
          <w:bCs/>
          <w:color w:val="000000"/>
        </w:rPr>
        <w:t>that</w:t>
      </w:r>
      <w:r w:rsidRPr="00CF597A">
        <w:rPr>
          <w:rFonts w:ascii="Arial" w:hAnsi="Arial" w:cs="Arial"/>
          <w:bCs/>
          <w:color w:val="000000"/>
        </w:rPr>
        <w:t xml:space="preserve"> are responsible for servicing the mortgages that back the Ginnie Mae pools.  Ginnie Mae needs this information to mitigate risk and evaluate its business operations, procedures and programs.  Ginnie Mae also requires the collection of information to ensure that there are no deficiencies, which could affect the pass through of securities to its investors.</w:t>
      </w:r>
    </w:p>
    <w:p w14:paraId="493C1EEF" w14:textId="77777777" w:rsidR="00CD7740" w:rsidRPr="00CF597A" w:rsidRDefault="00CD7740">
      <w:pPr>
        <w:tabs>
          <w:tab w:val="left" w:pos="360"/>
        </w:tabs>
        <w:ind w:left="360" w:hanging="360"/>
        <w:rPr>
          <w:rFonts w:ascii="Arial" w:hAnsi="Arial" w:cs="Arial"/>
          <w:color w:val="000000"/>
          <w:sz w:val="18"/>
        </w:rPr>
      </w:pPr>
    </w:p>
    <w:p w14:paraId="227BA08D" w14:textId="77777777" w:rsidR="00AA627A" w:rsidRPr="00CF597A" w:rsidRDefault="00AA627A">
      <w:pPr>
        <w:tabs>
          <w:tab w:val="left" w:pos="360"/>
        </w:tabs>
        <w:rPr>
          <w:rFonts w:ascii="Arial" w:hAnsi="Arial" w:cs="Arial"/>
          <w:b/>
          <w:color w:val="000000"/>
          <w:sz w:val="22"/>
        </w:rPr>
      </w:pPr>
      <w:r w:rsidRPr="00CF597A">
        <w:rPr>
          <w:rFonts w:ascii="Arial" w:hAnsi="Arial" w:cs="Arial"/>
          <w:b/>
          <w:color w:val="000000"/>
          <w:sz w:val="18"/>
        </w:rPr>
        <w:t>7.</w:t>
      </w:r>
      <w:r w:rsidRPr="00CF597A">
        <w:rPr>
          <w:rFonts w:ascii="Arial" w:hAnsi="Arial" w:cs="Arial"/>
          <w:b/>
          <w:bCs/>
          <w:color w:val="000000"/>
          <w:sz w:val="22"/>
        </w:rPr>
        <w:tab/>
      </w:r>
      <w:r w:rsidRPr="00CF597A">
        <w:rPr>
          <w:rFonts w:ascii="Arial" w:hAnsi="Arial" w:cs="Arial"/>
          <w:b/>
          <w:color w:val="000000"/>
          <w:sz w:val="22"/>
        </w:rPr>
        <w:t xml:space="preserve">Explain any special circumstances requiring: </w:t>
      </w:r>
    </w:p>
    <w:p w14:paraId="7BCB0002" w14:textId="77777777"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respondents to report information more than quarterly; </w:t>
      </w:r>
    </w:p>
    <w:p w14:paraId="35CC552C" w14:textId="77777777"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a written response in fewer than 30; </w:t>
      </w:r>
    </w:p>
    <w:p w14:paraId="7AEC49FB" w14:textId="77777777"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more than an original and two copies of any document; </w:t>
      </w:r>
    </w:p>
    <w:p w14:paraId="55DF0995" w14:textId="77777777"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respondents to retain records other than health, medical, government contract, grant-in-aid, or tax records for more than three years; </w:t>
      </w:r>
    </w:p>
    <w:p w14:paraId="687F8C71" w14:textId="77777777"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a statistical survey not designed to produce results than can be generalized to the universe of study; </w:t>
      </w:r>
    </w:p>
    <w:p w14:paraId="003BB9CD" w14:textId="77777777"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the use of a statistical data classification that has not been reviewed and approved by OMB; </w:t>
      </w:r>
    </w:p>
    <w:p w14:paraId="0E538C6C" w14:textId="77777777"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 xml:space="preserve">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363EBF63" w14:textId="77777777" w:rsidR="00AA627A" w:rsidRPr="00CF597A" w:rsidRDefault="00AA627A">
      <w:pPr>
        <w:numPr>
          <w:ilvl w:val="0"/>
          <w:numId w:val="8"/>
        </w:numPr>
        <w:tabs>
          <w:tab w:val="left" w:pos="600"/>
        </w:tabs>
        <w:rPr>
          <w:rFonts w:ascii="Arial" w:hAnsi="Arial" w:cs="Arial"/>
          <w:b/>
          <w:color w:val="000000"/>
          <w:sz w:val="22"/>
        </w:rPr>
      </w:pPr>
      <w:r w:rsidRPr="00CF597A">
        <w:rPr>
          <w:rFonts w:ascii="Arial" w:hAnsi="Arial" w:cs="Arial"/>
          <w:b/>
          <w:color w:val="000000"/>
          <w:sz w:val="22"/>
        </w:rPr>
        <w:t>respondents to submit proprietary trade secret, or other confidential information.</w:t>
      </w:r>
    </w:p>
    <w:p w14:paraId="20410AFF" w14:textId="77777777" w:rsidR="00AA627A" w:rsidRPr="00CF597A" w:rsidRDefault="00AA627A">
      <w:pPr>
        <w:tabs>
          <w:tab w:val="left" w:pos="360"/>
        </w:tabs>
        <w:ind w:left="360" w:hanging="360"/>
        <w:rPr>
          <w:rFonts w:ascii="Arial" w:hAnsi="Arial" w:cs="Arial"/>
          <w:color w:val="000000"/>
          <w:sz w:val="18"/>
        </w:rPr>
      </w:pPr>
    </w:p>
    <w:p w14:paraId="7A4F9001" w14:textId="77777777" w:rsidR="00AA627A" w:rsidRPr="00CF4E87" w:rsidRDefault="00AA627A">
      <w:pPr>
        <w:tabs>
          <w:tab w:val="left" w:pos="360"/>
        </w:tabs>
        <w:ind w:left="720" w:hanging="360"/>
        <w:rPr>
          <w:rFonts w:ascii="Arial" w:hAnsi="Arial" w:cs="Arial"/>
          <w:bCs/>
        </w:rPr>
      </w:pPr>
      <w:r w:rsidRPr="00CF597A">
        <w:rPr>
          <w:rFonts w:ascii="Arial" w:hAnsi="Arial" w:cs="Arial"/>
          <w:color w:val="000000"/>
          <w:sz w:val="18"/>
        </w:rPr>
        <w:tab/>
      </w:r>
      <w:r w:rsidRPr="00CF4E87">
        <w:rPr>
          <w:rFonts w:ascii="Arial" w:hAnsi="Arial" w:cs="Arial"/>
          <w:bCs/>
        </w:rPr>
        <w:t xml:space="preserve">The majority of Ginnie Mae’s forms require issuers to </w:t>
      </w:r>
      <w:r w:rsidR="00866A9A">
        <w:rPr>
          <w:rFonts w:ascii="Arial" w:hAnsi="Arial" w:cs="Arial"/>
          <w:bCs/>
        </w:rPr>
        <w:t xml:space="preserve">retain a copy of their submissions </w:t>
      </w:r>
      <w:r w:rsidRPr="00CF4E87">
        <w:rPr>
          <w:rFonts w:ascii="Arial" w:hAnsi="Arial" w:cs="Arial"/>
          <w:bCs/>
        </w:rPr>
        <w:t xml:space="preserve">for their records.   </w:t>
      </w:r>
    </w:p>
    <w:p w14:paraId="59547F7B" w14:textId="77777777" w:rsidR="00AA627A" w:rsidRPr="00CF4E87" w:rsidRDefault="00AA627A">
      <w:pPr>
        <w:tabs>
          <w:tab w:val="left" w:pos="360"/>
        </w:tabs>
        <w:ind w:left="720" w:hanging="360"/>
        <w:rPr>
          <w:rFonts w:ascii="Arial" w:hAnsi="Arial" w:cs="Arial"/>
          <w:bCs/>
        </w:rPr>
      </w:pPr>
    </w:p>
    <w:p w14:paraId="19AB7B1C" w14:textId="77777777" w:rsidR="00866A9A" w:rsidRDefault="00AA627A">
      <w:pPr>
        <w:tabs>
          <w:tab w:val="left" w:pos="360"/>
        </w:tabs>
        <w:ind w:left="720" w:hanging="360"/>
        <w:rPr>
          <w:rFonts w:ascii="Arial" w:hAnsi="Arial" w:cs="Arial"/>
          <w:bCs/>
        </w:rPr>
      </w:pPr>
      <w:r w:rsidRPr="00CF4E87">
        <w:rPr>
          <w:rFonts w:ascii="Arial" w:hAnsi="Arial" w:cs="Arial"/>
          <w:bCs/>
        </w:rPr>
        <w:tab/>
        <w:t xml:space="preserve">Issuers are required to submit originals of the </w:t>
      </w:r>
      <w:r w:rsidR="00866A9A">
        <w:rPr>
          <w:rFonts w:ascii="Arial" w:hAnsi="Arial" w:cs="Arial"/>
          <w:bCs/>
        </w:rPr>
        <w:t xml:space="preserve">following:  </w:t>
      </w:r>
    </w:p>
    <w:p w14:paraId="629EAA73" w14:textId="77777777" w:rsidR="00866A9A" w:rsidRDefault="00866A9A">
      <w:pPr>
        <w:tabs>
          <w:tab w:val="left" w:pos="360"/>
        </w:tabs>
        <w:ind w:left="720" w:hanging="360"/>
        <w:rPr>
          <w:rFonts w:ascii="Arial" w:hAnsi="Arial" w:cs="Arial"/>
          <w:bCs/>
        </w:rPr>
      </w:pPr>
      <w:r>
        <w:rPr>
          <w:rFonts w:ascii="Arial" w:hAnsi="Arial" w:cs="Arial"/>
          <w:bCs/>
        </w:rPr>
        <w:tab/>
      </w:r>
    </w:p>
    <w:p w14:paraId="7BFDF057" w14:textId="77777777" w:rsidR="00AA627A" w:rsidRDefault="00866A9A">
      <w:pPr>
        <w:tabs>
          <w:tab w:val="left" w:pos="360"/>
        </w:tabs>
        <w:ind w:left="720" w:hanging="360"/>
        <w:rPr>
          <w:rFonts w:ascii="Arial" w:hAnsi="Arial" w:cs="Arial"/>
          <w:bCs/>
        </w:rPr>
      </w:pPr>
      <w:r>
        <w:rPr>
          <w:rFonts w:ascii="Arial" w:hAnsi="Arial" w:cs="Arial"/>
          <w:bCs/>
        </w:rPr>
        <w:lastRenderedPageBreak/>
        <w:tab/>
      </w:r>
      <w:r w:rsidR="00AA627A" w:rsidRPr="00CF4E87">
        <w:rPr>
          <w:rFonts w:ascii="Arial" w:hAnsi="Arial" w:cs="Arial"/>
          <w:bCs/>
        </w:rPr>
        <w:t>form HUD 11702</w:t>
      </w:r>
      <w:r w:rsidR="00C91C83">
        <w:rPr>
          <w:rFonts w:ascii="Arial" w:hAnsi="Arial" w:cs="Arial"/>
          <w:bCs/>
        </w:rPr>
        <w:t>/Appendix I-2</w:t>
      </w:r>
      <w:r w:rsidR="00AA627A" w:rsidRPr="00CF4E87">
        <w:rPr>
          <w:rFonts w:ascii="Arial" w:hAnsi="Arial" w:cs="Arial"/>
          <w:bCs/>
        </w:rPr>
        <w:t xml:space="preserve"> – Resolution of Board of Directors and Certificate of Authorized Signatures in order for Ginnie Mae or its pool processing agent to compare the names and signatures of the individuals authorized by the issuer to do business with Ginnie Mae.</w:t>
      </w:r>
    </w:p>
    <w:p w14:paraId="57FA2F64" w14:textId="77777777" w:rsidR="00866A9A" w:rsidRDefault="00866A9A">
      <w:pPr>
        <w:tabs>
          <w:tab w:val="left" w:pos="360"/>
        </w:tabs>
        <w:ind w:left="720" w:hanging="360"/>
        <w:rPr>
          <w:rFonts w:ascii="Arial" w:hAnsi="Arial" w:cs="Arial"/>
          <w:bCs/>
        </w:rPr>
      </w:pPr>
    </w:p>
    <w:p w14:paraId="33F8FDD9" w14:textId="77777777" w:rsidR="00866A9A" w:rsidRDefault="00866A9A">
      <w:pPr>
        <w:tabs>
          <w:tab w:val="left" w:pos="360"/>
        </w:tabs>
        <w:ind w:left="720" w:hanging="360"/>
        <w:rPr>
          <w:rFonts w:ascii="Arial" w:hAnsi="Arial" w:cs="Arial"/>
          <w:bCs/>
        </w:rPr>
      </w:pPr>
      <w:r>
        <w:rPr>
          <w:rFonts w:ascii="Arial" w:hAnsi="Arial" w:cs="Arial"/>
          <w:bCs/>
        </w:rPr>
        <w:tab/>
        <w:t>Appendix I–4 - Cross Default Agreement</w:t>
      </w:r>
    </w:p>
    <w:p w14:paraId="722F4499" w14:textId="77777777" w:rsidR="00866A9A" w:rsidRDefault="00866A9A">
      <w:pPr>
        <w:tabs>
          <w:tab w:val="left" w:pos="360"/>
        </w:tabs>
        <w:ind w:left="720" w:hanging="360"/>
        <w:rPr>
          <w:rFonts w:ascii="Arial" w:hAnsi="Arial" w:cs="Arial"/>
          <w:bCs/>
        </w:rPr>
      </w:pPr>
      <w:r>
        <w:rPr>
          <w:rFonts w:ascii="Arial" w:hAnsi="Arial" w:cs="Arial"/>
          <w:bCs/>
        </w:rPr>
        <w:tab/>
        <w:t>Appendix III-9 – Authorization to Accept Facsimile Signed Correction Request</w:t>
      </w:r>
    </w:p>
    <w:p w14:paraId="1A678876" w14:textId="77777777" w:rsidR="00C91C83" w:rsidRDefault="00C91C83">
      <w:pPr>
        <w:tabs>
          <w:tab w:val="left" w:pos="360"/>
        </w:tabs>
        <w:ind w:left="720" w:hanging="360"/>
        <w:rPr>
          <w:rFonts w:ascii="Arial" w:hAnsi="Arial" w:cs="Arial"/>
          <w:bCs/>
        </w:rPr>
      </w:pPr>
      <w:r>
        <w:rPr>
          <w:rFonts w:ascii="Arial" w:hAnsi="Arial" w:cs="Arial"/>
          <w:bCs/>
        </w:rPr>
        <w:tab/>
        <w:t xml:space="preserve">Appendix III-13 – Electronic Data </w:t>
      </w:r>
      <w:r w:rsidR="00D133DE">
        <w:rPr>
          <w:rFonts w:ascii="Arial" w:hAnsi="Arial" w:cs="Arial"/>
          <w:bCs/>
        </w:rPr>
        <w:t>Interchange System Agreement</w:t>
      </w:r>
    </w:p>
    <w:p w14:paraId="10EAD97B" w14:textId="77777777" w:rsidR="00C91C83" w:rsidRDefault="00C91C83">
      <w:pPr>
        <w:tabs>
          <w:tab w:val="left" w:pos="360"/>
        </w:tabs>
        <w:ind w:left="720" w:hanging="360"/>
        <w:rPr>
          <w:rFonts w:ascii="Arial" w:hAnsi="Arial" w:cs="Arial"/>
          <w:bCs/>
        </w:rPr>
      </w:pPr>
      <w:r>
        <w:rPr>
          <w:rFonts w:ascii="Arial" w:hAnsi="Arial" w:cs="Arial"/>
          <w:bCs/>
        </w:rPr>
        <w:tab/>
        <w:t xml:space="preserve">Appendix III-29 </w:t>
      </w:r>
      <w:r w:rsidR="00D71D88">
        <w:rPr>
          <w:rFonts w:ascii="Arial" w:hAnsi="Arial" w:cs="Arial"/>
          <w:bCs/>
        </w:rPr>
        <w:t>– System Access Forms</w:t>
      </w:r>
    </w:p>
    <w:p w14:paraId="1CA60985" w14:textId="77777777" w:rsidR="00D71D88" w:rsidRDefault="00D71D88">
      <w:pPr>
        <w:tabs>
          <w:tab w:val="left" w:pos="360"/>
        </w:tabs>
        <w:ind w:left="720" w:hanging="360"/>
        <w:rPr>
          <w:rFonts w:ascii="Arial" w:hAnsi="Arial" w:cs="Arial"/>
          <w:bCs/>
        </w:rPr>
      </w:pPr>
      <w:r>
        <w:rPr>
          <w:rFonts w:ascii="Arial" w:hAnsi="Arial" w:cs="Arial"/>
          <w:bCs/>
        </w:rPr>
        <w:tab/>
        <w:t>Ginnie Mae Acknowledgement Agreement and Accompanying Documents Pledge of Servicing</w:t>
      </w:r>
    </w:p>
    <w:p w14:paraId="28C7F1E2" w14:textId="77777777" w:rsidR="00AA627A" w:rsidRPr="00045E20" w:rsidRDefault="00AA627A">
      <w:pPr>
        <w:tabs>
          <w:tab w:val="left" w:pos="360"/>
        </w:tabs>
        <w:ind w:left="720" w:hanging="360"/>
        <w:rPr>
          <w:rFonts w:ascii="Arial" w:hAnsi="Arial" w:cs="Arial"/>
          <w:bCs/>
        </w:rPr>
      </w:pPr>
    </w:p>
    <w:p w14:paraId="19973848" w14:textId="77777777" w:rsidR="00AA627A" w:rsidRPr="00045E20" w:rsidRDefault="00AA627A">
      <w:pPr>
        <w:tabs>
          <w:tab w:val="left" w:pos="360"/>
        </w:tabs>
        <w:ind w:left="720" w:hanging="360"/>
        <w:rPr>
          <w:rFonts w:ascii="Arial" w:hAnsi="Arial" w:cs="Arial"/>
          <w:bCs/>
          <w:color w:val="000000"/>
        </w:rPr>
      </w:pPr>
      <w:r w:rsidRPr="00045E20">
        <w:rPr>
          <w:rFonts w:ascii="Arial" w:hAnsi="Arial" w:cs="Arial"/>
          <w:bCs/>
        </w:rPr>
        <w:tab/>
      </w:r>
      <w:r w:rsidRPr="00045E20">
        <w:rPr>
          <w:rFonts w:ascii="Arial" w:hAnsi="Arial" w:cs="Arial"/>
          <w:bCs/>
          <w:color w:val="000000"/>
        </w:rPr>
        <w:t>To remain in compliance with Ginnie Mae’s program requirements and obtain certain benefits, issuers are required to submit financial information monthly, quarterly, and annually in order for Ginnie M</w:t>
      </w:r>
      <w:r w:rsidR="00C5264D" w:rsidRPr="00045E20">
        <w:rPr>
          <w:rFonts w:ascii="Arial" w:hAnsi="Arial" w:cs="Arial"/>
          <w:bCs/>
          <w:color w:val="000000"/>
        </w:rPr>
        <w:t xml:space="preserve">ae or its agents to monitor </w:t>
      </w:r>
      <w:r w:rsidRPr="00045E20">
        <w:rPr>
          <w:rFonts w:ascii="Arial" w:hAnsi="Arial" w:cs="Arial"/>
          <w:bCs/>
          <w:color w:val="000000"/>
        </w:rPr>
        <w:t>their Ginnie Mae portfolio and financial status.  As part of this requirement, issuers are to maintain adequate accounting records in electronic format and hard copy to submit to Ginnie Mae or its agents as needed.</w:t>
      </w:r>
    </w:p>
    <w:p w14:paraId="5956D914" w14:textId="77777777" w:rsidR="00AA627A" w:rsidRPr="00045E20" w:rsidRDefault="00AA627A">
      <w:pPr>
        <w:tabs>
          <w:tab w:val="left" w:pos="360"/>
        </w:tabs>
        <w:ind w:left="720" w:hanging="360"/>
        <w:rPr>
          <w:rFonts w:ascii="Arial" w:hAnsi="Arial" w:cs="Arial"/>
          <w:bCs/>
          <w:color w:val="000000"/>
        </w:rPr>
      </w:pPr>
    </w:p>
    <w:p w14:paraId="73D2B392" w14:textId="77777777" w:rsidR="00AA627A" w:rsidRPr="00045E20" w:rsidRDefault="00AA627A">
      <w:pPr>
        <w:tabs>
          <w:tab w:val="left" w:pos="360"/>
        </w:tabs>
        <w:ind w:left="720" w:hanging="360"/>
        <w:rPr>
          <w:rFonts w:ascii="Arial" w:hAnsi="Arial" w:cs="Arial"/>
          <w:bCs/>
        </w:rPr>
      </w:pPr>
      <w:r w:rsidRPr="00045E20">
        <w:rPr>
          <w:rFonts w:ascii="Arial" w:hAnsi="Arial" w:cs="Arial"/>
          <w:bCs/>
          <w:color w:val="000000"/>
        </w:rPr>
        <w:tab/>
      </w:r>
      <w:r w:rsidRPr="00045E20">
        <w:rPr>
          <w:rFonts w:ascii="Arial" w:hAnsi="Arial" w:cs="Arial"/>
          <w:bCs/>
        </w:rPr>
        <w:t xml:space="preserve">Forms/information required to be submitted monthly are as follows:  </w:t>
      </w:r>
    </w:p>
    <w:p w14:paraId="753FEA09" w14:textId="77777777" w:rsidR="00D817E0" w:rsidRPr="00045E20" w:rsidRDefault="00AA627A" w:rsidP="00CF597A">
      <w:pPr>
        <w:numPr>
          <w:ilvl w:val="0"/>
          <w:numId w:val="27"/>
        </w:numPr>
        <w:tabs>
          <w:tab w:val="left" w:pos="360"/>
        </w:tabs>
        <w:rPr>
          <w:rFonts w:ascii="Arial" w:hAnsi="Arial" w:cs="Arial"/>
          <w:bCs/>
        </w:rPr>
      </w:pPr>
      <w:r w:rsidRPr="00045E20">
        <w:rPr>
          <w:rFonts w:ascii="Arial" w:hAnsi="Arial" w:cs="Arial"/>
          <w:bCs/>
        </w:rPr>
        <w:t>11714</w:t>
      </w:r>
      <w:r w:rsidR="00D71D88">
        <w:rPr>
          <w:rFonts w:ascii="Arial" w:hAnsi="Arial" w:cs="Arial"/>
          <w:bCs/>
        </w:rPr>
        <w:t>/Appendix VI-10</w:t>
      </w:r>
      <w:r w:rsidR="00D817E0" w:rsidRPr="00045E20">
        <w:rPr>
          <w:rFonts w:ascii="Arial" w:hAnsi="Arial" w:cs="Arial"/>
          <w:bCs/>
        </w:rPr>
        <w:t xml:space="preserve"> – Issuer’s Monthly Remittance Advice</w:t>
      </w:r>
    </w:p>
    <w:p w14:paraId="3002612B" w14:textId="77777777" w:rsidR="00D817E0" w:rsidRPr="00045E20" w:rsidRDefault="00D817E0" w:rsidP="00CF597A">
      <w:pPr>
        <w:numPr>
          <w:ilvl w:val="0"/>
          <w:numId w:val="27"/>
        </w:numPr>
        <w:tabs>
          <w:tab w:val="left" w:pos="360"/>
        </w:tabs>
        <w:rPr>
          <w:rFonts w:ascii="Arial" w:hAnsi="Arial" w:cs="Arial"/>
          <w:bCs/>
        </w:rPr>
      </w:pPr>
      <w:r w:rsidRPr="00045E20">
        <w:rPr>
          <w:rFonts w:ascii="Arial" w:hAnsi="Arial" w:cs="Arial"/>
          <w:bCs/>
        </w:rPr>
        <w:t>11714</w:t>
      </w:r>
      <w:r w:rsidR="00AA627A" w:rsidRPr="00045E20">
        <w:rPr>
          <w:rFonts w:ascii="Arial" w:hAnsi="Arial" w:cs="Arial"/>
          <w:bCs/>
        </w:rPr>
        <w:t>SN</w:t>
      </w:r>
      <w:r w:rsidR="00D71D88">
        <w:rPr>
          <w:rFonts w:ascii="Arial" w:hAnsi="Arial" w:cs="Arial"/>
          <w:bCs/>
        </w:rPr>
        <w:t>/Appendix VI-11</w:t>
      </w:r>
      <w:r w:rsidR="00AA627A" w:rsidRPr="00045E20">
        <w:rPr>
          <w:rFonts w:ascii="Arial" w:hAnsi="Arial" w:cs="Arial"/>
          <w:bCs/>
        </w:rPr>
        <w:t xml:space="preserve"> – Issuer’s Monthly Serial Note Remittance Advice;</w:t>
      </w:r>
    </w:p>
    <w:p w14:paraId="665678DF" w14:textId="77777777" w:rsidR="0034288A" w:rsidRDefault="0034288A" w:rsidP="00CF597A">
      <w:pPr>
        <w:numPr>
          <w:ilvl w:val="0"/>
          <w:numId w:val="27"/>
        </w:numPr>
        <w:tabs>
          <w:tab w:val="left" w:pos="360"/>
        </w:tabs>
        <w:rPr>
          <w:rFonts w:ascii="Arial" w:hAnsi="Arial" w:cs="Arial"/>
          <w:bCs/>
        </w:rPr>
      </w:pPr>
      <w:r w:rsidRPr="00045E20">
        <w:rPr>
          <w:rFonts w:ascii="Arial" w:hAnsi="Arial" w:cs="Arial"/>
          <w:bCs/>
        </w:rPr>
        <w:t>11710 D</w:t>
      </w:r>
      <w:r w:rsidR="00D71D88">
        <w:rPr>
          <w:rFonts w:ascii="Arial" w:hAnsi="Arial" w:cs="Arial"/>
          <w:bCs/>
        </w:rPr>
        <w:t>/Appendix VI-5 -</w:t>
      </w:r>
      <w:r w:rsidRPr="00045E20">
        <w:rPr>
          <w:rFonts w:ascii="Arial" w:hAnsi="Arial" w:cs="Arial"/>
          <w:bCs/>
        </w:rPr>
        <w:t xml:space="preserve"> Monthly Summary Report</w:t>
      </w:r>
    </w:p>
    <w:p w14:paraId="1E680371" w14:textId="77777777" w:rsidR="000F34A6" w:rsidRDefault="000F34A6" w:rsidP="00CF597A">
      <w:pPr>
        <w:numPr>
          <w:ilvl w:val="0"/>
          <w:numId w:val="27"/>
        </w:numPr>
        <w:tabs>
          <w:tab w:val="left" w:pos="360"/>
        </w:tabs>
        <w:rPr>
          <w:rFonts w:ascii="Arial" w:hAnsi="Arial" w:cs="Arial"/>
          <w:bCs/>
        </w:rPr>
      </w:pPr>
      <w:r>
        <w:rPr>
          <w:rFonts w:ascii="Arial" w:hAnsi="Arial" w:cs="Arial"/>
          <w:bCs/>
        </w:rPr>
        <w:t>11710-DH</w:t>
      </w:r>
      <w:r w:rsidR="00D71D88">
        <w:rPr>
          <w:rFonts w:ascii="Arial" w:hAnsi="Arial" w:cs="Arial"/>
          <w:bCs/>
        </w:rPr>
        <w:t>/Appendix VI-21</w:t>
      </w:r>
      <w:r>
        <w:rPr>
          <w:rFonts w:ascii="Arial" w:hAnsi="Arial" w:cs="Arial"/>
          <w:bCs/>
        </w:rPr>
        <w:t xml:space="preserve"> – HMBS issuer’s Monthly Summary Report</w:t>
      </w:r>
    </w:p>
    <w:p w14:paraId="1758C644" w14:textId="77777777" w:rsidR="00D71D88" w:rsidRDefault="00D71D88" w:rsidP="00CF597A">
      <w:pPr>
        <w:numPr>
          <w:ilvl w:val="0"/>
          <w:numId w:val="27"/>
        </w:numPr>
        <w:tabs>
          <w:tab w:val="left" w:pos="360"/>
        </w:tabs>
        <w:rPr>
          <w:rFonts w:ascii="Arial" w:hAnsi="Arial" w:cs="Arial"/>
          <w:bCs/>
        </w:rPr>
      </w:pPr>
      <w:r>
        <w:rPr>
          <w:rFonts w:ascii="Arial" w:hAnsi="Arial" w:cs="Arial"/>
          <w:bCs/>
        </w:rPr>
        <w:t>Appendix VI-17 – HMBS Issuer Pooling &amp; Reporting Specification for Mortgage-Backed Securities Administration Agent</w:t>
      </w:r>
    </w:p>
    <w:p w14:paraId="43BAEBBB" w14:textId="77777777" w:rsidR="00D71D88" w:rsidRDefault="00D71D88" w:rsidP="00CF597A">
      <w:pPr>
        <w:numPr>
          <w:ilvl w:val="0"/>
          <w:numId w:val="27"/>
        </w:numPr>
        <w:tabs>
          <w:tab w:val="left" w:pos="360"/>
        </w:tabs>
        <w:rPr>
          <w:rFonts w:ascii="Arial" w:hAnsi="Arial" w:cs="Arial"/>
          <w:bCs/>
        </w:rPr>
      </w:pPr>
      <w:r>
        <w:rPr>
          <w:rFonts w:ascii="Arial" w:hAnsi="Arial" w:cs="Arial"/>
          <w:bCs/>
        </w:rPr>
        <w:t>Appendix VI-14 – Multifamily Prepayment Penalty Record File Layout</w:t>
      </w:r>
    </w:p>
    <w:p w14:paraId="74F23448" w14:textId="77777777" w:rsidR="00EB525F" w:rsidRPr="00045E20" w:rsidRDefault="00EB525F" w:rsidP="00CF597A">
      <w:pPr>
        <w:numPr>
          <w:ilvl w:val="0"/>
          <w:numId w:val="27"/>
        </w:numPr>
        <w:tabs>
          <w:tab w:val="left" w:pos="360"/>
        </w:tabs>
        <w:rPr>
          <w:rFonts w:ascii="Arial" w:hAnsi="Arial" w:cs="Arial"/>
          <w:bCs/>
        </w:rPr>
      </w:pPr>
      <w:r>
        <w:rPr>
          <w:rFonts w:ascii="Arial" w:hAnsi="Arial" w:cs="Arial"/>
          <w:bCs/>
        </w:rPr>
        <w:t>Appendix VI-19 – Monthly Pool and Loan Level Report</w:t>
      </w:r>
    </w:p>
    <w:p w14:paraId="0ACC95B6" w14:textId="77777777" w:rsidR="0034288A" w:rsidRPr="00045E20" w:rsidRDefault="0034288A">
      <w:pPr>
        <w:tabs>
          <w:tab w:val="left" w:pos="360"/>
        </w:tabs>
        <w:ind w:left="720" w:hanging="360"/>
        <w:rPr>
          <w:rFonts w:ascii="Arial" w:hAnsi="Arial" w:cs="Arial"/>
          <w:bCs/>
        </w:rPr>
      </w:pPr>
    </w:p>
    <w:p w14:paraId="65981BCA" w14:textId="77777777" w:rsidR="00CF597A" w:rsidRPr="00045E20" w:rsidRDefault="00AA627A">
      <w:pPr>
        <w:tabs>
          <w:tab w:val="left" w:pos="360"/>
        </w:tabs>
        <w:ind w:left="720" w:hanging="360"/>
        <w:rPr>
          <w:rFonts w:ascii="Arial" w:hAnsi="Arial" w:cs="Arial"/>
          <w:bCs/>
        </w:rPr>
      </w:pPr>
      <w:r w:rsidRPr="00045E20">
        <w:rPr>
          <w:rFonts w:ascii="Arial" w:hAnsi="Arial" w:cs="Arial"/>
          <w:bCs/>
        </w:rPr>
        <w:tab/>
        <w:t xml:space="preserve">Forms/information required to be submitted quarterly are as follows:  </w:t>
      </w:r>
    </w:p>
    <w:p w14:paraId="176F08D3" w14:textId="77777777" w:rsidR="00AA627A" w:rsidRPr="00045E20" w:rsidRDefault="00EB525F" w:rsidP="00CF597A">
      <w:pPr>
        <w:numPr>
          <w:ilvl w:val="0"/>
          <w:numId w:val="28"/>
        </w:numPr>
        <w:tabs>
          <w:tab w:val="left" w:pos="360"/>
        </w:tabs>
        <w:rPr>
          <w:rFonts w:ascii="Arial" w:hAnsi="Arial" w:cs="Arial"/>
          <w:bCs/>
        </w:rPr>
      </w:pPr>
      <w:r>
        <w:rPr>
          <w:rFonts w:ascii="Arial" w:hAnsi="Arial" w:cs="Arial"/>
          <w:bCs/>
        </w:rPr>
        <w:t xml:space="preserve">Appendix </w:t>
      </w:r>
      <w:r w:rsidR="00AA627A" w:rsidRPr="00045E20">
        <w:rPr>
          <w:rFonts w:ascii="Arial" w:hAnsi="Arial" w:cs="Arial"/>
          <w:bCs/>
        </w:rPr>
        <w:t xml:space="preserve">XI-6 – </w:t>
      </w:r>
      <w:r w:rsidR="00B53ED9" w:rsidRPr="00045E20">
        <w:rPr>
          <w:rFonts w:ascii="Arial" w:hAnsi="Arial" w:cs="Arial"/>
          <w:bCs/>
        </w:rPr>
        <w:t>Service</w:t>
      </w:r>
      <w:r w:rsidR="00837BD6" w:rsidRPr="00045E20">
        <w:rPr>
          <w:rFonts w:ascii="Arial" w:hAnsi="Arial" w:cs="Arial"/>
          <w:bCs/>
        </w:rPr>
        <w:t>m</w:t>
      </w:r>
      <w:r w:rsidR="00B53ED9" w:rsidRPr="00045E20">
        <w:rPr>
          <w:rFonts w:ascii="Arial" w:hAnsi="Arial" w:cs="Arial"/>
          <w:bCs/>
        </w:rPr>
        <w:t>embers</w:t>
      </w:r>
      <w:r w:rsidR="00837BD6" w:rsidRPr="00045E20">
        <w:rPr>
          <w:rFonts w:ascii="Arial" w:hAnsi="Arial" w:cs="Arial"/>
          <w:bCs/>
        </w:rPr>
        <w:t>’</w:t>
      </w:r>
      <w:r w:rsidR="00B53ED9" w:rsidRPr="00045E20">
        <w:rPr>
          <w:rFonts w:ascii="Arial" w:hAnsi="Arial" w:cs="Arial"/>
          <w:bCs/>
        </w:rPr>
        <w:t xml:space="preserve"> Civil Relief Act </w:t>
      </w:r>
      <w:r w:rsidR="00AA627A" w:rsidRPr="00045E20">
        <w:rPr>
          <w:rFonts w:ascii="Arial" w:hAnsi="Arial" w:cs="Arial"/>
          <w:bCs/>
        </w:rPr>
        <w:t>(SCRA) Loan</w:t>
      </w:r>
      <w:r w:rsidR="00C5264D" w:rsidRPr="00045E20">
        <w:rPr>
          <w:rFonts w:ascii="Arial" w:hAnsi="Arial" w:cs="Arial"/>
          <w:bCs/>
        </w:rPr>
        <w:t xml:space="preserve"> </w:t>
      </w:r>
      <w:r w:rsidR="00AA627A" w:rsidRPr="00045E20">
        <w:rPr>
          <w:rFonts w:ascii="Arial" w:hAnsi="Arial" w:cs="Arial"/>
          <w:bCs/>
        </w:rPr>
        <w:t>Eligibility Information;</w:t>
      </w:r>
    </w:p>
    <w:p w14:paraId="19B24479" w14:textId="77777777" w:rsidR="00AA627A" w:rsidRPr="00045E20" w:rsidRDefault="00EB525F" w:rsidP="00CF597A">
      <w:pPr>
        <w:numPr>
          <w:ilvl w:val="0"/>
          <w:numId w:val="28"/>
        </w:numPr>
        <w:tabs>
          <w:tab w:val="left" w:pos="360"/>
        </w:tabs>
        <w:rPr>
          <w:rFonts w:ascii="Arial" w:hAnsi="Arial" w:cs="Arial"/>
          <w:bCs/>
        </w:rPr>
      </w:pPr>
      <w:r>
        <w:rPr>
          <w:rFonts w:ascii="Arial" w:hAnsi="Arial" w:cs="Arial"/>
          <w:bCs/>
        </w:rPr>
        <w:t xml:space="preserve">Appendix </w:t>
      </w:r>
      <w:r w:rsidR="00AA627A" w:rsidRPr="00045E20">
        <w:rPr>
          <w:rFonts w:ascii="Arial" w:hAnsi="Arial" w:cs="Arial"/>
          <w:bCs/>
        </w:rPr>
        <w:t>XI-8 –SCRA Quarterly Reimbursement Request, and</w:t>
      </w:r>
      <w:r w:rsidR="00CF597A" w:rsidRPr="00045E20">
        <w:rPr>
          <w:rFonts w:ascii="Arial" w:hAnsi="Arial" w:cs="Arial"/>
          <w:bCs/>
        </w:rPr>
        <w:t xml:space="preserve"> </w:t>
      </w:r>
      <w:r w:rsidR="00AA627A" w:rsidRPr="00045E20">
        <w:rPr>
          <w:rFonts w:ascii="Arial" w:hAnsi="Arial" w:cs="Arial"/>
          <w:bCs/>
        </w:rPr>
        <w:t>Mortgage-Bankers Financial Reporting Form (for non-regulated/supervised issuers only)</w:t>
      </w:r>
    </w:p>
    <w:p w14:paraId="66F983D0" w14:textId="77777777" w:rsidR="008C71F4" w:rsidRPr="00045E20" w:rsidRDefault="00EB525F" w:rsidP="00CF597A">
      <w:pPr>
        <w:numPr>
          <w:ilvl w:val="0"/>
          <w:numId w:val="28"/>
        </w:numPr>
        <w:tabs>
          <w:tab w:val="left" w:pos="360"/>
        </w:tabs>
        <w:rPr>
          <w:rFonts w:ascii="Arial" w:hAnsi="Arial" w:cs="Arial"/>
          <w:bCs/>
        </w:rPr>
      </w:pPr>
      <w:r>
        <w:rPr>
          <w:rFonts w:ascii="Arial" w:hAnsi="Arial" w:cs="Arial"/>
          <w:bCs/>
        </w:rPr>
        <w:t xml:space="preserve">Appendix </w:t>
      </w:r>
      <w:r w:rsidR="008C71F4" w:rsidRPr="00045E20">
        <w:rPr>
          <w:rFonts w:ascii="Arial" w:hAnsi="Arial" w:cs="Arial"/>
          <w:bCs/>
        </w:rPr>
        <w:t>XI-9 – Servicemembers Civil Relief Act Eligibility and Reimbursement Files</w:t>
      </w:r>
    </w:p>
    <w:p w14:paraId="0D42A2B3" w14:textId="77777777" w:rsidR="0034288A" w:rsidRPr="00045E20" w:rsidRDefault="00EB525F" w:rsidP="00CF597A">
      <w:pPr>
        <w:numPr>
          <w:ilvl w:val="0"/>
          <w:numId w:val="28"/>
        </w:numPr>
        <w:tabs>
          <w:tab w:val="left" w:pos="360"/>
        </w:tabs>
        <w:rPr>
          <w:rFonts w:ascii="Arial" w:hAnsi="Arial" w:cs="Arial"/>
          <w:bCs/>
        </w:rPr>
      </w:pPr>
      <w:r>
        <w:rPr>
          <w:rFonts w:ascii="Arial" w:hAnsi="Arial" w:cs="Arial"/>
          <w:bCs/>
        </w:rPr>
        <w:t xml:space="preserve">Appendix </w:t>
      </w:r>
      <w:r w:rsidR="00290C7F" w:rsidRPr="00045E20">
        <w:rPr>
          <w:rFonts w:ascii="Arial" w:hAnsi="Arial" w:cs="Arial"/>
          <w:bCs/>
        </w:rPr>
        <w:t xml:space="preserve">VI-18 – </w:t>
      </w:r>
      <w:r w:rsidR="0034288A" w:rsidRPr="00045E20">
        <w:rPr>
          <w:rFonts w:ascii="Arial" w:hAnsi="Arial" w:cs="Arial"/>
          <w:bCs/>
        </w:rPr>
        <w:t>WHFIT</w:t>
      </w:r>
      <w:r w:rsidR="00290C7F" w:rsidRPr="00045E20">
        <w:rPr>
          <w:rFonts w:ascii="Arial" w:hAnsi="Arial" w:cs="Arial"/>
          <w:bCs/>
        </w:rPr>
        <w:t xml:space="preserve"> Tax Reporting File Layout</w:t>
      </w:r>
    </w:p>
    <w:p w14:paraId="5068623A" w14:textId="77777777" w:rsidR="0034288A" w:rsidRPr="00045E20" w:rsidRDefault="00EB525F" w:rsidP="00CF597A">
      <w:pPr>
        <w:numPr>
          <w:ilvl w:val="0"/>
          <w:numId w:val="28"/>
        </w:numPr>
        <w:tabs>
          <w:tab w:val="left" w:pos="360"/>
        </w:tabs>
        <w:rPr>
          <w:rFonts w:ascii="Arial" w:hAnsi="Arial" w:cs="Arial"/>
          <w:bCs/>
        </w:rPr>
      </w:pPr>
      <w:r>
        <w:rPr>
          <w:rFonts w:ascii="Arial" w:hAnsi="Arial" w:cs="Arial"/>
          <w:bCs/>
        </w:rPr>
        <w:t>Appendix VI-16 – Quarterly Custodial Account Verification Record File Layout</w:t>
      </w:r>
      <w:r w:rsidR="00C5264D" w:rsidRPr="00045E20">
        <w:rPr>
          <w:rFonts w:ascii="Arial" w:hAnsi="Arial" w:cs="Arial"/>
          <w:bCs/>
        </w:rPr>
        <w:t xml:space="preserve"> </w:t>
      </w:r>
    </w:p>
    <w:p w14:paraId="4F8D238F" w14:textId="77777777" w:rsidR="00AA627A" w:rsidRPr="00045E20" w:rsidRDefault="00AA627A">
      <w:pPr>
        <w:tabs>
          <w:tab w:val="left" w:pos="360"/>
        </w:tabs>
        <w:ind w:left="720" w:hanging="360"/>
        <w:rPr>
          <w:rFonts w:ascii="Arial" w:hAnsi="Arial" w:cs="Arial"/>
          <w:bCs/>
          <w:color w:val="000000"/>
        </w:rPr>
      </w:pPr>
      <w:r w:rsidRPr="00045E20">
        <w:rPr>
          <w:rFonts w:ascii="Arial" w:hAnsi="Arial" w:cs="Arial"/>
          <w:bCs/>
          <w:color w:val="000000"/>
        </w:rPr>
        <w:t xml:space="preserve">                 </w:t>
      </w:r>
    </w:p>
    <w:p w14:paraId="749A12A4" w14:textId="77777777" w:rsidR="00D817E0" w:rsidRPr="00045E20" w:rsidRDefault="00AA627A">
      <w:pPr>
        <w:tabs>
          <w:tab w:val="left" w:pos="360"/>
        </w:tabs>
        <w:ind w:left="720" w:hanging="360"/>
        <w:rPr>
          <w:rFonts w:ascii="Arial" w:hAnsi="Arial" w:cs="Arial"/>
          <w:bCs/>
          <w:color w:val="000000"/>
        </w:rPr>
      </w:pPr>
      <w:r w:rsidRPr="00045E20">
        <w:rPr>
          <w:rFonts w:ascii="Arial" w:hAnsi="Arial" w:cs="Arial"/>
          <w:bCs/>
          <w:color w:val="000000"/>
        </w:rPr>
        <w:tab/>
        <w:t xml:space="preserve">Forms/information required to be submitted annually are as follows:  </w:t>
      </w:r>
    </w:p>
    <w:p w14:paraId="55CA1AC8" w14:textId="77777777" w:rsidR="00AA627A" w:rsidRPr="00045E20" w:rsidRDefault="00EB525F" w:rsidP="00CF597A">
      <w:pPr>
        <w:numPr>
          <w:ilvl w:val="0"/>
          <w:numId w:val="29"/>
        </w:numPr>
        <w:tabs>
          <w:tab w:val="left" w:pos="360"/>
        </w:tabs>
        <w:rPr>
          <w:rFonts w:ascii="Arial" w:hAnsi="Arial" w:cs="Arial"/>
          <w:bCs/>
          <w:color w:val="000000"/>
        </w:rPr>
      </w:pPr>
      <w:r>
        <w:rPr>
          <w:rFonts w:ascii="Arial" w:hAnsi="Arial" w:cs="Arial"/>
          <w:bCs/>
          <w:color w:val="000000"/>
        </w:rPr>
        <w:t>Appendix VI-20</w:t>
      </w:r>
      <w:r w:rsidR="00AA627A" w:rsidRPr="00045E20">
        <w:rPr>
          <w:rFonts w:ascii="Arial" w:hAnsi="Arial" w:cs="Arial"/>
          <w:bCs/>
          <w:color w:val="000000"/>
        </w:rPr>
        <w:t xml:space="preserve"> – </w:t>
      </w:r>
      <w:r>
        <w:rPr>
          <w:rFonts w:ascii="Arial" w:hAnsi="Arial" w:cs="Arial"/>
          <w:bCs/>
          <w:color w:val="000000"/>
        </w:rPr>
        <w:t>Electronic Submission of Issuers’ Insurance and Annual Audited Financial Documents</w:t>
      </w:r>
    </w:p>
    <w:p w14:paraId="45725893" w14:textId="77777777" w:rsidR="00986679" w:rsidRPr="00045E20" w:rsidRDefault="00986679" w:rsidP="00986679">
      <w:pPr>
        <w:pStyle w:val="ListParagraph"/>
        <w:keepLines/>
        <w:numPr>
          <w:ilvl w:val="0"/>
          <w:numId w:val="29"/>
        </w:numPr>
        <w:tabs>
          <w:tab w:val="left" w:pos="360"/>
        </w:tabs>
        <w:spacing w:after="80"/>
        <w:rPr>
          <w:rFonts w:ascii="Arial" w:hAnsi="Arial" w:cs="Arial"/>
          <w:b/>
          <w:color w:val="000000"/>
        </w:rPr>
      </w:pPr>
      <w:r w:rsidRPr="00045E20">
        <w:rPr>
          <w:rFonts w:ascii="Arial" w:hAnsi="Arial" w:cs="Arial"/>
        </w:rPr>
        <w:t xml:space="preserve">Master Agreements (11702, </w:t>
      </w:r>
      <w:r w:rsidR="00EB525F">
        <w:rPr>
          <w:rFonts w:ascii="Arial" w:hAnsi="Arial" w:cs="Arial"/>
        </w:rPr>
        <w:t xml:space="preserve">11703-II, </w:t>
      </w:r>
      <w:r w:rsidRPr="00045E20">
        <w:rPr>
          <w:rFonts w:ascii="Arial" w:hAnsi="Arial" w:cs="Arial"/>
        </w:rPr>
        <w:t>11707, 11709, 11715, 11720)</w:t>
      </w:r>
    </w:p>
    <w:p w14:paraId="4EBCEB26" w14:textId="77777777"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b/>
          <w:color w:val="000000"/>
          <w:sz w:val="18"/>
        </w:rPr>
        <w:t>8.</w:t>
      </w:r>
      <w:r w:rsidRPr="00CF597A">
        <w:rPr>
          <w:rFonts w:ascii="Arial" w:hAnsi="Arial" w:cs="Arial"/>
          <w:b/>
          <w:color w:val="000000"/>
          <w:sz w:val="18"/>
        </w:rPr>
        <w:tab/>
        <w:t>I</w:t>
      </w:r>
      <w:r w:rsidRPr="00CF597A">
        <w:rPr>
          <w:rFonts w:ascii="Arial" w:hAnsi="Arial" w:cs="Arial"/>
          <w:b/>
          <w:color w:val="000000"/>
          <w:sz w:val="22"/>
        </w:rPr>
        <w:t xml:space="preserve">dentify the date and page number of the </w:t>
      </w:r>
      <w:r w:rsidRPr="00CF597A">
        <w:rPr>
          <w:rFonts w:ascii="Arial" w:hAnsi="Arial" w:cs="Arial"/>
          <w:b/>
          <w:i/>
          <w:iCs/>
          <w:color w:val="000000"/>
          <w:sz w:val="22"/>
        </w:rPr>
        <w:t>Federal Register</w:t>
      </w:r>
      <w:r w:rsidRPr="00CF597A">
        <w:rPr>
          <w:rFonts w:ascii="Arial" w:hAnsi="Arial" w:cs="Arial"/>
          <w:b/>
          <w:color w:val="000000"/>
          <w:sz w:val="22"/>
        </w:rPr>
        <w:t xml:space="preserve"> notice (and provide a copy) soliciting comments on the information.  Summarize public comments and describe actions taken by the agency in response to these comments.  Describe all efforts to consult with persons outside the agency to obtain </w:t>
      </w:r>
      <w:r w:rsidR="00F6183F" w:rsidRPr="00CF597A">
        <w:rPr>
          <w:rFonts w:ascii="Arial" w:hAnsi="Arial" w:cs="Arial"/>
          <w:b/>
          <w:color w:val="000000"/>
          <w:sz w:val="22"/>
        </w:rPr>
        <w:t>there</w:t>
      </w:r>
      <w:r w:rsidRPr="00CF597A">
        <w:rPr>
          <w:rFonts w:ascii="Arial" w:hAnsi="Arial" w:cs="Arial"/>
          <w:b/>
          <w:color w:val="000000"/>
          <w:sz w:val="22"/>
        </w:rPr>
        <w:t xml:space="preserve">. </w:t>
      </w:r>
    </w:p>
    <w:p w14:paraId="4095F249" w14:textId="77777777" w:rsidR="00AA627A" w:rsidRPr="00CF597A" w:rsidRDefault="00CF597A">
      <w:pPr>
        <w:keepLines/>
        <w:tabs>
          <w:tab w:val="left" w:pos="360"/>
        </w:tabs>
        <w:spacing w:after="80"/>
        <w:ind w:left="720" w:hanging="360"/>
        <w:rPr>
          <w:rFonts w:ascii="Arial" w:hAnsi="Arial" w:cs="Arial"/>
          <w:bCs/>
          <w:color w:val="000000"/>
        </w:rPr>
      </w:pPr>
      <w:r>
        <w:rPr>
          <w:rFonts w:ascii="Arial" w:hAnsi="Arial" w:cs="Arial"/>
          <w:color w:val="000000"/>
          <w:sz w:val="22"/>
        </w:rPr>
        <w:tab/>
      </w:r>
      <w:r w:rsidR="00AA627A" w:rsidRPr="00CF597A">
        <w:rPr>
          <w:rFonts w:ascii="Arial" w:hAnsi="Arial" w:cs="Arial"/>
          <w:bCs/>
          <w:color w:val="000000"/>
        </w:rPr>
        <w:t xml:space="preserve">The attached solicitation for comments was in the Federal Register dated </w:t>
      </w:r>
      <w:r w:rsidR="00986679">
        <w:rPr>
          <w:rFonts w:ascii="Arial" w:hAnsi="Arial" w:cs="Arial"/>
          <w:bCs/>
        </w:rPr>
        <w:t>Monday</w:t>
      </w:r>
      <w:r w:rsidR="00AA627A" w:rsidRPr="00C5264D">
        <w:rPr>
          <w:rFonts w:ascii="Arial" w:hAnsi="Arial" w:cs="Arial"/>
          <w:bCs/>
        </w:rPr>
        <w:t xml:space="preserve">, </w:t>
      </w:r>
      <w:r w:rsidR="00986679">
        <w:rPr>
          <w:rFonts w:ascii="Arial" w:hAnsi="Arial" w:cs="Arial"/>
          <w:bCs/>
        </w:rPr>
        <w:t>July 6, 2015</w:t>
      </w:r>
      <w:r w:rsidR="00AA627A" w:rsidRPr="00C5264D">
        <w:rPr>
          <w:rFonts w:ascii="Arial" w:hAnsi="Arial" w:cs="Arial"/>
          <w:bCs/>
        </w:rPr>
        <w:t xml:space="preserve">, Volume </w:t>
      </w:r>
      <w:r w:rsidR="00986679">
        <w:rPr>
          <w:rFonts w:ascii="Arial" w:hAnsi="Arial" w:cs="Arial"/>
          <w:bCs/>
        </w:rPr>
        <w:t>80</w:t>
      </w:r>
      <w:r w:rsidR="00AA627A" w:rsidRPr="00C5264D">
        <w:rPr>
          <w:rFonts w:ascii="Arial" w:hAnsi="Arial" w:cs="Arial"/>
          <w:bCs/>
        </w:rPr>
        <w:t xml:space="preserve">, No. </w:t>
      </w:r>
      <w:r w:rsidR="003A54F4">
        <w:rPr>
          <w:rFonts w:ascii="Arial" w:hAnsi="Arial" w:cs="Arial"/>
          <w:bCs/>
        </w:rPr>
        <w:t>12</w:t>
      </w:r>
      <w:r w:rsidR="00986679">
        <w:rPr>
          <w:rFonts w:ascii="Arial" w:hAnsi="Arial" w:cs="Arial"/>
          <w:bCs/>
        </w:rPr>
        <w:t>8</w:t>
      </w:r>
      <w:r w:rsidR="00694BD6">
        <w:rPr>
          <w:rFonts w:ascii="Arial" w:hAnsi="Arial" w:cs="Arial"/>
          <w:bCs/>
        </w:rPr>
        <w:t>,</w:t>
      </w:r>
      <w:r w:rsidR="00AA627A" w:rsidRPr="00C5264D">
        <w:rPr>
          <w:rFonts w:ascii="Arial" w:hAnsi="Arial" w:cs="Arial"/>
          <w:bCs/>
        </w:rPr>
        <w:t xml:space="preserve"> pages </w:t>
      </w:r>
      <w:r w:rsidR="003A54F4">
        <w:rPr>
          <w:rFonts w:ascii="Arial" w:hAnsi="Arial" w:cs="Arial"/>
          <w:bCs/>
        </w:rPr>
        <w:t>3</w:t>
      </w:r>
      <w:r w:rsidR="006401B4">
        <w:rPr>
          <w:rFonts w:ascii="Arial" w:hAnsi="Arial" w:cs="Arial"/>
          <w:bCs/>
        </w:rPr>
        <w:t>8455</w:t>
      </w:r>
      <w:r w:rsidR="003A54F4">
        <w:rPr>
          <w:rFonts w:ascii="Arial" w:hAnsi="Arial" w:cs="Arial"/>
          <w:bCs/>
        </w:rPr>
        <w:t>-3</w:t>
      </w:r>
      <w:r w:rsidR="006401B4">
        <w:rPr>
          <w:rFonts w:ascii="Arial" w:hAnsi="Arial" w:cs="Arial"/>
          <w:bCs/>
        </w:rPr>
        <w:t>38458</w:t>
      </w:r>
      <w:r w:rsidR="00AA627A" w:rsidRPr="00C5264D">
        <w:rPr>
          <w:rFonts w:ascii="Arial" w:hAnsi="Arial" w:cs="Arial"/>
          <w:bCs/>
        </w:rPr>
        <w:t>.</w:t>
      </w:r>
      <w:r w:rsidR="00AA627A" w:rsidRPr="00C5264D">
        <w:rPr>
          <w:rFonts w:ascii="Arial" w:hAnsi="Arial" w:cs="Arial"/>
          <w:sz w:val="22"/>
        </w:rPr>
        <w:t xml:space="preserve">  </w:t>
      </w:r>
      <w:r w:rsidR="00AA627A" w:rsidRPr="00C5264D">
        <w:rPr>
          <w:rFonts w:ascii="Arial" w:hAnsi="Arial" w:cs="Arial"/>
          <w:bCs/>
        </w:rPr>
        <w:t>No comments were received.  On an on-g</w:t>
      </w:r>
      <w:r w:rsidR="00AA627A" w:rsidRPr="00CF597A">
        <w:rPr>
          <w:rFonts w:ascii="Arial" w:hAnsi="Arial" w:cs="Arial"/>
          <w:bCs/>
          <w:color w:val="000000"/>
        </w:rPr>
        <w:t xml:space="preserve">oing basis, Ginnie Mae meets with its business partners to discuss new policy, new programs and enhancements to its business processes (which include data collected from issuers), for the purpose of seeking industry input before implementation.  This is done formally and informally in several arenas, through the Mortgage Bankers Association’s Ginnie Mae Liaison Committee meetings, which are held three times a year, regular issuer training sessions conducted by Ginnie Mae, </w:t>
      </w:r>
      <w:r w:rsidR="0068318F">
        <w:rPr>
          <w:rFonts w:ascii="Arial" w:hAnsi="Arial" w:cs="Arial"/>
          <w:bCs/>
          <w:color w:val="000000"/>
        </w:rPr>
        <w:t xml:space="preserve">quarterly issuer outreach calls </w:t>
      </w:r>
      <w:r w:rsidR="00AA627A" w:rsidRPr="00CF597A">
        <w:rPr>
          <w:rFonts w:ascii="Arial" w:hAnsi="Arial" w:cs="Arial"/>
          <w:bCs/>
          <w:color w:val="000000"/>
        </w:rPr>
        <w:t>and yearly on-site issuer field visits performed by Ginnie Mae account executives.</w:t>
      </w:r>
    </w:p>
    <w:p w14:paraId="537CC06C" w14:textId="77777777" w:rsidR="00AA627A" w:rsidRPr="00CF597A" w:rsidRDefault="00AA627A">
      <w:pPr>
        <w:tabs>
          <w:tab w:val="left" w:pos="360"/>
        </w:tabs>
        <w:ind w:left="360" w:hanging="360"/>
        <w:rPr>
          <w:rFonts w:ascii="Arial" w:hAnsi="Arial" w:cs="Arial"/>
          <w:color w:val="000000"/>
          <w:sz w:val="18"/>
        </w:rPr>
      </w:pPr>
    </w:p>
    <w:p w14:paraId="73EECA45" w14:textId="77777777"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color w:val="000000"/>
          <w:sz w:val="18"/>
        </w:rPr>
        <w:t>9.</w:t>
      </w:r>
      <w:r w:rsidRPr="00CF597A">
        <w:rPr>
          <w:rFonts w:ascii="Arial" w:hAnsi="Arial" w:cs="Arial"/>
          <w:color w:val="000000"/>
          <w:sz w:val="18"/>
        </w:rPr>
        <w:tab/>
      </w:r>
      <w:r w:rsidRPr="00CF597A">
        <w:rPr>
          <w:rFonts w:ascii="Arial" w:hAnsi="Arial" w:cs="Arial"/>
          <w:b/>
          <w:color w:val="000000"/>
          <w:sz w:val="22"/>
        </w:rPr>
        <w:t>Explain any payments or gifts to respondents, other than remuneration of contractors or grantees.</w:t>
      </w:r>
    </w:p>
    <w:p w14:paraId="2AD2AD82" w14:textId="77777777" w:rsidR="00AA627A" w:rsidRPr="00CF597A" w:rsidRDefault="00AA627A">
      <w:pPr>
        <w:keepLines/>
        <w:tabs>
          <w:tab w:val="left" w:pos="360"/>
        </w:tabs>
        <w:spacing w:after="80"/>
        <w:ind w:left="360" w:hanging="360"/>
        <w:rPr>
          <w:rFonts w:ascii="Arial" w:hAnsi="Arial" w:cs="Arial"/>
          <w:bCs/>
          <w:color w:val="000000"/>
        </w:rPr>
      </w:pPr>
      <w:r w:rsidRPr="00CF597A">
        <w:rPr>
          <w:rFonts w:ascii="Arial" w:hAnsi="Arial" w:cs="Arial"/>
          <w:color w:val="000000"/>
          <w:sz w:val="22"/>
        </w:rPr>
        <w:tab/>
      </w:r>
      <w:r w:rsidRPr="00CF597A">
        <w:rPr>
          <w:rFonts w:ascii="Arial" w:hAnsi="Arial" w:cs="Arial"/>
          <w:color w:val="000000"/>
          <w:sz w:val="22"/>
        </w:rPr>
        <w:tab/>
      </w:r>
      <w:r w:rsidRPr="00CF597A">
        <w:rPr>
          <w:rFonts w:ascii="Arial" w:hAnsi="Arial" w:cs="Arial"/>
          <w:bCs/>
          <w:color w:val="000000"/>
        </w:rPr>
        <w:t>There are no payments or gifts other than remuneration of contractors or grantees.</w:t>
      </w:r>
    </w:p>
    <w:p w14:paraId="6F571231" w14:textId="77777777" w:rsidR="00AA627A" w:rsidRPr="00CF597A" w:rsidRDefault="00AA627A">
      <w:pPr>
        <w:tabs>
          <w:tab w:val="left" w:pos="360"/>
        </w:tabs>
        <w:ind w:left="360" w:hanging="360"/>
        <w:rPr>
          <w:rFonts w:ascii="Arial" w:hAnsi="Arial" w:cs="Arial"/>
          <w:color w:val="000000"/>
          <w:sz w:val="18"/>
        </w:rPr>
      </w:pPr>
    </w:p>
    <w:p w14:paraId="7A61C3F4" w14:textId="77777777" w:rsidR="00AA627A" w:rsidRPr="00CF597A" w:rsidRDefault="00AA627A">
      <w:pPr>
        <w:keepLines/>
        <w:tabs>
          <w:tab w:val="left" w:pos="360"/>
        </w:tabs>
        <w:spacing w:after="80"/>
        <w:ind w:left="360" w:hanging="360"/>
        <w:rPr>
          <w:rFonts w:ascii="Arial" w:hAnsi="Arial" w:cs="Arial"/>
          <w:b/>
          <w:color w:val="000000"/>
          <w:sz w:val="22"/>
        </w:rPr>
      </w:pPr>
      <w:r w:rsidRPr="00CF597A">
        <w:rPr>
          <w:rFonts w:ascii="Arial" w:hAnsi="Arial" w:cs="Arial"/>
          <w:color w:val="000000"/>
          <w:sz w:val="18"/>
        </w:rPr>
        <w:t>10.</w:t>
      </w:r>
      <w:r w:rsidRPr="00CF597A">
        <w:rPr>
          <w:rFonts w:ascii="Arial" w:hAnsi="Arial" w:cs="Arial"/>
          <w:color w:val="000000"/>
          <w:sz w:val="18"/>
        </w:rPr>
        <w:tab/>
      </w:r>
      <w:r w:rsidRPr="00CF597A">
        <w:rPr>
          <w:rFonts w:ascii="Arial" w:hAnsi="Arial" w:cs="Arial"/>
          <w:b/>
          <w:color w:val="000000"/>
          <w:sz w:val="22"/>
        </w:rPr>
        <w:t>Describe any assurance of confidentiality provided to respondents and the basis for assurance in statute, regulation or agency policy.</w:t>
      </w:r>
    </w:p>
    <w:p w14:paraId="13A7660C" w14:textId="77777777" w:rsidR="00AA627A" w:rsidRPr="00CF597A" w:rsidRDefault="00AA627A">
      <w:pPr>
        <w:keepLines/>
        <w:tabs>
          <w:tab w:val="left" w:pos="360"/>
        </w:tabs>
        <w:spacing w:after="80"/>
        <w:ind w:left="720" w:hanging="360"/>
        <w:rPr>
          <w:rFonts w:ascii="Arial" w:hAnsi="Arial" w:cs="Arial"/>
          <w:bCs/>
          <w:color w:val="000000"/>
        </w:rPr>
      </w:pPr>
      <w:r w:rsidRPr="00CF597A">
        <w:rPr>
          <w:rFonts w:ascii="Arial" w:hAnsi="Arial" w:cs="Arial"/>
          <w:color w:val="000000"/>
          <w:sz w:val="22"/>
        </w:rPr>
        <w:tab/>
      </w:r>
      <w:r w:rsidRPr="00CF597A">
        <w:rPr>
          <w:rFonts w:ascii="Arial" w:hAnsi="Arial" w:cs="Arial"/>
          <w:bCs/>
          <w:color w:val="000000"/>
        </w:rPr>
        <w:t xml:space="preserve">The forms are in compliance with the Privacy Act.  </w:t>
      </w:r>
      <w:r w:rsidR="00F91491">
        <w:rPr>
          <w:rFonts w:ascii="Arial" w:hAnsi="Arial" w:cs="Arial"/>
          <w:bCs/>
          <w:color w:val="000000"/>
        </w:rPr>
        <w:t xml:space="preserve">Ginnie Mae’s GinnieNET and </w:t>
      </w:r>
      <w:r w:rsidR="00C12E3E">
        <w:rPr>
          <w:rFonts w:ascii="Arial" w:hAnsi="Arial" w:cs="Arial"/>
          <w:bCs/>
          <w:color w:val="000000"/>
        </w:rPr>
        <w:t xml:space="preserve">Enterprise Wide Portal are secure web-based systems.  </w:t>
      </w:r>
      <w:r w:rsidRPr="00CF597A">
        <w:rPr>
          <w:rFonts w:ascii="Arial" w:hAnsi="Arial" w:cs="Arial"/>
          <w:bCs/>
          <w:color w:val="000000"/>
        </w:rPr>
        <w:t xml:space="preserve">The information collected </w:t>
      </w:r>
      <w:r w:rsidR="00C12E3E">
        <w:rPr>
          <w:rFonts w:ascii="Arial" w:hAnsi="Arial" w:cs="Arial"/>
          <w:bCs/>
          <w:color w:val="000000"/>
        </w:rPr>
        <w:t>will not be disclosed outside the Department except as required or permitted by law</w:t>
      </w:r>
      <w:r w:rsidR="00F6183F">
        <w:rPr>
          <w:rFonts w:ascii="Arial" w:hAnsi="Arial" w:cs="Arial"/>
          <w:bCs/>
          <w:color w:val="000000"/>
        </w:rPr>
        <w:t>.</w:t>
      </w:r>
    </w:p>
    <w:p w14:paraId="18029E52" w14:textId="77777777" w:rsidR="00AA627A" w:rsidRPr="00CF597A" w:rsidRDefault="00AA627A">
      <w:pPr>
        <w:tabs>
          <w:tab w:val="left" w:pos="360"/>
        </w:tabs>
        <w:ind w:left="360" w:hanging="360"/>
        <w:rPr>
          <w:rFonts w:ascii="Arial" w:hAnsi="Arial" w:cs="Arial"/>
          <w:color w:val="000000"/>
          <w:sz w:val="18"/>
        </w:rPr>
      </w:pPr>
    </w:p>
    <w:p w14:paraId="37807FF7" w14:textId="77777777" w:rsidR="00AA627A" w:rsidRPr="00CF597A" w:rsidRDefault="00AA627A">
      <w:pPr>
        <w:keepLines/>
        <w:tabs>
          <w:tab w:val="left" w:pos="360"/>
          <w:tab w:val="left" w:pos="720"/>
        </w:tabs>
        <w:ind w:left="360" w:hanging="360"/>
        <w:rPr>
          <w:rFonts w:ascii="Arial" w:hAnsi="Arial" w:cs="Arial"/>
          <w:b/>
          <w:color w:val="000000"/>
          <w:sz w:val="22"/>
        </w:rPr>
      </w:pPr>
      <w:r w:rsidRPr="00CF597A">
        <w:rPr>
          <w:rFonts w:ascii="Arial" w:hAnsi="Arial" w:cs="Arial"/>
          <w:color w:val="000000"/>
          <w:sz w:val="18"/>
        </w:rPr>
        <w:lastRenderedPageBreak/>
        <w:t>11.</w:t>
      </w:r>
      <w:r w:rsidRPr="00CF597A">
        <w:rPr>
          <w:rFonts w:ascii="Arial" w:hAnsi="Arial" w:cs="Arial"/>
          <w:color w:val="000000"/>
          <w:sz w:val="18"/>
        </w:rPr>
        <w:tab/>
      </w:r>
      <w:r w:rsidRPr="00CF597A">
        <w:rPr>
          <w:rFonts w:ascii="Arial" w:hAnsi="Arial" w:cs="Arial"/>
          <w:b/>
          <w:color w:val="000000"/>
          <w:sz w:val="18"/>
        </w:rPr>
        <w:t>J</w:t>
      </w:r>
      <w:r w:rsidRPr="00CF597A">
        <w:rPr>
          <w:rFonts w:ascii="Arial" w:hAnsi="Arial" w:cs="Arial"/>
          <w:b/>
          <w:color w:val="000000"/>
          <w:sz w:val="22"/>
        </w:rPr>
        <w:t>ustify any questions of a sensitive nature, such as sexual, religious beliefs, and other matters that are commonly considered private</w:t>
      </w:r>
    </w:p>
    <w:p w14:paraId="57B9E7D8" w14:textId="77777777" w:rsidR="00AA627A" w:rsidRPr="00CF597A" w:rsidRDefault="00AA627A">
      <w:pPr>
        <w:keepLines/>
        <w:tabs>
          <w:tab w:val="left" w:pos="360"/>
        </w:tabs>
        <w:ind w:left="360" w:hanging="360"/>
        <w:rPr>
          <w:rFonts w:ascii="Arial" w:hAnsi="Arial" w:cs="Arial"/>
          <w:color w:val="000000"/>
          <w:sz w:val="22"/>
        </w:rPr>
      </w:pPr>
    </w:p>
    <w:p w14:paraId="12001D64" w14:textId="77777777" w:rsidR="00AA627A" w:rsidRPr="00CF597A" w:rsidRDefault="00AA627A">
      <w:pPr>
        <w:keepLines/>
        <w:tabs>
          <w:tab w:val="left" w:pos="360"/>
        </w:tabs>
        <w:ind w:left="360" w:hanging="360"/>
        <w:rPr>
          <w:rFonts w:ascii="Arial" w:hAnsi="Arial" w:cs="Arial"/>
          <w:bCs/>
          <w:color w:val="000000"/>
        </w:rPr>
      </w:pPr>
      <w:r w:rsidRPr="00CF597A">
        <w:rPr>
          <w:rFonts w:ascii="Arial" w:hAnsi="Arial" w:cs="Arial"/>
          <w:color w:val="000000"/>
          <w:sz w:val="22"/>
        </w:rPr>
        <w:tab/>
      </w:r>
      <w:r w:rsidRPr="00CF597A">
        <w:rPr>
          <w:rFonts w:ascii="Arial" w:hAnsi="Arial" w:cs="Arial"/>
          <w:color w:val="000000"/>
          <w:sz w:val="22"/>
        </w:rPr>
        <w:tab/>
      </w:r>
      <w:r w:rsidRPr="00CF597A">
        <w:rPr>
          <w:rFonts w:ascii="Arial" w:hAnsi="Arial" w:cs="Arial"/>
          <w:bCs/>
          <w:color w:val="000000"/>
        </w:rPr>
        <w:t xml:space="preserve">The information collected contains no questions of a sensitive </w:t>
      </w:r>
      <w:r w:rsidR="00F6183F" w:rsidRPr="00CF597A">
        <w:rPr>
          <w:rFonts w:ascii="Arial" w:hAnsi="Arial" w:cs="Arial"/>
          <w:bCs/>
          <w:color w:val="000000"/>
        </w:rPr>
        <w:t>nature;</w:t>
      </w:r>
      <w:r w:rsidR="004F575C">
        <w:rPr>
          <w:rFonts w:ascii="Arial" w:hAnsi="Arial" w:cs="Arial"/>
          <w:bCs/>
          <w:color w:val="000000"/>
        </w:rPr>
        <w:t xml:space="preserve"> </w:t>
      </w:r>
      <w:r w:rsidRPr="00CF597A">
        <w:rPr>
          <w:rFonts w:ascii="Arial" w:hAnsi="Arial" w:cs="Arial"/>
          <w:bCs/>
          <w:color w:val="000000"/>
        </w:rPr>
        <w:t>therefore, no justification is required.</w:t>
      </w:r>
    </w:p>
    <w:p w14:paraId="29744997" w14:textId="77777777" w:rsidR="00AA627A" w:rsidRPr="00CF597A" w:rsidRDefault="00AA627A">
      <w:pPr>
        <w:keepLines/>
        <w:tabs>
          <w:tab w:val="left" w:pos="360"/>
        </w:tabs>
        <w:ind w:left="360" w:hanging="360"/>
        <w:rPr>
          <w:rFonts w:ascii="Arial" w:hAnsi="Arial" w:cs="Arial"/>
          <w:color w:val="000000"/>
          <w:sz w:val="22"/>
        </w:rPr>
      </w:pPr>
    </w:p>
    <w:p w14:paraId="6D37EB89" w14:textId="4FEC725C" w:rsidR="00AA627A" w:rsidRPr="00CF597A" w:rsidRDefault="00AA627A">
      <w:pPr>
        <w:keepLines/>
        <w:tabs>
          <w:tab w:val="left" w:pos="360"/>
          <w:tab w:val="left" w:pos="720"/>
        </w:tabs>
        <w:ind w:left="360" w:hanging="360"/>
        <w:rPr>
          <w:rFonts w:ascii="Arial" w:hAnsi="Arial" w:cs="Arial"/>
          <w:b/>
          <w:color w:val="000000"/>
          <w:sz w:val="22"/>
        </w:rPr>
      </w:pPr>
      <w:r w:rsidRPr="00CF597A">
        <w:rPr>
          <w:rFonts w:ascii="Arial" w:hAnsi="Arial" w:cs="Arial"/>
          <w:color w:val="000000"/>
          <w:sz w:val="18"/>
        </w:rPr>
        <w:t>12.</w:t>
      </w:r>
      <w:r w:rsidRPr="00CF597A">
        <w:rPr>
          <w:rFonts w:ascii="Arial" w:hAnsi="Arial" w:cs="Arial"/>
          <w:b/>
          <w:color w:val="000000"/>
          <w:sz w:val="18"/>
        </w:rPr>
        <w:tab/>
        <w:t>E</w:t>
      </w:r>
      <w:r w:rsidRPr="00CF597A">
        <w:rPr>
          <w:rFonts w:ascii="Arial" w:hAnsi="Arial" w:cs="Arial"/>
          <w:b/>
          <w:color w:val="000000"/>
          <w:sz w:val="22"/>
        </w:rPr>
        <w:t xml:space="preserve">stimate public burden: number of respondents, frequency of response, annual hour burden.  Read the complete instructions on the form 83i.  Explain how the burden was estimated.  </w:t>
      </w:r>
      <w:r w:rsidR="008E3C68" w:rsidRPr="00CF597A">
        <w:rPr>
          <w:rFonts w:ascii="Arial" w:hAnsi="Arial" w:cs="Arial"/>
          <w:b/>
          <w:color w:val="000000"/>
          <w:sz w:val="22"/>
        </w:rPr>
        <w:t>Generally,</w:t>
      </w:r>
      <w:r w:rsidRPr="00CF597A">
        <w:rPr>
          <w:rFonts w:ascii="Arial" w:hAnsi="Arial" w:cs="Arial"/>
          <w:b/>
          <w:color w:val="000000"/>
          <w:sz w:val="22"/>
        </w:rPr>
        <w:t xml:space="preserve"> estimates should not include burden hours for customary and usual business practices.  Provide a table to describe the elements of the burden. Break out each form used.  </w:t>
      </w:r>
    </w:p>
    <w:p w14:paraId="1553E421" w14:textId="77777777" w:rsidR="00AA627A" w:rsidRPr="00CF597A" w:rsidRDefault="00AA627A">
      <w:pPr>
        <w:numPr>
          <w:ilvl w:val="0"/>
          <w:numId w:val="8"/>
        </w:numPr>
        <w:tabs>
          <w:tab w:val="left" w:pos="480"/>
        </w:tabs>
        <w:ind w:left="480"/>
        <w:rPr>
          <w:rFonts w:ascii="Arial" w:hAnsi="Arial" w:cs="Arial"/>
          <w:b/>
          <w:color w:val="000000"/>
          <w:sz w:val="22"/>
        </w:rPr>
      </w:pPr>
      <w:r w:rsidRPr="00CF597A">
        <w:rPr>
          <w:rFonts w:ascii="Arial" w:hAnsi="Arial" w:cs="Arial"/>
          <w:b/>
          <w:color w:val="000000"/>
          <w:sz w:val="22"/>
        </w:rPr>
        <w:t xml:space="preserve">if this collection uses more than one form, provide separate estimates for each form and aggregate the hour burdens in item 13 of OMB Form 83i; and </w:t>
      </w:r>
    </w:p>
    <w:p w14:paraId="4E63751E" w14:textId="77777777" w:rsidR="00AA627A" w:rsidRPr="00CF597A" w:rsidRDefault="00F6183F">
      <w:pPr>
        <w:keepLines/>
        <w:numPr>
          <w:ilvl w:val="0"/>
          <w:numId w:val="8"/>
        </w:numPr>
        <w:tabs>
          <w:tab w:val="left" w:pos="480"/>
        </w:tabs>
        <w:spacing w:after="80"/>
        <w:ind w:left="480"/>
        <w:rPr>
          <w:rFonts w:ascii="Arial" w:hAnsi="Arial" w:cs="Arial"/>
          <w:b/>
          <w:color w:val="000000"/>
          <w:sz w:val="22"/>
        </w:rPr>
      </w:pPr>
      <w:r w:rsidRPr="00CF597A">
        <w:rPr>
          <w:rFonts w:ascii="Arial" w:hAnsi="Arial" w:cs="Arial"/>
          <w:b/>
          <w:color w:val="000000"/>
          <w:sz w:val="22"/>
        </w:rPr>
        <w:t>Provide</w:t>
      </w:r>
      <w:r w:rsidR="00AA627A" w:rsidRPr="00CF597A">
        <w:rPr>
          <w:rFonts w:ascii="Arial" w:hAnsi="Arial" w:cs="Arial"/>
          <w:b/>
          <w:color w:val="000000"/>
          <w:sz w:val="22"/>
        </w:rPr>
        <w:t xml:space="preserve"> estimates of annualized cost to respondents for the hour burdens for collections of information, identifying and using appropriate wage rate categories.  </w:t>
      </w:r>
    </w:p>
    <w:p w14:paraId="5890E367" w14:textId="77777777" w:rsidR="00AA627A" w:rsidRPr="00CF597A" w:rsidRDefault="00AA627A">
      <w:pPr>
        <w:keepLines/>
        <w:numPr>
          <w:ilvl w:val="0"/>
          <w:numId w:val="8"/>
        </w:numPr>
        <w:tabs>
          <w:tab w:val="left" w:pos="480"/>
        </w:tabs>
        <w:spacing w:after="80"/>
        <w:ind w:left="480"/>
        <w:rPr>
          <w:rFonts w:ascii="Arial" w:hAnsi="Arial" w:cs="Arial"/>
          <w:b/>
          <w:color w:val="000000"/>
          <w:sz w:val="22"/>
        </w:rPr>
      </w:pPr>
      <w:r w:rsidRPr="00CF597A">
        <w:rPr>
          <w:rFonts w:ascii="Arial" w:hAnsi="Arial" w:cs="Arial"/>
          <w:b/>
          <w:color w:val="000000"/>
          <w:sz w:val="22"/>
        </w:rPr>
        <w:t>The cost of contracting out or paying outside parties for information collection activities should not be included here.  Instead this cost should be included in Item 13.</w:t>
      </w:r>
    </w:p>
    <w:p w14:paraId="4970C8A6" w14:textId="77777777" w:rsidR="00AA627A" w:rsidRPr="00CF597A" w:rsidRDefault="00AA627A">
      <w:pPr>
        <w:tabs>
          <w:tab w:val="left" w:pos="360"/>
        </w:tabs>
        <w:ind w:left="360" w:hanging="360"/>
        <w:rPr>
          <w:rFonts w:ascii="Arial" w:hAnsi="Arial" w:cs="Arial"/>
          <w:color w:val="000000"/>
          <w:sz w:val="18"/>
        </w:rPr>
      </w:pPr>
    </w:p>
    <w:p w14:paraId="06CE672B" w14:textId="77777777" w:rsidR="00AA627A" w:rsidRDefault="00AA627A">
      <w:pPr>
        <w:tabs>
          <w:tab w:val="left" w:pos="360"/>
        </w:tabs>
        <w:ind w:left="480" w:hanging="360"/>
        <w:rPr>
          <w:rFonts w:ascii="Arial" w:hAnsi="Arial" w:cs="Arial"/>
          <w:bCs/>
          <w:color w:val="000000"/>
        </w:rPr>
      </w:pPr>
      <w:r w:rsidRPr="00CF597A">
        <w:rPr>
          <w:rFonts w:ascii="Arial" w:hAnsi="Arial" w:cs="Arial"/>
          <w:color w:val="000000"/>
          <w:sz w:val="18"/>
        </w:rPr>
        <w:tab/>
      </w:r>
      <w:r w:rsidRPr="00CF597A">
        <w:rPr>
          <w:rFonts w:ascii="Arial" w:hAnsi="Arial" w:cs="Arial"/>
          <w:b/>
          <w:bCs/>
          <w:color w:val="000000"/>
        </w:rPr>
        <w:tab/>
      </w:r>
      <w:r w:rsidRPr="00CF597A">
        <w:rPr>
          <w:rFonts w:ascii="Arial" w:hAnsi="Arial" w:cs="Arial"/>
          <w:bCs/>
          <w:color w:val="000000"/>
        </w:rPr>
        <w:t xml:space="preserve">There are approximately </w:t>
      </w:r>
      <w:r w:rsidR="006401B4">
        <w:rPr>
          <w:rFonts w:ascii="Arial" w:hAnsi="Arial" w:cs="Arial"/>
          <w:bCs/>
          <w:color w:val="000000"/>
        </w:rPr>
        <w:t>26</w:t>
      </w:r>
      <w:r w:rsidR="00CF597A">
        <w:rPr>
          <w:rFonts w:ascii="Arial" w:hAnsi="Arial" w:cs="Arial"/>
          <w:bCs/>
          <w:color w:val="000000"/>
        </w:rPr>
        <w:t xml:space="preserve"> forms and</w:t>
      </w:r>
      <w:r w:rsidR="00AA6074" w:rsidRPr="00CF597A">
        <w:rPr>
          <w:rFonts w:ascii="Arial" w:hAnsi="Arial" w:cs="Arial"/>
          <w:bCs/>
          <w:color w:val="000000"/>
        </w:rPr>
        <w:t xml:space="preserve"> </w:t>
      </w:r>
      <w:r w:rsidR="006401B4">
        <w:rPr>
          <w:rFonts w:ascii="Arial" w:hAnsi="Arial" w:cs="Arial"/>
          <w:bCs/>
          <w:color w:val="000000"/>
        </w:rPr>
        <w:t>42</w:t>
      </w:r>
      <w:r w:rsidR="00AA6074" w:rsidRPr="00CF597A">
        <w:rPr>
          <w:rFonts w:ascii="Arial" w:hAnsi="Arial" w:cs="Arial"/>
          <w:bCs/>
          <w:color w:val="000000"/>
        </w:rPr>
        <w:t xml:space="preserve"> </w:t>
      </w:r>
      <w:r w:rsidRPr="00CF597A">
        <w:rPr>
          <w:rFonts w:ascii="Arial" w:hAnsi="Arial" w:cs="Arial"/>
          <w:bCs/>
          <w:color w:val="000000"/>
        </w:rPr>
        <w:t>appendices included with this submission.  In the event that there are more than 10 respondents, the collection will be PRA compliant.</w:t>
      </w:r>
      <w:r w:rsidR="00B8732D" w:rsidRPr="00CF597A">
        <w:rPr>
          <w:rFonts w:ascii="Arial" w:hAnsi="Arial" w:cs="Arial"/>
          <w:bCs/>
          <w:color w:val="000000"/>
        </w:rPr>
        <w:t xml:space="preserve">  </w:t>
      </w:r>
      <w:r w:rsidR="00DB0D20">
        <w:rPr>
          <w:rFonts w:ascii="Arial" w:hAnsi="Arial" w:cs="Arial"/>
          <w:bCs/>
          <w:color w:val="000000"/>
        </w:rPr>
        <w:t xml:space="preserve">The increase in burden hours as result of an increase in the number of issuers doing business with Ginnie Mae, the addition of new appendices and an overall growth in our portfolio.  </w:t>
      </w:r>
      <w:r w:rsidR="00442D1E">
        <w:rPr>
          <w:rFonts w:ascii="Arial" w:hAnsi="Arial" w:cs="Arial"/>
          <w:bCs/>
          <w:color w:val="000000"/>
        </w:rPr>
        <w:t>There are 15 forms and appendices in our collection which are volume driven rather than participant driven: the burden hours associated with those items has increased as our portfolio has grown.</w:t>
      </w:r>
      <w:r w:rsidR="00DB0D20">
        <w:rPr>
          <w:rFonts w:ascii="Arial" w:hAnsi="Arial" w:cs="Arial"/>
          <w:bCs/>
          <w:color w:val="000000"/>
        </w:rPr>
        <w:t xml:space="preserve">  </w:t>
      </w:r>
      <w:r w:rsidR="00233316">
        <w:rPr>
          <w:rFonts w:ascii="Arial" w:hAnsi="Arial" w:cs="Arial"/>
          <w:bCs/>
          <w:color w:val="000000"/>
        </w:rPr>
        <w:t xml:space="preserve"> </w:t>
      </w:r>
    </w:p>
    <w:p w14:paraId="37588E73" w14:textId="77777777" w:rsidR="00233316" w:rsidRDefault="00233316" w:rsidP="00233316">
      <w:pPr>
        <w:tabs>
          <w:tab w:val="left" w:pos="360"/>
        </w:tabs>
        <w:ind w:left="480" w:hanging="360"/>
        <w:rPr>
          <w:rFonts w:ascii="Arial" w:hAnsi="Arial" w:cs="Arial"/>
          <w:bCs/>
          <w:color w:val="000000"/>
        </w:rPr>
      </w:pPr>
      <w:r>
        <w:rPr>
          <w:rFonts w:ascii="Arial" w:hAnsi="Arial" w:cs="Arial"/>
          <w:bCs/>
          <w:color w:val="000000"/>
        </w:rPr>
        <w:t xml:space="preserve"> </w:t>
      </w:r>
    </w:p>
    <w:p w14:paraId="5B5DA399" w14:textId="77777777" w:rsidR="00233316" w:rsidRPr="0054218D" w:rsidRDefault="00233316" w:rsidP="00233316">
      <w:pPr>
        <w:tabs>
          <w:tab w:val="left" w:pos="360"/>
        </w:tabs>
        <w:ind w:left="360" w:hanging="360"/>
        <w:rPr>
          <w:rFonts w:ascii="Arial" w:hAnsi="Arial" w:cs="Arial"/>
          <w:bCs/>
          <w:color w:val="000000"/>
        </w:rPr>
      </w:pPr>
      <w:r>
        <w:rPr>
          <w:rFonts w:ascii="Arial" w:hAnsi="Arial" w:cs="Arial"/>
          <w:bCs/>
          <w:color w:val="000000"/>
        </w:rPr>
        <w:tab/>
        <w:t xml:space="preserve"> </w:t>
      </w:r>
      <w:r w:rsidRPr="0054218D">
        <w:rPr>
          <w:rFonts w:ascii="Arial" w:hAnsi="Arial" w:cs="Arial"/>
          <w:bCs/>
          <w:color w:val="000000"/>
        </w:rPr>
        <w:t xml:space="preserve">While most of the calculations are based on number of respondents multiplied by the frequency of response, there       </w:t>
      </w:r>
    </w:p>
    <w:p w14:paraId="325A0BE9" w14:textId="2FBA988C" w:rsidR="00233316" w:rsidRPr="0054218D" w:rsidRDefault="00142C47" w:rsidP="00233316">
      <w:pPr>
        <w:tabs>
          <w:tab w:val="left" w:pos="360"/>
        </w:tabs>
        <w:ind w:left="360" w:hanging="360"/>
        <w:rPr>
          <w:rFonts w:ascii="Arial" w:hAnsi="Arial" w:cs="Arial"/>
          <w:bCs/>
          <w:color w:val="000000"/>
        </w:rPr>
      </w:pPr>
      <w:r>
        <w:rPr>
          <w:rFonts w:ascii="Arial" w:hAnsi="Arial" w:cs="Arial"/>
          <w:bCs/>
          <w:color w:val="000000"/>
        </w:rPr>
        <w:t xml:space="preserve">       </w:t>
      </w:r>
      <w:r w:rsidR="00233316" w:rsidRPr="0054218D">
        <w:rPr>
          <w:rFonts w:ascii="Arial" w:hAnsi="Arial" w:cs="Arial"/>
          <w:bCs/>
          <w:color w:val="000000"/>
        </w:rPr>
        <w:t>are several items whose calculations are based on volume.</w:t>
      </w:r>
      <w:r>
        <w:rPr>
          <w:rFonts w:ascii="Arial" w:hAnsi="Arial" w:cs="Arial"/>
          <w:bCs/>
          <w:color w:val="000000"/>
        </w:rPr>
        <w:t xml:space="preserve"> </w:t>
      </w:r>
      <w:r w:rsidRPr="00142C47">
        <w:rPr>
          <w:rFonts w:ascii="Arial" w:hAnsi="Arial" w:cs="Arial"/>
          <w:bCs/>
          <w:color w:val="000000"/>
        </w:rPr>
        <w:t xml:space="preserve">While the top part of the table shows that most of the calculations are based on number of respondents multiplied by the frequency of response, the bottom section of the table reflects items where the calculation is based on volume.  The reason for this approach is because the volume of business for a given program participant varies greatly.  We do have 468 approved Issuers, not all of them are actively pooling.  We have some program participants that issue only a few pools and others that issue hundreds.  Therefore, basing the calculation on program participant does not provide an accurate depiction of the increasing volume.  For example, Ginnie Mae averages 3,000 – 3,500 pools issued every month.  This may reflect 100 program participants or it may include 300 program participants.     </w:t>
      </w:r>
    </w:p>
    <w:p w14:paraId="4387AFA1" w14:textId="77777777" w:rsidR="008E10C8" w:rsidRPr="0054218D" w:rsidRDefault="008E10C8">
      <w:pPr>
        <w:tabs>
          <w:tab w:val="left" w:pos="360"/>
        </w:tabs>
        <w:ind w:left="480" w:hanging="360"/>
        <w:rPr>
          <w:rFonts w:ascii="Arial" w:hAnsi="Arial" w:cs="Arial"/>
          <w:bCs/>
          <w:color w:val="000000"/>
        </w:rPr>
      </w:pPr>
    </w:p>
    <w:p w14:paraId="47697FFD" w14:textId="77777777" w:rsidR="00AA627A" w:rsidRPr="0054218D" w:rsidRDefault="00AA627A">
      <w:pPr>
        <w:tabs>
          <w:tab w:val="left" w:pos="360"/>
        </w:tabs>
        <w:ind w:left="480" w:hanging="360"/>
        <w:rPr>
          <w:rFonts w:ascii="Arial" w:hAnsi="Arial" w:cs="Arial"/>
          <w:bCs/>
          <w:color w:val="000000"/>
        </w:rPr>
      </w:pPr>
      <w:r w:rsidRPr="0054218D">
        <w:rPr>
          <w:rFonts w:ascii="Arial" w:hAnsi="Arial" w:cs="Arial"/>
          <w:bCs/>
          <w:color w:val="000000"/>
        </w:rPr>
        <w:tab/>
      </w:r>
      <w:r w:rsidRPr="0054218D">
        <w:rPr>
          <w:rFonts w:ascii="Arial" w:hAnsi="Arial" w:cs="Arial"/>
          <w:bCs/>
          <w:color w:val="000000"/>
        </w:rPr>
        <w:tab/>
      </w:r>
      <w:r w:rsidR="0039008C" w:rsidRPr="0054218D">
        <w:rPr>
          <w:rFonts w:ascii="Arial" w:hAnsi="Arial" w:cs="Arial"/>
          <w:bCs/>
          <w:color w:val="000000"/>
        </w:rPr>
        <w:t xml:space="preserve"> </w:t>
      </w:r>
    </w:p>
    <w:tbl>
      <w:tblPr>
        <w:tblStyle w:val="TableGrid1"/>
        <w:tblW w:w="10998" w:type="dxa"/>
        <w:tblLayout w:type="fixed"/>
        <w:tblLook w:val="04A0" w:firstRow="1" w:lastRow="0" w:firstColumn="1" w:lastColumn="0" w:noHBand="0" w:noVBand="1"/>
      </w:tblPr>
      <w:tblGrid>
        <w:gridCol w:w="981"/>
        <w:gridCol w:w="1126"/>
        <w:gridCol w:w="2714"/>
        <w:gridCol w:w="9"/>
        <w:gridCol w:w="1329"/>
        <w:gridCol w:w="13"/>
        <w:gridCol w:w="1117"/>
        <w:gridCol w:w="18"/>
        <w:gridCol w:w="1148"/>
        <w:gridCol w:w="12"/>
        <w:gridCol w:w="1123"/>
        <w:gridCol w:w="1408"/>
      </w:tblGrid>
      <w:tr w:rsidR="00682A84" w:rsidRPr="00653F8A" w14:paraId="3DC1E74A" w14:textId="77777777" w:rsidTr="00682A84">
        <w:trPr>
          <w:trHeight w:val="680"/>
        </w:trPr>
        <w:tc>
          <w:tcPr>
            <w:tcW w:w="10998" w:type="dxa"/>
            <w:gridSpan w:val="12"/>
            <w:vAlign w:val="bottom"/>
          </w:tcPr>
          <w:p w14:paraId="355FF835" w14:textId="77777777" w:rsidR="00682A84" w:rsidRPr="00682A84" w:rsidRDefault="00682A84" w:rsidP="00682A84">
            <w:pPr>
              <w:widowControl w:val="0"/>
              <w:tabs>
                <w:tab w:val="decimal" w:pos="316"/>
              </w:tabs>
              <w:overflowPunct/>
              <w:autoSpaceDE/>
              <w:autoSpaceDN/>
              <w:adjustRightInd/>
              <w:textAlignment w:val="auto"/>
              <w:rPr>
                <w:b/>
                <w:color w:val="000000"/>
                <w:sz w:val="18"/>
                <w:szCs w:val="18"/>
              </w:rPr>
            </w:pPr>
            <w:r w:rsidRPr="0054218D">
              <w:rPr>
                <w:b/>
                <w:color w:val="000000"/>
                <w:sz w:val="18"/>
                <w:szCs w:val="18"/>
              </w:rPr>
              <w:t>Below is the number of respondents reviewing, collecting, and submitting the requested information/ forms below. The number of respondents for each form varies based on the frequency of the respondents for reviewing the Ginnie Mae document submission requirements (i.e., monthly, annually or quarterly).</w:t>
            </w:r>
            <w:r>
              <w:rPr>
                <w:b/>
                <w:color w:val="000000"/>
                <w:sz w:val="18"/>
                <w:szCs w:val="18"/>
              </w:rPr>
              <w:t xml:space="preserve"> </w:t>
            </w:r>
          </w:p>
        </w:tc>
      </w:tr>
      <w:tr w:rsidR="00653F8A" w:rsidRPr="00653F8A" w14:paraId="38BD3205" w14:textId="77777777" w:rsidTr="009A4AAB">
        <w:trPr>
          <w:trHeight w:val="620"/>
        </w:trPr>
        <w:tc>
          <w:tcPr>
            <w:tcW w:w="982" w:type="dxa"/>
            <w:vAlign w:val="bottom"/>
          </w:tcPr>
          <w:p w14:paraId="52D2DA26" w14:textId="77777777" w:rsidR="00653F8A" w:rsidRPr="00653F8A" w:rsidRDefault="00653F8A" w:rsidP="000F1C14">
            <w:pPr>
              <w:overflowPunct/>
              <w:autoSpaceDE/>
              <w:autoSpaceDN/>
              <w:adjustRightInd/>
              <w:spacing w:after="200" w:line="153" w:lineRule="exact"/>
              <w:ind w:right="266"/>
              <w:jc w:val="center"/>
              <w:textAlignment w:val="auto"/>
              <w:rPr>
                <w:b/>
                <w:color w:val="000000"/>
                <w:sz w:val="18"/>
                <w:szCs w:val="18"/>
              </w:rPr>
            </w:pPr>
            <w:r w:rsidRPr="00653F8A">
              <w:rPr>
                <w:b/>
                <w:color w:val="000000"/>
                <w:sz w:val="18"/>
                <w:szCs w:val="18"/>
              </w:rPr>
              <w:t>Form</w:t>
            </w:r>
          </w:p>
        </w:tc>
        <w:tc>
          <w:tcPr>
            <w:tcW w:w="1127" w:type="dxa"/>
            <w:vAlign w:val="bottom"/>
          </w:tcPr>
          <w:p w14:paraId="7E07BC97" w14:textId="77777777" w:rsidR="00653F8A" w:rsidRPr="00653F8A" w:rsidRDefault="00653F8A" w:rsidP="000F1C14">
            <w:pPr>
              <w:overflowPunct/>
              <w:autoSpaceDE/>
              <w:autoSpaceDN/>
              <w:adjustRightInd/>
              <w:spacing w:after="200" w:line="177" w:lineRule="exact"/>
              <w:ind w:left="360" w:hanging="288"/>
              <w:jc w:val="center"/>
              <w:textAlignment w:val="auto"/>
              <w:rPr>
                <w:b/>
                <w:color w:val="000000"/>
                <w:sz w:val="18"/>
                <w:szCs w:val="18"/>
              </w:rPr>
            </w:pPr>
            <w:r w:rsidRPr="00653F8A">
              <w:rPr>
                <w:b/>
                <w:color w:val="000000"/>
                <w:sz w:val="18"/>
                <w:szCs w:val="18"/>
              </w:rPr>
              <w:t>Appendix No.</w:t>
            </w:r>
          </w:p>
        </w:tc>
        <w:tc>
          <w:tcPr>
            <w:tcW w:w="2715" w:type="dxa"/>
            <w:vAlign w:val="bottom"/>
          </w:tcPr>
          <w:p w14:paraId="09DAF66D" w14:textId="77777777" w:rsidR="00653F8A" w:rsidRPr="00653F8A" w:rsidRDefault="00653F8A" w:rsidP="000F1C14">
            <w:pPr>
              <w:overflowPunct/>
              <w:autoSpaceDE/>
              <w:autoSpaceDN/>
              <w:adjustRightInd/>
              <w:spacing w:after="200" w:line="170" w:lineRule="exact"/>
              <w:jc w:val="center"/>
              <w:textAlignment w:val="auto"/>
              <w:rPr>
                <w:b/>
                <w:color w:val="000000"/>
                <w:sz w:val="18"/>
                <w:szCs w:val="18"/>
              </w:rPr>
            </w:pPr>
            <w:r w:rsidRPr="00653F8A">
              <w:rPr>
                <w:b/>
                <w:color w:val="000000"/>
                <w:sz w:val="18"/>
                <w:szCs w:val="18"/>
              </w:rPr>
              <w:t>Title</w:t>
            </w:r>
          </w:p>
        </w:tc>
        <w:tc>
          <w:tcPr>
            <w:tcW w:w="1338" w:type="dxa"/>
            <w:gridSpan w:val="2"/>
            <w:vAlign w:val="bottom"/>
          </w:tcPr>
          <w:p w14:paraId="302C79F5" w14:textId="77777777" w:rsidR="00653F8A" w:rsidRPr="00653F8A" w:rsidRDefault="00653F8A" w:rsidP="000F1C14">
            <w:pPr>
              <w:overflowPunct/>
              <w:autoSpaceDE/>
              <w:autoSpaceDN/>
              <w:adjustRightInd/>
              <w:spacing w:after="200" w:line="177" w:lineRule="exact"/>
              <w:jc w:val="center"/>
              <w:textAlignment w:val="auto"/>
              <w:rPr>
                <w:b/>
                <w:color w:val="000000"/>
                <w:sz w:val="18"/>
                <w:szCs w:val="18"/>
              </w:rPr>
            </w:pPr>
            <w:r w:rsidRPr="00653F8A">
              <w:rPr>
                <w:b/>
                <w:color w:val="000000"/>
                <w:sz w:val="18"/>
                <w:szCs w:val="18"/>
              </w:rPr>
              <w:t xml:space="preserve">No. of </w:t>
            </w:r>
            <w:r w:rsidRPr="00653F8A">
              <w:rPr>
                <w:b/>
                <w:color w:val="000000"/>
                <w:sz w:val="18"/>
                <w:szCs w:val="18"/>
              </w:rPr>
              <w:br/>
              <w:t>Respondents</w:t>
            </w:r>
          </w:p>
        </w:tc>
        <w:tc>
          <w:tcPr>
            <w:tcW w:w="1130" w:type="dxa"/>
            <w:gridSpan w:val="2"/>
            <w:vAlign w:val="bottom"/>
          </w:tcPr>
          <w:p w14:paraId="354F74FC" w14:textId="77777777" w:rsidR="00653F8A" w:rsidRPr="00653F8A" w:rsidRDefault="00653F8A" w:rsidP="000F1C14">
            <w:pPr>
              <w:overflowPunct/>
              <w:autoSpaceDE/>
              <w:autoSpaceDN/>
              <w:adjustRightInd/>
              <w:spacing w:after="200" w:line="181" w:lineRule="exact"/>
              <w:jc w:val="center"/>
              <w:textAlignment w:val="auto"/>
              <w:rPr>
                <w:b/>
                <w:color w:val="000000"/>
                <w:sz w:val="18"/>
                <w:szCs w:val="18"/>
              </w:rPr>
            </w:pPr>
            <w:r w:rsidRPr="00653F8A">
              <w:rPr>
                <w:b/>
                <w:color w:val="000000"/>
                <w:sz w:val="18"/>
                <w:szCs w:val="18"/>
              </w:rPr>
              <w:t xml:space="preserve">Frequency </w:t>
            </w:r>
            <w:r w:rsidRPr="00653F8A">
              <w:rPr>
                <w:b/>
                <w:color w:val="000000"/>
                <w:sz w:val="18"/>
                <w:szCs w:val="18"/>
              </w:rPr>
              <w:br/>
              <w:t xml:space="preserve">of </w:t>
            </w:r>
            <w:r w:rsidRPr="00653F8A">
              <w:rPr>
                <w:b/>
                <w:color w:val="000000"/>
                <w:sz w:val="18"/>
                <w:szCs w:val="18"/>
              </w:rPr>
              <w:br/>
              <w:t xml:space="preserve">Responses </w:t>
            </w:r>
            <w:r w:rsidRPr="00653F8A">
              <w:rPr>
                <w:b/>
                <w:color w:val="000000"/>
                <w:sz w:val="18"/>
                <w:szCs w:val="18"/>
              </w:rPr>
              <w:br/>
              <w:t>per year</w:t>
            </w:r>
          </w:p>
        </w:tc>
        <w:tc>
          <w:tcPr>
            <w:tcW w:w="1166" w:type="dxa"/>
            <w:gridSpan w:val="2"/>
            <w:vAlign w:val="bottom"/>
          </w:tcPr>
          <w:p w14:paraId="4447BE3D" w14:textId="77777777" w:rsidR="00653F8A" w:rsidRPr="00653F8A" w:rsidRDefault="00653F8A" w:rsidP="000F1C14">
            <w:pPr>
              <w:overflowPunct/>
              <w:autoSpaceDE/>
              <w:autoSpaceDN/>
              <w:adjustRightInd/>
              <w:spacing w:after="200" w:line="180" w:lineRule="exact"/>
              <w:jc w:val="center"/>
              <w:textAlignment w:val="auto"/>
              <w:rPr>
                <w:b/>
                <w:color w:val="000000"/>
                <w:sz w:val="18"/>
                <w:szCs w:val="18"/>
              </w:rPr>
            </w:pPr>
            <w:r w:rsidRPr="00653F8A">
              <w:rPr>
                <w:b/>
                <w:color w:val="000000"/>
                <w:sz w:val="18"/>
                <w:szCs w:val="18"/>
              </w:rPr>
              <w:t xml:space="preserve">Total </w:t>
            </w:r>
            <w:r w:rsidRPr="00653F8A">
              <w:rPr>
                <w:b/>
                <w:color w:val="000000"/>
                <w:sz w:val="18"/>
                <w:szCs w:val="18"/>
              </w:rPr>
              <w:br/>
              <w:t xml:space="preserve">Annual </w:t>
            </w:r>
            <w:r w:rsidRPr="00653F8A">
              <w:rPr>
                <w:b/>
                <w:color w:val="000000"/>
                <w:sz w:val="18"/>
                <w:szCs w:val="18"/>
              </w:rPr>
              <w:br/>
              <w:t>Responses</w:t>
            </w:r>
          </w:p>
        </w:tc>
        <w:tc>
          <w:tcPr>
            <w:tcW w:w="1132" w:type="dxa"/>
            <w:gridSpan w:val="2"/>
            <w:vAlign w:val="bottom"/>
          </w:tcPr>
          <w:p w14:paraId="0F5A0A12" w14:textId="77777777" w:rsidR="00653F8A" w:rsidRPr="00653F8A" w:rsidRDefault="00653F8A" w:rsidP="000F1C14">
            <w:pPr>
              <w:overflowPunct/>
              <w:autoSpaceDE/>
              <w:autoSpaceDN/>
              <w:adjustRightInd/>
              <w:spacing w:after="200" w:line="178" w:lineRule="exact"/>
              <w:ind w:left="72"/>
              <w:jc w:val="center"/>
              <w:textAlignment w:val="auto"/>
              <w:rPr>
                <w:b/>
                <w:color w:val="000000"/>
                <w:sz w:val="18"/>
                <w:szCs w:val="18"/>
              </w:rPr>
            </w:pPr>
            <w:r w:rsidRPr="00653F8A">
              <w:rPr>
                <w:b/>
                <w:color w:val="000000"/>
                <w:sz w:val="18"/>
                <w:szCs w:val="18"/>
              </w:rPr>
              <w:t>Hours Per Response</w:t>
            </w:r>
          </w:p>
        </w:tc>
        <w:tc>
          <w:tcPr>
            <w:tcW w:w="1408" w:type="dxa"/>
            <w:vAlign w:val="bottom"/>
          </w:tcPr>
          <w:p w14:paraId="0C411B33" w14:textId="77777777" w:rsidR="00653F8A" w:rsidRPr="00653F8A" w:rsidRDefault="00653F8A" w:rsidP="000F1C14">
            <w:pPr>
              <w:overflowPunct/>
              <w:autoSpaceDE/>
              <w:autoSpaceDN/>
              <w:adjustRightInd/>
              <w:spacing w:after="200" w:line="182" w:lineRule="exact"/>
              <w:jc w:val="center"/>
              <w:textAlignment w:val="auto"/>
              <w:rPr>
                <w:b/>
                <w:color w:val="000000"/>
                <w:sz w:val="18"/>
                <w:szCs w:val="18"/>
              </w:rPr>
            </w:pPr>
            <w:r w:rsidRPr="00653F8A">
              <w:rPr>
                <w:b/>
                <w:color w:val="000000"/>
                <w:sz w:val="18"/>
                <w:szCs w:val="18"/>
              </w:rPr>
              <w:t xml:space="preserve">Total </w:t>
            </w:r>
            <w:r w:rsidRPr="00653F8A">
              <w:rPr>
                <w:b/>
                <w:color w:val="000000"/>
                <w:sz w:val="18"/>
                <w:szCs w:val="18"/>
              </w:rPr>
              <w:br/>
              <w:t xml:space="preserve">Annual </w:t>
            </w:r>
            <w:r w:rsidRPr="00653F8A">
              <w:rPr>
                <w:b/>
                <w:color w:val="000000"/>
                <w:sz w:val="18"/>
                <w:szCs w:val="18"/>
              </w:rPr>
              <w:br/>
              <w:t>Hours</w:t>
            </w:r>
          </w:p>
        </w:tc>
      </w:tr>
      <w:tr w:rsidR="00967CD2" w:rsidRPr="00653F8A" w14:paraId="380AA4F5" w14:textId="77777777" w:rsidTr="00095387">
        <w:trPr>
          <w:trHeight w:val="203"/>
        </w:trPr>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4D34B006" w14:textId="4C5DDFF9" w:rsidR="00967CD2" w:rsidRPr="00653F8A" w:rsidRDefault="00967CD2" w:rsidP="00967CD2">
            <w:pPr>
              <w:widowControl w:val="0"/>
              <w:overflowPunct/>
              <w:autoSpaceDE/>
              <w:autoSpaceDN/>
              <w:adjustRightInd/>
              <w:ind w:right="86"/>
              <w:jc w:val="center"/>
              <w:textAlignment w:val="auto"/>
              <w:rPr>
                <w:color w:val="000000"/>
                <w:sz w:val="18"/>
                <w:szCs w:val="18"/>
              </w:rPr>
            </w:pPr>
            <w:r>
              <w:rPr>
                <w:rFonts w:ascii="Arial" w:hAnsi="Arial" w:cs="Arial"/>
                <w:color w:val="000000"/>
                <w:sz w:val="16"/>
                <w:szCs w:val="16"/>
              </w:rPr>
              <w:t>11700</w:t>
            </w:r>
          </w:p>
        </w:tc>
        <w:tc>
          <w:tcPr>
            <w:tcW w:w="1127" w:type="dxa"/>
            <w:tcBorders>
              <w:top w:val="single" w:sz="4" w:space="0" w:color="auto"/>
              <w:left w:val="nil"/>
              <w:bottom w:val="single" w:sz="4" w:space="0" w:color="auto"/>
              <w:right w:val="single" w:sz="4" w:space="0" w:color="auto"/>
            </w:tcBorders>
            <w:shd w:val="clear" w:color="auto" w:fill="auto"/>
            <w:vAlign w:val="bottom"/>
          </w:tcPr>
          <w:p w14:paraId="7951B795" w14:textId="10A5A826" w:rsidR="00967CD2" w:rsidRPr="00653F8A" w:rsidRDefault="00967CD2" w:rsidP="00C61283">
            <w:pPr>
              <w:widowControl w:val="0"/>
              <w:overflowPunct/>
              <w:autoSpaceDE/>
              <w:autoSpaceDN/>
              <w:adjustRightInd/>
              <w:jc w:val="center"/>
              <w:textAlignment w:val="auto"/>
              <w:rPr>
                <w:color w:val="000000"/>
                <w:sz w:val="18"/>
                <w:szCs w:val="18"/>
              </w:rPr>
            </w:pPr>
            <w:r>
              <w:rPr>
                <w:rFonts w:ascii="Arial" w:hAnsi="Arial" w:cs="Arial"/>
                <w:color w:val="000000"/>
                <w:sz w:val="16"/>
                <w:szCs w:val="16"/>
              </w:rPr>
              <w:t>II-1</w:t>
            </w:r>
          </w:p>
        </w:tc>
        <w:tc>
          <w:tcPr>
            <w:tcW w:w="2715" w:type="dxa"/>
            <w:tcBorders>
              <w:top w:val="single" w:sz="4" w:space="0" w:color="auto"/>
              <w:left w:val="nil"/>
              <w:bottom w:val="single" w:sz="4" w:space="0" w:color="auto"/>
              <w:right w:val="single" w:sz="4" w:space="0" w:color="auto"/>
            </w:tcBorders>
            <w:shd w:val="clear" w:color="auto" w:fill="auto"/>
            <w:vAlign w:val="bottom"/>
          </w:tcPr>
          <w:p w14:paraId="4EFCD46D" w14:textId="6594D587" w:rsidR="00967CD2" w:rsidRPr="00653F8A" w:rsidRDefault="00967CD2" w:rsidP="00967CD2">
            <w:pPr>
              <w:widowControl w:val="0"/>
              <w:overflowPunct/>
              <w:autoSpaceDE/>
              <w:autoSpaceDN/>
              <w:adjustRightInd/>
              <w:textAlignment w:val="auto"/>
              <w:rPr>
                <w:color w:val="000000"/>
                <w:spacing w:val="-4"/>
                <w:sz w:val="18"/>
                <w:szCs w:val="18"/>
              </w:rPr>
            </w:pPr>
            <w:r>
              <w:rPr>
                <w:rFonts w:ascii="Arial" w:hAnsi="Arial" w:cs="Arial"/>
                <w:color w:val="000000"/>
                <w:sz w:val="16"/>
                <w:szCs w:val="16"/>
              </w:rPr>
              <w:t>Letter of Transmittal</w:t>
            </w:r>
          </w:p>
        </w:tc>
        <w:tc>
          <w:tcPr>
            <w:tcW w:w="1338" w:type="dxa"/>
            <w:gridSpan w:val="2"/>
            <w:tcBorders>
              <w:top w:val="single" w:sz="4" w:space="0" w:color="auto"/>
              <w:left w:val="nil"/>
              <w:bottom w:val="single" w:sz="4" w:space="0" w:color="auto"/>
              <w:right w:val="single" w:sz="4" w:space="0" w:color="auto"/>
            </w:tcBorders>
            <w:shd w:val="clear" w:color="auto" w:fill="auto"/>
            <w:vAlign w:val="bottom"/>
          </w:tcPr>
          <w:p w14:paraId="546E38D5" w14:textId="72FB6F13" w:rsidR="00967CD2" w:rsidRPr="00653F8A" w:rsidRDefault="00967CD2" w:rsidP="00C61283">
            <w:pPr>
              <w:widowControl w:val="0"/>
              <w:overflowPunct/>
              <w:autoSpaceDE/>
              <w:autoSpaceDN/>
              <w:adjustRightInd/>
              <w:jc w:val="right"/>
              <w:textAlignment w:val="auto"/>
              <w:rPr>
                <w:color w:val="000000"/>
                <w:sz w:val="18"/>
                <w:szCs w:val="18"/>
              </w:rPr>
            </w:pPr>
            <w:r>
              <w:rPr>
                <w:rFonts w:ascii="Arial" w:hAnsi="Arial" w:cs="Arial"/>
                <w:color w:val="000000"/>
                <w:sz w:val="16"/>
                <w:szCs w:val="16"/>
              </w:rPr>
              <w:t>329.000</w:t>
            </w:r>
          </w:p>
        </w:tc>
        <w:tc>
          <w:tcPr>
            <w:tcW w:w="1130" w:type="dxa"/>
            <w:gridSpan w:val="2"/>
            <w:tcBorders>
              <w:top w:val="single" w:sz="4" w:space="0" w:color="auto"/>
              <w:left w:val="nil"/>
              <w:bottom w:val="single" w:sz="4" w:space="0" w:color="auto"/>
              <w:right w:val="single" w:sz="4" w:space="0" w:color="auto"/>
            </w:tcBorders>
            <w:shd w:val="clear" w:color="auto" w:fill="auto"/>
            <w:vAlign w:val="bottom"/>
          </w:tcPr>
          <w:p w14:paraId="2387180D" w14:textId="000D4019" w:rsidR="00967CD2" w:rsidRPr="00653F8A" w:rsidRDefault="00967CD2" w:rsidP="00C61283">
            <w:pPr>
              <w:widowControl w:val="0"/>
              <w:overflowPunct/>
              <w:autoSpaceDE/>
              <w:autoSpaceDN/>
              <w:adjustRightInd/>
              <w:jc w:val="right"/>
              <w:textAlignment w:val="auto"/>
              <w:rPr>
                <w:color w:val="000000"/>
                <w:sz w:val="18"/>
                <w:szCs w:val="18"/>
              </w:rPr>
            </w:pPr>
            <w:r>
              <w:rPr>
                <w:rFonts w:ascii="Arial" w:hAnsi="Arial" w:cs="Arial"/>
                <w:color w:val="000000"/>
                <w:sz w:val="16"/>
                <w:szCs w:val="16"/>
              </w:rPr>
              <w:t>4</w:t>
            </w:r>
          </w:p>
        </w:tc>
        <w:tc>
          <w:tcPr>
            <w:tcW w:w="1166" w:type="dxa"/>
            <w:gridSpan w:val="2"/>
            <w:tcBorders>
              <w:top w:val="single" w:sz="4" w:space="0" w:color="auto"/>
              <w:left w:val="nil"/>
              <w:bottom w:val="single" w:sz="4" w:space="0" w:color="auto"/>
              <w:right w:val="single" w:sz="4" w:space="0" w:color="auto"/>
            </w:tcBorders>
            <w:shd w:val="clear" w:color="auto" w:fill="auto"/>
            <w:vAlign w:val="bottom"/>
          </w:tcPr>
          <w:p w14:paraId="10B267F1" w14:textId="74BA3D98" w:rsidR="00967CD2" w:rsidRPr="00653F8A" w:rsidRDefault="00967CD2" w:rsidP="00C61283">
            <w:pPr>
              <w:widowControl w:val="0"/>
              <w:overflowPunct/>
              <w:autoSpaceDE/>
              <w:autoSpaceDN/>
              <w:adjustRightInd/>
              <w:jc w:val="right"/>
              <w:textAlignment w:val="auto"/>
              <w:rPr>
                <w:color w:val="000000"/>
                <w:sz w:val="18"/>
                <w:szCs w:val="18"/>
              </w:rPr>
            </w:pPr>
            <w:r>
              <w:rPr>
                <w:rFonts w:ascii="Arial" w:hAnsi="Arial" w:cs="Arial"/>
                <w:color w:val="000000"/>
                <w:sz w:val="16"/>
                <w:szCs w:val="16"/>
              </w:rPr>
              <w:t>1316.000</w:t>
            </w:r>
          </w:p>
        </w:tc>
        <w:tc>
          <w:tcPr>
            <w:tcW w:w="1132" w:type="dxa"/>
            <w:gridSpan w:val="2"/>
            <w:tcBorders>
              <w:top w:val="single" w:sz="4" w:space="0" w:color="auto"/>
              <w:left w:val="nil"/>
              <w:bottom w:val="single" w:sz="4" w:space="0" w:color="auto"/>
              <w:right w:val="single" w:sz="4" w:space="0" w:color="auto"/>
            </w:tcBorders>
            <w:shd w:val="clear" w:color="auto" w:fill="auto"/>
            <w:vAlign w:val="bottom"/>
          </w:tcPr>
          <w:p w14:paraId="274A4B63" w14:textId="6B3273BC" w:rsidR="00967CD2" w:rsidRPr="00653F8A" w:rsidRDefault="00967CD2" w:rsidP="00C61283">
            <w:pPr>
              <w:widowControl w:val="0"/>
              <w:overflowPunct/>
              <w:autoSpaceDE/>
              <w:autoSpaceDN/>
              <w:adjustRightInd/>
              <w:jc w:val="right"/>
              <w:textAlignment w:val="auto"/>
              <w:rPr>
                <w:color w:val="000000"/>
                <w:sz w:val="18"/>
                <w:szCs w:val="18"/>
              </w:rPr>
            </w:pPr>
            <w:r>
              <w:rPr>
                <w:rFonts w:ascii="Arial" w:hAnsi="Arial" w:cs="Arial"/>
                <w:color w:val="000000"/>
                <w:sz w:val="16"/>
                <w:szCs w:val="16"/>
              </w:rPr>
              <w:t>0.033</w:t>
            </w:r>
          </w:p>
        </w:tc>
        <w:tc>
          <w:tcPr>
            <w:tcW w:w="1408" w:type="dxa"/>
            <w:tcBorders>
              <w:top w:val="single" w:sz="4" w:space="0" w:color="auto"/>
              <w:left w:val="nil"/>
              <w:bottom w:val="single" w:sz="4" w:space="0" w:color="auto"/>
              <w:right w:val="single" w:sz="4" w:space="0" w:color="auto"/>
            </w:tcBorders>
            <w:shd w:val="clear" w:color="auto" w:fill="auto"/>
            <w:vAlign w:val="bottom"/>
          </w:tcPr>
          <w:p w14:paraId="683AEFB3" w14:textId="4A237E36" w:rsidR="00967CD2" w:rsidRPr="00653F8A" w:rsidRDefault="00967CD2" w:rsidP="00C61283">
            <w:pPr>
              <w:widowControl w:val="0"/>
              <w:tabs>
                <w:tab w:val="decimal" w:pos="316"/>
              </w:tabs>
              <w:overflowPunct/>
              <w:autoSpaceDE/>
              <w:autoSpaceDN/>
              <w:adjustRightInd/>
              <w:jc w:val="right"/>
              <w:textAlignment w:val="auto"/>
              <w:rPr>
                <w:color w:val="000000"/>
                <w:sz w:val="18"/>
                <w:szCs w:val="18"/>
              </w:rPr>
            </w:pPr>
            <w:r>
              <w:rPr>
                <w:rFonts w:ascii="Arial" w:hAnsi="Arial" w:cs="Arial"/>
                <w:color w:val="000000"/>
                <w:sz w:val="16"/>
                <w:szCs w:val="16"/>
              </w:rPr>
              <w:t>43.428</w:t>
            </w:r>
          </w:p>
        </w:tc>
      </w:tr>
      <w:tr w:rsidR="00967CD2" w:rsidRPr="00653F8A" w14:paraId="703501C9" w14:textId="77777777" w:rsidTr="00095387">
        <w:trPr>
          <w:trHeight w:val="680"/>
        </w:trPr>
        <w:tc>
          <w:tcPr>
            <w:tcW w:w="982" w:type="dxa"/>
            <w:tcBorders>
              <w:top w:val="nil"/>
              <w:left w:val="single" w:sz="4" w:space="0" w:color="auto"/>
              <w:bottom w:val="single" w:sz="4" w:space="0" w:color="auto"/>
              <w:right w:val="single" w:sz="4" w:space="0" w:color="auto"/>
            </w:tcBorders>
            <w:shd w:val="clear" w:color="auto" w:fill="auto"/>
            <w:vAlign w:val="bottom"/>
          </w:tcPr>
          <w:p w14:paraId="0B67194F" w14:textId="7B7D5CFD" w:rsidR="00967CD2" w:rsidRPr="00653F8A" w:rsidRDefault="00967CD2" w:rsidP="00967CD2">
            <w:pPr>
              <w:widowControl w:val="0"/>
              <w:overflowPunct/>
              <w:autoSpaceDE/>
              <w:autoSpaceDN/>
              <w:adjustRightInd/>
              <w:ind w:right="86"/>
              <w:jc w:val="center"/>
              <w:textAlignment w:val="auto"/>
              <w:rPr>
                <w:color w:val="000000"/>
                <w:sz w:val="18"/>
                <w:szCs w:val="18"/>
              </w:rPr>
            </w:pPr>
            <w:r>
              <w:rPr>
                <w:rFonts w:ascii="Arial" w:hAnsi="Arial" w:cs="Arial"/>
                <w:color w:val="000000"/>
                <w:sz w:val="16"/>
                <w:szCs w:val="16"/>
              </w:rPr>
              <w:t>11701</w:t>
            </w:r>
          </w:p>
        </w:tc>
        <w:tc>
          <w:tcPr>
            <w:tcW w:w="1127" w:type="dxa"/>
            <w:tcBorders>
              <w:top w:val="nil"/>
              <w:left w:val="nil"/>
              <w:bottom w:val="single" w:sz="4" w:space="0" w:color="auto"/>
              <w:right w:val="single" w:sz="4" w:space="0" w:color="auto"/>
            </w:tcBorders>
            <w:shd w:val="clear" w:color="auto" w:fill="auto"/>
            <w:vAlign w:val="bottom"/>
          </w:tcPr>
          <w:p w14:paraId="0D42980F" w14:textId="3112CECE" w:rsidR="00967CD2" w:rsidRPr="00653F8A" w:rsidRDefault="00967CD2" w:rsidP="00C61283">
            <w:pPr>
              <w:widowControl w:val="0"/>
              <w:overflowPunct/>
              <w:autoSpaceDE/>
              <w:autoSpaceDN/>
              <w:adjustRightInd/>
              <w:ind w:left="352"/>
              <w:textAlignment w:val="auto"/>
              <w:rPr>
                <w:color w:val="000000"/>
                <w:sz w:val="18"/>
                <w:szCs w:val="18"/>
              </w:rPr>
            </w:pPr>
            <w:r>
              <w:rPr>
                <w:rFonts w:ascii="Arial" w:hAnsi="Arial" w:cs="Arial"/>
                <w:color w:val="000000"/>
                <w:sz w:val="16"/>
                <w:szCs w:val="16"/>
              </w:rPr>
              <w:t>I-1</w:t>
            </w:r>
          </w:p>
        </w:tc>
        <w:tc>
          <w:tcPr>
            <w:tcW w:w="2715" w:type="dxa"/>
            <w:tcBorders>
              <w:top w:val="nil"/>
              <w:left w:val="nil"/>
              <w:bottom w:val="single" w:sz="4" w:space="0" w:color="auto"/>
              <w:right w:val="single" w:sz="4" w:space="0" w:color="auto"/>
            </w:tcBorders>
            <w:shd w:val="clear" w:color="auto" w:fill="auto"/>
            <w:vAlign w:val="bottom"/>
          </w:tcPr>
          <w:p w14:paraId="4ED03F4E" w14:textId="102197D4" w:rsidR="00967CD2" w:rsidRPr="00653F8A" w:rsidRDefault="00967CD2" w:rsidP="00967CD2">
            <w:pPr>
              <w:widowControl w:val="0"/>
              <w:overflowPunct/>
              <w:autoSpaceDE/>
              <w:autoSpaceDN/>
              <w:adjustRightInd/>
              <w:ind w:right="216"/>
              <w:textAlignment w:val="auto"/>
              <w:rPr>
                <w:color w:val="000000"/>
                <w:spacing w:val="-4"/>
                <w:sz w:val="18"/>
                <w:szCs w:val="18"/>
              </w:rPr>
            </w:pPr>
            <w:r>
              <w:rPr>
                <w:rFonts w:ascii="Arial" w:hAnsi="Arial" w:cs="Arial"/>
                <w:color w:val="000000"/>
                <w:sz w:val="16"/>
                <w:szCs w:val="16"/>
              </w:rPr>
              <w:t>Application for Approval Ginnie Mae Mortgage-Backed Securities Issuer</w:t>
            </w:r>
          </w:p>
        </w:tc>
        <w:tc>
          <w:tcPr>
            <w:tcW w:w="1338" w:type="dxa"/>
            <w:gridSpan w:val="2"/>
            <w:tcBorders>
              <w:top w:val="nil"/>
              <w:left w:val="nil"/>
              <w:bottom w:val="single" w:sz="4" w:space="0" w:color="auto"/>
              <w:right w:val="single" w:sz="4" w:space="0" w:color="auto"/>
            </w:tcBorders>
            <w:shd w:val="clear" w:color="auto" w:fill="auto"/>
            <w:vAlign w:val="bottom"/>
          </w:tcPr>
          <w:p w14:paraId="26197498" w14:textId="35C0A5A0" w:rsidR="00967CD2" w:rsidRPr="00653F8A" w:rsidRDefault="00967CD2" w:rsidP="00C61283">
            <w:pPr>
              <w:widowControl w:val="0"/>
              <w:overflowPunct/>
              <w:autoSpaceDE/>
              <w:autoSpaceDN/>
              <w:adjustRightInd/>
              <w:jc w:val="right"/>
              <w:textAlignment w:val="auto"/>
              <w:rPr>
                <w:color w:val="000000"/>
                <w:sz w:val="18"/>
                <w:szCs w:val="18"/>
              </w:rPr>
            </w:pPr>
            <w:r>
              <w:rPr>
                <w:rFonts w:ascii="Arial" w:hAnsi="Arial" w:cs="Arial"/>
                <w:color w:val="000000"/>
                <w:sz w:val="16"/>
                <w:szCs w:val="16"/>
              </w:rPr>
              <w:t>100.000</w:t>
            </w:r>
          </w:p>
        </w:tc>
        <w:tc>
          <w:tcPr>
            <w:tcW w:w="1130" w:type="dxa"/>
            <w:gridSpan w:val="2"/>
            <w:tcBorders>
              <w:top w:val="nil"/>
              <w:left w:val="nil"/>
              <w:bottom w:val="single" w:sz="4" w:space="0" w:color="auto"/>
              <w:right w:val="single" w:sz="4" w:space="0" w:color="auto"/>
            </w:tcBorders>
            <w:shd w:val="clear" w:color="auto" w:fill="auto"/>
            <w:vAlign w:val="bottom"/>
          </w:tcPr>
          <w:p w14:paraId="399ABC38" w14:textId="76369D93" w:rsidR="00967CD2" w:rsidRPr="00653F8A" w:rsidRDefault="00967CD2" w:rsidP="00C61283">
            <w:pPr>
              <w:widowControl w:val="0"/>
              <w:overflowPunct/>
              <w:autoSpaceDE/>
              <w:autoSpaceDN/>
              <w:adjustRightInd/>
              <w:jc w:val="right"/>
              <w:textAlignment w:val="auto"/>
              <w:rPr>
                <w:color w:val="000000"/>
                <w:sz w:val="18"/>
                <w:szCs w:val="18"/>
              </w:rPr>
            </w:pPr>
            <w:r>
              <w:rPr>
                <w:rFonts w:ascii="Arial" w:hAnsi="Arial" w:cs="Arial"/>
                <w:color w:val="000000"/>
                <w:sz w:val="16"/>
                <w:szCs w:val="16"/>
              </w:rPr>
              <w:t>1</w:t>
            </w:r>
          </w:p>
        </w:tc>
        <w:tc>
          <w:tcPr>
            <w:tcW w:w="1166" w:type="dxa"/>
            <w:gridSpan w:val="2"/>
            <w:tcBorders>
              <w:top w:val="nil"/>
              <w:left w:val="nil"/>
              <w:bottom w:val="single" w:sz="4" w:space="0" w:color="auto"/>
              <w:right w:val="single" w:sz="4" w:space="0" w:color="auto"/>
            </w:tcBorders>
            <w:shd w:val="clear" w:color="auto" w:fill="auto"/>
            <w:vAlign w:val="bottom"/>
          </w:tcPr>
          <w:p w14:paraId="00337163" w14:textId="6E3C2CDD" w:rsidR="00967CD2" w:rsidRPr="00653F8A" w:rsidRDefault="00967CD2" w:rsidP="00C61283">
            <w:pPr>
              <w:widowControl w:val="0"/>
              <w:overflowPunct/>
              <w:autoSpaceDE/>
              <w:autoSpaceDN/>
              <w:adjustRightInd/>
              <w:jc w:val="right"/>
              <w:textAlignment w:val="auto"/>
              <w:rPr>
                <w:color w:val="000000"/>
                <w:sz w:val="18"/>
                <w:szCs w:val="18"/>
              </w:rPr>
            </w:pPr>
            <w:r>
              <w:rPr>
                <w:rFonts w:ascii="Arial" w:hAnsi="Arial" w:cs="Arial"/>
                <w:color w:val="000000"/>
                <w:sz w:val="16"/>
                <w:szCs w:val="16"/>
              </w:rPr>
              <w:t>100.000</w:t>
            </w:r>
          </w:p>
        </w:tc>
        <w:tc>
          <w:tcPr>
            <w:tcW w:w="1132" w:type="dxa"/>
            <w:gridSpan w:val="2"/>
            <w:tcBorders>
              <w:top w:val="nil"/>
              <w:left w:val="nil"/>
              <w:bottom w:val="single" w:sz="4" w:space="0" w:color="auto"/>
              <w:right w:val="single" w:sz="4" w:space="0" w:color="auto"/>
            </w:tcBorders>
            <w:shd w:val="clear" w:color="auto" w:fill="auto"/>
            <w:vAlign w:val="bottom"/>
          </w:tcPr>
          <w:p w14:paraId="5091898D" w14:textId="21D55629" w:rsidR="00967CD2" w:rsidRPr="00653F8A" w:rsidRDefault="00967CD2" w:rsidP="00C61283">
            <w:pPr>
              <w:widowControl w:val="0"/>
              <w:overflowPunct/>
              <w:autoSpaceDE/>
              <w:autoSpaceDN/>
              <w:adjustRightInd/>
              <w:jc w:val="right"/>
              <w:textAlignment w:val="auto"/>
              <w:rPr>
                <w:color w:val="000000"/>
                <w:sz w:val="18"/>
                <w:szCs w:val="18"/>
              </w:rPr>
            </w:pPr>
            <w:r>
              <w:rPr>
                <w:rFonts w:ascii="Arial" w:hAnsi="Arial" w:cs="Arial"/>
                <w:color w:val="000000"/>
                <w:sz w:val="16"/>
                <w:szCs w:val="16"/>
              </w:rPr>
              <w:t>3.000</w:t>
            </w:r>
          </w:p>
        </w:tc>
        <w:tc>
          <w:tcPr>
            <w:tcW w:w="1408" w:type="dxa"/>
            <w:tcBorders>
              <w:top w:val="nil"/>
              <w:left w:val="nil"/>
              <w:bottom w:val="single" w:sz="4" w:space="0" w:color="auto"/>
              <w:right w:val="single" w:sz="4" w:space="0" w:color="auto"/>
            </w:tcBorders>
            <w:shd w:val="clear" w:color="auto" w:fill="auto"/>
            <w:vAlign w:val="bottom"/>
          </w:tcPr>
          <w:p w14:paraId="7A56D4F7" w14:textId="7B520607" w:rsidR="00967CD2" w:rsidRPr="00653F8A" w:rsidRDefault="00967CD2" w:rsidP="00C61283">
            <w:pPr>
              <w:widowControl w:val="0"/>
              <w:tabs>
                <w:tab w:val="decimal" w:pos="316"/>
              </w:tabs>
              <w:overflowPunct/>
              <w:autoSpaceDE/>
              <w:autoSpaceDN/>
              <w:adjustRightInd/>
              <w:jc w:val="right"/>
              <w:textAlignment w:val="auto"/>
              <w:rPr>
                <w:color w:val="000000"/>
                <w:sz w:val="18"/>
                <w:szCs w:val="18"/>
              </w:rPr>
            </w:pPr>
            <w:r>
              <w:rPr>
                <w:rFonts w:ascii="Arial" w:hAnsi="Arial" w:cs="Arial"/>
                <w:color w:val="000000"/>
                <w:sz w:val="16"/>
                <w:szCs w:val="16"/>
              </w:rPr>
              <w:t>300.000</w:t>
            </w:r>
          </w:p>
        </w:tc>
      </w:tr>
      <w:tr w:rsidR="00967CD2" w:rsidRPr="00653F8A" w14:paraId="5D43301C" w14:textId="77777777" w:rsidTr="00C61283">
        <w:trPr>
          <w:trHeight w:val="503"/>
        </w:trPr>
        <w:tc>
          <w:tcPr>
            <w:tcW w:w="982" w:type="dxa"/>
            <w:tcBorders>
              <w:top w:val="nil"/>
              <w:left w:val="single" w:sz="4" w:space="0" w:color="auto"/>
              <w:bottom w:val="single" w:sz="4" w:space="0" w:color="auto"/>
              <w:right w:val="single" w:sz="4" w:space="0" w:color="auto"/>
            </w:tcBorders>
            <w:shd w:val="clear" w:color="auto" w:fill="auto"/>
            <w:vAlign w:val="bottom"/>
          </w:tcPr>
          <w:p w14:paraId="3C92782D" w14:textId="62984F45" w:rsidR="00967CD2" w:rsidRPr="00653F8A" w:rsidRDefault="00967CD2" w:rsidP="00967CD2">
            <w:pPr>
              <w:widowControl w:val="0"/>
              <w:overflowPunct/>
              <w:autoSpaceDE/>
              <w:autoSpaceDN/>
              <w:adjustRightInd/>
              <w:jc w:val="center"/>
              <w:textAlignment w:val="auto"/>
              <w:rPr>
                <w:sz w:val="18"/>
                <w:szCs w:val="18"/>
              </w:rPr>
            </w:pPr>
            <w:r>
              <w:rPr>
                <w:rFonts w:ascii="Arial" w:hAnsi="Arial" w:cs="Arial"/>
                <w:color w:val="000000"/>
                <w:sz w:val="16"/>
                <w:szCs w:val="16"/>
              </w:rPr>
              <w:t>11702</w:t>
            </w:r>
          </w:p>
        </w:tc>
        <w:tc>
          <w:tcPr>
            <w:tcW w:w="1127" w:type="dxa"/>
            <w:tcBorders>
              <w:top w:val="nil"/>
              <w:left w:val="nil"/>
              <w:bottom w:val="single" w:sz="4" w:space="0" w:color="auto"/>
              <w:right w:val="single" w:sz="4" w:space="0" w:color="auto"/>
            </w:tcBorders>
            <w:shd w:val="clear" w:color="auto" w:fill="auto"/>
            <w:vAlign w:val="bottom"/>
          </w:tcPr>
          <w:p w14:paraId="5A192F70" w14:textId="33D2885B" w:rsidR="00967CD2" w:rsidRPr="00653F8A" w:rsidRDefault="00967CD2" w:rsidP="00C61283">
            <w:pPr>
              <w:widowControl w:val="0"/>
              <w:overflowPunct/>
              <w:autoSpaceDE/>
              <w:autoSpaceDN/>
              <w:adjustRightInd/>
              <w:jc w:val="center"/>
              <w:textAlignment w:val="auto"/>
              <w:rPr>
                <w:sz w:val="18"/>
                <w:szCs w:val="18"/>
              </w:rPr>
            </w:pPr>
            <w:r>
              <w:rPr>
                <w:rFonts w:ascii="Arial" w:hAnsi="Arial" w:cs="Arial"/>
                <w:color w:val="000000"/>
                <w:sz w:val="16"/>
                <w:szCs w:val="16"/>
              </w:rPr>
              <w:t>I-2</w:t>
            </w:r>
          </w:p>
        </w:tc>
        <w:tc>
          <w:tcPr>
            <w:tcW w:w="2715" w:type="dxa"/>
            <w:tcBorders>
              <w:top w:val="nil"/>
              <w:left w:val="nil"/>
              <w:bottom w:val="single" w:sz="4" w:space="0" w:color="auto"/>
              <w:right w:val="single" w:sz="4" w:space="0" w:color="auto"/>
            </w:tcBorders>
            <w:shd w:val="clear" w:color="auto" w:fill="auto"/>
            <w:vAlign w:val="bottom"/>
          </w:tcPr>
          <w:p w14:paraId="133DB468" w14:textId="768C9883" w:rsidR="00967CD2" w:rsidRPr="00653F8A" w:rsidRDefault="00967CD2" w:rsidP="00967CD2">
            <w:pPr>
              <w:widowControl w:val="0"/>
              <w:overflowPunct/>
              <w:autoSpaceDE/>
              <w:autoSpaceDN/>
              <w:adjustRightInd/>
              <w:textAlignment w:val="auto"/>
              <w:rPr>
                <w:sz w:val="18"/>
                <w:szCs w:val="18"/>
              </w:rPr>
            </w:pPr>
            <w:r>
              <w:rPr>
                <w:rFonts w:ascii="Arial" w:hAnsi="Arial" w:cs="Arial"/>
                <w:color w:val="000000"/>
                <w:sz w:val="16"/>
                <w:szCs w:val="16"/>
              </w:rPr>
              <w:t>Resolution of Board of Directors and Certificate of Authorized Signatures</w:t>
            </w:r>
          </w:p>
        </w:tc>
        <w:tc>
          <w:tcPr>
            <w:tcW w:w="1338" w:type="dxa"/>
            <w:gridSpan w:val="2"/>
            <w:tcBorders>
              <w:top w:val="nil"/>
              <w:left w:val="nil"/>
              <w:bottom w:val="single" w:sz="4" w:space="0" w:color="auto"/>
              <w:right w:val="single" w:sz="4" w:space="0" w:color="auto"/>
            </w:tcBorders>
            <w:shd w:val="clear" w:color="auto" w:fill="auto"/>
            <w:vAlign w:val="bottom"/>
          </w:tcPr>
          <w:p w14:paraId="413EAFA8" w14:textId="148A4976" w:rsidR="00967CD2" w:rsidRPr="00653F8A" w:rsidRDefault="00967CD2" w:rsidP="00C61283">
            <w:pPr>
              <w:widowControl w:val="0"/>
              <w:overflowPunct/>
              <w:autoSpaceDE/>
              <w:autoSpaceDN/>
              <w:adjustRightInd/>
              <w:jc w:val="right"/>
              <w:textAlignment w:val="auto"/>
              <w:rPr>
                <w:sz w:val="18"/>
                <w:szCs w:val="18"/>
              </w:rPr>
            </w:pPr>
            <w:r>
              <w:rPr>
                <w:rFonts w:ascii="Arial" w:hAnsi="Arial" w:cs="Arial"/>
                <w:color w:val="000000"/>
                <w:sz w:val="16"/>
                <w:szCs w:val="16"/>
              </w:rPr>
              <w:t>454.000</w:t>
            </w:r>
          </w:p>
        </w:tc>
        <w:tc>
          <w:tcPr>
            <w:tcW w:w="1130" w:type="dxa"/>
            <w:gridSpan w:val="2"/>
            <w:tcBorders>
              <w:top w:val="nil"/>
              <w:left w:val="nil"/>
              <w:bottom w:val="single" w:sz="4" w:space="0" w:color="auto"/>
              <w:right w:val="single" w:sz="4" w:space="0" w:color="auto"/>
            </w:tcBorders>
            <w:shd w:val="clear" w:color="auto" w:fill="auto"/>
            <w:vAlign w:val="bottom"/>
          </w:tcPr>
          <w:p w14:paraId="1CE58A83" w14:textId="29417475" w:rsidR="00967CD2" w:rsidRPr="00653F8A" w:rsidRDefault="00967CD2" w:rsidP="00C61283">
            <w:pPr>
              <w:widowControl w:val="0"/>
              <w:overflowPunct/>
              <w:autoSpaceDE/>
              <w:autoSpaceDN/>
              <w:adjustRightInd/>
              <w:jc w:val="right"/>
              <w:textAlignment w:val="auto"/>
              <w:rPr>
                <w:sz w:val="18"/>
                <w:szCs w:val="18"/>
              </w:rPr>
            </w:pPr>
            <w:r>
              <w:rPr>
                <w:rFonts w:ascii="Arial" w:hAnsi="Arial" w:cs="Arial"/>
                <w:color w:val="000000"/>
                <w:sz w:val="16"/>
                <w:szCs w:val="16"/>
              </w:rPr>
              <w:t>1</w:t>
            </w:r>
          </w:p>
        </w:tc>
        <w:tc>
          <w:tcPr>
            <w:tcW w:w="1163" w:type="dxa"/>
            <w:gridSpan w:val="2"/>
            <w:tcBorders>
              <w:top w:val="nil"/>
              <w:left w:val="nil"/>
              <w:bottom w:val="single" w:sz="4" w:space="0" w:color="auto"/>
              <w:right w:val="single" w:sz="4" w:space="0" w:color="auto"/>
            </w:tcBorders>
            <w:shd w:val="clear" w:color="auto" w:fill="auto"/>
            <w:vAlign w:val="bottom"/>
          </w:tcPr>
          <w:p w14:paraId="2CFF8C32" w14:textId="3A25163D" w:rsidR="00967CD2" w:rsidRPr="00653F8A" w:rsidRDefault="00967CD2" w:rsidP="00C61283">
            <w:pPr>
              <w:widowControl w:val="0"/>
              <w:overflowPunct/>
              <w:autoSpaceDE/>
              <w:autoSpaceDN/>
              <w:adjustRightInd/>
              <w:jc w:val="right"/>
              <w:textAlignment w:val="auto"/>
              <w:rPr>
                <w:sz w:val="18"/>
                <w:szCs w:val="18"/>
              </w:rPr>
            </w:pPr>
            <w:r>
              <w:rPr>
                <w:rFonts w:ascii="Arial" w:hAnsi="Arial" w:cs="Arial"/>
                <w:color w:val="000000"/>
                <w:sz w:val="16"/>
                <w:szCs w:val="16"/>
              </w:rPr>
              <w:t>454.000</w:t>
            </w:r>
          </w:p>
        </w:tc>
        <w:tc>
          <w:tcPr>
            <w:tcW w:w="1135" w:type="dxa"/>
            <w:gridSpan w:val="2"/>
            <w:tcBorders>
              <w:top w:val="nil"/>
              <w:left w:val="nil"/>
              <w:bottom w:val="single" w:sz="4" w:space="0" w:color="auto"/>
              <w:right w:val="single" w:sz="4" w:space="0" w:color="auto"/>
            </w:tcBorders>
            <w:shd w:val="clear" w:color="auto" w:fill="auto"/>
            <w:vAlign w:val="bottom"/>
          </w:tcPr>
          <w:p w14:paraId="62B23460" w14:textId="2509A0FB" w:rsidR="00967CD2" w:rsidRPr="00653F8A" w:rsidRDefault="00967CD2" w:rsidP="00C61283">
            <w:pPr>
              <w:widowControl w:val="0"/>
              <w:overflowPunct/>
              <w:autoSpaceDE/>
              <w:autoSpaceDN/>
              <w:adjustRightInd/>
              <w:jc w:val="right"/>
              <w:textAlignment w:val="auto"/>
              <w:rPr>
                <w:sz w:val="18"/>
                <w:szCs w:val="18"/>
              </w:rPr>
            </w:pPr>
            <w:r>
              <w:rPr>
                <w:rFonts w:ascii="Arial" w:hAnsi="Arial" w:cs="Arial"/>
                <w:color w:val="000000"/>
                <w:sz w:val="16"/>
                <w:szCs w:val="16"/>
              </w:rPr>
              <w:t>0.800</w:t>
            </w:r>
          </w:p>
        </w:tc>
        <w:tc>
          <w:tcPr>
            <w:tcW w:w="1408" w:type="dxa"/>
            <w:tcBorders>
              <w:top w:val="nil"/>
              <w:left w:val="nil"/>
              <w:bottom w:val="single" w:sz="4" w:space="0" w:color="auto"/>
              <w:right w:val="single" w:sz="4" w:space="0" w:color="auto"/>
            </w:tcBorders>
            <w:shd w:val="clear" w:color="auto" w:fill="auto"/>
            <w:vAlign w:val="bottom"/>
          </w:tcPr>
          <w:p w14:paraId="69903B63" w14:textId="05CAA040" w:rsidR="00967CD2" w:rsidRPr="00653F8A" w:rsidRDefault="00967CD2" w:rsidP="00C61283">
            <w:pPr>
              <w:widowControl w:val="0"/>
              <w:overflowPunct/>
              <w:autoSpaceDE/>
              <w:autoSpaceDN/>
              <w:adjustRightInd/>
              <w:jc w:val="right"/>
              <w:textAlignment w:val="auto"/>
              <w:rPr>
                <w:sz w:val="18"/>
                <w:szCs w:val="18"/>
              </w:rPr>
            </w:pPr>
            <w:r>
              <w:rPr>
                <w:rFonts w:ascii="Arial" w:hAnsi="Arial" w:cs="Arial"/>
                <w:color w:val="000000"/>
                <w:sz w:val="16"/>
                <w:szCs w:val="16"/>
              </w:rPr>
              <w:t>363.200</w:t>
            </w:r>
          </w:p>
        </w:tc>
      </w:tr>
      <w:tr w:rsidR="00967CD2" w:rsidRPr="00653F8A" w14:paraId="38DE3115" w14:textId="77777777" w:rsidTr="00C61283">
        <w:trPr>
          <w:trHeight w:val="410"/>
        </w:trPr>
        <w:tc>
          <w:tcPr>
            <w:tcW w:w="982" w:type="dxa"/>
            <w:tcBorders>
              <w:top w:val="nil"/>
              <w:left w:val="single" w:sz="4" w:space="0" w:color="auto"/>
              <w:bottom w:val="single" w:sz="4" w:space="0" w:color="auto"/>
              <w:right w:val="single" w:sz="4" w:space="0" w:color="auto"/>
            </w:tcBorders>
            <w:shd w:val="clear" w:color="auto" w:fill="auto"/>
            <w:vAlign w:val="bottom"/>
          </w:tcPr>
          <w:p w14:paraId="759998A1" w14:textId="43B4C76B"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11703-II</w:t>
            </w:r>
          </w:p>
        </w:tc>
        <w:tc>
          <w:tcPr>
            <w:tcW w:w="1127" w:type="dxa"/>
            <w:tcBorders>
              <w:top w:val="nil"/>
              <w:left w:val="nil"/>
              <w:bottom w:val="single" w:sz="4" w:space="0" w:color="auto"/>
              <w:right w:val="single" w:sz="4" w:space="0" w:color="auto"/>
            </w:tcBorders>
            <w:shd w:val="clear" w:color="auto" w:fill="auto"/>
            <w:vAlign w:val="bottom"/>
          </w:tcPr>
          <w:p w14:paraId="20815F5D" w14:textId="5597C19A" w:rsidR="00967CD2" w:rsidRPr="00653F8A" w:rsidRDefault="00967CD2" w:rsidP="00C61283">
            <w:pPr>
              <w:overflowPunct/>
              <w:autoSpaceDE/>
              <w:autoSpaceDN/>
              <w:adjustRightInd/>
              <w:jc w:val="center"/>
              <w:textAlignment w:val="auto"/>
              <w:rPr>
                <w:sz w:val="18"/>
                <w:szCs w:val="18"/>
              </w:rPr>
            </w:pPr>
            <w:r>
              <w:rPr>
                <w:rFonts w:ascii="Arial" w:hAnsi="Arial" w:cs="Arial"/>
                <w:color w:val="000000"/>
                <w:sz w:val="16"/>
                <w:szCs w:val="16"/>
              </w:rPr>
              <w:t>I-7</w:t>
            </w:r>
          </w:p>
        </w:tc>
        <w:tc>
          <w:tcPr>
            <w:tcW w:w="2715" w:type="dxa"/>
            <w:tcBorders>
              <w:top w:val="nil"/>
              <w:left w:val="nil"/>
              <w:bottom w:val="single" w:sz="4" w:space="0" w:color="auto"/>
              <w:right w:val="single" w:sz="4" w:space="0" w:color="auto"/>
            </w:tcBorders>
            <w:shd w:val="clear" w:color="auto" w:fill="auto"/>
            <w:vAlign w:val="bottom"/>
          </w:tcPr>
          <w:p w14:paraId="1E342477" w14:textId="47FF4F85"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Master Agreement for Participation Accounting</w:t>
            </w:r>
          </w:p>
        </w:tc>
        <w:tc>
          <w:tcPr>
            <w:tcW w:w="1338" w:type="dxa"/>
            <w:gridSpan w:val="2"/>
            <w:tcBorders>
              <w:top w:val="nil"/>
              <w:left w:val="nil"/>
              <w:bottom w:val="single" w:sz="4" w:space="0" w:color="auto"/>
              <w:right w:val="single" w:sz="4" w:space="0" w:color="auto"/>
            </w:tcBorders>
            <w:shd w:val="clear" w:color="auto" w:fill="auto"/>
            <w:vAlign w:val="bottom"/>
          </w:tcPr>
          <w:p w14:paraId="5167AD1D" w14:textId="18B4F4AA"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14.000</w:t>
            </w:r>
          </w:p>
        </w:tc>
        <w:tc>
          <w:tcPr>
            <w:tcW w:w="1130" w:type="dxa"/>
            <w:gridSpan w:val="2"/>
            <w:tcBorders>
              <w:top w:val="nil"/>
              <w:left w:val="nil"/>
              <w:bottom w:val="single" w:sz="4" w:space="0" w:color="auto"/>
              <w:right w:val="single" w:sz="4" w:space="0" w:color="auto"/>
            </w:tcBorders>
            <w:shd w:val="clear" w:color="auto" w:fill="auto"/>
            <w:vAlign w:val="bottom"/>
          </w:tcPr>
          <w:p w14:paraId="1169211B" w14:textId="2BE84755"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w:t>
            </w:r>
          </w:p>
        </w:tc>
        <w:tc>
          <w:tcPr>
            <w:tcW w:w="1163" w:type="dxa"/>
            <w:gridSpan w:val="2"/>
            <w:tcBorders>
              <w:top w:val="nil"/>
              <w:left w:val="nil"/>
              <w:bottom w:val="single" w:sz="4" w:space="0" w:color="auto"/>
              <w:right w:val="single" w:sz="4" w:space="0" w:color="auto"/>
            </w:tcBorders>
            <w:shd w:val="clear" w:color="auto" w:fill="auto"/>
            <w:vAlign w:val="bottom"/>
          </w:tcPr>
          <w:p w14:paraId="0927CE0C" w14:textId="2E99A07B"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14.000</w:t>
            </w:r>
          </w:p>
        </w:tc>
        <w:tc>
          <w:tcPr>
            <w:tcW w:w="1135" w:type="dxa"/>
            <w:gridSpan w:val="2"/>
            <w:tcBorders>
              <w:top w:val="nil"/>
              <w:left w:val="nil"/>
              <w:bottom w:val="single" w:sz="4" w:space="0" w:color="auto"/>
              <w:right w:val="single" w:sz="4" w:space="0" w:color="auto"/>
            </w:tcBorders>
            <w:shd w:val="clear" w:color="auto" w:fill="auto"/>
            <w:vAlign w:val="bottom"/>
          </w:tcPr>
          <w:p w14:paraId="57184F8A" w14:textId="7CAA65D0"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0.800</w:t>
            </w:r>
          </w:p>
        </w:tc>
        <w:tc>
          <w:tcPr>
            <w:tcW w:w="1408" w:type="dxa"/>
            <w:tcBorders>
              <w:top w:val="nil"/>
              <w:left w:val="nil"/>
              <w:bottom w:val="single" w:sz="4" w:space="0" w:color="auto"/>
              <w:right w:val="single" w:sz="4" w:space="0" w:color="auto"/>
            </w:tcBorders>
            <w:shd w:val="clear" w:color="auto" w:fill="auto"/>
            <w:vAlign w:val="bottom"/>
          </w:tcPr>
          <w:p w14:paraId="5AB04F47" w14:textId="115CA3AE"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11.200</w:t>
            </w:r>
          </w:p>
        </w:tc>
      </w:tr>
      <w:tr w:rsidR="00967CD2" w:rsidRPr="00653F8A" w14:paraId="591ECE5F" w14:textId="77777777" w:rsidTr="00C61283">
        <w:trPr>
          <w:trHeight w:val="482"/>
        </w:trPr>
        <w:tc>
          <w:tcPr>
            <w:tcW w:w="982" w:type="dxa"/>
            <w:tcBorders>
              <w:top w:val="nil"/>
              <w:left w:val="single" w:sz="4" w:space="0" w:color="auto"/>
              <w:bottom w:val="single" w:sz="4" w:space="0" w:color="auto"/>
              <w:right w:val="single" w:sz="4" w:space="0" w:color="auto"/>
            </w:tcBorders>
            <w:shd w:val="clear" w:color="auto" w:fill="auto"/>
            <w:vAlign w:val="bottom"/>
          </w:tcPr>
          <w:p w14:paraId="3F0DC7BF" w14:textId="5B4CCAC6"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11704</w:t>
            </w:r>
          </w:p>
        </w:tc>
        <w:tc>
          <w:tcPr>
            <w:tcW w:w="1127" w:type="dxa"/>
            <w:tcBorders>
              <w:top w:val="nil"/>
              <w:left w:val="nil"/>
              <w:bottom w:val="single" w:sz="4" w:space="0" w:color="auto"/>
              <w:right w:val="single" w:sz="4" w:space="0" w:color="auto"/>
            </w:tcBorders>
            <w:shd w:val="clear" w:color="auto" w:fill="auto"/>
            <w:vAlign w:val="bottom"/>
          </w:tcPr>
          <w:p w14:paraId="0EB4D16B" w14:textId="622B86B1" w:rsidR="00967CD2" w:rsidRPr="00653F8A" w:rsidRDefault="00967CD2" w:rsidP="00C61283">
            <w:pPr>
              <w:overflowPunct/>
              <w:autoSpaceDE/>
              <w:autoSpaceDN/>
              <w:adjustRightInd/>
              <w:jc w:val="center"/>
              <w:textAlignment w:val="auto"/>
              <w:rPr>
                <w:sz w:val="18"/>
                <w:szCs w:val="18"/>
              </w:rPr>
            </w:pPr>
            <w:r>
              <w:rPr>
                <w:rFonts w:ascii="Arial" w:hAnsi="Arial" w:cs="Arial"/>
                <w:color w:val="000000"/>
                <w:sz w:val="16"/>
                <w:szCs w:val="16"/>
              </w:rPr>
              <w:t>II-2</w:t>
            </w:r>
          </w:p>
        </w:tc>
        <w:tc>
          <w:tcPr>
            <w:tcW w:w="2715" w:type="dxa"/>
            <w:tcBorders>
              <w:top w:val="nil"/>
              <w:left w:val="nil"/>
              <w:bottom w:val="single" w:sz="4" w:space="0" w:color="auto"/>
              <w:right w:val="single" w:sz="4" w:space="0" w:color="auto"/>
            </w:tcBorders>
            <w:shd w:val="clear" w:color="auto" w:fill="auto"/>
            <w:vAlign w:val="bottom"/>
          </w:tcPr>
          <w:p w14:paraId="49D29FFB" w14:textId="015865A4"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 xml:space="preserve">Commitment to Guaranty Mortgage-Backed Securities </w:t>
            </w:r>
          </w:p>
        </w:tc>
        <w:tc>
          <w:tcPr>
            <w:tcW w:w="1338" w:type="dxa"/>
            <w:gridSpan w:val="2"/>
            <w:tcBorders>
              <w:top w:val="nil"/>
              <w:left w:val="nil"/>
              <w:bottom w:val="single" w:sz="4" w:space="0" w:color="auto"/>
              <w:right w:val="single" w:sz="4" w:space="0" w:color="auto"/>
            </w:tcBorders>
            <w:shd w:val="clear" w:color="auto" w:fill="auto"/>
            <w:vAlign w:val="bottom"/>
          </w:tcPr>
          <w:p w14:paraId="30503D2C" w14:textId="2C91DD75"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329.000</w:t>
            </w:r>
          </w:p>
        </w:tc>
        <w:tc>
          <w:tcPr>
            <w:tcW w:w="1130" w:type="dxa"/>
            <w:gridSpan w:val="2"/>
            <w:tcBorders>
              <w:top w:val="nil"/>
              <w:left w:val="nil"/>
              <w:bottom w:val="single" w:sz="4" w:space="0" w:color="auto"/>
              <w:right w:val="single" w:sz="4" w:space="0" w:color="auto"/>
            </w:tcBorders>
            <w:shd w:val="clear" w:color="auto" w:fill="auto"/>
            <w:vAlign w:val="bottom"/>
          </w:tcPr>
          <w:p w14:paraId="1147846C" w14:textId="08B2A867"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w:t>
            </w:r>
          </w:p>
        </w:tc>
        <w:tc>
          <w:tcPr>
            <w:tcW w:w="1163" w:type="dxa"/>
            <w:gridSpan w:val="2"/>
            <w:tcBorders>
              <w:top w:val="nil"/>
              <w:left w:val="nil"/>
              <w:bottom w:val="single" w:sz="4" w:space="0" w:color="auto"/>
              <w:right w:val="single" w:sz="4" w:space="0" w:color="auto"/>
            </w:tcBorders>
            <w:shd w:val="clear" w:color="auto" w:fill="auto"/>
            <w:vAlign w:val="bottom"/>
          </w:tcPr>
          <w:p w14:paraId="7FAFE8FD" w14:textId="364547E5"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1316.000</w:t>
            </w:r>
          </w:p>
        </w:tc>
        <w:tc>
          <w:tcPr>
            <w:tcW w:w="1135" w:type="dxa"/>
            <w:gridSpan w:val="2"/>
            <w:tcBorders>
              <w:top w:val="nil"/>
              <w:left w:val="nil"/>
              <w:bottom w:val="single" w:sz="4" w:space="0" w:color="auto"/>
              <w:right w:val="single" w:sz="4" w:space="0" w:color="auto"/>
            </w:tcBorders>
            <w:shd w:val="clear" w:color="auto" w:fill="auto"/>
            <w:vAlign w:val="bottom"/>
          </w:tcPr>
          <w:p w14:paraId="1A8A363C" w14:textId="35F5277E"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0.033</w:t>
            </w:r>
          </w:p>
        </w:tc>
        <w:tc>
          <w:tcPr>
            <w:tcW w:w="1408" w:type="dxa"/>
            <w:tcBorders>
              <w:top w:val="nil"/>
              <w:left w:val="nil"/>
              <w:bottom w:val="single" w:sz="4" w:space="0" w:color="auto"/>
              <w:right w:val="single" w:sz="4" w:space="0" w:color="auto"/>
            </w:tcBorders>
            <w:shd w:val="clear" w:color="auto" w:fill="auto"/>
            <w:vAlign w:val="bottom"/>
          </w:tcPr>
          <w:p w14:paraId="434F6D3E" w14:textId="201B620E"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43.428</w:t>
            </w:r>
          </w:p>
        </w:tc>
      </w:tr>
      <w:tr w:rsidR="00967CD2" w:rsidRPr="00653F8A" w14:paraId="0606B566" w14:textId="77777777" w:rsidTr="00C61283">
        <w:trPr>
          <w:trHeight w:val="320"/>
        </w:trPr>
        <w:tc>
          <w:tcPr>
            <w:tcW w:w="982" w:type="dxa"/>
            <w:tcBorders>
              <w:top w:val="nil"/>
              <w:left w:val="single" w:sz="4" w:space="0" w:color="auto"/>
              <w:bottom w:val="single" w:sz="4" w:space="0" w:color="auto"/>
              <w:right w:val="single" w:sz="4" w:space="0" w:color="auto"/>
            </w:tcBorders>
            <w:shd w:val="clear" w:color="auto" w:fill="auto"/>
            <w:vAlign w:val="bottom"/>
          </w:tcPr>
          <w:p w14:paraId="0DDFED1A" w14:textId="2D56ABF8"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11707</w:t>
            </w:r>
          </w:p>
        </w:tc>
        <w:tc>
          <w:tcPr>
            <w:tcW w:w="1127" w:type="dxa"/>
            <w:tcBorders>
              <w:top w:val="nil"/>
              <w:left w:val="nil"/>
              <w:bottom w:val="single" w:sz="4" w:space="0" w:color="auto"/>
              <w:right w:val="single" w:sz="4" w:space="0" w:color="auto"/>
            </w:tcBorders>
            <w:shd w:val="clear" w:color="auto" w:fill="auto"/>
            <w:vAlign w:val="bottom"/>
          </w:tcPr>
          <w:p w14:paraId="6297C912" w14:textId="0F3C28FD" w:rsidR="00967CD2" w:rsidRPr="00653F8A" w:rsidRDefault="00967CD2" w:rsidP="00C61283">
            <w:pPr>
              <w:overflowPunct/>
              <w:autoSpaceDE/>
              <w:autoSpaceDN/>
              <w:adjustRightInd/>
              <w:jc w:val="center"/>
              <w:textAlignment w:val="auto"/>
              <w:rPr>
                <w:sz w:val="18"/>
                <w:szCs w:val="18"/>
              </w:rPr>
            </w:pPr>
            <w:r>
              <w:rPr>
                <w:rFonts w:ascii="Arial" w:hAnsi="Arial" w:cs="Arial"/>
                <w:color w:val="000000"/>
                <w:sz w:val="16"/>
                <w:szCs w:val="16"/>
              </w:rPr>
              <w:t>III-1</w:t>
            </w:r>
          </w:p>
        </w:tc>
        <w:tc>
          <w:tcPr>
            <w:tcW w:w="2715" w:type="dxa"/>
            <w:tcBorders>
              <w:top w:val="nil"/>
              <w:left w:val="nil"/>
              <w:bottom w:val="single" w:sz="4" w:space="0" w:color="auto"/>
              <w:right w:val="single" w:sz="4" w:space="0" w:color="auto"/>
            </w:tcBorders>
            <w:shd w:val="clear" w:color="auto" w:fill="auto"/>
            <w:vAlign w:val="bottom"/>
          </w:tcPr>
          <w:p w14:paraId="7409B471" w14:textId="373F9C42"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Master Servicing Agreement</w:t>
            </w:r>
          </w:p>
        </w:tc>
        <w:tc>
          <w:tcPr>
            <w:tcW w:w="1338" w:type="dxa"/>
            <w:gridSpan w:val="2"/>
            <w:tcBorders>
              <w:top w:val="nil"/>
              <w:left w:val="nil"/>
              <w:bottom w:val="single" w:sz="4" w:space="0" w:color="auto"/>
              <w:right w:val="single" w:sz="4" w:space="0" w:color="auto"/>
            </w:tcBorders>
            <w:shd w:val="clear" w:color="auto" w:fill="auto"/>
            <w:vAlign w:val="bottom"/>
          </w:tcPr>
          <w:p w14:paraId="335C4B63" w14:textId="0D9488DC"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468.000</w:t>
            </w:r>
          </w:p>
        </w:tc>
        <w:tc>
          <w:tcPr>
            <w:tcW w:w="1130" w:type="dxa"/>
            <w:gridSpan w:val="2"/>
            <w:tcBorders>
              <w:top w:val="nil"/>
              <w:left w:val="nil"/>
              <w:bottom w:val="single" w:sz="4" w:space="0" w:color="auto"/>
              <w:right w:val="single" w:sz="4" w:space="0" w:color="auto"/>
            </w:tcBorders>
            <w:shd w:val="clear" w:color="auto" w:fill="auto"/>
            <w:vAlign w:val="bottom"/>
          </w:tcPr>
          <w:p w14:paraId="76C4E403" w14:textId="0D46F448"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w:t>
            </w:r>
          </w:p>
        </w:tc>
        <w:tc>
          <w:tcPr>
            <w:tcW w:w="1163" w:type="dxa"/>
            <w:gridSpan w:val="2"/>
            <w:tcBorders>
              <w:top w:val="nil"/>
              <w:left w:val="nil"/>
              <w:bottom w:val="single" w:sz="4" w:space="0" w:color="auto"/>
              <w:right w:val="single" w:sz="4" w:space="0" w:color="auto"/>
            </w:tcBorders>
            <w:shd w:val="clear" w:color="auto" w:fill="auto"/>
            <w:vAlign w:val="bottom"/>
          </w:tcPr>
          <w:p w14:paraId="7A6C3921" w14:textId="4906E1AE"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468.000</w:t>
            </w:r>
          </w:p>
        </w:tc>
        <w:tc>
          <w:tcPr>
            <w:tcW w:w="1135" w:type="dxa"/>
            <w:gridSpan w:val="2"/>
            <w:tcBorders>
              <w:top w:val="nil"/>
              <w:left w:val="nil"/>
              <w:bottom w:val="single" w:sz="4" w:space="0" w:color="auto"/>
              <w:right w:val="single" w:sz="4" w:space="0" w:color="auto"/>
            </w:tcBorders>
            <w:shd w:val="clear" w:color="auto" w:fill="auto"/>
            <w:vAlign w:val="bottom"/>
          </w:tcPr>
          <w:p w14:paraId="24D89283" w14:textId="096300B5"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0.033</w:t>
            </w:r>
          </w:p>
        </w:tc>
        <w:tc>
          <w:tcPr>
            <w:tcW w:w="1408" w:type="dxa"/>
            <w:tcBorders>
              <w:top w:val="nil"/>
              <w:left w:val="nil"/>
              <w:bottom w:val="single" w:sz="4" w:space="0" w:color="auto"/>
              <w:right w:val="single" w:sz="4" w:space="0" w:color="auto"/>
            </w:tcBorders>
            <w:shd w:val="clear" w:color="auto" w:fill="auto"/>
            <w:vAlign w:val="bottom"/>
          </w:tcPr>
          <w:p w14:paraId="2379783E" w14:textId="591B7EC6"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15.444</w:t>
            </w:r>
          </w:p>
        </w:tc>
      </w:tr>
      <w:tr w:rsidR="00967CD2" w:rsidRPr="00653F8A" w14:paraId="2B281DBF" w14:textId="77777777" w:rsidTr="00C61283">
        <w:trPr>
          <w:trHeight w:val="485"/>
        </w:trPr>
        <w:tc>
          <w:tcPr>
            <w:tcW w:w="982" w:type="dxa"/>
            <w:tcBorders>
              <w:top w:val="nil"/>
              <w:left w:val="single" w:sz="4" w:space="0" w:color="auto"/>
              <w:bottom w:val="single" w:sz="4" w:space="0" w:color="auto"/>
              <w:right w:val="single" w:sz="4" w:space="0" w:color="auto"/>
            </w:tcBorders>
            <w:shd w:val="clear" w:color="auto" w:fill="auto"/>
            <w:vAlign w:val="bottom"/>
          </w:tcPr>
          <w:p w14:paraId="4A69B97C" w14:textId="11606EED"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11709</w:t>
            </w:r>
          </w:p>
        </w:tc>
        <w:tc>
          <w:tcPr>
            <w:tcW w:w="1127" w:type="dxa"/>
            <w:tcBorders>
              <w:top w:val="nil"/>
              <w:left w:val="nil"/>
              <w:bottom w:val="single" w:sz="4" w:space="0" w:color="auto"/>
              <w:right w:val="single" w:sz="4" w:space="0" w:color="auto"/>
            </w:tcBorders>
            <w:shd w:val="clear" w:color="auto" w:fill="auto"/>
            <w:vAlign w:val="bottom"/>
          </w:tcPr>
          <w:p w14:paraId="54FDA310" w14:textId="0DA5DC18" w:rsidR="00967CD2" w:rsidRPr="00653F8A" w:rsidRDefault="00967CD2" w:rsidP="00C61283">
            <w:pPr>
              <w:overflowPunct/>
              <w:autoSpaceDE/>
              <w:autoSpaceDN/>
              <w:adjustRightInd/>
              <w:jc w:val="center"/>
              <w:textAlignment w:val="auto"/>
              <w:rPr>
                <w:sz w:val="18"/>
                <w:szCs w:val="18"/>
              </w:rPr>
            </w:pPr>
            <w:r>
              <w:rPr>
                <w:rFonts w:ascii="Arial" w:hAnsi="Arial" w:cs="Arial"/>
                <w:color w:val="000000"/>
                <w:sz w:val="16"/>
                <w:szCs w:val="16"/>
              </w:rPr>
              <w:t>III-2</w:t>
            </w:r>
          </w:p>
        </w:tc>
        <w:tc>
          <w:tcPr>
            <w:tcW w:w="2715" w:type="dxa"/>
            <w:tcBorders>
              <w:top w:val="nil"/>
              <w:left w:val="nil"/>
              <w:bottom w:val="single" w:sz="4" w:space="0" w:color="auto"/>
              <w:right w:val="single" w:sz="4" w:space="0" w:color="auto"/>
            </w:tcBorders>
            <w:shd w:val="clear" w:color="auto" w:fill="auto"/>
            <w:vAlign w:val="bottom"/>
          </w:tcPr>
          <w:p w14:paraId="21656E90" w14:textId="285B39F1"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Master Agreement for Servicer's Principal and Interest Custodial Account</w:t>
            </w:r>
          </w:p>
        </w:tc>
        <w:tc>
          <w:tcPr>
            <w:tcW w:w="1338" w:type="dxa"/>
            <w:gridSpan w:val="2"/>
            <w:tcBorders>
              <w:top w:val="nil"/>
              <w:left w:val="nil"/>
              <w:bottom w:val="single" w:sz="4" w:space="0" w:color="auto"/>
              <w:right w:val="single" w:sz="4" w:space="0" w:color="auto"/>
            </w:tcBorders>
            <w:shd w:val="clear" w:color="auto" w:fill="auto"/>
            <w:vAlign w:val="bottom"/>
          </w:tcPr>
          <w:p w14:paraId="4B4F444E" w14:textId="506C8830"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468.000</w:t>
            </w:r>
          </w:p>
        </w:tc>
        <w:tc>
          <w:tcPr>
            <w:tcW w:w="1130" w:type="dxa"/>
            <w:gridSpan w:val="2"/>
            <w:tcBorders>
              <w:top w:val="nil"/>
              <w:left w:val="nil"/>
              <w:bottom w:val="single" w:sz="4" w:space="0" w:color="auto"/>
              <w:right w:val="single" w:sz="4" w:space="0" w:color="auto"/>
            </w:tcBorders>
            <w:shd w:val="clear" w:color="auto" w:fill="auto"/>
            <w:vAlign w:val="bottom"/>
          </w:tcPr>
          <w:p w14:paraId="3AFC54CE" w14:textId="2B691C65"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w:t>
            </w:r>
          </w:p>
        </w:tc>
        <w:tc>
          <w:tcPr>
            <w:tcW w:w="1163" w:type="dxa"/>
            <w:gridSpan w:val="2"/>
            <w:tcBorders>
              <w:top w:val="nil"/>
              <w:left w:val="nil"/>
              <w:bottom w:val="single" w:sz="4" w:space="0" w:color="auto"/>
              <w:right w:val="single" w:sz="4" w:space="0" w:color="auto"/>
            </w:tcBorders>
            <w:shd w:val="clear" w:color="auto" w:fill="auto"/>
            <w:vAlign w:val="bottom"/>
          </w:tcPr>
          <w:p w14:paraId="7D4E2EF6" w14:textId="2B2C6604"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468.000</w:t>
            </w:r>
          </w:p>
        </w:tc>
        <w:tc>
          <w:tcPr>
            <w:tcW w:w="1135" w:type="dxa"/>
            <w:gridSpan w:val="2"/>
            <w:tcBorders>
              <w:top w:val="nil"/>
              <w:left w:val="nil"/>
              <w:bottom w:val="single" w:sz="4" w:space="0" w:color="auto"/>
              <w:right w:val="single" w:sz="4" w:space="0" w:color="auto"/>
            </w:tcBorders>
            <w:shd w:val="clear" w:color="auto" w:fill="auto"/>
            <w:vAlign w:val="bottom"/>
          </w:tcPr>
          <w:p w14:paraId="3B6C8230" w14:textId="333D02AE"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0.033</w:t>
            </w:r>
          </w:p>
        </w:tc>
        <w:tc>
          <w:tcPr>
            <w:tcW w:w="1408" w:type="dxa"/>
            <w:tcBorders>
              <w:top w:val="nil"/>
              <w:left w:val="nil"/>
              <w:bottom w:val="single" w:sz="4" w:space="0" w:color="auto"/>
              <w:right w:val="single" w:sz="4" w:space="0" w:color="auto"/>
            </w:tcBorders>
            <w:shd w:val="clear" w:color="auto" w:fill="auto"/>
            <w:vAlign w:val="bottom"/>
          </w:tcPr>
          <w:p w14:paraId="4CCB37CA" w14:textId="02263662"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15.444</w:t>
            </w:r>
          </w:p>
        </w:tc>
      </w:tr>
      <w:tr w:rsidR="00967CD2" w:rsidRPr="00653F8A" w14:paraId="251ED50F" w14:textId="77777777" w:rsidTr="00C61283">
        <w:trPr>
          <w:trHeight w:val="257"/>
        </w:trPr>
        <w:tc>
          <w:tcPr>
            <w:tcW w:w="982" w:type="dxa"/>
            <w:tcBorders>
              <w:top w:val="nil"/>
              <w:left w:val="single" w:sz="4" w:space="0" w:color="auto"/>
              <w:bottom w:val="single" w:sz="4" w:space="0" w:color="auto"/>
              <w:right w:val="single" w:sz="4" w:space="0" w:color="auto"/>
            </w:tcBorders>
            <w:shd w:val="clear" w:color="000000" w:fill="FFFFFF"/>
            <w:vAlign w:val="bottom"/>
          </w:tcPr>
          <w:p w14:paraId="3D09E84D" w14:textId="335CBBE8"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11715</w:t>
            </w:r>
          </w:p>
        </w:tc>
        <w:tc>
          <w:tcPr>
            <w:tcW w:w="1127" w:type="dxa"/>
            <w:tcBorders>
              <w:top w:val="nil"/>
              <w:left w:val="nil"/>
              <w:bottom w:val="single" w:sz="4" w:space="0" w:color="auto"/>
              <w:right w:val="single" w:sz="4" w:space="0" w:color="auto"/>
            </w:tcBorders>
            <w:shd w:val="clear" w:color="000000" w:fill="FFFFFF"/>
            <w:vAlign w:val="bottom"/>
          </w:tcPr>
          <w:p w14:paraId="4021A97D" w14:textId="5CC68363" w:rsidR="00967CD2" w:rsidRPr="00653F8A" w:rsidRDefault="00967CD2" w:rsidP="00C61283">
            <w:pPr>
              <w:overflowPunct/>
              <w:autoSpaceDE/>
              <w:autoSpaceDN/>
              <w:adjustRightInd/>
              <w:jc w:val="center"/>
              <w:textAlignment w:val="auto"/>
              <w:rPr>
                <w:sz w:val="18"/>
                <w:szCs w:val="18"/>
              </w:rPr>
            </w:pPr>
            <w:r>
              <w:rPr>
                <w:rFonts w:ascii="Arial" w:hAnsi="Arial" w:cs="Arial"/>
                <w:color w:val="000000"/>
                <w:sz w:val="16"/>
                <w:szCs w:val="16"/>
              </w:rPr>
              <w:t>III-4</w:t>
            </w:r>
          </w:p>
        </w:tc>
        <w:tc>
          <w:tcPr>
            <w:tcW w:w="2724" w:type="dxa"/>
            <w:gridSpan w:val="2"/>
            <w:tcBorders>
              <w:top w:val="nil"/>
              <w:left w:val="nil"/>
              <w:bottom w:val="single" w:sz="4" w:space="0" w:color="auto"/>
              <w:right w:val="single" w:sz="4" w:space="0" w:color="auto"/>
            </w:tcBorders>
            <w:shd w:val="clear" w:color="000000" w:fill="FFFFFF"/>
            <w:vAlign w:val="bottom"/>
          </w:tcPr>
          <w:p w14:paraId="6670003E" w14:textId="370C98E0"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Master Custodial Agreement</w:t>
            </w:r>
          </w:p>
        </w:tc>
        <w:tc>
          <w:tcPr>
            <w:tcW w:w="1342" w:type="dxa"/>
            <w:gridSpan w:val="2"/>
            <w:tcBorders>
              <w:top w:val="nil"/>
              <w:left w:val="nil"/>
              <w:bottom w:val="single" w:sz="4" w:space="0" w:color="auto"/>
              <w:right w:val="single" w:sz="4" w:space="0" w:color="auto"/>
            </w:tcBorders>
            <w:shd w:val="clear" w:color="000000" w:fill="FFFFFF"/>
            <w:vAlign w:val="bottom"/>
          </w:tcPr>
          <w:p w14:paraId="71C63093" w14:textId="4A5FB8A1" w:rsidR="00967CD2" w:rsidRPr="009A4AAB" w:rsidRDefault="00967CD2" w:rsidP="00C61283">
            <w:pPr>
              <w:overflowPunct/>
              <w:autoSpaceDE/>
              <w:autoSpaceDN/>
              <w:adjustRightInd/>
              <w:jc w:val="right"/>
              <w:textAlignment w:val="auto"/>
              <w:rPr>
                <w:sz w:val="18"/>
                <w:szCs w:val="18"/>
              </w:rPr>
            </w:pPr>
            <w:r>
              <w:rPr>
                <w:rFonts w:ascii="Arial" w:hAnsi="Arial" w:cs="Arial"/>
                <w:color w:val="000000"/>
                <w:sz w:val="16"/>
                <w:szCs w:val="16"/>
              </w:rPr>
              <w:t>468.000</w:t>
            </w:r>
          </w:p>
        </w:tc>
        <w:tc>
          <w:tcPr>
            <w:tcW w:w="1135" w:type="dxa"/>
            <w:gridSpan w:val="2"/>
            <w:tcBorders>
              <w:top w:val="nil"/>
              <w:left w:val="nil"/>
              <w:bottom w:val="single" w:sz="4" w:space="0" w:color="auto"/>
              <w:right w:val="single" w:sz="4" w:space="0" w:color="auto"/>
            </w:tcBorders>
            <w:shd w:val="clear" w:color="000000" w:fill="FFFFFF"/>
            <w:vAlign w:val="bottom"/>
          </w:tcPr>
          <w:p w14:paraId="5B426060" w14:textId="4C30B75C"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w:t>
            </w:r>
          </w:p>
        </w:tc>
        <w:tc>
          <w:tcPr>
            <w:tcW w:w="1145" w:type="dxa"/>
            <w:tcBorders>
              <w:top w:val="nil"/>
              <w:left w:val="nil"/>
              <w:bottom w:val="single" w:sz="4" w:space="0" w:color="auto"/>
              <w:right w:val="single" w:sz="4" w:space="0" w:color="auto"/>
            </w:tcBorders>
            <w:shd w:val="clear" w:color="000000" w:fill="FFFFFF"/>
            <w:vAlign w:val="bottom"/>
          </w:tcPr>
          <w:p w14:paraId="1C782F26" w14:textId="3BF46F21"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468.000</w:t>
            </w:r>
          </w:p>
        </w:tc>
        <w:tc>
          <w:tcPr>
            <w:tcW w:w="1135" w:type="dxa"/>
            <w:gridSpan w:val="2"/>
            <w:tcBorders>
              <w:top w:val="nil"/>
              <w:left w:val="nil"/>
              <w:bottom w:val="single" w:sz="4" w:space="0" w:color="auto"/>
              <w:right w:val="single" w:sz="4" w:space="0" w:color="auto"/>
            </w:tcBorders>
            <w:shd w:val="clear" w:color="000000" w:fill="FFFFFF"/>
            <w:vAlign w:val="bottom"/>
          </w:tcPr>
          <w:p w14:paraId="49B58A56" w14:textId="7063E883"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0.033</w:t>
            </w:r>
          </w:p>
        </w:tc>
        <w:tc>
          <w:tcPr>
            <w:tcW w:w="1408" w:type="dxa"/>
            <w:tcBorders>
              <w:top w:val="nil"/>
              <w:left w:val="nil"/>
              <w:bottom w:val="single" w:sz="4" w:space="0" w:color="auto"/>
              <w:right w:val="single" w:sz="4" w:space="0" w:color="auto"/>
            </w:tcBorders>
            <w:shd w:val="clear" w:color="000000" w:fill="FFFFFF"/>
            <w:vAlign w:val="bottom"/>
          </w:tcPr>
          <w:p w14:paraId="5488F4A9" w14:textId="62385572"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15.444</w:t>
            </w:r>
          </w:p>
        </w:tc>
      </w:tr>
      <w:tr w:rsidR="00967CD2" w:rsidRPr="00653F8A" w14:paraId="4E2A1E20" w14:textId="77777777" w:rsidTr="00C61283">
        <w:trPr>
          <w:trHeight w:val="392"/>
        </w:trPr>
        <w:tc>
          <w:tcPr>
            <w:tcW w:w="982" w:type="dxa"/>
            <w:tcBorders>
              <w:top w:val="nil"/>
              <w:left w:val="single" w:sz="4" w:space="0" w:color="auto"/>
              <w:bottom w:val="single" w:sz="4" w:space="0" w:color="auto"/>
              <w:right w:val="single" w:sz="4" w:space="0" w:color="auto"/>
            </w:tcBorders>
            <w:shd w:val="clear" w:color="000000" w:fill="FFFFFF"/>
            <w:vAlign w:val="bottom"/>
          </w:tcPr>
          <w:p w14:paraId="2AE055E0" w14:textId="09435E92"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11720</w:t>
            </w:r>
          </w:p>
        </w:tc>
        <w:tc>
          <w:tcPr>
            <w:tcW w:w="1127" w:type="dxa"/>
            <w:tcBorders>
              <w:top w:val="nil"/>
              <w:left w:val="nil"/>
              <w:bottom w:val="single" w:sz="4" w:space="0" w:color="auto"/>
              <w:right w:val="single" w:sz="4" w:space="0" w:color="auto"/>
            </w:tcBorders>
            <w:shd w:val="clear" w:color="000000" w:fill="FFFFFF"/>
            <w:vAlign w:val="bottom"/>
          </w:tcPr>
          <w:p w14:paraId="7B4B3967" w14:textId="3BDC582C" w:rsidR="00967CD2" w:rsidRPr="00653F8A" w:rsidRDefault="00967CD2" w:rsidP="00C61283">
            <w:pPr>
              <w:overflowPunct/>
              <w:autoSpaceDE/>
              <w:autoSpaceDN/>
              <w:adjustRightInd/>
              <w:jc w:val="center"/>
              <w:textAlignment w:val="auto"/>
              <w:rPr>
                <w:sz w:val="18"/>
                <w:szCs w:val="18"/>
              </w:rPr>
            </w:pPr>
            <w:r>
              <w:rPr>
                <w:rFonts w:ascii="Arial" w:hAnsi="Arial" w:cs="Arial"/>
                <w:color w:val="000000"/>
                <w:sz w:val="16"/>
                <w:szCs w:val="16"/>
              </w:rPr>
              <w:t>III-3</w:t>
            </w:r>
          </w:p>
        </w:tc>
        <w:tc>
          <w:tcPr>
            <w:tcW w:w="2724" w:type="dxa"/>
            <w:gridSpan w:val="2"/>
            <w:tcBorders>
              <w:top w:val="nil"/>
              <w:left w:val="nil"/>
              <w:bottom w:val="single" w:sz="4" w:space="0" w:color="auto"/>
              <w:right w:val="single" w:sz="4" w:space="0" w:color="auto"/>
            </w:tcBorders>
            <w:shd w:val="clear" w:color="000000" w:fill="FFFFFF"/>
            <w:vAlign w:val="bottom"/>
          </w:tcPr>
          <w:p w14:paraId="0FE62C1E" w14:textId="25977C62"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Master Agreement for Servicer's Escrow Custodial Account</w:t>
            </w:r>
          </w:p>
        </w:tc>
        <w:tc>
          <w:tcPr>
            <w:tcW w:w="1342" w:type="dxa"/>
            <w:gridSpan w:val="2"/>
            <w:tcBorders>
              <w:top w:val="nil"/>
              <w:left w:val="nil"/>
              <w:bottom w:val="single" w:sz="4" w:space="0" w:color="auto"/>
              <w:right w:val="single" w:sz="4" w:space="0" w:color="auto"/>
            </w:tcBorders>
            <w:shd w:val="clear" w:color="000000" w:fill="FFFFFF"/>
            <w:vAlign w:val="bottom"/>
          </w:tcPr>
          <w:p w14:paraId="0C372C94" w14:textId="65A9877C"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468.000</w:t>
            </w:r>
          </w:p>
        </w:tc>
        <w:tc>
          <w:tcPr>
            <w:tcW w:w="1135" w:type="dxa"/>
            <w:gridSpan w:val="2"/>
            <w:tcBorders>
              <w:top w:val="nil"/>
              <w:left w:val="nil"/>
              <w:bottom w:val="single" w:sz="4" w:space="0" w:color="auto"/>
              <w:right w:val="single" w:sz="4" w:space="0" w:color="auto"/>
            </w:tcBorders>
            <w:shd w:val="clear" w:color="000000" w:fill="FFFFFF"/>
            <w:vAlign w:val="bottom"/>
          </w:tcPr>
          <w:p w14:paraId="3BB5EDA7" w14:textId="55BEF399"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w:t>
            </w:r>
          </w:p>
        </w:tc>
        <w:tc>
          <w:tcPr>
            <w:tcW w:w="1145" w:type="dxa"/>
            <w:tcBorders>
              <w:top w:val="nil"/>
              <w:left w:val="nil"/>
              <w:bottom w:val="single" w:sz="4" w:space="0" w:color="auto"/>
              <w:right w:val="single" w:sz="4" w:space="0" w:color="auto"/>
            </w:tcBorders>
            <w:shd w:val="clear" w:color="000000" w:fill="FFFFFF"/>
            <w:vAlign w:val="bottom"/>
          </w:tcPr>
          <w:p w14:paraId="4D6AE8DF" w14:textId="627DF9EF"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468.000</w:t>
            </w:r>
          </w:p>
        </w:tc>
        <w:tc>
          <w:tcPr>
            <w:tcW w:w="1135" w:type="dxa"/>
            <w:gridSpan w:val="2"/>
            <w:tcBorders>
              <w:top w:val="nil"/>
              <w:left w:val="nil"/>
              <w:bottom w:val="single" w:sz="4" w:space="0" w:color="auto"/>
              <w:right w:val="single" w:sz="4" w:space="0" w:color="auto"/>
            </w:tcBorders>
            <w:shd w:val="clear" w:color="000000" w:fill="FFFFFF"/>
            <w:vAlign w:val="bottom"/>
          </w:tcPr>
          <w:p w14:paraId="19749E9D" w14:textId="57201121"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0.033</w:t>
            </w:r>
          </w:p>
        </w:tc>
        <w:tc>
          <w:tcPr>
            <w:tcW w:w="1408" w:type="dxa"/>
            <w:tcBorders>
              <w:top w:val="nil"/>
              <w:left w:val="nil"/>
              <w:bottom w:val="single" w:sz="4" w:space="0" w:color="auto"/>
              <w:right w:val="single" w:sz="4" w:space="0" w:color="auto"/>
            </w:tcBorders>
            <w:shd w:val="clear" w:color="000000" w:fill="FFFFFF"/>
            <w:vAlign w:val="bottom"/>
          </w:tcPr>
          <w:p w14:paraId="29F59A38" w14:textId="58E72A08"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15.444</w:t>
            </w:r>
          </w:p>
        </w:tc>
      </w:tr>
      <w:tr w:rsidR="00967CD2" w:rsidRPr="00653F8A" w14:paraId="4FAD450D" w14:textId="77777777" w:rsidTr="00C61283">
        <w:trPr>
          <w:trHeight w:val="455"/>
        </w:trPr>
        <w:tc>
          <w:tcPr>
            <w:tcW w:w="982" w:type="dxa"/>
            <w:tcBorders>
              <w:top w:val="nil"/>
              <w:left w:val="single" w:sz="4" w:space="0" w:color="auto"/>
              <w:bottom w:val="single" w:sz="4" w:space="0" w:color="auto"/>
              <w:right w:val="single" w:sz="4" w:space="0" w:color="auto"/>
            </w:tcBorders>
            <w:shd w:val="clear" w:color="000000" w:fill="FFFFFF"/>
            <w:vAlign w:val="bottom"/>
          </w:tcPr>
          <w:p w14:paraId="40D28BEA" w14:textId="533FFF0A"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11732</w:t>
            </w:r>
          </w:p>
        </w:tc>
        <w:tc>
          <w:tcPr>
            <w:tcW w:w="1127" w:type="dxa"/>
            <w:tcBorders>
              <w:top w:val="nil"/>
              <w:left w:val="nil"/>
              <w:bottom w:val="single" w:sz="4" w:space="0" w:color="auto"/>
              <w:right w:val="single" w:sz="4" w:space="0" w:color="auto"/>
            </w:tcBorders>
            <w:shd w:val="clear" w:color="000000" w:fill="FFFFFF"/>
            <w:vAlign w:val="bottom"/>
          </w:tcPr>
          <w:p w14:paraId="684E6520" w14:textId="6FF069E6" w:rsidR="00967CD2" w:rsidRPr="00653F8A" w:rsidRDefault="00967CD2" w:rsidP="00C61283">
            <w:pPr>
              <w:overflowPunct/>
              <w:autoSpaceDE/>
              <w:autoSpaceDN/>
              <w:adjustRightInd/>
              <w:jc w:val="center"/>
              <w:textAlignment w:val="auto"/>
              <w:rPr>
                <w:sz w:val="18"/>
                <w:szCs w:val="18"/>
              </w:rPr>
            </w:pPr>
            <w:r>
              <w:rPr>
                <w:rFonts w:ascii="Arial" w:hAnsi="Arial" w:cs="Arial"/>
                <w:color w:val="000000"/>
                <w:sz w:val="16"/>
                <w:szCs w:val="16"/>
              </w:rPr>
              <w:t>III-22</w:t>
            </w:r>
          </w:p>
        </w:tc>
        <w:tc>
          <w:tcPr>
            <w:tcW w:w="2724" w:type="dxa"/>
            <w:gridSpan w:val="2"/>
            <w:tcBorders>
              <w:top w:val="nil"/>
              <w:left w:val="nil"/>
              <w:bottom w:val="single" w:sz="4" w:space="0" w:color="auto"/>
              <w:right w:val="single" w:sz="4" w:space="0" w:color="auto"/>
            </w:tcBorders>
            <w:shd w:val="clear" w:color="000000" w:fill="FFFFFF"/>
            <w:vAlign w:val="bottom"/>
          </w:tcPr>
          <w:p w14:paraId="228A63A7" w14:textId="3F03541A"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Custodian's Certification for Construction Securities</w:t>
            </w:r>
          </w:p>
        </w:tc>
        <w:tc>
          <w:tcPr>
            <w:tcW w:w="1342" w:type="dxa"/>
            <w:gridSpan w:val="2"/>
            <w:tcBorders>
              <w:top w:val="nil"/>
              <w:left w:val="nil"/>
              <w:bottom w:val="single" w:sz="4" w:space="0" w:color="auto"/>
              <w:right w:val="single" w:sz="4" w:space="0" w:color="auto"/>
            </w:tcBorders>
            <w:shd w:val="clear" w:color="000000" w:fill="FFFFFF"/>
            <w:vAlign w:val="bottom"/>
          </w:tcPr>
          <w:p w14:paraId="321DCE24" w14:textId="096CBF12"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55.000</w:t>
            </w:r>
          </w:p>
        </w:tc>
        <w:tc>
          <w:tcPr>
            <w:tcW w:w="1135" w:type="dxa"/>
            <w:gridSpan w:val="2"/>
            <w:tcBorders>
              <w:top w:val="nil"/>
              <w:left w:val="nil"/>
              <w:bottom w:val="single" w:sz="4" w:space="0" w:color="auto"/>
              <w:right w:val="single" w:sz="4" w:space="0" w:color="auto"/>
            </w:tcBorders>
            <w:shd w:val="clear" w:color="000000" w:fill="FFFFFF"/>
            <w:vAlign w:val="bottom"/>
          </w:tcPr>
          <w:p w14:paraId="3C7A1811" w14:textId="6AD7DCFC"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w:t>
            </w:r>
          </w:p>
        </w:tc>
        <w:tc>
          <w:tcPr>
            <w:tcW w:w="1145" w:type="dxa"/>
            <w:tcBorders>
              <w:top w:val="nil"/>
              <w:left w:val="nil"/>
              <w:bottom w:val="single" w:sz="4" w:space="0" w:color="auto"/>
              <w:right w:val="single" w:sz="4" w:space="0" w:color="auto"/>
            </w:tcBorders>
            <w:shd w:val="clear" w:color="000000" w:fill="FFFFFF"/>
            <w:vAlign w:val="bottom"/>
          </w:tcPr>
          <w:p w14:paraId="32FA079D" w14:textId="6538A6C3"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55.000</w:t>
            </w:r>
          </w:p>
        </w:tc>
        <w:tc>
          <w:tcPr>
            <w:tcW w:w="1135" w:type="dxa"/>
            <w:gridSpan w:val="2"/>
            <w:tcBorders>
              <w:top w:val="nil"/>
              <w:left w:val="nil"/>
              <w:bottom w:val="single" w:sz="4" w:space="0" w:color="auto"/>
              <w:right w:val="single" w:sz="4" w:space="0" w:color="auto"/>
            </w:tcBorders>
            <w:shd w:val="clear" w:color="000000" w:fill="FFFFFF"/>
            <w:vAlign w:val="bottom"/>
          </w:tcPr>
          <w:p w14:paraId="3D02D7CB" w14:textId="5F76F59F"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0.016</w:t>
            </w:r>
          </w:p>
        </w:tc>
        <w:tc>
          <w:tcPr>
            <w:tcW w:w="1408" w:type="dxa"/>
            <w:tcBorders>
              <w:top w:val="nil"/>
              <w:left w:val="nil"/>
              <w:bottom w:val="single" w:sz="4" w:space="0" w:color="auto"/>
              <w:right w:val="single" w:sz="4" w:space="0" w:color="auto"/>
            </w:tcBorders>
            <w:shd w:val="clear" w:color="000000" w:fill="FFFFFF"/>
            <w:vAlign w:val="bottom"/>
          </w:tcPr>
          <w:p w14:paraId="311D64B5" w14:textId="7D3806EC"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0.880</w:t>
            </w:r>
          </w:p>
        </w:tc>
      </w:tr>
      <w:tr w:rsidR="00967CD2" w:rsidRPr="00653F8A" w14:paraId="51BCD396" w14:textId="77777777" w:rsidTr="00095387">
        <w:trPr>
          <w:trHeight w:val="77"/>
        </w:trPr>
        <w:tc>
          <w:tcPr>
            <w:tcW w:w="982" w:type="dxa"/>
            <w:tcBorders>
              <w:top w:val="nil"/>
              <w:left w:val="single" w:sz="4" w:space="0" w:color="auto"/>
              <w:bottom w:val="single" w:sz="4" w:space="0" w:color="auto"/>
              <w:right w:val="single" w:sz="4" w:space="0" w:color="auto"/>
            </w:tcBorders>
            <w:shd w:val="clear" w:color="000000" w:fill="FFFFFF"/>
            <w:vAlign w:val="bottom"/>
          </w:tcPr>
          <w:p w14:paraId="453EE0A2" w14:textId="696E8471" w:rsidR="00967CD2" w:rsidRPr="00653F8A" w:rsidRDefault="00967CD2" w:rsidP="00967CD2">
            <w:pPr>
              <w:overflowPunct/>
              <w:autoSpaceDE/>
              <w:autoSpaceDN/>
              <w:adjustRightInd/>
              <w:jc w:val="center"/>
              <w:textAlignment w:val="auto"/>
              <w:rPr>
                <w:color w:val="000000"/>
                <w:sz w:val="18"/>
                <w:szCs w:val="18"/>
              </w:rPr>
            </w:pPr>
            <w:r>
              <w:rPr>
                <w:rFonts w:ascii="Arial" w:hAnsi="Arial" w:cs="Arial"/>
                <w:color w:val="000000"/>
                <w:sz w:val="16"/>
                <w:szCs w:val="16"/>
              </w:rPr>
              <w:lastRenderedPageBreak/>
              <w:t xml:space="preserve"> </w:t>
            </w:r>
          </w:p>
        </w:tc>
        <w:tc>
          <w:tcPr>
            <w:tcW w:w="1127" w:type="dxa"/>
            <w:tcBorders>
              <w:top w:val="nil"/>
              <w:left w:val="nil"/>
              <w:bottom w:val="single" w:sz="4" w:space="0" w:color="auto"/>
              <w:right w:val="single" w:sz="4" w:space="0" w:color="auto"/>
            </w:tcBorders>
            <w:shd w:val="clear" w:color="000000" w:fill="FFFFFF"/>
            <w:vAlign w:val="bottom"/>
          </w:tcPr>
          <w:p w14:paraId="183C89AF" w14:textId="4FDBD4DE" w:rsidR="00967CD2" w:rsidRPr="00653F8A" w:rsidRDefault="00967CD2" w:rsidP="00967CD2">
            <w:pPr>
              <w:overflowPunct/>
              <w:autoSpaceDE/>
              <w:autoSpaceDN/>
              <w:adjustRightInd/>
              <w:jc w:val="center"/>
              <w:textAlignment w:val="auto"/>
              <w:rPr>
                <w:color w:val="000000"/>
                <w:sz w:val="18"/>
                <w:szCs w:val="18"/>
              </w:rPr>
            </w:pPr>
            <w:r>
              <w:rPr>
                <w:rFonts w:ascii="Arial" w:hAnsi="Arial" w:cs="Arial"/>
                <w:color w:val="000000"/>
                <w:sz w:val="16"/>
                <w:szCs w:val="16"/>
              </w:rPr>
              <w:t>VI-20 replaced IX-1</w:t>
            </w:r>
          </w:p>
        </w:tc>
        <w:tc>
          <w:tcPr>
            <w:tcW w:w="2724" w:type="dxa"/>
            <w:gridSpan w:val="2"/>
            <w:tcBorders>
              <w:top w:val="nil"/>
              <w:left w:val="nil"/>
              <w:bottom w:val="single" w:sz="4" w:space="0" w:color="auto"/>
              <w:right w:val="single" w:sz="4" w:space="0" w:color="auto"/>
            </w:tcBorders>
            <w:shd w:val="clear" w:color="000000" w:fill="FFFFFF"/>
            <w:vAlign w:val="bottom"/>
          </w:tcPr>
          <w:p w14:paraId="657AC874" w14:textId="7DF08CE6" w:rsidR="00967CD2" w:rsidRPr="00653F8A" w:rsidRDefault="00967CD2" w:rsidP="00967CD2">
            <w:pPr>
              <w:overflowPunct/>
              <w:autoSpaceDE/>
              <w:autoSpaceDN/>
              <w:adjustRightInd/>
              <w:textAlignment w:val="auto"/>
              <w:rPr>
                <w:color w:val="000000"/>
                <w:sz w:val="18"/>
                <w:szCs w:val="18"/>
              </w:rPr>
            </w:pPr>
            <w:r>
              <w:rPr>
                <w:rFonts w:ascii="Arial" w:hAnsi="Arial" w:cs="Arial"/>
                <w:color w:val="000000"/>
                <w:sz w:val="16"/>
                <w:szCs w:val="16"/>
              </w:rPr>
              <w:t xml:space="preserve"> Electronic Submission of Issuers' Insurance and Annual Audited Financial Documents (new title replaces old title: Consolidated Audit Guide for Audits of HUD Programs - Ginnie Mae (Chapters 1, 2 &amp; 6) - Financial Statements and Audit Reports)</w:t>
            </w:r>
          </w:p>
        </w:tc>
        <w:tc>
          <w:tcPr>
            <w:tcW w:w="1342" w:type="dxa"/>
            <w:gridSpan w:val="2"/>
            <w:tcBorders>
              <w:top w:val="nil"/>
              <w:left w:val="nil"/>
              <w:bottom w:val="single" w:sz="4" w:space="0" w:color="auto"/>
              <w:right w:val="single" w:sz="4" w:space="0" w:color="auto"/>
            </w:tcBorders>
            <w:shd w:val="clear" w:color="000000" w:fill="FFFFFF"/>
            <w:vAlign w:val="bottom"/>
          </w:tcPr>
          <w:p w14:paraId="3268E7BA" w14:textId="734676EA" w:rsidR="00967CD2" w:rsidRPr="00653F8A" w:rsidRDefault="00967CD2" w:rsidP="00F451AB">
            <w:pPr>
              <w:overflowPunct/>
              <w:autoSpaceDE/>
              <w:autoSpaceDN/>
              <w:adjustRightInd/>
              <w:jc w:val="right"/>
              <w:textAlignment w:val="auto"/>
              <w:rPr>
                <w:color w:val="000000"/>
                <w:sz w:val="18"/>
                <w:szCs w:val="18"/>
              </w:rPr>
            </w:pPr>
            <w:r>
              <w:rPr>
                <w:rFonts w:ascii="Arial" w:hAnsi="Arial" w:cs="Arial"/>
                <w:color w:val="000000"/>
                <w:sz w:val="16"/>
                <w:szCs w:val="16"/>
              </w:rPr>
              <w:t>468.000</w:t>
            </w:r>
          </w:p>
        </w:tc>
        <w:tc>
          <w:tcPr>
            <w:tcW w:w="1135" w:type="dxa"/>
            <w:gridSpan w:val="2"/>
            <w:tcBorders>
              <w:top w:val="nil"/>
              <w:left w:val="nil"/>
              <w:bottom w:val="single" w:sz="4" w:space="0" w:color="auto"/>
              <w:right w:val="single" w:sz="4" w:space="0" w:color="auto"/>
            </w:tcBorders>
            <w:shd w:val="clear" w:color="000000" w:fill="FFFFFF"/>
            <w:vAlign w:val="bottom"/>
          </w:tcPr>
          <w:p w14:paraId="7D8E9F63" w14:textId="2E25EC17" w:rsidR="00967CD2" w:rsidRPr="00C61283" w:rsidRDefault="00967CD2" w:rsidP="00F451AB">
            <w:pPr>
              <w:overflowPunct/>
              <w:autoSpaceDE/>
              <w:autoSpaceDN/>
              <w:adjustRightInd/>
              <w:jc w:val="right"/>
              <w:textAlignment w:val="auto"/>
              <w:rPr>
                <w:color w:val="000000"/>
                <w:sz w:val="18"/>
                <w:szCs w:val="18"/>
              </w:rPr>
            </w:pPr>
            <w:r w:rsidRPr="00C61283">
              <w:rPr>
                <w:rFonts w:ascii="Arial" w:hAnsi="Arial" w:cs="Arial"/>
                <w:color w:val="000000"/>
                <w:sz w:val="16"/>
                <w:szCs w:val="16"/>
              </w:rPr>
              <w:t>1</w:t>
            </w:r>
          </w:p>
        </w:tc>
        <w:tc>
          <w:tcPr>
            <w:tcW w:w="1160" w:type="dxa"/>
            <w:gridSpan w:val="2"/>
            <w:tcBorders>
              <w:top w:val="nil"/>
              <w:left w:val="nil"/>
              <w:bottom w:val="single" w:sz="4" w:space="0" w:color="auto"/>
              <w:right w:val="single" w:sz="4" w:space="0" w:color="auto"/>
            </w:tcBorders>
            <w:shd w:val="clear" w:color="000000" w:fill="FFFFFF"/>
            <w:vAlign w:val="bottom"/>
          </w:tcPr>
          <w:p w14:paraId="63858A7B" w14:textId="268FE2C6" w:rsidR="00967CD2" w:rsidRPr="00653F8A" w:rsidRDefault="00967CD2" w:rsidP="00C61283">
            <w:pPr>
              <w:overflowPunct/>
              <w:autoSpaceDE/>
              <w:autoSpaceDN/>
              <w:adjustRightInd/>
              <w:jc w:val="right"/>
              <w:textAlignment w:val="auto"/>
              <w:rPr>
                <w:color w:val="000000"/>
                <w:sz w:val="18"/>
                <w:szCs w:val="18"/>
              </w:rPr>
            </w:pPr>
            <w:r>
              <w:rPr>
                <w:rFonts w:ascii="Arial" w:hAnsi="Arial" w:cs="Arial"/>
                <w:color w:val="000000"/>
                <w:sz w:val="16"/>
                <w:szCs w:val="16"/>
              </w:rPr>
              <w:t>468.000</w:t>
            </w:r>
          </w:p>
        </w:tc>
        <w:tc>
          <w:tcPr>
            <w:tcW w:w="1120" w:type="dxa"/>
            <w:tcBorders>
              <w:top w:val="nil"/>
              <w:left w:val="nil"/>
              <w:bottom w:val="single" w:sz="4" w:space="0" w:color="auto"/>
              <w:right w:val="single" w:sz="4" w:space="0" w:color="auto"/>
            </w:tcBorders>
            <w:shd w:val="clear" w:color="000000" w:fill="FFFFFF"/>
            <w:vAlign w:val="bottom"/>
          </w:tcPr>
          <w:p w14:paraId="151E71B8" w14:textId="663330FF" w:rsidR="00967CD2" w:rsidRPr="00653F8A" w:rsidRDefault="00967CD2" w:rsidP="00F451AB">
            <w:pPr>
              <w:overflowPunct/>
              <w:autoSpaceDE/>
              <w:autoSpaceDN/>
              <w:adjustRightInd/>
              <w:jc w:val="right"/>
              <w:textAlignment w:val="auto"/>
              <w:rPr>
                <w:color w:val="000000"/>
                <w:sz w:val="18"/>
                <w:szCs w:val="18"/>
              </w:rPr>
            </w:pPr>
            <w:r>
              <w:rPr>
                <w:rFonts w:ascii="Arial" w:hAnsi="Arial" w:cs="Arial"/>
                <w:color w:val="000000"/>
                <w:sz w:val="16"/>
                <w:szCs w:val="16"/>
              </w:rPr>
              <w:t>1.000</w:t>
            </w:r>
          </w:p>
        </w:tc>
        <w:tc>
          <w:tcPr>
            <w:tcW w:w="1408" w:type="dxa"/>
            <w:tcBorders>
              <w:top w:val="nil"/>
              <w:left w:val="nil"/>
              <w:bottom w:val="single" w:sz="4" w:space="0" w:color="auto"/>
              <w:right w:val="single" w:sz="4" w:space="0" w:color="auto"/>
            </w:tcBorders>
            <w:shd w:val="clear" w:color="000000" w:fill="FFFFFF"/>
            <w:vAlign w:val="bottom"/>
          </w:tcPr>
          <w:p w14:paraId="4BFD5BF0" w14:textId="6ED6DE80" w:rsidR="00967CD2" w:rsidRPr="00653F8A" w:rsidRDefault="00967CD2" w:rsidP="00C61283">
            <w:pPr>
              <w:overflowPunct/>
              <w:autoSpaceDE/>
              <w:autoSpaceDN/>
              <w:adjustRightInd/>
              <w:jc w:val="right"/>
              <w:textAlignment w:val="auto"/>
              <w:rPr>
                <w:color w:val="000000"/>
                <w:sz w:val="18"/>
                <w:szCs w:val="18"/>
              </w:rPr>
            </w:pPr>
            <w:r>
              <w:rPr>
                <w:rFonts w:ascii="Arial" w:hAnsi="Arial" w:cs="Arial"/>
                <w:color w:val="000000"/>
                <w:sz w:val="16"/>
                <w:szCs w:val="16"/>
              </w:rPr>
              <w:t>468.000</w:t>
            </w:r>
          </w:p>
        </w:tc>
      </w:tr>
      <w:tr w:rsidR="00967CD2" w:rsidRPr="00653F8A" w14:paraId="3062492D" w14:textId="77777777" w:rsidTr="00095387">
        <w:trPr>
          <w:trHeight w:val="338"/>
        </w:trPr>
        <w:tc>
          <w:tcPr>
            <w:tcW w:w="982" w:type="dxa"/>
            <w:tcBorders>
              <w:top w:val="nil"/>
              <w:left w:val="single" w:sz="4" w:space="0" w:color="auto"/>
              <w:bottom w:val="single" w:sz="4" w:space="0" w:color="auto"/>
              <w:right w:val="single" w:sz="4" w:space="0" w:color="auto"/>
            </w:tcBorders>
            <w:shd w:val="clear" w:color="auto" w:fill="auto"/>
            <w:vAlign w:val="bottom"/>
          </w:tcPr>
          <w:p w14:paraId="540E13AF" w14:textId="04D42B56" w:rsidR="00967CD2" w:rsidRPr="00653F8A" w:rsidRDefault="00967CD2" w:rsidP="00967CD2">
            <w:pPr>
              <w:overflowPunct/>
              <w:autoSpaceDE/>
              <w:autoSpaceDN/>
              <w:adjustRightInd/>
              <w:jc w:val="center"/>
              <w:textAlignment w:val="auto"/>
            </w:pPr>
            <w:r>
              <w:rPr>
                <w:rFonts w:ascii="Arial" w:hAnsi="Arial" w:cs="Arial"/>
                <w:color w:val="000000"/>
                <w:sz w:val="16"/>
                <w:szCs w:val="16"/>
              </w:rPr>
              <w:t xml:space="preserve"> </w:t>
            </w:r>
          </w:p>
        </w:tc>
        <w:tc>
          <w:tcPr>
            <w:tcW w:w="1127" w:type="dxa"/>
            <w:tcBorders>
              <w:top w:val="nil"/>
              <w:left w:val="nil"/>
              <w:bottom w:val="single" w:sz="4" w:space="0" w:color="auto"/>
              <w:right w:val="single" w:sz="4" w:space="0" w:color="auto"/>
            </w:tcBorders>
            <w:shd w:val="clear" w:color="auto" w:fill="auto"/>
            <w:vAlign w:val="bottom"/>
          </w:tcPr>
          <w:p w14:paraId="3B15F385" w14:textId="40AE20CE" w:rsidR="00967CD2" w:rsidRPr="00653F8A" w:rsidRDefault="00967CD2" w:rsidP="00967CD2">
            <w:pPr>
              <w:overflowPunct/>
              <w:autoSpaceDE/>
              <w:autoSpaceDN/>
              <w:adjustRightInd/>
              <w:jc w:val="center"/>
              <w:textAlignment w:val="auto"/>
            </w:pPr>
            <w:r>
              <w:rPr>
                <w:rFonts w:ascii="Arial" w:hAnsi="Arial" w:cs="Arial"/>
                <w:color w:val="000000"/>
                <w:sz w:val="16"/>
                <w:szCs w:val="16"/>
              </w:rPr>
              <w:t> </w:t>
            </w:r>
          </w:p>
        </w:tc>
        <w:tc>
          <w:tcPr>
            <w:tcW w:w="2724" w:type="dxa"/>
            <w:gridSpan w:val="2"/>
            <w:tcBorders>
              <w:top w:val="nil"/>
              <w:left w:val="nil"/>
              <w:bottom w:val="single" w:sz="4" w:space="0" w:color="auto"/>
              <w:right w:val="single" w:sz="4" w:space="0" w:color="auto"/>
            </w:tcBorders>
            <w:shd w:val="clear" w:color="auto" w:fill="auto"/>
            <w:vAlign w:val="bottom"/>
          </w:tcPr>
          <w:p w14:paraId="542C1214" w14:textId="2BB2ED69" w:rsidR="00967CD2" w:rsidRPr="00C67A6D" w:rsidRDefault="00967CD2" w:rsidP="00967CD2">
            <w:pPr>
              <w:overflowPunct/>
              <w:autoSpaceDE/>
              <w:autoSpaceDN/>
              <w:adjustRightInd/>
              <w:textAlignment w:val="auto"/>
              <w:rPr>
                <w:sz w:val="18"/>
                <w:szCs w:val="18"/>
              </w:rPr>
            </w:pPr>
            <w:r>
              <w:rPr>
                <w:rFonts w:ascii="Arial" w:hAnsi="Arial" w:cs="Arial"/>
                <w:color w:val="000000"/>
                <w:sz w:val="16"/>
                <w:szCs w:val="16"/>
              </w:rPr>
              <w:t xml:space="preserve">Mortgage Bankers Financial Reporting Form </w:t>
            </w:r>
          </w:p>
        </w:tc>
        <w:tc>
          <w:tcPr>
            <w:tcW w:w="1342" w:type="dxa"/>
            <w:gridSpan w:val="2"/>
            <w:tcBorders>
              <w:top w:val="nil"/>
              <w:left w:val="nil"/>
              <w:bottom w:val="single" w:sz="4" w:space="0" w:color="auto"/>
              <w:right w:val="single" w:sz="4" w:space="0" w:color="auto"/>
            </w:tcBorders>
            <w:shd w:val="clear" w:color="auto" w:fill="auto"/>
            <w:vAlign w:val="bottom"/>
          </w:tcPr>
          <w:p w14:paraId="39BE5E29" w14:textId="6E2D8AF5" w:rsidR="00967CD2" w:rsidRPr="009A4AAB" w:rsidRDefault="00967CD2" w:rsidP="00F451AB">
            <w:pPr>
              <w:overflowPunct/>
              <w:autoSpaceDE/>
              <w:autoSpaceDN/>
              <w:adjustRightInd/>
              <w:jc w:val="right"/>
              <w:textAlignment w:val="auto"/>
              <w:rPr>
                <w:sz w:val="18"/>
                <w:szCs w:val="18"/>
              </w:rPr>
            </w:pPr>
            <w:r>
              <w:rPr>
                <w:rFonts w:ascii="Arial" w:hAnsi="Arial" w:cs="Arial"/>
                <w:color w:val="000000"/>
                <w:sz w:val="16"/>
                <w:szCs w:val="16"/>
              </w:rPr>
              <w:t>315.000</w:t>
            </w:r>
          </w:p>
        </w:tc>
        <w:tc>
          <w:tcPr>
            <w:tcW w:w="1135" w:type="dxa"/>
            <w:gridSpan w:val="2"/>
            <w:tcBorders>
              <w:top w:val="nil"/>
              <w:left w:val="nil"/>
              <w:bottom w:val="single" w:sz="4" w:space="0" w:color="auto"/>
              <w:right w:val="single" w:sz="4" w:space="0" w:color="auto"/>
            </w:tcBorders>
            <w:shd w:val="clear" w:color="auto" w:fill="auto"/>
            <w:vAlign w:val="bottom"/>
          </w:tcPr>
          <w:p w14:paraId="572F1D04" w14:textId="72A42700" w:rsidR="00967CD2" w:rsidRPr="00653F8A" w:rsidRDefault="00967CD2" w:rsidP="00F451AB">
            <w:pPr>
              <w:overflowPunct/>
              <w:autoSpaceDE/>
              <w:autoSpaceDN/>
              <w:adjustRightInd/>
              <w:jc w:val="right"/>
              <w:textAlignment w:val="auto"/>
            </w:pPr>
            <w:r>
              <w:rPr>
                <w:rFonts w:ascii="Arial" w:hAnsi="Arial" w:cs="Arial"/>
                <w:color w:val="000000"/>
                <w:sz w:val="16"/>
                <w:szCs w:val="16"/>
              </w:rPr>
              <w:t>4</w:t>
            </w:r>
          </w:p>
        </w:tc>
        <w:tc>
          <w:tcPr>
            <w:tcW w:w="1160" w:type="dxa"/>
            <w:gridSpan w:val="2"/>
            <w:tcBorders>
              <w:top w:val="nil"/>
              <w:left w:val="nil"/>
              <w:bottom w:val="single" w:sz="4" w:space="0" w:color="auto"/>
              <w:right w:val="single" w:sz="4" w:space="0" w:color="auto"/>
            </w:tcBorders>
            <w:shd w:val="clear" w:color="auto" w:fill="auto"/>
            <w:vAlign w:val="bottom"/>
          </w:tcPr>
          <w:p w14:paraId="4578FF4A" w14:textId="275BF428" w:rsidR="00967CD2" w:rsidRPr="009A4AAB" w:rsidRDefault="00967CD2" w:rsidP="00C61283">
            <w:pPr>
              <w:overflowPunct/>
              <w:autoSpaceDE/>
              <w:autoSpaceDN/>
              <w:adjustRightInd/>
              <w:jc w:val="right"/>
              <w:textAlignment w:val="auto"/>
              <w:rPr>
                <w:sz w:val="18"/>
                <w:szCs w:val="18"/>
              </w:rPr>
            </w:pPr>
            <w:r>
              <w:rPr>
                <w:rFonts w:ascii="Arial" w:hAnsi="Arial" w:cs="Arial"/>
                <w:color w:val="000000"/>
                <w:sz w:val="16"/>
                <w:szCs w:val="16"/>
              </w:rPr>
              <w:t>1260.000</w:t>
            </w:r>
          </w:p>
        </w:tc>
        <w:tc>
          <w:tcPr>
            <w:tcW w:w="1120" w:type="dxa"/>
            <w:tcBorders>
              <w:top w:val="nil"/>
              <w:left w:val="nil"/>
              <w:bottom w:val="single" w:sz="4" w:space="0" w:color="auto"/>
              <w:right w:val="single" w:sz="4" w:space="0" w:color="auto"/>
            </w:tcBorders>
            <w:shd w:val="clear" w:color="auto" w:fill="auto"/>
            <w:vAlign w:val="bottom"/>
          </w:tcPr>
          <w:p w14:paraId="4DE695BF" w14:textId="115D5114" w:rsidR="00967CD2" w:rsidRPr="009A4AAB" w:rsidRDefault="00967CD2" w:rsidP="00C61283">
            <w:pPr>
              <w:overflowPunct/>
              <w:autoSpaceDE/>
              <w:autoSpaceDN/>
              <w:adjustRightInd/>
              <w:jc w:val="right"/>
              <w:textAlignment w:val="auto"/>
              <w:rPr>
                <w:sz w:val="18"/>
                <w:szCs w:val="18"/>
              </w:rPr>
            </w:pPr>
            <w:r>
              <w:rPr>
                <w:rFonts w:ascii="Arial" w:hAnsi="Arial" w:cs="Arial"/>
                <w:color w:val="000000"/>
                <w:sz w:val="16"/>
                <w:szCs w:val="16"/>
              </w:rPr>
              <w:t>0.500</w:t>
            </w:r>
          </w:p>
        </w:tc>
        <w:tc>
          <w:tcPr>
            <w:tcW w:w="1408" w:type="dxa"/>
            <w:tcBorders>
              <w:top w:val="nil"/>
              <w:left w:val="nil"/>
              <w:bottom w:val="single" w:sz="4" w:space="0" w:color="auto"/>
              <w:right w:val="single" w:sz="4" w:space="0" w:color="auto"/>
            </w:tcBorders>
            <w:shd w:val="clear" w:color="auto" w:fill="auto"/>
            <w:vAlign w:val="bottom"/>
          </w:tcPr>
          <w:p w14:paraId="220B8E64" w14:textId="3A5D6D91" w:rsidR="00967CD2" w:rsidRPr="009A4AAB" w:rsidRDefault="00967CD2" w:rsidP="00C61283">
            <w:pPr>
              <w:overflowPunct/>
              <w:autoSpaceDE/>
              <w:autoSpaceDN/>
              <w:adjustRightInd/>
              <w:jc w:val="right"/>
              <w:textAlignment w:val="auto"/>
              <w:rPr>
                <w:sz w:val="18"/>
                <w:szCs w:val="18"/>
              </w:rPr>
            </w:pPr>
            <w:r>
              <w:rPr>
                <w:rFonts w:ascii="Arial" w:hAnsi="Arial" w:cs="Arial"/>
                <w:color w:val="000000"/>
                <w:sz w:val="16"/>
                <w:szCs w:val="16"/>
              </w:rPr>
              <w:t>630.000</w:t>
            </w:r>
          </w:p>
        </w:tc>
      </w:tr>
      <w:tr w:rsidR="00967CD2" w:rsidRPr="00653F8A" w14:paraId="2D89ABA8" w14:textId="77777777" w:rsidTr="00095387">
        <w:trPr>
          <w:trHeight w:val="440"/>
        </w:trPr>
        <w:tc>
          <w:tcPr>
            <w:tcW w:w="982" w:type="dxa"/>
            <w:tcBorders>
              <w:top w:val="nil"/>
              <w:left w:val="single" w:sz="4" w:space="0" w:color="auto"/>
              <w:bottom w:val="single" w:sz="4" w:space="0" w:color="auto"/>
              <w:right w:val="single" w:sz="4" w:space="0" w:color="auto"/>
            </w:tcBorders>
            <w:shd w:val="clear" w:color="auto" w:fill="auto"/>
            <w:vAlign w:val="bottom"/>
          </w:tcPr>
          <w:p w14:paraId="459E1BB0" w14:textId="37CC9A84"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11709-A</w:t>
            </w:r>
          </w:p>
        </w:tc>
        <w:tc>
          <w:tcPr>
            <w:tcW w:w="1127" w:type="dxa"/>
            <w:tcBorders>
              <w:top w:val="nil"/>
              <w:left w:val="nil"/>
              <w:bottom w:val="single" w:sz="4" w:space="0" w:color="auto"/>
              <w:right w:val="single" w:sz="4" w:space="0" w:color="auto"/>
            </w:tcBorders>
            <w:shd w:val="clear" w:color="auto" w:fill="auto"/>
            <w:vAlign w:val="bottom"/>
          </w:tcPr>
          <w:p w14:paraId="5D990EB2" w14:textId="0E9F22D0"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I-6</w:t>
            </w:r>
          </w:p>
        </w:tc>
        <w:tc>
          <w:tcPr>
            <w:tcW w:w="2724" w:type="dxa"/>
            <w:gridSpan w:val="2"/>
            <w:tcBorders>
              <w:top w:val="nil"/>
              <w:left w:val="nil"/>
              <w:bottom w:val="single" w:sz="4" w:space="0" w:color="auto"/>
              <w:right w:val="single" w:sz="4" w:space="0" w:color="auto"/>
            </w:tcBorders>
            <w:shd w:val="clear" w:color="auto" w:fill="auto"/>
            <w:vAlign w:val="bottom"/>
          </w:tcPr>
          <w:p w14:paraId="53D5A1BF" w14:textId="537A16EA"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ACH Debit Authorization</w:t>
            </w:r>
          </w:p>
        </w:tc>
        <w:tc>
          <w:tcPr>
            <w:tcW w:w="1342" w:type="dxa"/>
            <w:gridSpan w:val="2"/>
            <w:tcBorders>
              <w:top w:val="nil"/>
              <w:left w:val="nil"/>
              <w:bottom w:val="single" w:sz="4" w:space="0" w:color="auto"/>
              <w:right w:val="single" w:sz="4" w:space="0" w:color="auto"/>
            </w:tcBorders>
            <w:shd w:val="clear" w:color="auto" w:fill="auto"/>
            <w:vAlign w:val="bottom"/>
          </w:tcPr>
          <w:p w14:paraId="45AB097B" w14:textId="309870ED" w:rsidR="00967CD2" w:rsidRPr="00653F8A" w:rsidRDefault="00967CD2" w:rsidP="00F451AB">
            <w:pPr>
              <w:overflowPunct/>
              <w:autoSpaceDE/>
              <w:autoSpaceDN/>
              <w:adjustRightInd/>
              <w:jc w:val="right"/>
              <w:textAlignment w:val="auto"/>
              <w:rPr>
                <w:sz w:val="18"/>
                <w:szCs w:val="18"/>
              </w:rPr>
            </w:pPr>
            <w:r>
              <w:rPr>
                <w:rFonts w:ascii="Arial" w:hAnsi="Arial" w:cs="Arial"/>
                <w:color w:val="000000"/>
                <w:sz w:val="16"/>
                <w:szCs w:val="16"/>
              </w:rPr>
              <w:t>468.000</w:t>
            </w:r>
          </w:p>
        </w:tc>
        <w:tc>
          <w:tcPr>
            <w:tcW w:w="1135" w:type="dxa"/>
            <w:gridSpan w:val="2"/>
            <w:tcBorders>
              <w:top w:val="nil"/>
              <w:left w:val="nil"/>
              <w:bottom w:val="single" w:sz="4" w:space="0" w:color="auto"/>
              <w:right w:val="single" w:sz="4" w:space="0" w:color="auto"/>
            </w:tcBorders>
            <w:shd w:val="clear" w:color="auto" w:fill="auto"/>
            <w:vAlign w:val="bottom"/>
          </w:tcPr>
          <w:p w14:paraId="4D979F81" w14:textId="6A443520" w:rsidR="00967CD2" w:rsidRPr="00653F8A" w:rsidRDefault="00967CD2" w:rsidP="00F451AB">
            <w:pPr>
              <w:overflowPunct/>
              <w:autoSpaceDE/>
              <w:autoSpaceDN/>
              <w:adjustRightInd/>
              <w:jc w:val="right"/>
              <w:textAlignment w:val="auto"/>
              <w:rPr>
                <w:sz w:val="18"/>
                <w:szCs w:val="18"/>
              </w:rPr>
            </w:pPr>
            <w:r>
              <w:rPr>
                <w:rFonts w:ascii="Arial" w:hAnsi="Arial" w:cs="Arial"/>
                <w:color w:val="000000"/>
                <w:sz w:val="16"/>
                <w:szCs w:val="16"/>
              </w:rPr>
              <w:t>1</w:t>
            </w:r>
          </w:p>
        </w:tc>
        <w:tc>
          <w:tcPr>
            <w:tcW w:w="1160" w:type="dxa"/>
            <w:gridSpan w:val="2"/>
            <w:tcBorders>
              <w:top w:val="nil"/>
              <w:left w:val="nil"/>
              <w:bottom w:val="single" w:sz="4" w:space="0" w:color="auto"/>
              <w:right w:val="single" w:sz="4" w:space="0" w:color="auto"/>
            </w:tcBorders>
            <w:shd w:val="clear" w:color="auto" w:fill="auto"/>
            <w:vAlign w:val="bottom"/>
          </w:tcPr>
          <w:p w14:paraId="4CCF0050" w14:textId="6A6B5313"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468.000</w:t>
            </w:r>
          </w:p>
        </w:tc>
        <w:tc>
          <w:tcPr>
            <w:tcW w:w="1120" w:type="dxa"/>
            <w:tcBorders>
              <w:top w:val="nil"/>
              <w:left w:val="nil"/>
              <w:bottom w:val="single" w:sz="4" w:space="0" w:color="auto"/>
              <w:right w:val="single" w:sz="4" w:space="0" w:color="auto"/>
            </w:tcBorders>
            <w:shd w:val="clear" w:color="auto" w:fill="auto"/>
            <w:vAlign w:val="bottom"/>
          </w:tcPr>
          <w:p w14:paraId="3C4BDED8" w14:textId="7D9D2B21"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0.033</w:t>
            </w:r>
          </w:p>
        </w:tc>
        <w:tc>
          <w:tcPr>
            <w:tcW w:w="1408" w:type="dxa"/>
            <w:tcBorders>
              <w:top w:val="nil"/>
              <w:left w:val="nil"/>
              <w:bottom w:val="single" w:sz="4" w:space="0" w:color="auto"/>
              <w:right w:val="single" w:sz="4" w:space="0" w:color="auto"/>
            </w:tcBorders>
            <w:shd w:val="clear" w:color="auto" w:fill="auto"/>
            <w:vAlign w:val="bottom"/>
          </w:tcPr>
          <w:p w14:paraId="45B0DFE2" w14:textId="5823BC8D"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15.444</w:t>
            </w:r>
          </w:p>
        </w:tc>
      </w:tr>
      <w:tr w:rsidR="00967CD2" w:rsidRPr="00653F8A" w14:paraId="0451C35F" w14:textId="77777777" w:rsidTr="00095387">
        <w:trPr>
          <w:trHeight w:val="392"/>
        </w:trPr>
        <w:tc>
          <w:tcPr>
            <w:tcW w:w="982" w:type="dxa"/>
            <w:tcBorders>
              <w:top w:val="nil"/>
              <w:left w:val="single" w:sz="4" w:space="0" w:color="auto"/>
              <w:bottom w:val="single" w:sz="4" w:space="0" w:color="auto"/>
              <w:right w:val="single" w:sz="4" w:space="0" w:color="auto"/>
            </w:tcBorders>
            <w:shd w:val="clear" w:color="000000" w:fill="FFFFFF"/>
            <w:vAlign w:val="bottom"/>
          </w:tcPr>
          <w:p w14:paraId="158B1B9C" w14:textId="5BBAA007"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11710 D</w:t>
            </w:r>
          </w:p>
        </w:tc>
        <w:tc>
          <w:tcPr>
            <w:tcW w:w="1127" w:type="dxa"/>
            <w:tcBorders>
              <w:top w:val="nil"/>
              <w:left w:val="nil"/>
              <w:bottom w:val="single" w:sz="4" w:space="0" w:color="auto"/>
              <w:right w:val="single" w:sz="4" w:space="0" w:color="auto"/>
            </w:tcBorders>
            <w:shd w:val="clear" w:color="000000" w:fill="FFFFFF"/>
            <w:vAlign w:val="bottom"/>
          </w:tcPr>
          <w:p w14:paraId="14AEDF67" w14:textId="2CA8F2A3"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VI-5</w:t>
            </w:r>
          </w:p>
        </w:tc>
        <w:tc>
          <w:tcPr>
            <w:tcW w:w="2724" w:type="dxa"/>
            <w:gridSpan w:val="2"/>
            <w:tcBorders>
              <w:top w:val="nil"/>
              <w:left w:val="nil"/>
              <w:bottom w:val="single" w:sz="4" w:space="0" w:color="auto"/>
              <w:right w:val="single" w:sz="4" w:space="0" w:color="auto"/>
            </w:tcBorders>
            <w:shd w:val="clear" w:color="000000" w:fill="FFFFFF"/>
            <w:vAlign w:val="bottom"/>
          </w:tcPr>
          <w:p w14:paraId="13BD40F2" w14:textId="5831C63E" w:rsidR="00967CD2" w:rsidRPr="00653F8A" w:rsidRDefault="00967CD2" w:rsidP="00967CD2">
            <w:pPr>
              <w:overflowPunct/>
              <w:autoSpaceDE/>
              <w:autoSpaceDN/>
              <w:adjustRightInd/>
              <w:textAlignment w:val="auto"/>
            </w:pPr>
            <w:r>
              <w:rPr>
                <w:rFonts w:ascii="Arial" w:hAnsi="Arial" w:cs="Arial"/>
                <w:color w:val="000000"/>
                <w:sz w:val="16"/>
                <w:szCs w:val="16"/>
              </w:rPr>
              <w:t>Issuer’s Monthly Summary Reports</w:t>
            </w:r>
          </w:p>
        </w:tc>
        <w:tc>
          <w:tcPr>
            <w:tcW w:w="1342" w:type="dxa"/>
            <w:gridSpan w:val="2"/>
            <w:tcBorders>
              <w:top w:val="nil"/>
              <w:left w:val="nil"/>
              <w:bottom w:val="single" w:sz="4" w:space="0" w:color="auto"/>
              <w:right w:val="single" w:sz="4" w:space="0" w:color="auto"/>
            </w:tcBorders>
            <w:shd w:val="clear" w:color="000000" w:fill="FFFFFF"/>
            <w:vAlign w:val="bottom"/>
          </w:tcPr>
          <w:p w14:paraId="5E71452D" w14:textId="73DD0A29" w:rsidR="00967CD2" w:rsidRPr="00653F8A" w:rsidRDefault="00967CD2" w:rsidP="00F451AB">
            <w:pPr>
              <w:overflowPunct/>
              <w:autoSpaceDE/>
              <w:autoSpaceDN/>
              <w:adjustRightInd/>
              <w:jc w:val="right"/>
              <w:textAlignment w:val="auto"/>
            </w:pPr>
            <w:r>
              <w:rPr>
                <w:rFonts w:ascii="Arial" w:hAnsi="Arial" w:cs="Arial"/>
                <w:color w:val="000000"/>
                <w:sz w:val="16"/>
                <w:szCs w:val="16"/>
              </w:rPr>
              <w:t>315.000</w:t>
            </w:r>
          </w:p>
        </w:tc>
        <w:tc>
          <w:tcPr>
            <w:tcW w:w="1135" w:type="dxa"/>
            <w:gridSpan w:val="2"/>
            <w:tcBorders>
              <w:top w:val="nil"/>
              <w:left w:val="nil"/>
              <w:bottom w:val="single" w:sz="4" w:space="0" w:color="auto"/>
              <w:right w:val="single" w:sz="4" w:space="0" w:color="auto"/>
            </w:tcBorders>
            <w:shd w:val="clear" w:color="000000" w:fill="FFFFFF"/>
            <w:vAlign w:val="bottom"/>
          </w:tcPr>
          <w:p w14:paraId="3A77B134" w14:textId="66F36184"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12</w:t>
            </w:r>
          </w:p>
        </w:tc>
        <w:tc>
          <w:tcPr>
            <w:tcW w:w="1160" w:type="dxa"/>
            <w:gridSpan w:val="2"/>
            <w:tcBorders>
              <w:top w:val="nil"/>
              <w:left w:val="nil"/>
              <w:bottom w:val="single" w:sz="4" w:space="0" w:color="auto"/>
              <w:right w:val="single" w:sz="4" w:space="0" w:color="auto"/>
            </w:tcBorders>
            <w:shd w:val="clear" w:color="000000" w:fill="FFFFFF"/>
            <w:vAlign w:val="bottom"/>
          </w:tcPr>
          <w:p w14:paraId="1CD5FA46" w14:textId="35C75F10" w:rsidR="00967CD2" w:rsidRPr="00653F8A" w:rsidRDefault="00967CD2" w:rsidP="00C61283">
            <w:pPr>
              <w:overflowPunct/>
              <w:autoSpaceDE/>
              <w:autoSpaceDN/>
              <w:adjustRightInd/>
              <w:jc w:val="right"/>
              <w:textAlignment w:val="auto"/>
            </w:pPr>
            <w:r>
              <w:rPr>
                <w:rFonts w:ascii="Arial" w:hAnsi="Arial" w:cs="Arial"/>
                <w:color w:val="000000"/>
                <w:sz w:val="16"/>
                <w:szCs w:val="16"/>
              </w:rPr>
              <w:t>3780.000</w:t>
            </w:r>
          </w:p>
        </w:tc>
        <w:tc>
          <w:tcPr>
            <w:tcW w:w="1120" w:type="dxa"/>
            <w:tcBorders>
              <w:top w:val="nil"/>
              <w:left w:val="nil"/>
              <w:bottom w:val="single" w:sz="4" w:space="0" w:color="auto"/>
              <w:right w:val="single" w:sz="4" w:space="0" w:color="auto"/>
            </w:tcBorders>
            <w:shd w:val="clear" w:color="auto" w:fill="auto"/>
            <w:vAlign w:val="bottom"/>
          </w:tcPr>
          <w:p w14:paraId="57EF15DC" w14:textId="7B85F711" w:rsidR="00967CD2" w:rsidRPr="00653F8A" w:rsidRDefault="00967CD2" w:rsidP="00C61283">
            <w:pPr>
              <w:overflowPunct/>
              <w:autoSpaceDE/>
              <w:autoSpaceDN/>
              <w:adjustRightInd/>
              <w:jc w:val="right"/>
              <w:textAlignment w:val="auto"/>
            </w:pPr>
            <w:r>
              <w:rPr>
                <w:rFonts w:ascii="Arial" w:hAnsi="Arial" w:cs="Arial"/>
                <w:color w:val="000000"/>
                <w:sz w:val="16"/>
                <w:szCs w:val="16"/>
              </w:rPr>
              <w:t>0.130</w:t>
            </w:r>
          </w:p>
        </w:tc>
        <w:tc>
          <w:tcPr>
            <w:tcW w:w="1408" w:type="dxa"/>
            <w:tcBorders>
              <w:top w:val="nil"/>
              <w:left w:val="nil"/>
              <w:bottom w:val="single" w:sz="4" w:space="0" w:color="auto"/>
              <w:right w:val="single" w:sz="4" w:space="0" w:color="auto"/>
            </w:tcBorders>
            <w:shd w:val="clear" w:color="000000" w:fill="FFFFFF"/>
            <w:vAlign w:val="bottom"/>
          </w:tcPr>
          <w:p w14:paraId="0A268F3D" w14:textId="682D8759"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491.400</w:t>
            </w:r>
          </w:p>
        </w:tc>
      </w:tr>
      <w:tr w:rsidR="00967CD2" w:rsidRPr="00653F8A" w14:paraId="41A3E46E" w14:textId="77777777" w:rsidTr="00095387">
        <w:trPr>
          <w:trHeight w:val="437"/>
        </w:trPr>
        <w:tc>
          <w:tcPr>
            <w:tcW w:w="982" w:type="dxa"/>
            <w:tcBorders>
              <w:top w:val="nil"/>
              <w:left w:val="single" w:sz="4" w:space="0" w:color="auto"/>
              <w:bottom w:val="single" w:sz="4" w:space="0" w:color="auto"/>
              <w:right w:val="single" w:sz="4" w:space="0" w:color="auto"/>
            </w:tcBorders>
            <w:shd w:val="clear" w:color="000000" w:fill="FFFFFF"/>
            <w:vAlign w:val="bottom"/>
          </w:tcPr>
          <w:p w14:paraId="4FC0CD6E" w14:textId="7D36FE11"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11710A &amp;11710E                1710B                   1710C</w:t>
            </w:r>
          </w:p>
        </w:tc>
        <w:tc>
          <w:tcPr>
            <w:tcW w:w="1127" w:type="dxa"/>
            <w:tcBorders>
              <w:top w:val="nil"/>
              <w:left w:val="nil"/>
              <w:bottom w:val="single" w:sz="4" w:space="0" w:color="auto"/>
              <w:right w:val="single" w:sz="4" w:space="0" w:color="auto"/>
            </w:tcBorders>
            <w:shd w:val="clear" w:color="000000" w:fill="FFFFFF"/>
            <w:vAlign w:val="bottom"/>
          </w:tcPr>
          <w:p w14:paraId="3295DE76" w14:textId="2C1CAF77"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VI-4                           VI-12                              VI-13</w:t>
            </w:r>
          </w:p>
        </w:tc>
        <w:tc>
          <w:tcPr>
            <w:tcW w:w="2724" w:type="dxa"/>
            <w:gridSpan w:val="2"/>
            <w:tcBorders>
              <w:top w:val="nil"/>
              <w:left w:val="nil"/>
              <w:bottom w:val="single" w:sz="4" w:space="0" w:color="auto"/>
              <w:right w:val="single" w:sz="4" w:space="0" w:color="auto"/>
            </w:tcBorders>
            <w:shd w:val="clear" w:color="000000" w:fill="FFFFFF"/>
            <w:vAlign w:val="bottom"/>
          </w:tcPr>
          <w:p w14:paraId="3A84251E" w14:textId="60864523"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Issuer's Monthly Accounting Report and Liquidation  Schedule                                                                                              Issuer's Monthly Serial Notes Accounting Schedule                           Project Pool Report</w:t>
            </w:r>
          </w:p>
        </w:tc>
        <w:tc>
          <w:tcPr>
            <w:tcW w:w="1342" w:type="dxa"/>
            <w:gridSpan w:val="2"/>
            <w:tcBorders>
              <w:top w:val="nil"/>
              <w:left w:val="nil"/>
              <w:bottom w:val="single" w:sz="4" w:space="0" w:color="auto"/>
              <w:right w:val="single" w:sz="4" w:space="0" w:color="auto"/>
            </w:tcBorders>
            <w:shd w:val="clear" w:color="000000" w:fill="FFFFFF"/>
            <w:vAlign w:val="bottom"/>
          </w:tcPr>
          <w:p w14:paraId="7A90B7FA" w14:textId="077C48EC" w:rsidR="00967CD2" w:rsidRPr="00653F8A" w:rsidRDefault="00967CD2" w:rsidP="00F451AB">
            <w:pPr>
              <w:overflowPunct/>
              <w:autoSpaceDE/>
              <w:autoSpaceDN/>
              <w:adjustRightInd/>
              <w:jc w:val="right"/>
              <w:textAlignment w:val="auto"/>
            </w:pPr>
            <w:r>
              <w:rPr>
                <w:rFonts w:ascii="Arial" w:hAnsi="Arial" w:cs="Arial"/>
                <w:color w:val="000000"/>
                <w:sz w:val="16"/>
                <w:szCs w:val="16"/>
              </w:rPr>
              <w:t>315.000</w:t>
            </w:r>
          </w:p>
        </w:tc>
        <w:tc>
          <w:tcPr>
            <w:tcW w:w="1135" w:type="dxa"/>
            <w:gridSpan w:val="2"/>
            <w:tcBorders>
              <w:top w:val="nil"/>
              <w:left w:val="nil"/>
              <w:bottom w:val="single" w:sz="4" w:space="0" w:color="auto"/>
              <w:right w:val="single" w:sz="4" w:space="0" w:color="auto"/>
            </w:tcBorders>
            <w:shd w:val="clear" w:color="000000" w:fill="FFFFFF"/>
            <w:vAlign w:val="bottom"/>
          </w:tcPr>
          <w:p w14:paraId="1CEEE7FC" w14:textId="7951ACD4"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w:t>
            </w:r>
          </w:p>
        </w:tc>
        <w:tc>
          <w:tcPr>
            <w:tcW w:w="1160" w:type="dxa"/>
            <w:gridSpan w:val="2"/>
            <w:tcBorders>
              <w:top w:val="nil"/>
              <w:left w:val="nil"/>
              <w:bottom w:val="single" w:sz="4" w:space="0" w:color="auto"/>
              <w:right w:val="single" w:sz="4" w:space="0" w:color="auto"/>
            </w:tcBorders>
            <w:shd w:val="clear" w:color="000000" w:fill="FFFFFF"/>
            <w:vAlign w:val="bottom"/>
          </w:tcPr>
          <w:p w14:paraId="14467342" w14:textId="7DBED506" w:rsidR="00967CD2" w:rsidRPr="00653F8A" w:rsidRDefault="00967CD2" w:rsidP="00C61283">
            <w:pPr>
              <w:overflowPunct/>
              <w:autoSpaceDE/>
              <w:autoSpaceDN/>
              <w:adjustRightInd/>
              <w:jc w:val="right"/>
              <w:textAlignment w:val="auto"/>
            </w:pPr>
            <w:r>
              <w:rPr>
                <w:rFonts w:ascii="Arial" w:hAnsi="Arial" w:cs="Arial"/>
                <w:color w:val="000000"/>
                <w:sz w:val="16"/>
                <w:szCs w:val="16"/>
              </w:rPr>
              <w:t>315.000</w:t>
            </w:r>
          </w:p>
        </w:tc>
        <w:tc>
          <w:tcPr>
            <w:tcW w:w="1120" w:type="dxa"/>
            <w:tcBorders>
              <w:top w:val="nil"/>
              <w:left w:val="nil"/>
              <w:bottom w:val="single" w:sz="4" w:space="0" w:color="auto"/>
              <w:right w:val="single" w:sz="4" w:space="0" w:color="auto"/>
            </w:tcBorders>
            <w:shd w:val="clear" w:color="auto" w:fill="auto"/>
            <w:vAlign w:val="bottom"/>
          </w:tcPr>
          <w:p w14:paraId="6DC0741B" w14:textId="09C3DC85"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0.130</w:t>
            </w:r>
          </w:p>
        </w:tc>
        <w:tc>
          <w:tcPr>
            <w:tcW w:w="1408" w:type="dxa"/>
            <w:tcBorders>
              <w:top w:val="nil"/>
              <w:left w:val="nil"/>
              <w:bottom w:val="single" w:sz="4" w:space="0" w:color="auto"/>
              <w:right w:val="single" w:sz="4" w:space="0" w:color="auto"/>
            </w:tcBorders>
            <w:shd w:val="clear" w:color="000000" w:fill="FFFFFF"/>
            <w:vAlign w:val="bottom"/>
          </w:tcPr>
          <w:p w14:paraId="0B331471" w14:textId="36EB8D3D"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40.950</w:t>
            </w:r>
          </w:p>
        </w:tc>
      </w:tr>
      <w:tr w:rsidR="00967CD2" w:rsidRPr="00653F8A" w14:paraId="7C08AF5B" w14:textId="77777777" w:rsidTr="00095387">
        <w:trPr>
          <w:trHeight w:val="620"/>
        </w:trPr>
        <w:tc>
          <w:tcPr>
            <w:tcW w:w="982" w:type="dxa"/>
            <w:tcBorders>
              <w:top w:val="nil"/>
              <w:left w:val="single" w:sz="4" w:space="0" w:color="auto"/>
              <w:bottom w:val="single" w:sz="4" w:space="0" w:color="auto"/>
              <w:right w:val="single" w:sz="4" w:space="0" w:color="auto"/>
            </w:tcBorders>
            <w:shd w:val="clear" w:color="000000" w:fill="FFFFFF"/>
            <w:vAlign w:val="bottom"/>
          </w:tcPr>
          <w:p w14:paraId="477F1E56" w14:textId="6B1CD6F6"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11710-DH</w:t>
            </w:r>
          </w:p>
        </w:tc>
        <w:tc>
          <w:tcPr>
            <w:tcW w:w="1127" w:type="dxa"/>
            <w:tcBorders>
              <w:top w:val="nil"/>
              <w:left w:val="nil"/>
              <w:bottom w:val="single" w:sz="4" w:space="0" w:color="auto"/>
              <w:right w:val="single" w:sz="4" w:space="0" w:color="auto"/>
            </w:tcBorders>
            <w:shd w:val="clear" w:color="000000" w:fill="FFFFFF"/>
            <w:vAlign w:val="bottom"/>
          </w:tcPr>
          <w:p w14:paraId="72BBA2EE" w14:textId="6B99DC71"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VI-21</w:t>
            </w:r>
          </w:p>
        </w:tc>
        <w:tc>
          <w:tcPr>
            <w:tcW w:w="2724" w:type="dxa"/>
            <w:gridSpan w:val="2"/>
            <w:tcBorders>
              <w:top w:val="nil"/>
              <w:left w:val="nil"/>
              <w:bottom w:val="single" w:sz="4" w:space="0" w:color="auto"/>
              <w:right w:val="single" w:sz="4" w:space="0" w:color="auto"/>
            </w:tcBorders>
            <w:shd w:val="clear" w:color="000000" w:fill="FFFFFF"/>
            <w:vAlign w:val="bottom"/>
          </w:tcPr>
          <w:p w14:paraId="23666E90" w14:textId="1DBE3D88"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HMBS issuer's Monthly Summary Report</w:t>
            </w:r>
          </w:p>
        </w:tc>
        <w:tc>
          <w:tcPr>
            <w:tcW w:w="1342" w:type="dxa"/>
            <w:gridSpan w:val="2"/>
            <w:tcBorders>
              <w:top w:val="nil"/>
              <w:left w:val="nil"/>
              <w:bottom w:val="single" w:sz="4" w:space="0" w:color="auto"/>
              <w:right w:val="single" w:sz="4" w:space="0" w:color="auto"/>
            </w:tcBorders>
            <w:shd w:val="clear" w:color="000000" w:fill="FFFFFF"/>
            <w:vAlign w:val="bottom"/>
          </w:tcPr>
          <w:p w14:paraId="2BAC4595" w14:textId="33045112" w:rsidR="00967CD2" w:rsidRPr="00653F8A" w:rsidRDefault="00967CD2" w:rsidP="00F451AB">
            <w:pPr>
              <w:overflowPunct/>
              <w:autoSpaceDE/>
              <w:autoSpaceDN/>
              <w:adjustRightInd/>
              <w:jc w:val="right"/>
              <w:textAlignment w:val="auto"/>
              <w:rPr>
                <w:sz w:val="18"/>
                <w:szCs w:val="18"/>
              </w:rPr>
            </w:pPr>
            <w:r>
              <w:rPr>
                <w:rFonts w:ascii="Arial" w:hAnsi="Arial" w:cs="Arial"/>
                <w:color w:val="000000"/>
                <w:sz w:val="16"/>
                <w:szCs w:val="16"/>
              </w:rPr>
              <w:t>14.000</w:t>
            </w:r>
          </w:p>
        </w:tc>
        <w:tc>
          <w:tcPr>
            <w:tcW w:w="1135" w:type="dxa"/>
            <w:gridSpan w:val="2"/>
            <w:tcBorders>
              <w:top w:val="nil"/>
              <w:left w:val="nil"/>
              <w:bottom w:val="single" w:sz="4" w:space="0" w:color="auto"/>
              <w:right w:val="single" w:sz="4" w:space="0" w:color="auto"/>
            </w:tcBorders>
            <w:shd w:val="clear" w:color="000000" w:fill="FFFFFF"/>
            <w:vAlign w:val="bottom"/>
          </w:tcPr>
          <w:p w14:paraId="0AF6329C" w14:textId="6BC82F43"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12</w:t>
            </w:r>
          </w:p>
        </w:tc>
        <w:tc>
          <w:tcPr>
            <w:tcW w:w="1160" w:type="dxa"/>
            <w:gridSpan w:val="2"/>
            <w:tcBorders>
              <w:top w:val="nil"/>
              <w:left w:val="nil"/>
              <w:bottom w:val="single" w:sz="4" w:space="0" w:color="auto"/>
              <w:right w:val="single" w:sz="4" w:space="0" w:color="auto"/>
            </w:tcBorders>
            <w:shd w:val="clear" w:color="000000" w:fill="FFFFFF"/>
            <w:vAlign w:val="bottom"/>
          </w:tcPr>
          <w:p w14:paraId="2200371B" w14:textId="56B473A8"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168.000</w:t>
            </w:r>
          </w:p>
        </w:tc>
        <w:tc>
          <w:tcPr>
            <w:tcW w:w="1120" w:type="dxa"/>
            <w:tcBorders>
              <w:top w:val="nil"/>
              <w:left w:val="nil"/>
              <w:bottom w:val="single" w:sz="4" w:space="0" w:color="auto"/>
              <w:right w:val="single" w:sz="4" w:space="0" w:color="auto"/>
            </w:tcBorders>
            <w:shd w:val="clear" w:color="auto" w:fill="auto"/>
            <w:vAlign w:val="bottom"/>
          </w:tcPr>
          <w:p w14:paraId="7D4ED5A1" w14:textId="399111FE"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0.130</w:t>
            </w:r>
          </w:p>
        </w:tc>
        <w:tc>
          <w:tcPr>
            <w:tcW w:w="1408" w:type="dxa"/>
            <w:tcBorders>
              <w:top w:val="nil"/>
              <w:left w:val="nil"/>
              <w:bottom w:val="single" w:sz="4" w:space="0" w:color="auto"/>
              <w:right w:val="single" w:sz="4" w:space="0" w:color="auto"/>
            </w:tcBorders>
            <w:shd w:val="clear" w:color="000000" w:fill="FFFFFF"/>
            <w:vAlign w:val="bottom"/>
          </w:tcPr>
          <w:p w14:paraId="546684FD" w14:textId="02F3F0EC"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21.840</w:t>
            </w:r>
          </w:p>
        </w:tc>
      </w:tr>
      <w:tr w:rsidR="00967CD2" w:rsidRPr="00653F8A" w14:paraId="31F4706C" w14:textId="77777777" w:rsidTr="00967CD2">
        <w:trPr>
          <w:trHeight w:val="500"/>
        </w:trPr>
        <w:tc>
          <w:tcPr>
            <w:tcW w:w="982" w:type="dxa"/>
            <w:tcBorders>
              <w:top w:val="nil"/>
              <w:left w:val="single" w:sz="4" w:space="0" w:color="auto"/>
              <w:bottom w:val="single" w:sz="4" w:space="0" w:color="auto"/>
              <w:right w:val="single" w:sz="4" w:space="0" w:color="auto"/>
            </w:tcBorders>
            <w:shd w:val="clear" w:color="000000" w:fill="FFFFFF"/>
            <w:vAlign w:val="bottom"/>
          </w:tcPr>
          <w:p w14:paraId="743C20E7" w14:textId="636E4C99"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 </w:t>
            </w:r>
          </w:p>
        </w:tc>
        <w:tc>
          <w:tcPr>
            <w:tcW w:w="1127" w:type="dxa"/>
            <w:tcBorders>
              <w:top w:val="nil"/>
              <w:left w:val="nil"/>
              <w:bottom w:val="single" w:sz="4" w:space="0" w:color="auto"/>
              <w:right w:val="single" w:sz="4" w:space="0" w:color="auto"/>
            </w:tcBorders>
            <w:shd w:val="clear" w:color="000000" w:fill="FFFFFF"/>
            <w:vAlign w:val="bottom"/>
          </w:tcPr>
          <w:p w14:paraId="41C73F05" w14:textId="7CA394A7" w:rsidR="00967CD2" w:rsidRPr="00653F8A" w:rsidRDefault="00967CD2" w:rsidP="00967CD2">
            <w:pPr>
              <w:overflowPunct/>
              <w:autoSpaceDE/>
              <w:autoSpaceDN/>
              <w:adjustRightInd/>
              <w:jc w:val="center"/>
              <w:textAlignment w:val="auto"/>
              <w:rPr>
                <w:sz w:val="18"/>
                <w:szCs w:val="18"/>
              </w:rPr>
            </w:pPr>
            <w:r>
              <w:rPr>
                <w:rFonts w:ascii="Arial" w:hAnsi="Arial" w:cs="Arial"/>
                <w:color w:val="000000"/>
                <w:sz w:val="16"/>
                <w:szCs w:val="16"/>
              </w:rPr>
              <w:t>III-13</w:t>
            </w:r>
          </w:p>
        </w:tc>
        <w:tc>
          <w:tcPr>
            <w:tcW w:w="2724" w:type="dxa"/>
            <w:gridSpan w:val="2"/>
            <w:tcBorders>
              <w:top w:val="nil"/>
              <w:left w:val="nil"/>
              <w:bottom w:val="single" w:sz="4" w:space="0" w:color="auto"/>
              <w:right w:val="single" w:sz="4" w:space="0" w:color="auto"/>
            </w:tcBorders>
            <w:shd w:val="clear" w:color="000000" w:fill="FFFFFF"/>
            <w:vAlign w:val="bottom"/>
          </w:tcPr>
          <w:p w14:paraId="33920CC6" w14:textId="29452262" w:rsidR="00967CD2" w:rsidRPr="00653F8A" w:rsidRDefault="00967CD2" w:rsidP="00967CD2">
            <w:pPr>
              <w:overflowPunct/>
              <w:autoSpaceDE/>
              <w:autoSpaceDN/>
              <w:adjustRightInd/>
              <w:textAlignment w:val="auto"/>
              <w:rPr>
                <w:sz w:val="18"/>
                <w:szCs w:val="18"/>
              </w:rPr>
            </w:pPr>
            <w:r>
              <w:rPr>
                <w:rFonts w:ascii="Arial" w:hAnsi="Arial" w:cs="Arial"/>
                <w:color w:val="000000"/>
                <w:sz w:val="16"/>
                <w:szCs w:val="16"/>
              </w:rPr>
              <w:t>Electronic Data Interchage System Agreement</w:t>
            </w:r>
          </w:p>
        </w:tc>
        <w:tc>
          <w:tcPr>
            <w:tcW w:w="1342" w:type="dxa"/>
            <w:gridSpan w:val="2"/>
            <w:tcBorders>
              <w:top w:val="nil"/>
              <w:left w:val="nil"/>
              <w:bottom w:val="single" w:sz="4" w:space="0" w:color="auto"/>
              <w:right w:val="single" w:sz="4" w:space="0" w:color="auto"/>
            </w:tcBorders>
            <w:shd w:val="clear" w:color="000000" w:fill="FFFFFF"/>
            <w:vAlign w:val="bottom"/>
          </w:tcPr>
          <w:p w14:paraId="0500D689" w14:textId="551C0E2B" w:rsidR="00967CD2" w:rsidRPr="00653F8A" w:rsidRDefault="00967CD2" w:rsidP="00F451AB">
            <w:pPr>
              <w:overflowPunct/>
              <w:autoSpaceDE/>
              <w:autoSpaceDN/>
              <w:adjustRightInd/>
              <w:jc w:val="right"/>
              <w:textAlignment w:val="auto"/>
              <w:rPr>
                <w:sz w:val="18"/>
                <w:szCs w:val="18"/>
              </w:rPr>
            </w:pPr>
            <w:r>
              <w:rPr>
                <w:rFonts w:ascii="Arial" w:hAnsi="Arial" w:cs="Arial"/>
                <w:color w:val="000000"/>
                <w:sz w:val="16"/>
                <w:szCs w:val="16"/>
              </w:rPr>
              <w:t>100.000</w:t>
            </w:r>
          </w:p>
        </w:tc>
        <w:tc>
          <w:tcPr>
            <w:tcW w:w="1135" w:type="dxa"/>
            <w:gridSpan w:val="2"/>
            <w:tcBorders>
              <w:top w:val="nil"/>
              <w:left w:val="nil"/>
              <w:bottom w:val="single" w:sz="4" w:space="0" w:color="auto"/>
              <w:right w:val="single" w:sz="4" w:space="0" w:color="auto"/>
            </w:tcBorders>
            <w:shd w:val="clear" w:color="000000" w:fill="FFFFFF"/>
            <w:vAlign w:val="bottom"/>
          </w:tcPr>
          <w:p w14:paraId="0C32E7A4" w14:textId="4AD90F71"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w:t>
            </w:r>
          </w:p>
        </w:tc>
        <w:tc>
          <w:tcPr>
            <w:tcW w:w="1160" w:type="dxa"/>
            <w:gridSpan w:val="2"/>
            <w:tcBorders>
              <w:top w:val="nil"/>
              <w:left w:val="nil"/>
              <w:bottom w:val="single" w:sz="4" w:space="0" w:color="auto"/>
              <w:right w:val="single" w:sz="4" w:space="0" w:color="auto"/>
            </w:tcBorders>
            <w:shd w:val="clear" w:color="000000" w:fill="FFFFFF"/>
            <w:vAlign w:val="bottom"/>
          </w:tcPr>
          <w:p w14:paraId="17ED35F4" w14:textId="17CB7902"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100.000</w:t>
            </w:r>
          </w:p>
        </w:tc>
        <w:tc>
          <w:tcPr>
            <w:tcW w:w="1120" w:type="dxa"/>
            <w:tcBorders>
              <w:top w:val="nil"/>
              <w:left w:val="nil"/>
              <w:bottom w:val="single" w:sz="4" w:space="0" w:color="auto"/>
              <w:right w:val="single" w:sz="4" w:space="0" w:color="auto"/>
            </w:tcBorders>
            <w:shd w:val="clear" w:color="000000" w:fill="FFFFFF"/>
            <w:vAlign w:val="bottom"/>
          </w:tcPr>
          <w:p w14:paraId="023B8E09" w14:textId="0E7F540D"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1.000</w:t>
            </w:r>
          </w:p>
        </w:tc>
        <w:tc>
          <w:tcPr>
            <w:tcW w:w="1408" w:type="dxa"/>
            <w:tcBorders>
              <w:top w:val="nil"/>
              <w:left w:val="nil"/>
              <w:bottom w:val="single" w:sz="4" w:space="0" w:color="auto"/>
              <w:right w:val="single" w:sz="4" w:space="0" w:color="auto"/>
            </w:tcBorders>
            <w:shd w:val="clear" w:color="000000" w:fill="FFFFFF"/>
            <w:vAlign w:val="bottom"/>
          </w:tcPr>
          <w:p w14:paraId="41C4B22E" w14:textId="2DF31693" w:rsidR="00967CD2" w:rsidRPr="00653F8A" w:rsidRDefault="00967CD2" w:rsidP="00C61283">
            <w:pPr>
              <w:overflowPunct/>
              <w:autoSpaceDE/>
              <w:autoSpaceDN/>
              <w:adjustRightInd/>
              <w:jc w:val="right"/>
              <w:textAlignment w:val="auto"/>
              <w:rPr>
                <w:sz w:val="18"/>
                <w:szCs w:val="18"/>
              </w:rPr>
            </w:pPr>
            <w:r>
              <w:rPr>
                <w:rFonts w:ascii="Arial" w:hAnsi="Arial" w:cs="Arial"/>
                <w:color w:val="000000"/>
                <w:sz w:val="16"/>
                <w:szCs w:val="16"/>
              </w:rPr>
              <w:t>100.000</w:t>
            </w:r>
          </w:p>
        </w:tc>
      </w:tr>
      <w:tr w:rsidR="00967CD2" w:rsidRPr="00653F8A" w14:paraId="6A2FD76D" w14:textId="77777777" w:rsidTr="00967CD2">
        <w:trPr>
          <w:trHeight w:val="527"/>
        </w:trPr>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53C801D" w14:textId="5DC4751F"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 </w:t>
            </w:r>
          </w:p>
        </w:tc>
        <w:tc>
          <w:tcPr>
            <w:tcW w:w="1127" w:type="dxa"/>
            <w:tcBorders>
              <w:top w:val="single" w:sz="4" w:space="0" w:color="auto"/>
              <w:left w:val="nil"/>
              <w:bottom w:val="single" w:sz="4" w:space="0" w:color="auto"/>
              <w:right w:val="single" w:sz="4" w:space="0" w:color="auto"/>
            </w:tcBorders>
            <w:shd w:val="clear" w:color="auto" w:fill="auto"/>
            <w:vAlign w:val="bottom"/>
          </w:tcPr>
          <w:p w14:paraId="4D0BA7A9" w14:textId="54CE1707"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I-4</w:t>
            </w:r>
          </w:p>
        </w:tc>
        <w:tc>
          <w:tcPr>
            <w:tcW w:w="2724" w:type="dxa"/>
            <w:gridSpan w:val="2"/>
            <w:tcBorders>
              <w:top w:val="single" w:sz="4" w:space="0" w:color="auto"/>
              <w:left w:val="nil"/>
              <w:bottom w:val="single" w:sz="4" w:space="0" w:color="auto"/>
              <w:right w:val="single" w:sz="4" w:space="0" w:color="auto"/>
            </w:tcBorders>
            <w:shd w:val="clear" w:color="auto" w:fill="auto"/>
            <w:vAlign w:val="bottom"/>
          </w:tcPr>
          <w:p w14:paraId="532BD10A" w14:textId="01564F8C" w:rsidR="00967CD2" w:rsidRDefault="00967CD2" w:rsidP="00967CD2">
            <w:pPr>
              <w:overflowPunct/>
              <w:autoSpaceDE/>
              <w:autoSpaceDN/>
              <w:adjustRightInd/>
              <w:textAlignment w:val="auto"/>
              <w:rPr>
                <w:rFonts w:ascii="Arial" w:hAnsi="Arial" w:cs="Arial"/>
                <w:color w:val="000000"/>
                <w:sz w:val="16"/>
                <w:szCs w:val="16"/>
              </w:rPr>
            </w:pPr>
            <w:r>
              <w:rPr>
                <w:rFonts w:ascii="Arial" w:hAnsi="Arial" w:cs="Arial"/>
                <w:color w:val="000000"/>
                <w:sz w:val="16"/>
                <w:szCs w:val="16"/>
              </w:rPr>
              <w:t>Cross Default Agreement</w:t>
            </w:r>
          </w:p>
        </w:tc>
        <w:tc>
          <w:tcPr>
            <w:tcW w:w="1342" w:type="dxa"/>
            <w:gridSpan w:val="2"/>
            <w:tcBorders>
              <w:top w:val="single" w:sz="4" w:space="0" w:color="auto"/>
              <w:left w:val="nil"/>
              <w:bottom w:val="single" w:sz="4" w:space="0" w:color="auto"/>
              <w:right w:val="single" w:sz="4" w:space="0" w:color="auto"/>
            </w:tcBorders>
            <w:shd w:val="clear" w:color="auto" w:fill="auto"/>
            <w:vAlign w:val="bottom"/>
          </w:tcPr>
          <w:p w14:paraId="52FF53E2" w14:textId="673665D4" w:rsidR="00967CD2" w:rsidRDefault="00967CD2" w:rsidP="00F451AB">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10.000</w:t>
            </w:r>
          </w:p>
        </w:tc>
        <w:tc>
          <w:tcPr>
            <w:tcW w:w="1135" w:type="dxa"/>
            <w:gridSpan w:val="2"/>
            <w:tcBorders>
              <w:top w:val="single" w:sz="4" w:space="0" w:color="auto"/>
              <w:left w:val="nil"/>
              <w:bottom w:val="single" w:sz="4" w:space="0" w:color="auto"/>
              <w:right w:val="single" w:sz="4" w:space="0" w:color="auto"/>
            </w:tcBorders>
            <w:shd w:val="clear" w:color="auto" w:fill="auto"/>
            <w:vAlign w:val="bottom"/>
          </w:tcPr>
          <w:p w14:paraId="2841EA7B" w14:textId="2CED6A28"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w:t>
            </w:r>
          </w:p>
        </w:tc>
        <w:tc>
          <w:tcPr>
            <w:tcW w:w="1160" w:type="dxa"/>
            <w:gridSpan w:val="2"/>
            <w:tcBorders>
              <w:top w:val="single" w:sz="4" w:space="0" w:color="auto"/>
              <w:left w:val="nil"/>
              <w:bottom w:val="single" w:sz="4" w:space="0" w:color="auto"/>
              <w:right w:val="single" w:sz="4" w:space="0" w:color="auto"/>
            </w:tcBorders>
            <w:shd w:val="clear" w:color="auto" w:fill="auto"/>
            <w:vAlign w:val="bottom"/>
          </w:tcPr>
          <w:p w14:paraId="03CD414F" w14:textId="2B0E544D"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10.000</w:t>
            </w:r>
          </w:p>
        </w:tc>
        <w:tc>
          <w:tcPr>
            <w:tcW w:w="1120" w:type="dxa"/>
            <w:tcBorders>
              <w:top w:val="single" w:sz="4" w:space="0" w:color="auto"/>
              <w:left w:val="nil"/>
              <w:bottom w:val="single" w:sz="4" w:space="0" w:color="auto"/>
              <w:right w:val="single" w:sz="4" w:space="0" w:color="auto"/>
            </w:tcBorders>
            <w:shd w:val="clear" w:color="auto" w:fill="auto"/>
            <w:vAlign w:val="bottom"/>
          </w:tcPr>
          <w:p w14:paraId="744F3841" w14:textId="5FC4EAA8"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0.050</w:t>
            </w:r>
          </w:p>
        </w:tc>
        <w:tc>
          <w:tcPr>
            <w:tcW w:w="1408" w:type="dxa"/>
            <w:tcBorders>
              <w:top w:val="single" w:sz="4" w:space="0" w:color="auto"/>
              <w:left w:val="nil"/>
              <w:bottom w:val="single" w:sz="4" w:space="0" w:color="auto"/>
              <w:right w:val="single" w:sz="4" w:space="0" w:color="auto"/>
            </w:tcBorders>
            <w:shd w:val="clear" w:color="auto" w:fill="auto"/>
            <w:vAlign w:val="bottom"/>
          </w:tcPr>
          <w:p w14:paraId="1E2E1D89" w14:textId="206B2352"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0.500</w:t>
            </w:r>
          </w:p>
        </w:tc>
      </w:tr>
      <w:tr w:rsidR="00967CD2" w:rsidRPr="00653F8A" w14:paraId="19FC8699" w14:textId="77777777" w:rsidTr="00967CD2">
        <w:trPr>
          <w:trHeight w:val="617"/>
        </w:trPr>
        <w:tc>
          <w:tcPr>
            <w:tcW w:w="982" w:type="dxa"/>
            <w:tcBorders>
              <w:top w:val="nil"/>
              <w:left w:val="single" w:sz="4" w:space="0" w:color="auto"/>
              <w:bottom w:val="single" w:sz="4" w:space="0" w:color="auto"/>
              <w:right w:val="single" w:sz="4" w:space="0" w:color="auto"/>
            </w:tcBorders>
            <w:shd w:val="clear" w:color="000000" w:fill="FFFFFF"/>
            <w:vAlign w:val="bottom"/>
          </w:tcPr>
          <w:p w14:paraId="3AE9A5F6" w14:textId="4936D708"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 </w:t>
            </w:r>
          </w:p>
        </w:tc>
        <w:tc>
          <w:tcPr>
            <w:tcW w:w="1127" w:type="dxa"/>
            <w:tcBorders>
              <w:top w:val="nil"/>
              <w:left w:val="nil"/>
              <w:bottom w:val="single" w:sz="4" w:space="0" w:color="auto"/>
              <w:right w:val="single" w:sz="4" w:space="0" w:color="auto"/>
            </w:tcBorders>
            <w:shd w:val="clear" w:color="000000" w:fill="FFFFFF"/>
            <w:vAlign w:val="bottom"/>
          </w:tcPr>
          <w:p w14:paraId="30909BB2" w14:textId="57E42A5E"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VI-18</w:t>
            </w:r>
          </w:p>
        </w:tc>
        <w:tc>
          <w:tcPr>
            <w:tcW w:w="2724" w:type="dxa"/>
            <w:gridSpan w:val="2"/>
            <w:tcBorders>
              <w:top w:val="nil"/>
              <w:left w:val="nil"/>
              <w:bottom w:val="single" w:sz="4" w:space="0" w:color="auto"/>
              <w:right w:val="single" w:sz="4" w:space="0" w:color="auto"/>
            </w:tcBorders>
            <w:shd w:val="clear" w:color="000000" w:fill="FFFFFF"/>
            <w:vAlign w:val="bottom"/>
          </w:tcPr>
          <w:p w14:paraId="36B1C086" w14:textId="673A3788" w:rsidR="00967CD2" w:rsidRDefault="00967CD2" w:rsidP="00967CD2">
            <w:pPr>
              <w:overflowPunct/>
              <w:autoSpaceDE/>
              <w:autoSpaceDN/>
              <w:adjustRightInd/>
              <w:textAlignment w:val="auto"/>
              <w:rPr>
                <w:rFonts w:ascii="Arial" w:hAnsi="Arial" w:cs="Arial"/>
                <w:color w:val="000000"/>
                <w:sz w:val="16"/>
                <w:szCs w:val="16"/>
              </w:rPr>
            </w:pPr>
            <w:r>
              <w:rPr>
                <w:rFonts w:ascii="Arial" w:hAnsi="Arial" w:cs="Arial"/>
                <w:color w:val="000000"/>
                <w:sz w:val="16"/>
                <w:szCs w:val="16"/>
              </w:rPr>
              <w:t>WHFIT Reporting</w:t>
            </w:r>
          </w:p>
        </w:tc>
        <w:tc>
          <w:tcPr>
            <w:tcW w:w="1342" w:type="dxa"/>
            <w:gridSpan w:val="2"/>
            <w:tcBorders>
              <w:top w:val="nil"/>
              <w:left w:val="nil"/>
              <w:bottom w:val="single" w:sz="4" w:space="0" w:color="auto"/>
              <w:right w:val="single" w:sz="4" w:space="0" w:color="auto"/>
            </w:tcBorders>
            <w:shd w:val="clear" w:color="000000" w:fill="FFFFFF"/>
            <w:vAlign w:val="bottom"/>
          </w:tcPr>
          <w:p w14:paraId="5C33ABBF" w14:textId="3F713F03" w:rsidR="00967CD2" w:rsidRDefault="00967CD2" w:rsidP="00F451AB">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329.000</w:t>
            </w:r>
          </w:p>
        </w:tc>
        <w:tc>
          <w:tcPr>
            <w:tcW w:w="1135" w:type="dxa"/>
            <w:gridSpan w:val="2"/>
            <w:tcBorders>
              <w:top w:val="nil"/>
              <w:left w:val="nil"/>
              <w:bottom w:val="single" w:sz="4" w:space="0" w:color="auto"/>
              <w:right w:val="single" w:sz="4" w:space="0" w:color="auto"/>
            </w:tcBorders>
            <w:shd w:val="clear" w:color="000000" w:fill="FFFFFF"/>
            <w:vAlign w:val="bottom"/>
          </w:tcPr>
          <w:p w14:paraId="45509AC6" w14:textId="768B316D"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4</w:t>
            </w:r>
          </w:p>
        </w:tc>
        <w:tc>
          <w:tcPr>
            <w:tcW w:w="1160" w:type="dxa"/>
            <w:gridSpan w:val="2"/>
            <w:tcBorders>
              <w:top w:val="nil"/>
              <w:left w:val="nil"/>
              <w:bottom w:val="single" w:sz="4" w:space="0" w:color="auto"/>
              <w:right w:val="single" w:sz="4" w:space="0" w:color="auto"/>
            </w:tcBorders>
            <w:shd w:val="clear" w:color="000000" w:fill="FFFFFF"/>
            <w:vAlign w:val="bottom"/>
          </w:tcPr>
          <w:p w14:paraId="404E7658" w14:textId="5597AE5B"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w:t>
            </w:r>
            <w:r w:rsidR="00C61283">
              <w:rPr>
                <w:rFonts w:ascii="Arial" w:hAnsi="Arial" w:cs="Arial"/>
                <w:color w:val="000000"/>
                <w:sz w:val="16"/>
                <w:szCs w:val="16"/>
              </w:rPr>
              <w:t>,</w:t>
            </w:r>
            <w:r>
              <w:rPr>
                <w:rFonts w:ascii="Arial" w:hAnsi="Arial" w:cs="Arial"/>
                <w:color w:val="000000"/>
                <w:sz w:val="16"/>
                <w:szCs w:val="16"/>
              </w:rPr>
              <w:t>316.000</w:t>
            </w:r>
          </w:p>
        </w:tc>
        <w:tc>
          <w:tcPr>
            <w:tcW w:w="1120" w:type="dxa"/>
            <w:tcBorders>
              <w:top w:val="nil"/>
              <w:left w:val="nil"/>
              <w:bottom w:val="single" w:sz="4" w:space="0" w:color="auto"/>
              <w:right w:val="single" w:sz="4" w:space="0" w:color="auto"/>
            </w:tcBorders>
            <w:shd w:val="clear" w:color="000000" w:fill="FFFFFF"/>
            <w:vAlign w:val="bottom"/>
          </w:tcPr>
          <w:p w14:paraId="1D1EF4B3" w14:textId="31922AB5"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0.130</w:t>
            </w:r>
          </w:p>
        </w:tc>
        <w:tc>
          <w:tcPr>
            <w:tcW w:w="1408" w:type="dxa"/>
            <w:tcBorders>
              <w:top w:val="nil"/>
              <w:left w:val="nil"/>
              <w:bottom w:val="single" w:sz="4" w:space="0" w:color="auto"/>
              <w:right w:val="single" w:sz="4" w:space="0" w:color="auto"/>
            </w:tcBorders>
            <w:shd w:val="clear" w:color="000000" w:fill="FFFFFF"/>
            <w:vAlign w:val="bottom"/>
          </w:tcPr>
          <w:p w14:paraId="479E2BA0" w14:textId="4F7D1F0B"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171.080</w:t>
            </w:r>
          </w:p>
        </w:tc>
      </w:tr>
      <w:tr w:rsidR="00967CD2" w:rsidRPr="00653F8A" w14:paraId="0576B8D5" w14:textId="77777777" w:rsidTr="00967CD2">
        <w:trPr>
          <w:trHeight w:val="527"/>
        </w:trPr>
        <w:tc>
          <w:tcPr>
            <w:tcW w:w="982" w:type="dxa"/>
            <w:tcBorders>
              <w:top w:val="nil"/>
              <w:left w:val="single" w:sz="4" w:space="0" w:color="auto"/>
              <w:bottom w:val="single" w:sz="4" w:space="0" w:color="auto"/>
              <w:right w:val="single" w:sz="4" w:space="0" w:color="auto"/>
            </w:tcBorders>
            <w:shd w:val="clear" w:color="auto" w:fill="auto"/>
            <w:vAlign w:val="bottom"/>
          </w:tcPr>
          <w:p w14:paraId="2ED80062" w14:textId="0E1CD92B"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 </w:t>
            </w:r>
          </w:p>
        </w:tc>
        <w:tc>
          <w:tcPr>
            <w:tcW w:w="1127" w:type="dxa"/>
            <w:tcBorders>
              <w:top w:val="nil"/>
              <w:left w:val="nil"/>
              <w:bottom w:val="single" w:sz="4" w:space="0" w:color="auto"/>
              <w:right w:val="single" w:sz="4" w:space="0" w:color="auto"/>
            </w:tcBorders>
            <w:shd w:val="clear" w:color="auto" w:fill="auto"/>
            <w:vAlign w:val="bottom"/>
          </w:tcPr>
          <w:p w14:paraId="2F938180" w14:textId="03C3F6E1"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 xml:space="preserve">III-29 </w:t>
            </w:r>
          </w:p>
        </w:tc>
        <w:tc>
          <w:tcPr>
            <w:tcW w:w="2724" w:type="dxa"/>
            <w:gridSpan w:val="2"/>
            <w:tcBorders>
              <w:top w:val="nil"/>
              <w:left w:val="nil"/>
              <w:bottom w:val="single" w:sz="4" w:space="0" w:color="auto"/>
              <w:right w:val="single" w:sz="4" w:space="0" w:color="auto"/>
            </w:tcBorders>
            <w:shd w:val="clear" w:color="auto" w:fill="auto"/>
            <w:vAlign w:val="bottom"/>
          </w:tcPr>
          <w:p w14:paraId="48DBD36E" w14:textId="0FE2C851" w:rsidR="00967CD2" w:rsidRDefault="00967CD2" w:rsidP="00967CD2">
            <w:pPr>
              <w:overflowPunct/>
              <w:autoSpaceDE/>
              <w:autoSpaceDN/>
              <w:adjustRightInd/>
              <w:textAlignment w:val="auto"/>
              <w:rPr>
                <w:rFonts w:ascii="Arial" w:hAnsi="Arial" w:cs="Arial"/>
                <w:color w:val="000000"/>
                <w:sz w:val="16"/>
                <w:szCs w:val="16"/>
              </w:rPr>
            </w:pPr>
            <w:r>
              <w:rPr>
                <w:rFonts w:ascii="Arial" w:hAnsi="Arial" w:cs="Arial"/>
                <w:color w:val="000000"/>
                <w:sz w:val="16"/>
                <w:szCs w:val="16"/>
              </w:rPr>
              <w:t>System Access Forms</w:t>
            </w:r>
          </w:p>
        </w:tc>
        <w:tc>
          <w:tcPr>
            <w:tcW w:w="1342" w:type="dxa"/>
            <w:gridSpan w:val="2"/>
            <w:tcBorders>
              <w:top w:val="nil"/>
              <w:left w:val="nil"/>
              <w:bottom w:val="single" w:sz="4" w:space="0" w:color="auto"/>
              <w:right w:val="single" w:sz="4" w:space="0" w:color="auto"/>
            </w:tcBorders>
            <w:shd w:val="clear" w:color="000000" w:fill="FFFFFF"/>
            <w:vAlign w:val="bottom"/>
          </w:tcPr>
          <w:p w14:paraId="344B0B30" w14:textId="0A2B9635" w:rsidR="00967CD2" w:rsidRDefault="00967CD2" w:rsidP="00F451AB">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517.000</w:t>
            </w:r>
          </w:p>
        </w:tc>
        <w:tc>
          <w:tcPr>
            <w:tcW w:w="1135" w:type="dxa"/>
            <w:gridSpan w:val="2"/>
            <w:tcBorders>
              <w:top w:val="nil"/>
              <w:left w:val="nil"/>
              <w:bottom w:val="single" w:sz="4" w:space="0" w:color="auto"/>
              <w:right w:val="single" w:sz="4" w:space="0" w:color="auto"/>
            </w:tcBorders>
            <w:shd w:val="clear" w:color="auto" w:fill="auto"/>
            <w:vAlign w:val="bottom"/>
          </w:tcPr>
          <w:p w14:paraId="3DF8FD50" w14:textId="452E2D5F"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w:t>
            </w:r>
          </w:p>
        </w:tc>
        <w:tc>
          <w:tcPr>
            <w:tcW w:w="1160" w:type="dxa"/>
            <w:gridSpan w:val="2"/>
            <w:tcBorders>
              <w:top w:val="nil"/>
              <w:left w:val="nil"/>
              <w:bottom w:val="single" w:sz="4" w:space="0" w:color="auto"/>
              <w:right w:val="single" w:sz="4" w:space="0" w:color="auto"/>
            </w:tcBorders>
            <w:shd w:val="clear" w:color="auto" w:fill="auto"/>
            <w:vAlign w:val="bottom"/>
          </w:tcPr>
          <w:p w14:paraId="141ACDD7" w14:textId="178F5F3E"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517.000</w:t>
            </w:r>
          </w:p>
        </w:tc>
        <w:tc>
          <w:tcPr>
            <w:tcW w:w="1120" w:type="dxa"/>
            <w:tcBorders>
              <w:top w:val="nil"/>
              <w:left w:val="nil"/>
              <w:bottom w:val="single" w:sz="4" w:space="0" w:color="auto"/>
              <w:right w:val="single" w:sz="4" w:space="0" w:color="auto"/>
            </w:tcBorders>
            <w:shd w:val="clear" w:color="auto" w:fill="auto"/>
            <w:vAlign w:val="bottom"/>
          </w:tcPr>
          <w:p w14:paraId="63577A89" w14:textId="72459D2B"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2.000</w:t>
            </w:r>
          </w:p>
        </w:tc>
        <w:tc>
          <w:tcPr>
            <w:tcW w:w="1408" w:type="dxa"/>
            <w:tcBorders>
              <w:top w:val="nil"/>
              <w:left w:val="nil"/>
              <w:bottom w:val="single" w:sz="4" w:space="0" w:color="auto"/>
              <w:right w:val="single" w:sz="4" w:space="0" w:color="auto"/>
            </w:tcBorders>
            <w:shd w:val="clear" w:color="auto" w:fill="auto"/>
            <w:vAlign w:val="bottom"/>
          </w:tcPr>
          <w:p w14:paraId="2E04B3E9" w14:textId="73AB7E0B"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1034.000</w:t>
            </w:r>
          </w:p>
        </w:tc>
      </w:tr>
      <w:tr w:rsidR="00967CD2" w:rsidRPr="00653F8A" w14:paraId="40332FF5" w14:textId="77777777" w:rsidTr="00967CD2">
        <w:trPr>
          <w:trHeight w:val="617"/>
        </w:trPr>
        <w:tc>
          <w:tcPr>
            <w:tcW w:w="982" w:type="dxa"/>
            <w:tcBorders>
              <w:top w:val="nil"/>
              <w:left w:val="single" w:sz="4" w:space="0" w:color="auto"/>
              <w:bottom w:val="single" w:sz="4" w:space="0" w:color="auto"/>
              <w:right w:val="single" w:sz="4" w:space="0" w:color="auto"/>
            </w:tcBorders>
            <w:shd w:val="clear" w:color="000000" w:fill="FFFFFF"/>
            <w:vAlign w:val="bottom"/>
          </w:tcPr>
          <w:p w14:paraId="3D891076" w14:textId="150F5CEA"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 </w:t>
            </w:r>
          </w:p>
        </w:tc>
        <w:tc>
          <w:tcPr>
            <w:tcW w:w="1127" w:type="dxa"/>
            <w:tcBorders>
              <w:top w:val="nil"/>
              <w:left w:val="nil"/>
              <w:bottom w:val="single" w:sz="4" w:space="0" w:color="auto"/>
              <w:right w:val="single" w:sz="4" w:space="0" w:color="auto"/>
            </w:tcBorders>
            <w:shd w:val="clear" w:color="auto" w:fill="auto"/>
            <w:vAlign w:val="bottom"/>
          </w:tcPr>
          <w:p w14:paraId="4E495962" w14:textId="096C4CA9"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VIII-1</w:t>
            </w:r>
          </w:p>
        </w:tc>
        <w:tc>
          <w:tcPr>
            <w:tcW w:w="2724" w:type="dxa"/>
            <w:gridSpan w:val="2"/>
            <w:tcBorders>
              <w:top w:val="nil"/>
              <w:left w:val="nil"/>
              <w:bottom w:val="single" w:sz="4" w:space="0" w:color="auto"/>
              <w:right w:val="single" w:sz="4" w:space="0" w:color="auto"/>
            </w:tcBorders>
            <w:shd w:val="clear" w:color="auto" w:fill="auto"/>
            <w:vAlign w:val="bottom"/>
          </w:tcPr>
          <w:p w14:paraId="6EF6D6A5" w14:textId="1AC5A618" w:rsidR="00967CD2" w:rsidRDefault="00967CD2" w:rsidP="00967CD2">
            <w:pPr>
              <w:overflowPunct/>
              <w:autoSpaceDE/>
              <w:autoSpaceDN/>
              <w:adjustRightInd/>
              <w:textAlignment w:val="auto"/>
              <w:rPr>
                <w:rFonts w:ascii="Arial" w:hAnsi="Arial" w:cs="Arial"/>
                <w:color w:val="000000"/>
                <w:sz w:val="16"/>
                <w:szCs w:val="16"/>
              </w:rPr>
            </w:pPr>
            <w:r>
              <w:rPr>
                <w:rFonts w:ascii="Arial" w:hAnsi="Arial" w:cs="Arial"/>
                <w:color w:val="000000"/>
                <w:sz w:val="16"/>
                <w:szCs w:val="16"/>
              </w:rPr>
              <w:t>Ginnie Mae Acknowledgement Agreement an Accompanying Documents Pledge of Servicing</w:t>
            </w:r>
          </w:p>
        </w:tc>
        <w:tc>
          <w:tcPr>
            <w:tcW w:w="1342" w:type="dxa"/>
            <w:gridSpan w:val="2"/>
            <w:tcBorders>
              <w:top w:val="nil"/>
              <w:left w:val="nil"/>
              <w:bottom w:val="single" w:sz="4" w:space="0" w:color="auto"/>
              <w:right w:val="single" w:sz="4" w:space="0" w:color="auto"/>
            </w:tcBorders>
            <w:shd w:val="clear" w:color="auto" w:fill="auto"/>
            <w:vAlign w:val="bottom"/>
          </w:tcPr>
          <w:p w14:paraId="0E95742D" w14:textId="2B81B120" w:rsidR="00967CD2" w:rsidRDefault="00967CD2" w:rsidP="00F451AB">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10.000</w:t>
            </w:r>
          </w:p>
        </w:tc>
        <w:tc>
          <w:tcPr>
            <w:tcW w:w="1135" w:type="dxa"/>
            <w:gridSpan w:val="2"/>
            <w:tcBorders>
              <w:top w:val="nil"/>
              <w:left w:val="nil"/>
              <w:bottom w:val="single" w:sz="4" w:space="0" w:color="auto"/>
              <w:right w:val="single" w:sz="4" w:space="0" w:color="auto"/>
            </w:tcBorders>
            <w:shd w:val="clear" w:color="000000" w:fill="FFFFFF"/>
            <w:vAlign w:val="bottom"/>
          </w:tcPr>
          <w:p w14:paraId="16969C1F" w14:textId="2974DA44"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w:t>
            </w:r>
          </w:p>
        </w:tc>
        <w:tc>
          <w:tcPr>
            <w:tcW w:w="1160" w:type="dxa"/>
            <w:gridSpan w:val="2"/>
            <w:tcBorders>
              <w:top w:val="nil"/>
              <w:left w:val="nil"/>
              <w:bottom w:val="single" w:sz="4" w:space="0" w:color="auto"/>
              <w:right w:val="single" w:sz="4" w:space="0" w:color="auto"/>
            </w:tcBorders>
            <w:shd w:val="clear" w:color="auto" w:fill="auto"/>
            <w:vAlign w:val="bottom"/>
          </w:tcPr>
          <w:p w14:paraId="2AF00676" w14:textId="02E61AAE"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10.000</w:t>
            </w:r>
          </w:p>
        </w:tc>
        <w:tc>
          <w:tcPr>
            <w:tcW w:w="1120" w:type="dxa"/>
            <w:tcBorders>
              <w:top w:val="nil"/>
              <w:left w:val="nil"/>
              <w:bottom w:val="single" w:sz="4" w:space="0" w:color="auto"/>
              <w:right w:val="single" w:sz="4" w:space="0" w:color="auto"/>
            </w:tcBorders>
            <w:shd w:val="clear" w:color="auto" w:fill="auto"/>
            <w:vAlign w:val="bottom"/>
          </w:tcPr>
          <w:p w14:paraId="5534B55B" w14:textId="509A2C9F"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1.000</w:t>
            </w:r>
          </w:p>
        </w:tc>
        <w:tc>
          <w:tcPr>
            <w:tcW w:w="1408" w:type="dxa"/>
            <w:tcBorders>
              <w:top w:val="nil"/>
              <w:left w:val="nil"/>
              <w:bottom w:val="single" w:sz="4" w:space="0" w:color="auto"/>
              <w:right w:val="single" w:sz="4" w:space="0" w:color="auto"/>
            </w:tcBorders>
            <w:shd w:val="clear" w:color="auto" w:fill="auto"/>
            <w:vAlign w:val="bottom"/>
          </w:tcPr>
          <w:p w14:paraId="621E51C0" w14:textId="45AEBE6F"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10.000</w:t>
            </w:r>
          </w:p>
        </w:tc>
      </w:tr>
      <w:tr w:rsidR="00967CD2" w:rsidRPr="00653F8A" w14:paraId="5316FE29" w14:textId="77777777" w:rsidTr="00095387">
        <w:trPr>
          <w:trHeight w:val="617"/>
        </w:trPr>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7C524C5" w14:textId="3631C8B0"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 </w:t>
            </w:r>
          </w:p>
        </w:tc>
        <w:tc>
          <w:tcPr>
            <w:tcW w:w="1127" w:type="dxa"/>
            <w:tcBorders>
              <w:top w:val="single" w:sz="4" w:space="0" w:color="auto"/>
              <w:left w:val="nil"/>
              <w:bottom w:val="single" w:sz="4" w:space="0" w:color="auto"/>
              <w:right w:val="single" w:sz="4" w:space="0" w:color="auto"/>
            </w:tcBorders>
            <w:shd w:val="clear" w:color="auto" w:fill="auto"/>
            <w:vAlign w:val="bottom"/>
          </w:tcPr>
          <w:p w14:paraId="51206492" w14:textId="2EECE36D"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VI-14</w:t>
            </w:r>
          </w:p>
        </w:tc>
        <w:tc>
          <w:tcPr>
            <w:tcW w:w="2724" w:type="dxa"/>
            <w:gridSpan w:val="2"/>
            <w:tcBorders>
              <w:top w:val="single" w:sz="4" w:space="0" w:color="auto"/>
              <w:left w:val="nil"/>
              <w:bottom w:val="single" w:sz="4" w:space="0" w:color="auto"/>
              <w:right w:val="single" w:sz="4" w:space="0" w:color="auto"/>
            </w:tcBorders>
            <w:shd w:val="clear" w:color="auto" w:fill="auto"/>
            <w:vAlign w:val="bottom"/>
          </w:tcPr>
          <w:p w14:paraId="62BF080F" w14:textId="50DD9E1E" w:rsidR="00967CD2" w:rsidRDefault="00967CD2" w:rsidP="00967CD2">
            <w:pPr>
              <w:overflowPunct/>
              <w:autoSpaceDE/>
              <w:autoSpaceDN/>
              <w:adjustRightInd/>
              <w:textAlignment w:val="auto"/>
              <w:rPr>
                <w:rFonts w:ascii="Arial" w:hAnsi="Arial" w:cs="Arial"/>
                <w:color w:val="000000"/>
                <w:sz w:val="16"/>
                <w:szCs w:val="16"/>
              </w:rPr>
            </w:pPr>
            <w:r>
              <w:rPr>
                <w:rFonts w:ascii="Arial" w:hAnsi="Arial" w:cs="Arial"/>
                <w:color w:val="000000"/>
                <w:sz w:val="16"/>
                <w:szCs w:val="16"/>
              </w:rPr>
              <w:t>Multifamily Prepayment Penalty Record File Layout</w:t>
            </w:r>
          </w:p>
        </w:tc>
        <w:tc>
          <w:tcPr>
            <w:tcW w:w="1342" w:type="dxa"/>
            <w:gridSpan w:val="2"/>
            <w:tcBorders>
              <w:top w:val="single" w:sz="4" w:space="0" w:color="auto"/>
              <w:left w:val="nil"/>
              <w:bottom w:val="single" w:sz="4" w:space="0" w:color="auto"/>
              <w:right w:val="single" w:sz="4" w:space="0" w:color="auto"/>
            </w:tcBorders>
            <w:shd w:val="clear" w:color="auto" w:fill="auto"/>
            <w:vAlign w:val="bottom"/>
          </w:tcPr>
          <w:p w14:paraId="55A50B2E" w14:textId="6107D6B6" w:rsidR="00967CD2" w:rsidRDefault="00967CD2" w:rsidP="00F451AB">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22.000</w:t>
            </w:r>
          </w:p>
        </w:tc>
        <w:tc>
          <w:tcPr>
            <w:tcW w:w="1135" w:type="dxa"/>
            <w:gridSpan w:val="2"/>
            <w:tcBorders>
              <w:top w:val="single" w:sz="4" w:space="0" w:color="auto"/>
              <w:left w:val="nil"/>
              <w:bottom w:val="single" w:sz="4" w:space="0" w:color="auto"/>
              <w:right w:val="single" w:sz="4" w:space="0" w:color="auto"/>
            </w:tcBorders>
            <w:shd w:val="clear" w:color="auto" w:fill="auto"/>
            <w:vAlign w:val="bottom"/>
          </w:tcPr>
          <w:p w14:paraId="37AAB47C" w14:textId="04C500F4"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12</w:t>
            </w:r>
          </w:p>
        </w:tc>
        <w:tc>
          <w:tcPr>
            <w:tcW w:w="1160" w:type="dxa"/>
            <w:gridSpan w:val="2"/>
            <w:tcBorders>
              <w:top w:val="single" w:sz="4" w:space="0" w:color="auto"/>
              <w:left w:val="nil"/>
              <w:bottom w:val="single" w:sz="4" w:space="0" w:color="auto"/>
              <w:right w:val="single" w:sz="4" w:space="0" w:color="auto"/>
            </w:tcBorders>
            <w:shd w:val="clear" w:color="auto" w:fill="auto"/>
            <w:vAlign w:val="bottom"/>
          </w:tcPr>
          <w:p w14:paraId="2ADACB8B" w14:textId="14C23549"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264.000</w:t>
            </w:r>
          </w:p>
        </w:tc>
        <w:tc>
          <w:tcPr>
            <w:tcW w:w="1120" w:type="dxa"/>
            <w:tcBorders>
              <w:top w:val="single" w:sz="4" w:space="0" w:color="auto"/>
              <w:left w:val="nil"/>
              <w:bottom w:val="single" w:sz="4" w:space="0" w:color="auto"/>
              <w:right w:val="single" w:sz="4" w:space="0" w:color="auto"/>
            </w:tcBorders>
            <w:shd w:val="clear" w:color="auto" w:fill="auto"/>
            <w:vAlign w:val="bottom"/>
          </w:tcPr>
          <w:p w14:paraId="26BF6CD0" w14:textId="7982DE2C"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0.050</w:t>
            </w:r>
          </w:p>
        </w:tc>
        <w:tc>
          <w:tcPr>
            <w:tcW w:w="1408" w:type="dxa"/>
            <w:tcBorders>
              <w:top w:val="single" w:sz="4" w:space="0" w:color="auto"/>
              <w:left w:val="nil"/>
              <w:bottom w:val="single" w:sz="4" w:space="0" w:color="auto"/>
              <w:right w:val="single" w:sz="4" w:space="0" w:color="auto"/>
            </w:tcBorders>
            <w:shd w:val="clear" w:color="auto" w:fill="auto"/>
            <w:vAlign w:val="bottom"/>
          </w:tcPr>
          <w:p w14:paraId="18BE2ED2" w14:textId="2C924814"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13.200</w:t>
            </w:r>
          </w:p>
        </w:tc>
      </w:tr>
      <w:tr w:rsidR="00967CD2" w:rsidRPr="00653F8A" w14:paraId="06461D37" w14:textId="77777777" w:rsidTr="00095387">
        <w:trPr>
          <w:trHeight w:val="545"/>
        </w:trPr>
        <w:tc>
          <w:tcPr>
            <w:tcW w:w="982" w:type="dxa"/>
            <w:tcBorders>
              <w:top w:val="nil"/>
              <w:left w:val="single" w:sz="4" w:space="0" w:color="auto"/>
              <w:bottom w:val="single" w:sz="4" w:space="0" w:color="auto"/>
              <w:right w:val="single" w:sz="4" w:space="0" w:color="auto"/>
            </w:tcBorders>
            <w:shd w:val="clear" w:color="auto" w:fill="auto"/>
            <w:vAlign w:val="bottom"/>
          </w:tcPr>
          <w:p w14:paraId="399DA374" w14:textId="02E3F81E"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 </w:t>
            </w:r>
          </w:p>
        </w:tc>
        <w:tc>
          <w:tcPr>
            <w:tcW w:w="1127" w:type="dxa"/>
            <w:tcBorders>
              <w:top w:val="nil"/>
              <w:left w:val="nil"/>
              <w:bottom w:val="single" w:sz="4" w:space="0" w:color="auto"/>
              <w:right w:val="single" w:sz="4" w:space="0" w:color="auto"/>
            </w:tcBorders>
            <w:shd w:val="clear" w:color="auto" w:fill="auto"/>
            <w:vAlign w:val="bottom"/>
          </w:tcPr>
          <w:p w14:paraId="6F947C7E" w14:textId="7EB249FF" w:rsidR="00967CD2" w:rsidRDefault="00967CD2" w:rsidP="00967CD2">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VI-16</w:t>
            </w:r>
          </w:p>
        </w:tc>
        <w:tc>
          <w:tcPr>
            <w:tcW w:w="2724" w:type="dxa"/>
            <w:gridSpan w:val="2"/>
            <w:tcBorders>
              <w:top w:val="nil"/>
              <w:left w:val="nil"/>
              <w:bottom w:val="single" w:sz="4" w:space="0" w:color="auto"/>
              <w:right w:val="single" w:sz="4" w:space="0" w:color="auto"/>
            </w:tcBorders>
            <w:shd w:val="clear" w:color="auto" w:fill="auto"/>
            <w:vAlign w:val="bottom"/>
          </w:tcPr>
          <w:p w14:paraId="2E78E86F" w14:textId="18CDB733" w:rsidR="00967CD2" w:rsidRDefault="00967CD2" w:rsidP="00967CD2">
            <w:pPr>
              <w:overflowPunct/>
              <w:autoSpaceDE/>
              <w:autoSpaceDN/>
              <w:adjustRightInd/>
              <w:textAlignment w:val="auto"/>
              <w:rPr>
                <w:rFonts w:ascii="Arial" w:hAnsi="Arial" w:cs="Arial"/>
                <w:color w:val="000000"/>
                <w:sz w:val="16"/>
                <w:szCs w:val="16"/>
              </w:rPr>
            </w:pPr>
            <w:r>
              <w:rPr>
                <w:rFonts w:ascii="Arial" w:hAnsi="Arial" w:cs="Arial"/>
                <w:color w:val="000000"/>
                <w:sz w:val="16"/>
                <w:szCs w:val="16"/>
              </w:rPr>
              <w:t>Quarterly Custodial Account Verification Record File Layout</w:t>
            </w:r>
          </w:p>
        </w:tc>
        <w:tc>
          <w:tcPr>
            <w:tcW w:w="1342" w:type="dxa"/>
            <w:gridSpan w:val="2"/>
            <w:tcBorders>
              <w:top w:val="nil"/>
              <w:left w:val="nil"/>
              <w:bottom w:val="single" w:sz="4" w:space="0" w:color="auto"/>
              <w:right w:val="single" w:sz="4" w:space="0" w:color="auto"/>
            </w:tcBorders>
            <w:shd w:val="clear" w:color="auto" w:fill="auto"/>
            <w:vAlign w:val="bottom"/>
          </w:tcPr>
          <w:p w14:paraId="6F79AB22" w14:textId="26F9D7CD" w:rsidR="00967CD2" w:rsidRDefault="00967CD2" w:rsidP="00F451AB">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302.00</w:t>
            </w:r>
          </w:p>
        </w:tc>
        <w:tc>
          <w:tcPr>
            <w:tcW w:w="1135" w:type="dxa"/>
            <w:gridSpan w:val="2"/>
            <w:tcBorders>
              <w:top w:val="nil"/>
              <w:left w:val="nil"/>
              <w:bottom w:val="single" w:sz="4" w:space="0" w:color="auto"/>
              <w:right w:val="single" w:sz="4" w:space="0" w:color="auto"/>
            </w:tcBorders>
            <w:shd w:val="clear" w:color="auto" w:fill="auto"/>
            <w:vAlign w:val="bottom"/>
          </w:tcPr>
          <w:p w14:paraId="29A73C20" w14:textId="59D896C2"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4</w:t>
            </w:r>
          </w:p>
        </w:tc>
        <w:tc>
          <w:tcPr>
            <w:tcW w:w="1160" w:type="dxa"/>
            <w:gridSpan w:val="2"/>
            <w:tcBorders>
              <w:top w:val="nil"/>
              <w:left w:val="nil"/>
              <w:bottom w:val="single" w:sz="4" w:space="0" w:color="auto"/>
              <w:right w:val="single" w:sz="4" w:space="0" w:color="auto"/>
            </w:tcBorders>
            <w:shd w:val="clear" w:color="auto" w:fill="auto"/>
            <w:vAlign w:val="bottom"/>
          </w:tcPr>
          <w:p w14:paraId="0FBA6C5F" w14:textId="5549269C"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1</w:t>
            </w:r>
            <w:r w:rsidR="00C61283">
              <w:rPr>
                <w:rFonts w:ascii="Arial" w:hAnsi="Arial" w:cs="Arial"/>
                <w:color w:val="000000"/>
                <w:sz w:val="16"/>
                <w:szCs w:val="16"/>
              </w:rPr>
              <w:t>,</w:t>
            </w:r>
            <w:r>
              <w:rPr>
                <w:rFonts w:ascii="Arial" w:hAnsi="Arial" w:cs="Arial"/>
                <w:color w:val="000000"/>
                <w:sz w:val="16"/>
                <w:szCs w:val="16"/>
              </w:rPr>
              <w:t>208.000</w:t>
            </w:r>
          </w:p>
        </w:tc>
        <w:tc>
          <w:tcPr>
            <w:tcW w:w="1120" w:type="dxa"/>
            <w:tcBorders>
              <w:top w:val="nil"/>
              <w:left w:val="nil"/>
              <w:bottom w:val="single" w:sz="4" w:space="0" w:color="auto"/>
              <w:right w:val="single" w:sz="4" w:space="0" w:color="auto"/>
            </w:tcBorders>
            <w:shd w:val="clear" w:color="auto" w:fill="auto"/>
            <w:vAlign w:val="bottom"/>
          </w:tcPr>
          <w:p w14:paraId="7DDC3CB1" w14:textId="0ECE2F9A"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0.500</w:t>
            </w:r>
          </w:p>
        </w:tc>
        <w:tc>
          <w:tcPr>
            <w:tcW w:w="1408" w:type="dxa"/>
            <w:tcBorders>
              <w:top w:val="nil"/>
              <w:left w:val="nil"/>
              <w:bottom w:val="single" w:sz="4" w:space="0" w:color="auto"/>
              <w:right w:val="single" w:sz="4" w:space="0" w:color="auto"/>
            </w:tcBorders>
            <w:shd w:val="clear" w:color="auto" w:fill="auto"/>
            <w:vAlign w:val="bottom"/>
          </w:tcPr>
          <w:p w14:paraId="05115DBF" w14:textId="1704D122" w:rsidR="00967CD2" w:rsidRDefault="00967CD2" w:rsidP="00C61283">
            <w:pPr>
              <w:overflowPunct/>
              <w:autoSpaceDE/>
              <w:autoSpaceDN/>
              <w:adjustRightInd/>
              <w:jc w:val="right"/>
              <w:textAlignment w:val="auto"/>
              <w:rPr>
                <w:rFonts w:ascii="Arial" w:hAnsi="Arial" w:cs="Arial"/>
                <w:color w:val="000000"/>
                <w:sz w:val="16"/>
                <w:szCs w:val="16"/>
              </w:rPr>
            </w:pPr>
            <w:r>
              <w:rPr>
                <w:rFonts w:ascii="Arial" w:hAnsi="Arial" w:cs="Arial"/>
                <w:color w:val="000000"/>
                <w:sz w:val="16"/>
                <w:szCs w:val="16"/>
              </w:rPr>
              <w:t>604.000</w:t>
            </w:r>
          </w:p>
        </w:tc>
      </w:tr>
      <w:tr w:rsidR="00095387" w:rsidRPr="00653F8A" w14:paraId="53C5A08B" w14:textId="77777777" w:rsidTr="00095387">
        <w:trPr>
          <w:trHeight w:val="545"/>
        </w:trPr>
        <w:tc>
          <w:tcPr>
            <w:tcW w:w="982" w:type="dxa"/>
            <w:tcBorders>
              <w:top w:val="nil"/>
              <w:left w:val="single" w:sz="4" w:space="0" w:color="auto"/>
              <w:bottom w:val="single" w:sz="4" w:space="0" w:color="auto"/>
              <w:right w:val="single" w:sz="4" w:space="0" w:color="auto"/>
            </w:tcBorders>
            <w:shd w:val="clear" w:color="auto" w:fill="auto"/>
          </w:tcPr>
          <w:p w14:paraId="379B829D" w14:textId="672462B8" w:rsidR="00095387" w:rsidRPr="00095387" w:rsidRDefault="00095387" w:rsidP="00095387">
            <w:pPr>
              <w:overflowPunct/>
              <w:autoSpaceDE/>
              <w:autoSpaceDN/>
              <w:adjustRightInd/>
              <w:jc w:val="center"/>
              <w:textAlignment w:val="auto"/>
              <w:rPr>
                <w:rFonts w:ascii="Arial" w:hAnsi="Arial" w:cs="Arial"/>
                <w:b/>
                <w:color w:val="000000"/>
                <w:sz w:val="20"/>
                <w:szCs w:val="20"/>
              </w:rPr>
            </w:pPr>
            <w:r w:rsidRPr="00095387">
              <w:rPr>
                <w:b/>
                <w:sz w:val="20"/>
                <w:szCs w:val="20"/>
              </w:rPr>
              <w:t>Subtotal</w:t>
            </w:r>
          </w:p>
        </w:tc>
        <w:tc>
          <w:tcPr>
            <w:tcW w:w="1127" w:type="dxa"/>
            <w:tcBorders>
              <w:top w:val="nil"/>
              <w:left w:val="nil"/>
              <w:bottom w:val="single" w:sz="4" w:space="0" w:color="auto"/>
              <w:right w:val="single" w:sz="4" w:space="0" w:color="auto"/>
            </w:tcBorders>
            <w:shd w:val="clear" w:color="auto" w:fill="auto"/>
          </w:tcPr>
          <w:p w14:paraId="63EE86A4" w14:textId="77777777" w:rsidR="00095387" w:rsidRDefault="00095387" w:rsidP="00095387">
            <w:pPr>
              <w:overflowPunct/>
              <w:autoSpaceDE/>
              <w:autoSpaceDN/>
              <w:adjustRightInd/>
              <w:jc w:val="center"/>
              <w:textAlignment w:val="auto"/>
              <w:rPr>
                <w:rFonts w:ascii="Arial" w:hAnsi="Arial" w:cs="Arial"/>
                <w:color w:val="000000"/>
                <w:sz w:val="16"/>
                <w:szCs w:val="16"/>
              </w:rPr>
            </w:pPr>
          </w:p>
        </w:tc>
        <w:tc>
          <w:tcPr>
            <w:tcW w:w="2724" w:type="dxa"/>
            <w:gridSpan w:val="2"/>
            <w:tcBorders>
              <w:top w:val="nil"/>
              <w:left w:val="nil"/>
              <w:bottom w:val="single" w:sz="4" w:space="0" w:color="auto"/>
              <w:right w:val="single" w:sz="4" w:space="0" w:color="auto"/>
            </w:tcBorders>
            <w:shd w:val="clear" w:color="auto" w:fill="auto"/>
          </w:tcPr>
          <w:p w14:paraId="50B037F7" w14:textId="77777777" w:rsidR="00095387" w:rsidRDefault="00095387" w:rsidP="00095387">
            <w:pPr>
              <w:overflowPunct/>
              <w:autoSpaceDE/>
              <w:autoSpaceDN/>
              <w:adjustRightInd/>
              <w:textAlignment w:val="auto"/>
              <w:rPr>
                <w:rFonts w:ascii="Arial" w:hAnsi="Arial" w:cs="Arial"/>
                <w:color w:val="000000"/>
                <w:sz w:val="16"/>
                <w:szCs w:val="16"/>
              </w:rPr>
            </w:pPr>
          </w:p>
        </w:tc>
        <w:tc>
          <w:tcPr>
            <w:tcW w:w="1342" w:type="dxa"/>
            <w:gridSpan w:val="2"/>
            <w:tcBorders>
              <w:top w:val="nil"/>
              <w:left w:val="nil"/>
              <w:bottom w:val="single" w:sz="4" w:space="0" w:color="auto"/>
              <w:right w:val="single" w:sz="4" w:space="0" w:color="auto"/>
            </w:tcBorders>
            <w:shd w:val="clear" w:color="auto" w:fill="auto"/>
          </w:tcPr>
          <w:p w14:paraId="135FD846" w14:textId="77777777" w:rsidR="00095387" w:rsidRDefault="00095387" w:rsidP="00095387">
            <w:pPr>
              <w:overflowPunct/>
              <w:autoSpaceDE/>
              <w:autoSpaceDN/>
              <w:adjustRightInd/>
              <w:jc w:val="center"/>
              <w:textAlignment w:val="auto"/>
              <w:rPr>
                <w:rFonts w:ascii="Arial" w:hAnsi="Arial" w:cs="Arial"/>
                <w:color w:val="000000"/>
                <w:sz w:val="16"/>
                <w:szCs w:val="16"/>
              </w:rPr>
            </w:pPr>
          </w:p>
        </w:tc>
        <w:tc>
          <w:tcPr>
            <w:tcW w:w="1135" w:type="dxa"/>
            <w:gridSpan w:val="2"/>
            <w:tcBorders>
              <w:top w:val="nil"/>
              <w:left w:val="nil"/>
              <w:bottom w:val="single" w:sz="4" w:space="0" w:color="auto"/>
              <w:right w:val="single" w:sz="4" w:space="0" w:color="auto"/>
            </w:tcBorders>
            <w:shd w:val="clear" w:color="auto" w:fill="auto"/>
          </w:tcPr>
          <w:p w14:paraId="5EF8AB3A" w14:textId="77777777" w:rsidR="00095387" w:rsidRDefault="00095387" w:rsidP="00095387">
            <w:pPr>
              <w:overflowPunct/>
              <w:autoSpaceDE/>
              <w:autoSpaceDN/>
              <w:adjustRightInd/>
              <w:jc w:val="center"/>
              <w:textAlignment w:val="auto"/>
              <w:rPr>
                <w:rFonts w:ascii="Arial" w:hAnsi="Arial" w:cs="Arial"/>
                <w:color w:val="000000"/>
                <w:sz w:val="16"/>
                <w:szCs w:val="16"/>
              </w:rPr>
            </w:pPr>
          </w:p>
        </w:tc>
        <w:tc>
          <w:tcPr>
            <w:tcW w:w="1160" w:type="dxa"/>
            <w:gridSpan w:val="2"/>
            <w:tcBorders>
              <w:top w:val="nil"/>
              <w:left w:val="nil"/>
              <w:bottom w:val="single" w:sz="4" w:space="0" w:color="auto"/>
              <w:right w:val="single" w:sz="4" w:space="0" w:color="auto"/>
            </w:tcBorders>
            <w:shd w:val="clear" w:color="auto" w:fill="auto"/>
          </w:tcPr>
          <w:p w14:paraId="04CDB9F3" w14:textId="23702E31" w:rsidR="00095387" w:rsidRPr="00095387" w:rsidRDefault="00095387" w:rsidP="00C61283">
            <w:pPr>
              <w:overflowPunct/>
              <w:autoSpaceDE/>
              <w:autoSpaceDN/>
              <w:adjustRightInd/>
              <w:jc w:val="right"/>
              <w:textAlignment w:val="auto"/>
              <w:rPr>
                <w:rFonts w:ascii="Arial" w:hAnsi="Arial" w:cs="Arial"/>
                <w:b/>
                <w:color w:val="000000"/>
                <w:sz w:val="20"/>
                <w:szCs w:val="20"/>
              </w:rPr>
            </w:pPr>
            <w:r w:rsidRPr="00095387">
              <w:rPr>
                <w:b/>
                <w:sz w:val="20"/>
                <w:szCs w:val="20"/>
              </w:rPr>
              <w:t>1</w:t>
            </w:r>
            <w:r w:rsidR="00456528">
              <w:rPr>
                <w:b/>
                <w:sz w:val="20"/>
                <w:szCs w:val="20"/>
              </w:rPr>
              <w:t>,</w:t>
            </w:r>
            <w:r w:rsidRPr="00095387">
              <w:rPr>
                <w:b/>
                <w:sz w:val="20"/>
                <w:szCs w:val="20"/>
              </w:rPr>
              <w:t>5011.000</w:t>
            </w:r>
          </w:p>
        </w:tc>
        <w:tc>
          <w:tcPr>
            <w:tcW w:w="1120" w:type="dxa"/>
            <w:tcBorders>
              <w:top w:val="nil"/>
              <w:left w:val="nil"/>
              <w:bottom w:val="single" w:sz="4" w:space="0" w:color="auto"/>
              <w:right w:val="single" w:sz="4" w:space="0" w:color="auto"/>
            </w:tcBorders>
            <w:shd w:val="clear" w:color="auto" w:fill="auto"/>
          </w:tcPr>
          <w:p w14:paraId="636345A4" w14:textId="77777777" w:rsidR="00095387" w:rsidRDefault="00095387" w:rsidP="00095387">
            <w:pPr>
              <w:overflowPunct/>
              <w:autoSpaceDE/>
              <w:autoSpaceDN/>
              <w:adjustRightInd/>
              <w:jc w:val="center"/>
              <w:textAlignment w:val="auto"/>
              <w:rPr>
                <w:rFonts w:ascii="Arial" w:hAnsi="Arial" w:cs="Arial"/>
                <w:color w:val="000000"/>
                <w:sz w:val="16"/>
                <w:szCs w:val="16"/>
              </w:rPr>
            </w:pPr>
          </w:p>
        </w:tc>
        <w:tc>
          <w:tcPr>
            <w:tcW w:w="1408" w:type="dxa"/>
            <w:tcBorders>
              <w:top w:val="nil"/>
              <w:left w:val="nil"/>
              <w:bottom w:val="single" w:sz="4" w:space="0" w:color="auto"/>
              <w:right w:val="single" w:sz="4" w:space="0" w:color="auto"/>
            </w:tcBorders>
            <w:shd w:val="clear" w:color="auto" w:fill="auto"/>
          </w:tcPr>
          <w:p w14:paraId="72737E6A" w14:textId="3E67AB03" w:rsidR="00095387" w:rsidRPr="00095387" w:rsidRDefault="00095387" w:rsidP="00C61283">
            <w:pPr>
              <w:overflowPunct/>
              <w:autoSpaceDE/>
              <w:autoSpaceDN/>
              <w:adjustRightInd/>
              <w:jc w:val="right"/>
              <w:textAlignment w:val="auto"/>
              <w:rPr>
                <w:rFonts w:ascii="Arial" w:hAnsi="Arial" w:cs="Arial"/>
                <w:b/>
                <w:color w:val="000000"/>
                <w:sz w:val="16"/>
                <w:szCs w:val="16"/>
              </w:rPr>
            </w:pPr>
            <w:r w:rsidRPr="00095387">
              <w:rPr>
                <w:rFonts w:ascii="Arial" w:hAnsi="Arial" w:cs="Arial"/>
                <w:b/>
                <w:color w:val="000000"/>
                <w:sz w:val="16"/>
                <w:szCs w:val="16"/>
              </w:rPr>
              <w:t>4</w:t>
            </w:r>
            <w:r w:rsidR="005909FE">
              <w:rPr>
                <w:rFonts w:ascii="Arial" w:hAnsi="Arial" w:cs="Arial"/>
                <w:b/>
                <w:color w:val="000000"/>
                <w:sz w:val="16"/>
                <w:szCs w:val="16"/>
              </w:rPr>
              <w:t>,</w:t>
            </w:r>
            <w:r w:rsidRPr="00095387">
              <w:rPr>
                <w:rFonts w:ascii="Arial" w:hAnsi="Arial" w:cs="Arial"/>
                <w:b/>
                <w:color w:val="000000"/>
                <w:sz w:val="16"/>
                <w:szCs w:val="16"/>
              </w:rPr>
              <w:t>424.3</w:t>
            </w:r>
            <w:r w:rsidR="00C61283">
              <w:rPr>
                <w:rFonts w:ascii="Arial" w:hAnsi="Arial" w:cs="Arial"/>
                <w:b/>
                <w:color w:val="000000"/>
                <w:sz w:val="16"/>
                <w:szCs w:val="16"/>
              </w:rPr>
              <w:t>00</w:t>
            </w:r>
          </w:p>
        </w:tc>
      </w:tr>
      <w:tr w:rsidR="00653F8A" w:rsidRPr="00653F8A" w14:paraId="0071A367" w14:textId="77777777" w:rsidTr="00967CD2">
        <w:trPr>
          <w:trHeight w:val="437"/>
        </w:trPr>
        <w:tc>
          <w:tcPr>
            <w:tcW w:w="10998" w:type="dxa"/>
            <w:gridSpan w:val="12"/>
          </w:tcPr>
          <w:p w14:paraId="0989A452" w14:textId="13D8D4C9" w:rsidR="00653F8A" w:rsidRPr="00C61283" w:rsidRDefault="00653F8A" w:rsidP="00F451AB">
            <w:pPr>
              <w:overflowPunct/>
              <w:autoSpaceDE/>
              <w:autoSpaceDN/>
              <w:adjustRightInd/>
              <w:textAlignment w:val="auto"/>
            </w:pPr>
            <w:r w:rsidRPr="005909FE">
              <w:rPr>
                <w:b/>
                <w:i/>
                <w:color w:val="000000"/>
                <w:sz w:val="18"/>
                <w:szCs w:val="18"/>
              </w:rPr>
              <w:t>The burden for the Items listed below is based on volume and/or number of requests.</w:t>
            </w:r>
            <w:r w:rsidR="001B0A16" w:rsidRPr="005909FE">
              <w:t xml:space="preserve"> </w:t>
            </w:r>
            <w:r w:rsidR="001B0A16" w:rsidRPr="005909FE">
              <w:rPr>
                <w:b/>
                <w:i/>
                <w:color w:val="000000"/>
                <w:sz w:val="18"/>
                <w:szCs w:val="18"/>
              </w:rPr>
              <w:t>The</w:t>
            </w:r>
            <w:r w:rsidR="00F451AB" w:rsidRPr="005909FE">
              <w:rPr>
                <w:b/>
                <w:i/>
                <w:color w:val="000000"/>
                <w:sz w:val="18"/>
                <w:szCs w:val="18"/>
              </w:rPr>
              <w:t xml:space="preserve"> volume refers to the  </w:t>
            </w:r>
            <w:r w:rsidR="001B0A16" w:rsidRPr="005909FE">
              <w:rPr>
                <w:b/>
                <w:i/>
                <w:color w:val="000000"/>
                <w:sz w:val="18"/>
                <w:szCs w:val="18"/>
              </w:rPr>
              <w:t>forms and appendices rather than participant</w:t>
            </w:r>
            <w:r w:rsidR="00F451AB" w:rsidRPr="005909FE">
              <w:rPr>
                <w:b/>
                <w:i/>
                <w:color w:val="000000"/>
                <w:sz w:val="18"/>
                <w:szCs w:val="18"/>
              </w:rPr>
              <w:t xml:space="preserve">s (respondents), which </w:t>
            </w:r>
            <w:r w:rsidR="001B0A16" w:rsidRPr="005909FE">
              <w:rPr>
                <w:b/>
                <w:i/>
                <w:color w:val="000000"/>
                <w:sz w:val="18"/>
                <w:szCs w:val="18"/>
              </w:rPr>
              <w:t>have increased as our portfolio has grown</w:t>
            </w:r>
            <w:bookmarkStart w:id="1" w:name="_GoBack"/>
            <w:bookmarkEnd w:id="1"/>
            <w:r w:rsidR="00F451AB" w:rsidRPr="005909FE">
              <w:rPr>
                <w:b/>
                <w:i/>
                <w:color w:val="000000"/>
                <w:sz w:val="18"/>
                <w:szCs w:val="18"/>
              </w:rPr>
              <w:t>.</w:t>
            </w:r>
          </w:p>
        </w:tc>
      </w:tr>
    </w:tbl>
    <w:tbl>
      <w:tblPr>
        <w:tblStyle w:val="TableGrid2"/>
        <w:tblW w:w="11335" w:type="dxa"/>
        <w:tblLayout w:type="fixed"/>
        <w:tblLook w:val="04A0" w:firstRow="1" w:lastRow="0" w:firstColumn="1" w:lastColumn="0" w:noHBand="0" w:noVBand="1"/>
      </w:tblPr>
      <w:tblGrid>
        <w:gridCol w:w="946"/>
        <w:gridCol w:w="1119"/>
        <w:gridCol w:w="2700"/>
        <w:gridCol w:w="1440"/>
        <w:gridCol w:w="1080"/>
        <w:gridCol w:w="1260"/>
        <w:gridCol w:w="1080"/>
        <w:gridCol w:w="1710"/>
      </w:tblGrid>
      <w:tr w:rsidR="005909FE" w14:paraId="7FB006D4" w14:textId="77777777" w:rsidTr="004F210D">
        <w:trPr>
          <w:trHeight w:val="482"/>
        </w:trPr>
        <w:tc>
          <w:tcPr>
            <w:tcW w:w="946" w:type="dxa"/>
            <w:tcBorders>
              <w:top w:val="single" w:sz="4" w:space="0" w:color="auto"/>
              <w:left w:val="single" w:sz="4" w:space="0" w:color="auto"/>
              <w:bottom w:val="single" w:sz="4" w:space="0" w:color="auto"/>
              <w:right w:val="single" w:sz="4" w:space="0" w:color="auto"/>
            </w:tcBorders>
            <w:shd w:val="clear" w:color="000000" w:fill="FFFFFF"/>
            <w:vAlign w:val="bottom"/>
          </w:tcPr>
          <w:p w14:paraId="22965015" w14:textId="3F3E97DF" w:rsidR="00967CD2" w:rsidRPr="00143FFB" w:rsidRDefault="00967CD2" w:rsidP="00967CD2">
            <w:pPr>
              <w:jc w:val="center"/>
              <w:rPr>
                <w:sz w:val="18"/>
                <w:szCs w:val="18"/>
                <w:highlight w:val="yellow"/>
              </w:rPr>
            </w:pPr>
            <w:r>
              <w:rPr>
                <w:rFonts w:ascii="Arial" w:hAnsi="Arial" w:cs="Arial"/>
                <w:color w:val="000000"/>
                <w:sz w:val="16"/>
                <w:szCs w:val="16"/>
              </w:rPr>
              <w:t>11705</w:t>
            </w:r>
          </w:p>
        </w:tc>
        <w:tc>
          <w:tcPr>
            <w:tcW w:w="1119" w:type="dxa"/>
            <w:tcBorders>
              <w:top w:val="single" w:sz="4" w:space="0" w:color="auto"/>
              <w:left w:val="nil"/>
              <w:bottom w:val="single" w:sz="4" w:space="0" w:color="auto"/>
              <w:right w:val="single" w:sz="4" w:space="0" w:color="auto"/>
            </w:tcBorders>
            <w:shd w:val="clear" w:color="000000" w:fill="FFFFFF"/>
            <w:vAlign w:val="bottom"/>
          </w:tcPr>
          <w:p w14:paraId="7B8AE8CE" w14:textId="5C91C3F3" w:rsidR="00967CD2" w:rsidRPr="00143FFB" w:rsidRDefault="00967CD2" w:rsidP="00967CD2">
            <w:pPr>
              <w:jc w:val="center"/>
              <w:rPr>
                <w:sz w:val="18"/>
                <w:szCs w:val="18"/>
                <w:highlight w:val="yellow"/>
              </w:rPr>
            </w:pPr>
            <w:r>
              <w:rPr>
                <w:rFonts w:ascii="Arial" w:hAnsi="Arial" w:cs="Arial"/>
                <w:color w:val="000000"/>
                <w:sz w:val="16"/>
                <w:szCs w:val="16"/>
              </w:rPr>
              <w:t>III-6</w:t>
            </w:r>
          </w:p>
        </w:tc>
        <w:tc>
          <w:tcPr>
            <w:tcW w:w="2700" w:type="dxa"/>
            <w:tcBorders>
              <w:top w:val="single" w:sz="4" w:space="0" w:color="auto"/>
              <w:left w:val="nil"/>
              <w:bottom w:val="single" w:sz="4" w:space="0" w:color="auto"/>
              <w:right w:val="single" w:sz="4" w:space="0" w:color="auto"/>
            </w:tcBorders>
            <w:shd w:val="clear" w:color="000000" w:fill="FFFFFF"/>
            <w:vAlign w:val="bottom"/>
          </w:tcPr>
          <w:p w14:paraId="1B120E80" w14:textId="143BC24A" w:rsidR="00967CD2" w:rsidRPr="00143FFB" w:rsidRDefault="00967CD2" w:rsidP="00967CD2">
            <w:pPr>
              <w:rPr>
                <w:sz w:val="18"/>
                <w:szCs w:val="18"/>
                <w:highlight w:val="yellow"/>
              </w:rPr>
            </w:pPr>
            <w:r>
              <w:rPr>
                <w:rFonts w:ascii="Arial" w:hAnsi="Arial" w:cs="Arial"/>
                <w:color w:val="000000"/>
                <w:sz w:val="16"/>
                <w:szCs w:val="16"/>
              </w:rPr>
              <w:t>Schedule of Subscribers and Ginnie Mae Guaranty Agreement</w:t>
            </w:r>
          </w:p>
        </w:tc>
        <w:tc>
          <w:tcPr>
            <w:tcW w:w="1440" w:type="dxa"/>
            <w:tcBorders>
              <w:top w:val="single" w:sz="4" w:space="0" w:color="auto"/>
              <w:left w:val="nil"/>
              <w:bottom w:val="single" w:sz="4" w:space="0" w:color="auto"/>
              <w:right w:val="single" w:sz="4" w:space="0" w:color="auto"/>
            </w:tcBorders>
            <w:shd w:val="clear" w:color="000000" w:fill="FFFFFF"/>
            <w:vAlign w:val="bottom"/>
          </w:tcPr>
          <w:p w14:paraId="1EC316B3" w14:textId="3B479EEE" w:rsidR="00967CD2" w:rsidRPr="00143FFB" w:rsidRDefault="00967CD2" w:rsidP="00F451AB">
            <w:pPr>
              <w:jc w:val="right"/>
              <w:rPr>
                <w:sz w:val="18"/>
                <w:szCs w:val="18"/>
                <w:highlight w:val="yellow"/>
              </w:rPr>
            </w:pPr>
            <w:r>
              <w:rPr>
                <w:rFonts w:ascii="Arial" w:hAnsi="Arial" w:cs="Arial"/>
                <w:color w:val="000000"/>
                <w:sz w:val="16"/>
                <w:szCs w:val="16"/>
              </w:rPr>
              <w:t>3500.000</w:t>
            </w:r>
          </w:p>
        </w:tc>
        <w:tc>
          <w:tcPr>
            <w:tcW w:w="1080" w:type="dxa"/>
            <w:tcBorders>
              <w:top w:val="single" w:sz="4" w:space="0" w:color="auto"/>
              <w:left w:val="nil"/>
              <w:bottom w:val="single" w:sz="4" w:space="0" w:color="auto"/>
              <w:right w:val="single" w:sz="4" w:space="0" w:color="auto"/>
            </w:tcBorders>
            <w:shd w:val="clear" w:color="000000" w:fill="FFFFFF"/>
            <w:vAlign w:val="bottom"/>
          </w:tcPr>
          <w:p w14:paraId="3D4A8E78" w14:textId="79AA9ABD" w:rsidR="00967CD2" w:rsidRPr="00143FFB" w:rsidRDefault="00967CD2" w:rsidP="00C61283">
            <w:pPr>
              <w:jc w:val="right"/>
              <w:rPr>
                <w:sz w:val="18"/>
                <w:szCs w:val="18"/>
                <w:highlight w:val="yellow"/>
              </w:rPr>
            </w:pPr>
            <w:r>
              <w:rPr>
                <w:rFonts w:ascii="Arial" w:hAnsi="Arial" w:cs="Arial"/>
                <w:color w:val="000000"/>
                <w:sz w:val="16"/>
                <w:szCs w:val="16"/>
              </w:rPr>
              <w:t>12</w:t>
            </w:r>
          </w:p>
        </w:tc>
        <w:tc>
          <w:tcPr>
            <w:tcW w:w="1260" w:type="dxa"/>
            <w:tcBorders>
              <w:top w:val="single" w:sz="4" w:space="0" w:color="auto"/>
              <w:left w:val="nil"/>
              <w:bottom w:val="single" w:sz="4" w:space="0" w:color="auto"/>
              <w:right w:val="single" w:sz="4" w:space="0" w:color="auto"/>
            </w:tcBorders>
            <w:shd w:val="clear" w:color="auto" w:fill="auto"/>
            <w:vAlign w:val="bottom"/>
          </w:tcPr>
          <w:p w14:paraId="70486955" w14:textId="225864E1" w:rsidR="00967CD2" w:rsidRPr="00143FFB" w:rsidRDefault="00967CD2" w:rsidP="00C61283">
            <w:pPr>
              <w:widowControl w:val="0"/>
              <w:jc w:val="right"/>
              <w:rPr>
                <w:sz w:val="16"/>
                <w:szCs w:val="16"/>
                <w:highlight w:val="yellow"/>
              </w:rPr>
            </w:pPr>
            <w:r>
              <w:rPr>
                <w:rFonts w:ascii="Arial" w:hAnsi="Arial" w:cs="Arial"/>
                <w:color w:val="000000"/>
                <w:sz w:val="16"/>
                <w:szCs w:val="16"/>
              </w:rPr>
              <w:t>42,000.000</w:t>
            </w:r>
          </w:p>
        </w:tc>
        <w:tc>
          <w:tcPr>
            <w:tcW w:w="1080" w:type="dxa"/>
            <w:tcBorders>
              <w:top w:val="single" w:sz="4" w:space="0" w:color="auto"/>
              <w:left w:val="nil"/>
              <w:bottom w:val="single" w:sz="4" w:space="0" w:color="auto"/>
              <w:right w:val="single" w:sz="4" w:space="0" w:color="auto"/>
            </w:tcBorders>
            <w:shd w:val="clear" w:color="auto" w:fill="auto"/>
            <w:vAlign w:val="bottom"/>
          </w:tcPr>
          <w:p w14:paraId="24FDD69F" w14:textId="12429C7E" w:rsidR="00967CD2" w:rsidRPr="00143FFB" w:rsidRDefault="00967CD2" w:rsidP="00C61283">
            <w:pPr>
              <w:widowControl w:val="0"/>
              <w:jc w:val="right"/>
              <w:rPr>
                <w:sz w:val="16"/>
                <w:szCs w:val="16"/>
                <w:highlight w:val="yellow"/>
              </w:rPr>
            </w:pPr>
            <w:r>
              <w:rPr>
                <w:rFonts w:ascii="Arial" w:hAnsi="Arial" w:cs="Arial"/>
                <w:color w:val="000000"/>
                <w:sz w:val="16"/>
                <w:szCs w:val="16"/>
              </w:rPr>
              <w:t>0.050</w:t>
            </w:r>
          </w:p>
        </w:tc>
        <w:tc>
          <w:tcPr>
            <w:tcW w:w="1710" w:type="dxa"/>
            <w:tcBorders>
              <w:top w:val="single" w:sz="4" w:space="0" w:color="auto"/>
              <w:left w:val="nil"/>
              <w:bottom w:val="single" w:sz="4" w:space="0" w:color="auto"/>
              <w:right w:val="single" w:sz="4" w:space="0" w:color="auto"/>
            </w:tcBorders>
            <w:shd w:val="clear" w:color="000000" w:fill="FFFFFF"/>
            <w:vAlign w:val="bottom"/>
          </w:tcPr>
          <w:p w14:paraId="391F453D" w14:textId="553C4A32" w:rsidR="00967CD2" w:rsidRPr="00143FFB" w:rsidRDefault="00967CD2" w:rsidP="00C61283">
            <w:pPr>
              <w:widowControl w:val="0"/>
              <w:jc w:val="right"/>
              <w:rPr>
                <w:sz w:val="16"/>
                <w:szCs w:val="16"/>
                <w:highlight w:val="yellow"/>
              </w:rPr>
            </w:pPr>
            <w:r>
              <w:rPr>
                <w:rFonts w:ascii="Arial" w:hAnsi="Arial" w:cs="Arial"/>
                <w:color w:val="000000"/>
                <w:sz w:val="16"/>
                <w:szCs w:val="16"/>
              </w:rPr>
              <w:t>2,100.000</w:t>
            </w:r>
          </w:p>
        </w:tc>
      </w:tr>
      <w:tr w:rsidR="005909FE" w14:paraId="7B7744DA" w14:textId="77777777" w:rsidTr="004F210D">
        <w:trPr>
          <w:trHeight w:val="347"/>
        </w:trPr>
        <w:tc>
          <w:tcPr>
            <w:tcW w:w="946" w:type="dxa"/>
            <w:tcBorders>
              <w:top w:val="nil"/>
              <w:left w:val="single" w:sz="4" w:space="0" w:color="auto"/>
              <w:bottom w:val="single" w:sz="4" w:space="0" w:color="auto"/>
              <w:right w:val="single" w:sz="4" w:space="0" w:color="auto"/>
            </w:tcBorders>
            <w:shd w:val="clear" w:color="000000" w:fill="FFFFFF"/>
            <w:vAlign w:val="bottom"/>
          </w:tcPr>
          <w:p w14:paraId="1F02F2C5" w14:textId="75D86C0B" w:rsidR="00967CD2" w:rsidRPr="00143FFB" w:rsidRDefault="00967CD2" w:rsidP="00967CD2">
            <w:pPr>
              <w:jc w:val="center"/>
              <w:rPr>
                <w:sz w:val="18"/>
                <w:szCs w:val="18"/>
                <w:highlight w:val="yellow"/>
              </w:rPr>
            </w:pPr>
            <w:r>
              <w:rPr>
                <w:rFonts w:ascii="Arial" w:hAnsi="Arial" w:cs="Arial"/>
                <w:color w:val="000000"/>
                <w:sz w:val="16"/>
                <w:szCs w:val="16"/>
              </w:rPr>
              <w:t>11706</w:t>
            </w:r>
          </w:p>
        </w:tc>
        <w:tc>
          <w:tcPr>
            <w:tcW w:w="1119" w:type="dxa"/>
            <w:tcBorders>
              <w:top w:val="nil"/>
              <w:left w:val="nil"/>
              <w:bottom w:val="single" w:sz="4" w:space="0" w:color="auto"/>
              <w:right w:val="single" w:sz="4" w:space="0" w:color="auto"/>
            </w:tcBorders>
            <w:shd w:val="clear" w:color="000000" w:fill="FFFFFF"/>
            <w:vAlign w:val="bottom"/>
          </w:tcPr>
          <w:p w14:paraId="4F283DDE" w14:textId="7A9A5F8D" w:rsidR="00967CD2" w:rsidRPr="00143FFB" w:rsidRDefault="00967CD2" w:rsidP="00967CD2">
            <w:pPr>
              <w:jc w:val="center"/>
              <w:rPr>
                <w:sz w:val="18"/>
                <w:szCs w:val="18"/>
                <w:highlight w:val="yellow"/>
              </w:rPr>
            </w:pPr>
            <w:r>
              <w:rPr>
                <w:rFonts w:ascii="Arial" w:hAnsi="Arial" w:cs="Arial"/>
                <w:color w:val="000000"/>
                <w:sz w:val="16"/>
                <w:szCs w:val="16"/>
              </w:rPr>
              <w:t>III-7</w:t>
            </w:r>
          </w:p>
        </w:tc>
        <w:tc>
          <w:tcPr>
            <w:tcW w:w="2700" w:type="dxa"/>
            <w:tcBorders>
              <w:top w:val="nil"/>
              <w:left w:val="nil"/>
              <w:bottom w:val="single" w:sz="4" w:space="0" w:color="auto"/>
              <w:right w:val="single" w:sz="4" w:space="0" w:color="auto"/>
            </w:tcBorders>
            <w:shd w:val="clear" w:color="000000" w:fill="FFFFFF"/>
            <w:vAlign w:val="bottom"/>
          </w:tcPr>
          <w:p w14:paraId="55DA405E" w14:textId="2139F885" w:rsidR="00967CD2" w:rsidRPr="00143FFB" w:rsidRDefault="00967CD2" w:rsidP="00967CD2">
            <w:pPr>
              <w:rPr>
                <w:sz w:val="18"/>
                <w:szCs w:val="18"/>
                <w:highlight w:val="yellow"/>
              </w:rPr>
            </w:pPr>
            <w:r>
              <w:rPr>
                <w:rFonts w:ascii="Arial" w:hAnsi="Arial" w:cs="Arial"/>
                <w:color w:val="000000"/>
                <w:sz w:val="16"/>
                <w:szCs w:val="16"/>
              </w:rPr>
              <w:t xml:space="preserve">Schedule of Pooled Mortgages </w:t>
            </w:r>
          </w:p>
        </w:tc>
        <w:tc>
          <w:tcPr>
            <w:tcW w:w="1440" w:type="dxa"/>
            <w:tcBorders>
              <w:top w:val="nil"/>
              <w:left w:val="nil"/>
              <w:bottom w:val="single" w:sz="4" w:space="0" w:color="auto"/>
              <w:right w:val="single" w:sz="4" w:space="0" w:color="auto"/>
            </w:tcBorders>
            <w:shd w:val="clear" w:color="000000" w:fill="FFFFFF"/>
            <w:vAlign w:val="bottom"/>
          </w:tcPr>
          <w:p w14:paraId="30E4445F" w14:textId="3B86EFE3" w:rsidR="00967CD2" w:rsidRPr="00143FFB" w:rsidRDefault="00967CD2" w:rsidP="00F451AB">
            <w:pPr>
              <w:jc w:val="right"/>
              <w:rPr>
                <w:sz w:val="18"/>
                <w:szCs w:val="18"/>
                <w:highlight w:val="yellow"/>
              </w:rPr>
            </w:pPr>
            <w:r>
              <w:rPr>
                <w:rFonts w:ascii="Arial" w:hAnsi="Arial" w:cs="Arial"/>
                <w:color w:val="000000"/>
                <w:sz w:val="16"/>
                <w:szCs w:val="16"/>
              </w:rPr>
              <w:t>3500.000</w:t>
            </w:r>
          </w:p>
        </w:tc>
        <w:tc>
          <w:tcPr>
            <w:tcW w:w="1080" w:type="dxa"/>
            <w:tcBorders>
              <w:top w:val="nil"/>
              <w:left w:val="nil"/>
              <w:bottom w:val="single" w:sz="4" w:space="0" w:color="auto"/>
              <w:right w:val="single" w:sz="4" w:space="0" w:color="auto"/>
            </w:tcBorders>
            <w:shd w:val="clear" w:color="000000" w:fill="FFFFFF"/>
            <w:vAlign w:val="bottom"/>
          </w:tcPr>
          <w:p w14:paraId="401FAB68" w14:textId="1E3B1AB5" w:rsidR="00967CD2" w:rsidRPr="00143FFB" w:rsidRDefault="00967CD2" w:rsidP="00C61283">
            <w:pPr>
              <w:jc w:val="right"/>
              <w:rPr>
                <w:sz w:val="18"/>
                <w:szCs w:val="18"/>
                <w:highlight w:val="yellow"/>
              </w:rPr>
            </w:pPr>
            <w:r>
              <w:rPr>
                <w:rFonts w:ascii="Arial" w:hAnsi="Arial" w:cs="Arial"/>
                <w:color w:val="000000"/>
                <w:sz w:val="16"/>
                <w:szCs w:val="16"/>
              </w:rPr>
              <w:t>12</w:t>
            </w:r>
          </w:p>
        </w:tc>
        <w:tc>
          <w:tcPr>
            <w:tcW w:w="1260" w:type="dxa"/>
            <w:tcBorders>
              <w:top w:val="nil"/>
              <w:left w:val="nil"/>
              <w:bottom w:val="single" w:sz="4" w:space="0" w:color="auto"/>
              <w:right w:val="single" w:sz="4" w:space="0" w:color="auto"/>
            </w:tcBorders>
            <w:shd w:val="clear" w:color="auto" w:fill="auto"/>
            <w:vAlign w:val="bottom"/>
          </w:tcPr>
          <w:p w14:paraId="19FF85C8" w14:textId="381C23F7" w:rsidR="00967CD2" w:rsidRPr="00143FFB" w:rsidRDefault="00967CD2" w:rsidP="00C61283">
            <w:pPr>
              <w:widowControl w:val="0"/>
              <w:jc w:val="right"/>
              <w:rPr>
                <w:sz w:val="16"/>
                <w:szCs w:val="16"/>
                <w:highlight w:val="yellow"/>
              </w:rPr>
            </w:pPr>
            <w:r>
              <w:rPr>
                <w:rFonts w:ascii="Arial" w:hAnsi="Arial" w:cs="Arial"/>
                <w:color w:val="000000"/>
                <w:sz w:val="16"/>
                <w:szCs w:val="16"/>
              </w:rPr>
              <w:t>42,000.000</w:t>
            </w:r>
          </w:p>
        </w:tc>
        <w:tc>
          <w:tcPr>
            <w:tcW w:w="1080" w:type="dxa"/>
            <w:tcBorders>
              <w:top w:val="nil"/>
              <w:left w:val="nil"/>
              <w:bottom w:val="single" w:sz="4" w:space="0" w:color="auto"/>
              <w:right w:val="single" w:sz="4" w:space="0" w:color="auto"/>
            </w:tcBorders>
            <w:shd w:val="clear" w:color="auto" w:fill="auto"/>
            <w:vAlign w:val="bottom"/>
          </w:tcPr>
          <w:p w14:paraId="7ABC0AB1" w14:textId="5E196A86" w:rsidR="00967CD2" w:rsidRPr="00143FFB" w:rsidRDefault="00967CD2" w:rsidP="00C61283">
            <w:pPr>
              <w:widowControl w:val="0"/>
              <w:jc w:val="right"/>
              <w:rPr>
                <w:sz w:val="16"/>
                <w:szCs w:val="16"/>
                <w:highlight w:val="yellow"/>
              </w:rPr>
            </w:pPr>
            <w:r>
              <w:rPr>
                <w:rFonts w:ascii="Arial" w:hAnsi="Arial" w:cs="Arial"/>
                <w:color w:val="000000"/>
                <w:sz w:val="16"/>
                <w:szCs w:val="16"/>
              </w:rPr>
              <w:t>0.800</w:t>
            </w:r>
          </w:p>
        </w:tc>
        <w:tc>
          <w:tcPr>
            <w:tcW w:w="1710" w:type="dxa"/>
            <w:tcBorders>
              <w:top w:val="nil"/>
              <w:left w:val="nil"/>
              <w:bottom w:val="single" w:sz="4" w:space="0" w:color="auto"/>
              <w:right w:val="single" w:sz="4" w:space="0" w:color="auto"/>
            </w:tcBorders>
            <w:shd w:val="clear" w:color="000000" w:fill="FFFFFF"/>
            <w:vAlign w:val="bottom"/>
          </w:tcPr>
          <w:p w14:paraId="1AF31B9E" w14:textId="1AC11251" w:rsidR="00967CD2" w:rsidRPr="00143FFB" w:rsidRDefault="00967CD2" w:rsidP="00C61283">
            <w:pPr>
              <w:widowControl w:val="0"/>
              <w:jc w:val="right"/>
              <w:rPr>
                <w:sz w:val="16"/>
                <w:szCs w:val="16"/>
                <w:highlight w:val="yellow"/>
              </w:rPr>
            </w:pPr>
            <w:r>
              <w:rPr>
                <w:rFonts w:ascii="Arial" w:hAnsi="Arial" w:cs="Arial"/>
                <w:color w:val="000000"/>
                <w:sz w:val="16"/>
                <w:szCs w:val="16"/>
              </w:rPr>
              <w:t>33,600.000</w:t>
            </w:r>
          </w:p>
        </w:tc>
      </w:tr>
      <w:tr w:rsidR="005909FE" w14:paraId="7854F110" w14:textId="77777777" w:rsidTr="004F210D">
        <w:trPr>
          <w:trHeight w:val="707"/>
        </w:trPr>
        <w:tc>
          <w:tcPr>
            <w:tcW w:w="946" w:type="dxa"/>
            <w:tcBorders>
              <w:top w:val="nil"/>
              <w:left w:val="single" w:sz="4" w:space="0" w:color="auto"/>
              <w:bottom w:val="single" w:sz="4" w:space="0" w:color="auto"/>
              <w:right w:val="single" w:sz="4" w:space="0" w:color="auto"/>
            </w:tcBorders>
            <w:shd w:val="clear" w:color="000000" w:fill="FFFFFF"/>
            <w:vAlign w:val="bottom"/>
          </w:tcPr>
          <w:p w14:paraId="299951D6" w14:textId="52DA9E66" w:rsidR="00967CD2" w:rsidRPr="00143FFB" w:rsidRDefault="00967CD2" w:rsidP="00967CD2">
            <w:pPr>
              <w:jc w:val="center"/>
              <w:rPr>
                <w:sz w:val="18"/>
                <w:szCs w:val="18"/>
                <w:highlight w:val="yellow"/>
              </w:rPr>
            </w:pPr>
            <w:r>
              <w:rPr>
                <w:rFonts w:ascii="Arial" w:hAnsi="Arial" w:cs="Arial"/>
                <w:color w:val="000000"/>
                <w:sz w:val="16"/>
                <w:szCs w:val="16"/>
              </w:rPr>
              <w:t>11705H &amp; 11706H</w:t>
            </w:r>
          </w:p>
        </w:tc>
        <w:tc>
          <w:tcPr>
            <w:tcW w:w="1119" w:type="dxa"/>
            <w:tcBorders>
              <w:top w:val="nil"/>
              <w:left w:val="nil"/>
              <w:bottom w:val="single" w:sz="4" w:space="0" w:color="auto"/>
              <w:right w:val="single" w:sz="4" w:space="0" w:color="auto"/>
            </w:tcBorders>
            <w:shd w:val="clear" w:color="000000" w:fill="FFFFFF"/>
            <w:vAlign w:val="bottom"/>
          </w:tcPr>
          <w:p w14:paraId="79E55548" w14:textId="7BCA5C4D" w:rsidR="00967CD2" w:rsidRPr="00143FFB" w:rsidRDefault="00967CD2" w:rsidP="00967CD2">
            <w:pPr>
              <w:jc w:val="center"/>
              <w:rPr>
                <w:sz w:val="18"/>
                <w:szCs w:val="18"/>
                <w:highlight w:val="yellow"/>
              </w:rPr>
            </w:pPr>
            <w:r>
              <w:rPr>
                <w:rFonts w:ascii="Arial" w:hAnsi="Arial" w:cs="Arial"/>
                <w:color w:val="000000"/>
                <w:sz w:val="16"/>
                <w:szCs w:val="16"/>
              </w:rPr>
              <w:t>III-28</w:t>
            </w:r>
          </w:p>
        </w:tc>
        <w:tc>
          <w:tcPr>
            <w:tcW w:w="2700" w:type="dxa"/>
            <w:tcBorders>
              <w:top w:val="nil"/>
              <w:left w:val="nil"/>
              <w:bottom w:val="single" w:sz="4" w:space="0" w:color="auto"/>
              <w:right w:val="single" w:sz="4" w:space="0" w:color="auto"/>
            </w:tcBorders>
            <w:shd w:val="clear" w:color="000000" w:fill="FFFFFF"/>
            <w:vAlign w:val="bottom"/>
          </w:tcPr>
          <w:p w14:paraId="6E05A37D" w14:textId="55199925" w:rsidR="00967CD2" w:rsidRPr="00143FFB" w:rsidRDefault="00967CD2" w:rsidP="00967CD2">
            <w:pPr>
              <w:rPr>
                <w:sz w:val="18"/>
                <w:szCs w:val="18"/>
                <w:highlight w:val="yellow"/>
              </w:rPr>
            </w:pPr>
            <w:r>
              <w:rPr>
                <w:rFonts w:ascii="Arial" w:hAnsi="Arial" w:cs="Arial"/>
                <w:color w:val="000000"/>
                <w:sz w:val="16"/>
                <w:szCs w:val="16"/>
              </w:rPr>
              <w:t>Schedule of Subscribers and Ginnie Mae Guaranty Agreement - HMBS Pooling Import File Layout</w:t>
            </w:r>
          </w:p>
        </w:tc>
        <w:tc>
          <w:tcPr>
            <w:tcW w:w="1440" w:type="dxa"/>
            <w:tcBorders>
              <w:top w:val="nil"/>
              <w:left w:val="nil"/>
              <w:bottom w:val="single" w:sz="4" w:space="0" w:color="auto"/>
              <w:right w:val="single" w:sz="4" w:space="0" w:color="auto"/>
            </w:tcBorders>
            <w:shd w:val="clear" w:color="000000" w:fill="FFFFFF"/>
            <w:vAlign w:val="bottom"/>
          </w:tcPr>
          <w:p w14:paraId="695DE7D2" w14:textId="087C5D39" w:rsidR="00967CD2" w:rsidRPr="00143FFB" w:rsidRDefault="00967CD2" w:rsidP="00F451AB">
            <w:pPr>
              <w:jc w:val="right"/>
              <w:rPr>
                <w:sz w:val="18"/>
                <w:szCs w:val="18"/>
                <w:highlight w:val="yellow"/>
              </w:rPr>
            </w:pPr>
            <w:r>
              <w:rPr>
                <w:rFonts w:ascii="Arial" w:hAnsi="Arial" w:cs="Arial"/>
                <w:color w:val="000000"/>
                <w:sz w:val="16"/>
                <w:szCs w:val="16"/>
              </w:rPr>
              <w:t>80.000</w:t>
            </w:r>
          </w:p>
        </w:tc>
        <w:tc>
          <w:tcPr>
            <w:tcW w:w="1080" w:type="dxa"/>
            <w:tcBorders>
              <w:top w:val="nil"/>
              <w:left w:val="nil"/>
              <w:bottom w:val="single" w:sz="4" w:space="0" w:color="auto"/>
              <w:right w:val="single" w:sz="4" w:space="0" w:color="auto"/>
            </w:tcBorders>
            <w:shd w:val="clear" w:color="000000" w:fill="FFFFFF"/>
            <w:vAlign w:val="bottom"/>
          </w:tcPr>
          <w:p w14:paraId="52935567" w14:textId="74FD16E0" w:rsidR="00967CD2" w:rsidRPr="00143FFB" w:rsidRDefault="00967CD2" w:rsidP="00C61283">
            <w:pPr>
              <w:jc w:val="right"/>
              <w:rPr>
                <w:sz w:val="18"/>
                <w:szCs w:val="18"/>
                <w:highlight w:val="yellow"/>
              </w:rPr>
            </w:pPr>
            <w:r>
              <w:rPr>
                <w:rFonts w:ascii="Arial" w:hAnsi="Arial" w:cs="Arial"/>
                <w:color w:val="000000"/>
                <w:sz w:val="16"/>
                <w:szCs w:val="16"/>
              </w:rPr>
              <w:t>12</w:t>
            </w:r>
          </w:p>
        </w:tc>
        <w:tc>
          <w:tcPr>
            <w:tcW w:w="1260" w:type="dxa"/>
            <w:tcBorders>
              <w:top w:val="nil"/>
              <w:left w:val="nil"/>
              <w:bottom w:val="single" w:sz="4" w:space="0" w:color="auto"/>
              <w:right w:val="single" w:sz="4" w:space="0" w:color="auto"/>
            </w:tcBorders>
            <w:shd w:val="clear" w:color="auto" w:fill="auto"/>
            <w:vAlign w:val="bottom"/>
          </w:tcPr>
          <w:p w14:paraId="794042C1" w14:textId="553008DF" w:rsidR="00967CD2" w:rsidRPr="00143FFB" w:rsidRDefault="00967CD2" w:rsidP="00C61283">
            <w:pPr>
              <w:widowControl w:val="0"/>
              <w:jc w:val="right"/>
              <w:rPr>
                <w:sz w:val="16"/>
                <w:szCs w:val="16"/>
                <w:highlight w:val="yellow"/>
              </w:rPr>
            </w:pPr>
            <w:r>
              <w:rPr>
                <w:rFonts w:ascii="Arial" w:hAnsi="Arial" w:cs="Arial"/>
                <w:color w:val="000000"/>
                <w:sz w:val="16"/>
                <w:szCs w:val="16"/>
              </w:rPr>
              <w:t>960.000</w:t>
            </w:r>
          </w:p>
        </w:tc>
        <w:tc>
          <w:tcPr>
            <w:tcW w:w="1080" w:type="dxa"/>
            <w:tcBorders>
              <w:top w:val="nil"/>
              <w:left w:val="nil"/>
              <w:bottom w:val="single" w:sz="4" w:space="0" w:color="auto"/>
              <w:right w:val="single" w:sz="4" w:space="0" w:color="auto"/>
            </w:tcBorders>
            <w:shd w:val="clear" w:color="auto" w:fill="auto"/>
            <w:vAlign w:val="bottom"/>
          </w:tcPr>
          <w:p w14:paraId="314DED5C" w14:textId="569B8B9D" w:rsidR="00967CD2" w:rsidRPr="00143FFB" w:rsidRDefault="00967CD2" w:rsidP="00C61283">
            <w:pPr>
              <w:widowControl w:val="0"/>
              <w:jc w:val="right"/>
              <w:rPr>
                <w:sz w:val="16"/>
                <w:szCs w:val="16"/>
                <w:highlight w:val="yellow"/>
              </w:rPr>
            </w:pPr>
            <w:r>
              <w:rPr>
                <w:rFonts w:ascii="Arial" w:hAnsi="Arial" w:cs="Arial"/>
                <w:color w:val="000000"/>
                <w:sz w:val="16"/>
                <w:szCs w:val="16"/>
              </w:rPr>
              <w:t>0.050</w:t>
            </w:r>
          </w:p>
        </w:tc>
        <w:tc>
          <w:tcPr>
            <w:tcW w:w="1710" w:type="dxa"/>
            <w:tcBorders>
              <w:top w:val="nil"/>
              <w:left w:val="nil"/>
              <w:bottom w:val="single" w:sz="4" w:space="0" w:color="auto"/>
              <w:right w:val="single" w:sz="4" w:space="0" w:color="auto"/>
            </w:tcBorders>
            <w:shd w:val="clear" w:color="000000" w:fill="FFFFFF"/>
            <w:vAlign w:val="bottom"/>
          </w:tcPr>
          <w:p w14:paraId="1597B705" w14:textId="6772F0E8" w:rsidR="00967CD2" w:rsidRPr="00143FFB" w:rsidRDefault="00967CD2" w:rsidP="00C61283">
            <w:pPr>
              <w:widowControl w:val="0"/>
              <w:jc w:val="right"/>
              <w:rPr>
                <w:sz w:val="16"/>
                <w:szCs w:val="16"/>
                <w:highlight w:val="yellow"/>
              </w:rPr>
            </w:pPr>
            <w:r>
              <w:rPr>
                <w:rFonts w:ascii="Arial" w:hAnsi="Arial" w:cs="Arial"/>
                <w:color w:val="000000"/>
                <w:sz w:val="16"/>
                <w:szCs w:val="16"/>
              </w:rPr>
              <w:t>48.000</w:t>
            </w:r>
          </w:p>
        </w:tc>
      </w:tr>
      <w:tr w:rsidR="005909FE" w14:paraId="07B6E0B5" w14:textId="77777777" w:rsidTr="004F210D">
        <w:trPr>
          <w:trHeight w:val="275"/>
        </w:trPr>
        <w:tc>
          <w:tcPr>
            <w:tcW w:w="946" w:type="dxa"/>
            <w:tcBorders>
              <w:top w:val="nil"/>
              <w:left w:val="single" w:sz="4" w:space="0" w:color="auto"/>
              <w:bottom w:val="single" w:sz="4" w:space="0" w:color="auto"/>
              <w:right w:val="single" w:sz="4" w:space="0" w:color="auto"/>
            </w:tcBorders>
            <w:shd w:val="clear" w:color="000000" w:fill="FFFFFF"/>
            <w:vAlign w:val="bottom"/>
          </w:tcPr>
          <w:p w14:paraId="6DB0E021" w14:textId="371149F2" w:rsidR="00967CD2" w:rsidRPr="00143FFB" w:rsidRDefault="00967CD2" w:rsidP="00967CD2">
            <w:pPr>
              <w:jc w:val="center"/>
              <w:rPr>
                <w:sz w:val="18"/>
                <w:szCs w:val="18"/>
                <w:highlight w:val="yellow"/>
              </w:rPr>
            </w:pPr>
            <w:r>
              <w:rPr>
                <w:rFonts w:ascii="Arial" w:hAnsi="Arial" w:cs="Arial"/>
                <w:color w:val="000000"/>
                <w:sz w:val="16"/>
                <w:szCs w:val="16"/>
              </w:rPr>
              <w:t>11708</w:t>
            </w:r>
          </w:p>
        </w:tc>
        <w:tc>
          <w:tcPr>
            <w:tcW w:w="1119" w:type="dxa"/>
            <w:tcBorders>
              <w:top w:val="nil"/>
              <w:left w:val="nil"/>
              <w:bottom w:val="single" w:sz="4" w:space="0" w:color="auto"/>
              <w:right w:val="single" w:sz="4" w:space="0" w:color="auto"/>
            </w:tcBorders>
            <w:shd w:val="clear" w:color="000000" w:fill="FFFFFF"/>
            <w:vAlign w:val="bottom"/>
          </w:tcPr>
          <w:p w14:paraId="359352CA" w14:textId="3900C33D" w:rsidR="00967CD2" w:rsidRPr="00143FFB" w:rsidRDefault="00967CD2" w:rsidP="00967CD2">
            <w:pPr>
              <w:jc w:val="center"/>
              <w:rPr>
                <w:sz w:val="18"/>
                <w:szCs w:val="18"/>
                <w:highlight w:val="yellow"/>
              </w:rPr>
            </w:pPr>
            <w:r>
              <w:rPr>
                <w:rFonts w:ascii="Arial" w:hAnsi="Arial" w:cs="Arial"/>
                <w:color w:val="000000"/>
                <w:sz w:val="16"/>
                <w:szCs w:val="16"/>
              </w:rPr>
              <w:t>V-5</w:t>
            </w:r>
          </w:p>
        </w:tc>
        <w:tc>
          <w:tcPr>
            <w:tcW w:w="2700" w:type="dxa"/>
            <w:tcBorders>
              <w:top w:val="nil"/>
              <w:left w:val="nil"/>
              <w:bottom w:val="single" w:sz="4" w:space="0" w:color="auto"/>
              <w:right w:val="single" w:sz="4" w:space="0" w:color="auto"/>
            </w:tcBorders>
            <w:shd w:val="clear" w:color="000000" w:fill="FFFFFF"/>
            <w:vAlign w:val="bottom"/>
          </w:tcPr>
          <w:p w14:paraId="6FDBF283" w14:textId="04C6ED3E" w:rsidR="00967CD2" w:rsidRPr="00143FFB" w:rsidRDefault="00967CD2" w:rsidP="00967CD2">
            <w:pPr>
              <w:rPr>
                <w:sz w:val="18"/>
                <w:szCs w:val="18"/>
                <w:highlight w:val="yellow"/>
              </w:rPr>
            </w:pPr>
            <w:r>
              <w:rPr>
                <w:rFonts w:ascii="Arial" w:hAnsi="Arial" w:cs="Arial"/>
                <w:color w:val="000000"/>
                <w:sz w:val="16"/>
                <w:szCs w:val="16"/>
              </w:rPr>
              <w:t>Document Release Request</w:t>
            </w:r>
          </w:p>
        </w:tc>
        <w:tc>
          <w:tcPr>
            <w:tcW w:w="1440" w:type="dxa"/>
            <w:tcBorders>
              <w:top w:val="nil"/>
              <w:left w:val="nil"/>
              <w:bottom w:val="single" w:sz="4" w:space="0" w:color="auto"/>
              <w:right w:val="single" w:sz="4" w:space="0" w:color="auto"/>
            </w:tcBorders>
            <w:shd w:val="clear" w:color="000000" w:fill="FFFFFF"/>
            <w:vAlign w:val="bottom"/>
          </w:tcPr>
          <w:p w14:paraId="63F37157" w14:textId="28A48D1E" w:rsidR="00967CD2" w:rsidRPr="00143FFB" w:rsidRDefault="00967CD2" w:rsidP="00F451AB">
            <w:pPr>
              <w:jc w:val="right"/>
              <w:rPr>
                <w:sz w:val="18"/>
                <w:szCs w:val="18"/>
                <w:highlight w:val="yellow"/>
              </w:rPr>
            </w:pPr>
            <w:r>
              <w:rPr>
                <w:rFonts w:ascii="Arial" w:hAnsi="Arial" w:cs="Arial"/>
                <w:color w:val="000000"/>
                <w:sz w:val="16"/>
                <w:szCs w:val="16"/>
              </w:rPr>
              <w:t>329.000</w:t>
            </w:r>
          </w:p>
        </w:tc>
        <w:tc>
          <w:tcPr>
            <w:tcW w:w="1080" w:type="dxa"/>
            <w:tcBorders>
              <w:top w:val="nil"/>
              <w:left w:val="nil"/>
              <w:bottom w:val="single" w:sz="4" w:space="0" w:color="auto"/>
              <w:right w:val="single" w:sz="4" w:space="0" w:color="auto"/>
            </w:tcBorders>
            <w:shd w:val="clear" w:color="000000" w:fill="FFFFFF"/>
            <w:vAlign w:val="bottom"/>
          </w:tcPr>
          <w:p w14:paraId="0D500A39" w14:textId="1A8A2014" w:rsidR="00967CD2" w:rsidRPr="00143FFB" w:rsidRDefault="00967CD2" w:rsidP="00C61283">
            <w:pPr>
              <w:jc w:val="right"/>
              <w:rPr>
                <w:sz w:val="18"/>
                <w:szCs w:val="18"/>
                <w:highlight w:val="yellow"/>
              </w:rPr>
            </w:pPr>
            <w:r>
              <w:rPr>
                <w:rFonts w:ascii="Arial" w:hAnsi="Arial" w:cs="Arial"/>
                <w:color w:val="000000"/>
                <w:sz w:val="16"/>
                <w:szCs w:val="16"/>
              </w:rPr>
              <w:t>1</w:t>
            </w:r>
          </w:p>
        </w:tc>
        <w:tc>
          <w:tcPr>
            <w:tcW w:w="1260" w:type="dxa"/>
            <w:tcBorders>
              <w:top w:val="nil"/>
              <w:left w:val="nil"/>
              <w:bottom w:val="single" w:sz="4" w:space="0" w:color="auto"/>
              <w:right w:val="single" w:sz="4" w:space="0" w:color="auto"/>
            </w:tcBorders>
            <w:shd w:val="clear" w:color="auto" w:fill="auto"/>
            <w:vAlign w:val="bottom"/>
          </w:tcPr>
          <w:p w14:paraId="52A4EA99" w14:textId="75B5052C" w:rsidR="00967CD2" w:rsidRPr="00143FFB" w:rsidRDefault="00967CD2" w:rsidP="00C61283">
            <w:pPr>
              <w:widowControl w:val="0"/>
              <w:jc w:val="right"/>
              <w:rPr>
                <w:sz w:val="16"/>
                <w:szCs w:val="16"/>
                <w:highlight w:val="yellow"/>
              </w:rPr>
            </w:pPr>
            <w:r>
              <w:rPr>
                <w:rFonts w:ascii="Arial" w:hAnsi="Arial" w:cs="Arial"/>
                <w:color w:val="000000"/>
                <w:sz w:val="16"/>
                <w:szCs w:val="16"/>
              </w:rPr>
              <w:t>329.000</w:t>
            </w:r>
          </w:p>
        </w:tc>
        <w:tc>
          <w:tcPr>
            <w:tcW w:w="1080" w:type="dxa"/>
            <w:tcBorders>
              <w:top w:val="nil"/>
              <w:left w:val="nil"/>
              <w:bottom w:val="single" w:sz="4" w:space="0" w:color="auto"/>
              <w:right w:val="single" w:sz="4" w:space="0" w:color="auto"/>
            </w:tcBorders>
            <w:shd w:val="clear" w:color="000000" w:fill="FFFFFF"/>
            <w:vAlign w:val="bottom"/>
          </w:tcPr>
          <w:p w14:paraId="1BC8CAC6" w14:textId="2523E1B8" w:rsidR="00967CD2" w:rsidRPr="00143FFB" w:rsidRDefault="00967CD2" w:rsidP="00C61283">
            <w:pPr>
              <w:widowControl w:val="0"/>
              <w:jc w:val="right"/>
              <w:rPr>
                <w:sz w:val="16"/>
                <w:szCs w:val="16"/>
                <w:highlight w:val="yellow"/>
              </w:rPr>
            </w:pPr>
            <w:r>
              <w:rPr>
                <w:rFonts w:ascii="Arial" w:hAnsi="Arial" w:cs="Arial"/>
                <w:color w:val="000000"/>
                <w:sz w:val="16"/>
                <w:szCs w:val="16"/>
              </w:rPr>
              <w:t>0.050</w:t>
            </w:r>
          </w:p>
        </w:tc>
        <w:tc>
          <w:tcPr>
            <w:tcW w:w="1710" w:type="dxa"/>
            <w:tcBorders>
              <w:top w:val="nil"/>
              <w:left w:val="nil"/>
              <w:bottom w:val="single" w:sz="4" w:space="0" w:color="auto"/>
              <w:right w:val="single" w:sz="4" w:space="0" w:color="auto"/>
            </w:tcBorders>
            <w:shd w:val="clear" w:color="000000" w:fill="FFFFFF"/>
            <w:vAlign w:val="bottom"/>
          </w:tcPr>
          <w:p w14:paraId="0117C395" w14:textId="7CFEDD90" w:rsidR="00967CD2" w:rsidRPr="00143FFB" w:rsidRDefault="00967CD2" w:rsidP="00C61283">
            <w:pPr>
              <w:widowControl w:val="0"/>
              <w:jc w:val="right"/>
              <w:rPr>
                <w:sz w:val="16"/>
                <w:szCs w:val="16"/>
                <w:highlight w:val="yellow"/>
              </w:rPr>
            </w:pPr>
            <w:r>
              <w:rPr>
                <w:rFonts w:ascii="Arial" w:hAnsi="Arial" w:cs="Arial"/>
                <w:color w:val="000000"/>
                <w:sz w:val="16"/>
                <w:szCs w:val="16"/>
              </w:rPr>
              <w:t>16.450</w:t>
            </w:r>
          </w:p>
        </w:tc>
      </w:tr>
      <w:tr w:rsidR="005909FE" w14:paraId="04D0DADC" w14:textId="77777777" w:rsidTr="004F210D">
        <w:trPr>
          <w:trHeight w:val="437"/>
        </w:trPr>
        <w:tc>
          <w:tcPr>
            <w:tcW w:w="946" w:type="dxa"/>
            <w:tcBorders>
              <w:top w:val="nil"/>
              <w:left w:val="single" w:sz="4" w:space="0" w:color="auto"/>
              <w:bottom w:val="single" w:sz="4" w:space="0" w:color="auto"/>
              <w:right w:val="single" w:sz="4" w:space="0" w:color="auto"/>
            </w:tcBorders>
            <w:shd w:val="clear" w:color="auto" w:fill="auto"/>
            <w:vAlign w:val="bottom"/>
          </w:tcPr>
          <w:p w14:paraId="0DD72E5D" w14:textId="5886DF9D" w:rsidR="00967CD2" w:rsidRPr="00143FFB" w:rsidRDefault="00967CD2" w:rsidP="00967CD2">
            <w:pPr>
              <w:jc w:val="center"/>
              <w:rPr>
                <w:sz w:val="18"/>
                <w:szCs w:val="18"/>
                <w:highlight w:val="yellow"/>
              </w:rPr>
            </w:pPr>
            <w:r>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bottom"/>
          </w:tcPr>
          <w:p w14:paraId="131A6404" w14:textId="52756253" w:rsidR="00967CD2" w:rsidRPr="00143FFB" w:rsidRDefault="00967CD2" w:rsidP="00967CD2">
            <w:pPr>
              <w:jc w:val="center"/>
              <w:rPr>
                <w:sz w:val="18"/>
                <w:szCs w:val="18"/>
                <w:highlight w:val="yellow"/>
              </w:rPr>
            </w:pPr>
            <w:r>
              <w:rPr>
                <w:rFonts w:ascii="Arial" w:hAnsi="Arial" w:cs="Arial"/>
                <w:color w:val="000000"/>
                <w:sz w:val="16"/>
                <w:szCs w:val="16"/>
              </w:rPr>
              <w:t xml:space="preserve">XI-6                                 XI-8                        XI-9                                                   </w:t>
            </w:r>
          </w:p>
        </w:tc>
        <w:tc>
          <w:tcPr>
            <w:tcW w:w="2700" w:type="dxa"/>
            <w:tcBorders>
              <w:top w:val="nil"/>
              <w:left w:val="nil"/>
              <w:bottom w:val="single" w:sz="4" w:space="0" w:color="auto"/>
              <w:right w:val="single" w:sz="4" w:space="0" w:color="auto"/>
            </w:tcBorders>
            <w:shd w:val="clear" w:color="auto" w:fill="auto"/>
            <w:vAlign w:val="bottom"/>
          </w:tcPr>
          <w:p w14:paraId="767BAE73" w14:textId="38F32200" w:rsidR="00967CD2" w:rsidRPr="00143FFB" w:rsidRDefault="00967CD2" w:rsidP="00967CD2">
            <w:pPr>
              <w:rPr>
                <w:sz w:val="18"/>
                <w:szCs w:val="18"/>
                <w:highlight w:val="yellow"/>
              </w:rPr>
            </w:pPr>
            <w:r>
              <w:rPr>
                <w:rFonts w:ascii="Arial" w:hAnsi="Arial" w:cs="Arial"/>
                <w:color w:val="000000"/>
                <w:sz w:val="16"/>
                <w:szCs w:val="16"/>
              </w:rPr>
              <w:t xml:space="preserve">SSCRA Loan Eligibility Information                                      Solders' and Sailors' Quarterly Reimbursement Request                                                              SSCRA Eligibility and Reimbursement Files                                                                                                </w:t>
            </w:r>
          </w:p>
        </w:tc>
        <w:tc>
          <w:tcPr>
            <w:tcW w:w="1440" w:type="dxa"/>
            <w:tcBorders>
              <w:top w:val="nil"/>
              <w:left w:val="nil"/>
              <w:bottom w:val="single" w:sz="4" w:space="0" w:color="auto"/>
              <w:right w:val="single" w:sz="4" w:space="0" w:color="auto"/>
            </w:tcBorders>
            <w:shd w:val="clear" w:color="auto" w:fill="auto"/>
            <w:vAlign w:val="bottom"/>
          </w:tcPr>
          <w:p w14:paraId="01E074CB" w14:textId="6939315E" w:rsidR="00967CD2" w:rsidRPr="00143FFB" w:rsidRDefault="00967CD2" w:rsidP="00F451AB">
            <w:pPr>
              <w:jc w:val="right"/>
              <w:rPr>
                <w:sz w:val="18"/>
                <w:szCs w:val="18"/>
                <w:highlight w:val="yellow"/>
              </w:rPr>
            </w:pPr>
            <w:r>
              <w:rPr>
                <w:rFonts w:ascii="Arial" w:hAnsi="Arial" w:cs="Arial"/>
                <w:color w:val="000000"/>
                <w:sz w:val="16"/>
                <w:szCs w:val="16"/>
              </w:rPr>
              <w:t xml:space="preserve">       2,000.000 </w:t>
            </w:r>
          </w:p>
        </w:tc>
        <w:tc>
          <w:tcPr>
            <w:tcW w:w="1080" w:type="dxa"/>
            <w:tcBorders>
              <w:top w:val="nil"/>
              <w:left w:val="nil"/>
              <w:bottom w:val="single" w:sz="4" w:space="0" w:color="auto"/>
              <w:right w:val="single" w:sz="4" w:space="0" w:color="auto"/>
            </w:tcBorders>
            <w:shd w:val="clear" w:color="auto" w:fill="auto"/>
            <w:vAlign w:val="bottom"/>
          </w:tcPr>
          <w:p w14:paraId="1AED471F" w14:textId="59E043B3" w:rsidR="00967CD2" w:rsidRPr="00143FFB" w:rsidRDefault="00967CD2" w:rsidP="00C61283">
            <w:pPr>
              <w:jc w:val="right"/>
              <w:rPr>
                <w:sz w:val="18"/>
                <w:szCs w:val="18"/>
                <w:highlight w:val="yellow"/>
              </w:rPr>
            </w:pPr>
            <w:r>
              <w:rPr>
                <w:rFonts w:ascii="Arial" w:hAnsi="Arial" w:cs="Arial"/>
                <w:color w:val="000000"/>
                <w:sz w:val="16"/>
                <w:szCs w:val="16"/>
              </w:rPr>
              <w:t>4</w:t>
            </w:r>
          </w:p>
        </w:tc>
        <w:tc>
          <w:tcPr>
            <w:tcW w:w="1260" w:type="dxa"/>
            <w:tcBorders>
              <w:top w:val="nil"/>
              <w:left w:val="nil"/>
              <w:bottom w:val="single" w:sz="4" w:space="0" w:color="auto"/>
              <w:right w:val="single" w:sz="4" w:space="0" w:color="auto"/>
            </w:tcBorders>
            <w:shd w:val="clear" w:color="auto" w:fill="auto"/>
            <w:vAlign w:val="bottom"/>
          </w:tcPr>
          <w:p w14:paraId="1BCE2CA9" w14:textId="2C89B826" w:rsidR="00967CD2" w:rsidRPr="00143FFB" w:rsidRDefault="00967CD2" w:rsidP="00C61283">
            <w:pPr>
              <w:widowControl w:val="0"/>
              <w:jc w:val="right"/>
              <w:rPr>
                <w:sz w:val="16"/>
                <w:szCs w:val="16"/>
                <w:highlight w:val="yellow"/>
              </w:rPr>
            </w:pPr>
            <w:r>
              <w:rPr>
                <w:rFonts w:ascii="Arial" w:hAnsi="Arial" w:cs="Arial"/>
                <w:color w:val="000000"/>
                <w:sz w:val="16"/>
                <w:szCs w:val="16"/>
              </w:rPr>
              <w:t>8,000.000</w:t>
            </w:r>
          </w:p>
        </w:tc>
        <w:tc>
          <w:tcPr>
            <w:tcW w:w="1080" w:type="dxa"/>
            <w:tcBorders>
              <w:top w:val="nil"/>
              <w:left w:val="nil"/>
              <w:bottom w:val="single" w:sz="4" w:space="0" w:color="auto"/>
              <w:right w:val="single" w:sz="4" w:space="0" w:color="auto"/>
            </w:tcBorders>
            <w:shd w:val="clear" w:color="auto" w:fill="auto"/>
            <w:vAlign w:val="bottom"/>
          </w:tcPr>
          <w:p w14:paraId="4F9402F2" w14:textId="47E18E6C" w:rsidR="00967CD2" w:rsidRPr="00143FFB" w:rsidRDefault="00967CD2" w:rsidP="00C61283">
            <w:pPr>
              <w:widowControl w:val="0"/>
              <w:jc w:val="right"/>
              <w:rPr>
                <w:sz w:val="16"/>
                <w:szCs w:val="16"/>
                <w:highlight w:val="yellow"/>
              </w:rPr>
            </w:pPr>
            <w:r>
              <w:rPr>
                <w:rFonts w:ascii="Arial" w:hAnsi="Arial" w:cs="Arial"/>
                <w:color w:val="000000"/>
                <w:sz w:val="16"/>
                <w:szCs w:val="16"/>
              </w:rPr>
              <w:t>0.033</w:t>
            </w:r>
          </w:p>
        </w:tc>
        <w:tc>
          <w:tcPr>
            <w:tcW w:w="1710" w:type="dxa"/>
            <w:tcBorders>
              <w:top w:val="nil"/>
              <w:left w:val="nil"/>
              <w:bottom w:val="single" w:sz="4" w:space="0" w:color="auto"/>
              <w:right w:val="single" w:sz="4" w:space="0" w:color="auto"/>
            </w:tcBorders>
            <w:shd w:val="clear" w:color="000000" w:fill="FFFFFF"/>
            <w:vAlign w:val="bottom"/>
          </w:tcPr>
          <w:p w14:paraId="7C41D68D" w14:textId="2BE62D51" w:rsidR="00967CD2" w:rsidRPr="00143FFB" w:rsidRDefault="00967CD2" w:rsidP="00C61283">
            <w:pPr>
              <w:widowControl w:val="0"/>
              <w:jc w:val="right"/>
              <w:rPr>
                <w:sz w:val="16"/>
                <w:szCs w:val="16"/>
                <w:highlight w:val="yellow"/>
              </w:rPr>
            </w:pPr>
            <w:r>
              <w:rPr>
                <w:rFonts w:ascii="Arial" w:hAnsi="Arial" w:cs="Arial"/>
                <w:color w:val="000000"/>
                <w:sz w:val="16"/>
                <w:szCs w:val="16"/>
              </w:rPr>
              <w:t>264.000</w:t>
            </w:r>
          </w:p>
        </w:tc>
      </w:tr>
      <w:tr w:rsidR="005909FE" w14:paraId="228D377F" w14:textId="77777777" w:rsidTr="004F210D">
        <w:trPr>
          <w:trHeight w:val="662"/>
        </w:trPr>
        <w:tc>
          <w:tcPr>
            <w:tcW w:w="946" w:type="dxa"/>
            <w:tcBorders>
              <w:top w:val="nil"/>
              <w:left w:val="single" w:sz="4" w:space="0" w:color="auto"/>
              <w:bottom w:val="single" w:sz="4" w:space="0" w:color="auto"/>
              <w:right w:val="single" w:sz="4" w:space="0" w:color="auto"/>
            </w:tcBorders>
            <w:shd w:val="clear" w:color="000000" w:fill="FFFFFF"/>
            <w:vAlign w:val="bottom"/>
          </w:tcPr>
          <w:p w14:paraId="5B68D24F" w14:textId="38654D93" w:rsidR="00967CD2" w:rsidRPr="00143FFB" w:rsidRDefault="00967CD2" w:rsidP="00967CD2">
            <w:pPr>
              <w:jc w:val="center"/>
              <w:rPr>
                <w:sz w:val="18"/>
                <w:szCs w:val="18"/>
                <w:highlight w:val="yellow"/>
              </w:rPr>
            </w:pPr>
            <w:r>
              <w:rPr>
                <w:rFonts w:ascii="Arial" w:hAnsi="Arial" w:cs="Arial"/>
                <w:color w:val="000000"/>
                <w:sz w:val="16"/>
                <w:szCs w:val="16"/>
              </w:rPr>
              <w:t>11711A and 11711B</w:t>
            </w:r>
          </w:p>
        </w:tc>
        <w:tc>
          <w:tcPr>
            <w:tcW w:w="1119" w:type="dxa"/>
            <w:tcBorders>
              <w:top w:val="nil"/>
              <w:left w:val="nil"/>
              <w:bottom w:val="single" w:sz="4" w:space="0" w:color="auto"/>
              <w:right w:val="single" w:sz="4" w:space="0" w:color="auto"/>
            </w:tcBorders>
            <w:shd w:val="clear" w:color="000000" w:fill="FFFFFF"/>
            <w:vAlign w:val="bottom"/>
          </w:tcPr>
          <w:p w14:paraId="5F58F6DD" w14:textId="26E980F3" w:rsidR="00967CD2" w:rsidRPr="00143FFB" w:rsidRDefault="00967CD2" w:rsidP="00967CD2">
            <w:pPr>
              <w:jc w:val="center"/>
              <w:rPr>
                <w:sz w:val="18"/>
                <w:szCs w:val="18"/>
                <w:highlight w:val="yellow"/>
              </w:rPr>
            </w:pPr>
            <w:r>
              <w:rPr>
                <w:rFonts w:ascii="Arial" w:hAnsi="Arial" w:cs="Arial"/>
                <w:color w:val="000000"/>
                <w:sz w:val="16"/>
                <w:szCs w:val="16"/>
              </w:rPr>
              <w:t>III-5</w:t>
            </w:r>
          </w:p>
        </w:tc>
        <w:tc>
          <w:tcPr>
            <w:tcW w:w="2700" w:type="dxa"/>
            <w:tcBorders>
              <w:top w:val="nil"/>
              <w:left w:val="nil"/>
              <w:bottom w:val="single" w:sz="4" w:space="0" w:color="auto"/>
              <w:right w:val="single" w:sz="4" w:space="0" w:color="auto"/>
            </w:tcBorders>
            <w:shd w:val="clear" w:color="000000" w:fill="FFFFFF"/>
            <w:vAlign w:val="bottom"/>
          </w:tcPr>
          <w:p w14:paraId="73037824" w14:textId="3A638169" w:rsidR="00967CD2" w:rsidRPr="00143FFB" w:rsidRDefault="00967CD2" w:rsidP="00967CD2">
            <w:pPr>
              <w:overflowPunct/>
              <w:autoSpaceDE/>
              <w:autoSpaceDN/>
              <w:adjustRightInd/>
              <w:rPr>
                <w:rFonts w:eastAsia="Arial"/>
                <w:color w:val="000000"/>
                <w:spacing w:val="-4"/>
                <w:sz w:val="18"/>
                <w:szCs w:val="18"/>
                <w:highlight w:val="yellow"/>
              </w:rPr>
            </w:pPr>
            <w:r>
              <w:rPr>
                <w:rFonts w:ascii="Arial" w:hAnsi="Arial" w:cs="Arial"/>
                <w:color w:val="000000"/>
                <w:sz w:val="16"/>
                <w:szCs w:val="16"/>
              </w:rPr>
              <w:t>Release of Security Interest and Certification and Agreement</w:t>
            </w:r>
          </w:p>
        </w:tc>
        <w:tc>
          <w:tcPr>
            <w:tcW w:w="1440" w:type="dxa"/>
            <w:tcBorders>
              <w:top w:val="nil"/>
              <w:left w:val="nil"/>
              <w:bottom w:val="single" w:sz="4" w:space="0" w:color="auto"/>
              <w:right w:val="single" w:sz="4" w:space="0" w:color="auto"/>
            </w:tcBorders>
            <w:shd w:val="clear" w:color="000000" w:fill="FFFFFF"/>
            <w:vAlign w:val="bottom"/>
          </w:tcPr>
          <w:p w14:paraId="6724E095" w14:textId="3FBCA2F8" w:rsidR="00967CD2" w:rsidRPr="00143FFB" w:rsidRDefault="00967CD2" w:rsidP="00F451AB">
            <w:pPr>
              <w:overflowPunct/>
              <w:autoSpaceDE/>
              <w:autoSpaceDN/>
              <w:adjustRightInd/>
              <w:jc w:val="right"/>
              <w:rPr>
                <w:rFonts w:eastAsia="Arial"/>
                <w:color w:val="000000"/>
                <w:sz w:val="18"/>
                <w:szCs w:val="18"/>
                <w:highlight w:val="yellow"/>
              </w:rPr>
            </w:pPr>
            <w:r>
              <w:rPr>
                <w:rFonts w:ascii="Arial" w:hAnsi="Arial" w:cs="Arial"/>
                <w:color w:val="000000"/>
                <w:sz w:val="16"/>
                <w:szCs w:val="16"/>
              </w:rPr>
              <w:t xml:space="preserve">   678,000.000 </w:t>
            </w:r>
          </w:p>
        </w:tc>
        <w:tc>
          <w:tcPr>
            <w:tcW w:w="1080" w:type="dxa"/>
            <w:tcBorders>
              <w:top w:val="nil"/>
              <w:left w:val="nil"/>
              <w:bottom w:val="single" w:sz="4" w:space="0" w:color="auto"/>
              <w:right w:val="single" w:sz="4" w:space="0" w:color="auto"/>
            </w:tcBorders>
            <w:shd w:val="clear" w:color="000000" w:fill="FFFFFF"/>
            <w:vAlign w:val="bottom"/>
          </w:tcPr>
          <w:p w14:paraId="0CC8965D" w14:textId="161B44A5" w:rsidR="00967CD2" w:rsidRPr="00143FFB" w:rsidRDefault="00967CD2" w:rsidP="00C61283">
            <w:pPr>
              <w:overflowPunct/>
              <w:autoSpaceDE/>
              <w:autoSpaceDN/>
              <w:adjustRightInd/>
              <w:jc w:val="right"/>
              <w:rPr>
                <w:rFonts w:eastAsia="Arial"/>
                <w:color w:val="000000"/>
                <w:sz w:val="18"/>
                <w:szCs w:val="18"/>
                <w:highlight w:val="yellow"/>
              </w:rPr>
            </w:pPr>
            <w:r>
              <w:rPr>
                <w:rFonts w:ascii="Arial" w:hAnsi="Arial" w:cs="Arial"/>
                <w:color w:val="000000"/>
                <w:sz w:val="16"/>
                <w:szCs w:val="16"/>
              </w:rPr>
              <w:t>1</w:t>
            </w:r>
          </w:p>
        </w:tc>
        <w:tc>
          <w:tcPr>
            <w:tcW w:w="1260" w:type="dxa"/>
            <w:tcBorders>
              <w:top w:val="nil"/>
              <w:left w:val="nil"/>
              <w:bottom w:val="single" w:sz="4" w:space="0" w:color="auto"/>
              <w:right w:val="single" w:sz="4" w:space="0" w:color="auto"/>
            </w:tcBorders>
            <w:shd w:val="clear" w:color="auto" w:fill="auto"/>
            <w:vAlign w:val="bottom"/>
          </w:tcPr>
          <w:p w14:paraId="063D2649" w14:textId="1D66AF29" w:rsidR="00967CD2" w:rsidRPr="00143FFB" w:rsidRDefault="00967CD2" w:rsidP="00C61283">
            <w:pPr>
              <w:overflowPunct/>
              <w:autoSpaceDE/>
              <w:autoSpaceDN/>
              <w:adjustRightInd/>
              <w:jc w:val="right"/>
              <w:rPr>
                <w:rFonts w:eastAsia="Arial"/>
                <w:color w:val="000000"/>
                <w:sz w:val="16"/>
                <w:szCs w:val="16"/>
                <w:highlight w:val="yellow"/>
              </w:rPr>
            </w:pPr>
            <w:r>
              <w:rPr>
                <w:rFonts w:ascii="Arial" w:hAnsi="Arial" w:cs="Arial"/>
                <w:color w:val="000000"/>
                <w:sz w:val="16"/>
                <w:szCs w:val="16"/>
              </w:rPr>
              <w:t>678,000.000</w:t>
            </w:r>
          </w:p>
        </w:tc>
        <w:tc>
          <w:tcPr>
            <w:tcW w:w="1080" w:type="dxa"/>
            <w:tcBorders>
              <w:top w:val="nil"/>
              <w:left w:val="nil"/>
              <w:bottom w:val="single" w:sz="4" w:space="0" w:color="auto"/>
              <w:right w:val="single" w:sz="4" w:space="0" w:color="auto"/>
            </w:tcBorders>
            <w:shd w:val="clear" w:color="000000" w:fill="FFFFFF"/>
            <w:vAlign w:val="bottom"/>
          </w:tcPr>
          <w:p w14:paraId="72F27058" w14:textId="4536C94F" w:rsidR="00967CD2" w:rsidRPr="00143FFB" w:rsidRDefault="00967CD2" w:rsidP="00C61283">
            <w:pPr>
              <w:overflowPunct/>
              <w:autoSpaceDE/>
              <w:autoSpaceDN/>
              <w:adjustRightInd/>
              <w:jc w:val="right"/>
              <w:rPr>
                <w:rFonts w:eastAsia="Arial"/>
                <w:color w:val="000000"/>
                <w:sz w:val="16"/>
                <w:szCs w:val="16"/>
                <w:highlight w:val="yellow"/>
              </w:rPr>
            </w:pPr>
            <w:r>
              <w:rPr>
                <w:rFonts w:ascii="Arial" w:hAnsi="Arial" w:cs="Arial"/>
                <w:color w:val="000000"/>
                <w:sz w:val="16"/>
                <w:szCs w:val="16"/>
              </w:rPr>
              <w:t>0.050</w:t>
            </w:r>
          </w:p>
        </w:tc>
        <w:tc>
          <w:tcPr>
            <w:tcW w:w="1710" w:type="dxa"/>
            <w:tcBorders>
              <w:top w:val="nil"/>
              <w:left w:val="nil"/>
              <w:bottom w:val="single" w:sz="4" w:space="0" w:color="auto"/>
              <w:right w:val="single" w:sz="4" w:space="0" w:color="auto"/>
            </w:tcBorders>
            <w:shd w:val="clear" w:color="000000" w:fill="FFFFFF"/>
            <w:vAlign w:val="bottom"/>
          </w:tcPr>
          <w:p w14:paraId="59CCD827" w14:textId="64FB6156" w:rsidR="00967CD2" w:rsidRPr="00143FFB" w:rsidRDefault="00967CD2" w:rsidP="00C61283">
            <w:pPr>
              <w:overflowPunct/>
              <w:autoSpaceDE/>
              <w:autoSpaceDN/>
              <w:adjustRightInd/>
              <w:jc w:val="right"/>
              <w:rPr>
                <w:rFonts w:eastAsia="Arial"/>
                <w:color w:val="000000"/>
                <w:sz w:val="16"/>
                <w:szCs w:val="16"/>
                <w:highlight w:val="yellow"/>
              </w:rPr>
            </w:pPr>
            <w:r>
              <w:rPr>
                <w:rFonts w:ascii="Arial" w:hAnsi="Arial" w:cs="Arial"/>
                <w:color w:val="000000"/>
                <w:sz w:val="16"/>
                <w:szCs w:val="16"/>
              </w:rPr>
              <w:t>33,900.00</w:t>
            </w:r>
            <w:r w:rsidR="004F210D">
              <w:rPr>
                <w:rFonts w:ascii="Arial" w:hAnsi="Arial" w:cs="Arial"/>
                <w:color w:val="000000"/>
                <w:sz w:val="16"/>
                <w:szCs w:val="16"/>
              </w:rPr>
              <w:t>0</w:t>
            </w:r>
          </w:p>
        </w:tc>
      </w:tr>
      <w:tr w:rsidR="005909FE" w14:paraId="4465371E" w14:textId="77777777" w:rsidTr="004F210D">
        <w:trPr>
          <w:trHeight w:val="482"/>
        </w:trPr>
        <w:tc>
          <w:tcPr>
            <w:tcW w:w="946" w:type="dxa"/>
            <w:tcBorders>
              <w:top w:val="nil"/>
              <w:left w:val="single" w:sz="4" w:space="0" w:color="auto"/>
              <w:bottom w:val="single" w:sz="4" w:space="0" w:color="auto"/>
              <w:right w:val="single" w:sz="4" w:space="0" w:color="auto"/>
            </w:tcBorders>
            <w:shd w:val="clear" w:color="000000" w:fill="FFFFFF"/>
            <w:vAlign w:val="bottom"/>
          </w:tcPr>
          <w:p w14:paraId="1E96C91F" w14:textId="4C0AEF92" w:rsidR="00967CD2" w:rsidRPr="00143FFB" w:rsidRDefault="00967CD2" w:rsidP="00967CD2">
            <w:pPr>
              <w:jc w:val="center"/>
              <w:rPr>
                <w:sz w:val="18"/>
                <w:szCs w:val="18"/>
                <w:highlight w:val="yellow"/>
              </w:rPr>
            </w:pPr>
            <w:r>
              <w:rPr>
                <w:rFonts w:ascii="Arial" w:hAnsi="Arial" w:cs="Arial"/>
                <w:color w:val="000000"/>
                <w:sz w:val="16"/>
                <w:szCs w:val="16"/>
              </w:rPr>
              <w:t>11714            11714SN</w:t>
            </w:r>
          </w:p>
        </w:tc>
        <w:tc>
          <w:tcPr>
            <w:tcW w:w="1119" w:type="dxa"/>
            <w:tcBorders>
              <w:top w:val="nil"/>
              <w:left w:val="nil"/>
              <w:bottom w:val="single" w:sz="4" w:space="0" w:color="auto"/>
              <w:right w:val="single" w:sz="4" w:space="0" w:color="auto"/>
            </w:tcBorders>
            <w:shd w:val="clear" w:color="000000" w:fill="FFFFFF"/>
            <w:vAlign w:val="bottom"/>
          </w:tcPr>
          <w:p w14:paraId="19AE76C4" w14:textId="3895C9B6" w:rsidR="00967CD2" w:rsidRPr="00143FFB" w:rsidRDefault="00967CD2" w:rsidP="00967CD2">
            <w:pPr>
              <w:jc w:val="center"/>
              <w:rPr>
                <w:sz w:val="18"/>
                <w:szCs w:val="18"/>
                <w:highlight w:val="yellow"/>
              </w:rPr>
            </w:pPr>
            <w:r>
              <w:rPr>
                <w:rFonts w:ascii="Arial" w:hAnsi="Arial" w:cs="Arial"/>
                <w:color w:val="000000"/>
                <w:sz w:val="16"/>
                <w:szCs w:val="16"/>
              </w:rPr>
              <w:t>VI-10              VI-11</w:t>
            </w:r>
          </w:p>
        </w:tc>
        <w:tc>
          <w:tcPr>
            <w:tcW w:w="2700" w:type="dxa"/>
            <w:tcBorders>
              <w:top w:val="nil"/>
              <w:left w:val="nil"/>
              <w:bottom w:val="single" w:sz="4" w:space="0" w:color="auto"/>
              <w:right w:val="single" w:sz="4" w:space="0" w:color="auto"/>
            </w:tcBorders>
            <w:shd w:val="clear" w:color="000000" w:fill="FFFFFF"/>
            <w:vAlign w:val="bottom"/>
          </w:tcPr>
          <w:p w14:paraId="550F0223" w14:textId="64539FB9" w:rsidR="00967CD2" w:rsidRPr="00143FFB" w:rsidRDefault="00967CD2" w:rsidP="00967CD2">
            <w:pPr>
              <w:rPr>
                <w:sz w:val="18"/>
                <w:szCs w:val="18"/>
                <w:highlight w:val="yellow"/>
              </w:rPr>
            </w:pPr>
            <w:r>
              <w:rPr>
                <w:rFonts w:ascii="Arial" w:hAnsi="Arial" w:cs="Arial"/>
                <w:color w:val="000000"/>
                <w:sz w:val="16"/>
                <w:szCs w:val="16"/>
              </w:rPr>
              <w:t>Issuer's Monthly Remittance Advice                                        Issuer's Monthly Serial Note Remittance Advice</w:t>
            </w:r>
          </w:p>
        </w:tc>
        <w:tc>
          <w:tcPr>
            <w:tcW w:w="1440" w:type="dxa"/>
            <w:tcBorders>
              <w:top w:val="nil"/>
              <w:left w:val="nil"/>
              <w:bottom w:val="single" w:sz="4" w:space="0" w:color="auto"/>
              <w:right w:val="single" w:sz="4" w:space="0" w:color="auto"/>
            </w:tcBorders>
            <w:shd w:val="clear" w:color="000000" w:fill="FFFFFF"/>
            <w:vAlign w:val="bottom"/>
          </w:tcPr>
          <w:p w14:paraId="3BD1D6C0" w14:textId="223B7570" w:rsidR="00967CD2" w:rsidRPr="00143FFB" w:rsidRDefault="00967CD2" w:rsidP="00F451AB">
            <w:pPr>
              <w:jc w:val="right"/>
              <w:rPr>
                <w:sz w:val="18"/>
                <w:szCs w:val="18"/>
                <w:highlight w:val="yellow"/>
              </w:rPr>
            </w:pPr>
            <w:r>
              <w:rPr>
                <w:rFonts w:ascii="Arial" w:hAnsi="Arial" w:cs="Arial"/>
                <w:color w:val="000000"/>
                <w:sz w:val="16"/>
                <w:szCs w:val="16"/>
              </w:rPr>
              <w:t xml:space="preserve">       4,700.000 </w:t>
            </w:r>
          </w:p>
        </w:tc>
        <w:tc>
          <w:tcPr>
            <w:tcW w:w="1080" w:type="dxa"/>
            <w:tcBorders>
              <w:top w:val="nil"/>
              <w:left w:val="nil"/>
              <w:bottom w:val="single" w:sz="4" w:space="0" w:color="auto"/>
              <w:right w:val="single" w:sz="4" w:space="0" w:color="auto"/>
            </w:tcBorders>
            <w:shd w:val="clear" w:color="000000" w:fill="FFFFFF"/>
            <w:vAlign w:val="bottom"/>
          </w:tcPr>
          <w:p w14:paraId="7C285C03" w14:textId="6932240B" w:rsidR="00967CD2" w:rsidRPr="00143FFB" w:rsidRDefault="00967CD2" w:rsidP="00C61283">
            <w:pPr>
              <w:jc w:val="right"/>
              <w:rPr>
                <w:sz w:val="18"/>
                <w:szCs w:val="18"/>
                <w:highlight w:val="yellow"/>
              </w:rPr>
            </w:pPr>
            <w:r>
              <w:rPr>
                <w:rFonts w:ascii="Arial" w:hAnsi="Arial" w:cs="Arial"/>
                <w:color w:val="000000"/>
                <w:sz w:val="16"/>
                <w:szCs w:val="16"/>
              </w:rPr>
              <w:t>12</w:t>
            </w:r>
          </w:p>
        </w:tc>
        <w:tc>
          <w:tcPr>
            <w:tcW w:w="1260" w:type="dxa"/>
            <w:tcBorders>
              <w:top w:val="nil"/>
              <w:left w:val="nil"/>
              <w:bottom w:val="single" w:sz="4" w:space="0" w:color="auto"/>
              <w:right w:val="single" w:sz="4" w:space="0" w:color="auto"/>
            </w:tcBorders>
            <w:shd w:val="clear" w:color="000000" w:fill="FFFFFF"/>
            <w:vAlign w:val="bottom"/>
          </w:tcPr>
          <w:p w14:paraId="335EDE3F" w14:textId="1BB8B92D" w:rsidR="00967CD2" w:rsidRPr="00143FFB" w:rsidRDefault="00967CD2" w:rsidP="00C61283">
            <w:pPr>
              <w:jc w:val="right"/>
              <w:rPr>
                <w:sz w:val="16"/>
                <w:szCs w:val="16"/>
                <w:highlight w:val="yellow"/>
              </w:rPr>
            </w:pPr>
            <w:r>
              <w:rPr>
                <w:rFonts w:ascii="Arial" w:hAnsi="Arial" w:cs="Arial"/>
                <w:color w:val="000000"/>
                <w:sz w:val="16"/>
                <w:szCs w:val="16"/>
              </w:rPr>
              <w:t>56,400.00</w:t>
            </w:r>
            <w:r w:rsidR="00F451AB">
              <w:rPr>
                <w:rFonts w:ascii="Arial" w:hAnsi="Arial" w:cs="Arial"/>
                <w:color w:val="000000"/>
                <w:sz w:val="16"/>
                <w:szCs w:val="16"/>
              </w:rPr>
              <w:t>0</w:t>
            </w:r>
          </w:p>
        </w:tc>
        <w:tc>
          <w:tcPr>
            <w:tcW w:w="1080" w:type="dxa"/>
            <w:tcBorders>
              <w:top w:val="nil"/>
              <w:left w:val="nil"/>
              <w:bottom w:val="single" w:sz="4" w:space="0" w:color="auto"/>
              <w:right w:val="single" w:sz="4" w:space="0" w:color="auto"/>
            </w:tcBorders>
            <w:shd w:val="clear" w:color="000000" w:fill="FFFFFF"/>
            <w:vAlign w:val="bottom"/>
          </w:tcPr>
          <w:p w14:paraId="5980D3CD" w14:textId="35E9A660" w:rsidR="00967CD2" w:rsidRPr="00143FFB" w:rsidRDefault="00967CD2" w:rsidP="00C61283">
            <w:pPr>
              <w:jc w:val="right"/>
              <w:rPr>
                <w:sz w:val="16"/>
                <w:szCs w:val="16"/>
                <w:highlight w:val="yellow"/>
              </w:rPr>
            </w:pPr>
            <w:r>
              <w:rPr>
                <w:rFonts w:ascii="Arial" w:hAnsi="Arial" w:cs="Arial"/>
                <w:color w:val="000000"/>
                <w:sz w:val="16"/>
                <w:szCs w:val="16"/>
              </w:rPr>
              <w:t>0.016</w:t>
            </w:r>
          </w:p>
        </w:tc>
        <w:tc>
          <w:tcPr>
            <w:tcW w:w="1710" w:type="dxa"/>
            <w:tcBorders>
              <w:top w:val="nil"/>
              <w:left w:val="nil"/>
              <w:bottom w:val="single" w:sz="4" w:space="0" w:color="auto"/>
              <w:right w:val="single" w:sz="4" w:space="0" w:color="auto"/>
            </w:tcBorders>
            <w:shd w:val="clear" w:color="000000" w:fill="FFFFFF"/>
            <w:vAlign w:val="bottom"/>
          </w:tcPr>
          <w:p w14:paraId="3E4A532A" w14:textId="18F2A9EC" w:rsidR="00967CD2" w:rsidRPr="00143FFB" w:rsidRDefault="00967CD2" w:rsidP="00C61283">
            <w:pPr>
              <w:jc w:val="right"/>
              <w:rPr>
                <w:sz w:val="16"/>
                <w:szCs w:val="16"/>
                <w:highlight w:val="yellow"/>
              </w:rPr>
            </w:pPr>
            <w:r>
              <w:rPr>
                <w:rFonts w:ascii="Arial" w:hAnsi="Arial" w:cs="Arial"/>
                <w:color w:val="000000"/>
                <w:sz w:val="16"/>
                <w:szCs w:val="16"/>
              </w:rPr>
              <w:t>902.400</w:t>
            </w:r>
          </w:p>
        </w:tc>
      </w:tr>
      <w:tr w:rsidR="005909FE" w14:paraId="61CB233A" w14:textId="77777777" w:rsidTr="004F210D">
        <w:trPr>
          <w:trHeight w:val="753"/>
        </w:trPr>
        <w:tc>
          <w:tcPr>
            <w:tcW w:w="946" w:type="dxa"/>
            <w:tcBorders>
              <w:top w:val="nil"/>
              <w:left w:val="single" w:sz="4" w:space="0" w:color="auto"/>
              <w:bottom w:val="single" w:sz="4" w:space="0" w:color="auto"/>
              <w:right w:val="single" w:sz="4" w:space="0" w:color="auto"/>
            </w:tcBorders>
            <w:shd w:val="clear" w:color="000000" w:fill="FFFFFF"/>
            <w:vAlign w:val="bottom"/>
          </w:tcPr>
          <w:p w14:paraId="7A0050F6" w14:textId="61F026BD" w:rsidR="00967CD2" w:rsidRPr="00143FFB" w:rsidRDefault="00967CD2" w:rsidP="00967CD2">
            <w:pPr>
              <w:jc w:val="center"/>
              <w:rPr>
                <w:rFonts w:cstheme="minorHAnsi"/>
                <w:sz w:val="18"/>
                <w:szCs w:val="18"/>
                <w:highlight w:val="yellow"/>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000000" w:fill="FFFFFF"/>
            <w:vAlign w:val="bottom"/>
          </w:tcPr>
          <w:p w14:paraId="792EF01D" w14:textId="2571A18C" w:rsidR="00967CD2" w:rsidRPr="00143FFB" w:rsidRDefault="00967CD2" w:rsidP="00967CD2">
            <w:pPr>
              <w:jc w:val="center"/>
              <w:rPr>
                <w:rFonts w:cstheme="minorHAnsi"/>
                <w:sz w:val="18"/>
                <w:szCs w:val="18"/>
                <w:highlight w:val="yellow"/>
              </w:rPr>
            </w:pPr>
            <w:r>
              <w:rPr>
                <w:rFonts w:ascii="Arial" w:hAnsi="Arial" w:cs="Arial"/>
                <w:color w:val="000000"/>
                <w:sz w:val="16"/>
                <w:szCs w:val="16"/>
              </w:rPr>
              <w:t>VI-2</w:t>
            </w:r>
          </w:p>
        </w:tc>
        <w:tc>
          <w:tcPr>
            <w:tcW w:w="2700" w:type="dxa"/>
            <w:tcBorders>
              <w:top w:val="nil"/>
              <w:left w:val="nil"/>
              <w:bottom w:val="single" w:sz="4" w:space="0" w:color="auto"/>
              <w:right w:val="single" w:sz="4" w:space="0" w:color="auto"/>
            </w:tcBorders>
            <w:shd w:val="clear" w:color="000000" w:fill="FFFFFF"/>
            <w:vAlign w:val="bottom"/>
          </w:tcPr>
          <w:p w14:paraId="18BE8764" w14:textId="62ADEC57" w:rsidR="00967CD2" w:rsidRPr="00143FFB" w:rsidRDefault="00967CD2" w:rsidP="00967CD2">
            <w:pPr>
              <w:rPr>
                <w:rFonts w:cstheme="minorHAnsi"/>
                <w:sz w:val="18"/>
                <w:szCs w:val="18"/>
                <w:highlight w:val="yellow"/>
              </w:rPr>
            </w:pPr>
            <w:r>
              <w:rPr>
                <w:rFonts w:ascii="Arial" w:hAnsi="Arial" w:cs="Arial"/>
                <w:color w:val="000000"/>
                <w:sz w:val="16"/>
                <w:szCs w:val="16"/>
              </w:rPr>
              <w:t>Letter for Loan Repurchase</w:t>
            </w:r>
          </w:p>
        </w:tc>
        <w:tc>
          <w:tcPr>
            <w:tcW w:w="1440" w:type="dxa"/>
            <w:tcBorders>
              <w:top w:val="nil"/>
              <w:left w:val="nil"/>
              <w:bottom w:val="single" w:sz="4" w:space="0" w:color="auto"/>
              <w:right w:val="single" w:sz="4" w:space="0" w:color="auto"/>
            </w:tcBorders>
            <w:shd w:val="clear" w:color="000000" w:fill="FFFFFF"/>
            <w:vAlign w:val="bottom"/>
          </w:tcPr>
          <w:p w14:paraId="605CCEBC" w14:textId="41AE2254" w:rsidR="00967CD2" w:rsidRPr="00143FFB" w:rsidRDefault="00967CD2" w:rsidP="00F451AB">
            <w:pPr>
              <w:jc w:val="right"/>
              <w:rPr>
                <w:rFonts w:cstheme="minorHAnsi"/>
                <w:sz w:val="18"/>
                <w:szCs w:val="18"/>
                <w:highlight w:val="yellow"/>
              </w:rPr>
            </w:pPr>
            <w:r>
              <w:rPr>
                <w:rFonts w:ascii="Arial" w:hAnsi="Arial" w:cs="Arial"/>
                <w:color w:val="000000"/>
                <w:sz w:val="16"/>
                <w:szCs w:val="16"/>
              </w:rPr>
              <w:t>50.000</w:t>
            </w:r>
          </w:p>
        </w:tc>
        <w:tc>
          <w:tcPr>
            <w:tcW w:w="1080" w:type="dxa"/>
            <w:tcBorders>
              <w:top w:val="nil"/>
              <w:left w:val="nil"/>
              <w:bottom w:val="single" w:sz="4" w:space="0" w:color="auto"/>
              <w:right w:val="single" w:sz="4" w:space="0" w:color="auto"/>
            </w:tcBorders>
            <w:shd w:val="clear" w:color="000000" w:fill="FFFFFF"/>
            <w:vAlign w:val="bottom"/>
          </w:tcPr>
          <w:p w14:paraId="6F695588" w14:textId="362A34FE" w:rsidR="00967CD2" w:rsidRPr="00143FFB" w:rsidRDefault="00967CD2" w:rsidP="00C61283">
            <w:pPr>
              <w:jc w:val="right"/>
              <w:rPr>
                <w:rFonts w:cstheme="minorHAnsi"/>
                <w:sz w:val="18"/>
                <w:szCs w:val="18"/>
                <w:highlight w:val="yellow"/>
              </w:rPr>
            </w:pPr>
            <w:r>
              <w:rPr>
                <w:rFonts w:ascii="Arial" w:hAnsi="Arial" w:cs="Arial"/>
                <w:color w:val="000000"/>
                <w:sz w:val="16"/>
                <w:szCs w:val="16"/>
              </w:rPr>
              <w:t>12</w:t>
            </w:r>
          </w:p>
        </w:tc>
        <w:tc>
          <w:tcPr>
            <w:tcW w:w="1260" w:type="dxa"/>
            <w:tcBorders>
              <w:top w:val="nil"/>
              <w:left w:val="nil"/>
              <w:bottom w:val="single" w:sz="4" w:space="0" w:color="auto"/>
              <w:right w:val="single" w:sz="4" w:space="0" w:color="auto"/>
            </w:tcBorders>
            <w:shd w:val="clear" w:color="000000" w:fill="FFFFFF"/>
            <w:vAlign w:val="bottom"/>
          </w:tcPr>
          <w:p w14:paraId="3703278F" w14:textId="078AF7EF" w:rsidR="00967CD2" w:rsidRPr="00143FFB" w:rsidRDefault="00967CD2" w:rsidP="00C61283">
            <w:pPr>
              <w:jc w:val="right"/>
              <w:rPr>
                <w:rFonts w:cstheme="minorHAnsi"/>
                <w:sz w:val="16"/>
                <w:szCs w:val="16"/>
                <w:highlight w:val="yellow"/>
              </w:rPr>
            </w:pPr>
            <w:r>
              <w:rPr>
                <w:rFonts w:ascii="Arial" w:hAnsi="Arial" w:cs="Arial"/>
                <w:color w:val="000000"/>
                <w:sz w:val="16"/>
                <w:szCs w:val="16"/>
              </w:rPr>
              <w:t>600.000</w:t>
            </w:r>
          </w:p>
        </w:tc>
        <w:tc>
          <w:tcPr>
            <w:tcW w:w="1080" w:type="dxa"/>
            <w:tcBorders>
              <w:top w:val="nil"/>
              <w:left w:val="nil"/>
              <w:bottom w:val="single" w:sz="4" w:space="0" w:color="auto"/>
              <w:right w:val="single" w:sz="4" w:space="0" w:color="auto"/>
            </w:tcBorders>
            <w:shd w:val="clear" w:color="000000" w:fill="FFFFFF"/>
            <w:vAlign w:val="bottom"/>
          </w:tcPr>
          <w:p w14:paraId="0F117B2F" w14:textId="7D6DF724" w:rsidR="00967CD2" w:rsidRPr="00143FFB" w:rsidRDefault="00967CD2" w:rsidP="00C61283">
            <w:pPr>
              <w:jc w:val="right"/>
              <w:rPr>
                <w:rFonts w:cstheme="minorHAnsi"/>
                <w:sz w:val="16"/>
                <w:szCs w:val="16"/>
                <w:highlight w:val="yellow"/>
              </w:rPr>
            </w:pPr>
            <w:r>
              <w:rPr>
                <w:rFonts w:ascii="Arial" w:hAnsi="Arial" w:cs="Arial"/>
                <w:color w:val="000000"/>
                <w:sz w:val="16"/>
                <w:szCs w:val="16"/>
              </w:rPr>
              <w:t>0.033</w:t>
            </w:r>
          </w:p>
        </w:tc>
        <w:tc>
          <w:tcPr>
            <w:tcW w:w="1710" w:type="dxa"/>
            <w:tcBorders>
              <w:top w:val="nil"/>
              <w:left w:val="nil"/>
              <w:bottom w:val="single" w:sz="4" w:space="0" w:color="auto"/>
              <w:right w:val="single" w:sz="4" w:space="0" w:color="auto"/>
            </w:tcBorders>
            <w:shd w:val="clear" w:color="000000" w:fill="FFFFFF"/>
            <w:vAlign w:val="bottom"/>
          </w:tcPr>
          <w:p w14:paraId="2CAF7292" w14:textId="72B30368" w:rsidR="00967CD2" w:rsidRPr="00143FFB" w:rsidRDefault="00967CD2" w:rsidP="00C61283">
            <w:pPr>
              <w:jc w:val="right"/>
              <w:rPr>
                <w:rFonts w:cstheme="minorHAnsi"/>
                <w:sz w:val="16"/>
                <w:szCs w:val="16"/>
                <w:highlight w:val="yellow"/>
              </w:rPr>
            </w:pPr>
            <w:r>
              <w:rPr>
                <w:rFonts w:ascii="Arial" w:hAnsi="Arial" w:cs="Arial"/>
                <w:color w:val="000000"/>
                <w:sz w:val="16"/>
                <w:szCs w:val="16"/>
              </w:rPr>
              <w:t>19.800</w:t>
            </w:r>
          </w:p>
        </w:tc>
      </w:tr>
      <w:tr w:rsidR="005909FE" w14:paraId="4EBC5C14" w14:textId="77777777" w:rsidTr="004F210D">
        <w:trPr>
          <w:trHeight w:val="212"/>
        </w:trPr>
        <w:tc>
          <w:tcPr>
            <w:tcW w:w="946" w:type="dxa"/>
            <w:tcBorders>
              <w:top w:val="nil"/>
              <w:left w:val="single" w:sz="4" w:space="0" w:color="auto"/>
              <w:bottom w:val="single" w:sz="4" w:space="0" w:color="auto"/>
              <w:right w:val="single" w:sz="4" w:space="0" w:color="auto"/>
            </w:tcBorders>
            <w:shd w:val="clear" w:color="auto" w:fill="auto"/>
            <w:vAlign w:val="bottom"/>
          </w:tcPr>
          <w:p w14:paraId="49136041" w14:textId="2BC9A2E9" w:rsidR="00967CD2" w:rsidRPr="00143FFB" w:rsidRDefault="00967CD2" w:rsidP="00967CD2">
            <w:pPr>
              <w:jc w:val="center"/>
              <w:rPr>
                <w:rFonts w:cstheme="minorHAnsi"/>
                <w:sz w:val="18"/>
                <w:szCs w:val="18"/>
                <w:highlight w:val="yellow"/>
              </w:rPr>
            </w:pPr>
            <w:r>
              <w:rPr>
                <w:rFonts w:ascii="Arial" w:hAnsi="Arial" w:cs="Arial"/>
                <w:color w:val="000000"/>
                <w:sz w:val="16"/>
                <w:szCs w:val="16"/>
              </w:rPr>
              <w:lastRenderedPageBreak/>
              <w:t> </w:t>
            </w:r>
          </w:p>
        </w:tc>
        <w:tc>
          <w:tcPr>
            <w:tcW w:w="1119" w:type="dxa"/>
            <w:tcBorders>
              <w:top w:val="nil"/>
              <w:left w:val="nil"/>
              <w:bottom w:val="single" w:sz="4" w:space="0" w:color="auto"/>
              <w:right w:val="single" w:sz="4" w:space="0" w:color="auto"/>
            </w:tcBorders>
            <w:shd w:val="clear" w:color="auto" w:fill="auto"/>
            <w:vAlign w:val="bottom"/>
          </w:tcPr>
          <w:p w14:paraId="076084F1" w14:textId="2BF509D2" w:rsidR="00967CD2" w:rsidRPr="00143FFB" w:rsidRDefault="00967CD2" w:rsidP="00967CD2">
            <w:pPr>
              <w:jc w:val="center"/>
              <w:rPr>
                <w:rFonts w:cstheme="minorHAnsi"/>
                <w:sz w:val="18"/>
                <w:szCs w:val="18"/>
                <w:highlight w:val="yellow"/>
              </w:rPr>
            </w:pPr>
            <w:r>
              <w:rPr>
                <w:rFonts w:ascii="Arial" w:hAnsi="Arial" w:cs="Arial"/>
                <w:color w:val="000000"/>
                <w:sz w:val="16"/>
                <w:szCs w:val="16"/>
              </w:rPr>
              <w:t>III-21</w:t>
            </w:r>
          </w:p>
        </w:tc>
        <w:tc>
          <w:tcPr>
            <w:tcW w:w="2700" w:type="dxa"/>
            <w:tcBorders>
              <w:top w:val="nil"/>
              <w:left w:val="nil"/>
              <w:bottom w:val="single" w:sz="4" w:space="0" w:color="auto"/>
              <w:right w:val="single" w:sz="4" w:space="0" w:color="auto"/>
            </w:tcBorders>
            <w:shd w:val="clear" w:color="auto" w:fill="auto"/>
            <w:vAlign w:val="bottom"/>
          </w:tcPr>
          <w:p w14:paraId="1CD8D789" w14:textId="2B8C9646" w:rsidR="00967CD2" w:rsidRPr="00143FFB" w:rsidRDefault="00967CD2" w:rsidP="00967CD2">
            <w:pPr>
              <w:rPr>
                <w:rFonts w:cstheme="minorHAnsi"/>
                <w:sz w:val="18"/>
                <w:szCs w:val="18"/>
                <w:highlight w:val="yellow"/>
              </w:rPr>
            </w:pPr>
            <w:r>
              <w:rPr>
                <w:rFonts w:ascii="Arial" w:hAnsi="Arial" w:cs="Arial"/>
                <w:color w:val="000000"/>
                <w:sz w:val="16"/>
                <w:szCs w:val="16"/>
              </w:rPr>
              <w:t>Certification Requirements for the Pooling of Multifamily Mature Loan Program</w:t>
            </w:r>
          </w:p>
        </w:tc>
        <w:tc>
          <w:tcPr>
            <w:tcW w:w="1440" w:type="dxa"/>
            <w:tcBorders>
              <w:top w:val="nil"/>
              <w:left w:val="nil"/>
              <w:bottom w:val="single" w:sz="4" w:space="0" w:color="auto"/>
              <w:right w:val="single" w:sz="4" w:space="0" w:color="auto"/>
            </w:tcBorders>
            <w:shd w:val="clear" w:color="auto" w:fill="auto"/>
            <w:vAlign w:val="bottom"/>
          </w:tcPr>
          <w:p w14:paraId="45D16F45" w14:textId="4AE4400E" w:rsidR="00967CD2" w:rsidRPr="00143FFB" w:rsidRDefault="00967CD2" w:rsidP="00C61283">
            <w:pPr>
              <w:jc w:val="right"/>
              <w:rPr>
                <w:rFonts w:cstheme="minorHAnsi"/>
                <w:sz w:val="18"/>
                <w:szCs w:val="18"/>
                <w:highlight w:val="yellow"/>
              </w:rPr>
            </w:pPr>
            <w:r>
              <w:rPr>
                <w:rFonts w:ascii="Arial" w:hAnsi="Arial" w:cs="Arial"/>
                <w:color w:val="000000"/>
                <w:sz w:val="16"/>
                <w:szCs w:val="16"/>
              </w:rPr>
              <w:t>298.000</w:t>
            </w:r>
          </w:p>
        </w:tc>
        <w:tc>
          <w:tcPr>
            <w:tcW w:w="1080" w:type="dxa"/>
            <w:tcBorders>
              <w:top w:val="nil"/>
              <w:left w:val="nil"/>
              <w:bottom w:val="single" w:sz="4" w:space="0" w:color="auto"/>
              <w:right w:val="single" w:sz="4" w:space="0" w:color="auto"/>
            </w:tcBorders>
            <w:shd w:val="clear" w:color="auto" w:fill="auto"/>
            <w:vAlign w:val="bottom"/>
          </w:tcPr>
          <w:p w14:paraId="0EA6955E" w14:textId="389BB8C9" w:rsidR="00967CD2" w:rsidRPr="00143FFB" w:rsidRDefault="00967CD2" w:rsidP="00C61283">
            <w:pPr>
              <w:jc w:val="right"/>
              <w:rPr>
                <w:rFonts w:cstheme="minorHAnsi"/>
                <w:sz w:val="18"/>
                <w:szCs w:val="18"/>
                <w:highlight w:val="yellow"/>
              </w:rPr>
            </w:pPr>
            <w:r>
              <w:rPr>
                <w:rFonts w:ascii="Arial" w:hAnsi="Arial" w:cs="Arial"/>
                <w:color w:val="000000"/>
                <w:sz w:val="16"/>
                <w:szCs w:val="16"/>
              </w:rPr>
              <w:t>1</w:t>
            </w:r>
          </w:p>
        </w:tc>
        <w:tc>
          <w:tcPr>
            <w:tcW w:w="1260" w:type="dxa"/>
            <w:tcBorders>
              <w:top w:val="nil"/>
              <w:left w:val="nil"/>
              <w:bottom w:val="single" w:sz="4" w:space="0" w:color="auto"/>
              <w:right w:val="single" w:sz="4" w:space="0" w:color="auto"/>
            </w:tcBorders>
            <w:shd w:val="clear" w:color="000000" w:fill="FFFFFF"/>
            <w:vAlign w:val="bottom"/>
          </w:tcPr>
          <w:p w14:paraId="27BCEED2" w14:textId="0CC94D2F" w:rsidR="00967CD2" w:rsidRPr="00143FFB" w:rsidRDefault="00967CD2" w:rsidP="00C61283">
            <w:pPr>
              <w:jc w:val="right"/>
              <w:rPr>
                <w:rFonts w:cstheme="minorHAnsi"/>
                <w:sz w:val="16"/>
                <w:szCs w:val="16"/>
                <w:highlight w:val="yellow"/>
              </w:rPr>
            </w:pPr>
            <w:r>
              <w:rPr>
                <w:rFonts w:ascii="Arial" w:hAnsi="Arial" w:cs="Arial"/>
                <w:color w:val="000000"/>
                <w:sz w:val="16"/>
                <w:szCs w:val="16"/>
              </w:rPr>
              <w:t>298.000</w:t>
            </w:r>
          </w:p>
        </w:tc>
        <w:tc>
          <w:tcPr>
            <w:tcW w:w="1080" w:type="dxa"/>
            <w:tcBorders>
              <w:top w:val="nil"/>
              <w:left w:val="nil"/>
              <w:bottom w:val="single" w:sz="4" w:space="0" w:color="auto"/>
              <w:right w:val="single" w:sz="4" w:space="0" w:color="auto"/>
            </w:tcBorders>
            <w:shd w:val="clear" w:color="auto" w:fill="auto"/>
            <w:vAlign w:val="bottom"/>
          </w:tcPr>
          <w:p w14:paraId="1622C68F" w14:textId="788B435C" w:rsidR="00967CD2" w:rsidRPr="00143FFB" w:rsidRDefault="00967CD2" w:rsidP="00C61283">
            <w:pPr>
              <w:jc w:val="right"/>
              <w:rPr>
                <w:rFonts w:cstheme="minorHAnsi"/>
                <w:sz w:val="16"/>
                <w:szCs w:val="16"/>
                <w:highlight w:val="yellow"/>
              </w:rPr>
            </w:pPr>
            <w:r>
              <w:rPr>
                <w:rFonts w:ascii="Arial" w:hAnsi="Arial" w:cs="Arial"/>
                <w:color w:val="000000"/>
                <w:sz w:val="16"/>
                <w:szCs w:val="16"/>
              </w:rPr>
              <w:t>0.050</w:t>
            </w:r>
          </w:p>
        </w:tc>
        <w:tc>
          <w:tcPr>
            <w:tcW w:w="1710" w:type="dxa"/>
            <w:tcBorders>
              <w:top w:val="nil"/>
              <w:left w:val="nil"/>
              <w:bottom w:val="single" w:sz="4" w:space="0" w:color="auto"/>
              <w:right w:val="single" w:sz="4" w:space="0" w:color="auto"/>
            </w:tcBorders>
            <w:shd w:val="clear" w:color="000000" w:fill="FFFFFF"/>
            <w:vAlign w:val="bottom"/>
          </w:tcPr>
          <w:p w14:paraId="4F280E60" w14:textId="261E20D1" w:rsidR="00967CD2" w:rsidRPr="00143FFB" w:rsidRDefault="00967CD2" w:rsidP="00C61283">
            <w:pPr>
              <w:jc w:val="right"/>
              <w:rPr>
                <w:rFonts w:cstheme="minorHAnsi"/>
                <w:sz w:val="16"/>
                <w:szCs w:val="16"/>
                <w:highlight w:val="yellow"/>
              </w:rPr>
            </w:pPr>
            <w:r>
              <w:rPr>
                <w:rFonts w:ascii="Arial" w:hAnsi="Arial" w:cs="Arial"/>
                <w:color w:val="000000"/>
                <w:sz w:val="16"/>
                <w:szCs w:val="16"/>
              </w:rPr>
              <w:t>14.900</w:t>
            </w:r>
          </w:p>
        </w:tc>
      </w:tr>
      <w:tr w:rsidR="005909FE" w14:paraId="499F3775" w14:textId="77777777" w:rsidTr="004F210D">
        <w:trPr>
          <w:trHeight w:val="753"/>
        </w:trPr>
        <w:tc>
          <w:tcPr>
            <w:tcW w:w="946" w:type="dxa"/>
            <w:tcBorders>
              <w:top w:val="nil"/>
              <w:left w:val="single" w:sz="4" w:space="0" w:color="auto"/>
              <w:bottom w:val="single" w:sz="4" w:space="0" w:color="auto"/>
              <w:right w:val="single" w:sz="4" w:space="0" w:color="auto"/>
            </w:tcBorders>
            <w:shd w:val="clear" w:color="auto" w:fill="auto"/>
            <w:vAlign w:val="bottom"/>
          </w:tcPr>
          <w:p w14:paraId="2B2557FD" w14:textId="31DD1C6E" w:rsidR="00967CD2" w:rsidRPr="00143FFB" w:rsidRDefault="00967CD2" w:rsidP="00967CD2">
            <w:pPr>
              <w:jc w:val="center"/>
              <w:rPr>
                <w:rFonts w:cstheme="minorHAnsi"/>
                <w:sz w:val="18"/>
                <w:szCs w:val="18"/>
                <w:highlight w:val="yellow"/>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bottom"/>
          </w:tcPr>
          <w:p w14:paraId="52AD4DE4" w14:textId="15F23B95" w:rsidR="00967CD2" w:rsidRPr="00143FFB" w:rsidRDefault="00967CD2" w:rsidP="00967CD2">
            <w:pPr>
              <w:jc w:val="center"/>
              <w:rPr>
                <w:rFonts w:cstheme="minorHAnsi"/>
                <w:sz w:val="18"/>
                <w:szCs w:val="18"/>
                <w:highlight w:val="yellow"/>
              </w:rPr>
            </w:pPr>
            <w:r>
              <w:rPr>
                <w:rFonts w:ascii="Arial" w:hAnsi="Arial" w:cs="Arial"/>
                <w:color w:val="000000"/>
                <w:sz w:val="16"/>
                <w:szCs w:val="16"/>
              </w:rPr>
              <w:t>VI-9</w:t>
            </w:r>
          </w:p>
        </w:tc>
        <w:tc>
          <w:tcPr>
            <w:tcW w:w="2700" w:type="dxa"/>
            <w:tcBorders>
              <w:top w:val="nil"/>
              <w:left w:val="nil"/>
              <w:bottom w:val="single" w:sz="4" w:space="0" w:color="auto"/>
              <w:right w:val="single" w:sz="4" w:space="0" w:color="auto"/>
            </w:tcBorders>
            <w:shd w:val="clear" w:color="auto" w:fill="auto"/>
            <w:vAlign w:val="bottom"/>
          </w:tcPr>
          <w:p w14:paraId="5D91FA85" w14:textId="3F6D6C91" w:rsidR="00967CD2" w:rsidRPr="00143FFB" w:rsidRDefault="00967CD2" w:rsidP="00967CD2">
            <w:pPr>
              <w:rPr>
                <w:rFonts w:cstheme="minorHAnsi"/>
                <w:sz w:val="18"/>
                <w:szCs w:val="18"/>
                <w:highlight w:val="yellow"/>
              </w:rPr>
            </w:pPr>
            <w:r>
              <w:rPr>
                <w:rFonts w:ascii="Arial" w:hAnsi="Arial" w:cs="Arial"/>
                <w:color w:val="000000"/>
                <w:sz w:val="16"/>
                <w:szCs w:val="16"/>
              </w:rPr>
              <w:t>Request for Reimbursement of Mortgage Insurance Claim Costs for Multifamily Loans</w:t>
            </w:r>
          </w:p>
        </w:tc>
        <w:tc>
          <w:tcPr>
            <w:tcW w:w="1440" w:type="dxa"/>
            <w:tcBorders>
              <w:top w:val="nil"/>
              <w:left w:val="nil"/>
              <w:bottom w:val="single" w:sz="4" w:space="0" w:color="auto"/>
              <w:right w:val="single" w:sz="4" w:space="0" w:color="auto"/>
            </w:tcBorders>
            <w:shd w:val="clear" w:color="auto" w:fill="auto"/>
            <w:vAlign w:val="bottom"/>
          </w:tcPr>
          <w:p w14:paraId="4444A03A" w14:textId="43176093" w:rsidR="00967CD2" w:rsidRPr="00143FFB" w:rsidRDefault="00967CD2" w:rsidP="00C61283">
            <w:pPr>
              <w:jc w:val="right"/>
              <w:rPr>
                <w:rFonts w:cstheme="minorHAnsi"/>
                <w:sz w:val="18"/>
                <w:szCs w:val="18"/>
                <w:highlight w:val="yellow"/>
              </w:rPr>
            </w:pPr>
            <w:r>
              <w:rPr>
                <w:rFonts w:ascii="Arial" w:hAnsi="Arial" w:cs="Arial"/>
                <w:color w:val="000000"/>
                <w:sz w:val="16"/>
                <w:szCs w:val="16"/>
              </w:rPr>
              <w:t>21.000</w:t>
            </w:r>
          </w:p>
        </w:tc>
        <w:tc>
          <w:tcPr>
            <w:tcW w:w="1080" w:type="dxa"/>
            <w:tcBorders>
              <w:top w:val="nil"/>
              <w:left w:val="nil"/>
              <w:bottom w:val="single" w:sz="4" w:space="0" w:color="auto"/>
              <w:right w:val="single" w:sz="4" w:space="0" w:color="auto"/>
            </w:tcBorders>
            <w:shd w:val="clear" w:color="auto" w:fill="auto"/>
            <w:vAlign w:val="bottom"/>
          </w:tcPr>
          <w:p w14:paraId="17C397BB" w14:textId="30545C60" w:rsidR="00967CD2" w:rsidRPr="00143FFB" w:rsidRDefault="00967CD2" w:rsidP="00C61283">
            <w:pPr>
              <w:jc w:val="right"/>
              <w:rPr>
                <w:rFonts w:cstheme="minorHAnsi"/>
                <w:sz w:val="18"/>
                <w:szCs w:val="18"/>
                <w:highlight w:val="yellow"/>
              </w:rPr>
            </w:pPr>
            <w:r>
              <w:rPr>
                <w:rFonts w:ascii="Arial" w:hAnsi="Arial" w:cs="Arial"/>
                <w:color w:val="000000"/>
                <w:sz w:val="16"/>
                <w:szCs w:val="16"/>
              </w:rPr>
              <w:t>1</w:t>
            </w:r>
          </w:p>
        </w:tc>
        <w:tc>
          <w:tcPr>
            <w:tcW w:w="1260" w:type="dxa"/>
            <w:tcBorders>
              <w:top w:val="nil"/>
              <w:left w:val="nil"/>
              <w:bottom w:val="single" w:sz="4" w:space="0" w:color="auto"/>
              <w:right w:val="single" w:sz="4" w:space="0" w:color="auto"/>
            </w:tcBorders>
            <w:shd w:val="clear" w:color="000000" w:fill="FFFFFF"/>
            <w:vAlign w:val="bottom"/>
          </w:tcPr>
          <w:p w14:paraId="45A09F6C" w14:textId="5893FA66" w:rsidR="00967CD2" w:rsidRPr="00143FFB" w:rsidRDefault="00967CD2" w:rsidP="00C61283">
            <w:pPr>
              <w:jc w:val="right"/>
              <w:rPr>
                <w:rFonts w:cstheme="minorHAnsi"/>
                <w:sz w:val="16"/>
                <w:szCs w:val="16"/>
                <w:highlight w:val="yellow"/>
              </w:rPr>
            </w:pPr>
            <w:r>
              <w:rPr>
                <w:rFonts w:ascii="Arial" w:hAnsi="Arial" w:cs="Arial"/>
                <w:color w:val="000000"/>
                <w:sz w:val="16"/>
                <w:szCs w:val="16"/>
              </w:rPr>
              <w:t>21.000</w:t>
            </w:r>
          </w:p>
        </w:tc>
        <w:tc>
          <w:tcPr>
            <w:tcW w:w="1080" w:type="dxa"/>
            <w:tcBorders>
              <w:top w:val="nil"/>
              <w:left w:val="nil"/>
              <w:bottom w:val="single" w:sz="4" w:space="0" w:color="auto"/>
              <w:right w:val="single" w:sz="4" w:space="0" w:color="auto"/>
            </w:tcBorders>
            <w:shd w:val="clear" w:color="auto" w:fill="auto"/>
            <w:vAlign w:val="bottom"/>
          </w:tcPr>
          <w:p w14:paraId="3E10DECE" w14:textId="756DED41" w:rsidR="00967CD2" w:rsidRPr="00143FFB" w:rsidRDefault="00967CD2" w:rsidP="00C61283">
            <w:pPr>
              <w:jc w:val="right"/>
              <w:rPr>
                <w:rFonts w:cstheme="minorHAnsi"/>
                <w:sz w:val="16"/>
                <w:szCs w:val="16"/>
                <w:highlight w:val="yellow"/>
              </w:rPr>
            </w:pPr>
            <w:r>
              <w:rPr>
                <w:rFonts w:ascii="Arial" w:hAnsi="Arial" w:cs="Arial"/>
                <w:color w:val="000000"/>
                <w:sz w:val="16"/>
                <w:szCs w:val="16"/>
              </w:rPr>
              <w:t>0.250</w:t>
            </w:r>
          </w:p>
        </w:tc>
        <w:tc>
          <w:tcPr>
            <w:tcW w:w="1710" w:type="dxa"/>
            <w:tcBorders>
              <w:top w:val="nil"/>
              <w:left w:val="nil"/>
              <w:bottom w:val="single" w:sz="4" w:space="0" w:color="auto"/>
              <w:right w:val="single" w:sz="4" w:space="0" w:color="auto"/>
            </w:tcBorders>
            <w:shd w:val="clear" w:color="000000" w:fill="FFFFFF"/>
            <w:vAlign w:val="bottom"/>
          </w:tcPr>
          <w:p w14:paraId="2840663F" w14:textId="0E784E16" w:rsidR="00967CD2" w:rsidRPr="00143FFB" w:rsidRDefault="00967CD2" w:rsidP="00C61283">
            <w:pPr>
              <w:jc w:val="right"/>
              <w:rPr>
                <w:rFonts w:cstheme="minorHAnsi"/>
                <w:sz w:val="16"/>
                <w:szCs w:val="16"/>
                <w:highlight w:val="yellow"/>
              </w:rPr>
            </w:pPr>
            <w:r>
              <w:rPr>
                <w:rFonts w:ascii="Arial" w:hAnsi="Arial" w:cs="Arial"/>
                <w:color w:val="000000"/>
                <w:sz w:val="16"/>
                <w:szCs w:val="16"/>
              </w:rPr>
              <w:t>5.250</w:t>
            </w:r>
          </w:p>
        </w:tc>
      </w:tr>
      <w:tr w:rsidR="005909FE" w14:paraId="2984085A" w14:textId="77777777" w:rsidTr="004F210D">
        <w:trPr>
          <w:trHeight w:val="753"/>
        </w:trPr>
        <w:tc>
          <w:tcPr>
            <w:tcW w:w="946" w:type="dxa"/>
            <w:tcBorders>
              <w:top w:val="nil"/>
              <w:left w:val="single" w:sz="4" w:space="0" w:color="auto"/>
              <w:bottom w:val="single" w:sz="4" w:space="0" w:color="auto"/>
              <w:right w:val="single" w:sz="4" w:space="0" w:color="auto"/>
            </w:tcBorders>
            <w:shd w:val="clear" w:color="auto" w:fill="auto"/>
            <w:vAlign w:val="bottom"/>
          </w:tcPr>
          <w:p w14:paraId="7C1F62A9" w14:textId="1476D397" w:rsidR="00967CD2" w:rsidRPr="00143FFB" w:rsidRDefault="00967CD2" w:rsidP="00967CD2">
            <w:pPr>
              <w:jc w:val="center"/>
              <w:rPr>
                <w:rFonts w:cstheme="minorHAnsi"/>
                <w:sz w:val="18"/>
                <w:szCs w:val="18"/>
                <w:highlight w:val="yellow"/>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bottom"/>
          </w:tcPr>
          <w:p w14:paraId="5B18E175" w14:textId="6E8DB122" w:rsidR="00967CD2" w:rsidRPr="00143FFB" w:rsidRDefault="00967CD2" w:rsidP="00967CD2">
            <w:pPr>
              <w:jc w:val="center"/>
              <w:rPr>
                <w:rFonts w:cstheme="minorHAnsi"/>
                <w:sz w:val="18"/>
                <w:szCs w:val="18"/>
                <w:highlight w:val="yellow"/>
              </w:rPr>
            </w:pPr>
            <w:r>
              <w:rPr>
                <w:rFonts w:ascii="Arial" w:hAnsi="Arial" w:cs="Arial"/>
                <w:color w:val="000000"/>
                <w:sz w:val="16"/>
                <w:szCs w:val="16"/>
              </w:rPr>
              <w:t>VIII-3</w:t>
            </w:r>
          </w:p>
        </w:tc>
        <w:tc>
          <w:tcPr>
            <w:tcW w:w="2700" w:type="dxa"/>
            <w:tcBorders>
              <w:top w:val="nil"/>
              <w:left w:val="nil"/>
              <w:bottom w:val="single" w:sz="4" w:space="0" w:color="auto"/>
              <w:right w:val="single" w:sz="4" w:space="0" w:color="auto"/>
            </w:tcBorders>
            <w:shd w:val="clear" w:color="auto" w:fill="auto"/>
            <w:vAlign w:val="bottom"/>
          </w:tcPr>
          <w:p w14:paraId="648E2D47" w14:textId="16549FCE" w:rsidR="00967CD2" w:rsidRPr="00143FFB" w:rsidRDefault="00967CD2" w:rsidP="00967CD2">
            <w:pPr>
              <w:rPr>
                <w:rFonts w:cstheme="minorHAnsi"/>
                <w:sz w:val="18"/>
                <w:szCs w:val="18"/>
                <w:highlight w:val="yellow"/>
              </w:rPr>
            </w:pPr>
            <w:r>
              <w:rPr>
                <w:rFonts w:ascii="Arial" w:hAnsi="Arial" w:cs="Arial"/>
                <w:color w:val="000000"/>
                <w:sz w:val="16"/>
                <w:szCs w:val="16"/>
              </w:rPr>
              <w:t>Assignment Agreements</w:t>
            </w:r>
          </w:p>
        </w:tc>
        <w:tc>
          <w:tcPr>
            <w:tcW w:w="1440" w:type="dxa"/>
            <w:tcBorders>
              <w:top w:val="nil"/>
              <w:left w:val="nil"/>
              <w:bottom w:val="single" w:sz="4" w:space="0" w:color="auto"/>
              <w:right w:val="single" w:sz="4" w:space="0" w:color="auto"/>
            </w:tcBorders>
            <w:shd w:val="clear" w:color="auto" w:fill="auto"/>
            <w:vAlign w:val="bottom"/>
          </w:tcPr>
          <w:p w14:paraId="3D6BEC96" w14:textId="146F8F9C" w:rsidR="00967CD2" w:rsidRPr="00143FFB" w:rsidRDefault="00967CD2" w:rsidP="00C61283">
            <w:pPr>
              <w:jc w:val="right"/>
              <w:rPr>
                <w:rFonts w:cstheme="minorHAnsi"/>
                <w:sz w:val="18"/>
                <w:szCs w:val="18"/>
                <w:highlight w:val="yellow"/>
              </w:rPr>
            </w:pPr>
            <w:r>
              <w:rPr>
                <w:rFonts w:ascii="Arial" w:hAnsi="Arial" w:cs="Arial"/>
                <w:color w:val="000000"/>
                <w:sz w:val="16"/>
                <w:szCs w:val="16"/>
              </w:rPr>
              <w:t>67.000</w:t>
            </w:r>
          </w:p>
        </w:tc>
        <w:tc>
          <w:tcPr>
            <w:tcW w:w="1080" w:type="dxa"/>
            <w:tcBorders>
              <w:top w:val="nil"/>
              <w:left w:val="nil"/>
              <w:bottom w:val="single" w:sz="4" w:space="0" w:color="auto"/>
              <w:right w:val="single" w:sz="4" w:space="0" w:color="auto"/>
            </w:tcBorders>
            <w:shd w:val="clear" w:color="auto" w:fill="auto"/>
            <w:vAlign w:val="bottom"/>
          </w:tcPr>
          <w:p w14:paraId="706010A1" w14:textId="6AA0B65D" w:rsidR="00967CD2" w:rsidRPr="00143FFB" w:rsidRDefault="00967CD2" w:rsidP="00C61283">
            <w:pPr>
              <w:jc w:val="right"/>
              <w:rPr>
                <w:rFonts w:cstheme="minorHAnsi"/>
                <w:sz w:val="18"/>
                <w:szCs w:val="18"/>
                <w:highlight w:val="yellow"/>
              </w:rPr>
            </w:pPr>
            <w:r>
              <w:rPr>
                <w:rFonts w:ascii="Arial" w:hAnsi="Arial" w:cs="Arial"/>
                <w:color w:val="000000"/>
                <w:sz w:val="16"/>
                <w:szCs w:val="16"/>
              </w:rPr>
              <w:t>1</w:t>
            </w:r>
          </w:p>
        </w:tc>
        <w:tc>
          <w:tcPr>
            <w:tcW w:w="1260" w:type="dxa"/>
            <w:tcBorders>
              <w:top w:val="nil"/>
              <w:left w:val="nil"/>
              <w:bottom w:val="single" w:sz="4" w:space="0" w:color="auto"/>
              <w:right w:val="single" w:sz="4" w:space="0" w:color="auto"/>
            </w:tcBorders>
            <w:shd w:val="clear" w:color="000000" w:fill="FFFFFF"/>
            <w:vAlign w:val="bottom"/>
          </w:tcPr>
          <w:p w14:paraId="306ADE09" w14:textId="195EF2FA" w:rsidR="00967CD2" w:rsidRPr="00143FFB" w:rsidRDefault="00967CD2" w:rsidP="00C61283">
            <w:pPr>
              <w:jc w:val="right"/>
              <w:rPr>
                <w:rFonts w:cstheme="minorHAnsi"/>
                <w:sz w:val="16"/>
                <w:szCs w:val="16"/>
                <w:highlight w:val="yellow"/>
              </w:rPr>
            </w:pPr>
            <w:r>
              <w:rPr>
                <w:rFonts w:ascii="Arial" w:hAnsi="Arial" w:cs="Arial"/>
                <w:color w:val="000000"/>
                <w:sz w:val="16"/>
                <w:szCs w:val="16"/>
              </w:rPr>
              <w:t>67.000</w:t>
            </w:r>
          </w:p>
        </w:tc>
        <w:tc>
          <w:tcPr>
            <w:tcW w:w="1080" w:type="dxa"/>
            <w:tcBorders>
              <w:top w:val="nil"/>
              <w:left w:val="nil"/>
              <w:bottom w:val="single" w:sz="4" w:space="0" w:color="auto"/>
              <w:right w:val="single" w:sz="4" w:space="0" w:color="auto"/>
            </w:tcBorders>
            <w:shd w:val="clear" w:color="auto" w:fill="auto"/>
            <w:vAlign w:val="bottom"/>
          </w:tcPr>
          <w:p w14:paraId="0ED4C854" w14:textId="021989E5" w:rsidR="00967CD2" w:rsidRPr="00143FFB" w:rsidRDefault="00967CD2" w:rsidP="00C61283">
            <w:pPr>
              <w:jc w:val="right"/>
              <w:rPr>
                <w:rFonts w:cstheme="minorHAnsi"/>
                <w:sz w:val="16"/>
                <w:szCs w:val="16"/>
                <w:highlight w:val="yellow"/>
              </w:rPr>
            </w:pPr>
            <w:r>
              <w:rPr>
                <w:rFonts w:ascii="Arial" w:hAnsi="Arial" w:cs="Arial"/>
                <w:color w:val="000000"/>
                <w:sz w:val="16"/>
                <w:szCs w:val="16"/>
              </w:rPr>
              <w:t>0.130</w:t>
            </w:r>
          </w:p>
        </w:tc>
        <w:tc>
          <w:tcPr>
            <w:tcW w:w="1710" w:type="dxa"/>
            <w:tcBorders>
              <w:top w:val="nil"/>
              <w:left w:val="nil"/>
              <w:bottom w:val="single" w:sz="4" w:space="0" w:color="auto"/>
              <w:right w:val="single" w:sz="4" w:space="0" w:color="auto"/>
            </w:tcBorders>
            <w:shd w:val="clear" w:color="000000" w:fill="FFFFFF"/>
            <w:vAlign w:val="bottom"/>
          </w:tcPr>
          <w:p w14:paraId="1415F5D1" w14:textId="2DDF84C5" w:rsidR="00967CD2" w:rsidRPr="00143FFB" w:rsidRDefault="00967CD2" w:rsidP="00C61283">
            <w:pPr>
              <w:jc w:val="right"/>
              <w:rPr>
                <w:rFonts w:cstheme="minorHAnsi"/>
                <w:sz w:val="16"/>
                <w:szCs w:val="16"/>
                <w:highlight w:val="yellow"/>
              </w:rPr>
            </w:pPr>
            <w:r>
              <w:rPr>
                <w:rFonts w:ascii="Arial" w:hAnsi="Arial" w:cs="Arial"/>
                <w:color w:val="000000"/>
                <w:sz w:val="16"/>
                <w:szCs w:val="16"/>
              </w:rPr>
              <w:t>8.710</w:t>
            </w:r>
          </w:p>
        </w:tc>
      </w:tr>
      <w:tr w:rsidR="005909FE" w14:paraId="7E626153" w14:textId="77777777" w:rsidTr="004F210D">
        <w:trPr>
          <w:trHeight w:val="347"/>
        </w:trPr>
        <w:tc>
          <w:tcPr>
            <w:tcW w:w="946" w:type="dxa"/>
            <w:tcBorders>
              <w:top w:val="nil"/>
              <w:left w:val="single" w:sz="4" w:space="0" w:color="auto"/>
              <w:bottom w:val="single" w:sz="4" w:space="0" w:color="auto"/>
              <w:right w:val="single" w:sz="4" w:space="0" w:color="auto"/>
            </w:tcBorders>
            <w:shd w:val="clear" w:color="000000" w:fill="FFFFFF"/>
            <w:vAlign w:val="bottom"/>
          </w:tcPr>
          <w:p w14:paraId="49412BBA" w14:textId="5A2FA8A8" w:rsidR="00967CD2" w:rsidRPr="00143FFB" w:rsidRDefault="00967CD2" w:rsidP="00967CD2">
            <w:pPr>
              <w:jc w:val="center"/>
              <w:rPr>
                <w:rFonts w:cstheme="minorHAnsi"/>
                <w:sz w:val="18"/>
                <w:szCs w:val="18"/>
                <w:highlight w:val="yellow"/>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000000" w:fill="FFFFFF"/>
            <w:vAlign w:val="bottom"/>
          </w:tcPr>
          <w:p w14:paraId="64375FE6" w14:textId="7621127A" w:rsidR="00967CD2" w:rsidRPr="00143FFB" w:rsidRDefault="00967CD2" w:rsidP="00967CD2">
            <w:pPr>
              <w:jc w:val="center"/>
              <w:rPr>
                <w:rFonts w:cstheme="minorHAnsi"/>
                <w:sz w:val="18"/>
                <w:szCs w:val="18"/>
                <w:highlight w:val="yellow"/>
              </w:rPr>
            </w:pPr>
            <w:r>
              <w:rPr>
                <w:rFonts w:ascii="Arial" w:hAnsi="Arial" w:cs="Arial"/>
                <w:color w:val="000000"/>
                <w:sz w:val="16"/>
                <w:szCs w:val="16"/>
              </w:rPr>
              <w:t>III-9</w:t>
            </w:r>
          </w:p>
        </w:tc>
        <w:tc>
          <w:tcPr>
            <w:tcW w:w="2700" w:type="dxa"/>
            <w:tcBorders>
              <w:top w:val="nil"/>
              <w:left w:val="nil"/>
              <w:bottom w:val="single" w:sz="4" w:space="0" w:color="auto"/>
              <w:right w:val="single" w:sz="4" w:space="0" w:color="auto"/>
            </w:tcBorders>
            <w:shd w:val="clear" w:color="000000" w:fill="FFFFFF"/>
            <w:vAlign w:val="bottom"/>
          </w:tcPr>
          <w:p w14:paraId="3B66F8E2" w14:textId="33D3A064" w:rsidR="00967CD2" w:rsidRPr="00143FFB" w:rsidRDefault="00967CD2" w:rsidP="00967CD2">
            <w:pPr>
              <w:rPr>
                <w:rFonts w:cstheme="minorHAnsi"/>
                <w:sz w:val="18"/>
                <w:szCs w:val="18"/>
                <w:highlight w:val="yellow"/>
              </w:rPr>
            </w:pPr>
            <w:r>
              <w:rPr>
                <w:rFonts w:ascii="Arial" w:hAnsi="Arial" w:cs="Arial"/>
                <w:color w:val="000000"/>
                <w:sz w:val="16"/>
                <w:szCs w:val="16"/>
              </w:rPr>
              <w:t>Authorization to Accept Facsimile Signed Correction Request Forms</w:t>
            </w:r>
          </w:p>
        </w:tc>
        <w:tc>
          <w:tcPr>
            <w:tcW w:w="1440" w:type="dxa"/>
            <w:tcBorders>
              <w:top w:val="nil"/>
              <w:left w:val="nil"/>
              <w:bottom w:val="single" w:sz="4" w:space="0" w:color="auto"/>
              <w:right w:val="single" w:sz="4" w:space="0" w:color="auto"/>
            </w:tcBorders>
            <w:shd w:val="clear" w:color="000000" w:fill="FFFFFF"/>
            <w:vAlign w:val="bottom"/>
          </w:tcPr>
          <w:p w14:paraId="7866D961" w14:textId="63622B1F" w:rsidR="00967CD2" w:rsidRPr="00143FFB" w:rsidRDefault="00967CD2" w:rsidP="00C61283">
            <w:pPr>
              <w:jc w:val="right"/>
              <w:rPr>
                <w:rFonts w:cstheme="minorHAnsi"/>
                <w:sz w:val="18"/>
                <w:szCs w:val="18"/>
                <w:highlight w:val="yellow"/>
              </w:rPr>
            </w:pPr>
            <w:r>
              <w:rPr>
                <w:rFonts w:ascii="Arial" w:hAnsi="Arial" w:cs="Arial"/>
                <w:color w:val="000000"/>
                <w:sz w:val="16"/>
                <w:szCs w:val="16"/>
              </w:rPr>
              <w:t>329.000</w:t>
            </w:r>
          </w:p>
        </w:tc>
        <w:tc>
          <w:tcPr>
            <w:tcW w:w="1080" w:type="dxa"/>
            <w:tcBorders>
              <w:top w:val="nil"/>
              <w:left w:val="nil"/>
              <w:bottom w:val="single" w:sz="4" w:space="0" w:color="auto"/>
              <w:right w:val="single" w:sz="4" w:space="0" w:color="auto"/>
            </w:tcBorders>
            <w:shd w:val="clear" w:color="000000" w:fill="FFFFFF"/>
            <w:vAlign w:val="bottom"/>
          </w:tcPr>
          <w:p w14:paraId="1CAE51EE" w14:textId="20F8D308" w:rsidR="00967CD2" w:rsidRPr="00143FFB" w:rsidRDefault="00967CD2" w:rsidP="00C61283">
            <w:pPr>
              <w:jc w:val="right"/>
              <w:rPr>
                <w:rFonts w:cstheme="minorHAnsi"/>
                <w:sz w:val="18"/>
                <w:szCs w:val="18"/>
                <w:highlight w:val="yellow"/>
              </w:rPr>
            </w:pPr>
            <w:r>
              <w:rPr>
                <w:rFonts w:ascii="Arial" w:hAnsi="Arial" w:cs="Arial"/>
                <w:color w:val="000000"/>
                <w:sz w:val="16"/>
                <w:szCs w:val="16"/>
              </w:rPr>
              <w:t>12</w:t>
            </w:r>
          </w:p>
        </w:tc>
        <w:tc>
          <w:tcPr>
            <w:tcW w:w="1260" w:type="dxa"/>
            <w:tcBorders>
              <w:top w:val="nil"/>
              <w:left w:val="nil"/>
              <w:bottom w:val="single" w:sz="4" w:space="0" w:color="auto"/>
              <w:right w:val="single" w:sz="4" w:space="0" w:color="auto"/>
            </w:tcBorders>
            <w:shd w:val="clear" w:color="000000" w:fill="FFFFFF"/>
            <w:vAlign w:val="bottom"/>
          </w:tcPr>
          <w:p w14:paraId="6689DC51" w14:textId="06F191ED" w:rsidR="00967CD2" w:rsidRPr="00143FFB" w:rsidRDefault="00967CD2" w:rsidP="00C61283">
            <w:pPr>
              <w:jc w:val="right"/>
              <w:rPr>
                <w:rFonts w:cstheme="minorHAnsi"/>
                <w:sz w:val="16"/>
                <w:szCs w:val="16"/>
                <w:highlight w:val="yellow"/>
              </w:rPr>
            </w:pPr>
            <w:r>
              <w:rPr>
                <w:rFonts w:ascii="Arial" w:hAnsi="Arial" w:cs="Arial"/>
                <w:color w:val="000000"/>
                <w:sz w:val="16"/>
                <w:szCs w:val="16"/>
              </w:rPr>
              <w:t xml:space="preserve">         3,948.0000 </w:t>
            </w:r>
          </w:p>
        </w:tc>
        <w:tc>
          <w:tcPr>
            <w:tcW w:w="1080" w:type="dxa"/>
            <w:tcBorders>
              <w:top w:val="nil"/>
              <w:left w:val="nil"/>
              <w:bottom w:val="single" w:sz="4" w:space="0" w:color="auto"/>
              <w:right w:val="single" w:sz="4" w:space="0" w:color="auto"/>
            </w:tcBorders>
            <w:shd w:val="clear" w:color="000000" w:fill="FFFFFF"/>
            <w:vAlign w:val="bottom"/>
          </w:tcPr>
          <w:p w14:paraId="51D60CDB" w14:textId="21404DC8" w:rsidR="00967CD2" w:rsidRPr="00143FFB" w:rsidRDefault="00967CD2" w:rsidP="00C61283">
            <w:pPr>
              <w:jc w:val="right"/>
              <w:rPr>
                <w:rFonts w:cstheme="minorHAnsi"/>
                <w:sz w:val="16"/>
                <w:szCs w:val="16"/>
                <w:highlight w:val="yellow"/>
              </w:rPr>
            </w:pPr>
            <w:r>
              <w:rPr>
                <w:rFonts w:ascii="Arial" w:hAnsi="Arial" w:cs="Arial"/>
                <w:color w:val="000000"/>
                <w:sz w:val="16"/>
                <w:szCs w:val="16"/>
              </w:rPr>
              <w:t>0.016</w:t>
            </w:r>
          </w:p>
        </w:tc>
        <w:tc>
          <w:tcPr>
            <w:tcW w:w="1710" w:type="dxa"/>
            <w:tcBorders>
              <w:top w:val="nil"/>
              <w:left w:val="nil"/>
              <w:bottom w:val="single" w:sz="4" w:space="0" w:color="auto"/>
              <w:right w:val="single" w:sz="4" w:space="0" w:color="auto"/>
            </w:tcBorders>
            <w:shd w:val="clear" w:color="000000" w:fill="FFFFFF"/>
            <w:vAlign w:val="bottom"/>
          </w:tcPr>
          <w:p w14:paraId="1BB809F3" w14:textId="46B623AA" w:rsidR="00967CD2" w:rsidRPr="00143FFB" w:rsidRDefault="00967CD2" w:rsidP="00C61283">
            <w:pPr>
              <w:jc w:val="right"/>
              <w:rPr>
                <w:rFonts w:cstheme="minorHAnsi"/>
                <w:sz w:val="16"/>
                <w:szCs w:val="16"/>
                <w:highlight w:val="yellow"/>
              </w:rPr>
            </w:pPr>
            <w:r>
              <w:rPr>
                <w:rFonts w:ascii="Arial" w:hAnsi="Arial" w:cs="Arial"/>
                <w:color w:val="000000"/>
                <w:sz w:val="16"/>
                <w:szCs w:val="16"/>
              </w:rPr>
              <w:t>63.168</w:t>
            </w:r>
          </w:p>
        </w:tc>
      </w:tr>
      <w:tr w:rsidR="005909FE" w14:paraId="49622A9E" w14:textId="77777777" w:rsidTr="004F210D">
        <w:trPr>
          <w:trHeight w:val="527"/>
        </w:trPr>
        <w:tc>
          <w:tcPr>
            <w:tcW w:w="946" w:type="dxa"/>
            <w:tcBorders>
              <w:top w:val="nil"/>
              <w:left w:val="single" w:sz="4" w:space="0" w:color="auto"/>
              <w:bottom w:val="single" w:sz="4" w:space="0" w:color="auto"/>
              <w:right w:val="single" w:sz="4" w:space="0" w:color="auto"/>
            </w:tcBorders>
            <w:shd w:val="clear" w:color="000000" w:fill="FFFFFF"/>
            <w:vAlign w:val="bottom"/>
          </w:tcPr>
          <w:p w14:paraId="1F3CBA3F" w14:textId="6318A701" w:rsidR="00967CD2" w:rsidRPr="00143FFB" w:rsidRDefault="00967CD2" w:rsidP="00967CD2">
            <w:pPr>
              <w:jc w:val="center"/>
              <w:rPr>
                <w:rFonts w:cstheme="minorHAnsi"/>
                <w:sz w:val="18"/>
                <w:szCs w:val="18"/>
                <w:highlight w:val="yellow"/>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000000" w:fill="FFFFFF"/>
            <w:vAlign w:val="bottom"/>
          </w:tcPr>
          <w:p w14:paraId="77C1B78F" w14:textId="7B3C6FFA" w:rsidR="00967CD2" w:rsidRPr="00143FFB" w:rsidRDefault="00967CD2" w:rsidP="00967CD2">
            <w:pPr>
              <w:jc w:val="center"/>
              <w:rPr>
                <w:rFonts w:cstheme="minorHAnsi"/>
                <w:sz w:val="18"/>
                <w:szCs w:val="18"/>
                <w:highlight w:val="yellow"/>
              </w:rPr>
            </w:pPr>
            <w:r>
              <w:rPr>
                <w:rFonts w:ascii="Arial" w:hAnsi="Arial" w:cs="Arial"/>
                <w:color w:val="000000"/>
                <w:sz w:val="16"/>
                <w:szCs w:val="16"/>
              </w:rPr>
              <w:t>VI-17</w:t>
            </w:r>
          </w:p>
        </w:tc>
        <w:tc>
          <w:tcPr>
            <w:tcW w:w="2700" w:type="dxa"/>
            <w:tcBorders>
              <w:top w:val="nil"/>
              <w:left w:val="nil"/>
              <w:bottom w:val="single" w:sz="4" w:space="0" w:color="auto"/>
              <w:right w:val="single" w:sz="4" w:space="0" w:color="auto"/>
            </w:tcBorders>
            <w:shd w:val="clear" w:color="000000" w:fill="FFFFFF"/>
            <w:vAlign w:val="bottom"/>
          </w:tcPr>
          <w:p w14:paraId="5DABDD63" w14:textId="2A39C819" w:rsidR="00967CD2" w:rsidRPr="00143FFB" w:rsidRDefault="00967CD2" w:rsidP="00967CD2">
            <w:pPr>
              <w:rPr>
                <w:rFonts w:cstheme="minorHAnsi"/>
                <w:sz w:val="18"/>
                <w:szCs w:val="18"/>
                <w:highlight w:val="yellow"/>
              </w:rPr>
            </w:pPr>
            <w:r>
              <w:rPr>
                <w:rFonts w:ascii="Arial" w:hAnsi="Arial" w:cs="Arial"/>
                <w:color w:val="000000"/>
                <w:sz w:val="16"/>
                <w:szCs w:val="16"/>
              </w:rPr>
              <w:t>HMBS Issuer Pooling &amp; Reporting Specification for Mortgage-Backed Securities Administration Agent</w:t>
            </w:r>
          </w:p>
        </w:tc>
        <w:tc>
          <w:tcPr>
            <w:tcW w:w="1440" w:type="dxa"/>
            <w:tcBorders>
              <w:top w:val="nil"/>
              <w:left w:val="nil"/>
              <w:bottom w:val="single" w:sz="4" w:space="0" w:color="auto"/>
              <w:right w:val="single" w:sz="4" w:space="0" w:color="auto"/>
            </w:tcBorders>
            <w:shd w:val="clear" w:color="000000" w:fill="FFFFFF"/>
            <w:vAlign w:val="bottom"/>
          </w:tcPr>
          <w:p w14:paraId="2559034C" w14:textId="6F268B65" w:rsidR="00967CD2" w:rsidRPr="00143FFB" w:rsidRDefault="00967CD2" w:rsidP="00C61283">
            <w:pPr>
              <w:jc w:val="right"/>
              <w:rPr>
                <w:rFonts w:cstheme="minorHAnsi"/>
                <w:sz w:val="18"/>
                <w:szCs w:val="18"/>
                <w:highlight w:val="yellow"/>
              </w:rPr>
            </w:pPr>
            <w:r>
              <w:rPr>
                <w:rFonts w:ascii="Arial" w:hAnsi="Arial" w:cs="Arial"/>
                <w:color w:val="000000"/>
                <w:sz w:val="16"/>
                <w:szCs w:val="16"/>
              </w:rPr>
              <w:t xml:space="preserve">         3,200.00 </w:t>
            </w:r>
          </w:p>
        </w:tc>
        <w:tc>
          <w:tcPr>
            <w:tcW w:w="1080" w:type="dxa"/>
            <w:tcBorders>
              <w:top w:val="nil"/>
              <w:left w:val="nil"/>
              <w:bottom w:val="single" w:sz="4" w:space="0" w:color="auto"/>
              <w:right w:val="single" w:sz="4" w:space="0" w:color="auto"/>
            </w:tcBorders>
            <w:shd w:val="clear" w:color="000000" w:fill="FFFFFF"/>
            <w:vAlign w:val="bottom"/>
          </w:tcPr>
          <w:p w14:paraId="62E03666" w14:textId="0E5E9680" w:rsidR="00967CD2" w:rsidRPr="00143FFB" w:rsidRDefault="00967CD2" w:rsidP="00C61283">
            <w:pPr>
              <w:jc w:val="right"/>
              <w:rPr>
                <w:rFonts w:cstheme="minorHAnsi"/>
                <w:sz w:val="18"/>
                <w:szCs w:val="18"/>
                <w:highlight w:val="yellow"/>
              </w:rPr>
            </w:pPr>
            <w:r>
              <w:rPr>
                <w:rFonts w:ascii="Arial" w:hAnsi="Arial" w:cs="Arial"/>
                <w:color w:val="000000"/>
                <w:sz w:val="16"/>
                <w:szCs w:val="16"/>
              </w:rPr>
              <w:t>12</w:t>
            </w:r>
          </w:p>
        </w:tc>
        <w:tc>
          <w:tcPr>
            <w:tcW w:w="1260" w:type="dxa"/>
            <w:tcBorders>
              <w:top w:val="nil"/>
              <w:left w:val="nil"/>
              <w:bottom w:val="single" w:sz="4" w:space="0" w:color="auto"/>
              <w:right w:val="single" w:sz="4" w:space="0" w:color="auto"/>
            </w:tcBorders>
            <w:shd w:val="clear" w:color="000000" w:fill="FFFFFF"/>
            <w:vAlign w:val="bottom"/>
          </w:tcPr>
          <w:p w14:paraId="4E93E54F" w14:textId="36F57997" w:rsidR="00967CD2" w:rsidRPr="00143FFB" w:rsidRDefault="00967CD2" w:rsidP="00C61283">
            <w:pPr>
              <w:jc w:val="right"/>
              <w:rPr>
                <w:rFonts w:cstheme="minorHAnsi"/>
                <w:sz w:val="16"/>
                <w:szCs w:val="16"/>
                <w:highlight w:val="yellow"/>
              </w:rPr>
            </w:pPr>
            <w:r>
              <w:rPr>
                <w:rFonts w:ascii="Arial" w:hAnsi="Arial" w:cs="Arial"/>
                <w:color w:val="000000"/>
                <w:sz w:val="16"/>
                <w:szCs w:val="16"/>
              </w:rPr>
              <w:t xml:space="preserve">       38,400.0000 </w:t>
            </w:r>
          </w:p>
        </w:tc>
        <w:tc>
          <w:tcPr>
            <w:tcW w:w="1080" w:type="dxa"/>
            <w:tcBorders>
              <w:top w:val="nil"/>
              <w:left w:val="nil"/>
              <w:bottom w:val="single" w:sz="4" w:space="0" w:color="auto"/>
              <w:right w:val="single" w:sz="4" w:space="0" w:color="auto"/>
            </w:tcBorders>
            <w:shd w:val="clear" w:color="000000" w:fill="FFFFFF"/>
            <w:vAlign w:val="bottom"/>
          </w:tcPr>
          <w:p w14:paraId="1AD0E403" w14:textId="617A4561" w:rsidR="00967CD2" w:rsidRPr="00143FFB" w:rsidRDefault="00967CD2" w:rsidP="00C61283">
            <w:pPr>
              <w:jc w:val="right"/>
              <w:rPr>
                <w:rFonts w:cstheme="minorHAnsi"/>
                <w:sz w:val="16"/>
                <w:szCs w:val="16"/>
                <w:highlight w:val="yellow"/>
              </w:rPr>
            </w:pPr>
            <w:r>
              <w:rPr>
                <w:rFonts w:ascii="Arial" w:hAnsi="Arial" w:cs="Arial"/>
                <w:color w:val="000000"/>
                <w:sz w:val="16"/>
                <w:szCs w:val="16"/>
              </w:rPr>
              <w:t>0.130</w:t>
            </w:r>
          </w:p>
        </w:tc>
        <w:tc>
          <w:tcPr>
            <w:tcW w:w="1710" w:type="dxa"/>
            <w:tcBorders>
              <w:top w:val="nil"/>
              <w:left w:val="nil"/>
              <w:bottom w:val="single" w:sz="4" w:space="0" w:color="auto"/>
              <w:right w:val="single" w:sz="4" w:space="0" w:color="auto"/>
            </w:tcBorders>
            <w:shd w:val="clear" w:color="000000" w:fill="FFFFFF"/>
            <w:vAlign w:val="bottom"/>
          </w:tcPr>
          <w:p w14:paraId="5AC81889" w14:textId="3FFB7B1F" w:rsidR="00967CD2" w:rsidRPr="00143FFB" w:rsidRDefault="00967CD2" w:rsidP="00C61283">
            <w:pPr>
              <w:jc w:val="right"/>
              <w:rPr>
                <w:rFonts w:cstheme="minorHAnsi"/>
                <w:sz w:val="16"/>
                <w:szCs w:val="16"/>
                <w:highlight w:val="yellow"/>
              </w:rPr>
            </w:pPr>
            <w:r>
              <w:rPr>
                <w:rFonts w:ascii="Arial" w:hAnsi="Arial" w:cs="Arial"/>
                <w:color w:val="000000"/>
                <w:sz w:val="16"/>
                <w:szCs w:val="16"/>
              </w:rPr>
              <w:t>4,992.000</w:t>
            </w:r>
          </w:p>
        </w:tc>
      </w:tr>
      <w:tr w:rsidR="005909FE" w14:paraId="18D3C5EB" w14:textId="77777777" w:rsidTr="004F210D">
        <w:trPr>
          <w:trHeight w:val="527"/>
        </w:trPr>
        <w:tc>
          <w:tcPr>
            <w:tcW w:w="946" w:type="dxa"/>
            <w:tcBorders>
              <w:top w:val="nil"/>
              <w:left w:val="single" w:sz="4" w:space="0" w:color="auto"/>
              <w:bottom w:val="single" w:sz="4" w:space="0" w:color="auto"/>
              <w:right w:val="single" w:sz="4" w:space="0" w:color="auto"/>
            </w:tcBorders>
            <w:shd w:val="clear" w:color="000000" w:fill="FFFFFF"/>
            <w:vAlign w:val="bottom"/>
          </w:tcPr>
          <w:p w14:paraId="5609C9FC" w14:textId="52162F1F" w:rsidR="00967CD2" w:rsidRPr="00143FFB" w:rsidRDefault="00967CD2" w:rsidP="00967CD2">
            <w:pPr>
              <w:jc w:val="center"/>
              <w:rPr>
                <w:rFonts w:cstheme="minorHAnsi"/>
                <w:sz w:val="18"/>
                <w:szCs w:val="18"/>
                <w:highlight w:val="yellow"/>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000000" w:fill="FFFFFF"/>
            <w:vAlign w:val="bottom"/>
          </w:tcPr>
          <w:p w14:paraId="5096B98A" w14:textId="6DE266EF" w:rsidR="00967CD2" w:rsidRPr="00143FFB" w:rsidRDefault="00967CD2" w:rsidP="00967CD2">
            <w:pPr>
              <w:jc w:val="center"/>
              <w:rPr>
                <w:rFonts w:cstheme="minorHAnsi"/>
                <w:sz w:val="18"/>
                <w:szCs w:val="18"/>
                <w:highlight w:val="yellow"/>
              </w:rPr>
            </w:pPr>
            <w:r>
              <w:rPr>
                <w:rFonts w:ascii="Arial" w:hAnsi="Arial" w:cs="Arial"/>
                <w:color w:val="000000"/>
                <w:sz w:val="16"/>
                <w:szCs w:val="16"/>
              </w:rPr>
              <w:t>VI-19</w:t>
            </w:r>
          </w:p>
        </w:tc>
        <w:tc>
          <w:tcPr>
            <w:tcW w:w="2700" w:type="dxa"/>
            <w:tcBorders>
              <w:top w:val="nil"/>
              <w:left w:val="nil"/>
              <w:bottom w:val="single" w:sz="4" w:space="0" w:color="auto"/>
              <w:right w:val="single" w:sz="4" w:space="0" w:color="auto"/>
            </w:tcBorders>
            <w:shd w:val="clear" w:color="000000" w:fill="FFFFFF"/>
            <w:vAlign w:val="bottom"/>
          </w:tcPr>
          <w:p w14:paraId="4158B9AD" w14:textId="3FDA4CFC" w:rsidR="00967CD2" w:rsidRPr="00143FFB" w:rsidRDefault="00967CD2" w:rsidP="00967CD2">
            <w:pPr>
              <w:rPr>
                <w:rFonts w:cstheme="minorHAnsi"/>
                <w:sz w:val="18"/>
                <w:szCs w:val="18"/>
                <w:highlight w:val="yellow"/>
              </w:rPr>
            </w:pPr>
            <w:r>
              <w:rPr>
                <w:rFonts w:ascii="Arial" w:hAnsi="Arial" w:cs="Arial"/>
                <w:color w:val="000000"/>
                <w:sz w:val="16"/>
                <w:szCs w:val="16"/>
              </w:rPr>
              <w:t>Monthly Pool and Loan Level Report (RFS)</w:t>
            </w:r>
          </w:p>
        </w:tc>
        <w:tc>
          <w:tcPr>
            <w:tcW w:w="1440" w:type="dxa"/>
            <w:tcBorders>
              <w:top w:val="nil"/>
              <w:left w:val="nil"/>
              <w:bottom w:val="single" w:sz="4" w:space="0" w:color="auto"/>
              <w:right w:val="single" w:sz="4" w:space="0" w:color="auto"/>
            </w:tcBorders>
            <w:shd w:val="clear" w:color="000000" w:fill="FFFFFF"/>
            <w:vAlign w:val="bottom"/>
          </w:tcPr>
          <w:p w14:paraId="03D7F3D3" w14:textId="7EF28C48" w:rsidR="00967CD2" w:rsidRPr="00143FFB" w:rsidRDefault="00967CD2" w:rsidP="00C61283">
            <w:pPr>
              <w:jc w:val="right"/>
              <w:rPr>
                <w:rFonts w:cstheme="minorHAnsi"/>
                <w:sz w:val="18"/>
                <w:szCs w:val="18"/>
                <w:highlight w:val="yellow"/>
              </w:rPr>
            </w:pPr>
            <w:r>
              <w:rPr>
                <w:rFonts w:ascii="Arial" w:hAnsi="Arial" w:cs="Arial"/>
                <w:color w:val="000000"/>
                <w:sz w:val="16"/>
                <w:szCs w:val="16"/>
              </w:rPr>
              <w:t xml:space="preserve">   400,000.000 </w:t>
            </w:r>
          </w:p>
        </w:tc>
        <w:tc>
          <w:tcPr>
            <w:tcW w:w="1080" w:type="dxa"/>
            <w:tcBorders>
              <w:top w:val="nil"/>
              <w:left w:val="nil"/>
              <w:bottom w:val="single" w:sz="4" w:space="0" w:color="auto"/>
              <w:right w:val="single" w:sz="4" w:space="0" w:color="auto"/>
            </w:tcBorders>
            <w:shd w:val="clear" w:color="000000" w:fill="FFFFFF"/>
            <w:vAlign w:val="bottom"/>
          </w:tcPr>
          <w:p w14:paraId="0EB18E31" w14:textId="2C72CA00" w:rsidR="00967CD2" w:rsidRPr="00143FFB" w:rsidRDefault="00967CD2" w:rsidP="00C61283">
            <w:pPr>
              <w:jc w:val="right"/>
              <w:rPr>
                <w:rFonts w:cstheme="minorHAnsi"/>
                <w:sz w:val="18"/>
                <w:szCs w:val="18"/>
                <w:highlight w:val="yellow"/>
              </w:rPr>
            </w:pPr>
            <w:r>
              <w:rPr>
                <w:rFonts w:ascii="Arial" w:hAnsi="Arial" w:cs="Arial"/>
                <w:color w:val="000000"/>
                <w:sz w:val="16"/>
                <w:szCs w:val="16"/>
              </w:rPr>
              <w:t>12</w:t>
            </w:r>
          </w:p>
        </w:tc>
        <w:tc>
          <w:tcPr>
            <w:tcW w:w="1260" w:type="dxa"/>
            <w:tcBorders>
              <w:top w:val="nil"/>
              <w:left w:val="nil"/>
              <w:bottom w:val="single" w:sz="4" w:space="0" w:color="auto"/>
              <w:right w:val="single" w:sz="4" w:space="0" w:color="auto"/>
            </w:tcBorders>
            <w:shd w:val="clear" w:color="auto" w:fill="auto"/>
            <w:vAlign w:val="bottom"/>
          </w:tcPr>
          <w:p w14:paraId="4CA8AB8B" w14:textId="30D229FB" w:rsidR="00967CD2" w:rsidRPr="00143FFB" w:rsidRDefault="00967CD2" w:rsidP="00C61283">
            <w:pPr>
              <w:jc w:val="right"/>
              <w:rPr>
                <w:rFonts w:cstheme="minorHAnsi"/>
                <w:sz w:val="16"/>
                <w:szCs w:val="16"/>
                <w:highlight w:val="yellow"/>
              </w:rPr>
            </w:pPr>
            <w:r>
              <w:rPr>
                <w:rFonts w:ascii="Arial" w:hAnsi="Arial" w:cs="Arial"/>
                <w:color w:val="000000"/>
                <w:sz w:val="16"/>
                <w:szCs w:val="16"/>
              </w:rPr>
              <w:t xml:space="preserve">    4,800,000.000 </w:t>
            </w:r>
          </w:p>
        </w:tc>
        <w:tc>
          <w:tcPr>
            <w:tcW w:w="1080" w:type="dxa"/>
            <w:tcBorders>
              <w:top w:val="nil"/>
              <w:left w:val="nil"/>
              <w:bottom w:val="single" w:sz="4" w:space="0" w:color="auto"/>
              <w:right w:val="single" w:sz="4" w:space="0" w:color="auto"/>
            </w:tcBorders>
            <w:shd w:val="clear" w:color="auto" w:fill="auto"/>
            <w:vAlign w:val="bottom"/>
          </w:tcPr>
          <w:p w14:paraId="7DC9C0BE" w14:textId="0A29B3D6" w:rsidR="00967CD2" w:rsidRPr="00143FFB" w:rsidRDefault="00967CD2" w:rsidP="00C61283">
            <w:pPr>
              <w:jc w:val="right"/>
              <w:rPr>
                <w:rFonts w:cstheme="minorHAnsi"/>
                <w:sz w:val="16"/>
                <w:szCs w:val="16"/>
                <w:highlight w:val="yellow"/>
              </w:rPr>
            </w:pPr>
            <w:r>
              <w:rPr>
                <w:rFonts w:ascii="Arial" w:hAnsi="Arial" w:cs="Arial"/>
                <w:color w:val="000000"/>
                <w:sz w:val="16"/>
                <w:szCs w:val="16"/>
              </w:rPr>
              <w:t>0.500</w:t>
            </w:r>
          </w:p>
        </w:tc>
        <w:tc>
          <w:tcPr>
            <w:tcW w:w="1710" w:type="dxa"/>
            <w:tcBorders>
              <w:top w:val="nil"/>
              <w:left w:val="nil"/>
              <w:bottom w:val="single" w:sz="4" w:space="0" w:color="auto"/>
              <w:right w:val="single" w:sz="4" w:space="0" w:color="auto"/>
            </w:tcBorders>
            <w:shd w:val="clear" w:color="000000" w:fill="FFFFFF"/>
            <w:vAlign w:val="bottom"/>
          </w:tcPr>
          <w:p w14:paraId="3FF443A4" w14:textId="31805009" w:rsidR="00967CD2" w:rsidRPr="00143FFB" w:rsidRDefault="00967CD2" w:rsidP="00C61283">
            <w:pPr>
              <w:jc w:val="right"/>
              <w:rPr>
                <w:rFonts w:cstheme="minorHAnsi"/>
                <w:sz w:val="16"/>
                <w:szCs w:val="16"/>
                <w:highlight w:val="yellow"/>
              </w:rPr>
            </w:pPr>
            <w:r>
              <w:rPr>
                <w:rFonts w:ascii="Arial" w:hAnsi="Arial" w:cs="Arial"/>
                <w:color w:val="000000"/>
                <w:sz w:val="16"/>
                <w:szCs w:val="16"/>
              </w:rPr>
              <w:t>2,400,000.000</w:t>
            </w:r>
          </w:p>
        </w:tc>
      </w:tr>
      <w:tr w:rsidR="005909FE" w14:paraId="119AD213" w14:textId="77777777" w:rsidTr="004F210D">
        <w:trPr>
          <w:trHeight w:val="347"/>
        </w:trPr>
        <w:tc>
          <w:tcPr>
            <w:tcW w:w="946" w:type="dxa"/>
          </w:tcPr>
          <w:p w14:paraId="6DF6F057" w14:textId="3DB26D80" w:rsidR="00757913" w:rsidRDefault="00757913" w:rsidP="00874813">
            <w:pPr>
              <w:jc w:val="center"/>
              <w:rPr>
                <w:rFonts w:cstheme="minorHAnsi"/>
                <w:b/>
                <w:sz w:val="18"/>
                <w:szCs w:val="18"/>
              </w:rPr>
            </w:pPr>
          </w:p>
        </w:tc>
        <w:tc>
          <w:tcPr>
            <w:tcW w:w="1119" w:type="dxa"/>
          </w:tcPr>
          <w:p w14:paraId="356F317E" w14:textId="77777777" w:rsidR="00757913" w:rsidRPr="00535A56" w:rsidRDefault="00757913" w:rsidP="00874813">
            <w:pPr>
              <w:jc w:val="center"/>
              <w:rPr>
                <w:rFonts w:cstheme="minorHAnsi"/>
                <w:sz w:val="18"/>
                <w:szCs w:val="18"/>
              </w:rPr>
            </w:pPr>
          </w:p>
        </w:tc>
        <w:tc>
          <w:tcPr>
            <w:tcW w:w="2700" w:type="dxa"/>
          </w:tcPr>
          <w:p w14:paraId="05CA7A3B" w14:textId="77777777" w:rsidR="00757913" w:rsidRPr="00535A56" w:rsidRDefault="00757913" w:rsidP="00874813">
            <w:pPr>
              <w:jc w:val="center"/>
              <w:rPr>
                <w:rFonts w:cstheme="minorHAnsi"/>
                <w:sz w:val="18"/>
                <w:szCs w:val="18"/>
              </w:rPr>
            </w:pPr>
          </w:p>
        </w:tc>
        <w:tc>
          <w:tcPr>
            <w:tcW w:w="1440" w:type="dxa"/>
          </w:tcPr>
          <w:p w14:paraId="43BFD98A" w14:textId="77777777" w:rsidR="00757913" w:rsidRPr="00535A56" w:rsidRDefault="00757913" w:rsidP="00874813">
            <w:pPr>
              <w:jc w:val="center"/>
              <w:rPr>
                <w:rFonts w:cstheme="minorHAnsi"/>
                <w:sz w:val="18"/>
                <w:szCs w:val="18"/>
              </w:rPr>
            </w:pPr>
          </w:p>
        </w:tc>
        <w:tc>
          <w:tcPr>
            <w:tcW w:w="1080" w:type="dxa"/>
          </w:tcPr>
          <w:p w14:paraId="32094E23" w14:textId="77777777" w:rsidR="00757913" w:rsidRPr="00535A56" w:rsidRDefault="00757913" w:rsidP="00874813">
            <w:pPr>
              <w:jc w:val="center"/>
              <w:rPr>
                <w:rFonts w:cstheme="minorHAnsi"/>
                <w:sz w:val="18"/>
                <w:szCs w:val="18"/>
              </w:rPr>
            </w:pPr>
          </w:p>
        </w:tc>
        <w:tc>
          <w:tcPr>
            <w:tcW w:w="1260" w:type="dxa"/>
          </w:tcPr>
          <w:p w14:paraId="2A0767BD" w14:textId="1C1A72CA" w:rsidR="00757913" w:rsidRPr="000405AA" w:rsidRDefault="00757913" w:rsidP="000F1C14">
            <w:pPr>
              <w:rPr>
                <w:rFonts w:cstheme="minorHAnsi"/>
                <w:b/>
              </w:rPr>
            </w:pPr>
          </w:p>
        </w:tc>
        <w:tc>
          <w:tcPr>
            <w:tcW w:w="1080" w:type="dxa"/>
          </w:tcPr>
          <w:p w14:paraId="79237B06" w14:textId="77777777" w:rsidR="00757913" w:rsidRPr="00874813" w:rsidRDefault="00757913" w:rsidP="00874813">
            <w:pPr>
              <w:jc w:val="center"/>
              <w:rPr>
                <w:rFonts w:cstheme="minorHAnsi"/>
                <w:b/>
                <w:sz w:val="16"/>
                <w:szCs w:val="16"/>
              </w:rPr>
            </w:pPr>
          </w:p>
        </w:tc>
        <w:tc>
          <w:tcPr>
            <w:tcW w:w="1710" w:type="dxa"/>
          </w:tcPr>
          <w:p w14:paraId="61338C50" w14:textId="77777777" w:rsidR="00757913" w:rsidRPr="00874813" w:rsidRDefault="00757913" w:rsidP="000F1C14">
            <w:pPr>
              <w:rPr>
                <w:rFonts w:cstheme="minorHAnsi"/>
                <w:sz w:val="16"/>
                <w:szCs w:val="16"/>
              </w:rPr>
            </w:pPr>
          </w:p>
        </w:tc>
      </w:tr>
      <w:tr w:rsidR="005909FE" w14:paraId="71CA95CC" w14:textId="77777777" w:rsidTr="004F210D">
        <w:trPr>
          <w:trHeight w:val="347"/>
        </w:trPr>
        <w:tc>
          <w:tcPr>
            <w:tcW w:w="946" w:type="dxa"/>
          </w:tcPr>
          <w:p w14:paraId="0F5C8BF6" w14:textId="77777777" w:rsidR="00143FFB" w:rsidRPr="00535A56" w:rsidRDefault="00143FFB" w:rsidP="00874813">
            <w:pPr>
              <w:jc w:val="center"/>
              <w:rPr>
                <w:rFonts w:cstheme="minorHAnsi"/>
                <w:b/>
                <w:sz w:val="18"/>
                <w:szCs w:val="18"/>
              </w:rPr>
            </w:pPr>
            <w:r>
              <w:rPr>
                <w:rFonts w:cstheme="minorHAnsi"/>
                <w:b/>
                <w:sz w:val="18"/>
                <w:szCs w:val="18"/>
              </w:rPr>
              <w:t>Subtotal</w:t>
            </w:r>
          </w:p>
        </w:tc>
        <w:tc>
          <w:tcPr>
            <w:tcW w:w="1119" w:type="dxa"/>
          </w:tcPr>
          <w:p w14:paraId="6C7209B2" w14:textId="77777777" w:rsidR="00143FFB" w:rsidRPr="005909FE" w:rsidRDefault="00143FFB" w:rsidP="00874813">
            <w:pPr>
              <w:jc w:val="center"/>
              <w:rPr>
                <w:rFonts w:ascii="Arial" w:hAnsi="Arial" w:cs="Arial"/>
                <w:sz w:val="16"/>
                <w:szCs w:val="16"/>
              </w:rPr>
            </w:pPr>
          </w:p>
        </w:tc>
        <w:tc>
          <w:tcPr>
            <w:tcW w:w="2700" w:type="dxa"/>
          </w:tcPr>
          <w:p w14:paraId="6DEAEDBE" w14:textId="77777777" w:rsidR="00143FFB" w:rsidRPr="005909FE" w:rsidRDefault="00143FFB" w:rsidP="00874813">
            <w:pPr>
              <w:jc w:val="center"/>
              <w:rPr>
                <w:rFonts w:ascii="Arial" w:hAnsi="Arial" w:cs="Arial"/>
                <w:sz w:val="16"/>
                <w:szCs w:val="16"/>
              </w:rPr>
            </w:pPr>
          </w:p>
        </w:tc>
        <w:tc>
          <w:tcPr>
            <w:tcW w:w="1440" w:type="dxa"/>
          </w:tcPr>
          <w:p w14:paraId="68AF8A6E" w14:textId="77777777" w:rsidR="00143FFB" w:rsidRPr="005909FE" w:rsidRDefault="00143FFB" w:rsidP="00874813">
            <w:pPr>
              <w:jc w:val="center"/>
              <w:rPr>
                <w:rFonts w:ascii="Arial" w:hAnsi="Arial" w:cs="Arial"/>
                <w:sz w:val="16"/>
                <w:szCs w:val="16"/>
              </w:rPr>
            </w:pPr>
          </w:p>
        </w:tc>
        <w:tc>
          <w:tcPr>
            <w:tcW w:w="1080" w:type="dxa"/>
          </w:tcPr>
          <w:p w14:paraId="315E9A45" w14:textId="77777777" w:rsidR="00143FFB" w:rsidRPr="005909FE" w:rsidRDefault="00143FFB" w:rsidP="00874813">
            <w:pPr>
              <w:jc w:val="center"/>
              <w:rPr>
                <w:rFonts w:ascii="Arial" w:hAnsi="Arial" w:cs="Arial"/>
                <w:sz w:val="16"/>
                <w:szCs w:val="16"/>
              </w:rPr>
            </w:pPr>
          </w:p>
        </w:tc>
        <w:tc>
          <w:tcPr>
            <w:tcW w:w="1260" w:type="dxa"/>
          </w:tcPr>
          <w:p w14:paraId="155109A8" w14:textId="45A2DF11" w:rsidR="00143FFB" w:rsidRPr="005909FE" w:rsidRDefault="000405AA" w:rsidP="000405AA">
            <w:pPr>
              <w:overflowPunct/>
              <w:autoSpaceDE/>
              <w:autoSpaceDN/>
              <w:adjustRightInd/>
              <w:textAlignment w:val="auto"/>
              <w:rPr>
                <w:rFonts w:ascii="Arial" w:hAnsi="Arial" w:cs="Arial"/>
                <w:sz w:val="16"/>
                <w:szCs w:val="16"/>
              </w:rPr>
            </w:pPr>
            <w:r w:rsidRPr="005909FE">
              <w:rPr>
                <w:rFonts w:ascii="Arial" w:hAnsi="Arial" w:cs="Arial"/>
                <w:sz w:val="16"/>
                <w:szCs w:val="16"/>
              </w:rPr>
              <w:t>5,671,023.000</w:t>
            </w:r>
          </w:p>
        </w:tc>
        <w:tc>
          <w:tcPr>
            <w:tcW w:w="1080" w:type="dxa"/>
          </w:tcPr>
          <w:p w14:paraId="60EC3B89" w14:textId="77777777" w:rsidR="00143FFB" w:rsidRPr="005909FE" w:rsidRDefault="00143FFB" w:rsidP="00874813">
            <w:pPr>
              <w:jc w:val="center"/>
              <w:rPr>
                <w:rFonts w:ascii="Arial" w:hAnsi="Arial" w:cs="Arial"/>
                <w:sz w:val="16"/>
                <w:szCs w:val="16"/>
              </w:rPr>
            </w:pPr>
          </w:p>
        </w:tc>
        <w:tc>
          <w:tcPr>
            <w:tcW w:w="1710" w:type="dxa"/>
          </w:tcPr>
          <w:p w14:paraId="61B4D7E0" w14:textId="4225017E" w:rsidR="00143FFB" w:rsidRPr="005909FE" w:rsidRDefault="00095387" w:rsidP="000F1C14">
            <w:pPr>
              <w:rPr>
                <w:rFonts w:ascii="Arial" w:hAnsi="Arial" w:cs="Arial"/>
                <w:sz w:val="16"/>
                <w:szCs w:val="16"/>
              </w:rPr>
            </w:pPr>
            <w:r w:rsidRPr="005909FE">
              <w:rPr>
                <w:rFonts w:ascii="Arial" w:hAnsi="Arial" w:cs="Arial"/>
                <w:sz w:val="16"/>
                <w:szCs w:val="16"/>
              </w:rPr>
              <w:t>2</w:t>
            </w:r>
            <w:r w:rsidR="00456528" w:rsidRPr="005909FE">
              <w:rPr>
                <w:rFonts w:ascii="Arial" w:hAnsi="Arial" w:cs="Arial"/>
                <w:sz w:val="16"/>
                <w:szCs w:val="16"/>
              </w:rPr>
              <w:t>,</w:t>
            </w:r>
            <w:r w:rsidRPr="005909FE">
              <w:rPr>
                <w:rFonts w:ascii="Arial" w:hAnsi="Arial" w:cs="Arial"/>
                <w:sz w:val="16"/>
                <w:szCs w:val="16"/>
              </w:rPr>
              <w:t>475</w:t>
            </w:r>
            <w:r w:rsidR="00456528" w:rsidRPr="005909FE">
              <w:rPr>
                <w:rFonts w:ascii="Arial" w:hAnsi="Arial" w:cs="Arial"/>
                <w:sz w:val="16"/>
                <w:szCs w:val="16"/>
              </w:rPr>
              <w:t>,</w:t>
            </w:r>
            <w:r w:rsidRPr="005909FE">
              <w:rPr>
                <w:rFonts w:ascii="Arial" w:hAnsi="Arial" w:cs="Arial"/>
                <w:sz w:val="16"/>
                <w:szCs w:val="16"/>
              </w:rPr>
              <w:t>934.67</w:t>
            </w:r>
            <w:r w:rsidR="00C61283" w:rsidRPr="005909FE">
              <w:rPr>
                <w:rFonts w:ascii="Arial" w:hAnsi="Arial" w:cs="Arial"/>
                <w:sz w:val="16"/>
                <w:szCs w:val="16"/>
              </w:rPr>
              <w:t>0</w:t>
            </w:r>
            <w:r w:rsidR="005909FE" w:rsidRPr="005909FE">
              <w:rPr>
                <w:rFonts w:ascii="Arial" w:hAnsi="Arial" w:cs="Arial"/>
                <w:sz w:val="16"/>
                <w:szCs w:val="16"/>
              </w:rPr>
              <w:t>.000</w:t>
            </w:r>
          </w:p>
        </w:tc>
      </w:tr>
      <w:tr w:rsidR="005909FE" w14:paraId="19B5EFD8" w14:textId="77777777" w:rsidTr="004F210D">
        <w:trPr>
          <w:trHeight w:val="347"/>
        </w:trPr>
        <w:tc>
          <w:tcPr>
            <w:tcW w:w="946" w:type="dxa"/>
          </w:tcPr>
          <w:p w14:paraId="03E1A2C2" w14:textId="77777777" w:rsidR="00653F8A" w:rsidRPr="00535A56" w:rsidRDefault="00653F8A" w:rsidP="00874813">
            <w:pPr>
              <w:jc w:val="center"/>
              <w:rPr>
                <w:rFonts w:cstheme="minorHAnsi"/>
                <w:b/>
                <w:sz w:val="18"/>
                <w:szCs w:val="18"/>
              </w:rPr>
            </w:pPr>
            <w:r w:rsidRPr="00535A56">
              <w:rPr>
                <w:rFonts w:cstheme="minorHAnsi"/>
                <w:b/>
                <w:sz w:val="18"/>
                <w:szCs w:val="18"/>
              </w:rPr>
              <w:t>Total</w:t>
            </w:r>
          </w:p>
        </w:tc>
        <w:tc>
          <w:tcPr>
            <w:tcW w:w="1119" w:type="dxa"/>
          </w:tcPr>
          <w:p w14:paraId="022D9278" w14:textId="77777777" w:rsidR="00653F8A" w:rsidRPr="00535A56" w:rsidRDefault="00653F8A" w:rsidP="00874813">
            <w:pPr>
              <w:jc w:val="center"/>
              <w:rPr>
                <w:rFonts w:cstheme="minorHAnsi"/>
                <w:sz w:val="18"/>
                <w:szCs w:val="18"/>
              </w:rPr>
            </w:pPr>
          </w:p>
        </w:tc>
        <w:tc>
          <w:tcPr>
            <w:tcW w:w="2700" w:type="dxa"/>
          </w:tcPr>
          <w:p w14:paraId="2958BC98" w14:textId="77777777" w:rsidR="00653F8A" w:rsidRPr="00535A56" w:rsidRDefault="00653F8A" w:rsidP="00874813">
            <w:pPr>
              <w:jc w:val="center"/>
              <w:rPr>
                <w:rFonts w:cstheme="minorHAnsi"/>
                <w:sz w:val="18"/>
                <w:szCs w:val="18"/>
              </w:rPr>
            </w:pPr>
          </w:p>
        </w:tc>
        <w:tc>
          <w:tcPr>
            <w:tcW w:w="1440" w:type="dxa"/>
          </w:tcPr>
          <w:p w14:paraId="4C47D322" w14:textId="77777777" w:rsidR="00653F8A" w:rsidRPr="00535A56" w:rsidRDefault="00653F8A" w:rsidP="00874813">
            <w:pPr>
              <w:jc w:val="center"/>
              <w:rPr>
                <w:rFonts w:cstheme="minorHAnsi"/>
                <w:sz w:val="18"/>
                <w:szCs w:val="18"/>
              </w:rPr>
            </w:pPr>
          </w:p>
        </w:tc>
        <w:tc>
          <w:tcPr>
            <w:tcW w:w="1080" w:type="dxa"/>
          </w:tcPr>
          <w:p w14:paraId="7A7BADDE" w14:textId="77777777" w:rsidR="00653F8A" w:rsidRPr="00535A56" w:rsidRDefault="00653F8A" w:rsidP="00874813">
            <w:pPr>
              <w:jc w:val="center"/>
              <w:rPr>
                <w:rFonts w:cstheme="minorHAnsi"/>
                <w:sz w:val="18"/>
                <w:szCs w:val="18"/>
              </w:rPr>
            </w:pPr>
            <w:r w:rsidRPr="00535A56">
              <w:rPr>
                <w:rFonts w:cstheme="minorHAnsi"/>
                <w:sz w:val="18"/>
                <w:szCs w:val="18"/>
              </w:rPr>
              <w:t>Varies</w:t>
            </w:r>
          </w:p>
        </w:tc>
        <w:tc>
          <w:tcPr>
            <w:tcW w:w="1260" w:type="dxa"/>
          </w:tcPr>
          <w:p w14:paraId="75CA1AC7" w14:textId="77777777" w:rsidR="00653F8A" w:rsidRPr="00874813" w:rsidRDefault="00653F8A" w:rsidP="00C61283">
            <w:pPr>
              <w:jc w:val="right"/>
              <w:rPr>
                <w:rFonts w:cstheme="minorHAnsi"/>
                <w:sz w:val="16"/>
                <w:szCs w:val="16"/>
              </w:rPr>
            </w:pPr>
            <w:r w:rsidRPr="00874813">
              <w:rPr>
                <w:rFonts w:cstheme="minorHAnsi"/>
                <w:sz w:val="16"/>
                <w:szCs w:val="16"/>
              </w:rPr>
              <w:t>5,686,034.000</w:t>
            </w:r>
          </w:p>
        </w:tc>
        <w:tc>
          <w:tcPr>
            <w:tcW w:w="1080" w:type="dxa"/>
          </w:tcPr>
          <w:p w14:paraId="65722B51" w14:textId="77777777" w:rsidR="00653F8A" w:rsidRPr="00874813" w:rsidRDefault="00653F8A" w:rsidP="00C61283">
            <w:pPr>
              <w:jc w:val="right"/>
              <w:rPr>
                <w:rFonts w:cstheme="minorHAnsi"/>
                <w:b/>
                <w:sz w:val="16"/>
                <w:szCs w:val="16"/>
              </w:rPr>
            </w:pPr>
            <w:r w:rsidRPr="00874813">
              <w:rPr>
                <w:rFonts w:cstheme="minorHAnsi"/>
                <w:b/>
                <w:sz w:val="16"/>
                <w:szCs w:val="16"/>
              </w:rPr>
              <w:t>Total</w:t>
            </w:r>
          </w:p>
        </w:tc>
        <w:tc>
          <w:tcPr>
            <w:tcW w:w="1710" w:type="dxa"/>
          </w:tcPr>
          <w:p w14:paraId="67F4B956" w14:textId="77777777" w:rsidR="00653F8A" w:rsidRPr="00874813" w:rsidRDefault="00653F8A" w:rsidP="00C61283">
            <w:pPr>
              <w:jc w:val="right"/>
              <w:rPr>
                <w:rFonts w:cstheme="minorHAnsi"/>
                <w:sz w:val="16"/>
                <w:szCs w:val="16"/>
              </w:rPr>
            </w:pPr>
            <w:r w:rsidRPr="00874813">
              <w:rPr>
                <w:rFonts w:cstheme="minorHAnsi"/>
                <w:sz w:val="16"/>
                <w:szCs w:val="16"/>
              </w:rPr>
              <w:t>2,480,359.000</w:t>
            </w:r>
          </w:p>
          <w:p w14:paraId="3276FC33" w14:textId="77777777" w:rsidR="00653F8A" w:rsidRPr="00874813" w:rsidRDefault="00653F8A" w:rsidP="00C61283">
            <w:pPr>
              <w:jc w:val="right"/>
              <w:rPr>
                <w:rFonts w:cstheme="minorHAnsi"/>
                <w:sz w:val="16"/>
                <w:szCs w:val="16"/>
              </w:rPr>
            </w:pPr>
          </w:p>
        </w:tc>
      </w:tr>
    </w:tbl>
    <w:p w14:paraId="73BEF799" w14:textId="77777777" w:rsidR="00F120E5" w:rsidRDefault="00F120E5" w:rsidP="00626629">
      <w:pPr>
        <w:ind w:left="450"/>
        <w:rPr>
          <w:rFonts w:ascii="Arial" w:hAnsi="Arial" w:cs="Arial"/>
          <w:bCs/>
          <w:color w:val="000000"/>
        </w:rPr>
      </w:pPr>
    </w:p>
    <w:p w14:paraId="002DA963" w14:textId="77777777" w:rsidR="007F4A34" w:rsidRPr="00242972" w:rsidRDefault="00F120E5" w:rsidP="00874813">
      <w:pPr>
        <w:rPr>
          <w:sz w:val="22"/>
          <w:szCs w:val="22"/>
        </w:rPr>
      </w:pPr>
      <w:r>
        <w:rPr>
          <w:rFonts w:ascii="Arial" w:hAnsi="Arial" w:cs="Arial"/>
          <w:bCs/>
          <w:color w:val="000000"/>
        </w:rPr>
        <w:tab/>
      </w:r>
      <w:r>
        <w:rPr>
          <w:rFonts w:ascii="Arial" w:hAnsi="Arial" w:cs="Arial"/>
          <w:bCs/>
          <w:color w:val="000000"/>
        </w:rPr>
        <w:tab/>
      </w:r>
      <w:r w:rsidR="007F4A34" w:rsidRPr="00242972">
        <w:rPr>
          <w:sz w:val="22"/>
          <w:szCs w:val="22"/>
        </w:rPr>
        <w:t>Annual reporting and recordkeeping hour burden:</w:t>
      </w:r>
    </w:p>
    <w:p w14:paraId="72C7F7BB" w14:textId="77777777" w:rsidR="007F4A34" w:rsidRPr="00242972" w:rsidRDefault="007F4A34" w:rsidP="00874813">
      <w:pPr>
        <w:keepLines/>
        <w:ind w:left="720" w:firstLine="720"/>
        <w:rPr>
          <w:sz w:val="22"/>
          <w:szCs w:val="22"/>
        </w:rPr>
      </w:pPr>
      <w:r w:rsidRPr="00242972">
        <w:rPr>
          <w:sz w:val="22"/>
          <w:szCs w:val="22"/>
        </w:rPr>
        <w:t>a. Number of respondents</w:t>
      </w:r>
      <w:r w:rsidRPr="00242972">
        <w:rPr>
          <w:sz w:val="22"/>
          <w:szCs w:val="22"/>
        </w:rPr>
        <w:tab/>
      </w:r>
      <w:r w:rsidRPr="00242972">
        <w:rPr>
          <w:sz w:val="22"/>
          <w:szCs w:val="22"/>
        </w:rPr>
        <w:tab/>
      </w:r>
      <w:r w:rsidR="00242972" w:rsidRPr="00242972">
        <w:rPr>
          <w:sz w:val="22"/>
          <w:szCs w:val="22"/>
        </w:rPr>
        <w:tab/>
      </w:r>
      <w:r w:rsidR="00242972" w:rsidRPr="00242972">
        <w:rPr>
          <w:sz w:val="22"/>
          <w:szCs w:val="22"/>
        </w:rPr>
        <w:tab/>
      </w:r>
      <w:r w:rsidR="00242972" w:rsidRPr="00242972">
        <w:rPr>
          <w:sz w:val="22"/>
          <w:szCs w:val="22"/>
        </w:rPr>
        <w:tab/>
      </w:r>
      <w:r w:rsidR="00DB0D20" w:rsidRPr="00242972">
        <w:rPr>
          <w:sz w:val="22"/>
          <w:szCs w:val="22"/>
        </w:rPr>
        <w:t xml:space="preserve">           </w:t>
      </w:r>
      <w:r w:rsidR="00E91562" w:rsidRPr="00242972">
        <w:rPr>
          <w:sz w:val="22"/>
          <w:szCs w:val="22"/>
        </w:rPr>
        <w:t>468</w:t>
      </w:r>
    </w:p>
    <w:p w14:paraId="7C77A6AF" w14:textId="77777777" w:rsidR="007F4A34" w:rsidRPr="00242972" w:rsidRDefault="00242972" w:rsidP="00242972">
      <w:pPr>
        <w:keepLines/>
        <w:ind w:left="270"/>
        <w:rPr>
          <w:sz w:val="22"/>
          <w:szCs w:val="22"/>
        </w:rPr>
      </w:pPr>
      <w:r w:rsidRPr="00242972">
        <w:rPr>
          <w:sz w:val="22"/>
          <w:szCs w:val="22"/>
        </w:rPr>
        <w:tab/>
      </w:r>
      <w:r w:rsidRPr="00242972">
        <w:rPr>
          <w:sz w:val="22"/>
          <w:szCs w:val="22"/>
        </w:rPr>
        <w:tab/>
      </w:r>
      <w:r w:rsidR="007F4A34" w:rsidRPr="00242972">
        <w:rPr>
          <w:sz w:val="22"/>
          <w:szCs w:val="22"/>
        </w:rPr>
        <w:t>b. Total annual responses</w:t>
      </w:r>
      <w:r w:rsidR="007F4A34" w:rsidRPr="00242972">
        <w:rPr>
          <w:sz w:val="22"/>
          <w:szCs w:val="22"/>
        </w:rPr>
        <w:tab/>
      </w:r>
      <w:r w:rsidR="007F4A34" w:rsidRPr="00242972">
        <w:rPr>
          <w:sz w:val="22"/>
          <w:szCs w:val="22"/>
        </w:rPr>
        <w:tab/>
      </w:r>
      <w:r w:rsidR="007F4A34" w:rsidRPr="00242972">
        <w:rPr>
          <w:sz w:val="22"/>
          <w:szCs w:val="22"/>
        </w:rPr>
        <w:tab/>
      </w:r>
      <w:r w:rsidR="00365906" w:rsidRPr="00242972">
        <w:rPr>
          <w:sz w:val="22"/>
          <w:szCs w:val="22"/>
        </w:rPr>
        <w:t xml:space="preserve">          </w:t>
      </w:r>
      <w:r w:rsidR="00DB0D20" w:rsidRPr="00242972">
        <w:rPr>
          <w:sz w:val="22"/>
          <w:szCs w:val="22"/>
        </w:rPr>
        <w:tab/>
      </w:r>
      <w:r w:rsidR="00DB5B92" w:rsidRPr="00242972">
        <w:rPr>
          <w:sz w:val="22"/>
          <w:szCs w:val="22"/>
        </w:rPr>
        <w:t xml:space="preserve">  </w:t>
      </w:r>
      <w:r w:rsidRPr="00242972">
        <w:rPr>
          <w:sz w:val="22"/>
          <w:szCs w:val="22"/>
        </w:rPr>
        <w:tab/>
        <w:t xml:space="preserve"> </w:t>
      </w:r>
      <w:r w:rsidR="00DB5B92" w:rsidRPr="00242972">
        <w:rPr>
          <w:sz w:val="22"/>
          <w:szCs w:val="22"/>
        </w:rPr>
        <w:t>5,686,034</w:t>
      </w:r>
      <w:r w:rsidR="007F4A34" w:rsidRPr="00242972">
        <w:rPr>
          <w:sz w:val="22"/>
          <w:szCs w:val="22"/>
        </w:rPr>
        <w:t xml:space="preserve"> </w:t>
      </w:r>
    </w:p>
    <w:p w14:paraId="1542896E" w14:textId="77777777" w:rsidR="007F4A34" w:rsidRPr="00242972" w:rsidRDefault="00242972" w:rsidP="00242972">
      <w:pPr>
        <w:keepLines/>
        <w:numPr>
          <w:ilvl w:val="12"/>
          <w:numId w:val="0"/>
        </w:numPr>
        <w:ind w:left="420"/>
        <w:rPr>
          <w:sz w:val="22"/>
          <w:szCs w:val="22"/>
        </w:rPr>
      </w:pPr>
      <w:r w:rsidRPr="00242972">
        <w:rPr>
          <w:sz w:val="22"/>
          <w:szCs w:val="22"/>
        </w:rPr>
        <w:tab/>
      </w:r>
      <w:r w:rsidRPr="00242972">
        <w:rPr>
          <w:sz w:val="22"/>
          <w:szCs w:val="22"/>
        </w:rPr>
        <w:tab/>
        <w:t xml:space="preserve">        </w:t>
      </w:r>
      <w:r w:rsidR="007F4A34" w:rsidRPr="00242972">
        <w:rPr>
          <w:sz w:val="22"/>
          <w:szCs w:val="22"/>
        </w:rPr>
        <w:t xml:space="preserve">Percentage of these responses collected electronically </w:t>
      </w:r>
      <w:r w:rsidR="007F4A34" w:rsidRPr="00242972">
        <w:rPr>
          <w:sz w:val="22"/>
          <w:szCs w:val="22"/>
        </w:rPr>
        <w:tab/>
        <w:t xml:space="preserve">  </w:t>
      </w:r>
      <w:r w:rsidR="00136718" w:rsidRPr="00242972">
        <w:rPr>
          <w:sz w:val="22"/>
          <w:szCs w:val="22"/>
        </w:rPr>
        <w:t xml:space="preserve">    </w:t>
      </w:r>
      <w:r w:rsidR="007F4A34" w:rsidRPr="00242972">
        <w:rPr>
          <w:sz w:val="22"/>
          <w:szCs w:val="22"/>
        </w:rPr>
        <w:t xml:space="preserve">    </w:t>
      </w:r>
      <w:r w:rsidR="00E91562" w:rsidRPr="00242972">
        <w:rPr>
          <w:sz w:val="22"/>
          <w:szCs w:val="22"/>
        </w:rPr>
        <w:t>90</w:t>
      </w:r>
      <w:r w:rsidR="007F4A34" w:rsidRPr="00242972">
        <w:rPr>
          <w:sz w:val="22"/>
          <w:szCs w:val="22"/>
        </w:rPr>
        <w:t>%</w:t>
      </w:r>
    </w:p>
    <w:p w14:paraId="349EEC32" w14:textId="77777777" w:rsidR="007F4A34" w:rsidRPr="00242972" w:rsidRDefault="007F4A34" w:rsidP="00242972">
      <w:pPr>
        <w:keepLines/>
        <w:numPr>
          <w:ilvl w:val="12"/>
          <w:numId w:val="0"/>
        </w:numPr>
        <w:ind w:left="630" w:hanging="360"/>
        <w:rPr>
          <w:sz w:val="22"/>
          <w:szCs w:val="22"/>
        </w:rPr>
      </w:pPr>
      <w:r w:rsidRPr="00242972">
        <w:rPr>
          <w:sz w:val="22"/>
          <w:szCs w:val="22"/>
        </w:rPr>
        <w:tab/>
      </w:r>
      <w:r w:rsidRPr="00242972">
        <w:rPr>
          <w:sz w:val="22"/>
          <w:szCs w:val="22"/>
        </w:rPr>
        <w:tab/>
      </w:r>
      <w:r w:rsidRPr="00242972">
        <w:rPr>
          <w:sz w:val="22"/>
          <w:szCs w:val="22"/>
        </w:rPr>
        <w:tab/>
        <w:t>c. Total annual hours requested</w:t>
      </w:r>
      <w:r w:rsidRPr="00242972">
        <w:rPr>
          <w:sz w:val="22"/>
          <w:szCs w:val="22"/>
        </w:rPr>
        <w:tab/>
      </w:r>
      <w:r w:rsidR="00242972" w:rsidRPr="00242972">
        <w:rPr>
          <w:sz w:val="22"/>
          <w:szCs w:val="22"/>
        </w:rPr>
        <w:tab/>
      </w:r>
      <w:r w:rsidR="00242972" w:rsidRPr="00242972">
        <w:rPr>
          <w:sz w:val="22"/>
          <w:szCs w:val="22"/>
        </w:rPr>
        <w:tab/>
      </w:r>
      <w:r w:rsidR="00242972" w:rsidRPr="00242972">
        <w:rPr>
          <w:sz w:val="22"/>
          <w:szCs w:val="22"/>
        </w:rPr>
        <w:tab/>
      </w:r>
      <w:r w:rsidR="00242972" w:rsidRPr="00242972">
        <w:rPr>
          <w:sz w:val="22"/>
          <w:szCs w:val="22"/>
        </w:rPr>
        <w:tab/>
        <w:t xml:space="preserve"> </w:t>
      </w:r>
      <w:r w:rsidR="00DB5B92" w:rsidRPr="00242972">
        <w:rPr>
          <w:sz w:val="22"/>
          <w:szCs w:val="22"/>
        </w:rPr>
        <w:t>2,480,359</w:t>
      </w:r>
      <w:r w:rsidR="00DB0D20" w:rsidRPr="00242972">
        <w:rPr>
          <w:sz w:val="22"/>
          <w:szCs w:val="22"/>
        </w:rPr>
        <w:tab/>
      </w:r>
    </w:p>
    <w:p w14:paraId="4FD80C96" w14:textId="77777777" w:rsidR="00CD2DF7" w:rsidRPr="00242972" w:rsidRDefault="00CD2DF7" w:rsidP="00242972">
      <w:pPr>
        <w:keepLines/>
        <w:numPr>
          <w:ilvl w:val="12"/>
          <w:numId w:val="0"/>
        </w:numPr>
        <w:ind w:left="630" w:hanging="360"/>
        <w:rPr>
          <w:sz w:val="22"/>
          <w:szCs w:val="22"/>
        </w:rPr>
      </w:pPr>
      <w:r w:rsidRPr="00242972">
        <w:rPr>
          <w:sz w:val="22"/>
          <w:szCs w:val="22"/>
        </w:rPr>
        <w:tab/>
      </w:r>
      <w:r w:rsidRPr="00242972">
        <w:rPr>
          <w:sz w:val="22"/>
          <w:szCs w:val="22"/>
        </w:rPr>
        <w:tab/>
      </w:r>
      <w:r w:rsidRPr="00242972">
        <w:rPr>
          <w:sz w:val="22"/>
          <w:szCs w:val="22"/>
        </w:rPr>
        <w:tab/>
        <w:t>d. Current OMB Inventory</w:t>
      </w:r>
      <w:r w:rsidR="00242972" w:rsidRPr="00242972">
        <w:rPr>
          <w:sz w:val="22"/>
          <w:szCs w:val="22"/>
        </w:rPr>
        <w:tab/>
      </w:r>
      <w:r w:rsidR="00242972" w:rsidRPr="00242972">
        <w:rPr>
          <w:sz w:val="22"/>
          <w:szCs w:val="22"/>
        </w:rPr>
        <w:tab/>
      </w:r>
      <w:r w:rsidR="00242972" w:rsidRPr="00242972">
        <w:rPr>
          <w:sz w:val="22"/>
          <w:szCs w:val="22"/>
        </w:rPr>
        <w:tab/>
      </w:r>
      <w:r w:rsidR="00242972" w:rsidRPr="00242972">
        <w:rPr>
          <w:sz w:val="22"/>
          <w:szCs w:val="22"/>
        </w:rPr>
        <w:tab/>
      </w:r>
      <w:r w:rsidR="00242972" w:rsidRPr="00242972">
        <w:rPr>
          <w:sz w:val="22"/>
          <w:szCs w:val="22"/>
        </w:rPr>
        <w:tab/>
        <w:t xml:space="preserve">    </w:t>
      </w:r>
      <w:r w:rsidR="00DB5B92" w:rsidRPr="00242972">
        <w:rPr>
          <w:sz w:val="22"/>
          <w:szCs w:val="22"/>
        </w:rPr>
        <w:t>761,156</w:t>
      </w:r>
    </w:p>
    <w:p w14:paraId="2E67A8D7" w14:textId="77777777" w:rsidR="00CD2DF7" w:rsidRPr="00242972" w:rsidRDefault="00CD2DF7" w:rsidP="00242972">
      <w:pPr>
        <w:keepLines/>
        <w:numPr>
          <w:ilvl w:val="12"/>
          <w:numId w:val="0"/>
        </w:numPr>
        <w:ind w:left="630" w:hanging="360"/>
        <w:rPr>
          <w:sz w:val="22"/>
          <w:szCs w:val="22"/>
        </w:rPr>
      </w:pPr>
      <w:r w:rsidRPr="00242972">
        <w:rPr>
          <w:sz w:val="22"/>
          <w:szCs w:val="22"/>
        </w:rPr>
        <w:tab/>
      </w:r>
      <w:r w:rsidRPr="00242972">
        <w:rPr>
          <w:sz w:val="22"/>
          <w:szCs w:val="22"/>
        </w:rPr>
        <w:tab/>
      </w:r>
      <w:r w:rsidRPr="00242972">
        <w:rPr>
          <w:sz w:val="22"/>
          <w:szCs w:val="22"/>
        </w:rPr>
        <w:tab/>
        <w:t xml:space="preserve">e. Difference </w:t>
      </w:r>
      <w:r w:rsidR="00242972" w:rsidRPr="00242972">
        <w:rPr>
          <w:sz w:val="22"/>
          <w:szCs w:val="22"/>
        </w:rPr>
        <w:tab/>
      </w:r>
      <w:r w:rsidR="00242972" w:rsidRPr="00242972">
        <w:rPr>
          <w:sz w:val="22"/>
          <w:szCs w:val="22"/>
        </w:rPr>
        <w:tab/>
      </w:r>
      <w:r w:rsidR="00242972" w:rsidRPr="00242972">
        <w:rPr>
          <w:sz w:val="22"/>
          <w:szCs w:val="22"/>
        </w:rPr>
        <w:tab/>
      </w:r>
      <w:r w:rsidR="00242972" w:rsidRPr="00242972">
        <w:rPr>
          <w:sz w:val="22"/>
          <w:szCs w:val="22"/>
        </w:rPr>
        <w:tab/>
      </w:r>
      <w:r w:rsidR="00242972" w:rsidRPr="00242972">
        <w:rPr>
          <w:sz w:val="22"/>
          <w:szCs w:val="22"/>
        </w:rPr>
        <w:tab/>
      </w:r>
      <w:r w:rsidR="00242972" w:rsidRPr="00242972">
        <w:rPr>
          <w:sz w:val="22"/>
          <w:szCs w:val="22"/>
        </w:rPr>
        <w:tab/>
      </w:r>
      <w:r w:rsidR="00242972" w:rsidRPr="00242972">
        <w:rPr>
          <w:sz w:val="22"/>
          <w:szCs w:val="22"/>
        </w:rPr>
        <w:tab/>
        <w:t xml:space="preserve"> </w:t>
      </w:r>
      <w:r w:rsidR="00DB5B92" w:rsidRPr="00242972">
        <w:rPr>
          <w:sz w:val="22"/>
          <w:szCs w:val="22"/>
        </w:rPr>
        <w:t>1,719,203</w:t>
      </w:r>
      <w:r w:rsidR="00365906" w:rsidRPr="00242972">
        <w:rPr>
          <w:sz w:val="22"/>
          <w:szCs w:val="22"/>
        </w:rPr>
        <w:t xml:space="preserve"> </w:t>
      </w:r>
      <w:r w:rsidR="00B56F46" w:rsidRPr="00242972">
        <w:rPr>
          <w:sz w:val="22"/>
          <w:szCs w:val="22"/>
        </w:rPr>
        <w:t xml:space="preserve">         </w:t>
      </w:r>
    </w:p>
    <w:p w14:paraId="59C50B7B" w14:textId="77777777" w:rsidR="00CD2DF7" w:rsidRPr="00242972" w:rsidRDefault="00CD2DF7" w:rsidP="00242972">
      <w:pPr>
        <w:keepLines/>
        <w:numPr>
          <w:ilvl w:val="12"/>
          <w:numId w:val="0"/>
        </w:numPr>
        <w:ind w:left="630" w:hanging="360"/>
        <w:rPr>
          <w:sz w:val="22"/>
          <w:szCs w:val="22"/>
        </w:rPr>
      </w:pPr>
      <w:r w:rsidRPr="00242972">
        <w:rPr>
          <w:sz w:val="22"/>
          <w:szCs w:val="22"/>
        </w:rPr>
        <w:tab/>
      </w:r>
      <w:r w:rsidRPr="00242972">
        <w:rPr>
          <w:sz w:val="22"/>
          <w:szCs w:val="22"/>
        </w:rPr>
        <w:tab/>
      </w:r>
      <w:r w:rsidRPr="00242972">
        <w:rPr>
          <w:sz w:val="22"/>
          <w:szCs w:val="22"/>
        </w:rPr>
        <w:tab/>
        <w:t>f. Explanation:  See above</w:t>
      </w:r>
      <w:r w:rsidR="00DB5B92" w:rsidRPr="00242972">
        <w:rPr>
          <w:sz w:val="22"/>
          <w:szCs w:val="22"/>
        </w:rPr>
        <w:t xml:space="preserve"> and Question 15</w:t>
      </w:r>
      <w:r w:rsidRPr="00242972">
        <w:rPr>
          <w:sz w:val="22"/>
          <w:szCs w:val="22"/>
        </w:rPr>
        <w:tab/>
      </w:r>
    </w:p>
    <w:p w14:paraId="7756638B" w14:textId="77777777" w:rsidR="007F4A34" w:rsidRPr="00242972" w:rsidRDefault="007F4A34" w:rsidP="00242972">
      <w:pPr>
        <w:keepLines/>
        <w:numPr>
          <w:ilvl w:val="12"/>
          <w:numId w:val="0"/>
        </w:numPr>
        <w:tabs>
          <w:tab w:val="right" w:pos="2970"/>
        </w:tabs>
        <w:ind w:left="750" w:hanging="360"/>
        <w:rPr>
          <w:rFonts w:ascii="Arial" w:hAnsi="Arial" w:cs="Arial"/>
          <w:bCs/>
          <w:color w:val="000000"/>
          <w:sz w:val="22"/>
          <w:szCs w:val="22"/>
        </w:rPr>
      </w:pPr>
      <w:r w:rsidRPr="00242972">
        <w:rPr>
          <w:sz w:val="22"/>
          <w:szCs w:val="22"/>
        </w:rPr>
        <w:tab/>
      </w:r>
      <w:r w:rsidRPr="00242972">
        <w:rPr>
          <w:sz w:val="22"/>
          <w:szCs w:val="22"/>
        </w:rPr>
        <w:tab/>
        <w:t xml:space="preserve">                                                  </w:t>
      </w:r>
    </w:p>
    <w:p w14:paraId="4835C0FC" w14:textId="77777777" w:rsidR="00290C7F" w:rsidRPr="00242972" w:rsidRDefault="0064391A" w:rsidP="00242972">
      <w:pPr>
        <w:tabs>
          <w:tab w:val="left" w:pos="360"/>
        </w:tabs>
        <w:ind w:left="750" w:hanging="360"/>
        <w:rPr>
          <w:bCs/>
          <w:color w:val="000000"/>
          <w:sz w:val="22"/>
          <w:szCs w:val="22"/>
        </w:rPr>
      </w:pPr>
      <w:r w:rsidRPr="00242972">
        <w:rPr>
          <w:rFonts w:ascii="Arial" w:hAnsi="Arial" w:cs="Arial"/>
          <w:bCs/>
          <w:color w:val="000000"/>
          <w:sz w:val="22"/>
          <w:szCs w:val="22"/>
        </w:rPr>
        <w:tab/>
      </w:r>
      <w:r w:rsidR="00AA627A" w:rsidRPr="00242972">
        <w:rPr>
          <w:bCs/>
          <w:color w:val="000000"/>
          <w:sz w:val="22"/>
          <w:szCs w:val="22"/>
        </w:rPr>
        <w:t xml:space="preserve">The cost to respondents is based on the average </w:t>
      </w:r>
      <w:r w:rsidR="00853218" w:rsidRPr="00242972">
        <w:rPr>
          <w:bCs/>
          <w:color w:val="000000"/>
          <w:sz w:val="22"/>
          <w:szCs w:val="22"/>
        </w:rPr>
        <w:t xml:space="preserve">hourly wages </w:t>
      </w:r>
      <w:r w:rsidR="00AA627A" w:rsidRPr="00242972">
        <w:rPr>
          <w:bCs/>
          <w:color w:val="000000"/>
          <w:sz w:val="22"/>
          <w:szCs w:val="22"/>
        </w:rPr>
        <w:t xml:space="preserve">of mortgage industry employees to review, collect and </w:t>
      </w:r>
      <w:r w:rsidR="00FE591C" w:rsidRPr="00242972">
        <w:rPr>
          <w:bCs/>
          <w:color w:val="000000"/>
          <w:sz w:val="22"/>
          <w:szCs w:val="22"/>
        </w:rPr>
        <w:t>s</w:t>
      </w:r>
      <w:r w:rsidR="00AA627A" w:rsidRPr="00242972">
        <w:rPr>
          <w:bCs/>
          <w:color w:val="000000"/>
          <w:sz w:val="22"/>
          <w:szCs w:val="22"/>
        </w:rPr>
        <w:t>ubmit the information to Ginnie Mae or its agent</w:t>
      </w:r>
    </w:p>
    <w:p w14:paraId="51395631" w14:textId="77777777" w:rsidR="00290C7F" w:rsidRPr="00242972" w:rsidRDefault="00362685" w:rsidP="00242972">
      <w:pPr>
        <w:tabs>
          <w:tab w:val="left" w:pos="360"/>
        </w:tabs>
        <w:ind w:left="750" w:hanging="360"/>
        <w:rPr>
          <w:bCs/>
          <w:color w:val="000000"/>
          <w:sz w:val="22"/>
          <w:szCs w:val="22"/>
        </w:rPr>
      </w:pPr>
      <w:r w:rsidRPr="00242972">
        <w:rPr>
          <w:bCs/>
          <w:color w:val="000000"/>
          <w:sz w:val="22"/>
          <w:szCs w:val="22"/>
        </w:rPr>
        <w:t xml:space="preserve"> </w:t>
      </w:r>
      <w:r w:rsidR="00290C7F" w:rsidRPr="00242972">
        <w:rPr>
          <w:bCs/>
          <w:color w:val="000000"/>
          <w:sz w:val="22"/>
          <w:szCs w:val="22"/>
        </w:rPr>
        <w:tab/>
      </w:r>
    </w:p>
    <w:p w14:paraId="1FAC7D0E" w14:textId="77777777" w:rsidR="00AA627A" w:rsidRPr="00242972" w:rsidRDefault="00242972" w:rsidP="00242972">
      <w:pPr>
        <w:tabs>
          <w:tab w:val="left" w:pos="360"/>
        </w:tabs>
        <w:ind w:left="750" w:hanging="360"/>
        <w:rPr>
          <w:bCs/>
          <w:color w:val="000000"/>
          <w:sz w:val="22"/>
          <w:szCs w:val="22"/>
        </w:rPr>
      </w:pPr>
      <w:r>
        <w:rPr>
          <w:bCs/>
          <w:color w:val="000000"/>
          <w:sz w:val="22"/>
          <w:szCs w:val="22"/>
        </w:rPr>
        <w:tab/>
      </w:r>
      <w:r w:rsidR="00362685" w:rsidRPr="00242972">
        <w:rPr>
          <w:bCs/>
          <w:color w:val="000000"/>
          <w:sz w:val="22"/>
          <w:szCs w:val="22"/>
        </w:rPr>
        <w:t>Calculation is as follows:</w:t>
      </w:r>
    </w:p>
    <w:p w14:paraId="3746411A" w14:textId="77777777" w:rsidR="00362685" w:rsidRPr="00242972" w:rsidRDefault="00362685" w:rsidP="00242972">
      <w:pPr>
        <w:tabs>
          <w:tab w:val="left" w:pos="360"/>
        </w:tabs>
        <w:ind w:left="750" w:hanging="360"/>
        <w:rPr>
          <w:bCs/>
          <w:color w:val="000000"/>
          <w:sz w:val="22"/>
          <w:szCs w:val="22"/>
        </w:rPr>
      </w:pPr>
      <w:r w:rsidRPr="00242972">
        <w:rPr>
          <w:bCs/>
          <w:color w:val="000000"/>
          <w:sz w:val="22"/>
          <w:szCs w:val="22"/>
        </w:rPr>
        <w:tab/>
      </w:r>
      <w:r w:rsidRPr="00242972">
        <w:rPr>
          <w:bCs/>
          <w:color w:val="000000"/>
          <w:sz w:val="22"/>
          <w:szCs w:val="22"/>
        </w:rPr>
        <w:tab/>
        <w:t>$</w:t>
      </w:r>
      <w:r w:rsidR="00EB2FB0" w:rsidRPr="00242972">
        <w:rPr>
          <w:bCs/>
          <w:color w:val="000000"/>
          <w:sz w:val="22"/>
          <w:szCs w:val="22"/>
        </w:rPr>
        <w:t>29</w:t>
      </w:r>
      <w:r w:rsidRPr="00242972">
        <w:rPr>
          <w:bCs/>
          <w:color w:val="000000"/>
          <w:sz w:val="22"/>
          <w:szCs w:val="22"/>
        </w:rPr>
        <w:t>.00 per hour x total burden hours = Estimated cost to respondents/issuers.</w:t>
      </w:r>
    </w:p>
    <w:p w14:paraId="1D3C5312" w14:textId="77777777" w:rsidR="00AA627A" w:rsidRPr="00CF597A" w:rsidRDefault="00362685">
      <w:pPr>
        <w:tabs>
          <w:tab w:val="left" w:pos="360"/>
        </w:tabs>
        <w:ind w:left="360" w:hanging="360"/>
        <w:rPr>
          <w:rFonts w:ascii="Arial" w:hAnsi="Arial" w:cs="Arial"/>
          <w:color w:val="000000"/>
          <w:sz w:val="18"/>
        </w:rPr>
      </w:pPr>
      <w:r w:rsidRPr="00CF597A">
        <w:rPr>
          <w:rFonts w:ascii="Arial" w:hAnsi="Arial" w:cs="Arial"/>
          <w:color w:val="000000"/>
          <w:sz w:val="18"/>
        </w:rPr>
        <w:t xml:space="preserve">  </w:t>
      </w:r>
    </w:p>
    <w:p w14:paraId="2E4B9E1A" w14:textId="77777777" w:rsidR="00A25899" w:rsidRPr="00290C7F" w:rsidRDefault="00A25899" w:rsidP="00A25899">
      <w:pPr>
        <w:tabs>
          <w:tab w:val="left" w:pos="360"/>
        </w:tabs>
        <w:ind w:left="720" w:hanging="450"/>
        <w:rPr>
          <w:rFonts w:ascii="Arial" w:hAnsi="Arial" w:cs="Arial"/>
          <w:b/>
          <w:color w:val="000000"/>
          <w:sz w:val="22"/>
        </w:rPr>
      </w:pPr>
      <w:r w:rsidRPr="00CF597A">
        <w:rPr>
          <w:rFonts w:ascii="Arial" w:hAnsi="Arial" w:cs="Arial"/>
          <w:color w:val="000000"/>
          <w:sz w:val="18"/>
          <w:szCs w:val="24"/>
        </w:rPr>
        <w:t>13.</w:t>
      </w:r>
      <w:r w:rsidRPr="00CF597A">
        <w:rPr>
          <w:rFonts w:ascii="Arial" w:hAnsi="Arial" w:cs="Arial"/>
          <w:color w:val="000000"/>
          <w:sz w:val="18"/>
          <w:szCs w:val="24"/>
        </w:rPr>
        <w:tab/>
      </w:r>
      <w:r w:rsidRPr="00290C7F">
        <w:rPr>
          <w:rFonts w:ascii="Arial" w:hAnsi="Arial" w:cs="Arial"/>
          <w:b/>
          <w:color w:val="000000"/>
          <w:sz w:val="22"/>
        </w:rPr>
        <w:t xml:space="preserve">Provide an estimate of the total annual cost burden to respondents or record keepers resulting from the collection of information (do not include the cost of any hour burden shown in Items 12 and 14). </w:t>
      </w:r>
    </w:p>
    <w:p w14:paraId="25FD06A4" w14:textId="77777777" w:rsidR="00A25899" w:rsidRPr="00290C7F" w:rsidRDefault="00A25899" w:rsidP="00A25899">
      <w:pPr>
        <w:numPr>
          <w:ilvl w:val="0"/>
          <w:numId w:val="8"/>
        </w:numPr>
        <w:tabs>
          <w:tab w:val="left" w:pos="360"/>
        </w:tabs>
        <w:ind w:left="864"/>
        <w:rPr>
          <w:rFonts w:ascii="Arial" w:hAnsi="Arial" w:cs="Arial"/>
          <w:b/>
          <w:color w:val="000000"/>
          <w:sz w:val="22"/>
        </w:rPr>
      </w:pPr>
      <w:r w:rsidRPr="00290C7F">
        <w:rPr>
          <w:rFonts w:ascii="Arial" w:hAnsi="Arial" w:cs="Arial"/>
          <w:b/>
          <w:color w:val="000000"/>
          <w:sz w:val="22"/>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76F48815" w14:textId="77777777" w:rsidR="00A25899" w:rsidRPr="00290C7F" w:rsidRDefault="00A25899" w:rsidP="00A25899">
      <w:pPr>
        <w:numPr>
          <w:ilvl w:val="0"/>
          <w:numId w:val="8"/>
        </w:numPr>
        <w:tabs>
          <w:tab w:val="left" w:pos="360"/>
        </w:tabs>
        <w:ind w:left="864"/>
        <w:rPr>
          <w:rFonts w:ascii="Arial" w:hAnsi="Arial" w:cs="Arial"/>
          <w:b/>
          <w:color w:val="000000"/>
          <w:sz w:val="22"/>
        </w:rPr>
      </w:pPr>
      <w:r w:rsidRPr="00290C7F">
        <w:rPr>
          <w:rFonts w:ascii="Arial" w:hAnsi="Arial" w:cs="Arial"/>
          <w:b/>
          <w:color w:val="000000"/>
          <w:sz w:val="22"/>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14:paraId="1E158AE9" w14:textId="77777777" w:rsidR="00A25899" w:rsidRPr="00290C7F" w:rsidRDefault="00F6183F" w:rsidP="00A25899">
      <w:pPr>
        <w:keepLines/>
        <w:numPr>
          <w:ilvl w:val="0"/>
          <w:numId w:val="8"/>
        </w:numPr>
        <w:tabs>
          <w:tab w:val="left" w:pos="360"/>
        </w:tabs>
        <w:spacing w:after="80"/>
        <w:ind w:left="864"/>
        <w:rPr>
          <w:rFonts w:ascii="Arial" w:hAnsi="Arial" w:cs="Arial"/>
          <w:b/>
          <w:color w:val="000000"/>
          <w:sz w:val="22"/>
        </w:rPr>
      </w:pPr>
      <w:r w:rsidRPr="00290C7F">
        <w:rPr>
          <w:rFonts w:ascii="Arial" w:hAnsi="Arial" w:cs="Arial"/>
          <w:b/>
          <w:color w:val="000000"/>
          <w:sz w:val="22"/>
        </w:rPr>
        <w:lastRenderedPageBreak/>
        <w:t>Generally</w:t>
      </w:r>
      <w:r w:rsidR="00A25899" w:rsidRPr="00290C7F">
        <w:rPr>
          <w:rFonts w:ascii="Arial" w:hAnsi="Arial" w:cs="Arial"/>
          <w:b/>
          <w:color w:val="000000"/>
          <w:sz w:val="22"/>
        </w:rPr>
        <w:t xml:space="preserve">,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290C7F">
        <w:rPr>
          <w:rFonts w:ascii="Arial" w:hAnsi="Arial" w:cs="Arial"/>
          <w:b/>
          <w:color w:val="000000"/>
          <w:sz w:val="22"/>
        </w:rPr>
        <w:t>government</w:t>
      </w:r>
      <w:r w:rsidR="00A25899" w:rsidRPr="00290C7F">
        <w:rPr>
          <w:rFonts w:ascii="Arial" w:hAnsi="Arial" w:cs="Arial"/>
          <w:b/>
          <w:color w:val="000000"/>
          <w:sz w:val="22"/>
        </w:rPr>
        <w:t xml:space="preserve"> or (4) as part of customary and usual business or private practices.</w:t>
      </w:r>
    </w:p>
    <w:p w14:paraId="3B7EDB18" w14:textId="77777777" w:rsidR="00CF597A" w:rsidRPr="00CF597A" w:rsidRDefault="00725487" w:rsidP="00801189">
      <w:pPr>
        <w:keepLines/>
        <w:tabs>
          <w:tab w:val="left" w:pos="360"/>
        </w:tabs>
        <w:spacing w:after="80"/>
        <w:ind w:left="864"/>
        <w:rPr>
          <w:rFonts w:ascii="Arial" w:hAnsi="Arial" w:cs="Arial"/>
          <w:color w:val="000000"/>
          <w:sz w:val="18"/>
          <w:szCs w:val="18"/>
        </w:rPr>
      </w:pPr>
      <w:r w:rsidRPr="001C6FAD">
        <w:rPr>
          <w:color w:val="000000"/>
          <w:sz w:val="22"/>
          <w:szCs w:val="22"/>
        </w:rPr>
        <w:t>There are no additional costs to respondents</w:t>
      </w:r>
      <w:r w:rsidR="00C9245E" w:rsidRPr="00CF597A">
        <w:rPr>
          <w:rFonts w:ascii="Arial" w:hAnsi="Arial" w:cs="Arial"/>
          <w:color w:val="000000"/>
          <w:sz w:val="18"/>
          <w:szCs w:val="18"/>
        </w:rPr>
        <w:t>.</w:t>
      </w:r>
      <w:r w:rsidRPr="00CF597A">
        <w:rPr>
          <w:rFonts w:ascii="Arial" w:hAnsi="Arial" w:cs="Arial"/>
          <w:color w:val="000000"/>
          <w:sz w:val="18"/>
          <w:szCs w:val="18"/>
        </w:rPr>
        <w:t xml:space="preserve"> </w:t>
      </w:r>
    </w:p>
    <w:p w14:paraId="0CA80861" w14:textId="77777777" w:rsidR="00AA627A" w:rsidRPr="00CF597A" w:rsidRDefault="00AA627A" w:rsidP="00725487">
      <w:pPr>
        <w:keepLines/>
        <w:numPr>
          <w:ilvl w:val="0"/>
          <w:numId w:val="20"/>
        </w:numPr>
        <w:tabs>
          <w:tab w:val="left" w:pos="360"/>
        </w:tabs>
        <w:spacing w:after="80"/>
        <w:rPr>
          <w:rFonts w:ascii="Arial" w:hAnsi="Arial" w:cs="Arial"/>
          <w:b/>
          <w:color w:val="000000"/>
          <w:sz w:val="22"/>
        </w:rPr>
      </w:pPr>
      <w:r w:rsidRPr="00CF597A">
        <w:rPr>
          <w:rFonts w:ascii="Arial" w:hAnsi="Arial" w:cs="Arial"/>
          <w:b/>
          <w:color w:val="000000"/>
          <w:sz w:val="18"/>
        </w:rPr>
        <w:t>E</w:t>
      </w:r>
      <w:r w:rsidRPr="00CF597A">
        <w:rPr>
          <w:rFonts w:ascii="Arial" w:hAnsi="Arial" w:cs="Arial"/>
          <w:b/>
          <w:color w:val="000000"/>
          <w:sz w:val="22"/>
        </w:rPr>
        <w:t xml:space="preserve">stimate annualized costs to the Federal government.  </w:t>
      </w:r>
    </w:p>
    <w:p w14:paraId="255630DB" w14:textId="77777777" w:rsidR="00616E8F" w:rsidRPr="00242972" w:rsidRDefault="00CF597A" w:rsidP="00CF597A">
      <w:pPr>
        <w:tabs>
          <w:tab w:val="left" w:pos="360"/>
        </w:tabs>
        <w:rPr>
          <w:bCs/>
          <w:color w:val="000000"/>
          <w:sz w:val="22"/>
          <w:szCs w:val="22"/>
        </w:rPr>
      </w:pPr>
      <w:r>
        <w:rPr>
          <w:rFonts w:ascii="Arial" w:hAnsi="Arial" w:cs="Arial"/>
          <w:bCs/>
          <w:color w:val="000000"/>
        </w:rPr>
        <w:tab/>
      </w:r>
      <w:r>
        <w:rPr>
          <w:rFonts w:ascii="Arial" w:hAnsi="Arial" w:cs="Arial"/>
          <w:bCs/>
          <w:color w:val="000000"/>
        </w:rPr>
        <w:tab/>
      </w:r>
      <w:r w:rsidRPr="00242972">
        <w:rPr>
          <w:bCs/>
          <w:color w:val="000000"/>
          <w:sz w:val="22"/>
          <w:szCs w:val="22"/>
        </w:rPr>
        <w:t xml:space="preserve">   </w:t>
      </w:r>
      <w:r w:rsidR="00CA7DF9" w:rsidRPr="00242972">
        <w:rPr>
          <w:bCs/>
          <w:color w:val="000000"/>
          <w:sz w:val="22"/>
          <w:szCs w:val="22"/>
        </w:rPr>
        <w:t xml:space="preserve">The estimated annual cost to the Federal government for this collection is </w:t>
      </w:r>
      <w:r w:rsidR="0029344A" w:rsidRPr="00242972">
        <w:rPr>
          <w:bCs/>
          <w:color w:val="000000"/>
          <w:sz w:val="22"/>
          <w:szCs w:val="22"/>
        </w:rPr>
        <w:t>$</w:t>
      </w:r>
      <w:r w:rsidR="00330754" w:rsidRPr="00242972">
        <w:rPr>
          <w:bCs/>
          <w:color w:val="000000"/>
          <w:sz w:val="22"/>
          <w:szCs w:val="22"/>
        </w:rPr>
        <w:t>37,575,471.12.</w:t>
      </w:r>
      <w:r w:rsidR="0029344A" w:rsidRPr="00242972">
        <w:rPr>
          <w:bCs/>
          <w:color w:val="000000"/>
          <w:sz w:val="22"/>
          <w:szCs w:val="22"/>
        </w:rPr>
        <w:t xml:space="preserve"> </w:t>
      </w:r>
    </w:p>
    <w:p w14:paraId="769CFD33" w14:textId="77777777" w:rsidR="00575265" w:rsidRPr="00242972" w:rsidRDefault="00575265" w:rsidP="00CF597A">
      <w:pPr>
        <w:tabs>
          <w:tab w:val="left" w:pos="360"/>
        </w:tabs>
        <w:rPr>
          <w:bCs/>
          <w:color w:val="000000"/>
          <w:sz w:val="22"/>
          <w:szCs w:val="22"/>
        </w:rPr>
      </w:pPr>
      <w:r w:rsidRPr="00242972">
        <w:rPr>
          <w:bCs/>
          <w:color w:val="000000"/>
          <w:sz w:val="22"/>
          <w:szCs w:val="22"/>
        </w:rPr>
        <w:tab/>
      </w:r>
      <w:r w:rsidRPr="00242972">
        <w:rPr>
          <w:bCs/>
          <w:color w:val="000000"/>
          <w:sz w:val="22"/>
          <w:szCs w:val="22"/>
        </w:rPr>
        <w:tab/>
      </w:r>
      <w:r w:rsidRPr="00242972">
        <w:rPr>
          <w:bCs/>
          <w:color w:val="000000"/>
          <w:sz w:val="22"/>
          <w:szCs w:val="22"/>
        </w:rPr>
        <w:tab/>
      </w:r>
    </w:p>
    <w:tbl>
      <w:tblPr>
        <w:tblW w:w="9775" w:type="dxa"/>
        <w:tblInd w:w="1098" w:type="dxa"/>
        <w:tblLook w:val="04A0" w:firstRow="1" w:lastRow="0" w:firstColumn="1" w:lastColumn="0" w:noHBand="0" w:noVBand="1"/>
      </w:tblPr>
      <w:tblGrid>
        <w:gridCol w:w="1431"/>
        <w:gridCol w:w="1989"/>
        <w:gridCol w:w="716"/>
        <w:gridCol w:w="1354"/>
        <w:gridCol w:w="578"/>
        <w:gridCol w:w="1222"/>
        <w:gridCol w:w="449"/>
        <w:gridCol w:w="453"/>
        <w:gridCol w:w="1583"/>
      </w:tblGrid>
      <w:tr w:rsidR="000727D7" w:rsidRPr="00575265" w14:paraId="33AE3E88" w14:textId="77777777" w:rsidTr="000727D7">
        <w:trPr>
          <w:trHeight w:val="42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A7DD7" w14:textId="77777777" w:rsidR="003A103C" w:rsidRPr="003A103C" w:rsidRDefault="003A103C" w:rsidP="003A103C">
            <w:pPr>
              <w:overflowPunct/>
              <w:autoSpaceDE/>
              <w:autoSpaceDN/>
              <w:adjustRightInd/>
              <w:ind w:left="432"/>
              <w:textAlignment w:val="auto"/>
              <w:rPr>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AAC19" w14:textId="77777777" w:rsidR="003A103C" w:rsidRPr="003A103C" w:rsidRDefault="003A103C" w:rsidP="003A103C">
            <w:pPr>
              <w:overflowPunct/>
              <w:autoSpaceDE/>
              <w:autoSpaceDN/>
              <w:adjustRightInd/>
              <w:textAlignment w:val="auto"/>
              <w:rPr>
                <w:b/>
                <w:bCs/>
                <w:sz w:val="22"/>
                <w:szCs w:val="22"/>
              </w:rPr>
            </w:pPr>
            <w:r w:rsidRPr="003A103C">
              <w:rPr>
                <w:b/>
                <w:bCs/>
                <w:sz w:val="22"/>
                <w:szCs w:val="22"/>
              </w:rPr>
              <w:t>monthly expense*</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9912D4" w14:textId="77777777" w:rsidR="003A103C" w:rsidRPr="003A103C" w:rsidRDefault="003A103C" w:rsidP="003A103C">
            <w:pPr>
              <w:overflowPunct/>
              <w:autoSpaceDE/>
              <w:autoSpaceDN/>
              <w:adjustRightInd/>
              <w:textAlignment w:val="auto"/>
              <w:rPr>
                <w:b/>
                <w:bCs/>
                <w:sz w:val="22"/>
                <w:szCs w:val="22"/>
              </w:rPr>
            </w:pPr>
            <w:r w:rsidRPr="003A103C">
              <w:rPr>
                <w:b/>
                <w:bCs/>
                <w:sz w:val="22"/>
                <w:szCs w:val="22"/>
              </w:rPr>
              <w:t>monthly expense**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73F707" w14:textId="77777777" w:rsidR="003A103C" w:rsidRPr="003A103C" w:rsidRDefault="003A103C" w:rsidP="003A103C">
            <w:pPr>
              <w:overflowPunct/>
              <w:autoSpaceDE/>
              <w:autoSpaceDN/>
              <w:adjustRightInd/>
              <w:textAlignment w:val="auto"/>
              <w:rPr>
                <w:b/>
                <w:bCs/>
                <w:sz w:val="22"/>
                <w:szCs w:val="22"/>
              </w:rPr>
            </w:pPr>
            <w:r w:rsidRPr="003A103C">
              <w:rPr>
                <w:b/>
                <w:bCs/>
                <w:sz w:val="22"/>
                <w:szCs w:val="22"/>
              </w:rPr>
              <w:t>Annual expense</w:t>
            </w:r>
          </w:p>
        </w:tc>
        <w:tc>
          <w:tcPr>
            <w:tcW w:w="24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AD8A13C" w14:textId="77777777" w:rsidR="003A103C" w:rsidRPr="003A103C" w:rsidRDefault="003A103C" w:rsidP="003A103C">
            <w:pPr>
              <w:overflowPunct/>
              <w:autoSpaceDE/>
              <w:autoSpaceDN/>
              <w:adjustRightInd/>
              <w:textAlignment w:val="auto"/>
              <w:rPr>
                <w:b/>
                <w:bCs/>
                <w:sz w:val="22"/>
                <w:szCs w:val="22"/>
              </w:rPr>
            </w:pPr>
            <w:r w:rsidRPr="003A103C">
              <w:rPr>
                <w:b/>
                <w:bCs/>
                <w:sz w:val="22"/>
                <w:szCs w:val="22"/>
              </w:rPr>
              <w:t>Estimated Annual Cost</w:t>
            </w:r>
          </w:p>
        </w:tc>
      </w:tr>
      <w:tr w:rsidR="000727D7" w:rsidRPr="00575265" w14:paraId="64634E99" w14:textId="77777777" w:rsidTr="000727D7">
        <w:trPr>
          <w:trHeight w:val="437"/>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C90A" w14:textId="77777777" w:rsidR="003A103C" w:rsidRPr="003A103C" w:rsidRDefault="003A103C" w:rsidP="000727D7">
            <w:pPr>
              <w:overflowPunct/>
              <w:autoSpaceDE/>
              <w:autoSpaceDN/>
              <w:adjustRightInd/>
              <w:ind w:left="432"/>
              <w:textAlignment w:val="auto"/>
              <w:rPr>
                <w:color w:val="000000"/>
                <w:sz w:val="22"/>
                <w:szCs w:val="22"/>
              </w:rPr>
            </w:pPr>
            <w:r w:rsidRPr="003A103C">
              <w:rPr>
                <w:color w:val="000000"/>
                <w:sz w:val="22"/>
                <w:szCs w:val="22"/>
              </w:rPr>
              <w:t>PPA</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A521B" w14:textId="77777777" w:rsidR="003A103C" w:rsidRPr="003A103C" w:rsidRDefault="003A103C" w:rsidP="003A103C">
            <w:pPr>
              <w:overflowPunct/>
              <w:autoSpaceDE/>
              <w:autoSpaceDN/>
              <w:adjustRightInd/>
              <w:textAlignment w:val="auto"/>
              <w:rPr>
                <w:color w:val="000000"/>
                <w:sz w:val="22"/>
                <w:szCs w:val="22"/>
              </w:rPr>
            </w:pPr>
            <w:r w:rsidRPr="003A103C">
              <w:rPr>
                <w:color w:val="000000"/>
                <w:sz w:val="22"/>
                <w:szCs w:val="22"/>
              </w:rPr>
              <w:t xml:space="preserve">                                              $ 1,345,717.55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CCEF8" w14:textId="77777777" w:rsidR="003A103C" w:rsidRPr="003A103C" w:rsidRDefault="003A103C" w:rsidP="003A103C">
            <w:pPr>
              <w:overflowPunct/>
              <w:autoSpaceDE/>
              <w:autoSpaceDN/>
              <w:adjustRightInd/>
              <w:ind w:left="432"/>
              <w:textAlignment w:val="auto"/>
              <w:rPr>
                <w:color w:val="000000"/>
                <w:sz w:val="22"/>
                <w:szCs w:val="22"/>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CEEC" w14:textId="77777777" w:rsidR="003A103C" w:rsidRPr="003A103C" w:rsidRDefault="003A103C" w:rsidP="003A103C">
            <w:pPr>
              <w:overflowPunct/>
              <w:autoSpaceDE/>
              <w:autoSpaceDN/>
              <w:adjustRightInd/>
              <w:textAlignment w:val="auto"/>
              <w:rPr>
                <w:color w:val="000000"/>
                <w:sz w:val="22"/>
                <w:szCs w:val="22"/>
              </w:rPr>
            </w:pPr>
            <w:r w:rsidRPr="003A103C">
              <w:rPr>
                <w:color w:val="000000"/>
                <w:sz w:val="22"/>
                <w:szCs w:val="22"/>
              </w:rPr>
              <w:t>times 12</w:t>
            </w:r>
          </w:p>
        </w:tc>
        <w:tc>
          <w:tcPr>
            <w:tcW w:w="2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EA82" w14:textId="77777777" w:rsidR="003A103C" w:rsidRPr="003A103C" w:rsidRDefault="003A103C" w:rsidP="003A103C">
            <w:pPr>
              <w:overflowPunct/>
              <w:autoSpaceDE/>
              <w:autoSpaceDN/>
              <w:adjustRightInd/>
              <w:textAlignment w:val="auto"/>
              <w:rPr>
                <w:color w:val="000000"/>
                <w:sz w:val="22"/>
                <w:szCs w:val="22"/>
              </w:rPr>
            </w:pPr>
            <w:r w:rsidRPr="003A103C">
              <w:rPr>
                <w:color w:val="000000"/>
                <w:sz w:val="22"/>
                <w:szCs w:val="22"/>
              </w:rPr>
              <w:t xml:space="preserve"> $ 16,148,610.60 </w:t>
            </w:r>
          </w:p>
        </w:tc>
      </w:tr>
      <w:tr w:rsidR="000727D7" w:rsidRPr="00575265" w14:paraId="70A2B57C" w14:textId="77777777" w:rsidTr="000727D7">
        <w:trPr>
          <w:trHeight w:val="290"/>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35D9" w14:textId="77777777" w:rsidR="003A103C" w:rsidRPr="003A103C" w:rsidRDefault="003A103C" w:rsidP="000727D7">
            <w:pPr>
              <w:overflowPunct/>
              <w:autoSpaceDE/>
              <w:autoSpaceDN/>
              <w:adjustRightInd/>
              <w:ind w:left="432"/>
              <w:textAlignment w:val="auto"/>
              <w:rPr>
                <w:color w:val="000000"/>
                <w:sz w:val="22"/>
                <w:szCs w:val="22"/>
              </w:rPr>
            </w:pPr>
            <w:r w:rsidRPr="003A103C">
              <w:rPr>
                <w:color w:val="000000"/>
                <w:sz w:val="22"/>
                <w:szCs w:val="22"/>
              </w:rPr>
              <w:t>MBSAA</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D9FC0" w14:textId="77777777" w:rsidR="003A103C" w:rsidRPr="003A103C" w:rsidRDefault="003A103C" w:rsidP="003A103C">
            <w:pPr>
              <w:overflowPunct/>
              <w:autoSpaceDE/>
              <w:autoSpaceDN/>
              <w:adjustRightInd/>
              <w:ind w:left="432"/>
              <w:textAlignment w:val="auto"/>
              <w:rPr>
                <w:color w:val="000000"/>
                <w:sz w:val="22"/>
                <w:szCs w:val="22"/>
              </w:rPr>
            </w:pPr>
            <w:r w:rsidRPr="003A103C">
              <w:rPr>
                <w:color w:val="000000"/>
                <w:sz w:val="22"/>
                <w:szCs w:val="22"/>
              </w:rPr>
              <w:t>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63B07" w14:textId="77777777" w:rsidR="003A103C" w:rsidRPr="003A103C" w:rsidRDefault="003A103C" w:rsidP="003A103C">
            <w:pPr>
              <w:overflowPunct/>
              <w:autoSpaceDE/>
              <w:autoSpaceDN/>
              <w:adjustRightInd/>
              <w:textAlignment w:val="auto"/>
              <w:rPr>
                <w:color w:val="000000"/>
                <w:sz w:val="22"/>
                <w:szCs w:val="22"/>
              </w:rPr>
            </w:pPr>
            <w:r w:rsidRPr="003A103C">
              <w:rPr>
                <w:color w:val="000000"/>
                <w:sz w:val="22"/>
                <w:szCs w:val="22"/>
              </w:rPr>
              <w:t xml:space="preserve"> $ 1,785,571.71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350D0" w14:textId="77777777" w:rsidR="003A103C" w:rsidRPr="003A103C" w:rsidRDefault="003A103C" w:rsidP="003A103C">
            <w:pPr>
              <w:overflowPunct/>
              <w:autoSpaceDE/>
              <w:autoSpaceDN/>
              <w:adjustRightInd/>
              <w:textAlignment w:val="auto"/>
              <w:rPr>
                <w:color w:val="000000"/>
                <w:sz w:val="22"/>
                <w:szCs w:val="22"/>
              </w:rPr>
            </w:pPr>
            <w:r w:rsidRPr="003A103C">
              <w:rPr>
                <w:color w:val="000000"/>
                <w:sz w:val="22"/>
                <w:szCs w:val="22"/>
              </w:rPr>
              <w:t>times 12</w:t>
            </w:r>
          </w:p>
        </w:tc>
        <w:tc>
          <w:tcPr>
            <w:tcW w:w="2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00A2A" w14:textId="77777777" w:rsidR="003A103C" w:rsidRPr="003A103C" w:rsidRDefault="003A103C" w:rsidP="003A103C">
            <w:pPr>
              <w:overflowPunct/>
              <w:autoSpaceDE/>
              <w:autoSpaceDN/>
              <w:adjustRightInd/>
              <w:textAlignment w:val="auto"/>
              <w:rPr>
                <w:color w:val="000000"/>
                <w:sz w:val="22"/>
                <w:szCs w:val="22"/>
              </w:rPr>
            </w:pPr>
            <w:r w:rsidRPr="003A103C">
              <w:rPr>
                <w:color w:val="000000"/>
                <w:sz w:val="22"/>
                <w:szCs w:val="22"/>
              </w:rPr>
              <w:t xml:space="preserve"> $ 21,426,860.52 </w:t>
            </w:r>
          </w:p>
        </w:tc>
      </w:tr>
      <w:tr w:rsidR="000727D7" w:rsidRPr="00575265" w14:paraId="54111CA1" w14:textId="77777777" w:rsidTr="000727D7">
        <w:trPr>
          <w:trHeight w:val="290"/>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95A26" w14:textId="77777777" w:rsidR="003A103C" w:rsidRPr="003A103C" w:rsidRDefault="003A103C" w:rsidP="003A103C">
            <w:pPr>
              <w:overflowPunct/>
              <w:autoSpaceDE/>
              <w:autoSpaceDN/>
              <w:adjustRightInd/>
              <w:ind w:left="432"/>
              <w:textAlignment w:val="auto"/>
              <w:rPr>
                <w:b/>
                <w:color w:val="000000"/>
                <w:sz w:val="22"/>
                <w:szCs w:val="22"/>
              </w:rPr>
            </w:pPr>
            <w:r w:rsidRPr="003A103C">
              <w:rPr>
                <w:b/>
                <w:color w:val="000000"/>
                <w:sz w:val="22"/>
                <w:szCs w:val="22"/>
              </w:rPr>
              <w:t>Total </w:t>
            </w:r>
          </w:p>
        </w:tc>
        <w:tc>
          <w:tcPr>
            <w:tcW w:w="1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42046" w14:textId="77777777" w:rsidR="003A103C" w:rsidRPr="003A103C" w:rsidRDefault="003A103C" w:rsidP="003A103C">
            <w:pPr>
              <w:overflowPunct/>
              <w:autoSpaceDE/>
              <w:autoSpaceDN/>
              <w:adjustRightInd/>
              <w:ind w:left="432"/>
              <w:textAlignment w:val="auto"/>
              <w:rPr>
                <w:color w:val="000000"/>
                <w:sz w:val="22"/>
                <w:szCs w:val="22"/>
              </w:rPr>
            </w:pPr>
            <w:r w:rsidRPr="003A103C">
              <w:rPr>
                <w:color w:val="000000"/>
                <w:sz w:val="22"/>
                <w:szCs w:val="22"/>
              </w:rPr>
              <w:t>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E74E" w14:textId="77777777" w:rsidR="003A103C" w:rsidRPr="003A103C" w:rsidRDefault="003A103C" w:rsidP="003A103C">
            <w:pPr>
              <w:overflowPunct/>
              <w:autoSpaceDE/>
              <w:autoSpaceDN/>
              <w:adjustRightInd/>
              <w:ind w:left="432"/>
              <w:textAlignment w:val="auto"/>
              <w:rPr>
                <w:color w:val="000000"/>
                <w:sz w:val="22"/>
                <w:szCs w:val="22"/>
              </w:rPr>
            </w:pPr>
            <w:r w:rsidRPr="003A103C">
              <w:rPr>
                <w:color w:val="000000"/>
                <w:sz w:val="22"/>
                <w:szCs w:val="22"/>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49F49" w14:textId="77777777" w:rsidR="003A103C" w:rsidRPr="003A103C" w:rsidRDefault="003A103C" w:rsidP="003A103C">
            <w:pPr>
              <w:overflowPunct/>
              <w:autoSpaceDE/>
              <w:autoSpaceDN/>
              <w:adjustRightInd/>
              <w:textAlignment w:val="auto"/>
              <w:rPr>
                <w:color w:val="000000"/>
                <w:sz w:val="22"/>
                <w:szCs w:val="22"/>
              </w:rPr>
            </w:pPr>
            <w:r w:rsidRPr="003A103C">
              <w:rPr>
                <w:color w:val="000000"/>
                <w:sz w:val="22"/>
                <w:szCs w:val="22"/>
              </w:rPr>
              <w:t> </w:t>
            </w:r>
          </w:p>
        </w:tc>
        <w:tc>
          <w:tcPr>
            <w:tcW w:w="24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F8869" w14:textId="77777777" w:rsidR="003A103C" w:rsidRPr="000727D7" w:rsidRDefault="003A103C" w:rsidP="003A103C">
            <w:pPr>
              <w:overflowPunct/>
              <w:autoSpaceDE/>
              <w:autoSpaceDN/>
              <w:adjustRightInd/>
              <w:textAlignment w:val="auto"/>
              <w:rPr>
                <w:b/>
                <w:color w:val="000000"/>
                <w:sz w:val="22"/>
                <w:szCs w:val="22"/>
              </w:rPr>
            </w:pPr>
            <w:r w:rsidRPr="003A103C">
              <w:rPr>
                <w:color w:val="000000"/>
                <w:sz w:val="22"/>
                <w:szCs w:val="22"/>
              </w:rPr>
              <w:t xml:space="preserve"> </w:t>
            </w:r>
            <w:r w:rsidRPr="000727D7">
              <w:rPr>
                <w:b/>
                <w:color w:val="000000"/>
                <w:sz w:val="22"/>
                <w:szCs w:val="22"/>
              </w:rPr>
              <w:t xml:space="preserve">$ 37,575,471.12 </w:t>
            </w:r>
          </w:p>
        </w:tc>
      </w:tr>
      <w:tr w:rsidR="003A103C" w:rsidRPr="00242972" w14:paraId="2C8F3474" w14:textId="77777777" w:rsidTr="000727D7">
        <w:trPr>
          <w:trHeight w:val="290"/>
        </w:trPr>
        <w:tc>
          <w:tcPr>
            <w:tcW w:w="9775" w:type="dxa"/>
            <w:gridSpan w:val="9"/>
            <w:tcBorders>
              <w:top w:val="single" w:sz="4" w:space="0" w:color="auto"/>
              <w:left w:val="nil"/>
              <w:bottom w:val="nil"/>
              <w:right w:val="nil"/>
            </w:tcBorders>
            <w:shd w:val="clear" w:color="auto" w:fill="auto"/>
            <w:noWrap/>
            <w:vAlign w:val="bottom"/>
            <w:hideMark/>
          </w:tcPr>
          <w:p w14:paraId="2F842953" w14:textId="77777777" w:rsidR="003A103C" w:rsidRPr="00242972" w:rsidRDefault="003A103C" w:rsidP="00575265">
            <w:pPr>
              <w:overflowPunct/>
              <w:autoSpaceDE/>
              <w:autoSpaceDN/>
              <w:adjustRightInd/>
              <w:textAlignment w:val="auto"/>
              <w:rPr>
                <w:color w:val="000000"/>
                <w:sz w:val="22"/>
                <w:szCs w:val="22"/>
              </w:rPr>
            </w:pPr>
          </w:p>
          <w:p w14:paraId="7C323103" w14:textId="77777777" w:rsidR="003A103C" w:rsidRPr="00242972" w:rsidRDefault="003A103C" w:rsidP="00575265">
            <w:pPr>
              <w:overflowPunct/>
              <w:autoSpaceDE/>
              <w:autoSpaceDN/>
              <w:adjustRightInd/>
              <w:textAlignment w:val="auto"/>
              <w:rPr>
                <w:color w:val="000000"/>
                <w:sz w:val="22"/>
                <w:szCs w:val="22"/>
              </w:rPr>
            </w:pPr>
            <w:r w:rsidRPr="00242972">
              <w:rPr>
                <w:color w:val="000000"/>
                <w:sz w:val="22"/>
                <w:szCs w:val="22"/>
              </w:rPr>
              <w:t>*Monthly expense based on PPA (Pool Processing Agent) contract (August 2011 values)</w:t>
            </w:r>
          </w:p>
        </w:tc>
      </w:tr>
      <w:tr w:rsidR="003A103C" w:rsidRPr="00242972" w14:paraId="7447EBE7" w14:textId="77777777" w:rsidTr="000727D7">
        <w:trPr>
          <w:trHeight w:val="290"/>
        </w:trPr>
        <w:tc>
          <w:tcPr>
            <w:tcW w:w="9775" w:type="dxa"/>
            <w:gridSpan w:val="9"/>
            <w:tcBorders>
              <w:top w:val="nil"/>
              <w:left w:val="nil"/>
              <w:bottom w:val="nil"/>
              <w:right w:val="nil"/>
            </w:tcBorders>
            <w:shd w:val="clear" w:color="auto" w:fill="auto"/>
            <w:noWrap/>
            <w:vAlign w:val="bottom"/>
            <w:hideMark/>
          </w:tcPr>
          <w:p w14:paraId="0CDC236E" w14:textId="77777777" w:rsidR="003A103C" w:rsidRPr="00242972" w:rsidRDefault="003A103C" w:rsidP="00575265">
            <w:pPr>
              <w:overflowPunct/>
              <w:autoSpaceDE/>
              <w:autoSpaceDN/>
              <w:adjustRightInd/>
              <w:ind w:left="432"/>
              <w:textAlignment w:val="auto"/>
              <w:rPr>
                <w:color w:val="000000"/>
                <w:sz w:val="22"/>
                <w:szCs w:val="22"/>
              </w:rPr>
            </w:pPr>
            <w:r w:rsidRPr="00242972">
              <w:rPr>
                <w:color w:val="000000"/>
                <w:sz w:val="22"/>
                <w:szCs w:val="22"/>
              </w:rPr>
              <w:t>Includes: pool processing, certificates, transfer requests, certificate transfers, pool termination, RPB processing</w:t>
            </w:r>
          </w:p>
        </w:tc>
      </w:tr>
      <w:tr w:rsidR="003A103C" w:rsidRPr="00242972" w14:paraId="6BD136E2" w14:textId="77777777" w:rsidTr="000727D7">
        <w:trPr>
          <w:trHeight w:val="290"/>
        </w:trPr>
        <w:tc>
          <w:tcPr>
            <w:tcW w:w="1431" w:type="dxa"/>
            <w:tcBorders>
              <w:top w:val="nil"/>
              <w:left w:val="nil"/>
              <w:bottom w:val="nil"/>
              <w:right w:val="nil"/>
            </w:tcBorders>
            <w:shd w:val="clear" w:color="auto" w:fill="auto"/>
            <w:noWrap/>
            <w:vAlign w:val="bottom"/>
            <w:hideMark/>
          </w:tcPr>
          <w:p w14:paraId="0631FEEC" w14:textId="77777777" w:rsidR="003A103C" w:rsidRPr="00242972" w:rsidRDefault="003A103C" w:rsidP="00575265">
            <w:pPr>
              <w:overflowPunct/>
              <w:autoSpaceDE/>
              <w:autoSpaceDN/>
              <w:adjustRightInd/>
              <w:ind w:left="432"/>
              <w:textAlignment w:val="auto"/>
              <w:rPr>
                <w:color w:val="000000"/>
                <w:sz w:val="22"/>
                <w:szCs w:val="22"/>
              </w:rPr>
            </w:pPr>
          </w:p>
        </w:tc>
        <w:tc>
          <w:tcPr>
            <w:tcW w:w="2705" w:type="dxa"/>
            <w:gridSpan w:val="2"/>
            <w:tcBorders>
              <w:top w:val="nil"/>
              <w:left w:val="nil"/>
              <w:bottom w:val="nil"/>
              <w:right w:val="nil"/>
            </w:tcBorders>
            <w:shd w:val="clear" w:color="auto" w:fill="auto"/>
            <w:noWrap/>
            <w:vAlign w:val="bottom"/>
            <w:hideMark/>
          </w:tcPr>
          <w:p w14:paraId="470D5CE8" w14:textId="77777777" w:rsidR="003A103C" w:rsidRPr="00242972" w:rsidRDefault="003A103C" w:rsidP="00575265">
            <w:pPr>
              <w:overflowPunct/>
              <w:autoSpaceDE/>
              <w:autoSpaceDN/>
              <w:adjustRightInd/>
              <w:ind w:left="432"/>
              <w:jc w:val="center"/>
              <w:textAlignment w:val="auto"/>
              <w:rPr>
                <w:color w:val="000000"/>
                <w:sz w:val="22"/>
                <w:szCs w:val="22"/>
              </w:rPr>
            </w:pPr>
          </w:p>
        </w:tc>
        <w:tc>
          <w:tcPr>
            <w:tcW w:w="1932" w:type="dxa"/>
            <w:gridSpan w:val="2"/>
            <w:tcBorders>
              <w:top w:val="nil"/>
              <w:left w:val="nil"/>
              <w:bottom w:val="nil"/>
              <w:right w:val="nil"/>
            </w:tcBorders>
            <w:shd w:val="clear" w:color="auto" w:fill="auto"/>
            <w:noWrap/>
            <w:vAlign w:val="bottom"/>
            <w:hideMark/>
          </w:tcPr>
          <w:p w14:paraId="66B1FA75" w14:textId="77777777" w:rsidR="003A103C" w:rsidRPr="00242972" w:rsidRDefault="003A103C" w:rsidP="00575265">
            <w:pPr>
              <w:overflowPunct/>
              <w:autoSpaceDE/>
              <w:autoSpaceDN/>
              <w:adjustRightInd/>
              <w:ind w:left="432"/>
              <w:jc w:val="center"/>
              <w:textAlignment w:val="auto"/>
              <w:rPr>
                <w:color w:val="000000"/>
                <w:sz w:val="22"/>
                <w:szCs w:val="22"/>
              </w:rPr>
            </w:pPr>
          </w:p>
        </w:tc>
        <w:tc>
          <w:tcPr>
            <w:tcW w:w="1671" w:type="dxa"/>
            <w:gridSpan w:val="2"/>
            <w:tcBorders>
              <w:top w:val="nil"/>
              <w:left w:val="nil"/>
              <w:bottom w:val="nil"/>
              <w:right w:val="nil"/>
            </w:tcBorders>
            <w:shd w:val="clear" w:color="auto" w:fill="auto"/>
            <w:noWrap/>
            <w:vAlign w:val="bottom"/>
            <w:hideMark/>
          </w:tcPr>
          <w:p w14:paraId="54E253F6" w14:textId="77777777" w:rsidR="003A103C" w:rsidRPr="00242972" w:rsidRDefault="003A103C" w:rsidP="00575265">
            <w:pPr>
              <w:overflowPunct/>
              <w:autoSpaceDE/>
              <w:autoSpaceDN/>
              <w:adjustRightInd/>
              <w:jc w:val="center"/>
              <w:textAlignment w:val="auto"/>
              <w:rPr>
                <w:color w:val="000000"/>
                <w:sz w:val="22"/>
                <w:szCs w:val="22"/>
              </w:rPr>
            </w:pPr>
          </w:p>
        </w:tc>
        <w:tc>
          <w:tcPr>
            <w:tcW w:w="453" w:type="dxa"/>
            <w:tcBorders>
              <w:top w:val="nil"/>
              <w:left w:val="nil"/>
              <w:bottom w:val="nil"/>
              <w:right w:val="nil"/>
            </w:tcBorders>
            <w:shd w:val="clear" w:color="auto" w:fill="auto"/>
            <w:noWrap/>
            <w:vAlign w:val="bottom"/>
            <w:hideMark/>
          </w:tcPr>
          <w:p w14:paraId="09BBEF12" w14:textId="77777777" w:rsidR="003A103C" w:rsidRPr="00242972" w:rsidRDefault="003A103C" w:rsidP="00575265">
            <w:pPr>
              <w:overflowPunct/>
              <w:autoSpaceDE/>
              <w:autoSpaceDN/>
              <w:adjustRightInd/>
              <w:jc w:val="center"/>
              <w:textAlignment w:val="auto"/>
              <w:rPr>
                <w:color w:val="000000"/>
                <w:sz w:val="22"/>
                <w:szCs w:val="22"/>
              </w:rPr>
            </w:pPr>
          </w:p>
        </w:tc>
        <w:tc>
          <w:tcPr>
            <w:tcW w:w="1583" w:type="dxa"/>
            <w:tcBorders>
              <w:top w:val="nil"/>
              <w:left w:val="nil"/>
              <w:bottom w:val="nil"/>
              <w:right w:val="nil"/>
            </w:tcBorders>
            <w:shd w:val="clear" w:color="auto" w:fill="auto"/>
            <w:noWrap/>
            <w:vAlign w:val="bottom"/>
            <w:hideMark/>
          </w:tcPr>
          <w:p w14:paraId="09CF2BD5" w14:textId="77777777" w:rsidR="003A103C" w:rsidRPr="00242972" w:rsidRDefault="003A103C" w:rsidP="00575265">
            <w:pPr>
              <w:overflowPunct/>
              <w:autoSpaceDE/>
              <w:autoSpaceDN/>
              <w:adjustRightInd/>
              <w:textAlignment w:val="auto"/>
              <w:rPr>
                <w:color w:val="000000"/>
                <w:sz w:val="22"/>
                <w:szCs w:val="22"/>
              </w:rPr>
            </w:pPr>
          </w:p>
        </w:tc>
      </w:tr>
      <w:tr w:rsidR="003A103C" w:rsidRPr="00242972" w14:paraId="766145E3" w14:textId="77777777" w:rsidTr="000727D7">
        <w:trPr>
          <w:trHeight w:val="290"/>
        </w:trPr>
        <w:tc>
          <w:tcPr>
            <w:tcW w:w="9775" w:type="dxa"/>
            <w:gridSpan w:val="9"/>
            <w:tcBorders>
              <w:top w:val="nil"/>
              <w:left w:val="nil"/>
              <w:bottom w:val="nil"/>
              <w:right w:val="nil"/>
            </w:tcBorders>
            <w:shd w:val="clear" w:color="auto" w:fill="auto"/>
            <w:noWrap/>
            <w:vAlign w:val="bottom"/>
            <w:hideMark/>
          </w:tcPr>
          <w:p w14:paraId="54337842" w14:textId="77777777" w:rsidR="000727D7" w:rsidRPr="00242972" w:rsidRDefault="003A103C" w:rsidP="004A5D9C">
            <w:pPr>
              <w:overflowPunct/>
              <w:autoSpaceDE/>
              <w:autoSpaceDN/>
              <w:adjustRightInd/>
              <w:textAlignment w:val="auto"/>
              <w:rPr>
                <w:color w:val="000000"/>
                <w:sz w:val="22"/>
                <w:szCs w:val="22"/>
              </w:rPr>
            </w:pPr>
            <w:r w:rsidRPr="00242972">
              <w:rPr>
                <w:color w:val="000000"/>
                <w:sz w:val="22"/>
                <w:szCs w:val="22"/>
              </w:rPr>
              <w:t xml:space="preserve">**Monthly expense based on MBSAA (Mortgage-Backed Securities Administration Agent) contract </w:t>
            </w:r>
          </w:p>
          <w:p w14:paraId="55995511" w14:textId="77777777" w:rsidR="003A103C" w:rsidRPr="00242972" w:rsidRDefault="000727D7" w:rsidP="004A5D9C">
            <w:pPr>
              <w:overflowPunct/>
              <w:autoSpaceDE/>
              <w:autoSpaceDN/>
              <w:adjustRightInd/>
              <w:textAlignment w:val="auto"/>
              <w:rPr>
                <w:color w:val="000000"/>
                <w:sz w:val="22"/>
                <w:szCs w:val="22"/>
              </w:rPr>
            </w:pPr>
            <w:r w:rsidRPr="00242972">
              <w:rPr>
                <w:color w:val="000000"/>
                <w:sz w:val="22"/>
                <w:szCs w:val="22"/>
              </w:rPr>
              <w:t xml:space="preserve">     </w:t>
            </w:r>
            <w:r w:rsidR="003A103C" w:rsidRPr="00242972">
              <w:rPr>
                <w:color w:val="000000"/>
                <w:sz w:val="22"/>
                <w:szCs w:val="22"/>
              </w:rPr>
              <w:t>(August 2011 values)</w:t>
            </w:r>
          </w:p>
        </w:tc>
      </w:tr>
      <w:tr w:rsidR="000727D7" w:rsidRPr="00242972" w14:paraId="337F0EBB" w14:textId="77777777" w:rsidTr="000727D7">
        <w:trPr>
          <w:trHeight w:val="123"/>
        </w:trPr>
        <w:tc>
          <w:tcPr>
            <w:tcW w:w="9775" w:type="dxa"/>
            <w:gridSpan w:val="9"/>
            <w:tcBorders>
              <w:top w:val="nil"/>
              <w:left w:val="nil"/>
              <w:bottom w:val="nil"/>
              <w:right w:val="nil"/>
            </w:tcBorders>
            <w:shd w:val="clear" w:color="auto" w:fill="auto"/>
            <w:noWrap/>
            <w:vAlign w:val="bottom"/>
          </w:tcPr>
          <w:p w14:paraId="0CC31811" w14:textId="77777777" w:rsidR="000727D7" w:rsidRPr="00242972" w:rsidRDefault="000727D7" w:rsidP="004A5D9C">
            <w:pPr>
              <w:overflowPunct/>
              <w:autoSpaceDE/>
              <w:autoSpaceDN/>
              <w:adjustRightInd/>
              <w:textAlignment w:val="auto"/>
              <w:rPr>
                <w:color w:val="000000"/>
                <w:sz w:val="22"/>
                <w:szCs w:val="22"/>
              </w:rPr>
            </w:pPr>
          </w:p>
        </w:tc>
      </w:tr>
    </w:tbl>
    <w:p w14:paraId="2C64EB82" w14:textId="77777777" w:rsidR="00575265" w:rsidRPr="00242972" w:rsidRDefault="004A5D9C" w:rsidP="00CF597A">
      <w:pPr>
        <w:tabs>
          <w:tab w:val="left" w:pos="360"/>
        </w:tabs>
        <w:rPr>
          <w:bCs/>
          <w:color w:val="000000"/>
          <w:sz w:val="22"/>
          <w:szCs w:val="22"/>
        </w:rPr>
      </w:pPr>
      <w:r w:rsidRPr="00242972">
        <w:rPr>
          <w:bCs/>
          <w:color w:val="000000"/>
          <w:sz w:val="22"/>
          <w:szCs w:val="22"/>
        </w:rPr>
        <w:tab/>
      </w:r>
      <w:r w:rsidRPr="00242972">
        <w:rPr>
          <w:bCs/>
          <w:color w:val="000000"/>
          <w:sz w:val="22"/>
          <w:szCs w:val="22"/>
        </w:rPr>
        <w:tab/>
      </w:r>
      <w:r w:rsidRPr="00242972">
        <w:rPr>
          <w:bCs/>
          <w:color w:val="000000"/>
          <w:sz w:val="22"/>
          <w:szCs w:val="22"/>
        </w:rPr>
        <w:tab/>
        <w:t>Includes:  investor reporting, data disclosure, and application maintenance</w:t>
      </w:r>
    </w:p>
    <w:p w14:paraId="36ABB052" w14:textId="77777777" w:rsidR="000727D7" w:rsidRDefault="000727D7" w:rsidP="00CF597A">
      <w:pPr>
        <w:tabs>
          <w:tab w:val="left" w:pos="360"/>
        </w:tabs>
        <w:rPr>
          <w:rFonts w:ascii="Arial" w:hAnsi="Arial" w:cs="Arial"/>
          <w:bCs/>
          <w:color w:val="000000"/>
        </w:rPr>
      </w:pPr>
    </w:p>
    <w:p w14:paraId="73980850" w14:textId="77777777" w:rsidR="00AA627A" w:rsidRPr="00CF597A" w:rsidRDefault="00CA7DF9">
      <w:pPr>
        <w:keepLines/>
        <w:tabs>
          <w:tab w:val="left" w:pos="360"/>
        </w:tabs>
        <w:spacing w:after="80"/>
        <w:ind w:left="360" w:hanging="360"/>
        <w:rPr>
          <w:rFonts w:ascii="Arial" w:hAnsi="Arial" w:cs="Arial"/>
          <w:b/>
          <w:color w:val="000000"/>
          <w:sz w:val="22"/>
        </w:rPr>
      </w:pPr>
      <w:r w:rsidRPr="00CF597A">
        <w:rPr>
          <w:rFonts w:ascii="Arial" w:hAnsi="Arial" w:cs="Arial"/>
          <w:color w:val="000000"/>
          <w:sz w:val="18"/>
        </w:rPr>
        <w:tab/>
      </w:r>
      <w:r w:rsidR="00AA627A" w:rsidRPr="00CF597A">
        <w:rPr>
          <w:rFonts w:ascii="Arial" w:hAnsi="Arial" w:cs="Arial"/>
          <w:b/>
          <w:color w:val="000000"/>
          <w:sz w:val="18"/>
        </w:rPr>
        <w:t>15.</w:t>
      </w:r>
      <w:r w:rsidR="00AA627A" w:rsidRPr="00CF597A">
        <w:rPr>
          <w:rFonts w:ascii="Arial" w:hAnsi="Arial" w:cs="Arial"/>
          <w:b/>
          <w:color w:val="000000"/>
          <w:sz w:val="18"/>
        </w:rPr>
        <w:tab/>
        <w:t>E</w:t>
      </w:r>
      <w:r w:rsidR="00AA627A" w:rsidRPr="00CF597A">
        <w:rPr>
          <w:rFonts w:ascii="Arial" w:hAnsi="Arial" w:cs="Arial"/>
          <w:b/>
          <w:color w:val="000000"/>
          <w:sz w:val="22"/>
        </w:rPr>
        <w:t>xplain any program changes or adjustments reported in items 13 and 14 of the OMB Form 83i.</w:t>
      </w:r>
    </w:p>
    <w:p w14:paraId="2A83CCB1" w14:textId="77777777" w:rsidR="00362685" w:rsidRPr="00CF597A" w:rsidRDefault="00362685">
      <w:pPr>
        <w:tabs>
          <w:tab w:val="left" w:pos="360"/>
        </w:tabs>
        <w:ind w:left="720" w:hanging="360"/>
        <w:rPr>
          <w:rFonts w:ascii="Arial" w:hAnsi="Arial" w:cs="Arial"/>
          <w:b/>
          <w:color w:val="000000"/>
          <w:sz w:val="18"/>
        </w:rPr>
      </w:pPr>
      <w:r w:rsidRPr="00CF597A">
        <w:rPr>
          <w:rFonts w:ascii="Arial" w:hAnsi="Arial" w:cs="Arial"/>
          <w:b/>
          <w:color w:val="000000"/>
          <w:sz w:val="18"/>
        </w:rPr>
        <w:t>Item 13:</w:t>
      </w:r>
    </w:p>
    <w:p w14:paraId="1D505DDF" w14:textId="77777777" w:rsidR="000A3734" w:rsidRPr="00242972" w:rsidRDefault="00F6183F" w:rsidP="006443D1">
      <w:pPr>
        <w:tabs>
          <w:tab w:val="left" w:pos="360"/>
        </w:tabs>
        <w:ind w:left="2160" w:hanging="1080"/>
        <w:rPr>
          <w:color w:val="000000"/>
          <w:sz w:val="22"/>
          <w:szCs w:val="22"/>
        </w:rPr>
      </w:pPr>
      <w:r w:rsidRPr="00242972">
        <w:rPr>
          <w:color w:val="000000"/>
          <w:sz w:val="22"/>
          <w:szCs w:val="22"/>
        </w:rPr>
        <w:t>A</w:t>
      </w:r>
      <w:r w:rsidR="00362685" w:rsidRPr="00242972">
        <w:rPr>
          <w:color w:val="000000"/>
          <w:sz w:val="22"/>
          <w:szCs w:val="22"/>
        </w:rPr>
        <w:t>:</w:t>
      </w:r>
      <w:r w:rsidR="006443D1" w:rsidRPr="00242972">
        <w:rPr>
          <w:color w:val="000000"/>
          <w:sz w:val="22"/>
          <w:szCs w:val="22"/>
        </w:rPr>
        <w:t xml:space="preserve">  </w:t>
      </w:r>
      <w:r w:rsidR="00362685" w:rsidRPr="00242972">
        <w:rPr>
          <w:color w:val="000000"/>
          <w:sz w:val="22"/>
          <w:szCs w:val="22"/>
        </w:rPr>
        <w:t xml:space="preserve">Number of </w:t>
      </w:r>
      <w:r w:rsidR="006443D1" w:rsidRPr="00242972">
        <w:rPr>
          <w:color w:val="000000"/>
          <w:sz w:val="22"/>
          <w:szCs w:val="22"/>
        </w:rPr>
        <w:t>R</w:t>
      </w:r>
      <w:r w:rsidR="00362685" w:rsidRPr="00242972">
        <w:rPr>
          <w:color w:val="000000"/>
          <w:sz w:val="22"/>
          <w:szCs w:val="22"/>
        </w:rPr>
        <w:t>espondents:</w:t>
      </w:r>
      <w:r w:rsidR="006443D1" w:rsidRPr="00242972">
        <w:rPr>
          <w:color w:val="000000"/>
          <w:sz w:val="22"/>
          <w:szCs w:val="22"/>
        </w:rPr>
        <w:tab/>
      </w:r>
    </w:p>
    <w:p w14:paraId="2F2DF700" w14:textId="77777777" w:rsidR="000A3734" w:rsidRPr="00242972" w:rsidRDefault="000A3734" w:rsidP="006443D1">
      <w:pPr>
        <w:tabs>
          <w:tab w:val="left" w:pos="360"/>
        </w:tabs>
        <w:ind w:left="2160" w:hanging="1080"/>
        <w:rPr>
          <w:color w:val="000000"/>
          <w:sz w:val="22"/>
          <w:szCs w:val="22"/>
        </w:rPr>
      </w:pPr>
    </w:p>
    <w:p w14:paraId="11697D51" w14:textId="77777777" w:rsidR="006443D1" w:rsidRPr="00242972" w:rsidRDefault="000A3734" w:rsidP="000A3734">
      <w:pPr>
        <w:tabs>
          <w:tab w:val="left" w:pos="360"/>
        </w:tabs>
        <w:ind w:left="1440" w:hanging="360"/>
        <w:rPr>
          <w:bCs/>
          <w:color w:val="000000"/>
          <w:sz w:val="22"/>
          <w:szCs w:val="22"/>
        </w:rPr>
      </w:pPr>
      <w:r w:rsidRPr="00242972">
        <w:rPr>
          <w:color w:val="000000"/>
          <w:sz w:val="22"/>
          <w:szCs w:val="22"/>
        </w:rPr>
        <w:tab/>
      </w:r>
      <w:r w:rsidR="00D40B1C" w:rsidRPr="00242972">
        <w:rPr>
          <w:color w:val="000000"/>
          <w:sz w:val="22"/>
          <w:szCs w:val="22"/>
        </w:rPr>
        <w:t xml:space="preserve">Currently </w:t>
      </w:r>
      <w:r w:rsidR="00B56F46" w:rsidRPr="00242972">
        <w:rPr>
          <w:color w:val="000000"/>
          <w:sz w:val="22"/>
          <w:szCs w:val="22"/>
        </w:rPr>
        <w:t xml:space="preserve">there are </w:t>
      </w:r>
      <w:r w:rsidR="00725A26" w:rsidRPr="00242972">
        <w:rPr>
          <w:bCs/>
          <w:color w:val="000000"/>
          <w:sz w:val="22"/>
          <w:szCs w:val="22"/>
        </w:rPr>
        <w:t xml:space="preserve">approximately </w:t>
      </w:r>
      <w:r w:rsidR="00DB5B92" w:rsidRPr="00242972">
        <w:rPr>
          <w:bCs/>
          <w:color w:val="000000"/>
          <w:sz w:val="22"/>
          <w:szCs w:val="22"/>
        </w:rPr>
        <w:t>468</w:t>
      </w:r>
      <w:r w:rsidR="00B56F46" w:rsidRPr="00242972">
        <w:rPr>
          <w:bCs/>
          <w:color w:val="000000"/>
          <w:sz w:val="22"/>
          <w:szCs w:val="22"/>
        </w:rPr>
        <w:t xml:space="preserve"> </w:t>
      </w:r>
      <w:r w:rsidR="006443D1" w:rsidRPr="00242972">
        <w:rPr>
          <w:bCs/>
          <w:color w:val="000000"/>
          <w:sz w:val="22"/>
          <w:szCs w:val="22"/>
        </w:rPr>
        <w:t xml:space="preserve">Ginnie Mae issuers </w:t>
      </w:r>
      <w:r w:rsidR="00725A26" w:rsidRPr="00242972">
        <w:rPr>
          <w:bCs/>
          <w:color w:val="000000"/>
          <w:sz w:val="22"/>
          <w:szCs w:val="22"/>
        </w:rPr>
        <w:t xml:space="preserve">that </w:t>
      </w:r>
      <w:r w:rsidR="006443D1" w:rsidRPr="00242972">
        <w:rPr>
          <w:bCs/>
          <w:color w:val="000000"/>
          <w:sz w:val="22"/>
          <w:szCs w:val="22"/>
        </w:rPr>
        <w:t>are actively doing business</w:t>
      </w:r>
      <w:r w:rsidR="00B56F46" w:rsidRPr="00242972">
        <w:rPr>
          <w:bCs/>
          <w:color w:val="000000"/>
          <w:sz w:val="22"/>
          <w:szCs w:val="22"/>
        </w:rPr>
        <w:t xml:space="preserve"> in our programs</w:t>
      </w:r>
      <w:r w:rsidR="00D40B1C" w:rsidRPr="00242972">
        <w:rPr>
          <w:bCs/>
          <w:color w:val="000000"/>
          <w:sz w:val="22"/>
          <w:szCs w:val="22"/>
        </w:rPr>
        <w:t xml:space="preserve">. </w:t>
      </w:r>
    </w:p>
    <w:p w14:paraId="16F93663" w14:textId="77777777" w:rsidR="006443D1" w:rsidRPr="00242972" w:rsidRDefault="006443D1" w:rsidP="006443D1">
      <w:pPr>
        <w:tabs>
          <w:tab w:val="left" w:pos="360"/>
        </w:tabs>
        <w:ind w:left="3600" w:hanging="1080"/>
        <w:rPr>
          <w:bCs/>
          <w:color w:val="000000"/>
          <w:sz w:val="22"/>
          <w:szCs w:val="22"/>
        </w:rPr>
      </w:pPr>
    </w:p>
    <w:p w14:paraId="71A84303" w14:textId="77777777" w:rsidR="004C69B0" w:rsidRPr="00242972" w:rsidRDefault="00362685">
      <w:pPr>
        <w:tabs>
          <w:tab w:val="left" w:pos="360"/>
        </w:tabs>
        <w:ind w:left="720" w:hanging="360"/>
        <w:rPr>
          <w:color w:val="000000"/>
          <w:sz w:val="22"/>
          <w:szCs w:val="22"/>
        </w:rPr>
      </w:pPr>
      <w:r w:rsidRPr="00242972">
        <w:rPr>
          <w:color w:val="000000"/>
          <w:sz w:val="22"/>
          <w:szCs w:val="22"/>
        </w:rPr>
        <w:tab/>
        <w:t xml:space="preserve">   </w:t>
      </w:r>
      <w:r w:rsidR="006443D1" w:rsidRPr="00242972">
        <w:rPr>
          <w:color w:val="000000"/>
          <w:sz w:val="22"/>
          <w:szCs w:val="22"/>
        </w:rPr>
        <w:t xml:space="preserve">     </w:t>
      </w:r>
      <w:r w:rsidR="00F6183F" w:rsidRPr="00242972">
        <w:rPr>
          <w:color w:val="000000"/>
          <w:sz w:val="22"/>
          <w:szCs w:val="22"/>
        </w:rPr>
        <w:t>F</w:t>
      </w:r>
      <w:r w:rsidR="006443D1" w:rsidRPr="00242972">
        <w:rPr>
          <w:color w:val="000000"/>
          <w:sz w:val="22"/>
          <w:szCs w:val="22"/>
        </w:rPr>
        <w:t xml:space="preserve">:  Explanation of change in burden hours:     </w:t>
      </w:r>
    </w:p>
    <w:p w14:paraId="5F1FBC21" w14:textId="77777777" w:rsidR="004C69B0" w:rsidRPr="00242972" w:rsidRDefault="004C69B0">
      <w:pPr>
        <w:tabs>
          <w:tab w:val="left" w:pos="360"/>
        </w:tabs>
        <w:ind w:left="720" w:hanging="360"/>
        <w:rPr>
          <w:color w:val="000000"/>
          <w:sz w:val="22"/>
          <w:szCs w:val="22"/>
        </w:rPr>
      </w:pPr>
    </w:p>
    <w:p w14:paraId="5F812982" w14:textId="77777777" w:rsidR="00F24AE4" w:rsidRPr="00242972" w:rsidRDefault="00572F56">
      <w:pPr>
        <w:tabs>
          <w:tab w:val="left" w:pos="360"/>
        </w:tabs>
        <w:ind w:left="720" w:hanging="360"/>
        <w:rPr>
          <w:color w:val="000000"/>
          <w:sz w:val="22"/>
          <w:szCs w:val="22"/>
        </w:rPr>
      </w:pPr>
      <w:r w:rsidRPr="00242972">
        <w:rPr>
          <w:color w:val="000000"/>
          <w:sz w:val="22"/>
          <w:szCs w:val="22"/>
        </w:rPr>
        <w:tab/>
      </w:r>
      <w:r w:rsidR="00B56F46" w:rsidRPr="00242972">
        <w:rPr>
          <w:color w:val="000000"/>
          <w:sz w:val="22"/>
          <w:szCs w:val="22"/>
        </w:rPr>
        <w:t>Number of active Ginnie Mae issuers has increased and as a result the number of pools in our portfolio has increased.</w:t>
      </w:r>
      <w:r w:rsidR="00442D1E" w:rsidRPr="00242972">
        <w:rPr>
          <w:color w:val="000000"/>
          <w:sz w:val="22"/>
          <w:szCs w:val="22"/>
        </w:rPr>
        <w:t xml:space="preserve">  </w:t>
      </w:r>
    </w:p>
    <w:p w14:paraId="7922532A" w14:textId="77777777" w:rsidR="00505EEB" w:rsidRPr="00242972" w:rsidRDefault="00505EEB">
      <w:pPr>
        <w:tabs>
          <w:tab w:val="left" w:pos="360"/>
        </w:tabs>
        <w:ind w:left="720" w:hanging="360"/>
        <w:rPr>
          <w:color w:val="000000"/>
          <w:sz w:val="22"/>
          <w:szCs w:val="22"/>
        </w:rPr>
      </w:pPr>
    </w:p>
    <w:p w14:paraId="34DD6486" w14:textId="77777777" w:rsidR="00505EEB" w:rsidRPr="00242972" w:rsidRDefault="00505EEB" w:rsidP="00505EEB">
      <w:pPr>
        <w:spacing w:before="36"/>
        <w:ind w:left="360" w:firstLine="360"/>
        <w:rPr>
          <w:color w:val="000000"/>
          <w:spacing w:val="-3"/>
          <w:sz w:val="22"/>
          <w:szCs w:val="22"/>
        </w:rPr>
      </w:pPr>
      <w:r w:rsidRPr="00242972">
        <w:rPr>
          <w:color w:val="000000"/>
          <w:spacing w:val="-3"/>
          <w:sz w:val="22"/>
          <w:szCs w:val="22"/>
        </w:rPr>
        <w:t xml:space="preserve">The change in burden hours is a result of the following:  </w:t>
      </w:r>
    </w:p>
    <w:p w14:paraId="2C6642AC" w14:textId="77777777" w:rsidR="00505EEB" w:rsidRPr="00242972" w:rsidRDefault="00505EEB" w:rsidP="00505EEB">
      <w:pPr>
        <w:pStyle w:val="ListParagraph"/>
        <w:numPr>
          <w:ilvl w:val="0"/>
          <w:numId w:val="33"/>
        </w:numPr>
        <w:spacing w:before="36"/>
        <w:rPr>
          <w:color w:val="000000"/>
          <w:spacing w:val="-3"/>
          <w:sz w:val="22"/>
          <w:szCs w:val="22"/>
        </w:rPr>
      </w:pPr>
      <w:r w:rsidRPr="00242972">
        <w:rPr>
          <w:color w:val="000000"/>
          <w:sz w:val="22"/>
          <w:szCs w:val="22"/>
        </w:rPr>
        <w:t>Number of approved Ginnie Mae issuers has become more active in our programs and as a result the number of pools in our portfolio has increased.</w:t>
      </w:r>
    </w:p>
    <w:p w14:paraId="6A1879BA" w14:textId="77777777" w:rsidR="00505EEB" w:rsidRPr="00242972" w:rsidRDefault="00505EEB" w:rsidP="00505EEB">
      <w:pPr>
        <w:spacing w:before="36"/>
        <w:ind w:left="360"/>
        <w:rPr>
          <w:color w:val="000000"/>
          <w:spacing w:val="-3"/>
          <w:sz w:val="22"/>
          <w:szCs w:val="22"/>
        </w:rPr>
      </w:pPr>
    </w:p>
    <w:p w14:paraId="4802CC15" w14:textId="77777777" w:rsidR="00505EEB" w:rsidRPr="00242972" w:rsidRDefault="00505EEB" w:rsidP="00505EEB">
      <w:pPr>
        <w:pStyle w:val="ListParagraph"/>
        <w:numPr>
          <w:ilvl w:val="0"/>
          <w:numId w:val="32"/>
        </w:numPr>
        <w:spacing w:before="36"/>
        <w:rPr>
          <w:color w:val="000000"/>
          <w:spacing w:val="-3"/>
          <w:sz w:val="22"/>
          <w:szCs w:val="22"/>
        </w:rPr>
      </w:pPr>
      <w:r w:rsidRPr="00242972">
        <w:rPr>
          <w:color w:val="000000"/>
          <w:spacing w:val="-3"/>
          <w:sz w:val="22"/>
          <w:szCs w:val="22"/>
        </w:rPr>
        <w:t xml:space="preserve">addition of the new sections in Appendix III-29, </w:t>
      </w:r>
    </w:p>
    <w:p w14:paraId="2E5C109B" w14:textId="77777777" w:rsidR="00505EEB" w:rsidRPr="00242972" w:rsidRDefault="00505EEB" w:rsidP="00505EEB">
      <w:pPr>
        <w:pStyle w:val="ListParagraph"/>
        <w:numPr>
          <w:ilvl w:val="0"/>
          <w:numId w:val="32"/>
        </w:numPr>
        <w:spacing w:before="36"/>
        <w:rPr>
          <w:color w:val="000000"/>
          <w:spacing w:val="-3"/>
          <w:sz w:val="22"/>
          <w:szCs w:val="22"/>
        </w:rPr>
      </w:pPr>
      <w:r w:rsidRPr="00242972">
        <w:rPr>
          <w:color w:val="000000"/>
          <w:spacing w:val="-3"/>
          <w:sz w:val="22"/>
          <w:szCs w:val="22"/>
        </w:rPr>
        <w:t>additions of Appendices I-7, III-28, VI-14, VI-16, VI-17, VI-21and Appendix VIII-1</w:t>
      </w:r>
    </w:p>
    <w:p w14:paraId="1CF5CF05" w14:textId="77777777" w:rsidR="00505EEB" w:rsidRPr="00242972" w:rsidRDefault="00505EEB" w:rsidP="00505EEB">
      <w:pPr>
        <w:pStyle w:val="ListParagraph"/>
        <w:numPr>
          <w:ilvl w:val="0"/>
          <w:numId w:val="32"/>
        </w:numPr>
        <w:spacing w:before="36"/>
        <w:rPr>
          <w:color w:val="000000"/>
          <w:spacing w:val="-3"/>
          <w:sz w:val="22"/>
          <w:szCs w:val="22"/>
        </w:rPr>
      </w:pPr>
      <w:r w:rsidRPr="00242972">
        <w:rPr>
          <w:color w:val="000000"/>
          <w:spacing w:val="-3"/>
          <w:sz w:val="22"/>
          <w:szCs w:val="22"/>
        </w:rPr>
        <w:t>elimination of Appendices III-14 and Appendix VII-1</w:t>
      </w:r>
    </w:p>
    <w:p w14:paraId="1D13BBF3" w14:textId="77777777" w:rsidR="00505EEB" w:rsidRPr="00233F68" w:rsidRDefault="00505EEB" w:rsidP="00505EEB">
      <w:pPr>
        <w:pStyle w:val="ListParagraph"/>
        <w:numPr>
          <w:ilvl w:val="0"/>
          <w:numId w:val="32"/>
        </w:numPr>
        <w:spacing w:before="36"/>
        <w:rPr>
          <w:color w:val="000000"/>
          <w:spacing w:val="-3"/>
          <w:sz w:val="22"/>
          <w:szCs w:val="22"/>
        </w:rPr>
      </w:pPr>
      <w:r w:rsidRPr="00242972">
        <w:rPr>
          <w:color w:val="000000"/>
          <w:spacing w:val="-3"/>
          <w:sz w:val="22"/>
          <w:szCs w:val="22"/>
        </w:rPr>
        <w:t>increased the burden times listed on Appendices I-1, Appendix III-7, Appendix III-13, Appendix III-29, Appendix VI-19 to more realistic times</w:t>
      </w:r>
    </w:p>
    <w:p w14:paraId="191E178C" w14:textId="77777777" w:rsidR="00616E8F" w:rsidRPr="00725A26" w:rsidRDefault="004C69B0" w:rsidP="00725A26">
      <w:pPr>
        <w:tabs>
          <w:tab w:val="left" w:pos="360"/>
        </w:tabs>
        <w:ind w:left="1440" w:hanging="360"/>
        <w:rPr>
          <w:rFonts w:ascii="Arial" w:hAnsi="Arial" w:cs="Arial"/>
          <w:color w:val="000000"/>
        </w:rPr>
      </w:pPr>
      <w:r w:rsidRPr="00CF597A">
        <w:rPr>
          <w:rFonts w:ascii="Arial" w:hAnsi="Arial" w:cs="Arial"/>
          <w:color w:val="000000"/>
          <w:sz w:val="18"/>
        </w:rPr>
        <w:tab/>
      </w:r>
      <w:r w:rsidRPr="00725A26">
        <w:rPr>
          <w:rFonts w:ascii="Arial" w:hAnsi="Arial" w:cs="Arial"/>
          <w:color w:val="000000"/>
        </w:rPr>
        <w:t>.</w:t>
      </w:r>
      <w:r w:rsidR="00783EFA" w:rsidRPr="00725A26">
        <w:rPr>
          <w:rFonts w:ascii="Arial" w:hAnsi="Arial" w:cs="Arial"/>
          <w:color w:val="000000"/>
        </w:rPr>
        <w:t xml:space="preserve">  </w:t>
      </w:r>
    </w:p>
    <w:p w14:paraId="327A072A" w14:textId="77777777" w:rsidR="00AA627A" w:rsidRPr="00801189" w:rsidRDefault="00AA627A">
      <w:pPr>
        <w:keepLines/>
        <w:tabs>
          <w:tab w:val="left" w:pos="360"/>
        </w:tabs>
        <w:ind w:left="360" w:hanging="360"/>
        <w:rPr>
          <w:rFonts w:ascii="Arial" w:hAnsi="Arial" w:cs="Arial"/>
          <w:b/>
          <w:color w:val="000000"/>
          <w:sz w:val="22"/>
          <w:szCs w:val="22"/>
        </w:rPr>
      </w:pPr>
      <w:r w:rsidRPr="00801189">
        <w:rPr>
          <w:rFonts w:ascii="Arial" w:hAnsi="Arial" w:cs="Arial"/>
          <w:b/>
          <w:color w:val="000000"/>
          <w:sz w:val="22"/>
          <w:szCs w:val="22"/>
        </w:rPr>
        <w:t>16.</w:t>
      </w:r>
      <w:r w:rsidRPr="00801189">
        <w:rPr>
          <w:rFonts w:ascii="Arial" w:hAnsi="Arial" w:cs="Arial"/>
          <w:b/>
          <w:color w:val="000000"/>
          <w:sz w:val="22"/>
          <w:szCs w:val="22"/>
        </w:rPr>
        <w:tab/>
        <w:t xml:space="preserve">If the information will be published, outline plans for tabulation and publication.  </w:t>
      </w:r>
    </w:p>
    <w:p w14:paraId="0E719DAB" w14:textId="77777777" w:rsidR="00AA627A" w:rsidRPr="00CF597A" w:rsidRDefault="00AA627A">
      <w:pPr>
        <w:tabs>
          <w:tab w:val="left" w:pos="360"/>
        </w:tabs>
        <w:ind w:left="360" w:hanging="360"/>
        <w:rPr>
          <w:rFonts w:ascii="Arial" w:hAnsi="Arial" w:cs="Arial"/>
          <w:color w:val="000000"/>
          <w:sz w:val="22"/>
        </w:rPr>
      </w:pPr>
    </w:p>
    <w:p w14:paraId="37BA6092" w14:textId="77777777" w:rsidR="00AA627A" w:rsidRPr="00242972" w:rsidRDefault="00AA627A">
      <w:pPr>
        <w:tabs>
          <w:tab w:val="left" w:pos="360"/>
        </w:tabs>
        <w:ind w:left="360" w:hanging="360"/>
        <w:rPr>
          <w:bCs/>
          <w:color w:val="000000"/>
          <w:sz w:val="22"/>
          <w:szCs w:val="22"/>
        </w:rPr>
      </w:pPr>
      <w:r w:rsidRPr="00CF597A">
        <w:rPr>
          <w:rFonts w:ascii="Arial" w:hAnsi="Arial" w:cs="Arial"/>
          <w:color w:val="000000"/>
          <w:sz w:val="22"/>
        </w:rPr>
        <w:tab/>
      </w:r>
      <w:r w:rsidRPr="00CF597A">
        <w:rPr>
          <w:rFonts w:ascii="Arial" w:hAnsi="Arial" w:cs="Arial"/>
          <w:color w:val="000000"/>
          <w:sz w:val="22"/>
        </w:rPr>
        <w:tab/>
      </w:r>
      <w:r w:rsidRPr="00242972">
        <w:rPr>
          <w:bCs/>
          <w:color w:val="000000"/>
          <w:sz w:val="22"/>
          <w:szCs w:val="22"/>
        </w:rPr>
        <w:t>Results of the Information Collection will not be used for tabulation or publication</w:t>
      </w:r>
      <w:r w:rsidR="00C9245E" w:rsidRPr="00242972">
        <w:rPr>
          <w:bCs/>
          <w:color w:val="000000"/>
          <w:sz w:val="22"/>
          <w:szCs w:val="22"/>
        </w:rPr>
        <w:t>.</w:t>
      </w:r>
    </w:p>
    <w:p w14:paraId="04178467" w14:textId="77777777" w:rsidR="00AA627A" w:rsidRPr="00CF597A" w:rsidRDefault="00AA627A">
      <w:pPr>
        <w:tabs>
          <w:tab w:val="left" w:pos="360"/>
        </w:tabs>
        <w:ind w:left="360" w:hanging="360"/>
        <w:rPr>
          <w:rFonts w:ascii="Arial" w:hAnsi="Arial" w:cs="Arial"/>
          <w:color w:val="000000"/>
          <w:sz w:val="22"/>
        </w:rPr>
      </w:pPr>
    </w:p>
    <w:p w14:paraId="153F2236" w14:textId="77777777" w:rsidR="00AA627A" w:rsidRPr="00801189" w:rsidRDefault="00AA627A">
      <w:pPr>
        <w:keepLines/>
        <w:tabs>
          <w:tab w:val="left" w:pos="360"/>
        </w:tabs>
        <w:ind w:left="360" w:hanging="360"/>
        <w:rPr>
          <w:rFonts w:ascii="Arial" w:hAnsi="Arial" w:cs="Arial"/>
          <w:b/>
          <w:color w:val="000000"/>
          <w:sz w:val="22"/>
          <w:szCs w:val="22"/>
        </w:rPr>
      </w:pPr>
      <w:r w:rsidRPr="00801189">
        <w:rPr>
          <w:rFonts w:ascii="Arial" w:hAnsi="Arial" w:cs="Arial"/>
          <w:b/>
          <w:color w:val="000000"/>
          <w:sz w:val="22"/>
          <w:szCs w:val="22"/>
        </w:rPr>
        <w:t>17.</w:t>
      </w:r>
      <w:r w:rsidRPr="00801189">
        <w:rPr>
          <w:rFonts w:ascii="Arial" w:hAnsi="Arial" w:cs="Arial"/>
          <w:b/>
          <w:color w:val="000000"/>
          <w:sz w:val="22"/>
          <w:szCs w:val="22"/>
        </w:rPr>
        <w:tab/>
        <w:t xml:space="preserve">Explain any request to not display the expiration date. </w:t>
      </w:r>
    </w:p>
    <w:p w14:paraId="32102D56" w14:textId="77777777" w:rsidR="00AA627A" w:rsidRPr="00CF597A" w:rsidRDefault="00AA627A">
      <w:pPr>
        <w:keepLines/>
        <w:tabs>
          <w:tab w:val="left" w:pos="360"/>
        </w:tabs>
        <w:ind w:left="360" w:hanging="360"/>
        <w:rPr>
          <w:rFonts w:ascii="Arial" w:hAnsi="Arial" w:cs="Arial"/>
          <w:color w:val="000000"/>
          <w:sz w:val="22"/>
        </w:rPr>
      </w:pPr>
    </w:p>
    <w:p w14:paraId="31A80D2A" w14:textId="77777777" w:rsidR="00AA627A" w:rsidRPr="00CF597A" w:rsidRDefault="00AA627A">
      <w:pPr>
        <w:keepLines/>
        <w:tabs>
          <w:tab w:val="left" w:pos="360"/>
        </w:tabs>
        <w:ind w:left="360" w:hanging="360"/>
        <w:rPr>
          <w:rFonts w:ascii="Arial" w:hAnsi="Arial" w:cs="Arial"/>
          <w:bCs/>
          <w:color w:val="000000"/>
        </w:rPr>
      </w:pPr>
      <w:r w:rsidRPr="00CF597A">
        <w:rPr>
          <w:rFonts w:ascii="Arial" w:hAnsi="Arial" w:cs="Arial"/>
          <w:color w:val="000000"/>
          <w:sz w:val="22"/>
        </w:rPr>
        <w:tab/>
      </w:r>
      <w:r w:rsidRPr="00CF597A">
        <w:rPr>
          <w:rFonts w:ascii="Arial" w:hAnsi="Arial" w:cs="Arial"/>
          <w:color w:val="000000"/>
          <w:sz w:val="22"/>
        </w:rPr>
        <w:tab/>
      </w:r>
      <w:r w:rsidRPr="00242972">
        <w:rPr>
          <w:bCs/>
          <w:color w:val="000000"/>
          <w:sz w:val="22"/>
          <w:szCs w:val="22"/>
        </w:rPr>
        <w:t xml:space="preserve">Ginnie Mae </w:t>
      </w:r>
      <w:r w:rsidR="00801E16" w:rsidRPr="00242972">
        <w:rPr>
          <w:bCs/>
          <w:color w:val="000000"/>
          <w:sz w:val="22"/>
          <w:szCs w:val="22"/>
        </w:rPr>
        <w:t>will</w:t>
      </w:r>
      <w:r w:rsidRPr="00242972">
        <w:rPr>
          <w:bCs/>
          <w:color w:val="000000"/>
          <w:sz w:val="22"/>
          <w:szCs w:val="22"/>
        </w:rPr>
        <w:t xml:space="preserve"> display the OMB expiration dates on its forms</w:t>
      </w:r>
      <w:r w:rsidRPr="00CF597A">
        <w:rPr>
          <w:rFonts w:ascii="Arial" w:hAnsi="Arial" w:cs="Arial"/>
          <w:bCs/>
          <w:color w:val="000000"/>
        </w:rPr>
        <w:t>.</w:t>
      </w:r>
    </w:p>
    <w:p w14:paraId="170DE4B1" w14:textId="77777777" w:rsidR="00AA627A" w:rsidRPr="00CF597A" w:rsidRDefault="00AA627A">
      <w:pPr>
        <w:tabs>
          <w:tab w:val="left" w:pos="360"/>
        </w:tabs>
        <w:ind w:left="360" w:hanging="360"/>
        <w:rPr>
          <w:rFonts w:ascii="Arial" w:hAnsi="Arial" w:cs="Arial"/>
          <w:color w:val="000000"/>
          <w:sz w:val="18"/>
        </w:rPr>
      </w:pPr>
    </w:p>
    <w:p w14:paraId="0B0B2B60" w14:textId="77777777" w:rsidR="00AA627A" w:rsidRPr="00801189" w:rsidRDefault="00AA627A">
      <w:pPr>
        <w:keepLines/>
        <w:tabs>
          <w:tab w:val="left" w:pos="360"/>
        </w:tabs>
        <w:spacing w:after="80"/>
        <w:ind w:left="360" w:hanging="360"/>
        <w:rPr>
          <w:rFonts w:ascii="Arial" w:hAnsi="Arial" w:cs="Arial"/>
          <w:b/>
          <w:color w:val="000000"/>
          <w:sz w:val="22"/>
          <w:szCs w:val="22"/>
        </w:rPr>
      </w:pPr>
      <w:r w:rsidRPr="00801189">
        <w:rPr>
          <w:rFonts w:ascii="Arial" w:hAnsi="Arial" w:cs="Arial"/>
          <w:b/>
          <w:color w:val="000000"/>
          <w:sz w:val="22"/>
          <w:szCs w:val="22"/>
        </w:rPr>
        <w:lastRenderedPageBreak/>
        <w:t>18.</w:t>
      </w:r>
      <w:r w:rsidRPr="00801189">
        <w:rPr>
          <w:rFonts w:ascii="Arial" w:hAnsi="Arial" w:cs="Arial"/>
          <w:b/>
          <w:color w:val="000000"/>
          <w:sz w:val="22"/>
          <w:szCs w:val="22"/>
        </w:rPr>
        <w:tab/>
        <w:t>Explain each exception to the certification statement identified in item 19.</w:t>
      </w:r>
    </w:p>
    <w:p w14:paraId="468BC9E2" w14:textId="77777777" w:rsidR="00AA627A" w:rsidRPr="00CF597A" w:rsidRDefault="00AA627A">
      <w:pPr>
        <w:tabs>
          <w:tab w:val="left" w:pos="360"/>
          <w:tab w:val="left" w:pos="720"/>
        </w:tabs>
        <w:rPr>
          <w:rFonts w:ascii="Arial" w:hAnsi="Arial" w:cs="Arial"/>
          <w:color w:val="000000"/>
        </w:rPr>
      </w:pPr>
    </w:p>
    <w:p w14:paraId="7BCCABEE" w14:textId="77777777" w:rsidR="00AA627A" w:rsidRPr="00242972" w:rsidRDefault="00AA627A">
      <w:pPr>
        <w:tabs>
          <w:tab w:val="left" w:pos="360"/>
          <w:tab w:val="left" w:pos="720"/>
        </w:tabs>
        <w:rPr>
          <w:bCs/>
          <w:color w:val="000000"/>
          <w:sz w:val="22"/>
          <w:szCs w:val="22"/>
        </w:rPr>
      </w:pPr>
      <w:r w:rsidRPr="00CF597A">
        <w:rPr>
          <w:rFonts w:ascii="Arial" w:hAnsi="Arial" w:cs="Arial"/>
          <w:color w:val="000000"/>
        </w:rPr>
        <w:tab/>
      </w:r>
      <w:r w:rsidRPr="00CF597A">
        <w:rPr>
          <w:rFonts w:ascii="Arial" w:hAnsi="Arial" w:cs="Arial"/>
          <w:color w:val="000000"/>
        </w:rPr>
        <w:tab/>
      </w:r>
      <w:r w:rsidRPr="00242972">
        <w:rPr>
          <w:bCs/>
          <w:color w:val="000000"/>
          <w:sz w:val="22"/>
          <w:szCs w:val="22"/>
        </w:rPr>
        <w:t>Ginnie Mae does not request an exception to the certification statement identified in item 19.</w:t>
      </w:r>
    </w:p>
    <w:p w14:paraId="75ECB894" w14:textId="77777777" w:rsidR="00AA627A" w:rsidRPr="00CF597A" w:rsidRDefault="00AA627A">
      <w:pPr>
        <w:tabs>
          <w:tab w:val="left" w:pos="360"/>
          <w:tab w:val="left" w:pos="720"/>
        </w:tabs>
        <w:rPr>
          <w:rFonts w:ascii="Arial" w:hAnsi="Arial" w:cs="Arial"/>
          <w:color w:val="000000"/>
        </w:rPr>
      </w:pPr>
    </w:p>
    <w:p w14:paraId="1571EDFE" w14:textId="77777777" w:rsidR="00AA627A" w:rsidRPr="00CF597A" w:rsidRDefault="00AA627A">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sz w:val="18"/>
        </w:rPr>
      </w:pPr>
      <w:r w:rsidRPr="00CF597A">
        <w:rPr>
          <w:rFonts w:ascii="Arial" w:hAnsi="Arial" w:cs="Arial"/>
          <w:b/>
          <w:color w:val="000000"/>
          <w:sz w:val="18"/>
        </w:rPr>
        <w:t xml:space="preserve">B. </w:t>
      </w:r>
      <w:r w:rsidRPr="00CF597A">
        <w:rPr>
          <w:rFonts w:ascii="Arial" w:hAnsi="Arial" w:cs="Arial"/>
          <w:b/>
          <w:color w:val="000000"/>
          <w:sz w:val="18"/>
        </w:rPr>
        <w:tab/>
        <w:t>Collections of Information Employing Statistical Methods</w:t>
      </w:r>
    </w:p>
    <w:p w14:paraId="4EC3F639" w14:textId="77777777" w:rsidR="00AA627A" w:rsidRPr="00CF597A" w:rsidRDefault="00AA627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hAnsi="Arial" w:cs="Arial"/>
          <w:color w:val="000000"/>
          <w:sz w:val="18"/>
        </w:rPr>
      </w:pPr>
    </w:p>
    <w:p w14:paraId="4EC9D773" w14:textId="77777777" w:rsidR="00AA627A" w:rsidRPr="00242972" w:rsidRDefault="00CF597A">
      <w:pPr>
        <w:keepLines/>
        <w:tabs>
          <w:tab w:val="left" w:pos="360"/>
          <w:tab w:val="left" w:pos="720"/>
        </w:tabs>
        <w:ind w:left="360"/>
        <w:rPr>
          <w:bCs/>
          <w:color w:val="000000"/>
          <w:sz w:val="22"/>
          <w:szCs w:val="22"/>
        </w:rPr>
      </w:pPr>
      <w:r>
        <w:rPr>
          <w:rFonts w:ascii="Arial" w:hAnsi="Arial" w:cs="Arial"/>
          <w:bCs/>
          <w:color w:val="000000"/>
        </w:rPr>
        <w:tab/>
      </w:r>
      <w:r w:rsidR="00AA627A" w:rsidRPr="00242972">
        <w:rPr>
          <w:bCs/>
          <w:color w:val="000000"/>
          <w:sz w:val="22"/>
          <w:szCs w:val="22"/>
        </w:rPr>
        <w:t>Ginnie Mae does not use statistical methods to collect information for this package.</w:t>
      </w:r>
    </w:p>
    <w:p w14:paraId="305B4273" w14:textId="77777777" w:rsidR="00AA627A" w:rsidRPr="00242972" w:rsidRDefault="00AA627A">
      <w:pPr>
        <w:tabs>
          <w:tab w:val="left" w:pos="240"/>
        </w:tabs>
        <w:rPr>
          <w:color w:val="000000"/>
          <w:sz w:val="22"/>
          <w:szCs w:val="22"/>
        </w:rPr>
      </w:pPr>
    </w:p>
    <w:sectPr w:rsidR="00AA627A" w:rsidRPr="00242972" w:rsidSect="009E6ED4">
      <w:footerReference w:type="default" r:id="rId13"/>
      <w:headerReference w:type="first" r:id="rId14"/>
      <w:footerReference w:type="first" r:id="rId15"/>
      <w:pgSz w:w="12240" w:h="15840" w:code="1"/>
      <w:pgMar w:top="480" w:right="720" w:bottom="480" w:left="600" w:header="480" w:footer="480" w:gutter="0"/>
      <w:cols w:space="480" w:equalWidth="0">
        <w:col w:w="1080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13855" w14:textId="77777777" w:rsidR="00834067" w:rsidRDefault="00834067">
      <w:r>
        <w:separator/>
      </w:r>
    </w:p>
  </w:endnote>
  <w:endnote w:type="continuationSeparator" w:id="0">
    <w:p w14:paraId="720453BB" w14:textId="77777777" w:rsidR="00834067" w:rsidRDefault="0083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41964" w14:textId="5C5A7FA8" w:rsidR="00456528" w:rsidRDefault="00456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210D">
      <w:rPr>
        <w:rStyle w:val="PageNumber"/>
        <w:noProof/>
      </w:rPr>
      <w:t>1</w:t>
    </w:r>
    <w:r>
      <w:rPr>
        <w:rStyle w:val="PageNumber"/>
      </w:rPr>
      <w:fldChar w:fldCharType="end"/>
    </w:r>
  </w:p>
  <w:p w14:paraId="69AEC28E" w14:textId="77777777" w:rsidR="00456528" w:rsidRDefault="00456528">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tblBorders>
      <w:tblLayout w:type="fixed"/>
      <w:tblLook w:val="0000" w:firstRow="0" w:lastRow="0" w:firstColumn="0" w:lastColumn="0" w:noHBand="0" w:noVBand="0"/>
    </w:tblPr>
    <w:tblGrid>
      <w:gridCol w:w="8388"/>
      <w:gridCol w:w="2748"/>
    </w:tblGrid>
    <w:tr w:rsidR="00456528" w14:paraId="3B694B5A" w14:textId="77777777">
      <w:tc>
        <w:tcPr>
          <w:tcW w:w="8388" w:type="dxa"/>
          <w:tcBorders>
            <w:top w:val="single" w:sz="6" w:space="0" w:color="auto"/>
            <w:left w:val="nil"/>
            <w:right w:val="single" w:sz="6" w:space="0" w:color="auto"/>
          </w:tcBorders>
        </w:tcPr>
        <w:p w14:paraId="463D41BA" w14:textId="77777777" w:rsidR="00456528" w:rsidRDefault="00456528">
          <w:pPr>
            <w:pStyle w:val="Footer"/>
            <w:rPr>
              <w:rFonts w:ascii="Helvetica" w:hAnsi="Helvetica"/>
              <w:sz w:val="16"/>
            </w:rPr>
          </w:pPr>
          <w:r>
            <w:rPr>
              <w:rFonts w:ascii="Helvetica" w:hAnsi="Helvetica"/>
              <w:sz w:val="16"/>
            </w:rPr>
            <w:t>Signature of Senior Officer or Designee:</w:t>
          </w:r>
        </w:p>
        <w:p w14:paraId="370F6758" w14:textId="77777777" w:rsidR="00456528" w:rsidRDefault="00456528">
          <w:pPr>
            <w:pStyle w:val="Footer"/>
            <w:rPr>
              <w:rFonts w:ascii="Helvetica" w:hAnsi="Helvetica"/>
              <w:sz w:val="16"/>
            </w:rPr>
          </w:pPr>
        </w:p>
        <w:p w14:paraId="64FC6E96" w14:textId="77777777" w:rsidR="00456528" w:rsidRDefault="00456528">
          <w:pPr>
            <w:pStyle w:val="Footer"/>
            <w:rPr>
              <w:rFonts w:ascii="Helvetica" w:hAnsi="Helvetica"/>
              <w:sz w:val="16"/>
            </w:rPr>
          </w:pPr>
        </w:p>
        <w:p w14:paraId="432B659B" w14:textId="77777777" w:rsidR="00456528" w:rsidRDefault="00456528">
          <w:pPr>
            <w:pStyle w:val="Footer"/>
            <w:rPr>
              <w:rFonts w:ascii="Helvetica" w:hAnsi="Helvetica"/>
              <w:sz w:val="16"/>
            </w:rPr>
          </w:pPr>
          <w:r>
            <w:rPr>
              <w:rFonts w:ascii="Helvetica" w:hAnsi="Helvetica"/>
              <w:sz w:val="16"/>
            </w:rPr>
            <w:t>X</w:t>
          </w:r>
        </w:p>
        <w:p w14:paraId="72E5C179" w14:textId="77777777" w:rsidR="00456528" w:rsidRDefault="00456528">
          <w:pPr>
            <w:pStyle w:val="Footer"/>
            <w:rPr>
              <w:rFonts w:ascii="Helvetica" w:hAnsi="Helvetica"/>
              <w:sz w:val="16"/>
            </w:rPr>
          </w:pPr>
          <w:r>
            <w:rPr>
              <w:rFonts w:ascii="Helvetica" w:hAnsi="Helvetica"/>
              <w:sz w:val="16"/>
            </w:rPr>
            <w:t>Colette Pollard, Administrator Support Specialist</w:t>
          </w:r>
        </w:p>
        <w:p w14:paraId="733C3AD0" w14:textId="77777777" w:rsidR="00456528" w:rsidRDefault="00456528">
          <w:pPr>
            <w:pStyle w:val="Footer"/>
            <w:rPr>
              <w:rFonts w:ascii="Helvetica" w:hAnsi="Helvetica"/>
              <w:sz w:val="16"/>
            </w:rPr>
          </w:pPr>
          <w:r>
            <w:rPr>
              <w:rFonts w:ascii="Helvetica" w:hAnsi="Helvetica"/>
              <w:sz w:val="16"/>
            </w:rPr>
            <w:t>Office of Investments Strategies, Policy &amp; Management</w:t>
          </w:r>
        </w:p>
      </w:tc>
      <w:tc>
        <w:tcPr>
          <w:tcW w:w="2748" w:type="dxa"/>
          <w:tcBorders>
            <w:left w:val="nil"/>
          </w:tcBorders>
        </w:tcPr>
        <w:p w14:paraId="68A92124" w14:textId="77777777" w:rsidR="00456528" w:rsidRDefault="00456528">
          <w:pPr>
            <w:pStyle w:val="Footer"/>
            <w:rPr>
              <w:rFonts w:ascii="Helvetica" w:hAnsi="Helvetica"/>
              <w:sz w:val="16"/>
            </w:rPr>
          </w:pPr>
          <w:r>
            <w:rPr>
              <w:rFonts w:ascii="Helvetica" w:hAnsi="Helvetica"/>
              <w:sz w:val="16"/>
            </w:rPr>
            <w:t xml:space="preserve">Date: </w:t>
          </w:r>
        </w:p>
      </w:tc>
    </w:tr>
  </w:tbl>
  <w:p w14:paraId="517C9D67" w14:textId="77777777" w:rsidR="00456528" w:rsidRDefault="00456528">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2078D" w14:textId="77777777" w:rsidR="00834067" w:rsidRDefault="00834067">
      <w:r>
        <w:separator/>
      </w:r>
    </w:p>
  </w:footnote>
  <w:footnote w:type="continuationSeparator" w:id="0">
    <w:p w14:paraId="58B0CBD3" w14:textId="77777777" w:rsidR="00834067" w:rsidRDefault="00834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FC02" w14:textId="77777777" w:rsidR="00456528" w:rsidRDefault="00456528">
    <w:pPr>
      <w:pStyle w:val="Header"/>
    </w:pPr>
    <w:r>
      <w:t>Ginnie Mae Supporting Statement as of 4-23-13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92D45B7"/>
    <w:multiLevelType w:val="hybridMultilevel"/>
    <w:tmpl w:val="642C6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15:restartNumberingAfterBreak="0">
    <w:nsid w:val="0D5363BB"/>
    <w:multiLevelType w:val="hybridMultilevel"/>
    <w:tmpl w:val="534266E8"/>
    <w:lvl w:ilvl="0" w:tplc="5D444E82">
      <w:start w:val="14"/>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090782"/>
    <w:multiLevelType w:val="singleLevel"/>
    <w:tmpl w:val="5DBE98B6"/>
    <w:lvl w:ilvl="0">
      <w:start w:val="1"/>
      <w:numFmt w:val="decimal"/>
      <w:lvlText w:val="%1)"/>
      <w:legacy w:legacy="1" w:legacySpace="120" w:legacyIndent="465"/>
      <w:lvlJc w:val="left"/>
      <w:pPr>
        <w:ind w:left="1905" w:hanging="465"/>
      </w:pPr>
    </w:lvl>
  </w:abstractNum>
  <w:abstractNum w:abstractNumId="5" w15:restartNumberingAfterBreak="0">
    <w:nsid w:val="10E273D4"/>
    <w:multiLevelType w:val="singleLevel"/>
    <w:tmpl w:val="AF968A4E"/>
    <w:lvl w:ilvl="0">
      <w:start w:val="7"/>
      <w:numFmt w:val="decimal"/>
      <w:lvlText w:val="%1. "/>
      <w:legacy w:legacy="1" w:legacySpace="0" w:legacyIndent="360"/>
      <w:lvlJc w:val="left"/>
      <w:pPr>
        <w:ind w:left="360" w:hanging="360"/>
      </w:pPr>
      <w:rPr>
        <w:b w:val="0"/>
        <w:i w:val="0"/>
        <w:sz w:val="18"/>
      </w:rPr>
    </w:lvl>
  </w:abstractNum>
  <w:abstractNum w:abstractNumId="6"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15:restartNumberingAfterBreak="0">
    <w:nsid w:val="139F6821"/>
    <w:multiLevelType w:val="hybridMultilevel"/>
    <w:tmpl w:val="A22E3292"/>
    <w:lvl w:ilvl="0" w:tplc="D35AC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557FE"/>
    <w:multiLevelType w:val="hybridMultilevel"/>
    <w:tmpl w:val="F91423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C1069A"/>
    <w:multiLevelType w:val="singleLevel"/>
    <w:tmpl w:val="D3781CAA"/>
    <w:lvl w:ilvl="0">
      <w:start w:val="1"/>
      <w:numFmt w:val="decimal"/>
      <w:lvlText w:val="%1)"/>
      <w:legacy w:legacy="1" w:legacySpace="120" w:legacyIndent="360"/>
      <w:lvlJc w:val="left"/>
      <w:pPr>
        <w:ind w:left="1890" w:hanging="360"/>
      </w:pPr>
    </w:lvl>
  </w:abstractNum>
  <w:abstractNum w:abstractNumId="10" w15:restartNumberingAfterBreak="0">
    <w:nsid w:val="29073CE1"/>
    <w:multiLevelType w:val="singleLevel"/>
    <w:tmpl w:val="76842CE6"/>
    <w:lvl w:ilvl="0">
      <w:start w:val="1"/>
      <w:numFmt w:val="decimal"/>
      <w:lvlText w:val="%1)"/>
      <w:legacy w:legacy="1" w:legacySpace="120" w:legacyIndent="465"/>
      <w:lvlJc w:val="left"/>
      <w:pPr>
        <w:ind w:left="1905" w:hanging="465"/>
      </w:pPr>
    </w:lvl>
  </w:abstractNum>
  <w:abstractNum w:abstractNumId="11" w15:restartNumberingAfterBreak="0">
    <w:nsid w:val="2B52337B"/>
    <w:multiLevelType w:val="hybridMultilevel"/>
    <w:tmpl w:val="8D0EC792"/>
    <w:lvl w:ilvl="0" w:tplc="1B281470">
      <w:start w:val="46"/>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214BFA"/>
    <w:multiLevelType w:val="hybridMultilevel"/>
    <w:tmpl w:val="FBEAE766"/>
    <w:lvl w:ilvl="0" w:tplc="931C0ACE">
      <w:start w:val="6"/>
      <w:numFmt w:val="decimal"/>
      <w:lvlText w:val="%1."/>
      <w:lvlJc w:val="left"/>
      <w:pPr>
        <w:tabs>
          <w:tab w:val="num" w:pos="3600"/>
        </w:tabs>
        <w:ind w:left="3600" w:hanging="360"/>
      </w:pPr>
      <w:rPr>
        <w:rFonts w:hint="default"/>
        <w:sz w:val="18"/>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15:restartNumberingAfterBreak="0">
    <w:nsid w:val="36D55491"/>
    <w:multiLevelType w:val="hybridMultilevel"/>
    <w:tmpl w:val="A22E3292"/>
    <w:lvl w:ilvl="0" w:tplc="D35AC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D7A97"/>
    <w:multiLevelType w:val="hybridMultilevel"/>
    <w:tmpl w:val="750835D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73479D"/>
    <w:multiLevelType w:val="hybridMultilevel"/>
    <w:tmpl w:val="CEA29936"/>
    <w:lvl w:ilvl="0" w:tplc="2B8621B6">
      <w:start w:val="45"/>
      <w:numFmt w:val="decimal"/>
      <w:lvlText w:val="%1."/>
      <w:lvlJc w:val="left"/>
      <w:pPr>
        <w:tabs>
          <w:tab w:val="num" w:pos="690"/>
        </w:tabs>
        <w:ind w:left="690" w:hanging="360"/>
      </w:pPr>
      <w:rPr>
        <w:rFonts w:hint="default"/>
        <w:u w:val="none"/>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6" w15:restartNumberingAfterBreak="0">
    <w:nsid w:val="46B37356"/>
    <w:multiLevelType w:val="hybridMultilevel"/>
    <w:tmpl w:val="13B09F78"/>
    <w:lvl w:ilvl="0" w:tplc="FCF61996">
      <w:start w:val="59"/>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A3551B"/>
    <w:multiLevelType w:val="hybridMultilevel"/>
    <w:tmpl w:val="8D10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9" w15:restartNumberingAfterBreak="0">
    <w:nsid w:val="540A49EA"/>
    <w:multiLevelType w:val="hybridMultilevel"/>
    <w:tmpl w:val="D9FEA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72770C"/>
    <w:multiLevelType w:val="hybridMultilevel"/>
    <w:tmpl w:val="F762FD0A"/>
    <w:lvl w:ilvl="0" w:tplc="FD36B638">
      <w:start w:val="50"/>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A005B6"/>
    <w:multiLevelType w:val="hybridMultilevel"/>
    <w:tmpl w:val="A08EDE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730AC4"/>
    <w:multiLevelType w:val="singleLevel"/>
    <w:tmpl w:val="78B8CCDA"/>
    <w:lvl w:ilvl="0">
      <w:start w:val="1"/>
      <w:numFmt w:val="decimal"/>
      <w:lvlText w:val="%1)"/>
      <w:legacy w:legacy="1" w:legacySpace="120" w:legacyIndent="360"/>
      <w:lvlJc w:val="left"/>
      <w:pPr>
        <w:ind w:left="1890" w:hanging="360"/>
      </w:pPr>
    </w:lvl>
  </w:abstractNum>
  <w:abstractNum w:abstractNumId="24" w15:restartNumberingAfterBreak="0">
    <w:nsid w:val="5CFA3E30"/>
    <w:multiLevelType w:val="hybridMultilevel"/>
    <w:tmpl w:val="D1D68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A2159A"/>
    <w:multiLevelType w:val="hybridMultilevel"/>
    <w:tmpl w:val="E07C7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7" w15:restartNumberingAfterBreak="0">
    <w:nsid w:val="73DE4E6D"/>
    <w:multiLevelType w:val="hybridMultilevel"/>
    <w:tmpl w:val="F904A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9"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0" w15:restartNumberingAfterBreak="0">
    <w:nsid w:val="7D144713"/>
    <w:multiLevelType w:val="hybridMultilevel"/>
    <w:tmpl w:val="1464A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9B354C"/>
    <w:multiLevelType w:val="singleLevel"/>
    <w:tmpl w:val="AEFEDD52"/>
    <w:lvl w:ilvl="0">
      <w:start w:val="6"/>
      <w:numFmt w:val="decimal"/>
      <w:lvlText w:val="%1. "/>
      <w:legacy w:legacy="1" w:legacySpace="0" w:legacyIndent="360"/>
      <w:lvlJc w:val="left"/>
      <w:pPr>
        <w:ind w:left="360" w:hanging="360"/>
      </w:pPr>
      <w:rPr>
        <w:b w:val="0"/>
        <w:i w:val="0"/>
        <w:sz w:val="18"/>
      </w:rPr>
    </w:lvl>
  </w:abstractNum>
  <w:num w:numId="1">
    <w:abstractNumId w:val="6"/>
  </w:num>
  <w:num w:numId="2">
    <w:abstractNumId w:val="29"/>
  </w:num>
  <w:num w:numId="3">
    <w:abstractNumId w:val="2"/>
  </w:num>
  <w:num w:numId="4">
    <w:abstractNumId w:val="28"/>
  </w:num>
  <w:num w:numId="5">
    <w:abstractNumId w:val="26"/>
  </w:num>
  <w:num w:numId="6">
    <w:abstractNumId w:val="2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0"/>
  </w:num>
  <w:num w:numId="10">
    <w:abstractNumId w:val="9"/>
  </w:num>
  <w:num w:numId="11">
    <w:abstractNumId w:val="4"/>
  </w:num>
  <w:num w:numId="12">
    <w:abstractNumId w:val="23"/>
  </w:num>
  <w:num w:numId="13">
    <w:abstractNumId w:val="10"/>
  </w:num>
  <w:num w:numId="14">
    <w:abstractNumId w:val="31"/>
  </w:num>
  <w:num w:numId="15">
    <w:abstractNumId w:val="5"/>
  </w:num>
  <w:num w:numId="16">
    <w:abstractNumId w:val="12"/>
  </w:num>
  <w:num w:numId="17">
    <w:abstractNumId w:val="11"/>
  </w:num>
  <w:num w:numId="18">
    <w:abstractNumId w:val="21"/>
  </w:num>
  <w:num w:numId="19">
    <w:abstractNumId w:val="15"/>
  </w:num>
  <w:num w:numId="20">
    <w:abstractNumId w:val="3"/>
  </w:num>
  <w:num w:numId="21">
    <w:abstractNumId w:val="16"/>
  </w:num>
  <w:num w:numId="22">
    <w:abstractNumId w:val="13"/>
  </w:num>
  <w:num w:numId="23">
    <w:abstractNumId w:val="22"/>
  </w:num>
  <w:num w:numId="24">
    <w:abstractNumId w:val="1"/>
  </w:num>
  <w:num w:numId="25">
    <w:abstractNumId w:val="14"/>
  </w:num>
  <w:num w:numId="26">
    <w:abstractNumId w:val="8"/>
  </w:num>
  <w:num w:numId="27">
    <w:abstractNumId w:val="24"/>
  </w:num>
  <w:num w:numId="28">
    <w:abstractNumId w:val="27"/>
  </w:num>
  <w:num w:numId="29">
    <w:abstractNumId w:val="30"/>
  </w:num>
  <w:num w:numId="30">
    <w:abstractNumId w:val="7"/>
  </w:num>
  <w:num w:numId="31">
    <w:abstractNumId w:val="19"/>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AB"/>
    <w:rsid w:val="00003409"/>
    <w:rsid w:val="0000706C"/>
    <w:rsid w:val="00012334"/>
    <w:rsid w:val="00017620"/>
    <w:rsid w:val="00020860"/>
    <w:rsid w:val="00022EB8"/>
    <w:rsid w:val="00030896"/>
    <w:rsid w:val="000319F1"/>
    <w:rsid w:val="00037096"/>
    <w:rsid w:val="000405AA"/>
    <w:rsid w:val="00041B3B"/>
    <w:rsid w:val="00042778"/>
    <w:rsid w:val="00045E20"/>
    <w:rsid w:val="00053210"/>
    <w:rsid w:val="00053D02"/>
    <w:rsid w:val="00061083"/>
    <w:rsid w:val="00065A5C"/>
    <w:rsid w:val="00065F0B"/>
    <w:rsid w:val="00071E6B"/>
    <w:rsid w:val="000727D7"/>
    <w:rsid w:val="0007376D"/>
    <w:rsid w:val="000748EB"/>
    <w:rsid w:val="00095387"/>
    <w:rsid w:val="00095EFD"/>
    <w:rsid w:val="000A3618"/>
    <w:rsid w:val="000A3734"/>
    <w:rsid w:val="000A4CB3"/>
    <w:rsid w:val="000A5B72"/>
    <w:rsid w:val="000B12FC"/>
    <w:rsid w:val="000C6E99"/>
    <w:rsid w:val="000E1F3E"/>
    <w:rsid w:val="000E6076"/>
    <w:rsid w:val="000F15BF"/>
    <w:rsid w:val="000F1C14"/>
    <w:rsid w:val="000F34A6"/>
    <w:rsid w:val="000F61C9"/>
    <w:rsid w:val="001015D7"/>
    <w:rsid w:val="0010487D"/>
    <w:rsid w:val="00106527"/>
    <w:rsid w:val="00111373"/>
    <w:rsid w:val="00123977"/>
    <w:rsid w:val="0012533E"/>
    <w:rsid w:val="0013151C"/>
    <w:rsid w:val="00133775"/>
    <w:rsid w:val="00135794"/>
    <w:rsid w:val="00136718"/>
    <w:rsid w:val="00141584"/>
    <w:rsid w:val="00142C47"/>
    <w:rsid w:val="00143FFB"/>
    <w:rsid w:val="0015409D"/>
    <w:rsid w:val="00154F9E"/>
    <w:rsid w:val="00160507"/>
    <w:rsid w:val="00177EE8"/>
    <w:rsid w:val="00187B1A"/>
    <w:rsid w:val="00187EE0"/>
    <w:rsid w:val="0019192D"/>
    <w:rsid w:val="00193407"/>
    <w:rsid w:val="001A31CE"/>
    <w:rsid w:val="001B0A16"/>
    <w:rsid w:val="001B0F12"/>
    <w:rsid w:val="001B1165"/>
    <w:rsid w:val="001B26F3"/>
    <w:rsid w:val="001B4EC7"/>
    <w:rsid w:val="001B6DB9"/>
    <w:rsid w:val="001C6FAD"/>
    <w:rsid w:val="001C7654"/>
    <w:rsid w:val="001D3231"/>
    <w:rsid w:val="001D535A"/>
    <w:rsid w:val="001E4559"/>
    <w:rsid w:val="001F005D"/>
    <w:rsid w:val="00204867"/>
    <w:rsid w:val="00205445"/>
    <w:rsid w:val="00207867"/>
    <w:rsid w:val="00214B5E"/>
    <w:rsid w:val="002246BF"/>
    <w:rsid w:val="00226BFE"/>
    <w:rsid w:val="00232000"/>
    <w:rsid w:val="00233316"/>
    <w:rsid w:val="00233F68"/>
    <w:rsid w:val="00234495"/>
    <w:rsid w:val="00240FFA"/>
    <w:rsid w:val="00242972"/>
    <w:rsid w:val="00246D25"/>
    <w:rsid w:val="00253142"/>
    <w:rsid w:val="00253283"/>
    <w:rsid w:val="00255C47"/>
    <w:rsid w:val="00260A5C"/>
    <w:rsid w:val="002630BE"/>
    <w:rsid w:val="0027286C"/>
    <w:rsid w:val="00281768"/>
    <w:rsid w:val="0028464A"/>
    <w:rsid w:val="00286E29"/>
    <w:rsid w:val="00290BBA"/>
    <w:rsid w:val="00290C7F"/>
    <w:rsid w:val="0029344A"/>
    <w:rsid w:val="002A0B71"/>
    <w:rsid w:val="002A5008"/>
    <w:rsid w:val="002B5DF9"/>
    <w:rsid w:val="002C6F91"/>
    <w:rsid w:val="002D42A6"/>
    <w:rsid w:val="002D4A3E"/>
    <w:rsid w:val="002D63B5"/>
    <w:rsid w:val="002E1AAA"/>
    <w:rsid w:val="002E5F0A"/>
    <w:rsid w:val="003000C1"/>
    <w:rsid w:val="00302820"/>
    <w:rsid w:val="00312F93"/>
    <w:rsid w:val="00325A92"/>
    <w:rsid w:val="00330754"/>
    <w:rsid w:val="00336BBA"/>
    <w:rsid w:val="00340766"/>
    <w:rsid w:val="003417EE"/>
    <w:rsid w:val="0034288A"/>
    <w:rsid w:val="0035555F"/>
    <w:rsid w:val="00361121"/>
    <w:rsid w:val="00361B42"/>
    <w:rsid w:val="00362685"/>
    <w:rsid w:val="00365906"/>
    <w:rsid w:val="00371CFF"/>
    <w:rsid w:val="0037265D"/>
    <w:rsid w:val="00377C2A"/>
    <w:rsid w:val="00381BB3"/>
    <w:rsid w:val="00384204"/>
    <w:rsid w:val="0039008C"/>
    <w:rsid w:val="00391E6C"/>
    <w:rsid w:val="00397F3E"/>
    <w:rsid w:val="003A0803"/>
    <w:rsid w:val="003A103C"/>
    <w:rsid w:val="003A2165"/>
    <w:rsid w:val="003A507C"/>
    <w:rsid w:val="003A54F4"/>
    <w:rsid w:val="003B29B9"/>
    <w:rsid w:val="003B53E2"/>
    <w:rsid w:val="003B72A2"/>
    <w:rsid w:val="003C6151"/>
    <w:rsid w:val="003C7119"/>
    <w:rsid w:val="003D0B60"/>
    <w:rsid w:val="003D40A1"/>
    <w:rsid w:val="003D7BF1"/>
    <w:rsid w:val="003E19F7"/>
    <w:rsid w:val="003E3CBD"/>
    <w:rsid w:val="003F12E6"/>
    <w:rsid w:val="004147FA"/>
    <w:rsid w:val="004364D0"/>
    <w:rsid w:val="00437B64"/>
    <w:rsid w:val="00441D1D"/>
    <w:rsid w:val="00442D1E"/>
    <w:rsid w:val="00445B01"/>
    <w:rsid w:val="00446A44"/>
    <w:rsid w:val="00451C94"/>
    <w:rsid w:val="0045374B"/>
    <w:rsid w:val="00455A46"/>
    <w:rsid w:val="00456528"/>
    <w:rsid w:val="00456CBB"/>
    <w:rsid w:val="00466DB2"/>
    <w:rsid w:val="00467124"/>
    <w:rsid w:val="00467E68"/>
    <w:rsid w:val="0047206D"/>
    <w:rsid w:val="004722ED"/>
    <w:rsid w:val="00472F9A"/>
    <w:rsid w:val="004732AD"/>
    <w:rsid w:val="00476AE3"/>
    <w:rsid w:val="0047770E"/>
    <w:rsid w:val="0048491E"/>
    <w:rsid w:val="004866E9"/>
    <w:rsid w:val="00494171"/>
    <w:rsid w:val="00497931"/>
    <w:rsid w:val="004A1156"/>
    <w:rsid w:val="004A5D9C"/>
    <w:rsid w:val="004A6A2E"/>
    <w:rsid w:val="004B42B8"/>
    <w:rsid w:val="004C1A45"/>
    <w:rsid w:val="004C32BB"/>
    <w:rsid w:val="004C69B0"/>
    <w:rsid w:val="004D1301"/>
    <w:rsid w:val="004D5842"/>
    <w:rsid w:val="004E6B1F"/>
    <w:rsid w:val="004F1B6D"/>
    <w:rsid w:val="004F210D"/>
    <w:rsid w:val="004F47CF"/>
    <w:rsid w:val="004F575C"/>
    <w:rsid w:val="00504F57"/>
    <w:rsid w:val="00505C29"/>
    <w:rsid w:val="00505EEB"/>
    <w:rsid w:val="00532808"/>
    <w:rsid w:val="0053379A"/>
    <w:rsid w:val="00534765"/>
    <w:rsid w:val="0053499C"/>
    <w:rsid w:val="00541761"/>
    <w:rsid w:val="0054218D"/>
    <w:rsid w:val="00546BEE"/>
    <w:rsid w:val="00556900"/>
    <w:rsid w:val="00572F56"/>
    <w:rsid w:val="00575265"/>
    <w:rsid w:val="00586A12"/>
    <w:rsid w:val="005909FE"/>
    <w:rsid w:val="005946CF"/>
    <w:rsid w:val="00597661"/>
    <w:rsid w:val="005A07DD"/>
    <w:rsid w:val="005A7C18"/>
    <w:rsid w:val="005B1942"/>
    <w:rsid w:val="005B330D"/>
    <w:rsid w:val="005B346D"/>
    <w:rsid w:val="005B3478"/>
    <w:rsid w:val="005B3DC6"/>
    <w:rsid w:val="005C1AED"/>
    <w:rsid w:val="005C5B2B"/>
    <w:rsid w:val="005D180B"/>
    <w:rsid w:val="005E4959"/>
    <w:rsid w:val="005E694D"/>
    <w:rsid w:val="005E7A06"/>
    <w:rsid w:val="005F27AC"/>
    <w:rsid w:val="005F79F1"/>
    <w:rsid w:val="0060093F"/>
    <w:rsid w:val="006012F7"/>
    <w:rsid w:val="006072C9"/>
    <w:rsid w:val="00616E8F"/>
    <w:rsid w:val="006259A6"/>
    <w:rsid w:val="00626629"/>
    <w:rsid w:val="00626DC2"/>
    <w:rsid w:val="006358BA"/>
    <w:rsid w:val="006401B4"/>
    <w:rsid w:val="0064391A"/>
    <w:rsid w:val="00643C60"/>
    <w:rsid w:val="006443D1"/>
    <w:rsid w:val="00644C7E"/>
    <w:rsid w:val="0064720F"/>
    <w:rsid w:val="00653F8A"/>
    <w:rsid w:val="00662C93"/>
    <w:rsid w:val="00682A84"/>
    <w:rsid w:val="0068318F"/>
    <w:rsid w:val="00692B1B"/>
    <w:rsid w:val="00694BD6"/>
    <w:rsid w:val="006B57F9"/>
    <w:rsid w:val="006B5A9F"/>
    <w:rsid w:val="006D32E3"/>
    <w:rsid w:val="006D6B3B"/>
    <w:rsid w:val="006E3DBE"/>
    <w:rsid w:val="006F1C3A"/>
    <w:rsid w:val="006F619E"/>
    <w:rsid w:val="00706765"/>
    <w:rsid w:val="007158F1"/>
    <w:rsid w:val="00725487"/>
    <w:rsid w:val="00725A26"/>
    <w:rsid w:val="00726A74"/>
    <w:rsid w:val="007322B8"/>
    <w:rsid w:val="00734719"/>
    <w:rsid w:val="00740FC9"/>
    <w:rsid w:val="00742538"/>
    <w:rsid w:val="0074280E"/>
    <w:rsid w:val="00743641"/>
    <w:rsid w:val="00743B6C"/>
    <w:rsid w:val="00743C20"/>
    <w:rsid w:val="00757913"/>
    <w:rsid w:val="00762458"/>
    <w:rsid w:val="0076282D"/>
    <w:rsid w:val="00764E02"/>
    <w:rsid w:val="00767A88"/>
    <w:rsid w:val="00775D23"/>
    <w:rsid w:val="0077606B"/>
    <w:rsid w:val="007830B7"/>
    <w:rsid w:val="00783EFA"/>
    <w:rsid w:val="007844E8"/>
    <w:rsid w:val="00785001"/>
    <w:rsid w:val="00785F3A"/>
    <w:rsid w:val="0079418D"/>
    <w:rsid w:val="007B12CE"/>
    <w:rsid w:val="007B1B36"/>
    <w:rsid w:val="007B4810"/>
    <w:rsid w:val="007C3684"/>
    <w:rsid w:val="007D5C6A"/>
    <w:rsid w:val="007E0501"/>
    <w:rsid w:val="007F3242"/>
    <w:rsid w:val="007F4A34"/>
    <w:rsid w:val="00801189"/>
    <w:rsid w:val="00801E16"/>
    <w:rsid w:val="00803241"/>
    <w:rsid w:val="00804EBB"/>
    <w:rsid w:val="0081125F"/>
    <w:rsid w:val="00811971"/>
    <w:rsid w:val="00814A0B"/>
    <w:rsid w:val="00817819"/>
    <w:rsid w:val="008302ED"/>
    <w:rsid w:val="008314DE"/>
    <w:rsid w:val="00833A70"/>
    <w:rsid w:val="00834067"/>
    <w:rsid w:val="00834F62"/>
    <w:rsid w:val="00837BD6"/>
    <w:rsid w:val="0084069C"/>
    <w:rsid w:val="00841612"/>
    <w:rsid w:val="00853218"/>
    <w:rsid w:val="00856BF3"/>
    <w:rsid w:val="00866A9A"/>
    <w:rsid w:val="00874813"/>
    <w:rsid w:val="00877E39"/>
    <w:rsid w:val="00883C41"/>
    <w:rsid w:val="00891A59"/>
    <w:rsid w:val="00894AC6"/>
    <w:rsid w:val="00895B0A"/>
    <w:rsid w:val="008960F2"/>
    <w:rsid w:val="008A030F"/>
    <w:rsid w:val="008A1FA1"/>
    <w:rsid w:val="008A58D0"/>
    <w:rsid w:val="008B54F1"/>
    <w:rsid w:val="008B774C"/>
    <w:rsid w:val="008C0CEF"/>
    <w:rsid w:val="008C71F4"/>
    <w:rsid w:val="008D021A"/>
    <w:rsid w:val="008D3FE5"/>
    <w:rsid w:val="008E10C8"/>
    <w:rsid w:val="008E3C68"/>
    <w:rsid w:val="008E6A6D"/>
    <w:rsid w:val="008F4C6F"/>
    <w:rsid w:val="00903283"/>
    <w:rsid w:val="00906B8F"/>
    <w:rsid w:val="009347E3"/>
    <w:rsid w:val="00953224"/>
    <w:rsid w:val="0095646F"/>
    <w:rsid w:val="00957371"/>
    <w:rsid w:val="00963EBD"/>
    <w:rsid w:val="00967CD2"/>
    <w:rsid w:val="009705B2"/>
    <w:rsid w:val="00971C74"/>
    <w:rsid w:val="009855CF"/>
    <w:rsid w:val="00986558"/>
    <w:rsid w:val="00986679"/>
    <w:rsid w:val="0099026C"/>
    <w:rsid w:val="009911D6"/>
    <w:rsid w:val="009A15A2"/>
    <w:rsid w:val="009A4AAB"/>
    <w:rsid w:val="009A4E43"/>
    <w:rsid w:val="009A545F"/>
    <w:rsid w:val="009B1121"/>
    <w:rsid w:val="009B4758"/>
    <w:rsid w:val="009B700E"/>
    <w:rsid w:val="009C7977"/>
    <w:rsid w:val="009E150D"/>
    <w:rsid w:val="009E4C3D"/>
    <w:rsid w:val="009E6ED4"/>
    <w:rsid w:val="009F054E"/>
    <w:rsid w:val="009F37CB"/>
    <w:rsid w:val="00A032CB"/>
    <w:rsid w:val="00A11135"/>
    <w:rsid w:val="00A13574"/>
    <w:rsid w:val="00A249E5"/>
    <w:rsid w:val="00A2510C"/>
    <w:rsid w:val="00A25899"/>
    <w:rsid w:val="00A259F7"/>
    <w:rsid w:val="00A30F93"/>
    <w:rsid w:val="00A314B2"/>
    <w:rsid w:val="00A367EC"/>
    <w:rsid w:val="00A421AB"/>
    <w:rsid w:val="00A7638E"/>
    <w:rsid w:val="00A80512"/>
    <w:rsid w:val="00A909D0"/>
    <w:rsid w:val="00A92C9C"/>
    <w:rsid w:val="00A940A4"/>
    <w:rsid w:val="00AA08F8"/>
    <w:rsid w:val="00AA6074"/>
    <w:rsid w:val="00AA627A"/>
    <w:rsid w:val="00AA7400"/>
    <w:rsid w:val="00AB4F15"/>
    <w:rsid w:val="00AB6857"/>
    <w:rsid w:val="00AC5EC0"/>
    <w:rsid w:val="00AE65F4"/>
    <w:rsid w:val="00AF2046"/>
    <w:rsid w:val="00AF6093"/>
    <w:rsid w:val="00AF6E4C"/>
    <w:rsid w:val="00B01705"/>
    <w:rsid w:val="00B0582F"/>
    <w:rsid w:val="00B079D0"/>
    <w:rsid w:val="00B21480"/>
    <w:rsid w:val="00B24322"/>
    <w:rsid w:val="00B26A3E"/>
    <w:rsid w:val="00B435A7"/>
    <w:rsid w:val="00B53ED9"/>
    <w:rsid w:val="00B5407A"/>
    <w:rsid w:val="00B55832"/>
    <w:rsid w:val="00B56F46"/>
    <w:rsid w:val="00B62DA8"/>
    <w:rsid w:val="00B66B97"/>
    <w:rsid w:val="00B76532"/>
    <w:rsid w:val="00B81E11"/>
    <w:rsid w:val="00B82521"/>
    <w:rsid w:val="00B84567"/>
    <w:rsid w:val="00B8732D"/>
    <w:rsid w:val="00B90064"/>
    <w:rsid w:val="00B927F1"/>
    <w:rsid w:val="00BA20B3"/>
    <w:rsid w:val="00BB6E5F"/>
    <w:rsid w:val="00BC0254"/>
    <w:rsid w:val="00BC4046"/>
    <w:rsid w:val="00BD3CB9"/>
    <w:rsid w:val="00BD3FF9"/>
    <w:rsid w:val="00BE0978"/>
    <w:rsid w:val="00BE2685"/>
    <w:rsid w:val="00BE30B2"/>
    <w:rsid w:val="00BF3E09"/>
    <w:rsid w:val="00C05887"/>
    <w:rsid w:val="00C115D9"/>
    <w:rsid w:val="00C12E3E"/>
    <w:rsid w:val="00C1312B"/>
    <w:rsid w:val="00C311A9"/>
    <w:rsid w:val="00C35C4D"/>
    <w:rsid w:val="00C3732A"/>
    <w:rsid w:val="00C42784"/>
    <w:rsid w:val="00C5264D"/>
    <w:rsid w:val="00C61283"/>
    <w:rsid w:val="00C67A6D"/>
    <w:rsid w:val="00C717DE"/>
    <w:rsid w:val="00C91C83"/>
    <w:rsid w:val="00C9245E"/>
    <w:rsid w:val="00CA4779"/>
    <w:rsid w:val="00CA5C8F"/>
    <w:rsid w:val="00CA7DF9"/>
    <w:rsid w:val="00CB7AB5"/>
    <w:rsid w:val="00CC18D8"/>
    <w:rsid w:val="00CC43EC"/>
    <w:rsid w:val="00CC5A71"/>
    <w:rsid w:val="00CD2DF7"/>
    <w:rsid w:val="00CD584C"/>
    <w:rsid w:val="00CD7740"/>
    <w:rsid w:val="00CE59C4"/>
    <w:rsid w:val="00CF4E87"/>
    <w:rsid w:val="00CF597A"/>
    <w:rsid w:val="00D0277F"/>
    <w:rsid w:val="00D133DE"/>
    <w:rsid w:val="00D16B01"/>
    <w:rsid w:val="00D2560B"/>
    <w:rsid w:val="00D267BC"/>
    <w:rsid w:val="00D34C6D"/>
    <w:rsid w:val="00D3666D"/>
    <w:rsid w:val="00D40B1C"/>
    <w:rsid w:val="00D436C0"/>
    <w:rsid w:val="00D56643"/>
    <w:rsid w:val="00D62531"/>
    <w:rsid w:val="00D659EA"/>
    <w:rsid w:val="00D71D88"/>
    <w:rsid w:val="00D817E0"/>
    <w:rsid w:val="00D858AD"/>
    <w:rsid w:val="00D9595E"/>
    <w:rsid w:val="00D97356"/>
    <w:rsid w:val="00DA5638"/>
    <w:rsid w:val="00DA6D0E"/>
    <w:rsid w:val="00DA7B03"/>
    <w:rsid w:val="00DB0D20"/>
    <w:rsid w:val="00DB5B92"/>
    <w:rsid w:val="00DB6E50"/>
    <w:rsid w:val="00DD6B49"/>
    <w:rsid w:val="00DE095F"/>
    <w:rsid w:val="00DE0BB3"/>
    <w:rsid w:val="00E10D67"/>
    <w:rsid w:val="00E110D5"/>
    <w:rsid w:val="00E12623"/>
    <w:rsid w:val="00E12A75"/>
    <w:rsid w:val="00E22280"/>
    <w:rsid w:val="00E2244E"/>
    <w:rsid w:val="00E3370A"/>
    <w:rsid w:val="00E4024A"/>
    <w:rsid w:val="00E40405"/>
    <w:rsid w:val="00E41912"/>
    <w:rsid w:val="00E42189"/>
    <w:rsid w:val="00E4592E"/>
    <w:rsid w:val="00E463D3"/>
    <w:rsid w:val="00E5190C"/>
    <w:rsid w:val="00E54BFB"/>
    <w:rsid w:val="00E829AB"/>
    <w:rsid w:val="00E91562"/>
    <w:rsid w:val="00EA51C1"/>
    <w:rsid w:val="00EB2FB0"/>
    <w:rsid w:val="00EB525F"/>
    <w:rsid w:val="00EB61C6"/>
    <w:rsid w:val="00EB6B67"/>
    <w:rsid w:val="00EC01CF"/>
    <w:rsid w:val="00ED4DE4"/>
    <w:rsid w:val="00ED5F2C"/>
    <w:rsid w:val="00EE6A0D"/>
    <w:rsid w:val="00EF18FA"/>
    <w:rsid w:val="00EF2DFB"/>
    <w:rsid w:val="00EF73DC"/>
    <w:rsid w:val="00F04B0A"/>
    <w:rsid w:val="00F120E5"/>
    <w:rsid w:val="00F174AB"/>
    <w:rsid w:val="00F24AE4"/>
    <w:rsid w:val="00F2782E"/>
    <w:rsid w:val="00F33E2D"/>
    <w:rsid w:val="00F41F20"/>
    <w:rsid w:val="00F451AB"/>
    <w:rsid w:val="00F470FD"/>
    <w:rsid w:val="00F6183F"/>
    <w:rsid w:val="00F66533"/>
    <w:rsid w:val="00F67AF2"/>
    <w:rsid w:val="00F80098"/>
    <w:rsid w:val="00F808A9"/>
    <w:rsid w:val="00F84D5C"/>
    <w:rsid w:val="00F91491"/>
    <w:rsid w:val="00FA2B85"/>
    <w:rsid w:val="00FA4A18"/>
    <w:rsid w:val="00FC4E7B"/>
    <w:rsid w:val="00FC77AC"/>
    <w:rsid w:val="00FD5BF8"/>
    <w:rsid w:val="00FE11D5"/>
    <w:rsid w:val="00FE591C"/>
    <w:rsid w:val="00FF7A38"/>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CD84A"/>
  <w15:docId w15:val="{AD0455C6-1E78-4198-A987-29990439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82E"/>
    <w:pPr>
      <w:overflowPunct w:val="0"/>
      <w:autoSpaceDE w:val="0"/>
      <w:autoSpaceDN w:val="0"/>
      <w:adjustRightInd w:val="0"/>
      <w:textAlignment w:val="baseline"/>
    </w:pPr>
  </w:style>
  <w:style w:type="paragraph" w:styleId="Heading1">
    <w:name w:val="heading 1"/>
    <w:basedOn w:val="Normal"/>
    <w:next w:val="Normal"/>
    <w:qFormat/>
    <w:rsid w:val="00F2782E"/>
    <w:pPr>
      <w:keepNext/>
      <w:ind w:left="720" w:firstLine="720"/>
      <w:outlineLvl w:val="0"/>
    </w:pPr>
    <w:rPr>
      <w:b/>
      <w:sz w:val="24"/>
      <w:u w:val="single"/>
    </w:rPr>
  </w:style>
  <w:style w:type="paragraph" w:styleId="Heading2">
    <w:name w:val="heading 2"/>
    <w:basedOn w:val="Normal"/>
    <w:next w:val="Normal"/>
    <w:qFormat/>
    <w:rsid w:val="00F2782E"/>
    <w:pPr>
      <w:keepNext/>
      <w:tabs>
        <w:tab w:val="left" w:pos="360"/>
        <w:tab w:val="left" w:pos="720"/>
      </w:tabs>
      <w:ind w:left="360"/>
      <w:outlineLvl w:val="1"/>
    </w:pPr>
    <w:rPr>
      <w:b/>
      <w:noProof/>
      <w:u w:val="single"/>
    </w:rPr>
  </w:style>
  <w:style w:type="paragraph" w:styleId="Heading3">
    <w:name w:val="heading 3"/>
    <w:basedOn w:val="Normal"/>
    <w:next w:val="Normal"/>
    <w:qFormat/>
    <w:rsid w:val="00F2782E"/>
    <w:pPr>
      <w:keepNext/>
      <w:ind w:left="720"/>
      <w:outlineLvl w:val="2"/>
    </w:pPr>
    <w:rPr>
      <w:b/>
      <w:u w:val="single"/>
    </w:rPr>
  </w:style>
  <w:style w:type="paragraph" w:styleId="Heading4">
    <w:name w:val="heading 4"/>
    <w:basedOn w:val="Normal"/>
    <w:next w:val="Normal"/>
    <w:qFormat/>
    <w:rsid w:val="00F2782E"/>
    <w:pPr>
      <w:keepNext/>
      <w:ind w:firstLine="360"/>
      <w:outlineLvl w:val="3"/>
    </w:pPr>
    <w:rPr>
      <w:b/>
      <w:u w:val="single"/>
    </w:rPr>
  </w:style>
  <w:style w:type="paragraph" w:styleId="Heading5">
    <w:name w:val="heading 5"/>
    <w:basedOn w:val="Normal"/>
    <w:next w:val="Normal"/>
    <w:qFormat/>
    <w:rsid w:val="00F2782E"/>
    <w:pPr>
      <w:keepNext/>
      <w:tabs>
        <w:tab w:val="left" w:pos="360"/>
        <w:tab w:val="left" w:pos="720"/>
      </w:tabs>
      <w:ind w:left="360"/>
      <w:jc w:val="center"/>
      <w:outlineLvl w:val="4"/>
    </w:pPr>
    <w:rPr>
      <w:b/>
      <w:noProof/>
      <w:sz w:val="24"/>
      <w:u w:val="single"/>
    </w:rPr>
  </w:style>
  <w:style w:type="paragraph" w:styleId="Heading6">
    <w:name w:val="heading 6"/>
    <w:basedOn w:val="Normal"/>
    <w:next w:val="Normal"/>
    <w:qFormat/>
    <w:rsid w:val="00F2782E"/>
    <w:pPr>
      <w:keepNext/>
      <w:ind w:firstLine="720"/>
      <w:outlineLvl w:val="5"/>
    </w:pPr>
    <w:rPr>
      <w:b/>
      <w:bCs/>
      <w:u w:val="single"/>
    </w:rPr>
  </w:style>
  <w:style w:type="paragraph" w:styleId="Heading7">
    <w:name w:val="heading 7"/>
    <w:basedOn w:val="Normal"/>
    <w:next w:val="Normal"/>
    <w:qFormat/>
    <w:rsid w:val="00F2782E"/>
    <w:pPr>
      <w:keepNext/>
      <w:ind w:left="1440"/>
      <w:outlineLvl w:val="6"/>
    </w:pPr>
    <w:rPr>
      <w:b/>
      <w:noProof/>
    </w:rPr>
  </w:style>
  <w:style w:type="paragraph" w:styleId="Heading8">
    <w:name w:val="heading 8"/>
    <w:basedOn w:val="Normal"/>
    <w:next w:val="Normal"/>
    <w:qFormat/>
    <w:rsid w:val="00F2782E"/>
    <w:pPr>
      <w:keepNext/>
      <w:outlineLvl w:val="7"/>
    </w:pPr>
    <w:rPr>
      <w:b/>
      <w:noProof/>
    </w:rPr>
  </w:style>
  <w:style w:type="paragraph" w:styleId="Heading9">
    <w:name w:val="heading 9"/>
    <w:basedOn w:val="Normal"/>
    <w:next w:val="Normal"/>
    <w:qFormat/>
    <w:rsid w:val="00F2782E"/>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782E"/>
    <w:pPr>
      <w:tabs>
        <w:tab w:val="center" w:pos="4320"/>
        <w:tab w:val="right" w:pos="8640"/>
      </w:tabs>
    </w:pPr>
  </w:style>
  <w:style w:type="paragraph" w:styleId="Footer">
    <w:name w:val="footer"/>
    <w:basedOn w:val="Normal"/>
    <w:rsid w:val="00F2782E"/>
    <w:pPr>
      <w:tabs>
        <w:tab w:val="center" w:pos="4320"/>
        <w:tab w:val="right" w:pos="8640"/>
      </w:tabs>
    </w:pPr>
  </w:style>
  <w:style w:type="paragraph" w:styleId="BodyTextIndent2">
    <w:name w:val="Body Text Indent 2"/>
    <w:basedOn w:val="Normal"/>
    <w:rsid w:val="00F2782E"/>
    <w:pPr>
      <w:tabs>
        <w:tab w:val="left" w:pos="360"/>
        <w:tab w:val="left" w:pos="720"/>
      </w:tabs>
      <w:ind w:left="360"/>
    </w:pPr>
    <w:rPr>
      <w:b/>
      <w:noProof/>
    </w:rPr>
  </w:style>
  <w:style w:type="paragraph" w:styleId="BodyTextIndent3">
    <w:name w:val="Body Text Indent 3"/>
    <w:basedOn w:val="Normal"/>
    <w:rsid w:val="00F2782E"/>
    <w:pPr>
      <w:tabs>
        <w:tab w:val="left" w:pos="360"/>
        <w:tab w:val="left" w:pos="720"/>
      </w:tabs>
      <w:ind w:left="1530"/>
    </w:pPr>
    <w:rPr>
      <w:b/>
      <w:noProof/>
    </w:rPr>
  </w:style>
  <w:style w:type="paragraph" w:styleId="BodyTextIndent">
    <w:name w:val="Body Text Indent"/>
    <w:basedOn w:val="Normal"/>
    <w:rsid w:val="00F2782E"/>
    <w:pPr>
      <w:ind w:left="1440"/>
    </w:pPr>
    <w:rPr>
      <w:b/>
    </w:rPr>
  </w:style>
  <w:style w:type="character" w:customStyle="1" w:styleId="ft111">
    <w:name w:val="ft111"/>
    <w:rsid w:val="00F2782E"/>
    <w:rPr>
      <w:b/>
      <w:sz w:val="21"/>
    </w:rPr>
  </w:style>
  <w:style w:type="character" w:customStyle="1" w:styleId="em141">
    <w:name w:val="em141"/>
    <w:rsid w:val="00F2782E"/>
    <w:rPr>
      <w:sz w:val="23"/>
    </w:rPr>
  </w:style>
  <w:style w:type="character" w:customStyle="1" w:styleId="ps251">
    <w:name w:val="ps251"/>
    <w:basedOn w:val="DefaultParagraphFont"/>
    <w:rsid w:val="00F2782E"/>
  </w:style>
  <w:style w:type="character" w:customStyle="1" w:styleId="ps261">
    <w:name w:val="ps261"/>
    <w:basedOn w:val="DefaultParagraphFont"/>
    <w:rsid w:val="00F2782E"/>
  </w:style>
  <w:style w:type="character" w:customStyle="1" w:styleId="ps271">
    <w:name w:val="ps271"/>
    <w:basedOn w:val="DefaultParagraphFont"/>
    <w:rsid w:val="00F2782E"/>
  </w:style>
  <w:style w:type="character" w:customStyle="1" w:styleId="ps281">
    <w:name w:val="ps281"/>
    <w:basedOn w:val="DefaultParagraphFont"/>
    <w:rsid w:val="00F2782E"/>
  </w:style>
  <w:style w:type="character" w:customStyle="1" w:styleId="ps301">
    <w:name w:val="ps301"/>
    <w:basedOn w:val="DefaultParagraphFont"/>
    <w:rsid w:val="00F2782E"/>
  </w:style>
  <w:style w:type="character" w:customStyle="1" w:styleId="ps311">
    <w:name w:val="ps311"/>
    <w:basedOn w:val="DefaultParagraphFont"/>
    <w:rsid w:val="00F2782E"/>
  </w:style>
  <w:style w:type="character" w:customStyle="1" w:styleId="ps321">
    <w:name w:val="ps321"/>
    <w:basedOn w:val="DefaultParagraphFont"/>
    <w:rsid w:val="00F2782E"/>
  </w:style>
  <w:style w:type="character" w:customStyle="1" w:styleId="ps210">
    <w:name w:val="ps210"/>
    <w:basedOn w:val="DefaultParagraphFont"/>
    <w:rsid w:val="00F2782E"/>
  </w:style>
  <w:style w:type="character" w:customStyle="1" w:styleId="ps33">
    <w:name w:val="ps33"/>
    <w:basedOn w:val="DefaultParagraphFont"/>
    <w:rsid w:val="00F2782E"/>
  </w:style>
  <w:style w:type="character" w:customStyle="1" w:styleId="ps41">
    <w:name w:val="ps41"/>
    <w:basedOn w:val="DefaultParagraphFont"/>
    <w:rsid w:val="00F2782E"/>
  </w:style>
  <w:style w:type="character" w:customStyle="1" w:styleId="ps121">
    <w:name w:val="ps121"/>
    <w:basedOn w:val="DefaultParagraphFont"/>
    <w:rsid w:val="00F2782E"/>
  </w:style>
  <w:style w:type="character" w:customStyle="1" w:styleId="ps131">
    <w:name w:val="ps131"/>
    <w:basedOn w:val="DefaultParagraphFont"/>
    <w:rsid w:val="00F2782E"/>
  </w:style>
  <w:style w:type="character" w:customStyle="1" w:styleId="ps141">
    <w:name w:val="ps141"/>
    <w:basedOn w:val="DefaultParagraphFont"/>
    <w:rsid w:val="00F2782E"/>
  </w:style>
  <w:style w:type="character" w:customStyle="1" w:styleId="ps151">
    <w:name w:val="ps151"/>
    <w:basedOn w:val="DefaultParagraphFont"/>
    <w:rsid w:val="00F2782E"/>
  </w:style>
  <w:style w:type="character" w:customStyle="1" w:styleId="ps161">
    <w:name w:val="ps161"/>
    <w:basedOn w:val="DefaultParagraphFont"/>
    <w:rsid w:val="00F2782E"/>
  </w:style>
  <w:style w:type="character" w:styleId="PageNumber">
    <w:name w:val="page number"/>
    <w:basedOn w:val="DefaultParagraphFont"/>
    <w:rsid w:val="00F2782E"/>
  </w:style>
  <w:style w:type="character" w:styleId="Hyperlink">
    <w:name w:val="Hyperlink"/>
    <w:rsid w:val="00F2782E"/>
    <w:rPr>
      <w:color w:val="0000FF"/>
      <w:u w:val="single"/>
    </w:rPr>
  </w:style>
  <w:style w:type="table" w:styleId="TableGrid">
    <w:name w:val="Table Grid"/>
    <w:basedOn w:val="TableNormal"/>
    <w:rsid w:val="00837B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B01"/>
  </w:style>
  <w:style w:type="paragraph" w:customStyle="1" w:styleId="Default">
    <w:name w:val="Default"/>
    <w:rsid w:val="00643C60"/>
    <w:pPr>
      <w:autoSpaceDE w:val="0"/>
      <w:autoSpaceDN w:val="0"/>
      <w:adjustRightInd w:val="0"/>
    </w:pPr>
    <w:rPr>
      <w:color w:val="000000"/>
      <w:sz w:val="24"/>
      <w:szCs w:val="24"/>
    </w:rPr>
  </w:style>
  <w:style w:type="paragraph" w:styleId="BalloonText">
    <w:name w:val="Balloon Text"/>
    <w:basedOn w:val="Normal"/>
    <w:link w:val="BalloonTextChar"/>
    <w:rsid w:val="00AF6E4C"/>
    <w:rPr>
      <w:rFonts w:ascii="Tahoma" w:hAnsi="Tahoma" w:cs="Tahoma"/>
      <w:sz w:val="16"/>
      <w:szCs w:val="16"/>
    </w:rPr>
  </w:style>
  <w:style w:type="character" w:customStyle="1" w:styleId="BalloonTextChar">
    <w:name w:val="Balloon Text Char"/>
    <w:link w:val="BalloonText"/>
    <w:rsid w:val="00AF6E4C"/>
    <w:rPr>
      <w:rFonts w:ascii="Tahoma" w:hAnsi="Tahoma" w:cs="Tahoma"/>
      <w:sz w:val="16"/>
      <w:szCs w:val="16"/>
    </w:rPr>
  </w:style>
  <w:style w:type="paragraph" w:styleId="Revision">
    <w:name w:val="Revision"/>
    <w:hidden/>
    <w:uiPriority w:val="99"/>
    <w:semiHidden/>
    <w:rsid w:val="00AF6E4C"/>
  </w:style>
  <w:style w:type="paragraph" w:styleId="ListParagraph">
    <w:name w:val="List Paragraph"/>
    <w:basedOn w:val="Normal"/>
    <w:uiPriority w:val="34"/>
    <w:qFormat/>
    <w:rsid w:val="008C71F4"/>
    <w:pPr>
      <w:ind w:left="720"/>
    </w:pPr>
  </w:style>
  <w:style w:type="table" w:customStyle="1" w:styleId="TableGrid1">
    <w:name w:val="Table Grid1"/>
    <w:basedOn w:val="TableNormal"/>
    <w:next w:val="TableGrid"/>
    <w:uiPriority w:val="59"/>
    <w:rsid w:val="00653F8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3F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0706C"/>
  </w:style>
  <w:style w:type="character" w:styleId="CommentReference">
    <w:name w:val="annotation reference"/>
    <w:basedOn w:val="DefaultParagraphFont"/>
    <w:semiHidden/>
    <w:unhideWhenUsed/>
    <w:rsid w:val="00143FFB"/>
    <w:rPr>
      <w:sz w:val="16"/>
      <w:szCs w:val="16"/>
    </w:rPr>
  </w:style>
  <w:style w:type="paragraph" w:styleId="CommentText">
    <w:name w:val="annotation text"/>
    <w:basedOn w:val="Normal"/>
    <w:link w:val="CommentTextChar"/>
    <w:semiHidden/>
    <w:unhideWhenUsed/>
    <w:rsid w:val="00143FFB"/>
  </w:style>
  <w:style w:type="character" w:customStyle="1" w:styleId="CommentTextChar">
    <w:name w:val="Comment Text Char"/>
    <w:basedOn w:val="DefaultParagraphFont"/>
    <w:link w:val="CommentText"/>
    <w:semiHidden/>
    <w:rsid w:val="00143FFB"/>
  </w:style>
  <w:style w:type="paragraph" w:styleId="CommentSubject">
    <w:name w:val="annotation subject"/>
    <w:basedOn w:val="CommentText"/>
    <w:next w:val="CommentText"/>
    <w:link w:val="CommentSubjectChar"/>
    <w:semiHidden/>
    <w:unhideWhenUsed/>
    <w:rsid w:val="00143FFB"/>
    <w:rPr>
      <w:b/>
      <w:bCs/>
    </w:rPr>
  </w:style>
  <w:style w:type="character" w:customStyle="1" w:styleId="CommentSubjectChar">
    <w:name w:val="Comment Subject Char"/>
    <w:basedOn w:val="CommentTextChar"/>
    <w:link w:val="CommentSubject"/>
    <w:semiHidden/>
    <w:rsid w:val="00143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09571">
      <w:bodyDiv w:val="1"/>
      <w:marLeft w:val="0"/>
      <w:marRight w:val="0"/>
      <w:marTop w:val="0"/>
      <w:marBottom w:val="0"/>
      <w:divBdr>
        <w:top w:val="none" w:sz="0" w:space="0" w:color="auto"/>
        <w:left w:val="none" w:sz="0" w:space="0" w:color="auto"/>
        <w:bottom w:val="none" w:sz="0" w:space="0" w:color="auto"/>
        <w:right w:val="none" w:sz="0" w:space="0" w:color="auto"/>
      </w:divBdr>
    </w:div>
    <w:div w:id="1211454805">
      <w:bodyDiv w:val="1"/>
      <w:marLeft w:val="0"/>
      <w:marRight w:val="0"/>
      <w:marTop w:val="0"/>
      <w:marBottom w:val="0"/>
      <w:divBdr>
        <w:top w:val="none" w:sz="0" w:space="0" w:color="auto"/>
        <w:left w:val="none" w:sz="0" w:space="0" w:color="auto"/>
        <w:bottom w:val="none" w:sz="0" w:space="0" w:color="auto"/>
        <w:right w:val="none" w:sz="0" w:space="0" w:color="auto"/>
      </w:divBdr>
    </w:div>
    <w:div w:id="1836991876">
      <w:bodyDiv w:val="1"/>
      <w:marLeft w:val="0"/>
      <w:marRight w:val="0"/>
      <w:marTop w:val="0"/>
      <w:marBottom w:val="0"/>
      <w:divBdr>
        <w:top w:val="none" w:sz="0" w:space="0" w:color="auto"/>
        <w:left w:val="none" w:sz="0" w:space="0" w:color="auto"/>
        <w:bottom w:val="none" w:sz="0" w:space="0" w:color="auto"/>
        <w:right w:val="none" w:sz="0" w:space="0" w:color="auto"/>
      </w:divBdr>
    </w:div>
    <w:div w:id="20678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inniema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HUDSEC-464-9439</_dlc_DocId>
    <_dlc_DocIdUrl xmlns="6626a08c-2ccc-43a6-8cb1-2f4a44c53f66">
      <Url>http://hudsharepoint.hud.gov/sites/sec/gnma/SO/Program%20Administration%20Division%20(PAD)/_layouts/DocIdRedir.aspx?ID=HUDSEC-464-9439</Url>
      <Description>HUDSEC-464-9439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66C0586E2B10946BEF187971C022085" ma:contentTypeVersion="0" ma:contentTypeDescription="Create a new document." ma:contentTypeScope="" ma:versionID="51ee77f03958cb279143702b319f71b3">
  <xsd:schema xmlns:xsd="http://www.w3.org/2001/XMLSchema" xmlns:xs="http://www.w3.org/2001/XMLSchema" xmlns:p="http://schemas.microsoft.com/office/2006/metadata/properties" xmlns:ns2="6626a08c-2ccc-43a6-8cb1-2f4a44c53f66" targetNamespace="http://schemas.microsoft.com/office/2006/metadata/properties" ma:root="true" ma:fieldsID="639a984e40f48f163b390a405bd729cb" ns2:_="">
    <xsd:import namespace="6626a08c-2ccc-43a6-8cb1-2f4a44c53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DF54-B50B-4BEB-8AB2-829E169381BE}">
  <ds:schemaRefs>
    <ds:schemaRef ds:uri="http://schemas.microsoft.com/office/2006/metadata/properties"/>
    <ds:schemaRef ds:uri="http://schemas.microsoft.com/office/infopath/2007/PartnerControls"/>
    <ds:schemaRef ds:uri="6626a08c-2ccc-43a6-8cb1-2f4a44c53f66"/>
  </ds:schemaRefs>
</ds:datastoreItem>
</file>

<file path=customXml/itemProps2.xml><?xml version="1.0" encoding="utf-8"?>
<ds:datastoreItem xmlns:ds="http://schemas.openxmlformats.org/officeDocument/2006/customXml" ds:itemID="{4B866EFA-4ADD-4701-B418-C68DE3FE63DC}">
  <ds:schemaRefs>
    <ds:schemaRef ds:uri="http://schemas.microsoft.com/sharepoint/v3/contenttype/forms"/>
  </ds:schemaRefs>
</ds:datastoreItem>
</file>

<file path=customXml/itemProps3.xml><?xml version="1.0" encoding="utf-8"?>
<ds:datastoreItem xmlns:ds="http://schemas.openxmlformats.org/officeDocument/2006/customXml" ds:itemID="{F8C61CA8-27A2-4875-AA08-1AA22FAA8D9A}">
  <ds:schemaRefs>
    <ds:schemaRef ds:uri="http://schemas.microsoft.com/sharepoint/events"/>
  </ds:schemaRefs>
</ds:datastoreItem>
</file>

<file path=customXml/itemProps4.xml><?xml version="1.0" encoding="utf-8"?>
<ds:datastoreItem xmlns:ds="http://schemas.openxmlformats.org/officeDocument/2006/customXml" ds:itemID="{9C09DCA6-5FCC-438F-9E79-43B5AB91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C8B436-8632-483E-9327-27F5C535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10326</Words>
  <Characters>58864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69052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Pollard, Colette</cp:lastModifiedBy>
  <cp:revision>2</cp:revision>
  <cp:lastPrinted>2016-05-31T18:28:00Z</cp:lastPrinted>
  <dcterms:created xsi:type="dcterms:W3CDTF">2016-05-31T20:46:00Z</dcterms:created>
  <dcterms:modified xsi:type="dcterms:W3CDTF">2016-05-31T20:46:00Z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-1321068914</vt:i4>
  </property>
  <property fmtid="{D5CDD505-2E9C-101B-9397-08002B2CF9AE}" pid="3" name="_NewReviewCycle">
    <vt:lpwstr/>
  </property>
  <property fmtid="{D5CDD505-2E9C-101B-9397-08002B2CF9AE}" pid="4" name="_EmailSubject">
    <vt:lpwstr>Ginnie Mae collection 2503-0033</vt:lpwstr>
  </property>
  <property fmtid="{D5CDD505-2E9C-101B-9397-08002B2CF9AE}" pid="5" name="_AuthorEmail">
    <vt:lpwstr>Anna.P.Guido@hud.gov</vt:lpwstr>
  </property>
  <property fmtid="{D5CDD505-2E9C-101B-9397-08002B2CF9AE}" pid="6" name="_AuthorEmailDisplayName">
    <vt:lpwstr>Guido, Anna P</vt:lpwstr>
  </property>
  <property fmtid="{D5CDD505-2E9C-101B-9397-08002B2CF9AE}" pid="7" name="ContentTypeId">
    <vt:lpwstr>0x010100066C0586E2B10946BEF187971C022085</vt:lpwstr>
  </property>
  <property fmtid="{D5CDD505-2E9C-101B-9397-08002B2CF9AE}" pid="8" name="_dlc_DocIdItemGuid">
    <vt:lpwstr>164d8c9e-3ebb-451b-bd18-5ca0c05e5289</vt:lpwstr>
  </property>
  <property fmtid="{D5CDD505-2E9C-101B-9397-08002B2CF9AE}" pid="9" name="_PreviousAdHocReviewCycleID">
    <vt:i4>1673186628</vt:i4>
  </property>
  <property fmtid="{D5CDD505-2E9C-101B-9397-08002B2CF9AE}" pid="10" name="_ReviewingToolsShownOnce">
    <vt:lpwstr/>
  </property>
</Properties>
</file>