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98" w:rsidRDefault="00624198" w:rsidP="00B660D4">
      <w:pPr>
        <w:ind w:firstLine="720"/>
        <w:jc w:val="center"/>
        <w:rPr>
          <w:noProof/>
        </w:rPr>
      </w:pPr>
      <w:bookmarkStart w:id="0" w:name="_GoBack"/>
      <w:bookmarkEnd w:id="0"/>
      <w:r>
        <w:rPr>
          <w:noProof/>
        </w:rPr>
        <w:drawing>
          <wp:inline distT="0" distB="0" distL="0" distR="0" wp14:anchorId="7BE03AE8" wp14:editId="6440C7A5">
            <wp:extent cx="32480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8025" cy="1019175"/>
                    </a:xfrm>
                    <a:prstGeom prst="rect">
                      <a:avLst/>
                    </a:prstGeom>
                    <a:noFill/>
                    <a:ln>
                      <a:noFill/>
                    </a:ln>
                  </pic:spPr>
                </pic:pic>
              </a:graphicData>
            </a:graphic>
          </wp:inline>
        </w:drawing>
      </w:r>
    </w:p>
    <w:p w:rsidR="00624198" w:rsidRDefault="009842BD" w:rsidP="00624198">
      <w:pPr>
        <w:jc w:val="center"/>
        <w:rPr>
          <w:rFonts w:ascii="Georgia" w:hAnsi="Georgia"/>
          <w:b/>
          <w:caps/>
          <w:sz w:val="24"/>
          <w:szCs w:val="24"/>
        </w:rPr>
      </w:pPr>
      <w:r>
        <w:rPr>
          <w:rFonts w:ascii="Georgia" w:hAnsi="Georgia"/>
          <w:b/>
          <w:caps/>
          <w:sz w:val="24"/>
          <w:szCs w:val="24"/>
        </w:rPr>
        <w:t>Board of Veterans Appeals</w:t>
      </w:r>
      <w:r w:rsidR="00775CE5">
        <w:rPr>
          <w:rFonts w:ascii="Georgia" w:hAnsi="Georgia"/>
          <w:b/>
          <w:caps/>
          <w:sz w:val="24"/>
          <w:szCs w:val="24"/>
        </w:rPr>
        <w:t xml:space="preserve"> survey</w:t>
      </w:r>
    </w:p>
    <w:p w:rsidR="00624198" w:rsidRDefault="00624198" w:rsidP="00624198">
      <w:pPr>
        <w:jc w:val="center"/>
        <w:rPr>
          <w:rFonts w:ascii="Georgia" w:hAnsi="Georgia"/>
          <w:b/>
          <w:caps/>
          <w:sz w:val="24"/>
          <w:szCs w:val="24"/>
        </w:rPr>
      </w:pPr>
      <w:r>
        <w:rPr>
          <w:rFonts w:ascii="Georgia" w:hAnsi="Georgia"/>
          <w:b/>
          <w:caps/>
          <w:sz w:val="24"/>
          <w:szCs w:val="24"/>
        </w:rPr>
        <w:t xml:space="preserve">methodology brief: </w:t>
      </w:r>
      <w:r w:rsidR="00775CE5">
        <w:rPr>
          <w:rFonts w:ascii="Georgia" w:hAnsi="Georgia"/>
          <w:b/>
          <w:caps/>
          <w:sz w:val="24"/>
          <w:szCs w:val="24"/>
        </w:rPr>
        <w:t>sample design</w:t>
      </w:r>
    </w:p>
    <w:p w:rsidR="007F49E7" w:rsidRPr="00DC6E52" w:rsidRDefault="007F49E7" w:rsidP="007F49E7">
      <w:pPr>
        <w:rPr>
          <w:color w:val="4472C4" w:themeColor="accent1"/>
        </w:rPr>
      </w:pPr>
      <w:r w:rsidRPr="00DC6E52">
        <w:rPr>
          <w:b/>
          <w:color w:val="4472C4" w:themeColor="accent1"/>
        </w:rPr>
        <w:t>Introduction</w:t>
      </w:r>
    </w:p>
    <w:p w:rsidR="008E6F92" w:rsidRDefault="00820D92" w:rsidP="00337A30">
      <w:pPr>
        <w:ind w:firstLine="720"/>
      </w:pPr>
      <w:r>
        <w:t xml:space="preserve">The Board of Veterans Appeals (BVA) administered by the Department of Veterans Affairs (VA) determines whether </w:t>
      </w:r>
      <w:r w:rsidR="00C85AA6">
        <w:t>V</w:t>
      </w:r>
      <w:r>
        <w:t>eterans are entitled to claimed benefits</w:t>
      </w:r>
      <w:r w:rsidR="00C85AA6">
        <w:t xml:space="preserve"> which have initially been denied or reduced</w:t>
      </w:r>
      <w:r>
        <w:t xml:space="preserve">. Its mission is to conduct </w:t>
      </w:r>
      <w:r w:rsidRPr="00820D92">
        <w:t xml:space="preserve">hearings and </w:t>
      </w:r>
      <w:r w:rsidR="00C85AA6">
        <w:t>pass proper judgement on</w:t>
      </w:r>
      <w:r w:rsidR="00C85AA6" w:rsidRPr="00820D92">
        <w:t xml:space="preserve"> </w:t>
      </w:r>
      <w:r w:rsidRPr="00820D92">
        <w:t>appeals in a timely manner</w:t>
      </w:r>
      <w:r>
        <w:t>.</w:t>
      </w:r>
      <w:r w:rsidR="004C6580">
        <w:t xml:space="preserve"> </w:t>
      </w:r>
      <w:r w:rsidR="00150FFE">
        <w:t xml:space="preserve">The vast majority of appeals involve </w:t>
      </w:r>
      <w:r w:rsidR="00150FFE" w:rsidRPr="00150FFE">
        <w:t>claims for disability compensation</w:t>
      </w:r>
      <w:r w:rsidR="00C85AA6">
        <w:t>, in addition to other</w:t>
      </w:r>
      <w:r w:rsidR="00150FFE">
        <w:t xml:space="preserve"> veteran benefits. BVA allows </w:t>
      </w:r>
      <w:r w:rsidR="00C85AA6">
        <w:t xml:space="preserve">Veterans </w:t>
      </w:r>
      <w:r w:rsidR="00150FFE">
        <w:t xml:space="preserve">to submit medial and lay evidence at any point during the </w:t>
      </w:r>
      <w:r w:rsidR="00904A4E">
        <w:t>appeal</w:t>
      </w:r>
      <w:r w:rsidR="00BE7B44">
        <w:t>s</w:t>
      </w:r>
      <w:r w:rsidR="00904A4E">
        <w:t xml:space="preserve"> </w:t>
      </w:r>
      <w:r w:rsidR="00150FFE">
        <w:t>process</w:t>
      </w:r>
      <w:r w:rsidR="003D77BF">
        <w:t xml:space="preserve">. </w:t>
      </w:r>
      <w:r w:rsidR="00C14CAA" w:rsidRPr="00C14CAA">
        <w:t>Veterans Law Judges</w:t>
      </w:r>
      <w:r w:rsidR="008E6F92">
        <w:t xml:space="preserve"> </w:t>
      </w:r>
      <w:r w:rsidR="003D77BF">
        <w:t xml:space="preserve">will </w:t>
      </w:r>
      <w:r w:rsidR="00C14CAA">
        <w:t xml:space="preserve">eventually </w:t>
      </w:r>
      <w:r w:rsidR="008E6F92">
        <w:t>review benefit claims determinations made by local VA offices and issue decision</w:t>
      </w:r>
      <w:r w:rsidR="00C85AA6">
        <w:t>s</w:t>
      </w:r>
      <w:r w:rsidR="008E6F92">
        <w:t xml:space="preserve"> on appeals.</w:t>
      </w:r>
    </w:p>
    <w:p w:rsidR="0010683B" w:rsidRDefault="0010683B" w:rsidP="00636969">
      <w:pPr>
        <w:ind w:firstLine="720"/>
      </w:pPr>
      <w:r>
        <w:t xml:space="preserve">The Veteran Experience Office </w:t>
      </w:r>
      <w:r w:rsidR="00E42264">
        <w:t xml:space="preserve">(VEO) </w:t>
      </w:r>
      <w:r w:rsidR="003532CF">
        <w:t xml:space="preserve">has been commissioned to measure the satisfaction of </w:t>
      </w:r>
      <w:r w:rsidR="00C85AA6">
        <w:t xml:space="preserve">Veterans or their </w:t>
      </w:r>
      <w:r w:rsidR="00456C83" w:rsidRPr="00456C83">
        <w:t>appellant</w:t>
      </w:r>
      <w:r w:rsidR="00456C83">
        <w:t>s regarding</w:t>
      </w:r>
      <w:r w:rsidR="00713C5B">
        <w:t xml:space="preserve"> </w:t>
      </w:r>
      <w:r w:rsidR="00E74BB6">
        <w:t>the VA’s decision on their benefit claims.</w:t>
      </w:r>
      <w:r w:rsidR="00A2016D">
        <w:t xml:space="preserve"> </w:t>
      </w:r>
      <w:r w:rsidR="00D6382F">
        <w:t xml:space="preserve">VEO proposed to conduct a </w:t>
      </w:r>
      <w:r w:rsidR="007751B1" w:rsidRPr="007751B1">
        <w:rPr>
          <w:b/>
        </w:rPr>
        <w:t xml:space="preserve">brief </w:t>
      </w:r>
      <w:r w:rsidR="009F2C63">
        <w:rPr>
          <w:b/>
        </w:rPr>
        <w:t xml:space="preserve">transactional </w:t>
      </w:r>
      <w:r w:rsidRPr="007751B1">
        <w:rPr>
          <w:b/>
        </w:rPr>
        <w:t>survey</w:t>
      </w:r>
      <w:r>
        <w:t xml:space="preserve"> on </w:t>
      </w:r>
      <w:r w:rsidR="00A2016D">
        <w:t>veterans</w:t>
      </w:r>
      <w:r w:rsidR="003532CF">
        <w:t xml:space="preserve"> </w:t>
      </w:r>
      <w:r w:rsidR="00E4130B">
        <w:t>who</w:t>
      </w:r>
      <w:r w:rsidR="00786C50">
        <w:t xml:space="preserve"> </w:t>
      </w:r>
      <w:r w:rsidR="00C97D6B">
        <w:t xml:space="preserve">recently </w:t>
      </w:r>
      <w:r w:rsidR="00786C50">
        <w:t xml:space="preserve">received </w:t>
      </w:r>
      <w:r w:rsidR="00683D97">
        <w:t xml:space="preserve">an </w:t>
      </w:r>
      <w:r w:rsidR="00786C50">
        <w:t>appeal</w:t>
      </w:r>
      <w:r w:rsidR="00EC5F6E">
        <w:t>s</w:t>
      </w:r>
      <w:r w:rsidR="00786C50">
        <w:t xml:space="preserve"> decision</w:t>
      </w:r>
      <w:r w:rsidR="00026E34">
        <w:t xml:space="preserve"> or </w:t>
      </w:r>
      <w:r w:rsidR="00C85AA6">
        <w:t>attended</w:t>
      </w:r>
      <w:r w:rsidR="00026E34">
        <w:t xml:space="preserve"> an appeals hearing</w:t>
      </w:r>
      <w:r w:rsidR="00C1495A" w:rsidRPr="00C42262">
        <w:t xml:space="preserve">. </w:t>
      </w:r>
      <w:r w:rsidR="00D45271" w:rsidRPr="00C42262">
        <w:t>Some</w:t>
      </w:r>
      <w:r w:rsidR="00C1495A" w:rsidRPr="00C42262">
        <w:t xml:space="preserve"> appellants may receive more than one decision</w:t>
      </w:r>
      <w:r w:rsidR="00636969" w:rsidRPr="00C42262">
        <w:t xml:space="preserve">, and their </w:t>
      </w:r>
      <w:r w:rsidR="00F0785C" w:rsidRPr="00C42262">
        <w:t xml:space="preserve">satisfaction </w:t>
      </w:r>
      <w:r w:rsidR="00C85AA6">
        <w:t>with</w:t>
      </w:r>
      <w:r w:rsidR="00C85AA6" w:rsidRPr="00C42262">
        <w:t xml:space="preserve"> </w:t>
      </w:r>
      <w:r w:rsidR="00F0785C" w:rsidRPr="00C42262">
        <w:t xml:space="preserve">the </w:t>
      </w:r>
      <w:r w:rsidR="0011200E" w:rsidRPr="00C42262">
        <w:t>most recent</w:t>
      </w:r>
      <w:r w:rsidR="00636969" w:rsidRPr="00C42262">
        <w:t xml:space="preserve"> </w:t>
      </w:r>
      <w:r w:rsidR="00F0785C" w:rsidRPr="00C42262">
        <w:t>appeal</w:t>
      </w:r>
      <w:r w:rsidR="00EC5F6E">
        <w:t>s</w:t>
      </w:r>
      <w:r w:rsidR="00F0785C" w:rsidRPr="00C42262">
        <w:t xml:space="preserve"> decision</w:t>
      </w:r>
      <w:r w:rsidR="00636969" w:rsidRPr="00C42262">
        <w:t xml:space="preserve"> will be </w:t>
      </w:r>
      <w:r w:rsidR="00EC773A">
        <w:t xml:space="preserve">inquired </w:t>
      </w:r>
      <w:r w:rsidR="00C85AA6">
        <w:t>with</w:t>
      </w:r>
      <w:r w:rsidR="00EC773A">
        <w:t>in the survey</w:t>
      </w:r>
      <w:r w:rsidR="00636969" w:rsidRPr="00C42262">
        <w:t>.</w:t>
      </w:r>
      <w:r w:rsidR="00636969">
        <w:t xml:space="preserve"> </w:t>
      </w:r>
      <w:r w:rsidR="00786C50">
        <w:t>The survey i</w:t>
      </w:r>
      <w:r w:rsidR="005B6EEB">
        <w:t xml:space="preserve">s completed online </w:t>
      </w:r>
      <w:r w:rsidR="00C85AA6">
        <w:t>using email recruitment</w:t>
      </w:r>
      <w:r w:rsidR="005B6EEB">
        <w:t xml:space="preserve">. </w:t>
      </w:r>
      <w:r>
        <w:t xml:space="preserve">The purpose of this document is to outline the </w:t>
      </w:r>
      <w:r w:rsidRPr="0010683B">
        <w:rPr>
          <w:b/>
        </w:rPr>
        <w:t>sample design</w:t>
      </w:r>
      <w:r w:rsidR="00D64CED">
        <w:t xml:space="preserve"> and provide a description of the data collection and reporting.</w:t>
      </w:r>
    </w:p>
    <w:p w:rsidR="00883A37" w:rsidRPr="005528DA" w:rsidRDefault="005528DA" w:rsidP="00612CC8">
      <w:pPr>
        <w:rPr>
          <w:b/>
          <w:color w:val="4472C4" w:themeColor="accent1"/>
        </w:rPr>
      </w:pPr>
      <w:r w:rsidRPr="005528DA">
        <w:rPr>
          <w:b/>
          <w:color w:val="4472C4" w:themeColor="accent1"/>
        </w:rPr>
        <w:t xml:space="preserve">Table 1. </w:t>
      </w:r>
      <w:r w:rsidR="00612CC8" w:rsidRPr="005528DA">
        <w:rPr>
          <w:b/>
          <w:color w:val="4472C4" w:themeColor="accent1"/>
        </w:rPr>
        <w:t>Measurement Goals and Survey Mode</w:t>
      </w:r>
    </w:p>
    <w:tbl>
      <w:tblPr>
        <w:tblStyle w:val="TableGrid"/>
        <w:tblW w:w="9805" w:type="dxa"/>
        <w:tblLook w:val="04A0" w:firstRow="1" w:lastRow="0" w:firstColumn="1" w:lastColumn="0" w:noHBand="0" w:noVBand="1"/>
      </w:tblPr>
      <w:tblGrid>
        <w:gridCol w:w="1662"/>
        <w:gridCol w:w="1870"/>
        <w:gridCol w:w="1535"/>
        <w:gridCol w:w="2758"/>
        <w:gridCol w:w="1980"/>
      </w:tblGrid>
      <w:tr w:rsidR="00D8409B" w:rsidTr="00E00B30">
        <w:tc>
          <w:tcPr>
            <w:tcW w:w="1662" w:type="dxa"/>
          </w:tcPr>
          <w:p w:rsidR="00D8409B" w:rsidRDefault="00480C4E" w:rsidP="00660907">
            <w:pPr>
              <w:rPr>
                <w:b/>
                <w:color w:val="4472C4" w:themeColor="accent1"/>
              </w:rPr>
            </w:pPr>
            <w:r>
              <w:rPr>
                <w:b/>
                <w:color w:val="4472C4" w:themeColor="accent1"/>
              </w:rPr>
              <w:t>Survey Type</w:t>
            </w:r>
          </w:p>
        </w:tc>
        <w:tc>
          <w:tcPr>
            <w:tcW w:w="1870" w:type="dxa"/>
          </w:tcPr>
          <w:p w:rsidR="00D8409B" w:rsidRDefault="00D8409B" w:rsidP="00660907">
            <w:pPr>
              <w:rPr>
                <w:b/>
                <w:color w:val="4472C4" w:themeColor="accent1"/>
              </w:rPr>
            </w:pPr>
            <w:r>
              <w:rPr>
                <w:b/>
                <w:color w:val="4472C4" w:themeColor="accent1"/>
              </w:rPr>
              <w:t>Preferred Mode of Data Collection</w:t>
            </w:r>
          </w:p>
          <w:p w:rsidR="00D8409B" w:rsidRPr="004A64E4" w:rsidRDefault="00D8409B" w:rsidP="00660907">
            <w:pPr>
              <w:rPr>
                <w:b/>
                <w:color w:val="4472C4" w:themeColor="accent1"/>
              </w:rPr>
            </w:pPr>
          </w:p>
        </w:tc>
        <w:tc>
          <w:tcPr>
            <w:tcW w:w="1535" w:type="dxa"/>
          </w:tcPr>
          <w:p w:rsidR="00D8409B" w:rsidRDefault="00D8409B" w:rsidP="00660907">
            <w:pPr>
              <w:rPr>
                <w:b/>
                <w:color w:val="4472C4" w:themeColor="accent1"/>
              </w:rPr>
            </w:pPr>
            <w:r>
              <w:rPr>
                <w:b/>
                <w:color w:val="4472C4" w:themeColor="accent1"/>
              </w:rPr>
              <w:t>Recruitment Method</w:t>
            </w:r>
          </w:p>
        </w:tc>
        <w:tc>
          <w:tcPr>
            <w:tcW w:w="2758" w:type="dxa"/>
          </w:tcPr>
          <w:p w:rsidR="00D8409B" w:rsidRDefault="00D8409B" w:rsidP="00D6382F">
            <w:pPr>
              <w:rPr>
                <w:b/>
                <w:color w:val="4472C4" w:themeColor="accent1"/>
              </w:rPr>
            </w:pPr>
            <w:r>
              <w:rPr>
                <w:b/>
                <w:color w:val="4472C4" w:themeColor="accent1"/>
              </w:rPr>
              <w:t xml:space="preserve">Time After Transaction </w:t>
            </w:r>
          </w:p>
        </w:tc>
        <w:tc>
          <w:tcPr>
            <w:tcW w:w="1980" w:type="dxa"/>
          </w:tcPr>
          <w:p w:rsidR="00D8409B" w:rsidRDefault="00D8409B" w:rsidP="00D6382F">
            <w:pPr>
              <w:rPr>
                <w:b/>
                <w:color w:val="4472C4" w:themeColor="accent1"/>
              </w:rPr>
            </w:pPr>
            <w:r>
              <w:rPr>
                <w:b/>
                <w:color w:val="4472C4" w:themeColor="accent1"/>
              </w:rPr>
              <w:t xml:space="preserve">Recruitment </w:t>
            </w:r>
          </w:p>
        </w:tc>
      </w:tr>
      <w:tr w:rsidR="00D8409B" w:rsidTr="00E00B30">
        <w:tc>
          <w:tcPr>
            <w:tcW w:w="1662" w:type="dxa"/>
          </w:tcPr>
          <w:p w:rsidR="00D8409B" w:rsidRDefault="00480C4E" w:rsidP="00660907">
            <w:r>
              <w:t>Appeals Decision</w:t>
            </w:r>
          </w:p>
        </w:tc>
        <w:tc>
          <w:tcPr>
            <w:tcW w:w="1870" w:type="dxa"/>
          </w:tcPr>
          <w:p w:rsidR="00D8409B" w:rsidRDefault="00D8409B" w:rsidP="00660907">
            <w:r>
              <w:t>Online Survey</w:t>
            </w:r>
          </w:p>
        </w:tc>
        <w:tc>
          <w:tcPr>
            <w:tcW w:w="1535" w:type="dxa"/>
          </w:tcPr>
          <w:p w:rsidR="00D8409B" w:rsidRDefault="00D8409B" w:rsidP="00660907">
            <w:bookmarkStart w:id="1" w:name="_Hlk515018318"/>
            <w:r>
              <w:t>Email Recruitment</w:t>
            </w:r>
            <w:bookmarkEnd w:id="1"/>
          </w:p>
        </w:tc>
        <w:tc>
          <w:tcPr>
            <w:tcW w:w="2758" w:type="dxa"/>
          </w:tcPr>
          <w:p w:rsidR="00D8409B" w:rsidRDefault="00D8409B" w:rsidP="00D6382F">
            <w:r w:rsidRPr="00505855">
              <w:t xml:space="preserve">Within a Month after Receiving </w:t>
            </w:r>
            <w:r>
              <w:t xml:space="preserve">an </w:t>
            </w:r>
            <w:r w:rsidRPr="00505855">
              <w:t>Appeal</w:t>
            </w:r>
            <w:r>
              <w:t>s</w:t>
            </w:r>
            <w:r w:rsidRPr="00505855">
              <w:t xml:space="preserve"> Decision</w:t>
            </w:r>
          </w:p>
          <w:p w:rsidR="00D8409B" w:rsidRPr="00505855" w:rsidRDefault="00D8409B" w:rsidP="00D6382F"/>
        </w:tc>
        <w:tc>
          <w:tcPr>
            <w:tcW w:w="1980" w:type="dxa"/>
          </w:tcPr>
          <w:p w:rsidR="00D8409B" w:rsidRPr="00505855" w:rsidRDefault="00D8409B" w:rsidP="00C85AA6">
            <w:r w:rsidRPr="00505855">
              <w:t xml:space="preserve">2 Emails over </w:t>
            </w:r>
            <w:r>
              <w:t>2</w:t>
            </w:r>
            <w:r w:rsidRPr="00505855">
              <w:t xml:space="preserve"> Weeks</w:t>
            </w:r>
          </w:p>
        </w:tc>
      </w:tr>
      <w:tr w:rsidR="00D8409B" w:rsidTr="00E00B30">
        <w:tc>
          <w:tcPr>
            <w:tcW w:w="1662" w:type="dxa"/>
          </w:tcPr>
          <w:p w:rsidR="00D8409B" w:rsidRDefault="00480C4E" w:rsidP="00660907">
            <w:r>
              <w:t>Appeals Hearing</w:t>
            </w:r>
          </w:p>
        </w:tc>
        <w:tc>
          <w:tcPr>
            <w:tcW w:w="1870" w:type="dxa"/>
          </w:tcPr>
          <w:p w:rsidR="00D8409B" w:rsidRDefault="00480C4E" w:rsidP="00660907">
            <w:r>
              <w:t>Online Survey</w:t>
            </w:r>
          </w:p>
        </w:tc>
        <w:tc>
          <w:tcPr>
            <w:tcW w:w="1535" w:type="dxa"/>
          </w:tcPr>
          <w:p w:rsidR="00D8409B" w:rsidRDefault="00480C4E" w:rsidP="00660907">
            <w:r>
              <w:t>Email Recruitment</w:t>
            </w:r>
          </w:p>
        </w:tc>
        <w:tc>
          <w:tcPr>
            <w:tcW w:w="2758" w:type="dxa"/>
          </w:tcPr>
          <w:p w:rsidR="00D8409B" w:rsidRPr="00505855" w:rsidRDefault="00480C4E" w:rsidP="00D6382F">
            <w:r>
              <w:t>Within a Week after Completing an Appeals Hearing</w:t>
            </w:r>
          </w:p>
        </w:tc>
        <w:tc>
          <w:tcPr>
            <w:tcW w:w="1980" w:type="dxa"/>
          </w:tcPr>
          <w:p w:rsidR="00D8409B" w:rsidRPr="00505855" w:rsidRDefault="00480C4E" w:rsidP="00C85AA6">
            <w:r w:rsidRPr="00505855">
              <w:t xml:space="preserve">2 Emails over </w:t>
            </w:r>
            <w:r>
              <w:t>2</w:t>
            </w:r>
            <w:r w:rsidRPr="00505855">
              <w:t xml:space="preserve"> Weeks</w:t>
            </w:r>
          </w:p>
        </w:tc>
      </w:tr>
    </w:tbl>
    <w:p w:rsidR="004738C9" w:rsidRPr="00DC6E52" w:rsidRDefault="001A00CD" w:rsidP="00CD1C70">
      <w:pPr>
        <w:rPr>
          <w:color w:val="4472C4" w:themeColor="accent1"/>
        </w:rPr>
      </w:pPr>
      <w:r>
        <w:rPr>
          <w:b/>
          <w:color w:val="4472C4" w:themeColor="accent1"/>
        </w:rPr>
        <w:br/>
      </w:r>
      <w:r w:rsidR="003E01E3" w:rsidRPr="00DC6E52">
        <w:rPr>
          <w:b/>
          <w:color w:val="4472C4" w:themeColor="accent1"/>
        </w:rPr>
        <w:t>Target Population and Sample Size Determination</w:t>
      </w:r>
    </w:p>
    <w:p w:rsidR="00AD0228" w:rsidRDefault="00200638" w:rsidP="004C62EB">
      <w:pPr>
        <w:ind w:firstLine="720"/>
      </w:pPr>
      <w:r>
        <w:t xml:space="preserve">The target population of the </w:t>
      </w:r>
      <w:r w:rsidR="00C97D6B">
        <w:t>BVA</w:t>
      </w:r>
      <w:r>
        <w:t xml:space="preserve"> survey </w:t>
      </w:r>
      <w:r w:rsidRPr="00BE1231">
        <w:t>is</w:t>
      </w:r>
      <w:r>
        <w:t xml:space="preserve"> all </w:t>
      </w:r>
      <w:r w:rsidR="00C97D6B">
        <w:rPr>
          <w:u w:val="single"/>
        </w:rPr>
        <w:t>veterans</w:t>
      </w:r>
      <w:r>
        <w:rPr>
          <w:u w:val="single"/>
        </w:rPr>
        <w:t xml:space="preserve"> </w:t>
      </w:r>
      <w:r w:rsidR="00381860" w:rsidRPr="00381860">
        <w:rPr>
          <w:u w:val="single"/>
        </w:rPr>
        <w:t>who have received an appeals decision</w:t>
      </w:r>
      <w:r w:rsidR="007A6425">
        <w:rPr>
          <w:u w:val="single"/>
        </w:rPr>
        <w:t xml:space="preserve"> </w:t>
      </w:r>
      <w:r w:rsidR="006B355B">
        <w:rPr>
          <w:u w:val="single"/>
        </w:rPr>
        <w:t xml:space="preserve">within the past month </w:t>
      </w:r>
      <w:r w:rsidR="00611F9E">
        <w:rPr>
          <w:u w:val="single"/>
        </w:rPr>
        <w:t>or completed an appeals hearing</w:t>
      </w:r>
      <w:r w:rsidR="00381860" w:rsidRPr="00381860">
        <w:rPr>
          <w:u w:val="single"/>
        </w:rPr>
        <w:t xml:space="preserve"> within the past</w:t>
      </w:r>
      <w:r w:rsidR="00FE4188">
        <w:rPr>
          <w:u w:val="single"/>
        </w:rPr>
        <w:t xml:space="preserve"> </w:t>
      </w:r>
      <w:r w:rsidR="006B355B">
        <w:rPr>
          <w:u w:val="single"/>
        </w:rPr>
        <w:t>week</w:t>
      </w:r>
      <w:r>
        <w:t xml:space="preserve">. </w:t>
      </w:r>
      <w:r w:rsidR="00445F98">
        <w:t>Selected respondents will have 14 days to complete the survey, with an email reminder after 7 days</w:t>
      </w:r>
      <w:r w:rsidR="004C62EB">
        <w:t xml:space="preserve"> if the survey has not been completed. </w:t>
      </w:r>
      <w:r w:rsidR="0028486F" w:rsidRPr="00D83A4B">
        <w:rPr>
          <w:rFonts w:cstheme="minorHAnsi"/>
        </w:rPr>
        <w:t>The goal of the VEO survey operation is to continuously provide</w:t>
      </w:r>
      <w:r w:rsidR="0028486F" w:rsidRPr="003855A3">
        <w:rPr>
          <w:rFonts w:cstheme="minorHAnsi"/>
        </w:rPr>
        <w:t xml:space="preserve"> highly reliable </w:t>
      </w:r>
      <w:r w:rsidR="0028486F" w:rsidRPr="00505700">
        <w:rPr>
          <w:rFonts w:cstheme="minorHAnsi"/>
        </w:rPr>
        <w:t>monthly</w:t>
      </w:r>
      <w:r w:rsidR="0028486F" w:rsidRPr="003855A3">
        <w:rPr>
          <w:rFonts w:cstheme="minorHAnsi"/>
        </w:rPr>
        <w:t xml:space="preserve"> overall</w:t>
      </w:r>
      <w:r w:rsidR="00A47902">
        <w:rPr>
          <w:rFonts w:cstheme="minorHAnsi"/>
        </w:rPr>
        <w:t xml:space="preserve"> </w:t>
      </w:r>
      <w:r w:rsidR="0028486F" w:rsidRPr="003855A3">
        <w:rPr>
          <w:rFonts w:cstheme="minorHAnsi"/>
        </w:rPr>
        <w:t>estimates</w:t>
      </w:r>
      <w:r w:rsidR="0028486F">
        <w:rPr>
          <w:rFonts w:cstheme="minorHAnsi"/>
        </w:rPr>
        <w:t>.</w:t>
      </w:r>
    </w:p>
    <w:p w:rsidR="00C85AA6" w:rsidRDefault="00B80B6C" w:rsidP="00004305">
      <w:pPr>
        <w:ind w:firstLine="720"/>
      </w:pPr>
      <w:r>
        <w:lastRenderedPageBreak/>
        <w:t>Table 2</w:t>
      </w:r>
      <w:r w:rsidR="00FB1391">
        <w:t>A</w:t>
      </w:r>
      <w:r>
        <w:t xml:space="preserve"> depicts the approximate BVA monthly </w:t>
      </w:r>
      <w:r w:rsidR="00190AF3" w:rsidRPr="00700E2A">
        <w:rPr>
          <w:b/>
        </w:rPr>
        <w:t>decision</w:t>
      </w:r>
      <w:r w:rsidR="00190AF3">
        <w:t xml:space="preserve"> </w:t>
      </w:r>
      <w:r>
        <w:t xml:space="preserve">population, as well as the sample size determination with </w:t>
      </w:r>
      <w:r w:rsidR="00700E2A">
        <w:t>Confidence Level (</w:t>
      </w:r>
      <w:r w:rsidR="00804291">
        <w:t>C</w:t>
      </w:r>
      <w:r w:rsidR="00700E2A">
        <w:t>L)</w:t>
      </w:r>
      <w:r>
        <w:t xml:space="preserve"> and </w:t>
      </w:r>
      <w:r w:rsidR="00700E2A">
        <w:t>Margin of Error (</w:t>
      </w:r>
      <w:r w:rsidR="00804291">
        <w:t>MOE</w:t>
      </w:r>
      <w:r w:rsidR="00700E2A">
        <w:t>)</w:t>
      </w:r>
      <w:r>
        <w:t xml:space="preserve"> at various levels. </w:t>
      </w:r>
      <w:r w:rsidR="00CF2EC0">
        <w:t xml:space="preserve">The sample size numbers listed indicate the number of responses from veterans required to attain the stated level of precision. </w:t>
      </w:r>
      <w:r>
        <w:t xml:space="preserve">Based on the current </w:t>
      </w:r>
      <w:r w:rsidR="007B0117">
        <w:t xml:space="preserve">decision </w:t>
      </w:r>
      <w:r>
        <w:t>population estimate</w:t>
      </w:r>
      <w:r w:rsidR="00BA4E80">
        <w:t xml:space="preserve"> </w:t>
      </w:r>
      <w:r>
        <w:t>(6,000), the email availability (30%), and the expected survey response rate (20%), the</w:t>
      </w:r>
      <w:r w:rsidR="00BA4E80">
        <w:t xml:space="preserve"> ideal</w:t>
      </w:r>
      <w:r w:rsidR="008D1FC6">
        <w:t xml:space="preserve"> responses received from veterans</w:t>
      </w:r>
      <w:r>
        <w:t xml:space="preserve"> would be around 360</w:t>
      </w:r>
      <w:r w:rsidR="00B53367">
        <w:t>,</w:t>
      </w:r>
      <w:r>
        <w:t xml:space="preserve"> if all veterans qualified are surveyed.</w:t>
      </w:r>
      <w:r w:rsidR="006004EE">
        <w:t xml:space="preserve"> </w:t>
      </w:r>
      <w:r w:rsidR="00C531E8">
        <w:t>However, t</w:t>
      </w:r>
      <w:r w:rsidR="006004EE">
        <w:t xml:space="preserve">his number is still </w:t>
      </w:r>
      <w:r w:rsidR="00C85AA6">
        <w:t xml:space="preserve">much smaller </w:t>
      </w:r>
      <w:r w:rsidR="00FE5065">
        <w:t>(360 vs. 907)</w:t>
      </w:r>
      <w:r w:rsidR="006004EE">
        <w:t xml:space="preserve"> </w:t>
      </w:r>
      <w:r w:rsidR="00C85AA6">
        <w:t xml:space="preserve">than </w:t>
      </w:r>
      <w:r w:rsidR="006004EE">
        <w:t xml:space="preserve">the standard level of precision </w:t>
      </w:r>
      <w:r w:rsidR="00C85AA6">
        <w:t xml:space="preserve">corresponding to </w:t>
      </w:r>
      <w:r w:rsidR="006004EE">
        <w:t xml:space="preserve">a 95% </w:t>
      </w:r>
      <w:r w:rsidR="00BF70F0">
        <w:t>C</w:t>
      </w:r>
      <w:r w:rsidR="000A4EB0">
        <w:t>L</w:t>
      </w:r>
      <w:r w:rsidR="006004EE">
        <w:t xml:space="preserve"> and 3% </w:t>
      </w:r>
      <w:r w:rsidR="00BF70F0">
        <w:t>MOE</w:t>
      </w:r>
      <w:r w:rsidR="006004EE">
        <w:t xml:space="preserve"> (Lohr, 1999). Therefore, </w:t>
      </w:r>
      <w:r w:rsidR="00610F09">
        <w:t>it is necessary to sample all available veterans to produce quali</w:t>
      </w:r>
      <w:r w:rsidR="005D6AD3">
        <w:t xml:space="preserve">ty </w:t>
      </w:r>
      <w:r w:rsidR="00610F09">
        <w:t>results at</w:t>
      </w:r>
      <w:r w:rsidR="00C85AA6">
        <w:t xml:space="preserve"> the</w:t>
      </w:r>
      <w:r w:rsidR="00610F09">
        <w:t xml:space="preserve"> </w:t>
      </w:r>
      <w:r w:rsidR="004F2BFF">
        <w:t xml:space="preserve">90% </w:t>
      </w:r>
      <w:r w:rsidR="00515D12">
        <w:t>C</w:t>
      </w:r>
      <w:r w:rsidR="00C85AA6">
        <w:t>L</w:t>
      </w:r>
      <w:r w:rsidR="004F2BFF">
        <w:t xml:space="preserve"> and 5% </w:t>
      </w:r>
      <w:r w:rsidR="00515D12">
        <w:t>MOE</w:t>
      </w:r>
      <w:r w:rsidR="004F2BFF">
        <w:t xml:space="preserve">. </w:t>
      </w:r>
    </w:p>
    <w:p w:rsidR="00A666D2" w:rsidRDefault="003F31AB" w:rsidP="00004305">
      <w:pPr>
        <w:ind w:firstLine="720"/>
      </w:pPr>
      <w:r>
        <w:t>In</w:t>
      </w:r>
      <w:r w:rsidR="009912FE">
        <w:t xml:space="preserve"> the </w:t>
      </w:r>
      <w:r w:rsidR="00542512">
        <w:t xml:space="preserve">BVA </w:t>
      </w:r>
      <w:r w:rsidR="00542512" w:rsidRPr="00C50CFF">
        <w:rPr>
          <w:b/>
        </w:rPr>
        <w:t>hearing</w:t>
      </w:r>
      <w:r w:rsidR="00542512">
        <w:t xml:space="preserve"> population, </w:t>
      </w:r>
      <w:r w:rsidR="009E1C1A">
        <w:t xml:space="preserve">the expected respondents with 100% sampling rate </w:t>
      </w:r>
      <w:r w:rsidR="008C07B1">
        <w:t>are</w:t>
      </w:r>
      <w:r w:rsidR="009E1C1A">
        <w:t xml:space="preserve"> still below any of the sample size</w:t>
      </w:r>
      <w:r w:rsidR="00323C43">
        <w:t>s</w:t>
      </w:r>
      <w:r w:rsidR="009E1C1A">
        <w:t xml:space="preserve"> at proposed </w:t>
      </w:r>
      <w:r w:rsidR="008E75F3">
        <w:t>C</w:t>
      </w:r>
      <w:r w:rsidR="00100649">
        <w:t>L</w:t>
      </w:r>
      <w:r w:rsidR="009E1C1A">
        <w:t xml:space="preserve"> and </w:t>
      </w:r>
      <w:r w:rsidR="008E75F3">
        <w:t>MOE</w:t>
      </w:r>
      <w:r w:rsidR="009E1C1A">
        <w:t>, due to the small hearing population size.</w:t>
      </w:r>
      <w:r w:rsidR="009B61A6">
        <w:t xml:space="preserve"> Thereby all veterans in this population will be sampled as well</w:t>
      </w:r>
      <w:r w:rsidR="00B53367">
        <w:t>.</w:t>
      </w:r>
    </w:p>
    <w:p w:rsidR="008930E2" w:rsidRPr="00FB1391" w:rsidRDefault="00FB1391" w:rsidP="00FB1391">
      <w:pPr>
        <w:ind w:firstLine="720"/>
        <w:rPr>
          <w:rFonts w:cstheme="minorHAnsi"/>
        </w:rPr>
      </w:pPr>
      <w:r w:rsidRPr="008141ED">
        <w:rPr>
          <w:rFonts w:cstheme="minorHAnsi"/>
        </w:rPr>
        <w:t xml:space="preserve">Table </w:t>
      </w:r>
      <w:r>
        <w:rPr>
          <w:rFonts w:cstheme="minorHAnsi"/>
        </w:rPr>
        <w:t>2</w:t>
      </w:r>
      <w:r w:rsidRPr="008141ED">
        <w:rPr>
          <w:rFonts w:cstheme="minorHAnsi"/>
        </w:rPr>
        <w:t xml:space="preserve">B provides the </w:t>
      </w:r>
      <w:r w:rsidRPr="00CA54EA">
        <w:rPr>
          <w:rFonts w:cstheme="minorHAnsi"/>
          <w:i/>
        </w:rPr>
        <w:t>weekly</w:t>
      </w:r>
      <w:r>
        <w:rPr>
          <w:rFonts w:cstheme="minorHAnsi"/>
        </w:rPr>
        <w:t xml:space="preserve"> and </w:t>
      </w:r>
      <w:r w:rsidRPr="00CA54EA">
        <w:rPr>
          <w:rFonts w:cstheme="minorHAnsi"/>
          <w:i/>
        </w:rPr>
        <w:t>monthly</w:t>
      </w:r>
      <w:r>
        <w:rPr>
          <w:rFonts w:cstheme="minorHAnsi"/>
        </w:rPr>
        <w:t xml:space="preserve"> sample targets for the decision and hearing populations, presuming a return rate of 20%. </w:t>
      </w:r>
      <w:r w:rsidR="00C57A2E">
        <w:t xml:space="preserve">The current method </w:t>
      </w:r>
      <w:r w:rsidR="006B2691" w:rsidRPr="006B2691">
        <w:t>obviates the need for any</w:t>
      </w:r>
      <w:r w:rsidR="00CA54EA">
        <w:t xml:space="preserve"> </w:t>
      </w:r>
      <w:r w:rsidR="006B2691" w:rsidRPr="006B2691">
        <w:t>stratification or formal probability sampling.</w:t>
      </w:r>
    </w:p>
    <w:p w:rsidR="00EC3B0B" w:rsidRPr="005528DA" w:rsidRDefault="00081B3C" w:rsidP="00EC3B0B">
      <w:pPr>
        <w:rPr>
          <w:b/>
          <w:color w:val="4472C4" w:themeColor="accent1"/>
        </w:rPr>
      </w:pPr>
      <w:r>
        <w:rPr>
          <w:b/>
          <w:color w:val="4472C4" w:themeColor="accent1"/>
        </w:rPr>
        <w:t>Table 2</w:t>
      </w:r>
      <w:r w:rsidR="00FB1391">
        <w:rPr>
          <w:b/>
          <w:color w:val="4472C4" w:themeColor="accent1"/>
        </w:rPr>
        <w:t>A</w:t>
      </w:r>
      <w:r w:rsidR="00EC3B0B" w:rsidRPr="005528DA">
        <w:rPr>
          <w:b/>
          <w:color w:val="4472C4" w:themeColor="accent1"/>
        </w:rPr>
        <w:t xml:space="preserve">. </w:t>
      </w:r>
      <w:r>
        <w:rPr>
          <w:b/>
          <w:color w:val="4472C4" w:themeColor="accent1"/>
        </w:rPr>
        <w:t>Target Population</w:t>
      </w:r>
      <w:r w:rsidR="008930E2">
        <w:rPr>
          <w:b/>
          <w:color w:val="4472C4" w:themeColor="accent1"/>
        </w:rPr>
        <w:t xml:space="preserve"> Figures</w:t>
      </w:r>
    </w:p>
    <w:tbl>
      <w:tblPr>
        <w:tblStyle w:val="TableGrid"/>
        <w:tblW w:w="9805" w:type="dxa"/>
        <w:tblLayout w:type="fixed"/>
        <w:tblLook w:val="04A0" w:firstRow="1" w:lastRow="0" w:firstColumn="1" w:lastColumn="0" w:noHBand="0" w:noVBand="1"/>
      </w:tblPr>
      <w:tblGrid>
        <w:gridCol w:w="2155"/>
        <w:gridCol w:w="1440"/>
        <w:gridCol w:w="1440"/>
        <w:gridCol w:w="1530"/>
        <w:gridCol w:w="1080"/>
        <w:gridCol w:w="1080"/>
        <w:gridCol w:w="1080"/>
      </w:tblGrid>
      <w:tr w:rsidR="002B2561" w:rsidTr="00E00B30">
        <w:tc>
          <w:tcPr>
            <w:tcW w:w="2155" w:type="dxa"/>
          </w:tcPr>
          <w:p w:rsidR="009D616D" w:rsidRDefault="009D616D" w:rsidP="00DD753E">
            <w:pPr>
              <w:rPr>
                <w:b/>
                <w:color w:val="4472C4" w:themeColor="accent1"/>
              </w:rPr>
            </w:pPr>
            <w:r>
              <w:rPr>
                <w:b/>
                <w:color w:val="4472C4" w:themeColor="accent1"/>
              </w:rPr>
              <w:t>Population Type</w:t>
            </w:r>
          </w:p>
        </w:tc>
        <w:tc>
          <w:tcPr>
            <w:tcW w:w="1440" w:type="dxa"/>
          </w:tcPr>
          <w:p w:rsidR="009D616D" w:rsidRPr="004A64E4" w:rsidRDefault="009D616D" w:rsidP="00DD753E">
            <w:pPr>
              <w:rPr>
                <w:b/>
                <w:color w:val="4472C4" w:themeColor="accent1"/>
              </w:rPr>
            </w:pPr>
            <w:r>
              <w:rPr>
                <w:b/>
                <w:color w:val="4472C4" w:themeColor="accent1"/>
              </w:rPr>
              <w:t>Approximate Monthly Population</w:t>
            </w:r>
            <w:r w:rsidRPr="004A64E4">
              <w:rPr>
                <w:b/>
                <w:color w:val="4472C4" w:themeColor="accent1"/>
              </w:rPr>
              <w:t xml:space="preserve"> </w:t>
            </w:r>
          </w:p>
        </w:tc>
        <w:tc>
          <w:tcPr>
            <w:tcW w:w="1440" w:type="dxa"/>
          </w:tcPr>
          <w:p w:rsidR="009D616D" w:rsidRDefault="009D616D" w:rsidP="00DD753E">
            <w:pPr>
              <w:rPr>
                <w:b/>
                <w:color w:val="4472C4" w:themeColor="accent1"/>
              </w:rPr>
            </w:pPr>
            <w:r>
              <w:rPr>
                <w:b/>
                <w:color w:val="4472C4" w:themeColor="accent1"/>
              </w:rPr>
              <w:t>Approximate Monthly Contact</w:t>
            </w:r>
          </w:p>
        </w:tc>
        <w:tc>
          <w:tcPr>
            <w:tcW w:w="1530" w:type="dxa"/>
          </w:tcPr>
          <w:p w:rsidR="009D616D" w:rsidRDefault="001F1256" w:rsidP="00DD753E">
            <w:pPr>
              <w:rPr>
                <w:b/>
                <w:color w:val="4472C4" w:themeColor="accent1"/>
              </w:rPr>
            </w:pPr>
            <w:r w:rsidRPr="001F1256">
              <w:rPr>
                <w:b/>
                <w:color w:val="4472C4" w:themeColor="accent1"/>
              </w:rPr>
              <w:t>Expected Yield at 100% Sampling Rate</w:t>
            </w:r>
          </w:p>
        </w:tc>
        <w:tc>
          <w:tcPr>
            <w:tcW w:w="1080" w:type="dxa"/>
          </w:tcPr>
          <w:p w:rsidR="009D616D" w:rsidRDefault="009D616D" w:rsidP="00DD753E">
            <w:pPr>
              <w:rPr>
                <w:b/>
                <w:color w:val="4472C4" w:themeColor="accent1"/>
              </w:rPr>
            </w:pPr>
            <w:r>
              <w:rPr>
                <w:b/>
                <w:color w:val="4472C4" w:themeColor="accent1"/>
              </w:rPr>
              <w:t>Precision</w:t>
            </w:r>
          </w:p>
          <w:p w:rsidR="009D616D" w:rsidRDefault="009D616D" w:rsidP="00DD753E">
            <w:pPr>
              <w:rPr>
                <w:b/>
                <w:color w:val="4472C4" w:themeColor="accent1"/>
              </w:rPr>
            </w:pPr>
            <w:r>
              <w:rPr>
                <w:b/>
                <w:color w:val="4472C4" w:themeColor="accent1"/>
              </w:rPr>
              <w:t>Sample:  95% CL, 3% MOE</w:t>
            </w:r>
          </w:p>
        </w:tc>
        <w:tc>
          <w:tcPr>
            <w:tcW w:w="1080" w:type="dxa"/>
          </w:tcPr>
          <w:p w:rsidR="009D616D" w:rsidRPr="00944B55" w:rsidRDefault="009D616D" w:rsidP="00DD753E">
            <w:pPr>
              <w:rPr>
                <w:b/>
                <w:color w:val="BF8F00" w:themeColor="accent4" w:themeShade="BF"/>
              </w:rPr>
            </w:pPr>
            <w:r w:rsidRPr="00944B55">
              <w:rPr>
                <w:b/>
                <w:color w:val="BF8F00" w:themeColor="accent4" w:themeShade="BF"/>
              </w:rPr>
              <w:t>Precision Sample:  90% CL, 5% MOE</w:t>
            </w:r>
          </w:p>
        </w:tc>
        <w:tc>
          <w:tcPr>
            <w:tcW w:w="1080" w:type="dxa"/>
          </w:tcPr>
          <w:p w:rsidR="009D616D" w:rsidRDefault="009D616D" w:rsidP="00DD753E">
            <w:pPr>
              <w:rPr>
                <w:b/>
                <w:color w:val="4472C4" w:themeColor="accent1"/>
              </w:rPr>
            </w:pPr>
            <w:r w:rsidRPr="00223AD1">
              <w:rPr>
                <w:b/>
                <w:color w:val="BF8F00" w:themeColor="accent4" w:themeShade="BF"/>
              </w:rPr>
              <w:t>Precision Sample:  90% CL, 8% MOE</w:t>
            </w:r>
          </w:p>
        </w:tc>
      </w:tr>
      <w:tr w:rsidR="002B2561" w:rsidTr="00E00B30">
        <w:trPr>
          <w:trHeight w:val="692"/>
        </w:trPr>
        <w:tc>
          <w:tcPr>
            <w:tcW w:w="2155" w:type="dxa"/>
          </w:tcPr>
          <w:p w:rsidR="009D616D" w:rsidRDefault="002B2561" w:rsidP="00DD753E">
            <w:r>
              <w:t>Decision Population (</w:t>
            </w:r>
            <w:r w:rsidR="009D616D">
              <w:t>Received an Appeals Decision</w:t>
            </w:r>
            <w:r>
              <w:t>)</w:t>
            </w:r>
          </w:p>
          <w:p w:rsidR="009D616D" w:rsidRDefault="009D616D" w:rsidP="00DD753E"/>
        </w:tc>
        <w:tc>
          <w:tcPr>
            <w:tcW w:w="1440" w:type="dxa"/>
          </w:tcPr>
          <w:p w:rsidR="009D616D" w:rsidRDefault="009D616D" w:rsidP="00DD753E">
            <w:r>
              <w:t>6,000</w:t>
            </w:r>
          </w:p>
        </w:tc>
        <w:tc>
          <w:tcPr>
            <w:tcW w:w="1440" w:type="dxa"/>
          </w:tcPr>
          <w:p w:rsidR="009D616D" w:rsidRDefault="005945DE" w:rsidP="00DD753E">
            <w:r>
              <w:t>1,800</w:t>
            </w:r>
          </w:p>
        </w:tc>
        <w:tc>
          <w:tcPr>
            <w:tcW w:w="1530" w:type="dxa"/>
          </w:tcPr>
          <w:p w:rsidR="009D616D" w:rsidRDefault="00944B55" w:rsidP="00DD753E">
            <w:r>
              <w:t>360</w:t>
            </w:r>
          </w:p>
        </w:tc>
        <w:tc>
          <w:tcPr>
            <w:tcW w:w="1080" w:type="dxa"/>
          </w:tcPr>
          <w:p w:rsidR="009D616D" w:rsidRDefault="009D616D" w:rsidP="00DD753E">
            <w:r>
              <w:t>907</w:t>
            </w:r>
          </w:p>
        </w:tc>
        <w:tc>
          <w:tcPr>
            <w:tcW w:w="1080" w:type="dxa"/>
          </w:tcPr>
          <w:p w:rsidR="009D616D" w:rsidRPr="00944B55" w:rsidRDefault="009D616D" w:rsidP="00DD753E">
            <w:pPr>
              <w:rPr>
                <w:b/>
                <w:color w:val="BF8F00" w:themeColor="accent4" w:themeShade="BF"/>
              </w:rPr>
            </w:pPr>
            <w:r w:rsidRPr="00944B55">
              <w:rPr>
                <w:b/>
                <w:color w:val="BF8F00" w:themeColor="accent4" w:themeShade="BF"/>
              </w:rPr>
              <w:t>258</w:t>
            </w:r>
          </w:p>
        </w:tc>
        <w:tc>
          <w:tcPr>
            <w:tcW w:w="1080" w:type="dxa"/>
          </w:tcPr>
          <w:p w:rsidR="009D616D" w:rsidRDefault="00944B55" w:rsidP="00DD753E">
            <w:r>
              <w:rPr>
                <w:rStyle w:val="ilfuvd"/>
              </w:rPr>
              <w:t>−</w:t>
            </w:r>
          </w:p>
        </w:tc>
      </w:tr>
      <w:tr w:rsidR="002B2561" w:rsidTr="00E00B30">
        <w:trPr>
          <w:trHeight w:val="692"/>
        </w:trPr>
        <w:tc>
          <w:tcPr>
            <w:tcW w:w="2155" w:type="dxa"/>
          </w:tcPr>
          <w:p w:rsidR="009D616D" w:rsidRDefault="002B2561" w:rsidP="00DD753E">
            <w:r>
              <w:t>Hearing Population (</w:t>
            </w:r>
            <w:r w:rsidR="009D616D">
              <w:t>Completed an Appeals Hearing</w:t>
            </w:r>
            <w:r>
              <w:t>)</w:t>
            </w:r>
          </w:p>
          <w:p w:rsidR="009D616D" w:rsidRDefault="009D616D" w:rsidP="00DD753E"/>
        </w:tc>
        <w:tc>
          <w:tcPr>
            <w:tcW w:w="1440" w:type="dxa"/>
          </w:tcPr>
          <w:p w:rsidR="009D616D" w:rsidRDefault="009D616D" w:rsidP="00DD753E">
            <w:r>
              <w:t>1,400</w:t>
            </w:r>
          </w:p>
        </w:tc>
        <w:tc>
          <w:tcPr>
            <w:tcW w:w="1440" w:type="dxa"/>
          </w:tcPr>
          <w:p w:rsidR="009D616D" w:rsidRDefault="005945DE" w:rsidP="00DD753E">
            <w:r>
              <w:t>420</w:t>
            </w:r>
          </w:p>
        </w:tc>
        <w:tc>
          <w:tcPr>
            <w:tcW w:w="1530" w:type="dxa"/>
          </w:tcPr>
          <w:p w:rsidR="009D616D" w:rsidRDefault="00944B55" w:rsidP="00DD753E">
            <w:r>
              <w:t>84</w:t>
            </w:r>
          </w:p>
        </w:tc>
        <w:tc>
          <w:tcPr>
            <w:tcW w:w="1080" w:type="dxa"/>
          </w:tcPr>
          <w:p w:rsidR="009D616D" w:rsidRDefault="009D616D" w:rsidP="00DD753E">
            <w:r>
              <w:t>606</w:t>
            </w:r>
          </w:p>
        </w:tc>
        <w:tc>
          <w:tcPr>
            <w:tcW w:w="1080" w:type="dxa"/>
          </w:tcPr>
          <w:p w:rsidR="009D616D" w:rsidRDefault="009D616D" w:rsidP="00DD753E">
            <w:r>
              <w:t>226</w:t>
            </w:r>
          </w:p>
        </w:tc>
        <w:tc>
          <w:tcPr>
            <w:tcW w:w="1080" w:type="dxa"/>
          </w:tcPr>
          <w:p w:rsidR="009D616D" w:rsidRPr="00944B55" w:rsidRDefault="00944B55" w:rsidP="00DD753E">
            <w:pPr>
              <w:rPr>
                <w:b/>
              </w:rPr>
            </w:pPr>
            <w:r w:rsidRPr="00223AD1">
              <w:rPr>
                <w:b/>
                <w:color w:val="BF8F00" w:themeColor="accent4" w:themeShade="BF"/>
              </w:rPr>
              <w:t>98</w:t>
            </w:r>
          </w:p>
        </w:tc>
      </w:tr>
    </w:tbl>
    <w:p w:rsidR="0061391F" w:rsidRDefault="001A00CD" w:rsidP="00DF3C2C">
      <w:pPr>
        <w:rPr>
          <w:rFonts w:cstheme="minorHAnsi"/>
          <w:b/>
          <w:color w:val="4472C4" w:themeColor="accent1"/>
        </w:rPr>
      </w:pPr>
      <w:r>
        <w:br/>
      </w:r>
      <w:r w:rsidR="0061391F">
        <w:rPr>
          <w:rFonts w:cstheme="minorHAnsi"/>
          <w:b/>
          <w:color w:val="4472C4" w:themeColor="accent1"/>
        </w:rPr>
        <w:t xml:space="preserve">Table </w:t>
      </w:r>
      <w:r w:rsidR="00FB1391">
        <w:rPr>
          <w:rFonts w:cstheme="minorHAnsi"/>
          <w:b/>
          <w:color w:val="4472C4" w:themeColor="accent1"/>
        </w:rPr>
        <w:t>2B</w:t>
      </w:r>
      <w:r w:rsidR="0061391F">
        <w:rPr>
          <w:rFonts w:cstheme="minorHAnsi"/>
          <w:b/>
          <w:color w:val="4472C4" w:themeColor="accent1"/>
        </w:rPr>
        <w:t xml:space="preserve">. Proposed </w:t>
      </w:r>
      <w:r w:rsidR="0061391F" w:rsidRPr="003855A3">
        <w:rPr>
          <w:rFonts w:cstheme="minorHAnsi"/>
          <w:b/>
          <w:color w:val="4472C4" w:themeColor="accent1"/>
        </w:rPr>
        <w:t>Sample Targets by Time Period</w:t>
      </w:r>
    </w:p>
    <w:tbl>
      <w:tblPr>
        <w:tblStyle w:val="TableGrid"/>
        <w:tblW w:w="0" w:type="auto"/>
        <w:jc w:val="center"/>
        <w:tblLook w:val="04A0" w:firstRow="1" w:lastRow="0" w:firstColumn="1" w:lastColumn="0" w:noHBand="0" w:noVBand="1"/>
      </w:tblPr>
      <w:tblGrid>
        <w:gridCol w:w="2065"/>
        <w:gridCol w:w="1260"/>
        <w:gridCol w:w="1275"/>
      </w:tblGrid>
      <w:tr w:rsidR="0061391F" w:rsidRPr="00363FE0" w:rsidTr="001B34B9">
        <w:trPr>
          <w:jc w:val="center"/>
        </w:trPr>
        <w:tc>
          <w:tcPr>
            <w:tcW w:w="2065" w:type="dxa"/>
          </w:tcPr>
          <w:p w:rsidR="0061391F" w:rsidRPr="003855A3" w:rsidRDefault="0061391F" w:rsidP="003A5050">
            <w:pPr>
              <w:rPr>
                <w:rFonts w:cstheme="minorHAnsi"/>
                <w:b/>
                <w:color w:val="4472C4" w:themeColor="accent1"/>
              </w:rPr>
            </w:pPr>
            <w:r>
              <w:rPr>
                <w:rFonts w:cstheme="minorHAnsi"/>
                <w:b/>
                <w:color w:val="4472C4" w:themeColor="accent1"/>
              </w:rPr>
              <w:t>Population Type</w:t>
            </w:r>
          </w:p>
        </w:tc>
        <w:tc>
          <w:tcPr>
            <w:tcW w:w="1260" w:type="dxa"/>
          </w:tcPr>
          <w:p w:rsidR="0061391F" w:rsidRPr="003855A3" w:rsidRDefault="0061391F" w:rsidP="003A5050">
            <w:pPr>
              <w:rPr>
                <w:rFonts w:cstheme="minorHAnsi"/>
                <w:b/>
                <w:color w:val="4472C4" w:themeColor="accent1"/>
              </w:rPr>
            </w:pPr>
            <w:r w:rsidRPr="003855A3">
              <w:rPr>
                <w:rFonts w:cstheme="minorHAnsi"/>
                <w:b/>
                <w:color w:val="4472C4" w:themeColor="accent1"/>
              </w:rPr>
              <w:t>Weekly Target</w:t>
            </w:r>
          </w:p>
        </w:tc>
        <w:tc>
          <w:tcPr>
            <w:tcW w:w="1275" w:type="dxa"/>
          </w:tcPr>
          <w:p w:rsidR="0061391F" w:rsidRPr="003855A3" w:rsidRDefault="0061391F" w:rsidP="003A5050">
            <w:pPr>
              <w:rPr>
                <w:rFonts w:cstheme="minorHAnsi"/>
                <w:b/>
                <w:color w:val="4472C4" w:themeColor="accent1"/>
              </w:rPr>
            </w:pPr>
            <w:r w:rsidRPr="003855A3">
              <w:rPr>
                <w:rFonts w:cstheme="minorHAnsi"/>
                <w:b/>
                <w:color w:val="4472C4" w:themeColor="accent1"/>
              </w:rPr>
              <w:t>Monthly Target</w:t>
            </w:r>
          </w:p>
        </w:tc>
      </w:tr>
      <w:tr w:rsidR="0061391F" w:rsidRPr="00363FE0" w:rsidTr="001B34B9">
        <w:trPr>
          <w:jc w:val="center"/>
        </w:trPr>
        <w:tc>
          <w:tcPr>
            <w:tcW w:w="2065" w:type="dxa"/>
          </w:tcPr>
          <w:p w:rsidR="0061391F" w:rsidRPr="00491605" w:rsidRDefault="0061391F" w:rsidP="003A5050">
            <w:pPr>
              <w:rPr>
                <w:rFonts w:cstheme="minorHAnsi"/>
              </w:rPr>
            </w:pPr>
            <w:r>
              <w:t>Decision Population</w:t>
            </w:r>
          </w:p>
        </w:tc>
        <w:tc>
          <w:tcPr>
            <w:tcW w:w="1260" w:type="dxa"/>
          </w:tcPr>
          <w:p w:rsidR="0061391F" w:rsidRPr="00491605" w:rsidRDefault="0061391F" w:rsidP="003A5050">
            <w:pPr>
              <w:jc w:val="center"/>
              <w:rPr>
                <w:rFonts w:cstheme="minorHAnsi"/>
              </w:rPr>
            </w:pPr>
            <w:r>
              <w:rPr>
                <w:rFonts w:cstheme="minorHAnsi"/>
              </w:rPr>
              <w:t>63</w:t>
            </w:r>
          </w:p>
        </w:tc>
        <w:tc>
          <w:tcPr>
            <w:tcW w:w="1275" w:type="dxa"/>
          </w:tcPr>
          <w:p w:rsidR="0061391F" w:rsidRPr="00491605" w:rsidRDefault="0061391F" w:rsidP="003A5050">
            <w:pPr>
              <w:jc w:val="center"/>
              <w:rPr>
                <w:rFonts w:cstheme="minorHAnsi"/>
              </w:rPr>
            </w:pPr>
            <w:r>
              <w:rPr>
                <w:rFonts w:cstheme="minorHAnsi"/>
              </w:rPr>
              <w:t>250</w:t>
            </w:r>
          </w:p>
        </w:tc>
      </w:tr>
      <w:tr w:rsidR="0061391F" w:rsidRPr="00363FE0" w:rsidTr="001B34B9">
        <w:trPr>
          <w:jc w:val="center"/>
        </w:trPr>
        <w:tc>
          <w:tcPr>
            <w:tcW w:w="2065" w:type="dxa"/>
          </w:tcPr>
          <w:p w:rsidR="0061391F" w:rsidRPr="00491605" w:rsidRDefault="0061391F" w:rsidP="003A5050">
            <w:pPr>
              <w:rPr>
                <w:rFonts w:cstheme="minorHAnsi"/>
              </w:rPr>
            </w:pPr>
            <w:r>
              <w:rPr>
                <w:rFonts w:cstheme="minorHAnsi"/>
              </w:rPr>
              <w:t>Hearing Population</w:t>
            </w:r>
            <w:r w:rsidRPr="00491605">
              <w:rPr>
                <w:rFonts w:cstheme="minorHAnsi"/>
              </w:rPr>
              <w:t xml:space="preserve"> </w:t>
            </w:r>
          </w:p>
        </w:tc>
        <w:tc>
          <w:tcPr>
            <w:tcW w:w="1260" w:type="dxa"/>
          </w:tcPr>
          <w:p w:rsidR="0061391F" w:rsidRPr="00491605" w:rsidRDefault="0061391F" w:rsidP="003A5050">
            <w:pPr>
              <w:jc w:val="center"/>
              <w:rPr>
                <w:rFonts w:cstheme="minorHAnsi"/>
              </w:rPr>
            </w:pPr>
            <w:r>
              <w:rPr>
                <w:rFonts w:cstheme="minorHAnsi"/>
              </w:rPr>
              <w:t>25</w:t>
            </w:r>
          </w:p>
        </w:tc>
        <w:tc>
          <w:tcPr>
            <w:tcW w:w="1275" w:type="dxa"/>
          </w:tcPr>
          <w:p w:rsidR="0061391F" w:rsidRPr="00663B4E" w:rsidRDefault="0061391F" w:rsidP="003A5050">
            <w:pPr>
              <w:jc w:val="center"/>
              <w:rPr>
                <w:rFonts w:cstheme="minorHAnsi"/>
              </w:rPr>
            </w:pPr>
            <w:r>
              <w:rPr>
                <w:rFonts w:cstheme="minorHAnsi"/>
              </w:rPr>
              <w:t>100</w:t>
            </w:r>
          </w:p>
        </w:tc>
      </w:tr>
      <w:tr w:rsidR="0061391F" w:rsidRPr="00363FE0" w:rsidTr="001B34B9">
        <w:trPr>
          <w:jc w:val="center"/>
        </w:trPr>
        <w:tc>
          <w:tcPr>
            <w:tcW w:w="2065" w:type="dxa"/>
          </w:tcPr>
          <w:p w:rsidR="0061391F" w:rsidRPr="00491605" w:rsidRDefault="0061391F" w:rsidP="003A5050">
            <w:pPr>
              <w:rPr>
                <w:rFonts w:cstheme="minorHAnsi"/>
                <w:b/>
              </w:rPr>
            </w:pPr>
            <w:r w:rsidRPr="00491605">
              <w:rPr>
                <w:rFonts w:cstheme="minorHAnsi"/>
                <w:b/>
              </w:rPr>
              <w:t>Total</w:t>
            </w:r>
          </w:p>
        </w:tc>
        <w:tc>
          <w:tcPr>
            <w:tcW w:w="1260" w:type="dxa"/>
          </w:tcPr>
          <w:p w:rsidR="0061391F" w:rsidRPr="00491605" w:rsidRDefault="0061391F" w:rsidP="003A5050">
            <w:pPr>
              <w:jc w:val="center"/>
              <w:rPr>
                <w:rFonts w:cstheme="minorHAnsi"/>
              </w:rPr>
            </w:pPr>
            <w:r>
              <w:rPr>
                <w:rFonts w:cstheme="minorHAnsi"/>
              </w:rPr>
              <w:t>88</w:t>
            </w:r>
          </w:p>
        </w:tc>
        <w:tc>
          <w:tcPr>
            <w:tcW w:w="1275" w:type="dxa"/>
          </w:tcPr>
          <w:p w:rsidR="0061391F" w:rsidRPr="00491605" w:rsidRDefault="0061391F" w:rsidP="003A5050">
            <w:pPr>
              <w:jc w:val="center"/>
              <w:rPr>
                <w:rFonts w:cstheme="minorHAnsi"/>
              </w:rPr>
            </w:pPr>
            <w:r>
              <w:rPr>
                <w:rFonts w:cstheme="minorHAnsi"/>
              </w:rPr>
              <w:t>350</w:t>
            </w:r>
          </w:p>
        </w:tc>
      </w:tr>
    </w:tbl>
    <w:p w:rsidR="00F5111D" w:rsidRDefault="001A00CD" w:rsidP="00F5111D">
      <w:pPr>
        <w:rPr>
          <w:b/>
          <w:color w:val="4472C4" w:themeColor="accent1"/>
        </w:rPr>
      </w:pPr>
      <w:r>
        <w:rPr>
          <w:b/>
          <w:color w:val="4472C4" w:themeColor="accent1"/>
        </w:rPr>
        <w:br/>
      </w:r>
      <w:r w:rsidR="00F377A1">
        <w:rPr>
          <w:b/>
          <w:color w:val="4472C4" w:themeColor="accent1"/>
        </w:rPr>
        <w:t xml:space="preserve">Weighting Adjustments </w:t>
      </w:r>
    </w:p>
    <w:p w:rsidR="009F6761" w:rsidRDefault="00F5111D" w:rsidP="00F5111D">
      <w:pPr>
        <w:ind w:firstLine="720"/>
      </w:pPr>
      <w:r>
        <w:t xml:space="preserve">Many survey practitioners recommend the use of </w:t>
      </w:r>
      <w:r w:rsidR="00190AF3">
        <w:t xml:space="preserve">sample </w:t>
      </w:r>
      <w:r>
        <w:t xml:space="preserve">weighting to improve inference on the population. Under this process, the respondent sample is </w:t>
      </w:r>
      <w:r w:rsidR="00694D35">
        <w:t>artificially</w:t>
      </w:r>
      <w:r w:rsidR="00190AF3">
        <w:t xml:space="preserve"> </w:t>
      </w:r>
      <w:r>
        <w:t>made to more closely resemble the true population</w:t>
      </w:r>
      <w:r w:rsidR="00190AF3">
        <w:t>, with respect to age</w:t>
      </w:r>
      <w:r>
        <w:t xml:space="preserve">. </w:t>
      </w:r>
      <w:r w:rsidR="00874489">
        <w:t xml:space="preserve">It is reported earlier that </w:t>
      </w:r>
      <w:r w:rsidR="00874489" w:rsidRPr="00E03D23">
        <w:rPr>
          <w:rFonts w:cstheme="minorHAnsi"/>
        </w:rPr>
        <w:t>email population comprises 30%</w:t>
      </w:r>
      <w:r w:rsidR="00874489">
        <w:rPr>
          <w:rFonts w:cstheme="minorHAnsi"/>
        </w:rPr>
        <w:t xml:space="preserve"> of the overall veteran population and 20% veterans usually respond to the survey, weighting will be used to adjust for </w:t>
      </w:r>
      <w:r w:rsidR="0001753E">
        <w:rPr>
          <w:rFonts w:cstheme="minorHAnsi"/>
        </w:rPr>
        <w:t xml:space="preserve">non-coverage (for the </w:t>
      </w:r>
      <w:r w:rsidR="00BB12FC">
        <w:rPr>
          <w:rFonts w:cstheme="minorHAnsi"/>
        </w:rPr>
        <w:t>non-email population) and non-response (</w:t>
      </w:r>
      <w:r w:rsidR="00BB12FC" w:rsidRPr="003855A3">
        <w:rPr>
          <w:rFonts w:cstheme="minorHAnsi"/>
        </w:rPr>
        <w:t>occurring when certain subpopulations are less prone to participate</w:t>
      </w:r>
      <w:r w:rsidR="00BB12FC">
        <w:rPr>
          <w:rFonts w:cstheme="minorHAnsi"/>
        </w:rPr>
        <w:t xml:space="preserve">). The </w:t>
      </w:r>
      <w:r w:rsidR="00545F99">
        <w:rPr>
          <w:rFonts w:cstheme="minorHAnsi"/>
        </w:rPr>
        <w:t xml:space="preserve">weighting variable will be the respondent’s </w:t>
      </w:r>
      <w:r w:rsidR="00545F99" w:rsidRPr="00545F99">
        <w:rPr>
          <w:rFonts w:cstheme="minorHAnsi"/>
          <w:b/>
        </w:rPr>
        <w:t>Age</w:t>
      </w:r>
      <w:r w:rsidR="00545F99">
        <w:rPr>
          <w:rFonts w:cstheme="minorHAnsi"/>
        </w:rPr>
        <w:t>.</w:t>
      </w:r>
    </w:p>
    <w:p w:rsidR="00212285" w:rsidRPr="00DC6E52" w:rsidRDefault="00703595" w:rsidP="00212285">
      <w:pPr>
        <w:rPr>
          <w:b/>
          <w:color w:val="4472C4" w:themeColor="accent1"/>
        </w:rPr>
      </w:pPr>
      <w:r w:rsidRPr="00DC6E52">
        <w:rPr>
          <w:b/>
          <w:color w:val="4472C4" w:themeColor="accent1"/>
        </w:rPr>
        <w:lastRenderedPageBreak/>
        <w:t>Reporting</w:t>
      </w:r>
      <w:r w:rsidR="00261120" w:rsidRPr="00DC6E52">
        <w:rPr>
          <w:b/>
          <w:color w:val="4472C4" w:themeColor="accent1"/>
        </w:rPr>
        <w:t xml:space="preserve"> and Quality Control</w:t>
      </w:r>
    </w:p>
    <w:p w:rsidR="00967050" w:rsidRDefault="00C248ED" w:rsidP="00967050">
      <w:r>
        <w:t xml:space="preserve">The sample sizes reported above adhere to monthly reporting. </w:t>
      </w:r>
      <w:r w:rsidR="00967050">
        <w:t>To ensure the prevention of errors and inconsistencies in the data and the analysis, quality control procedures will be instituted in several steps of the survey process. Records will undergo a cleaning during the population file creation.  The quality control steps are as follows.</w:t>
      </w:r>
    </w:p>
    <w:p w:rsidR="00967050" w:rsidRPr="00B2796B" w:rsidRDefault="00967050" w:rsidP="00967050">
      <w:pPr>
        <w:pStyle w:val="ListParagraph"/>
        <w:numPr>
          <w:ilvl w:val="0"/>
          <w:numId w:val="4"/>
        </w:numPr>
        <w:rPr>
          <w:sz w:val="20"/>
          <w:szCs w:val="20"/>
        </w:rPr>
      </w:pPr>
      <w:r w:rsidRPr="00B2796B">
        <w:rPr>
          <w:sz w:val="20"/>
          <w:szCs w:val="20"/>
        </w:rPr>
        <w:t xml:space="preserve">Records will be reviewed for missing sampling </w:t>
      </w:r>
      <w:r w:rsidR="00B2796B" w:rsidRPr="00B2796B">
        <w:rPr>
          <w:sz w:val="20"/>
          <w:szCs w:val="20"/>
        </w:rPr>
        <w:t xml:space="preserve">and weighting </w:t>
      </w:r>
      <w:r w:rsidRPr="00B2796B">
        <w:rPr>
          <w:sz w:val="20"/>
          <w:szCs w:val="20"/>
        </w:rPr>
        <w:t>variable data.  When records with missing data are discovered, they will be either excluded from the population file or put into separate strata upon discussion with subject matter experts.</w:t>
      </w:r>
    </w:p>
    <w:p w:rsidR="00967050" w:rsidRPr="00B2796B" w:rsidRDefault="00967050" w:rsidP="00967050">
      <w:pPr>
        <w:pStyle w:val="ListParagraph"/>
        <w:numPr>
          <w:ilvl w:val="0"/>
          <w:numId w:val="4"/>
        </w:numPr>
        <w:rPr>
          <w:sz w:val="20"/>
          <w:szCs w:val="20"/>
        </w:rPr>
      </w:pPr>
      <w:r w:rsidRPr="00B2796B">
        <w:rPr>
          <w:sz w:val="20"/>
          <w:szCs w:val="20"/>
        </w:rPr>
        <w:t>Any duplicate records will be removed from the population file.</w:t>
      </w:r>
    </w:p>
    <w:p w:rsidR="00967050" w:rsidRPr="00B2796B" w:rsidRDefault="00967050" w:rsidP="00967050">
      <w:pPr>
        <w:pStyle w:val="ListParagraph"/>
        <w:numPr>
          <w:ilvl w:val="0"/>
          <w:numId w:val="4"/>
        </w:numPr>
        <w:rPr>
          <w:sz w:val="20"/>
          <w:szCs w:val="20"/>
        </w:rPr>
      </w:pPr>
      <w:r w:rsidRPr="00B2796B">
        <w:rPr>
          <w:sz w:val="20"/>
          <w:szCs w:val="20"/>
        </w:rPr>
        <w:t>Invalid emails will be removed.</w:t>
      </w:r>
    </w:p>
    <w:p w:rsidR="00967050" w:rsidRDefault="00967050" w:rsidP="00B2796B">
      <w:r>
        <w:t>The survey sample loading and administration processes will have quality control measures built into them.</w:t>
      </w:r>
    </w:p>
    <w:p w:rsidR="00CE534F" w:rsidRPr="00B2796B" w:rsidRDefault="00967050" w:rsidP="00967050">
      <w:pPr>
        <w:pStyle w:val="ListParagraph"/>
        <w:numPr>
          <w:ilvl w:val="0"/>
          <w:numId w:val="5"/>
        </w:numPr>
        <w:rPr>
          <w:sz w:val="20"/>
          <w:szCs w:val="20"/>
        </w:rPr>
      </w:pPr>
      <w:r w:rsidRPr="00B2796B">
        <w:rPr>
          <w:sz w:val="20"/>
          <w:szCs w:val="20"/>
        </w:rPr>
        <w:t xml:space="preserve">The survey load process will be rigorously tested prior to the induction of the </w:t>
      </w:r>
      <w:r w:rsidR="0095734E" w:rsidRPr="00B2796B">
        <w:rPr>
          <w:sz w:val="20"/>
          <w:szCs w:val="20"/>
        </w:rPr>
        <w:t>BVA</w:t>
      </w:r>
      <w:r w:rsidRPr="00B2796B">
        <w:rPr>
          <w:sz w:val="20"/>
          <w:szCs w:val="20"/>
        </w:rPr>
        <w:t xml:space="preserve"> Survey to ensure that customers </w:t>
      </w:r>
      <w:r w:rsidR="006A1616" w:rsidRPr="00B2796B">
        <w:rPr>
          <w:sz w:val="20"/>
          <w:szCs w:val="20"/>
        </w:rPr>
        <w:t>are</w:t>
      </w:r>
      <w:r w:rsidRPr="00B2796B">
        <w:rPr>
          <w:sz w:val="20"/>
          <w:szCs w:val="20"/>
        </w:rPr>
        <w:t xml:space="preserve"> not inadvertently dropped or sent multiple emails.</w:t>
      </w:r>
    </w:p>
    <w:p w:rsidR="000047DC" w:rsidRPr="00B2796B" w:rsidRDefault="00967050" w:rsidP="00967050">
      <w:pPr>
        <w:pStyle w:val="ListParagraph"/>
        <w:numPr>
          <w:ilvl w:val="0"/>
          <w:numId w:val="5"/>
        </w:numPr>
        <w:rPr>
          <w:sz w:val="20"/>
          <w:szCs w:val="20"/>
        </w:rPr>
      </w:pPr>
      <w:r w:rsidRPr="00B2796B">
        <w:rPr>
          <w:sz w:val="20"/>
          <w:szCs w:val="20"/>
        </w:rPr>
        <w:t xml:space="preserve">The email delivery process is monitored to ensure that bounce-back records will not hold up the email delivery process.  </w:t>
      </w:r>
    </w:p>
    <w:p w:rsidR="00B2796B" w:rsidRPr="00B2796B" w:rsidRDefault="00B2796B" w:rsidP="00B2796B">
      <w:pPr>
        <w:spacing w:after="240" w:line="240" w:lineRule="auto"/>
        <w:rPr>
          <w:rFonts w:cstheme="minorHAnsi"/>
        </w:rPr>
      </w:pPr>
      <w:r w:rsidRPr="00B2796B">
        <w:rPr>
          <w:rFonts w:cstheme="minorHAnsi"/>
        </w:rPr>
        <w:t xml:space="preserve">The </w:t>
      </w:r>
      <w:r w:rsidRPr="00B2796B">
        <w:rPr>
          <w:rFonts w:cstheme="minorHAnsi"/>
          <w:u w:val="single"/>
        </w:rPr>
        <w:t>weighting and data management quality</w:t>
      </w:r>
      <w:r w:rsidRPr="00B2796B">
        <w:rPr>
          <w:rFonts w:cstheme="minorHAnsi"/>
        </w:rPr>
        <w:t xml:space="preserve"> control checks are as follows:</w:t>
      </w:r>
    </w:p>
    <w:p w:rsidR="00B2796B" w:rsidRPr="00B2796B" w:rsidRDefault="00B2796B" w:rsidP="00B2796B">
      <w:pPr>
        <w:pStyle w:val="ListParagraph"/>
        <w:numPr>
          <w:ilvl w:val="0"/>
          <w:numId w:val="6"/>
        </w:numPr>
        <w:spacing w:after="120" w:line="240" w:lineRule="auto"/>
        <w:rPr>
          <w:rFonts w:cstheme="minorHAnsi"/>
          <w:sz w:val="20"/>
          <w:szCs w:val="20"/>
        </w:rPr>
      </w:pPr>
      <w:r w:rsidRPr="00B2796B">
        <w:rPr>
          <w:rFonts w:cstheme="minorHAnsi"/>
          <w:sz w:val="20"/>
          <w:szCs w:val="20"/>
        </w:rPr>
        <w:t>The sum of the weighted respondents will be compared to the overall population count to confirm that the records are being properly weighted.  When the sum does not match the population count, weighting classes will be collapsed to correct this issue.</w:t>
      </w:r>
    </w:p>
    <w:p w:rsidR="00B2796B" w:rsidRPr="00B2796B" w:rsidRDefault="00B2796B" w:rsidP="00B2796B">
      <w:pPr>
        <w:pStyle w:val="ListParagraph"/>
        <w:numPr>
          <w:ilvl w:val="0"/>
          <w:numId w:val="6"/>
        </w:numPr>
        <w:spacing w:after="120" w:line="240" w:lineRule="auto"/>
        <w:rPr>
          <w:rFonts w:cstheme="minorHAnsi"/>
          <w:sz w:val="20"/>
          <w:szCs w:val="20"/>
        </w:rPr>
      </w:pPr>
      <w:r w:rsidRPr="00B2796B">
        <w:rPr>
          <w:rFonts w:cstheme="minorHAnsi"/>
          <w:sz w:val="20"/>
          <w:szCs w:val="20"/>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003164F5" w:rsidRPr="00DC6E52" w:rsidRDefault="003164F5" w:rsidP="003164F5">
      <w:pPr>
        <w:rPr>
          <w:color w:val="4472C4" w:themeColor="accent1"/>
        </w:rPr>
      </w:pPr>
      <w:r w:rsidRPr="00DC6E52">
        <w:rPr>
          <w:b/>
          <w:color w:val="4472C4" w:themeColor="accent1"/>
        </w:rPr>
        <w:t>Quarantine Rules</w:t>
      </w:r>
    </w:p>
    <w:p w:rsidR="00D23221" w:rsidRDefault="00D23221" w:rsidP="003164F5">
      <w:pPr>
        <w:ind w:firstLine="720"/>
      </w:pPr>
      <w:r w:rsidRPr="00D23221">
        <w:t xml:space="preserve">VEO seeks to limit contact with Veterans as much as possible, and only as necessary to achieve measurement goals. These rules are enacted to prevent excessive recruitment attempts upon </w:t>
      </w:r>
      <w:r>
        <w:t>survey participants</w:t>
      </w:r>
      <w:r w:rsidRPr="00D23221">
        <w:t>. VEO also monitors veteran participation within other surveys, to ensure veterans do not experience survey fatigue. All VEO surveys offer options for respondents to opt out, and ensure they are no longer contacted for a specific survey.</w:t>
      </w:r>
    </w:p>
    <w:p w:rsidR="003164F5" w:rsidRPr="002749DE" w:rsidRDefault="00811364" w:rsidP="003164F5">
      <w:r>
        <w:rPr>
          <w:b/>
          <w:color w:val="4472C4" w:themeColor="accent1"/>
        </w:rPr>
        <w:t xml:space="preserve">Table </w:t>
      </w:r>
      <w:r w:rsidR="00CB114A">
        <w:rPr>
          <w:b/>
          <w:color w:val="4472C4" w:themeColor="accent1"/>
        </w:rPr>
        <w:t>3</w:t>
      </w:r>
      <w:r w:rsidR="003164F5" w:rsidRPr="005528DA">
        <w:rPr>
          <w:b/>
          <w:color w:val="4472C4" w:themeColor="accent1"/>
        </w:rPr>
        <w:t xml:space="preserve">. </w:t>
      </w:r>
      <w:r w:rsidR="003164F5">
        <w:rPr>
          <w:b/>
          <w:color w:val="4472C4" w:themeColor="accent1"/>
        </w:rPr>
        <w:t>Proposed Quarantine Protocol</w:t>
      </w:r>
    </w:p>
    <w:tbl>
      <w:tblPr>
        <w:tblStyle w:val="TableGrid"/>
        <w:tblW w:w="10188" w:type="dxa"/>
        <w:tblLayout w:type="fixed"/>
        <w:tblLook w:val="04A0" w:firstRow="1" w:lastRow="0" w:firstColumn="1" w:lastColumn="0" w:noHBand="0" w:noVBand="1"/>
      </w:tblPr>
      <w:tblGrid>
        <w:gridCol w:w="2358"/>
        <w:gridCol w:w="6030"/>
        <w:gridCol w:w="1800"/>
      </w:tblGrid>
      <w:tr w:rsidR="003164F5" w:rsidTr="00660907">
        <w:tc>
          <w:tcPr>
            <w:tcW w:w="2358" w:type="dxa"/>
          </w:tcPr>
          <w:p w:rsidR="003164F5" w:rsidRPr="004A64E4" w:rsidRDefault="003164F5" w:rsidP="00660907">
            <w:pPr>
              <w:rPr>
                <w:b/>
                <w:color w:val="4472C4" w:themeColor="accent1"/>
              </w:rPr>
            </w:pPr>
            <w:r>
              <w:rPr>
                <w:b/>
                <w:color w:val="4472C4" w:themeColor="accent1"/>
              </w:rPr>
              <w:t>Quarantine Rule</w:t>
            </w:r>
          </w:p>
        </w:tc>
        <w:tc>
          <w:tcPr>
            <w:tcW w:w="6030" w:type="dxa"/>
          </w:tcPr>
          <w:p w:rsidR="003164F5" w:rsidRDefault="003164F5" w:rsidP="00660907">
            <w:pPr>
              <w:rPr>
                <w:b/>
                <w:color w:val="4472C4" w:themeColor="accent1"/>
              </w:rPr>
            </w:pPr>
            <w:r>
              <w:rPr>
                <w:b/>
                <w:color w:val="4472C4" w:themeColor="accent1"/>
              </w:rPr>
              <w:t>Description</w:t>
            </w:r>
          </w:p>
          <w:p w:rsidR="003164F5" w:rsidRPr="004A64E4" w:rsidRDefault="003164F5" w:rsidP="00660907">
            <w:pPr>
              <w:rPr>
                <w:b/>
                <w:color w:val="4472C4" w:themeColor="accent1"/>
              </w:rPr>
            </w:pPr>
          </w:p>
        </w:tc>
        <w:tc>
          <w:tcPr>
            <w:tcW w:w="1800" w:type="dxa"/>
          </w:tcPr>
          <w:p w:rsidR="003164F5" w:rsidRDefault="003164F5" w:rsidP="00660907">
            <w:pPr>
              <w:rPr>
                <w:b/>
                <w:color w:val="4472C4" w:themeColor="accent1"/>
              </w:rPr>
            </w:pPr>
            <w:r>
              <w:rPr>
                <w:b/>
                <w:color w:val="4472C4" w:themeColor="accent1"/>
              </w:rPr>
              <w:t xml:space="preserve">Elapsed Time </w:t>
            </w:r>
          </w:p>
        </w:tc>
      </w:tr>
      <w:tr w:rsidR="003164F5" w:rsidTr="00660907">
        <w:tc>
          <w:tcPr>
            <w:tcW w:w="2358" w:type="dxa"/>
          </w:tcPr>
          <w:p w:rsidR="003164F5" w:rsidRPr="0074180B" w:rsidRDefault="00BB2AD8" w:rsidP="00660907">
            <w:pPr>
              <w:rPr>
                <w:lang w:eastAsia="zh-CN"/>
              </w:rPr>
            </w:pPr>
            <w:r w:rsidRPr="0074180B">
              <w:t>Repeated Sampling for BVA Survey</w:t>
            </w:r>
          </w:p>
          <w:p w:rsidR="003164F5" w:rsidRPr="0074180B" w:rsidRDefault="003164F5" w:rsidP="00660907"/>
        </w:tc>
        <w:tc>
          <w:tcPr>
            <w:tcW w:w="6030" w:type="dxa"/>
          </w:tcPr>
          <w:p w:rsidR="003164F5" w:rsidRPr="0074180B" w:rsidRDefault="003164F5" w:rsidP="00660907">
            <w:r w:rsidRPr="0074180B">
              <w:t>Number of days between completing online survey, and receiving another online survey related to another complaint.</w:t>
            </w:r>
          </w:p>
        </w:tc>
        <w:tc>
          <w:tcPr>
            <w:tcW w:w="1800" w:type="dxa"/>
          </w:tcPr>
          <w:p w:rsidR="003164F5" w:rsidRPr="0074180B" w:rsidRDefault="003164F5" w:rsidP="00660907">
            <w:r w:rsidRPr="0074180B">
              <w:t>3 Months or 90 Days</w:t>
            </w:r>
          </w:p>
        </w:tc>
      </w:tr>
      <w:tr w:rsidR="003164F5" w:rsidTr="00660907">
        <w:tc>
          <w:tcPr>
            <w:tcW w:w="2358" w:type="dxa"/>
          </w:tcPr>
          <w:p w:rsidR="003164F5" w:rsidRPr="0074180B" w:rsidRDefault="003164F5" w:rsidP="00660907">
            <w:r w:rsidRPr="0074180B">
              <w:t>Other Surveys</w:t>
            </w:r>
          </w:p>
        </w:tc>
        <w:tc>
          <w:tcPr>
            <w:tcW w:w="6030" w:type="dxa"/>
          </w:tcPr>
          <w:p w:rsidR="003164F5" w:rsidRPr="0074180B" w:rsidRDefault="003164F5" w:rsidP="00660907">
            <w:r w:rsidRPr="0074180B">
              <w:t xml:space="preserve">Veterans engaged that have recently completed other VEO </w:t>
            </w:r>
            <w:r w:rsidR="008C6FC2" w:rsidRPr="0074180B">
              <w:t xml:space="preserve">surveys </w:t>
            </w:r>
            <w:r w:rsidRPr="0074180B">
              <w:t>will not be selected for 30 days.</w:t>
            </w:r>
          </w:p>
        </w:tc>
        <w:tc>
          <w:tcPr>
            <w:tcW w:w="1800" w:type="dxa"/>
          </w:tcPr>
          <w:p w:rsidR="003164F5" w:rsidRPr="0074180B" w:rsidRDefault="003164F5" w:rsidP="00660907">
            <w:r w:rsidRPr="0074180B">
              <w:t>1 Month or 30 Days</w:t>
            </w:r>
          </w:p>
        </w:tc>
      </w:tr>
      <w:tr w:rsidR="003164F5" w:rsidTr="00660907">
        <w:tc>
          <w:tcPr>
            <w:tcW w:w="2358" w:type="dxa"/>
          </w:tcPr>
          <w:p w:rsidR="003164F5" w:rsidRDefault="003164F5" w:rsidP="00660907">
            <w:r>
              <w:t>Anonymous</w:t>
            </w:r>
          </w:p>
        </w:tc>
        <w:tc>
          <w:tcPr>
            <w:tcW w:w="6030" w:type="dxa"/>
          </w:tcPr>
          <w:p w:rsidR="003164F5" w:rsidRDefault="003164F5" w:rsidP="00660907">
            <w:r>
              <w:t>Callers explicitly wishing to remain anonymous will not be contacted.</w:t>
            </w:r>
          </w:p>
        </w:tc>
        <w:tc>
          <w:tcPr>
            <w:tcW w:w="1800" w:type="dxa"/>
          </w:tcPr>
          <w:p w:rsidR="003164F5" w:rsidRDefault="003164F5" w:rsidP="00660907">
            <w:r>
              <w:t>N/A</w:t>
            </w:r>
          </w:p>
        </w:tc>
      </w:tr>
      <w:tr w:rsidR="003164F5" w:rsidTr="00660907">
        <w:tc>
          <w:tcPr>
            <w:tcW w:w="2358" w:type="dxa"/>
          </w:tcPr>
          <w:p w:rsidR="003164F5" w:rsidRDefault="003164F5" w:rsidP="00660907">
            <w:r>
              <w:t>Opt Outs</w:t>
            </w:r>
          </w:p>
        </w:tc>
        <w:tc>
          <w:tcPr>
            <w:tcW w:w="6030" w:type="dxa"/>
          </w:tcPr>
          <w:p w:rsidR="003164F5" w:rsidRDefault="003164F5" w:rsidP="00660907">
            <w:r>
              <w:t>Persons indicating their wish to opt out of either phone or online survey will no longer be contacted.</w:t>
            </w:r>
          </w:p>
        </w:tc>
        <w:tc>
          <w:tcPr>
            <w:tcW w:w="1800" w:type="dxa"/>
          </w:tcPr>
          <w:p w:rsidR="003164F5" w:rsidRDefault="003164F5" w:rsidP="00660907">
            <w:r>
              <w:t>N/A</w:t>
            </w:r>
          </w:p>
        </w:tc>
      </w:tr>
    </w:tbl>
    <w:p w:rsidR="00261120" w:rsidRDefault="00261120" w:rsidP="00212285"/>
    <w:sectPr w:rsidR="00261120" w:rsidSect="000F0F2E">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CA" w:rsidRDefault="00764ACA" w:rsidP="00587FFB">
      <w:pPr>
        <w:spacing w:after="0" w:line="240" w:lineRule="auto"/>
      </w:pPr>
      <w:r>
        <w:separator/>
      </w:r>
    </w:p>
  </w:endnote>
  <w:endnote w:type="continuationSeparator" w:id="0">
    <w:p w:rsidR="00764ACA" w:rsidRDefault="00764ACA" w:rsidP="0058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11" w:rsidRDefault="00B14511">
    <w:pPr>
      <w:pStyle w:val="Footer"/>
      <w:tabs>
        <w:tab w:val="clear" w:pos="4680"/>
        <w:tab w:val="clear" w:pos="9360"/>
      </w:tabs>
      <w:jc w:val="center"/>
      <w:rPr>
        <w:caps/>
        <w:noProof/>
        <w:color w:val="4472C4" w:themeColor="accent1"/>
      </w:rPr>
    </w:pPr>
    <w:r w:rsidRPr="009014DC">
      <w:rPr>
        <w:noProof/>
      </w:rPr>
      <w:drawing>
        <wp:anchor distT="0" distB="0" distL="114300" distR="114300" simplePos="0" relativeHeight="251659264" behindDoc="0" locked="0" layoutInCell="1" allowOverlap="1" wp14:anchorId="1618C184" wp14:editId="4EC4A6BD">
          <wp:simplePos x="0" y="0"/>
          <wp:positionH relativeFrom="margin">
            <wp:align>left</wp:align>
          </wp:positionH>
          <wp:positionV relativeFrom="paragraph">
            <wp:posOffset>-36995</wp:posOffset>
          </wp:positionV>
          <wp:extent cx="1353185" cy="385445"/>
          <wp:effectExtent l="0" t="0" r="0" b="0"/>
          <wp:wrapThrough wrapText="bothSides">
            <wp:wrapPolygon edited="0">
              <wp:start x="0" y="0"/>
              <wp:lineTo x="0" y="20283"/>
              <wp:lineTo x="21286" y="20283"/>
              <wp:lineTo x="21286"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
                    <a:extLst>
                      <a:ext uri="{28A0092B-C50C-407E-A947-70E740481C1C}">
                        <a14:useLocalDpi xmlns:a14="http://schemas.microsoft.com/office/drawing/2010/main" val="0"/>
                      </a:ext>
                    </a:extLst>
                  </a:blip>
                  <a:srcRect l="24339" t="23015" b="-2623"/>
                  <a:stretch/>
                </pic:blipFill>
                <pic:spPr>
                  <a:xfrm>
                    <a:off x="0" y="0"/>
                    <a:ext cx="1353185" cy="385445"/>
                  </a:xfrm>
                  <a:prstGeom prst="rect">
                    <a:avLst/>
                  </a:prstGeom>
                </pic:spPr>
              </pic:pic>
            </a:graphicData>
          </a:graphic>
        </wp:anchor>
      </w:drawing>
    </w:r>
    <w:r w:rsidR="007851B3">
      <w:rPr>
        <w:caps/>
        <w:color w:val="4472C4" w:themeColor="accent1"/>
      </w:rPr>
      <w:fldChar w:fldCharType="begin"/>
    </w:r>
    <w:r>
      <w:rPr>
        <w:caps/>
        <w:color w:val="4472C4" w:themeColor="accent1"/>
      </w:rPr>
      <w:instrText xml:space="preserve"> PAGE   \* MERGEFORMAT </w:instrText>
    </w:r>
    <w:r w:rsidR="007851B3">
      <w:rPr>
        <w:caps/>
        <w:color w:val="4472C4" w:themeColor="accent1"/>
      </w:rPr>
      <w:fldChar w:fldCharType="separate"/>
    </w:r>
    <w:r w:rsidR="00460D1A">
      <w:rPr>
        <w:caps/>
        <w:noProof/>
        <w:color w:val="4472C4" w:themeColor="accent1"/>
      </w:rPr>
      <w:t>1</w:t>
    </w:r>
    <w:r w:rsidR="007851B3">
      <w:rPr>
        <w:caps/>
        <w:noProof/>
        <w:color w:val="4472C4" w:themeColor="accent1"/>
      </w:rPr>
      <w:fldChar w:fldCharType="end"/>
    </w:r>
  </w:p>
  <w:p w:rsidR="000D481E" w:rsidRDefault="000D4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CA" w:rsidRDefault="00764ACA" w:rsidP="00587FFB">
      <w:pPr>
        <w:spacing w:after="0" w:line="240" w:lineRule="auto"/>
      </w:pPr>
      <w:r>
        <w:separator/>
      </w:r>
    </w:p>
  </w:footnote>
  <w:footnote w:type="continuationSeparator" w:id="0">
    <w:p w:rsidR="00764ACA" w:rsidRDefault="00764ACA" w:rsidP="00587F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355"/>
    <w:multiLevelType w:val="hybridMultilevel"/>
    <w:tmpl w:val="A35C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B68C6"/>
    <w:multiLevelType w:val="hybridMultilevel"/>
    <w:tmpl w:val="02AE490C"/>
    <w:lvl w:ilvl="0" w:tplc="E474F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AF4601"/>
    <w:multiLevelType w:val="hybridMultilevel"/>
    <w:tmpl w:val="2494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04124"/>
    <w:multiLevelType w:val="hybridMultilevel"/>
    <w:tmpl w:val="6E58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647C29"/>
    <w:multiLevelType w:val="hybridMultilevel"/>
    <w:tmpl w:val="0E763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A86847"/>
    <w:multiLevelType w:val="hybridMultilevel"/>
    <w:tmpl w:val="642E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349F"/>
    <w:rsid w:val="00004305"/>
    <w:rsid w:val="000047DC"/>
    <w:rsid w:val="00010D33"/>
    <w:rsid w:val="0001287D"/>
    <w:rsid w:val="0001753E"/>
    <w:rsid w:val="00021CC6"/>
    <w:rsid w:val="00024866"/>
    <w:rsid w:val="00025FE9"/>
    <w:rsid w:val="00026E34"/>
    <w:rsid w:val="000446A3"/>
    <w:rsid w:val="00051D28"/>
    <w:rsid w:val="0005691A"/>
    <w:rsid w:val="0005755A"/>
    <w:rsid w:val="000649FC"/>
    <w:rsid w:val="00067A5D"/>
    <w:rsid w:val="00076292"/>
    <w:rsid w:val="00081B3C"/>
    <w:rsid w:val="0008599B"/>
    <w:rsid w:val="000865B5"/>
    <w:rsid w:val="00095533"/>
    <w:rsid w:val="000A2CCB"/>
    <w:rsid w:val="000A4EB0"/>
    <w:rsid w:val="000B6DD8"/>
    <w:rsid w:val="000C5A87"/>
    <w:rsid w:val="000D481E"/>
    <w:rsid w:val="000D4D15"/>
    <w:rsid w:val="000D7D64"/>
    <w:rsid w:val="000E0074"/>
    <w:rsid w:val="000F0F2E"/>
    <w:rsid w:val="000F2F51"/>
    <w:rsid w:val="00100649"/>
    <w:rsid w:val="00104694"/>
    <w:rsid w:val="0010683B"/>
    <w:rsid w:val="0011200E"/>
    <w:rsid w:val="00116ED8"/>
    <w:rsid w:val="00126510"/>
    <w:rsid w:val="0013413E"/>
    <w:rsid w:val="0014391E"/>
    <w:rsid w:val="00150FFE"/>
    <w:rsid w:val="0015403A"/>
    <w:rsid w:val="00155DB0"/>
    <w:rsid w:val="00162093"/>
    <w:rsid w:val="00170491"/>
    <w:rsid w:val="00177C42"/>
    <w:rsid w:val="00190AF3"/>
    <w:rsid w:val="001961C6"/>
    <w:rsid w:val="001A00CD"/>
    <w:rsid w:val="001A139C"/>
    <w:rsid w:val="001B00DB"/>
    <w:rsid w:val="001B34B9"/>
    <w:rsid w:val="001B3649"/>
    <w:rsid w:val="001B4AE0"/>
    <w:rsid w:val="001B6923"/>
    <w:rsid w:val="001D1F8F"/>
    <w:rsid w:val="001E471E"/>
    <w:rsid w:val="001E4904"/>
    <w:rsid w:val="001E6ABD"/>
    <w:rsid w:val="001F1256"/>
    <w:rsid w:val="001F5686"/>
    <w:rsid w:val="00200638"/>
    <w:rsid w:val="00203E28"/>
    <w:rsid w:val="002068E9"/>
    <w:rsid w:val="002070F1"/>
    <w:rsid w:val="002103E0"/>
    <w:rsid w:val="00212285"/>
    <w:rsid w:val="00212B1E"/>
    <w:rsid w:val="00220606"/>
    <w:rsid w:val="00223AD1"/>
    <w:rsid w:val="00223DCD"/>
    <w:rsid w:val="00226500"/>
    <w:rsid w:val="00226879"/>
    <w:rsid w:val="00233EDE"/>
    <w:rsid w:val="00241508"/>
    <w:rsid w:val="002507BB"/>
    <w:rsid w:val="00251E43"/>
    <w:rsid w:val="0025295A"/>
    <w:rsid w:val="00261120"/>
    <w:rsid w:val="0026257B"/>
    <w:rsid w:val="002669A3"/>
    <w:rsid w:val="00274402"/>
    <w:rsid w:val="002749DE"/>
    <w:rsid w:val="0028486F"/>
    <w:rsid w:val="002874B4"/>
    <w:rsid w:val="00294661"/>
    <w:rsid w:val="002A01FB"/>
    <w:rsid w:val="002A081B"/>
    <w:rsid w:val="002B2561"/>
    <w:rsid w:val="002C1766"/>
    <w:rsid w:val="002D53DA"/>
    <w:rsid w:val="002D5D17"/>
    <w:rsid w:val="00313A60"/>
    <w:rsid w:val="00314B0C"/>
    <w:rsid w:val="003164F5"/>
    <w:rsid w:val="00316DD4"/>
    <w:rsid w:val="00323C43"/>
    <w:rsid w:val="00324F1F"/>
    <w:rsid w:val="00333381"/>
    <w:rsid w:val="0033349F"/>
    <w:rsid w:val="003336D3"/>
    <w:rsid w:val="00337A30"/>
    <w:rsid w:val="00340E71"/>
    <w:rsid w:val="0034441D"/>
    <w:rsid w:val="00345A3E"/>
    <w:rsid w:val="003462DF"/>
    <w:rsid w:val="003504BE"/>
    <w:rsid w:val="003532CF"/>
    <w:rsid w:val="00353704"/>
    <w:rsid w:val="00353E9B"/>
    <w:rsid w:val="003554F3"/>
    <w:rsid w:val="00362AF8"/>
    <w:rsid w:val="003711C8"/>
    <w:rsid w:val="00381860"/>
    <w:rsid w:val="00386182"/>
    <w:rsid w:val="00390245"/>
    <w:rsid w:val="003A451E"/>
    <w:rsid w:val="003A525D"/>
    <w:rsid w:val="003C000D"/>
    <w:rsid w:val="003C33A6"/>
    <w:rsid w:val="003D16A4"/>
    <w:rsid w:val="003D6439"/>
    <w:rsid w:val="003D6482"/>
    <w:rsid w:val="003D77BF"/>
    <w:rsid w:val="003E01E3"/>
    <w:rsid w:val="003F31AB"/>
    <w:rsid w:val="00404C9B"/>
    <w:rsid w:val="00407F36"/>
    <w:rsid w:val="0041565B"/>
    <w:rsid w:val="00417154"/>
    <w:rsid w:val="00436A30"/>
    <w:rsid w:val="00442224"/>
    <w:rsid w:val="00444FCA"/>
    <w:rsid w:val="00445F98"/>
    <w:rsid w:val="004508BB"/>
    <w:rsid w:val="00450B56"/>
    <w:rsid w:val="00456C83"/>
    <w:rsid w:val="00457736"/>
    <w:rsid w:val="00460D1A"/>
    <w:rsid w:val="00465D53"/>
    <w:rsid w:val="00473299"/>
    <w:rsid w:val="004738C9"/>
    <w:rsid w:val="00480C4E"/>
    <w:rsid w:val="00482928"/>
    <w:rsid w:val="00490B09"/>
    <w:rsid w:val="004A64E4"/>
    <w:rsid w:val="004A675C"/>
    <w:rsid w:val="004B7D10"/>
    <w:rsid w:val="004C246C"/>
    <w:rsid w:val="004C62EB"/>
    <w:rsid w:val="004C6580"/>
    <w:rsid w:val="004D19E2"/>
    <w:rsid w:val="004E2F25"/>
    <w:rsid w:val="004E5995"/>
    <w:rsid w:val="004E69C0"/>
    <w:rsid w:val="004F2BFF"/>
    <w:rsid w:val="004F78C1"/>
    <w:rsid w:val="00505700"/>
    <w:rsid w:val="00505855"/>
    <w:rsid w:val="005102E5"/>
    <w:rsid w:val="0051294E"/>
    <w:rsid w:val="00515D12"/>
    <w:rsid w:val="005162D2"/>
    <w:rsid w:val="005235C0"/>
    <w:rsid w:val="00541AEF"/>
    <w:rsid w:val="00542512"/>
    <w:rsid w:val="005447C6"/>
    <w:rsid w:val="00545F99"/>
    <w:rsid w:val="005528DA"/>
    <w:rsid w:val="005549F8"/>
    <w:rsid w:val="005631B3"/>
    <w:rsid w:val="00587FFB"/>
    <w:rsid w:val="005945DE"/>
    <w:rsid w:val="00596612"/>
    <w:rsid w:val="005A3C88"/>
    <w:rsid w:val="005A6247"/>
    <w:rsid w:val="005B1D44"/>
    <w:rsid w:val="005B6EEB"/>
    <w:rsid w:val="005B73A0"/>
    <w:rsid w:val="005D1CBF"/>
    <w:rsid w:val="005D6AD3"/>
    <w:rsid w:val="005E0FB5"/>
    <w:rsid w:val="005E1598"/>
    <w:rsid w:val="005F2097"/>
    <w:rsid w:val="006004EE"/>
    <w:rsid w:val="00610F09"/>
    <w:rsid w:val="00611F9E"/>
    <w:rsid w:val="00612CC8"/>
    <w:rsid w:val="0061391F"/>
    <w:rsid w:val="00622613"/>
    <w:rsid w:val="00624198"/>
    <w:rsid w:val="00630C98"/>
    <w:rsid w:val="00633140"/>
    <w:rsid w:val="006357CB"/>
    <w:rsid w:val="00636969"/>
    <w:rsid w:val="00644FEC"/>
    <w:rsid w:val="0064679A"/>
    <w:rsid w:val="00655BD8"/>
    <w:rsid w:val="0066352C"/>
    <w:rsid w:val="0066485A"/>
    <w:rsid w:val="006706D2"/>
    <w:rsid w:val="00670AAD"/>
    <w:rsid w:val="00683D97"/>
    <w:rsid w:val="00684969"/>
    <w:rsid w:val="00694D35"/>
    <w:rsid w:val="006A1616"/>
    <w:rsid w:val="006A5A80"/>
    <w:rsid w:val="006B2691"/>
    <w:rsid w:val="006B355B"/>
    <w:rsid w:val="006B486A"/>
    <w:rsid w:val="006C24D5"/>
    <w:rsid w:val="006C3897"/>
    <w:rsid w:val="006D2F3A"/>
    <w:rsid w:val="006D3EEF"/>
    <w:rsid w:val="006D48B7"/>
    <w:rsid w:val="006E43F6"/>
    <w:rsid w:val="006E4D35"/>
    <w:rsid w:val="00700E2A"/>
    <w:rsid w:val="00703595"/>
    <w:rsid w:val="00704E66"/>
    <w:rsid w:val="00713C5B"/>
    <w:rsid w:val="007202B4"/>
    <w:rsid w:val="007244DF"/>
    <w:rsid w:val="007252A6"/>
    <w:rsid w:val="00732134"/>
    <w:rsid w:val="0074159B"/>
    <w:rsid w:val="0074180B"/>
    <w:rsid w:val="007476D9"/>
    <w:rsid w:val="00764ACA"/>
    <w:rsid w:val="00771CBD"/>
    <w:rsid w:val="007731DA"/>
    <w:rsid w:val="007751B1"/>
    <w:rsid w:val="00775CE5"/>
    <w:rsid w:val="007851B3"/>
    <w:rsid w:val="00786C50"/>
    <w:rsid w:val="007A2819"/>
    <w:rsid w:val="007A6425"/>
    <w:rsid w:val="007B0117"/>
    <w:rsid w:val="007B1175"/>
    <w:rsid w:val="007C2B7A"/>
    <w:rsid w:val="007C58A8"/>
    <w:rsid w:val="007D3E3C"/>
    <w:rsid w:val="007F49E7"/>
    <w:rsid w:val="00801945"/>
    <w:rsid w:val="008027B7"/>
    <w:rsid w:val="00804291"/>
    <w:rsid w:val="00811364"/>
    <w:rsid w:val="00813171"/>
    <w:rsid w:val="00820D92"/>
    <w:rsid w:val="0082189A"/>
    <w:rsid w:val="00827F5F"/>
    <w:rsid w:val="00834870"/>
    <w:rsid w:val="008440C5"/>
    <w:rsid w:val="00844E72"/>
    <w:rsid w:val="00845240"/>
    <w:rsid w:val="00846D62"/>
    <w:rsid w:val="008621C6"/>
    <w:rsid w:val="00865B4C"/>
    <w:rsid w:val="00870EBA"/>
    <w:rsid w:val="00874489"/>
    <w:rsid w:val="0087626F"/>
    <w:rsid w:val="00883A37"/>
    <w:rsid w:val="00887348"/>
    <w:rsid w:val="00887CCB"/>
    <w:rsid w:val="008930E2"/>
    <w:rsid w:val="00893217"/>
    <w:rsid w:val="008A1648"/>
    <w:rsid w:val="008B2D97"/>
    <w:rsid w:val="008B359A"/>
    <w:rsid w:val="008C07B1"/>
    <w:rsid w:val="008C3715"/>
    <w:rsid w:val="008C6FC2"/>
    <w:rsid w:val="008D1424"/>
    <w:rsid w:val="008D1FC6"/>
    <w:rsid w:val="008E5D04"/>
    <w:rsid w:val="008E6F92"/>
    <w:rsid w:val="008E75F3"/>
    <w:rsid w:val="008F4413"/>
    <w:rsid w:val="008F524F"/>
    <w:rsid w:val="008F6D95"/>
    <w:rsid w:val="008F7183"/>
    <w:rsid w:val="008F7653"/>
    <w:rsid w:val="00904A4E"/>
    <w:rsid w:val="00907C34"/>
    <w:rsid w:val="00933AB4"/>
    <w:rsid w:val="0093447E"/>
    <w:rsid w:val="00937EF1"/>
    <w:rsid w:val="00941042"/>
    <w:rsid w:val="0094331C"/>
    <w:rsid w:val="00944623"/>
    <w:rsid w:val="00944B55"/>
    <w:rsid w:val="0095734E"/>
    <w:rsid w:val="00960908"/>
    <w:rsid w:val="009653C6"/>
    <w:rsid w:val="00967050"/>
    <w:rsid w:val="009842BD"/>
    <w:rsid w:val="00986123"/>
    <w:rsid w:val="00986671"/>
    <w:rsid w:val="009912FE"/>
    <w:rsid w:val="00995119"/>
    <w:rsid w:val="009A399A"/>
    <w:rsid w:val="009A7CBB"/>
    <w:rsid w:val="009B61A6"/>
    <w:rsid w:val="009C03B6"/>
    <w:rsid w:val="009D1B81"/>
    <w:rsid w:val="009D616D"/>
    <w:rsid w:val="009E1C1A"/>
    <w:rsid w:val="009E7888"/>
    <w:rsid w:val="009F124F"/>
    <w:rsid w:val="009F2C63"/>
    <w:rsid w:val="009F6761"/>
    <w:rsid w:val="00A07D33"/>
    <w:rsid w:val="00A143A2"/>
    <w:rsid w:val="00A14E29"/>
    <w:rsid w:val="00A2016D"/>
    <w:rsid w:val="00A24782"/>
    <w:rsid w:val="00A25847"/>
    <w:rsid w:val="00A32457"/>
    <w:rsid w:val="00A436B2"/>
    <w:rsid w:val="00A47902"/>
    <w:rsid w:val="00A51840"/>
    <w:rsid w:val="00A523FA"/>
    <w:rsid w:val="00A52FC6"/>
    <w:rsid w:val="00A57AFE"/>
    <w:rsid w:val="00A666D2"/>
    <w:rsid w:val="00A73853"/>
    <w:rsid w:val="00A76D8C"/>
    <w:rsid w:val="00A93252"/>
    <w:rsid w:val="00AA147A"/>
    <w:rsid w:val="00AA4EB5"/>
    <w:rsid w:val="00AA7466"/>
    <w:rsid w:val="00AB2BF2"/>
    <w:rsid w:val="00AB2FA7"/>
    <w:rsid w:val="00AC738C"/>
    <w:rsid w:val="00AD0228"/>
    <w:rsid w:val="00AD2905"/>
    <w:rsid w:val="00AD4E7E"/>
    <w:rsid w:val="00AD5A09"/>
    <w:rsid w:val="00AD5C86"/>
    <w:rsid w:val="00AD7FCB"/>
    <w:rsid w:val="00AE4BD0"/>
    <w:rsid w:val="00AF70FD"/>
    <w:rsid w:val="00B00623"/>
    <w:rsid w:val="00B050F4"/>
    <w:rsid w:val="00B14511"/>
    <w:rsid w:val="00B215F1"/>
    <w:rsid w:val="00B222F0"/>
    <w:rsid w:val="00B2796B"/>
    <w:rsid w:val="00B30BB6"/>
    <w:rsid w:val="00B35442"/>
    <w:rsid w:val="00B35994"/>
    <w:rsid w:val="00B42AFC"/>
    <w:rsid w:val="00B53367"/>
    <w:rsid w:val="00B60B0E"/>
    <w:rsid w:val="00B65BFF"/>
    <w:rsid w:val="00B660D4"/>
    <w:rsid w:val="00B718E1"/>
    <w:rsid w:val="00B72B25"/>
    <w:rsid w:val="00B80B6C"/>
    <w:rsid w:val="00B81732"/>
    <w:rsid w:val="00B84549"/>
    <w:rsid w:val="00B91636"/>
    <w:rsid w:val="00B973BA"/>
    <w:rsid w:val="00BA1976"/>
    <w:rsid w:val="00BA4E80"/>
    <w:rsid w:val="00BB12FC"/>
    <w:rsid w:val="00BB2AD8"/>
    <w:rsid w:val="00BC34CB"/>
    <w:rsid w:val="00BC4AE9"/>
    <w:rsid w:val="00BE1231"/>
    <w:rsid w:val="00BE7B44"/>
    <w:rsid w:val="00BF02FE"/>
    <w:rsid w:val="00BF70F0"/>
    <w:rsid w:val="00C00300"/>
    <w:rsid w:val="00C00CCB"/>
    <w:rsid w:val="00C128CE"/>
    <w:rsid w:val="00C12B5A"/>
    <w:rsid w:val="00C13577"/>
    <w:rsid w:val="00C13CD3"/>
    <w:rsid w:val="00C1495A"/>
    <w:rsid w:val="00C14CAA"/>
    <w:rsid w:val="00C168B0"/>
    <w:rsid w:val="00C248ED"/>
    <w:rsid w:val="00C31051"/>
    <w:rsid w:val="00C32B1B"/>
    <w:rsid w:val="00C42262"/>
    <w:rsid w:val="00C4396D"/>
    <w:rsid w:val="00C47072"/>
    <w:rsid w:val="00C50CFF"/>
    <w:rsid w:val="00C51D9E"/>
    <w:rsid w:val="00C531E8"/>
    <w:rsid w:val="00C57A2E"/>
    <w:rsid w:val="00C57B8E"/>
    <w:rsid w:val="00C7045C"/>
    <w:rsid w:val="00C70A73"/>
    <w:rsid w:val="00C757FA"/>
    <w:rsid w:val="00C85A25"/>
    <w:rsid w:val="00C85AA6"/>
    <w:rsid w:val="00C85DAF"/>
    <w:rsid w:val="00C90356"/>
    <w:rsid w:val="00C97D6B"/>
    <w:rsid w:val="00CA2D4E"/>
    <w:rsid w:val="00CA3A8B"/>
    <w:rsid w:val="00CA54EA"/>
    <w:rsid w:val="00CB114A"/>
    <w:rsid w:val="00CB1E9B"/>
    <w:rsid w:val="00CC326C"/>
    <w:rsid w:val="00CC349B"/>
    <w:rsid w:val="00CC5391"/>
    <w:rsid w:val="00CD1C70"/>
    <w:rsid w:val="00CD691A"/>
    <w:rsid w:val="00CE534F"/>
    <w:rsid w:val="00CF2EC0"/>
    <w:rsid w:val="00D0175A"/>
    <w:rsid w:val="00D04EC4"/>
    <w:rsid w:val="00D1682F"/>
    <w:rsid w:val="00D23221"/>
    <w:rsid w:val="00D30B2E"/>
    <w:rsid w:val="00D45271"/>
    <w:rsid w:val="00D46B73"/>
    <w:rsid w:val="00D559E8"/>
    <w:rsid w:val="00D57ECB"/>
    <w:rsid w:val="00D61DED"/>
    <w:rsid w:val="00D6382F"/>
    <w:rsid w:val="00D64CED"/>
    <w:rsid w:val="00D721D3"/>
    <w:rsid w:val="00D76C0A"/>
    <w:rsid w:val="00D8409B"/>
    <w:rsid w:val="00D9681D"/>
    <w:rsid w:val="00DC4EA2"/>
    <w:rsid w:val="00DC6E52"/>
    <w:rsid w:val="00DD3068"/>
    <w:rsid w:val="00DD753E"/>
    <w:rsid w:val="00DF3C2C"/>
    <w:rsid w:val="00DF7C95"/>
    <w:rsid w:val="00E00B30"/>
    <w:rsid w:val="00E17874"/>
    <w:rsid w:val="00E25636"/>
    <w:rsid w:val="00E257CF"/>
    <w:rsid w:val="00E4130B"/>
    <w:rsid w:val="00E42264"/>
    <w:rsid w:val="00E57DED"/>
    <w:rsid w:val="00E64027"/>
    <w:rsid w:val="00E74B1A"/>
    <w:rsid w:val="00E74BB6"/>
    <w:rsid w:val="00E75E9E"/>
    <w:rsid w:val="00EC3B0B"/>
    <w:rsid w:val="00EC5F6E"/>
    <w:rsid w:val="00EC773A"/>
    <w:rsid w:val="00ED056D"/>
    <w:rsid w:val="00EE7DC4"/>
    <w:rsid w:val="00EF1490"/>
    <w:rsid w:val="00EF6776"/>
    <w:rsid w:val="00F0785C"/>
    <w:rsid w:val="00F10F1A"/>
    <w:rsid w:val="00F12ABD"/>
    <w:rsid w:val="00F15774"/>
    <w:rsid w:val="00F22F88"/>
    <w:rsid w:val="00F27714"/>
    <w:rsid w:val="00F319E3"/>
    <w:rsid w:val="00F324AD"/>
    <w:rsid w:val="00F377A1"/>
    <w:rsid w:val="00F41A42"/>
    <w:rsid w:val="00F42503"/>
    <w:rsid w:val="00F42F50"/>
    <w:rsid w:val="00F43904"/>
    <w:rsid w:val="00F5111D"/>
    <w:rsid w:val="00F5475E"/>
    <w:rsid w:val="00F60833"/>
    <w:rsid w:val="00F6219A"/>
    <w:rsid w:val="00F631C8"/>
    <w:rsid w:val="00F93D13"/>
    <w:rsid w:val="00FA3125"/>
    <w:rsid w:val="00FA434E"/>
    <w:rsid w:val="00FA622B"/>
    <w:rsid w:val="00FB1391"/>
    <w:rsid w:val="00FC1D5E"/>
    <w:rsid w:val="00FD66EF"/>
    <w:rsid w:val="00FE1197"/>
    <w:rsid w:val="00FE13D8"/>
    <w:rsid w:val="00FE2991"/>
    <w:rsid w:val="00FE3350"/>
    <w:rsid w:val="00FE4188"/>
    <w:rsid w:val="00FE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222F0"/>
    <w:pPr>
      <w:ind w:left="720"/>
      <w:contextualSpacing/>
    </w:pPr>
  </w:style>
  <w:style w:type="character" w:styleId="CommentReference">
    <w:name w:val="annotation reference"/>
    <w:basedOn w:val="DefaultParagraphFont"/>
    <w:uiPriority w:val="99"/>
    <w:semiHidden/>
    <w:unhideWhenUsed/>
    <w:rsid w:val="007C2B7A"/>
    <w:rPr>
      <w:sz w:val="16"/>
      <w:szCs w:val="16"/>
    </w:rPr>
  </w:style>
  <w:style w:type="paragraph" w:styleId="CommentText">
    <w:name w:val="annotation text"/>
    <w:basedOn w:val="Normal"/>
    <w:link w:val="CommentTextChar"/>
    <w:uiPriority w:val="99"/>
    <w:semiHidden/>
    <w:unhideWhenUsed/>
    <w:rsid w:val="007C2B7A"/>
    <w:pPr>
      <w:spacing w:line="240" w:lineRule="auto"/>
    </w:pPr>
    <w:rPr>
      <w:sz w:val="20"/>
      <w:szCs w:val="20"/>
    </w:rPr>
  </w:style>
  <w:style w:type="character" w:customStyle="1" w:styleId="CommentTextChar">
    <w:name w:val="Comment Text Char"/>
    <w:basedOn w:val="DefaultParagraphFont"/>
    <w:link w:val="CommentText"/>
    <w:uiPriority w:val="99"/>
    <w:semiHidden/>
    <w:rsid w:val="007C2B7A"/>
    <w:rPr>
      <w:sz w:val="20"/>
      <w:szCs w:val="20"/>
    </w:rPr>
  </w:style>
  <w:style w:type="paragraph" w:styleId="CommentSubject">
    <w:name w:val="annotation subject"/>
    <w:basedOn w:val="CommentText"/>
    <w:next w:val="CommentText"/>
    <w:link w:val="CommentSubjectChar"/>
    <w:uiPriority w:val="99"/>
    <w:semiHidden/>
    <w:unhideWhenUsed/>
    <w:rsid w:val="007C2B7A"/>
    <w:rPr>
      <w:b/>
      <w:bCs/>
    </w:rPr>
  </w:style>
  <w:style w:type="character" w:customStyle="1" w:styleId="CommentSubjectChar">
    <w:name w:val="Comment Subject Char"/>
    <w:basedOn w:val="CommentTextChar"/>
    <w:link w:val="CommentSubject"/>
    <w:uiPriority w:val="99"/>
    <w:semiHidden/>
    <w:rsid w:val="007C2B7A"/>
    <w:rPr>
      <w:b/>
      <w:bCs/>
      <w:sz w:val="20"/>
      <w:szCs w:val="20"/>
    </w:rPr>
  </w:style>
  <w:style w:type="paragraph" w:styleId="BalloonText">
    <w:name w:val="Balloon Text"/>
    <w:basedOn w:val="Normal"/>
    <w:link w:val="BalloonTextChar"/>
    <w:uiPriority w:val="99"/>
    <w:semiHidden/>
    <w:unhideWhenUsed/>
    <w:rsid w:val="007C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7A"/>
    <w:rPr>
      <w:rFonts w:ascii="Tahoma" w:hAnsi="Tahoma" w:cs="Tahoma"/>
      <w:sz w:val="16"/>
      <w:szCs w:val="16"/>
    </w:rPr>
  </w:style>
  <w:style w:type="paragraph" w:styleId="Header">
    <w:name w:val="header"/>
    <w:basedOn w:val="Normal"/>
    <w:link w:val="HeaderChar"/>
    <w:uiPriority w:val="99"/>
    <w:unhideWhenUsed/>
    <w:rsid w:val="00587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FFB"/>
  </w:style>
  <w:style w:type="paragraph" w:styleId="Footer">
    <w:name w:val="footer"/>
    <w:basedOn w:val="Normal"/>
    <w:link w:val="FooterChar"/>
    <w:uiPriority w:val="99"/>
    <w:unhideWhenUsed/>
    <w:rsid w:val="00587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FFB"/>
  </w:style>
  <w:style w:type="paragraph" w:styleId="Revision">
    <w:name w:val="Revision"/>
    <w:hidden/>
    <w:uiPriority w:val="99"/>
    <w:semiHidden/>
    <w:rsid w:val="007252A6"/>
    <w:pPr>
      <w:spacing w:after="0" w:line="240" w:lineRule="auto"/>
    </w:pPr>
  </w:style>
  <w:style w:type="character" w:customStyle="1" w:styleId="ListParagraphChar">
    <w:name w:val="List Paragraph Char"/>
    <w:basedOn w:val="DefaultParagraphFont"/>
    <w:link w:val="ListParagraph"/>
    <w:uiPriority w:val="34"/>
    <w:locked/>
    <w:rsid w:val="00B2796B"/>
  </w:style>
  <w:style w:type="character" w:customStyle="1" w:styleId="ilfuvd">
    <w:name w:val="ilfuvd"/>
    <w:basedOn w:val="DefaultParagraphFont"/>
    <w:rsid w:val="00944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222F0"/>
    <w:pPr>
      <w:ind w:left="720"/>
      <w:contextualSpacing/>
    </w:pPr>
  </w:style>
  <w:style w:type="character" w:styleId="CommentReference">
    <w:name w:val="annotation reference"/>
    <w:basedOn w:val="DefaultParagraphFont"/>
    <w:uiPriority w:val="99"/>
    <w:semiHidden/>
    <w:unhideWhenUsed/>
    <w:rsid w:val="007C2B7A"/>
    <w:rPr>
      <w:sz w:val="16"/>
      <w:szCs w:val="16"/>
    </w:rPr>
  </w:style>
  <w:style w:type="paragraph" w:styleId="CommentText">
    <w:name w:val="annotation text"/>
    <w:basedOn w:val="Normal"/>
    <w:link w:val="CommentTextChar"/>
    <w:uiPriority w:val="99"/>
    <w:semiHidden/>
    <w:unhideWhenUsed/>
    <w:rsid w:val="007C2B7A"/>
    <w:pPr>
      <w:spacing w:line="240" w:lineRule="auto"/>
    </w:pPr>
    <w:rPr>
      <w:sz w:val="20"/>
      <w:szCs w:val="20"/>
    </w:rPr>
  </w:style>
  <w:style w:type="character" w:customStyle="1" w:styleId="CommentTextChar">
    <w:name w:val="Comment Text Char"/>
    <w:basedOn w:val="DefaultParagraphFont"/>
    <w:link w:val="CommentText"/>
    <w:uiPriority w:val="99"/>
    <w:semiHidden/>
    <w:rsid w:val="007C2B7A"/>
    <w:rPr>
      <w:sz w:val="20"/>
      <w:szCs w:val="20"/>
    </w:rPr>
  </w:style>
  <w:style w:type="paragraph" w:styleId="CommentSubject">
    <w:name w:val="annotation subject"/>
    <w:basedOn w:val="CommentText"/>
    <w:next w:val="CommentText"/>
    <w:link w:val="CommentSubjectChar"/>
    <w:uiPriority w:val="99"/>
    <w:semiHidden/>
    <w:unhideWhenUsed/>
    <w:rsid w:val="007C2B7A"/>
    <w:rPr>
      <w:b/>
      <w:bCs/>
    </w:rPr>
  </w:style>
  <w:style w:type="character" w:customStyle="1" w:styleId="CommentSubjectChar">
    <w:name w:val="Comment Subject Char"/>
    <w:basedOn w:val="CommentTextChar"/>
    <w:link w:val="CommentSubject"/>
    <w:uiPriority w:val="99"/>
    <w:semiHidden/>
    <w:rsid w:val="007C2B7A"/>
    <w:rPr>
      <w:b/>
      <w:bCs/>
      <w:sz w:val="20"/>
      <w:szCs w:val="20"/>
    </w:rPr>
  </w:style>
  <w:style w:type="paragraph" w:styleId="BalloonText">
    <w:name w:val="Balloon Text"/>
    <w:basedOn w:val="Normal"/>
    <w:link w:val="BalloonTextChar"/>
    <w:uiPriority w:val="99"/>
    <w:semiHidden/>
    <w:unhideWhenUsed/>
    <w:rsid w:val="007C2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7A"/>
    <w:rPr>
      <w:rFonts w:ascii="Tahoma" w:hAnsi="Tahoma" w:cs="Tahoma"/>
      <w:sz w:val="16"/>
      <w:szCs w:val="16"/>
    </w:rPr>
  </w:style>
  <w:style w:type="paragraph" w:styleId="Header">
    <w:name w:val="header"/>
    <w:basedOn w:val="Normal"/>
    <w:link w:val="HeaderChar"/>
    <w:uiPriority w:val="99"/>
    <w:unhideWhenUsed/>
    <w:rsid w:val="00587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FFB"/>
  </w:style>
  <w:style w:type="paragraph" w:styleId="Footer">
    <w:name w:val="footer"/>
    <w:basedOn w:val="Normal"/>
    <w:link w:val="FooterChar"/>
    <w:uiPriority w:val="99"/>
    <w:unhideWhenUsed/>
    <w:rsid w:val="00587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FFB"/>
  </w:style>
  <w:style w:type="paragraph" w:styleId="Revision">
    <w:name w:val="Revision"/>
    <w:hidden/>
    <w:uiPriority w:val="99"/>
    <w:semiHidden/>
    <w:rsid w:val="007252A6"/>
    <w:pPr>
      <w:spacing w:after="0" w:line="240" w:lineRule="auto"/>
    </w:pPr>
  </w:style>
  <w:style w:type="character" w:customStyle="1" w:styleId="ListParagraphChar">
    <w:name w:val="List Paragraph Char"/>
    <w:basedOn w:val="DefaultParagraphFont"/>
    <w:link w:val="ListParagraph"/>
    <w:uiPriority w:val="34"/>
    <w:locked/>
    <w:rsid w:val="00B2796B"/>
  </w:style>
  <w:style w:type="character" w:customStyle="1" w:styleId="ilfuvd">
    <w:name w:val="ilfuvd"/>
    <w:basedOn w:val="DefaultParagraphFont"/>
    <w:rsid w:val="0094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CFA4110D10244B127831A06365CDD" ma:contentTypeVersion="0" ma:contentTypeDescription="Create a new document." ma:contentTypeScope="" ma:versionID="d0dd594416892e6a3ebfdca0d2c206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C3609-9BAA-4376-8B28-1CCC8CF600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666A7A-E1D9-41FD-A06A-8AF2B004FC1A}">
  <ds:schemaRefs>
    <ds:schemaRef ds:uri="http://schemas.microsoft.com/sharepoint/v3/contenttype/forms"/>
  </ds:schemaRefs>
</ds:datastoreItem>
</file>

<file path=customXml/itemProps3.xml><?xml version="1.0" encoding="utf-8"?>
<ds:datastoreItem xmlns:ds="http://schemas.openxmlformats.org/officeDocument/2006/customXml" ds:itemID="{A0F96F9B-41E1-486A-8D16-D870993BE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Waldron, Will [USA]</dc:creator>
  <cp:lastModifiedBy>SYSTEM</cp:lastModifiedBy>
  <cp:revision>2</cp:revision>
  <dcterms:created xsi:type="dcterms:W3CDTF">2018-06-21T18:30:00Z</dcterms:created>
  <dcterms:modified xsi:type="dcterms:W3CDTF">2018-06-21T18:30:00Z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0x0101004BACFA4110D10244B127831A06365CDD</vt:lpwstr>
  </property>
</Properties>
</file>