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7103" w14:textId="77777777" w:rsidR="00624198" w:rsidRDefault="00624198" w:rsidP="00B660D4">
      <w:pPr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6317FA" wp14:editId="339BA4B1">
            <wp:extent cx="324802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3E22" w14:textId="77777777" w:rsidR="00624198" w:rsidRDefault="009842BD" w:rsidP="00624198">
      <w:pPr>
        <w:jc w:val="center"/>
        <w:rPr>
          <w:rFonts w:ascii="Georgia" w:hAnsi="Georgia"/>
          <w:b/>
          <w:caps/>
          <w:sz w:val="24"/>
          <w:szCs w:val="24"/>
        </w:rPr>
      </w:pPr>
      <w:r>
        <w:rPr>
          <w:rFonts w:ascii="Georgia" w:hAnsi="Georgia"/>
          <w:b/>
          <w:caps/>
          <w:sz w:val="24"/>
          <w:szCs w:val="24"/>
        </w:rPr>
        <w:t>Board of Veterans</w:t>
      </w:r>
      <w:r w:rsidR="004236C1">
        <w:rPr>
          <w:rFonts w:ascii="Georgia" w:hAnsi="Georgia"/>
          <w:b/>
          <w:caps/>
          <w:sz w:val="24"/>
          <w:szCs w:val="24"/>
        </w:rPr>
        <w:t>’</w:t>
      </w:r>
      <w:r>
        <w:rPr>
          <w:rFonts w:ascii="Georgia" w:hAnsi="Georgia"/>
          <w:b/>
          <w:caps/>
          <w:sz w:val="24"/>
          <w:szCs w:val="24"/>
        </w:rPr>
        <w:t xml:space="preserve"> Appeals</w:t>
      </w:r>
      <w:r w:rsidR="00775CE5">
        <w:rPr>
          <w:rFonts w:ascii="Georgia" w:hAnsi="Georgia"/>
          <w:b/>
          <w:caps/>
          <w:sz w:val="24"/>
          <w:szCs w:val="24"/>
        </w:rPr>
        <w:t xml:space="preserve"> survey</w:t>
      </w:r>
    </w:p>
    <w:p w14:paraId="3AC1611D" w14:textId="77777777" w:rsidR="00624198" w:rsidRDefault="00624198" w:rsidP="00624198">
      <w:pPr>
        <w:jc w:val="center"/>
        <w:rPr>
          <w:rFonts w:ascii="Georgia" w:hAnsi="Georgia"/>
          <w:b/>
          <w:caps/>
          <w:sz w:val="24"/>
          <w:szCs w:val="24"/>
        </w:rPr>
      </w:pPr>
      <w:r>
        <w:rPr>
          <w:rFonts w:ascii="Georgia" w:hAnsi="Georgia"/>
          <w:b/>
          <w:caps/>
          <w:sz w:val="24"/>
          <w:szCs w:val="24"/>
        </w:rPr>
        <w:t xml:space="preserve">methodology brief: </w:t>
      </w:r>
      <w:r w:rsidR="00775CE5">
        <w:rPr>
          <w:rFonts w:ascii="Georgia" w:hAnsi="Georgia"/>
          <w:b/>
          <w:caps/>
          <w:sz w:val="24"/>
          <w:szCs w:val="24"/>
        </w:rPr>
        <w:t>sample design</w:t>
      </w:r>
    </w:p>
    <w:p w14:paraId="27B7694F" w14:textId="77777777" w:rsidR="007F49E7" w:rsidRPr="00DC6E52" w:rsidRDefault="007F49E7" w:rsidP="007F49E7">
      <w:pPr>
        <w:rPr>
          <w:color w:val="4472C4" w:themeColor="accent1"/>
        </w:rPr>
      </w:pPr>
      <w:r w:rsidRPr="00DC6E52">
        <w:rPr>
          <w:b/>
          <w:color w:val="4472C4" w:themeColor="accent1"/>
        </w:rPr>
        <w:t>Introduction</w:t>
      </w:r>
    </w:p>
    <w:p w14:paraId="0A905F77" w14:textId="329545B3" w:rsidR="00402D14" w:rsidRDefault="00820D92" w:rsidP="00337A30">
      <w:pPr>
        <w:ind w:firstLine="720"/>
      </w:pPr>
      <w:r>
        <w:t>The Board of Veterans</w:t>
      </w:r>
      <w:r w:rsidR="006D52C3">
        <w:t>’</w:t>
      </w:r>
      <w:r w:rsidR="00181B41">
        <w:t xml:space="preserve"> Appeals </w:t>
      </w:r>
      <w:r w:rsidR="00273B48">
        <w:t>is a tribunal within the</w:t>
      </w:r>
      <w:r>
        <w:t xml:space="preserve"> Department of Veterans Affairs (VA)</w:t>
      </w:r>
      <w:r w:rsidR="00273B48">
        <w:t xml:space="preserve"> which</w:t>
      </w:r>
      <w:r>
        <w:t xml:space="preserve"> determines whether </w:t>
      </w:r>
      <w:r w:rsidR="00C85AA6">
        <w:t>V</w:t>
      </w:r>
      <w:r>
        <w:t>eterans are entitled to claimed benefits</w:t>
      </w:r>
      <w:r w:rsidR="00C85AA6">
        <w:t xml:space="preserve"> which have initially been denied or reduced</w:t>
      </w:r>
      <w:r>
        <w:t xml:space="preserve">. Its mission is </w:t>
      </w:r>
      <w:r w:rsidR="00273B48">
        <w:t xml:space="preserve">to </w:t>
      </w:r>
      <w:r w:rsidR="00C85AA6">
        <w:t>pass proper judgement on</w:t>
      </w:r>
      <w:r w:rsidR="00C85AA6" w:rsidRPr="00820D92">
        <w:t xml:space="preserve"> </w:t>
      </w:r>
      <w:r w:rsidRPr="00820D92">
        <w:t>appeals in a timely manner</w:t>
      </w:r>
      <w:r w:rsidR="00A04056">
        <w:t>, conducting hearings as needed</w:t>
      </w:r>
      <w:r>
        <w:t>.</w:t>
      </w:r>
      <w:r w:rsidR="004C6580">
        <w:t xml:space="preserve"> </w:t>
      </w:r>
      <w:r w:rsidR="00150FFE">
        <w:t xml:space="preserve">The vast majority of appeals involve </w:t>
      </w:r>
      <w:r w:rsidR="00150FFE" w:rsidRPr="00150FFE">
        <w:t>claims for disability compensation</w:t>
      </w:r>
      <w:r w:rsidR="00C85AA6">
        <w:t>, in addition to other</w:t>
      </w:r>
      <w:r w:rsidR="005226DF">
        <w:t xml:space="preserve"> V</w:t>
      </w:r>
      <w:r w:rsidR="00150FFE">
        <w:t xml:space="preserve">eteran benefits. </w:t>
      </w:r>
      <w:r w:rsidR="00EC15A4">
        <w:t xml:space="preserve">The Board </w:t>
      </w:r>
      <w:r w:rsidR="00150FFE">
        <w:t xml:space="preserve">allows </w:t>
      </w:r>
      <w:r w:rsidR="00C85AA6">
        <w:t>Veterans</w:t>
      </w:r>
      <w:r w:rsidR="00DF75A8">
        <w:t xml:space="preserve"> to</w:t>
      </w:r>
      <w:r w:rsidR="00C85AA6">
        <w:t xml:space="preserve"> </w:t>
      </w:r>
      <w:r w:rsidR="00EC15A4">
        <w:t xml:space="preserve">file an appeal </w:t>
      </w:r>
      <w:r w:rsidR="003C6E38">
        <w:t>of</w:t>
      </w:r>
      <w:r w:rsidR="00EC15A4">
        <w:t xml:space="preserve"> their</w:t>
      </w:r>
      <w:r w:rsidR="00A04056">
        <w:t xml:space="preserve"> case </w:t>
      </w:r>
      <w:r w:rsidR="00EC15A4">
        <w:t>following a decision from the Veteran Benefits Associat</w:t>
      </w:r>
      <w:r w:rsidR="00181B41">
        <w:t>i</w:t>
      </w:r>
      <w:r w:rsidR="00EC15A4">
        <w:t>on (</w:t>
      </w:r>
      <w:r w:rsidR="00181B41">
        <w:t>VBA</w:t>
      </w:r>
      <w:r w:rsidR="00EC15A4">
        <w:t xml:space="preserve">). If the file to appeal is approved, the </w:t>
      </w:r>
      <w:r w:rsidR="00C14CAA" w:rsidRPr="00C14CAA">
        <w:t>Veteran</w:t>
      </w:r>
      <w:r w:rsidR="00EC15A4">
        <w:t xml:space="preserve"> will present their case </w:t>
      </w:r>
      <w:r w:rsidR="00181B41">
        <w:t xml:space="preserve">information </w:t>
      </w:r>
      <w:r w:rsidR="00035DDA">
        <w:t>to</w:t>
      </w:r>
      <w:r w:rsidR="00EC15A4">
        <w:t xml:space="preserve"> a</w:t>
      </w:r>
      <w:r w:rsidR="00C14CAA" w:rsidRPr="00C14CAA">
        <w:t xml:space="preserve"> </w:t>
      </w:r>
      <w:r w:rsidR="00EC15A4">
        <w:t xml:space="preserve">Veterans </w:t>
      </w:r>
      <w:r w:rsidR="00C14CAA" w:rsidRPr="00C14CAA">
        <w:t>Law Judge</w:t>
      </w:r>
      <w:r w:rsidR="00EC15A4">
        <w:t xml:space="preserve"> (VLJ).The VLJ will review the case and d</w:t>
      </w:r>
      <w:r w:rsidR="008E6F92">
        <w:t>eter</w:t>
      </w:r>
      <w:r w:rsidR="00EC15A4">
        <w:t xml:space="preserve">mine if the claim is granted or </w:t>
      </w:r>
      <w:r w:rsidR="00143A73">
        <w:t>remitted</w:t>
      </w:r>
      <w:r w:rsidR="00181B41">
        <w:t xml:space="preserve"> back to BVA.</w:t>
      </w:r>
      <w:r w:rsidR="00EC15A4">
        <w:t xml:space="preserve"> </w:t>
      </w:r>
    </w:p>
    <w:p w14:paraId="424FB206" w14:textId="17F9DE41" w:rsidR="008E6F92" w:rsidRDefault="00EC15A4" w:rsidP="00337A30">
      <w:pPr>
        <w:ind w:firstLine="720"/>
      </w:pPr>
      <w:r>
        <w:t xml:space="preserve">Beginning in February of 2019, the Board will begin the rollout of the Appeals Modernization (AMA) system. The goal of the AMA </w:t>
      </w:r>
      <w:r w:rsidR="00DE3578">
        <w:t>program is to provide a more streamlined system in which Veterans can file an appeal and to reduce the overall time to completion. Veterans filing an appeal after Feb</w:t>
      </w:r>
      <w:r w:rsidR="00181B41">
        <w:t>r</w:t>
      </w:r>
      <w:r w:rsidR="00DE3578">
        <w:t>u</w:t>
      </w:r>
      <w:r w:rsidR="00181B41">
        <w:t>a</w:t>
      </w:r>
      <w:r w:rsidR="00DE3578">
        <w:t>ry of 2019 will be automatically entered into the AMA system. Those currently in the legacy system will have the option to elect AMA</w:t>
      </w:r>
      <w:r w:rsidR="00114C9F">
        <w:t xml:space="preserve"> instead</w:t>
      </w:r>
      <w:r w:rsidR="00DE3578">
        <w:t xml:space="preserve">. In the fall of 2018, a select group of Veterans will enter a trial program for the AMA system called Rapid Appeals Modernization Program (RAMP). </w:t>
      </w:r>
    </w:p>
    <w:p w14:paraId="066D5E1C" w14:textId="40EC1F07" w:rsidR="00E04FC6" w:rsidRDefault="0010683B" w:rsidP="006A3C6A">
      <w:pPr>
        <w:ind w:firstLine="720"/>
      </w:pPr>
      <w:r>
        <w:t xml:space="preserve">The Veteran Experience Office </w:t>
      </w:r>
      <w:r w:rsidR="00E42264">
        <w:t xml:space="preserve">(VEO) </w:t>
      </w:r>
      <w:r w:rsidR="003532CF">
        <w:t xml:space="preserve">has been commissioned to measure the satisfaction of </w:t>
      </w:r>
      <w:r w:rsidR="00C85AA6">
        <w:t xml:space="preserve">Veterans </w:t>
      </w:r>
      <w:r w:rsidR="00456C83">
        <w:t>regarding</w:t>
      </w:r>
      <w:r w:rsidR="00713C5B">
        <w:t xml:space="preserve"> </w:t>
      </w:r>
      <w:r w:rsidR="00181B41">
        <w:t xml:space="preserve">the appeals </w:t>
      </w:r>
      <w:r w:rsidR="00DE3578">
        <w:t>process</w:t>
      </w:r>
      <w:r w:rsidR="00E74BB6">
        <w:t>.</w:t>
      </w:r>
      <w:r w:rsidR="00A2016D">
        <w:t xml:space="preserve"> </w:t>
      </w:r>
      <w:r w:rsidR="00D6382F">
        <w:t xml:space="preserve">VEO proposed to conduct </w:t>
      </w:r>
      <w:r w:rsidR="006E1858" w:rsidRPr="006E1858">
        <w:rPr>
          <w:b/>
        </w:rPr>
        <w:t xml:space="preserve">three </w:t>
      </w:r>
      <w:r w:rsidR="007751B1" w:rsidRPr="006E1858">
        <w:rPr>
          <w:b/>
        </w:rPr>
        <w:t xml:space="preserve">brief </w:t>
      </w:r>
      <w:r w:rsidR="009F2C63" w:rsidRPr="006E1858">
        <w:rPr>
          <w:b/>
        </w:rPr>
        <w:t xml:space="preserve">transactional </w:t>
      </w:r>
      <w:r w:rsidRPr="006E1858">
        <w:rPr>
          <w:b/>
        </w:rPr>
        <w:t>survey</w:t>
      </w:r>
      <w:r w:rsidR="006E1858" w:rsidRPr="006E1858">
        <w:rPr>
          <w:b/>
        </w:rPr>
        <w:t>s</w:t>
      </w:r>
      <w:r w:rsidR="006E1858">
        <w:t xml:space="preserve"> </w:t>
      </w:r>
      <w:r>
        <w:t xml:space="preserve">on </w:t>
      </w:r>
      <w:r w:rsidR="006E1858">
        <w:t>V</w:t>
      </w:r>
      <w:r w:rsidR="00A2016D">
        <w:t>eterans</w:t>
      </w:r>
      <w:r w:rsidR="003532CF">
        <w:t xml:space="preserve"> </w:t>
      </w:r>
      <w:r w:rsidR="00E4130B">
        <w:t>who</w:t>
      </w:r>
      <w:r w:rsidR="00786C50">
        <w:t xml:space="preserve"> </w:t>
      </w:r>
      <w:r w:rsidR="006E1858">
        <w:t xml:space="preserve">have </w:t>
      </w:r>
      <w:r w:rsidR="00181B41">
        <w:t xml:space="preserve">recently </w:t>
      </w:r>
      <w:r w:rsidR="006E1858">
        <w:t xml:space="preserve">filed </w:t>
      </w:r>
      <w:r w:rsidR="00DE3578">
        <w:t xml:space="preserve">an appeal, attended </w:t>
      </w:r>
      <w:r w:rsidR="006E1858" w:rsidRPr="00B1589A">
        <w:t xml:space="preserve">a hearing, </w:t>
      </w:r>
      <w:r w:rsidR="00181B41">
        <w:t xml:space="preserve">or </w:t>
      </w:r>
      <w:r w:rsidR="006E1858" w:rsidRPr="00B1589A">
        <w:t>received a Board decision</w:t>
      </w:r>
      <w:r w:rsidR="006E1858">
        <w:t>.</w:t>
      </w:r>
      <w:r w:rsidR="007F3BAA">
        <w:t xml:space="preserve"> The purpose of the </w:t>
      </w:r>
      <w:r w:rsidR="00DE3578">
        <w:rPr>
          <w:i/>
        </w:rPr>
        <w:t>filing</w:t>
      </w:r>
      <w:r w:rsidR="00DE3578">
        <w:t xml:space="preserve"> </w:t>
      </w:r>
      <w:r w:rsidR="007F3BAA">
        <w:t xml:space="preserve">survey </w:t>
      </w:r>
      <w:r w:rsidR="007A4DFE">
        <w:t xml:space="preserve">aims to understand if the appeals </w:t>
      </w:r>
      <w:r w:rsidR="00CC1A2C">
        <w:t xml:space="preserve">enrollment </w:t>
      </w:r>
      <w:r w:rsidR="007A4DFE">
        <w:t xml:space="preserve">process </w:t>
      </w:r>
      <w:r w:rsidR="00423DEE">
        <w:t xml:space="preserve">is </w:t>
      </w:r>
      <w:r w:rsidR="007A4DFE">
        <w:t>clear and easy to understand for Veterans</w:t>
      </w:r>
      <w:r w:rsidR="00A04056">
        <w:t>. T</w:t>
      </w:r>
      <w:r w:rsidR="007A4DFE">
        <w:t xml:space="preserve">he </w:t>
      </w:r>
      <w:r w:rsidR="007A4DFE" w:rsidRPr="00451431">
        <w:rPr>
          <w:i/>
        </w:rPr>
        <w:t>hearing</w:t>
      </w:r>
      <w:r w:rsidR="007A4DFE">
        <w:t xml:space="preserve"> survey </w:t>
      </w:r>
      <w:r w:rsidR="00A04056">
        <w:t xml:space="preserve">measures </w:t>
      </w:r>
      <w:r w:rsidR="00181B41">
        <w:t>Veterans’ interaction</w:t>
      </w:r>
      <w:r w:rsidR="00352B30">
        <w:t xml:space="preserve"> with the VLJ</w:t>
      </w:r>
      <w:r w:rsidR="00423DEE">
        <w:t>, the helpfulness of staff, and the transparency of the appeals process</w:t>
      </w:r>
      <w:r w:rsidR="00A04056">
        <w:t xml:space="preserve">. </w:t>
      </w:r>
      <w:r w:rsidR="00423DEE">
        <w:t xml:space="preserve"> </w:t>
      </w:r>
      <w:r w:rsidR="00A04056">
        <w:t xml:space="preserve">Finally, </w:t>
      </w:r>
      <w:r w:rsidR="00423DEE">
        <w:t xml:space="preserve">the </w:t>
      </w:r>
      <w:r w:rsidR="00423DEE" w:rsidRPr="00451431">
        <w:rPr>
          <w:i/>
        </w:rPr>
        <w:t>decision</w:t>
      </w:r>
      <w:r w:rsidR="00423DEE">
        <w:t xml:space="preserve"> survey is</w:t>
      </w:r>
      <w:r w:rsidR="00B1589A">
        <w:t xml:space="preserve"> focused on </w:t>
      </w:r>
      <w:r w:rsidR="00BC3948">
        <w:t xml:space="preserve">whether </w:t>
      </w:r>
      <w:r w:rsidR="00B1589A">
        <w:t>Veterans perceive the</w:t>
      </w:r>
      <w:r w:rsidR="002C0B98">
        <w:t>ir</w:t>
      </w:r>
      <w:r w:rsidR="00B1589A">
        <w:t xml:space="preserve"> supporting evidence </w:t>
      </w:r>
      <w:r w:rsidR="00BC3948">
        <w:t xml:space="preserve">was </w:t>
      </w:r>
      <w:r w:rsidR="00B1589A">
        <w:t xml:space="preserve">thoroughly reviewed, </w:t>
      </w:r>
      <w:r w:rsidR="00DC6D2A">
        <w:t xml:space="preserve">the decision language </w:t>
      </w:r>
      <w:r w:rsidR="00273B48">
        <w:t xml:space="preserve">was </w:t>
      </w:r>
      <w:r w:rsidR="00DC6D2A">
        <w:t xml:space="preserve">easy to </w:t>
      </w:r>
      <w:r w:rsidR="00BC3948">
        <w:t>comprehend</w:t>
      </w:r>
      <w:r w:rsidR="00DC6D2A">
        <w:t xml:space="preserve">, </w:t>
      </w:r>
      <w:r w:rsidR="00B1589A">
        <w:t xml:space="preserve">and the </w:t>
      </w:r>
      <w:r w:rsidR="00F54727">
        <w:t xml:space="preserve">final </w:t>
      </w:r>
      <w:r w:rsidR="00B1589A">
        <w:t xml:space="preserve">decision </w:t>
      </w:r>
      <w:r w:rsidR="00273B48">
        <w:t xml:space="preserve">was </w:t>
      </w:r>
      <w:r w:rsidR="00BC3948">
        <w:t xml:space="preserve">justly </w:t>
      </w:r>
      <w:r w:rsidR="00DE631F">
        <w:t>determined</w:t>
      </w:r>
      <w:r w:rsidR="00B1589A">
        <w:t>.</w:t>
      </w:r>
      <w:r w:rsidR="00E04FC6">
        <w:t xml:space="preserve"> </w:t>
      </w:r>
      <w:r w:rsidR="00CC1A2C">
        <w:t xml:space="preserve">Each of the </w:t>
      </w:r>
      <w:r w:rsidR="00352B30">
        <w:t>three</w:t>
      </w:r>
      <w:r w:rsidR="00FE5F13">
        <w:t xml:space="preserve"> survey types</w:t>
      </w:r>
      <w:r w:rsidR="00CC1A2C">
        <w:t xml:space="preserve"> </w:t>
      </w:r>
      <w:r w:rsidR="00181B41">
        <w:t>has</w:t>
      </w:r>
      <w:r w:rsidR="00CC1A2C">
        <w:t xml:space="preserve"> been written </w:t>
      </w:r>
      <w:r w:rsidR="00EF7B29">
        <w:t xml:space="preserve">to </w:t>
      </w:r>
      <w:r w:rsidR="00CC1A2C">
        <w:t xml:space="preserve">apply to both AMA and Legacy participants. </w:t>
      </w:r>
    </w:p>
    <w:p w14:paraId="2CC0080D" w14:textId="77777777" w:rsidR="00B1589A" w:rsidRDefault="00E44B38" w:rsidP="00B1589A">
      <w:pPr>
        <w:ind w:firstLine="720"/>
      </w:pPr>
      <w:r>
        <w:t>The surveys will be</w:t>
      </w:r>
      <w:r w:rsidR="00E04FC6">
        <w:t xml:space="preserve"> completed online using email recruitment. The purpose of this document is to outline the </w:t>
      </w:r>
      <w:r w:rsidR="00E04FC6" w:rsidRPr="0010683B">
        <w:rPr>
          <w:b/>
        </w:rPr>
        <w:t>sample design</w:t>
      </w:r>
      <w:r w:rsidR="00E04FC6">
        <w:t xml:space="preserve"> and provide a description of the data collection and reporting.</w:t>
      </w:r>
    </w:p>
    <w:p w14:paraId="68F08E72" w14:textId="77777777" w:rsidR="008F7E95" w:rsidRDefault="008F7E95" w:rsidP="00612CC8">
      <w:pPr>
        <w:rPr>
          <w:b/>
          <w:color w:val="4472C4" w:themeColor="accent1"/>
        </w:rPr>
      </w:pPr>
    </w:p>
    <w:p w14:paraId="6F9596EF" w14:textId="77777777" w:rsidR="008F7E95" w:rsidRDefault="008F7E95" w:rsidP="00612CC8">
      <w:pPr>
        <w:rPr>
          <w:b/>
          <w:color w:val="4472C4" w:themeColor="accent1"/>
        </w:rPr>
      </w:pPr>
    </w:p>
    <w:p w14:paraId="58CC41C3" w14:textId="77777777" w:rsidR="008F7E95" w:rsidRDefault="008F7E95" w:rsidP="00612CC8">
      <w:pPr>
        <w:rPr>
          <w:b/>
          <w:color w:val="4472C4" w:themeColor="accent1"/>
        </w:rPr>
      </w:pPr>
    </w:p>
    <w:p w14:paraId="2F03C842" w14:textId="77777777" w:rsidR="008F7E95" w:rsidRDefault="008F7E95" w:rsidP="00612CC8">
      <w:pPr>
        <w:rPr>
          <w:b/>
          <w:color w:val="4472C4" w:themeColor="accent1"/>
        </w:rPr>
      </w:pPr>
    </w:p>
    <w:p w14:paraId="5E01B72F" w14:textId="77777777" w:rsidR="00883A37" w:rsidRPr="005528DA" w:rsidRDefault="005528DA" w:rsidP="00612CC8">
      <w:pPr>
        <w:rPr>
          <w:b/>
          <w:color w:val="4472C4" w:themeColor="accent1"/>
        </w:rPr>
      </w:pPr>
      <w:r w:rsidRPr="005528DA">
        <w:rPr>
          <w:b/>
          <w:color w:val="4472C4" w:themeColor="accent1"/>
        </w:rPr>
        <w:lastRenderedPageBreak/>
        <w:t xml:space="preserve">Table 1. </w:t>
      </w:r>
      <w:r w:rsidR="00612CC8" w:rsidRPr="005528DA">
        <w:rPr>
          <w:b/>
          <w:color w:val="4472C4" w:themeColor="accent1"/>
        </w:rPr>
        <w:t>Measurement Goals and Survey Mode</w:t>
      </w:r>
    </w:p>
    <w:tbl>
      <w:tblPr>
        <w:tblStyle w:val="TableGrid"/>
        <w:tblW w:w="10041" w:type="dxa"/>
        <w:tblLook w:val="04A0" w:firstRow="1" w:lastRow="0" w:firstColumn="1" w:lastColumn="0" w:noHBand="0" w:noVBand="1"/>
      </w:tblPr>
      <w:tblGrid>
        <w:gridCol w:w="1638"/>
        <w:gridCol w:w="1894"/>
        <w:gridCol w:w="1436"/>
        <w:gridCol w:w="3386"/>
        <w:gridCol w:w="1687"/>
      </w:tblGrid>
      <w:tr w:rsidR="00D8409B" w14:paraId="1755A146" w14:textId="77777777" w:rsidTr="00726D5B">
        <w:tc>
          <w:tcPr>
            <w:tcW w:w="1638" w:type="dxa"/>
          </w:tcPr>
          <w:p w14:paraId="02DD6576" w14:textId="77777777" w:rsidR="00D8409B" w:rsidRDefault="00480C4E" w:rsidP="00660907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Survey Type</w:t>
            </w:r>
          </w:p>
        </w:tc>
        <w:tc>
          <w:tcPr>
            <w:tcW w:w="1894" w:type="dxa"/>
          </w:tcPr>
          <w:p w14:paraId="028A1C1D" w14:textId="77777777" w:rsidR="00D8409B" w:rsidRDefault="00D8409B" w:rsidP="00660907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Preferred Mode of Data Collection</w:t>
            </w:r>
          </w:p>
          <w:p w14:paraId="07653984" w14:textId="77777777" w:rsidR="00D8409B" w:rsidRPr="004A64E4" w:rsidRDefault="00D8409B" w:rsidP="00660907">
            <w:pPr>
              <w:rPr>
                <w:b/>
                <w:color w:val="4472C4" w:themeColor="accent1"/>
              </w:rPr>
            </w:pPr>
          </w:p>
        </w:tc>
        <w:tc>
          <w:tcPr>
            <w:tcW w:w="1436" w:type="dxa"/>
          </w:tcPr>
          <w:p w14:paraId="515C312C" w14:textId="77777777" w:rsidR="00D8409B" w:rsidRDefault="00D8409B" w:rsidP="00660907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Recruitment Method</w:t>
            </w:r>
          </w:p>
        </w:tc>
        <w:tc>
          <w:tcPr>
            <w:tcW w:w="3386" w:type="dxa"/>
          </w:tcPr>
          <w:p w14:paraId="58D74E5A" w14:textId="77777777" w:rsidR="00D8409B" w:rsidRDefault="00D8409B" w:rsidP="00D6382F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Time After Transaction </w:t>
            </w:r>
          </w:p>
        </w:tc>
        <w:tc>
          <w:tcPr>
            <w:tcW w:w="1687" w:type="dxa"/>
          </w:tcPr>
          <w:p w14:paraId="56E5B380" w14:textId="77777777" w:rsidR="00D8409B" w:rsidRDefault="00D8409B" w:rsidP="00D6382F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Recruitment </w:t>
            </w:r>
          </w:p>
          <w:p w14:paraId="4524296A" w14:textId="77777777" w:rsidR="00BC3948" w:rsidRDefault="00BC3948" w:rsidP="00D6382F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Period</w:t>
            </w:r>
          </w:p>
        </w:tc>
      </w:tr>
      <w:tr w:rsidR="00297404" w14:paraId="73B3A64F" w14:textId="77777777" w:rsidTr="00726D5B">
        <w:tc>
          <w:tcPr>
            <w:tcW w:w="1638" w:type="dxa"/>
          </w:tcPr>
          <w:p w14:paraId="4B18C522" w14:textId="5894B0E5" w:rsidR="00297404" w:rsidRDefault="00CC1A2C" w:rsidP="00660907">
            <w:r>
              <w:t xml:space="preserve">Filing </w:t>
            </w:r>
            <w:r w:rsidR="00726D5B">
              <w:t>Survey</w:t>
            </w:r>
          </w:p>
        </w:tc>
        <w:tc>
          <w:tcPr>
            <w:tcW w:w="1894" w:type="dxa"/>
            <w:vMerge w:val="restart"/>
          </w:tcPr>
          <w:p w14:paraId="104F86DE" w14:textId="77777777" w:rsidR="00040859" w:rsidRDefault="00040859" w:rsidP="00660907"/>
          <w:p w14:paraId="55F59A22" w14:textId="77777777" w:rsidR="00297404" w:rsidRDefault="00297404" w:rsidP="00660907">
            <w:r>
              <w:t>Online Survey</w:t>
            </w:r>
          </w:p>
          <w:p w14:paraId="4A26FFFD" w14:textId="77777777" w:rsidR="00297404" w:rsidRDefault="00297404" w:rsidP="00660907"/>
        </w:tc>
        <w:tc>
          <w:tcPr>
            <w:tcW w:w="1436" w:type="dxa"/>
            <w:vMerge w:val="restart"/>
          </w:tcPr>
          <w:p w14:paraId="55376D7E" w14:textId="77777777" w:rsidR="00040859" w:rsidRDefault="00040859" w:rsidP="00660907">
            <w:bookmarkStart w:id="1" w:name="_Hlk515018318"/>
          </w:p>
          <w:p w14:paraId="4A7059C8" w14:textId="77777777" w:rsidR="00297404" w:rsidRDefault="00297404" w:rsidP="00660907">
            <w:r>
              <w:t xml:space="preserve">Email </w:t>
            </w:r>
          </w:p>
          <w:bookmarkEnd w:id="1"/>
          <w:p w14:paraId="533133C8" w14:textId="77777777" w:rsidR="00297404" w:rsidRDefault="00297404" w:rsidP="00660907"/>
        </w:tc>
        <w:tc>
          <w:tcPr>
            <w:tcW w:w="3386" w:type="dxa"/>
          </w:tcPr>
          <w:p w14:paraId="219C6F9A" w14:textId="56EC639B" w:rsidR="00297404" w:rsidRPr="00505855" w:rsidRDefault="00F11D43" w:rsidP="00297404">
            <w:r>
              <w:t xml:space="preserve">Within a Week after </w:t>
            </w:r>
            <w:r w:rsidR="0047226B">
              <w:t>a filing is processed</w:t>
            </w:r>
          </w:p>
        </w:tc>
        <w:tc>
          <w:tcPr>
            <w:tcW w:w="1687" w:type="dxa"/>
            <w:vMerge w:val="restart"/>
          </w:tcPr>
          <w:p w14:paraId="097228A9" w14:textId="77777777" w:rsidR="00040859" w:rsidRDefault="00040859" w:rsidP="00C85AA6"/>
          <w:p w14:paraId="7B8E9A55" w14:textId="77777777" w:rsidR="00297404" w:rsidRPr="00505855" w:rsidRDefault="00BC3948" w:rsidP="00C85AA6">
            <w:r>
              <w:t xml:space="preserve">2 </w:t>
            </w:r>
            <w:r w:rsidR="00297404" w:rsidRPr="00505855">
              <w:t>Week</w:t>
            </w:r>
            <w:r>
              <w:t xml:space="preserve"> Period, with a reminder after 1 week </w:t>
            </w:r>
          </w:p>
          <w:p w14:paraId="28C39EE6" w14:textId="77777777" w:rsidR="00297404" w:rsidRPr="00505855" w:rsidRDefault="00297404" w:rsidP="00C85AA6"/>
        </w:tc>
      </w:tr>
      <w:tr w:rsidR="00297404" w14:paraId="0C31405C" w14:textId="77777777" w:rsidTr="00726D5B">
        <w:tc>
          <w:tcPr>
            <w:tcW w:w="1638" w:type="dxa"/>
          </w:tcPr>
          <w:p w14:paraId="4E000CD9" w14:textId="77777777" w:rsidR="00297404" w:rsidRDefault="00297404" w:rsidP="00660907">
            <w:r>
              <w:t>Hearing</w:t>
            </w:r>
            <w:r w:rsidR="00726D5B">
              <w:t xml:space="preserve"> Survey</w:t>
            </w:r>
          </w:p>
        </w:tc>
        <w:tc>
          <w:tcPr>
            <w:tcW w:w="1894" w:type="dxa"/>
            <w:vMerge/>
          </w:tcPr>
          <w:p w14:paraId="72F9CD40" w14:textId="77777777" w:rsidR="00297404" w:rsidRDefault="00297404" w:rsidP="00660907"/>
        </w:tc>
        <w:tc>
          <w:tcPr>
            <w:tcW w:w="1436" w:type="dxa"/>
            <w:vMerge/>
          </w:tcPr>
          <w:p w14:paraId="74440A15" w14:textId="77777777" w:rsidR="00297404" w:rsidRDefault="00297404" w:rsidP="00660907"/>
        </w:tc>
        <w:tc>
          <w:tcPr>
            <w:tcW w:w="3386" w:type="dxa"/>
          </w:tcPr>
          <w:p w14:paraId="7143AEF4" w14:textId="77777777" w:rsidR="00297404" w:rsidRPr="00505855" w:rsidRDefault="00F11D43" w:rsidP="00D6382F">
            <w:r>
              <w:t>Within a Week after Completing an Appeals Hearing</w:t>
            </w:r>
          </w:p>
        </w:tc>
        <w:tc>
          <w:tcPr>
            <w:tcW w:w="1687" w:type="dxa"/>
            <w:vMerge/>
          </w:tcPr>
          <w:p w14:paraId="4C9BB310" w14:textId="77777777" w:rsidR="00297404" w:rsidRPr="00505855" w:rsidRDefault="00297404" w:rsidP="00C85AA6"/>
        </w:tc>
      </w:tr>
      <w:tr w:rsidR="00297404" w14:paraId="4BFE9194" w14:textId="77777777" w:rsidTr="00726D5B">
        <w:trPr>
          <w:trHeight w:val="233"/>
        </w:trPr>
        <w:tc>
          <w:tcPr>
            <w:tcW w:w="1638" w:type="dxa"/>
          </w:tcPr>
          <w:p w14:paraId="587ED134" w14:textId="77777777" w:rsidR="00297404" w:rsidRDefault="00297404" w:rsidP="00660907">
            <w:r>
              <w:t>Decision</w:t>
            </w:r>
            <w:r w:rsidR="00726D5B">
              <w:t xml:space="preserve"> Survey</w:t>
            </w:r>
          </w:p>
        </w:tc>
        <w:tc>
          <w:tcPr>
            <w:tcW w:w="1894" w:type="dxa"/>
            <w:vMerge/>
          </w:tcPr>
          <w:p w14:paraId="142C922F" w14:textId="77777777" w:rsidR="00297404" w:rsidRDefault="00297404" w:rsidP="00660907"/>
        </w:tc>
        <w:tc>
          <w:tcPr>
            <w:tcW w:w="1436" w:type="dxa"/>
            <w:vMerge/>
          </w:tcPr>
          <w:p w14:paraId="0CF0C3D5" w14:textId="77777777" w:rsidR="00297404" w:rsidRDefault="00297404" w:rsidP="00660907"/>
        </w:tc>
        <w:tc>
          <w:tcPr>
            <w:tcW w:w="3386" w:type="dxa"/>
          </w:tcPr>
          <w:p w14:paraId="0B95830C" w14:textId="77777777" w:rsidR="00297404" w:rsidRDefault="00F11D43" w:rsidP="00D6382F">
            <w:r>
              <w:t>Within a Week after Receiving a Board Decision</w:t>
            </w:r>
          </w:p>
        </w:tc>
        <w:tc>
          <w:tcPr>
            <w:tcW w:w="1687" w:type="dxa"/>
            <w:vMerge/>
          </w:tcPr>
          <w:p w14:paraId="01D10D79" w14:textId="77777777" w:rsidR="00297404" w:rsidRPr="00505855" w:rsidRDefault="00297404" w:rsidP="00C85AA6"/>
        </w:tc>
      </w:tr>
    </w:tbl>
    <w:p w14:paraId="0023C492" w14:textId="77777777" w:rsidR="004738C9" w:rsidRPr="00DC6E52" w:rsidRDefault="001A00CD" w:rsidP="00CD1C70">
      <w:pPr>
        <w:rPr>
          <w:color w:val="4472C4" w:themeColor="accent1"/>
        </w:rPr>
      </w:pPr>
      <w:r>
        <w:rPr>
          <w:b/>
          <w:color w:val="4472C4" w:themeColor="accent1"/>
        </w:rPr>
        <w:br/>
      </w:r>
      <w:r w:rsidR="003E01E3" w:rsidRPr="00DC6E52">
        <w:rPr>
          <w:b/>
          <w:color w:val="4472C4" w:themeColor="accent1"/>
        </w:rPr>
        <w:t>Target Population and Sample Size Determination</w:t>
      </w:r>
    </w:p>
    <w:p w14:paraId="7738CB6F" w14:textId="324D38B3" w:rsidR="00AD0228" w:rsidRPr="007702AE" w:rsidRDefault="00200638" w:rsidP="007702AE">
      <w:pPr>
        <w:ind w:firstLine="720"/>
        <w:rPr>
          <w:u w:val="single"/>
        </w:rPr>
      </w:pPr>
      <w:r>
        <w:t xml:space="preserve">The target population of the </w:t>
      </w:r>
      <w:r w:rsidR="00C94317">
        <w:t>Board of Veterans</w:t>
      </w:r>
      <w:r w:rsidR="00612F22">
        <w:t>’</w:t>
      </w:r>
      <w:r w:rsidR="00C94317">
        <w:t xml:space="preserve"> Appeals </w:t>
      </w:r>
      <w:r>
        <w:t xml:space="preserve">survey </w:t>
      </w:r>
      <w:r w:rsidR="00C94317">
        <w:t xml:space="preserve">(the Board survey) </w:t>
      </w:r>
      <w:r w:rsidRPr="00BE1231">
        <w:t>is</w:t>
      </w:r>
      <w:r>
        <w:t xml:space="preserve"> all </w:t>
      </w:r>
      <w:r w:rsidR="00A85734">
        <w:rPr>
          <w:u w:val="single"/>
        </w:rPr>
        <w:t>V</w:t>
      </w:r>
      <w:r w:rsidR="00C97D6B">
        <w:rPr>
          <w:u w:val="single"/>
        </w:rPr>
        <w:t>eterans</w:t>
      </w:r>
      <w:r>
        <w:rPr>
          <w:u w:val="single"/>
        </w:rPr>
        <w:t xml:space="preserve"> </w:t>
      </w:r>
      <w:r w:rsidR="00381860" w:rsidRPr="00381860">
        <w:rPr>
          <w:u w:val="single"/>
        </w:rPr>
        <w:t xml:space="preserve">who have </w:t>
      </w:r>
      <w:r w:rsidR="007702AE">
        <w:rPr>
          <w:u w:val="single"/>
        </w:rPr>
        <w:t xml:space="preserve">filed </w:t>
      </w:r>
      <w:r w:rsidR="0047226B">
        <w:rPr>
          <w:u w:val="single"/>
        </w:rPr>
        <w:t>an appeal</w:t>
      </w:r>
      <w:r w:rsidR="007702AE">
        <w:rPr>
          <w:u w:val="single"/>
        </w:rPr>
        <w:t xml:space="preserve">, </w:t>
      </w:r>
      <w:r w:rsidR="00181B41">
        <w:rPr>
          <w:u w:val="single"/>
        </w:rPr>
        <w:t>attended</w:t>
      </w:r>
      <w:r w:rsidR="007702AE">
        <w:rPr>
          <w:u w:val="single"/>
        </w:rPr>
        <w:t xml:space="preserve"> a</w:t>
      </w:r>
      <w:r w:rsidR="00AE73A9">
        <w:rPr>
          <w:u w:val="single"/>
        </w:rPr>
        <w:t>n appeals</w:t>
      </w:r>
      <w:r w:rsidR="007702AE">
        <w:rPr>
          <w:u w:val="single"/>
        </w:rPr>
        <w:t xml:space="preserve"> hearing, or received a Board decision within the past week. </w:t>
      </w:r>
      <w:r w:rsidR="00445F98">
        <w:t>Selected respondents will have 14 days to complete the survey, with an email reminder after 7 days</w:t>
      </w:r>
      <w:r w:rsidR="004C62EB">
        <w:t xml:space="preserve"> if the survey has not been completed</w:t>
      </w:r>
      <w:r w:rsidR="00273B48">
        <w:t xml:space="preserve"> by that time</w:t>
      </w:r>
      <w:r w:rsidR="004C62EB">
        <w:t xml:space="preserve">. </w:t>
      </w:r>
      <w:r w:rsidR="0028486F" w:rsidRPr="00D83A4B">
        <w:rPr>
          <w:rFonts w:cstheme="minorHAnsi"/>
        </w:rPr>
        <w:t>The goal of the VEO survey operation is to continuously provide</w:t>
      </w:r>
      <w:r w:rsidR="0028486F" w:rsidRPr="003855A3">
        <w:rPr>
          <w:rFonts w:cstheme="minorHAnsi"/>
        </w:rPr>
        <w:t xml:space="preserve"> reliable </w:t>
      </w:r>
      <w:r w:rsidR="0028486F" w:rsidRPr="00505700">
        <w:rPr>
          <w:rFonts w:cstheme="minorHAnsi"/>
        </w:rPr>
        <w:t>monthly</w:t>
      </w:r>
      <w:r w:rsidR="0028486F" w:rsidRPr="003855A3">
        <w:rPr>
          <w:rFonts w:cstheme="minorHAnsi"/>
        </w:rPr>
        <w:t xml:space="preserve"> overall</w:t>
      </w:r>
      <w:r w:rsidR="00A47902">
        <w:rPr>
          <w:rFonts w:cstheme="minorHAnsi"/>
        </w:rPr>
        <w:t xml:space="preserve"> </w:t>
      </w:r>
      <w:r w:rsidR="0028486F" w:rsidRPr="003855A3">
        <w:rPr>
          <w:rFonts w:cstheme="minorHAnsi"/>
        </w:rPr>
        <w:t>estimates</w:t>
      </w:r>
      <w:r w:rsidR="0028486F">
        <w:rPr>
          <w:rFonts w:cstheme="minorHAnsi"/>
        </w:rPr>
        <w:t>.</w:t>
      </w:r>
    </w:p>
    <w:p w14:paraId="58E15C95" w14:textId="729770D4" w:rsidR="00751203" w:rsidRDefault="00B80B6C" w:rsidP="00FC5B45">
      <w:pPr>
        <w:ind w:firstLine="720"/>
      </w:pPr>
      <w:r>
        <w:t>Table 2</w:t>
      </w:r>
      <w:r w:rsidR="00FB1391">
        <w:t>A</w:t>
      </w:r>
      <w:r>
        <w:t xml:space="preserve"> depi</w:t>
      </w:r>
      <w:r w:rsidR="00751203">
        <w:t xml:space="preserve">cts the approximate monthly </w:t>
      </w:r>
      <w:r w:rsidR="0047226B">
        <w:rPr>
          <w:b/>
        </w:rPr>
        <w:t>Filing</w:t>
      </w:r>
      <w:r w:rsidR="00751203">
        <w:t xml:space="preserve">, </w:t>
      </w:r>
      <w:r w:rsidR="005803B8">
        <w:rPr>
          <w:b/>
        </w:rPr>
        <w:t>Hearing</w:t>
      </w:r>
      <w:r w:rsidR="003876DF">
        <w:rPr>
          <w:b/>
        </w:rPr>
        <w:t xml:space="preserve">, </w:t>
      </w:r>
      <w:r w:rsidR="003876DF" w:rsidRPr="002C4FAB">
        <w:t>and</w:t>
      </w:r>
      <w:r w:rsidR="003876DF">
        <w:rPr>
          <w:b/>
        </w:rPr>
        <w:t xml:space="preserve"> </w:t>
      </w:r>
      <w:r w:rsidR="005803B8">
        <w:rPr>
          <w:b/>
        </w:rPr>
        <w:t>Decision</w:t>
      </w:r>
      <w:r w:rsidR="005803B8">
        <w:t xml:space="preserve"> </w:t>
      </w:r>
      <w:r>
        <w:t>population</w:t>
      </w:r>
      <w:r w:rsidR="003876DF">
        <w:t>s</w:t>
      </w:r>
      <w:r>
        <w:t xml:space="preserve">, as well as the sample size determination with </w:t>
      </w:r>
      <w:r w:rsidR="00700E2A">
        <w:t>Confidence Level (</w:t>
      </w:r>
      <w:r w:rsidR="00804291">
        <w:t>C</w:t>
      </w:r>
      <w:r w:rsidR="00700E2A">
        <w:t>L)</w:t>
      </w:r>
      <w:r>
        <w:t xml:space="preserve"> and </w:t>
      </w:r>
      <w:r w:rsidR="00700E2A">
        <w:t>Margin of Error (</w:t>
      </w:r>
      <w:r w:rsidR="00804291">
        <w:t>MOE</w:t>
      </w:r>
      <w:r w:rsidR="00700E2A">
        <w:t>)</w:t>
      </w:r>
      <w:r>
        <w:t xml:space="preserve"> at various levels. </w:t>
      </w:r>
      <w:r w:rsidR="00CF2EC0">
        <w:t>The sample size</w:t>
      </w:r>
      <w:r w:rsidR="001B4293">
        <w:t>s</w:t>
      </w:r>
      <w:r w:rsidR="00CF2EC0">
        <w:t xml:space="preserve"> listed indicat</w:t>
      </w:r>
      <w:r w:rsidR="00A85734">
        <w:t>e the number of responses from V</w:t>
      </w:r>
      <w:r w:rsidR="00CF2EC0">
        <w:t xml:space="preserve">eterans required to attain the stated level of precision. </w:t>
      </w:r>
    </w:p>
    <w:p w14:paraId="7624942F" w14:textId="5BD23E36" w:rsidR="00E223D4" w:rsidRDefault="00E223D4" w:rsidP="00E223D4">
      <w:pPr>
        <w:ind w:firstLine="720"/>
        <w:rPr>
          <w:rFonts w:cstheme="minorHAnsi"/>
        </w:rPr>
      </w:pPr>
      <w:r w:rsidRPr="008141ED">
        <w:rPr>
          <w:rFonts w:cstheme="minorHAnsi"/>
        </w:rPr>
        <w:t xml:space="preserve">Table </w:t>
      </w:r>
      <w:r>
        <w:rPr>
          <w:rFonts w:cstheme="minorHAnsi"/>
        </w:rPr>
        <w:t>2</w:t>
      </w:r>
      <w:r w:rsidRPr="008141ED">
        <w:rPr>
          <w:rFonts w:cstheme="minorHAnsi"/>
        </w:rPr>
        <w:t xml:space="preserve">B provides the </w:t>
      </w:r>
      <w:r w:rsidRPr="00CA54EA">
        <w:rPr>
          <w:rFonts w:cstheme="minorHAnsi"/>
          <w:i/>
        </w:rPr>
        <w:t>weekly</w:t>
      </w:r>
      <w:r>
        <w:rPr>
          <w:rFonts w:cstheme="minorHAnsi"/>
        </w:rPr>
        <w:t xml:space="preserve"> and </w:t>
      </w:r>
      <w:r w:rsidRPr="00CA54EA">
        <w:rPr>
          <w:rFonts w:cstheme="minorHAnsi"/>
          <w:i/>
        </w:rPr>
        <w:t>monthly</w:t>
      </w:r>
      <w:r>
        <w:rPr>
          <w:rFonts w:cstheme="minorHAnsi"/>
        </w:rPr>
        <w:t xml:space="preserve"> sample targets for </w:t>
      </w:r>
      <w:r w:rsidR="002304A2">
        <w:rPr>
          <w:rFonts w:cstheme="minorHAnsi"/>
        </w:rPr>
        <w:t xml:space="preserve">all </w:t>
      </w:r>
      <w:r>
        <w:rPr>
          <w:rFonts w:cstheme="minorHAnsi"/>
        </w:rPr>
        <w:t>three target populations, as well as the number of Veterans necessary to be contacted presuming an email population of 30% and return rate of 20% (these are the observed rates in other VEO online Veteran surveys).</w:t>
      </w:r>
    </w:p>
    <w:p w14:paraId="58A9A0B6" w14:textId="6CC68AD9" w:rsidR="00832061" w:rsidRDefault="00AE6121" w:rsidP="00117875">
      <w:pPr>
        <w:ind w:firstLine="720"/>
      </w:pPr>
      <w:r>
        <w:t xml:space="preserve">The </w:t>
      </w:r>
      <w:r w:rsidR="009318B6">
        <w:rPr>
          <w:b/>
        </w:rPr>
        <w:t>F</w:t>
      </w:r>
      <w:r w:rsidR="0047226B">
        <w:rPr>
          <w:b/>
        </w:rPr>
        <w:t>iling</w:t>
      </w:r>
      <w:r w:rsidR="0047226B">
        <w:t xml:space="preserve"> </w:t>
      </w:r>
      <w:r>
        <w:t xml:space="preserve">population </w:t>
      </w:r>
      <w:r w:rsidR="00E223D4">
        <w:t xml:space="preserve">has been estimated at 6,000 per month, </w:t>
      </w:r>
      <w:r w:rsidR="00086C2F">
        <w:t>and</w:t>
      </w:r>
      <w:r w:rsidR="00E223D4">
        <w:t xml:space="preserve"> an email population of 1,800 per month</w:t>
      </w:r>
      <w:r w:rsidR="009C71C7">
        <w:t xml:space="preserve">. </w:t>
      </w:r>
      <w:r w:rsidR="009318B6">
        <w:t>Since the standard level of precision (95% CL, 3% MOE) is not attainable with the presumed 20% response rate, the precision target is set at 300</w:t>
      </w:r>
      <w:r w:rsidR="00D60458">
        <w:t>, corresponding to a reliability of</w:t>
      </w:r>
      <w:r w:rsidR="00915DAA">
        <w:t xml:space="preserve"> (90% CL, 5% MOE)</w:t>
      </w:r>
      <w:r w:rsidR="00F97DBD">
        <w:t>.</w:t>
      </w:r>
      <w:r w:rsidR="00D60458">
        <w:t xml:space="preserve"> </w:t>
      </w:r>
      <w:r w:rsidR="00915DAA">
        <w:t>T</w:t>
      </w:r>
      <w:r w:rsidR="00D60458">
        <w:t xml:space="preserve">he </w:t>
      </w:r>
      <w:r w:rsidR="00B80B6C">
        <w:t xml:space="preserve"> </w:t>
      </w:r>
      <w:r w:rsidR="005803B8">
        <w:rPr>
          <w:b/>
        </w:rPr>
        <w:t>Hearing</w:t>
      </w:r>
      <w:r w:rsidR="005803B8">
        <w:t xml:space="preserve"> </w:t>
      </w:r>
      <w:r w:rsidR="00B80B6C">
        <w:t>population</w:t>
      </w:r>
      <w:r w:rsidR="00915DAA">
        <w:t xml:space="preserve"> is more sparse</w:t>
      </w:r>
      <w:r w:rsidR="00B80B6C">
        <w:t xml:space="preserve"> (</w:t>
      </w:r>
      <w:r w:rsidR="005F09FC">
        <w:t>1,700</w:t>
      </w:r>
      <w:r w:rsidR="005B7E45">
        <w:t xml:space="preserve"> total, and 510 with email information</w:t>
      </w:r>
      <w:r w:rsidR="00B80B6C">
        <w:t xml:space="preserve">), </w:t>
      </w:r>
      <w:r w:rsidR="00915DAA">
        <w:t xml:space="preserve">and </w:t>
      </w:r>
      <w:r w:rsidR="005B7E45">
        <w:t>t</w:t>
      </w:r>
      <w:r w:rsidR="004D2020">
        <w:t>he highest possible level of reliability would correspond to</w:t>
      </w:r>
      <w:r w:rsidR="00D60458">
        <w:t xml:space="preserve"> getting responses from 100 Veterans (</w:t>
      </w:r>
      <w:r w:rsidR="003D301D">
        <w:t>90% CL</w:t>
      </w:r>
      <w:r w:rsidR="00C0233C">
        <w:t xml:space="preserve"> </w:t>
      </w:r>
      <w:r w:rsidR="004D2020">
        <w:t xml:space="preserve">with </w:t>
      </w:r>
      <w:r w:rsidR="003D301D">
        <w:t>8% MOE</w:t>
      </w:r>
      <w:r w:rsidR="00915DAA">
        <w:t xml:space="preserve">). </w:t>
      </w:r>
      <w:r w:rsidR="003D301D">
        <w:t>Thus, all</w:t>
      </w:r>
      <w:r w:rsidR="00117875">
        <w:t xml:space="preserve"> available Veterans in the hearing population will be surveyed. </w:t>
      </w:r>
      <w:r w:rsidR="003F31AB">
        <w:t>In</w:t>
      </w:r>
      <w:r w:rsidR="009912FE">
        <w:t xml:space="preserve"> the </w:t>
      </w:r>
      <w:r w:rsidR="005803B8">
        <w:rPr>
          <w:b/>
        </w:rPr>
        <w:t>Decision</w:t>
      </w:r>
      <w:r w:rsidR="005803B8">
        <w:t xml:space="preserve"> </w:t>
      </w:r>
      <w:r w:rsidR="00542512">
        <w:t xml:space="preserve">population, </w:t>
      </w:r>
      <w:r w:rsidR="00832061">
        <w:t xml:space="preserve">the target sample size is determined to be </w:t>
      </w:r>
      <w:r w:rsidR="00915DAA">
        <w:t>400</w:t>
      </w:r>
      <w:r w:rsidR="00832061">
        <w:t xml:space="preserve">, corresponding to </w:t>
      </w:r>
      <w:r w:rsidR="00F34E98">
        <w:t xml:space="preserve">a reliability </w:t>
      </w:r>
      <w:r w:rsidR="00EA5749">
        <w:t>somewhat greater than</w:t>
      </w:r>
      <w:r w:rsidR="00915DAA">
        <w:t xml:space="preserve"> (</w:t>
      </w:r>
      <w:r w:rsidR="00832061">
        <w:t>90% CL and 5% MOE</w:t>
      </w:r>
      <w:r w:rsidR="00915DAA">
        <w:t>)</w:t>
      </w:r>
      <w:r w:rsidR="008869D1">
        <w:t xml:space="preserve"> at the monthly level</w:t>
      </w:r>
      <w:r w:rsidR="00673D45">
        <w:t>.</w:t>
      </w:r>
      <w:r w:rsidR="00832061">
        <w:t xml:space="preserve"> This requires VEO to contact approximately </w:t>
      </w:r>
      <w:r w:rsidR="00915DAA">
        <w:t>2,000</w:t>
      </w:r>
      <w:r w:rsidR="00832061">
        <w:t xml:space="preserve"> Veterans per month</w:t>
      </w:r>
      <w:r w:rsidR="00903872">
        <w:t xml:space="preserve"> due to</w:t>
      </w:r>
      <w:r w:rsidR="00832061">
        <w:t xml:space="preserve"> non-response.</w:t>
      </w:r>
    </w:p>
    <w:p w14:paraId="2673C2C1" w14:textId="77777777" w:rsidR="00EC3B0B" w:rsidRPr="005528DA" w:rsidRDefault="00081B3C" w:rsidP="00EC3B0B">
      <w:pPr>
        <w:rPr>
          <w:b/>
          <w:color w:val="4472C4" w:themeColor="accent1"/>
        </w:rPr>
      </w:pPr>
      <w:r>
        <w:rPr>
          <w:b/>
          <w:color w:val="4472C4" w:themeColor="accent1"/>
        </w:rPr>
        <w:t>Table 2</w:t>
      </w:r>
      <w:r w:rsidR="00FB1391">
        <w:rPr>
          <w:b/>
          <w:color w:val="4472C4" w:themeColor="accent1"/>
        </w:rPr>
        <w:t>A</w:t>
      </w:r>
      <w:r w:rsidR="00EC3B0B" w:rsidRPr="005528DA">
        <w:rPr>
          <w:b/>
          <w:color w:val="4472C4" w:themeColor="accent1"/>
        </w:rPr>
        <w:t xml:space="preserve">. </w:t>
      </w:r>
      <w:r>
        <w:rPr>
          <w:b/>
          <w:color w:val="4472C4" w:themeColor="accent1"/>
        </w:rPr>
        <w:t>Target Population</w:t>
      </w:r>
      <w:r w:rsidR="008930E2">
        <w:rPr>
          <w:b/>
          <w:color w:val="4472C4" w:themeColor="accent1"/>
        </w:rPr>
        <w:t xml:space="preserve"> Figures</w:t>
      </w:r>
    </w:p>
    <w:tbl>
      <w:tblPr>
        <w:tblStyle w:val="TableGrid"/>
        <w:tblW w:w="829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1452"/>
        <w:gridCol w:w="1620"/>
        <w:gridCol w:w="1710"/>
        <w:gridCol w:w="1170"/>
        <w:gridCol w:w="1170"/>
        <w:gridCol w:w="1170"/>
      </w:tblGrid>
      <w:tr w:rsidR="006733DE" w14:paraId="24BDCACA" w14:textId="77777777" w:rsidTr="000C32CA">
        <w:tc>
          <w:tcPr>
            <w:tcW w:w="1452" w:type="dxa"/>
          </w:tcPr>
          <w:p w14:paraId="42032FC5" w14:textId="77777777" w:rsidR="006733DE" w:rsidRDefault="006733DE" w:rsidP="00DD753E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Population Type</w:t>
            </w:r>
          </w:p>
        </w:tc>
        <w:tc>
          <w:tcPr>
            <w:tcW w:w="1620" w:type="dxa"/>
          </w:tcPr>
          <w:p w14:paraId="0F4C6140" w14:textId="77777777" w:rsidR="006733DE" w:rsidRPr="004A64E4" w:rsidRDefault="006733DE" w:rsidP="00DD753E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Approximate Monthly Population</w:t>
            </w:r>
            <w:r w:rsidRPr="004A64E4">
              <w:rPr>
                <w:b/>
                <w:color w:val="4472C4" w:themeColor="accent1"/>
              </w:rPr>
              <w:t xml:space="preserve"> </w:t>
            </w:r>
          </w:p>
        </w:tc>
        <w:tc>
          <w:tcPr>
            <w:tcW w:w="1710" w:type="dxa"/>
          </w:tcPr>
          <w:p w14:paraId="003B8F13" w14:textId="77777777" w:rsidR="006733DE" w:rsidRDefault="006733DE" w:rsidP="00DD753E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Approximate Monthly Email Population</w:t>
            </w:r>
          </w:p>
        </w:tc>
        <w:tc>
          <w:tcPr>
            <w:tcW w:w="1170" w:type="dxa"/>
          </w:tcPr>
          <w:p w14:paraId="07EC6F92" w14:textId="77777777" w:rsidR="006733DE" w:rsidRDefault="006733DE" w:rsidP="00DD753E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Precision</w:t>
            </w:r>
          </w:p>
          <w:p w14:paraId="1480F934" w14:textId="77777777" w:rsidR="006733DE" w:rsidRDefault="006733DE" w:rsidP="00DD753E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Sample:  95% CL, 3% MOE</w:t>
            </w:r>
          </w:p>
        </w:tc>
        <w:tc>
          <w:tcPr>
            <w:tcW w:w="1170" w:type="dxa"/>
          </w:tcPr>
          <w:p w14:paraId="32E4F47B" w14:textId="77777777" w:rsidR="006733DE" w:rsidRPr="00C425A4" w:rsidRDefault="006733DE" w:rsidP="00DD753E">
            <w:pPr>
              <w:rPr>
                <w:b/>
                <w:color w:val="4472C4" w:themeColor="accent1"/>
              </w:rPr>
            </w:pPr>
            <w:r w:rsidRPr="00C425A4">
              <w:rPr>
                <w:b/>
                <w:color w:val="4472C4" w:themeColor="accent1"/>
              </w:rPr>
              <w:t>Precision Sample:  90% CL, 5% MOE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83F0E9" w14:textId="77777777" w:rsidR="006733DE" w:rsidRPr="00C425A4" w:rsidRDefault="006733DE" w:rsidP="00DD753E">
            <w:pPr>
              <w:rPr>
                <w:b/>
                <w:color w:val="4472C4" w:themeColor="accent1"/>
              </w:rPr>
            </w:pPr>
            <w:r w:rsidRPr="00C425A4">
              <w:rPr>
                <w:b/>
                <w:color w:val="4472C4" w:themeColor="accent1"/>
              </w:rPr>
              <w:t>Precision Sample:  90% CL, 8% MOE</w:t>
            </w:r>
          </w:p>
        </w:tc>
      </w:tr>
      <w:tr w:rsidR="006733DE" w14:paraId="61874CD0" w14:textId="77777777" w:rsidTr="000C32CA">
        <w:trPr>
          <w:trHeight w:val="60"/>
        </w:trPr>
        <w:tc>
          <w:tcPr>
            <w:tcW w:w="1452" w:type="dxa"/>
          </w:tcPr>
          <w:p w14:paraId="201962B1" w14:textId="5784EFE3" w:rsidR="006733DE" w:rsidRDefault="0047226B" w:rsidP="00726D5B">
            <w:r>
              <w:t>Filing</w:t>
            </w:r>
          </w:p>
        </w:tc>
        <w:tc>
          <w:tcPr>
            <w:tcW w:w="1620" w:type="dxa"/>
          </w:tcPr>
          <w:p w14:paraId="08EBDE15" w14:textId="33B70A9F" w:rsidR="006733DE" w:rsidRPr="00760347" w:rsidRDefault="00181B41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6,000</w:t>
            </w:r>
          </w:p>
        </w:tc>
        <w:tc>
          <w:tcPr>
            <w:tcW w:w="1710" w:type="dxa"/>
          </w:tcPr>
          <w:p w14:paraId="5BB3892E" w14:textId="1C68B6AE" w:rsidR="006733DE" w:rsidRPr="00760347" w:rsidRDefault="00181B41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1,800</w:t>
            </w:r>
          </w:p>
        </w:tc>
        <w:tc>
          <w:tcPr>
            <w:tcW w:w="1170" w:type="dxa"/>
          </w:tcPr>
          <w:p w14:paraId="11A29F17" w14:textId="321D56AA" w:rsidR="006733DE" w:rsidRPr="00760347" w:rsidRDefault="00760347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 w:cs="Arial"/>
                <w:color w:val="222222"/>
                <w:shd w:val="clear" w:color="auto" w:fill="FFFFFF"/>
              </w:rPr>
              <w:t>907</w:t>
            </w:r>
          </w:p>
        </w:tc>
        <w:tc>
          <w:tcPr>
            <w:tcW w:w="1170" w:type="dxa"/>
          </w:tcPr>
          <w:p w14:paraId="26BDEA68" w14:textId="51A3C660" w:rsidR="006733DE" w:rsidRPr="00760347" w:rsidRDefault="00760347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 w:cs="Arial"/>
                <w:color w:val="222222"/>
                <w:shd w:val="clear" w:color="auto" w:fill="FFFFFF"/>
              </w:rPr>
              <w:t>258</w:t>
            </w:r>
          </w:p>
        </w:tc>
        <w:tc>
          <w:tcPr>
            <w:tcW w:w="1170" w:type="dxa"/>
            <w:shd w:val="pct25" w:color="auto" w:fill="auto"/>
          </w:tcPr>
          <w:p w14:paraId="5ED66255" w14:textId="1E5604F1" w:rsidR="006733DE" w:rsidRPr="00760347" w:rsidRDefault="006733DE" w:rsidP="000C32CA">
            <w:pPr>
              <w:rPr>
                <w:rFonts w:ascii="Calibri" w:hAnsi="Calibri"/>
              </w:rPr>
            </w:pPr>
          </w:p>
        </w:tc>
      </w:tr>
      <w:tr w:rsidR="006733DE" w14:paraId="36931672" w14:textId="77777777" w:rsidTr="000C32CA">
        <w:trPr>
          <w:trHeight w:val="134"/>
        </w:trPr>
        <w:tc>
          <w:tcPr>
            <w:tcW w:w="1452" w:type="dxa"/>
          </w:tcPr>
          <w:p w14:paraId="1E9AC405" w14:textId="77777777" w:rsidR="006733DE" w:rsidRDefault="009646E2" w:rsidP="00726D5B">
            <w:r>
              <w:t>Hearing</w:t>
            </w:r>
          </w:p>
        </w:tc>
        <w:tc>
          <w:tcPr>
            <w:tcW w:w="1620" w:type="dxa"/>
          </w:tcPr>
          <w:p w14:paraId="325EC258" w14:textId="77777777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1,700</w:t>
            </w:r>
          </w:p>
        </w:tc>
        <w:tc>
          <w:tcPr>
            <w:tcW w:w="1710" w:type="dxa"/>
          </w:tcPr>
          <w:p w14:paraId="78526B3A" w14:textId="77777777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510</w:t>
            </w:r>
          </w:p>
        </w:tc>
        <w:tc>
          <w:tcPr>
            <w:tcW w:w="1170" w:type="dxa"/>
          </w:tcPr>
          <w:p w14:paraId="0CE8984B" w14:textId="77777777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656</w:t>
            </w:r>
          </w:p>
        </w:tc>
        <w:tc>
          <w:tcPr>
            <w:tcW w:w="1170" w:type="dxa"/>
          </w:tcPr>
          <w:p w14:paraId="5227316A" w14:textId="77777777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233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9F83E1" w14:textId="77777777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100</w:t>
            </w:r>
          </w:p>
        </w:tc>
      </w:tr>
      <w:tr w:rsidR="006733DE" w14:paraId="46B6B628" w14:textId="77777777" w:rsidTr="000C32CA">
        <w:trPr>
          <w:trHeight w:val="60"/>
        </w:trPr>
        <w:tc>
          <w:tcPr>
            <w:tcW w:w="1452" w:type="dxa"/>
          </w:tcPr>
          <w:p w14:paraId="43D0E6BC" w14:textId="77777777" w:rsidR="006733DE" w:rsidRDefault="009646E2" w:rsidP="00726D5B">
            <w:r>
              <w:t>Decision</w:t>
            </w:r>
          </w:p>
        </w:tc>
        <w:tc>
          <w:tcPr>
            <w:tcW w:w="1620" w:type="dxa"/>
          </w:tcPr>
          <w:p w14:paraId="40309389" w14:textId="77777777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7,400</w:t>
            </w:r>
          </w:p>
        </w:tc>
        <w:tc>
          <w:tcPr>
            <w:tcW w:w="1710" w:type="dxa"/>
          </w:tcPr>
          <w:p w14:paraId="2298D56C" w14:textId="77777777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2,220</w:t>
            </w:r>
          </w:p>
        </w:tc>
        <w:tc>
          <w:tcPr>
            <w:tcW w:w="1170" w:type="dxa"/>
          </w:tcPr>
          <w:p w14:paraId="5C40643A" w14:textId="77777777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933</w:t>
            </w:r>
          </w:p>
        </w:tc>
        <w:tc>
          <w:tcPr>
            <w:tcW w:w="1170" w:type="dxa"/>
          </w:tcPr>
          <w:p w14:paraId="2D51F6AA" w14:textId="77777777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  <w:r w:rsidRPr="00760347">
              <w:rPr>
                <w:rFonts w:ascii="Calibri" w:hAnsi="Calibri"/>
              </w:rPr>
              <w:t>260</w:t>
            </w:r>
          </w:p>
        </w:tc>
        <w:tc>
          <w:tcPr>
            <w:tcW w:w="1170" w:type="dxa"/>
            <w:shd w:val="pct25" w:color="auto" w:fill="auto"/>
          </w:tcPr>
          <w:p w14:paraId="3C709952" w14:textId="6508622C" w:rsidR="006733DE" w:rsidRPr="00760347" w:rsidRDefault="006733DE" w:rsidP="00760347">
            <w:pPr>
              <w:jc w:val="center"/>
              <w:rPr>
                <w:rFonts w:ascii="Calibri" w:hAnsi="Calibri"/>
              </w:rPr>
            </w:pPr>
          </w:p>
        </w:tc>
      </w:tr>
    </w:tbl>
    <w:p w14:paraId="6A76EE6D" w14:textId="77777777" w:rsidR="0061391F" w:rsidRDefault="001A00CD" w:rsidP="00DF3C2C">
      <w:pPr>
        <w:rPr>
          <w:rFonts w:cstheme="minorHAnsi"/>
          <w:b/>
          <w:color w:val="4472C4" w:themeColor="accent1"/>
        </w:rPr>
      </w:pPr>
      <w:r>
        <w:br/>
      </w:r>
      <w:r w:rsidR="0061391F">
        <w:rPr>
          <w:rFonts w:cstheme="minorHAnsi"/>
          <w:b/>
          <w:color w:val="4472C4" w:themeColor="accent1"/>
        </w:rPr>
        <w:t xml:space="preserve">Table </w:t>
      </w:r>
      <w:r w:rsidR="00FB1391">
        <w:rPr>
          <w:rFonts w:cstheme="minorHAnsi"/>
          <w:b/>
          <w:color w:val="4472C4" w:themeColor="accent1"/>
        </w:rPr>
        <w:t>2B</w:t>
      </w:r>
      <w:r w:rsidR="0061391F">
        <w:rPr>
          <w:rFonts w:cstheme="minorHAnsi"/>
          <w:b/>
          <w:color w:val="4472C4" w:themeColor="accent1"/>
        </w:rPr>
        <w:t xml:space="preserve">. Proposed </w:t>
      </w:r>
      <w:r w:rsidR="0061391F" w:rsidRPr="003855A3">
        <w:rPr>
          <w:rFonts w:cstheme="minorHAnsi"/>
          <w:b/>
          <w:color w:val="4472C4" w:themeColor="accent1"/>
        </w:rPr>
        <w:t>Sample Targets by Time Period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1799"/>
        <w:gridCol w:w="1744"/>
        <w:gridCol w:w="1744"/>
        <w:gridCol w:w="1856"/>
      </w:tblGrid>
      <w:tr w:rsidR="00D141DC" w:rsidRPr="00363FE0" w14:paraId="79AE1E5A" w14:textId="77777777" w:rsidTr="00D141DC">
        <w:trPr>
          <w:jc w:val="center"/>
        </w:trPr>
        <w:tc>
          <w:tcPr>
            <w:tcW w:w="1818" w:type="dxa"/>
          </w:tcPr>
          <w:p w14:paraId="6FA5B9E4" w14:textId="77777777" w:rsidR="00D141DC" w:rsidRPr="003855A3" w:rsidRDefault="00D141DC" w:rsidP="00D141DC">
            <w:pPr>
              <w:rPr>
                <w:rFonts w:cstheme="minorHAnsi"/>
                <w:b/>
                <w:color w:val="4472C4" w:themeColor="accent1"/>
              </w:rPr>
            </w:pPr>
            <w:r>
              <w:rPr>
                <w:rFonts w:cstheme="minorHAnsi"/>
                <w:b/>
                <w:color w:val="4472C4" w:themeColor="accent1"/>
              </w:rPr>
              <w:t>Population Type</w:t>
            </w:r>
          </w:p>
        </w:tc>
        <w:tc>
          <w:tcPr>
            <w:tcW w:w="1799" w:type="dxa"/>
          </w:tcPr>
          <w:p w14:paraId="43D9480E" w14:textId="77777777" w:rsidR="00D141DC" w:rsidRPr="003855A3" w:rsidRDefault="00D141DC" w:rsidP="00D141DC">
            <w:pPr>
              <w:rPr>
                <w:rFonts w:cstheme="minorHAnsi"/>
                <w:b/>
                <w:color w:val="4472C4" w:themeColor="accent1"/>
              </w:rPr>
            </w:pPr>
            <w:r w:rsidRPr="003855A3">
              <w:rPr>
                <w:rFonts w:cstheme="minorHAnsi"/>
                <w:b/>
                <w:color w:val="4472C4" w:themeColor="accent1"/>
              </w:rPr>
              <w:t>Weekly Target</w:t>
            </w:r>
          </w:p>
        </w:tc>
        <w:tc>
          <w:tcPr>
            <w:tcW w:w="1744" w:type="dxa"/>
          </w:tcPr>
          <w:p w14:paraId="01AE0E0B" w14:textId="77777777" w:rsidR="00D141DC" w:rsidRPr="00D141DC" w:rsidRDefault="00D141DC" w:rsidP="00D141DC">
            <w:pPr>
              <w:rPr>
                <w:rFonts w:cstheme="minorHAnsi"/>
                <w:b/>
                <w:color w:val="4472C4" w:themeColor="accent1"/>
              </w:rPr>
            </w:pPr>
            <w:r w:rsidRPr="00D141DC">
              <w:rPr>
                <w:b/>
                <w:color w:val="4472C4" w:themeColor="accent1"/>
              </w:rPr>
              <w:t>Weekly Contact</w:t>
            </w:r>
          </w:p>
        </w:tc>
        <w:tc>
          <w:tcPr>
            <w:tcW w:w="1744" w:type="dxa"/>
          </w:tcPr>
          <w:p w14:paraId="0D5D5E04" w14:textId="77777777" w:rsidR="00D141DC" w:rsidRPr="00D141DC" w:rsidRDefault="00D141DC" w:rsidP="00D141DC">
            <w:pPr>
              <w:rPr>
                <w:rFonts w:cstheme="minorHAnsi"/>
                <w:b/>
                <w:color w:val="4472C4" w:themeColor="accent1"/>
              </w:rPr>
            </w:pPr>
            <w:r w:rsidRPr="00D141DC">
              <w:rPr>
                <w:rFonts w:cstheme="minorHAnsi"/>
                <w:b/>
                <w:color w:val="4472C4" w:themeColor="accent1"/>
              </w:rPr>
              <w:t>Monthly Target</w:t>
            </w:r>
          </w:p>
        </w:tc>
        <w:tc>
          <w:tcPr>
            <w:tcW w:w="1856" w:type="dxa"/>
          </w:tcPr>
          <w:p w14:paraId="51EC84C3" w14:textId="77777777" w:rsidR="00D141DC" w:rsidRPr="00D141DC" w:rsidRDefault="00D141DC" w:rsidP="00D141DC">
            <w:pPr>
              <w:rPr>
                <w:rFonts w:cstheme="minorHAnsi"/>
                <w:b/>
                <w:color w:val="4472C4" w:themeColor="accent1"/>
              </w:rPr>
            </w:pPr>
            <w:r w:rsidRPr="00D141DC">
              <w:rPr>
                <w:b/>
                <w:color w:val="4472C4" w:themeColor="accent1"/>
              </w:rPr>
              <w:t>Monthly Contact</w:t>
            </w:r>
          </w:p>
        </w:tc>
      </w:tr>
      <w:tr w:rsidR="00D141DC" w:rsidRPr="00363FE0" w14:paraId="0E83EECA" w14:textId="77777777" w:rsidTr="00D141DC">
        <w:trPr>
          <w:jc w:val="center"/>
        </w:trPr>
        <w:tc>
          <w:tcPr>
            <w:tcW w:w="1818" w:type="dxa"/>
          </w:tcPr>
          <w:p w14:paraId="27CF6A05" w14:textId="1C7B73CC" w:rsidR="00D141DC" w:rsidRPr="00491605" w:rsidRDefault="00181B41" w:rsidP="00D141DC">
            <w:pPr>
              <w:rPr>
                <w:rFonts w:cstheme="minorHAnsi"/>
              </w:rPr>
            </w:pPr>
            <w:r>
              <w:t>Filing</w:t>
            </w:r>
            <w:r w:rsidR="00D141DC">
              <w:t xml:space="preserve"> </w:t>
            </w:r>
          </w:p>
        </w:tc>
        <w:tc>
          <w:tcPr>
            <w:tcW w:w="1799" w:type="dxa"/>
          </w:tcPr>
          <w:p w14:paraId="5B22F717" w14:textId="4E5BD7D8" w:rsidR="00D141DC" w:rsidRPr="00760347" w:rsidRDefault="00760347" w:rsidP="00760347">
            <w:pPr>
              <w:jc w:val="center"/>
              <w:rPr>
                <w:rFonts w:cstheme="minorHAnsi"/>
              </w:rPr>
            </w:pPr>
            <w:r w:rsidRPr="00760347">
              <w:rPr>
                <w:rFonts w:cs="Arial"/>
                <w:color w:val="222222"/>
                <w:shd w:val="clear" w:color="auto" w:fill="FFFFFF"/>
              </w:rPr>
              <w:t>75</w:t>
            </w:r>
          </w:p>
        </w:tc>
        <w:tc>
          <w:tcPr>
            <w:tcW w:w="1744" w:type="dxa"/>
          </w:tcPr>
          <w:p w14:paraId="676E0CD0" w14:textId="56490259" w:rsidR="00D141DC" w:rsidRPr="00760347" w:rsidRDefault="00D141DC" w:rsidP="00760347">
            <w:pPr>
              <w:jc w:val="center"/>
              <w:rPr>
                <w:rFonts w:cstheme="minorHAnsi"/>
              </w:rPr>
            </w:pPr>
            <w:r w:rsidRPr="00760347">
              <w:t>3</w:t>
            </w:r>
            <w:r w:rsidR="00760347" w:rsidRPr="00760347">
              <w:t>75</w:t>
            </w:r>
          </w:p>
        </w:tc>
        <w:tc>
          <w:tcPr>
            <w:tcW w:w="1744" w:type="dxa"/>
          </w:tcPr>
          <w:p w14:paraId="03EE7124" w14:textId="3805EC5A" w:rsidR="00D141DC" w:rsidRPr="00760347" w:rsidRDefault="00760347" w:rsidP="00760347">
            <w:pPr>
              <w:jc w:val="center"/>
              <w:rPr>
                <w:rFonts w:cstheme="minorHAnsi"/>
              </w:rPr>
            </w:pPr>
            <w:r w:rsidRPr="00760347">
              <w:rPr>
                <w:rFonts w:cstheme="minorHAnsi"/>
              </w:rPr>
              <w:t>300</w:t>
            </w:r>
          </w:p>
        </w:tc>
        <w:tc>
          <w:tcPr>
            <w:tcW w:w="1856" w:type="dxa"/>
          </w:tcPr>
          <w:p w14:paraId="6D7722EE" w14:textId="2605E37E" w:rsidR="00D141DC" w:rsidRPr="00760347" w:rsidRDefault="00760347" w:rsidP="00760347">
            <w:pPr>
              <w:jc w:val="center"/>
              <w:rPr>
                <w:rFonts w:cstheme="minorHAnsi"/>
              </w:rPr>
            </w:pPr>
            <w:r w:rsidRPr="00760347">
              <w:t>1,500</w:t>
            </w:r>
          </w:p>
        </w:tc>
      </w:tr>
      <w:tr w:rsidR="00D141DC" w:rsidRPr="00363FE0" w14:paraId="2A27530F" w14:textId="77777777" w:rsidTr="00D141DC">
        <w:trPr>
          <w:jc w:val="center"/>
        </w:trPr>
        <w:tc>
          <w:tcPr>
            <w:tcW w:w="1818" w:type="dxa"/>
          </w:tcPr>
          <w:p w14:paraId="766C6544" w14:textId="77777777" w:rsidR="00D141DC" w:rsidRPr="00491605" w:rsidRDefault="00D141DC" w:rsidP="00D141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Hearing </w:t>
            </w:r>
          </w:p>
        </w:tc>
        <w:tc>
          <w:tcPr>
            <w:tcW w:w="1799" w:type="dxa"/>
          </w:tcPr>
          <w:p w14:paraId="3775D026" w14:textId="77777777" w:rsidR="00D141DC" w:rsidRPr="00760347" w:rsidRDefault="00D141DC" w:rsidP="00760347">
            <w:pPr>
              <w:jc w:val="center"/>
              <w:rPr>
                <w:rFonts w:cstheme="minorHAnsi"/>
              </w:rPr>
            </w:pPr>
            <w:r w:rsidRPr="00760347">
              <w:rPr>
                <w:rFonts w:cstheme="minorHAnsi"/>
              </w:rPr>
              <w:t>25</w:t>
            </w:r>
          </w:p>
        </w:tc>
        <w:tc>
          <w:tcPr>
            <w:tcW w:w="1744" w:type="dxa"/>
          </w:tcPr>
          <w:p w14:paraId="3DBF11C1" w14:textId="77777777" w:rsidR="00D141DC" w:rsidRPr="00760347" w:rsidRDefault="00D141DC" w:rsidP="00760347">
            <w:pPr>
              <w:jc w:val="center"/>
              <w:rPr>
                <w:rFonts w:cstheme="minorHAnsi"/>
              </w:rPr>
            </w:pPr>
            <w:r w:rsidRPr="00760347">
              <w:t>125</w:t>
            </w:r>
          </w:p>
        </w:tc>
        <w:tc>
          <w:tcPr>
            <w:tcW w:w="1744" w:type="dxa"/>
          </w:tcPr>
          <w:p w14:paraId="6618EBAF" w14:textId="77777777" w:rsidR="00D141DC" w:rsidRPr="00760347" w:rsidRDefault="00D141DC" w:rsidP="00760347">
            <w:pPr>
              <w:jc w:val="center"/>
              <w:rPr>
                <w:rFonts w:cstheme="minorHAnsi"/>
              </w:rPr>
            </w:pPr>
            <w:r w:rsidRPr="00760347">
              <w:rPr>
                <w:rFonts w:cstheme="minorHAnsi"/>
              </w:rPr>
              <w:t>100</w:t>
            </w:r>
          </w:p>
        </w:tc>
        <w:tc>
          <w:tcPr>
            <w:tcW w:w="1856" w:type="dxa"/>
          </w:tcPr>
          <w:p w14:paraId="651678DB" w14:textId="77777777" w:rsidR="00D141DC" w:rsidRPr="00760347" w:rsidRDefault="00D141DC" w:rsidP="00760347">
            <w:pPr>
              <w:jc w:val="center"/>
              <w:rPr>
                <w:rFonts w:cstheme="minorHAnsi"/>
              </w:rPr>
            </w:pPr>
            <w:r w:rsidRPr="00760347">
              <w:t>500</w:t>
            </w:r>
          </w:p>
        </w:tc>
      </w:tr>
      <w:tr w:rsidR="00D141DC" w:rsidRPr="00363FE0" w14:paraId="785A5D8F" w14:textId="77777777" w:rsidTr="00D141DC">
        <w:trPr>
          <w:jc w:val="center"/>
        </w:trPr>
        <w:tc>
          <w:tcPr>
            <w:tcW w:w="1818" w:type="dxa"/>
          </w:tcPr>
          <w:p w14:paraId="41AA36B3" w14:textId="77777777" w:rsidR="00D141DC" w:rsidRDefault="00D141DC" w:rsidP="00D141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Decision </w:t>
            </w:r>
          </w:p>
        </w:tc>
        <w:tc>
          <w:tcPr>
            <w:tcW w:w="1799" w:type="dxa"/>
          </w:tcPr>
          <w:p w14:paraId="3A01391C" w14:textId="0ED5A998" w:rsidR="00D141DC" w:rsidRPr="00760347" w:rsidRDefault="00760347" w:rsidP="007603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744" w:type="dxa"/>
          </w:tcPr>
          <w:p w14:paraId="5BF8B6F8" w14:textId="7DB0E70E" w:rsidR="00D141DC" w:rsidRPr="00760347" w:rsidRDefault="00760347" w:rsidP="00760347">
            <w:pPr>
              <w:jc w:val="center"/>
              <w:rPr>
                <w:rFonts w:cstheme="minorHAnsi"/>
              </w:rPr>
            </w:pPr>
            <w:r w:rsidRPr="00760347">
              <w:t>500</w:t>
            </w:r>
          </w:p>
        </w:tc>
        <w:tc>
          <w:tcPr>
            <w:tcW w:w="1744" w:type="dxa"/>
          </w:tcPr>
          <w:p w14:paraId="6F903317" w14:textId="14940BB5" w:rsidR="00D141DC" w:rsidRPr="00760347" w:rsidRDefault="00760347" w:rsidP="007603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1856" w:type="dxa"/>
          </w:tcPr>
          <w:p w14:paraId="0A04E1E2" w14:textId="1846508D" w:rsidR="00D141DC" w:rsidRPr="00760347" w:rsidRDefault="00760347" w:rsidP="00760347">
            <w:pPr>
              <w:jc w:val="center"/>
              <w:rPr>
                <w:rFonts w:cstheme="minorHAnsi"/>
              </w:rPr>
            </w:pPr>
            <w:r w:rsidRPr="00760347">
              <w:t>2,000</w:t>
            </w:r>
          </w:p>
        </w:tc>
      </w:tr>
      <w:tr w:rsidR="00D141DC" w:rsidRPr="00363FE0" w14:paraId="44D8C254" w14:textId="77777777" w:rsidTr="00D141DC">
        <w:trPr>
          <w:jc w:val="center"/>
        </w:trPr>
        <w:tc>
          <w:tcPr>
            <w:tcW w:w="1818" w:type="dxa"/>
          </w:tcPr>
          <w:p w14:paraId="3DC43B93" w14:textId="77777777" w:rsidR="00D141DC" w:rsidRPr="00491605" w:rsidRDefault="00D141DC" w:rsidP="00D141DC">
            <w:pPr>
              <w:rPr>
                <w:rFonts w:cstheme="minorHAnsi"/>
                <w:b/>
              </w:rPr>
            </w:pPr>
            <w:r w:rsidRPr="00491605">
              <w:rPr>
                <w:rFonts w:cstheme="minorHAnsi"/>
                <w:b/>
              </w:rPr>
              <w:t>Total</w:t>
            </w:r>
          </w:p>
        </w:tc>
        <w:tc>
          <w:tcPr>
            <w:tcW w:w="1799" w:type="dxa"/>
          </w:tcPr>
          <w:p w14:paraId="2C2E3D5C" w14:textId="3895FFD7" w:rsidR="00D141DC" w:rsidRPr="00760347" w:rsidRDefault="00760347" w:rsidP="007603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744" w:type="dxa"/>
          </w:tcPr>
          <w:p w14:paraId="04F4CCCA" w14:textId="248C71AA" w:rsidR="00D141DC" w:rsidRPr="00760347" w:rsidRDefault="00760347" w:rsidP="00760347">
            <w:pPr>
              <w:jc w:val="center"/>
              <w:rPr>
                <w:rFonts w:cstheme="minorHAnsi"/>
              </w:rPr>
            </w:pPr>
            <w:r>
              <w:t>1,000</w:t>
            </w:r>
          </w:p>
        </w:tc>
        <w:tc>
          <w:tcPr>
            <w:tcW w:w="1744" w:type="dxa"/>
          </w:tcPr>
          <w:p w14:paraId="3E61171B" w14:textId="57675286" w:rsidR="00D141DC" w:rsidRPr="00760347" w:rsidRDefault="00760347" w:rsidP="007603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  <w:tc>
          <w:tcPr>
            <w:tcW w:w="1856" w:type="dxa"/>
          </w:tcPr>
          <w:p w14:paraId="2DC049B7" w14:textId="38116A0C" w:rsidR="00D141DC" w:rsidRPr="00760347" w:rsidRDefault="00760347" w:rsidP="00760347">
            <w:pPr>
              <w:jc w:val="center"/>
              <w:rPr>
                <w:rFonts w:cstheme="minorHAnsi"/>
              </w:rPr>
            </w:pPr>
            <w:r>
              <w:t>4,000</w:t>
            </w:r>
          </w:p>
        </w:tc>
      </w:tr>
    </w:tbl>
    <w:p w14:paraId="4AA3E9FB" w14:textId="77777777" w:rsidR="00F5111D" w:rsidRDefault="001A00CD" w:rsidP="00D141DC">
      <w:pPr>
        <w:rPr>
          <w:b/>
          <w:color w:val="4472C4" w:themeColor="accent1"/>
        </w:rPr>
      </w:pPr>
      <w:r>
        <w:rPr>
          <w:b/>
          <w:color w:val="4472C4" w:themeColor="accent1"/>
        </w:rPr>
        <w:br/>
      </w:r>
      <w:r w:rsidR="00F377A1">
        <w:rPr>
          <w:b/>
          <w:color w:val="4472C4" w:themeColor="accent1"/>
        </w:rPr>
        <w:t xml:space="preserve">Weighting Adjustments </w:t>
      </w:r>
    </w:p>
    <w:p w14:paraId="0D541761" w14:textId="77777777" w:rsidR="009F6761" w:rsidRDefault="00F5111D" w:rsidP="00F5111D">
      <w:pPr>
        <w:ind w:firstLine="720"/>
      </w:pPr>
      <w:r>
        <w:t xml:space="preserve">Many survey practitioners recommend the use of </w:t>
      </w:r>
      <w:r w:rsidR="00190AF3">
        <w:t xml:space="preserve">sample </w:t>
      </w:r>
      <w:r>
        <w:t xml:space="preserve">weighting to improve inference on the population. Under this process, the respondent sample is </w:t>
      </w:r>
      <w:r w:rsidR="00694D35">
        <w:t>artificially</w:t>
      </w:r>
      <w:r w:rsidR="00190AF3">
        <w:t xml:space="preserve"> </w:t>
      </w:r>
      <w:r>
        <w:t xml:space="preserve">made to more closely resemble the true population. </w:t>
      </w:r>
      <w:r w:rsidR="00874489">
        <w:t xml:space="preserve">It is reported earlier that </w:t>
      </w:r>
      <w:r w:rsidR="00874489" w:rsidRPr="00E03D23">
        <w:rPr>
          <w:rFonts w:cstheme="minorHAnsi"/>
        </w:rPr>
        <w:t>email population comprises 30%</w:t>
      </w:r>
      <w:r w:rsidR="00874489">
        <w:rPr>
          <w:rFonts w:cstheme="minorHAnsi"/>
        </w:rPr>
        <w:t xml:space="preserve"> of the over</w:t>
      </w:r>
      <w:r w:rsidR="006E4586">
        <w:rPr>
          <w:rFonts w:cstheme="minorHAnsi"/>
        </w:rPr>
        <w:t xml:space="preserve">all </w:t>
      </w:r>
      <w:r w:rsidR="002E4C0B">
        <w:rPr>
          <w:rFonts w:cstheme="minorHAnsi"/>
        </w:rPr>
        <w:t>V</w:t>
      </w:r>
      <w:r w:rsidR="006E4586">
        <w:rPr>
          <w:rFonts w:cstheme="minorHAnsi"/>
        </w:rPr>
        <w:t>eteran population and 20% V</w:t>
      </w:r>
      <w:r w:rsidR="00874489">
        <w:rPr>
          <w:rFonts w:cstheme="minorHAnsi"/>
        </w:rPr>
        <w:t xml:space="preserve">eterans usually respond to the survey, weighting will be used to adjust for </w:t>
      </w:r>
      <w:r w:rsidR="0001753E">
        <w:rPr>
          <w:rFonts w:cstheme="minorHAnsi"/>
        </w:rPr>
        <w:t xml:space="preserve">non-coverage (for the </w:t>
      </w:r>
      <w:r w:rsidR="00BB12FC">
        <w:rPr>
          <w:rFonts w:cstheme="minorHAnsi"/>
        </w:rPr>
        <w:t>non-email population) and non-response (</w:t>
      </w:r>
      <w:r w:rsidR="00BB12FC" w:rsidRPr="003855A3">
        <w:rPr>
          <w:rFonts w:cstheme="minorHAnsi"/>
        </w:rPr>
        <w:t>occurring when certain subpopulations are less prone to participate</w:t>
      </w:r>
      <w:r w:rsidR="00BB12FC">
        <w:rPr>
          <w:rFonts w:cstheme="minorHAnsi"/>
        </w:rPr>
        <w:t xml:space="preserve">). The </w:t>
      </w:r>
      <w:r w:rsidR="00545F99">
        <w:rPr>
          <w:rFonts w:cstheme="minorHAnsi"/>
        </w:rPr>
        <w:t>variable</w:t>
      </w:r>
      <w:r w:rsidR="00E20679">
        <w:rPr>
          <w:rFonts w:cstheme="minorHAnsi"/>
        </w:rPr>
        <w:t>s used in the weighting process</w:t>
      </w:r>
      <w:r w:rsidR="00545F99">
        <w:rPr>
          <w:rFonts w:cstheme="minorHAnsi"/>
        </w:rPr>
        <w:t xml:space="preserve"> will </w:t>
      </w:r>
      <w:r w:rsidR="00E20679">
        <w:rPr>
          <w:rFonts w:cstheme="minorHAnsi"/>
        </w:rPr>
        <w:t xml:space="preserve">correspond to </w:t>
      </w:r>
      <w:r w:rsidR="00545F99">
        <w:rPr>
          <w:rFonts w:cstheme="minorHAnsi"/>
        </w:rPr>
        <w:t xml:space="preserve">the respondent’s </w:t>
      </w:r>
      <w:r w:rsidR="00545F99" w:rsidRPr="00545F99">
        <w:rPr>
          <w:rFonts w:cstheme="minorHAnsi"/>
          <w:b/>
        </w:rPr>
        <w:t>Age</w:t>
      </w:r>
      <w:r w:rsidR="00E20679">
        <w:rPr>
          <w:rFonts w:cstheme="minorHAnsi"/>
          <w:b/>
        </w:rPr>
        <w:t xml:space="preserve"> Group</w:t>
      </w:r>
      <w:r w:rsidR="00F723CA">
        <w:rPr>
          <w:rFonts w:cstheme="minorHAnsi"/>
        </w:rPr>
        <w:t xml:space="preserve"> </w:t>
      </w:r>
      <w:r w:rsidR="00F723CA" w:rsidRPr="00401DF2">
        <w:rPr>
          <w:rFonts w:cstheme="minorHAnsi"/>
          <w:b/>
        </w:rPr>
        <w:t xml:space="preserve">and </w:t>
      </w:r>
      <w:r w:rsidR="00F723CA" w:rsidRPr="00F723CA">
        <w:rPr>
          <w:rFonts w:cstheme="minorHAnsi"/>
          <w:b/>
        </w:rPr>
        <w:t>Gender</w:t>
      </w:r>
      <w:r w:rsidR="00EA7AFE">
        <w:rPr>
          <w:rFonts w:cstheme="minorHAnsi"/>
        </w:rPr>
        <w:t>.</w:t>
      </w:r>
    </w:p>
    <w:p w14:paraId="6E11ABDE" w14:textId="77777777" w:rsidR="003164F5" w:rsidRPr="00DC6E52" w:rsidRDefault="003164F5" w:rsidP="003164F5">
      <w:pPr>
        <w:rPr>
          <w:color w:val="4472C4" w:themeColor="accent1"/>
        </w:rPr>
      </w:pPr>
      <w:r w:rsidRPr="00DC6E52">
        <w:rPr>
          <w:b/>
          <w:color w:val="4472C4" w:themeColor="accent1"/>
        </w:rPr>
        <w:t>Quarantine Rules</w:t>
      </w:r>
    </w:p>
    <w:p w14:paraId="36FB565D" w14:textId="77777777" w:rsidR="00D23221" w:rsidRDefault="00D23221" w:rsidP="003164F5">
      <w:pPr>
        <w:ind w:firstLine="720"/>
      </w:pPr>
      <w:r w:rsidRPr="00D23221">
        <w:t xml:space="preserve">VEO seeks to limit contact with Veterans as much as possible, and only as necessary to achieve measurement goals. These rules are enacted to prevent excessive recruitment attempts upon </w:t>
      </w:r>
      <w:r>
        <w:t>survey participants</w:t>
      </w:r>
      <w:r w:rsidR="002E4C0B">
        <w:t>. VEO also monitors V</w:t>
      </w:r>
      <w:r w:rsidRPr="00D23221">
        <w:t>eteran participation w</w:t>
      </w:r>
      <w:r w:rsidR="006E4586">
        <w:t>ithin other surveys, to ensure V</w:t>
      </w:r>
      <w:r w:rsidRPr="00D23221">
        <w:t>eterans do not experience survey fatigue. All VEO surveys offer options for respondents to opt out, and ensure they are no longer contacted for a specific survey.</w:t>
      </w:r>
      <w:r w:rsidR="00C11825">
        <w:t xml:space="preserve"> </w:t>
      </w:r>
    </w:p>
    <w:p w14:paraId="632D0B38" w14:textId="77777777" w:rsidR="003164F5" w:rsidRPr="002749DE" w:rsidRDefault="00811364" w:rsidP="003164F5">
      <w:r>
        <w:rPr>
          <w:b/>
          <w:color w:val="4472C4" w:themeColor="accent1"/>
        </w:rPr>
        <w:t xml:space="preserve">Table </w:t>
      </w:r>
      <w:r w:rsidR="00CB114A">
        <w:rPr>
          <w:b/>
          <w:color w:val="4472C4" w:themeColor="accent1"/>
        </w:rPr>
        <w:t>3</w:t>
      </w:r>
      <w:r w:rsidR="003164F5" w:rsidRPr="005528DA">
        <w:rPr>
          <w:b/>
          <w:color w:val="4472C4" w:themeColor="accent1"/>
        </w:rPr>
        <w:t xml:space="preserve">. </w:t>
      </w:r>
      <w:r w:rsidR="003164F5">
        <w:rPr>
          <w:b/>
          <w:color w:val="4472C4" w:themeColor="accent1"/>
        </w:rPr>
        <w:t>Proposed Quarantine Protocol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548"/>
        <w:gridCol w:w="6840"/>
        <w:gridCol w:w="1350"/>
      </w:tblGrid>
      <w:tr w:rsidR="003164F5" w14:paraId="21920FA4" w14:textId="77777777" w:rsidTr="000A1421">
        <w:tc>
          <w:tcPr>
            <w:tcW w:w="1548" w:type="dxa"/>
          </w:tcPr>
          <w:p w14:paraId="52145097" w14:textId="77777777" w:rsidR="003164F5" w:rsidRPr="004A64E4" w:rsidRDefault="003164F5" w:rsidP="00660907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Quarantine Rule</w:t>
            </w:r>
          </w:p>
        </w:tc>
        <w:tc>
          <w:tcPr>
            <w:tcW w:w="6840" w:type="dxa"/>
          </w:tcPr>
          <w:p w14:paraId="7064843F" w14:textId="77777777" w:rsidR="003164F5" w:rsidRDefault="003164F5" w:rsidP="00660907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Description</w:t>
            </w:r>
          </w:p>
          <w:p w14:paraId="5B326B75" w14:textId="77777777" w:rsidR="003164F5" w:rsidRPr="004A64E4" w:rsidRDefault="003164F5" w:rsidP="00660907">
            <w:pPr>
              <w:rPr>
                <w:b/>
                <w:color w:val="4472C4" w:themeColor="accent1"/>
              </w:rPr>
            </w:pPr>
          </w:p>
        </w:tc>
        <w:tc>
          <w:tcPr>
            <w:tcW w:w="1350" w:type="dxa"/>
          </w:tcPr>
          <w:p w14:paraId="38514A09" w14:textId="77777777" w:rsidR="003164F5" w:rsidRDefault="003164F5" w:rsidP="00660907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 xml:space="preserve">Elapsed Time </w:t>
            </w:r>
          </w:p>
        </w:tc>
      </w:tr>
      <w:tr w:rsidR="003164F5" w14:paraId="3CB8649F" w14:textId="77777777" w:rsidTr="000A1421">
        <w:tc>
          <w:tcPr>
            <w:tcW w:w="1548" w:type="dxa"/>
          </w:tcPr>
          <w:p w14:paraId="7B6ECE48" w14:textId="77777777" w:rsidR="003164F5" w:rsidRPr="0074180B" w:rsidRDefault="003164F5" w:rsidP="00660907">
            <w:r w:rsidRPr="0074180B">
              <w:t>Other Surveys</w:t>
            </w:r>
          </w:p>
        </w:tc>
        <w:tc>
          <w:tcPr>
            <w:tcW w:w="6840" w:type="dxa"/>
          </w:tcPr>
          <w:p w14:paraId="64EC99D6" w14:textId="77777777" w:rsidR="003164F5" w:rsidRPr="0074180B" w:rsidRDefault="003164F5" w:rsidP="00660907">
            <w:r w:rsidRPr="0074180B">
              <w:t xml:space="preserve">Veterans engaged that have recently completed other VEO </w:t>
            </w:r>
            <w:r w:rsidR="008C6FC2" w:rsidRPr="0074180B">
              <w:t xml:space="preserve">surveys </w:t>
            </w:r>
            <w:r w:rsidR="003E5275">
              <w:t xml:space="preserve">(excluding Outpatient Services Survey) </w:t>
            </w:r>
            <w:r w:rsidRPr="0074180B">
              <w:t>will not be selected for 30 days.</w:t>
            </w:r>
          </w:p>
        </w:tc>
        <w:tc>
          <w:tcPr>
            <w:tcW w:w="1350" w:type="dxa"/>
          </w:tcPr>
          <w:p w14:paraId="63D6A658" w14:textId="77777777" w:rsidR="003164F5" w:rsidRPr="0074180B" w:rsidRDefault="003164F5" w:rsidP="00660907">
            <w:r w:rsidRPr="0074180B">
              <w:t>1 Month or 30 Days</w:t>
            </w:r>
          </w:p>
        </w:tc>
      </w:tr>
      <w:tr w:rsidR="003164F5" w14:paraId="14F823CC" w14:textId="77777777" w:rsidTr="000A1421">
        <w:tc>
          <w:tcPr>
            <w:tcW w:w="1548" w:type="dxa"/>
          </w:tcPr>
          <w:p w14:paraId="08F8FBC3" w14:textId="77777777" w:rsidR="003164F5" w:rsidRDefault="003164F5" w:rsidP="00660907">
            <w:r>
              <w:t>Anonymous</w:t>
            </w:r>
          </w:p>
        </w:tc>
        <w:tc>
          <w:tcPr>
            <w:tcW w:w="6840" w:type="dxa"/>
          </w:tcPr>
          <w:p w14:paraId="52DF0CB4" w14:textId="77777777" w:rsidR="003164F5" w:rsidRDefault="003164F5" w:rsidP="00660907">
            <w:r>
              <w:t>Callers explicitly wishing to remain anonymous will not be contacted.</w:t>
            </w:r>
          </w:p>
        </w:tc>
        <w:tc>
          <w:tcPr>
            <w:tcW w:w="1350" w:type="dxa"/>
          </w:tcPr>
          <w:p w14:paraId="51F73D51" w14:textId="77777777" w:rsidR="003164F5" w:rsidRDefault="003164F5" w:rsidP="00660907">
            <w:r>
              <w:t>N/A</w:t>
            </w:r>
          </w:p>
        </w:tc>
      </w:tr>
      <w:tr w:rsidR="003164F5" w14:paraId="0615250A" w14:textId="77777777" w:rsidTr="000A1421">
        <w:tc>
          <w:tcPr>
            <w:tcW w:w="1548" w:type="dxa"/>
          </w:tcPr>
          <w:p w14:paraId="0E81F4A5" w14:textId="77777777" w:rsidR="003164F5" w:rsidRDefault="003164F5" w:rsidP="00660907">
            <w:r>
              <w:t>Opt Outs</w:t>
            </w:r>
          </w:p>
        </w:tc>
        <w:tc>
          <w:tcPr>
            <w:tcW w:w="6840" w:type="dxa"/>
          </w:tcPr>
          <w:p w14:paraId="2A9325E0" w14:textId="77777777" w:rsidR="003164F5" w:rsidRDefault="003164F5" w:rsidP="00660907">
            <w:r>
              <w:t>Persons indicating their wish to opt out of either phone or online survey will no longer be contacted.</w:t>
            </w:r>
          </w:p>
        </w:tc>
        <w:tc>
          <w:tcPr>
            <w:tcW w:w="1350" w:type="dxa"/>
          </w:tcPr>
          <w:p w14:paraId="6A20C43C" w14:textId="77777777" w:rsidR="003164F5" w:rsidRDefault="003164F5" w:rsidP="00660907">
            <w:r>
              <w:t>N/A</w:t>
            </w:r>
          </w:p>
        </w:tc>
      </w:tr>
    </w:tbl>
    <w:p w14:paraId="743AB20B" w14:textId="77777777" w:rsidR="00261120" w:rsidRPr="006C74AF" w:rsidRDefault="00261120" w:rsidP="00212285">
      <w:pPr>
        <w:rPr>
          <w:sz w:val="20"/>
          <w:szCs w:val="20"/>
        </w:rPr>
      </w:pPr>
    </w:p>
    <w:sectPr w:rsidR="00261120" w:rsidRPr="006C74AF" w:rsidSect="000F0F2E">
      <w:footerReference w:type="defaul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D29972" w15:done="0"/>
  <w15:commentEx w15:paraId="320E756A" w15:paraIdParent="28D29972" w15:done="0"/>
  <w15:commentEx w15:paraId="05CA1320" w15:done="0"/>
  <w15:commentEx w15:paraId="3387769A" w15:done="0"/>
  <w15:commentEx w15:paraId="0B083CFB" w15:done="0"/>
  <w15:commentEx w15:paraId="3098FA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29972" w16cid:durableId="1F44F0E4"/>
  <w16cid:commentId w16cid:paraId="320E756A" w16cid:durableId="1F44F0F0"/>
  <w16cid:commentId w16cid:paraId="05CA1320" w16cid:durableId="1F44F86D"/>
  <w16cid:commentId w16cid:paraId="3387769A" w16cid:durableId="1F44F897"/>
  <w16cid:commentId w16cid:paraId="0B083CFB" w16cid:durableId="1F44F8CC"/>
  <w16cid:commentId w16cid:paraId="3098FAFA" w16cid:durableId="1F44F8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9779F" w14:textId="77777777" w:rsidR="009D3C94" w:rsidRDefault="009D3C94" w:rsidP="00587FFB">
      <w:pPr>
        <w:spacing w:after="0" w:line="240" w:lineRule="auto"/>
      </w:pPr>
      <w:r>
        <w:separator/>
      </w:r>
    </w:p>
  </w:endnote>
  <w:endnote w:type="continuationSeparator" w:id="0">
    <w:p w14:paraId="64BE7E7C" w14:textId="77777777" w:rsidR="009D3C94" w:rsidRDefault="009D3C94" w:rsidP="0058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0AA16" w14:textId="0C970A42" w:rsidR="00B14511" w:rsidRDefault="00B1451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 w:rsidRPr="009014DC">
      <w:rPr>
        <w:noProof/>
      </w:rPr>
      <w:drawing>
        <wp:anchor distT="0" distB="0" distL="114300" distR="114300" simplePos="0" relativeHeight="251659264" behindDoc="0" locked="0" layoutInCell="1" allowOverlap="1" wp14:anchorId="213FC428" wp14:editId="1DE4F4B9">
          <wp:simplePos x="0" y="0"/>
          <wp:positionH relativeFrom="margin">
            <wp:align>left</wp:align>
          </wp:positionH>
          <wp:positionV relativeFrom="paragraph">
            <wp:posOffset>-36995</wp:posOffset>
          </wp:positionV>
          <wp:extent cx="1353185" cy="385445"/>
          <wp:effectExtent l="0" t="0" r="0" b="0"/>
          <wp:wrapThrough wrapText="bothSides">
            <wp:wrapPolygon edited="0">
              <wp:start x="0" y="0"/>
              <wp:lineTo x="0" y="20283"/>
              <wp:lineTo x="21286" y="20283"/>
              <wp:lineTo x="21286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9" t="23015" b="-2623"/>
                  <a:stretch/>
                </pic:blipFill>
                <pic:spPr>
                  <a:xfrm>
                    <a:off x="0" y="0"/>
                    <a:ext cx="135318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EE089E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3969BB7A" w14:textId="77777777" w:rsidR="000D481E" w:rsidRDefault="000D4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E552D" w14:textId="77777777" w:rsidR="009D3C94" w:rsidRDefault="009D3C94" w:rsidP="00587FFB">
      <w:pPr>
        <w:spacing w:after="0" w:line="240" w:lineRule="auto"/>
      </w:pPr>
      <w:r>
        <w:separator/>
      </w:r>
    </w:p>
  </w:footnote>
  <w:footnote w:type="continuationSeparator" w:id="0">
    <w:p w14:paraId="6F6D64F7" w14:textId="77777777" w:rsidR="009D3C94" w:rsidRDefault="009D3C94" w:rsidP="0058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355"/>
    <w:multiLevelType w:val="hybridMultilevel"/>
    <w:tmpl w:val="A35C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8C6"/>
    <w:multiLevelType w:val="hybridMultilevel"/>
    <w:tmpl w:val="02AE490C"/>
    <w:lvl w:ilvl="0" w:tplc="E474F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F4601"/>
    <w:multiLevelType w:val="hybridMultilevel"/>
    <w:tmpl w:val="2494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4124"/>
    <w:multiLevelType w:val="hybridMultilevel"/>
    <w:tmpl w:val="6E589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47C29"/>
    <w:multiLevelType w:val="hybridMultilevel"/>
    <w:tmpl w:val="0E76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86847"/>
    <w:multiLevelType w:val="hybridMultilevel"/>
    <w:tmpl w:val="642E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ler, Allison D.  (BAH)">
    <w15:presenceInfo w15:providerId="AD" w15:userId="S-1-5-21-776561741-1292428093-725345543-334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9F"/>
    <w:rsid w:val="00004305"/>
    <w:rsid w:val="000047DC"/>
    <w:rsid w:val="00010D33"/>
    <w:rsid w:val="0001287D"/>
    <w:rsid w:val="00015163"/>
    <w:rsid w:val="0001753E"/>
    <w:rsid w:val="00021CC6"/>
    <w:rsid w:val="00024866"/>
    <w:rsid w:val="00025FE9"/>
    <w:rsid w:val="00026E34"/>
    <w:rsid w:val="00035DDA"/>
    <w:rsid w:val="00040859"/>
    <w:rsid w:val="000446A3"/>
    <w:rsid w:val="00051D28"/>
    <w:rsid w:val="0005691A"/>
    <w:rsid w:val="000649FC"/>
    <w:rsid w:val="00067A5D"/>
    <w:rsid w:val="0007225F"/>
    <w:rsid w:val="00075A2B"/>
    <w:rsid w:val="00076292"/>
    <w:rsid w:val="00076DAF"/>
    <w:rsid w:val="00081B3C"/>
    <w:rsid w:val="00082920"/>
    <w:rsid w:val="0008599B"/>
    <w:rsid w:val="000865B5"/>
    <w:rsid w:val="00086C2F"/>
    <w:rsid w:val="00095533"/>
    <w:rsid w:val="000A086F"/>
    <w:rsid w:val="000A1421"/>
    <w:rsid w:val="000A2CCB"/>
    <w:rsid w:val="000A4EB0"/>
    <w:rsid w:val="000B6DD8"/>
    <w:rsid w:val="000C32CA"/>
    <w:rsid w:val="000C5A87"/>
    <w:rsid w:val="000C62E1"/>
    <w:rsid w:val="000D481E"/>
    <w:rsid w:val="000D4D15"/>
    <w:rsid w:val="000D7D64"/>
    <w:rsid w:val="000E0074"/>
    <w:rsid w:val="000F0F2E"/>
    <w:rsid w:val="000F2F51"/>
    <w:rsid w:val="000F7449"/>
    <w:rsid w:val="00100649"/>
    <w:rsid w:val="00104694"/>
    <w:rsid w:val="0010683B"/>
    <w:rsid w:val="0011200E"/>
    <w:rsid w:val="00114C9F"/>
    <w:rsid w:val="00116ED8"/>
    <w:rsid w:val="00117875"/>
    <w:rsid w:val="00121535"/>
    <w:rsid w:val="00126510"/>
    <w:rsid w:val="00130E05"/>
    <w:rsid w:val="0013413E"/>
    <w:rsid w:val="0014391E"/>
    <w:rsid w:val="00143A73"/>
    <w:rsid w:val="00150FFE"/>
    <w:rsid w:val="0015146A"/>
    <w:rsid w:val="0015403A"/>
    <w:rsid w:val="00155DB0"/>
    <w:rsid w:val="00162093"/>
    <w:rsid w:val="00170491"/>
    <w:rsid w:val="00177C42"/>
    <w:rsid w:val="00181B41"/>
    <w:rsid w:val="00190AF3"/>
    <w:rsid w:val="00190E8B"/>
    <w:rsid w:val="001961C6"/>
    <w:rsid w:val="001A00CD"/>
    <w:rsid w:val="001A01CE"/>
    <w:rsid w:val="001A139C"/>
    <w:rsid w:val="001B00DB"/>
    <w:rsid w:val="001B34B9"/>
    <w:rsid w:val="001B3649"/>
    <w:rsid w:val="001B4293"/>
    <w:rsid w:val="001B4AE0"/>
    <w:rsid w:val="001B6923"/>
    <w:rsid w:val="001C049C"/>
    <w:rsid w:val="001D1F8F"/>
    <w:rsid w:val="001D5C71"/>
    <w:rsid w:val="001D7622"/>
    <w:rsid w:val="001E471E"/>
    <w:rsid w:val="001E4904"/>
    <w:rsid w:val="001E6ABD"/>
    <w:rsid w:val="001F1256"/>
    <w:rsid w:val="001F4FA2"/>
    <w:rsid w:val="001F5686"/>
    <w:rsid w:val="00200638"/>
    <w:rsid w:val="00203E28"/>
    <w:rsid w:val="002068E9"/>
    <w:rsid w:val="002070F1"/>
    <w:rsid w:val="002103E0"/>
    <w:rsid w:val="00212285"/>
    <w:rsid w:val="00212B1E"/>
    <w:rsid w:val="00220606"/>
    <w:rsid w:val="00223AD1"/>
    <w:rsid w:val="00223DCD"/>
    <w:rsid w:val="00226500"/>
    <w:rsid w:val="00226879"/>
    <w:rsid w:val="002304A2"/>
    <w:rsid w:val="00233EDE"/>
    <w:rsid w:val="00241508"/>
    <w:rsid w:val="002507BB"/>
    <w:rsid w:val="00251E43"/>
    <w:rsid w:val="0025295A"/>
    <w:rsid w:val="00257E3F"/>
    <w:rsid w:val="00261120"/>
    <w:rsid w:val="0026257B"/>
    <w:rsid w:val="002669A3"/>
    <w:rsid w:val="00273B48"/>
    <w:rsid w:val="00274402"/>
    <w:rsid w:val="002749DE"/>
    <w:rsid w:val="00280836"/>
    <w:rsid w:val="0028486F"/>
    <w:rsid w:val="002874B4"/>
    <w:rsid w:val="00294661"/>
    <w:rsid w:val="00297404"/>
    <w:rsid w:val="002A01FB"/>
    <w:rsid w:val="002A081B"/>
    <w:rsid w:val="002A4787"/>
    <w:rsid w:val="002B2561"/>
    <w:rsid w:val="002B3C6A"/>
    <w:rsid w:val="002B44B5"/>
    <w:rsid w:val="002C0B98"/>
    <w:rsid w:val="002C1766"/>
    <w:rsid w:val="002C4FAB"/>
    <w:rsid w:val="002D53DA"/>
    <w:rsid w:val="002D5D17"/>
    <w:rsid w:val="002E4C0B"/>
    <w:rsid w:val="00313A60"/>
    <w:rsid w:val="00314B0C"/>
    <w:rsid w:val="003164F5"/>
    <w:rsid w:val="00316DD4"/>
    <w:rsid w:val="00323C43"/>
    <w:rsid w:val="00324F1F"/>
    <w:rsid w:val="003265F5"/>
    <w:rsid w:val="00333381"/>
    <w:rsid w:val="0033349F"/>
    <w:rsid w:val="003336D3"/>
    <w:rsid w:val="00337A30"/>
    <w:rsid w:val="00340E71"/>
    <w:rsid w:val="00343286"/>
    <w:rsid w:val="00344234"/>
    <w:rsid w:val="0034441D"/>
    <w:rsid w:val="00345A3E"/>
    <w:rsid w:val="003462DF"/>
    <w:rsid w:val="00352B30"/>
    <w:rsid w:val="003532CF"/>
    <w:rsid w:val="00353704"/>
    <w:rsid w:val="00353E9B"/>
    <w:rsid w:val="003554F3"/>
    <w:rsid w:val="00362AF8"/>
    <w:rsid w:val="003711C8"/>
    <w:rsid w:val="00381860"/>
    <w:rsid w:val="00386182"/>
    <w:rsid w:val="003876DF"/>
    <w:rsid w:val="00390245"/>
    <w:rsid w:val="00391956"/>
    <w:rsid w:val="003A451E"/>
    <w:rsid w:val="003A525D"/>
    <w:rsid w:val="003C000D"/>
    <w:rsid w:val="003C33A6"/>
    <w:rsid w:val="003C48F5"/>
    <w:rsid w:val="003C656E"/>
    <w:rsid w:val="003C6E38"/>
    <w:rsid w:val="003D16A4"/>
    <w:rsid w:val="003D301D"/>
    <w:rsid w:val="003D6439"/>
    <w:rsid w:val="003D6482"/>
    <w:rsid w:val="003D77BF"/>
    <w:rsid w:val="003E01E3"/>
    <w:rsid w:val="003E5275"/>
    <w:rsid w:val="003F31AB"/>
    <w:rsid w:val="00401DF2"/>
    <w:rsid w:val="00402D14"/>
    <w:rsid w:val="00404C9B"/>
    <w:rsid w:val="00407F36"/>
    <w:rsid w:val="0041565B"/>
    <w:rsid w:val="00417154"/>
    <w:rsid w:val="004236C1"/>
    <w:rsid w:val="00423DEE"/>
    <w:rsid w:val="00436A30"/>
    <w:rsid w:val="00442224"/>
    <w:rsid w:val="00444FCA"/>
    <w:rsid w:val="00445F98"/>
    <w:rsid w:val="00447A4A"/>
    <w:rsid w:val="004508BB"/>
    <w:rsid w:val="00450B56"/>
    <w:rsid w:val="00451431"/>
    <w:rsid w:val="004553CA"/>
    <w:rsid w:val="00456C83"/>
    <w:rsid w:val="00457736"/>
    <w:rsid w:val="0046257D"/>
    <w:rsid w:val="00465D53"/>
    <w:rsid w:val="0047226B"/>
    <w:rsid w:val="00473299"/>
    <w:rsid w:val="004738C9"/>
    <w:rsid w:val="00480C4E"/>
    <w:rsid w:val="00482928"/>
    <w:rsid w:val="00490B09"/>
    <w:rsid w:val="004A6358"/>
    <w:rsid w:val="004A64E4"/>
    <w:rsid w:val="004A675C"/>
    <w:rsid w:val="004A67CE"/>
    <w:rsid w:val="004B72A9"/>
    <w:rsid w:val="004B7D10"/>
    <w:rsid w:val="004C246C"/>
    <w:rsid w:val="004C62EB"/>
    <w:rsid w:val="004C6580"/>
    <w:rsid w:val="004D19E2"/>
    <w:rsid w:val="004D2020"/>
    <w:rsid w:val="004E2F25"/>
    <w:rsid w:val="004E5995"/>
    <w:rsid w:val="004E69C0"/>
    <w:rsid w:val="004F2BFF"/>
    <w:rsid w:val="004F5DF5"/>
    <w:rsid w:val="004F78C1"/>
    <w:rsid w:val="00502E20"/>
    <w:rsid w:val="00505700"/>
    <w:rsid w:val="00505855"/>
    <w:rsid w:val="005102E5"/>
    <w:rsid w:val="0051294E"/>
    <w:rsid w:val="00515D12"/>
    <w:rsid w:val="005162D2"/>
    <w:rsid w:val="0052246D"/>
    <w:rsid w:val="005226DF"/>
    <w:rsid w:val="005235C0"/>
    <w:rsid w:val="00523BE0"/>
    <w:rsid w:val="00541AEF"/>
    <w:rsid w:val="00542512"/>
    <w:rsid w:val="005447C6"/>
    <w:rsid w:val="00545F99"/>
    <w:rsid w:val="005528DA"/>
    <w:rsid w:val="005549F8"/>
    <w:rsid w:val="00557D72"/>
    <w:rsid w:val="005631B3"/>
    <w:rsid w:val="00570FC2"/>
    <w:rsid w:val="005803B8"/>
    <w:rsid w:val="00587FFB"/>
    <w:rsid w:val="005945DE"/>
    <w:rsid w:val="00596612"/>
    <w:rsid w:val="005A3C88"/>
    <w:rsid w:val="005A6247"/>
    <w:rsid w:val="005B1D44"/>
    <w:rsid w:val="005B6EEB"/>
    <w:rsid w:val="005B73A0"/>
    <w:rsid w:val="005B7E45"/>
    <w:rsid w:val="005C0175"/>
    <w:rsid w:val="005D1CBF"/>
    <w:rsid w:val="005D3853"/>
    <w:rsid w:val="005D6AD3"/>
    <w:rsid w:val="005E0FB5"/>
    <w:rsid w:val="005E1598"/>
    <w:rsid w:val="005F09FC"/>
    <w:rsid w:val="005F2097"/>
    <w:rsid w:val="006004EE"/>
    <w:rsid w:val="006055B3"/>
    <w:rsid w:val="00610185"/>
    <w:rsid w:val="00610F09"/>
    <w:rsid w:val="00611F9E"/>
    <w:rsid w:val="00612CC8"/>
    <w:rsid w:val="00612F22"/>
    <w:rsid w:val="0061391F"/>
    <w:rsid w:val="00622613"/>
    <w:rsid w:val="00624198"/>
    <w:rsid w:val="00627525"/>
    <w:rsid w:val="00630C98"/>
    <w:rsid w:val="00633140"/>
    <w:rsid w:val="00633CC6"/>
    <w:rsid w:val="006357CB"/>
    <w:rsid w:val="00636969"/>
    <w:rsid w:val="00644FEC"/>
    <w:rsid w:val="0064679A"/>
    <w:rsid w:val="00654920"/>
    <w:rsid w:val="00655BD8"/>
    <w:rsid w:val="0066352C"/>
    <w:rsid w:val="0066485A"/>
    <w:rsid w:val="006706D2"/>
    <w:rsid w:val="00670AAD"/>
    <w:rsid w:val="006733DE"/>
    <w:rsid w:val="00673D45"/>
    <w:rsid w:val="00676910"/>
    <w:rsid w:val="00683D97"/>
    <w:rsid w:val="00684969"/>
    <w:rsid w:val="00687E5F"/>
    <w:rsid w:val="00694D35"/>
    <w:rsid w:val="006A1616"/>
    <w:rsid w:val="006A3C6A"/>
    <w:rsid w:val="006A5A80"/>
    <w:rsid w:val="006B2691"/>
    <w:rsid w:val="006B355B"/>
    <w:rsid w:val="006B486A"/>
    <w:rsid w:val="006B53C8"/>
    <w:rsid w:val="006C24D5"/>
    <w:rsid w:val="006C3897"/>
    <w:rsid w:val="006C74AF"/>
    <w:rsid w:val="006D2F3A"/>
    <w:rsid w:val="006D3EEF"/>
    <w:rsid w:val="006D48B7"/>
    <w:rsid w:val="006D52C3"/>
    <w:rsid w:val="006D7595"/>
    <w:rsid w:val="006E1858"/>
    <w:rsid w:val="006E43F6"/>
    <w:rsid w:val="006E4586"/>
    <w:rsid w:val="006E4D35"/>
    <w:rsid w:val="006E7E6E"/>
    <w:rsid w:val="00700E2A"/>
    <w:rsid w:val="00703595"/>
    <w:rsid w:val="00704E66"/>
    <w:rsid w:val="00713C5B"/>
    <w:rsid w:val="00716932"/>
    <w:rsid w:val="007202B4"/>
    <w:rsid w:val="007240A1"/>
    <w:rsid w:val="0072439B"/>
    <w:rsid w:val="007244DF"/>
    <w:rsid w:val="007252A6"/>
    <w:rsid w:val="00726D5B"/>
    <w:rsid w:val="00732134"/>
    <w:rsid w:val="00734614"/>
    <w:rsid w:val="0074159B"/>
    <w:rsid w:val="0074180B"/>
    <w:rsid w:val="0074318E"/>
    <w:rsid w:val="00746039"/>
    <w:rsid w:val="007476D9"/>
    <w:rsid w:val="00751203"/>
    <w:rsid w:val="00760347"/>
    <w:rsid w:val="007702AE"/>
    <w:rsid w:val="00771CBD"/>
    <w:rsid w:val="007731DA"/>
    <w:rsid w:val="007751B1"/>
    <w:rsid w:val="00775CE5"/>
    <w:rsid w:val="007761A9"/>
    <w:rsid w:val="00786C50"/>
    <w:rsid w:val="007946CF"/>
    <w:rsid w:val="007A2819"/>
    <w:rsid w:val="007A4DFE"/>
    <w:rsid w:val="007A6425"/>
    <w:rsid w:val="007B0117"/>
    <w:rsid w:val="007B1175"/>
    <w:rsid w:val="007C2B7A"/>
    <w:rsid w:val="007C499A"/>
    <w:rsid w:val="007C58A8"/>
    <w:rsid w:val="007D3E3C"/>
    <w:rsid w:val="007F3BAA"/>
    <w:rsid w:val="007F49E7"/>
    <w:rsid w:val="007F661F"/>
    <w:rsid w:val="00801945"/>
    <w:rsid w:val="008027B7"/>
    <w:rsid w:val="00804291"/>
    <w:rsid w:val="00811364"/>
    <w:rsid w:val="00813171"/>
    <w:rsid w:val="00820D92"/>
    <w:rsid w:val="0082189A"/>
    <w:rsid w:val="00827F5F"/>
    <w:rsid w:val="00832061"/>
    <w:rsid w:val="00834870"/>
    <w:rsid w:val="008440C5"/>
    <w:rsid w:val="00844E72"/>
    <w:rsid w:val="00845240"/>
    <w:rsid w:val="00846D62"/>
    <w:rsid w:val="008621C6"/>
    <w:rsid w:val="00865B4C"/>
    <w:rsid w:val="00870394"/>
    <w:rsid w:val="00870EBA"/>
    <w:rsid w:val="008710C8"/>
    <w:rsid w:val="00874489"/>
    <w:rsid w:val="0087626F"/>
    <w:rsid w:val="00883A37"/>
    <w:rsid w:val="008869D1"/>
    <w:rsid w:val="00887348"/>
    <w:rsid w:val="00887CCB"/>
    <w:rsid w:val="008930E2"/>
    <w:rsid w:val="00893217"/>
    <w:rsid w:val="008A1648"/>
    <w:rsid w:val="008B2D97"/>
    <w:rsid w:val="008B359A"/>
    <w:rsid w:val="008C07B1"/>
    <w:rsid w:val="008C2DDD"/>
    <w:rsid w:val="008C3715"/>
    <w:rsid w:val="008C6FC2"/>
    <w:rsid w:val="008D1424"/>
    <w:rsid w:val="008D1FC6"/>
    <w:rsid w:val="008E050C"/>
    <w:rsid w:val="008E5D04"/>
    <w:rsid w:val="008E6F92"/>
    <w:rsid w:val="008E75F3"/>
    <w:rsid w:val="008F4413"/>
    <w:rsid w:val="008F524F"/>
    <w:rsid w:val="008F6D95"/>
    <w:rsid w:val="008F7183"/>
    <w:rsid w:val="008F7653"/>
    <w:rsid w:val="008F7E95"/>
    <w:rsid w:val="00903872"/>
    <w:rsid w:val="00904A4E"/>
    <w:rsid w:val="00907C34"/>
    <w:rsid w:val="00915DAA"/>
    <w:rsid w:val="009318B6"/>
    <w:rsid w:val="00933AB4"/>
    <w:rsid w:val="0093447E"/>
    <w:rsid w:val="00937EF1"/>
    <w:rsid w:val="00941042"/>
    <w:rsid w:val="0094331C"/>
    <w:rsid w:val="00944623"/>
    <w:rsid w:val="00944B55"/>
    <w:rsid w:val="0095734E"/>
    <w:rsid w:val="00960908"/>
    <w:rsid w:val="009646E2"/>
    <w:rsid w:val="009653C6"/>
    <w:rsid w:val="00967050"/>
    <w:rsid w:val="00982C4C"/>
    <w:rsid w:val="009842BD"/>
    <w:rsid w:val="00986123"/>
    <w:rsid w:val="00986671"/>
    <w:rsid w:val="009912FE"/>
    <w:rsid w:val="00995119"/>
    <w:rsid w:val="00996E25"/>
    <w:rsid w:val="009A399A"/>
    <w:rsid w:val="009A443C"/>
    <w:rsid w:val="009A7CBB"/>
    <w:rsid w:val="009B61A6"/>
    <w:rsid w:val="009C03B6"/>
    <w:rsid w:val="009C71C7"/>
    <w:rsid w:val="009D16A3"/>
    <w:rsid w:val="009D1B81"/>
    <w:rsid w:val="009D3C94"/>
    <w:rsid w:val="009D616D"/>
    <w:rsid w:val="009D61AE"/>
    <w:rsid w:val="009E1C1A"/>
    <w:rsid w:val="009E7888"/>
    <w:rsid w:val="009F124F"/>
    <w:rsid w:val="009F2C63"/>
    <w:rsid w:val="009F6761"/>
    <w:rsid w:val="00A04056"/>
    <w:rsid w:val="00A07D33"/>
    <w:rsid w:val="00A143A2"/>
    <w:rsid w:val="00A14E29"/>
    <w:rsid w:val="00A2016D"/>
    <w:rsid w:val="00A23DCB"/>
    <w:rsid w:val="00A24782"/>
    <w:rsid w:val="00A25847"/>
    <w:rsid w:val="00A32457"/>
    <w:rsid w:val="00A436B2"/>
    <w:rsid w:val="00A46449"/>
    <w:rsid w:val="00A47902"/>
    <w:rsid w:val="00A51840"/>
    <w:rsid w:val="00A523FA"/>
    <w:rsid w:val="00A52FC6"/>
    <w:rsid w:val="00A56F6C"/>
    <w:rsid w:val="00A57AFE"/>
    <w:rsid w:val="00A666D2"/>
    <w:rsid w:val="00A72AEA"/>
    <w:rsid w:val="00A73853"/>
    <w:rsid w:val="00A76D8C"/>
    <w:rsid w:val="00A85734"/>
    <w:rsid w:val="00A9184E"/>
    <w:rsid w:val="00A93252"/>
    <w:rsid w:val="00AA147A"/>
    <w:rsid w:val="00AA4EB5"/>
    <w:rsid w:val="00AA7466"/>
    <w:rsid w:val="00AB2BF2"/>
    <w:rsid w:val="00AB2FA7"/>
    <w:rsid w:val="00AC079C"/>
    <w:rsid w:val="00AC50B5"/>
    <w:rsid w:val="00AC738C"/>
    <w:rsid w:val="00AD0228"/>
    <w:rsid w:val="00AD2905"/>
    <w:rsid w:val="00AD4E7E"/>
    <w:rsid w:val="00AD5A09"/>
    <w:rsid w:val="00AD5C86"/>
    <w:rsid w:val="00AD7FCB"/>
    <w:rsid w:val="00AE4BD0"/>
    <w:rsid w:val="00AE6121"/>
    <w:rsid w:val="00AE73A9"/>
    <w:rsid w:val="00AF70FD"/>
    <w:rsid w:val="00B00623"/>
    <w:rsid w:val="00B050F4"/>
    <w:rsid w:val="00B14511"/>
    <w:rsid w:val="00B1589A"/>
    <w:rsid w:val="00B215F1"/>
    <w:rsid w:val="00B222F0"/>
    <w:rsid w:val="00B2796B"/>
    <w:rsid w:val="00B30BB6"/>
    <w:rsid w:val="00B35442"/>
    <w:rsid w:val="00B35994"/>
    <w:rsid w:val="00B42AFC"/>
    <w:rsid w:val="00B53367"/>
    <w:rsid w:val="00B54E58"/>
    <w:rsid w:val="00B600B1"/>
    <w:rsid w:val="00B60B0E"/>
    <w:rsid w:val="00B65BFF"/>
    <w:rsid w:val="00B660D4"/>
    <w:rsid w:val="00B718E1"/>
    <w:rsid w:val="00B72B25"/>
    <w:rsid w:val="00B80B6C"/>
    <w:rsid w:val="00B81732"/>
    <w:rsid w:val="00B84549"/>
    <w:rsid w:val="00B8615A"/>
    <w:rsid w:val="00B91636"/>
    <w:rsid w:val="00B973BA"/>
    <w:rsid w:val="00BA1976"/>
    <w:rsid w:val="00BA3153"/>
    <w:rsid w:val="00BA4E80"/>
    <w:rsid w:val="00BB12FC"/>
    <w:rsid w:val="00BB287A"/>
    <w:rsid w:val="00BB2AD8"/>
    <w:rsid w:val="00BB307E"/>
    <w:rsid w:val="00BB56A3"/>
    <w:rsid w:val="00BC3212"/>
    <w:rsid w:val="00BC34CB"/>
    <w:rsid w:val="00BC3948"/>
    <w:rsid w:val="00BC4AE9"/>
    <w:rsid w:val="00BE1231"/>
    <w:rsid w:val="00BE7B44"/>
    <w:rsid w:val="00BF02FE"/>
    <w:rsid w:val="00BF70F0"/>
    <w:rsid w:val="00C00300"/>
    <w:rsid w:val="00C00CCB"/>
    <w:rsid w:val="00C0233C"/>
    <w:rsid w:val="00C11825"/>
    <w:rsid w:val="00C128CE"/>
    <w:rsid w:val="00C12B5A"/>
    <w:rsid w:val="00C13577"/>
    <w:rsid w:val="00C13CD3"/>
    <w:rsid w:val="00C1495A"/>
    <w:rsid w:val="00C14CAA"/>
    <w:rsid w:val="00C168B0"/>
    <w:rsid w:val="00C248ED"/>
    <w:rsid w:val="00C25260"/>
    <w:rsid w:val="00C269C0"/>
    <w:rsid w:val="00C31051"/>
    <w:rsid w:val="00C32B1B"/>
    <w:rsid w:val="00C42262"/>
    <w:rsid w:val="00C425A4"/>
    <w:rsid w:val="00C4396D"/>
    <w:rsid w:val="00C4684C"/>
    <w:rsid w:val="00C47072"/>
    <w:rsid w:val="00C50CFF"/>
    <w:rsid w:val="00C51D9E"/>
    <w:rsid w:val="00C531E8"/>
    <w:rsid w:val="00C57A2E"/>
    <w:rsid w:val="00C57B8E"/>
    <w:rsid w:val="00C61EC8"/>
    <w:rsid w:val="00C62168"/>
    <w:rsid w:val="00C644C3"/>
    <w:rsid w:val="00C7045C"/>
    <w:rsid w:val="00C70A73"/>
    <w:rsid w:val="00C757FA"/>
    <w:rsid w:val="00C85A25"/>
    <w:rsid w:val="00C85AA6"/>
    <w:rsid w:val="00C85DAF"/>
    <w:rsid w:val="00C90356"/>
    <w:rsid w:val="00C91B2D"/>
    <w:rsid w:val="00C94317"/>
    <w:rsid w:val="00C97D6B"/>
    <w:rsid w:val="00CA2D4E"/>
    <w:rsid w:val="00CA3A8B"/>
    <w:rsid w:val="00CA54EA"/>
    <w:rsid w:val="00CB114A"/>
    <w:rsid w:val="00CB1E9B"/>
    <w:rsid w:val="00CC1A2C"/>
    <w:rsid w:val="00CC2FEE"/>
    <w:rsid w:val="00CC326C"/>
    <w:rsid w:val="00CC349B"/>
    <w:rsid w:val="00CC5391"/>
    <w:rsid w:val="00CD1C70"/>
    <w:rsid w:val="00CD691A"/>
    <w:rsid w:val="00CE534F"/>
    <w:rsid w:val="00CE6EEF"/>
    <w:rsid w:val="00CF2EC0"/>
    <w:rsid w:val="00D0175A"/>
    <w:rsid w:val="00D04EC4"/>
    <w:rsid w:val="00D12D9E"/>
    <w:rsid w:val="00D141DC"/>
    <w:rsid w:val="00D1682F"/>
    <w:rsid w:val="00D20F84"/>
    <w:rsid w:val="00D23221"/>
    <w:rsid w:val="00D2799B"/>
    <w:rsid w:val="00D30B2E"/>
    <w:rsid w:val="00D36D82"/>
    <w:rsid w:val="00D45271"/>
    <w:rsid w:val="00D46B73"/>
    <w:rsid w:val="00D559E8"/>
    <w:rsid w:val="00D57ECB"/>
    <w:rsid w:val="00D60458"/>
    <w:rsid w:val="00D61DED"/>
    <w:rsid w:val="00D6382F"/>
    <w:rsid w:val="00D64CED"/>
    <w:rsid w:val="00D665A1"/>
    <w:rsid w:val="00D721D3"/>
    <w:rsid w:val="00D76C0A"/>
    <w:rsid w:val="00D8409B"/>
    <w:rsid w:val="00D9681D"/>
    <w:rsid w:val="00DC4EA2"/>
    <w:rsid w:val="00DC6D2A"/>
    <w:rsid w:val="00DC6E52"/>
    <w:rsid w:val="00DD3068"/>
    <w:rsid w:val="00DD31CD"/>
    <w:rsid w:val="00DD753E"/>
    <w:rsid w:val="00DE3578"/>
    <w:rsid w:val="00DE631F"/>
    <w:rsid w:val="00DF3C2C"/>
    <w:rsid w:val="00DF4169"/>
    <w:rsid w:val="00DF75A8"/>
    <w:rsid w:val="00DF7C95"/>
    <w:rsid w:val="00E00B30"/>
    <w:rsid w:val="00E04FC6"/>
    <w:rsid w:val="00E05438"/>
    <w:rsid w:val="00E17874"/>
    <w:rsid w:val="00E20679"/>
    <w:rsid w:val="00E223D4"/>
    <w:rsid w:val="00E25636"/>
    <w:rsid w:val="00E257CF"/>
    <w:rsid w:val="00E36A43"/>
    <w:rsid w:val="00E4130B"/>
    <w:rsid w:val="00E42264"/>
    <w:rsid w:val="00E44B38"/>
    <w:rsid w:val="00E476BE"/>
    <w:rsid w:val="00E56A65"/>
    <w:rsid w:val="00E57DED"/>
    <w:rsid w:val="00E64027"/>
    <w:rsid w:val="00E74BB6"/>
    <w:rsid w:val="00E75E9E"/>
    <w:rsid w:val="00EA4499"/>
    <w:rsid w:val="00EA525D"/>
    <w:rsid w:val="00EA5749"/>
    <w:rsid w:val="00EA58C6"/>
    <w:rsid w:val="00EA7AFE"/>
    <w:rsid w:val="00EC15A4"/>
    <w:rsid w:val="00EC3B0B"/>
    <w:rsid w:val="00EC5F6E"/>
    <w:rsid w:val="00EC773A"/>
    <w:rsid w:val="00ED056D"/>
    <w:rsid w:val="00EE089E"/>
    <w:rsid w:val="00EE7DC4"/>
    <w:rsid w:val="00EF1490"/>
    <w:rsid w:val="00EF2990"/>
    <w:rsid w:val="00EF6776"/>
    <w:rsid w:val="00EF7B29"/>
    <w:rsid w:val="00F0785C"/>
    <w:rsid w:val="00F10F1A"/>
    <w:rsid w:val="00F11D43"/>
    <w:rsid w:val="00F12ABD"/>
    <w:rsid w:val="00F1533D"/>
    <w:rsid w:val="00F15774"/>
    <w:rsid w:val="00F213FB"/>
    <w:rsid w:val="00F22F88"/>
    <w:rsid w:val="00F24B64"/>
    <w:rsid w:val="00F27714"/>
    <w:rsid w:val="00F319E3"/>
    <w:rsid w:val="00F324AD"/>
    <w:rsid w:val="00F34E98"/>
    <w:rsid w:val="00F377A1"/>
    <w:rsid w:val="00F41A42"/>
    <w:rsid w:val="00F42503"/>
    <w:rsid w:val="00F42F50"/>
    <w:rsid w:val="00F43904"/>
    <w:rsid w:val="00F5111D"/>
    <w:rsid w:val="00F54727"/>
    <w:rsid w:val="00F5475E"/>
    <w:rsid w:val="00F60833"/>
    <w:rsid w:val="00F6219A"/>
    <w:rsid w:val="00F631C8"/>
    <w:rsid w:val="00F713B3"/>
    <w:rsid w:val="00F723CA"/>
    <w:rsid w:val="00F93D13"/>
    <w:rsid w:val="00F97DBD"/>
    <w:rsid w:val="00FA3125"/>
    <w:rsid w:val="00FA434E"/>
    <w:rsid w:val="00FA622B"/>
    <w:rsid w:val="00FB1391"/>
    <w:rsid w:val="00FB2F31"/>
    <w:rsid w:val="00FC1D5E"/>
    <w:rsid w:val="00FC5B45"/>
    <w:rsid w:val="00FD115F"/>
    <w:rsid w:val="00FD66EF"/>
    <w:rsid w:val="00FE1197"/>
    <w:rsid w:val="00FE13D8"/>
    <w:rsid w:val="00FE2991"/>
    <w:rsid w:val="00FE3350"/>
    <w:rsid w:val="00FE4188"/>
    <w:rsid w:val="00FE5065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222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2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FB"/>
  </w:style>
  <w:style w:type="paragraph" w:styleId="Footer">
    <w:name w:val="footer"/>
    <w:basedOn w:val="Normal"/>
    <w:link w:val="Foot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FB"/>
  </w:style>
  <w:style w:type="paragraph" w:styleId="Revision">
    <w:name w:val="Revision"/>
    <w:hidden/>
    <w:uiPriority w:val="99"/>
    <w:semiHidden/>
    <w:rsid w:val="007252A6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796B"/>
  </w:style>
  <w:style w:type="character" w:customStyle="1" w:styleId="ilfuvd">
    <w:name w:val="ilfuvd"/>
    <w:basedOn w:val="DefaultParagraphFont"/>
    <w:rsid w:val="00944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222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2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FB"/>
  </w:style>
  <w:style w:type="paragraph" w:styleId="Footer">
    <w:name w:val="footer"/>
    <w:basedOn w:val="Normal"/>
    <w:link w:val="Foot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FB"/>
  </w:style>
  <w:style w:type="paragraph" w:styleId="Revision">
    <w:name w:val="Revision"/>
    <w:hidden/>
    <w:uiPriority w:val="99"/>
    <w:semiHidden/>
    <w:rsid w:val="007252A6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796B"/>
  </w:style>
  <w:style w:type="character" w:customStyle="1" w:styleId="ilfuvd">
    <w:name w:val="ilfuvd"/>
    <w:basedOn w:val="DefaultParagraphFont"/>
    <w:rsid w:val="0094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CFA4110D10244B127831A06365CDD" ma:contentTypeVersion="0" ma:contentTypeDescription="Create a new document." ma:contentTypeScope="" ma:versionID="d0dd594416892e6a3ebfdca0d2c206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6A7A-E1D9-41FD-A06A-8AF2B004F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C3609-9BAA-4376-8B28-1CCC8CF60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96F9B-41E1-486A-8D16-D870993B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0CC18-F8B8-4B97-B840-2714C2B0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Waldron, Will [USA]</dc:creator>
  <cp:lastModifiedBy>SYSTEM</cp:lastModifiedBy>
  <cp:revision>2</cp:revision>
  <dcterms:created xsi:type="dcterms:W3CDTF">2018-09-27T01:22:00Z</dcterms:created>
  <dcterms:modified xsi:type="dcterms:W3CDTF">2018-09-27T01:22:00Z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0x0101004BACFA4110D10244B127831A06365CDD</vt:lpwstr>
  </property>
</Properties>
</file>