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BCD54" w14:textId="77777777" w:rsidR="00624198" w:rsidRDefault="00624198" w:rsidP="00624198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907265" wp14:editId="48815E23">
            <wp:extent cx="32480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F4F9" w14:textId="77777777" w:rsidR="00624198" w:rsidRDefault="00DC48D0" w:rsidP="00624198">
      <w:pPr>
        <w:jc w:val="center"/>
        <w:rPr>
          <w:rFonts w:ascii="Georgia" w:hAnsi="Georgia"/>
          <w:b/>
          <w:caps/>
          <w:sz w:val="24"/>
          <w:szCs w:val="24"/>
        </w:rPr>
      </w:pPr>
      <w:r>
        <w:rPr>
          <w:rFonts w:ascii="Georgia" w:hAnsi="Georgia"/>
          <w:b/>
          <w:caps/>
          <w:sz w:val="24"/>
          <w:szCs w:val="24"/>
        </w:rPr>
        <w:t>VBA Call center</w:t>
      </w:r>
      <w:r w:rsidR="004C08EC">
        <w:rPr>
          <w:rFonts w:ascii="Georgia" w:hAnsi="Georgia"/>
          <w:b/>
          <w:caps/>
          <w:sz w:val="24"/>
          <w:szCs w:val="24"/>
        </w:rPr>
        <w:t xml:space="preserve"> transactional</w:t>
      </w:r>
      <w:r w:rsidR="00091577">
        <w:rPr>
          <w:rFonts w:ascii="Georgia" w:hAnsi="Georgia"/>
          <w:b/>
          <w:caps/>
          <w:sz w:val="24"/>
          <w:szCs w:val="24"/>
        </w:rPr>
        <w:t xml:space="preserve"> Survey</w:t>
      </w:r>
    </w:p>
    <w:p w14:paraId="6822A5AF" w14:textId="77777777" w:rsidR="00624198" w:rsidRDefault="00624198" w:rsidP="00624198">
      <w:pPr>
        <w:jc w:val="center"/>
        <w:rPr>
          <w:rFonts w:ascii="Georgia" w:hAnsi="Georgia"/>
          <w:b/>
          <w:caps/>
          <w:sz w:val="24"/>
          <w:szCs w:val="24"/>
        </w:rPr>
      </w:pPr>
      <w:r>
        <w:rPr>
          <w:rFonts w:ascii="Georgia" w:hAnsi="Georgia"/>
          <w:b/>
          <w:caps/>
          <w:sz w:val="24"/>
          <w:szCs w:val="24"/>
        </w:rPr>
        <w:t xml:space="preserve">methodology brief: </w:t>
      </w:r>
      <w:r w:rsidR="00775CE5">
        <w:rPr>
          <w:rFonts w:ascii="Georgia" w:hAnsi="Georgia"/>
          <w:b/>
          <w:caps/>
          <w:sz w:val="24"/>
          <w:szCs w:val="24"/>
        </w:rPr>
        <w:t>sample design</w:t>
      </w:r>
    </w:p>
    <w:p w14:paraId="143B1161" w14:textId="6BF3B7BE" w:rsidR="00255ED3" w:rsidRDefault="00775CE5" w:rsidP="00EB0082">
      <w:pPr>
        <w:ind w:firstLine="720"/>
      </w:pPr>
      <w:r>
        <w:t xml:space="preserve">The </w:t>
      </w:r>
      <w:r w:rsidR="004A49AF">
        <w:t>Veteran Benefits A</w:t>
      </w:r>
      <w:r w:rsidR="00255ED3">
        <w:t xml:space="preserve">dministration </w:t>
      </w:r>
      <w:r w:rsidR="004D1694">
        <w:t xml:space="preserve">(VBA) </w:t>
      </w:r>
      <w:r w:rsidR="00255ED3">
        <w:t xml:space="preserve">oversees </w:t>
      </w:r>
      <w:r w:rsidR="004D1694">
        <w:t xml:space="preserve">government </w:t>
      </w:r>
      <w:r w:rsidR="00255ED3">
        <w:t>programs support</w:t>
      </w:r>
      <w:r w:rsidR="004D1694">
        <w:t>ing</w:t>
      </w:r>
      <w:r w:rsidR="00255ED3">
        <w:t xml:space="preserve"> Veterans</w:t>
      </w:r>
      <w:r w:rsidR="00DC48D0">
        <w:t>, including those</w:t>
      </w:r>
      <w:r w:rsidR="00255ED3">
        <w:t xml:space="preserve"> furthering their education </w:t>
      </w:r>
      <w:r w:rsidR="0063510F">
        <w:t>or</w:t>
      </w:r>
      <w:r w:rsidR="00831676">
        <w:t xml:space="preserve"> </w:t>
      </w:r>
      <w:r w:rsidR="0063510F">
        <w:t>filing for pension benefits. These programs engage Veterans through the National Call Center (NCC)</w:t>
      </w:r>
      <w:r w:rsidR="00831676">
        <w:t xml:space="preserve"> or other benefit-specific call centers</w:t>
      </w:r>
      <w:r w:rsidR="0063510F">
        <w:t xml:space="preserve">. The Veterans Experience Office </w:t>
      </w:r>
      <w:r w:rsidR="00831676">
        <w:t xml:space="preserve">(VEO) </w:t>
      </w:r>
      <w:r w:rsidR="0063510F">
        <w:t xml:space="preserve">was </w:t>
      </w:r>
      <w:r w:rsidR="008510FC">
        <w:t xml:space="preserve">contacted </w:t>
      </w:r>
      <w:r w:rsidR="00EB0082">
        <w:t>by VBA</w:t>
      </w:r>
      <w:r w:rsidR="0063510F">
        <w:t xml:space="preserve"> to measure </w:t>
      </w:r>
      <w:r w:rsidR="00522803">
        <w:t>the</w:t>
      </w:r>
      <w:r w:rsidR="00831676">
        <w:t xml:space="preserve"> customer </w:t>
      </w:r>
      <w:r w:rsidR="0063510F">
        <w:t xml:space="preserve">satisfaction </w:t>
      </w:r>
      <w:r w:rsidR="00EB0082">
        <w:t xml:space="preserve">of </w:t>
      </w:r>
      <w:r w:rsidR="002A0C40">
        <w:t>callers</w:t>
      </w:r>
      <w:r w:rsidR="008510FC">
        <w:t xml:space="preserve"> </w:t>
      </w:r>
      <w:r w:rsidR="00EB0082">
        <w:t xml:space="preserve">contacting the following </w:t>
      </w:r>
      <w:r w:rsidR="00831676">
        <w:t xml:space="preserve">call </w:t>
      </w:r>
      <w:r w:rsidR="00EB0082">
        <w:t xml:space="preserve">centers: </w:t>
      </w:r>
      <w:r w:rsidR="00EB0082" w:rsidRPr="00522803">
        <w:rPr>
          <w:b/>
        </w:rPr>
        <w:t>NCC</w:t>
      </w:r>
      <w:r w:rsidR="00EB0082">
        <w:t xml:space="preserve">, </w:t>
      </w:r>
      <w:r w:rsidR="00EB0082" w:rsidRPr="00522803">
        <w:rPr>
          <w:b/>
        </w:rPr>
        <w:t>Pension</w:t>
      </w:r>
      <w:r w:rsidR="00EB0082">
        <w:t xml:space="preserve">, and </w:t>
      </w:r>
      <w:r w:rsidR="00EB0082" w:rsidRPr="00522803">
        <w:rPr>
          <w:b/>
        </w:rPr>
        <w:t>Education</w:t>
      </w:r>
      <w:r w:rsidR="00EB0082">
        <w:t>. A random sample of r</w:t>
      </w:r>
      <w:r w:rsidR="00E35E5B">
        <w:t xml:space="preserve">ecent </w:t>
      </w:r>
      <w:r w:rsidR="00EB0082">
        <w:t xml:space="preserve">callers to these hotlines </w:t>
      </w:r>
      <w:r w:rsidR="00E35E5B">
        <w:t xml:space="preserve">will be </w:t>
      </w:r>
      <w:r w:rsidR="00E35E5B" w:rsidRPr="00F9011D">
        <w:rPr>
          <w:b/>
          <w:i/>
        </w:rPr>
        <w:t>contacted via email</w:t>
      </w:r>
      <w:r w:rsidR="00E35E5B">
        <w:t xml:space="preserve"> </w:t>
      </w:r>
      <w:r w:rsidR="00495D8F">
        <w:t>and invited to complete a brief</w:t>
      </w:r>
      <w:r w:rsidR="00831676">
        <w:t xml:space="preserve"> transactional</w:t>
      </w:r>
      <w:r w:rsidR="00495D8F">
        <w:t xml:space="preserve"> </w:t>
      </w:r>
      <w:r w:rsidR="00495D8F" w:rsidRPr="00F9011D">
        <w:rPr>
          <w:b/>
        </w:rPr>
        <w:t xml:space="preserve">online </w:t>
      </w:r>
      <w:r w:rsidR="001A17BB" w:rsidRPr="00F9011D">
        <w:rPr>
          <w:b/>
        </w:rPr>
        <w:t>survey</w:t>
      </w:r>
      <w:r w:rsidR="00495D8F">
        <w:t xml:space="preserve">. </w:t>
      </w:r>
      <w:r w:rsidR="0032475D">
        <w:t xml:space="preserve">Selected respondents will have 14 days to complete the survey, with an email reminder after 7 days if the survey has not been completed. </w:t>
      </w:r>
      <w:r w:rsidR="00107D3F">
        <w:t xml:space="preserve">The goal of this document is to </w:t>
      </w:r>
      <w:r w:rsidR="00D714E3">
        <w:t>provide a high-level description of the sampling design, including</w:t>
      </w:r>
      <w:r w:rsidR="00B5168B">
        <w:t xml:space="preserve"> the number of </w:t>
      </w:r>
      <w:r w:rsidR="005945BD">
        <w:t>callers</w:t>
      </w:r>
      <w:r w:rsidR="00B5168B">
        <w:t xml:space="preserve"> planned to </w:t>
      </w:r>
      <w:r w:rsidR="00107D3F">
        <w:t>be contacted for the survey.</w:t>
      </w:r>
    </w:p>
    <w:p w14:paraId="391671CF" w14:textId="77777777" w:rsidR="00107D3F" w:rsidRPr="004D1694" w:rsidRDefault="00107D3F" w:rsidP="004D1694">
      <w:pPr>
        <w:ind w:left="720"/>
      </w:pPr>
      <w:r w:rsidRPr="003B7CA9">
        <w:rPr>
          <w:b/>
          <w:i/>
        </w:rPr>
        <w:t>Target Population</w:t>
      </w:r>
      <w:r>
        <w:t xml:space="preserve">: </w:t>
      </w:r>
      <w:r w:rsidRPr="00F9011D">
        <w:rPr>
          <w:i/>
        </w:rPr>
        <w:t>Veterans</w:t>
      </w:r>
      <w:r w:rsidR="005945BD">
        <w:rPr>
          <w:i/>
        </w:rPr>
        <w:t xml:space="preserve">, their dependents, and their representatives (such as caregivers, those with power of attorney, funeral home directors) </w:t>
      </w:r>
      <w:r w:rsidR="00831676">
        <w:rPr>
          <w:i/>
        </w:rPr>
        <w:t>who contacted the National Call Center, Pension Call Center, or Education C</w:t>
      </w:r>
      <w:r w:rsidR="001F7885">
        <w:rPr>
          <w:i/>
        </w:rPr>
        <w:t xml:space="preserve">all Center, within the past week. </w:t>
      </w:r>
      <w:r w:rsidR="004D1694" w:rsidRPr="004D1694">
        <w:t>Note o</w:t>
      </w:r>
      <w:r w:rsidR="001F7885" w:rsidRPr="004D1694">
        <w:t xml:space="preserve">nly </w:t>
      </w:r>
      <w:r w:rsidR="002A0C40">
        <w:t>callers</w:t>
      </w:r>
      <w:r w:rsidR="008510FC" w:rsidRPr="004D1694">
        <w:t xml:space="preserve"> </w:t>
      </w:r>
      <w:r w:rsidR="001F7885" w:rsidRPr="004D1694">
        <w:t xml:space="preserve">sharing </w:t>
      </w:r>
      <w:r w:rsidR="00831676" w:rsidRPr="004D1694">
        <w:t>their demographic information and email address</w:t>
      </w:r>
      <w:r w:rsidR="001F7885" w:rsidRPr="004D1694">
        <w:t xml:space="preserve"> w</w:t>
      </w:r>
      <w:r w:rsidR="00522803" w:rsidRPr="004D1694">
        <w:t>ill be</w:t>
      </w:r>
      <w:r w:rsidR="004D1694" w:rsidRPr="004D1694">
        <w:t xml:space="preserve"> included </w:t>
      </w:r>
      <w:r w:rsidR="00673BA0">
        <w:t>in</w:t>
      </w:r>
      <w:r w:rsidR="005945BD">
        <w:t xml:space="preserve"> the survey frame</w:t>
      </w:r>
      <w:r w:rsidR="00522803" w:rsidRPr="004D1694">
        <w:t>.</w:t>
      </w:r>
    </w:p>
    <w:p w14:paraId="2D18D530" w14:textId="77777777" w:rsidR="004D1694" w:rsidRDefault="006D0310" w:rsidP="004D1694">
      <w:r w:rsidRPr="003908B2">
        <w:rPr>
          <w:b/>
          <w:i/>
        </w:rPr>
        <w:t>Sample Size Determination</w:t>
      </w:r>
      <w:r w:rsidR="008510FC">
        <w:rPr>
          <w:b/>
          <w:i/>
        </w:rPr>
        <w:t>:</w:t>
      </w:r>
      <w:r w:rsidR="0098330F">
        <w:rPr>
          <w:b/>
          <w:i/>
        </w:rPr>
        <w:t xml:space="preserve"> </w:t>
      </w:r>
      <w:r w:rsidR="004D1694">
        <w:t>Over six million beneficiaries</w:t>
      </w:r>
      <w:r w:rsidR="009F11B2">
        <w:t xml:space="preserve"> </w:t>
      </w:r>
      <w:r w:rsidR="00FE7C50">
        <w:t xml:space="preserve">initiated calls to these centers </w:t>
      </w:r>
      <w:r w:rsidR="009F11B2">
        <w:t>in</w:t>
      </w:r>
      <w:r w:rsidR="00FE7C50">
        <w:t xml:space="preserve"> FY </w:t>
      </w:r>
      <w:r w:rsidR="004D1694">
        <w:t>2018</w:t>
      </w:r>
      <w:r w:rsidR="009F11B2">
        <w:t xml:space="preserve">. The chart below </w:t>
      </w:r>
      <w:r w:rsidR="00673BA0">
        <w:t xml:space="preserve">(Table 1) </w:t>
      </w:r>
      <w:r w:rsidR="00D86AA8">
        <w:t>depicts</w:t>
      </w:r>
      <w:r w:rsidR="009F11B2">
        <w:t xml:space="preserve"> the population figures </w:t>
      </w:r>
      <w:r w:rsidR="00631F7F">
        <w:t xml:space="preserve">(i.e., total incoming calls) </w:t>
      </w:r>
      <w:r w:rsidR="00B5168B">
        <w:t xml:space="preserve">based on </w:t>
      </w:r>
      <w:r w:rsidR="00D86AA8">
        <w:t>call records</w:t>
      </w:r>
      <w:r w:rsidR="00B5168B">
        <w:t xml:space="preserve"> from</w:t>
      </w:r>
      <w:r w:rsidR="009F11B2">
        <w:t xml:space="preserve"> </w:t>
      </w:r>
      <w:r w:rsidR="003B6F93">
        <w:t xml:space="preserve">that </w:t>
      </w:r>
      <w:r w:rsidR="000A4514">
        <w:t>period</w:t>
      </w:r>
      <w:r w:rsidR="009F11B2">
        <w:t xml:space="preserve">. </w:t>
      </w:r>
      <w:r w:rsidR="004D1694">
        <w:t xml:space="preserve">Beginning in September 2018, </w:t>
      </w:r>
      <w:r w:rsidR="00D80478">
        <w:t>VEO</w:t>
      </w:r>
      <w:r w:rsidR="001902D4">
        <w:t xml:space="preserve"> will conduct a </w:t>
      </w:r>
      <w:r w:rsidR="00FE7C50">
        <w:t>semi-weekly</w:t>
      </w:r>
      <w:r w:rsidR="001902D4">
        <w:t xml:space="preserve"> </w:t>
      </w:r>
      <w:r w:rsidR="004D1694">
        <w:t>random</w:t>
      </w:r>
      <w:r w:rsidR="001902D4">
        <w:t xml:space="preserve"> sample </w:t>
      </w:r>
      <w:r w:rsidR="004D1694">
        <w:t>of</w:t>
      </w:r>
      <w:r w:rsidR="001902D4">
        <w:t xml:space="preserve"> </w:t>
      </w:r>
      <w:r w:rsidR="005740C8">
        <w:t xml:space="preserve">eligible callers. </w:t>
      </w:r>
      <w:r w:rsidR="004D1694">
        <w:t xml:space="preserve">To reduce the </w:t>
      </w:r>
      <w:r w:rsidR="005945BD">
        <w:t>burden</w:t>
      </w:r>
      <w:r w:rsidR="004D1694">
        <w:t xml:space="preserve"> on the beneficiary population, only sufficient numbers of persons will be contacted to obtain </w:t>
      </w:r>
      <w:r w:rsidR="004D1694" w:rsidRPr="00673BA0">
        <w:rPr>
          <w:i/>
        </w:rPr>
        <w:t>reliable</w:t>
      </w:r>
      <w:r w:rsidR="004D1694">
        <w:t xml:space="preserve"> weekly estimates. </w:t>
      </w:r>
      <w:r w:rsidR="005740C8">
        <w:t xml:space="preserve">The reliability standard will be consistent with the customary threshold utilized </w:t>
      </w:r>
      <w:r w:rsidR="00652F0A">
        <w:t>in the survey industry</w:t>
      </w:r>
      <w:r w:rsidR="005740C8">
        <w:t>: 95% Confidenc</w:t>
      </w:r>
      <w:r w:rsidR="00631F7F">
        <w:t>e Level and 3% Margin of Error. In the case of the NCC, the</w:t>
      </w:r>
      <w:r w:rsidR="00AB733A">
        <w:t xml:space="preserve"> overall</w:t>
      </w:r>
      <w:r w:rsidR="00631F7F">
        <w:t xml:space="preserve"> target respondent size is increased </w:t>
      </w:r>
      <w:r w:rsidR="00AB733A">
        <w:t>beyond this threshold to accommodate reliability targets (90% CL &amp; 5% MOE) within the</w:t>
      </w:r>
      <w:r w:rsidR="005945BD">
        <w:t xml:space="preserve"> eight</w:t>
      </w:r>
      <w:r w:rsidR="00AB733A">
        <w:t xml:space="preserve"> individual call centers </w:t>
      </w:r>
      <w:r w:rsidR="00B5168B">
        <w:t>which</w:t>
      </w:r>
      <w:r w:rsidR="00AB733A">
        <w:t xml:space="preserve"> comprise the NCC. The resulting respondent targets for each of the NCC facilities is 300, leading to an overall NCC respondent target of 2,</w:t>
      </w:r>
      <w:r w:rsidR="00B5168B">
        <w:t>4</w:t>
      </w:r>
      <w:r w:rsidR="00AB733A">
        <w:t>00</w:t>
      </w:r>
      <w:r w:rsidR="00673BA0">
        <w:t xml:space="preserve"> (See Table 2).</w:t>
      </w:r>
    </w:p>
    <w:p w14:paraId="2CB754C0" w14:textId="77777777" w:rsidR="00AB733A" w:rsidRDefault="007D4286" w:rsidP="004D1694">
      <w:r>
        <w:t xml:space="preserve">Based on prior VEO </w:t>
      </w:r>
      <w:r w:rsidR="006D0310">
        <w:t xml:space="preserve">online </w:t>
      </w:r>
      <w:r>
        <w:t>surveys</w:t>
      </w:r>
      <w:r w:rsidR="006D0310">
        <w:t xml:space="preserve"> with email recruitment</w:t>
      </w:r>
      <w:r>
        <w:t xml:space="preserve">, the expected response rate is 20%. Thus, the number of contacts </w:t>
      </w:r>
      <w:r w:rsidR="006D0310">
        <w:t xml:space="preserve">to NCC callers </w:t>
      </w:r>
      <w:r>
        <w:t>necessary to yield 2,</w:t>
      </w:r>
      <w:r w:rsidR="00B5168B">
        <w:t>4</w:t>
      </w:r>
      <w:r>
        <w:t>00 respondents is</w:t>
      </w:r>
      <w:r w:rsidR="006D0310">
        <w:t xml:space="preserve"> approximately</w:t>
      </w:r>
      <w:r>
        <w:t xml:space="preserve"> </w:t>
      </w:r>
      <w:r w:rsidR="00B5168B">
        <w:t>12,0</w:t>
      </w:r>
      <w:r w:rsidR="003A4F3B">
        <w:t>00. Y</w:t>
      </w:r>
      <w:r>
        <w:t xml:space="preserve">ounger Veterans have lower response </w:t>
      </w:r>
      <w:r w:rsidR="003A4F3B">
        <w:t>rates</w:t>
      </w:r>
      <w:r w:rsidR="006D0310">
        <w:t xml:space="preserve"> while older Veterans generally have higher response rates. </w:t>
      </w:r>
      <w:r w:rsidR="003A4F3B">
        <w:t>The</w:t>
      </w:r>
      <w:r w:rsidR="006D0310">
        <w:t xml:space="preserve"> populations of the Education and Pension call centers may skew </w:t>
      </w:r>
      <w:r w:rsidR="003A4F3B">
        <w:t>younger and older, respectively;</w:t>
      </w:r>
      <w:r w:rsidR="006D0310">
        <w:t xml:space="preserve"> the response rates have been modified accordingly. This is reflected in the proposed weekly contacts in Table 1 below.</w:t>
      </w:r>
    </w:p>
    <w:p w14:paraId="103B1A14" w14:textId="77777777" w:rsidR="009F11B2" w:rsidRDefault="00AB733A" w:rsidP="00FF50E0">
      <w:pPr>
        <w:spacing w:after="0"/>
      </w:pPr>
      <w:r>
        <w:rPr>
          <w:b/>
        </w:rPr>
        <w:t xml:space="preserve">Table 1. </w:t>
      </w:r>
      <w:r w:rsidR="006D0310">
        <w:t xml:space="preserve"> Population Counts and Proposed Sample Sizes</w:t>
      </w:r>
      <w:r w:rsidR="00FF50E0">
        <w:t>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178"/>
        <w:gridCol w:w="1710"/>
        <w:gridCol w:w="1890"/>
        <w:gridCol w:w="1620"/>
        <w:gridCol w:w="1890"/>
        <w:gridCol w:w="1548"/>
      </w:tblGrid>
      <w:tr w:rsidR="005740C8" w14:paraId="1BB24DCF" w14:textId="77777777" w:rsidTr="00DF3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66419F4" w14:textId="77777777" w:rsidR="005740C8" w:rsidRPr="00466D41" w:rsidRDefault="005740C8" w:rsidP="00B30BB6">
            <w:pPr>
              <w:rPr>
                <w:b w:val="0"/>
              </w:rPr>
            </w:pPr>
            <w:r>
              <w:rPr>
                <w:b w:val="0"/>
              </w:rPr>
              <w:t>Call Center</w:t>
            </w:r>
          </w:p>
        </w:tc>
        <w:tc>
          <w:tcPr>
            <w:tcW w:w="1710" w:type="dxa"/>
          </w:tcPr>
          <w:p w14:paraId="09447152" w14:textId="77777777" w:rsidR="005740C8" w:rsidRDefault="005740C8" w:rsidP="00F15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66D41">
              <w:t xml:space="preserve">FY </w:t>
            </w:r>
            <w:r>
              <w:rPr>
                <w:b w:val="0"/>
              </w:rPr>
              <w:t>2018</w:t>
            </w:r>
            <w:r w:rsidRPr="00466D41">
              <w:t xml:space="preserve"> </w:t>
            </w:r>
            <w:r w:rsidR="000A4514">
              <w:rPr>
                <w:b w:val="0"/>
              </w:rPr>
              <w:t>Weekly</w:t>
            </w:r>
          </w:p>
          <w:p w14:paraId="21BC1BCD" w14:textId="77777777" w:rsidR="005740C8" w:rsidRPr="00466D41" w:rsidRDefault="005740C8" w:rsidP="00574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Incoming Calls</w:t>
            </w:r>
            <w:r w:rsidRPr="005740C8">
              <w:rPr>
                <w:b w:val="0"/>
                <w:vertAlign w:val="superscript"/>
              </w:rPr>
              <w:t>†</w:t>
            </w:r>
            <w:r w:rsidRPr="00466D41">
              <w:t xml:space="preserve"> </w:t>
            </w:r>
          </w:p>
        </w:tc>
        <w:tc>
          <w:tcPr>
            <w:tcW w:w="1890" w:type="dxa"/>
          </w:tcPr>
          <w:p w14:paraId="4883461D" w14:textId="77777777" w:rsidR="005740C8" w:rsidRPr="00466D41" w:rsidRDefault="005740C8" w:rsidP="008E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66D41">
              <w:t xml:space="preserve">Proposed </w:t>
            </w:r>
            <w:r>
              <w:rPr>
                <w:b w:val="0"/>
              </w:rPr>
              <w:t>Weekly</w:t>
            </w:r>
            <w:r w:rsidRPr="00466D41">
              <w:t xml:space="preserve"> Respondent Size</w:t>
            </w:r>
          </w:p>
        </w:tc>
        <w:tc>
          <w:tcPr>
            <w:tcW w:w="1620" w:type="dxa"/>
          </w:tcPr>
          <w:p w14:paraId="6F259AAD" w14:textId="77777777" w:rsidR="005740C8" w:rsidRPr="00466D41" w:rsidRDefault="005740C8" w:rsidP="00F15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Estimated Response Rate</w:t>
            </w:r>
          </w:p>
        </w:tc>
        <w:tc>
          <w:tcPr>
            <w:tcW w:w="1890" w:type="dxa"/>
          </w:tcPr>
          <w:p w14:paraId="10ABDE61" w14:textId="77777777" w:rsidR="005740C8" w:rsidRPr="00466D41" w:rsidRDefault="005740C8" w:rsidP="00484C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Proposed Weekly </w:t>
            </w:r>
            <w:r w:rsidRPr="00466D41">
              <w:t xml:space="preserve"> </w:t>
            </w:r>
            <w:r>
              <w:rPr>
                <w:b w:val="0"/>
              </w:rPr>
              <w:t>Email Contacts</w:t>
            </w:r>
          </w:p>
        </w:tc>
        <w:tc>
          <w:tcPr>
            <w:tcW w:w="1548" w:type="dxa"/>
          </w:tcPr>
          <w:p w14:paraId="2C7EE8B6" w14:textId="77777777" w:rsidR="005740C8" w:rsidRDefault="005740C8" w:rsidP="00484C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Weekly Sampling Rate</w:t>
            </w:r>
          </w:p>
        </w:tc>
      </w:tr>
      <w:tr w:rsidR="005740C8" w14:paraId="6D5844FD" w14:textId="77777777" w:rsidTr="00DF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25FC0D0" w14:textId="77777777" w:rsidR="005740C8" w:rsidRPr="009204BE" w:rsidRDefault="005740C8" w:rsidP="00B30BB6">
            <w:pPr>
              <w:rPr>
                <w:color w:val="002060"/>
              </w:rPr>
            </w:pPr>
            <w:r w:rsidRPr="009204BE">
              <w:rPr>
                <w:color w:val="002060"/>
              </w:rPr>
              <w:t>Education Call Center</w:t>
            </w:r>
          </w:p>
        </w:tc>
        <w:tc>
          <w:tcPr>
            <w:tcW w:w="1710" w:type="dxa"/>
          </w:tcPr>
          <w:p w14:paraId="4E74B165" w14:textId="77777777" w:rsidR="005740C8" w:rsidRDefault="000A4514" w:rsidP="0046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47,954</w:t>
            </w:r>
          </w:p>
        </w:tc>
        <w:tc>
          <w:tcPr>
            <w:tcW w:w="1890" w:type="dxa"/>
          </w:tcPr>
          <w:p w14:paraId="6DC6549E" w14:textId="77777777" w:rsidR="005740C8" w:rsidRDefault="005740C8" w:rsidP="00673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  <w:r w:rsidR="00673BA0">
              <w:t>00</w:t>
            </w:r>
          </w:p>
        </w:tc>
        <w:tc>
          <w:tcPr>
            <w:tcW w:w="1620" w:type="dxa"/>
          </w:tcPr>
          <w:p w14:paraId="6CA924EF" w14:textId="77777777" w:rsidR="005740C8" w:rsidRDefault="00673BA0" w:rsidP="0046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0A4514">
              <w:t>%</w:t>
            </w:r>
          </w:p>
        </w:tc>
        <w:tc>
          <w:tcPr>
            <w:tcW w:w="1890" w:type="dxa"/>
          </w:tcPr>
          <w:p w14:paraId="2FFAE8A0" w14:textId="77777777" w:rsidR="005740C8" w:rsidRDefault="00673BA0" w:rsidP="0046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11,0</w:t>
            </w:r>
            <w:r w:rsidR="005740C8">
              <w:t>00</w:t>
            </w:r>
          </w:p>
        </w:tc>
        <w:tc>
          <w:tcPr>
            <w:tcW w:w="1548" w:type="dxa"/>
          </w:tcPr>
          <w:p w14:paraId="47BB0915" w14:textId="77777777" w:rsidR="005740C8" w:rsidRDefault="00673BA0" w:rsidP="0046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="005740C8">
              <w:t>%</w:t>
            </w:r>
          </w:p>
        </w:tc>
      </w:tr>
      <w:tr w:rsidR="005740C8" w14:paraId="5FC3A7FC" w14:textId="77777777" w:rsidTr="00DF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E5BA05C" w14:textId="77777777" w:rsidR="005740C8" w:rsidRPr="009204BE" w:rsidRDefault="005740C8" w:rsidP="00B30BB6">
            <w:pPr>
              <w:rPr>
                <w:color w:val="002060"/>
              </w:rPr>
            </w:pPr>
            <w:r w:rsidRPr="009204BE">
              <w:rPr>
                <w:color w:val="002060"/>
              </w:rPr>
              <w:t>Pension Call Center</w:t>
            </w:r>
          </w:p>
        </w:tc>
        <w:tc>
          <w:tcPr>
            <w:tcW w:w="1710" w:type="dxa"/>
          </w:tcPr>
          <w:p w14:paraId="4C23CC67" w14:textId="77777777" w:rsidR="005740C8" w:rsidRDefault="000A4514" w:rsidP="0046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7,355</w:t>
            </w:r>
          </w:p>
        </w:tc>
        <w:tc>
          <w:tcPr>
            <w:tcW w:w="1890" w:type="dxa"/>
          </w:tcPr>
          <w:p w14:paraId="14656350" w14:textId="77777777" w:rsidR="005740C8" w:rsidRDefault="005740C8" w:rsidP="008E3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919</w:t>
            </w:r>
          </w:p>
        </w:tc>
        <w:tc>
          <w:tcPr>
            <w:tcW w:w="1620" w:type="dxa"/>
          </w:tcPr>
          <w:p w14:paraId="109FAA04" w14:textId="77777777" w:rsidR="005740C8" w:rsidRDefault="000A4514" w:rsidP="0046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25%</w:t>
            </w:r>
          </w:p>
        </w:tc>
        <w:tc>
          <w:tcPr>
            <w:tcW w:w="1890" w:type="dxa"/>
          </w:tcPr>
          <w:p w14:paraId="584A0689" w14:textId="77777777" w:rsidR="005740C8" w:rsidRDefault="005740C8" w:rsidP="0046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3,678</w:t>
            </w:r>
          </w:p>
        </w:tc>
        <w:tc>
          <w:tcPr>
            <w:tcW w:w="1548" w:type="dxa"/>
          </w:tcPr>
          <w:p w14:paraId="2AE9A09E" w14:textId="77777777" w:rsidR="005740C8" w:rsidRDefault="005740C8" w:rsidP="0046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</w:tr>
      <w:tr w:rsidR="005740C8" w14:paraId="6E565102" w14:textId="77777777" w:rsidTr="00DF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0105F89" w14:textId="77777777" w:rsidR="005740C8" w:rsidRPr="009204BE" w:rsidRDefault="005740C8" w:rsidP="00B30BB6">
            <w:pPr>
              <w:rPr>
                <w:color w:val="002060"/>
              </w:rPr>
            </w:pPr>
            <w:r w:rsidRPr="009204BE">
              <w:rPr>
                <w:color w:val="002060"/>
              </w:rPr>
              <w:t>National Call Center</w:t>
            </w:r>
          </w:p>
        </w:tc>
        <w:tc>
          <w:tcPr>
            <w:tcW w:w="1710" w:type="dxa"/>
          </w:tcPr>
          <w:p w14:paraId="3F2E07AD" w14:textId="77777777" w:rsidR="005740C8" w:rsidRDefault="000A4514" w:rsidP="0046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122,745</w:t>
            </w:r>
          </w:p>
        </w:tc>
        <w:tc>
          <w:tcPr>
            <w:tcW w:w="1890" w:type="dxa"/>
          </w:tcPr>
          <w:p w14:paraId="63E949E4" w14:textId="77777777" w:rsidR="005740C8" w:rsidRDefault="00AB733A" w:rsidP="008F0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</w:t>
            </w:r>
            <w:r w:rsidR="008F02A4">
              <w:t>4</w:t>
            </w:r>
            <w:r>
              <w:t>00</w:t>
            </w:r>
          </w:p>
        </w:tc>
        <w:tc>
          <w:tcPr>
            <w:tcW w:w="1620" w:type="dxa"/>
          </w:tcPr>
          <w:p w14:paraId="07C4AC10" w14:textId="77777777" w:rsidR="005740C8" w:rsidRDefault="000A4514" w:rsidP="0046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1890" w:type="dxa"/>
          </w:tcPr>
          <w:p w14:paraId="1F099B6F" w14:textId="77777777" w:rsidR="005740C8" w:rsidRDefault="005740C8" w:rsidP="008F0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F02A4">
              <w:t>2,0</w:t>
            </w:r>
            <w:r>
              <w:t>00</w:t>
            </w:r>
          </w:p>
        </w:tc>
        <w:tc>
          <w:tcPr>
            <w:tcW w:w="1548" w:type="dxa"/>
          </w:tcPr>
          <w:p w14:paraId="4E9CBEF3" w14:textId="77777777" w:rsidR="005740C8" w:rsidRDefault="008F02A4" w:rsidP="0046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5740C8">
              <w:t>%</w:t>
            </w:r>
          </w:p>
        </w:tc>
      </w:tr>
    </w:tbl>
    <w:p w14:paraId="006EA6AD" w14:textId="77777777" w:rsidR="00B5109A" w:rsidRPr="00B5109A" w:rsidRDefault="005740C8" w:rsidP="00FF50E0">
      <w:pPr>
        <w:spacing w:after="0"/>
      </w:pPr>
      <w:r w:rsidRPr="005740C8">
        <w:rPr>
          <w:b/>
          <w:vertAlign w:val="superscript"/>
        </w:rPr>
        <w:t>†</w:t>
      </w:r>
      <w:r w:rsidR="002771A1" w:rsidRPr="00F1570E">
        <w:rPr>
          <w:sz w:val="20"/>
          <w:szCs w:val="20"/>
        </w:rPr>
        <w:t xml:space="preserve">Source: </w:t>
      </w:r>
      <w:r w:rsidR="004D1694">
        <w:rPr>
          <w:sz w:val="20"/>
          <w:szCs w:val="20"/>
        </w:rPr>
        <w:t>Office of Field Operations, VBAPHIL</w:t>
      </w:r>
    </w:p>
    <w:p w14:paraId="2FFCF285" w14:textId="77777777" w:rsidR="00A15758" w:rsidRDefault="00B5109A" w:rsidP="003908B2">
      <w:r>
        <w:t xml:space="preserve">Note: Sample sizes </w:t>
      </w:r>
      <w:r w:rsidR="006D0310">
        <w:t>could</w:t>
      </w:r>
      <w:r>
        <w:t xml:space="preserve"> be reduced for certain calendar weeks where the caller population is lower</w:t>
      </w:r>
      <w:r w:rsidR="006D0310">
        <w:t>, especially for the Pension Call Center</w:t>
      </w:r>
      <w:r w:rsidR="003A4F3B">
        <w:t>. T</w:t>
      </w:r>
      <w:r>
        <w:t xml:space="preserve">hese figures assume there are sufficient numbers of callers </w:t>
      </w:r>
      <w:r w:rsidR="00B5168B">
        <w:t xml:space="preserve">providing their email address </w:t>
      </w:r>
      <w:r w:rsidR="000E2BB7">
        <w:t>to</w:t>
      </w:r>
      <w:r>
        <w:t xml:space="preserve"> VBA</w:t>
      </w:r>
      <w:r w:rsidR="00A15758">
        <w:t xml:space="preserve">. </w:t>
      </w:r>
      <w:r w:rsidR="00FF5F4E">
        <w:t xml:space="preserve"> Thus, the numbers above represent upper limits to the </w:t>
      </w:r>
      <w:r w:rsidR="00D02683">
        <w:t xml:space="preserve">amount </w:t>
      </w:r>
      <w:r w:rsidR="00B5168B">
        <w:t>that</w:t>
      </w:r>
      <w:r w:rsidR="00FF5F4E">
        <w:t xml:space="preserve"> would be contacted</w:t>
      </w:r>
      <w:r w:rsidR="00B5168B">
        <w:t xml:space="preserve">; they would be reduced in </w:t>
      </w:r>
      <w:r w:rsidR="006D0310">
        <w:t>the event that a large proportion of callers fail to provide email contact information</w:t>
      </w:r>
      <w:r w:rsidR="00B5168B">
        <w:t xml:space="preserve"> within a call center</w:t>
      </w:r>
      <w:r w:rsidR="006D0310">
        <w:t>.</w:t>
      </w:r>
    </w:p>
    <w:p w14:paraId="15F0B096" w14:textId="77777777" w:rsidR="0098330F" w:rsidRPr="00CB44F2" w:rsidRDefault="00CB44F2" w:rsidP="00FF50E0">
      <w:pPr>
        <w:spacing w:after="0"/>
      </w:pPr>
      <w:r>
        <w:rPr>
          <w:b/>
        </w:rPr>
        <w:lastRenderedPageBreak/>
        <w:t xml:space="preserve">Table 2. </w:t>
      </w:r>
      <w:r>
        <w:t>NCC Subsidiary Call Center Targets</w:t>
      </w:r>
      <w:r w:rsidR="00FF50E0">
        <w:t>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909"/>
        <w:gridCol w:w="2769"/>
        <w:gridCol w:w="2809"/>
        <w:gridCol w:w="2529"/>
      </w:tblGrid>
      <w:tr w:rsidR="0084129C" w14:paraId="0120B533" w14:textId="77777777" w:rsidTr="00920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4DB3286B" w14:textId="77777777" w:rsidR="0084129C" w:rsidRPr="0098330F" w:rsidRDefault="0084129C" w:rsidP="0098330F">
            <w:pPr>
              <w:jc w:val="center"/>
              <w:rPr>
                <w:b w:val="0"/>
              </w:rPr>
            </w:pPr>
            <w:r w:rsidRPr="0098330F">
              <w:rPr>
                <w:b w:val="0"/>
              </w:rPr>
              <w:t>NCC Call Center</w:t>
            </w:r>
          </w:p>
        </w:tc>
        <w:tc>
          <w:tcPr>
            <w:tcW w:w="2769" w:type="dxa"/>
          </w:tcPr>
          <w:p w14:paraId="6D2282B9" w14:textId="77777777" w:rsidR="0084129C" w:rsidRPr="0098330F" w:rsidRDefault="0084129C" w:rsidP="00983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8330F">
              <w:rPr>
                <w:b w:val="0"/>
              </w:rPr>
              <w:t>Average Weekly Calls</w:t>
            </w:r>
            <w:r w:rsidR="008F02A4" w:rsidRPr="005740C8">
              <w:rPr>
                <w:b w:val="0"/>
                <w:vertAlign w:val="superscript"/>
              </w:rPr>
              <w:t>†</w:t>
            </w:r>
          </w:p>
        </w:tc>
        <w:tc>
          <w:tcPr>
            <w:tcW w:w="2809" w:type="dxa"/>
          </w:tcPr>
          <w:p w14:paraId="5FFDE04D" w14:textId="77777777" w:rsidR="0084129C" w:rsidRPr="0098330F" w:rsidRDefault="0084129C" w:rsidP="00983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8330F">
              <w:rPr>
                <w:b w:val="0"/>
              </w:rPr>
              <w:t>Weekly Respondent Target</w:t>
            </w:r>
          </w:p>
        </w:tc>
        <w:tc>
          <w:tcPr>
            <w:tcW w:w="2529" w:type="dxa"/>
          </w:tcPr>
          <w:p w14:paraId="2992D5CC" w14:textId="77777777" w:rsidR="0084129C" w:rsidRPr="0098330F" w:rsidRDefault="0084129C" w:rsidP="00983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8330F">
              <w:rPr>
                <w:b w:val="0"/>
              </w:rPr>
              <w:t># Weekly Contacts</w:t>
            </w:r>
          </w:p>
        </w:tc>
      </w:tr>
      <w:tr w:rsidR="0084129C" w14:paraId="40DA95E6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5ED420F2" w14:textId="77777777" w:rsidR="0084129C" w:rsidRDefault="0084129C" w:rsidP="003908B2">
            <w:r>
              <w:t>Cleveland, OH</w:t>
            </w:r>
          </w:p>
        </w:tc>
        <w:tc>
          <w:tcPr>
            <w:tcW w:w="2769" w:type="dxa"/>
          </w:tcPr>
          <w:p w14:paraId="0B00BF55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15,290</w:t>
            </w:r>
          </w:p>
        </w:tc>
        <w:tc>
          <w:tcPr>
            <w:tcW w:w="2809" w:type="dxa"/>
          </w:tcPr>
          <w:p w14:paraId="36B8CF89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6AFE8253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1,500</w:t>
            </w:r>
          </w:p>
        </w:tc>
      </w:tr>
      <w:tr w:rsidR="0084129C" w14:paraId="39F7B47A" w14:textId="77777777" w:rsidTr="0092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1CB57A30" w14:textId="77777777" w:rsidR="0084129C" w:rsidRDefault="0084129C" w:rsidP="003908B2">
            <w:r>
              <w:t>Columbia, SC</w:t>
            </w:r>
          </w:p>
        </w:tc>
        <w:tc>
          <w:tcPr>
            <w:tcW w:w="2769" w:type="dxa"/>
          </w:tcPr>
          <w:p w14:paraId="791D50E9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12,770</w:t>
            </w:r>
          </w:p>
        </w:tc>
        <w:tc>
          <w:tcPr>
            <w:tcW w:w="2809" w:type="dxa"/>
          </w:tcPr>
          <w:p w14:paraId="74B5F3CD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0356F4BD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1,500</w:t>
            </w:r>
          </w:p>
        </w:tc>
      </w:tr>
      <w:tr w:rsidR="0084129C" w14:paraId="64C6A662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6ED3808A" w14:textId="77777777" w:rsidR="0084129C" w:rsidRDefault="0084129C" w:rsidP="003908B2">
            <w:r>
              <w:t>Philadelphia, PA</w:t>
            </w:r>
          </w:p>
        </w:tc>
        <w:tc>
          <w:tcPr>
            <w:tcW w:w="2769" w:type="dxa"/>
          </w:tcPr>
          <w:p w14:paraId="42F70E44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7,660</w:t>
            </w:r>
          </w:p>
        </w:tc>
        <w:tc>
          <w:tcPr>
            <w:tcW w:w="2809" w:type="dxa"/>
          </w:tcPr>
          <w:p w14:paraId="1AEB2258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49914310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1,500</w:t>
            </w:r>
          </w:p>
        </w:tc>
      </w:tr>
      <w:tr w:rsidR="0084129C" w14:paraId="303CF3F7" w14:textId="77777777" w:rsidTr="0092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33E9FB2F" w14:textId="77777777" w:rsidR="0084129C" w:rsidRDefault="0084129C" w:rsidP="003908B2">
            <w:r>
              <w:t>St. Louis, MO</w:t>
            </w:r>
          </w:p>
        </w:tc>
        <w:tc>
          <w:tcPr>
            <w:tcW w:w="2769" w:type="dxa"/>
          </w:tcPr>
          <w:p w14:paraId="3255FE09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14,195</w:t>
            </w:r>
          </w:p>
        </w:tc>
        <w:tc>
          <w:tcPr>
            <w:tcW w:w="2809" w:type="dxa"/>
          </w:tcPr>
          <w:p w14:paraId="27FF6F72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0D632988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1,500</w:t>
            </w:r>
          </w:p>
        </w:tc>
      </w:tr>
      <w:tr w:rsidR="0084129C" w14:paraId="2F5E9DA0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2D680EFE" w14:textId="77777777" w:rsidR="0084129C" w:rsidRDefault="0084129C" w:rsidP="003908B2">
            <w:r>
              <w:t>Nashville, TN</w:t>
            </w:r>
          </w:p>
        </w:tc>
        <w:tc>
          <w:tcPr>
            <w:tcW w:w="2769" w:type="dxa"/>
          </w:tcPr>
          <w:p w14:paraId="0C13EBF6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24,060</w:t>
            </w:r>
          </w:p>
        </w:tc>
        <w:tc>
          <w:tcPr>
            <w:tcW w:w="2809" w:type="dxa"/>
          </w:tcPr>
          <w:p w14:paraId="734FECFE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5C43C80E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1,500</w:t>
            </w:r>
          </w:p>
        </w:tc>
      </w:tr>
      <w:tr w:rsidR="0084129C" w14:paraId="5A2ED71F" w14:textId="77777777" w:rsidTr="0092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5BD1C31D" w14:textId="77777777" w:rsidR="0084129C" w:rsidRDefault="0084129C" w:rsidP="003908B2">
            <w:r>
              <w:t>Salt Lake City, UT</w:t>
            </w:r>
          </w:p>
        </w:tc>
        <w:tc>
          <w:tcPr>
            <w:tcW w:w="2769" w:type="dxa"/>
          </w:tcPr>
          <w:p w14:paraId="19370E06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16,825</w:t>
            </w:r>
          </w:p>
        </w:tc>
        <w:tc>
          <w:tcPr>
            <w:tcW w:w="2809" w:type="dxa"/>
          </w:tcPr>
          <w:p w14:paraId="7021B187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57A46E78" w14:textId="77777777" w:rsidR="0084129C" w:rsidRDefault="0084129C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1,500</w:t>
            </w:r>
          </w:p>
        </w:tc>
      </w:tr>
      <w:tr w:rsidR="0084129C" w14:paraId="4AD6942C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51FF9ED2" w14:textId="77777777" w:rsidR="0084129C" w:rsidRDefault="0084129C" w:rsidP="003908B2">
            <w:r>
              <w:t>Phoenix, AZ</w:t>
            </w:r>
          </w:p>
        </w:tc>
        <w:tc>
          <w:tcPr>
            <w:tcW w:w="2769" w:type="dxa"/>
          </w:tcPr>
          <w:p w14:paraId="567CC0F8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28,435</w:t>
            </w:r>
          </w:p>
        </w:tc>
        <w:tc>
          <w:tcPr>
            <w:tcW w:w="2809" w:type="dxa"/>
          </w:tcPr>
          <w:p w14:paraId="0B03CC67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2BC54AE2" w14:textId="77777777" w:rsidR="0084129C" w:rsidRDefault="0084129C" w:rsidP="0098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1,500</w:t>
            </w:r>
          </w:p>
        </w:tc>
      </w:tr>
      <w:tr w:rsidR="00D02683" w14:paraId="4B243531" w14:textId="77777777" w:rsidTr="0092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14:paraId="24FF2E2F" w14:textId="77777777" w:rsidR="00D02683" w:rsidRDefault="00D02683" w:rsidP="003908B2">
            <w:r>
              <w:t>San Juan, PR</w:t>
            </w:r>
          </w:p>
        </w:tc>
        <w:tc>
          <w:tcPr>
            <w:tcW w:w="2769" w:type="dxa"/>
          </w:tcPr>
          <w:p w14:paraId="6C9B7E83" w14:textId="77777777" w:rsidR="00D02683" w:rsidRDefault="00D02683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3,510</w:t>
            </w:r>
          </w:p>
        </w:tc>
        <w:tc>
          <w:tcPr>
            <w:tcW w:w="2809" w:type="dxa"/>
          </w:tcPr>
          <w:p w14:paraId="245165B2" w14:textId="77777777" w:rsidR="00D02683" w:rsidRDefault="00D02683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529" w:type="dxa"/>
          </w:tcPr>
          <w:p w14:paraId="61B72C1D" w14:textId="77777777" w:rsidR="00D02683" w:rsidRDefault="00D02683" w:rsidP="00983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1,500</w:t>
            </w:r>
          </w:p>
        </w:tc>
      </w:tr>
    </w:tbl>
    <w:p w14:paraId="47197EC7" w14:textId="77777777" w:rsidR="008F02A4" w:rsidRPr="00B5109A" w:rsidRDefault="008F02A4" w:rsidP="00FF50E0">
      <w:pPr>
        <w:spacing w:after="0"/>
      </w:pPr>
      <w:r w:rsidRPr="005740C8">
        <w:rPr>
          <w:b/>
          <w:vertAlign w:val="superscript"/>
        </w:rPr>
        <w:t>†</w:t>
      </w:r>
      <w:r w:rsidRPr="00F1570E">
        <w:rPr>
          <w:sz w:val="20"/>
          <w:szCs w:val="20"/>
        </w:rPr>
        <w:t xml:space="preserve">Source: </w:t>
      </w:r>
      <w:r>
        <w:rPr>
          <w:sz w:val="20"/>
          <w:szCs w:val="20"/>
        </w:rPr>
        <w:t>Office of Field Operations, VBAPHIL</w:t>
      </w:r>
    </w:p>
    <w:p w14:paraId="38217A4D" w14:textId="77777777" w:rsidR="007D16CC" w:rsidRDefault="0098330F" w:rsidP="0098330F">
      <w:r w:rsidRPr="000E2BB7">
        <w:rPr>
          <w:b/>
          <w:i/>
        </w:rPr>
        <w:t>Sampling Design</w:t>
      </w:r>
      <w:r w:rsidR="008510FC">
        <w:rPr>
          <w:b/>
        </w:rPr>
        <w:t xml:space="preserve">: </w:t>
      </w:r>
      <w:r w:rsidR="00DA69EA">
        <w:t>Data collection</w:t>
      </w:r>
      <w:r w:rsidR="00DB1008">
        <w:t xml:space="preserve"> will occur twice a week to improve cognitive recall of customer experience</w:t>
      </w:r>
      <w:r w:rsidR="00DA69EA">
        <w:t xml:space="preserve"> by initiating contact within 2-3 days</w:t>
      </w:r>
      <w:r w:rsidR="009A5E61">
        <w:t xml:space="preserve"> of their call</w:t>
      </w:r>
      <w:r w:rsidR="00166F44">
        <w:t xml:space="preserve">. </w:t>
      </w:r>
      <w:r w:rsidR="00DA69EA">
        <w:t>Caller</w:t>
      </w:r>
      <w:r w:rsidR="007D16CC">
        <w:t xml:space="preserve"> information </w:t>
      </w:r>
      <w:r w:rsidR="00DA69EA">
        <w:t xml:space="preserve">will be regularly extracted </w:t>
      </w:r>
      <w:r w:rsidR="007D16CC">
        <w:t xml:space="preserve">from </w:t>
      </w:r>
      <w:r w:rsidR="008510FC">
        <w:t xml:space="preserve">the </w:t>
      </w:r>
      <w:r w:rsidR="00DA69EA">
        <w:t>VBA</w:t>
      </w:r>
      <w:r w:rsidR="007D16CC">
        <w:t xml:space="preserve"> database resources</w:t>
      </w:r>
      <w:r w:rsidR="008510FC">
        <w:t xml:space="preserve">—the </w:t>
      </w:r>
      <w:r w:rsidR="003A4F3B">
        <w:t>Enterprise Data Warehouse</w:t>
      </w:r>
      <w:r w:rsidR="007D16CC">
        <w:t xml:space="preserve">. </w:t>
      </w:r>
      <w:r w:rsidR="009A5E61">
        <w:t>The extraction</w:t>
      </w:r>
      <w:r w:rsidR="00DB1008">
        <w:t xml:space="preserve"> process will be execute</w:t>
      </w:r>
      <w:r w:rsidR="008F53D5">
        <w:t>d</w:t>
      </w:r>
      <w:r w:rsidR="009A5E61">
        <w:t xml:space="preserve"> and validated by the O</w:t>
      </w:r>
      <w:r w:rsidR="00DB1008">
        <w:t>ffice of Performance Improvement and Assessment</w:t>
      </w:r>
      <w:r w:rsidR="008F53D5">
        <w:t xml:space="preserve"> (PA&amp;I), </w:t>
      </w:r>
      <w:r w:rsidR="003A4F3B">
        <w:t>and</w:t>
      </w:r>
      <w:r w:rsidR="008F53D5">
        <w:t xml:space="preserve"> the population extracts sent to </w:t>
      </w:r>
      <w:r w:rsidR="009A5E61">
        <w:t>VEO</w:t>
      </w:r>
      <w:r w:rsidR="008F53D5">
        <w:t xml:space="preserve"> on a semi-weekly basis</w:t>
      </w:r>
      <w:r w:rsidR="00DB1008">
        <w:t xml:space="preserve">. </w:t>
      </w:r>
      <w:r w:rsidR="007D16CC">
        <w:t>These extracts will also be used to obtain universe figures fo</w:t>
      </w:r>
      <w:r w:rsidR="00F34597">
        <w:t>r the sample weighting process</w:t>
      </w:r>
      <w:r w:rsidR="00166F44">
        <w:t xml:space="preserve"> (as data </w:t>
      </w:r>
      <w:r w:rsidR="003A4F3B">
        <w:t>is</w:t>
      </w:r>
      <w:r w:rsidR="00166F44">
        <w:t xml:space="preserve"> available).</w:t>
      </w:r>
    </w:p>
    <w:p w14:paraId="775DA5ED" w14:textId="77777777" w:rsidR="007D16CC" w:rsidRDefault="007D16CC" w:rsidP="000E2BB7">
      <w:r>
        <w:t xml:space="preserve">Beneficiaries will be randomly selected from the </w:t>
      </w:r>
      <w:r w:rsidR="00F34597">
        <w:t>half-week</w:t>
      </w:r>
      <w:r>
        <w:t xml:space="preserve"> population according to a stratified design. The </w:t>
      </w:r>
      <w:r w:rsidR="00047F3F">
        <w:t xml:space="preserve">general </w:t>
      </w:r>
      <w:r>
        <w:t xml:space="preserve">object is to obtain a </w:t>
      </w:r>
      <w:r>
        <w:rPr>
          <w:i/>
        </w:rPr>
        <w:t>representative</w:t>
      </w:r>
      <w:r>
        <w:t xml:space="preserve"> sample with respect to the stratification variables</w:t>
      </w:r>
      <w:r w:rsidR="00DA69EA">
        <w:t>.</w:t>
      </w:r>
      <w:r w:rsidR="00047F3F">
        <w:t xml:space="preserve"> However, the NCC sample will have fixed targets for each subsidiary call centers to ensure accurate estimates for each center. Otherwise, callers will be</w:t>
      </w:r>
      <w:r w:rsidR="0050112C">
        <w:t xml:space="preserve"> selected </w:t>
      </w:r>
      <w:r w:rsidR="003A4F3B">
        <w:t xml:space="preserve">with </w:t>
      </w:r>
      <w:r w:rsidR="00DA69EA">
        <w:t>a balanced</w:t>
      </w:r>
      <w:r w:rsidR="0050112C">
        <w:t xml:space="preserve"> representation</w:t>
      </w:r>
      <w:r w:rsidR="00DA69EA">
        <w:t xml:space="preserve"> with re</w:t>
      </w:r>
      <w:r w:rsidR="00166F44">
        <w:t xml:space="preserve">spect to caller demographics, </w:t>
      </w:r>
      <w:r w:rsidR="00060CA4">
        <w:t xml:space="preserve">Veterans </w:t>
      </w:r>
      <w:r w:rsidR="00166F44">
        <w:t>Status</w:t>
      </w:r>
      <w:r w:rsidR="008510FC">
        <w:t>,</w:t>
      </w:r>
      <w:r w:rsidR="00060CA4">
        <w:t xml:space="preserve"> and </w:t>
      </w:r>
      <w:r w:rsidR="00166F44">
        <w:t>Call</w:t>
      </w:r>
      <w:r w:rsidR="00060CA4">
        <w:t xml:space="preserve"> Characteristics</w:t>
      </w:r>
      <w:r w:rsidR="00166F44">
        <w:t xml:space="preserve"> (i.e., number of calls, call length)</w:t>
      </w:r>
      <w:r>
        <w:t xml:space="preserve">. The allocation targets </w:t>
      </w:r>
      <w:r w:rsidR="00166F44">
        <w:t xml:space="preserve">from each stratum </w:t>
      </w:r>
      <w:r>
        <w:t>will fluctuate with monthly changes in the population</w:t>
      </w:r>
      <w:r w:rsidR="00166F44">
        <w:t xml:space="preserve"> (with the exception of NCC subsidiaries)</w:t>
      </w:r>
      <w:r>
        <w:t>.</w:t>
      </w:r>
      <w:r w:rsidR="00166F44">
        <w:t xml:space="preserve"> Finally, </w:t>
      </w:r>
      <w:r>
        <w:t xml:space="preserve">the demographic strata in level 3 </w:t>
      </w:r>
      <w:r w:rsidR="00166F44">
        <w:t xml:space="preserve">below </w:t>
      </w:r>
      <w:r w:rsidR="00DA69EA">
        <w:t>may</w:t>
      </w:r>
      <w:r>
        <w:t xml:space="preserve"> require implicit selection via sequential sampling and </w:t>
      </w:r>
      <w:r w:rsidR="00DA69EA">
        <w:t>would</w:t>
      </w:r>
      <w:r>
        <w:t xml:space="preserve"> not have explicit targets for each grouping.</w:t>
      </w:r>
    </w:p>
    <w:p w14:paraId="5EB359A6" w14:textId="77777777" w:rsidR="00522803" w:rsidRPr="00522803" w:rsidRDefault="00522803" w:rsidP="000E2BB7">
      <w:pPr>
        <w:ind w:firstLine="720"/>
        <w:rPr>
          <w:b/>
        </w:rPr>
      </w:pPr>
      <w:r>
        <w:rPr>
          <w:b/>
        </w:rPr>
        <w:t>Sampling Stratification</w:t>
      </w:r>
      <w:r w:rsidR="00FF0F7B">
        <w:rPr>
          <w:b/>
        </w:rPr>
        <w:t xml:space="preserve"> (Tentative)</w:t>
      </w:r>
    </w:p>
    <w:p w14:paraId="21832C85" w14:textId="77777777" w:rsidR="00060CA4" w:rsidRDefault="003A4F3B" w:rsidP="007D16CC">
      <w:pPr>
        <w:pStyle w:val="ListParagraph"/>
        <w:numPr>
          <w:ilvl w:val="0"/>
          <w:numId w:val="4"/>
        </w:numPr>
        <w:spacing w:line="256" w:lineRule="auto"/>
      </w:pPr>
      <w:r>
        <w:t>Level 1:</w:t>
      </w:r>
      <w:r w:rsidR="007D16CC">
        <w:t xml:space="preserve"> </w:t>
      </w:r>
      <w:r w:rsidR="00522803">
        <w:t xml:space="preserve">Call Center </w:t>
      </w:r>
      <w:r w:rsidR="005B0D00">
        <w:t>Type</w:t>
      </w:r>
      <w:r w:rsidR="00060CA4">
        <w:t xml:space="preserve">, </w:t>
      </w:r>
      <w:r w:rsidR="00AB2D4B">
        <w:t>Subsidiary</w:t>
      </w:r>
      <w:r w:rsidR="00060CA4">
        <w:t xml:space="preserve"> Call </w:t>
      </w:r>
      <w:r w:rsidR="008510FC">
        <w:t xml:space="preserve">Centers, </w:t>
      </w:r>
      <w:r w:rsidR="002A0C40">
        <w:t xml:space="preserve">Caller and </w:t>
      </w:r>
      <w:r w:rsidR="008510FC">
        <w:t>Veteran</w:t>
      </w:r>
      <w:r w:rsidR="00060CA4">
        <w:t xml:space="preserve"> Status</w:t>
      </w:r>
    </w:p>
    <w:p w14:paraId="404F9D6B" w14:textId="77777777" w:rsidR="007D16CC" w:rsidRDefault="003A4F3B" w:rsidP="007D16CC">
      <w:pPr>
        <w:pStyle w:val="ListParagraph"/>
        <w:numPr>
          <w:ilvl w:val="0"/>
          <w:numId w:val="4"/>
        </w:numPr>
        <w:spacing w:line="256" w:lineRule="auto"/>
      </w:pPr>
      <w:r>
        <w:t>Level 2:</w:t>
      </w:r>
      <w:r w:rsidR="007D16CC">
        <w:t xml:space="preserve"> </w:t>
      </w:r>
      <w:r w:rsidR="00DB1008">
        <w:t>Phone Characteristics (</w:t>
      </w:r>
      <w:r w:rsidR="00AB2D4B">
        <w:t xml:space="preserve">e.g., </w:t>
      </w:r>
      <w:r w:rsidR="00DB1008">
        <w:t># Number of Calls, Total Call Length)</w:t>
      </w:r>
    </w:p>
    <w:p w14:paraId="4956E710" w14:textId="1759C7F9" w:rsidR="007D16CC" w:rsidRDefault="003A4F3B" w:rsidP="007D16CC">
      <w:pPr>
        <w:pStyle w:val="ListParagraph"/>
        <w:numPr>
          <w:ilvl w:val="0"/>
          <w:numId w:val="4"/>
        </w:numPr>
        <w:spacing w:line="256" w:lineRule="auto"/>
      </w:pPr>
      <w:r>
        <w:t>Level 3:</w:t>
      </w:r>
      <w:r w:rsidR="007D16CC">
        <w:t xml:space="preserve"> Demographics: </w:t>
      </w:r>
      <w:r w:rsidR="00925F62">
        <w:t>Geographic Region</w:t>
      </w:r>
    </w:p>
    <w:p w14:paraId="25EB3ECF" w14:textId="77777777" w:rsidR="007D16CC" w:rsidRDefault="007D16CC" w:rsidP="007D16CC">
      <w:r>
        <w:t xml:space="preserve">Many survey practitioners recommend the use of weighted survey estimates </w:t>
      </w:r>
      <w:r w:rsidR="00AB2D4B">
        <w:t xml:space="preserve">to </w:t>
      </w:r>
      <w:r>
        <w:t xml:space="preserve">improve inference </w:t>
      </w:r>
      <w:r w:rsidR="00AB2D4B">
        <w:t>on</w:t>
      </w:r>
      <w:r>
        <w:t xml:space="preserve"> the population. The method attempts to correct for under-</w:t>
      </w:r>
      <w:r w:rsidR="00DF3C0D">
        <w:t>coverage and non-response bias</w:t>
      </w:r>
      <w:r>
        <w:t>. The weighting methodology will be applied se</w:t>
      </w:r>
      <w:r w:rsidR="003A4F3B">
        <w:t xml:space="preserve">parately to each encounter type – </w:t>
      </w:r>
      <w:r w:rsidR="0050112C">
        <w:t xml:space="preserve">NCC, Pension, </w:t>
      </w:r>
      <w:r>
        <w:t xml:space="preserve">and </w:t>
      </w:r>
      <w:r w:rsidR="0050112C">
        <w:t>Education</w:t>
      </w:r>
      <w:r>
        <w:t xml:space="preserve"> will be </w:t>
      </w:r>
      <w:r w:rsidR="0050112C">
        <w:t>consider</w:t>
      </w:r>
      <w:r w:rsidR="00060CA4">
        <w:t>ed</w:t>
      </w:r>
      <w:r>
        <w:t xml:space="preserve"> as </w:t>
      </w:r>
      <w:r w:rsidR="0050112C">
        <w:t>independent</w:t>
      </w:r>
      <w:r>
        <w:t xml:space="preserve"> weighting </w:t>
      </w:r>
      <w:r w:rsidR="0050112C">
        <w:t>models</w:t>
      </w:r>
      <w:r>
        <w:t xml:space="preserve">. VEO </w:t>
      </w:r>
      <w:r w:rsidR="00060CA4">
        <w:t>will</w:t>
      </w:r>
      <w:r w:rsidR="000D65F7">
        <w:t xml:space="preserve"> also</w:t>
      </w:r>
      <w:r w:rsidR="00060CA4">
        <w:t xml:space="preserve"> </w:t>
      </w:r>
      <w:r w:rsidR="00B3727B">
        <w:t>seek to</w:t>
      </w:r>
      <w:r w:rsidR="00060CA4">
        <w:t xml:space="preserve"> incorporate Caller Characteristics and</w:t>
      </w:r>
      <w:r w:rsidR="000D65F7">
        <w:t xml:space="preserve"> available</w:t>
      </w:r>
      <w:r w:rsidR="00060CA4">
        <w:t xml:space="preserve"> demographic information into the algorithm. </w:t>
      </w:r>
      <w:r>
        <w:t xml:space="preserve"> </w:t>
      </w:r>
    </w:p>
    <w:p w14:paraId="4CD5578D" w14:textId="77777777" w:rsidR="007D16CC" w:rsidRDefault="007D16CC" w:rsidP="00FF50E0">
      <w:pPr>
        <w:spacing w:after="0"/>
        <w:rPr>
          <w:b/>
        </w:rPr>
      </w:pPr>
      <w:r>
        <w:rPr>
          <w:b/>
        </w:rPr>
        <w:t>Summary</w:t>
      </w:r>
      <w:r w:rsidR="00FF50E0">
        <w:rPr>
          <w:b/>
        </w:rPr>
        <w:t>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D16CC" w14:paraId="7ADDA04B" w14:textId="77777777" w:rsidTr="00920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2F8C9996" w14:textId="77777777" w:rsidR="007D16CC" w:rsidRPr="008510FC" w:rsidRDefault="007D16CC" w:rsidP="008510FC">
            <w:pPr>
              <w:jc w:val="center"/>
              <w:rPr>
                <w:b w:val="0"/>
              </w:rPr>
            </w:pPr>
            <w:r w:rsidRPr="008510FC">
              <w:t>Sampling Design Feature</w:t>
            </w:r>
          </w:p>
        </w:tc>
        <w:tc>
          <w:tcPr>
            <w:tcW w:w="5508" w:type="dxa"/>
            <w:hideMark/>
          </w:tcPr>
          <w:p w14:paraId="3FECCF68" w14:textId="77777777" w:rsidR="007D16CC" w:rsidRPr="008510FC" w:rsidRDefault="007D16CC" w:rsidP="00851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10FC">
              <w:t>Description</w:t>
            </w:r>
          </w:p>
        </w:tc>
      </w:tr>
      <w:tr w:rsidR="007D16CC" w14:paraId="7A5FCA4A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235B6372" w14:textId="77777777" w:rsidR="007D16CC" w:rsidRDefault="007D16CC">
            <w:r>
              <w:t>Survey Reporting</w:t>
            </w:r>
          </w:p>
        </w:tc>
        <w:tc>
          <w:tcPr>
            <w:tcW w:w="5508" w:type="dxa"/>
            <w:hideMark/>
          </w:tcPr>
          <w:p w14:paraId="0402CC2F" w14:textId="77777777" w:rsidR="007D16CC" w:rsidRDefault="00522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Weekly</w:t>
            </w:r>
          </w:p>
        </w:tc>
      </w:tr>
      <w:tr w:rsidR="007D16CC" w14:paraId="0F548C3A" w14:textId="77777777" w:rsidTr="0092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47E060F5" w14:textId="77777777" w:rsidR="007D16CC" w:rsidRDefault="007D16CC">
            <w:r>
              <w:t>Data Collection</w:t>
            </w:r>
          </w:p>
        </w:tc>
        <w:tc>
          <w:tcPr>
            <w:tcW w:w="5508" w:type="dxa"/>
            <w:hideMark/>
          </w:tcPr>
          <w:p w14:paraId="05F47C63" w14:textId="77777777" w:rsidR="007D16CC" w:rsidRDefault="00522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Semi-Weekly</w:t>
            </w:r>
          </w:p>
        </w:tc>
      </w:tr>
      <w:tr w:rsidR="007D16CC" w14:paraId="1A0CE5DF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399451A1" w14:textId="77777777" w:rsidR="007D16CC" w:rsidRDefault="007D16CC">
            <w:r>
              <w:t>Stratification (Explicit</w:t>
            </w:r>
            <w:r w:rsidR="00E91B7A">
              <w:t xml:space="preserve"> Sample Targets</w:t>
            </w:r>
            <w:r>
              <w:t>)</w:t>
            </w:r>
          </w:p>
        </w:tc>
        <w:tc>
          <w:tcPr>
            <w:tcW w:w="5508" w:type="dxa"/>
            <w:hideMark/>
          </w:tcPr>
          <w:p w14:paraId="0A0C6F0C" w14:textId="77777777" w:rsidR="007D16CC" w:rsidRDefault="00522803" w:rsidP="00501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 Center Type,</w:t>
            </w:r>
            <w:r w:rsidR="00C123D6">
              <w:t xml:space="preserve"> Subsidiary Call Center,</w:t>
            </w:r>
            <w:r>
              <w:t xml:space="preserve"> </w:t>
            </w:r>
            <w:r w:rsidR="0050112C">
              <w:t>Call Characteristics (Multiple, Length)</w:t>
            </w:r>
            <w:r w:rsidR="00060CA4">
              <w:t>, Veteran Status</w:t>
            </w:r>
          </w:p>
        </w:tc>
      </w:tr>
      <w:tr w:rsidR="007D16CC" w14:paraId="713E1D5B" w14:textId="77777777" w:rsidTr="0092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7BDB4C90" w14:textId="77777777" w:rsidR="007D16CC" w:rsidRDefault="007D16CC">
            <w:r>
              <w:t>Stratification (Implicit</w:t>
            </w:r>
            <w:r w:rsidR="00E91B7A">
              <w:t>, No Sample Targets</w:t>
            </w:r>
            <w:r>
              <w:t>)</w:t>
            </w:r>
          </w:p>
        </w:tc>
        <w:tc>
          <w:tcPr>
            <w:tcW w:w="5508" w:type="dxa"/>
            <w:hideMark/>
          </w:tcPr>
          <w:p w14:paraId="27152521" w14:textId="732E153F" w:rsidR="007D16CC" w:rsidRDefault="00C123D6" w:rsidP="00C12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Geography</w:t>
            </w:r>
          </w:p>
        </w:tc>
      </w:tr>
      <w:tr w:rsidR="007D16CC" w14:paraId="55783665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76F91900" w14:textId="77777777" w:rsidR="007D16CC" w:rsidRDefault="007D16CC">
            <w:r>
              <w:t>Quarantine</w:t>
            </w:r>
          </w:p>
        </w:tc>
        <w:tc>
          <w:tcPr>
            <w:tcW w:w="5508" w:type="dxa"/>
            <w:hideMark/>
          </w:tcPr>
          <w:p w14:paraId="4D411966" w14:textId="77777777" w:rsidR="007D16CC" w:rsidRDefault="00C123D6" w:rsidP="00522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Month for VBA CC Survey, 2 Months for Other VEO surveys</w:t>
            </w:r>
          </w:p>
        </w:tc>
      </w:tr>
      <w:tr w:rsidR="007D16CC" w14:paraId="78F9F717" w14:textId="77777777" w:rsidTr="0092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7FCBA072" w14:textId="77777777" w:rsidR="007D16CC" w:rsidRDefault="007D16CC">
            <w:r>
              <w:t>Weighting Classes</w:t>
            </w:r>
          </w:p>
        </w:tc>
        <w:tc>
          <w:tcPr>
            <w:tcW w:w="5508" w:type="dxa"/>
            <w:hideMark/>
          </w:tcPr>
          <w:p w14:paraId="41D73ADD" w14:textId="77777777" w:rsidR="007D16CC" w:rsidRDefault="00522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Center Type</w:t>
            </w:r>
          </w:p>
        </w:tc>
      </w:tr>
      <w:tr w:rsidR="007D16CC" w14:paraId="1DA0DABA" w14:textId="77777777" w:rsidTr="0092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hideMark/>
          </w:tcPr>
          <w:p w14:paraId="28892026" w14:textId="77777777" w:rsidR="007D16CC" w:rsidRDefault="007D16CC">
            <w:r>
              <w:t>Weighting Variables</w:t>
            </w:r>
            <w:r w:rsidR="00FF0F7B">
              <w:t xml:space="preserve"> (Tentative, based on availability of key demographic information)</w:t>
            </w:r>
          </w:p>
        </w:tc>
        <w:tc>
          <w:tcPr>
            <w:tcW w:w="5508" w:type="dxa"/>
            <w:hideMark/>
          </w:tcPr>
          <w:p w14:paraId="2FA30FC6" w14:textId="6E7A5FCC" w:rsidR="007D16CC" w:rsidRDefault="00457AC4" w:rsidP="00EB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Subsidiary Call Center</w:t>
            </w:r>
            <w:r w:rsidR="00EB2BD2">
              <w:t xml:space="preserve"> (NCC only)</w:t>
            </w:r>
            <w:r>
              <w:t xml:space="preserve">, </w:t>
            </w:r>
            <w:r w:rsidR="00C32AC5">
              <w:t xml:space="preserve">Call Characteristics, </w:t>
            </w:r>
            <w:r w:rsidR="00A2793E">
              <w:t xml:space="preserve">Veteran Status, </w:t>
            </w:r>
            <w:r>
              <w:t>Geographic Region</w:t>
            </w:r>
          </w:p>
        </w:tc>
      </w:tr>
    </w:tbl>
    <w:p w14:paraId="3EF3C319" w14:textId="77777777" w:rsidR="007D16CC" w:rsidRDefault="007D16CC" w:rsidP="00C123D6"/>
    <w:sectPr w:rsidR="007D16CC" w:rsidSect="00E35E5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7B65" w14:textId="77777777" w:rsidR="00557281" w:rsidRDefault="00557281" w:rsidP="00587FFB">
      <w:pPr>
        <w:spacing w:after="0" w:line="240" w:lineRule="auto"/>
      </w:pPr>
      <w:r>
        <w:separator/>
      </w:r>
    </w:p>
  </w:endnote>
  <w:endnote w:type="continuationSeparator" w:id="0">
    <w:p w14:paraId="7055E72C" w14:textId="77777777" w:rsidR="00557281" w:rsidRDefault="00557281" w:rsidP="0058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CAFE9" w14:textId="77777777" w:rsidR="0049787D" w:rsidRDefault="0049787D" w:rsidP="008E659D">
    <w:pPr>
      <w:pStyle w:val="Footer"/>
      <w:numPr>
        <w:ilvl w:val="0"/>
        <w:numId w:val="6"/>
      </w:numPr>
    </w:pPr>
    <w:r>
      <w:t>Lohr, Sharon Sampling Design and Analysis 1999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54F91" w14:textId="77777777" w:rsidR="00557281" w:rsidRDefault="00557281" w:rsidP="00587FFB">
      <w:pPr>
        <w:spacing w:after="0" w:line="240" w:lineRule="auto"/>
      </w:pPr>
      <w:r>
        <w:separator/>
      </w:r>
    </w:p>
  </w:footnote>
  <w:footnote w:type="continuationSeparator" w:id="0">
    <w:p w14:paraId="4983658C" w14:textId="77777777" w:rsidR="00557281" w:rsidRDefault="00557281" w:rsidP="0058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355"/>
    <w:multiLevelType w:val="hybridMultilevel"/>
    <w:tmpl w:val="A35C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BE3"/>
    <w:multiLevelType w:val="hybridMultilevel"/>
    <w:tmpl w:val="1EF635D8"/>
    <w:lvl w:ilvl="0" w:tplc="D22A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B68C6"/>
    <w:multiLevelType w:val="hybridMultilevel"/>
    <w:tmpl w:val="02AE490C"/>
    <w:lvl w:ilvl="0" w:tplc="E474F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D7426"/>
    <w:multiLevelType w:val="hybridMultilevel"/>
    <w:tmpl w:val="316C8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89316A"/>
    <w:multiLevelType w:val="hybridMultilevel"/>
    <w:tmpl w:val="F156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510D8"/>
    <w:multiLevelType w:val="hybridMultilevel"/>
    <w:tmpl w:val="4D343672"/>
    <w:lvl w:ilvl="0" w:tplc="1E564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9F"/>
    <w:rsid w:val="00010D33"/>
    <w:rsid w:val="00016892"/>
    <w:rsid w:val="000446A3"/>
    <w:rsid w:val="00047F3F"/>
    <w:rsid w:val="00060CA4"/>
    <w:rsid w:val="00062D34"/>
    <w:rsid w:val="00076292"/>
    <w:rsid w:val="00091577"/>
    <w:rsid w:val="00095533"/>
    <w:rsid w:val="000A4514"/>
    <w:rsid w:val="000D0112"/>
    <w:rsid w:val="000D0EAA"/>
    <w:rsid w:val="000D65F7"/>
    <w:rsid w:val="000E2BB7"/>
    <w:rsid w:val="0010683B"/>
    <w:rsid w:val="00107D3F"/>
    <w:rsid w:val="001121A0"/>
    <w:rsid w:val="00116ED8"/>
    <w:rsid w:val="00126510"/>
    <w:rsid w:val="0013413E"/>
    <w:rsid w:val="0014410A"/>
    <w:rsid w:val="00155DB0"/>
    <w:rsid w:val="00162093"/>
    <w:rsid w:val="00166F44"/>
    <w:rsid w:val="001902D4"/>
    <w:rsid w:val="001961C6"/>
    <w:rsid w:val="001A17BB"/>
    <w:rsid w:val="001B00DB"/>
    <w:rsid w:val="001B6923"/>
    <w:rsid w:val="001C7B3E"/>
    <w:rsid w:val="001E6ABD"/>
    <w:rsid w:val="001F70D7"/>
    <w:rsid w:val="001F7885"/>
    <w:rsid w:val="002103E0"/>
    <w:rsid w:val="00212285"/>
    <w:rsid w:val="00241508"/>
    <w:rsid w:val="00255ED3"/>
    <w:rsid w:val="0026257B"/>
    <w:rsid w:val="002669A3"/>
    <w:rsid w:val="002771A1"/>
    <w:rsid w:val="002906A8"/>
    <w:rsid w:val="00294661"/>
    <w:rsid w:val="002A01FB"/>
    <w:rsid w:val="002A0C40"/>
    <w:rsid w:val="002C05DF"/>
    <w:rsid w:val="002E3F13"/>
    <w:rsid w:val="002E7FB4"/>
    <w:rsid w:val="00313A60"/>
    <w:rsid w:val="0032475D"/>
    <w:rsid w:val="0033349F"/>
    <w:rsid w:val="003336D3"/>
    <w:rsid w:val="00340E71"/>
    <w:rsid w:val="00362AF8"/>
    <w:rsid w:val="00374EE0"/>
    <w:rsid w:val="003814D3"/>
    <w:rsid w:val="003908B2"/>
    <w:rsid w:val="00392594"/>
    <w:rsid w:val="003929D0"/>
    <w:rsid w:val="003A4F3B"/>
    <w:rsid w:val="003A525D"/>
    <w:rsid w:val="003B6F93"/>
    <w:rsid w:val="003B7CA9"/>
    <w:rsid w:val="003C000D"/>
    <w:rsid w:val="003F1C39"/>
    <w:rsid w:val="003F7D24"/>
    <w:rsid w:val="00404C9B"/>
    <w:rsid w:val="00434A76"/>
    <w:rsid w:val="004351E1"/>
    <w:rsid w:val="00444FCA"/>
    <w:rsid w:val="00450B56"/>
    <w:rsid w:val="00457AC4"/>
    <w:rsid w:val="00466D41"/>
    <w:rsid w:val="00466EE2"/>
    <w:rsid w:val="00484CFF"/>
    <w:rsid w:val="00495D8F"/>
    <w:rsid w:val="0049787D"/>
    <w:rsid w:val="004A49AF"/>
    <w:rsid w:val="004C08EC"/>
    <w:rsid w:val="004D1694"/>
    <w:rsid w:val="004E2F25"/>
    <w:rsid w:val="004E5995"/>
    <w:rsid w:val="0050112C"/>
    <w:rsid w:val="005162D2"/>
    <w:rsid w:val="00522803"/>
    <w:rsid w:val="005447C6"/>
    <w:rsid w:val="005549F8"/>
    <w:rsid w:val="005559CF"/>
    <w:rsid w:val="00557281"/>
    <w:rsid w:val="005740C8"/>
    <w:rsid w:val="00587FFB"/>
    <w:rsid w:val="005945BD"/>
    <w:rsid w:val="00596612"/>
    <w:rsid w:val="005A3C88"/>
    <w:rsid w:val="005B0D00"/>
    <w:rsid w:val="005E0E7D"/>
    <w:rsid w:val="00623634"/>
    <w:rsid w:val="00624198"/>
    <w:rsid w:val="00631F7F"/>
    <w:rsid w:val="00632888"/>
    <w:rsid w:val="00633140"/>
    <w:rsid w:val="0063510F"/>
    <w:rsid w:val="00652F0A"/>
    <w:rsid w:val="00666537"/>
    <w:rsid w:val="00673BA0"/>
    <w:rsid w:val="006906C8"/>
    <w:rsid w:val="006D0310"/>
    <w:rsid w:val="006D3EEF"/>
    <w:rsid w:val="007029BC"/>
    <w:rsid w:val="00763B70"/>
    <w:rsid w:val="00775CE5"/>
    <w:rsid w:val="007845AD"/>
    <w:rsid w:val="007C2B7A"/>
    <w:rsid w:val="007D16CC"/>
    <w:rsid w:val="007D4286"/>
    <w:rsid w:val="007F49E7"/>
    <w:rsid w:val="008233E9"/>
    <w:rsid w:val="00827F5F"/>
    <w:rsid w:val="00831676"/>
    <w:rsid w:val="0084129C"/>
    <w:rsid w:val="008510FC"/>
    <w:rsid w:val="008A1648"/>
    <w:rsid w:val="008C6F0D"/>
    <w:rsid w:val="008E659D"/>
    <w:rsid w:val="008F02A4"/>
    <w:rsid w:val="008F4413"/>
    <w:rsid w:val="008F53D5"/>
    <w:rsid w:val="009204BE"/>
    <w:rsid w:val="00925F62"/>
    <w:rsid w:val="0093447E"/>
    <w:rsid w:val="00937EF1"/>
    <w:rsid w:val="00941042"/>
    <w:rsid w:val="009653C6"/>
    <w:rsid w:val="009703E3"/>
    <w:rsid w:val="0098330F"/>
    <w:rsid w:val="009A399A"/>
    <w:rsid w:val="009A5E61"/>
    <w:rsid w:val="009B2395"/>
    <w:rsid w:val="009B3B44"/>
    <w:rsid w:val="009E6BEE"/>
    <w:rsid w:val="009F11B2"/>
    <w:rsid w:val="009F124F"/>
    <w:rsid w:val="009F586F"/>
    <w:rsid w:val="00A07D33"/>
    <w:rsid w:val="00A15758"/>
    <w:rsid w:val="00A2793E"/>
    <w:rsid w:val="00A702B2"/>
    <w:rsid w:val="00AA4EB5"/>
    <w:rsid w:val="00AA57A8"/>
    <w:rsid w:val="00AB2BF2"/>
    <w:rsid w:val="00AB2D4B"/>
    <w:rsid w:val="00AB733A"/>
    <w:rsid w:val="00AD5A09"/>
    <w:rsid w:val="00AD7FCB"/>
    <w:rsid w:val="00AE16E1"/>
    <w:rsid w:val="00AE3A6E"/>
    <w:rsid w:val="00AF04F7"/>
    <w:rsid w:val="00B222F0"/>
    <w:rsid w:val="00B30BB6"/>
    <w:rsid w:val="00B3727B"/>
    <w:rsid w:val="00B5109A"/>
    <w:rsid w:val="00B5168B"/>
    <w:rsid w:val="00B65BFF"/>
    <w:rsid w:val="00B72B25"/>
    <w:rsid w:val="00BC1A80"/>
    <w:rsid w:val="00BE62FB"/>
    <w:rsid w:val="00BF3547"/>
    <w:rsid w:val="00C00300"/>
    <w:rsid w:val="00C00CCB"/>
    <w:rsid w:val="00C123D6"/>
    <w:rsid w:val="00C12B5A"/>
    <w:rsid w:val="00C13577"/>
    <w:rsid w:val="00C31051"/>
    <w:rsid w:val="00C32AC5"/>
    <w:rsid w:val="00C67D9F"/>
    <w:rsid w:val="00C96C7A"/>
    <w:rsid w:val="00CA3A8B"/>
    <w:rsid w:val="00CB44F2"/>
    <w:rsid w:val="00CD1FF8"/>
    <w:rsid w:val="00D0175A"/>
    <w:rsid w:val="00D02683"/>
    <w:rsid w:val="00D04EC4"/>
    <w:rsid w:val="00D1682F"/>
    <w:rsid w:val="00D32401"/>
    <w:rsid w:val="00D525AE"/>
    <w:rsid w:val="00D57ECB"/>
    <w:rsid w:val="00D714E3"/>
    <w:rsid w:val="00D80478"/>
    <w:rsid w:val="00D86AA8"/>
    <w:rsid w:val="00D9681D"/>
    <w:rsid w:val="00DA69EA"/>
    <w:rsid w:val="00DB1008"/>
    <w:rsid w:val="00DB6CDF"/>
    <w:rsid w:val="00DC48D0"/>
    <w:rsid w:val="00DD102F"/>
    <w:rsid w:val="00DF3C0D"/>
    <w:rsid w:val="00E06996"/>
    <w:rsid w:val="00E35E5B"/>
    <w:rsid w:val="00E42D3B"/>
    <w:rsid w:val="00E57DED"/>
    <w:rsid w:val="00E87C0D"/>
    <w:rsid w:val="00E91B7A"/>
    <w:rsid w:val="00EB0082"/>
    <w:rsid w:val="00EB2BD2"/>
    <w:rsid w:val="00EB343A"/>
    <w:rsid w:val="00ED056D"/>
    <w:rsid w:val="00ED7C26"/>
    <w:rsid w:val="00F10F1A"/>
    <w:rsid w:val="00F1570E"/>
    <w:rsid w:val="00F208BA"/>
    <w:rsid w:val="00F34597"/>
    <w:rsid w:val="00F41A42"/>
    <w:rsid w:val="00F631C8"/>
    <w:rsid w:val="00F9011D"/>
    <w:rsid w:val="00FA622B"/>
    <w:rsid w:val="00FD5656"/>
    <w:rsid w:val="00FE2918"/>
    <w:rsid w:val="00FE7C50"/>
    <w:rsid w:val="00FF0F7B"/>
    <w:rsid w:val="00FF50E0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B9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FB"/>
  </w:style>
  <w:style w:type="paragraph" w:styleId="Footer">
    <w:name w:val="footer"/>
    <w:basedOn w:val="Normal"/>
    <w:link w:val="Foot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FB"/>
  </w:style>
  <w:style w:type="character" w:styleId="Hyperlink">
    <w:name w:val="Hyperlink"/>
    <w:basedOn w:val="DefaultParagraphFont"/>
    <w:uiPriority w:val="99"/>
    <w:unhideWhenUsed/>
    <w:rsid w:val="004978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F93"/>
    <w:rPr>
      <w:color w:val="954F72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060CA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F3C0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FB"/>
  </w:style>
  <w:style w:type="paragraph" w:styleId="Footer">
    <w:name w:val="footer"/>
    <w:basedOn w:val="Normal"/>
    <w:link w:val="Foot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FB"/>
  </w:style>
  <w:style w:type="character" w:styleId="Hyperlink">
    <w:name w:val="Hyperlink"/>
    <w:basedOn w:val="DefaultParagraphFont"/>
    <w:uiPriority w:val="99"/>
    <w:unhideWhenUsed/>
    <w:rsid w:val="004978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F93"/>
    <w:rPr>
      <w:color w:val="954F72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060CA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F3C0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E2CCF3888FA4B9001D3300637005A" ma:contentTypeVersion="6" ma:contentTypeDescription="Create a new document." ma:contentTypeScope="" ma:versionID="9db1cb01e8bc55e8b38ab6be0fe90947">
  <xsd:schema xmlns:xsd="http://www.w3.org/2001/XMLSchema" xmlns:xs="http://www.w3.org/2001/XMLSchema" xmlns:p="http://schemas.microsoft.com/office/2006/metadata/properties" xmlns:ns2="6d3df575-2165-4a64-b9c5-c9b4b817fbb1" xmlns:ns3="309bf251-415b-4d6e-a0f8-921c7a21c569" targetNamespace="http://schemas.microsoft.com/office/2006/metadata/properties" ma:root="true" ma:fieldsID="33b914bf7a64fdce143525d625cd94b3" ns2:_="" ns3:_="">
    <xsd:import namespace="6d3df575-2165-4a64-b9c5-c9b4b817fbb1"/>
    <xsd:import namespace="309bf251-415b-4d6e-a0f8-921c7a21c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f575-2165-4a64-b9c5-c9b4b817f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bf251-415b-4d6e-a0f8-921c7a21c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5DC7-41CA-4492-8CED-B79C95C9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C60F2-3355-4DDC-9D91-C8DC2C1CD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df575-2165-4a64-b9c5-c9b4b817fbb1"/>
    <ds:schemaRef ds:uri="309bf251-415b-4d6e-a0f8-921c7a21c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932BC-790E-4746-9B5D-26CB18B0AC03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9F6394-67DD-462D-A314-2423DBE0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Waldron, Will [USA]</dc:creator>
  <cp:lastModifiedBy>SYSTEM</cp:lastModifiedBy>
  <cp:revision>2</cp:revision>
  <dcterms:created xsi:type="dcterms:W3CDTF">2018-11-01T15:44:00Z</dcterms:created>
  <dcterms:modified xsi:type="dcterms:W3CDTF">2018-11-01T15:44:00Z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0x0101005D4E2CCF3888FA4B9001D3300637005A</vt:lpwstr>
  </property>
</Properties>
</file>