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36A79">
        <w:rPr>
          <w:sz w:val="28"/>
        </w:rPr>
        <w:t>2900-0770</w:t>
      </w:r>
      <w:r>
        <w:rPr>
          <w:sz w:val="28"/>
        </w:rPr>
        <w:t>)</w:t>
      </w:r>
    </w:p>
    <w:p w:rsidRPr="009239AA" w:rsidR="00E50293" w:rsidP="00434E33" w:rsidRDefault="0038429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5F3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Pr="00536A79" w:rsidR="00536A79" w:rsidP="00536A79" w:rsidRDefault="00536A79">
      <w:pPr>
        <w:jc w:val="center"/>
        <w:rPr>
          <w:b/>
          <w:sz w:val="28"/>
          <w:szCs w:val="28"/>
        </w:rPr>
      </w:pPr>
      <w:r w:rsidRPr="00536A79">
        <w:rPr>
          <w:b/>
          <w:sz w:val="28"/>
          <w:szCs w:val="28"/>
        </w:rPr>
        <w:t>VA Homeless Programs – Customer Feedback Survey</w:t>
      </w:r>
    </w:p>
    <w:p w:rsidR="00536A79" w:rsidRDefault="00536A79"/>
    <w:p w:rsidR="0064501B" w:rsidRDefault="0064501B">
      <w:pPr>
        <w:rPr>
          <w:b/>
        </w:rPr>
      </w:pPr>
    </w:p>
    <w:p w:rsidRPr="0083631F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3631F" w:rsidR="0005628B">
        <w:t xml:space="preserve">The purpose of this </w:t>
      </w:r>
      <w:r w:rsidRPr="0083631F" w:rsidR="0083631F">
        <w:t xml:space="preserve">data collection is to solicit feedback from visitors to </w:t>
      </w:r>
      <w:r w:rsidR="0064501B">
        <w:t>“</w:t>
      </w:r>
      <w:r w:rsidRPr="0083631F" w:rsidR="0083631F">
        <w:t>VA.gov/homeless</w:t>
      </w:r>
      <w:r w:rsidR="0064501B">
        <w:t xml:space="preserve">” </w:t>
      </w:r>
      <w:r w:rsidRPr="0083631F" w:rsidR="0083631F">
        <w:t>about their perception</w:t>
      </w:r>
      <w:r w:rsidR="0083631F">
        <w:t>s</w:t>
      </w:r>
      <w:r w:rsidRPr="0083631F" w:rsidR="0083631F">
        <w:t xml:space="preserve"> of VA programs for homeless Veterans</w:t>
      </w:r>
      <w:r w:rsidR="00F512C3">
        <w:t xml:space="preserve">.  The </w:t>
      </w:r>
      <w:r w:rsidR="0064501B">
        <w:t>information collection</w:t>
      </w:r>
      <w:r w:rsidR="00F512C3">
        <w:t xml:space="preserve"> will also </w:t>
      </w:r>
      <w:r w:rsidRPr="0083631F" w:rsidR="0083631F">
        <w:t>seek their recommendations on how to improve outcomes for Veterans who are homeless or at risk of homelessness.</w:t>
      </w:r>
    </w:p>
    <w:p w:rsidR="001B0AAA" w:rsidRDefault="001B0AAA"/>
    <w:p w:rsidR="00C8488C" w:rsidRDefault="00C8488C"/>
    <w:p w:rsidR="00C8488C" w:rsidRDefault="00C8488C"/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3631F">
        <w:t xml:space="preserve"> The universe of potential respondents includes individuals who fall into one or more of the following categories:</w:t>
      </w:r>
    </w:p>
    <w:p w:rsidRPr="0083631F" w:rsidR="0083631F" w:rsidP="0083631F" w:rsidRDefault="0083631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snapToGrid/>
        </w:rPr>
        <w:t>General public</w:t>
      </w:r>
      <w:r w:rsidR="00092A28">
        <w:rPr>
          <w:snapToGrid/>
        </w:rPr>
        <w:t xml:space="preserve"> (with only a basic understanding of VA programs for homeless Veterans);</w:t>
      </w:r>
    </w:p>
    <w:p w:rsidRPr="0083631F" w:rsidR="0083631F" w:rsidP="0083631F" w:rsidRDefault="0083631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snapToGrid/>
        </w:rPr>
        <w:t xml:space="preserve">Veterans, including those </w:t>
      </w:r>
      <w:r w:rsidR="00F512C3">
        <w:rPr>
          <w:snapToGrid/>
        </w:rPr>
        <w:t xml:space="preserve">who </w:t>
      </w:r>
      <w:r>
        <w:rPr>
          <w:snapToGrid/>
        </w:rPr>
        <w:t xml:space="preserve">are currently homeless, formerly homeless, </w:t>
      </w:r>
      <w:r w:rsidR="00F512C3">
        <w:rPr>
          <w:snapToGrid/>
        </w:rPr>
        <w:t xml:space="preserve">or </w:t>
      </w:r>
      <w:r>
        <w:rPr>
          <w:snapToGrid/>
        </w:rPr>
        <w:t>at-risk of homelessness</w:t>
      </w:r>
      <w:r w:rsidR="00092A28">
        <w:rPr>
          <w:snapToGrid/>
        </w:rPr>
        <w:t>;</w:t>
      </w:r>
    </w:p>
    <w:p w:rsidRPr="00F512C3" w:rsidR="0083631F" w:rsidP="0083631F" w:rsidRDefault="0083631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snapToGrid/>
        </w:rPr>
        <w:t xml:space="preserve">Individuals affiliated with organizations that provide supportive services to homeless Veterans, including </w:t>
      </w:r>
      <w:r w:rsidR="00F512C3">
        <w:rPr>
          <w:snapToGrid/>
        </w:rPr>
        <w:t>organizations</w:t>
      </w:r>
      <w:r>
        <w:rPr>
          <w:snapToGrid/>
        </w:rPr>
        <w:t xml:space="preserve"> that receive funding from VA and those that do not</w:t>
      </w:r>
      <w:r w:rsidR="00092A28">
        <w:rPr>
          <w:snapToGrid/>
        </w:rPr>
        <w:t>; and</w:t>
      </w:r>
    </w:p>
    <w:p w:rsidRPr="00434E33" w:rsidR="00F512C3" w:rsidP="0083631F" w:rsidRDefault="00F512C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</w:rPr>
      </w:pPr>
      <w:r>
        <w:rPr>
          <w:snapToGrid/>
        </w:rPr>
        <w:t>Individuals interested in providing homeless services to Veterans</w:t>
      </w:r>
      <w:r w:rsidR="00092A28">
        <w:rPr>
          <w:snapToGrid/>
        </w:rPr>
        <w:t>.</w:t>
      </w:r>
    </w:p>
    <w:p w:rsidR="00F15956" w:rsidRDefault="00F15956"/>
    <w:p w:rsidR="0051513D" w:rsidRDefault="0051513D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E57EF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E57EF6" w:rsidR="00E06A5C">
        <w:rPr>
          <w:bCs/>
          <w:sz w:val="24"/>
        </w:rPr>
        <w:t>X</w:t>
      </w:r>
      <w:r w:rsidRPr="00E57EF6">
        <w:rPr>
          <w:bCs/>
          <w:sz w:val="24"/>
        </w:rPr>
        <w:t xml:space="preserve">] </w:t>
      </w:r>
      <w:r w:rsidRPr="00E57EF6" w:rsidR="00F06866">
        <w:rPr>
          <w:bCs/>
          <w:sz w:val="24"/>
        </w:rPr>
        <w:t>Customer Satisfaction Survey</w:t>
      </w:r>
      <w:r w:rsidRPr="00E57EF6">
        <w:rPr>
          <w:bCs/>
          <w:sz w:val="24"/>
        </w:rPr>
        <w:t xml:space="preserve"> </w:t>
      </w:r>
      <w:r w:rsidRPr="00E57EF6" w:rsidR="00CA2650">
        <w:rPr>
          <w:bCs/>
          <w:sz w:val="24"/>
        </w:rPr>
        <w:t xml:space="preserve">  </w:t>
      </w:r>
      <w:r w:rsidRPr="00E57EF6">
        <w:rPr>
          <w:bCs/>
          <w:sz w:val="24"/>
        </w:rPr>
        <w:t xml:space="preserve"> </w:t>
      </w:r>
    </w:p>
    <w:p w:rsidRPr="00E57EF6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57EF6">
        <w:rPr>
          <w:bCs/>
          <w:sz w:val="24"/>
        </w:rPr>
        <w:t xml:space="preserve">[ ] </w:t>
      </w:r>
      <w:r w:rsidRPr="00E57EF6" w:rsidR="00F06866">
        <w:rPr>
          <w:bCs/>
          <w:sz w:val="24"/>
        </w:rPr>
        <w:t>Usability</w:t>
      </w:r>
      <w:r w:rsidRPr="00E57EF6" w:rsidR="009239AA">
        <w:rPr>
          <w:bCs/>
          <w:sz w:val="24"/>
        </w:rPr>
        <w:t xml:space="preserve"> Testing (e.g., Website or Software</w:t>
      </w:r>
      <w:r w:rsidRPr="00E57EF6" w:rsidR="00CD709B">
        <w:rPr>
          <w:bCs/>
          <w:sz w:val="24"/>
        </w:rPr>
        <w:t>)</w:t>
      </w:r>
      <w:r w:rsidRPr="00E57EF6" w:rsidR="00F06866">
        <w:rPr>
          <w:bCs/>
          <w:sz w:val="24"/>
        </w:rPr>
        <w:tab/>
        <w:t>[ ] Small Discussion Group</w:t>
      </w:r>
    </w:p>
    <w:p w:rsidRPr="00F06866" w:rsidR="00F06866" w:rsidP="00F512C3" w:rsidRDefault="00935ADA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 w:rsidRPr="00E57EF6">
        <w:rPr>
          <w:bCs/>
          <w:sz w:val="24"/>
        </w:rPr>
        <w:t>[</w:t>
      </w:r>
      <w:r w:rsidRPr="00E57EF6" w:rsidR="00CF6542">
        <w:rPr>
          <w:bCs/>
          <w:sz w:val="24"/>
        </w:rPr>
        <w:t xml:space="preserve"> </w:t>
      </w:r>
      <w:r w:rsidRPr="00E57EF6">
        <w:rPr>
          <w:bCs/>
          <w:sz w:val="24"/>
        </w:rPr>
        <w:t xml:space="preserve">]  Focus Group  </w:t>
      </w:r>
      <w:r w:rsidRPr="00E57EF6">
        <w:rPr>
          <w:bCs/>
          <w:sz w:val="24"/>
        </w:rPr>
        <w:tab/>
      </w:r>
      <w:r w:rsidRPr="00E57EF6" w:rsidR="00F06866">
        <w:rPr>
          <w:bCs/>
          <w:sz w:val="24"/>
        </w:rPr>
        <w:t>[</w:t>
      </w:r>
      <w:r w:rsidRPr="00E57EF6" w:rsidR="00F512C3">
        <w:rPr>
          <w:bCs/>
          <w:sz w:val="24"/>
        </w:rPr>
        <w:t>X</w:t>
      </w:r>
      <w:r w:rsidRPr="00E57EF6" w:rsidR="00F06866">
        <w:rPr>
          <w:bCs/>
          <w:sz w:val="24"/>
        </w:rPr>
        <w:t>] Other:</w:t>
      </w:r>
      <w:r w:rsidRPr="00E57EF6" w:rsidR="00F06866">
        <w:rPr>
          <w:bCs/>
          <w:sz w:val="24"/>
          <w:u w:val="single"/>
        </w:rPr>
        <w:t xml:space="preserve"> </w:t>
      </w:r>
      <w:r w:rsidRPr="00E57EF6" w:rsidR="00F512C3">
        <w:rPr>
          <w:bCs/>
          <w:sz w:val="24"/>
          <w:u w:val="single"/>
        </w:rPr>
        <w:t>Solicit opinions from people familiar with VHA Homeless Programs</w:t>
      </w:r>
      <w:r w:rsidR="00BF2F19">
        <w:rPr>
          <w:bCs/>
          <w:sz w:val="24"/>
          <w:u w:val="single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51513D" w:rsidRDefault="0051513D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AEA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313DE4">
        <w:t xml:space="preserve">  </w:t>
      </w:r>
    </w:p>
    <w:p w:rsidR="008101A5" w:rsidP="00530AEA" w:rsidRDefault="00313DE4">
      <w:pPr>
        <w:pStyle w:val="ListParagraph"/>
        <w:ind w:left="360"/>
      </w:pPr>
      <w:r>
        <w:t>(</w:t>
      </w:r>
      <w:r w:rsidRPr="00530AEA">
        <w:rPr>
          <w:b/>
          <w:u w:val="single"/>
        </w:rPr>
        <w:t>Note</w:t>
      </w:r>
      <w:r w:rsidRPr="00530AEA">
        <w:rPr>
          <w:b/>
        </w:rPr>
        <w:t>:</w:t>
      </w:r>
      <w:r w:rsidRPr="00530AEA">
        <w:t xml:space="preserve"> We intend to</w:t>
      </w:r>
      <w:r w:rsidRPr="00530AEA" w:rsidR="00853D21">
        <w:t xml:space="preserve"> primarily</w:t>
      </w:r>
      <w:r w:rsidRPr="00530AEA">
        <w:t xml:space="preserve"> use the information collected to improve the coordination of care to homeless and at-risk Veterans</w:t>
      </w:r>
      <w:r w:rsidRPr="00530AEA" w:rsidR="000C35EF">
        <w:t xml:space="preserve"> by</w:t>
      </w:r>
      <w:r w:rsidRPr="00530AEA" w:rsidR="00DA77B6">
        <w:t xml:space="preserve"> VA </w:t>
      </w:r>
      <w:r w:rsidRPr="00530AEA" w:rsidR="00853D21">
        <w:t xml:space="preserve">staff, </w:t>
      </w:r>
      <w:r w:rsidRPr="00530AEA" w:rsidR="00DA77B6">
        <w:t>VA’s grantees</w:t>
      </w:r>
      <w:r w:rsidRPr="00530AEA" w:rsidR="00E06A5C">
        <w:t>,</w:t>
      </w:r>
      <w:r w:rsidRPr="00530AEA" w:rsidR="00DA77B6">
        <w:t xml:space="preserve"> and other partner</w:t>
      </w:r>
      <w:r w:rsidRPr="00530AEA" w:rsidR="00853D21">
        <w:t xml:space="preserve"> organizations</w:t>
      </w:r>
      <w:r w:rsidRPr="00530AEA" w:rsidR="00DA77B6">
        <w:t xml:space="preserve">.  </w:t>
      </w:r>
      <w:r w:rsidRPr="00530AEA" w:rsidR="00853D21">
        <w:t>W</w:t>
      </w:r>
      <w:r w:rsidRPr="00530AEA">
        <w:t>e</w:t>
      </w:r>
      <w:r w:rsidRPr="00530AEA" w:rsidR="0095040F">
        <w:t xml:space="preserve"> also</w:t>
      </w:r>
      <w:r w:rsidRPr="00530AEA">
        <w:t xml:space="preserve"> would like to share strong practices </w:t>
      </w:r>
      <w:r w:rsidRPr="00530AEA" w:rsidR="00853D21">
        <w:t xml:space="preserve">that are </w:t>
      </w:r>
      <w:r w:rsidRPr="00530AEA">
        <w:t xml:space="preserve">that are evidenced from the survey results </w:t>
      </w:r>
      <w:r w:rsidRPr="00530AEA" w:rsidR="000C35EF">
        <w:t>when we are able to validate the effectiveness of those practices from other means such as direct observation or quantitative methods.</w:t>
      </w:r>
      <w:r w:rsidRPr="00530AEA">
        <w:t>)</w:t>
      </w:r>
      <w:r w:rsidRPr="00530AEA" w:rsidR="008101A5">
        <w:tab/>
      </w:r>
    </w:p>
    <w:p w:rsidR="00507065" w:rsidP="00530AEA" w:rsidRDefault="00507065">
      <w:pPr>
        <w:pStyle w:val="ListParagraph"/>
        <w:ind w:left="360"/>
      </w:pPr>
    </w:p>
    <w:p w:rsidR="00507065" w:rsidP="00530AEA" w:rsidRDefault="00507065">
      <w:pPr>
        <w:pStyle w:val="ListParagraph"/>
        <w:ind w:left="360"/>
      </w:pPr>
    </w:p>
    <w:p w:rsidR="00507065" w:rsidP="00530AEA" w:rsidRDefault="00507065">
      <w:pPr>
        <w:pStyle w:val="ListParagraph"/>
        <w:ind w:left="360"/>
      </w:pPr>
    </w:p>
    <w:p w:rsidR="00507065" w:rsidP="00530AEA" w:rsidRDefault="00507065">
      <w:pPr>
        <w:pStyle w:val="ListParagraph"/>
        <w:ind w:left="360"/>
      </w:pPr>
    </w:p>
    <w:p w:rsidRPr="00530AEA" w:rsidR="00507065" w:rsidP="00530AEA" w:rsidRDefault="00507065">
      <w:pPr>
        <w:pStyle w:val="ListParagraph"/>
        <w:ind w:left="360"/>
      </w:pP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51513D" w:rsidP="009C13B9" w:rsidRDefault="0051513D"/>
    <w:p w:rsidR="009C13B9" w:rsidP="009C13B9" w:rsidRDefault="009C13B9">
      <w:r w:rsidRPr="0051513D">
        <w:rPr>
          <w:b/>
        </w:rPr>
        <w:t>Name</w:t>
      </w:r>
      <w:r w:rsidRPr="0051513D" w:rsidR="005E4800">
        <w:rPr>
          <w:b/>
        </w:rPr>
        <w:t>, Position Title and Credentials</w:t>
      </w:r>
      <w:r>
        <w:t>:</w:t>
      </w:r>
      <w:r w:rsidR="008866F8">
        <w:t xml:space="preserve"> </w:t>
      </w:r>
    </w:p>
    <w:p w:rsidRPr="00F512C3" w:rsidR="00F512C3" w:rsidP="009C13B9" w:rsidRDefault="00F512C3">
      <w:pPr>
        <w:rPr>
          <w:u w:val="single"/>
        </w:rPr>
      </w:pPr>
      <w:r w:rsidRPr="00F512C3">
        <w:rPr>
          <w:u w:val="single"/>
        </w:rPr>
        <w:t>Anthony Love, Director of Community Engagement, VHA Homeless Programs Office</w:t>
      </w:r>
    </w:p>
    <w:p w:rsidR="0051513D" w:rsidP="005A0346" w:rsidRDefault="0051513D">
      <w:pPr>
        <w:pStyle w:val="ListParagraph"/>
        <w:ind w:left="0"/>
      </w:pPr>
    </w:p>
    <w:p w:rsidR="005A0346" w:rsidP="005A0346" w:rsidRDefault="005A0346">
      <w:pPr>
        <w:pStyle w:val="ListParagraph"/>
        <w:ind w:left="0"/>
      </w:pPr>
    </w:p>
    <w:p w:rsidR="00F31470" w:rsidP="005A0346" w:rsidRDefault="00F31470">
      <w:pPr>
        <w:pStyle w:val="ListParagraph"/>
        <w:ind w:left="0"/>
      </w:pPr>
    </w:p>
    <w:p w:rsidR="009C13B9" w:rsidP="009C13B9" w:rsidRDefault="009C13B9">
      <w:r>
        <w:t>To assist review, please provide answers to the following question:</w:t>
      </w:r>
    </w:p>
    <w:p w:rsidR="0051513D" w:rsidP="009C13B9" w:rsidRDefault="0051513D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768CA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51513D" w:rsidP="00C86E91" w:rsidRDefault="0051513D">
      <w:pPr>
        <w:pStyle w:val="ListParagraph"/>
        <w:ind w:left="0"/>
        <w:rPr>
          <w:b/>
        </w:rPr>
      </w:pPr>
    </w:p>
    <w:p w:rsidR="0051513D" w:rsidP="00C86E91" w:rsidRDefault="0051513D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603E1D" w:rsidR="00F24CFC" w:rsidRDefault="00C86E91">
      <w:r>
        <w:t>Is an incentive (e.g., money or reimbursement of expenses, token of appreciation) provided to participants?  [  ] Yes [</w:t>
      </w:r>
      <w:r w:rsidR="008768CA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1513D" w:rsidRDefault="0051513D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1890"/>
        <w:gridCol w:w="2070"/>
        <w:gridCol w:w="1440"/>
      </w:tblGrid>
      <w:tr w:rsidR="00EF2095" w:rsidTr="00507065">
        <w:trPr>
          <w:trHeight w:val="274"/>
        </w:trPr>
        <w:tc>
          <w:tcPr>
            <w:tcW w:w="415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07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507065">
        <w:trPr>
          <w:trHeight w:val="274"/>
        </w:trPr>
        <w:tc>
          <w:tcPr>
            <w:tcW w:w="4158" w:type="dxa"/>
          </w:tcPr>
          <w:p w:rsidR="008D0C16" w:rsidP="00843796" w:rsidRDefault="008D0C16">
            <w:r w:rsidRPr="008D0C16">
              <w:rPr>
                <w:b/>
              </w:rPr>
              <w:t>Respondents who</w:t>
            </w:r>
            <w:r w:rsidRPr="008D0C16" w:rsidR="008768CA">
              <w:rPr>
                <w:b/>
              </w:rPr>
              <w:t xml:space="preserve"> visit </w:t>
            </w:r>
            <w:r w:rsidRPr="008D0C16">
              <w:rPr>
                <w:b/>
              </w:rPr>
              <w:t>website</w:t>
            </w:r>
            <w:r>
              <w:rPr>
                <w:b/>
              </w:rPr>
              <w:t>:</w:t>
            </w:r>
            <w:r w:rsidRPr="008D0C16">
              <w:rPr>
                <w:b/>
              </w:rPr>
              <w:t xml:space="preserve"> </w:t>
            </w:r>
            <w:r w:rsidRPr="008D0C16" w:rsidR="008768CA">
              <w:rPr>
                <w:b/>
              </w:rPr>
              <w:t>va.gov/homeless</w:t>
            </w:r>
            <w:r>
              <w:t xml:space="preserve"> </w:t>
            </w:r>
          </w:p>
          <w:p w:rsidR="006832D9" w:rsidP="00843796" w:rsidRDefault="008D0C16">
            <w:r>
              <w:t>(General Public, Veterans, Current Homeless Service Providers, Potential Future Homeless Service Providers</w:t>
            </w:r>
            <w:r w:rsidR="008768CA">
              <w:t>)</w:t>
            </w:r>
          </w:p>
        </w:tc>
        <w:tc>
          <w:tcPr>
            <w:tcW w:w="1890" w:type="dxa"/>
          </w:tcPr>
          <w:p w:rsidRPr="00603E1D" w:rsidR="006832D9" w:rsidP="00843796" w:rsidRDefault="008D0C16">
            <w:pPr>
              <w:rPr>
                <w:highlight w:val="yellow"/>
              </w:rPr>
            </w:pPr>
            <w:r w:rsidRPr="000F10C5">
              <w:t>~ 18,000</w:t>
            </w:r>
          </w:p>
        </w:tc>
        <w:tc>
          <w:tcPr>
            <w:tcW w:w="2070" w:type="dxa"/>
          </w:tcPr>
          <w:p w:rsidR="006832D9" w:rsidP="00843796" w:rsidRDefault="008768CA">
            <w:r>
              <w:t>10 min</w:t>
            </w:r>
            <w:r w:rsidR="005A6EDF">
              <w:t>s</w:t>
            </w:r>
            <w:r>
              <w:t>/respondent</w:t>
            </w:r>
          </w:p>
        </w:tc>
        <w:tc>
          <w:tcPr>
            <w:tcW w:w="1440" w:type="dxa"/>
          </w:tcPr>
          <w:p w:rsidRPr="000F10C5" w:rsidR="006832D9" w:rsidP="00843796" w:rsidRDefault="008D0C16">
            <w:r w:rsidRPr="000F10C5">
              <w:t>~ 3,000</w:t>
            </w:r>
          </w:p>
        </w:tc>
      </w:tr>
      <w:tr w:rsidR="008768CA" w:rsidTr="00507065">
        <w:trPr>
          <w:trHeight w:val="274"/>
        </w:trPr>
        <w:tc>
          <w:tcPr>
            <w:tcW w:w="4158" w:type="dxa"/>
          </w:tcPr>
          <w:p w:rsidR="008768CA" w:rsidP="00843796" w:rsidRDefault="008768CA"/>
        </w:tc>
        <w:tc>
          <w:tcPr>
            <w:tcW w:w="1890" w:type="dxa"/>
          </w:tcPr>
          <w:p w:rsidR="008768CA" w:rsidP="00843796" w:rsidRDefault="008768CA"/>
        </w:tc>
        <w:tc>
          <w:tcPr>
            <w:tcW w:w="2070" w:type="dxa"/>
          </w:tcPr>
          <w:p w:rsidR="008768CA" w:rsidP="00843796" w:rsidRDefault="008768CA"/>
        </w:tc>
        <w:tc>
          <w:tcPr>
            <w:tcW w:w="1440" w:type="dxa"/>
          </w:tcPr>
          <w:p w:rsidR="008768CA" w:rsidP="00843796" w:rsidRDefault="008768CA"/>
        </w:tc>
      </w:tr>
      <w:tr w:rsidR="00EF2095" w:rsidTr="00507065">
        <w:trPr>
          <w:trHeight w:val="289"/>
        </w:trPr>
        <w:tc>
          <w:tcPr>
            <w:tcW w:w="4158" w:type="dxa"/>
          </w:tcPr>
          <w:p w:rsidRPr="00D2133A" w:rsidR="006832D9" w:rsidP="00843796" w:rsidRDefault="006832D9">
            <w:pPr>
              <w:rPr>
                <w:b/>
              </w:rPr>
            </w:pPr>
            <w:r w:rsidRPr="00D2133A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D2133A" w:rsidR="006832D9" w:rsidP="00843796" w:rsidRDefault="00853D21">
            <w:pPr>
              <w:rPr>
                <w:b/>
              </w:rPr>
            </w:pPr>
            <w:r>
              <w:rPr>
                <w:b/>
              </w:rPr>
              <w:t xml:space="preserve">~18,000 </w:t>
            </w:r>
            <w:r>
              <w:rPr>
                <w:b/>
              </w:rPr>
              <w:br/>
              <w:t>(2% of 900K website visitors)</w:t>
            </w:r>
          </w:p>
        </w:tc>
        <w:tc>
          <w:tcPr>
            <w:tcW w:w="2070" w:type="dxa"/>
          </w:tcPr>
          <w:p w:rsidRPr="00D2133A" w:rsidR="006832D9" w:rsidP="00843796" w:rsidRDefault="005A6EDF">
            <w:pPr>
              <w:rPr>
                <w:b/>
              </w:rPr>
            </w:pPr>
            <w:r w:rsidRPr="00D2133A">
              <w:rPr>
                <w:b/>
              </w:rPr>
              <w:t>10 mins/respondent</w:t>
            </w:r>
          </w:p>
        </w:tc>
        <w:tc>
          <w:tcPr>
            <w:tcW w:w="1440" w:type="dxa"/>
          </w:tcPr>
          <w:p w:rsidR="00507065" w:rsidP="00843796" w:rsidRDefault="00853D21">
            <w:pPr>
              <w:rPr>
                <w:b/>
              </w:rPr>
            </w:pPr>
            <w:r>
              <w:rPr>
                <w:b/>
              </w:rPr>
              <w:t>~</w:t>
            </w:r>
            <w:r w:rsidR="008D0C1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6D6066">
              <w:rPr>
                <w:b/>
              </w:rPr>
              <w:t>,0</w:t>
            </w:r>
            <w:r w:rsidR="00507065">
              <w:rPr>
                <w:b/>
              </w:rPr>
              <w:t>00</w:t>
            </w:r>
          </w:p>
          <w:p w:rsidRPr="00D2133A" w:rsidR="00853D21" w:rsidP="00843796" w:rsidRDefault="00507065">
            <w:pPr>
              <w:rPr>
                <w:b/>
              </w:rPr>
            </w:pPr>
            <w:r>
              <w:rPr>
                <w:b/>
              </w:rPr>
              <w:t xml:space="preserve">    hours</w:t>
            </w:r>
          </w:p>
        </w:tc>
      </w:tr>
    </w:tbl>
    <w:p w:rsidR="00F3170F" w:rsidP="00F3170F" w:rsidRDefault="00F3170F"/>
    <w:p w:rsidR="0051513D" w:rsidRDefault="0051513D">
      <w:pPr>
        <w:rPr>
          <w:b/>
        </w:rPr>
      </w:pPr>
    </w:p>
    <w:p w:rsidR="00E57EF6" w:rsidRDefault="00E57EF6">
      <w:pPr>
        <w:rPr>
          <w:b/>
        </w:rPr>
      </w:pPr>
    </w:p>
    <w:p w:rsidR="00E57EF6" w:rsidRDefault="00E57EF6">
      <w:pPr>
        <w:rPr>
          <w:b/>
        </w:rPr>
      </w:pPr>
    </w:p>
    <w:p w:rsidR="00E57EF6" w:rsidRDefault="00E57EF6">
      <w:pPr>
        <w:rPr>
          <w:b/>
        </w:rPr>
      </w:pPr>
    </w:p>
    <w:p w:rsidR="00E57EF6" w:rsidRDefault="00E57EF6">
      <w:pPr>
        <w:rPr>
          <w:b/>
        </w:rPr>
      </w:pPr>
    </w:p>
    <w:p w:rsidR="0051513D" w:rsidRDefault="0051513D">
      <w:pPr>
        <w:rPr>
          <w:b/>
        </w:rPr>
      </w:pPr>
    </w:p>
    <w:p w:rsidR="0051513D" w:rsidRDefault="0051513D">
      <w:pPr>
        <w:rPr>
          <w:b/>
        </w:rPr>
      </w:pPr>
    </w:p>
    <w:p w:rsidR="00507065" w:rsidRDefault="00507065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8D72AE">
        <w:t xml:space="preserve"> approximately $</w:t>
      </w:r>
      <w:r w:rsidR="00092A28">
        <w:t>39,700</w:t>
      </w:r>
      <w:r w:rsidR="008D72AE">
        <w:t>.</w:t>
      </w:r>
    </w:p>
    <w:p w:rsidR="00ED6492" w:rsidRDefault="00ED6492">
      <w:pPr>
        <w:rPr>
          <w:b/>
          <w:bCs/>
          <w:u w:val="single"/>
        </w:rPr>
      </w:pPr>
    </w:p>
    <w:tbl>
      <w:tblPr>
        <w:tblW w:w="9120" w:type="dxa"/>
        <w:tblInd w:w="123" w:type="dxa"/>
        <w:tblLook w:val="04A0" w:firstRow="1" w:lastRow="0" w:firstColumn="1" w:lastColumn="0" w:noHBand="0" w:noVBand="1"/>
      </w:tblPr>
      <w:tblGrid>
        <w:gridCol w:w="4980"/>
        <w:gridCol w:w="980"/>
        <w:gridCol w:w="1240"/>
        <w:gridCol w:w="1920"/>
      </w:tblGrid>
      <w:tr w:rsidR="00822989" w:rsidTr="00822989">
        <w:trPr>
          <w:trHeight w:val="315"/>
        </w:trPr>
        <w:tc>
          <w:tcPr>
            <w:tcW w:w="49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Setup</w:t>
            </w:r>
          </w:p>
        </w:tc>
        <w:tc>
          <w:tcPr>
            <w:tcW w:w="9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9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220" w:firstLineChars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Contractors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$125.00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$250.00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Web Developer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$450.00 </w:t>
            </w:r>
          </w:p>
        </w:tc>
      </w:tr>
      <w:tr w:rsidR="00822989" w:rsidTr="00822989">
        <w:trPr>
          <w:trHeight w:val="315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Subtotal - Setup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FFFFFF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 xml:space="preserve">$700.00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Monthly Collection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220" w:firstLineChars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 Staff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 Analyst (GS-9)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$45.00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$720.00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 Manager (GS-15)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$115.00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$460.00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220" w:firstLineChars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Contractors</w:t>
            </w:r>
            <w:r w:rsidR="004C2F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C2F8F" w:rsidR="004C2F8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(if technical problems arise)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 Developer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$600.00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$125.00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$250.00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Subtotal - Collection (One Month)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$360.00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$2,030.00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15"/>
        </w:trPr>
        <w:tc>
          <w:tcPr>
            <w:tcW w:w="498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Subtotal Collection - (12 Months)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FFFFFF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 xml:space="preserve">$24,360.00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Analysis of Survey Results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 Analyst (GS-14)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$95.00 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$760.00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 Manager (GS-15)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$115.00 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$460.00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Subtotal - Analysis of Survey Results - Monthly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$210.00 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$1,220.00 </w:t>
            </w:r>
          </w:p>
        </w:tc>
      </w:tr>
      <w:tr w:rsidR="00822989" w:rsidTr="00822989">
        <w:trPr>
          <w:trHeight w:val="300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15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i/>
                <w:iCs/>
                <w:color w:val="44546A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546A"/>
              </w:rPr>
              <w:t>Subtotal - Analysis of Survey Results - Annually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color w:val="44546A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>144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color w:val="44546A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color w:val="44546A"/>
              </w:rPr>
            </w:pPr>
            <w:r>
              <w:rPr>
                <w:rFonts w:ascii="Calibri" w:hAnsi="Calibri" w:cs="Calibri"/>
                <w:b/>
                <w:bCs/>
                <w:color w:val="44546A"/>
              </w:rPr>
              <w:t xml:space="preserve">$14,640.00 </w:t>
            </w:r>
          </w:p>
        </w:tc>
      </w:tr>
      <w:tr w:rsidR="00822989" w:rsidTr="00822989">
        <w:trPr>
          <w:trHeight w:val="315"/>
        </w:trPr>
        <w:tc>
          <w:tcPr>
            <w:tcW w:w="498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2989" w:rsidTr="00822989">
        <w:trPr>
          <w:trHeight w:val="345"/>
        </w:trPr>
        <w:tc>
          <w:tcPr>
            <w:tcW w:w="4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FFF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Grand Total (Annual Cost)</w:t>
            </w:r>
          </w:p>
        </w:tc>
        <w:tc>
          <w:tcPr>
            <w:tcW w:w="9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000000"/>
            <w:noWrap/>
            <w:vAlign w:val="bottom"/>
            <w:hideMark/>
          </w:tcPr>
          <w:p w:rsidR="00822989" w:rsidRDefault="0082298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00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$0.00 </w:t>
            </w:r>
          </w:p>
        </w:tc>
        <w:tc>
          <w:tcPr>
            <w:tcW w:w="192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00"/>
            <w:noWrap/>
            <w:vAlign w:val="bottom"/>
            <w:hideMark/>
          </w:tcPr>
          <w:p w:rsidR="00822989" w:rsidRDefault="0082298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$39,700.00 </w:t>
            </w:r>
          </w:p>
        </w:tc>
      </w:tr>
    </w:tbl>
    <w:p w:rsidR="008D72AE" w:rsidRDefault="008D72AE">
      <w:pPr>
        <w:rPr>
          <w:b/>
          <w:bCs/>
          <w:u w:val="single"/>
        </w:rPr>
      </w:pPr>
    </w:p>
    <w:p w:rsidR="008D72AE" w:rsidRDefault="008D72AE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92A28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768CA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Pr="00F31470" w:rsidR="00636621" w:rsidP="001B0AAA" w:rsidRDefault="00636621">
      <w:pPr>
        <w:rPr>
          <w:b/>
        </w:rPr>
      </w:pPr>
      <w:r w:rsidRPr="00F31470">
        <w:rPr>
          <w:b/>
        </w:rPr>
        <w:t>If the answer is yes, please provide a description of both below</w:t>
      </w:r>
      <w:r w:rsidRPr="00F31470" w:rsidR="00A403BB">
        <w:rPr>
          <w:b/>
        </w:rPr>
        <w:t xml:space="preserve"> (or attach the sampling plan)</w:t>
      </w:r>
      <w:r w:rsidRPr="00F31470">
        <w:rPr>
          <w:b/>
        </w:rPr>
        <w:t>?   If the answer is no, please provide a description of how you plan to identify your potential group of respondents</w:t>
      </w:r>
      <w:r w:rsidRPr="00F31470" w:rsidR="001B0AAA">
        <w:rPr>
          <w:b/>
        </w:rPr>
        <w:t xml:space="preserve"> and how you will select them</w:t>
      </w:r>
      <w:r w:rsidRPr="00F31470">
        <w:rPr>
          <w:b/>
        </w:rPr>
        <w:t>?</w:t>
      </w:r>
    </w:p>
    <w:p w:rsidRPr="00F31470" w:rsidR="00A403BB" w:rsidP="00A403BB" w:rsidRDefault="00A403BB">
      <w:pPr>
        <w:pStyle w:val="ListParagraph"/>
        <w:rPr>
          <w:b/>
        </w:rPr>
      </w:pPr>
    </w:p>
    <w:p w:rsidR="00507065" w:rsidP="00A403BB" w:rsidRDefault="00507065">
      <w:pPr>
        <w:pStyle w:val="ListParagraph"/>
      </w:pPr>
    </w:p>
    <w:p w:rsidR="00507065" w:rsidP="00A403BB" w:rsidRDefault="00507065">
      <w:pPr>
        <w:pStyle w:val="ListParagraph"/>
      </w:pPr>
    </w:p>
    <w:p w:rsidR="00507065" w:rsidP="00A403BB" w:rsidRDefault="00507065">
      <w:pPr>
        <w:pStyle w:val="ListParagraph"/>
      </w:pPr>
    </w:p>
    <w:p w:rsidR="00284FA8" w:rsidP="00A403BB" w:rsidRDefault="008768CA">
      <w:r>
        <w:t xml:space="preserve">Individuals who visit va.gov/homeless will be encouraged to complete our </w:t>
      </w:r>
      <w:r w:rsidR="00284FA8">
        <w:t xml:space="preserve">online </w:t>
      </w:r>
      <w:r>
        <w:t xml:space="preserve">survey form.  An average of 900,000 unique users visit va.gov/homeless each </w:t>
      </w:r>
      <w:r w:rsidR="00284FA8">
        <w:t>y</w:t>
      </w:r>
      <w:r>
        <w:t xml:space="preserve">ear. </w:t>
      </w:r>
    </w:p>
    <w:p w:rsidR="00284FA8" w:rsidP="00A403BB" w:rsidRDefault="00284FA8"/>
    <w:p w:rsidR="00A403BB" w:rsidP="00A403BB" w:rsidRDefault="008768CA">
      <w:r>
        <w:t xml:space="preserve">The response rate on external surveys </w:t>
      </w:r>
      <w:r w:rsidR="00092A28">
        <w:t xml:space="preserve">administered by organizations of all sized </w:t>
      </w:r>
      <w:r>
        <w:t>is generally</w:t>
      </w:r>
      <w:r w:rsidR="00092A28">
        <w:t xml:space="preserve"> between</w:t>
      </w:r>
      <w:r>
        <w:t xml:space="preserve"> 10</w:t>
      </w:r>
      <w:r w:rsidR="00092A28">
        <w:t xml:space="preserve"> and </w:t>
      </w:r>
      <w:r>
        <w:t xml:space="preserve">15%. </w:t>
      </w:r>
      <w:r w:rsidR="00284FA8">
        <w:t xml:space="preserve">Since many visitors to our website are seeking information about VA Programs for </w:t>
      </w:r>
      <w:r w:rsidR="00054AEC">
        <w:t>H</w:t>
      </w:r>
      <w:r w:rsidR="00284FA8">
        <w:t xml:space="preserve">omeless Veterans for the first time and our survey assumes that those who respond will be familiar with VHA Homeless Programs, we </w:t>
      </w:r>
      <w:r w:rsidR="00822989">
        <w:t>anticipate the</w:t>
      </w:r>
      <w:r w:rsidR="00284FA8">
        <w:t xml:space="preserve"> response rate to be even lower, likely </w:t>
      </w:r>
      <w:r w:rsidR="00F774C4">
        <w:t>2</w:t>
      </w:r>
      <w:r w:rsidR="00284FA8">
        <w:t xml:space="preserve">% or less. </w:t>
      </w:r>
    </w:p>
    <w:p w:rsidR="00092A28" w:rsidP="00A403BB" w:rsidRDefault="00092A28"/>
    <w:p w:rsidR="00092A28" w:rsidP="00A403BB" w:rsidRDefault="00092A28">
      <w:r>
        <w:t>We project that we will receive fewer than 3</w:t>
      </w:r>
      <w:r w:rsidR="00F774C4">
        <w:t>0</w:t>
      </w:r>
      <w:r>
        <w:t xml:space="preserve">,000 responses.  The results will help to inform further investigation about ways to improve outcomes for homeless and at-risk Veterans. </w:t>
      </w:r>
    </w:p>
    <w:p w:rsidR="00A403BB" w:rsidP="00A403BB" w:rsidRDefault="00A403BB"/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092A2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4AEC" w:rsidP="001B0AAA" w:rsidRDefault="00054AEC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841AD">
        <w:t>X</w:t>
      </w:r>
      <w:r>
        <w:t>] No</w:t>
      </w:r>
    </w:p>
    <w:p w:rsidR="00F24CFC" w:rsidP="00F24CFC" w:rsidRDefault="00F24CFC">
      <w:pPr>
        <w:pStyle w:val="ListParagraph"/>
        <w:ind w:left="360"/>
      </w:pPr>
    </w:p>
    <w:p w:rsidR="00054AEC" w:rsidP="00F24CFC" w:rsidRDefault="00054AEC">
      <w:pPr>
        <w:pStyle w:val="ListParagraph"/>
        <w:ind w:left="360"/>
      </w:pPr>
    </w:p>
    <w:p w:rsidR="00054AEC" w:rsidP="00F24CFC" w:rsidRDefault="00054AEC">
      <w:pPr>
        <w:pStyle w:val="ListParagraph"/>
        <w:ind w:left="360"/>
      </w:pP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4AEC" w:rsidP="0024521E" w:rsidRDefault="00054AEC">
      <w:pPr>
        <w:rPr>
          <w:b/>
        </w:rPr>
      </w:pPr>
    </w:p>
    <w:p w:rsidR="00054AEC" w:rsidP="0024521E" w:rsidRDefault="00054AEC">
      <w:pPr>
        <w:rPr>
          <w:b/>
        </w:rPr>
      </w:pPr>
    </w:p>
    <w:p w:rsidRPr="00F24CFC" w:rsidR="00054AEC" w:rsidP="0024521E" w:rsidRDefault="00054AEC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38429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AAD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="00F31470" w:rsidP="00F24CFC" w:rsidRDefault="00F31470">
      <w:pPr>
        <w:pStyle w:val="BodyTextIndent"/>
        <w:tabs>
          <w:tab w:val="left" w:pos="360"/>
        </w:tabs>
        <w:ind w:left="0"/>
        <w:rPr>
          <w:bCs/>
        </w:rPr>
      </w:pPr>
    </w:p>
    <w:p w:rsidR="00F31470" w:rsidP="00F24CFC" w:rsidRDefault="00F31470">
      <w:pPr>
        <w:pStyle w:val="BodyTextIndent"/>
        <w:tabs>
          <w:tab w:val="left" w:pos="360"/>
        </w:tabs>
        <w:ind w:left="0"/>
        <w:rPr>
          <w:bCs/>
        </w:rPr>
      </w:pPr>
    </w:p>
    <w:p w:rsidR="00F31470" w:rsidP="00F24CFC" w:rsidRDefault="00F31470">
      <w:pPr>
        <w:pStyle w:val="BodyTextIndent"/>
        <w:tabs>
          <w:tab w:val="left" w:pos="360"/>
        </w:tabs>
        <w:ind w:left="0"/>
        <w:rPr>
          <w:bCs/>
        </w:rPr>
      </w:pPr>
    </w:p>
    <w:p w:rsidR="00F31470" w:rsidP="00F24CFC" w:rsidRDefault="00F31470">
      <w:pPr>
        <w:pStyle w:val="BodyTextIndent"/>
        <w:tabs>
          <w:tab w:val="left" w:pos="360"/>
        </w:tabs>
        <w:ind w:left="0"/>
        <w:rPr>
          <w:bCs/>
        </w:rPr>
      </w:pPr>
    </w:p>
    <w:p w:rsidR="00F31470" w:rsidP="00F24CFC" w:rsidRDefault="00F31470">
      <w:pPr>
        <w:pStyle w:val="BodyTextIndent"/>
        <w:tabs>
          <w:tab w:val="left" w:pos="360"/>
        </w:tabs>
        <w:ind w:left="0"/>
        <w:rPr>
          <w:bCs/>
        </w:rPr>
      </w:pPr>
    </w:p>
    <w:p w:rsidRPr="00CF6542" w:rsidR="00F31470" w:rsidP="00F24CFC" w:rsidRDefault="00F31470">
      <w:pPr>
        <w:pStyle w:val="BodyTextIndent"/>
        <w:tabs>
          <w:tab w:val="left" w:pos="360"/>
        </w:tabs>
        <w:ind w:left="0"/>
        <w:rPr>
          <w:bCs/>
        </w:rPr>
      </w:pPr>
    </w:p>
    <w:p w:rsidRPr="00F31470" w:rsidR="00283A41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283A41" w:rsidP="00F24CFC" w:rsidRDefault="00283A41">
      <w:pPr>
        <w:rPr>
          <w:sz w:val="16"/>
          <w:szCs w:val="16"/>
        </w:rPr>
      </w:pPr>
    </w:p>
    <w:p w:rsidR="00283A41" w:rsidP="00F24CFC" w:rsidRDefault="00283A41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1638DD" w:rsidR="005E714A" w:rsidP="001638DD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1638DD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270" w:rsidRDefault="00B45270">
      <w:r>
        <w:separator/>
      </w:r>
    </w:p>
  </w:endnote>
  <w:endnote w:type="continuationSeparator" w:id="0">
    <w:p w:rsidR="00B45270" w:rsidRDefault="00B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38D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270" w:rsidRDefault="00B45270">
      <w:r>
        <w:separator/>
      </w:r>
    </w:p>
  </w:footnote>
  <w:footnote w:type="continuationSeparator" w:id="0">
    <w:p w:rsidR="00B45270" w:rsidRDefault="00B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2C7F05"/>
    <w:multiLevelType w:val="hybridMultilevel"/>
    <w:tmpl w:val="849C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wMzSxtLQ0NTY3M7ZU0lEKTi0uzszPAykwqgUAq2aBIywAAAA="/>
  </w:docVars>
  <w:rsids>
    <w:rsidRoot w:val="00D6383F"/>
    <w:rsid w:val="00006D46"/>
    <w:rsid w:val="0001027E"/>
    <w:rsid w:val="00021390"/>
    <w:rsid w:val="00023A57"/>
    <w:rsid w:val="00047A64"/>
    <w:rsid w:val="00054AEC"/>
    <w:rsid w:val="0005628B"/>
    <w:rsid w:val="00067329"/>
    <w:rsid w:val="00076C7A"/>
    <w:rsid w:val="00092A28"/>
    <w:rsid w:val="000B2838"/>
    <w:rsid w:val="000C35EF"/>
    <w:rsid w:val="000D44CA"/>
    <w:rsid w:val="000E200B"/>
    <w:rsid w:val="000F10C5"/>
    <w:rsid w:val="000F68BE"/>
    <w:rsid w:val="00147145"/>
    <w:rsid w:val="001638DD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3A41"/>
    <w:rsid w:val="00284FA8"/>
    <w:rsid w:val="002B052D"/>
    <w:rsid w:val="002B34CD"/>
    <w:rsid w:val="002B3C95"/>
    <w:rsid w:val="002D0B92"/>
    <w:rsid w:val="002F6C66"/>
    <w:rsid w:val="00313DE4"/>
    <w:rsid w:val="00384298"/>
    <w:rsid w:val="003D4E30"/>
    <w:rsid w:val="003D5BBE"/>
    <w:rsid w:val="003E3C61"/>
    <w:rsid w:val="003F1C5B"/>
    <w:rsid w:val="00434E33"/>
    <w:rsid w:val="00441434"/>
    <w:rsid w:val="0045264C"/>
    <w:rsid w:val="004876EC"/>
    <w:rsid w:val="004B517E"/>
    <w:rsid w:val="004B7357"/>
    <w:rsid w:val="004C2F8F"/>
    <w:rsid w:val="004D3620"/>
    <w:rsid w:val="004D6E14"/>
    <w:rsid w:val="005009B0"/>
    <w:rsid w:val="00507065"/>
    <w:rsid w:val="0051513D"/>
    <w:rsid w:val="00530AEA"/>
    <w:rsid w:val="00536A79"/>
    <w:rsid w:val="00555B01"/>
    <w:rsid w:val="005841AD"/>
    <w:rsid w:val="005A0346"/>
    <w:rsid w:val="005A1006"/>
    <w:rsid w:val="005A6EDF"/>
    <w:rsid w:val="005C41B2"/>
    <w:rsid w:val="005E4800"/>
    <w:rsid w:val="005E714A"/>
    <w:rsid w:val="005F693D"/>
    <w:rsid w:val="00603E1D"/>
    <w:rsid w:val="006140A0"/>
    <w:rsid w:val="00636621"/>
    <w:rsid w:val="00640DCD"/>
    <w:rsid w:val="00642B49"/>
    <w:rsid w:val="0064501B"/>
    <w:rsid w:val="006832D9"/>
    <w:rsid w:val="0069403B"/>
    <w:rsid w:val="006D6066"/>
    <w:rsid w:val="006F3DDE"/>
    <w:rsid w:val="00704678"/>
    <w:rsid w:val="00717C7F"/>
    <w:rsid w:val="007425E7"/>
    <w:rsid w:val="00776DCA"/>
    <w:rsid w:val="007E0A0A"/>
    <w:rsid w:val="007F7080"/>
    <w:rsid w:val="00802607"/>
    <w:rsid w:val="008101A5"/>
    <w:rsid w:val="00822664"/>
    <w:rsid w:val="00822989"/>
    <w:rsid w:val="0083631F"/>
    <w:rsid w:val="00843796"/>
    <w:rsid w:val="008444D6"/>
    <w:rsid w:val="00853D21"/>
    <w:rsid w:val="008768CA"/>
    <w:rsid w:val="008866F8"/>
    <w:rsid w:val="00895229"/>
    <w:rsid w:val="008B2EB3"/>
    <w:rsid w:val="008D0C16"/>
    <w:rsid w:val="008D72AE"/>
    <w:rsid w:val="008E63A5"/>
    <w:rsid w:val="008F0203"/>
    <w:rsid w:val="008F50D4"/>
    <w:rsid w:val="009239AA"/>
    <w:rsid w:val="00935ADA"/>
    <w:rsid w:val="00946B6C"/>
    <w:rsid w:val="0095040F"/>
    <w:rsid w:val="00955A71"/>
    <w:rsid w:val="0096108F"/>
    <w:rsid w:val="009C13B9"/>
    <w:rsid w:val="009D01A2"/>
    <w:rsid w:val="009F5923"/>
    <w:rsid w:val="00A357AA"/>
    <w:rsid w:val="00A403BB"/>
    <w:rsid w:val="00A416ED"/>
    <w:rsid w:val="00A674DF"/>
    <w:rsid w:val="00A83AA6"/>
    <w:rsid w:val="00A934D6"/>
    <w:rsid w:val="00AE1809"/>
    <w:rsid w:val="00AE1B20"/>
    <w:rsid w:val="00B45270"/>
    <w:rsid w:val="00B47C22"/>
    <w:rsid w:val="00B53469"/>
    <w:rsid w:val="00B80D76"/>
    <w:rsid w:val="00BA2105"/>
    <w:rsid w:val="00BA7E06"/>
    <w:rsid w:val="00BB43B5"/>
    <w:rsid w:val="00BB6219"/>
    <w:rsid w:val="00BD290F"/>
    <w:rsid w:val="00BF2F19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709B"/>
    <w:rsid w:val="00CF6542"/>
    <w:rsid w:val="00D2133A"/>
    <w:rsid w:val="00D24698"/>
    <w:rsid w:val="00D57B00"/>
    <w:rsid w:val="00D6383F"/>
    <w:rsid w:val="00DA77B6"/>
    <w:rsid w:val="00DB59D0"/>
    <w:rsid w:val="00DC33D3"/>
    <w:rsid w:val="00DF7A83"/>
    <w:rsid w:val="00E06A5C"/>
    <w:rsid w:val="00E26329"/>
    <w:rsid w:val="00E40B50"/>
    <w:rsid w:val="00E50293"/>
    <w:rsid w:val="00E57EF6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470"/>
    <w:rsid w:val="00F3170F"/>
    <w:rsid w:val="00F512C3"/>
    <w:rsid w:val="00F774C4"/>
    <w:rsid w:val="00F976B0"/>
    <w:rsid w:val="00FA6DE7"/>
    <w:rsid w:val="00FC0A8E"/>
    <w:rsid w:val="00FC247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139A32-CC10-4E85-9C4E-3DB6B16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O'Donnell, Frances M.  (Cathexis)</cp:lastModifiedBy>
  <cp:revision>2</cp:revision>
  <cp:lastPrinted>2010-10-04T15:59:00Z</cp:lastPrinted>
  <dcterms:created xsi:type="dcterms:W3CDTF">2020-02-28T20:44:00Z</dcterms:created>
  <dcterms:modified xsi:type="dcterms:W3CDTF">2020-02-28T20:44:00Z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