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8B2E1F" w:rsidRDefault="00E70B07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28A5435" wp14:editId="4FCD407B">
                <wp:simplePos x="0" y="0"/>
                <wp:positionH relativeFrom="column">
                  <wp:posOffset>47625</wp:posOffset>
                </wp:positionH>
                <wp:positionV relativeFrom="paragraph">
                  <wp:posOffset>73025</wp:posOffset>
                </wp:positionV>
                <wp:extent cx="5943600" cy="0"/>
                <wp:effectExtent l="9525" t="15875" r="952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2AA2F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75pt" to="471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" o:allowincell="f" strokeweight="1.5pt"/>
            </w:pict>
          </mc:Fallback>
        </mc:AlternateContent>
      </w:r>
    </w:p>
    <w:p w:rsidR="00E50293" w:rsidRPr="009239AA" w:rsidRDefault="005E714A" w:rsidP="00434E33">
      <w:pPr>
        <w:rPr>
          <w:b/>
        </w:rPr>
      </w:pPr>
      <w:r w:rsidRPr="00434E33">
        <w:rPr>
          <w:b/>
        </w:rPr>
        <w:t>TITLE OF INFORMATION COLLECTION:</w:t>
      </w:r>
      <w:r>
        <w:t xml:space="preserve">  </w:t>
      </w:r>
    </w:p>
    <w:p w:rsidR="005E714A" w:rsidRDefault="005E714A"/>
    <w:p w:rsidR="008B2E1F" w:rsidRDefault="00923886">
      <w:r>
        <w:t>Veteran C&amp;P [Compensation and Pension] Survey</w:t>
      </w:r>
    </w:p>
    <w:p w:rsidR="008B2E1F" w:rsidRDefault="008B2E1F">
      <w:pPr>
        <w:rPr>
          <w:b/>
        </w:rPr>
      </w:pPr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C8488C" w:rsidRDefault="00C8488C"/>
    <w:p w:rsidR="00E26329" w:rsidRDefault="00CC09A0" w:rsidP="00434E33">
      <w:pPr>
        <w:pStyle w:val="Header"/>
        <w:tabs>
          <w:tab w:val="clear" w:pos="4320"/>
          <w:tab w:val="clear" w:pos="8640"/>
        </w:tabs>
        <w:rPr>
          <w:b/>
        </w:rPr>
      </w:pPr>
      <w:r w:rsidRPr="00FF2596">
        <w:rPr>
          <w:rFonts w:ascii="Calibri" w:hAnsi="Calibri"/>
          <w:sz w:val="21"/>
          <w:szCs w:val="21"/>
        </w:rPr>
        <w:t xml:space="preserve">The </w:t>
      </w:r>
      <w:r>
        <w:rPr>
          <w:rFonts w:ascii="Calibri" w:hAnsi="Calibri"/>
          <w:sz w:val="21"/>
          <w:szCs w:val="21"/>
        </w:rPr>
        <w:t xml:space="preserve">Veteran C&amp;P Survey is a weekly transactional survey designed to measure the customer experience of VA beneficiaries undergoing a VA Claim exam, also known as a “C&amp;P exam.” This brief survey is conducted shortly after a Veteran interaction and disseminated </w:t>
      </w:r>
      <w:r w:rsidR="00E276D7">
        <w:rPr>
          <w:rFonts w:ascii="Calibri" w:hAnsi="Calibri"/>
          <w:sz w:val="21"/>
          <w:szCs w:val="21"/>
        </w:rPr>
        <w:t xml:space="preserve">twice </w:t>
      </w:r>
      <w:r w:rsidR="006B71FE">
        <w:rPr>
          <w:rFonts w:ascii="Calibri" w:hAnsi="Calibri"/>
          <w:sz w:val="21"/>
          <w:szCs w:val="21"/>
        </w:rPr>
        <w:t>a week</w:t>
      </w:r>
      <w:r w:rsidR="00E276D7">
        <w:rPr>
          <w:rFonts w:ascii="Calibri" w:hAnsi="Calibri"/>
          <w:sz w:val="21"/>
          <w:szCs w:val="21"/>
        </w:rPr>
        <w:t xml:space="preserve"> </w:t>
      </w:r>
      <w:r w:rsidR="00AE55E6">
        <w:rPr>
          <w:rFonts w:ascii="Calibri" w:hAnsi="Calibri"/>
          <w:sz w:val="21"/>
          <w:szCs w:val="21"/>
        </w:rPr>
        <w:t xml:space="preserve">so that </w:t>
      </w:r>
      <w:r>
        <w:rPr>
          <w:rFonts w:ascii="Calibri" w:hAnsi="Calibri"/>
          <w:sz w:val="21"/>
          <w:szCs w:val="21"/>
        </w:rPr>
        <w:t>Veterans are more likely to remember their experience. The results will assist stakeholders and management in identifying areas for improvement and gaining a better understanding of customer satisfaction with the claims process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C8488C"/>
    <w:p w:rsidR="00F15956" w:rsidRDefault="00003FF1">
      <w:r>
        <w:rPr>
          <w:rFonts w:ascii="Calibri" w:hAnsi="Calibri"/>
          <w:sz w:val="21"/>
          <w:szCs w:val="21"/>
        </w:rPr>
        <w:t>The population of eligible Veterans is stratified into two groups: those who recently scheduled a C&amp;P exam and those who recently completed a C&amp;P exam. Samples are selected independently from these two groups and balanced with respect to VA Medical Facility, State, Gender, and Age Group.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2312C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="00CA71E5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CA71E5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]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Small Discussion Group</w:t>
      </w:r>
    </w:p>
    <w:p w:rsidR="00F06866" w:rsidRPr="00F06866" w:rsidRDefault="00935ADA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A71E5">
        <w:rPr>
          <w:bCs/>
          <w:sz w:val="24"/>
        </w:rPr>
        <w:t>]</w:t>
      </w:r>
      <w:r w:rsidR="00CA71E5">
        <w:rPr>
          <w:bCs/>
          <w:sz w:val="24"/>
        </w:rPr>
        <w:tab/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Other:</w:t>
      </w:r>
      <w:r w:rsidR="00F06866" w:rsidRPr="00F06866">
        <w:rPr>
          <w:bCs/>
          <w:sz w:val="24"/>
          <w:u w:val="single"/>
        </w:rPr>
        <w:t xml:space="preserve"> ______________________</w:t>
      </w:r>
    </w:p>
    <w:p w:rsidR="00434E33" w:rsidRDefault="00434E33" w:rsidP="00CA71E5">
      <w:pPr>
        <w:pStyle w:val="Header"/>
        <w:tabs>
          <w:tab w:val="clear" w:pos="4320"/>
          <w:tab w:val="clear" w:pos="8640"/>
          <w:tab w:val="left" w:pos="450"/>
          <w:tab w:val="left" w:pos="540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</w:t>
      </w:r>
      <w:r w:rsidR="00AF4F52">
        <w:t xml:space="preserve">Evan Albert, Implementation Lead, Veterans Experience Office </w:t>
      </w:r>
    </w:p>
    <w:p w:rsidR="00AF4F52" w:rsidRDefault="00AF4F52" w:rsidP="009C13B9"/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096DE4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5D5DC9">
        <w:t xml:space="preserve"> </w:t>
      </w:r>
      <w:r w:rsidR="009239AA">
        <w:t>] No</w:t>
      </w:r>
      <w:r w:rsidR="00C86E91">
        <w:t xml:space="preserve">   </w:t>
      </w:r>
      <w:r w:rsidR="005D5DC9">
        <w:t>N/A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  <w:r w:rsidR="005D5DC9">
        <w:t xml:space="preserve"> N/A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D540DD"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  <w:r w:rsidR="00CA71E5">
        <w:t xml:space="preserve"> </w:t>
      </w:r>
      <w:r w:rsidR="00CA71E5" w:rsidRPr="00CA71E5">
        <w:rPr>
          <w:b/>
          <w:i/>
          <w:color w:val="808080" w:themeColor="background1" w:themeShade="80"/>
        </w:rPr>
        <w:t>(sample calculation in grey)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620"/>
        <w:gridCol w:w="2070"/>
        <w:gridCol w:w="1723"/>
      </w:tblGrid>
      <w:tr w:rsidR="00EF2095" w:rsidTr="008B2E1F">
        <w:trPr>
          <w:trHeight w:val="827"/>
        </w:trPr>
        <w:tc>
          <w:tcPr>
            <w:tcW w:w="4248" w:type="dxa"/>
            <w:vAlign w:val="center"/>
          </w:tcPr>
          <w:p w:rsidR="006832D9" w:rsidRPr="008B2E1F" w:rsidRDefault="00E40B50" w:rsidP="008B2E1F">
            <w:pPr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="006832D9" w:rsidRPr="008B2E1F" w:rsidRDefault="006832D9" w:rsidP="008B2E1F">
            <w:pPr>
              <w:jc w:val="center"/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N</w:t>
            </w:r>
            <w:r w:rsidR="009F5923" w:rsidRPr="008B2E1F">
              <w:rPr>
                <w:b/>
                <w:sz w:val="22"/>
                <w:szCs w:val="22"/>
              </w:rPr>
              <w:t>o.</w:t>
            </w:r>
            <w:r w:rsidRPr="008B2E1F">
              <w:rPr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2070" w:type="dxa"/>
            <w:vAlign w:val="center"/>
          </w:tcPr>
          <w:p w:rsidR="006832D9" w:rsidRPr="00CA71E5" w:rsidRDefault="006832D9" w:rsidP="002430D9">
            <w:pPr>
              <w:spacing w:after="60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Participation Time</w:t>
            </w:r>
          </w:p>
          <w:p w:rsidR="008B2E1F" w:rsidRPr="002430D9" w:rsidRDefault="008B2E1F" w:rsidP="002430D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0D9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2430D9" w:rsidRPr="002430D9">
              <w:rPr>
                <w:rFonts w:ascii="Arial" w:hAnsi="Arial" w:cs="Arial"/>
                <w:sz w:val="20"/>
                <w:szCs w:val="20"/>
              </w:rPr>
              <w:t>X</w:t>
            </w:r>
            <w:r w:rsidRPr="002430D9">
              <w:rPr>
                <w:rFonts w:ascii="Arial" w:hAnsi="Arial" w:cs="Arial"/>
                <w:sz w:val="20"/>
                <w:szCs w:val="20"/>
              </w:rPr>
              <w:t xml:space="preserve"> minutes =)</w:t>
            </w:r>
          </w:p>
        </w:tc>
        <w:tc>
          <w:tcPr>
            <w:tcW w:w="1723" w:type="dxa"/>
            <w:vAlign w:val="center"/>
          </w:tcPr>
          <w:p w:rsidR="006832D9" w:rsidRPr="00CA71E5" w:rsidRDefault="006832D9" w:rsidP="002430D9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Burden</w:t>
            </w:r>
          </w:p>
          <w:p w:rsidR="008B2E1F" w:rsidRPr="002430D9" w:rsidRDefault="008B2E1F" w:rsidP="002430D9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0D9">
              <w:rPr>
                <w:rFonts w:ascii="Arial" w:hAnsi="Arial" w:cs="Arial"/>
                <w:sz w:val="20"/>
                <w:szCs w:val="20"/>
              </w:rPr>
              <w:t>(</w:t>
            </w:r>
            <w:r w:rsidRPr="002430D9">
              <w:rPr>
                <w:rFonts w:ascii="Arial" w:hAnsi="Arial" w:cs="Arial"/>
                <w:sz w:val="22"/>
                <w:szCs w:val="22"/>
              </w:rPr>
              <w:t>÷</w:t>
            </w:r>
            <w:r w:rsidRPr="002430D9">
              <w:rPr>
                <w:rFonts w:ascii="Arial" w:hAnsi="Arial" w:cs="Arial"/>
                <w:sz w:val="20"/>
                <w:szCs w:val="20"/>
              </w:rPr>
              <w:t xml:space="preserve"> 60 =)</w:t>
            </w:r>
          </w:p>
        </w:tc>
      </w:tr>
      <w:tr w:rsidR="00EF2095" w:rsidTr="008B2E1F">
        <w:trPr>
          <w:trHeight w:val="274"/>
        </w:trPr>
        <w:tc>
          <w:tcPr>
            <w:tcW w:w="4248" w:type="dxa"/>
          </w:tcPr>
          <w:p w:rsidR="006832D9" w:rsidRDefault="008B2E1F" w:rsidP="00843796">
            <w:r>
              <w:t>Individuals &amp; Households</w:t>
            </w:r>
          </w:p>
        </w:tc>
        <w:tc>
          <w:tcPr>
            <w:tcW w:w="1620" w:type="dxa"/>
          </w:tcPr>
          <w:p w:rsidR="006832D9" w:rsidRPr="008B2E1F" w:rsidRDefault="006832D9" w:rsidP="008B2E1F">
            <w:pPr>
              <w:jc w:val="center"/>
              <w:rPr>
                <w:b/>
                <w:color w:val="BFBFBF" w:themeColor="background1" w:themeShade="BF"/>
              </w:rPr>
            </w:pPr>
          </w:p>
        </w:tc>
        <w:tc>
          <w:tcPr>
            <w:tcW w:w="2070" w:type="dxa"/>
          </w:tcPr>
          <w:p w:rsidR="006832D9" w:rsidRPr="008B2E1F" w:rsidRDefault="006832D9" w:rsidP="008B2E1F">
            <w:pPr>
              <w:jc w:val="center"/>
              <w:rPr>
                <w:b/>
                <w:color w:val="BFBFBF" w:themeColor="background1" w:themeShade="BF"/>
              </w:rPr>
            </w:pPr>
          </w:p>
        </w:tc>
        <w:tc>
          <w:tcPr>
            <w:tcW w:w="1723" w:type="dxa"/>
          </w:tcPr>
          <w:p w:rsidR="006832D9" w:rsidRPr="008B2E1F" w:rsidRDefault="006832D9" w:rsidP="008B2E1F">
            <w:pPr>
              <w:jc w:val="center"/>
              <w:rPr>
                <w:b/>
                <w:color w:val="BFBFBF" w:themeColor="background1" w:themeShade="BF"/>
              </w:rPr>
            </w:pPr>
          </w:p>
        </w:tc>
      </w:tr>
      <w:tr w:rsidR="00EF2095" w:rsidTr="008B2E1F">
        <w:trPr>
          <w:trHeight w:val="274"/>
        </w:trPr>
        <w:tc>
          <w:tcPr>
            <w:tcW w:w="4248" w:type="dxa"/>
          </w:tcPr>
          <w:p w:rsidR="006832D9" w:rsidRDefault="008B2E1F" w:rsidP="002430D9">
            <w:r>
              <w:t>VA Form</w:t>
            </w:r>
            <w:r w:rsidR="002430D9">
              <w:t xml:space="preserve"> </w:t>
            </w:r>
            <w:r w:rsidR="002430D9" w:rsidRPr="002430D9">
              <w:rPr>
                <w:i/>
              </w:rPr>
              <w:t>(if applicable)</w:t>
            </w:r>
            <w:r w:rsidR="00CA71E5" w:rsidRPr="002430D9">
              <w:rPr>
                <w:i/>
              </w:rPr>
              <w:t xml:space="preserve"> </w:t>
            </w:r>
          </w:p>
        </w:tc>
        <w:tc>
          <w:tcPr>
            <w:tcW w:w="1620" w:type="dxa"/>
          </w:tcPr>
          <w:p w:rsidR="006832D9" w:rsidRDefault="006832D9" w:rsidP="00843796"/>
        </w:tc>
        <w:tc>
          <w:tcPr>
            <w:tcW w:w="2070" w:type="dxa"/>
          </w:tcPr>
          <w:p w:rsidR="006832D9" w:rsidRDefault="006832D9" w:rsidP="00843796"/>
        </w:tc>
        <w:tc>
          <w:tcPr>
            <w:tcW w:w="1723" w:type="dxa"/>
          </w:tcPr>
          <w:p w:rsidR="006832D9" w:rsidRDefault="006832D9" w:rsidP="00843796"/>
        </w:tc>
      </w:tr>
      <w:tr w:rsidR="00EF2095" w:rsidTr="008B2E1F">
        <w:trPr>
          <w:trHeight w:val="289"/>
        </w:trPr>
        <w:tc>
          <w:tcPr>
            <w:tcW w:w="424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2070" w:type="dxa"/>
          </w:tcPr>
          <w:p w:rsidR="006832D9" w:rsidRDefault="006832D9" w:rsidP="00843796"/>
        </w:tc>
        <w:tc>
          <w:tcPr>
            <w:tcW w:w="172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7620D0" w:rsidRDefault="007620D0" w:rsidP="007620D0">
      <w:pPr>
        <w:pStyle w:val="ListParagraph"/>
        <w:numPr>
          <w:ilvl w:val="0"/>
          <w:numId w:val="19"/>
        </w:numPr>
      </w:pPr>
      <w:r>
        <w:t>We estimate an average response time of one minute to review the instructions and complete this survey.</w:t>
      </w:r>
    </w:p>
    <w:p w:rsidR="007620D0" w:rsidRDefault="007620D0" w:rsidP="007620D0">
      <w:pPr>
        <w:pStyle w:val="ListParagraph"/>
        <w:numPr>
          <w:ilvl w:val="0"/>
          <w:numId w:val="19"/>
        </w:numPr>
      </w:pPr>
      <w:r>
        <w:t>Estimated response rate based on previous surveys: 20%</w:t>
      </w:r>
    </w:p>
    <w:p w:rsidR="007620D0" w:rsidRDefault="007620D0" w:rsidP="007620D0">
      <w:pPr>
        <w:pStyle w:val="ListParagraph"/>
        <w:numPr>
          <w:ilvl w:val="0"/>
          <w:numId w:val="19"/>
        </w:numPr>
      </w:pPr>
      <w:r>
        <w:t>60,944 respondents x (1 minute/response) x $24.98/hr. [</w:t>
      </w:r>
      <w:r w:rsidRPr="004055A4">
        <w:t>2018 BLS mean hourly wage for All Occupations</w:t>
      </w:r>
      <w:r>
        <w:t xml:space="preserve">] = </w:t>
      </w:r>
      <w:r w:rsidRPr="004055A4">
        <w:rPr>
          <w:b/>
        </w:rPr>
        <w:t>$25,373.018</w:t>
      </w:r>
    </w:p>
    <w:p w:rsidR="007620D0" w:rsidRDefault="007620D0" w:rsidP="00F3170F"/>
    <w:p w:rsidR="00EE4387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272AA3">
        <w:t>as follows:</w:t>
      </w:r>
    </w:p>
    <w:p w:rsidR="00EE4387" w:rsidRDefault="00EE4387"/>
    <w:p w:rsidR="00EE4387" w:rsidRPr="007620D0" w:rsidRDefault="007620D0">
      <w:pPr>
        <w:rPr>
          <w:color w:val="002060"/>
        </w:rPr>
      </w:pPr>
      <w:r>
        <w:rPr>
          <w:color w:val="002060"/>
        </w:rPr>
        <w:t xml:space="preserve">We estimate that the deployment took 150 hours of government FTE support at a cost of $18,292 and 20 hours of contract support of $2,537 for a sum total (comprising both categories) of $20,829. 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F517AA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F517AA" w:rsidP="00A403BB">
      <w:r>
        <w:t>Sample Plan is attached</w:t>
      </w:r>
      <w:r w:rsidR="007D7958">
        <w:t xml:space="preserve"> to this submission. </w:t>
      </w: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lastRenderedPageBreak/>
        <w:t>Administration of the Instrument</w:t>
      </w:r>
    </w:p>
    <w:p w:rsidR="00CA71E5" w:rsidRDefault="00CA71E5" w:rsidP="00A403BB">
      <w:pPr>
        <w:rPr>
          <w:b/>
        </w:rPr>
      </w:pP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EF44A5">
        <w:t>X</w:t>
      </w:r>
      <w:r w:rsidR="001B0AAA">
        <w:t xml:space="preserve"> </w:t>
      </w:r>
      <w:r>
        <w:t>] Other, Explain</w:t>
      </w:r>
      <w:r w:rsidR="00EF44A5">
        <w:t xml:space="preserve"> – E-mail-based responses. </w:t>
      </w:r>
    </w:p>
    <w:p w:rsidR="00CA71E5" w:rsidRDefault="00CA71E5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EF44A5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E70B07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02F969D" wp14:editId="0CB1B6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E1E110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D470F8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D470F8" w:rsidRDefault="00D470F8" w:rsidP="00F24CFC">
      <w:pPr>
        <w:rPr>
          <w:b/>
        </w:rPr>
      </w:pPr>
    </w:p>
    <w:p w:rsidR="00D470F8" w:rsidRDefault="00D470F8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75" w:rsidRDefault="00570275">
      <w:r>
        <w:separator/>
      </w:r>
    </w:p>
  </w:endnote>
  <w:endnote w:type="continuationSeparator" w:id="0">
    <w:p w:rsidR="00570275" w:rsidRDefault="0057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353FE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073B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75" w:rsidRDefault="00570275">
      <w:r>
        <w:separator/>
      </w:r>
    </w:p>
  </w:footnote>
  <w:footnote w:type="continuationSeparator" w:id="0">
    <w:p w:rsidR="00570275" w:rsidRDefault="00570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C828E3"/>
    <w:multiLevelType w:val="hybridMultilevel"/>
    <w:tmpl w:val="6AAC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3FF1"/>
    <w:rsid w:val="0001027E"/>
    <w:rsid w:val="00021390"/>
    <w:rsid w:val="00023A57"/>
    <w:rsid w:val="00032804"/>
    <w:rsid w:val="00047A64"/>
    <w:rsid w:val="00067329"/>
    <w:rsid w:val="00096DE4"/>
    <w:rsid w:val="000B2838"/>
    <w:rsid w:val="000D44CA"/>
    <w:rsid w:val="000E200B"/>
    <w:rsid w:val="000F0001"/>
    <w:rsid w:val="000F68BE"/>
    <w:rsid w:val="001110E7"/>
    <w:rsid w:val="001927A4"/>
    <w:rsid w:val="00194AC6"/>
    <w:rsid w:val="001A23B0"/>
    <w:rsid w:val="001A25CC"/>
    <w:rsid w:val="001B0AAA"/>
    <w:rsid w:val="001C39F7"/>
    <w:rsid w:val="001D0AC4"/>
    <w:rsid w:val="00237B48"/>
    <w:rsid w:val="002430D9"/>
    <w:rsid w:val="0024521E"/>
    <w:rsid w:val="00263C3D"/>
    <w:rsid w:val="00272AA3"/>
    <w:rsid w:val="00274D0B"/>
    <w:rsid w:val="002B052D"/>
    <w:rsid w:val="002B34CD"/>
    <w:rsid w:val="002B3C95"/>
    <w:rsid w:val="002D0B92"/>
    <w:rsid w:val="002D102A"/>
    <w:rsid w:val="002D5899"/>
    <w:rsid w:val="003073BB"/>
    <w:rsid w:val="0032312C"/>
    <w:rsid w:val="00353FE7"/>
    <w:rsid w:val="00370E36"/>
    <w:rsid w:val="003D5BBE"/>
    <w:rsid w:val="003E3C61"/>
    <w:rsid w:val="003F1C5B"/>
    <w:rsid w:val="004055A4"/>
    <w:rsid w:val="00434E33"/>
    <w:rsid w:val="00441434"/>
    <w:rsid w:val="0045264C"/>
    <w:rsid w:val="004876EC"/>
    <w:rsid w:val="004C4EA4"/>
    <w:rsid w:val="004D6E14"/>
    <w:rsid w:val="005009B0"/>
    <w:rsid w:val="00570275"/>
    <w:rsid w:val="005A1006"/>
    <w:rsid w:val="005D5DC9"/>
    <w:rsid w:val="005E714A"/>
    <w:rsid w:val="005F693D"/>
    <w:rsid w:val="006140A0"/>
    <w:rsid w:val="00636621"/>
    <w:rsid w:val="00642B49"/>
    <w:rsid w:val="006832D9"/>
    <w:rsid w:val="0069403B"/>
    <w:rsid w:val="006B71FE"/>
    <w:rsid w:val="006F3DDE"/>
    <w:rsid w:val="00704678"/>
    <w:rsid w:val="007425E7"/>
    <w:rsid w:val="007620D0"/>
    <w:rsid w:val="007D7958"/>
    <w:rsid w:val="007F7080"/>
    <w:rsid w:val="00802607"/>
    <w:rsid w:val="008101A5"/>
    <w:rsid w:val="00822664"/>
    <w:rsid w:val="00843796"/>
    <w:rsid w:val="00895229"/>
    <w:rsid w:val="008A758C"/>
    <w:rsid w:val="008B2E1F"/>
    <w:rsid w:val="008B2EB3"/>
    <w:rsid w:val="008B5138"/>
    <w:rsid w:val="008F0203"/>
    <w:rsid w:val="008F50D4"/>
    <w:rsid w:val="00923886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AE55E6"/>
    <w:rsid w:val="00AF4F52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A71E5"/>
    <w:rsid w:val="00CB1078"/>
    <w:rsid w:val="00CB23C9"/>
    <w:rsid w:val="00CC09A0"/>
    <w:rsid w:val="00CC6FAF"/>
    <w:rsid w:val="00CF6542"/>
    <w:rsid w:val="00D24698"/>
    <w:rsid w:val="00D470F8"/>
    <w:rsid w:val="00D540DD"/>
    <w:rsid w:val="00D6383F"/>
    <w:rsid w:val="00DB59D0"/>
    <w:rsid w:val="00DC33D3"/>
    <w:rsid w:val="00DD609A"/>
    <w:rsid w:val="00E26329"/>
    <w:rsid w:val="00E276D7"/>
    <w:rsid w:val="00E40B50"/>
    <w:rsid w:val="00E50293"/>
    <w:rsid w:val="00E65FFC"/>
    <w:rsid w:val="00E70B07"/>
    <w:rsid w:val="00E744EA"/>
    <w:rsid w:val="00E80951"/>
    <w:rsid w:val="00E86CC6"/>
    <w:rsid w:val="00E951F5"/>
    <w:rsid w:val="00EB56B3"/>
    <w:rsid w:val="00ED6492"/>
    <w:rsid w:val="00EE4387"/>
    <w:rsid w:val="00EF2095"/>
    <w:rsid w:val="00EF44A5"/>
    <w:rsid w:val="00F06866"/>
    <w:rsid w:val="00F158F5"/>
    <w:rsid w:val="00F15956"/>
    <w:rsid w:val="00F24CFC"/>
    <w:rsid w:val="00F26A1A"/>
    <w:rsid w:val="00F3170F"/>
    <w:rsid w:val="00F517AA"/>
    <w:rsid w:val="00F55E6C"/>
    <w:rsid w:val="00F976B0"/>
    <w:rsid w:val="00FA6DE7"/>
    <w:rsid w:val="00FC0A8E"/>
    <w:rsid w:val="00FD311D"/>
    <w:rsid w:val="00FD7852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2010-10-04T15:59:00Z</cp:lastPrinted>
  <dcterms:created xsi:type="dcterms:W3CDTF">2019-12-11T21:38:00Z</dcterms:created>
  <dcterms:modified xsi:type="dcterms:W3CDTF">2019-12-11T21:38:00Z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