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C4" w:rsidRPr="006F5EC4" w:rsidRDefault="006F5EC4" w:rsidP="006F5EC4">
      <w:pPr>
        <w:jc w:val="center"/>
        <w:rPr>
          <w:rFonts w:ascii="Arial" w:eastAsia="Calibri" w:hAnsi="Arial" w:cs="Arial"/>
        </w:rPr>
      </w:pPr>
      <w:bookmarkStart w:id="0" w:name="_GoBack"/>
      <w:bookmarkEnd w:id="0"/>
    </w:p>
    <w:p w:rsidR="006F5EC4" w:rsidRPr="006F5EC4" w:rsidRDefault="006F5EC4" w:rsidP="006F5EC4">
      <w:pPr>
        <w:spacing w:after="200" w:line="276" w:lineRule="auto"/>
        <w:jc w:val="center"/>
        <w:rPr>
          <w:rFonts w:ascii="Arial" w:eastAsia="Calibri" w:hAnsi="Arial" w:cs="Arial"/>
        </w:rPr>
      </w:pPr>
      <w:r w:rsidRPr="006F5EC4">
        <w:rPr>
          <w:rFonts w:ascii="Arial" w:eastAsia="Calibri" w:hAnsi="Arial" w:cs="Arial"/>
          <w:noProof/>
        </w:rPr>
        <w:drawing>
          <wp:inline distT="0" distB="0" distL="0" distR="0" wp14:anchorId="715AE674" wp14:editId="4747E7CD">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6F5EC4" w:rsidRPr="006F5EC4" w:rsidRDefault="006F5EC4" w:rsidP="006F5EC4">
      <w:pPr>
        <w:keepNext/>
        <w:keepLines/>
        <w:spacing w:line="276" w:lineRule="auto"/>
        <w:jc w:val="center"/>
        <w:outlineLvl w:val="0"/>
        <w:rPr>
          <w:rFonts w:ascii="Cambria" w:eastAsia="Times New Roman" w:hAnsi="Cambria" w:cs="Times New Roman"/>
          <w:b/>
          <w:bCs/>
          <w:color w:val="365F91"/>
          <w:sz w:val="48"/>
          <w:szCs w:val="48"/>
        </w:rPr>
      </w:pPr>
    </w:p>
    <w:p w:rsidR="006F5EC4" w:rsidRDefault="006F5EC4" w:rsidP="006F5EC4">
      <w:pPr>
        <w:keepNext/>
        <w:keepLines/>
        <w:spacing w:line="276" w:lineRule="auto"/>
        <w:jc w:val="center"/>
        <w:outlineLvl w:val="0"/>
        <w:rPr>
          <w:rFonts w:ascii="Times New Roman" w:eastAsia="Times New Roman" w:hAnsi="Times New Roman" w:cs="Times New Roman"/>
          <w:b/>
          <w:bCs/>
          <w:color w:val="365F91"/>
          <w:sz w:val="48"/>
          <w:szCs w:val="48"/>
        </w:rPr>
      </w:pPr>
      <w:r w:rsidRPr="006F5EC4">
        <w:rPr>
          <w:rFonts w:ascii="Times New Roman" w:eastAsia="Times New Roman" w:hAnsi="Times New Roman" w:cs="Times New Roman"/>
          <w:b/>
          <w:bCs/>
          <w:color w:val="365F91"/>
          <w:sz w:val="48"/>
          <w:szCs w:val="48"/>
        </w:rPr>
        <w:br/>
      </w:r>
      <w:r>
        <w:rPr>
          <w:rFonts w:ascii="Times New Roman" w:eastAsia="Times New Roman" w:hAnsi="Times New Roman" w:cs="Times New Roman"/>
          <w:b/>
          <w:bCs/>
          <w:color w:val="365F91"/>
          <w:sz w:val="48"/>
          <w:szCs w:val="48"/>
        </w:rPr>
        <w:t xml:space="preserve">Virtual Nursing Visit </w:t>
      </w:r>
    </w:p>
    <w:p w:rsidR="006F5EC4" w:rsidRPr="006F5EC4" w:rsidRDefault="006F5EC4" w:rsidP="006F5EC4">
      <w:pPr>
        <w:keepNext/>
        <w:keepLines/>
        <w:spacing w:line="276" w:lineRule="auto"/>
        <w:jc w:val="center"/>
        <w:outlineLvl w:val="0"/>
        <w:rPr>
          <w:rFonts w:ascii="Times New Roman" w:eastAsia="Times New Roman" w:hAnsi="Times New Roman" w:cs="Times New Roman"/>
          <w:b/>
          <w:bCs/>
          <w:color w:val="365F91"/>
          <w:sz w:val="48"/>
          <w:szCs w:val="48"/>
        </w:rPr>
      </w:pPr>
      <w:r>
        <w:rPr>
          <w:rFonts w:ascii="Times New Roman" w:eastAsia="Times New Roman" w:hAnsi="Times New Roman" w:cs="Times New Roman"/>
          <w:b/>
          <w:bCs/>
          <w:color w:val="365F91"/>
          <w:sz w:val="48"/>
          <w:szCs w:val="48"/>
        </w:rPr>
        <w:t xml:space="preserve">User Acceptance </w:t>
      </w:r>
      <w:r w:rsidR="00CE6285">
        <w:rPr>
          <w:rFonts w:ascii="Times New Roman" w:eastAsia="Times New Roman" w:hAnsi="Times New Roman" w:cs="Times New Roman"/>
          <w:b/>
          <w:bCs/>
          <w:color w:val="365F91"/>
          <w:sz w:val="48"/>
          <w:szCs w:val="48"/>
        </w:rPr>
        <w:t xml:space="preserve">Patient </w:t>
      </w:r>
      <w:r>
        <w:rPr>
          <w:rFonts w:ascii="Times New Roman" w:eastAsia="Times New Roman" w:hAnsi="Times New Roman" w:cs="Times New Roman"/>
          <w:b/>
          <w:bCs/>
          <w:color w:val="365F91"/>
          <w:sz w:val="48"/>
          <w:szCs w:val="48"/>
        </w:rPr>
        <w:t>Evaluation</w:t>
      </w:r>
    </w:p>
    <w:p w:rsidR="006F5EC4" w:rsidRPr="006F5EC4" w:rsidRDefault="006F5EC4" w:rsidP="006F5EC4">
      <w:pPr>
        <w:keepNext/>
        <w:keepLines/>
        <w:spacing w:line="276" w:lineRule="auto"/>
        <w:jc w:val="center"/>
        <w:outlineLvl w:val="0"/>
        <w:rPr>
          <w:rFonts w:ascii="Arial" w:eastAsia="Times New Roman" w:hAnsi="Arial" w:cs="Arial"/>
          <w:b/>
          <w:bCs/>
          <w:color w:val="365F91"/>
          <w:sz w:val="18"/>
          <w:szCs w:val="18"/>
        </w:rPr>
      </w:pPr>
      <w:r w:rsidRPr="006F5EC4">
        <w:rPr>
          <w:rFonts w:ascii="Arial" w:eastAsia="Times New Roman" w:hAnsi="Arial" w:cs="Arial"/>
          <w:b/>
          <w:bCs/>
          <w:color w:val="365F91"/>
          <w:sz w:val="18"/>
          <w:szCs w:val="18"/>
        </w:rPr>
        <w:t>OMB No. 2900-</w:t>
      </w:r>
      <w:r w:rsidRPr="00CE6285">
        <w:rPr>
          <w:rFonts w:ascii="Arial" w:eastAsia="Times New Roman" w:hAnsi="Arial" w:cs="Arial"/>
          <w:b/>
          <w:bCs/>
          <w:color w:val="44546A" w:themeColor="text2"/>
          <w:sz w:val="18"/>
          <w:szCs w:val="18"/>
        </w:rPr>
        <w:t>0770</w:t>
      </w:r>
      <w:r w:rsidRPr="006F5EC4">
        <w:rPr>
          <w:rFonts w:ascii="Arial" w:eastAsia="Times New Roman" w:hAnsi="Arial" w:cs="Arial"/>
          <w:b/>
          <w:bCs/>
          <w:color w:val="365F91"/>
          <w:sz w:val="18"/>
          <w:szCs w:val="18"/>
        </w:rPr>
        <w:br/>
        <w:t>Estimated Burden:</w:t>
      </w:r>
      <w:r w:rsidR="00CE6285">
        <w:rPr>
          <w:rFonts w:ascii="Arial" w:eastAsia="Times New Roman" w:hAnsi="Arial" w:cs="Arial"/>
          <w:b/>
          <w:bCs/>
          <w:color w:val="365F91"/>
          <w:sz w:val="18"/>
          <w:szCs w:val="18"/>
        </w:rPr>
        <w:t xml:space="preserve"> 10 minutes</w:t>
      </w:r>
    </w:p>
    <w:p w:rsidR="006F5EC4" w:rsidRPr="006F5EC4" w:rsidRDefault="006F5EC4" w:rsidP="006F5EC4">
      <w:pPr>
        <w:keepNext/>
        <w:keepLines/>
        <w:spacing w:line="276" w:lineRule="auto"/>
        <w:jc w:val="center"/>
        <w:outlineLvl w:val="0"/>
        <w:rPr>
          <w:rFonts w:ascii="Times New Roman" w:eastAsia="Times New Roman" w:hAnsi="Times New Roman" w:cs="Times New Roman"/>
          <w:b/>
          <w:bCs/>
          <w:color w:val="365F91"/>
          <w:sz w:val="48"/>
          <w:szCs w:val="48"/>
        </w:rPr>
      </w:pPr>
      <w:r w:rsidRPr="006F5EC4">
        <w:rPr>
          <w:rFonts w:ascii="Arial" w:eastAsia="Times New Roman" w:hAnsi="Arial" w:cs="Arial"/>
          <w:b/>
          <w:bCs/>
          <w:color w:val="365F91"/>
          <w:sz w:val="18"/>
          <w:szCs w:val="18"/>
        </w:rPr>
        <w:t>Expiration Date: 9/30/2020</w:t>
      </w:r>
    </w:p>
    <w:p w:rsidR="006F5EC4" w:rsidRPr="006F5EC4" w:rsidRDefault="006F5EC4" w:rsidP="006F5EC4">
      <w:pPr>
        <w:spacing w:after="200" w:line="276" w:lineRule="auto"/>
        <w:rPr>
          <w:rFonts w:ascii="Arial" w:eastAsia="Calibri" w:hAnsi="Arial" w:cs="Arial"/>
          <w:color w:val="17365D"/>
        </w:rPr>
      </w:pPr>
    </w:p>
    <w:p w:rsidR="006F5EC4" w:rsidRPr="006F5EC4" w:rsidRDefault="006F5EC4" w:rsidP="006F5EC4">
      <w:pPr>
        <w:spacing w:after="200" w:line="276" w:lineRule="auto"/>
        <w:rPr>
          <w:rFonts w:ascii="Arial" w:eastAsia="Calibri" w:hAnsi="Arial" w:cs="Arial"/>
          <w:color w:val="17365D"/>
        </w:rPr>
      </w:pPr>
    </w:p>
    <w:p w:rsidR="006F5EC4" w:rsidRPr="006F5EC4" w:rsidRDefault="006F5EC4" w:rsidP="006F5EC4">
      <w:pPr>
        <w:spacing w:after="200" w:line="276" w:lineRule="auto"/>
        <w:rPr>
          <w:rFonts w:ascii="Arial" w:eastAsia="Calibri" w:hAnsi="Arial" w:cs="Arial"/>
          <w:color w:val="17365D"/>
        </w:rPr>
      </w:pPr>
    </w:p>
    <w:p w:rsidR="006F5EC4" w:rsidRPr="006F5EC4" w:rsidRDefault="006F5EC4" w:rsidP="006F5EC4">
      <w:pPr>
        <w:spacing w:after="200" w:line="276" w:lineRule="auto"/>
        <w:rPr>
          <w:rFonts w:ascii="Arial" w:eastAsia="Calibri" w:hAnsi="Arial" w:cs="Arial"/>
          <w:color w:val="17365D"/>
        </w:rPr>
      </w:pPr>
    </w:p>
    <w:p w:rsidR="006F5EC4" w:rsidRPr="006F5EC4" w:rsidRDefault="006F5EC4" w:rsidP="006F5EC4">
      <w:pPr>
        <w:spacing w:after="120"/>
        <w:ind w:left="144" w:right="144"/>
        <w:jc w:val="both"/>
        <w:rPr>
          <w:rFonts w:ascii="Arial" w:eastAsia="Calibri" w:hAnsi="Arial" w:cs="Arial"/>
          <w:color w:val="244061"/>
          <w:sz w:val="20"/>
          <w:szCs w:val="20"/>
        </w:rPr>
      </w:pPr>
      <w:r w:rsidRPr="006F5EC4">
        <w:rPr>
          <w:rFonts w:ascii="Arial" w:eastAsia="Calibri" w:hAnsi="Arial" w:cs="Arial"/>
          <w:b/>
          <w:bCs/>
          <w:color w:val="244061"/>
          <w:sz w:val="20"/>
          <w:szCs w:val="20"/>
        </w:rPr>
        <w:t xml:space="preserve">The Paperwork Reduction Act of 1995: </w:t>
      </w:r>
      <w:r w:rsidRPr="006F5EC4">
        <w:rPr>
          <w:rFonts w:ascii="Arial" w:eastAsia="Calibri" w:hAnsi="Arial" w:cs="Arial"/>
          <w:color w:val="244061"/>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w:t>
      </w:r>
      <w:r w:rsidR="00CE6285">
        <w:rPr>
          <w:rFonts w:ascii="Arial" w:eastAsia="Calibri" w:hAnsi="Arial" w:cs="Arial"/>
          <w:color w:val="244061"/>
          <w:sz w:val="20"/>
          <w:szCs w:val="20"/>
        </w:rPr>
        <w:t>lete this survey will average 10</w:t>
      </w:r>
      <w:r w:rsidRPr="006F5EC4">
        <w:rPr>
          <w:rFonts w:ascii="Arial" w:eastAsia="Calibri" w:hAnsi="Arial" w:cs="Arial"/>
          <w:color w:val="244061"/>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w:t>
      </w:r>
      <w:r w:rsidR="00CE6285">
        <w:rPr>
          <w:rFonts w:ascii="Arial" w:eastAsia="Calibri" w:hAnsi="Arial" w:cs="Arial"/>
          <w:color w:val="244061"/>
          <w:sz w:val="20"/>
          <w:szCs w:val="20"/>
        </w:rPr>
        <w:t xml:space="preserve"> </w:t>
      </w:r>
      <w:r w:rsidRPr="006F5EC4">
        <w:rPr>
          <w:rFonts w:ascii="Arial" w:eastAsia="Calibri" w:hAnsi="Arial" w:cs="Arial"/>
          <w:color w:val="244061"/>
          <w:sz w:val="20"/>
          <w:szCs w:val="20"/>
        </w:rPr>
        <w:t>services. Participation in this survey is voluntary and failure to respond will have no impact on benefits to which you may be entitled.</w:t>
      </w:r>
    </w:p>
    <w:p w:rsidR="006F5EC4" w:rsidRPr="006F5EC4" w:rsidRDefault="006F5EC4" w:rsidP="006F5EC4">
      <w:pPr>
        <w:spacing w:after="120"/>
        <w:ind w:left="144" w:right="144"/>
        <w:jc w:val="both"/>
        <w:rPr>
          <w:rFonts w:ascii="Cambria" w:eastAsia="Times New Roman" w:hAnsi="Cambria" w:cs="Times New Roman"/>
          <w:color w:val="1F497D"/>
          <w:sz w:val="20"/>
          <w:szCs w:val="20"/>
        </w:rPr>
      </w:pPr>
    </w:p>
    <w:p w:rsidR="006F5EC4" w:rsidRPr="006F5EC4" w:rsidRDefault="006F5EC4" w:rsidP="006F5EC4">
      <w:pPr>
        <w:tabs>
          <w:tab w:val="center" w:pos="4680"/>
          <w:tab w:val="right" w:pos="9360"/>
        </w:tabs>
        <w:rPr>
          <w:rFonts w:ascii="Arial" w:eastAsia="Calibri" w:hAnsi="Arial" w:cs="Arial"/>
          <w:b/>
          <w:color w:val="1F497D"/>
          <w:sz w:val="16"/>
          <w:szCs w:val="16"/>
        </w:rPr>
      </w:pPr>
    </w:p>
    <w:p w:rsidR="006F5EC4" w:rsidRDefault="006F5EC4">
      <w:pPr>
        <w:spacing w:after="160" w:line="259" w:lineRule="auto"/>
      </w:pPr>
    </w:p>
    <w:p w:rsidR="006F5EC4" w:rsidRDefault="006F5EC4">
      <w:r>
        <w:br w:type="page"/>
      </w:r>
    </w:p>
    <w:tbl>
      <w:tblPr>
        <w:tblW w:w="0" w:type="auto"/>
        <w:tblCellMar>
          <w:left w:w="0" w:type="dxa"/>
          <w:right w:w="0" w:type="dxa"/>
        </w:tblCellMar>
        <w:tblLook w:val="04A0" w:firstRow="1" w:lastRow="0" w:firstColumn="1" w:lastColumn="0" w:noHBand="0" w:noVBand="1"/>
      </w:tblPr>
      <w:tblGrid>
        <w:gridCol w:w="4150"/>
        <w:gridCol w:w="1137"/>
        <w:gridCol w:w="993"/>
        <w:gridCol w:w="1102"/>
        <w:gridCol w:w="914"/>
        <w:gridCol w:w="1123"/>
      </w:tblGrid>
      <w:tr w:rsidR="0096066E" w:rsidTr="0096066E">
        <w:trPr>
          <w:trHeight w:val="925"/>
        </w:trPr>
        <w:tc>
          <w:tcPr>
            <w:tcW w:w="4150"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vAlign w:val="bottom"/>
          </w:tcPr>
          <w:p w:rsidR="0096066E" w:rsidRPr="006F5EC4" w:rsidRDefault="006F5EC4" w:rsidP="006F5EC4">
            <w:pPr>
              <w:pStyle w:val="Header"/>
              <w:rPr>
                <w:b/>
                <w:sz w:val="24"/>
                <w:szCs w:val="24"/>
              </w:rPr>
            </w:pPr>
            <w:r w:rsidRPr="006F5EC4">
              <w:rPr>
                <w:b/>
                <w:sz w:val="24"/>
                <w:szCs w:val="24"/>
              </w:rPr>
              <w:lastRenderedPageBreak/>
              <w:t xml:space="preserve">VA Video Connect </w:t>
            </w:r>
            <w:r>
              <w:rPr>
                <w:b/>
                <w:sz w:val="24"/>
                <w:szCs w:val="24"/>
              </w:rPr>
              <w:t>Patient</w:t>
            </w:r>
            <w:r w:rsidRPr="006F5EC4">
              <w:rPr>
                <w:b/>
                <w:sz w:val="24"/>
                <w:szCs w:val="24"/>
              </w:rPr>
              <w:t xml:space="preserve"> Questions</w:t>
            </w:r>
          </w:p>
          <w:p w:rsidR="0096066E" w:rsidRDefault="0096066E">
            <w:pPr>
              <w:autoSpaceDE w:val="0"/>
              <w:autoSpaceDN w:val="0"/>
            </w:pPr>
          </w:p>
          <w:p w:rsidR="0096066E" w:rsidRDefault="0096066E">
            <w:pPr>
              <w:autoSpaceDE w:val="0"/>
              <w:autoSpaceDN w:val="0"/>
            </w:pPr>
          </w:p>
        </w:tc>
        <w:tc>
          <w:tcPr>
            <w:tcW w:w="1137"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hideMark/>
          </w:tcPr>
          <w:p w:rsidR="0096066E" w:rsidRDefault="0096066E">
            <w:pPr>
              <w:autoSpaceDE w:val="0"/>
              <w:autoSpaceDN w:val="0"/>
              <w:jc w:val="center"/>
            </w:pPr>
            <w:r>
              <w:t>Strongly Disagree</w:t>
            </w:r>
          </w:p>
        </w:tc>
        <w:tc>
          <w:tcPr>
            <w:tcW w:w="914"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tcPr>
          <w:p w:rsidR="0096066E" w:rsidRDefault="00D817F8">
            <w:pPr>
              <w:autoSpaceDE w:val="0"/>
              <w:autoSpaceDN w:val="0"/>
              <w:jc w:val="center"/>
            </w:pPr>
            <w:r>
              <w:t>Disagree</w:t>
            </w:r>
          </w:p>
        </w:tc>
        <w:tc>
          <w:tcPr>
            <w:tcW w:w="1102"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hideMark/>
          </w:tcPr>
          <w:p w:rsidR="0096066E" w:rsidRDefault="0096066E">
            <w:pPr>
              <w:autoSpaceDE w:val="0"/>
              <w:autoSpaceDN w:val="0"/>
              <w:jc w:val="center"/>
            </w:pPr>
            <w:r>
              <w:t>Neutral</w:t>
            </w:r>
          </w:p>
        </w:tc>
        <w:tc>
          <w:tcPr>
            <w:tcW w:w="914"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tcPr>
          <w:p w:rsidR="0096066E" w:rsidRDefault="00D817F8">
            <w:pPr>
              <w:autoSpaceDE w:val="0"/>
              <w:autoSpaceDN w:val="0"/>
              <w:jc w:val="center"/>
            </w:pPr>
            <w:r>
              <w:t>Agree</w:t>
            </w:r>
          </w:p>
        </w:tc>
        <w:tc>
          <w:tcPr>
            <w:tcW w:w="1123"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hideMark/>
          </w:tcPr>
          <w:p w:rsidR="0096066E" w:rsidRDefault="0096066E">
            <w:pPr>
              <w:autoSpaceDE w:val="0"/>
              <w:autoSpaceDN w:val="0"/>
              <w:jc w:val="center"/>
            </w:pPr>
            <w:r>
              <w:t>Strongly Agree</w:t>
            </w:r>
          </w:p>
        </w:tc>
      </w:tr>
      <w:tr w:rsidR="0096066E" w:rsidTr="0096066E">
        <w:tc>
          <w:tcPr>
            <w:tcW w:w="4150" w:type="dxa"/>
            <w:tcBorders>
              <w:top w:val="nil"/>
              <w:left w:val="single" w:sz="8" w:space="0" w:color="BFBFBF"/>
              <w:bottom w:val="single" w:sz="8" w:space="0" w:color="BFBFBF"/>
              <w:right w:val="single" w:sz="8" w:space="0" w:color="BFBFBF"/>
            </w:tcBorders>
            <w:shd w:val="clear" w:color="auto" w:fill="4472C4"/>
            <w:tcMar>
              <w:top w:w="0" w:type="dxa"/>
              <w:left w:w="108" w:type="dxa"/>
              <w:bottom w:w="0" w:type="dxa"/>
              <w:right w:w="108" w:type="dxa"/>
            </w:tcMar>
          </w:tcPr>
          <w:p w:rsidR="0096066E" w:rsidRDefault="0096066E">
            <w:pPr>
              <w:autoSpaceDE w:val="0"/>
              <w:autoSpaceDN w:val="0"/>
            </w:pPr>
          </w:p>
        </w:tc>
        <w:tc>
          <w:tcPr>
            <w:tcW w:w="1137"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96066E" w:rsidRDefault="0096066E">
            <w:pPr>
              <w:autoSpaceDE w:val="0"/>
              <w:autoSpaceDN w:val="0"/>
              <w:jc w:val="center"/>
              <w:rPr>
                <w:b/>
                <w:bCs/>
                <w:color w:val="FFFFFF"/>
              </w:rPr>
            </w:pPr>
            <w:r>
              <w:rPr>
                <w:b/>
                <w:bCs/>
                <w:color w:val="FFFFFF"/>
              </w:rPr>
              <w:t>1</w:t>
            </w:r>
          </w:p>
        </w:tc>
        <w:tc>
          <w:tcPr>
            <w:tcW w:w="914"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96066E" w:rsidRDefault="0096066E">
            <w:pPr>
              <w:autoSpaceDE w:val="0"/>
              <w:autoSpaceDN w:val="0"/>
              <w:jc w:val="center"/>
              <w:rPr>
                <w:b/>
                <w:bCs/>
                <w:color w:val="FFFFFF"/>
              </w:rPr>
            </w:pPr>
            <w:r>
              <w:rPr>
                <w:b/>
                <w:bCs/>
                <w:color w:val="FFFFFF"/>
              </w:rPr>
              <w:t>2</w:t>
            </w:r>
          </w:p>
        </w:tc>
        <w:tc>
          <w:tcPr>
            <w:tcW w:w="1102"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96066E" w:rsidRDefault="0096066E">
            <w:pPr>
              <w:autoSpaceDE w:val="0"/>
              <w:autoSpaceDN w:val="0"/>
              <w:jc w:val="center"/>
              <w:rPr>
                <w:b/>
                <w:bCs/>
                <w:color w:val="FFFFFF"/>
              </w:rPr>
            </w:pPr>
            <w:r>
              <w:rPr>
                <w:b/>
                <w:bCs/>
                <w:color w:val="FFFFFF"/>
              </w:rPr>
              <w:t>3</w:t>
            </w:r>
          </w:p>
        </w:tc>
        <w:tc>
          <w:tcPr>
            <w:tcW w:w="914"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96066E" w:rsidRDefault="0096066E">
            <w:pPr>
              <w:autoSpaceDE w:val="0"/>
              <w:autoSpaceDN w:val="0"/>
              <w:jc w:val="center"/>
              <w:rPr>
                <w:b/>
                <w:bCs/>
                <w:color w:val="FFFFFF"/>
              </w:rPr>
            </w:pPr>
            <w:r>
              <w:rPr>
                <w:b/>
                <w:bCs/>
                <w:color w:val="FFFFFF"/>
              </w:rPr>
              <w:t>4</w:t>
            </w:r>
          </w:p>
        </w:tc>
        <w:tc>
          <w:tcPr>
            <w:tcW w:w="1123"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96066E" w:rsidRDefault="0096066E">
            <w:pPr>
              <w:autoSpaceDE w:val="0"/>
              <w:autoSpaceDN w:val="0"/>
              <w:jc w:val="center"/>
              <w:rPr>
                <w:b/>
                <w:bCs/>
                <w:color w:val="FFFFFF"/>
              </w:rPr>
            </w:pPr>
            <w:r>
              <w:rPr>
                <w:b/>
                <w:bCs/>
                <w:color w:val="FFFFFF"/>
              </w:rPr>
              <w:t>5</w:t>
            </w:r>
          </w:p>
        </w:tc>
      </w:tr>
      <w:tr w:rsidR="0096066E" w:rsidTr="0096066E">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96066E" w:rsidRDefault="0096066E">
            <w:pPr>
              <w:autoSpaceDE w:val="0"/>
              <w:autoSpaceDN w:val="0"/>
              <w:ind w:left="360" w:hanging="360"/>
            </w:pPr>
            <w:r>
              <w:t xml:space="preserve">1.    </w:t>
            </w:r>
            <w:r w:rsidRPr="0096066E">
              <w:t>I prefer a video visit to check my blood pressure rather than travelling to the clinic.</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r>
      <w:tr w:rsidR="0096066E" w:rsidTr="0096066E">
        <w:trPr>
          <w:trHeight w:val="615"/>
        </w:trPr>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96066E" w:rsidRDefault="0096066E">
            <w:pPr>
              <w:autoSpaceDE w:val="0"/>
              <w:autoSpaceDN w:val="0"/>
              <w:ind w:left="360" w:hanging="360"/>
            </w:pPr>
            <w:r>
              <w:t xml:space="preserve">2.    </w:t>
            </w:r>
            <w:r w:rsidRPr="0096066E">
              <w:t>I feel confident in my ability to check my own blood pressure at home.</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r>
      <w:tr w:rsidR="0096066E" w:rsidTr="0096066E">
        <w:trPr>
          <w:trHeight w:val="462"/>
        </w:trPr>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ind w:left="360" w:hanging="360"/>
            </w:pPr>
            <w:r>
              <w:t xml:space="preserve">3.    </w:t>
            </w:r>
            <w:r w:rsidRPr="0096066E">
              <w:t>I feel the blood pressure readings obtained at home more accurately reflect my blood pressure than readings obtained after traveling to the medical facility.</w:t>
            </w:r>
          </w:p>
          <w:p w:rsidR="0096066E" w:rsidRDefault="0096066E">
            <w:pPr>
              <w:autoSpaceDE w:val="0"/>
              <w:autoSpaceDN w:val="0"/>
              <w:ind w:left="360"/>
            </w:pP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r>
      <w:tr w:rsidR="0096066E" w:rsidTr="0096066E">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96066E" w:rsidRDefault="0096066E">
            <w:pPr>
              <w:autoSpaceDE w:val="0"/>
              <w:autoSpaceDN w:val="0"/>
              <w:ind w:left="360" w:hanging="360"/>
            </w:pPr>
            <w:r>
              <w:t xml:space="preserve">4.    </w:t>
            </w:r>
            <w:r w:rsidRPr="0096066E">
              <w:t>I was able to confident using the blood pressure monitor and device (phone/tablet/computer) easily during the visit.</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r>
      <w:tr w:rsidR="0096066E" w:rsidTr="0096066E">
        <w:trPr>
          <w:trHeight w:val="705"/>
        </w:trPr>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96066E" w:rsidRDefault="0096066E">
            <w:pPr>
              <w:autoSpaceDE w:val="0"/>
              <w:autoSpaceDN w:val="0"/>
              <w:ind w:left="360" w:hanging="360"/>
            </w:pPr>
            <w:r>
              <w:t xml:space="preserve">5.    </w:t>
            </w:r>
            <w:r w:rsidRPr="0096066E">
              <w:t>I would recommend blood pressure measurement appointments by video to other veterans.</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r>
      <w:tr w:rsidR="0096066E" w:rsidTr="0096066E">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96066E" w:rsidRDefault="0096066E">
            <w:pPr>
              <w:autoSpaceDE w:val="0"/>
              <w:autoSpaceDN w:val="0"/>
              <w:ind w:left="360" w:hanging="360"/>
            </w:pPr>
            <w:r>
              <w:t xml:space="preserve">6.    </w:t>
            </w:r>
            <w:r w:rsidRPr="0096066E">
              <w:t>Overall, I was satisfied with telehealth visits for blood pressure monitoring.</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96066E" w:rsidRDefault="0096066E">
            <w:pPr>
              <w:autoSpaceDE w:val="0"/>
              <w:autoSpaceDN w:val="0"/>
            </w:pPr>
          </w:p>
        </w:tc>
      </w:tr>
    </w:tbl>
    <w:p w:rsidR="00210A04" w:rsidRDefault="00210A04"/>
    <w:p w:rsidR="0096066E" w:rsidRPr="00E2189C" w:rsidRDefault="0096066E">
      <w:pPr>
        <w:rPr>
          <w:b/>
        </w:rPr>
      </w:pPr>
      <w:r w:rsidRPr="00E2189C">
        <w:rPr>
          <w:b/>
        </w:rPr>
        <w:t>Written Response Questions:</w:t>
      </w:r>
    </w:p>
    <w:p w:rsidR="0096066E" w:rsidRPr="0096066E" w:rsidRDefault="0096066E" w:rsidP="0096066E">
      <w:pPr>
        <w:rPr>
          <w:b/>
        </w:rPr>
      </w:pPr>
      <w:r w:rsidRPr="0096066E">
        <w:rPr>
          <w:b/>
        </w:rPr>
        <w:t>Age</w:t>
      </w:r>
    </w:p>
    <w:p w:rsidR="0096066E" w:rsidRDefault="0096066E" w:rsidP="0096066E">
      <w:r>
        <w:t>&lt;40</w:t>
      </w:r>
    </w:p>
    <w:p w:rsidR="0096066E" w:rsidRDefault="0096066E" w:rsidP="0096066E">
      <w:r>
        <w:t>40-50</w:t>
      </w:r>
    </w:p>
    <w:p w:rsidR="0096066E" w:rsidRDefault="0096066E" w:rsidP="0096066E">
      <w:r>
        <w:t>51-64</w:t>
      </w:r>
    </w:p>
    <w:p w:rsidR="0096066E" w:rsidRDefault="0096066E" w:rsidP="0096066E">
      <w:r>
        <w:t>65+</w:t>
      </w:r>
    </w:p>
    <w:p w:rsidR="0096066E" w:rsidRPr="00E2189C" w:rsidRDefault="0096066E" w:rsidP="0096066E">
      <w:pPr>
        <w:rPr>
          <w:b/>
        </w:rPr>
      </w:pPr>
      <w:r w:rsidRPr="00E2189C">
        <w:rPr>
          <w:b/>
        </w:rPr>
        <w:t>Gender</w:t>
      </w:r>
    </w:p>
    <w:p w:rsidR="0096066E" w:rsidRDefault="0096066E" w:rsidP="0096066E">
      <w:r>
        <w:t>Male</w:t>
      </w:r>
    </w:p>
    <w:p w:rsidR="0096066E" w:rsidRDefault="0096066E" w:rsidP="0096066E">
      <w:r>
        <w:t>Female</w:t>
      </w:r>
    </w:p>
    <w:p w:rsidR="0096066E" w:rsidRPr="00E2189C" w:rsidRDefault="0096066E" w:rsidP="0096066E">
      <w:r w:rsidRPr="00E2189C">
        <w:t>Prefer not to identify</w:t>
      </w:r>
    </w:p>
    <w:p w:rsidR="0096066E" w:rsidRPr="00E2189C" w:rsidRDefault="0096066E" w:rsidP="0096066E">
      <w:pPr>
        <w:rPr>
          <w:b/>
        </w:rPr>
      </w:pPr>
      <w:r w:rsidRPr="00E2189C">
        <w:rPr>
          <w:b/>
        </w:rPr>
        <w:t>How long does it take you to travel to see your provider (in minutes)?</w:t>
      </w:r>
    </w:p>
    <w:p w:rsidR="0096066E" w:rsidRDefault="0096066E" w:rsidP="0096066E">
      <w:r>
        <w:t>&lt;30 minutes</w:t>
      </w:r>
    </w:p>
    <w:p w:rsidR="0096066E" w:rsidRDefault="0096066E" w:rsidP="0096066E">
      <w:r>
        <w:t>30-60 minutes</w:t>
      </w:r>
    </w:p>
    <w:p w:rsidR="0096066E" w:rsidRDefault="0096066E" w:rsidP="0096066E">
      <w:r>
        <w:t>1-2 hours</w:t>
      </w:r>
    </w:p>
    <w:p w:rsidR="0096066E" w:rsidRDefault="0096066E" w:rsidP="0096066E">
      <w:r>
        <w:t>2+ hours</w:t>
      </w:r>
    </w:p>
    <w:p w:rsidR="0096066E" w:rsidRPr="00E2189C" w:rsidRDefault="0096066E" w:rsidP="0096066E">
      <w:pPr>
        <w:rPr>
          <w:b/>
        </w:rPr>
      </w:pPr>
      <w:r w:rsidRPr="00E2189C">
        <w:rPr>
          <w:b/>
        </w:rPr>
        <w:t>What type of device did you use for the home blood pressure video visit?</w:t>
      </w:r>
    </w:p>
    <w:p w:rsidR="0096066E" w:rsidRDefault="0096066E" w:rsidP="0096066E">
      <w:r>
        <w:t>Smartphone</w:t>
      </w:r>
    </w:p>
    <w:p w:rsidR="0096066E" w:rsidRDefault="0096066E" w:rsidP="0096066E">
      <w:r>
        <w:t>Personal tablet/iPad</w:t>
      </w:r>
    </w:p>
    <w:p w:rsidR="0096066E" w:rsidRDefault="0096066E" w:rsidP="0096066E">
      <w:r>
        <w:t>VA loaned tablet</w:t>
      </w:r>
    </w:p>
    <w:p w:rsidR="0096066E" w:rsidRDefault="0096066E" w:rsidP="0096066E">
      <w:r>
        <w:t>Personal computer</w:t>
      </w:r>
    </w:p>
    <w:p w:rsidR="00E2189C" w:rsidRDefault="00E2189C" w:rsidP="0096066E"/>
    <w:sectPr w:rsidR="00E2189C" w:rsidSect="00E2189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66E" w:rsidRDefault="0096066E" w:rsidP="0096066E">
      <w:r>
        <w:separator/>
      </w:r>
    </w:p>
  </w:endnote>
  <w:endnote w:type="continuationSeparator" w:id="0">
    <w:p w:rsidR="0096066E" w:rsidRDefault="0096066E" w:rsidP="0096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66E" w:rsidRDefault="0096066E" w:rsidP="0096066E">
      <w:r>
        <w:separator/>
      </w:r>
    </w:p>
  </w:footnote>
  <w:footnote w:type="continuationSeparator" w:id="0">
    <w:p w:rsidR="0096066E" w:rsidRDefault="0096066E" w:rsidP="00960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6E"/>
    <w:rsid w:val="00210A04"/>
    <w:rsid w:val="004833B4"/>
    <w:rsid w:val="0054467D"/>
    <w:rsid w:val="006F3F58"/>
    <w:rsid w:val="006F5EC4"/>
    <w:rsid w:val="0096066E"/>
    <w:rsid w:val="00CE6285"/>
    <w:rsid w:val="00D817F8"/>
    <w:rsid w:val="00E2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66E"/>
    <w:pPr>
      <w:tabs>
        <w:tab w:val="center" w:pos="4680"/>
        <w:tab w:val="right" w:pos="9360"/>
      </w:tabs>
    </w:pPr>
  </w:style>
  <w:style w:type="character" w:customStyle="1" w:styleId="HeaderChar">
    <w:name w:val="Header Char"/>
    <w:basedOn w:val="DefaultParagraphFont"/>
    <w:link w:val="Header"/>
    <w:uiPriority w:val="99"/>
    <w:rsid w:val="0096066E"/>
    <w:rPr>
      <w:rFonts w:ascii="Calibri" w:hAnsi="Calibri" w:cs="Calibri"/>
    </w:rPr>
  </w:style>
  <w:style w:type="paragraph" w:styleId="Footer">
    <w:name w:val="footer"/>
    <w:basedOn w:val="Normal"/>
    <w:link w:val="FooterChar"/>
    <w:uiPriority w:val="99"/>
    <w:unhideWhenUsed/>
    <w:rsid w:val="0096066E"/>
    <w:pPr>
      <w:tabs>
        <w:tab w:val="center" w:pos="4680"/>
        <w:tab w:val="right" w:pos="9360"/>
      </w:tabs>
    </w:pPr>
  </w:style>
  <w:style w:type="character" w:customStyle="1" w:styleId="FooterChar">
    <w:name w:val="Footer Char"/>
    <w:basedOn w:val="DefaultParagraphFont"/>
    <w:link w:val="Footer"/>
    <w:uiPriority w:val="99"/>
    <w:rsid w:val="0096066E"/>
    <w:rPr>
      <w:rFonts w:ascii="Calibri" w:hAnsi="Calibri" w:cs="Calibri"/>
    </w:rPr>
  </w:style>
  <w:style w:type="paragraph" w:styleId="BalloonText">
    <w:name w:val="Balloon Text"/>
    <w:basedOn w:val="Normal"/>
    <w:link w:val="BalloonTextChar"/>
    <w:uiPriority w:val="99"/>
    <w:semiHidden/>
    <w:unhideWhenUsed/>
    <w:rsid w:val="00CE6285"/>
    <w:rPr>
      <w:rFonts w:ascii="Tahoma" w:hAnsi="Tahoma" w:cs="Tahoma"/>
      <w:sz w:val="16"/>
      <w:szCs w:val="16"/>
    </w:rPr>
  </w:style>
  <w:style w:type="character" w:customStyle="1" w:styleId="BalloonTextChar">
    <w:name w:val="Balloon Text Char"/>
    <w:basedOn w:val="DefaultParagraphFont"/>
    <w:link w:val="BalloonText"/>
    <w:uiPriority w:val="99"/>
    <w:semiHidden/>
    <w:rsid w:val="00CE6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66E"/>
    <w:pPr>
      <w:tabs>
        <w:tab w:val="center" w:pos="4680"/>
        <w:tab w:val="right" w:pos="9360"/>
      </w:tabs>
    </w:pPr>
  </w:style>
  <w:style w:type="character" w:customStyle="1" w:styleId="HeaderChar">
    <w:name w:val="Header Char"/>
    <w:basedOn w:val="DefaultParagraphFont"/>
    <w:link w:val="Header"/>
    <w:uiPriority w:val="99"/>
    <w:rsid w:val="0096066E"/>
    <w:rPr>
      <w:rFonts w:ascii="Calibri" w:hAnsi="Calibri" w:cs="Calibri"/>
    </w:rPr>
  </w:style>
  <w:style w:type="paragraph" w:styleId="Footer">
    <w:name w:val="footer"/>
    <w:basedOn w:val="Normal"/>
    <w:link w:val="FooterChar"/>
    <w:uiPriority w:val="99"/>
    <w:unhideWhenUsed/>
    <w:rsid w:val="0096066E"/>
    <w:pPr>
      <w:tabs>
        <w:tab w:val="center" w:pos="4680"/>
        <w:tab w:val="right" w:pos="9360"/>
      </w:tabs>
    </w:pPr>
  </w:style>
  <w:style w:type="character" w:customStyle="1" w:styleId="FooterChar">
    <w:name w:val="Footer Char"/>
    <w:basedOn w:val="DefaultParagraphFont"/>
    <w:link w:val="Footer"/>
    <w:uiPriority w:val="99"/>
    <w:rsid w:val="0096066E"/>
    <w:rPr>
      <w:rFonts w:ascii="Calibri" w:hAnsi="Calibri" w:cs="Calibri"/>
    </w:rPr>
  </w:style>
  <w:style w:type="paragraph" w:styleId="BalloonText">
    <w:name w:val="Balloon Text"/>
    <w:basedOn w:val="Normal"/>
    <w:link w:val="BalloonTextChar"/>
    <w:uiPriority w:val="99"/>
    <w:semiHidden/>
    <w:unhideWhenUsed/>
    <w:rsid w:val="00CE6285"/>
    <w:rPr>
      <w:rFonts w:ascii="Tahoma" w:hAnsi="Tahoma" w:cs="Tahoma"/>
      <w:sz w:val="16"/>
      <w:szCs w:val="16"/>
    </w:rPr>
  </w:style>
  <w:style w:type="character" w:customStyle="1" w:styleId="BalloonTextChar">
    <w:name w:val="Balloon Text Char"/>
    <w:basedOn w:val="DefaultParagraphFont"/>
    <w:link w:val="BalloonText"/>
    <w:uiPriority w:val="99"/>
    <w:semiHidden/>
    <w:rsid w:val="00CE6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Carrico, Margaret E.</dc:creator>
  <cp:lastModifiedBy>SYSTEM</cp:lastModifiedBy>
  <cp:revision>2</cp:revision>
  <dcterms:created xsi:type="dcterms:W3CDTF">2018-04-03T12:16:00Z</dcterms:created>
  <dcterms:modified xsi:type="dcterms:W3CDTF">2018-04-03T12:16:00Z</dcterms:modified>
</cp:coreProperties>
</file>