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FE56" w14:textId="77777777" w:rsidR="00624198" w:rsidRDefault="00624198" w:rsidP="003855A3">
      <w:pPr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6317FA" wp14:editId="339BA4B1">
            <wp:extent cx="32480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F10CB" w14:textId="2D6ADE08" w:rsidR="00624198" w:rsidRPr="003855A3" w:rsidRDefault="00CD6711" w:rsidP="00624198">
      <w:pPr>
        <w:jc w:val="center"/>
        <w:rPr>
          <w:rFonts w:cstheme="minorHAnsi"/>
          <w:b/>
          <w:caps/>
          <w:sz w:val="28"/>
          <w:szCs w:val="28"/>
        </w:rPr>
      </w:pPr>
      <w:r w:rsidRPr="003855A3">
        <w:rPr>
          <w:rFonts w:cstheme="minorHAnsi"/>
          <w:b/>
          <w:caps/>
          <w:sz w:val="28"/>
          <w:szCs w:val="28"/>
        </w:rPr>
        <w:t>VA Telehealth Service transactional</w:t>
      </w:r>
      <w:r w:rsidR="00775CE5" w:rsidRPr="003855A3">
        <w:rPr>
          <w:rFonts w:cstheme="minorHAnsi"/>
          <w:b/>
          <w:caps/>
          <w:sz w:val="28"/>
          <w:szCs w:val="28"/>
        </w:rPr>
        <w:t xml:space="preserve"> survey</w:t>
      </w:r>
      <w:r w:rsidR="00FA79B0">
        <w:rPr>
          <w:rFonts w:cstheme="minorHAnsi"/>
          <w:b/>
          <w:caps/>
          <w:sz w:val="28"/>
          <w:szCs w:val="28"/>
        </w:rPr>
        <w:t>: Sample design brief</w:t>
      </w:r>
    </w:p>
    <w:p w14:paraId="662AEB18" w14:textId="77777777" w:rsidR="007F49E7" w:rsidRPr="00363FE0" w:rsidRDefault="007F49E7" w:rsidP="007F49E7">
      <w:pPr>
        <w:rPr>
          <w:rFonts w:cstheme="minorHAnsi"/>
          <w:color w:val="002060"/>
        </w:rPr>
      </w:pPr>
      <w:r w:rsidRPr="00363FE0">
        <w:rPr>
          <w:rFonts w:cstheme="minorHAnsi"/>
          <w:b/>
          <w:color w:val="002060"/>
        </w:rPr>
        <w:t>Introduction</w:t>
      </w:r>
    </w:p>
    <w:p w14:paraId="63C09300" w14:textId="55DA6E04" w:rsidR="00CD6711" w:rsidRPr="0081618E" w:rsidRDefault="00775CE5" w:rsidP="00CD6711">
      <w:pPr>
        <w:ind w:firstLine="720"/>
        <w:rPr>
          <w:rFonts w:cstheme="minorHAnsi"/>
        </w:rPr>
      </w:pPr>
      <w:r w:rsidRPr="0081618E">
        <w:rPr>
          <w:rFonts w:cstheme="minorHAnsi"/>
        </w:rPr>
        <w:t>The</w:t>
      </w:r>
      <w:r w:rsidR="00CD6711" w:rsidRPr="0081618E">
        <w:rPr>
          <w:rFonts w:cstheme="minorHAnsi"/>
        </w:rPr>
        <w:t xml:space="preserve"> Department of Veterans Affairs (VA) operates the nation’s largest health care system. It uses a wide variety of technologies to facilitate quality healthcare to its beneficiaries. </w:t>
      </w:r>
      <w:r w:rsidR="00CD6711" w:rsidRPr="0081618E">
        <w:rPr>
          <w:rFonts w:cstheme="minorHAnsi"/>
          <w:b/>
        </w:rPr>
        <w:t xml:space="preserve">Telehealth </w:t>
      </w:r>
      <w:r w:rsidR="00CD6711" w:rsidRPr="0081618E">
        <w:rPr>
          <w:rFonts w:cstheme="minorHAnsi"/>
        </w:rPr>
        <w:t>services are a critical aspect to moderniz</w:t>
      </w:r>
      <w:r w:rsidR="007D7588">
        <w:rPr>
          <w:rFonts w:cstheme="minorHAnsi"/>
        </w:rPr>
        <w:t>ing</w:t>
      </w:r>
      <w:r w:rsidR="00CD6711" w:rsidRPr="0081618E">
        <w:rPr>
          <w:rFonts w:cstheme="minorHAnsi"/>
        </w:rPr>
        <w:t xml:space="preserve"> the</w:t>
      </w:r>
      <w:r w:rsidR="007C3347" w:rsidRPr="0081618E">
        <w:rPr>
          <w:rFonts w:cstheme="minorHAnsi"/>
        </w:rPr>
        <w:t xml:space="preserve"> VA</w:t>
      </w:r>
      <w:r w:rsidR="00CD6711" w:rsidRPr="0081618E">
        <w:rPr>
          <w:rFonts w:cstheme="minorHAnsi"/>
        </w:rPr>
        <w:t xml:space="preserve"> h</w:t>
      </w:r>
      <w:r w:rsidR="007C3347" w:rsidRPr="0081618E">
        <w:rPr>
          <w:rFonts w:cstheme="minorHAnsi"/>
        </w:rPr>
        <w:t>ealth care system</w:t>
      </w:r>
      <w:r w:rsidR="00CD6711" w:rsidRPr="006F7F86">
        <w:rPr>
          <w:rFonts w:cstheme="minorHAnsi"/>
        </w:rPr>
        <w:t>. Telehealth (TH) increases access to high quality services by using information technology and telecommunication for Veterans</w:t>
      </w:r>
      <w:r w:rsidR="00734B4E" w:rsidRPr="00E03D23">
        <w:rPr>
          <w:rFonts w:cstheme="minorHAnsi"/>
        </w:rPr>
        <w:t>, especially those</w:t>
      </w:r>
      <w:r w:rsidR="00CD6711" w:rsidRPr="00E03D23">
        <w:rPr>
          <w:rFonts w:cstheme="minorHAnsi"/>
        </w:rPr>
        <w:t xml:space="preserve"> that live in remote areas </w:t>
      </w:r>
      <w:r w:rsidR="00734B4E" w:rsidRPr="00E03D23">
        <w:rPr>
          <w:rFonts w:cstheme="minorHAnsi"/>
        </w:rPr>
        <w:t>or are incapacitated. In FY 2017</w:t>
      </w:r>
      <w:r w:rsidR="00CD6711" w:rsidRPr="009C4E50">
        <w:rPr>
          <w:rFonts w:cstheme="minorHAnsi"/>
        </w:rPr>
        <w:t xml:space="preserve">, over </w:t>
      </w:r>
      <w:r w:rsidR="000E7478" w:rsidRPr="009C4E50">
        <w:rPr>
          <w:rFonts w:cstheme="minorHAnsi"/>
        </w:rPr>
        <w:t>700,000</w:t>
      </w:r>
      <w:r w:rsidR="000E7478" w:rsidRPr="0081618E">
        <w:rPr>
          <w:rFonts w:cstheme="minorHAnsi"/>
        </w:rPr>
        <w:t xml:space="preserve"> patients received care via the three central telehealth modalities</w:t>
      </w:r>
      <w:r w:rsidR="000E7478" w:rsidRPr="0081618E">
        <w:rPr>
          <w:rFonts w:cstheme="minorHAnsi"/>
          <w:vertAlign w:val="superscript"/>
        </w:rPr>
        <w:t>1</w:t>
      </w:r>
      <w:r w:rsidR="000E7478" w:rsidRPr="0081618E">
        <w:rPr>
          <w:rFonts w:cstheme="minorHAnsi"/>
        </w:rPr>
        <w:t xml:space="preserve">. </w:t>
      </w:r>
      <w:r w:rsidR="000E7478" w:rsidRPr="00363FE0">
        <w:rPr>
          <w:rFonts w:cstheme="minorHAnsi"/>
        </w:rPr>
        <w:t>Telehealth is an effective and convenient way for patient</w:t>
      </w:r>
      <w:r w:rsidR="00734B4E" w:rsidRPr="00363FE0">
        <w:rPr>
          <w:rFonts w:cstheme="minorHAnsi"/>
        </w:rPr>
        <w:t>s</w:t>
      </w:r>
      <w:r w:rsidR="000E7478" w:rsidRPr="0081618E">
        <w:rPr>
          <w:rFonts w:cstheme="minorHAnsi"/>
        </w:rPr>
        <w:t xml:space="preserve"> to </w:t>
      </w:r>
      <w:r w:rsidR="000E7478" w:rsidRPr="0081618E">
        <w:rPr>
          <w:rFonts w:cstheme="minorHAnsi"/>
          <w:i/>
        </w:rPr>
        <w:t>receive</w:t>
      </w:r>
      <w:r w:rsidR="000E7478" w:rsidRPr="0081618E">
        <w:rPr>
          <w:rFonts w:cstheme="minorHAnsi"/>
        </w:rPr>
        <w:t xml:space="preserve">, and for clinicians to </w:t>
      </w:r>
      <w:r w:rsidR="000E7478" w:rsidRPr="0081618E">
        <w:rPr>
          <w:rFonts w:cstheme="minorHAnsi"/>
          <w:i/>
        </w:rPr>
        <w:t>provide</w:t>
      </w:r>
      <w:r w:rsidR="000E7478" w:rsidRPr="0081618E">
        <w:rPr>
          <w:rFonts w:cstheme="minorHAnsi"/>
        </w:rPr>
        <w:t xml:space="preserve"> quality care</w:t>
      </w:r>
      <w:r w:rsidR="00734B4E" w:rsidRPr="0081618E">
        <w:rPr>
          <w:rFonts w:cstheme="minorHAnsi"/>
        </w:rPr>
        <w:t xml:space="preserve"> management</w:t>
      </w:r>
      <w:r w:rsidR="000E7478" w:rsidRPr="0081618E">
        <w:rPr>
          <w:rFonts w:cstheme="minorHAnsi"/>
        </w:rPr>
        <w:t>.</w:t>
      </w:r>
    </w:p>
    <w:p w14:paraId="3E973C98" w14:textId="1D263B9C" w:rsidR="0085470A" w:rsidRPr="001947E9" w:rsidRDefault="0085470A" w:rsidP="00CD6711">
      <w:pPr>
        <w:ind w:firstLine="720"/>
        <w:rPr>
          <w:rFonts w:cstheme="minorHAnsi"/>
        </w:rPr>
      </w:pPr>
      <w:r w:rsidRPr="00E03D23">
        <w:rPr>
          <w:rFonts w:cstheme="minorHAnsi"/>
          <w:b/>
        </w:rPr>
        <w:t>Clinical Video Telehealth</w:t>
      </w:r>
      <w:r w:rsidR="00734B4E" w:rsidRPr="00E03D23">
        <w:rPr>
          <w:rFonts w:cstheme="minorHAnsi"/>
        </w:rPr>
        <w:t xml:space="preserve"> (CVT)</w:t>
      </w:r>
      <w:r w:rsidRPr="00E03D23">
        <w:rPr>
          <w:rFonts w:cstheme="minorHAnsi"/>
        </w:rPr>
        <w:t xml:space="preserve"> is the use of real-time interactive </w:t>
      </w:r>
      <w:r w:rsidR="00BE6BEF" w:rsidRPr="00E03D23">
        <w:rPr>
          <w:rFonts w:cstheme="minorHAnsi"/>
        </w:rPr>
        <w:t xml:space="preserve">video conferencing to </w:t>
      </w:r>
      <w:r w:rsidR="00BE6BEF" w:rsidRPr="009C4E50">
        <w:rPr>
          <w:rFonts w:cstheme="minorHAnsi"/>
        </w:rPr>
        <w:t>assess, treat and provide patient care remotely. Veterans may be linked to physicians from a local clinic or</w:t>
      </w:r>
      <w:r w:rsidR="00E46515" w:rsidRPr="009C4E50">
        <w:rPr>
          <w:rFonts w:cstheme="minorHAnsi"/>
        </w:rPr>
        <w:t xml:space="preserve"> even</w:t>
      </w:r>
      <w:r w:rsidR="00BE6BEF" w:rsidRPr="009C6CCC">
        <w:rPr>
          <w:rFonts w:cstheme="minorHAnsi"/>
        </w:rPr>
        <w:t xml:space="preserve"> from home</w:t>
      </w:r>
      <w:r w:rsidR="00E46515" w:rsidRPr="00491605">
        <w:rPr>
          <w:rFonts w:cstheme="minorHAnsi"/>
        </w:rPr>
        <w:t xml:space="preserve">, for over 50 clinical applications, ranging from primary care to numerous specialties (e.g. dermatology). </w:t>
      </w:r>
      <w:r w:rsidR="00E46515" w:rsidRPr="00491605">
        <w:rPr>
          <w:rFonts w:cstheme="minorHAnsi"/>
          <w:b/>
        </w:rPr>
        <w:t>Home Telehealth</w:t>
      </w:r>
      <w:r w:rsidR="00734B4E" w:rsidRPr="00491605">
        <w:rPr>
          <w:rFonts w:cstheme="minorHAnsi"/>
        </w:rPr>
        <w:t xml:space="preserve"> (HT)</w:t>
      </w:r>
      <w:r w:rsidR="00E46515" w:rsidRPr="00491605">
        <w:rPr>
          <w:rFonts w:cstheme="minorHAnsi"/>
        </w:rPr>
        <w:t xml:space="preserve"> is applied to high-risk Veterans</w:t>
      </w:r>
      <w:r w:rsidR="00734B4E" w:rsidRPr="00491605">
        <w:rPr>
          <w:rFonts w:cstheme="minorHAnsi"/>
        </w:rPr>
        <w:t xml:space="preserve"> with chronic disease requiring</w:t>
      </w:r>
      <w:r w:rsidR="00E46515" w:rsidRPr="00491605">
        <w:rPr>
          <w:rFonts w:cstheme="minorHAnsi"/>
        </w:rPr>
        <w:t xml:space="preserve"> long-term care. Care management is augmented through such technologies as in-home and mobile monitoring</w:t>
      </w:r>
      <w:r w:rsidR="006E3D65" w:rsidRPr="00491605">
        <w:rPr>
          <w:rFonts w:cstheme="minorHAnsi"/>
        </w:rPr>
        <w:t xml:space="preserve">, messaging, and/or video conferencing. The goal of HT is </w:t>
      </w:r>
      <w:r w:rsidR="00734B4E" w:rsidRPr="00491605">
        <w:rPr>
          <w:rFonts w:cstheme="minorHAnsi"/>
        </w:rPr>
        <w:t xml:space="preserve">to </w:t>
      </w:r>
      <w:r w:rsidR="006E3D65" w:rsidRPr="00663B4E">
        <w:rPr>
          <w:rFonts w:cstheme="minorHAnsi"/>
        </w:rPr>
        <w:t>reduce complications, hospitalizations, and clinical/ER visitations</w:t>
      </w:r>
      <w:r w:rsidR="00781589" w:rsidRPr="00663B4E">
        <w:rPr>
          <w:rFonts w:cstheme="minorHAnsi"/>
        </w:rPr>
        <w:t>,</w:t>
      </w:r>
      <w:r w:rsidR="00734B4E" w:rsidRPr="00663B4E">
        <w:rPr>
          <w:rFonts w:cstheme="minorHAnsi"/>
        </w:rPr>
        <w:t xml:space="preserve"> </w:t>
      </w:r>
      <w:r w:rsidR="007C3347" w:rsidRPr="00663B4E">
        <w:rPr>
          <w:rFonts w:cstheme="minorHAnsi"/>
        </w:rPr>
        <w:t>so</w:t>
      </w:r>
      <w:r w:rsidR="00734B4E" w:rsidRPr="00663B4E">
        <w:rPr>
          <w:rFonts w:cstheme="minorHAnsi"/>
        </w:rPr>
        <w:t xml:space="preserve"> at-risk patients</w:t>
      </w:r>
      <w:r w:rsidR="007C3347" w:rsidRPr="00663B4E">
        <w:rPr>
          <w:rFonts w:cstheme="minorHAnsi"/>
        </w:rPr>
        <w:t xml:space="preserve"> may remain in their own homes</w:t>
      </w:r>
      <w:r w:rsidR="006E3D65" w:rsidRPr="00663B4E">
        <w:rPr>
          <w:rFonts w:cstheme="minorHAnsi"/>
        </w:rPr>
        <w:t xml:space="preserve">. Finally, </w:t>
      </w:r>
      <w:r w:rsidR="006E3D65" w:rsidRPr="00663B4E">
        <w:rPr>
          <w:rFonts w:cstheme="minorHAnsi"/>
          <w:b/>
        </w:rPr>
        <w:t xml:space="preserve">Store and Forward </w:t>
      </w:r>
      <w:r w:rsidR="003D0C28" w:rsidRPr="00663B4E">
        <w:rPr>
          <w:rFonts w:cstheme="minorHAnsi"/>
          <w:b/>
        </w:rPr>
        <w:t>Telehealth</w:t>
      </w:r>
      <w:r w:rsidR="003D0C28" w:rsidRPr="00663B4E">
        <w:rPr>
          <w:rFonts w:cstheme="minorHAnsi"/>
        </w:rPr>
        <w:t xml:space="preserve"> </w:t>
      </w:r>
      <w:r w:rsidR="00734B4E" w:rsidRPr="001C530C">
        <w:rPr>
          <w:rFonts w:cstheme="minorHAnsi"/>
        </w:rPr>
        <w:t xml:space="preserve">(SFT) </w:t>
      </w:r>
      <w:r w:rsidR="006E3D65" w:rsidRPr="001C530C">
        <w:rPr>
          <w:rFonts w:cstheme="minorHAnsi"/>
        </w:rPr>
        <w:t>concerns the acquisition and storage of electronic patient information (e.g., images, sounds, and vid</w:t>
      </w:r>
      <w:r w:rsidR="006E3D65" w:rsidRPr="004E6DC5">
        <w:rPr>
          <w:rFonts w:cstheme="minorHAnsi"/>
        </w:rPr>
        <w:t>eo) collected at a VA clinic</w:t>
      </w:r>
      <w:r w:rsidR="00734B4E" w:rsidRPr="004E6DC5">
        <w:rPr>
          <w:rFonts w:cstheme="minorHAnsi"/>
        </w:rPr>
        <w:t xml:space="preserve"> or medical center</w:t>
      </w:r>
      <w:r w:rsidR="006E3D65" w:rsidRPr="004E6DC5">
        <w:rPr>
          <w:rFonts w:cstheme="minorHAnsi"/>
        </w:rPr>
        <w:t xml:space="preserve">. The information is forwarded and retrieved by healthcare professionals </w:t>
      </w:r>
      <w:r w:rsidR="00734B4E" w:rsidRPr="004E6DC5">
        <w:rPr>
          <w:rFonts w:cstheme="minorHAnsi"/>
        </w:rPr>
        <w:t xml:space="preserve">at another VA </w:t>
      </w:r>
      <w:r w:rsidR="007C3347" w:rsidRPr="004E6DC5">
        <w:rPr>
          <w:rFonts w:cstheme="minorHAnsi"/>
        </w:rPr>
        <w:t>medical facility</w:t>
      </w:r>
      <w:r w:rsidR="00734B4E" w:rsidRPr="001947E9">
        <w:rPr>
          <w:rFonts w:cstheme="minorHAnsi"/>
        </w:rPr>
        <w:t xml:space="preserve"> where</w:t>
      </w:r>
      <w:r w:rsidR="006E3D65" w:rsidRPr="001947E9">
        <w:rPr>
          <w:rFonts w:cstheme="minorHAnsi"/>
        </w:rPr>
        <w:t xml:space="preserve"> an assessment is performed.</w:t>
      </w:r>
      <w:r w:rsidR="00E46515" w:rsidRPr="001947E9">
        <w:rPr>
          <w:rFonts w:cstheme="minorHAnsi"/>
        </w:rPr>
        <w:t xml:space="preserve"> </w:t>
      </w:r>
    </w:p>
    <w:p w14:paraId="5295EEDC" w14:textId="3B269E64" w:rsidR="00CD6711" w:rsidRPr="00EE586B" w:rsidRDefault="0080108A" w:rsidP="006E3D65">
      <w:pPr>
        <w:rPr>
          <w:rFonts w:cstheme="minorHAnsi"/>
        </w:rPr>
      </w:pPr>
      <w:r w:rsidRPr="008141ED">
        <w:rPr>
          <w:rFonts w:cstheme="minorHAnsi"/>
          <w:b/>
          <w:color w:val="002060"/>
        </w:rPr>
        <w:t>VEO Transactional Surveys</w:t>
      </w:r>
    </w:p>
    <w:p w14:paraId="650C648F" w14:textId="37BB78F4" w:rsidR="00734B4E" w:rsidRPr="00461A7D" w:rsidRDefault="0010683B" w:rsidP="00B30BB6">
      <w:pPr>
        <w:ind w:firstLine="720"/>
        <w:rPr>
          <w:rFonts w:cstheme="minorHAnsi"/>
        </w:rPr>
      </w:pPr>
      <w:r w:rsidRPr="00EE586B">
        <w:rPr>
          <w:rFonts w:cstheme="minorHAnsi"/>
        </w:rPr>
        <w:t xml:space="preserve">The Veteran Experience Office </w:t>
      </w:r>
      <w:r w:rsidR="003D0C28" w:rsidRPr="00EE586B">
        <w:rPr>
          <w:rFonts w:cstheme="minorHAnsi"/>
        </w:rPr>
        <w:t xml:space="preserve">(VEO) </w:t>
      </w:r>
      <w:r w:rsidR="003532CF" w:rsidRPr="00EE586B">
        <w:rPr>
          <w:rFonts w:cstheme="minorHAnsi"/>
        </w:rPr>
        <w:t>has been commissioned</w:t>
      </w:r>
      <w:r w:rsidR="007C3347" w:rsidRPr="00EE586B">
        <w:rPr>
          <w:rFonts w:cstheme="minorHAnsi"/>
        </w:rPr>
        <w:t xml:space="preserve"> by the Veteran Health Administration (VHA)</w:t>
      </w:r>
      <w:r w:rsidR="003532CF" w:rsidRPr="00632080">
        <w:rPr>
          <w:rFonts w:cstheme="minorHAnsi"/>
        </w:rPr>
        <w:t xml:space="preserve"> to measure the satisfaction of </w:t>
      </w:r>
      <w:r w:rsidR="00035985" w:rsidRPr="00632080">
        <w:rPr>
          <w:rFonts w:cstheme="minorHAnsi"/>
        </w:rPr>
        <w:t>Telehealth</w:t>
      </w:r>
      <w:r w:rsidR="006E3D65" w:rsidRPr="00632080">
        <w:rPr>
          <w:rFonts w:cstheme="minorHAnsi"/>
        </w:rPr>
        <w:t xml:space="preserve"> recipients </w:t>
      </w:r>
      <w:r w:rsidR="00324F1F" w:rsidRPr="00632080">
        <w:rPr>
          <w:rFonts w:cstheme="minorHAnsi"/>
        </w:rPr>
        <w:t>regarding the</w:t>
      </w:r>
      <w:r w:rsidR="00D6382F" w:rsidRPr="00632080">
        <w:rPr>
          <w:rFonts w:cstheme="minorHAnsi"/>
        </w:rPr>
        <w:t xml:space="preserve">ir </w:t>
      </w:r>
      <w:r w:rsidR="00035985" w:rsidRPr="00632080">
        <w:rPr>
          <w:rFonts w:cstheme="minorHAnsi"/>
        </w:rPr>
        <w:t>electronic</w:t>
      </w:r>
      <w:r w:rsidR="006E3D65" w:rsidRPr="00632080">
        <w:rPr>
          <w:rFonts w:cstheme="minorHAnsi"/>
        </w:rPr>
        <w:t xml:space="preserve"> interaction with physicians, nursing professionals, and other medical staff.</w:t>
      </w:r>
      <w:r w:rsidR="00734B4E" w:rsidRPr="00632080">
        <w:rPr>
          <w:rFonts w:cstheme="minorHAnsi"/>
        </w:rPr>
        <w:t xml:space="preserve"> It also seeks Veteran input on the quality </w:t>
      </w:r>
      <w:r w:rsidR="00734B4E" w:rsidRPr="00461A7D">
        <w:rPr>
          <w:rFonts w:cstheme="minorHAnsi"/>
        </w:rPr>
        <w:t xml:space="preserve">of the treatment they received via </w:t>
      </w:r>
      <w:r w:rsidR="007C3347" w:rsidRPr="00461A7D">
        <w:rPr>
          <w:rFonts w:cstheme="minorHAnsi"/>
        </w:rPr>
        <w:t xml:space="preserve">the three </w:t>
      </w:r>
      <w:r w:rsidR="00734B4E" w:rsidRPr="00461A7D">
        <w:rPr>
          <w:rFonts w:cstheme="minorHAnsi"/>
        </w:rPr>
        <w:t>modalities</w:t>
      </w:r>
      <w:r w:rsidR="007C3347" w:rsidRPr="00461A7D">
        <w:rPr>
          <w:rFonts w:cstheme="minorHAnsi"/>
        </w:rPr>
        <w:t xml:space="preserve"> listed above</w:t>
      </w:r>
      <w:r w:rsidR="00734B4E" w:rsidRPr="00461A7D">
        <w:rPr>
          <w:rFonts w:cstheme="minorHAnsi"/>
        </w:rPr>
        <w:t>.</w:t>
      </w:r>
    </w:p>
    <w:p w14:paraId="7B1D536F" w14:textId="02280AEA" w:rsidR="00734B4E" w:rsidRPr="003D7422" w:rsidRDefault="0010683B" w:rsidP="00B30BB6">
      <w:pPr>
        <w:ind w:firstLine="720"/>
        <w:rPr>
          <w:rFonts w:cstheme="minorHAnsi"/>
        </w:rPr>
      </w:pPr>
      <w:r w:rsidRPr="007226C6">
        <w:rPr>
          <w:rFonts w:cstheme="minorHAnsi"/>
        </w:rPr>
        <w:t xml:space="preserve"> </w:t>
      </w:r>
      <w:r w:rsidR="008074D5" w:rsidRPr="007226C6">
        <w:rPr>
          <w:rFonts w:cstheme="minorHAnsi"/>
        </w:rPr>
        <w:t>VEO proposes</w:t>
      </w:r>
      <w:r w:rsidR="00D6382F" w:rsidRPr="007226C6">
        <w:rPr>
          <w:rFonts w:cstheme="minorHAnsi"/>
        </w:rPr>
        <w:t xml:space="preserve"> to conduct a </w:t>
      </w:r>
      <w:r w:rsidR="007751B1" w:rsidRPr="007226C6">
        <w:rPr>
          <w:rFonts w:cstheme="minorHAnsi"/>
          <w:b/>
        </w:rPr>
        <w:t xml:space="preserve">brief </w:t>
      </w:r>
      <w:r w:rsidR="009F2C63" w:rsidRPr="007226C6">
        <w:rPr>
          <w:rFonts w:cstheme="minorHAnsi"/>
          <w:b/>
        </w:rPr>
        <w:t xml:space="preserve">transactional </w:t>
      </w:r>
      <w:r w:rsidRPr="007226C6">
        <w:rPr>
          <w:rFonts w:cstheme="minorHAnsi"/>
          <w:b/>
        </w:rPr>
        <w:t>survey</w:t>
      </w:r>
      <w:r w:rsidRPr="007226C6">
        <w:rPr>
          <w:rFonts w:cstheme="minorHAnsi"/>
        </w:rPr>
        <w:t xml:space="preserve"> on </w:t>
      </w:r>
      <w:r w:rsidR="003532CF" w:rsidRPr="007226C6">
        <w:rPr>
          <w:rFonts w:cstheme="minorHAnsi"/>
        </w:rPr>
        <w:t xml:space="preserve">persons </w:t>
      </w:r>
      <w:r w:rsidR="00E4130B" w:rsidRPr="007226C6">
        <w:rPr>
          <w:rFonts w:cstheme="minorHAnsi"/>
        </w:rPr>
        <w:t xml:space="preserve">who </w:t>
      </w:r>
      <w:r w:rsidR="00C236B8" w:rsidRPr="007226C6">
        <w:rPr>
          <w:rFonts w:cstheme="minorHAnsi"/>
        </w:rPr>
        <w:t xml:space="preserve">utilized the service within the past </w:t>
      </w:r>
      <w:r w:rsidR="007D7588">
        <w:rPr>
          <w:rFonts w:cstheme="minorHAnsi"/>
        </w:rPr>
        <w:t>week</w:t>
      </w:r>
      <w:r w:rsidRPr="007226C6">
        <w:rPr>
          <w:rFonts w:cstheme="minorHAnsi"/>
        </w:rPr>
        <w:t>.</w:t>
      </w:r>
      <w:r w:rsidR="007751B1" w:rsidRPr="007226C6">
        <w:rPr>
          <w:rFonts w:cstheme="minorHAnsi"/>
        </w:rPr>
        <w:t xml:space="preserve"> </w:t>
      </w:r>
      <w:r w:rsidR="00C236B8" w:rsidRPr="007226C6">
        <w:rPr>
          <w:rFonts w:cstheme="minorHAnsi"/>
        </w:rPr>
        <w:t xml:space="preserve">A subset of veterans will be randomly selected to </w:t>
      </w:r>
      <w:r w:rsidR="00F35BE5" w:rsidRPr="007226C6">
        <w:rPr>
          <w:rFonts w:cstheme="minorHAnsi"/>
        </w:rPr>
        <w:t>participate</w:t>
      </w:r>
      <w:r w:rsidR="009D6D13" w:rsidRPr="007226C6">
        <w:rPr>
          <w:rFonts w:cstheme="minorHAnsi"/>
        </w:rPr>
        <w:t>. Sample</w:t>
      </w:r>
      <w:r w:rsidR="00734B4E" w:rsidRPr="007226C6">
        <w:rPr>
          <w:rFonts w:cstheme="minorHAnsi"/>
        </w:rPr>
        <w:t>d</w:t>
      </w:r>
      <w:r w:rsidR="009D6D13" w:rsidRPr="007226C6">
        <w:rPr>
          <w:rFonts w:cstheme="minorHAnsi"/>
        </w:rPr>
        <w:t xml:space="preserve"> persons will be contacted</w:t>
      </w:r>
      <w:r w:rsidR="00F35BE5" w:rsidRPr="007226C6">
        <w:rPr>
          <w:rFonts w:cstheme="minorHAnsi"/>
        </w:rPr>
        <w:t xml:space="preserve"> through an invitation email. </w:t>
      </w:r>
      <w:r w:rsidR="0080108A" w:rsidRPr="007226C6">
        <w:rPr>
          <w:rFonts w:cstheme="minorHAnsi"/>
        </w:rPr>
        <w:t xml:space="preserve">A link will be enclosed so the survey may be completed using an online interface, with customized patient information. The survey </w:t>
      </w:r>
      <w:r w:rsidR="0080108A" w:rsidRPr="003D7422">
        <w:rPr>
          <w:rFonts w:cstheme="minorHAnsi"/>
        </w:rPr>
        <w:t>itself</w:t>
      </w:r>
      <w:r w:rsidR="009F2C63" w:rsidRPr="003D7422">
        <w:rPr>
          <w:rFonts w:cstheme="minorHAnsi"/>
        </w:rPr>
        <w:t xml:space="preserve"> will </w:t>
      </w:r>
      <w:r w:rsidR="007751B1" w:rsidRPr="003D7422">
        <w:rPr>
          <w:rFonts w:cstheme="minorHAnsi"/>
        </w:rPr>
        <w:t xml:space="preserve">consist of a handful of questions </w:t>
      </w:r>
      <w:r w:rsidR="00E4130B" w:rsidRPr="003D7422">
        <w:rPr>
          <w:rFonts w:cstheme="minorHAnsi"/>
        </w:rPr>
        <w:t xml:space="preserve">revolving around a human-centered design, focusing on such elements as trust, emotion, effective, and ease </w:t>
      </w:r>
      <w:r w:rsidR="007751B1" w:rsidRPr="003D7422">
        <w:rPr>
          <w:rFonts w:cstheme="minorHAnsi"/>
        </w:rPr>
        <w:t>with the</w:t>
      </w:r>
      <w:r w:rsidR="003A451E" w:rsidRPr="003D7422">
        <w:rPr>
          <w:rFonts w:cstheme="minorHAnsi"/>
        </w:rPr>
        <w:t xml:space="preserve"> </w:t>
      </w:r>
      <w:r w:rsidR="00734B4E" w:rsidRPr="003D7422">
        <w:rPr>
          <w:rFonts w:cstheme="minorHAnsi"/>
        </w:rPr>
        <w:t>care they received</w:t>
      </w:r>
      <w:r w:rsidR="003A451E" w:rsidRPr="003D7422">
        <w:rPr>
          <w:rFonts w:cstheme="minorHAnsi"/>
        </w:rPr>
        <w:t xml:space="preserve">. </w:t>
      </w:r>
    </w:p>
    <w:p w14:paraId="2AD9365C" w14:textId="4DEA7F9E" w:rsidR="0010683B" w:rsidRPr="000576D3" w:rsidRDefault="0010683B" w:rsidP="00B30BB6">
      <w:pPr>
        <w:ind w:firstLine="720"/>
        <w:rPr>
          <w:rFonts w:cstheme="minorHAnsi"/>
        </w:rPr>
      </w:pPr>
      <w:r w:rsidRPr="003D7422">
        <w:rPr>
          <w:rFonts w:cstheme="minorHAnsi"/>
        </w:rPr>
        <w:lastRenderedPageBreak/>
        <w:t xml:space="preserve">The purpose of this document is to outline the </w:t>
      </w:r>
      <w:r w:rsidR="00E16313" w:rsidRPr="003D7422">
        <w:rPr>
          <w:rFonts w:cstheme="minorHAnsi"/>
        </w:rPr>
        <w:t xml:space="preserve">planned </w:t>
      </w:r>
      <w:r w:rsidRPr="003D7422">
        <w:rPr>
          <w:rFonts w:cstheme="minorHAnsi"/>
          <w:b/>
        </w:rPr>
        <w:t>sample design</w:t>
      </w:r>
      <w:r w:rsidR="00D64CED" w:rsidRPr="003D7422">
        <w:rPr>
          <w:rFonts w:cstheme="minorHAnsi"/>
        </w:rPr>
        <w:t xml:space="preserve"> and provide a description of the data collection and </w:t>
      </w:r>
      <w:r w:rsidR="007D7588">
        <w:rPr>
          <w:rFonts w:cstheme="minorHAnsi"/>
        </w:rPr>
        <w:t xml:space="preserve">sample sizes </w:t>
      </w:r>
      <w:r w:rsidR="007C3347" w:rsidRPr="003D7422">
        <w:rPr>
          <w:rFonts w:cstheme="minorHAnsi"/>
        </w:rPr>
        <w:t xml:space="preserve">necessary for </w:t>
      </w:r>
      <w:r w:rsidR="00033BC5" w:rsidRPr="003D7422">
        <w:rPr>
          <w:rFonts w:cstheme="minorHAnsi"/>
        </w:rPr>
        <w:t xml:space="preserve">proper </w:t>
      </w:r>
      <w:r w:rsidR="007C3347" w:rsidRPr="003D7422">
        <w:rPr>
          <w:rFonts w:cstheme="minorHAnsi"/>
        </w:rPr>
        <w:t>reporting</w:t>
      </w:r>
      <w:r w:rsidR="00D64CED" w:rsidRPr="003D7422">
        <w:rPr>
          <w:rFonts w:cstheme="minorHAnsi"/>
        </w:rPr>
        <w:t>.</w:t>
      </w:r>
      <w:r w:rsidR="00E16313" w:rsidRPr="003D7422">
        <w:rPr>
          <w:rFonts w:cstheme="minorHAnsi"/>
        </w:rPr>
        <w:t xml:space="preserve"> A revised version of this document will be issued after survey implementation, containing the finalized sampling methodology.</w:t>
      </w:r>
    </w:p>
    <w:p w14:paraId="6B0339C4" w14:textId="77777777" w:rsidR="0080108A" w:rsidRPr="000576D3" w:rsidRDefault="0080108A" w:rsidP="0080108A">
      <w:pPr>
        <w:rPr>
          <w:rFonts w:cstheme="minorHAnsi"/>
        </w:rPr>
      </w:pPr>
      <w:r w:rsidRPr="000576D3">
        <w:rPr>
          <w:rFonts w:cstheme="minorHAnsi"/>
          <w:b/>
          <w:color w:val="002060"/>
        </w:rPr>
        <w:t>Measurement Goals</w:t>
      </w:r>
    </w:p>
    <w:p w14:paraId="70A674E2" w14:textId="1FE4085E" w:rsidR="00F35BE5" w:rsidRPr="003855A3" w:rsidRDefault="00F35BE5" w:rsidP="00B30BB6">
      <w:pPr>
        <w:ind w:firstLine="720"/>
        <w:rPr>
          <w:rFonts w:cstheme="minorHAnsi"/>
        </w:rPr>
      </w:pPr>
      <w:r w:rsidRPr="00D83A4B">
        <w:rPr>
          <w:rFonts w:cstheme="minorHAnsi"/>
        </w:rPr>
        <w:t xml:space="preserve">The goal of the </w:t>
      </w:r>
      <w:r w:rsidR="0080108A" w:rsidRPr="00D83A4B">
        <w:rPr>
          <w:rFonts w:cstheme="minorHAnsi"/>
        </w:rPr>
        <w:t xml:space="preserve">VEO </w:t>
      </w:r>
      <w:r w:rsidRPr="00D83A4B">
        <w:rPr>
          <w:rFonts w:cstheme="minorHAnsi"/>
        </w:rPr>
        <w:t>survey operation is to continuously provide</w:t>
      </w:r>
      <w:r w:rsidRPr="003855A3">
        <w:rPr>
          <w:rFonts w:cstheme="minorHAnsi"/>
        </w:rPr>
        <w:t xml:space="preserve"> </w:t>
      </w:r>
      <w:r w:rsidR="00C36453" w:rsidRPr="003855A3">
        <w:rPr>
          <w:rFonts w:cstheme="minorHAnsi"/>
        </w:rPr>
        <w:t xml:space="preserve">highly </w:t>
      </w:r>
      <w:r w:rsidR="00684495" w:rsidRPr="003855A3">
        <w:rPr>
          <w:rFonts w:cstheme="minorHAnsi"/>
        </w:rPr>
        <w:t>reliable</w:t>
      </w:r>
      <w:r w:rsidRPr="003855A3">
        <w:rPr>
          <w:rFonts w:cstheme="minorHAnsi"/>
        </w:rPr>
        <w:t xml:space="preserve"> </w:t>
      </w:r>
      <w:r w:rsidRPr="003855A3">
        <w:rPr>
          <w:rFonts w:cstheme="minorHAnsi"/>
          <w:b/>
        </w:rPr>
        <w:t>monthly</w:t>
      </w:r>
      <w:r w:rsidRPr="003855A3">
        <w:rPr>
          <w:rFonts w:cstheme="minorHAnsi"/>
        </w:rPr>
        <w:t xml:space="preserve"> </w:t>
      </w:r>
      <w:r w:rsidR="003D0C28" w:rsidRPr="003855A3">
        <w:rPr>
          <w:rFonts w:cstheme="minorHAnsi"/>
        </w:rPr>
        <w:t xml:space="preserve">overall </w:t>
      </w:r>
      <w:r w:rsidRPr="003855A3">
        <w:rPr>
          <w:rFonts w:cstheme="minorHAnsi"/>
        </w:rPr>
        <w:t xml:space="preserve">estimates of veteran utilization </w:t>
      </w:r>
      <w:r w:rsidR="003D0C28" w:rsidRPr="003855A3">
        <w:rPr>
          <w:rFonts w:cstheme="minorHAnsi"/>
        </w:rPr>
        <w:t>within</w:t>
      </w:r>
      <w:r w:rsidRPr="003855A3">
        <w:rPr>
          <w:rFonts w:cstheme="minorHAnsi"/>
        </w:rPr>
        <w:t xml:space="preserve"> the three major aspects o</w:t>
      </w:r>
      <w:r w:rsidR="00B31B6F" w:rsidRPr="003855A3">
        <w:rPr>
          <w:rFonts w:cstheme="minorHAnsi"/>
        </w:rPr>
        <w:t>f telehealth: CVT, HT, and SFT (Weekly and Quarterly survey estimates will also be available</w:t>
      </w:r>
      <w:r w:rsidR="00734B4E" w:rsidRPr="003855A3">
        <w:rPr>
          <w:rFonts w:cstheme="minorHAnsi"/>
        </w:rPr>
        <w:t xml:space="preserve"> to data users</w:t>
      </w:r>
      <w:r w:rsidR="00B31B6F" w:rsidRPr="003855A3">
        <w:rPr>
          <w:rFonts w:cstheme="minorHAnsi"/>
        </w:rPr>
        <w:t xml:space="preserve">). </w:t>
      </w:r>
      <w:r w:rsidRPr="003855A3">
        <w:rPr>
          <w:rFonts w:cstheme="minorHAnsi"/>
        </w:rPr>
        <w:t xml:space="preserve">The number of persons contacted each month will be restricted to limit </w:t>
      </w:r>
      <w:r w:rsidR="007C3347" w:rsidRPr="003855A3">
        <w:rPr>
          <w:rFonts w:cstheme="minorHAnsi"/>
        </w:rPr>
        <w:t xml:space="preserve">the </w:t>
      </w:r>
      <w:r w:rsidRPr="003855A3">
        <w:rPr>
          <w:rFonts w:cstheme="minorHAnsi"/>
        </w:rPr>
        <w:t xml:space="preserve">burden on the patient population. </w:t>
      </w:r>
      <w:r w:rsidR="00602E5C" w:rsidRPr="003855A3">
        <w:rPr>
          <w:rFonts w:cstheme="minorHAnsi"/>
        </w:rPr>
        <w:t>In order to prevent survey fatigue, l</w:t>
      </w:r>
      <w:r w:rsidRPr="003855A3">
        <w:rPr>
          <w:rFonts w:cstheme="minorHAnsi"/>
        </w:rPr>
        <w:t>imitations will also be imposed on the number of times veterans may be contacted for this surv</w:t>
      </w:r>
      <w:r w:rsidR="00602E5C" w:rsidRPr="003855A3">
        <w:rPr>
          <w:rFonts w:cstheme="minorHAnsi"/>
        </w:rPr>
        <w:t xml:space="preserve">ey (or other </w:t>
      </w:r>
      <w:r w:rsidR="0080108A" w:rsidRPr="003855A3">
        <w:rPr>
          <w:rFonts w:cstheme="minorHAnsi"/>
        </w:rPr>
        <w:t xml:space="preserve">active </w:t>
      </w:r>
      <w:r w:rsidR="00602E5C" w:rsidRPr="003855A3">
        <w:rPr>
          <w:rFonts w:cstheme="minorHAnsi"/>
        </w:rPr>
        <w:t>VEO surveys)</w:t>
      </w:r>
      <w:r w:rsidRPr="003855A3">
        <w:rPr>
          <w:rFonts w:cstheme="minorHAnsi"/>
        </w:rPr>
        <w:t xml:space="preserve">. </w:t>
      </w:r>
      <w:r w:rsidR="0080108A" w:rsidRPr="003855A3">
        <w:rPr>
          <w:rFonts w:cstheme="minorHAnsi"/>
        </w:rPr>
        <w:t xml:space="preserve">Therefore, the sample sizes will represent a </w:t>
      </w:r>
      <w:r w:rsidR="00BF459E" w:rsidRPr="003855A3">
        <w:rPr>
          <w:rFonts w:cstheme="minorHAnsi"/>
        </w:rPr>
        <w:t xml:space="preserve">suitable </w:t>
      </w:r>
      <w:r w:rsidR="0080108A" w:rsidRPr="003855A3">
        <w:rPr>
          <w:rFonts w:cstheme="minorHAnsi"/>
        </w:rPr>
        <w:t>compromise be</w:t>
      </w:r>
      <w:r w:rsidR="00BF459E" w:rsidRPr="003855A3">
        <w:rPr>
          <w:rFonts w:cstheme="minorHAnsi"/>
        </w:rPr>
        <w:t xml:space="preserve">tween </w:t>
      </w:r>
      <w:r w:rsidR="007C3347" w:rsidRPr="003855A3">
        <w:rPr>
          <w:rFonts w:cstheme="minorHAnsi"/>
        </w:rPr>
        <w:t xml:space="preserve">reporting </w:t>
      </w:r>
      <w:r w:rsidR="00BF459E" w:rsidRPr="003855A3">
        <w:rPr>
          <w:rFonts w:cstheme="minorHAnsi"/>
        </w:rPr>
        <w:t>precision</w:t>
      </w:r>
      <w:r w:rsidR="0080108A" w:rsidRPr="003855A3">
        <w:rPr>
          <w:rFonts w:cstheme="minorHAnsi"/>
        </w:rPr>
        <w:t xml:space="preserve"> and intrusiveness</w:t>
      </w:r>
      <w:r w:rsidR="007C3347" w:rsidRPr="003855A3">
        <w:rPr>
          <w:rFonts w:cstheme="minorHAnsi"/>
        </w:rPr>
        <w:t xml:space="preserve"> on beneficiaries</w:t>
      </w:r>
      <w:r w:rsidR="0080108A" w:rsidRPr="003855A3">
        <w:rPr>
          <w:rFonts w:cstheme="minorHAnsi"/>
        </w:rPr>
        <w:t>.</w:t>
      </w:r>
      <w:r w:rsidR="00033BC5" w:rsidRPr="003855A3">
        <w:rPr>
          <w:rFonts w:cstheme="minorHAnsi"/>
        </w:rPr>
        <w:t xml:space="preserve"> </w:t>
      </w:r>
      <w:r w:rsidR="003855A3" w:rsidRPr="003855A3">
        <w:rPr>
          <w:rFonts w:cstheme="minorHAnsi"/>
        </w:rPr>
        <w:t>Appropriate</w:t>
      </w:r>
      <w:r w:rsidR="0080108A" w:rsidRPr="003855A3">
        <w:rPr>
          <w:rFonts w:cstheme="minorHAnsi"/>
        </w:rPr>
        <w:t xml:space="preserve"> </w:t>
      </w:r>
      <w:r w:rsidR="00033BC5" w:rsidRPr="003855A3">
        <w:rPr>
          <w:rFonts w:cstheme="minorHAnsi"/>
        </w:rPr>
        <w:t>s</w:t>
      </w:r>
      <w:r w:rsidRPr="003855A3">
        <w:rPr>
          <w:rFonts w:cstheme="minorHAnsi"/>
        </w:rPr>
        <w:t xml:space="preserve">ample stratification and weighting methodology will be </w:t>
      </w:r>
      <w:r w:rsidR="00734B4E" w:rsidRPr="003855A3">
        <w:rPr>
          <w:rFonts w:cstheme="minorHAnsi"/>
        </w:rPr>
        <w:t>levied</w:t>
      </w:r>
      <w:r w:rsidRPr="003855A3">
        <w:rPr>
          <w:rFonts w:cstheme="minorHAnsi"/>
        </w:rPr>
        <w:t xml:space="preserve"> to ensure that the final estimates are </w:t>
      </w:r>
      <w:r w:rsidR="00734B4E" w:rsidRPr="003855A3">
        <w:rPr>
          <w:rFonts w:cstheme="minorHAnsi"/>
        </w:rPr>
        <w:t xml:space="preserve">truly </w:t>
      </w:r>
      <w:r w:rsidRPr="003855A3">
        <w:rPr>
          <w:rFonts w:cstheme="minorHAnsi"/>
        </w:rPr>
        <w:t xml:space="preserve">representative of the at-large Telehealth population. </w:t>
      </w:r>
    </w:p>
    <w:p w14:paraId="6D84752B" w14:textId="0D8FE2A4" w:rsidR="00197A45" w:rsidRPr="003855A3" w:rsidRDefault="00197A45" w:rsidP="00B30BB6">
      <w:pPr>
        <w:ind w:firstLine="720"/>
        <w:rPr>
          <w:rFonts w:cstheme="minorHAnsi"/>
          <w:b/>
        </w:rPr>
      </w:pPr>
      <w:r w:rsidRPr="003855A3">
        <w:rPr>
          <w:rFonts w:cstheme="minorHAnsi"/>
          <w:b/>
        </w:rPr>
        <w:t>Sample Design Elements</w:t>
      </w:r>
    </w:p>
    <w:p w14:paraId="5736F76F" w14:textId="311245A0" w:rsidR="00BF459E" w:rsidRPr="003855A3" w:rsidRDefault="00BF459E" w:rsidP="00BF459E">
      <w:pPr>
        <w:pStyle w:val="ListParagraph"/>
        <w:numPr>
          <w:ilvl w:val="0"/>
          <w:numId w:val="5"/>
        </w:numPr>
        <w:rPr>
          <w:rFonts w:cstheme="minorHAnsi"/>
        </w:rPr>
      </w:pPr>
      <w:r w:rsidRPr="003855A3">
        <w:rPr>
          <w:rFonts w:cstheme="minorHAnsi"/>
        </w:rPr>
        <w:t>Data Collection Process</w:t>
      </w:r>
    </w:p>
    <w:p w14:paraId="72BF544F" w14:textId="69B64757" w:rsidR="00BF459E" w:rsidRPr="003855A3" w:rsidRDefault="00BF459E" w:rsidP="00BF459E">
      <w:pPr>
        <w:pStyle w:val="ListParagraph"/>
        <w:numPr>
          <w:ilvl w:val="0"/>
          <w:numId w:val="5"/>
        </w:numPr>
        <w:rPr>
          <w:rFonts w:cstheme="minorHAnsi"/>
        </w:rPr>
      </w:pPr>
      <w:r w:rsidRPr="003855A3">
        <w:rPr>
          <w:rFonts w:cstheme="minorHAnsi"/>
        </w:rPr>
        <w:t>Target Population and Sample Size Determination</w:t>
      </w:r>
    </w:p>
    <w:p w14:paraId="2505C665" w14:textId="3420D9B2" w:rsidR="00BF459E" w:rsidRPr="003855A3" w:rsidRDefault="00BF459E" w:rsidP="00BF459E">
      <w:pPr>
        <w:pStyle w:val="ListParagraph"/>
        <w:numPr>
          <w:ilvl w:val="0"/>
          <w:numId w:val="5"/>
        </w:numPr>
        <w:rPr>
          <w:rFonts w:cstheme="minorHAnsi"/>
        </w:rPr>
      </w:pPr>
      <w:r w:rsidRPr="003855A3">
        <w:rPr>
          <w:rFonts w:cstheme="minorHAnsi"/>
        </w:rPr>
        <w:t>Stratification and Weighting</w:t>
      </w:r>
    </w:p>
    <w:p w14:paraId="288FEA6B" w14:textId="5C2C7E9F" w:rsidR="00BF459E" w:rsidRPr="003855A3" w:rsidRDefault="00BF459E" w:rsidP="00BF459E">
      <w:pPr>
        <w:pStyle w:val="ListParagraph"/>
        <w:numPr>
          <w:ilvl w:val="0"/>
          <w:numId w:val="5"/>
        </w:numPr>
        <w:rPr>
          <w:rFonts w:cstheme="minorHAnsi"/>
        </w:rPr>
      </w:pPr>
      <w:r w:rsidRPr="003855A3">
        <w:rPr>
          <w:rFonts w:cstheme="minorHAnsi"/>
        </w:rPr>
        <w:t>Quarantine Protocol</w:t>
      </w:r>
    </w:p>
    <w:p w14:paraId="6B4C5ECC" w14:textId="32AFD580" w:rsidR="00BF459E" w:rsidRPr="003855A3" w:rsidRDefault="00BF459E" w:rsidP="00BF459E">
      <w:pPr>
        <w:pStyle w:val="ListParagraph"/>
        <w:numPr>
          <w:ilvl w:val="0"/>
          <w:numId w:val="5"/>
        </w:numPr>
        <w:rPr>
          <w:rFonts w:cstheme="minorHAnsi"/>
        </w:rPr>
      </w:pPr>
      <w:r w:rsidRPr="003855A3">
        <w:rPr>
          <w:rFonts w:cstheme="minorHAnsi"/>
        </w:rPr>
        <w:t>Quality Control Processes</w:t>
      </w:r>
    </w:p>
    <w:p w14:paraId="0B8F5500" w14:textId="7FFC8AD1" w:rsidR="00715E56" w:rsidRPr="003855A3" w:rsidRDefault="00715E56" w:rsidP="00715E56">
      <w:pPr>
        <w:rPr>
          <w:rFonts w:cstheme="minorHAnsi"/>
          <w:b/>
          <w:color w:val="002060"/>
        </w:rPr>
      </w:pPr>
      <w:r w:rsidRPr="003855A3">
        <w:rPr>
          <w:rFonts w:cstheme="minorHAnsi"/>
          <w:b/>
          <w:color w:val="002060"/>
        </w:rPr>
        <w:t>Data Collection Process</w:t>
      </w:r>
    </w:p>
    <w:p w14:paraId="7535CB24" w14:textId="0A21B5E6" w:rsidR="00197A45" w:rsidRPr="001947E9" w:rsidRDefault="00715E56" w:rsidP="00197A45">
      <w:pPr>
        <w:ind w:firstLine="720"/>
        <w:rPr>
          <w:rFonts w:cstheme="minorHAnsi"/>
        </w:rPr>
      </w:pPr>
      <w:r w:rsidRPr="003855A3">
        <w:rPr>
          <w:rFonts w:cstheme="minorHAnsi"/>
        </w:rPr>
        <w:t>At the beginning of every measurement period, VEO data analysts will access the Corporate Data Warehouse</w:t>
      </w:r>
      <w:r w:rsidR="007C3347" w:rsidRPr="003855A3">
        <w:rPr>
          <w:rFonts w:cstheme="minorHAnsi"/>
        </w:rPr>
        <w:t xml:space="preserve"> (CDW)</w:t>
      </w:r>
      <w:r w:rsidRPr="003855A3">
        <w:rPr>
          <w:rFonts w:cstheme="minorHAnsi"/>
        </w:rPr>
        <w:t xml:space="preserve">, which contains the </w:t>
      </w:r>
      <w:r w:rsidR="00033BC5" w:rsidRPr="003855A3">
        <w:rPr>
          <w:rFonts w:cstheme="minorHAnsi"/>
        </w:rPr>
        <w:t xml:space="preserve">governmental </w:t>
      </w:r>
      <w:r w:rsidRPr="003855A3">
        <w:rPr>
          <w:rFonts w:cstheme="minorHAnsi"/>
        </w:rPr>
        <w:t xml:space="preserve">database for </w:t>
      </w:r>
      <w:r w:rsidR="00033BC5" w:rsidRPr="003855A3">
        <w:rPr>
          <w:rFonts w:cstheme="minorHAnsi"/>
        </w:rPr>
        <w:t xml:space="preserve">all </w:t>
      </w:r>
      <w:r w:rsidRPr="003855A3">
        <w:rPr>
          <w:rFonts w:cstheme="minorHAnsi"/>
        </w:rPr>
        <w:t>VHA interactions. The telehealth target population will be extracted and recorded</w:t>
      </w:r>
      <w:r w:rsidR="00033BC5" w:rsidRPr="003855A3">
        <w:rPr>
          <w:rFonts w:cstheme="minorHAnsi"/>
        </w:rPr>
        <w:t xml:space="preserve"> with each new iteration</w:t>
      </w:r>
      <w:r w:rsidRPr="003855A3">
        <w:rPr>
          <w:rFonts w:cstheme="minorHAnsi"/>
        </w:rPr>
        <w:t xml:space="preserve">. Those veterans with a valid email address will be included in the survey frame. A </w:t>
      </w:r>
      <w:r w:rsidR="00033BC5" w:rsidRPr="003855A3">
        <w:rPr>
          <w:rFonts w:cstheme="minorHAnsi"/>
        </w:rPr>
        <w:t xml:space="preserve">new </w:t>
      </w:r>
      <w:r w:rsidRPr="003855A3">
        <w:rPr>
          <w:rFonts w:cstheme="minorHAnsi"/>
        </w:rPr>
        <w:t>random sample, according to the stratification and quarantine protocol defined</w:t>
      </w:r>
      <w:r w:rsidR="00033BC5" w:rsidRPr="004E6DC5">
        <w:rPr>
          <w:rFonts w:cstheme="minorHAnsi"/>
        </w:rPr>
        <w:t xml:space="preserve"> below will be used to create an invitation file</w:t>
      </w:r>
      <w:r w:rsidRPr="004E6DC5">
        <w:rPr>
          <w:rFonts w:cstheme="minorHAnsi"/>
        </w:rPr>
        <w:t>.</w:t>
      </w:r>
      <w:r w:rsidR="00197A45" w:rsidRPr="004E6DC5">
        <w:rPr>
          <w:rFonts w:cstheme="minorHAnsi"/>
        </w:rPr>
        <w:t xml:space="preserve"> </w:t>
      </w:r>
      <w:r w:rsidR="00033BC5" w:rsidRPr="001947E9">
        <w:rPr>
          <w:rFonts w:cstheme="minorHAnsi"/>
        </w:rPr>
        <w:t>Emails are immediately delivered to all selected patients.</w:t>
      </w:r>
    </w:p>
    <w:p w14:paraId="5217CD7B" w14:textId="61A403D7" w:rsidR="00715E56" w:rsidRPr="008141ED" w:rsidRDefault="00197A45" w:rsidP="00197A45">
      <w:pPr>
        <w:ind w:firstLine="720"/>
        <w:rPr>
          <w:rFonts w:cstheme="minorHAnsi"/>
          <w:b/>
          <w:color w:val="4472C4" w:themeColor="accent1"/>
        </w:rPr>
      </w:pPr>
      <w:r w:rsidRPr="001947E9">
        <w:rPr>
          <w:rFonts w:cstheme="minorHAnsi"/>
        </w:rPr>
        <w:t xml:space="preserve">Selected respondents will be contacted within 3-4 days of their Telehealth interaction. They will have 14 days to complete the survey. Estimates will be </w:t>
      </w:r>
      <w:r w:rsidR="00033BC5" w:rsidRPr="001947E9">
        <w:rPr>
          <w:rFonts w:cstheme="minorHAnsi"/>
        </w:rPr>
        <w:t>accessible</w:t>
      </w:r>
      <w:r w:rsidRPr="001947E9">
        <w:rPr>
          <w:rFonts w:cstheme="minorHAnsi"/>
        </w:rPr>
        <w:t xml:space="preserve"> to data users instantly, with the final weighted results available 14 days after the beginning of the survey.</w:t>
      </w:r>
      <w:r w:rsidR="00715E56" w:rsidRPr="008141ED">
        <w:rPr>
          <w:rFonts w:cstheme="minorHAnsi"/>
        </w:rPr>
        <w:t xml:space="preserve"> </w:t>
      </w:r>
    </w:p>
    <w:p w14:paraId="66183C2F" w14:textId="4DD3273A" w:rsidR="00883A37" w:rsidRPr="00EE586B" w:rsidRDefault="005528DA" w:rsidP="00612CC8">
      <w:pPr>
        <w:rPr>
          <w:rFonts w:cstheme="minorHAnsi"/>
          <w:b/>
          <w:color w:val="4472C4" w:themeColor="accent1"/>
        </w:rPr>
      </w:pPr>
      <w:r w:rsidRPr="008141ED">
        <w:rPr>
          <w:rFonts w:cstheme="minorHAnsi"/>
          <w:b/>
          <w:color w:val="4472C4" w:themeColor="accent1"/>
        </w:rPr>
        <w:t xml:space="preserve">Table 1. </w:t>
      </w:r>
      <w:r w:rsidR="00612CC8" w:rsidRPr="008141ED">
        <w:rPr>
          <w:rFonts w:cstheme="minorHAnsi"/>
          <w:b/>
          <w:color w:val="4472C4" w:themeColor="accent1"/>
        </w:rPr>
        <w:t>Survey Mode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1647"/>
        <w:gridCol w:w="1980"/>
        <w:gridCol w:w="1548"/>
        <w:gridCol w:w="1548"/>
      </w:tblGrid>
      <w:tr w:rsidR="00035985" w:rsidRPr="00363FE0" w14:paraId="3515D8AB" w14:textId="7D58C5B5" w:rsidTr="009133C3">
        <w:trPr>
          <w:jc w:val="center"/>
        </w:trPr>
        <w:tc>
          <w:tcPr>
            <w:tcW w:w="2324" w:type="dxa"/>
          </w:tcPr>
          <w:p w14:paraId="467FE2B2" w14:textId="4E466C8F" w:rsidR="00035985" w:rsidRPr="00EE586B" w:rsidRDefault="00035985" w:rsidP="00660907">
            <w:pPr>
              <w:rPr>
                <w:rFonts w:cstheme="minorHAnsi"/>
                <w:b/>
                <w:color w:val="4472C4" w:themeColor="accent1"/>
              </w:rPr>
            </w:pPr>
            <w:r w:rsidRPr="00EE586B">
              <w:rPr>
                <w:rFonts w:cstheme="minorHAnsi"/>
                <w:b/>
                <w:color w:val="4472C4" w:themeColor="accent1"/>
              </w:rPr>
              <w:t>Mode of Data Collection</w:t>
            </w:r>
          </w:p>
          <w:p w14:paraId="62D589D7" w14:textId="318E9892" w:rsidR="00035985" w:rsidRPr="00EE586B" w:rsidRDefault="00035985" w:rsidP="00660907">
            <w:pPr>
              <w:rPr>
                <w:rFonts w:cstheme="minorHAnsi"/>
                <w:b/>
                <w:color w:val="4472C4" w:themeColor="accent1"/>
              </w:rPr>
            </w:pPr>
          </w:p>
        </w:tc>
        <w:tc>
          <w:tcPr>
            <w:tcW w:w="1647" w:type="dxa"/>
          </w:tcPr>
          <w:p w14:paraId="71720BF6" w14:textId="58F14B61" w:rsidR="00035985" w:rsidRPr="00632080" w:rsidRDefault="00035985" w:rsidP="00660907">
            <w:pPr>
              <w:rPr>
                <w:rFonts w:cstheme="minorHAnsi"/>
                <w:b/>
                <w:color w:val="4472C4" w:themeColor="accent1"/>
              </w:rPr>
            </w:pPr>
            <w:r w:rsidRPr="00632080">
              <w:rPr>
                <w:rFonts w:cstheme="minorHAnsi"/>
                <w:b/>
                <w:color w:val="4472C4" w:themeColor="accent1"/>
              </w:rPr>
              <w:t>Recruitment Method</w:t>
            </w:r>
          </w:p>
        </w:tc>
        <w:tc>
          <w:tcPr>
            <w:tcW w:w="1980" w:type="dxa"/>
          </w:tcPr>
          <w:p w14:paraId="7EFD31D0" w14:textId="1D8C5EE6" w:rsidR="00035985" w:rsidRPr="00632080" w:rsidRDefault="00035985" w:rsidP="00D6382F">
            <w:pPr>
              <w:rPr>
                <w:rFonts w:cstheme="minorHAnsi"/>
                <w:b/>
                <w:color w:val="4472C4" w:themeColor="accent1"/>
              </w:rPr>
            </w:pPr>
            <w:r w:rsidRPr="00632080">
              <w:rPr>
                <w:rFonts w:cstheme="minorHAnsi"/>
                <w:b/>
                <w:color w:val="4472C4" w:themeColor="accent1"/>
              </w:rPr>
              <w:t xml:space="preserve">Time After Transaction </w:t>
            </w:r>
          </w:p>
        </w:tc>
        <w:tc>
          <w:tcPr>
            <w:tcW w:w="1548" w:type="dxa"/>
          </w:tcPr>
          <w:p w14:paraId="0F0E4E58" w14:textId="01F5FBEF" w:rsidR="00035985" w:rsidRPr="00632080" w:rsidRDefault="00035985" w:rsidP="00D6382F">
            <w:pPr>
              <w:rPr>
                <w:rFonts w:cstheme="minorHAnsi"/>
                <w:b/>
                <w:color w:val="4472C4" w:themeColor="accent1"/>
              </w:rPr>
            </w:pPr>
            <w:r w:rsidRPr="00632080">
              <w:rPr>
                <w:rFonts w:cstheme="minorHAnsi"/>
                <w:b/>
                <w:color w:val="4472C4" w:themeColor="accent1"/>
              </w:rPr>
              <w:t>Recruitment  Period</w:t>
            </w:r>
          </w:p>
        </w:tc>
        <w:tc>
          <w:tcPr>
            <w:tcW w:w="1548" w:type="dxa"/>
          </w:tcPr>
          <w:p w14:paraId="51A5A052" w14:textId="4FFF06FF" w:rsidR="00035985" w:rsidRPr="00461A7D" w:rsidRDefault="00035985" w:rsidP="00D6382F">
            <w:pPr>
              <w:rPr>
                <w:rFonts w:cstheme="minorHAnsi"/>
                <w:color w:val="4472C4" w:themeColor="accent1"/>
              </w:rPr>
            </w:pPr>
            <w:r w:rsidRPr="00461A7D">
              <w:rPr>
                <w:rFonts w:cstheme="minorHAnsi"/>
                <w:b/>
                <w:color w:val="4472C4" w:themeColor="accent1"/>
              </w:rPr>
              <w:t>Collection Days</w:t>
            </w:r>
          </w:p>
        </w:tc>
      </w:tr>
      <w:tr w:rsidR="00035985" w:rsidRPr="00363FE0" w14:paraId="2C30E96F" w14:textId="5A045576" w:rsidTr="009133C3">
        <w:trPr>
          <w:jc w:val="center"/>
        </w:trPr>
        <w:tc>
          <w:tcPr>
            <w:tcW w:w="2324" w:type="dxa"/>
          </w:tcPr>
          <w:p w14:paraId="1819ADE5" w14:textId="5ACFEC2F" w:rsidR="00035985" w:rsidRPr="00491605" w:rsidRDefault="00035985" w:rsidP="004A64E4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Online Survey </w:t>
            </w:r>
          </w:p>
        </w:tc>
        <w:tc>
          <w:tcPr>
            <w:tcW w:w="1647" w:type="dxa"/>
          </w:tcPr>
          <w:p w14:paraId="5B56DDAD" w14:textId="4AF13DD2" w:rsidR="00035985" w:rsidRPr="00663B4E" w:rsidRDefault="00035985" w:rsidP="00660907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>Email Recruitment</w:t>
            </w:r>
          </w:p>
        </w:tc>
        <w:tc>
          <w:tcPr>
            <w:tcW w:w="1980" w:type="dxa"/>
          </w:tcPr>
          <w:p w14:paraId="741A603D" w14:textId="11443D72" w:rsidR="00035985" w:rsidRPr="004E6DC5" w:rsidRDefault="00035985" w:rsidP="00805915">
            <w:pPr>
              <w:rPr>
                <w:rFonts w:cstheme="minorHAnsi"/>
              </w:rPr>
            </w:pPr>
            <w:r w:rsidRPr="004E6DC5">
              <w:rPr>
                <w:rFonts w:cstheme="minorHAnsi"/>
              </w:rPr>
              <w:t>Within 3-4 days after Telehealth Appointment</w:t>
            </w:r>
          </w:p>
        </w:tc>
        <w:tc>
          <w:tcPr>
            <w:tcW w:w="1548" w:type="dxa"/>
          </w:tcPr>
          <w:p w14:paraId="4D333A39" w14:textId="77777777" w:rsidR="00035985" w:rsidRPr="004E6DC5" w:rsidRDefault="00035985" w:rsidP="00660907">
            <w:pPr>
              <w:rPr>
                <w:rFonts w:cstheme="minorHAnsi"/>
              </w:rPr>
            </w:pPr>
            <w:r w:rsidRPr="004E6DC5">
              <w:rPr>
                <w:rFonts w:cstheme="minorHAnsi"/>
              </w:rPr>
              <w:t>14 Days</w:t>
            </w:r>
          </w:p>
          <w:p w14:paraId="04AE073D" w14:textId="77D4B6F0" w:rsidR="00035985" w:rsidRPr="001947E9" w:rsidRDefault="00035985" w:rsidP="00FA79B0">
            <w:pPr>
              <w:rPr>
                <w:rFonts w:cstheme="minorHAnsi"/>
              </w:rPr>
            </w:pPr>
            <w:r w:rsidRPr="001947E9">
              <w:rPr>
                <w:rFonts w:cstheme="minorHAnsi"/>
              </w:rPr>
              <w:t>(Reminder after 7 Days)</w:t>
            </w:r>
          </w:p>
        </w:tc>
        <w:tc>
          <w:tcPr>
            <w:tcW w:w="1548" w:type="dxa"/>
          </w:tcPr>
          <w:p w14:paraId="734F6A61" w14:textId="4C6C67EE" w:rsidR="00035985" w:rsidRPr="001947E9" w:rsidRDefault="00035985" w:rsidP="00660907">
            <w:pPr>
              <w:rPr>
                <w:rFonts w:cstheme="minorHAnsi"/>
              </w:rPr>
            </w:pPr>
            <w:r w:rsidRPr="001947E9">
              <w:rPr>
                <w:rFonts w:cstheme="minorHAnsi"/>
              </w:rPr>
              <w:t>Tuesday and Friday (Tentative)</w:t>
            </w:r>
          </w:p>
        </w:tc>
      </w:tr>
    </w:tbl>
    <w:p w14:paraId="70D91B18" w14:textId="195A24D6" w:rsidR="004738C9" w:rsidRPr="003855A3" w:rsidRDefault="003E01E3" w:rsidP="00CD1C70">
      <w:pPr>
        <w:rPr>
          <w:rFonts w:cstheme="minorHAnsi"/>
          <w:color w:val="002060"/>
        </w:rPr>
      </w:pPr>
      <w:r w:rsidRPr="003855A3">
        <w:rPr>
          <w:rFonts w:cstheme="minorHAnsi"/>
          <w:b/>
          <w:color w:val="002060"/>
        </w:rPr>
        <w:t>Target Population and Sample Size Determination</w:t>
      </w:r>
    </w:p>
    <w:p w14:paraId="1D4DAB1C" w14:textId="42E91CD1" w:rsidR="00035985" w:rsidRPr="00E03D23" w:rsidRDefault="00200638" w:rsidP="00035985">
      <w:pPr>
        <w:ind w:firstLine="720"/>
        <w:rPr>
          <w:rFonts w:cstheme="minorHAnsi"/>
        </w:rPr>
      </w:pPr>
      <w:r w:rsidRPr="00363FE0">
        <w:rPr>
          <w:rFonts w:cstheme="minorHAnsi"/>
        </w:rPr>
        <w:t xml:space="preserve">The target population of the </w:t>
      </w:r>
      <w:r w:rsidR="00035985" w:rsidRPr="0081618E">
        <w:rPr>
          <w:rFonts w:cstheme="minorHAnsi"/>
        </w:rPr>
        <w:t>TH</w:t>
      </w:r>
      <w:r w:rsidRPr="0081618E">
        <w:rPr>
          <w:rFonts w:cstheme="minorHAnsi"/>
        </w:rPr>
        <w:t xml:space="preserve"> survey is all </w:t>
      </w:r>
      <w:r w:rsidR="00035985" w:rsidRPr="0081618E">
        <w:rPr>
          <w:rFonts w:cstheme="minorHAnsi"/>
          <w:u w:val="single"/>
        </w:rPr>
        <w:t xml:space="preserve">Veterans having a CVT, HT, or SFT event in the past </w:t>
      </w:r>
      <w:r w:rsidR="00C74364">
        <w:rPr>
          <w:rFonts w:cstheme="minorHAnsi"/>
          <w:u w:val="single"/>
        </w:rPr>
        <w:t>7</w:t>
      </w:r>
      <w:r w:rsidR="00035985" w:rsidRPr="0081618E">
        <w:rPr>
          <w:rFonts w:cstheme="minorHAnsi"/>
          <w:u w:val="single"/>
        </w:rPr>
        <w:t xml:space="preserve"> days</w:t>
      </w:r>
      <w:r w:rsidRPr="00E03D23">
        <w:rPr>
          <w:rFonts w:cstheme="minorHAnsi"/>
        </w:rPr>
        <w:t xml:space="preserve">. </w:t>
      </w:r>
      <w:r w:rsidR="00035985" w:rsidRPr="00E03D23">
        <w:rPr>
          <w:rFonts w:cstheme="minorHAnsi"/>
        </w:rPr>
        <w:t xml:space="preserve">Sample sizes are calibrated to ensure </w:t>
      </w:r>
      <w:r w:rsidR="006603AA">
        <w:rPr>
          <w:rFonts w:cstheme="minorHAnsi"/>
        </w:rPr>
        <w:t xml:space="preserve">monthly reports have at least </w:t>
      </w:r>
      <w:r w:rsidR="00035985" w:rsidRPr="00E03D23">
        <w:rPr>
          <w:rFonts w:cstheme="minorHAnsi"/>
        </w:rPr>
        <w:t xml:space="preserve">3% Margin of Error </w:t>
      </w:r>
      <w:r w:rsidR="005D6180">
        <w:rPr>
          <w:rFonts w:cstheme="minorHAnsi"/>
        </w:rPr>
        <w:t xml:space="preserve">(MOE) </w:t>
      </w:r>
      <w:r w:rsidR="00035985" w:rsidRPr="00E03D23">
        <w:rPr>
          <w:rFonts w:cstheme="minorHAnsi"/>
        </w:rPr>
        <w:t xml:space="preserve">at a 95% Confidence Level. This represents a </w:t>
      </w:r>
      <w:r w:rsidR="008930E2" w:rsidRPr="00E03D23">
        <w:rPr>
          <w:rFonts w:cstheme="minorHAnsi"/>
        </w:rPr>
        <w:t xml:space="preserve">standard </w:t>
      </w:r>
      <w:r w:rsidR="00035985" w:rsidRPr="00E03D23">
        <w:rPr>
          <w:rFonts w:cstheme="minorHAnsi"/>
        </w:rPr>
        <w:t>for reliability widely used in the survey</w:t>
      </w:r>
      <w:r w:rsidR="00473C5C" w:rsidRPr="00473C5C">
        <w:rPr>
          <w:rFonts w:cstheme="minorHAnsi"/>
          <w:vertAlign w:val="superscript"/>
        </w:rPr>
        <w:t>3</w:t>
      </w:r>
      <w:r w:rsidR="008930E2" w:rsidRPr="00E03D23">
        <w:rPr>
          <w:rFonts w:cstheme="minorHAnsi"/>
        </w:rPr>
        <w:t xml:space="preserve">. </w:t>
      </w:r>
      <w:r w:rsidR="006603AA">
        <w:rPr>
          <w:rFonts w:cstheme="minorHAnsi"/>
        </w:rPr>
        <w:t>In order to improve measurements at the facility-level</w:t>
      </w:r>
      <w:r w:rsidR="003976D1" w:rsidRPr="00E03D23">
        <w:rPr>
          <w:rFonts w:cstheme="minorHAnsi"/>
        </w:rPr>
        <w:t xml:space="preserve">, the sample sizes are </w:t>
      </w:r>
      <w:r w:rsidR="006603AA">
        <w:rPr>
          <w:rFonts w:cstheme="minorHAnsi"/>
        </w:rPr>
        <w:t>increased beyond the 3% MOE threshold, but are still kept low enough to prevent excessive repeated contacts</w:t>
      </w:r>
      <w:r w:rsidR="003976D1" w:rsidRPr="00E03D23">
        <w:rPr>
          <w:rFonts w:cstheme="minorHAnsi"/>
        </w:rPr>
        <w:t>.</w:t>
      </w:r>
    </w:p>
    <w:p w14:paraId="3CCB0A94" w14:textId="76946698" w:rsidR="00C4077F" w:rsidRPr="001947E9" w:rsidRDefault="00684495" w:rsidP="00035985">
      <w:pPr>
        <w:ind w:firstLine="720"/>
        <w:rPr>
          <w:rFonts w:cstheme="minorHAnsi"/>
        </w:rPr>
      </w:pPr>
      <w:r w:rsidRPr="00E03D23">
        <w:rPr>
          <w:rFonts w:cstheme="minorHAnsi"/>
        </w:rPr>
        <w:t xml:space="preserve">Table 2 </w:t>
      </w:r>
      <w:r w:rsidR="008930E2" w:rsidRPr="00E03D23">
        <w:rPr>
          <w:rFonts w:cstheme="minorHAnsi"/>
        </w:rPr>
        <w:t xml:space="preserve">depicts the number of </w:t>
      </w:r>
      <w:r w:rsidRPr="00E03D23">
        <w:rPr>
          <w:rFonts w:cstheme="minorHAnsi"/>
        </w:rPr>
        <w:t>unique Telehealth patients that received care in fiscal year 2017, along with the approximate monthly populations. Preliminary analysis of the Telehealth patient population indicates th</w:t>
      </w:r>
      <w:r w:rsidRPr="009C4E50">
        <w:rPr>
          <w:rFonts w:cstheme="minorHAnsi"/>
        </w:rPr>
        <w:t xml:space="preserve">at </w:t>
      </w:r>
      <w:r w:rsidR="0080108A" w:rsidRPr="009C4E50">
        <w:rPr>
          <w:rFonts w:cstheme="minorHAnsi"/>
        </w:rPr>
        <w:t>approxi</w:t>
      </w:r>
      <w:r w:rsidR="00197A45" w:rsidRPr="00491605">
        <w:rPr>
          <w:rFonts w:cstheme="minorHAnsi"/>
        </w:rPr>
        <w:t>m</w:t>
      </w:r>
      <w:r w:rsidR="0080108A" w:rsidRPr="00491605">
        <w:rPr>
          <w:rFonts w:cstheme="minorHAnsi"/>
        </w:rPr>
        <w:t>ately</w:t>
      </w:r>
      <w:r w:rsidRPr="00491605">
        <w:rPr>
          <w:rFonts w:cstheme="minorHAnsi"/>
        </w:rPr>
        <w:t xml:space="preserve"> </w:t>
      </w:r>
      <w:r w:rsidRPr="00491605">
        <w:rPr>
          <w:rFonts w:cstheme="minorHAnsi"/>
          <w:b/>
        </w:rPr>
        <w:t>30%</w:t>
      </w:r>
      <w:r w:rsidRPr="00491605">
        <w:rPr>
          <w:rFonts w:cstheme="minorHAnsi"/>
        </w:rPr>
        <w:t xml:space="preserve"> </w:t>
      </w:r>
      <w:r w:rsidR="00602E5C" w:rsidRPr="00491605">
        <w:rPr>
          <w:rFonts w:cstheme="minorHAnsi"/>
        </w:rPr>
        <w:t xml:space="preserve">of such patients </w:t>
      </w:r>
      <w:r w:rsidRPr="00491605">
        <w:rPr>
          <w:rFonts w:cstheme="minorHAnsi"/>
        </w:rPr>
        <w:t>have provide</w:t>
      </w:r>
      <w:r w:rsidR="00B31B6F" w:rsidRPr="00491605">
        <w:rPr>
          <w:rFonts w:cstheme="minorHAnsi"/>
        </w:rPr>
        <w:t>d</w:t>
      </w:r>
      <w:r w:rsidRPr="00491605">
        <w:rPr>
          <w:rFonts w:cstheme="minorHAnsi"/>
        </w:rPr>
        <w:t xml:space="preserve"> an email address to th</w:t>
      </w:r>
      <w:r w:rsidR="00B31B6F" w:rsidRPr="00491605">
        <w:rPr>
          <w:rFonts w:cstheme="minorHAnsi"/>
        </w:rPr>
        <w:t>e</w:t>
      </w:r>
      <w:r w:rsidR="00BB58C3">
        <w:rPr>
          <w:rFonts w:cstheme="minorHAnsi"/>
        </w:rPr>
        <w:t xml:space="preserve"> VHA</w:t>
      </w:r>
      <w:r w:rsidR="00B31B6F" w:rsidRPr="00491605">
        <w:rPr>
          <w:rFonts w:cstheme="minorHAnsi"/>
        </w:rPr>
        <w:t xml:space="preserve">. This represents the frame population for the survey (see section below for information on possible bias due to frame </w:t>
      </w:r>
      <w:r w:rsidR="00B31B6F" w:rsidRPr="00491605">
        <w:rPr>
          <w:rFonts w:cstheme="minorHAnsi"/>
          <w:i/>
        </w:rPr>
        <w:t>under</w:t>
      </w:r>
      <w:r w:rsidR="007F29DE" w:rsidRPr="00663B4E">
        <w:rPr>
          <w:rFonts w:cstheme="minorHAnsi"/>
          <w:i/>
        </w:rPr>
        <w:t>-</w:t>
      </w:r>
      <w:r w:rsidR="00B31B6F" w:rsidRPr="00663B4E">
        <w:rPr>
          <w:rFonts w:cstheme="minorHAnsi"/>
          <w:i/>
        </w:rPr>
        <w:t>coverage</w:t>
      </w:r>
      <w:r w:rsidR="00B31B6F" w:rsidRPr="00663B4E">
        <w:rPr>
          <w:rFonts w:cstheme="minorHAnsi"/>
        </w:rPr>
        <w:t>).</w:t>
      </w:r>
      <w:r w:rsidR="00004C31" w:rsidRPr="00663B4E">
        <w:rPr>
          <w:rFonts w:cstheme="minorHAnsi"/>
        </w:rPr>
        <w:t xml:space="preserve"> </w:t>
      </w:r>
    </w:p>
    <w:p w14:paraId="2AEBB19F" w14:textId="551B469C" w:rsidR="00684495" w:rsidRPr="008141ED" w:rsidRDefault="00C4077F" w:rsidP="00035985">
      <w:pPr>
        <w:ind w:firstLine="720"/>
        <w:rPr>
          <w:rFonts w:cstheme="minorHAnsi"/>
        </w:rPr>
      </w:pPr>
      <w:r w:rsidRPr="001947E9">
        <w:rPr>
          <w:rFonts w:cstheme="minorHAnsi"/>
        </w:rPr>
        <w:t xml:space="preserve">Assuming a </w:t>
      </w:r>
      <w:r w:rsidRPr="003855A3">
        <w:rPr>
          <w:rFonts w:cstheme="minorHAnsi"/>
          <w:b/>
        </w:rPr>
        <w:t>20%</w:t>
      </w:r>
      <w:r w:rsidRPr="001947E9">
        <w:rPr>
          <w:rFonts w:cstheme="minorHAnsi"/>
        </w:rPr>
        <w:t xml:space="preserve"> response rate, the reliability target for HT is unattainable at the FY2017 levels of usage.</w:t>
      </w:r>
      <w:r w:rsidR="009D6D13" w:rsidRPr="001947E9">
        <w:rPr>
          <w:rFonts w:cstheme="minorHAnsi"/>
        </w:rPr>
        <w:t xml:space="preserve"> </w:t>
      </w:r>
      <w:r w:rsidR="00004C31" w:rsidRPr="001947E9">
        <w:rPr>
          <w:rFonts w:cstheme="minorHAnsi"/>
        </w:rPr>
        <w:t xml:space="preserve">HT recipients </w:t>
      </w:r>
      <w:r w:rsidRPr="001947E9">
        <w:rPr>
          <w:rFonts w:cstheme="minorHAnsi"/>
        </w:rPr>
        <w:t>are fewer and will have less turnover month-to-month (HT patien</w:t>
      </w:r>
      <w:r w:rsidR="00756AE0" w:rsidRPr="001947E9">
        <w:rPr>
          <w:rFonts w:cstheme="minorHAnsi"/>
        </w:rPr>
        <w:t xml:space="preserve">ts </w:t>
      </w:r>
      <w:r w:rsidR="009D6D13" w:rsidRPr="001947E9">
        <w:rPr>
          <w:rFonts w:cstheme="minorHAnsi"/>
        </w:rPr>
        <w:t>receive care on a</w:t>
      </w:r>
      <w:r w:rsidR="00756AE0" w:rsidRPr="001947E9">
        <w:rPr>
          <w:rFonts w:cstheme="minorHAnsi"/>
        </w:rPr>
        <w:t xml:space="preserve"> more permanent</w:t>
      </w:r>
      <w:r w:rsidR="009D6D13" w:rsidRPr="001947E9">
        <w:rPr>
          <w:rFonts w:cstheme="minorHAnsi"/>
        </w:rPr>
        <w:t xml:space="preserve"> basis</w:t>
      </w:r>
      <w:r w:rsidR="00756AE0" w:rsidRPr="001947E9">
        <w:rPr>
          <w:rFonts w:cstheme="minorHAnsi"/>
        </w:rPr>
        <w:t xml:space="preserve">) and may be prone to also </w:t>
      </w:r>
      <w:r w:rsidR="000576D3">
        <w:rPr>
          <w:rFonts w:cstheme="minorHAnsi"/>
        </w:rPr>
        <w:t>have</w:t>
      </w:r>
      <w:r w:rsidR="000576D3" w:rsidRPr="001947E9">
        <w:rPr>
          <w:rFonts w:cstheme="minorHAnsi"/>
        </w:rPr>
        <w:t xml:space="preserve"> </w:t>
      </w:r>
      <w:r w:rsidR="00756AE0" w:rsidRPr="001947E9">
        <w:rPr>
          <w:rFonts w:cstheme="minorHAnsi"/>
        </w:rPr>
        <w:t xml:space="preserve">CVT or SFT episodes. For these reasons, the HT target is set lower and HT patients are prioritized in the sample selection. </w:t>
      </w:r>
      <w:r w:rsidR="000D12AC" w:rsidRPr="008141ED">
        <w:rPr>
          <w:rFonts w:cstheme="minorHAnsi"/>
        </w:rPr>
        <w:t>Table 3A shows the sample targets from each TH modality</w:t>
      </w:r>
      <w:r w:rsidR="00297985" w:rsidRPr="008141ED">
        <w:rPr>
          <w:rFonts w:cstheme="minorHAnsi"/>
        </w:rPr>
        <w:t xml:space="preserve"> for the three reporting periods, while Table 3B provides the expected number of Veterans that need to be invited to achieve the sample targets, presuming a return rate of 20%</w:t>
      </w:r>
      <w:r w:rsidR="00B947EF">
        <w:rPr>
          <w:rFonts w:cstheme="minorHAnsi"/>
        </w:rPr>
        <w:t>.</w:t>
      </w:r>
    </w:p>
    <w:p w14:paraId="5E107683" w14:textId="0B814DE8" w:rsidR="00EC3B0B" w:rsidRPr="008141ED" w:rsidRDefault="00081B3C" w:rsidP="00EC3B0B">
      <w:pPr>
        <w:rPr>
          <w:rFonts w:cstheme="minorHAnsi"/>
          <w:b/>
          <w:color w:val="4472C4" w:themeColor="accent1"/>
        </w:rPr>
      </w:pPr>
      <w:r w:rsidRPr="008141ED">
        <w:rPr>
          <w:rFonts w:cstheme="minorHAnsi"/>
          <w:b/>
          <w:color w:val="4472C4" w:themeColor="accent1"/>
        </w:rPr>
        <w:t>Table 2</w:t>
      </w:r>
      <w:r w:rsidR="00EC3B0B" w:rsidRPr="008141ED">
        <w:rPr>
          <w:rFonts w:cstheme="minorHAnsi"/>
          <w:b/>
          <w:color w:val="4472C4" w:themeColor="accent1"/>
        </w:rPr>
        <w:t xml:space="preserve">. </w:t>
      </w:r>
      <w:r w:rsidRPr="008141ED">
        <w:rPr>
          <w:rFonts w:cstheme="minorHAnsi"/>
          <w:b/>
          <w:color w:val="4472C4" w:themeColor="accent1"/>
        </w:rPr>
        <w:t>Target Population</w:t>
      </w:r>
      <w:r w:rsidR="008930E2" w:rsidRPr="008141ED">
        <w:rPr>
          <w:rFonts w:cstheme="minorHAnsi"/>
          <w:b/>
          <w:color w:val="4472C4" w:themeColor="accent1"/>
        </w:rPr>
        <w:t xml:space="preserve"> 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251"/>
        <w:gridCol w:w="1509"/>
        <w:gridCol w:w="1656"/>
        <w:gridCol w:w="1446"/>
        <w:gridCol w:w="1350"/>
      </w:tblGrid>
      <w:tr w:rsidR="009C6A65" w:rsidRPr="00363FE0" w14:paraId="2490657B" w14:textId="12EF18EA" w:rsidTr="006103FA">
        <w:tc>
          <w:tcPr>
            <w:tcW w:w="1626" w:type="dxa"/>
          </w:tcPr>
          <w:p w14:paraId="389F7933" w14:textId="77777777" w:rsidR="009C6A65" w:rsidRPr="008141ED" w:rsidRDefault="009C6A65" w:rsidP="00660907">
            <w:pPr>
              <w:rPr>
                <w:rFonts w:cstheme="minorHAnsi"/>
                <w:b/>
                <w:color w:val="4472C4" w:themeColor="accent1"/>
              </w:rPr>
            </w:pPr>
            <w:r w:rsidRPr="008141ED">
              <w:rPr>
                <w:rFonts w:cstheme="minorHAnsi"/>
                <w:b/>
                <w:color w:val="4472C4" w:themeColor="accent1"/>
              </w:rPr>
              <w:t>Survey Stratum</w:t>
            </w:r>
          </w:p>
        </w:tc>
        <w:tc>
          <w:tcPr>
            <w:tcW w:w="1251" w:type="dxa"/>
          </w:tcPr>
          <w:p w14:paraId="58F96BCC" w14:textId="2C4340EC" w:rsidR="009C6A65" w:rsidRPr="008141ED" w:rsidRDefault="009C6A65" w:rsidP="00660907">
            <w:pPr>
              <w:rPr>
                <w:rFonts w:cstheme="minorHAnsi"/>
                <w:b/>
                <w:color w:val="4472C4" w:themeColor="accent1"/>
              </w:rPr>
            </w:pPr>
            <w:r w:rsidRPr="008141ED">
              <w:rPr>
                <w:rFonts w:cstheme="minorHAnsi"/>
                <w:b/>
                <w:color w:val="4472C4" w:themeColor="accent1"/>
              </w:rPr>
              <w:t>Unique Population in FY 2017</w:t>
            </w:r>
          </w:p>
          <w:p w14:paraId="73A95BE1" w14:textId="77777777" w:rsidR="009C6A65" w:rsidRPr="00EE586B" w:rsidRDefault="009C6A65" w:rsidP="00660907">
            <w:pPr>
              <w:rPr>
                <w:rFonts w:cstheme="minorHAnsi"/>
                <w:b/>
                <w:color w:val="4472C4" w:themeColor="accent1"/>
              </w:rPr>
            </w:pPr>
          </w:p>
        </w:tc>
        <w:tc>
          <w:tcPr>
            <w:tcW w:w="1509" w:type="dxa"/>
          </w:tcPr>
          <w:p w14:paraId="4336C0B9" w14:textId="53D90A7C" w:rsidR="009C6A65" w:rsidRPr="00EE586B" w:rsidRDefault="009C6A65" w:rsidP="00660907">
            <w:pPr>
              <w:rPr>
                <w:rFonts w:cstheme="minorHAnsi"/>
                <w:b/>
                <w:color w:val="4472C4" w:themeColor="accent1"/>
              </w:rPr>
            </w:pPr>
            <w:r w:rsidRPr="00EE586B">
              <w:rPr>
                <w:rFonts w:cstheme="minorHAnsi"/>
                <w:b/>
                <w:color w:val="4472C4" w:themeColor="accent1"/>
              </w:rPr>
              <w:t>Approximate Monthly Population</w:t>
            </w:r>
          </w:p>
        </w:tc>
        <w:tc>
          <w:tcPr>
            <w:tcW w:w="1656" w:type="dxa"/>
          </w:tcPr>
          <w:p w14:paraId="268C47F5" w14:textId="498243B9" w:rsidR="009C6A65" w:rsidRPr="00632080" w:rsidRDefault="009C6A65" w:rsidP="00805704">
            <w:pPr>
              <w:rPr>
                <w:rFonts w:cstheme="minorHAnsi"/>
                <w:b/>
                <w:color w:val="4472C4" w:themeColor="accent1"/>
              </w:rPr>
            </w:pPr>
            <w:r w:rsidRPr="00EE586B">
              <w:rPr>
                <w:rFonts w:cstheme="minorHAnsi"/>
                <w:b/>
                <w:color w:val="4472C4" w:themeColor="accent1"/>
              </w:rPr>
              <w:t>Approximate Monthly Email Population</w:t>
            </w:r>
          </w:p>
        </w:tc>
        <w:tc>
          <w:tcPr>
            <w:tcW w:w="1446" w:type="dxa"/>
          </w:tcPr>
          <w:p w14:paraId="507B996D" w14:textId="5072FF44" w:rsidR="009C6A65" w:rsidRPr="00632080" w:rsidRDefault="009C6A65" w:rsidP="006103FA">
            <w:pPr>
              <w:rPr>
                <w:rFonts w:cstheme="minorHAnsi"/>
                <w:b/>
                <w:color w:val="4472C4" w:themeColor="accent1"/>
              </w:rPr>
            </w:pPr>
            <w:r w:rsidRPr="00632080">
              <w:rPr>
                <w:rFonts w:cstheme="minorHAnsi"/>
                <w:b/>
                <w:color w:val="4472C4" w:themeColor="accent1"/>
              </w:rPr>
              <w:t xml:space="preserve">Precision </w:t>
            </w:r>
            <w:r w:rsidR="006103FA">
              <w:rPr>
                <w:rFonts w:cstheme="minorHAnsi"/>
                <w:b/>
                <w:color w:val="4472C4" w:themeColor="accent1"/>
              </w:rPr>
              <w:t>at</w:t>
            </w:r>
            <w:r w:rsidRPr="00632080">
              <w:rPr>
                <w:rFonts w:cstheme="minorHAnsi"/>
                <w:b/>
                <w:color w:val="4472C4" w:themeColor="accent1"/>
              </w:rPr>
              <w:t xml:space="preserve"> </w:t>
            </w:r>
            <w:r w:rsidR="006103FA">
              <w:rPr>
                <w:rFonts w:cstheme="minorHAnsi"/>
                <w:b/>
                <w:color w:val="4472C4" w:themeColor="accent1"/>
              </w:rPr>
              <w:t>3</w:t>
            </w:r>
            <w:r w:rsidRPr="00632080">
              <w:rPr>
                <w:rFonts w:cstheme="minorHAnsi"/>
                <w:b/>
                <w:color w:val="4472C4" w:themeColor="accent1"/>
              </w:rPr>
              <w:t>% MOE</w:t>
            </w:r>
          </w:p>
        </w:tc>
        <w:tc>
          <w:tcPr>
            <w:tcW w:w="1350" w:type="dxa"/>
          </w:tcPr>
          <w:p w14:paraId="799B7FED" w14:textId="4338B202" w:rsidR="009C6A65" w:rsidRPr="00632080" w:rsidRDefault="006103FA" w:rsidP="00081B3C">
            <w:pPr>
              <w:rPr>
                <w:rFonts w:cstheme="minorHAnsi"/>
                <w:b/>
                <w:color w:val="4472C4" w:themeColor="accent1"/>
              </w:rPr>
            </w:pPr>
            <w:r w:rsidRPr="00632080">
              <w:rPr>
                <w:rFonts w:cstheme="minorHAnsi"/>
                <w:b/>
                <w:color w:val="4472C4" w:themeColor="accent1"/>
              </w:rPr>
              <w:t xml:space="preserve">Precision </w:t>
            </w:r>
            <w:r>
              <w:rPr>
                <w:rFonts w:cstheme="minorHAnsi"/>
                <w:b/>
                <w:color w:val="4472C4" w:themeColor="accent1"/>
              </w:rPr>
              <w:t>at</w:t>
            </w:r>
            <w:r w:rsidRPr="00632080">
              <w:rPr>
                <w:rFonts w:cstheme="minorHAnsi"/>
                <w:b/>
                <w:color w:val="4472C4" w:themeColor="accent1"/>
              </w:rPr>
              <w:t xml:space="preserve"> </w:t>
            </w:r>
            <w:r>
              <w:rPr>
                <w:rFonts w:cstheme="minorHAnsi"/>
                <w:b/>
                <w:color w:val="4472C4" w:themeColor="accent1"/>
              </w:rPr>
              <w:t>2</w:t>
            </w:r>
            <w:r w:rsidRPr="00632080">
              <w:rPr>
                <w:rFonts w:cstheme="minorHAnsi"/>
                <w:b/>
                <w:color w:val="4472C4" w:themeColor="accent1"/>
              </w:rPr>
              <w:t>% MOE</w:t>
            </w:r>
          </w:p>
        </w:tc>
      </w:tr>
      <w:tr w:rsidR="00FC226A" w:rsidRPr="00363FE0" w14:paraId="183A87CD" w14:textId="5D87ACC5" w:rsidTr="006103FA">
        <w:tc>
          <w:tcPr>
            <w:tcW w:w="1626" w:type="dxa"/>
          </w:tcPr>
          <w:p w14:paraId="5291DCE6" w14:textId="6A949EF9" w:rsidR="00FC226A" w:rsidRPr="00491605" w:rsidRDefault="00FC226A" w:rsidP="00FC226A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Clinical Video </w:t>
            </w:r>
          </w:p>
        </w:tc>
        <w:tc>
          <w:tcPr>
            <w:tcW w:w="1251" w:type="dxa"/>
          </w:tcPr>
          <w:p w14:paraId="40D44CC1" w14:textId="53006E73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t>336,000</w:t>
            </w:r>
          </w:p>
        </w:tc>
        <w:tc>
          <w:tcPr>
            <w:tcW w:w="1509" w:type="dxa"/>
          </w:tcPr>
          <w:p w14:paraId="2B9162DA" w14:textId="6F95BC0C" w:rsidR="00FC226A" w:rsidRPr="00BB58C3" w:rsidRDefault="005D6180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60,000</w:t>
            </w:r>
          </w:p>
        </w:tc>
        <w:tc>
          <w:tcPr>
            <w:tcW w:w="1656" w:type="dxa"/>
          </w:tcPr>
          <w:p w14:paraId="038A1DC4" w14:textId="1E478420" w:rsidR="00FC226A" w:rsidRPr="00BB58C3" w:rsidRDefault="006B07B3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18,000</w:t>
            </w:r>
          </w:p>
        </w:tc>
        <w:tc>
          <w:tcPr>
            <w:tcW w:w="1446" w:type="dxa"/>
          </w:tcPr>
          <w:p w14:paraId="650D47B0" w14:textId="41FD2732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1,049</w:t>
            </w:r>
          </w:p>
        </w:tc>
        <w:tc>
          <w:tcPr>
            <w:tcW w:w="1350" w:type="dxa"/>
          </w:tcPr>
          <w:p w14:paraId="38FBDD34" w14:textId="2F7DFFB0" w:rsidR="00FC226A" w:rsidRPr="00BB58C3" w:rsidRDefault="00992942" w:rsidP="006103F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2,</w:t>
            </w:r>
            <w:r w:rsidR="006103FA" w:rsidRPr="00BB58C3">
              <w:rPr>
                <w:rFonts w:cstheme="minorHAnsi"/>
              </w:rPr>
              <w:t>309</w:t>
            </w:r>
          </w:p>
        </w:tc>
      </w:tr>
      <w:tr w:rsidR="00FC226A" w:rsidRPr="00363FE0" w14:paraId="750D9E85" w14:textId="3161F35A" w:rsidTr="006103FA">
        <w:tc>
          <w:tcPr>
            <w:tcW w:w="1626" w:type="dxa"/>
          </w:tcPr>
          <w:p w14:paraId="18788B55" w14:textId="01993650" w:rsidR="00FC226A" w:rsidRPr="00491605" w:rsidRDefault="00FC226A" w:rsidP="00FC226A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Home Telehealth </w:t>
            </w:r>
          </w:p>
        </w:tc>
        <w:tc>
          <w:tcPr>
            <w:tcW w:w="1251" w:type="dxa"/>
          </w:tcPr>
          <w:p w14:paraId="6385F6C5" w14:textId="7A8300A7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t>145,000</w:t>
            </w:r>
          </w:p>
        </w:tc>
        <w:tc>
          <w:tcPr>
            <w:tcW w:w="1509" w:type="dxa"/>
          </w:tcPr>
          <w:p w14:paraId="2558DAEE" w14:textId="1378D0E5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81,</w:t>
            </w:r>
            <w:r w:rsidR="005D6180" w:rsidRPr="00BB58C3">
              <w:rPr>
                <w:rFonts w:cstheme="minorHAnsi"/>
              </w:rPr>
              <w:t>000</w:t>
            </w:r>
          </w:p>
        </w:tc>
        <w:tc>
          <w:tcPr>
            <w:tcW w:w="1656" w:type="dxa"/>
          </w:tcPr>
          <w:p w14:paraId="5CD39D7F" w14:textId="050A1B51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24,</w:t>
            </w:r>
            <w:r w:rsidR="006B07B3" w:rsidRPr="00BB58C3">
              <w:rPr>
                <w:rFonts w:cstheme="minorHAnsi"/>
              </w:rPr>
              <w:t>300</w:t>
            </w:r>
          </w:p>
        </w:tc>
        <w:tc>
          <w:tcPr>
            <w:tcW w:w="1446" w:type="dxa"/>
          </w:tcPr>
          <w:p w14:paraId="6DB73E6A" w14:textId="77E9837E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1,054</w:t>
            </w:r>
          </w:p>
        </w:tc>
        <w:tc>
          <w:tcPr>
            <w:tcW w:w="1350" w:type="dxa"/>
          </w:tcPr>
          <w:p w14:paraId="15C186E9" w14:textId="57B7F681" w:rsidR="00FC226A" w:rsidRPr="00BB58C3" w:rsidRDefault="006103F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2,332</w:t>
            </w:r>
          </w:p>
        </w:tc>
      </w:tr>
      <w:tr w:rsidR="00FC226A" w:rsidRPr="00363FE0" w14:paraId="6F9CAFA9" w14:textId="3C614980" w:rsidTr="006103FA">
        <w:tc>
          <w:tcPr>
            <w:tcW w:w="1626" w:type="dxa"/>
          </w:tcPr>
          <w:p w14:paraId="3C150083" w14:textId="62A3A2F4" w:rsidR="00FC226A" w:rsidRPr="00491605" w:rsidRDefault="00FC226A" w:rsidP="00FC226A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Store and Forward </w:t>
            </w:r>
          </w:p>
        </w:tc>
        <w:tc>
          <w:tcPr>
            <w:tcW w:w="1251" w:type="dxa"/>
          </w:tcPr>
          <w:p w14:paraId="0CC17F67" w14:textId="0586A1B6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t>306,000</w:t>
            </w:r>
          </w:p>
        </w:tc>
        <w:tc>
          <w:tcPr>
            <w:tcW w:w="1509" w:type="dxa"/>
          </w:tcPr>
          <w:p w14:paraId="764155C7" w14:textId="0D800B38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27,0</w:t>
            </w:r>
            <w:r w:rsidR="005D6180" w:rsidRPr="00BB58C3">
              <w:rPr>
                <w:rFonts w:cstheme="minorHAnsi"/>
              </w:rPr>
              <w:t>00</w:t>
            </w:r>
          </w:p>
        </w:tc>
        <w:tc>
          <w:tcPr>
            <w:tcW w:w="1656" w:type="dxa"/>
          </w:tcPr>
          <w:p w14:paraId="43849872" w14:textId="50FE2603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8,1</w:t>
            </w:r>
            <w:r w:rsidR="006B07B3" w:rsidRPr="00BB58C3">
              <w:rPr>
                <w:rFonts w:cstheme="minorHAnsi"/>
              </w:rPr>
              <w:t>00</w:t>
            </w:r>
          </w:p>
        </w:tc>
        <w:tc>
          <w:tcPr>
            <w:tcW w:w="1446" w:type="dxa"/>
          </w:tcPr>
          <w:p w14:paraId="50D92FA5" w14:textId="69D838C2" w:rsidR="00FC226A" w:rsidRPr="00BB58C3" w:rsidRDefault="00FC226A" w:rsidP="00FC226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1,027</w:t>
            </w:r>
          </w:p>
        </w:tc>
        <w:tc>
          <w:tcPr>
            <w:tcW w:w="1350" w:type="dxa"/>
          </w:tcPr>
          <w:p w14:paraId="7B4D7775" w14:textId="76BAA70F" w:rsidR="00FC226A" w:rsidRPr="00BB58C3" w:rsidRDefault="00992942" w:rsidP="006103FA">
            <w:pPr>
              <w:jc w:val="center"/>
              <w:rPr>
                <w:rFonts w:cstheme="minorHAnsi"/>
              </w:rPr>
            </w:pPr>
            <w:r w:rsidRPr="00BB58C3">
              <w:rPr>
                <w:rFonts w:cstheme="minorHAnsi"/>
              </w:rPr>
              <w:t>2,</w:t>
            </w:r>
            <w:r w:rsidR="006103FA" w:rsidRPr="00BB58C3">
              <w:rPr>
                <w:rFonts w:cstheme="minorHAnsi"/>
              </w:rPr>
              <w:t>205</w:t>
            </w:r>
          </w:p>
        </w:tc>
      </w:tr>
    </w:tbl>
    <w:p w14:paraId="08802DD3" w14:textId="77777777" w:rsidR="00EC3B0B" w:rsidRPr="00D83A4B" w:rsidRDefault="00212285" w:rsidP="00212285">
      <w:pPr>
        <w:rPr>
          <w:rFonts w:cstheme="minorHAnsi"/>
        </w:rPr>
      </w:pPr>
      <w:r w:rsidRPr="00D83A4B">
        <w:rPr>
          <w:rFonts w:cstheme="minorHAnsi"/>
        </w:rPr>
        <w:tab/>
      </w:r>
    </w:p>
    <w:p w14:paraId="0C98F27B" w14:textId="0AC3A13A" w:rsidR="00F00F64" w:rsidRPr="003855A3" w:rsidRDefault="00F00F64" w:rsidP="00F00F64">
      <w:pPr>
        <w:rPr>
          <w:rFonts w:cstheme="minorHAnsi"/>
          <w:b/>
          <w:color w:val="4472C4" w:themeColor="accent1"/>
        </w:rPr>
      </w:pPr>
      <w:r w:rsidRPr="003855A3">
        <w:rPr>
          <w:rFonts w:cstheme="minorHAnsi"/>
          <w:b/>
          <w:color w:val="4472C4" w:themeColor="accent1"/>
        </w:rPr>
        <w:t>Table 3</w:t>
      </w:r>
      <w:r w:rsidR="00602E5C" w:rsidRPr="003855A3">
        <w:rPr>
          <w:rFonts w:cstheme="minorHAnsi"/>
          <w:b/>
          <w:color w:val="4472C4" w:themeColor="accent1"/>
        </w:rPr>
        <w:t>A</w:t>
      </w:r>
      <w:r w:rsidRPr="003855A3">
        <w:rPr>
          <w:rFonts w:cstheme="minorHAnsi"/>
          <w:b/>
          <w:color w:val="4472C4" w:themeColor="accent1"/>
        </w:rPr>
        <w:t xml:space="preserve">. </w:t>
      </w:r>
      <w:r w:rsidR="00BB58C3">
        <w:rPr>
          <w:rFonts w:cstheme="minorHAnsi"/>
          <w:b/>
          <w:color w:val="4472C4" w:themeColor="accent1"/>
        </w:rPr>
        <w:t xml:space="preserve">Proposed </w:t>
      </w:r>
      <w:r w:rsidRPr="003855A3">
        <w:rPr>
          <w:rFonts w:cstheme="minorHAnsi"/>
          <w:b/>
          <w:color w:val="4472C4" w:themeColor="accent1"/>
        </w:rPr>
        <w:t>Sample Targets by Time Period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1458"/>
        <w:gridCol w:w="1458"/>
        <w:gridCol w:w="1458"/>
      </w:tblGrid>
      <w:tr w:rsidR="00F00F64" w:rsidRPr="00363FE0" w14:paraId="2C762CD6" w14:textId="77777777" w:rsidTr="00F00F64">
        <w:trPr>
          <w:jc w:val="center"/>
        </w:trPr>
        <w:tc>
          <w:tcPr>
            <w:tcW w:w="1684" w:type="dxa"/>
          </w:tcPr>
          <w:p w14:paraId="629AFF0C" w14:textId="77777777" w:rsidR="00F00F64" w:rsidRPr="003855A3" w:rsidRDefault="00F00F64" w:rsidP="007B02C9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Survey Stratum</w:t>
            </w:r>
          </w:p>
        </w:tc>
        <w:tc>
          <w:tcPr>
            <w:tcW w:w="1458" w:type="dxa"/>
          </w:tcPr>
          <w:p w14:paraId="75FA13FF" w14:textId="5579FEDB" w:rsidR="00F00F64" w:rsidRPr="003855A3" w:rsidRDefault="00F00F64" w:rsidP="007B02C9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Weekly Target</w:t>
            </w:r>
          </w:p>
        </w:tc>
        <w:tc>
          <w:tcPr>
            <w:tcW w:w="1458" w:type="dxa"/>
          </w:tcPr>
          <w:p w14:paraId="312864C2" w14:textId="355690A7" w:rsidR="00F00F64" w:rsidRPr="003855A3" w:rsidRDefault="00F00F64" w:rsidP="007B02C9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Monthly Target</w:t>
            </w:r>
          </w:p>
        </w:tc>
        <w:tc>
          <w:tcPr>
            <w:tcW w:w="1458" w:type="dxa"/>
          </w:tcPr>
          <w:p w14:paraId="4B07152E" w14:textId="54F829D6" w:rsidR="00F00F64" w:rsidRPr="003855A3" w:rsidRDefault="00F00F64" w:rsidP="007B02C9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Quarterly Target</w:t>
            </w:r>
          </w:p>
        </w:tc>
      </w:tr>
      <w:tr w:rsidR="00F00F64" w:rsidRPr="00363FE0" w14:paraId="37029C77" w14:textId="77777777" w:rsidTr="00F00F64">
        <w:trPr>
          <w:jc w:val="center"/>
        </w:trPr>
        <w:tc>
          <w:tcPr>
            <w:tcW w:w="1684" w:type="dxa"/>
          </w:tcPr>
          <w:p w14:paraId="4CA2DB4B" w14:textId="77777777" w:rsidR="00F00F64" w:rsidRPr="00491605" w:rsidRDefault="00F00F64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Clinical Video </w:t>
            </w:r>
          </w:p>
        </w:tc>
        <w:tc>
          <w:tcPr>
            <w:tcW w:w="1458" w:type="dxa"/>
          </w:tcPr>
          <w:p w14:paraId="0459BC5F" w14:textId="544AA681" w:rsidR="00F00F64" w:rsidRPr="0049160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1458" w:type="dxa"/>
          </w:tcPr>
          <w:p w14:paraId="373148C2" w14:textId="78CFB593" w:rsidR="00F00F64" w:rsidRPr="0049160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2,000</w:t>
            </w:r>
          </w:p>
        </w:tc>
        <w:tc>
          <w:tcPr>
            <w:tcW w:w="1458" w:type="dxa"/>
          </w:tcPr>
          <w:p w14:paraId="307534A9" w14:textId="3C05B6FA" w:rsidR="00F00F64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6,000</w:t>
            </w:r>
          </w:p>
        </w:tc>
      </w:tr>
      <w:tr w:rsidR="00F00F64" w:rsidRPr="00363FE0" w14:paraId="10FE2F08" w14:textId="77777777" w:rsidTr="00F00F64">
        <w:trPr>
          <w:jc w:val="center"/>
        </w:trPr>
        <w:tc>
          <w:tcPr>
            <w:tcW w:w="1684" w:type="dxa"/>
          </w:tcPr>
          <w:p w14:paraId="7A39603C" w14:textId="77777777" w:rsidR="00F00F64" w:rsidRPr="00491605" w:rsidRDefault="00F00F64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Home Telehealth </w:t>
            </w:r>
          </w:p>
        </w:tc>
        <w:tc>
          <w:tcPr>
            <w:tcW w:w="1458" w:type="dxa"/>
          </w:tcPr>
          <w:p w14:paraId="62D2BDC7" w14:textId="64AE1657" w:rsidR="00F00F64" w:rsidRPr="0049160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250</w:t>
            </w:r>
          </w:p>
        </w:tc>
        <w:tc>
          <w:tcPr>
            <w:tcW w:w="1458" w:type="dxa"/>
          </w:tcPr>
          <w:p w14:paraId="1E4CE61B" w14:textId="5D36D2E2" w:rsidR="00F00F64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1,000</w:t>
            </w:r>
          </w:p>
        </w:tc>
        <w:tc>
          <w:tcPr>
            <w:tcW w:w="1458" w:type="dxa"/>
          </w:tcPr>
          <w:p w14:paraId="7E7CC576" w14:textId="137DD9B8" w:rsidR="00F00F64" w:rsidRPr="004E6DC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3,000</w:t>
            </w:r>
          </w:p>
        </w:tc>
      </w:tr>
      <w:tr w:rsidR="00F00F64" w:rsidRPr="00363FE0" w14:paraId="3E4EA4CF" w14:textId="77777777" w:rsidTr="00F00F64">
        <w:trPr>
          <w:jc w:val="center"/>
        </w:trPr>
        <w:tc>
          <w:tcPr>
            <w:tcW w:w="1684" w:type="dxa"/>
          </w:tcPr>
          <w:p w14:paraId="025F127D" w14:textId="77777777" w:rsidR="00F00F64" w:rsidRPr="00491605" w:rsidRDefault="00F00F64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Store and Forward </w:t>
            </w:r>
          </w:p>
        </w:tc>
        <w:tc>
          <w:tcPr>
            <w:tcW w:w="1458" w:type="dxa"/>
          </w:tcPr>
          <w:p w14:paraId="01221F15" w14:textId="4CCD8E6A" w:rsidR="00F00F64" w:rsidRPr="0049160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</w:p>
        </w:tc>
        <w:tc>
          <w:tcPr>
            <w:tcW w:w="1458" w:type="dxa"/>
          </w:tcPr>
          <w:p w14:paraId="18DDA25D" w14:textId="68DA1143" w:rsidR="00F00F64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2,000</w:t>
            </w:r>
          </w:p>
        </w:tc>
        <w:tc>
          <w:tcPr>
            <w:tcW w:w="1458" w:type="dxa"/>
          </w:tcPr>
          <w:p w14:paraId="6BD3217E" w14:textId="13B52CD9" w:rsidR="00F00F64" w:rsidRPr="004E6DC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6,000</w:t>
            </w:r>
          </w:p>
        </w:tc>
      </w:tr>
      <w:tr w:rsidR="00F00F64" w:rsidRPr="00363FE0" w14:paraId="265972ED" w14:textId="77777777" w:rsidTr="00F00F64">
        <w:trPr>
          <w:jc w:val="center"/>
        </w:trPr>
        <w:tc>
          <w:tcPr>
            <w:tcW w:w="1684" w:type="dxa"/>
          </w:tcPr>
          <w:p w14:paraId="5BDD5EC3" w14:textId="509AC6F6" w:rsidR="00F00F64" w:rsidRPr="00491605" w:rsidRDefault="00F00F64" w:rsidP="007B02C9">
            <w:pPr>
              <w:rPr>
                <w:rFonts w:cstheme="minorHAnsi"/>
                <w:b/>
              </w:rPr>
            </w:pPr>
            <w:r w:rsidRPr="00491605">
              <w:rPr>
                <w:rFonts w:cstheme="minorHAnsi"/>
                <w:b/>
              </w:rPr>
              <w:t>Total</w:t>
            </w:r>
          </w:p>
        </w:tc>
        <w:tc>
          <w:tcPr>
            <w:tcW w:w="1458" w:type="dxa"/>
          </w:tcPr>
          <w:p w14:paraId="5689457E" w14:textId="0278BA77" w:rsidR="00F00F64" w:rsidRPr="00491605" w:rsidRDefault="00643DD9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</w:t>
            </w:r>
            <w:r w:rsidR="00F00F64" w:rsidRPr="00491605">
              <w:rPr>
                <w:rFonts w:cstheme="minorHAnsi"/>
              </w:rPr>
              <w:t>50</w:t>
            </w:r>
          </w:p>
        </w:tc>
        <w:tc>
          <w:tcPr>
            <w:tcW w:w="1458" w:type="dxa"/>
          </w:tcPr>
          <w:p w14:paraId="6B3BC6C4" w14:textId="4575FD89" w:rsidR="00F00F64" w:rsidRPr="0049160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00F64" w:rsidRPr="00491605">
              <w:rPr>
                <w:rFonts w:cstheme="minorHAnsi"/>
              </w:rPr>
              <w:t>,000</w:t>
            </w:r>
          </w:p>
        </w:tc>
        <w:tc>
          <w:tcPr>
            <w:tcW w:w="1458" w:type="dxa"/>
          </w:tcPr>
          <w:p w14:paraId="6F453ECB" w14:textId="41CD92A3" w:rsidR="00F00F64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15,000</w:t>
            </w:r>
          </w:p>
        </w:tc>
      </w:tr>
    </w:tbl>
    <w:p w14:paraId="619BA73A" w14:textId="208DBFF2" w:rsidR="00602E5C" w:rsidRPr="003855A3" w:rsidRDefault="00602E5C" w:rsidP="00602E5C">
      <w:pPr>
        <w:rPr>
          <w:rFonts w:cstheme="minorHAnsi"/>
          <w:b/>
          <w:color w:val="4472C4" w:themeColor="accent1"/>
        </w:rPr>
      </w:pPr>
      <w:r w:rsidRPr="003855A3">
        <w:rPr>
          <w:rFonts w:cstheme="minorHAnsi"/>
          <w:b/>
          <w:color w:val="4472C4" w:themeColor="accent1"/>
        </w:rPr>
        <w:t xml:space="preserve">Table 3B. </w:t>
      </w:r>
      <w:r w:rsidR="00D75285">
        <w:rPr>
          <w:rFonts w:cstheme="minorHAnsi"/>
          <w:b/>
          <w:color w:val="4472C4" w:themeColor="accent1"/>
        </w:rPr>
        <w:t xml:space="preserve">Proposed </w:t>
      </w:r>
      <w:r w:rsidRPr="003855A3">
        <w:rPr>
          <w:rFonts w:cstheme="minorHAnsi"/>
          <w:b/>
          <w:color w:val="4472C4" w:themeColor="accent1"/>
        </w:rPr>
        <w:t>Number of Invited Telehealth Patients, by Time Period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1458"/>
        <w:gridCol w:w="1458"/>
        <w:gridCol w:w="1458"/>
      </w:tblGrid>
      <w:tr w:rsidR="00602E5C" w:rsidRPr="00363FE0" w14:paraId="3D4001F4" w14:textId="77777777" w:rsidTr="007B02C9">
        <w:trPr>
          <w:jc w:val="center"/>
        </w:trPr>
        <w:tc>
          <w:tcPr>
            <w:tcW w:w="1684" w:type="dxa"/>
          </w:tcPr>
          <w:p w14:paraId="2B6B4E7D" w14:textId="77777777" w:rsidR="00602E5C" w:rsidRPr="003855A3" w:rsidRDefault="00602E5C" w:rsidP="007B02C9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Survey Stratum</w:t>
            </w:r>
          </w:p>
        </w:tc>
        <w:tc>
          <w:tcPr>
            <w:tcW w:w="1458" w:type="dxa"/>
          </w:tcPr>
          <w:p w14:paraId="4EAED2E6" w14:textId="1B820A10" w:rsidR="00602E5C" w:rsidRPr="003855A3" w:rsidRDefault="00602E5C" w:rsidP="00992942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 xml:space="preserve">Weekly </w:t>
            </w:r>
            <w:r w:rsidR="00992942">
              <w:rPr>
                <w:rFonts w:cstheme="minorHAnsi"/>
                <w:b/>
                <w:color w:val="4472C4" w:themeColor="accent1"/>
              </w:rPr>
              <w:t>Contacts</w:t>
            </w:r>
          </w:p>
        </w:tc>
        <w:tc>
          <w:tcPr>
            <w:tcW w:w="1458" w:type="dxa"/>
          </w:tcPr>
          <w:p w14:paraId="23DD91F4" w14:textId="3F0D88D0" w:rsidR="00602E5C" w:rsidRPr="003855A3" w:rsidRDefault="00602E5C" w:rsidP="00992942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 xml:space="preserve">Monthly </w:t>
            </w:r>
            <w:r w:rsidR="00992942">
              <w:rPr>
                <w:rFonts w:cstheme="minorHAnsi"/>
                <w:b/>
                <w:color w:val="4472C4" w:themeColor="accent1"/>
              </w:rPr>
              <w:t>Contacts</w:t>
            </w:r>
          </w:p>
        </w:tc>
        <w:tc>
          <w:tcPr>
            <w:tcW w:w="1458" w:type="dxa"/>
          </w:tcPr>
          <w:p w14:paraId="063513AA" w14:textId="78646B28" w:rsidR="00602E5C" w:rsidRPr="003855A3" w:rsidRDefault="00602E5C" w:rsidP="00992942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 xml:space="preserve">Quarterly </w:t>
            </w:r>
            <w:r w:rsidR="00992942">
              <w:rPr>
                <w:rFonts w:cstheme="minorHAnsi"/>
                <w:b/>
                <w:color w:val="4472C4" w:themeColor="accent1"/>
              </w:rPr>
              <w:t>Contacts</w:t>
            </w:r>
          </w:p>
        </w:tc>
      </w:tr>
      <w:tr w:rsidR="00602E5C" w:rsidRPr="00363FE0" w14:paraId="1BDAFB75" w14:textId="77777777" w:rsidTr="007B02C9">
        <w:trPr>
          <w:jc w:val="center"/>
        </w:trPr>
        <w:tc>
          <w:tcPr>
            <w:tcW w:w="1684" w:type="dxa"/>
          </w:tcPr>
          <w:p w14:paraId="5B97B306" w14:textId="77777777" w:rsidR="00602E5C" w:rsidRPr="00491605" w:rsidRDefault="00602E5C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Clinical Video </w:t>
            </w:r>
          </w:p>
        </w:tc>
        <w:tc>
          <w:tcPr>
            <w:tcW w:w="1458" w:type="dxa"/>
          </w:tcPr>
          <w:p w14:paraId="65BBCEA9" w14:textId="5B19517E" w:rsidR="00602E5C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02E5C" w:rsidRPr="00491605">
              <w:rPr>
                <w:rFonts w:cstheme="minorHAnsi"/>
              </w:rPr>
              <w:t>,500</w:t>
            </w:r>
          </w:p>
        </w:tc>
        <w:tc>
          <w:tcPr>
            <w:tcW w:w="1458" w:type="dxa"/>
          </w:tcPr>
          <w:p w14:paraId="70F40F4B" w14:textId="42917BEC" w:rsidR="00602E5C" w:rsidRPr="004E6DC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10,000</w:t>
            </w:r>
          </w:p>
        </w:tc>
        <w:tc>
          <w:tcPr>
            <w:tcW w:w="1458" w:type="dxa"/>
          </w:tcPr>
          <w:p w14:paraId="5DFBB1A5" w14:textId="1474CB9B" w:rsidR="00602E5C" w:rsidRPr="001947E9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30,000</w:t>
            </w:r>
          </w:p>
        </w:tc>
      </w:tr>
      <w:tr w:rsidR="00602E5C" w:rsidRPr="00363FE0" w14:paraId="2235F8DB" w14:textId="77777777" w:rsidTr="007B02C9">
        <w:trPr>
          <w:jc w:val="center"/>
        </w:trPr>
        <w:tc>
          <w:tcPr>
            <w:tcW w:w="1684" w:type="dxa"/>
          </w:tcPr>
          <w:p w14:paraId="3AED7C4A" w14:textId="77777777" w:rsidR="00602E5C" w:rsidRPr="00491605" w:rsidRDefault="00602E5C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Home Telehealth </w:t>
            </w:r>
          </w:p>
        </w:tc>
        <w:tc>
          <w:tcPr>
            <w:tcW w:w="1458" w:type="dxa"/>
          </w:tcPr>
          <w:p w14:paraId="43C5F2FB" w14:textId="54346886" w:rsidR="00602E5C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1,2</w:t>
            </w:r>
            <w:r w:rsidR="00602E5C" w:rsidRPr="00663B4E">
              <w:rPr>
                <w:rFonts w:cstheme="minorHAnsi"/>
              </w:rPr>
              <w:t>50</w:t>
            </w:r>
          </w:p>
        </w:tc>
        <w:tc>
          <w:tcPr>
            <w:tcW w:w="1458" w:type="dxa"/>
          </w:tcPr>
          <w:p w14:paraId="1C0767B2" w14:textId="6E19A93C" w:rsidR="00602E5C" w:rsidRPr="004E6DC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02E5C" w:rsidRPr="00663B4E">
              <w:rPr>
                <w:rFonts w:cstheme="minorHAnsi"/>
              </w:rPr>
              <w:t>,000</w:t>
            </w:r>
          </w:p>
        </w:tc>
        <w:tc>
          <w:tcPr>
            <w:tcW w:w="1458" w:type="dxa"/>
          </w:tcPr>
          <w:p w14:paraId="6321C957" w14:textId="2E898144" w:rsidR="00602E5C" w:rsidRPr="001947E9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02E5C" w:rsidRPr="001947E9">
              <w:rPr>
                <w:rFonts w:cstheme="minorHAnsi"/>
              </w:rPr>
              <w:t>,000</w:t>
            </w:r>
          </w:p>
        </w:tc>
      </w:tr>
      <w:tr w:rsidR="00992942" w:rsidRPr="00363FE0" w14:paraId="7EF1FAEC" w14:textId="77777777" w:rsidTr="007B02C9">
        <w:trPr>
          <w:jc w:val="center"/>
        </w:trPr>
        <w:tc>
          <w:tcPr>
            <w:tcW w:w="1684" w:type="dxa"/>
          </w:tcPr>
          <w:p w14:paraId="0B98B2C4" w14:textId="77777777" w:rsidR="00992942" w:rsidRPr="00491605" w:rsidRDefault="00992942" w:rsidP="007B02C9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Store and Forward </w:t>
            </w:r>
          </w:p>
        </w:tc>
        <w:tc>
          <w:tcPr>
            <w:tcW w:w="1458" w:type="dxa"/>
          </w:tcPr>
          <w:p w14:paraId="7C0ECE6F" w14:textId="1E168461" w:rsidR="00992942" w:rsidRPr="00663B4E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491605">
              <w:rPr>
                <w:rFonts w:cstheme="minorHAnsi"/>
              </w:rPr>
              <w:t>,500</w:t>
            </w:r>
          </w:p>
        </w:tc>
        <w:tc>
          <w:tcPr>
            <w:tcW w:w="1458" w:type="dxa"/>
          </w:tcPr>
          <w:p w14:paraId="5F12723B" w14:textId="3C07F7C8" w:rsidR="00992942" w:rsidRPr="004E6DC5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10,000</w:t>
            </w:r>
          </w:p>
        </w:tc>
        <w:tc>
          <w:tcPr>
            <w:tcW w:w="1458" w:type="dxa"/>
          </w:tcPr>
          <w:p w14:paraId="61B52FA7" w14:textId="1E095A41" w:rsidR="00992942" w:rsidRPr="001947E9" w:rsidRDefault="00992942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30,000</w:t>
            </w:r>
          </w:p>
        </w:tc>
      </w:tr>
      <w:tr w:rsidR="00602E5C" w:rsidRPr="00363FE0" w14:paraId="19620C4D" w14:textId="77777777" w:rsidTr="007B02C9">
        <w:trPr>
          <w:jc w:val="center"/>
        </w:trPr>
        <w:tc>
          <w:tcPr>
            <w:tcW w:w="1684" w:type="dxa"/>
          </w:tcPr>
          <w:p w14:paraId="24342719" w14:textId="77777777" w:rsidR="00602E5C" w:rsidRPr="00491605" w:rsidRDefault="00602E5C" w:rsidP="007B02C9">
            <w:pPr>
              <w:rPr>
                <w:rFonts w:cstheme="minorHAnsi"/>
                <w:b/>
              </w:rPr>
            </w:pPr>
            <w:r w:rsidRPr="00491605">
              <w:rPr>
                <w:rFonts w:cstheme="minorHAnsi"/>
                <w:b/>
              </w:rPr>
              <w:t>Total</w:t>
            </w:r>
          </w:p>
        </w:tc>
        <w:tc>
          <w:tcPr>
            <w:tcW w:w="1458" w:type="dxa"/>
          </w:tcPr>
          <w:p w14:paraId="7FCCAB31" w14:textId="1CC2B7DC" w:rsidR="00602E5C" w:rsidRPr="00663B4E" w:rsidRDefault="00175FD4" w:rsidP="00175F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602E5C" w:rsidRPr="00491605">
              <w:rPr>
                <w:rFonts w:cstheme="minorHAnsi"/>
              </w:rPr>
              <w:t>,</w:t>
            </w:r>
            <w:r>
              <w:rPr>
                <w:rFonts w:cstheme="minorHAnsi"/>
              </w:rPr>
              <w:t>2</w:t>
            </w:r>
            <w:r w:rsidR="00602E5C" w:rsidRPr="00491605">
              <w:rPr>
                <w:rFonts w:cstheme="minorHAnsi"/>
              </w:rPr>
              <w:t>50</w:t>
            </w:r>
          </w:p>
        </w:tc>
        <w:tc>
          <w:tcPr>
            <w:tcW w:w="1458" w:type="dxa"/>
          </w:tcPr>
          <w:p w14:paraId="69D07115" w14:textId="53A9E917" w:rsidR="00602E5C" w:rsidRPr="004E6DC5" w:rsidRDefault="00643DD9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02E5C" w:rsidRPr="00663B4E">
              <w:rPr>
                <w:rFonts w:cstheme="minorHAnsi"/>
              </w:rPr>
              <w:t>5,000</w:t>
            </w:r>
          </w:p>
        </w:tc>
        <w:tc>
          <w:tcPr>
            <w:tcW w:w="1458" w:type="dxa"/>
          </w:tcPr>
          <w:p w14:paraId="7C8F1D40" w14:textId="542D9767" w:rsidR="00602E5C" w:rsidRPr="001947E9" w:rsidRDefault="00643DD9" w:rsidP="007B02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602E5C" w:rsidRPr="001947E9">
              <w:rPr>
                <w:rFonts w:cstheme="minorHAnsi"/>
              </w:rPr>
              <w:t>5,000</w:t>
            </w:r>
          </w:p>
        </w:tc>
      </w:tr>
    </w:tbl>
    <w:p w14:paraId="71944EB0" w14:textId="77777777" w:rsidR="00602E5C" w:rsidRPr="00491605" w:rsidRDefault="00602E5C" w:rsidP="00212285">
      <w:pPr>
        <w:rPr>
          <w:rFonts w:cstheme="minorHAnsi"/>
          <w:b/>
          <w:color w:val="4472C4" w:themeColor="accent1"/>
        </w:rPr>
      </w:pPr>
    </w:p>
    <w:p w14:paraId="389A1CE2" w14:textId="3D7D8FD1" w:rsidR="009D6D13" w:rsidRPr="003855A3" w:rsidRDefault="00197A45" w:rsidP="00212285">
      <w:pPr>
        <w:rPr>
          <w:rFonts w:cstheme="minorHAnsi"/>
          <w:b/>
          <w:color w:val="002060"/>
        </w:rPr>
      </w:pPr>
      <w:r w:rsidRPr="003855A3">
        <w:rPr>
          <w:rFonts w:cstheme="minorHAnsi"/>
          <w:b/>
          <w:color w:val="002060"/>
        </w:rPr>
        <w:t>Stratification and Weighting</w:t>
      </w:r>
    </w:p>
    <w:p w14:paraId="59BEDADF" w14:textId="2882D1AC" w:rsidR="009D6D13" w:rsidRPr="003855A3" w:rsidRDefault="009D6D13" w:rsidP="00212285">
      <w:pPr>
        <w:rPr>
          <w:rFonts w:cstheme="minorHAnsi"/>
        </w:rPr>
      </w:pPr>
      <w:r w:rsidRPr="00D83A4B">
        <w:rPr>
          <w:rFonts w:cstheme="minorHAnsi"/>
          <w:b/>
          <w:color w:val="4472C4" w:themeColor="accent1"/>
        </w:rPr>
        <w:tab/>
      </w:r>
      <w:r w:rsidRPr="00D83A4B">
        <w:rPr>
          <w:rFonts w:cstheme="minorHAnsi"/>
        </w:rPr>
        <w:t>Because the email population will have different demographics than the overall population, the initial sample will be selected in a manner</w:t>
      </w:r>
      <w:r w:rsidR="00606B02" w:rsidRPr="003855A3">
        <w:rPr>
          <w:rFonts w:cstheme="minorHAnsi"/>
        </w:rPr>
        <w:t xml:space="preserve"> from </w:t>
      </w:r>
      <w:r w:rsidR="00AA20FA" w:rsidRPr="003855A3">
        <w:rPr>
          <w:rFonts w:cstheme="minorHAnsi"/>
        </w:rPr>
        <w:t xml:space="preserve">the frame </w:t>
      </w:r>
      <w:r w:rsidRPr="003855A3">
        <w:rPr>
          <w:rFonts w:cstheme="minorHAnsi"/>
        </w:rPr>
        <w:t xml:space="preserve">so that the final respondent sample resembles the </w:t>
      </w:r>
      <w:r w:rsidR="00606B02" w:rsidRPr="003855A3">
        <w:rPr>
          <w:rFonts w:cstheme="minorHAnsi"/>
        </w:rPr>
        <w:t>overall population. Stratification may also adjust for</w:t>
      </w:r>
      <w:r w:rsidRPr="003855A3">
        <w:rPr>
          <w:rFonts w:cstheme="minorHAnsi"/>
        </w:rPr>
        <w:t xml:space="preserve"> non-response (</w:t>
      </w:r>
      <w:r w:rsidR="00AA20FA" w:rsidRPr="003855A3">
        <w:rPr>
          <w:rFonts w:cstheme="minorHAnsi"/>
        </w:rPr>
        <w:t>occurring when</w:t>
      </w:r>
      <w:r w:rsidRPr="003855A3">
        <w:rPr>
          <w:rFonts w:cstheme="minorHAnsi"/>
        </w:rPr>
        <w:t xml:space="preserve"> certain subpopulations are </w:t>
      </w:r>
      <w:r w:rsidR="00606B02" w:rsidRPr="003855A3">
        <w:rPr>
          <w:rFonts w:cstheme="minorHAnsi"/>
        </w:rPr>
        <w:t>less</w:t>
      </w:r>
      <w:r w:rsidRPr="003855A3">
        <w:rPr>
          <w:rFonts w:cstheme="minorHAnsi"/>
        </w:rPr>
        <w:t xml:space="preserve"> prone to participate). </w:t>
      </w:r>
      <w:r w:rsidR="000A6F08" w:rsidRPr="003855A3">
        <w:rPr>
          <w:rFonts w:cstheme="minorHAnsi"/>
        </w:rPr>
        <w:t xml:space="preserve">Targets will be established for every permutation of the following stratification variables. As such, population values will be collected </w:t>
      </w:r>
      <w:r w:rsidR="00606B02" w:rsidRPr="003855A3">
        <w:rPr>
          <w:rFonts w:cstheme="minorHAnsi"/>
        </w:rPr>
        <w:t xml:space="preserve">and recorded </w:t>
      </w:r>
      <w:r w:rsidR="00F00F64" w:rsidRPr="003855A3">
        <w:rPr>
          <w:rFonts w:cstheme="minorHAnsi"/>
        </w:rPr>
        <w:t>by VEO for every data collection period</w:t>
      </w:r>
      <w:r w:rsidR="000A6F08" w:rsidRPr="003855A3">
        <w:rPr>
          <w:rFonts w:cstheme="minorHAnsi"/>
        </w:rPr>
        <w:t>.</w:t>
      </w:r>
    </w:p>
    <w:p w14:paraId="584B2533" w14:textId="08D7E880" w:rsidR="00F00F64" w:rsidRPr="003855A3" w:rsidRDefault="00F00F64" w:rsidP="00212285">
      <w:pPr>
        <w:rPr>
          <w:rFonts w:cstheme="minorHAnsi"/>
          <w:b/>
        </w:rPr>
      </w:pPr>
      <w:r w:rsidRPr="003855A3">
        <w:rPr>
          <w:rFonts w:cstheme="minorHAnsi"/>
        </w:rPr>
        <w:tab/>
      </w:r>
      <w:r w:rsidR="007C6A52" w:rsidRPr="003855A3">
        <w:rPr>
          <w:rFonts w:cstheme="minorHAnsi"/>
          <w:b/>
        </w:rPr>
        <w:t>Stratification</w:t>
      </w:r>
      <w:r w:rsidRPr="003855A3">
        <w:rPr>
          <w:rFonts w:cstheme="minorHAnsi"/>
          <w:b/>
        </w:rPr>
        <w:t xml:space="preserve"> Variables</w:t>
      </w:r>
    </w:p>
    <w:p w14:paraId="464C0F49" w14:textId="7DF46099" w:rsidR="000A6F08" w:rsidRPr="003855A3" w:rsidRDefault="000A6F08" w:rsidP="000A6F08">
      <w:pPr>
        <w:pStyle w:val="ListParagraph"/>
        <w:numPr>
          <w:ilvl w:val="1"/>
          <w:numId w:val="4"/>
        </w:numPr>
        <w:rPr>
          <w:rFonts w:cstheme="minorHAnsi"/>
        </w:rPr>
      </w:pPr>
      <w:r w:rsidRPr="003855A3">
        <w:rPr>
          <w:rFonts w:cstheme="minorHAnsi"/>
        </w:rPr>
        <w:t>Telehealth Type (CVT, HT, SFT)</w:t>
      </w:r>
    </w:p>
    <w:p w14:paraId="1C4C6B16" w14:textId="02510957" w:rsidR="000A6F08" w:rsidRPr="003855A3" w:rsidRDefault="000A6F08" w:rsidP="000A6F08">
      <w:pPr>
        <w:pStyle w:val="ListParagraph"/>
        <w:numPr>
          <w:ilvl w:val="1"/>
          <w:numId w:val="4"/>
        </w:numPr>
        <w:rPr>
          <w:rFonts w:cstheme="minorHAnsi"/>
        </w:rPr>
      </w:pPr>
      <w:r w:rsidRPr="003855A3">
        <w:rPr>
          <w:rFonts w:cstheme="minorHAnsi"/>
        </w:rPr>
        <w:t xml:space="preserve">Gender </w:t>
      </w:r>
    </w:p>
    <w:p w14:paraId="48B60888" w14:textId="0B87584F" w:rsidR="000A6F08" w:rsidRDefault="000A6F08" w:rsidP="000A6F08">
      <w:pPr>
        <w:pStyle w:val="ListParagraph"/>
        <w:numPr>
          <w:ilvl w:val="1"/>
          <w:numId w:val="4"/>
        </w:numPr>
        <w:rPr>
          <w:rFonts w:cstheme="minorHAnsi"/>
        </w:rPr>
      </w:pPr>
      <w:r w:rsidRPr="003855A3">
        <w:rPr>
          <w:rFonts w:cstheme="minorHAnsi"/>
        </w:rPr>
        <w:t>Age Group (18-34, 35-54, 55+)</w:t>
      </w:r>
    </w:p>
    <w:p w14:paraId="62537A15" w14:textId="6500F010" w:rsidR="00460B40" w:rsidRPr="00460B40" w:rsidRDefault="00460B40" w:rsidP="00460B40">
      <w:pPr>
        <w:pStyle w:val="ListParagraph"/>
        <w:numPr>
          <w:ilvl w:val="1"/>
          <w:numId w:val="4"/>
        </w:numPr>
        <w:rPr>
          <w:rFonts w:cstheme="minorHAnsi"/>
        </w:rPr>
      </w:pPr>
      <w:r w:rsidRPr="00460B40">
        <w:rPr>
          <w:rFonts w:cstheme="minorHAnsi"/>
        </w:rPr>
        <w:t>Geographic Region (Tentative)</w:t>
      </w:r>
    </w:p>
    <w:p w14:paraId="3995F960" w14:textId="77777777" w:rsidR="007C3C65" w:rsidRPr="00E03D23" w:rsidRDefault="00F00F64" w:rsidP="003855A3">
      <w:pPr>
        <w:ind w:firstLine="720"/>
        <w:rPr>
          <w:rFonts w:cstheme="minorHAnsi"/>
        </w:rPr>
      </w:pPr>
      <w:r w:rsidRPr="00E03D23">
        <w:rPr>
          <w:rFonts w:cstheme="minorHAnsi"/>
        </w:rPr>
        <w:t>The stratification scheme above will result in a represent</w:t>
      </w:r>
      <w:r w:rsidR="00606B02" w:rsidRPr="00E03D23">
        <w:rPr>
          <w:rFonts w:cstheme="minorHAnsi"/>
        </w:rPr>
        <w:t>ative</w:t>
      </w:r>
      <w:r w:rsidRPr="00E03D23">
        <w:rPr>
          <w:rFonts w:cstheme="minorHAnsi"/>
        </w:rPr>
        <w:t xml:space="preserve"> sample (w</w:t>
      </w:r>
      <w:r w:rsidR="007C3C65" w:rsidRPr="00E03D23">
        <w:rPr>
          <w:rFonts w:cstheme="minorHAnsi"/>
        </w:rPr>
        <w:t>.</w:t>
      </w:r>
      <w:r w:rsidRPr="00E03D23">
        <w:rPr>
          <w:rFonts w:cstheme="minorHAnsi"/>
        </w:rPr>
        <w:t>r</w:t>
      </w:r>
      <w:r w:rsidR="007C3C65" w:rsidRPr="00E03D23">
        <w:rPr>
          <w:rFonts w:cstheme="minorHAnsi"/>
        </w:rPr>
        <w:t>.</w:t>
      </w:r>
      <w:r w:rsidRPr="00E03D23">
        <w:rPr>
          <w:rFonts w:cstheme="minorHAnsi"/>
        </w:rPr>
        <w:t>t to the full population). Weighting will then be applied so that the sample is more fully matched to the population</w:t>
      </w:r>
      <w:r w:rsidR="00606B02" w:rsidRPr="00E03D23">
        <w:rPr>
          <w:rFonts w:cstheme="minorHAnsi"/>
        </w:rPr>
        <w:t>. Sample weights will be generated for Weekly, M</w:t>
      </w:r>
      <w:r w:rsidR="007C3C65" w:rsidRPr="00E03D23">
        <w:rPr>
          <w:rFonts w:cstheme="minorHAnsi"/>
        </w:rPr>
        <w:t xml:space="preserve">onthly, and Quarterly estimates. </w:t>
      </w:r>
    </w:p>
    <w:p w14:paraId="2F343412" w14:textId="3A751E7D" w:rsidR="00F00F64" w:rsidRPr="00E03D23" w:rsidRDefault="005F63C4" w:rsidP="003855A3">
      <w:pPr>
        <w:ind w:firstLine="720"/>
        <w:rPr>
          <w:rFonts w:cstheme="minorHAnsi"/>
          <w:b/>
          <w:color w:val="4472C4" w:themeColor="accent1"/>
        </w:rPr>
      </w:pPr>
      <w:r w:rsidRPr="00E03D23">
        <w:rPr>
          <w:rFonts w:cstheme="minorHAnsi"/>
        </w:rPr>
        <w:t>It was reported earlier that the email population comprises 30% of the full Telehealth population. Since 85% of older Americans utilize email</w:t>
      </w:r>
      <w:r w:rsidR="00DA0A38" w:rsidRPr="00DA0A38">
        <w:rPr>
          <w:rFonts w:cstheme="minorHAnsi"/>
          <w:vertAlign w:val="superscript"/>
        </w:rPr>
        <w:t>2</w:t>
      </w:r>
      <w:r w:rsidR="00DA0A38">
        <w:rPr>
          <w:rFonts w:cstheme="minorHAnsi"/>
        </w:rPr>
        <w:t xml:space="preserve">, </w:t>
      </w:r>
      <w:r w:rsidR="00AA20FA" w:rsidRPr="00E03D23">
        <w:rPr>
          <w:rFonts w:cstheme="minorHAnsi"/>
        </w:rPr>
        <w:t>we can presume</w:t>
      </w:r>
      <w:r w:rsidRPr="00E03D23">
        <w:rPr>
          <w:rFonts w:cstheme="minorHAnsi"/>
        </w:rPr>
        <w:t xml:space="preserve"> that most veterans choose not to share their email address with VHA or are simply unware of that option. It is assumed that the </w:t>
      </w:r>
      <w:r w:rsidR="007C3C65" w:rsidRPr="00E03D23">
        <w:rPr>
          <w:rFonts w:cstheme="minorHAnsi"/>
        </w:rPr>
        <w:t xml:space="preserve">level of patient satisfaction is not directly related to </w:t>
      </w:r>
      <w:r w:rsidRPr="00E03D23">
        <w:rPr>
          <w:rFonts w:cstheme="minorHAnsi"/>
        </w:rPr>
        <w:t xml:space="preserve">their email status (Missing at Random). </w:t>
      </w:r>
      <w:r w:rsidR="000607B2" w:rsidRPr="00E03D23">
        <w:rPr>
          <w:rFonts w:cstheme="minorHAnsi"/>
        </w:rPr>
        <w:t>Since age and gender have been observed to be strong predictors of patient satisfaction</w:t>
      </w:r>
      <w:r w:rsidR="00AA20FA" w:rsidRPr="00E03D23">
        <w:rPr>
          <w:rFonts w:cstheme="minorHAnsi"/>
        </w:rPr>
        <w:t xml:space="preserve"> in other VA health surveys</w:t>
      </w:r>
      <w:r w:rsidR="000607B2" w:rsidRPr="00E03D23">
        <w:rPr>
          <w:rFonts w:cstheme="minorHAnsi"/>
        </w:rPr>
        <w:t xml:space="preserve">, the stratification and weighting methodology outlined above will </w:t>
      </w:r>
      <w:r w:rsidR="00AA20FA" w:rsidRPr="00E03D23">
        <w:rPr>
          <w:rFonts w:cstheme="minorHAnsi"/>
        </w:rPr>
        <w:t xml:space="preserve">adequately </w:t>
      </w:r>
      <w:r w:rsidR="000607B2" w:rsidRPr="00E03D23">
        <w:rPr>
          <w:rFonts w:cstheme="minorHAnsi"/>
        </w:rPr>
        <w:t xml:space="preserve">compensate for any bias introduced by the incomplete frame </w:t>
      </w:r>
      <w:r w:rsidR="00F14B02">
        <w:rPr>
          <w:rFonts w:cstheme="minorHAnsi"/>
        </w:rPr>
        <w:t xml:space="preserve">of </w:t>
      </w:r>
      <w:r w:rsidR="000607B2" w:rsidRPr="00E03D23">
        <w:rPr>
          <w:rFonts w:cstheme="minorHAnsi"/>
        </w:rPr>
        <w:t>population.</w:t>
      </w:r>
    </w:p>
    <w:p w14:paraId="74CCD6CA" w14:textId="77777777" w:rsidR="003164F5" w:rsidRPr="003855A3" w:rsidRDefault="003164F5" w:rsidP="003164F5">
      <w:pPr>
        <w:rPr>
          <w:rFonts w:cstheme="minorHAnsi"/>
          <w:color w:val="002060"/>
        </w:rPr>
      </w:pPr>
      <w:r w:rsidRPr="003855A3">
        <w:rPr>
          <w:rFonts w:cstheme="minorHAnsi"/>
          <w:b/>
          <w:color w:val="002060"/>
        </w:rPr>
        <w:t>Quarantine Rules</w:t>
      </w:r>
    </w:p>
    <w:p w14:paraId="1C2D16D6" w14:textId="4F93EA69" w:rsidR="00AA20FA" w:rsidRPr="004B1397" w:rsidRDefault="0010594A" w:rsidP="004B1397">
      <w:pPr>
        <w:ind w:firstLine="720"/>
        <w:rPr>
          <w:rFonts w:cstheme="minorHAnsi"/>
        </w:rPr>
      </w:pPr>
      <w:r>
        <w:rPr>
          <w:rFonts w:cstheme="minorHAnsi"/>
        </w:rPr>
        <w:t>VEO</w:t>
      </w:r>
      <w:r w:rsidR="003164F5" w:rsidRPr="00363FE0">
        <w:rPr>
          <w:rFonts w:cstheme="minorHAnsi"/>
        </w:rPr>
        <w:t xml:space="preserve"> seeks to limit contact with Veterans as much as possible, and only as necessary to achieve measurement goals. </w:t>
      </w:r>
      <w:r w:rsidR="00197A45" w:rsidRPr="0081618E">
        <w:rPr>
          <w:rFonts w:cstheme="minorHAnsi"/>
        </w:rPr>
        <w:t>These rules are enacted to prevent</w:t>
      </w:r>
      <w:r w:rsidR="003164F5" w:rsidRPr="0081618E">
        <w:rPr>
          <w:rFonts w:cstheme="minorHAnsi"/>
        </w:rPr>
        <w:t xml:space="preserve"> excessive recruitment attempts upon </w:t>
      </w:r>
      <w:r w:rsidR="00197A45" w:rsidRPr="00E03D23">
        <w:rPr>
          <w:rFonts w:cstheme="minorHAnsi"/>
        </w:rPr>
        <w:t xml:space="preserve">Telehealth patients. </w:t>
      </w:r>
      <w:r w:rsidR="003164F5" w:rsidRPr="00E03D23">
        <w:rPr>
          <w:rFonts w:cstheme="minorHAnsi"/>
        </w:rPr>
        <w:t xml:space="preserve">VEO also monitors veteran participation within other surveys, to ensure veterans do not experience survey </w:t>
      </w:r>
      <w:r w:rsidR="003164F5" w:rsidRPr="00E03D23">
        <w:rPr>
          <w:rFonts w:cstheme="minorHAnsi"/>
          <w:i/>
        </w:rPr>
        <w:t>fatigue.</w:t>
      </w:r>
      <w:r w:rsidR="00197A45" w:rsidRPr="00E03D23">
        <w:rPr>
          <w:rFonts w:cstheme="minorHAnsi"/>
          <w:i/>
        </w:rPr>
        <w:t xml:space="preserve"> </w:t>
      </w:r>
      <w:r w:rsidR="00197A45" w:rsidRPr="00E03D23">
        <w:rPr>
          <w:rFonts w:cstheme="minorHAnsi"/>
        </w:rPr>
        <w:t>A</w:t>
      </w:r>
      <w:r w:rsidR="003164F5" w:rsidRPr="00E03D23">
        <w:rPr>
          <w:rFonts w:cstheme="minorHAnsi"/>
        </w:rPr>
        <w:t>ll VEO surveys offer options for respondents to opt out, and ensure they are no longer contacted for a specific survey.</w:t>
      </w:r>
    </w:p>
    <w:p w14:paraId="5089DC6B" w14:textId="60247EC6" w:rsidR="003164F5" w:rsidRPr="00491605" w:rsidRDefault="00811364" w:rsidP="003164F5">
      <w:pPr>
        <w:rPr>
          <w:rFonts w:cstheme="minorHAnsi"/>
        </w:rPr>
      </w:pPr>
      <w:r w:rsidRPr="009C4E50">
        <w:rPr>
          <w:rFonts w:cstheme="minorHAnsi"/>
          <w:b/>
          <w:color w:val="4472C4" w:themeColor="accent1"/>
        </w:rPr>
        <w:t>Table 4</w:t>
      </w:r>
      <w:r w:rsidR="003164F5" w:rsidRPr="009C4E50">
        <w:rPr>
          <w:rFonts w:cstheme="minorHAnsi"/>
          <w:b/>
          <w:color w:val="4472C4" w:themeColor="accent1"/>
        </w:rPr>
        <w:t>. Proposed Quarantine Protocol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2358"/>
        <w:gridCol w:w="5670"/>
        <w:gridCol w:w="1530"/>
      </w:tblGrid>
      <w:tr w:rsidR="003164F5" w:rsidRPr="00363FE0" w14:paraId="2624CCAA" w14:textId="77777777" w:rsidTr="00B54490">
        <w:tc>
          <w:tcPr>
            <w:tcW w:w="2358" w:type="dxa"/>
          </w:tcPr>
          <w:p w14:paraId="53D9C232" w14:textId="77777777" w:rsidR="003164F5" w:rsidRPr="00491605" w:rsidRDefault="003164F5" w:rsidP="00660907">
            <w:pPr>
              <w:rPr>
                <w:rFonts w:cstheme="minorHAnsi"/>
                <w:b/>
                <w:color w:val="4472C4" w:themeColor="accent1"/>
              </w:rPr>
            </w:pPr>
            <w:r w:rsidRPr="00491605">
              <w:rPr>
                <w:rFonts w:cstheme="minorHAnsi"/>
                <w:b/>
                <w:color w:val="4472C4" w:themeColor="accent1"/>
              </w:rPr>
              <w:t>Quarantine Rule</w:t>
            </w:r>
          </w:p>
        </w:tc>
        <w:tc>
          <w:tcPr>
            <w:tcW w:w="5670" w:type="dxa"/>
          </w:tcPr>
          <w:p w14:paraId="514F2408" w14:textId="2EC3EC93" w:rsidR="003164F5" w:rsidRPr="00663B4E" w:rsidRDefault="003164F5" w:rsidP="004B4072">
            <w:pPr>
              <w:rPr>
                <w:rFonts w:cstheme="minorHAnsi"/>
                <w:b/>
                <w:color w:val="4472C4" w:themeColor="accent1"/>
              </w:rPr>
            </w:pPr>
            <w:r w:rsidRPr="00663B4E">
              <w:rPr>
                <w:rFonts w:cstheme="minorHAnsi"/>
                <w:b/>
                <w:color w:val="4472C4" w:themeColor="accent1"/>
              </w:rPr>
              <w:t>Description</w:t>
            </w:r>
          </w:p>
        </w:tc>
        <w:tc>
          <w:tcPr>
            <w:tcW w:w="1530" w:type="dxa"/>
          </w:tcPr>
          <w:p w14:paraId="6426234A" w14:textId="77777777" w:rsidR="003164F5" w:rsidRPr="004E6DC5" w:rsidRDefault="003164F5" w:rsidP="00660907">
            <w:pPr>
              <w:rPr>
                <w:rFonts w:cstheme="minorHAnsi"/>
                <w:b/>
                <w:color w:val="4472C4" w:themeColor="accent1"/>
              </w:rPr>
            </w:pPr>
            <w:r w:rsidRPr="00663B4E">
              <w:rPr>
                <w:rFonts w:cstheme="minorHAnsi"/>
                <w:b/>
                <w:color w:val="4472C4" w:themeColor="accent1"/>
              </w:rPr>
              <w:t xml:space="preserve">Elapsed Time </w:t>
            </w:r>
          </w:p>
        </w:tc>
      </w:tr>
      <w:tr w:rsidR="003164F5" w:rsidRPr="00363FE0" w14:paraId="73212C76" w14:textId="77777777" w:rsidTr="00B54490">
        <w:tc>
          <w:tcPr>
            <w:tcW w:w="2358" w:type="dxa"/>
          </w:tcPr>
          <w:p w14:paraId="6CCC561E" w14:textId="6CF797E1" w:rsidR="003164F5" w:rsidRPr="00491605" w:rsidRDefault="00197A45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Repeated Sampling for Telehealth Survey</w:t>
            </w:r>
          </w:p>
        </w:tc>
        <w:tc>
          <w:tcPr>
            <w:tcW w:w="5670" w:type="dxa"/>
          </w:tcPr>
          <w:p w14:paraId="7610BE39" w14:textId="0153624D" w:rsidR="003164F5" w:rsidRPr="004E6DC5" w:rsidRDefault="003164F5" w:rsidP="00197A45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 xml:space="preserve">Number of days between receiving/completing </w:t>
            </w:r>
            <w:r w:rsidR="00197A45" w:rsidRPr="00663B4E">
              <w:rPr>
                <w:rFonts w:cstheme="minorHAnsi"/>
              </w:rPr>
              <w:t>online</w:t>
            </w:r>
            <w:r w:rsidRPr="00663B4E">
              <w:rPr>
                <w:rFonts w:cstheme="minorHAnsi"/>
              </w:rPr>
              <w:t xml:space="preserve"> survey, prior to receiving email invitation </w:t>
            </w:r>
            <w:r w:rsidR="00197A45" w:rsidRPr="00663B4E">
              <w:rPr>
                <w:rFonts w:cstheme="minorHAnsi"/>
              </w:rPr>
              <w:t>for a separate Telehealth experience</w:t>
            </w:r>
          </w:p>
        </w:tc>
        <w:tc>
          <w:tcPr>
            <w:tcW w:w="1530" w:type="dxa"/>
          </w:tcPr>
          <w:p w14:paraId="7B5E7E53" w14:textId="3E8CBEB2" w:rsidR="003164F5" w:rsidRPr="001947E9" w:rsidRDefault="00197A45" w:rsidP="00660907">
            <w:pPr>
              <w:rPr>
                <w:rFonts w:cstheme="minorHAnsi"/>
              </w:rPr>
            </w:pPr>
            <w:r w:rsidRPr="001947E9">
              <w:rPr>
                <w:rFonts w:cstheme="minorHAnsi"/>
              </w:rPr>
              <w:t>60 Days</w:t>
            </w:r>
            <w:r w:rsidR="003164F5" w:rsidRPr="001947E9">
              <w:rPr>
                <w:rFonts w:cstheme="minorHAnsi"/>
              </w:rPr>
              <w:t xml:space="preserve"> </w:t>
            </w:r>
          </w:p>
        </w:tc>
      </w:tr>
      <w:tr w:rsidR="003164F5" w:rsidRPr="00363FE0" w14:paraId="02D3F961" w14:textId="77777777" w:rsidTr="00B54490">
        <w:tc>
          <w:tcPr>
            <w:tcW w:w="2358" w:type="dxa"/>
          </w:tcPr>
          <w:p w14:paraId="5AB3A3E0" w14:textId="718A90FD" w:rsidR="003164F5" w:rsidRPr="00491605" w:rsidRDefault="00197A45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Other VEO Surveys</w:t>
            </w:r>
          </w:p>
        </w:tc>
        <w:tc>
          <w:tcPr>
            <w:tcW w:w="5670" w:type="dxa"/>
          </w:tcPr>
          <w:p w14:paraId="38A2AFB4" w14:textId="4774F6E6" w:rsidR="003164F5" w:rsidRPr="00663B4E" w:rsidRDefault="003164F5" w:rsidP="00197A45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 xml:space="preserve">Number of days between receiving/completing </w:t>
            </w:r>
            <w:r w:rsidR="00197A45" w:rsidRPr="00491605">
              <w:rPr>
                <w:rFonts w:cstheme="minorHAnsi"/>
              </w:rPr>
              <w:t>online</w:t>
            </w:r>
            <w:r w:rsidRPr="00491605">
              <w:rPr>
                <w:rFonts w:cstheme="minorHAnsi"/>
              </w:rPr>
              <w:t xml:space="preserve"> survey </w:t>
            </w:r>
            <w:r w:rsidR="00197A45" w:rsidRPr="00663B4E">
              <w:rPr>
                <w:rFonts w:cstheme="minorHAnsi"/>
              </w:rPr>
              <w:t>and becoming eligible for another VEO survey</w:t>
            </w:r>
          </w:p>
        </w:tc>
        <w:tc>
          <w:tcPr>
            <w:tcW w:w="1530" w:type="dxa"/>
          </w:tcPr>
          <w:p w14:paraId="543B525F" w14:textId="7D728221" w:rsidR="003164F5" w:rsidRPr="004E6DC5" w:rsidRDefault="00197A45" w:rsidP="00660907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>90 Days</w:t>
            </w:r>
          </w:p>
        </w:tc>
      </w:tr>
      <w:tr w:rsidR="004B4072" w:rsidRPr="00363FE0" w14:paraId="34094445" w14:textId="77777777" w:rsidTr="00B54490">
        <w:tc>
          <w:tcPr>
            <w:tcW w:w="2358" w:type="dxa"/>
          </w:tcPr>
          <w:p w14:paraId="12184644" w14:textId="628CCF79" w:rsidR="004B4072" w:rsidRPr="00491605" w:rsidRDefault="004B4072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HT Prioritization</w:t>
            </w:r>
          </w:p>
        </w:tc>
        <w:tc>
          <w:tcPr>
            <w:tcW w:w="5670" w:type="dxa"/>
          </w:tcPr>
          <w:p w14:paraId="484C673C" w14:textId="31B95A24" w:rsidR="004B4072" w:rsidRPr="00491605" w:rsidRDefault="004B4072" w:rsidP="00197A45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Veterans enrolled in Home Telehealth will be excluded from CVT and SFT selection.</w:t>
            </w:r>
          </w:p>
        </w:tc>
        <w:tc>
          <w:tcPr>
            <w:tcW w:w="1530" w:type="dxa"/>
          </w:tcPr>
          <w:p w14:paraId="36213C0B" w14:textId="5C50CCAA" w:rsidR="004B4072" w:rsidRPr="00663B4E" w:rsidRDefault="007C3347" w:rsidP="00660907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>N/A</w:t>
            </w:r>
          </w:p>
        </w:tc>
      </w:tr>
      <w:tr w:rsidR="00AA20FA" w:rsidRPr="00363FE0" w14:paraId="2D952369" w14:textId="77777777" w:rsidTr="00B54490">
        <w:tc>
          <w:tcPr>
            <w:tcW w:w="2358" w:type="dxa"/>
          </w:tcPr>
          <w:p w14:paraId="79CF24DF" w14:textId="4D7C2CC4" w:rsidR="00AA20FA" w:rsidRPr="00491605" w:rsidRDefault="00AA20FA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Lifetime Omission</w:t>
            </w:r>
          </w:p>
        </w:tc>
        <w:tc>
          <w:tcPr>
            <w:tcW w:w="5670" w:type="dxa"/>
          </w:tcPr>
          <w:p w14:paraId="1AC67CBE" w14:textId="2FCE28D5" w:rsidR="00AA20FA" w:rsidRPr="00663B4E" w:rsidRDefault="00AA20FA" w:rsidP="00197A45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No Veteran will be selected for the TH survey more than 10 times.</w:t>
            </w:r>
          </w:p>
        </w:tc>
        <w:tc>
          <w:tcPr>
            <w:tcW w:w="1530" w:type="dxa"/>
          </w:tcPr>
          <w:p w14:paraId="4BAC5712" w14:textId="13012DC0" w:rsidR="00AA20FA" w:rsidRPr="004E6DC5" w:rsidRDefault="00AA20FA" w:rsidP="00660907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>N/A</w:t>
            </w:r>
          </w:p>
        </w:tc>
      </w:tr>
      <w:tr w:rsidR="003164F5" w:rsidRPr="00363FE0" w14:paraId="41774167" w14:textId="77777777" w:rsidTr="00B54490">
        <w:tc>
          <w:tcPr>
            <w:tcW w:w="2358" w:type="dxa"/>
          </w:tcPr>
          <w:p w14:paraId="1744A386" w14:textId="77777777" w:rsidR="003164F5" w:rsidRPr="00491605" w:rsidRDefault="003164F5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Opt Outs</w:t>
            </w:r>
          </w:p>
        </w:tc>
        <w:tc>
          <w:tcPr>
            <w:tcW w:w="5670" w:type="dxa"/>
          </w:tcPr>
          <w:p w14:paraId="3F41FAF6" w14:textId="77777777" w:rsidR="003164F5" w:rsidRPr="00491605" w:rsidRDefault="003164F5" w:rsidP="00660907">
            <w:pPr>
              <w:rPr>
                <w:rFonts w:cstheme="minorHAnsi"/>
              </w:rPr>
            </w:pPr>
            <w:r w:rsidRPr="00491605">
              <w:rPr>
                <w:rFonts w:cstheme="minorHAnsi"/>
              </w:rPr>
              <w:t>Persons indicating their wish to opt out of either phone or online survey will no longer be contacted.</w:t>
            </w:r>
          </w:p>
        </w:tc>
        <w:tc>
          <w:tcPr>
            <w:tcW w:w="1530" w:type="dxa"/>
          </w:tcPr>
          <w:p w14:paraId="61457A72" w14:textId="77777777" w:rsidR="003164F5" w:rsidRPr="00663B4E" w:rsidRDefault="003164F5" w:rsidP="00660907">
            <w:pPr>
              <w:rPr>
                <w:rFonts w:cstheme="minorHAnsi"/>
              </w:rPr>
            </w:pPr>
            <w:r w:rsidRPr="00663B4E">
              <w:rPr>
                <w:rFonts w:cstheme="minorHAnsi"/>
              </w:rPr>
              <w:t>N/A</w:t>
            </w:r>
          </w:p>
        </w:tc>
      </w:tr>
    </w:tbl>
    <w:p w14:paraId="7B688BEC" w14:textId="77777777" w:rsidR="003164F5" w:rsidRPr="00491605" w:rsidRDefault="003164F5" w:rsidP="00212285">
      <w:pPr>
        <w:rPr>
          <w:rFonts w:cstheme="minorHAnsi"/>
          <w:b/>
          <w:color w:val="002060"/>
        </w:rPr>
      </w:pPr>
    </w:p>
    <w:p w14:paraId="25ACB6F2" w14:textId="77777777" w:rsidR="007D446F" w:rsidRPr="003855A3" w:rsidRDefault="007D446F" w:rsidP="007D446F">
      <w:pPr>
        <w:rPr>
          <w:rFonts w:cstheme="minorHAnsi"/>
          <w:b/>
          <w:color w:val="002060"/>
        </w:rPr>
      </w:pPr>
      <w:r w:rsidRPr="003855A3">
        <w:rPr>
          <w:rFonts w:cstheme="minorHAnsi"/>
          <w:b/>
          <w:color w:val="002060"/>
        </w:rPr>
        <w:t xml:space="preserve">Quality Control </w:t>
      </w:r>
    </w:p>
    <w:p w14:paraId="00C7F715" w14:textId="43E7C2F1" w:rsidR="00654882" w:rsidRDefault="00654882" w:rsidP="009E78D6">
      <w:pPr>
        <w:spacing w:after="120" w:line="240" w:lineRule="auto"/>
        <w:rPr>
          <w:rFonts w:cstheme="minorHAnsi"/>
        </w:rPr>
      </w:pPr>
      <w:r w:rsidRPr="00632080">
        <w:rPr>
          <w:rFonts w:cstheme="minorHAnsi"/>
        </w:rPr>
        <w:t xml:space="preserve">To ensure the prevention of errors and inconsistencies in the data and the analysis, quality control procedures </w:t>
      </w:r>
      <w:r w:rsidR="005209EB">
        <w:rPr>
          <w:rFonts w:cstheme="minorHAnsi"/>
        </w:rPr>
        <w:t>will be</w:t>
      </w:r>
      <w:r w:rsidRPr="00632080">
        <w:rPr>
          <w:rFonts w:cstheme="minorHAnsi"/>
        </w:rPr>
        <w:t xml:space="preserve"> instituted in several steps of the survey process. Records </w:t>
      </w:r>
      <w:r w:rsidR="005209EB">
        <w:rPr>
          <w:rFonts w:cstheme="minorHAnsi"/>
        </w:rPr>
        <w:t xml:space="preserve">will </w:t>
      </w:r>
      <w:r w:rsidRPr="00632080">
        <w:rPr>
          <w:rFonts w:cstheme="minorHAnsi"/>
        </w:rPr>
        <w:t xml:space="preserve">undergo a cleaning </w:t>
      </w:r>
      <w:r w:rsidRPr="00632080">
        <w:rPr>
          <w:rFonts w:cstheme="minorHAnsi"/>
          <w:u w:val="single"/>
        </w:rPr>
        <w:t>during the population file creation</w:t>
      </w:r>
      <w:r w:rsidRPr="00632080">
        <w:rPr>
          <w:rFonts w:cstheme="minorHAnsi"/>
        </w:rPr>
        <w:t>.  The quality control steps are as follows.</w:t>
      </w:r>
    </w:p>
    <w:p w14:paraId="125EA09F" w14:textId="42CB6831" w:rsidR="00654882" w:rsidRPr="009E78D6" w:rsidRDefault="00654882" w:rsidP="00654882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0"/>
          <w:szCs w:val="20"/>
        </w:rPr>
      </w:pPr>
      <w:r w:rsidRPr="009E78D6">
        <w:rPr>
          <w:rFonts w:eastAsia="Calibri" w:cstheme="minorHAnsi"/>
          <w:sz w:val="20"/>
          <w:szCs w:val="20"/>
        </w:rPr>
        <w:t xml:space="preserve">Records </w:t>
      </w:r>
      <w:r w:rsidR="005209EB" w:rsidRPr="009E78D6">
        <w:rPr>
          <w:rFonts w:eastAsia="Calibri" w:cstheme="minorHAnsi"/>
          <w:sz w:val="20"/>
          <w:szCs w:val="20"/>
        </w:rPr>
        <w:t>will be</w:t>
      </w:r>
      <w:r w:rsidRPr="009E78D6">
        <w:rPr>
          <w:rFonts w:eastAsia="Calibri" w:cstheme="minorHAnsi"/>
          <w:sz w:val="20"/>
          <w:szCs w:val="20"/>
        </w:rPr>
        <w:t xml:space="preserve"> reviewed for missing sampling and weighting variable data.  When records with missing data are discovered, they </w:t>
      </w:r>
      <w:r w:rsidR="005209EB" w:rsidRPr="009E78D6">
        <w:rPr>
          <w:rFonts w:eastAsia="Calibri" w:cstheme="minorHAnsi"/>
          <w:sz w:val="20"/>
          <w:szCs w:val="20"/>
        </w:rPr>
        <w:t>will be</w:t>
      </w:r>
      <w:r w:rsidRPr="009E78D6">
        <w:rPr>
          <w:rFonts w:eastAsia="Calibri" w:cstheme="minorHAnsi"/>
          <w:sz w:val="20"/>
          <w:szCs w:val="20"/>
        </w:rPr>
        <w:t xml:space="preserve"> either excluded from the population file or put into separate strata upon discussion with subject matter experts.</w:t>
      </w:r>
    </w:p>
    <w:p w14:paraId="5344ABE2" w14:textId="5381E84D" w:rsidR="00654882" w:rsidRPr="009E78D6" w:rsidRDefault="00654882" w:rsidP="00654882">
      <w:pPr>
        <w:numPr>
          <w:ilvl w:val="0"/>
          <w:numId w:val="6"/>
        </w:numPr>
        <w:spacing w:after="100" w:afterAutospacing="1" w:line="240" w:lineRule="auto"/>
        <w:rPr>
          <w:rFonts w:eastAsia="Calibri" w:cstheme="minorHAnsi"/>
          <w:sz w:val="20"/>
          <w:szCs w:val="20"/>
        </w:rPr>
      </w:pPr>
      <w:r w:rsidRPr="009E78D6">
        <w:rPr>
          <w:rFonts w:eastAsia="Calibri" w:cstheme="minorHAnsi"/>
          <w:sz w:val="20"/>
          <w:szCs w:val="20"/>
        </w:rPr>
        <w:t xml:space="preserve">Any duplicate records </w:t>
      </w:r>
      <w:r w:rsidR="005209EB" w:rsidRPr="009E78D6">
        <w:rPr>
          <w:rFonts w:eastAsia="Calibri" w:cstheme="minorHAnsi"/>
          <w:sz w:val="20"/>
          <w:szCs w:val="20"/>
        </w:rPr>
        <w:t>will be</w:t>
      </w:r>
      <w:r w:rsidRPr="009E78D6">
        <w:rPr>
          <w:rFonts w:eastAsia="Calibri" w:cstheme="minorHAnsi"/>
          <w:sz w:val="20"/>
          <w:szCs w:val="20"/>
        </w:rPr>
        <w:t xml:space="preserve"> removed from the population file to both maintain the probabilities of selection and prevent the double sampling of the same veteran.</w:t>
      </w:r>
    </w:p>
    <w:p w14:paraId="0C82E452" w14:textId="44B8D6B5" w:rsidR="00654882" w:rsidRPr="009E78D6" w:rsidRDefault="00654882" w:rsidP="00654882">
      <w:pPr>
        <w:numPr>
          <w:ilvl w:val="0"/>
          <w:numId w:val="6"/>
        </w:numPr>
        <w:spacing w:after="100" w:afterAutospacing="1" w:line="240" w:lineRule="auto"/>
        <w:rPr>
          <w:rFonts w:eastAsia="Calibri" w:cstheme="minorHAnsi"/>
          <w:sz w:val="20"/>
          <w:szCs w:val="20"/>
        </w:rPr>
      </w:pPr>
      <w:r w:rsidRPr="009E78D6">
        <w:rPr>
          <w:rFonts w:eastAsia="Calibri" w:cstheme="minorHAnsi"/>
          <w:sz w:val="20"/>
          <w:szCs w:val="20"/>
        </w:rPr>
        <w:t xml:space="preserve">Invalid emails </w:t>
      </w:r>
      <w:r w:rsidR="005209EB" w:rsidRPr="009E78D6">
        <w:rPr>
          <w:rFonts w:eastAsia="Calibri" w:cstheme="minorHAnsi"/>
          <w:sz w:val="20"/>
          <w:szCs w:val="20"/>
        </w:rPr>
        <w:t xml:space="preserve">will be </w:t>
      </w:r>
      <w:r w:rsidRPr="009E78D6">
        <w:rPr>
          <w:rFonts w:eastAsia="Calibri" w:cstheme="minorHAnsi"/>
          <w:sz w:val="20"/>
          <w:szCs w:val="20"/>
        </w:rPr>
        <w:t>removed.</w:t>
      </w:r>
    </w:p>
    <w:p w14:paraId="147DC61A" w14:textId="42C453B7" w:rsidR="00654882" w:rsidRDefault="00654882" w:rsidP="009E78D6">
      <w:pPr>
        <w:spacing w:after="120" w:line="240" w:lineRule="auto"/>
        <w:rPr>
          <w:rFonts w:cstheme="minorHAnsi"/>
        </w:rPr>
      </w:pPr>
      <w:r w:rsidRPr="00632080">
        <w:rPr>
          <w:rFonts w:cstheme="minorHAnsi"/>
        </w:rPr>
        <w:t xml:space="preserve">The survey sample </w:t>
      </w:r>
      <w:r w:rsidRPr="00632080">
        <w:rPr>
          <w:rFonts w:cstheme="minorHAnsi"/>
          <w:u w:val="single"/>
        </w:rPr>
        <w:t>loading and administration processes</w:t>
      </w:r>
      <w:r w:rsidR="005209EB">
        <w:rPr>
          <w:rFonts w:cstheme="minorHAnsi"/>
          <w:u w:val="single"/>
        </w:rPr>
        <w:t xml:space="preserve"> will</w:t>
      </w:r>
      <w:r w:rsidRPr="00632080">
        <w:rPr>
          <w:rFonts w:cstheme="minorHAnsi"/>
        </w:rPr>
        <w:t xml:space="preserve"> have quality control measures built into them.</w:t>
      </w:r>
    </w:p>
    <w:p w14:paraId="3825A2A5" w14:textId="182146A9" w:rsidR="00654882" w:rsidRPr="009E78D6" w:rsidRDefault="00654882" w:rsidP="00654882">
      <w:pPr>
        <w:pStyle w:val="ListParagraph"/>
        <w:numPr>
          <w:ilvl w:val="0"/>
          <w:numId w:val="12"/>
        </w:numPr>
        <w:spacing w:after="120" w:line="240" w:lineRule="auto"/>
        <w:rPr>
          <w:rFonts w:cstheme="minorHAnsi"/>
          <w:sz w:val="20"/>
          <w:szCs w:val="20"/>
        </w:rPr>
      </w:pPr>
      <w:r w:rsidRPr="009E78D6">
        <w:rPr>
          <w:rFonts w:cstheme="minorHAnsi"/>
          <w:sz w:val="20"/>
          <w:szCs w:val="20"/>
        </w:rPr>
        <w:t xml:space="preserve">The survey load process </w:t>
      </w:r>
      <w:r w:rsidR="005209EB" w:rsidRPr="009E78D6">
        <w:rPr>
          <w:rFonts w:cstheme="minorHAnsi"/>
          <w:sz w:val="20"/>
          <w:szCs w:val="20"/>
        </w:rPr>
        <w:t>will be</w:t>
      </w:r>
      <w:r w:rsidRPr="009E78D6">
        <w:rPr>
          <w:rFonts w:cstheme="minorHAnsi"/>
          <w:sz w:val="20"/>
          <w:szCs w:val="20"/>
        </w:rPr>
        <w:t xml:space="preserve"> rigorously tested prior to the induction of the TH Survey to ensure that sampled customers </w:t>
      </w:r>
      <w:r w:rsidR="005209EB" w:rsidRPr="009E78D6">
        <w:rPr>
          <w:rFonts w:cstheme="minorHAnsi"/>
          <w:sz w:val="20"/>
          <w:szCs w:val="20"/>
        </w:rPr>
        <w:t>is not</w:t>
      </w:r>
      <w:r w:rsidRPr="009E78D6">
        <w:rPr>
          <w:rFonts w:cstheme="minorHAnsi"/>
          <w:sz w:val="20"/>
          <w:szCs w:val="20"/>
        </w:rPr>
        <w:t xml:space="preserve"> inadvertently dropped or sent multiple emails.</w:t>
      </w:r>
    </w:p>
    <w:p w14:paraId="16DD6D8F" w14:textId="5222C553" w:rsidR="00654882" w:rsidRPr="009E78D6" w:rsidRDefault="00654882" w:rsidP="00654882">
      <w:pPr>
        <w:pStyle w:val="ListParagraph"/>
        <w:numPr>
          <w:ilvl w:val="0"/>
          <w:numId w:val="12"/>
        </w:numPr>
        <w:spacing w:after="240" w:line="240" w:lineRule="auto"/>
        <w:rPr>
          <w:rFonts w:cstheme="minorHAnsi"/>
          <w:sz w:val="20"/>
          <w:szCs w:val="20"/>
        </w:rPr>
      </w:pPr>
      <w:r w:rsidRPr="009E78D6">
        <w:rPr>
          <w:rFonts w:cstheme="minorHAnsi"/>
          <w:sz w:val="20"/>
          <w:szCs w:val="20"/>
        </w:rPr>
        <w:t xml:space="preserve">The email delivery process </w:t>
      </w:r>
      <w:r w:rsidR="005209EB" w:rsidRPr="009E78D6">
        <w:rPr>
          <w:rFonts w:cstheme="minorHAnsi"/>
          <w:sz w:val="20"/>
          <w:szCs w:val="20"/>
        </w:rPr>
        <w:t>is</w:t>
      </w:r>
      <w:r w:rsidRPr="009E78D6">
        <w:rPr>
          <w:rFonts w:cstheme="minorHAnsi"/>
          <w:sz w:val="20"/>
          <w:szCs w:val="20"/>
        </w:rPr>
        <w:t xml:space="preserve"> monitored to ensure that bounce-back records </w:t>
      </w:r>
      <w:r w:rsidR="005209EB" w:rsidRPr="009E78D6">
        <w:rPr>
          <w:rFonts w:cstheme="minorHAnsi"/>
          <w:sz w:val="20"/>
          <w:szCs w:val="20"/>
        </w:rPr>
        <w:t>will not</w:t>
      </w:r>
      <w:r w:rsidRPr="009E78D6">
        <w:rPr>
          <w:rFonts w:cstheme="minorHAnsi"/>
          <w:sz w:val="20"/>
          <w:szCs w:val="20"/>
        </w:rPr>
        <w:t xml:space="preserve"> hold up the email delivery process.  </w:t>
      </w:r>
    </w:p>
    <w:p w14:paraId="47C0C3B7" w14:textId="1F4B5BA8" w:rsidR="00654882" w:rsidRDefault="00654882" w:rsidP="009E78D6">
      <w:pPr>
        <w:spacing w:after="240" w:line="240" w:lineRule="auto"/>
        <w:rPr>
          <w:rFonts w:cstheme="minorHAnsi"/>
        </w:rPr>
      </w:pPr>
      <w:r w:rsidRPr="00632080">
        <w:rPr>
          <w:rFonts w:cstheme="minorHAnsi"/>
        </w:rPr>
        <w:t xml:space="preserve">The </w:t>
      </w:r>
      <w:r w:rsidRPr="00632080">
        <w:rPr>
          <w:rFonts w:cstheme="minorHAnsi"/>
          <w:u w:val="single"/>
        </w:rPr>
        <w:t>weighting and data management quality</w:t>
      </w:r>
      <w:r w:rsidRPr="00632080">
        <w:rPr>
          <w:rFonts w:cstheme="minorHAnsi"/>
        </w:rPr>
        <w:t xml:space="preserve"> control checks</w:t>
      </w:r>
      <w:r w:rsidR="005209EB">
        <w:rPr>
          <w:rFonts w:cstheme="minorHAnsi"/>
        </w:rPr>
        <w:t xml:space="preserve"> are</w:t>
      </w:r>
      <w:r w:rsidRPr="00632080">
        <w:rPr>
          <w:rFonts w:cstheme="minorHAnsi"/>
        </w:rPr>
        <w:t xml:space="preserve"> as follows:</w:t>
      </w:r>
    </w:p>
    <w:p w14:paraId="15A7CD3B" w14:textId="77777777" w:rsidR="00DD1E0F" w:rsidRPr="009E78D6" w:rsidRDefault="00654882" w:rsidP="00DD1E0F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0"/>
          <w:szCs w:val="20"/>
        </w:rPr>
      </w:pPr>
      <w:r w:rsidRPr="009E78D6">
        <w:rPr>
          <w:rFonts w:cstheme="minorHAnsi"/>
          <w:sz w:val="20"/>
          <w:szCs w:val="20"/>
        </w:rPr>
        <w:t xml:space="preserve">The sum of the weighted respondents </w:t>
      </w:r>
      <w:r w:rsidR="0064491E" w:rsidRPr="009E78D6">
        <w:rPr>
          <w:rFonts w:cstheme="minorHAnsi"/>
          <w:sz w:val="20"/>
          <w:szCs w:val="20"/>
        </w:rPr>
        <w:t>will be</w:t>
      </w:r>
      <w:r w:rsidRPr="009E78D6">
        <w:rPr>
          <w:rFonts w:cstheme="minorHAnsi"/>
          <w:sz w:val="20"/>
          <w:szCs w:val="20"/>
        </w:rPr>
        <w:t xml:space="preserve"> compared to the overall population count to confirm that the records </w:t>
      </w:r>
      <w:r w:rsidR="0064491E" w:rsidRPr="009E78D6">
        <w:rPr>
          <w:rFonts w:cstheme="minorHAnsi"/>
          <w:sz w:val="20"/>
          <w:szCs w:val="20"/>
        </w:rPr>
        <w:t xml:space="preserve">are </w:t>
      </w:r>
      <w:r w:rsidRPr="009E78D6">
        <w:rPr>
          <w:rFonts w:cstheme="minorHAnsi"/>
          <w:sz w:val="20"/>
          <w:szCs w:val="20"/>
        </w:rPr>
        <w:t xml:space="preserve">being properly weighted.  When the sum does not match the population count, weighting classes </w:t>
      </w:r>
      <w:r w:rsidR="0064491E" w:rsidRPr="009E78D6">
        <w:rPr>
          <w:rFonts w:cstheme="minorHAnsi"/>
          <w:sz w:val="20"/>
          <w:szCs w:val="20"/>
        </w:rPr>
        <w:t>will be</w:t>
      </w:r>
      <w:r w:rsidRPr="009E78D6">
        <w:rPr>
          <w:rFonts w:cstheme="minorHAnsi"/>
          <w:sz w:val="20"/>
          <w:szCs w:val="20"/>
        </w:rPr>
        <w:t xml:space="preserve"> collapsed to correct this issue.</w:t>
      </w:r>
    </w:p>
    <w:p w14:paraId="7BB0FC00" w14:textId="5F09CA6E" w:rsidR="00261120" w:rsidRPr="009E78D6" w:rsidRDefault="00654882" w:rsidP="00DD1E0F">
      <w:pPr>
        <w:pStyle w:val="ListParagraph"/>
        <w:numPr>
          <w:ilvl w:val="0"/>
          <w:numId w:val="13"/>
        </w:numPr>
        <w:spacing w:after="120" w:line="240" w:lineRule="auto"/>
        <w:rPr>
          <w:rFonts w:cstheme="minorHAnsi"/>
          <w:sz w:val="20"/>
          <w:szCs w:val="20"/>
        </w:rPr>
      </w:pPr>
      <w:r w:rsidRPr="009E78D6">
        <w:rPr>
          <w:rFonts w:cstheme="minorHAnsi"/>
          <w:sz w:val="20"/>
          <w:szCs w:val="20"/>
        </w:rPr>
        <w:t xml:space="preserve">The unequal weighting effect </w:t>
      </w:r>
      <w:r w:rsidR="0064491E" w:rsidRPr="009E78D6">
        <w:rPr>
          <w:rFonts w:cstheme="minorHAnsi"/>
          <w:sz w:val="20"/>
          <w:szCs w:val="20"/>
        </w:rPr>
        <w:t>will be</w:t>
      </w:r>
      <w:r w:rsidRPr="009E78D6">
        <w:rPr>
          <w:rFonts w:cstheme="minorHAnsi"/>
          <w:sz w:val="20"/>
          <w:szCs w:val="20"/>
        </w:rPr>
        <w:t xml:space="preserve"> used to identify potential issues in the weighting process.  Large unequal weighting effects indicate a problem with the weighting classes, such as a record receiving a large weight to compensate for nonresponse or coverage bias.</w:t>
      </w:r>
    </w:p>
    <w:sectPr w:rsidR="00261120" w:rsidRPr="009E78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75A139" w15:done="0"/>
  <w15:commentEx w15:paraId="2C3E99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75A139" w16cid:durableId="1E82F418"/>
  <w16cid:commentId w16cid:paraId="2C3E999D" w16cid:durableId="1E89BA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99EE6" w14:textId="77777777" w:rsidR="004562D8" w:rsidRDefault="004562D8" w:rsidP="00587FFB">
      <w:pPr>
        <w:spacing w:after="0" w:line="240" w:lineRule="auto"/>
      </w:pPr>
      <w:r>
        <w:separator/>
      </w:r>
    </w:p>
  </w:endnote>
  <w:endnote w:type="continuationSeparator" w:id="0">
    <w:p w14:paraId="23406C51" w14:textId="77777777" w:rsidR="004562D8" w:rsidRDefault="004562D8" w:rsidP="0058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60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3A5AE" w14:textId="2FB5D49B" w:rsidR="003D7422" w:rsidRDefault="003D7422">
        <w:pPr>
          <w:pStyle w:val="Footer"/>
          <w:jc w:val="right"/>
        </w:pPr>
        <w:r w:rsidRPr="009014DC">
          <w:rPr>
            <w:noProof/>
          </w:rPr>
          <w:drawing>
            <wp:anchor distT="0" distB="0" distL="114300" distR="114300" simplePos="0" relativeHeight="251659264" behindDoc="0" locked="0" layoutInCell="1" allowOverlap="1" wp14:anchorId="5AC9666A" wp14:editId="584CBD19">
              <wp:simplePos x="0" y="0"/>
              <wp:positionH relativeFrom="margin">
                <wp:posOffset>30811</wp:posOffset>
              </wp:positionH>
              <wp:positionV relativeFrom="paragraph">
                <wp:posOffset>6985</wp:posOffset>
              </wp:positionV>
              <wp:extent cx="1353185" cy="385445"/>
              <wp:effectExtent l="0" t="0" r="0" b="0"/>
              <wp:wrapThrough wrapText="bothSides">
                <wp:wrapPolygon edited="0">
                  <wp:start x="0" y="0"/>
                  <wp:lineTo x="0" y="20283"/>
                  <wp:lineTo x="21286" y="20283"/>
                  <wp:lineTo x="21286" y="0"/>
                  <wp:lineTo x="0" y="0"/>
                </wp:wrapPolygon>
              </wp:wrapThrough>
              <wp:docPr id="3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2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339" t="23015" b="-2623"/>
                      <a:stretch/>
                    </pic:blipFill>
                    <pic:spPr>
                      <a:xfrm>
                        <a:off x="0" y="0"/>
                        <a:ext cx="1353185" cy="385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3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AB7072" w14:textId="5D8AF8F3" w:rsidR="007226C6" w:rsidRDefault="007226C6">
    <w:pPr>
      <w:pStyle w:val="Footer"/>
    </w:pPr>
  </w:p>
  <w:p w14:paraId="7F4C06D3" w14:textId="77777777" w:rsidR="00992942" w:rsidRPr="00E736B0" w:rsidRDefault="00992942" w:rsidP="00992942">
    <w:pPr>
      <w:pStyle w:val="Footer"/>
      <w:numPr>
        <w:ilvl w:val="0"/>
        <w:numId w:val="14"/>
      </w:numPr>
      <w:rPr>
        <w:b/>
        <w:sz w:val="18"/>
        <w:szCs w:val="18"/>
      </w:rPr>
    </w:pPr>
    <w:r w:rsidRPr="00E736B0">
      <w:rPr>
        <w:b/>
        <w:sz w:val="18"/>
        <w:szCs w:val="18"/>
      </w:rPr>
      <w:t>VA Telehealth Services Fact Sheet FY17, Office of Connected Care, VHA, VA</w:t>
    </w:r>
  </w:p>
  <w:p w14:paraId="0EF45899" w14:textId="77777777" w:rsidR="00473C5C" w:rsidRPr="00E736B0" w:rsidRDefault="00992942" w:rsidP="00992942">
    <w:pPr>
      <w:pStyle w:val="Footer"/>
      <w:numPr>
        <w:ilvl w:val="0"/>
        <w:numId w:val="14"/>
      </w:numPr>
      <w:rPr>
        <w:b/>
        <w:sz w:val="18"/>
        <w:szCs w:val="18"/>
      </w:rPr>
    </w:pPr>
    <w:r w:rsidRPr="00E736B0">
      <w:rPr>
        <w:b/>
        <w:sz w:val="18"/>
        <w:szCs w:val="18"/>
        <w:lang w:val="en"/>
      </w:rPr>
      <w:t>Internet Use Among Older Adults: Association With Health Needs, Psychological Capital, and Social Capital, J Medical Internet Research, 2013 May;</w:t>
    </w:r>
    <w:r w:rsidR="002F4CD2" w:rsidRPr="00E736B0">
      <w:rPr>
        <w:b/>
        <w:sz w:val="18"/>
        <w:szCs w:val="18"/>
        <w:lang w:val="en"/>
      </w:rPr>
      <w:t xml:space="preserve"> 15(5): e97</w:t>
    </w:r>
    <w:r w:rsidRPr="00E736B0">
      <w:rPr>
        <w:b/>
        <w:sz w:val="18"/>
        <w:szCs w:val="18"/>
        <w:lang w:val="en"/>
      </w:rPr>
      <w:t xml:space="preserve"> </w:t>
    </w:r>
  </w:p>
  <w:p w14:paraId="36262270" w14:textId="6D8FCF60" w:rsidR="00992942" w:rsidRPr="00E736B0" w:rsidRDefault="00473C5C" w:rsidP="00473C5C">
    <w:pPr>
      <w:pStyle w:val="ListParagraph"/>
      <w:numPr>
        <w:ilvl w:val="0"/>
        <w:numId w:val="14"/>
      </w:numPr>
      <w:rPr>
        <w:rFonts w:cs="Times New Roman"/>
        <w:b/>
        <w:sz w:val="18"/>
        <w:szCs w:val="18"/>
      </w:rPr>
    </w:pPr>
    <w:r w:rsidRPr="00E736B0">
      <w:rPr>
        <w:rFonts w:cs="Times New Roman"/>
        <w:b/>
        <w:sz w:val="18"/>
        <w:szCs w:val="18"/>
      </w:rPr>
      <w:t xml:space="preserve">Lohr, S. (1999). </w:t>
    </w:r>
    <w:r w:rsidRPr="00E736B0">
      <w:rPr>
        <w:rFonts w:cs="Times New Roman"/>
        <w:b/>
        <w:i/>
        <w:sz w:val="18"/>
        <w:szCs w:val="18"/>
      </w:rPr>
      <w:t>Sampling: Design and Analysis</w:t>
    </w:r>
    <w:r w:rsidRPr="00E736B0">
      <w:rPr>
        <w:rFonts w:cs="Times New Roman"/>
        <w:b/>
        <w:sz w:val="18"/>
        <w:szCs w:val="18"/>
      </w:rPr>
      <w:t xml:space="preserve"> (Ed.). Boston, MA: Cengage Learning.</w:t>
    </w:r>
    <w:r w:rsidR="00992942" w:rsidRPr="00E736B0">
      <w:rPr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47112" w14:textId="77777777" w:rsidR="004562D8" w:rsidRDefault="004562D8" w:rsidP="00587FFB">
      <w:pPr>
        <w:spacing w:after="0" w:line="240" w:lineRule="auto"/>
      </w:pPr>
      <w:r>
        <w:separator/>
      </w:r>
    </w:p>
  </w:footnote>
  <w:footnote w:type="continuationSeparator" w:id="0">
    <w:p w14:paraId="70A87396" w14:textId="77777777" w:rsidR="004562D8" w:rsidRDefault="004562D8" w:rsidP="0058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355"/>
    <w:multiLevelType w:val="hybridMultilevel"/>
    <w:tmpl w:val="A35C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8EF"/>
    <w:multiLevelType w:val="hybridMultilevel"/>
    <w:tmpl w:val="ED706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68C6"/>
    <w:multiLevelType w:val="hybridMultilevel"/>
    <w:tmpl w:val="02AE490C"/>
    <w:lvl w:ilvl="0" w:tplc="E474F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B0BC0"/>
    <w:multiLevelType w:val="hybridMultilevel"/>
    <w:tmpl w:val="F5100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6F2F6D"/>
    <w:multiLevelType w:val="hybridMultilevel"/>
    <w:tmpl w:val="6E44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E3B50"/>
    <w:multiLevelType w:val="hybridMultilevel"/>
    <w:tmpl w:val="3EBE7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F4601"/>
    <w:multiLevelType w:val="hybridMultilevel"/>
    <w:tmpl w:val="2494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4124"/>
    <w:multiLevelType w:val="hybridMultilevel"/>
    <w:tmpl w:val="6E589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B65C4"/>
    <w:multiLevelType w:val="hybridMultilevel"/>
    <w:tmpl w:val="BE5A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5784F"/>
    <w:multiLevelType w:val="hybridMultilevel"/>
    <w:tmpl w:val="8B02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D768B"/>
    <w:multiLevelType w:val="hybridMultilevel"/>
    <w:tmpl w:val="FFEA4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6DC3"/>
    <w:multiLevelType w:val="hybridMultilevel"/>
    <w:tmpl w:val="3D36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9468D"/>
    <w:multiLevelType w:val="hybridMultilevel"/>
    <w:tmpl w:val="A54A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E5FD2"/>
    <w:multiLevelType w:val="hybridMultilevel"/>
    <w:tmpl w:val="22F8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y Wu">
    <w15:presenceInfo w15:providerId="None" w15:userId="Joy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9F"/>
    <w:rsid w:val="000047DC"/>
    <w:rsid w:val="00004C31"/>
    <w:rsid w:val="00010D33"/>
    <w:rsid w:val="000125C5"/>
    <w:rsid w:val="00021CC6"/>
    <w:rsid w:val="00025FE9"/>
    <w:rsid w:val="00033BC5"/>
    <w:rsid w:val="00035985"/>
    <w:rsid w:val="000446A3"/>
    <w:rsid w:val="0005691A"/>
    <w:rsid w:val="000576D3"/>
    <w:rsid w:val="000607B2"/>
    <w:rsid w:val="00076292"/>
    <w:rsid w:val="00081B3C"/>
    <w:rsid w:val="000865B5"/>
    <w:rsid w:val="00095533"/>
    <w:rsid w:val="00095F5C"/>
    <w:rsid w:val="000A6F08"/>
    <w:rsid w:val="000B6B7F"/>
    <w:rsid w:val="000B6DD8"/>
    <w:rsid w:val="000D12AC"/>
    <w:rsid w:val="000D4D15"/>
    <w:rsid w:val="000E0074"/>
    <w:rsid w:val="000E7478"/>
    <w:rsid w:val="0010594A"/>
    <w:rsid w:val="0010683B"/>
    <w:rsid w:val="00116ED8"/>
    <w:rsid w:val="00126510"/>
    <w:rsid w:val="0013413E"/>
    <w:rsid w:val="00155DB0"/>
    <w:rsid w:val="00162093"/>
    <w:rsid w:val="00175FD4"/>
    <w:rsid w:val="001947E9"/>
    <w:rsid w:val="001961C6"/>
    <w:rsid w:val="00197A45"/>
    <w:rsid w:val="001B00DB"/>
    <w:rsid w:val="001B3649"/>
    <w:rsid w:val="001B6923"/>
    <w:rsid w:val="001C1181"/>
    <w:rsid w:val="001C530C"/>
    <w:rsid w:val="001D1F8F"/>
    <w:rsid w:val="001D64FD"/>
    <w:rsid w:val="001E471E"/>
    <w:rsid w:val="001E6ABD"/>
    <w:rsid w:val="001F5686"/>
    <w:rsid w:val="00200638"/>
    <w:rsid w:val="00203E28"/>
    <w:rsid w:val="002068FB"/>
    <w:rsid w:val="002103E0"/>
    <w:rsid w:val="00212285"/>
    <w:rsid w:val="00220606"/>
    <w:rsid w:val="00226500"/>
    <w:rsid w:val="00226879"/>
    <w:rsid w:val="00233EDE"/>
    <w:rsid w:val="00235C59"/>
    <w:rsid w:val="00241508"/>
    <w:rsid w:val="00261120"/>
    <w:rsid w:val="0026257B"/>
    <w:rsid w:val="002669A3"/>
    <w:rsid w:val="00274402"/>
    <w:rsid w:val="002749DE"/>
    <w:rsid w:val="00285089"/>
    <w:rsid w:val="00294661"/>
    <w:rsid w:val="00297985"/>
    <w:rsid w:val="002A01FB"/>
    <w:rsid w:val="002D53DA"/>
    <w:rsid w:val="002F4CD2"/>
    <w:rsid w:val="00313A60"/>
    <w:rsid w:val="003164F5"/>
    <w:rsid w:val="00324F1F"/>
    <w:rsid w:val="0033349F"/>
    <w:rsid w:val="003336D3"/>
    <w:rsid w:val="003355CF"/>
    <w:rsid w:val="00340E71"/>
    <w:rsid w:val="00343B06"/>
    <w:rsid w:val="00345A3E"/>
    <w:rsid w:val="003532CF"/>
    <w:rsid w:val="00353704"/>
    <w:rsid w:val="00353E9B"/>
    <w:rsid w:val="003554F3"/>
    <w:rsid w:val="00362AF8"/>
    <w:rsid w:val="00363FE0"/>
    <w:rsid w:val="003711C8"/>
    <w:rsid w:val="003855A3"/>
    <w:rsid w:val="00390245"/>
    <w:rsid w:val="003976D1"/>
    <w:rsid w:val="003A451E"/>
    <w:rsid w:val="003A525D"/>
    <w:rsid w:val="003B50EE"/>
    <w:rsid w:val="003C000D"/>
    <w:rsid w:val="003C1B7D"/>
    <w:rsid w:val="003D0C28"/>
    <w:rsid w:val="003D16A4"/>
    <w:rsid w:val="003D7422"/>
    <w:rsid w:val="003E01E3"/>
    <w:rsid w:val="00404C9B"/>
    <w:rsid w:val="00417154"/>
    <w:rsid w:val="00437B04"/>
    <w:rsid w:val="00442224"/>
    <w:rsid w:val="00444FCA"/>
    <w:rsid w:val="004508BB"/>
    <w:rsid w:val="00450B56"/>
    <w:rsid w:val="004533AC"/>
    <w:rsid w:val="004562D8"/>
    <w:rsid w:val="00457736"/>
    <w:rsid w:val="00460B40"/>
    <w:rsid w:val="00461A7D"/>
    <w:rsid w:val="00473299"/>
    <w:rsid w:val="004738C9"/>
    <w:rsid w:val="00473C5C"/>
    <w:rsid w:val="00482928"/>
    <w:rsid w:val="00491605"/>
    <w:rsid w:val="004A64E4"/>
    <w:rsid w:val="004A675C"/>
    <w:rsid w:val="004B1397"/>
    <w:rsid w:val="004B4072"/>
    <w:rsid w:val="004C246C"/>
    <w:rsid w:val="004D11E4"/>
    <w:rsid w:val="004E2F25"/>
    <w:rsid w:val="004E5995"/>
    <w:rsid w:val="004E6DC5"/>
    <w:rsid w:val="005102E5"/>
    <w:rsid w:val="0051294E"/>
    <w:rsid w:val="005162D2"/>
    <w:rsid w:val="005209EB"/>
    <w:rsid w:val="00541AEF"/>
    <w:rsid w:val="005447C6"/>
    <w:rsid w:val="005528DA"/>
    <w:rsid w:val="005549F8"/>
    <w:rsid w:val="005631B3"/>
    <w:rsid w:val="00587FFB"/>
    <w:rsid w:val="00596612"/>
    <w:rsid w:val="005A3C88"/>
    <w:rsid w:val="005A6247"/>
    <w:rsid w:val="005D6180"/>
    <w:rsid w:val="005E0FB5"/>
    <w:rsid w:val="005F2097"/>
    <w:rsid w:val="005F340D"/>
    <w:rsid w:val="005F63C4"/>
    <w:rsid w:val="00602E5C"/>
    <w:rsid w:val="00606B02"/>
    <w:rsid w:val="006103FA"/>
    <w:rsid w:val="00612CC8"/>
    <w:rsid w:val="00612D77"/>
    <w:rsid w:val="00624198"/>
    <w:rsid w:val="00632080"/>
    <w:rsid w:val="00633140"/>
    <w:rsid w:val="00643DD9"/>
    <w:rsid w:val="0064491E"/>
    <w:rsid w:val="0064679A"/>
    <w:rsid w:val="00654882"/>
    <w:rsid w:val="006603AA"/>
    <w:rsid w:val="00663B4E"/>
    <w:rsid w:val="0066485A"/>
    <w:rsid w:val="006706D2"/>
    <w:rsid w:val="00684495"/>
    <w:rsid w:val="006A5A80"/>
    <w:rsid w:val="006B07B3"/>
    <w:rsid w:val="006B486A"/>
    <w:rsid w:val="006C24D5"/>
    <w:rsid w:val="006C3897"/>
    <w:rsid w:val="006D3EEF"/>
    <w:rsid w:val="006E3D65"/>
    <w:rsid w:val="006E4E49"/>
    <w:rsid w:val="006F7F86"/>
    <w:rsid w:val="00703595"/>
    <w:rsid w:val="00704E66"/>
    <w:rsid w:val="00715E56"/>
    <w:rsid w:val="007226C6"/>
    <w:rsid w:val="007244DF"/>
    <w:rsid w:val="007252A6"/>
    <w:rsid w:val="007320B9"/>
    <w:rsid w:val="00734B4E"/>
    <w:rsid w:val="0074159B"/>
    <w:rsid w:val="007476D9"/>
    <w:rsid w:val="00755721"/>
    <w:rsid w:val="00756AE0"/>
    <w:rsid w:val="007731DA"/>
    <w:rsid w:val="007751B1"/>
    <w:rsid w:val="00775640"/>
    <w:rsid w:val="00775CE5"/>
    <w:rsid w:val="00781589"/>
    <w:rsid w:val="007A2819"/>
    <w:rsid w:val="007B16EA"/>
    <w:rsid w:val="007C2B7A"/>
    <w:rsid w:val="007C3347"/>
    <w:rsid w:val="007C3C65"/>
    <w:rsid w:val="007C537C"/>
    <w:rsid w:val="007C58A8"/>
    <w:rsid w:val="007C6A52"/>
    <w:rsid w:val="007D31E6"/>
    <w:rsid w:val="007D3E3C"/>
    <w:rsid w:val="007D446F"/>
    <w:rsid w:val="007D727F"/>
    <w:rsid w:val="007D7588"/>
    <w:rsid w:val="007F29DE"/>
    <w:rsid w:val="007F49E7"/>
    <w:rsid w:val="0080108A"/>
    <w:rsid w:val="00801945"/>
    <w:rsid w:val="008027B7"/>
    <w:rsid w:val="00805704"/>
    <w:rsid w:val="00805915"/>
    <w:rsid w:val="008074D5"/>
    <w:rsid w:val="00811364"/>
    <w:rsid w:val="00812C50"/>
    <w:rsid w:val="00813171"/>
    <w:rsid w:val="008141ED"/>
    <w:rsid w:val="0081618E"/>
    <w:rsid w:val="00827F5F"/>
    <w:rsid w:val="00845240"/>
    <w:rsid w:val="0085470A"/>
    <w:rsid w:val="008562B5"/>
    <w:rsid w:val="00865B4C"/>
    <w:rsid w:val="00870EBA"/>
    <w:rsid w:val="00883A37"/>
    <w:rsid w:val="00887348"/>
    <w:rsid w:val="00887CCB"/>
    <w:rsid w:val="008930E2"/>
    <w:rsid w:val="008A1648"/>
    <w:rsid w:val="008B2D97"/>
    <w:rsid w:val="008C3715"/>
    <w:rsid w:val="008C6FC2"/>
    <w:rsid w:val="008E5D04"/>
    <w:rsid w:val="008F1DFA"/>
    <w:rsid w:val="008F4413"/>
    <w:rsid w:val="008F6D95"/>
    <w:rsid w:val="008F7653"/>
    <w:rsid w:val="00907C34"/>
    <w:rsid w:val="0093179D"/>
    <w:rsid w:val="0093447E"/>
    <w:rsid w:val="00937EF1"/>
    <w:rsid w:val="00941042"/>
    <w:rsid w:val="0094331C"/>
    <w:rsid w:val="00960908"/>
    <w:rsid w:val="009653C6"/>
    <w:rsid w:val="00986123"/>
    <w:rsid w:val="00986671"/>
    <w:rsid w:val="00992942"/>
    <w:rsid w:val="009A399A"/>
    <w:rsid w:val="009C4E50"/>
    <w:rsid w:val="009C6A65"/>
    <w:rsid w:val="009C6CCC"/>
    <w:rsid w:val="009D0180"/>
    <w:rsid w:val="009D6D13"/>
    <w:rsid w:val="009E78D6"/>
    <w:rsid w:val="009F124F"/>
    <w:rsid w:val="009F2C63"/>
    <w:rsid w:val="00A07AD0"/>
    <w:rsid w:val="00A07D33"/>
    <w:rsid w:val="00A143A2"/>
    <w:rsid w:val="00A24782"/>
    <w:rsid w:val="00A25847"/>
    <w:rsid w:val="00A436B2"/>
    <w:rsid w:val="00A51A41"/>
    <w:rsid w:val="00A57AFE"/>
    <w:rsid w:val="00A76D8C"/>
    <w:rsid w:val="00A93252"/>
    <w:rsid w:val="00AA20FA"/>
    <w:rsid w:val="00AA4EB5"/>
    <w:rsid w:val="00AB2BF2"/>
    <w:rsid w:val="00AC738C"/>
    <w:rsid w:val="00AD5A09"/>
    <w:rsid w:val="00AD7FCB"/>
    <w:rsid w:val="00AE4BD0"/>
    <w:rsid w:val="00B00623"/>
    <w:rsid w:val="00B014E7"/>
    <w:rsid w:val="00B222F0"/>
    <w:rsid w:val="00B30BB6"/>
    <w:rsid w:val="00B31B6F"/>
    <w:rsid w:val="00B35442"/>
    <w:rsid w:val="00B42AFC"/>
    <w:rsid w:val="00B54490"/>
    <w:rsid w:val="00B60B0E"/>
    <w:rsid w:val="00B65BFF"/>
    <w:rsid w:val="00B718E1"/>
    <w:rsid w:val="00B72B25"/>
    <w:rsid w:val="00B81732"/>
    <w:rsid w:val="00B91636"/>
    <w:rsid w:val="00B947EF"/>
    <w:rsid w:val="00B95D4D"/>
    <w:rsid w:val="00BB58C3"/>
    <w:rsid w:val="00BE1231"/>
    <w:rsid w:val="00BE6BEF"/>
    <w:rsid w:val="00BF2C29"/>
    <w:rsid w:val="00BF459E"/>
    <w:rsid w:val="00C00300"/>
    <w:rsid w:val="00C00CCB"/>
    <w:rsid w:val="00C110E7"/>
    <w:rsid w:val="00C12B5A"/>
    <w:rsid w:val="00C13577"/>
    <w:rsid w:val="00C236B8"/>
    <w:rsid w:val="00C248ED"/>
    <w:rsid w:val="00C30D83"/>
    <w:rsid w:val="00C31051"/>
    <w:rsid w:val="00C33AC9"/>
    <w:rsid w:val="00C36453"/>
    <w:rsid w:val="00C4077F"/>
    <w:rsid w:val="00C4396D"/>
    <w:rsid w:val="00C51D9E"/>
    <w:rsid w:val="00C53AA3"/>
    <w:rsid w:val="00C548AD"/>
    <w:rsid w:val="00C57B8E"/>
    <w:rsid w:val="00C70A73"/>
    <w:rsid w:val="00C74364"/>
    <w:rsid w:val="00C85A25"/>
    <w:rsid w:val="00CA2D4E"/>
    <w:rsid w:val="00CA3A8B"/>
    <w:rsid w:val="00CC326C"/>
    <w:rsid w:val="00CC349B"/>
    <w:rsid w:val="00CD1C70"/>
    <w:rsid w:val="00CD6711"/>
    <w:rsid w:val="00CF2384"/>
    <w:rsid w:val="00D0175A"/>
    <w:rsid w:val="00D04EC4"/>
    <w:rsid w:val="00D16681"/>
    <w:rsid w:val="00D1682F"/>
    <w:rsid w:val="00D30B2E"/>
    <w:rsid w:val="00D57ECB"/>
    <w:rsid w:val="00D61DED"/>
    <w:rsid w:val="00D6382F"/>
    <w:rsid w:val="00D64CED"/>
    <w:rsid w:val="00D75285"/>
    <w:rsid w:val="00D76C0A"/>
    <w:rsid w:val="00D83A4B"/>
    <w:rsid w:val="00D9681D"/>
    <w:rsid w:val="00DA0A38"/>
    <w:rsid w:val="00DD1E0F"/>
    <w:rsid w:val="00DD3068"/>
    <w:rsid w:val="00DF3C2C"/>
    <w:rsid w:val="00DF6D87"/>
    <w:rsid w:val="00E03D23"/>
    <w:rsid w:val="00E16313"/>
    <w:rsid w:val="00E17874"/>
    <w:rsid w:val="00E25636"/>
    <w:rsid w:val="00E257CF"/>
    <w:rsid w:val="00E33FF8"/>
    <w:rsid w:val="00E4130B"/>
    <w:rsid w:val="00E46515"/>
    <w:rsid w:val="00E57DED"/>
    <w:rsid w:val="00E736B0"/>
    <w:rsid w:val="00E75E9E"/>
    <w:rsid w:val="00EB1BB9"/>
    <w:rsid w:val="00EC3B0B"/>
    <w:rsid w:val="00ED056D"/>
    <w:rsid w:val="00ED2D50"/>
    <w:rsid w:val="00EE586B"/>
    <w:rsid w:val="00EE7DC4"/>
    <w:rsid w:val="00F00F64"/>
    <w:rsid w:val="00F10F1A"/>
    <w:rsid w:val="00F14B02"/>
    <w:rsid w:val="00F15774"/>
    <w:rsid w:val="00F27714"/>
    <w:rsid w:val="00F324AD"/>
    <w:rsid w:val="00F35BE5"/>
    <w:rsid w:val="00F41A42"/>
    <w:rsid w:val="00F42503"/>
    <w:rsid w:val="00F4785E"/>
    <w:rsid w:val="00F60833"/>
    <w:rsid w:val="00F6219A"/>
    <w:rsid w:val="00F631C8"/>
    <w:rsid w:val="00F93D13"/>
    <w:rsid w:val="00FA3AC5"/>
    <w:rsid w:val="00FA434E"/>
    <w:rsid w:val="00FA622B"/>
    <w:rsid w:val="00FA79B0"/>
    <w:rsid w:val="00FC1D5E"/>
    <w:rsid w:val="00FC226A"/>
    <w:rsid w:val="00FE3350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12E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paragraph" w:styleId="Revision">
    <w:name w:val="Revision"/>
    <w:hidden/>
    <w:uiPriority w:val="99"/>
    <w:semiHidden/>
    <w:rsid w:val="007252A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2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paragraph" w:styleId="Revision">
    <w:name w:val="Revision"/>
    <w:hidden/>
    <w:uiPriority w:val="99"/>
    <w:semiHidden/>
    <w:rsid w:val="007252A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Waldron, Will [USA]</dc:creator>
  <cp:lastModifiedBy>SYSTEM</cp:lastModifiedBy>
  <cp:revision>2</cp:revision>
  <dcterms:created xsi:type="dcterms:W3CDTF">2018-06-13T23:33:00Z</dcterms:created>
  <dcterms:modified xsi:type="dcterms:W3CDTF">2018-06-13T23:33:00Z</dcterms:modified>
</cp:coreProperties>
</file>