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8DF97F" w14:textId="2BC1AF7B" w:rsidR="005E714A" w:rsidRPr="00AC24E6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</w:t>
      </w:r>
      <w:r w:rsidRPr="00AC24E6">
        <w:rPr>
          <w:sz w:val="28"/>
        </w:rPr>
        <w:t xml:space="preserve">e Collection of Routine Customer Feedback” (OMB Control Number: </w:t>
      </w:r>
      <w:r w:rsidR="00C23B6A" w:rsidRPr="00AC24E6">
        <w:rPr>
          <w:sz w:val="28"/>
        </w:rPr>
        <w:t>31</w:t>
      </w:r>
      <w:r w:rsidR="005C74DA">
        <w:rPr>
          <w:sz w:val="28"/>
        </w:rPr>
        <w:t>3</w:t>
      </w:r>
      <w:r w:rsidR="00C23B6A" w:rsidRPr="00AC24E6">
        <w:rPr>
          <w:sz w:val="28"/>
        </w:rPr>
        <w:t>7-0081</w:t>
      </w:r>
      <w:r w:rsidRPr="00AC24E6">
        <w:rPr>
          <w:sz w:val="28"/>
        </w:rPr>
        <w:t>)</w:t>
      </w:r>
    </w:p>
    <w:p w14:paraId="5CA95A45" w14:textId="7745F3AF" w:rsidR="00E50293" w:rsidRPr="009239AA" w:rsidRDefault="001B3EC6" w:rsidP="00434E33">
      <w:pPr>
        <w:rPr>
          <w:b/>
        </w:rPr>
      </w:pPr>
      <w:r>
        <w:rPr>
          <w:b/>
        </w:rPr>
        <w:br/>
      </w:r>
      <w:r w:rsidR="007C5832" w:rsidRPr="00AC24E6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CDB59E9" wp14:editId="567F0F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58CFC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 o:allowincell="f" strokeweight="1.5pt"/>
            </w:pict>
          </mc:Fallback>
        </mc:AlternateContent>
      </w:r>
      <w:r w:rsidR="005E714A" w:rsidRPr="00AC24E6">
        <w:rPr>
          <w:b/>
        </w:rPr>
        <w:t>TITLE OF INFORMATION COLLECTION:</w:t>
      </w:r>
      <w:r w:rsidR="005E714A" w:rsidRPr="00AC24E6">
        <w:t xml:space="preserve"> </w:t>
      </w:r>
      <w:r w:rsidR="00C23B6A" w:rsidRPr="00AC24E6">
        <w:t>SDC Annual Meeting Evaluation</w:t>
      </w:r>
      <w:r w:rsidR="005E714A">
        <w:t xml:space="preserve"> </w:t>
      </w:r>
    </w:p>
    <w:p w14:paraId="67F900CD" w14:textId="77777777" w:rsidR="005E714A" w:rsidRDefault="005E714A"/>
    <w:p w14:paraId="56A09C5A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6A9B0767" w14:textId="77777777" w:rsidR="002B09EE" w:rsidRDefault="002B09EE" w:rsidP="00434E33">
      <w:pPr>
        <w:pStyle w:val="Header"/>
        <w:tabs>
          <w:tab w:val="clear" w:pos="4320"/>
          <w:tab w:val="clear" w:pos="8640"/>
        </w:tabs>
      </w:pPr>
      <w:r w:rsidRPr="002B09EE">
        <w:t xml:space="preserve">The </w:t>
      </w:r>
      <w:r>
        <w:t xml:space="preserve">State Data Coordinators (SDCs) are one of IMLS’ key customers, playing a central role in the reporting of data about libraries in their states/territories, including to the Public Libraries Survey (PLS) and, in most cases, the State Library Administrative Agency (SLAA) survey. An annual meeting of the SDCs is held in order to (1) </w:t>
      </w:r>
      <w:r w:rsidR="00D15A3B">
        <w:t>Train</w:t>
      </w:r>
      <w:r>
        <w:t xml:space="preserve"> the new SDCs to these surveys and IMLS; (2) Provide a forum within which data collection and reporting issues associated with the PLS, including potential changes</w:t>
      </w:r>
      <w:r w:rsidR="003F59A7">
        <w:t>,</w:t>
      </w:r>
      <w:r>
        <w:t xml:space="preserve"> are discussed; and (3) Enable SDCs to share best practices with each other. Unlike many other Federal surveys, the IMLS library data community approach has resulted in a survey that has maintained a response rate in excess of 90% since its inception in 1988. </w:t>
      </w:r>
    </w:p>
    <w:p w14:paraId="5877EB09" w14:textId="77777777" w:rsidR="002B09EE" w:rsidRDefault="002B09EE" w:rsidP="00434E33">
      <w:pPr>
        <w:pStyle w:val="Header"/>
        <w:tabs>
          <w:tab w:val="clear" w:pos="4320"/>
          <w:tab w:val="clear" w:pos="8640"/>
        </w:tabs>
      </w:pPr>
    </w:p>
    <w:p w14:paraId="0B809256" w14:textId="77777777" w:rsidR="002B09EE" w:rsidRDefault="002B09EE" w:rsidP="00434E33">
      <w:pPr>
        <w:pStyle w:val="Header"/>
        <w:tabs>
          <w:tab w:val="clear" w:pos="4320"/>
          <w:tab w:val="clear" w:pos="8640"/>
        </w:tabs>
      </w:pPr>
      <w:r>
        <w:t>IMLS seeks to gather feedback from</w:t>
      </w:r>
      <w:r w:rsidR="007A71A5">
        <w:t>:</w:t>
      </w:r>
      <w:r>
        <w:t xml:space="preserve"> </w:t>
      </w:r>
      <w:r w:rsidR="000635C1">
        <w:t>(</w:t>
      </w:r>
      <w:r w:rsidR="007A71A5">
        <w:t xml:space="preserve">a) new SDCs about </w:t>
      </w:r>
      <w:r w:rsidR="000635C1">
        <w:t>a</w:t>
      </w:r>
      <w:r w:rsidR="007A71A5">
        <w:t xml:space="preserve"> half-day orientation and </w:t>
      </w:r>
      <w:r w:rsidR="000635C1">
        <w:t>(</w:t>
      </w:r>
      <w:r w:rsidR="007A71A5">
        <w:t xml:space="preserve">b) all </w:t>
      </w:r>
      <w:r>
        <w:t>SDCs about the annual meeting.</w:t>
      </w:r>
    </w:p>
    <w:p w14:paraId="5E7AAD74" w14:textId="77777777" w:rsidR="002B09EE" w:rsidRPr="002B09EE" w:rsidRDefault="002B09EE" w:rsidP="00434E33">
      <w:pPr>
        <w:pStyle w:val="Header"/>
        <w:tabs>
          <w:tab w:val="clear" w:pos="4320"/>
          <w:tab w:val="clear" w:pos="8640"/>
        </w:tabs>
      </w:pPr>
    </w:p>
    <w:p w14:paraId="235D2E88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8CEE6C1" w14:textId="21694B76" w:rsidR="00F15956" w:rsidRDefault="003F59A7">
      <w:r>
        <w:t xml:space="preserve">SDCs are individuals who have responsibility for data collection and reporting in their states/territories, with specific responsibility for the PLS. </w:t>
      </w:r>
      <w:r w:rsidR="007A71A5">
        <w:t>New SDCs who attend the orientation will be asked to respond to one survey</w:t>
      </w:r>
      <w:r w:rsidR="000635C1">
        <w:t xml:space="preserve"> (Attachment a) </w:t>
      </w:r>
      <w:r w:rsidR="007A71A5">
        <w:t xml:space="preserve">at the end of the orientation session. All </w:t>
      </w:r>
      <w:r w:rsidR="002B09EE">
        <w:t xml:space="preserve">SDCs who attend the Annual Meeting </w:t>
      </w:r>
      <w:r w:rsidR="007A71A5">
        <w:t xml:space="preserve">(including the new SDCs who attended the orientation) </w:t>
      </w:r>
      <w:r w:rsidR="002B09EE">
        <w:t xml:space="preserve">will </w:t>
      </w:r>
      <w:r w:rsidR="007A71A5">
        <w:t xml:space="preserve">be asked to </w:t>
      </w:r>
      <w:r w:rsidR="002B09EE">
        <w:t xml:space="preserve">respond to </w:t>
      </w:r>
      <w:r w:rsidR="007A71A5">
        <w:t xml:space="preserve">a second </w:t>
      </w:r>
      <w:r w:rsidR="002B09EE">
        <w:t>survey</w:t>
      </w:r>
      <w:r w:rsidR="000635C1">
        <w:t xml:space="preserve"> (Attachment b)</w:t>
      </w:r>
      <w:r w:rsidR="002B09EE">
        <w:t xml:space="preserve">. </w:t>
      </w:r>
    </w:p>
    <w:p w14:paraId="32EA91A6" w14:textId="77777777" w:rsidR="00F15956" w:rsidRDefault="00F15956"/>
    <w:p w14:paraId="6BE24D7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3C1D47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E00F981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2B09E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67091A5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4790413B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0423498E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8C98D3F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473CA0B9" w14:textId="77777777" w:rsidR="00441434" w:rsidRDefault="00441434">
      <w:pPr>
        <w:rPr>
          <w:sz w:val="16"/>
          <w:szCs w:val="16"/>
        </w:rPr>
      </w:pPr>
    </w:p>
    <w:p w14:paraId="7BEEB631" w14:textId="77777777" w:rsidR="008101A5" w:rsidRPr="009C13B9" w:rsidRDefault="008101A5" w:rsidP="008101A5">
      <w:r>
        <w:t xml:space="preserve">I certify the following to be true: </w:t>
      </w:r>
    </w:p>
    <w:p w14:paraId="0FD05F9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47F05CB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B21435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621A4F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3C3814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E42AAD9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EA139EC" w14:textId="77777777" w:rsidR="009C13B9" w:rsidRDefault="009C13B9" w:rsidP="009C13B9"/>
    <w:p w14:paraId="6A37EC92" w14:textId="094838F7" w:rsidR="009C13B9" w:rsidRDefault="009C13B9" w:rsidP="009C13B9">
      <w:r>
        <w:t>Name</w:t>
      </w:r>
      <w:r w:rsidR="005C74DA">
        <w:t xml:space="preserve">:  </w:t>
      </w:r>
      <w:r w:rsidR="002B09EE" w:rsidRPr="005C74DA">
        <w:rPr>
          <w:u w:val="single"/>
        </w:rPr>
        <w:t>Lisa M. Frehill</w:t>
      </w:r>
      <w:r>
        <w:t>____________</w:t>
      </w:r>
    </w:p>
    <w:p w14:paraId="7E7B9512" w14:textId="77777777" w:rsidR="009C13B9" w:rsidRDefault="009C13B9" w:rsidP="009C13B9">
      <w:pPr>
        <w:pStyle w:val="ListParagraph"/>
        <w:ind w:left="360"/>
      </w:pPr>
    </w:p>
    <w:p w14:paraId="6612D34A" w14:textId="77777777" w:rsidR="009C13B9" w:rsidRDefault="009C13B9" w:rsidP="009C13B9">
      <w:r>
        <w:t>To assist review, please provide answers to the following question:</w:t>
      </w:r>
    </w:p>
    <w:p w14:paraId="7B40B28B" w14:textId="77777777" w:rsidR="009C13B9" w:rsidRDefault="009C13B9" w:rsidP="009C13B9">
      <w:pPr>
        <w:pStyle w:val="ListParagraph"/>
        <w:ind w:left="360"/>
      </w:pPr>
    </w:p>
    <w:p w14:paraId="7C0E7794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520E56FC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2B09EE">
        <w:t>X</w:t>
      </w:r>
      <w:r w:rsidR="009239AA">
        <w:t xml:space="preserve">]  No </w:t>
      </w:r>
    </w:p>
    <w:p w14:paraId="0B2BE2E2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  <w:r w:rsidR="002B09EE" w:rsidRPr="002B09EE">
        <w:rPr>
          <w:i/>
        </w:rPr>
        <w:t>Not Applicable</w:t>
      </w:r>
    </w:p>
    <w:p w14:paraId="2DABA9B5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  <w:r w:rsidR="002B09EE" w:rsidRPr="002B09EE">
        <w:rPr>
          <w:i/>
        </w:rPr>
        <w:t xml:space="preserve"> Not Applicable</w:t>
      </w:r>
    </w:p>
    <w:p w14:paraId="2D9A41AC" w14:textId="77777777" w:rsidR="00CF6542" w:rsidRDefault="00CF6542" w:rsidP="00C86E91">
      <w:pPr>
        <w:pStyle w:val="ListParagraph"/>
        <w:ind w:left="0"/>
        <w:rPr>
          <w:b/>
        </w:rPr>
      </w:pPr>
    </w:p>
    <w:p w14:paraId="11D630D0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611B606B" w14:textId="77777777" w:rsidR="00C86E91" w:rsidRDefault="00C86E91" w:rsidP="00C86E91">
      <w:r>
        <w:t>Is an incentive (e.g., money or reimbursement of expenses, token of appreciation) provided to participants?  [  ] Yes [</w:t>
      </w:r>
      <w:r w:rsidR="002B09EE">
        <w:t>X</w:t>
      </w:r>
      <w:r>
        <w:t xml:space="preserve">] No  </w:t>
      </w:r>
    </w:p>
    <w:p w14:paraId="57E5F45C" w14:textId="77777777" w:rsidR="00C86E91" w:rsidRDefault="00C86E91">
      <w:pPr>
        <w:rPr>
          <w:b/>
        </w:rPr>
      </w:pPr>
    </w:p>
    <w:p w14:paraId="2BDC45EA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3C72E957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5"/>
        <w:gridCol w:w="1620"/>
        <w:gridCol w:w="4050"/>
        <w:gridCol w:w="1116"/>
      </w:tblGrid>
      <w:tr w:rsidR="00EF2095" w14:paraId="3098CAE1" w14:textId="77777777" w:rsidTr="005C74DA">
        <w:trPr>
          <w:trHeight w:val="274"/>
        </w:trPr>
        <w:tc>
          <w:tcPr>
            <w:tcW w:w="2875" w:type="dxa"/>
            <w:vAlign w:val="bottom"/>
          </w:tcPr>
          <w:p w14:paraId="1F6E8573" w14:textId="71E0A8AA" w:rsidR="006832D9" w:rsidRPr="0001027E" w:rsidRDefault="00E40B50" w:rsidP="005C74DA">
            <w:pPr>
              <w:jc w:val="center"/>
              <w:rPr>
                <w:b/>
              </w:rPr>
            </w:pPr>
            <w:r w:rsidRPr="0001027E">
              <w:rPr>
                <w:b/>
              </w:rPr>
              <w:t>Category of Respondent</w:t>
            </w:r>
          </w:p>
        </w:tc>
        <w:tc>
          <w:tcPr>
            <w:tcW w:w="1620" w:type="dxa"/>
            <w:vAlign w:val="bottom"/>
          </w:tcPr>
          <w:p w14:paraId="6E025442" w14:textId="77777777" w:rsidR="006832D9" w:rsidRPr="0001027E" w:rsidRDefault="006832D9" w:rsidP="005C74DA">
            <w:pPr>
              <w:jc w:val="center"/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4050" w:type="dxa"/>
            <w:vAlign w:val="bottom"/>
          </w:tcPr>
          <w:p w14:paraId="6A674CC1" w14:textId="52B37D77" w:rsidR="006832D9" w:rsidRPr="0001027E" w:rsidRDefault="006832D9" w:rsidP="005C74DA">
            <w:pPr>
              <w:jc w:val="center"/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116" w:type="dxa"/>
            <w:vAlign w:val="bottom"/>
          </w:tcPr>
          <w:p w14:paraId="17F86DCB" w14:textId="77777777" w:rsidR="006832D9" w:rsidRPr="0001027E" w:rsidRDefault="006832D9" w:rsidP="005C74DA">
            <w:pPr>
              <w:jc w:val="center"/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14:paraId="79CA4542" w14:textId="77777777" w:rsidTr="005C74DA">
        <w:trPr>
          <w:trHeight w:val="274"/>
        </w:trPr>
        <w:tc>
          <w:tcPr>
            <w:tcW w:w="2875" w:type="dxa"/>
          </w:tcPr>
          <w:p w14:paraId="70ABF42D" w14:textId="77777777" w:rsidR="006832D9" w:rsidRDefault="007A71A5" w:rsidP="00843796">
            <w:r>
              <w:t>New SDCs</w:t>
            </w:r>
            <w:r w:rsidR="00590C46">
              <w:t xml:space="preserve"> (two surveys)</w:t>
            </w:r>
          </w:p>
        </w:tc>
        <w:tc>
          <w:tcPr>
            <w:tcW w:w="1620" w:type="dxa"/>
          </w:tcPr>
          <w:p w14:paraId="0FC34568" w14:textId="77777777" w:rsidR="006832D9" w:rsidRDefault="00541997" w:rsidP="005C74DA">
            <w:pPr>
              <w:jc w:val="center"/>
            </w:pPr>
            <w:r>
              <w:t>15</w:t>
            </w:r>
          </w:p>
        </w:tc>
        <w:tc>
          <w:tcPr>
            <w:tcW w:w="4050" w:type="dxa"/>
          </w:tcPr>
          <w:p w14:paraId="514A5F5A" w14:textId="6E59759B" w:rsidR="006832D9" w:rsidRDefault="00590C46" w:rsidP="00843796">
            <w:r>
              <w:t xml:space="preserve">5 </w:t>
            </w:r>
            <w:r w:rsidR="00AC24E6">
              <w:t>min</w:t>
            </w:r>
            <w:r w:rsidR="007A71A5">
              <w:t>/resp</w:t>
            </w:r>
            <w:r w:rsidR="005C74DA">
              <w:t>onse</w:t>
            </w:r>
            <w:r>
              <w:t xml:space="preserve"> x 2 surveys = 10 min/</w:t>
            </w:r>
            <w:r w:rsidR="005C74DA">
              <w:t xml:space="preserve"> </w:t>
            </w:r>
            <w:r>
              <w:t>total resp</w:t>
            </w:r>
            <w:r w:rsidR="005C74DA">
              <w:t>onse</w:t>
            </w:r>
          </w:p>
        </w:tc>
        <w:tc>
          <w:tcPr>
            <w:tcW w:w="1116" w:type="dxa"/>
          </w:tcPr>
          <w:p w14:paraId="2D38DEDB" w14:textId="77777777" w:rsidR="006832D9" w:rsidRDefault="000635C1" w:rsidP="005C74DA">
            <w:pPr>
              <w:jc w:val="center"/>
            </w:pPr>
            <w:r>
              <w:t>2.</w:t>
            </w:r>
            <w:r w:rsidR="00541997">
              <w:t>5</w:t>
            </w:r>
            <w:r>
              <w:t xml:space="preserve">0 </w:t>
            </w:r>
            <w:r w:rsidR="007A71A5">
              <w:t>hr</w:t>
            </w:r>
          </w:p>
        </w:tc>
      </w:tr>
      <w:tr w:rsidR="007A71A5" w14:paraId="1A0DE198" w14:textId="77777777" w:rsidTr="005C74DA">
        <w:trPr>
          <w:trHeight w:val="274"/>
        </w:trPr>
        <w:tc>
          <w:tcPr>
            <w:tcW w:w="2875" w:type="dxa"/>
          </w:tcPr>
          <w:p w14:paraId="5FCFDCAD" w14:textId="77777777" w:rsidR="007A71A5" w:rsidRDefault="007A71A5" w:rsidP="007A71A5">
            <w:r>
              <w:t>SDC</w:t>
            </w:r>
            <w:r w:rsidR="00590C46">
              <w:t>s (one survey only)</w:t>
            </w:r>
          </w:p>
        </w:tc>
        <w:tc>
          <w:tcPr>
            <w:tcW w:w="1620" w:type="dxa"/>
          </w:tcPr>
          <w:p w14:paraId="4451C1AC" w14:textId="77777777" w:rsidR="007A71A5" w:rsidRPr="007A71A5" w:rsidRDefault="00541997" w:rsidP="005C74DA">
            <w:pPr>
              <w:jc w:val="center"/>
            </w:pPr>
            <w:r>
              <w:t>40</w:t>
            </w:r>
          </w:p>
        </w:tc>
        <w:tc>
          <w:tcPr>
            <w:tcW w:w="4050" w:type="dxa"/>
          </w:tcPr>
          <w:p w14:paraId="0F7FC1BF" w14:textId="7EFA4B95" w:rsidR="007A71A5" w:rsidRDefault="000635C1" w:rsidP="007A71A5">
            <w:r>
              <w:t>5</w:t>
            </w:r>
            <w:r w:rsidR="007A71A5">
              <w:t xml:space="preserve"> min/resp</w:t>
            </w:r>
            <w:r w:rsidR="005C74DA">
              <w:t>onse</w:t>
            </w:r>
          </w:p>
        </w:tc>
        <w:tc>
          <w:tcPr>
            <w:tcW w:w="1116" w:type="dxa"/>
          </w:tcPr>
          <w:p w14:paraId="33388332" w14:textId="77777777" w:rsidR="007A71A5" w:rsidRDefault="000635C1" w:rsidP="005C74DA">
            <w:pPr>
              <w:jc w:val="center"/>
            </w:pPr>
            <w:r>
              <w:t>3.</w:t>
            </w:r>
            <w:r w:rsidR="00541997">
              <w:t>33</w:t>
            </w:r>
            <w:r>
              <w:t xml:space="preserve"> </w:t>
            </w:r>
            <w:r w:rsidR="007A71A5">
              <w:t>hr</w:t>
            </w:r>
          </w:p>
        </w:tc>
      </w:tr>
      <w:tr w:rsidR="007A71A5" w14:paraId="4BF42CAD" w14:textId="77777777" w:rsidTr="005C74DA">
        <w:trPr>
          <w:trHeight w:val="289"/>
        </w:trPr>
        <w:tc>
          <w:tcPr>
            <w:tcW w:w="2875" w:type="dxa"/>
          </w:tcPr>
          <w:p w14:paraId="21944230" w14:textId="77777777" w:rsidR="007A71A5" w:rsidRPr="0001027E" w:rsidRDefault="007A71A5" w:rsidP="007A71A5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620" w:type="dxa"/>
          </w:tcPr>
          <w:p w14:paraId="4FBBE73B" w14:textId="77777777" w:rsidR="007A71A5" w:rsidRPr="0001027E" w:rsidRDefault="00541997" w:rsidP="005C74DA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050" w:type="dxa"/>
          </w:tcPr>
          <w:p w14:paraId="76A29A52" w14:textId="77777777" w:rsidR="007A71A5" w:rsidRDefault="007A71A5" w:rsidP="007A71A5"/>
        </w:tc>
        <w:tc>
          <w:tcPr>
            <w:tcW w:w="1116" w:type="dxa"/>
          </w:tcPr>
          <w:p w14:paraId="57073E77" w14:textId="77777777" w:rsidR="007A71A5" w:rsidRPr="0001027E" w:rsidRDefault="000635C1" w:rsidP="005C74DA">
            <w:pPr>
              <w:jc w:val="center"/>
              <w:rPr>
                <w:b/>
              </w:rPr>
            </w:pPr>
            <w:r>
              <w:rPr>
                <w:b/>
              </w:rPr>
              <w:t>5.</w:t>
            </w:r>
            <w:r w:rsidR="00541997">
              <w:rPr>
                <w:b/>
              </w:rPr>
              <w:t>83</w:t>
            </w:r>
            <w:r>
              <w:rPr>
                <w:b/>
              </w:rPr>
              <w:t xml:space="preserve"> </w:t>
            </w:r>
            <w:r w:rsidR="007A71A5">
              <w:rPr>
                <w:b/>
              </w:rPr>
              <w:t>hr</w:t>
            </w:r>
          </w:p>
        </w:tc>
      </w:tr>
    </w:tbl>
    <w:p w14:paraId="7162D3B1" w14:textId="77777777" w:rsidR="00F3170F" w:rsidRDefault="00F3170F" w:rsidP="00F3170F"/>
    <w:p w14:paraId="77602E40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7A71A5">
        <w:rPr>
          <w:u w:val="single"/>
        </w:rPr>
        <w:t xml:space="preserve"> </w:t>
      </w:r>
      <w:r w:rsidR="007A71A5">
        <w:rPr>
          <w:u w:val="single"/>
        </w:rPr>
        <w:t xml:space="preserve"> </w:t>
      </w:r>
      <w:r w:rsidR="007A71A5" w:rsidRPr="007A71A5">
        <w:rPr>
          <w:u w:val="single"/>
        </w:rPr>
        <w:t>$500</w:t>
      </w:r>
      <w:r w:rsidR="00C86E91">
        <w:t>_________</w:t>
      </w:r>
    </w:p>
    <w:p w14:paraId="3FDB3E51" w14:textId="77777777" w:rsidR="00ED6492" w:rsidRDefault="00ED6492">
      <w:pPr>
        <w:rPr>
          <w:b/>
          <w:bCs/>
          <w:u w:val="single"/>
        </w:rPr>
      </w:pPr>
    </w:p>
    <w:p w14:paraId="58F28703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>provide answers to the following questions:</w:t>
      </w:r>
    </w:p>
    <w:p w14:paraId="6B3252E8" w14:textId="77777777" w:rsidR="0069403B" w:rsidRDefault="0069403B" w:rsidP="00F06866">
      <w:pPr>
        <w:rPr>
          <w:b/>
        </w:rPr>
      </w:pPr>
    </w:p>
    <w:p w14:paraId="04A37FCD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0F6A9625" w14:textId="62EC2509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  <w:t>[</w:t>
      </w:r>
      <w:r w:rsidR="002B09EE" w:rsidRPr="00015FE2">
        <w:rPr>
          <w:b/>
        </w:rPr>
        <w:t>X</w:t>
      </w:r>
      <w:r>
        <w:t>] Yes</w:t>
      </w:r>
      <w:r w:rsidR="001B3EC6">
        <w:t xml:space="preserve"> </w:t>
      </w:r>
      <w:r>
        <w:t>[ ] No</w:t>
      </w:r>
    </w:p>
    <w:p w14:paraId="070EC58A" w14:textId="77777777" w:rsidR="00636621" w:rsidRDefault="00636621" w:rsidP="00636621">
      <w:pPr>
        <w:pStyle w:val="ListParagraph"/>
      </w:pPr>
    </w:p>
    <w:p w14:paraId="5CBCE62B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55D6F1D0" w14:textId="77777777" w:rsidR="00A403BB" w:rsidRDefault="00A403BB" w:rsidP="00A403BB">
      <w:pPr>
        <w:pStyle w:val="ListParagraph"/>
      </w:pPr>
    </w:p>
    <w:p w14:paraId="32078B82" w14:textId="77777777" w:rsidR="00A403BB" w:rsidRPr="00015FE2" w:rsidRDefault="002B09EE" w:rsidP="001B3EC6">
      <w:pPr>
        <w:ind w:left="720"/>
      </w:pPr>
      <w:r w:rsidRPr="00015FE2">
        <w:t>A sample will not be drawn. The customer list</w:t>
      </w:r>
      <w:r w:rsidR="00015FE2">
        <w:t>s</w:t>
      </w:r>
      <w:r w:rsidRPr="00015FE2">
        <w:t xml:space="preserve"> </w:t>
      </w:r>
      <w:r w:rsidR="00015FE2">
        <w:t xml:space="preserve">are a) the list of new SDCs who attend the orientation and b) </w:t>
      </w:r>
      <w:r w:rsidRPr="00015FE2">
        <w:t xml:space="preserve">the list of SDC annual meeting attendees. </w:t>
      </w:r>
      <w:r w:rsidR="00015FE2">
        <w:t>For the new SDC orientation (a), one survey will be completed at the end of the orientation. For the annual meeting survey (b), e</w:t>
      </w:r>
      <w:r w:rsidRPr="00015FE2">
        <w:t xml:space="preserve">ach attendee will be given a survey and asked to complete it before they leave the conference. </w:t>
      </w:r>
    </w:p>
    <w:p w14:paraId="667FD6FC" w14:textId="77777777" w:rsidR="00A403BB" w:rsidRDefault="00A403BB" w:rsidP="00A403BB"/>
    <w:p w14:paraId="51677CCE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0A2BBCF6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4AFCDFD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622416F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1D91F619" w14:textId="77777777" w:rsidR="001B0AAA" w:rsidRDefault="00A403BB" w:rsidP="001B0AAA">
      <w:pPr>
        <w:ind w:left="720"/>
      </w:pPr>
      <w:r>
        <w:t>[</w:t>
      </w:r>
      <w:r w:rsidR="00C23B6A" w:rsidRPr="00015FE2">
        <w:rPr>
          <w:b/>
        </w:rPr>
        <w:t>X</w:t>
      </w:r>
      <w:r>
        <w:t>] In-person</w:t>
      </w:r>
      <w:r>
        <w:tab/>
      </w:r>
    </w:p>
    <w:p w14:paraId="039AD3EF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5C129CD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3E6D7D3B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C23B6A" w:rsidRPr="00015FE2">
        <w:rPr>
          <w:b/>
        </w:rPr>
        <w:t>X</w:t>
      </w:r>
      <w:r>
        <w:t>] No</w:t>
      </w:r>
    </w:p>
    <w:p w14:paraId="096A1F85" w14:textId="77777777" w:rsidR="00F24CFC" w:rsidRDefault="00F24CFC" w:rsidP="00F24CFC">
      <w:pPr>
        <w:pStyle w:val="ListParagraph"/>
        <w:ind w:left="360"/>
      </w:pPr>
      <w:r>
        <w:lastRenderedPageBreak/>
        <w:t xml:space="preserve"> </w:t>
      </w:r>
    </w:p>
    <w:p w14:paraId="4747F80C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F03D02F" w14:textId="77777777" w:rsidR="00590C46" w:rsidRDefault="00590C46" w:rsidP="0024521E">
      <w:pPr>
        <w:rPr>
          <w:b/>
        </w:rPr>
      </w:pPr>
    </w:p>
    <w:p w14:paraId="40565D29" w14:textId="77777777" w:rsidR="00590C46" w:rsidRDefault="00590C46" w:rsidP="0024521E">
      <w:pPr>
        <w:rPr>
          <w:b/>
        </w:rPr>
      </w:pPr>
      <w:r>
        <w:rPr>
          <w:b/>
        </w:rPr>
        <w:t>Appendices attached: “New State Data Coordinators Orientation Evaluation” and “Event Evaluation, Annual State Data Coordinators’ Meeting”</w:t>
      </w:r>
    </w:p>
    <w:p w14:paraId="127991CE" w14:textId="31D861BD" w:rsidR="005E714A" w:rsidRPr="008228C3" w:rsidRDefault="005E714A" w:rsidP="008228C3">
      <w:pPr>
        <w:rPr>
          <w:b/>
        </w:rPr>
      </w:pPr>
    </w:p>
    <w:sectPr w:rsidR="005E714A" w:rsidRPr="008228C3" w:rsidSect="00194AC6">
      <w:headerReference w:type="default" r:id="rId10"/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94605F" w14:textId="77777777" w:rsidR="00436733" w:rsidRDefault="00436733">
      <w:r>
        <w:separator/>
      </w:r>
    </w:p>
  </w:endnote>
  <w:endnote w:type="continuationSeparator" w:id="0">
    <w:p w14:paraId="442A25A4" w14:textId="77777777" w:rsidR="00436733" w:rsidRDefault="00436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E155DE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47166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D6D700" w14:textId="77777777" w:rsidR="00436733" w:rsidRDefault="00436733">
      <w:r>
        <w:separator/>
      </w:r>
    </w:p>
  </w:footnote>
  <w:footnote w:type="continuationSeparator" w:id="0">
    <w:p w14:paraId="33096DA2" w14:textId="77777777" w:rsidR="00436733" w:rsidRDefault="004367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165A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27E"/>
    <w:rsid w:val="00015FE2"/>
    <w:rsid w:val="00023A57"/>
    <w:rsid w:val="00047A64"/>
    <w:rsid w:val="000635C1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B3EC6"/>
    <w:rsid w:val="001C39F7"/>
    <w:rsid w:val="00237B48"/>
    <w:rsid w:val="0024521E"/>
    <w:rsid w:val="00263C3D"/>
    <w:rsid w:val="00274D0B"/>
    <w:rsid w:val="00280725"/>
    <w:rsid w:val="002B052D"/>
    <w:rsid w:val="002B09EE"/>
    <w:rsid w:val="002B34CD"/>
    <w:rsid w:val="002B3C95"/>
    <w:rsid w:val="002D0B92"/>
    <w:rsid w:val="003D5BBE"/>
    <w:rsid w:val="003E3C61"/>
    <w:rsid w:val="003F1C5B"/>
    <w:rsid w:val="003F59A7"/>
    <w:rsid w:val="0041242E"/>
    <w:rsid w:val="00434E33"/>
    <w:rsid w:val="00436733"/>
    <w:rsid w:val="00441434"/>
    <w:rsid w:val="0045264C"/>
    <w:rsid w:val="004876EC"/>
    <w:rsid w:val="004D6E14"/>
    <w:rsid w:val="005009B0"/>
    <w:rsid w:val="00541997"/>
    <w:rsid w:val="00590C46"/>
    <w:rsid w:val="005A1006"/>
    <w:rsid w:val="005C74DA"/>
    <w:rsid w:val="005E714A"/>
    <w:rsid w:val="005F693D"/>
    <w:rsid w:val="006140A0"/>
    <w:rsid w:val="00636621"/>
    <w:rsid w:val="00642B49"/>
    <w:rsid w:val="006832D9"/>
    <w:rsid w:val="0069403B"/>
    <w:rsid w:val="006F3DDE"/>
    <w:rsid w:val="00704678"/>
    <w:rsid w:val="007425E7"/>
    <w:rsid w:val="00762D3C"/>
    <w:rsid w:val="007A71A5"/>
    <w:rsid w:val="007B3353"/>
    <w:rsid w:val="007C5832"/>
    <w:rsid w:val="007F7080"/>
    <w:rsid w:val="00802607"/>
    <w:rsid w:val="008101A5"/>
    <w:rsid w:val="00822664"/>
    <w:rsid w:val="008228C3"/>
    <w:rsid w:val="00843796"/>
    <w:rsid w:val="00895229"/>
    <w:rsid w:val="008B2EB3"/>
    <w:rsid w:val="008F0203"/>
    <w:rsid w:val="008F50D4"/>
    <w:rsid w:val="008F63B5"/>
    <w:rsid w:val="009239AA"/>
    <w:rsid w:val="00935ADA"/>
    <w:rsid w:val="00946B6C"/>
    <w:rsid w:val="00955A71"/>
    <w:rsid w:val="0096108F"/>
    <w:rsid w:val="0098404E"/>
    <w:rsid w:val="009C13B9"/>
    <w:rsid w:val="009D01A2"/>
    <w:rsid w:val="009F5923"/>
    <w:rsid w:val="00A403BB"/>
    <w:rsid w:val="00A55AD3"/>
    <w:rsid w:val="00A674DF"/>
    <w:rsid w:val="00A83AA6"/>
    <w:rsid w:val="00A934D6"/>
    <w:rsid w:val="00AC24E6"/>
    <w:rsid w:val="00AE1809"/>
    <w:rsid w:val="00AE75FF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3B6A"/>
    <w:rsid w:val="00C33C52"/>
    <w:rsid w:val="00C40D8B"/>
    <w:rsid w:val="00C8407A"/>
    <w:rsid w:val="00C8488C"/>
    <w:rsid w:val="00C86E91"/>
    <w:rsid w:val="00C95BA1"/>
    <w:rsid w:val="00CA2650"/>
    <w:rsid w:val="00CB1078"/>
    <w:rsid w:val="00CC6FAF"/>
    <w:rsid w:val="00CF6542"/>
    <w:rsid w:val="00D15A3B"/>
    <w:rsid w:val="00D24698"/>
    <w:rsid w:val="00D6383F"/>
    <w:rsid w:val="00DB59D0"/>
    <w:rsid w:val="00DC33D3"/>
    <w:rsid w:val="00DF0266"/>
    <w:rsid w:val="00E26329"/>
    <w:rsid w:val="00E40B50"/>
    <w:rsid w:val="00E50293"/>
    <w:rsid w:val="00E65FFC"/>
    <w:rsid w:val="00E744EA"/>
    <w:rsid w:val="00E80951"/>
    <w:rsid w:val="00E86CC6"/>
    <w:rsid w:val="00EB4EFD"/>
    <w:rsid w:val="00EB56B3"/>
    <w:rsid w:val="00ED6492"/>
    <w:rsid w:val="00EF2095"/>
    <w:rsid w:val="00F06866"/>
    <w:rsid w:val="00F15956"/>
    <w:rsid w:val="00F24CFC"/>
    <w:rsid w:val="00F3170F"/>
    <w:rsid w:val="00F47166"/>
    <w:rsid w:val="00F51AC7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40BBF1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902E1B956040438F0BD7BF63999C8A" ma:contentTypeVersion="10" ma:contentTypeDescription="Create a new document." ma:contentTypeScope="" ma:versionID="6f136a6b00d68e643d59181a3b1e7b68">
  <xsd:schema xmlns:xsd="http://www.w3.org/2001/XMLSchema" xmlns:xs="http://www.w3.org/2001/XMLSchema" xmlns:p="http://schemas.microsoft.com/office/2006/metadata/properties" xmlns:ns2="256247e4-97d7-49c1-9b6d-26c29e7297e4" xmlns:ns3="5b7cd334-ef48-44ad-ba3d-dd607a2fcc1b" targetNamespace="http://schemas.microsoft.com/office/2006/metadata/properties" ma:root="true" ma:fieldsID="8e90de7a3ec139d9503acba46fee88e2" ns2:_="" ns3:_="">
    <xsd:import namespace="256247e4-97d7-49c1-9b6d-26c29e7297e4"/>
    <xsd:import namespace="5b7cd334-ef48-44ad-ba3d-dd607a2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247e4-97d7-49c1-9b6d-26c29e7297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cd334-ef48-44ad-ba3d-dd607a2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AB83C-79C5-4761-A950-F672C1E8C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6247e4-97d7-49c1-9b6d-26c29e7297e4"/>
    <ds:schemaRef ds:uri="5b7cd334-ef48-44ad-ba3d-dd607a2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74B8C-CF2D-4FEB-8DC5-8D51227548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4860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SYSTEM</cp:lastModifiedBy>
  <cp:revision>2</cp:revision>
  <cp:lastPrinted>2018-10-31T16:59:00Z</cp:lastPrinted>
  <dcterms:created xsi:type="dcterms:W3CDTF">2019-11-06T20:36:00Z</dcterms:created>
  <dcterms:modified xsi:type="dcterms:W3CDTF">2019-11-06T20:36:00Z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