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C9A" w:rsidRDefault="00C306E6" w:rsidP="00403329">
      <w:pPr>
        <w:widowControl w:val="0"/>
        <w:tabs>
          <w:tab w:val="center" w:pos="4680"/>
        </w:tabs>
        <w:jc w:val="center"/>
        <w:rPr>
          <w:rFonts w:ascii="Arial" w:hAnsi="Arial"/>
          <w:sz w:val="22"/>
        </w:rPr>
      </w:pPr>
      <w:bookmarkStart w:id="0" w:name="_GoBack"/>
      <w:bookmarkEnd w:id="0"/>
      <w:r>
        <w:rPr>
          <w:rFonts w:ascii="Arial" w:hAnsi="Arial" w:cs="Arial"/>
        </w:rPr>
        <w:t>FINAL</w:t>
      </w:r>
      <w:r w:rsidRPr="00EE1030">
        <w:rPr>
          <w:rFonts w:ascii="Arial" w:hAnsi="Arial" w:cs="Arial"/>
          <w:strike/>
          <w:color w:val="FF0000"/>
        </w:rPr>
        <w:fldChar w:fldCharType="begin"/>
      </w:r>
      <w:r w:rsidRPr="00EE1030">
        <w:rPr>
          <w:rFonts w:ascii="Arial" w:hAnsi="Arial" w:cs="Arial"/>
          <w:strike/>
          <w:color w:val="FF0000"/>
        </w:rPr>
        <w:instrText xml:space="preserve"> SEQ CHAPTER \h \r 1</w:instrText>
      </w:r>
      <w:r w:rsidRPr="00EE1030">
        <w:rPr>
          <w:rFonts w:ascii="Arial" w:hAnsi="Arial" w:cs="Arial"/>
          <w:strike/>
          <w:color w:val="FF0000"/>
        </w:rPr>
        <w:fldChar w:fldCharType="end"/>
      </w:r>
      <w:r>
        <w:rPr>
          <w:rFonts w:ascii="Arial" w:hAnsi="Arial" w:cs="Arial"/>
          <w:sz w:val="22"/>
        </w:rPr>
        <w:t xml:space="preserve"> </w:t>
      </w:r>
      <w:r w:rsidR="00884058" w:rsidRPr="00E568D4">
        <w:rPr>
          <w:rFonts w:ascii="Arial" w:hAnsi="Arial" w:cs="Arial"/>
          <w:sz w:val="22"/>
        </w:rPr>
        <w:t>SU</w:t>
      </w:r>
      <w:r w:rsidR="00884058">
        <w:rPr>
          <w:rFonts w:ascii="Arial" w:hAnsi="Arial"/>
          <w:sz w:val="22"/>
        </w:rPr>
        <w:t xml:space="preserve">PPORTING STATEMENT </w:t>
      </w:r>
    </w:p>
    <w:p w:rsidR="00884058" w:rsidRDefault="00884058" w:rsidP="00403329">
      <w:pPr>
        <w:widowControl w:val="0"/>
        <w:tabs>
          <w:tab w:val="center" w:pos="4680"/>
        </w:tabs>
        <w:jc w:val="center"/>
        <w:rPr>
          <w:rFonts w:ascii="Arial" w:hAnsi="Arial"/>
          <w:sz w:val="22"/>
        </w:rPr>
      </w:pPr>
      <w:r>
        <w:rPr>
          <w:rFonts w:ascii="Arial" w:hAnsi="Arial"/>
          <w:sz w:val="22"/>
        </w:rPr>
        <w:t>FOR</w:t>
      </w:r>
    </w:p>
    <w:p w:rsidR="00884058" w:rsidRDefault="00884058" w:rsidP="00403329">
      <w:pPr>
        <w:widowControl w:val="0"/>
        <w:tabs>
          <w:tab w:val="center" w:pos="4680"/>
        </w:tabs>
        <w:jc w:val="center"/>
        <w:rPr>
          <w:rFonts w:ascii="Arial" w:hAnsi="Arial"/>
          <w:sz w:val="22"/>
        </w:rPr>
      </w:pPr>
      <w:r>
        <w:rPr>
          <w:rFonts w:ascii="Arial" w:hAnsi="Arial"/>
          <w:sz w:val="22"/>
        </w:rPr>
        <w:t>10 CFR PART 81</w:t>
      </w:r>
    </w:p>
    <w:p w:rsidR="00884058" w:rsidRDefault="00884058" w:rsidP="00403329">
      <w:pPr>
        <w:widowControl w:val="0"/>
        <w:tabs>
          <w:tab w:val="center" w:pos="4680"/>
        </w:tabs>
        <w:jc w:val="center"/>
        <w:rPr>
          <w:rFonts w:ascii="Arial" w:hAnsi="Arial"/>
          <w:sz w:val="22"/>
        </w:rPr>
      </w:pPr>
      <w:r>
        <w:rPr>
          <w:rFonts w:ascii="Arial" w:hAnsi="Arial"/>
          <w:sz w:val="22"/>
        </w:rPr>
        <w:t>STANDARD SPECIFICATIONS FOR THE GRANTING OF PATENT LICENSES</w:t>
      </w:r>
    </w:p>
    <w:p w:rsidR="00884058" w:rsidRDefault="00884058" w:rsidP="00403329">
      <w:pPr>
        <w:widowControl w:val="0"/>
        <w:jc w:val="center"/>
        <w:rPr>
          <w:rFonts w:ascii="Arial" w:hAnsi="Arial"/>
          <w:sz w:val="22"/>
        </w:rPr>
      </w:pPr>
    </w:p>
    <w:p w:rsidR="00884058" w:rsidRDefault="00884058" w:rsidP="00403329">
      <w:pPr>
        <w:widowControl w:val="0"/>
        <w:tabs>
          <w:tab w:val="center" w:pos="4680"/>
        </w:tabs>
        <w:jc w:val="center"/>
        <w:rPr>
          <w:rFonts w:ascii="Arial" w:hAnsi="Arial"/>
          <w:sz w:val="22"/>
        </w:rPr>
      </w:pPr>
      <w:r>
        <w:rPr>
          <w:rFonts w:ascii="Arial" w:hAnsi="Arial"/>
          <w:sz w:val="22"/>
        </w:rPr>
        <w:t>(3150-0121)</w:t>
      </w:r>
    </w:p>
    <w:p w:rsidR="003B7AAE" w:rsidRDefault="003B7AAE" w:rsidP="00403329">
      <w:pPr>
        <w:widowControl w:val="0"/>
        <w:tabs>
          <w:tab w:val="center" w:pos="4680"/>
        </w:tabs>
        <w:jc w:val="center"/>
        <w:rPr>
          <w:rFonts w:ascii="Arial" w:hAnsi="Arial"/>
          <w:sz w:val="22"/>
        </w:rPr>
      </w:pPr>
    </w:p>
    <w:p w:rsidR="00884058" w:rsidRDefault="00884058" w:rsidP="00403329">
      <w:pPr>
        <w:widowControl w:val="0"/>
        <w:tabs>
          <w:tab w:val="center" w:pos="4680"/>
        </w:tabs>
        <w:jc w:val="center"/>
        <w:rPr>
          <w:rFonts w:ascii="Arial" w:hAnsi="Arial"/>
          <w:sz w:val="22"/>
        </w:rPr>
      </w:pPr>
      <w:r>
        <w:rPr>
          <w:rFonts w:ascii="Arial" w:hAnsi="Arial"/>
          <w:sz w:val="22"/>
        </w:rPr>
        <w:t>EXTENSION</w:t>
      </w:r>
    </w:p>
    <w:p w:rsidR="00884058" w:rsidRDefault="00884058">
      <w:pPr>
        <w:widowControl w:val="0"/>
        <w:rPr>
          <w:rFonts w:ascii="Arial" w:hAnsi="Arial"/>
          <w:sz w:val="22"/>
        </w:rPr>
      </w:pPr>
    </w:p>
    <w:p w:rsidR="00884058" w:rsidRDefault="00884058">
      <w:pPr>
        <w:widowControl w:val="0"/>
        <w:rPr>
          <w:rFonts w:ascii="Arial" w:hAnsi="Arial"/>
          <w:sz w:val="22"/>
        </w:rPr>
      </w:pPr>
    </w:p>
    <w:p w:rsidR="00884058" w:rsidRDefault="00884058">
      <w:pPr>
        <w:widowControl w:val="0"/>
        <w:rPr>
          <w:rFonts w:ascii="Arial" w:hAnsi="Arial"/>
          <w:sz w:val="22"/>
          <w:u w:val="single"/>
        </w:rPr>
      </w:pPr>
      <w:r>
        <w:rPr>
          <w:rFonts w:ascii="Arial" w:hAnsi="Arial"/>
          <w:sz w:val="22"/>
          <w:u w:val="single"/>
        </w:rPr>
        <w:t>Description of the Information Collection</w:t>
      </w:r>
    </w:p>
    <w:p w:rsidR="00884058" w:rsidRDefault="00884058">
      <w:pPr>
        <w:widowControl w:val="0"/>
        <w:rPr>
          <w:rFonts w:ascii="Arial" w:hAnsi="Arial"/>
          <w:sz w:val="22"/>
        </w:rPr>
      </w:pPr>
    </w:p>
    <w:p w:rsidR="003A7CD3" w:rsidRDefault="00D33D35" w:rsidP="00743C9C">
      <w:pPr>
        <w:pStyle w:val="ListBullet"/>
        <w:numPr>
          <w:ilvl w:val="0"/>
          <w:numId w:val="0"/>
        </w:numPr>
        <w:rPr>
          <w:rFonts w:cs="Arial"/>
          <w:szCs w:val="22"/>
        </w:rPr>
      </w:pPr>
      <w:r>
        <w:rPr>
          <w:szCs w:val="22"/>
          <w:lang w:val="en-CA"/>
        </w:rPr>
        <w:t>T</w:t>
      </w:r>
      <w:r w:rsidR="00743C9C" w:rsidRPr="00DE1EB9">
        <w:rPr>
          <w:szCs w:val="22"/>
          <w:lang w:val="en-CA"/>
        </w:rPr>
        <w:t xml:space="preserve">he </w:t>
      </w:r>
      <w:r w:rsidR="00743C9C" w:rsidRPr="00966E64">
        <w:rPr>
          <w:rFonts w:cs="Arial"/>
          <w:szCs w:val="22"/>
          <w:lang w:val="en-CA"/>
        </w:rPr>
        <w:t>N</w:t>
      </w:r>
      <w:r w:rsidR="00743C9C">
        <w:rPr>
          <w:rFonts w:cs="Arial"/>
          <w:szCs w:val="22"/>
          <w:lang w:val="en-CA"/>
        </w:rPr>
        <w:t>uclear Regulatory Commission (NRC)</w:t>
      </w:r>
      <w:r w:rsidR="00743C9C" w:rsidRPr="00966E64">
        <w:rPr>
          <w:rFonts w:cs="Arial"/>
          <w:szCs w:val="22"/>
          <w:lang w:val="en-CA"/>
        </w:rPr>
        <w:t xml:space="preserve"> may</w:t>
      </w:r>
      <w:r w:rsidR="00743C9C" w:rsidRPr="00DE1EB9">
        <w:rPr>
          <w:szCs w:val="22"/>
          <w:lang w:val="en-CA"/>
        </w:rPr>
        <w:t xml:space="preserve"> grant licenses </w:t>
      </w:r>
      <w:r w:rsidR="00743C9C" w:rsidRPr="00DE1EB9">
        <w:rPr>
          <w:rFonts w:cs="Arial"/>
          <w:szCs w:val="22"/>
        </w:rPr>
        <w:t xml:space="preserve">to its patented inventions.  </w:t>
      </w:r>
      <w:r w:rsidR="00E73B7D">
        <w:rPr>
          <w:rFonts w:cs="Arial"/>
          <w:szCs w:val="22"/>
        </w:rPr>
        <w:t xml:space="preserve">Licenses are ordinarily available to all responsible applicants.  However, an applicant may be granted an exclusive license for a limited period of time if necessary to give a financial incentive to develop the technology to a point where it can be practically applied.  All license </w:t>
      </w:r>
      <w:r w:rsidR="003E6C15">
        <w:rPr>
          <w:rFonts w:cs="Arial"/>
          <w:szCs w:val="22"/>
        </w:rPr>
        <w:t>applicants must</w:t>
      </w:r>
      <w:r w:rsidR="00BE345B">
        <w:rPr>
          <w:rFonts w:cs="Arial"/>
          <w:szCs w:val="22"/>
        </w:rPr>
        <w:t xml:space="preserve"> </w:t>
      </w:r>
      <w:r>
        <w:rPr>
          <w:rFonts w:cs="Arial"/>
          <w:szCs w:val="22"/>
        </w:rPr>
        <w:t>report</w:t>
      </w:r>
      <w:r w:rsidR="002B0B6D">
        <w:rPr>
          <w:rFonts w:cs="Arial"/>
          <w:szCs w:val="22"/>
        </w:rPr>
        <w:t xml:space="preserve"> information including</w:t>
      </w:r>
      <w:r>
        <w:rPr>
          <w:rFonts w:cs="Arial"/>
          <w:szCs w:val="22"/>
        </w:rPr>
        <w:t xml:space="preserve"> the nature and type and of their business, the purpose for which the patent will be used, and the location where it will be used.  Applicants who request exclusive use of the patent must </w:t>
      </w:r>
      <w:r w:rsidR="00D652C3">
        <w:rPr>
          <w:rFonts w:cs="Arial"/>
          <w:szCs w:val="22"/>
        </w:rPr>
        <w:t xml:space="preserve">report </w:t>
      </w:r>
      <w:r w:rsidR="002B0B6D">
        <w:rPr>
          <w:rFonts w:cs="Arial"/>
          <w:szCs w:val="22"/>
        </w:rPr>
        <w:t xml:space="preserve">additional </w:t>
      </w:r>
      <w:r w:rsidR="003A7CD3">
        <w:rPr>
          <w:rFonts w:cs="Arial"/>
          <w:szCs w:val="22"/>
        </w:rPr>
        <w:t xml:space="preserve">information regarding status; specifically, whether they are a small business, minority owned, location is a surplus labor area, or located in a low income area.  Applicants for exclusive licenses must also </w:t>
      </w:r>
      <w:r w:rsidR="002B0B6D">
        <w:rPr>
          <w:rFonts w:cs="Arial"/>
          <w:szCs w:val="22"/>
        </w:rPr>
        <w:t>include information to justify the need for a financial incentive by describing</w:t>
      </w:r>
      <w:r w:rsidR="003A7CD3">
        <w:rPr>
          <w:rFonts w:cs="Arial"/>
          <w:szCs w:val="22"/>
        </w:rPr>
        <w:t xml:space="preserve"> the time, expenditures and all actions </w:t>
      </w:r>
      <w:r w:rsidR="00764941">
        <w:rPr>
          <w:rFonts w:cs="Arial"/>
          <w:szCs w:val="22"/>
        </w:rPr>
        <w:t xml:space="preserve">that will be </w:t>
      </w:r>
      <w:r w:rsidR="003A7CD3">
        <w:rPr>
          <w:rFonts w:cs="Arial"/>
          <w:szCs w:val="22"/>
        </w:rPr>
        <w:t>necessary to bring the invention to the point where it can be practically applied and how widely the invention is being practiced in private industry and the government.</w:t>
      </w:r>
      <w:r>
        <w:rPr>
          <w:rFonts w:cs="Arial"/>
          <w:szCs w:val="22"/>
        </w:rPr>
        <w:t xml:space="preserve"> </w:t>
      </w:r>
    </w:p>
    <w:p w:rsidR="003A7CD3" w:rsidRDefault="003A7CD3" w:rsidP="00743C9C">
      <w:pPr>
        <w:pStyle w:val="ListBullet"/>
        <w:numPr>
          <w:ilvl w:val="0"/>
          <w:numId w:val="0"/>
        </w:numPr>
        <w:rPr>
          <w:rFonts w:cs="Arial"/>
          <w:szCs w:val="22"/>
        </w:rPr>
      </w:pPr>
    </w:p>
    <w:p w:rsidR="0041695B" w:rsidRDefault="00D33D35" w:rsidP="00743C9C">
      <w:pPr>
        <w:pStyle w:val="ListBullet"/>
        <w:numPr>
          <w:ilvl w:val="0"/>
          <w:numId w:val="0"/>
        </w:numPr>
        <w:rPr>
          <w:rFonts w:cs="Arial"/>
          <w:szCs w:val="22"/>
        </w:rPr>
      </w:pPr>
      <w:r>
        <w:rPr>
          <w:rFonts w:cs="Arial"/>
          <w:szCs w:val="22"/>
        </w:rPr>
        <w:t>All</w:t>
      </w:r>
      <w:r w:rsidR="00743C9C">
        <w:rPr>
          <w:rFonts w:cs="Arial"/>
          <w:szCs w:val="22"/>
        </w:rPr>
        <w:t xml:space="preserve"> </w:t>
      </w:r>
      <w:r w:rsidR="00012763">
        <w:rPr>
          <w:rFonts w:cs="Arial"/>
          <w:szCs w:val="22"/>
        </w:rPr>
        <w:t xml:space="preserve">patent </w:t>
      </w:r>
      <w:r w:rsidR="00743C9C">
        <w:rPr>
          <w:rFonts w:cs="Arial"/>
          <w:szCs w:val="22"/>
        </w:rPr>
        <w:t xml:space="preserve">license holders must </w:t>
      </w:r>
      <w:r w:rsidR="00743C9C" w:rsidRPr="00DE1EB9">
        <w:rPr>
          <w:szCs w:val="22"/>
        </w:rPr>
        <w:t>submit periodic reports</w:t>
      </w:r>
      <w:r w:rsidR="00743C9C">
        <w:rPr>
          <w:szCs w:val="22"/>
        </w:rPr>
        <w:t xml:space="preserve"> </w:t>
      </w:r>
      <w:r w:rsidR="00743C9C" w:rsidRPr="00DE1EB9">
        <w:rPr>
          <w:szCs w:val="22"/>
        </w:rPr>
        <w:t>on efforts to bring the invention to a point of practical application and the extent to which they are making the benefits of the invention reasonably accessible to the public</w:t>
      </w:r>
      <w:r w:rsidR="00743C9C">
        <w:rPr>
          <w:szCs w:val="22"/>
        </w:rPr>
        <w:t>.  Exclusive license holder</w:t>
      </w:r>
      <w:r w:rsidR="00764941">
        <w:rPr>
          <w:szCs w:val="22"/>
        </w:rPr>
        <w:t>s</w:t>
      </w:r>
      <w:r w:rsidR="000D0675">
        <w:rPr>
          <w:szCs w:val="22"/>
        </w:rPr>
        <w:t xml:space="preserve"> who </w:t>
      </w:r>
      <w:r w:rsidR="00743C9C">
        <w:rPr>
          <w:szCs w:val="22"/>
        </w:rPr>
        <w:t xml:space="preserve">seek to </w:t>
      </w:r>
      <w:r w:rsidR="00A71906">
        <w:rPr>
          <w:szCs w:val="22"/>
        </w:rPr>
        <w:t xml:space="preserve">an </w:t>
      </w:r>
      <w:r w:rsidR="00743C9C">
        <w:rPr>
          <w:szCs w:val="22"/>
        </w:rPr>
        <w:t>exten</w:t>
      </w:r>
      <w:r w:rsidR="00A71906">
        <w:rPr>
          <w:szCs w:val="22"/>
        </w:rPr>
        <w:t xml:space="preserve">sion of </w:t>
      </w:r>
      <w:r w:rsidR="004D0CD8">
        <w:rPr>
          <w:szCs w:val="22"/>
        </w:rPr>
        <w:t>license duration</w:t>
      </w:r>
      <w:r w:rsidR="000D0675">
        <w:rPr>
          <w:szCs w:val="22"/>
        </w:rPr>
        <w:t xml:space="preserve"> must submit factual information showing </w:t>
      </w:r>
      <w:r w:rsidR="00A71906">
        <w:rPr>
          <w:szCs w:val="22"/>
        </w:rPr>
        <w:t xml:space="preserve">that the </w:t>
      </w:r>
      <w:r w:rsidR="00764941">
        <w:rPr>
          <w:szCs w:val="22"/>
        </w:rPr>
        <w:t>additional time</w:t>
      </w:r>
      <w:r w:rsidR="000D0675">
        <w:rPr>
          <w:szCs w:val="22"/>
        </w:rPr>
        <w:t xml:space="preserve"> is necessary to permit it to enter the market a recoup its investment</w:t>
      </w:r>
      <w:r w:rsidR="00764941">
        <w:rPr>
          <w:szCs w:val="22"/>
        </w:rPr>
        <w:t xml:space="preserve"> in bringing the investment to a point where it can be practically applied. </w:t>
      </w:r>
      <w:r w:rsidR="00743C9C">
        <w:rPr>
          <w:szCs w:val="22"/>
        </w:rPr>
        <w:t xml:space="preserve">In </w:t>
      </w:r>
      <w:r w:rsidR="00764941">
        <w:rPr>
          <w:szCs w:val="22"/>
        </w:rPr>
        <w:t xml:space="preserve">the event that an </w:t>
      </w:r>
      <w:r w:rsidR="00743C9C">
        <w:rPr>
          <w:szCs w:val="22"/>
        </w:rPr>
        <w:t>exclusive license holder</w:t>
      </w:r>
      <w:r w:rsidR="00764941">
        <w:rPr>
          <w:szCs w:val="22"/>
        </w:rPr>
        <w:t xml:space="preserve"> initiates a patent infringement lawsuit it is required to</w:t>
      </w:r>
      <w:r w:rsidR="00743C9C">
        <w:rPr>
          <w:szCs w:val="22"/>
        </w:rPr>
        <w:t xml:space="preserve"> </w:t>
      </w:r>
      <w:r w:rsidR="00743C9C">
        <w:rPr>
          <w:sz w:val="24"/>
          <w:lang w:val="en-CA"/>
        </w:rPr>
        <w:fldChar w:fldCharType="begin"/>
      </w:r>
      <w:r w:rsidR="00743C9C">
        <w:rPr>
          <w:sz w:val="24"/>
          <w:lang w:val="en-CA"/>
        </w:rPr>
        <w:instrText xml:space="preserve"> SEQ CHAPTER \h \r 1</w:instrText>
      </w:r>
      <w:r w:rsidR="00743C9C">
        <w:rPr>
          <w:sz w:val="24"/>
          <w:lang w:val="en-CA"/>
        </w:rPr>
        <w:fldChar w:fldCharType="end"/>
      </w:r>
      <w:r w:rsidR="00743C9C">
        <w:rPr>
          <w:rFonts w:cs="Arial"/>
          <w:szCs w:val="22"/>
        </w:rPr>
        <w:t xml:space="preserve">promptly supply to the Government </w:t>
      </w:r>
      <w:r w:rsidR="000B783E">
        <w:rPr>
          <w:rFonts w:cs="Arial"/>
          <w:szCs w:val="22"/>
        </w:rPr>
        <w:t xml:space="preserve">of the United States </w:t>
      </w:r>
      <w:r w:rsidR="00743C9C">
        <w:rPr>
          <w:rFonts w:cs="Arial"/>
          <w:szCs w:val="22"/>
        </w:rPr>
        <w:t>copies of all pleadings</w:t>
      </w:r>
      <w:r w:rsidR="00764941">
        <w:rPr>
          <w:rFonts w:cs="Arial"/>
          <w:szCs w:val="22"/>
        </w:rPr>
        <w:t xml:space="preserve">, </w:t>
      </w:r>
      <w:r w:rsidR="00743C9C">
        <w:rPr>
          <w:rFonts w:cs="Arial"/>
          <w:szCs w:val="22"/>
        </w:rPr>
        <w:t>evidence</w:t>
      </w:r>
      <w:r w:rsidR="00263F3C">
        <w:rPr>
          <w:rFonts w:cs="Arial"/>
          <w:szCs w:val="22"/>
        </w:rPr>
        <w:t xml:space="preserve"> and other filings in the lawsuit</w:t>
      </w:r>
      <w:r w:rsidR="00743C9C">
        <w:rPr>
          <w:rFonts w:cs="Arial"/>
          <w:szCs w:val="22"/>
        </w:rPr>
        <w:t>.</w:t>
      </w:r>
      <w:r w:rsidR="00176A7A">
        <w:rPr>
          <w:rFonts w:cs="Arial"/>
          <w:szCs w:val="22"/>
        </w:rPr>
        <w:t xml:space="preserve"> </w:t>
      </w:r>
    </w:p>
    <w:p w:rsidR="0041695B" w:rsidRPr="00DE1EB9" w:rsidRDefault="0041695B" w:rsidP="00743C9C">
      <w:pPr>
        <w:pStyle w:val="ListBullet"/>
        <w:numPr>
          <w:ilvl w:val="0"/>
          <w:numId w:val="0"/>
        </w:numPr>
        <w:rPr>
          <w:rFonts w:cs="Arial"/>
          <w:szCs w:val="22"/>
        </w:rPr>
      </w:pPr>
    </w:p>
    <w:p w:rsidR="00884058" w:rsidRDefault="00884058" w:rsidP="00F87A90">
      <w:pPr>
        <w:widowControl w:val="0"/>
        <w:numPr>
          <w:ilvl w:val="0"/>
          <w:numId w:val="14"/>
        </w:numPr>
        <w:rPr>
          <w:rFonts w:ascii="Arial" w:hAnsi="Arial"/>
          <w:sz w:val="22"/>
        </w:rPr>
      </w:pPr>
      <w:r w:rsidRPr="00283CCC">
        <w:rPr>
          <w:rFonts w:ascii="Arial" w:hAnsi="Arial"/>
          <w:sz w:val="22"/>
        </w:rPr>
        <w:t>JUSTIFICATION</w:t>
      </w:r>
    </w:p>
    <w:p w:rsidR="00884058" w:rsidRDefault="00884058">
      <w:pPr>
        <w:widowControl w:val="0"/>
        <w:rPr>
          <w:rFonts w:ascii="Arial" w:hAnsi="Arial"/>
          <w:sz w:val="22"/>
        </w:rPr>
      </w:pPr>
    </w:p>
    <w:p w:rsidR="00884058" w:rsidRDefault="00884058" w:rsidP="00176A7A">
      <w:pPr>
        <w:widowControl w:val="0"/>
        <w:numPr>
          <w:ilvl w:val="0"/>
          <w:numId w:val="10"/>
        </w:numPr>
        <w:rPr>
          <w:rFonts w:ascii="Arial" w:hAnsi="Arial"/>
          <w:sz w:val="22"/>
          <w:u w:val="single"/>
        </w:rPr>
      </w:pPr>
      <w:r>
        <w:rPr>
          <w:rFonts w:ascii="Arial" w:hAnsi="Arial"/>
          <w:sz w:val="22"/>
          <w:u w:val="single"/>
        </w:rPr>
        <w:t>Need For and Practical Utility of the Collection of Information</w:t>
      </w:r>
    </w:p>
    <w:p w:rsidR="00884058" w:rsidRDefault="00884058">
      <w:pPr>
        <w:widowControl w:val="0"/>
        <w:rPr>
          <w:rFonts w:ascii="Arial" w:hAnsi="Arial"/>
          <w:sz w:val="22"/>
        </w:rPr>
      </w:pPr>
      <w:r>
        <w:rPr>
          <w:rFonts w:ascii="Arial" w:hAnsi="Arial"/>
          <w:sz w:val="22"/>
        </w:rPr>
        <w:t>.</w:t>
      </w:r>
    </w:p>
    <w:p w:rsidR="00884058" w:rsidRDefault="00884058">
      <w:pPr>
        <w:widowControl w:val="0"/>
        <w:ind w:left="2160"/>
        <w:rPr>
          <w:rFonts w:ascii="Arial" w:hAnsi="Arial"/>
          <w:sz w:val="22"/>
        </w:rPr>
      </w:pPr>
      <w:r>
        <w:rPr>
          <w:rFonts w:ascii="Arial" w:hAnsi="Arial"/>
          <w:sz w:val="22"/>
        </w:rPr>
        <w:t>NRC</w:t>
      </w:r>
      <w:r w:rsidR="00747662">
        <w:rPr>
          <w:rFonts w:ascii="Arial" w:hAnsi="Arial"/>
          <w:sz w:val="22"/>
        </w:rPr>
        <w:t xml:space="preserve"> </w:t>
      </w:r>
      <w:r w:rsidR="007D6EEC">
        <w:rPr>
          <w:rFonts w:ascii="Arial" w:hAnsi="Arial"/>
          <w:sz w:val="22"/>
        </w:rPr>
        <w:t>must collect the information</w:t>
      </w:r>
      <w:r>
        <w:rPr>
          <w:rFonts w:ascii="Arial" w:hAnsi="Arial"/>
          <w:sz w:val="22"/>
        </w:rPr>
        <w:t xml:space="preserve"> to </w:t>
      </w:r>
      <w:r w:rsidR="00D652C3">
        <w:rPr>
          <w:rFonts w:ascii="Arial" w:hAnsi="Arial"/>
          <w:sz w:val="22"/>
        </w:rPr>
        <w:t xml:space="preserve">make </w:t>
      </w:r>
      <w:r>
        <w:rPr>
          <w:rFonts w:ascii="Arial" w:hAnsi="Arial"/>
          <w:sz w:val="22"/>
        </w:rPr>
        <w:t>determin</w:t>
      </w:r>
      <w:r w:rsidR="0046288C">
        <w:rPr>
          <w:rFonts w:ascii="Arial" w:hAnsi="Arial"/>
          <w:sz w:val="22"/>
        </w:rPr>
        <w:t>at</w:t>
      </w:r>
      <w:r w:rsidR="00D652C3">
        <w:rPr>
          <w:rFonts w:ascii="Arial" w:hAnsi="Arial"/>
          <w:sz w:val="22"/>
        </w:rPr>
        <w:t>ions</w:t>
      </w:r>
      <w:r>
        <w:rPr>
          <w:rFonts w:ascii="Arial" w:hAnsi="Arial"/>
          <w:sz w:val="22"/>
        </w:rPr>
        <w:t xml:space="preserve"> </w:t>
      </w:r>
      <w:r w:rsidR="00D652C3">
        <w:rPr>
          <w:rFonts w:ascii="Arial" w:hAnsi="Arial"/>
          <w:sz w:val="22"/>
        </w:rPr>
        <w:t xml:space="preserve">on </w:t>
      </w:r>
      <w:r>
        <w:rPr>
          <w:rFonts w:ascii="Arial" w:hAnsi="Arial"/>
          <w:sz w:val="22"/>
        </w:rPr>
        <w:t xml:space="preserve">whether </w:t>
      </w:r>
      <w:r w:rsidR="00D652C3">
        <w:rPr>
          <w:rFonts w:ascii="Arial" w:hAnsi="Arial"/>
          <w:sz w:val="22"/>
        </w:rPr>
        <w:t>to grant</w:t>
      </w:r>
      <w:r w:rsidR="009B00DD">
        <w:rPr>
          <w:rFonts w:ascii="Arial" w:hAnsi="Arial"/>
          <w:sz w:val="22"/>
        </w:rPr>
        <w:t>, establish terms,</w:t>
      </w:r>
      <w:r w:rsidR="00D652C3">
        <w:rPr>
          <w:rFonts w:ascii="Arial" w:hAnsi="Arial"/>
          <w:sz w:val="22"/>
        </w:rPr>
        <w:t xml:space="preserve"> or take other actions on </w:t>
      </w:r>
      <w:r w:rsidR="009B00DD">
        <w:rPr>
          <w:rFonts w:ascii="Arial" w:hAnsi="Arial"/>
          <w:sz w:val="22"/>
        </w:rPr>
        <w:t xml:space="preserve">the </w:t>
      </w:r>
      <w:r w:rsidR="00D652C3">
        <w:rPr>
          <w:rFonts w:ascii="Arial" w:hAnsi="Arial"/>
          <w:sz w:val="22"/>
        </w:rPr>
        <w:t>licens</w:t>
      </w:r>
      <w:r w:rsidR="009B00DD">
        <w:rPr>
          <w:rFonts w:ascii="Arial" w:hAnsi="Arial"/>
          <w:sz w:val="22"/>
        </w:rPr>
        <w:t>ing of</w:t>
      </w:r>
      <w:r w:rsidR="00D652C3">
        <w:rPr>
          <w:rFonts w:ascii="Arial" w:hAnsi="Arial"/>
          <w:sz w:val="22"/>
        </w:rPr>
        <w:t xml:space="preserve"> </w:t>
      </w:r>
      <w:r>
        <w:rPr>
          <w:rFonts w:ascii="Arial" w:hAnsi="Arial"/>
          <w:sz w:val="22"/>
        </w:rPr>
        <w:t xml:space="preserve">NRC </w:t>
      </w:r>
      <w:r w:rsidR="00D652C3">
        <w:rPr>
          <w:rFonts w:ascii="Arial" w:hAnsi="Arial"/>
          <w:sz w:val="22"/>
        </w:rPr>
        <w:t xml:space="preserve">patents in accordance with NRC standard specifications for the granting of patent licenses in 10 C.F.R. Part 81. </w:t>
      </w:r>
      <w:r>
        <w:rPr>
          <w:rFonts w:ascii="Arial" w:hAnsi="Arial"/>
          <w:sz w:val="22"/>
        </w:rPr>
        <w:t xml:space="preserve">Failure to collect this information would prevent the NRC from </w:t>
      </w:r>
      <w:r w:rsidR="0096478F">
        <w:rPr>
          <w:rFonts w:ascii="Arial" w:hAnsi="Arial"/>
          <w:sz w:val="22"/>
        </w:rPr>
        <w:t xml:space="preserve">making the </w:t>
      </w:r>
      <w:r w:rsidR="00AC6608">
        <w:rPr>
          <w:rFonts w:ascii="Arial" w:hAnsi="Arial"/>
          <w:sz w:val="22"/>
        </w:rPr>
        <w:t>regulatory determinations r</w:t>
      </w:r>
      <w:r w:rsidR="00571889">
        <w:rPr>
          <w:rFonts w:ascii="Arial" w:hAnsi="Arial"/>
          <w:sz w:val="22"/>
        </w:rPr>
        <w:t xml:space="preserve">equired under these regulations, </w:t>
      </w:r>
      <w:r w:rsidR="00AC6608">
        <w:rPr>
          <w:rFonts w:ascii="Arial" w:hAnsi="Arial"/>
          <w:sz w:val="22"/>
        </w:rPr>
        <w:t xml:space="preserve">promulgated </w:t>
      </w:r>
      <w:r w:rsidR="00D25C94">
        <w:rPr>
          <w:rFonts w:ascii="Arial" w:hAnsi="Arial"/>
          <w:sz w:val="22"/>
        </w:rPr>
        <w:t>under the authority of s</w:t>
      </w:r>
      <w:r>
        <w:rPr>
          <w:rFonts w:ascii="Arial" w:hAnsi="Arial"/>
          <w:sz w:val="22"/>
        </w:rPr>
        <w:t>ection 156 of the Atomic Energy Act of 1954</w:t>
      </w:r>
      <w:r w:rsidR="00176A7A">
        <w:rPr>
          <w:rFonts w:ascii="Arial" w:hAnsi="Arial"/>
          <w:sz w:val="22"/>
        </w:rPr>
        <w:t>,</w:t>
      </w:r>
      <w:r>
        <w:rPr>
          <w:rFonts w:ascii="Arial" w:hAnsi="Arial"/>
          <w:sz w:val="22"/>
        </w:rPr>
        <w:t xml:space="preserve"> as amended.</w:t>
      </w:r>
      <w:r w:rsidR="001F33F7">
        <w:rPr>
          <w:rFonts w:ascii="Arial" w:hAnsi="Arial"/>
          <w:sz w:val="22"/>
        </w:rPr>
        <w:t xml:space="preserve">  The regulations which specify the information required to be submitted by license applicants and licensees are below.</w:t>
      </w:r>
    </w:p>
    <w:p w:rsidR="0041695B" w:rsidRDefault="0041695B">
      <w:pPr>
        <w:widowControl w:val="0"/>
        <w:ind w:left="2160"/>
        <w:rPr>
          <w:rFonts w:ascii="Arial" w:hAnsi="Arial"/>
          <w:sz w:val="22"/>
        </w:rPr>
      </w:pPr>
    </w:p>
    <w:p w:rsidR="0041695B" w:rsidRDefault="003E6C15" w:rsidP="009E7FC6">
      <w:pPr>
        <w:widowControl w:val="0"/>
        <w:ind w:left="2160"/>
        <w:rPr>
          <w:rFonts w:ascii="Arial" w:hAnsi="Arial"/>
          <w:sz w:val="22"/>
        </w:rPr>
      </w:pPr>
      <w:r>
        <w:rPr>
          <w:rFonts w:ascii="Arial" w:hAnsi="Arial"/>
          <w:sz w:val="22"/>
          <w:u w:val="single"/>
        </w:rPr>
        <w:br w:type="page"/>
      </w:r>
      <w:r w:rsidR="0041695B">
        <w:rPr>
          <w:rFonts w:ascii="Arial" w:hAnsi="Arial"/>
          <w:sz w:val="22"/>
          <w:u w:val="single"/>
        </w:rPr>
        <w:lastRenderedPageBreak/>
        <w:t>Section 81.20(a)(5)</w:t>
      </w:r>
      <w:r w:rsidR="0041695B">
        <w:rPr>
          <w:rFonts w:ascii="Arial" w:hAnsi="Arial"/>
          <w:sz w:val="22"/>
        </w:rPr>
        <w:t xml:space="preserve">  Non-exclusive license holders are required to submit periodic reports, at least annually, on efforts to bring the invention to a point of practical application and the extent to which license holders continue to make the benefits of the invention reasonably accessible to the public.</w:t>
      </w:r>
    </w:p>
    <w:p w:rsidR="0041695B" w:rsidRDefault="0041695B" w:rsidP="0041695B">
      <w:pPr>
        <w:widowControl w:val="0"/>
        <w:rPr>
          <w:rFonts w:ascii="Arial" w:hAnsi="Arial"/>
          <w:sz w:val="22"/>
        </w:rPr>
      </w:pPr>
    </w:p>
    <w:p w:rsidR="0041695B" w:rsidRDefault="0041695B" w:rsidP="009E7FC6">
      <w:pPr>
        <w:widowControl w:val="0"/>
        <w:ind w:left="2160"/>
        <w:rPr>
          <w:rFonts w:ascii="Arial" w:hAnsi="Arial"/>
          <w:sz w:val="22"/>
        </w:rPr>
      </w:pPr>
      <w:r>
        <w:rPr>
          <w:rFonts w:ascii="Arial" w:hAnsi="Arial"/>
          <w:sz w:val="22"/>
          <w:u w:val="single"/>
        </w:rPr>
        <w:t>Section 81.20(a)(10)</w:t>
      </w:r>
      <w:r>
        <w:rPr>
          <w:rFonts w:ascii="Arial" w:hAnsi="Arial"/>
          <w:sz w:val="22"/>
        </w:rPr>
        <w:t xml:space="preserve">  Before revoking or restricting any license granted pursuant to this subpart, the Commission shall mail to the licensee and any sublicensee of record, at the last address filed with the Commission, a written notice of the Commission’s intention to revoke or restrict the license, and the licensee and any sublicensee shall be allowed thirty (30) days after the mailing of such notice, or within such period as may be granted by the Commission, to remedy any breach of any covenant or agreement as referred to in paragraph(a)(8)(iii) of this section, or to show cause why the license should not be revoked or restricted.</w:t>
      </w:r>
    </w:p>
    <w:p w:rsidR="0041695B" w:rsidRDefault="0041695B" w:rsidP="0041695B">
      <w:pPr>
        <w:widowControl w:val="0"/>
        <w:rPr>
          <w:rFonts w:ascii="Arial" w:hAnsi="Arial"/>
          <w:sz w:val="22"/>
        </w:rPr>
      </w:pPr>
    </w:p>
    <w:p w:rsidR="0041695B" w:rsidRDefault="0041695B" w:rsidP="009E7FC6">
      <w:pPr>
        <w:widowControl w:val="0"/>
        <w:ind w:left="2160"/>
        <w:rPr>
          <w:rFonts w:ascii="Arial" w:hAnsi="Arial"/>
          <w:sz w:val="22"/>
        </w:rPr>
      </w:pPr>
      <w:r>
        <w:rPr>
          <w:rFonts w:ascii="Arial" w:hAnsi="Arial"/>
          <w:sz w:val="22"/>
          <w:u w:val="single"/>
        </w:rPr>
        <w:t>Section 81.32(a)(2)</w:t>
      </w:r>
      <w:r>
        <w:rPr>
          <w:rFonts w:ascii="Arial" w:hAnsi="Arial"/>
          <w:sz w:val="22"/>
        </w:rPr>
        <w:t xml:space="preserve">  NRC inventions may be available for the grant of limited exclusive licenses to responsible applicants who will make its benefits practically applicable and, publicly accessible. The length of the license will be negotiated (but will not exceed 5 years) and include a period of exclusivity specified in it, which relates to the period necessary to provide a reasonable incentive for the licensee to invest the necessary risk capital to make the invention practically applicable. The license cannot be extended unless the Commission determines based on a written submission supported by a factual showing that a longer period is necessary to permit the licensee to enter the market and recoup the investment in making the invention publicly accessible and reasonably available for the granting of non-exclusive licenses under §81.20.  Under that provision, the licensee may have a nonexclusive license if the licensee continues to make the invention publicly accessible.</w:t>
      </w:r>
    </w:p>
    <w:p w:rsidR="0041695B" w:rsidRDefault="0041695B" w:rsidP="0041695B">
      <w:pPr>
        <w:widowControl w:val="0"/>
        <w:rPr>
          <w:rFonts w:ascii="Arial" w:hAnsi="Arial"/>
          <w:sz w:val="22"/>
        </w:rPr>
      </w:pPr>
    </w:p>
    <w:p w:rsidR="0041695B" w:rsidRDefault="0041695B" w:rsidP="009E7FC6">
      <w:pPr>
        <w:widowControl w:val="0"/>
        <w:ind w:left="2160"/>
        <w:rPr>
          <w:rFonts w:ascii="Arial" w:hAnsi="Arial"/>
          <w:sz w:val="22"/>
        </w:rPr>
      </w:pPr>
      <w:r>
        <w:rPr>
          <w:rFonts w:ascii="Arial" w:hAnsi="Arial"/>
          <w:sz w:val="22"/>
          <w:u w:val="single"/>
        </w:rPr>
        <w:t>Section 81.32(a)(8)</w:t>
      </w:r>
      <w:r>
        <w:rPr>
          <w:rFonts w:ascii="Arial" w:hAnsi="Arial"/>
          <w:sz w:val="22"/>
        </w:rPr>
        <w:t xml:space="preserve">   The license can be extended to wholly owned subsidiaries of the licensee but cannot be assigned or transferred without Commission approval, unless assignments are made upon Commission notice to successors of the licensee's business.</w:t>
      </w:r>
    </w:p>
    <w:p w:rsidR="0041695B" w:rsidRDefault="0041695B" w:rsidP="0041695B">
      <w:pPr>
        <w:widowControl w:val="0"/>
        <w:rPr>
          <w:rFonts w:ascii="Arial" w:hAnsi="Arial"/>
          <w:sz w:val="22"/>
        </w:rPr>
      </w:pPr>
    </w:p>
    <w:p w:rsidR="0041695B" w:rsidRDefault="0041695B" w:rsidP="009E7FC6">
      <w:pPr>
        <w:widowControl w:val="0"/>
        <w:ind w:left="2160"/>
        <w:rPr>
          <w:rFonts w:ascii="Arial" w:hAnsi="Arial"/>
          <w:sz w:val="22"/>
        </w:rPr>
      </w:pPr>
      <w:r>
        <w:rPr>
          <w:rFonts w:ascii="Arial" w:hAnsi="Arial"/>
          <w:sz w:val="22"/>
          <w:u w:val="single"/>
        </w:rPr>
        <w:t>Section 81.32(a)(9)</w:t>
      </w:r>
      <w:r>
        <w:rPr>
          <w:rFonts w:ascii="Arial" w:hAnsi="Arial"/>
          <w:sz w:val="22"/>
        </w:rPr>
        <w:t xml:space="preserve">   Exclusive licensees can issue sublicenses only upon Commission approval.  Such a sublicense or assignment is subject to the terms and conditions of the exclusive license, including all rights retained by the Government, and a copy of each sublicense or assignment must be provided to the Commission.</w:t>
      </w:r>
    </w:p>
    <w:p w:rsidR="0041695B" w:rsidRDefault="0041695B" w:rsidP="0041695B">
      <w:pPr>
        <w:widowControl w:val="0"/>
        <w:rPr>
          <w:rFonts w:ascii="Arial" w:hAnsi="Arial"/>
          <w:sz w:val="22"/>
        </w:rPr>
      </w:pPr>
    </w:p>
    <w:p w:rsidR="0041695B" w:rsidRDefault="0041695B" w:rsidP="009E7FC6">
      <w:pPr>
        <w:widowControl w:val="0"/>
        <w:ind w:left="2160"/>
        <w:rPr>
          <w:rFonts w:ascii="Arial" w:hAnsi="Arial"/>
          <w:sz w:val="22"/>
        </w:rPr>
      </w:pPr>
      <w:r>
        <w:rPr>
          <w:rFonts w:ascii="Arial" w:hAnsi="Arial"/>
          <w:sz w:val="22"/>
          <w:u w:val="single"/>
        </w:rPr>
        <w:t>Section 81.32(a)(10)</w:t>
      </w:r>
      <w:r>
        <w:rPr>
          <w:rFonts w:ascii="Arial" w:hAnsi="Arial"/>
          <w:sz w:val="22"/>
        </w:rPr>
        <w:t xml:space="preserve">   A holder of an exclusive license to NRC inventions must submit periodic reports on efforts to achieve practical application of the invention and the extent to which a holder continues to make the benefits of the invention reasonably accessible to the public.</w:t>
      </w:r>
    </w:p>
    <w:p w:rsidR="0041695B" w:rsidRDefault="0041695B" w:rsidP="0041695B">
      <w:pPr>
        <w:widowControl w:val="0"/>
        <w:rPr>
          <w:rFonts w:ascii="Arial" w:hAnsi="Arial"/>
          <w:sz w:val="22"/>
        </w:rPr>
      </w:pPr>
    </w:p>
    <w:p w:rsidR="0041695B" w:rsidRDefault="0041695B" w:rsidP="009E7FC6">
      <w:pPr>
        <w:widowControl w:val="0"/>
        <w:ind w:left="2160"/>
        <w:rPr>
          <w:rFonts w:ascii="Arial" w:hAnsi="Arial"/>
          <w:sz w:val="22"/>
        </w:rPr>
      </w:pPr>
      <w:r>
        <w:rPr>
          <w:rFonts w:ascii="Arial" w:hAnsi="Arial"/>
          <w:sz w:val="22"/>
          <w:u w:val="single"/>
        </w:rPr>
        <w:t>Section 81.32(a)(12)</w:t>
      </w:r>
      <w:r>
        <w:rPr>
          <w:rFonts w:ascii="Arial" w:hAnsi="Arial"/>
          <w:sz w:val="22"/>
        </w:rPr>
        <w:t xml:space="preserve">   Before modifying or revoking any </w:t>
      </w:r>
      <w:r w:rsidR="00865DDD">
        <w:rPr>
          <w:rFonts w:ascii="Arial" w:hAnsi="Arial"/>
          <w:sz w:val="22"/>
        </w:rPr>
        <w:t xml:space="preserve">license under this subpart, the </w:t>
      </w:r>
      <w:r>
        <w:rPr>
          <w:rFonts w:ascii="Arial" w:hAnsi="Arial"/>
          <w:sz w:val="22"/>
        </w:rPr>
        <w:t xml:space="preserve">Commission will mail to the licensee and any sublicensee at </w:t>
      </w:r>
      <w:r>
        <w:rPr>
          <w:rFonts w:ascii="Arial" w:hAnsi="Arial"/>
          <w:sz w:val="22"/>
        </w:rPr>
        <w:lastRenderedPageBreak/>
        <w:t>the last address filed with the Commission a written notice of the Commission's intention to modify or revoke the license. The licensee and any sublicensee is then given 30 days after the notice is mailed, or within any period granted by the Commission, to remedy any breach of covenant or agreement in paragraph (a)(11)(iv) of this section or to show cause why the license should not be modified or revoked.</w:t>
      </w:r>
    </w:p>
    <w:p w:rsidR="0041695B" w:rsidRDefault="0041695B" w:rsidP="0041695B">
      <w:pPr>
        <w:widowControl w:val="0"/>
        <w:rPr>
          <w:rFonts w:ascii="Arial" w:hAnsi="Arial"/>
          <w:sz w:val="22"/>
        </w:rPr>
      </w:pPr>
    </w:p>
    <w:p w:rsidR="0041695B" w:rsidRDefault="0041695B" w:rsidP="009E7FC6">
      <w:pPr>
        <w:widowControl w:val="0"/>
        <w:ind w:left="2160"/>
        <w:rPr>
          <w:rFonts w:ascii="Arial" w:hAnsi="Arial"/>
          <w:sz w:val="22"/>
        </w:rPr>
      </w:pPr>
      <w:r>
        <w:rPr>
          <w:rFonts w:ascii="Arial" w:hAnsi="Arial"/>
          <w:sz w:val="22"/>
          <w:u w:val="single"/>
        </w:rPr>
        <w:t>Section 81.32(a)(13)</w:t>
      </w:r>
      <w:r>
        <w:rPr>
          <w:rFonts w:ascii="Arial" w:hAnsi="Arial"/>
          <w:sz w:val="22"/>
        </w:rPr>
        <w:t xml:space="preserve">  An exclusive licensee has the right to sue at its own expense any party who infringes the rights included in the license and the licensed patent. Upon consent of the Attorney General, the licensee may join the Government as a complainant in such suit, but without expense to the Government so that the licensee shall pay costs and any final judgment or decree that may be rendered against the Government in such a suit.  The Government has an absolute right to intervene in any such suit at its own expense.  Upon request, the licensee is obligated to promptly supply to the Government copies of all pleadings and other papers filed in any such suit, as well as evidence from proceedings relating to the licensed patent.  If, as a result of any such litigation, the patent is declared invalid, the licensee has the right to surrender the license and be relieved from any further obligation thereunder.</w:t>
      </w:r>
    </w:p>
    <w:p w:rsidR="0041695B" w:rsidRDefault="0041695B" w:rsidP="0041695B">
      <w:pPr>
        <w:widowControl w:val="0"/>
        <w:rPr>
          <w:rFonts w:ascii="Arial" w:hAnsi="Arial"/>
          <w:sz w:val="22"/>
        </w:rPr>
      </w:pPr>
    </w:p>
    <w:p w:rsidR="0041695B" w:rsidRDefault="0041695B" w:rsidP="009E7FC6">
      <w:pPr>
        <w:widowControl w:val="0"/>
        <w:ind w:left="2160"/>
        <w:rPr>
          <w:rFonts w:ascii="Arial" w:hAnsi="Arial"/>
          <w:sz w:val="22"/>
        </w:rPr>
      </w:pPr>
      <w:r>
        <w:rPr>
          <w:rFonts w:ascii="Arial" w:hAnsi="Arial"/>
          <w:sz w:val="22"/>
          <w:u w:val="single"/>
        </w:rPr>
        <w:t>Section 81.32(a)(14)</w:t>
      </w:r>
      <w:r>
        <w:rPr>
          <w:rFonts w:ascii="Arial" w:hAnsi="Arial"/>
          <w:sz w:val="22"/>
        </w:rPr>
        <w:t xml:space="preserve">   A licensee can surrender the license any time before termination of the license upon notice to the Commission and approval of the Commission, but the licensee will not be relieved of the obligations thereunder without Commission approval.</w:t>
      </w:r>
    </w:p>
    <w:p w:rsidR="0041695B" w:rsidRDefault="0041695B" w:rsidP="0041695B">
      <w:pPr>
        <w:widowControl w:val="0"/>
        <w:rPr>
          <w:rFonts w:ascii="Arial" w:hAnsi="Arial"/>
          <w:sz w:val="22"/>
        </w:rPr>
      </w:pPr>
    </w:p>
    <w:p w:rsidR="0041695B" w:rsidRDefault="0041695B" w:rsidP="00C85F41">
      <w:pPr>
        <w:widowControl w:val="0"/>
        <w:ind w:left="2160"/>
      </w:pPr>
      <w:r>
        <w:rPr>
          <w:rFonts w:ascii="Arial" w:hAnsi="Arial"/>
          <w:sz w:val="22"/>
          <w:u w:val="single"/>
        </w:rPr>
        <w:t xml:space="preserve">Section </w:t>
      </w:r>
      <w:r w:rsidR="00C85F41">
        <w:rPr>
          <w:rFonts w:ascii="Arial" w:hAnsi="Arial"/>
          <w:sz w:val="22"/>
          <w:u w:val="single"/>
        </w:rPr>
        <w:t>81.40</w:t>
      </w:r>
      <w:r w:rsidR="00C85F41">
        <w:rPr>
          <w:rFonts w:ascii="Arial" w:hAnsi="Arial"/>
          <w:sz w:val="22"/>
        </w:rPr>
        <w:t xml:space="preserve"> </w:t>
      </w:r>
      <w:r w:rsidR="00935E5C">
        <w:rPr>
          <w:rFonts w:ascii="Arial" w:hAnsi="Arial"/>
          <w:sz w:val="22"/>
        </w:rPr>
        <w:t xml:space="preserve"> </w:t>
      </w:r>
      <w:r w:rsidR="00C85F41">
        <w:rPr>
          <w:rFonts w:ascii="Arial" w:hAnsi="Arial"/>
          <w:sz w:val="22"/>
        </w:rPr>
        <w:t>Applicants</w:t>
      </w:r>
      <w:r>
        <w:rPr>
          <w:rFonts w:ascii="Arial" w:hAnsi="Arial"/>
          <w:sz w:val="22"/>
        </w:rPr>
        <w:t xml:space="preserve"> for exclusive and non-exclusive licenses to NRC inventions are required to provide information which may provide the basis for granting the requested license.</w:t>
      </w:r>
    </w:p>
    <w:p w:rsidR="00884058" w:rsidRDefault="00884058">
      <w:pPr>
        <w:widowControl w:val="0"/>
        <w:rPr>
          <w:rFonts w:ascii="Arial" w:hAnsi="Arial"/>
          <w:sz w:val="22"/>
        </w:rPr>
      </w:pPr>
    </w:p>
    <w:p w:rsidR="00884058" w:rsidRDefault="00884058" w:rsidP="00176A7A">
      <w:pPr>
        <w:widowControl w:val="0"/>
        <w:numPr>
          <w:ilvl w:val="0"/>
          <w:numId w:val="10"/>
        </w:numPr>
        <w:rPr>
          <w:rFonts w:ascii="Arial" w:hAnsi="Arial"/>
          <w:sz w:val="22"/>
        </w:rPr>
      </w:pPr>
      <w:r>
        <w:rPr>
          <w:rFonts w:ascii="Arial" w:hAnsi="Arial"/>
          <w:sz w:val="22"/>
          <w:u w:val="single"/>
        </w:rPr>
        <w:t>Agency Use of Information</w:t>
      </w:r>
      <w:r>
        <w:rPr>
          <w:rFonts w:ascii="Arial" w:hAnsi="Arial"/>
          <w:sz w:val="22"/>
        </w:rPr>
        <w:t xml:space="preserve">   </w:t>
      </w:r>
    </w:p>
    <w:p w:rsidR="00884058" w:rsidRDefault="00884058">
      <w:pPr>
        <w:widowControl w:val="0"/>
        <w:rPr>
          <w:rFonts w:ascii="Arial" w:hAnsi="Arial"/>
          <w:sz w:val="22"/>
        </w:rPr>
      </w:pPr>
    </w:p>
    <w:p w:rsidR="00884058" w:rsidRDefault="00884058" w:rsidP="005A7678">
      <w:pPr>
        <w:widowControl w:val="0"/>
        <w:ind w:left="2160"/>
        <w:rPr>
          <w:rFonts w:ascii="Arial" w:hAnsi="Arial"/>
          <w:sz w:val="22"/>
        </w:rPr>
      </w:pPr>
      <w:r>
        <w:rPr>
          <w:rFonts w:ascii="Arial" w:hAnsi="Arial"/>
          <w:sz w:val="22"/>
        </w:rPr>
        <w:t xml:space="preserve">In order to determine whether </w:t>
      </w:r>
      <w:r w:rsidR="00E522AF">
        <w:rPr>
          <w:rFonts w:ascii="Arial" w:hAnsi="Arial"/>
          <w:sz w:val="22"/>
        </w:rPr>
        <w:t>to</w:t>
      </w:r>
      <w:r>
        <w:rPr>
          <w:rFonts w:ascii="Arial" w:hAnsi="Arial"/>
          <w:sz w:val="22"/>
        </w:rPr>
        <w:t xml:space="preserve"> grant a license or</w:t>
      </w:r>
      <w:r w:rsidR="00E522AF">
        <w:rPr>
          <w:rFonts w:ascii="Arial" w:hAnsi="Arial"/>
          <w:sz w:val="22"/>
        </w:rPr>
        <w:t xml:space="preserve"> to modify or revoke a license</w:t>
      </w:r>
      <w:r>
        <w:rPr>
          <w:rFonts w:ascii="Arial" w:hAnsi="Arial"/>
          <w:sz w:val="22"/>
        </w:rPr>
        <w:t xml:space="preserve">, either as an exclusive license or a non-exclusive license, the NRC </w:t>
      </w:r>
      <w:r w:rsidR="00E206C9">
        <w:rPr>
          <w:rFonts w:ascii="Arial" w:hAnsi="Arial"/>
          <w:sz w:val="22"/>
        </w:rPr>
        <w:t>must make regulatory findings that require the collection of</w:t>
      </w:r>
      <w:r>
        <w:rPr>
          <w:rFonts w:ascii="Arial" w:hAnsi="Arial"/>
          <w:sz w:val="22"/>
        </w:rPr>
        <w:t xml:space="preserve"> information on invention and patent number; the applicant's identity and citizenship; the applicant's business; the purpose for which the license is desired and the field of use in which the applicant intends to practice the invention; and the geographic area in which the applicant will practice the invention</w:t>
      </w:r>
      <w:r w:rsidR="00E206C9">
        <w:rPr>
          <w:rFonts w:ascii="Arial" w:hAnsi="Arial"/>
          <w:sz w:val="22"/>
        </w:rPr>
        <w:t xml:space="preserve"> as well as o</w:t>
      </w:r>
      <w:r>
        <w:rPr>
          <w:rFonts w:ascii="Arial" w:hAnsi="Arial"/>
          <w:sz w:val="22"/>
        </w:rPr>
        <w:t>ther incidental information</w:t>
      </w:r>
      <w:r w:rsidR="009A303D">
        <w:rPr>
          <w:rFonts w:ascii="Arial" w:hAnsi="Arial"/>
          <w:sz w:val="22"/>
        </w:rPr>
        <w:t>.</w:t>
      </w:r>
      <w:r>
        <w:rPr>
          <w:rFonts w:ascii="Arial" w:hAnsi="Arial"/>
          <w:sz w:val="22"/>
        </w:rPr>
        <w:t xml:space="preserve">  Additional information regarding the applicant's identity, location and ability to develop the invention and use the rights which may be granted </w:t>
      </w:r>
      <w:r w:rsidR="00E206C9">
        <w:rPr>
          <w:rFonts w:ascii="Arial" w:hAnsi="Arial"/>
          <w:sz w:val="22"/>
        </w:rPr>
        <w:t xml:space="preserve">is </w:t>
      </w:r>
      <w:r>
        <w:rPr>
          <w:rFonts w:ascii="Arial" w:hAnsi="Arial"/>
          <w:sz w:val="22"/>
        </w:rPr>
        <w:t xml:space="preserve">required </w:t>
      </w:r>
      <w:r w:rsidR="00E206C9">
        <w:rPr>
          <w:rFonts w:ascii="Arial" w:hAnsi="Arial"/>
          <w:sz w:val="22"/>
        </w:rPr>
        <w:t xml:space="preserve">to make the regulatory findings necessary for </w:t>
      </w:r>
      <w:r>
        <w:rPr>
          <w:rFonts w:ascii="Arial" w:hAnsi="Arial"/>
          <w:sz w:val="22"/>
        </w:rPr>
        <w:t xml:space="preserve">an exclusive license.  Periodic reports </w:t>
      </w:r>
      <w:r w:rsidR="00E206C9">
        <w:rPr>
          <w:rFonts w:ascii="Arial" w:hAnsi="Arial"/>
          <w:sz w:val="22"/>
        </w:rPr>
        <w:t xml:space="preserve">containing information </w:t>
      </w:r>
      <w:r w:rsidR="008D2700">
        <w:rPr>
          <w:rFonts w:ascii="Arial" w:hAnsi="Arial"/>
          <w:sz w:val="22"/>
        </w:rPr>
        <w:t xml:space="preserve">on </w:t>
      </w:r>
      <w:r w:rsidR="00F110F7">
        <w:rPr>
          <w:rFonts w:ascii="Arial" w:hAnsi="Arial"/>
          <w:sz w:val="22"/>
        </w:rPr>
        <w:t xml:space="preserve">efforts to achieve practical application and to make an invention accessible to the public are </w:t>
      </w:r>
      <w:r>
        <w:rPr>
          <w:rFonts w:ascii="Arial" w:hAnsi="Arial"/>
          <w:sz w:val="22"/>
        </w:rPr>
        <w:t xml:space="preserve">required of </w:t>
      </w:r>
      <w:r w:rsidR="00F110F7">
        <w:rPr>
          <w:rFonts w:ascii="Arial" w:hAnsi="Arial"/>
          <w:sz w:val="22"/>
        </w:rPr>
        <w:t xml:space="preserve">exclusive </w:t>
      </w:r>
      <w:r>
        <w:rPr>
          <w:rFonts w:ascii="Arial" w:hAnsi="Arial"/>
          <w:sz w:val="22"/>
        </w:rPr>
        <w:t>licensees to</w:t>
      </w:r>
      <w:r w:rsidR="00F110F7">
        <w:rPr>
          <w:rFonts w:ascii="Arial" w:hAnsi="Arial"/>
          <w:sz w:val="22"/>
        </w:rPr>
        <w:t xml:space="preserve"> determine whether the license should be modified </w:t>
      </w:r>
      <w:r w:rsidR="00601337">
        <w:rPr>
          <w:rFonts w:ascii="Arial" w:hAnsi="Arial"/>
          <w:sz w:val="22"/>
        </w:rPr>
        <w:t xml:space="preserve">or </w:t>
      </w:r>
      <w:r w:rsidR="00F110F7">
        <w:rPr>
          <w:rFonts w:ascii="Arial" w:hAnsi="Arial"/>
          <w:sz w:val="22"/>
        </w:rPr>
        <w:t>revoked</w:t>
      </w:r>
      <w:r>
        <w:rPr>
          <w:rFonts w:ascii="Arial" w:hAnsi="Arial"/>
          <w:sz w:val="22"/>
        </w:rPr>
        <w:t>.</w:t>
      </w:r>
    </w:p>
    <w:p w:rsidR="005A7678" w:rsidRDefault="00176A7A">
      <w:pPr>
        <w:widowControl w:val="0"/>
        <w:ind w:left="2160" w:hanging="720"/>
        <w:rPr>
          <w:rFonts w:ascii="Arial" w:hAnsi="Arial"/>
          <w:sz w:val="22"/>
        </w:rPr>
      </w:pPr>
      <w:r>
        <w:rPr>
          <w:rFonts w:ascii="Arial" w:hAnsi="Arial"/>
          <w:sz w:val="22"/>
        </w:rPr>
        <w:tab/>
      </w:r>
    </w:p>
    <w:p w:rsidR="005A7678" w:rsidRDefault="005A7678">
      <w:pPr>
        <w:rPr>
          <w:rFonts w:ascii="Arial" w:hAnsi="Arial"/>
          <w:sz w:val="22"/>
        </w:rPr>
      </w:pPr>
      <w:r>
        <w:rPr>
          <w:rFonts w:ascii="Arial" w:hAnsi="Arial"/>
          <w:sz w:val="22"/>
        </w:rPr>
        <w:br w:type="page"/>
      </w:r>
    </w:p>
    <w:p w:rsidR="00C85F41" w:rsidRDefault="00884058" w:rsidP="005A7678">
      <w:pPr>
        <w:widowControl w:val="0"/>
        <w:ind w:left="2160"/>
        <w:rPr>
          <w:rFonts w:ascii="Arial" w:hAnsi="Arial"/>
          <w:sz w:val="22"/>
        </w:rPr>
      </w:pPr>
      <w:r>
        <w:rPr>
          <w:rFonts w:ascii="Arial" w:hAnsi="Arial"/>
          <w:sz w:val="22"/>
        </w:rPr>
        <w:t xml:space="preserve">The NRC </w:t>
      </w:r>
      <w:r w:rsidR="00C91C7E">
        <w:rPr>
          <w:rFonts w:ascii="Arial" w:hAnsi="Arial"/>
          <w:sz w:val="22"/>
        </w:rPr>
        <w:t xml:space="preserve">requires </w:t>
      </w:r>
      <w:r>
        <w:rPr>
          <w:rFonts w:ascii="Arial" w:hAnsi="Arial"/>
          <w:sz w:val="22"/>
        </w:rPr>
        <w:t xml:space="preserve">the information </w:t>
      </w:r>
      <w:r w:rsidR="00C91C7E">
        <w:rPr>
          <w:rFonts w:ascii="Arial" w:hAnsi="Arial"/>
          <w:sz w:val="22"/>
        </w:rPr>
        <w:t>to make the regulatory determinations required for approval of</w:t>
      </w:r>
      <w:r>
        <w:rPr>
          <w:rFonts w:ascii="Arial" w:hAnsi="Arial"/>
          <w:sz w:val="22"/>
        </w:rPr>
        <w:t xml:space="preserve"> license extensions, sublice</w:t>
      </w:r>
      <w:r w:rsidR="00403329">
        <w:rPr>
          <w:rFonts w:ascii="Arial" w:hAnsi="Arial"/>
          <w:sz w:val="22"/>
        </w:rPr>
        <w:t xml:space="preserve">nsing assignments, and </w:t>
      </w:r>
      <w:r w:rsidR="00C91C7E">
        <w:rPr>
          <w:rFonts w:ascii="Arial" w:hAnsi="Arial"/>
          <w:sz w:val="22"/>
        </w:rPr>
        <w:t xml:space="preserve">license </w:t>
      </w:r>
      <w:r w:rsidR="00403329">
        <w:rPr>
          <w:rFonts w:ascii="Arial" w:hAnsi="Arial"/>
          <w:sz w:val="22"/>
        </w:rPr>
        <w:t>transfers</w:t>
      </w:r>
      <w:r w:rsidR="002303D9">
        <w:rPr>
          <w:rFonts w:ascii="Arial" w:hAnsi="Arial"/>
          <w:sz w:val="22"/>
        </w:rPr>
        <w:t>.</w:t>
      </w:r>
      <w:r w:rsidR="00C91C7E">
        <w:rPr>
          <w:rFonts w:ascii="Arial" w:hAnsi="Arial"/>
          <w:sz w:val="22"/>
        </w:rPr>
        <w:t xml:space="preserve"> </w:t>
      </w:r>
      <w:r w:rsidR="002303D9">
        <w:rPr>
          <w:rFonts w:ascii="Arial" w:hAnsi="Arial"/>
          <w:sz w:val="22"/>
        </w:rPr>
        <w:t xml:space="preserve">Information is also necessary </w:t>
      </w:r>
      <w:r>
        <w:rPr>
          <w:rFonts w:ascii="Arial" w:hAnsi="Arial"/>
          <w:sz w:val="22"/>
        </w:rPr>
        <w:t xml:space="preserve">to </w:t>
      </w:r>
      <w:r w:rsidR="002303D9">
        <w:rPr>
          <w:rFonts w:ascii="Arial" w:hAnsi="Arial"/>
          <w:sz w:val="22"/>
        </w:rPr>
        <w:t xml:space="preserve">allow the NRC to </w:t>
      </w:r>
      <w:r>
        <w:rPr>
          <w:rFonts w:ascii="Arial" w:hAnsi="Arial"/>
          <w:sz w:val="22"/>
        </w:rPr>
        <w:t>perform its license monitoring functions, permit revision or revocation of the license when appropriate, be kept informed of any litigation concerning the licensed patent, and maintain the agency's licensing records.</w:t>
      </w:r>
    </w:p>
    <w:p w:rsidR="003C4F05" w:rsidRDefault="003C4F05">
      <w:pPr>
        <w:widowControl w:val="0"/>
        <w:ind w:left="2160" w:hanging="720"/>
        <w:rPr>
          <w:rFonts w:ascii="Arial" w:hAnsi="Arial"/>
          <w:sz w:val="22"/>
        </w:rPr>
      </w:pPr>
    </w:p>
    <w:p w:rsidR="00ED0438" w:rsidRDefault="00884058" w:rsidP="00ED0438">
      <w:pPr>
        <w:widowControl w:val="0"/>
        <w:numPr>
          <w:ilvl w:val="0"/>
          <w:numId w:val="10"/>
        </w:numPr>
        <w:rPr>
          <w:rFonts w:ascii="Arial" w:hAnsi="Arial"/>
          <w:sz w:val="22"/>
        </w:rPr>
      </w:pPr>
      <w:r w:rsidRPr="00ED0438">
        <w:rPr>
          <w:rFonts w:ascii="Arial" w:hAnsi="Arial"/>
          <w:sz w:val="22"/>
          <w:u w:val="single"/>
        </w:rPr>
        <w:t>Reduction of Burden Through Information Technology</w:t>
      </w:r>
      <w:r w:rsidRPr="00ED0438">
        <w:rPr>
          <w:rFonts w:ascii="Arial" w:hAnsi="Arial"/>
          <w:sz w:val="22"/>
        </w:rPr>
        <w:t xml:space="preserve">  </w:t>
      </w:r>
    </w:p>
    <w:p w:rsidR="00ED0438" w:rsidRDefault="00ED0438" w:rsidP="00ED0438">
      <w:pPr>
        <w:widowControl w:val="0"/>
        <w:ind w:left="2160"/>
        <w:rPr>
          <w:rFonts w:ascii="Arial" w:hAnsi="Arial"/>
          <w:sz w:val="22"/>
        </w:rPr>
      </w:pPr>
    </w:p>
    <w:p w:rsidR="005A7678" w:rsidRPr="005A7678" w:rsidRDefault="005A7678" w:rsidP="005A7678">
      <w:pPr>
        <w:ind w:left="2160"/>
        <w:rPr>
          <w:rFonts w:ascii="Arial" w:hAnsi="Arial"/>
          <w:sz w:val="22"/>
        </w:rPr>
      </w:pPr>
      <w:r w:rsidRPr="005A7678">
        <w:rPr>
          <w:rFonts w:ascii="Arial" w:hAnsi="Arial"/>
          <w:sz w:val="22"/>
        </w:rPr>
        <w:t xml:space="preserve">There are no legal obstacles to reducing the burden associated with this information collection. The NRC encourages respondents to use information technology when it would be beneficial to them.  The NRC has issued </w:t>
      </w:r>
      <w:hyperlink r:id="rId9" w:history="1">
        <w:r w:rsidRPr="005A7678">
          <w:rPr>
            <w:rStyle w:val="Hyperlink"/>
            <w:rFonts w:ascii="Arial" w:hAnsi="Arial"/>
            <w:i/>
            <w:sz w:val="22"/>
          </w:rPr>
          <w:t>Guidance for Electronic Submissions to the NRC</w:t>
        </w:r>
      </w:hyperlink>
      <w:r w:rsidRPr="005A7678">
        <w:rPr>
          <w:rFonts w:ascii="Arial" w:hAnsi="Arial"/>
          <w:sz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Pr>
          <w:rFonts w:ascii="Arial" w:hAnsi="Arial"/>
          <w:sz w:val="22"/>
        </w:rPr>
        <w:t>100%</w:t>
      </w:r>
      <w:r w:rsidRPr="005A7678">
        <w:rPr>
          <w:rFonts w:ascii="Arial" w:hAnsi="Arial"/>
          <w:b/>
          <w:sz w:val="22"/>
        </w:rPr>
        <w:t xml:space="preserve"> </w:t>
      </w:r>
      <w:r w:rsidRPr="005A7678">
        <w:rPr>
          <w:rFonts w:ascii="Arial" w:hAnsi="Arial"/>
          <w:sz w:val="22"/>
        </w:rPr>
        <w:t>of the potential responses are filed electronically.</w:t>
      </w:r>
    </w:p>
    <w:p w:rsidR="005C0AFB" w:rsidRDefault="005C0AFB" w:rsidP="00F56EEC">
      <w:pPr>
        <w:ind w:left="2160"/>
        <w:rPr>
          <w:rFonts w:ascii="Arial" w:hAnsi="Arial" w:cs="Arial"/>
        </w:rPr>
      </w:pPr>
    </w:p>
    <w:p w:rsidR="00884058" w:rsidRPr="00701678" w:rsidRDefault="00701678" w:rsidP="00F56EEC">
      <w:pPr>
        <w:widowControl w:val="0"/>
        <w:ind w:left="2160"/>
        <w:rPr>
          <w:rFonts w:ascii="Arial" w:hAnsi="Arial"/>
          <w:sz w:val="22"/>
        </w:rPr>
      </w:pPr>
      <w:r>
        <w:rPr>
          <w:rFonts w:ascii="Arial" w:hAnsi="Arial"/>
          <w:sz w:val="22"/>
        </w:rPr>
        <w:t xml:space="preserve"> </w:t>
      </w:r>
    </w:p>
    <w:p w:rsidR="00884058" w:rsidRPr="00ED0438" w:rsidRDefault="00884058" w:rsidP="00176A7A">
      <w:pPr>
        <w:widowControl w:val="0"/>
        <w:numPr>
          <w:ilvl w:val="0"/>
          <w:numId w:val="10"/>
        </w:numPr>
        <w:rPr>
          <w:rFonts w:ascii="Arial" w:hAnsi="Arial"/>
          <w:sz w:val="22"/>
        </w:rPr>
      </w:pPr>
      <w:r w:rsidRPr="00ED0438">
        <w:rPr>
          <w:rFonts w:ascii="Arial" w:hAnsi="Arial"/>
          <w:sz w:val="22"/>
          <w:u w:val="single"/>
        </w:rPr>
        <w:t>Effort to Identify Duplication and Use Similar Information</w:t>
      </w:r>
    </w:p>
    <w:p w:rsidR="00884058" w:rsidRDefault="00884058">
      <w:pPr>
        <w:widowControl w:val="0"/>
        <w:rPr>
          <w:rFonts w:ascii="Arial" w:hAnsi="Arial"/>
          <w:sz w:val="22"/>
        </w:rPr>
      </w:pPr>
    </w:p>
    <w:p w:rsidR="00176A7A" w:rsidRDefault="00176A7A" w:rsidP="00176A7A">
      <w:pPr>
        <w:ind w:left="2160"/>
        <w:rPr>
          <w:rFonts w:ascii="Arial" w:hAnsi="Arial" w:cs="Arial"/>
          <w:sz w:val="22"/>
          <w:szCs w:val="22"/>
        </w:rPr>
      </w:pPr>
      <w:r>
        <w:rPr>
          <w:szCs w:val="24"/>
          <w:lang w:val="en-CA"/>
        </w:rPr>
        <w:fldChar w:fldCharType="begin"/>
      </w:r>
      <w:r>
        <w:rPr>
          <w:szCs w:val="24"/>
          <w:lang w:val="en-CA"/>
        </w:rPr>
        <w:instrText xml:space="preserve"> SEQ CHAPTER \h \r 1</w:instrText>
      </w:r>
      <w:r>
        <w:rPr>
          <w:szCs w:val="24"/>
          <w:lang w:val="en-CA"/>
        </w:rPr>
        <w:fldChar w:fldCharType="end"/>
      </w:r>
      <w:r>
        <w:rPr>
          <w:rFonts w:ascii="Arial" w:hAnsi="Arial" w:cs="Arial"/>
          <w:sz w:val="22"/>
          <w:szCs w:val="22"/>
        </w:rPr>
        <w:t xml:space="preserve">No sources of similar information are available.  There is no duplication of requirements.  </w:t>
      </w:r>
    </w:p>
    <w:p w:rsidR="00884058" w:rsidRDefault="00884058">
      <w:pPr>
        <w:widowControl w:val="0"/>
        <w:rPr>
          <w:rFonts w:ascii="Arial" w:hAnsi="Arial"/>
          <w:sz w:val="22"/>
        </w:rPr>
      </w:pPr>
    </w:p>
    <w:p w:rsidR="00884058" w:rsidRDefault="00884058" w:rsidP="00176A7A">
      <w:pPr>
        <w:widowControl w:val="0"/>
        <w:numPr>
          <w:ilvl w:val="0"/>
          <w:numId w:val="10"/>
        </w:numPr>
        <w:rPr>
          <w:rFonts w:ascii="Arial" w:hAnsi="Arial"/>
          <w:sz w:val="22"/>
        </w:rPr>
      </w:pPr>
      <w:r>
        <w:rPr>
          <w:rFonts w:ascii="Arial" w:hAnsi="Arial"/>
          <w:sz w:val="22"/>
          <w:u w:val="single"/>
        </w:rPr>
        <w:t>Effort to Reduce Small Business Burden</w:t>
      </w:r>
    </w:p>
    <w:p w:rsidR="00884058" w:rsidRDefault="00884058">
      <w:pPr>
        <w:widowControl w:val="0"/>
        <w:rPr>
          <w:rFonts w:ascii="Arial" w:hAnsi="Arial"/>
          <w:sz w:val="22"/>
        </w:rPr>
      </w:pPr>
    </w:p>
    <w:p w:rsidR="00884058" w:rsidRDefault="00884058">
      <w:pPr>
        <w:widowControl w:val="0"/>
        <w:rPr>
          <w:rFonts w:ascii="Arial" w:hAnsi="Arial"/>
          <w:sz w:val="22"/>
        </w:rPr>
      </w:pPr>
      <w:r>
        <w:rPr>
          <w:rFonts w:ascii="Arial" w:hAnsi="Arial"/>
          <w:sz w:val="22"/>
        </w:rPr>
        <w:tab/>
      </w:r>
      <w:r>
        <w:rPr>
          <w:rFonts w:ascii="Arial" w:hAnsi="Arial"/>
          <w:sz w:val="22"/>
        </w:rPr>
        <w:tab/>
      </w:r>
      <w:r>
        <w:rPr>
          <w:rFonts w:ascii="Arial" w:hAnsi="Arial"/>
          <w:sz w:val="22"/>
        </w:rPr>
        <w:tab/>
        <w:t>Currently there are no applicants or exclusive/non-exclusive licensees.</w:t>
      </w:r>
    </w:p>
    <w:p w:rsidR="00884058" w:rsidRDefault="00884058">
      <w:pPr>
        <w:widowControl w:val="0"/>
        <w:rPr>
          <w:rFonts w:ascii="Arial" w:hAnsi="Arial"/>
          <w:sz w:val="22"/>
        </w:rPr>
      </w:pPr>
    </w:p>
    <w:p w:rsidR="00884058" w:rsidRDefault="00884058" w:rsidP="00176A7A">
      <w:pPr>
        <w:widowControl w:val="0"/>
        <w:numPr>
          <w:ilvl w:val="0"/>
          <w:numId w:val="10"/>
        </w:numPr>
        <w:rPr>
          <w:rFonts w:ascii="Arial" w:hAnsi="Arial"/>
          <w:sz w:val="22"/>
        </w:rPr>
      </w:pPr>
      <w:r>
        <w:rPr>
          <w:rFonts w:ascii="Arial" w:hAnsi="Arial"/>
          <w:sz w:val="22"/>
          <w:u w:val="single"/>
        </w:rPr>
        <w:t>Consequences to Federal Program or Policy Activities if the Collection Is Not Conducted or Is Conducted Less Frequently</w:t>
      </w:r>
      <w:r>
        <w:rPr>
          <w:rFonts w:ascii="Arial" w:hAnsi="Arial"/>
          <w:sz w:val="22"/>
        </w:rPr>
        <w:t xml:space="preserve"> </w:t>
      </w:r>
    </w:p>
    <w:p w:rsidR="00884058" w:rsidRDefault="00884058">
      <w:pPr>
        <w:widowControl w:val="0"/>
        <w:rPr>
          <w:rFonts w:ascii="Arial" w:hAnsi="Arial"/>
          <w:sz w:val="22"/>
        </w:rPr>
      </w:pPr>
    </w:p>
    <w:p w:rsidR="00884058" w:rsidRDefault="00884058">
      <w:pPr>
        <w:widowControl w:val="0"/>
        <w:ind w:left="2160"/>
        <w:rPr>
          <w:rFonts w:ascii="Arial" w:hAnsi="Arial"/>
          <w:sz w:val="22"/>
        </w:rPr>
      </w:pPr>
      <w:r>
        <w:rPr>
          <w:rFonts w:ascii="Arial" w:hAnsi="Arial"/>
          <w:sz w:val="22"/>
        </w:rPr>
        <w:t>The collection frequency is deemed the minimum necessary to achieve the objectives of the requirements.</w:t>
      </w:r>
    </w:p>
    <w:p w:rsidR="00884058" w:rsidRDefault="00884058">
      <w:pPr>
        <w:widowControl w:val="0"/>
        <w:rPr>
          <w:rFonts w:ascii="Arial" w:hAnsi="Arial"/>
          <w:sz w:val="22"/>
        </w:rPr>
      </w:pPr>
    </w:p>
    <w:p w:rsidR="00884058" w:rsidRPr="00701678" w:rsidRDefault="00884058" w:rsidP="00176A7A">
      <w:pPr>
        <w:numPr>
          <w:ilvl w:val="0"/>
          <w:numId w:val="10"/>
        </w:numPr>
        <w:rPr>
          <w:rFonts w:ascii="Arial" w:hAnsi="Arial"/>
          <w:sz w:val="22"/>
        </w:rPr>
      </w:pPr>
      <w:r w:rsidRPr="00701678">
        <w:rPr>
          <w:rFonts w:ascii="Arial" w:hAnsi="Arial"/>
          <w:sz w:val="22"/>
          <w:u w:val="single"/>
        </w:rPr>
        <w:t>Circumstances Which Justify Variation from OMB Guidelines</w:t>
      </w:r>
      <w:r w:rsidRPr="00701678">
        <w:rPr>
          <w:rFonts w:ascii="Arial" w:hAnsi="Arial"/>
          <w:sz w:val="22"/>
        </w:rPr>
        <w:t xml:space="preserve">   </w:t>
      </w:r>
    </w:p>
    <w:p w:rsidR="00884058" w:rsidRPr="00701678" w:rsidRDefault="00884058">
      <w:pPr>
        <w:rPr>
          <w:rFonts w:ascii="Arial" w:hAnsi="Arial"/>
          <w:sz w:val="22"/>
        </w:rPr>
      </w:pPr>
    </w:p>
    <w:p w:rsidR="00884058" w:rsidRPr="00701678" w:rsidRDefault="00403329">
      <w:pPr>
        <w:ind w:left="2160"/>
        <w:rPr>
          <w:rFonts w:ascii="Arial" w:hAnsi="Arial"/>
          <w:sz w:val="22"/>
        </w:rPr>
      </w:pPr>
      <w:r w:rsidRPr="00701678">
        <w:rPr>
          <w:rFonts w:ascii="Arial" w:hAnsi="Arial"/>
          <w:sz w:val="22"/>
        </w:rPr>
        <w:t>Not applicable.</w:t>
      </w:r>
    </w:p>
    <w:p w:rsidR="00884058" w:rsidRPr="00701678" w:rsidRDefault="00884058">
      <w:pPr>
        <w:rPr>
          <w:rFonts w:ascii="Arial" w:hAnsi="Arial"/>
          <w:sz w:val="22"/>
        </w:rPr>
      </w:pPr>
    </w:p>
    <w:p w:rsidR="00F87A90" w:rsidRPr="006C4C3F" w:rsidRDefault="00884058" w:rsidP="00ED0438">
      <w:pPr>
        <w:numPr>
          <w:ilvl w:val="0"/>
          <w:numId w:val="10"/>
        </w:numPr>
        <w:rPr>
          <w:rFonts w:ascii="Arial" w:hAnsi="Arial" w:cs="Arial"/>
          <w:szCs w:val="24"/>
          <w:lang w:val="en-CA"/>
        </w:rPr>
      </w:pPr>
      <w:r w:rsidRPr="00701678">
        <w:rPr>
          <w:rFonts w:ascii="Arial" w:hAnsi="Arial"/>
          <w:sz w:val="22"/>
          <w:u w:val="single"/>
        </w:rPr>
        <w:t>Consultations Outside the NRC</w:t>
      </w:r>
    </w:p>
    <w:p w:rsidR="006C4C3F" w:rsidRDefault="006C4C3F" w:rsidP="006C4C3F">
      <w:pPr>
        <w:ind w:left="2160"/>
        <w:rPr>
          <w:rFonts w:ascii="Arial" w:hAnsi="Arial"/>
          <w:sz w:val="22"/>
          <w:u w:val="single"/>
        </w:rPr>
      </w:pPr>
    </w:p>
    <w:p w:rsidR="006160AE" w:rsidRPr="00090AB4" w:rsidRDefault="00314801" w:rsidP="005A7678">
      <w:pPr>
        <w:pStyle w:val="ListParagraph"/>
        <w:ind w:left="2160"/>
        <w:rPr>
          <w:rFonts w:ascii="Arial" w:hAnsi="Arial" w:cs="Arial"/>
          <w:iCs/>
        </w:rPr>
      </w:pPr>
      <w:r w:rsidRPr="00314801">
        <w:rPr>
          <w:rFonts w:ascii="Arial" w:hAnsi="Arial" w:cs="Arial"/>
        </w:rPr>
        <w:t>Opportunity for public comment on the information collection requirements for this c</w:t>
      </w:r>
      <w:r w:rsidR="008D0844">
        <w:rPr>
          <w:rFonts w:ascii="Arial" w:hAnsi="Arial" w:cs="Arial"/>
        </w:rPr>
        <w:t xml:space="preserve">learance package </w:t>
      </w:r>
      <w:r w:rsidR="00401BAA">
        <w:rPr>
          <w:rFonts w:ascii="Arial" w:hAnsi="Arial" w:cs="Arial"/>
        </w:rPr>
        <w:t xml:space="preserve">has been </w:t>
      </w:r>
      <w:r w:rsidR="008D0844">
        <w:rPr>
          <w:rFonts w:ascii="Arial" w:hAnsi="Arial" w:cs="Arial"/>
        </w:rPr>
        <w:t>published i</w:t>
      </w:r>
      <w:r w:rsidRPr="00314801">
        <w:rPr>
          <w:rFonts w:ascii="Arial" w:hAnsi="Arial" w:cs="Arial"/>
        </w:rPr>
        <w:t xml:space="preserve">n the </w:t>
      </w:r>
      <w:r w:rsidRPr="00314801">
        <w:rPr>
          <w:rFonts w:ascii="Arial" w:hAnsi="Arial" w:cs="Arial"/>
          <w:i/>
          <w:iCs/>
        </w:rPr>
        <w:t>Federal Register</w:t>
      </w:r>
      <w:r w:rsidR="00C306E6">
        <w:rPr>
          <w:rFonts w:ascii="Arial" w:hAnsi="Arial" w:cs="Arial"/>
          <w:i/>
          <w:iCs/>
        </w:rPr>
        <w:t xml:space="preserve"> on June 19, 2017 </w:t>
      </w:r>
      <w:r w:rsidR="00550A69">
        <w:rPr>
          <w:rFonts w:ascii="Arial" w:hAnsi="Arial" w:cs="Arial"/>
          <w:i/>
          <w:iCs/>
        </w:rPr>
        <w:t>(80 FR 27879).</w:t>
      </w:r>
      <w:r w:rsidR="004C0029">
        <w:rPr>
          <w:rFonts w:ascii="Arial" w:hAnsi="Arial" w:cs="Arial"/>
          <w:i/>
          <w:iCs/>
        </w:rPr>
        <w:t xml:space="preserve"> </w:t>
      </w:r>
      <w:r w:rsidR="004C0029" w:rsidRPr="00090AB4">
        <w:rPr>
          <w:rFonts w:ascii="Arial" w:hAnsi="Arial" w:cs="Arial"/>
          <w:iCs/>
        </w:rPr>
        <w:t xml:space="preserve"> As no potential respondents have been identified, the NRC was unable </w:t>
      </w:r>
      <w:r w:rsidR="00DC3C99" w:rsidRPr="00090AB4">
        <w:rPr>
          <w:rFonts w:ascii="Arial" w:hAnsi="Arial" w:cs="Arial"/>
          <w:iCs/>
        </w:rPr>
        <w:t>to conduct any public consultations beyond the publishing of the Federal Register Notice.  No comments were received.</w:t>
      </w:r>
    </w:p>
    <w:p w:rsidR="00314801" w:rsidRPr="00314801" w:rsidRDefault="00314801" w:rsidP="006C4C3F">
      <w:pPr>
        <w:pStyle w:val="ListParagraph"/>
        <w:ind w:left="2160"/>
        <w:rPr>
          <w:rFonts w:ascii="Arial" w:hAnsi="Arial" w:cs="Arial"/>
        </w:rPr>
      </w:pPr>
      <w:r w:rsidRPr="00314801">
        <w:rPr>
          <w:rFonts w:ascii="Arial" w:hAnsi="Arial" w:cs="Arial"/>
          <w:i/>
          <w:iCs/>
        </w:rPr>
        <w:t xml:space="preserve"> </w:t>
      </w:r>
    </w:p>
    <w:p w:rsidR="00884058" w:rsidRPr="00701678" w:rsidRDefault="00884058" w:rsidP="008923B8">
      <w:pPr>
        <w:numPr>
          <w:ilvl w:val="0"/>
          <w:numId w:val="10"/>
        </w:numPr>
        <w:rPr>
          <w:rFonts w:ascii="Arial" w:hAnsi="Arial"/>
          <w:sz w:val="22"/>
        </w:rPr>
      </w:pPr>
      <w:r w:rsidRPr="00701678">
        <w:rPr>
          <w:rFonts w:ascii="Arial" w:hAnsi="Arial"/>
          <w:sz w:val="22"/>
          <w:u w:val="single"/>
        </w:rPr>
        <w:t>Payment or Gift to Respondents</w:t>
      </w:r>
      <w:r w:rsidRPr="00701678">
        <w:rPr>
          <w:rFonts w:ascii="Arial" w:hAnsi="Arial"/>
          <w:sz w:val="22"/>
        </w:rPr>
        <w:t xml:space="preserve">   </w:t>
      </w:r>
    </w:p>
    <w:p w:rsidR="00884058" w:rsidRPr="00701678" w:rsidRDefault="00884058">
      <w:pPr>
        <w:rPr>
          <w:rFonts w:ascii="Arial" w:hAnsi="Arial"/>
          <w:sz w:val="22"/>
        </w:rPr>
      </w:pPr>
    </w:p>
    <w:p w:rsidR="009E7FC6" w:rsidRPr="00701678" w:rsidRDefault="00884058" w:rsidP="00176A7A">
      <w:pPr>
        <w:ind w:left="2160"/>
        <w:rPr>
          <w:rFonts w:ascii="Arial" w:hAnsi="Arial"/>
          <w:sz w:val="22"/>
        </w:rPr>
      </w:pPr>
      <w:r w:rsidRPr="00701678">
        <w:rPr>
          <w:rFonts w:ascii="Arial" w:hAnsi="Arial"/>
          <w:sz w:val="22"/>
        </w:rPr>
        <w:t>Not applicable.</w:t>
      </w:r>
    </w:p>
    <w:p w:rsidR="00884058" w:rsidRPr="00701678" w:rsidRDefault="00884058">
      <w:pPr>
        <w:rPr>
          <w:rFonts w:ascii="Arial" w:hAnsi="Arial"/>
          <w:sz w:val="22"/>
        </w:rPr>
      </w:pPr>
    </w:p>
    <w:p w:rsidR="00884058" w:rsidRPr="00ED0438" w:rsidRDefault="00884058" w:rsidP="00ED0438">
      <w:pPr>
        <w:numPr>
          <w:ilvl w:val="0"/>
          <w:numId w:val="10"/>
        </w:numPr>
        <w:rPr>
          <w:rFonts w:ascii="Arial" w:hAnsi="Arial"/>
          <w:sz w:val="22"/>
        </w:rPr>
      </w:pPr>
      <w:r w:rsidRPr="00ED0438">
        <w:rPr>
          <w:rFonts w:ascii="Arial" w:hAnsi="Arial"/>
          <w:sz w:val="22"/>
          <w:u w:val="single"/>
        </w:rPr>
        <w:t>Confidentiality of Information</w:t>
      </w:r>
    </w:p>
    <w:p w:rsidR="00ED0438" w:rsidRDefault="00ED0438" w:rsidP="00ED0438">
      <w:pPr>
        <w:ind w:left="2160"/>
        <w:rPr>
          <w:rFonts w:ascii="Arial" w:hAnsi="Arial"/>
          <w:sz w:val="22"/>
        </w:rPr>
      </w:pPr>
    </w:p>
    <w:p w:rsidR="006F0A14" w:rsidRPr="00701678" w:rsidRDefault="00176A7A" w:rsidP="00176A7A">
      <w:pPr>
        <w:ind w:left="2160"/>
        <w:rPr>
          <w:rFonts w:ascii="Arial" w:hAnsi="Arial" w:cs="Arial"/>
          <w:sz w:val="22"/>
          <w:szCs w:val="22"/>
        </w:rPr>
      </w:pPr>
      <w:r w:rsidRPr="00701678">
        <w:rPr>
          <w:szCs w:val="24"/>
          <w:lang w:val="en-CA"/>
        </w:rPr>
        <w:fldChar w:fldCharType="begin"/>
      </w:r>
      <w:r w:rsidRPr="00701678">
        <w:rPr>
          <w:szCs w:val="24"/>
          <w:lang w:val="en-CA"/>
        </w:rPr>
        <w:instrText xml:space="preserve"> SEQ CHAPTER \h \r 1</w:instrText>
      </w:r>
      <w:r w:rsidRPr="00701678">
        <w:rPr>
          <w:szCs w:val="24"/>
          <w:lang w:val="en-CA"/>
        </w:rPr>
        <w:fldChar w:fldCharType="end"/>
      </w:r>
      <w:r w:rsidRPr="00701678">
        <w:rPr>
          <w:rFonts w:ascii="Arial" w:hAnsi="Arial" w:cs="Arial"/>
          <w:sz w:val="22"/>
          <w:szCs w:val="22"/>
        </w:rPr>
        <w:t>Confidential and proprietary information is protected in accordance with NRC regulations at 10 CFR 9.17(a) and 10 CFR 2.390(b).</w:t>
      </w:r>
    </w:p>
    <w:p w:rsidR="00176A7A" w:rsidRPr="00701678" w:rsidRDefault="00176A7A" w:rsidP="00176A7A">
      <w:pPr>
        <w:ind w:left="2160"/>
        <w:rPr>
          <w:rFonts w:ascii="Arial" w:hAnsi="Arial"/>
          <w:sz w:val="22"/>
        </w:rPr>
      </w:pPr>
    </w:p>
    <w:p w:rsidR="00884058" w:rsidRPr="00701678" w:rsidRDefault="00884058" w:rsidP="00176A7A">
      <w:pPr>
        <w:numPr>
          <w:ilvl w:val="0"/>
          <w:numId w:val="10"/>
        </w:numPr>
        <w:rPr>
          <w:rFonts w:ascii="Arial" w:hAnsi="Arial"/>
          <w:sz w:val="22"/>
        </w:rPr>
      </w:pPr>
      <w:r w:rsidRPr="00701678">
        <w:rPr>
          <w:rFonts w:ascii="Arial" w:hAnsi="Arial"/>
          <w:sz w:val="22"/>
          <w:u w:val="single"/>
        </w:rPr>
        <w:t>Justification for Sensitive Questions</w:t>
      </w:r>
    </w:p>
    <w:p w:rsidR="00884058" w:rsidRPr="00701678" w:rsidRDefault="00884058">
      <w:pPr>
        <w:rPr>
          <w:rFonts w:ascii="Arial" w:hAnsi="Arial"/>
          <w:sz w:val="22"/>
        </w:rPr>
      </w:pPr>
    </w:p>
    <w:p w:rsidR="00FF4972" w:rsidRPr="00701678" w:rsidRDefault="00176A7A" w:rsidP="00176A7A">
      <w:pPr>
        <w:ind w:left="2160"/>
        <w:rPr>
          <w:rFonts w:ascii="Arial" w:hAnsi="Arial"/>
          <w:sz w:val="22"/>
        </w:rPr>
      </w:pPr>
      <w:r w:rsidRPr="00701678">
        <w:rPr>
          <w:rFonts w:ascii="Arial" w:hAnsi="Arial"/>
          <w:sz w:val="22"/>
        </w:rPr>
        <w:t>N</w:t>
      </w:r>
      <w:r w:rsidR="00884058" w:rsidRPr="00701678">
        <w:rPr>
          <w:rFonts w:ascii="Arial" w:hAnsi="Arial"/>
          <w:sz w:val="22"/>
        </w:rPr>
        <w:t>o questions of a sensitive nature are asked under these requirements.</w:t>
      </w:r>
    </w:p>
    <w:p w:rsidR="00884058" w:rsidRPr="00701678" w:rsidRDefault="00884058">
      <w:pPr>
        <w:rPr>
          <w:rFonts w:ascii="Arial" w:hAnsi="Arial"/>
          <w:sz w:val="22"/>
        </w:rPr>
      </w:pPr>
    </w:p>
    <w:p w:rsidR="00F87A90" w:rsidRPr="009E1256" w:rsidRDefault="00884058" w:rsidP="009E1256">
      <w:pPr>
        <w:pStyle w:val="ListParagraph"/>
        <w:numPr>
          <w:ilvl w:val="0"/>
          <w:numId w:val="10"/>
        </w:numPr>
        <w:rPr>
          <w:sz w:val="20"/>
        </w:rPr>
      </w:pPr>
      <w:r w:rsidRPr="009E1256">
        <w:rPr>
          <w:rFonts w:ascii="Arial" w:hAnsi="Arial"/>
          <w:sz w:val="22"/>
          <w:u w:val="single"/>
        </w:rPr>
        <w:t>Estimated Burden and Burden Hour Cost</w:t>
      </w:r>
    </w:p>
    <w:p w:rsidR="006F0A14" w:rsidRPr="00701678" w:rsidRDefault="006F0A14" w:rsidP="00ED0438">
      <w:pPr>
        <w:ind w:left="2160"/>
        <w:rPr>
          <w:sz w:val="20"/>
        </w:rPr>
      </w:pPr>
    </w:p>
    <w:p w:rsidR="00884058" w:rsidRPr="00701678" w:rsidRDefault="00550A69">
      <w:pPr>
        <w:ind w:left="2160"/>
        <w:rPr>
          <w:rFonts w:ascii="Arial" w:hAnsi="Arial"/>
          <w:sz w:val="22"/>
        </w:rPr>
      </w:pPr>
      <w:r>
        <w:rPr>
          <w:rFonts w:ascii="Arial" w:hAnsi="Arial"/>
          <w:sz w:val="22"/>
        </w:rPr>
        <w:t xml:space="preserve">It is estimated that 1 report per year </w:t>
      </w:r>
      <w:r w:rsidR="00AC01A1">
        <w:rPr>
          <w:rFonts w:ascii="Arial" w:hAnsi="Arial"/>
          <w:sz w:val="22"/>
        </w:rPr>
        <w:t>is</w:t>
      </w:r>
      <w:r w:rsidR="009E1256">
        <w:rPr>
          <w:rFonts w:ascii="Arial" w:hAnsi="Arial"/>
          <w:sz w:val="22"/>
        </w:rPr>
        <w:t xml:space="preserve"> anticipated under these requirements.  </w:t>
      </w:r>
      <w:r w:rsidR="00AC01A1">
        <w:rPr>
          <w:rFonts w:ascii="Arial" w:hAnsi="Arial"/>
          <w:sz w:val="22"/>
        </w:rPr>
        <w:t>T</w:t>
      </w:r>
      <w:r w:rsidR="009E1256">
        <w:rPr>
          <w:rFonts w:ascii="Arial" w:hAnsi="Arial"/>
          <w:sz w:val="22"/>
        </w:rPr>
        <w:t>he total anticipated burden and costs to a respondent are 37 hours or $</w:t>
      </w:r>
      <w:r w:rsidR="008F6466">
        <w:rPr>
          <w:rFonts w:ascii="Arial" w:hAnsi="Arial"/>
          <w:sz w:val="22"/>
        </w:rPr>
        <w:t>9,805</w:t>
      </w:r>
      <w:r w:rsidR="009E1256">
        <w:rPr>
          <w:rFonts w:ascii="Arial" w:hAnsi="Arial"/>
          <w:sz w:val="22"/>
        </w:rPr>
        <w:t xml:space="preserve"> (at $</w:t>
      </w:r>
      <w:r w:rsidR="003E6C15">
        <w:rPr>
          <w:rFonts w:ascii="Arial" w:hAnsi="Arial"/>
          <w:sz w:val="22"/>
        </w:rPr>
        <w:t>265</w:t>
      </w:r>
      <w:r w:rsidR="009E1256">
        <w:rPr>
          <w:rFonts w:ascii="Arial" w:hAnsi="Arial"/>
          <w:sz w:val="22"/>
        </w:rPr>
        <w:t xml:space="preserve"> per hour). </w:t>
      </w:r>
      <w:r w:rsidR="00557EF9">
        <w:rPr>
          <w:rFonts w:ascii="Arial" w:hAnsi="Arial"/>
          <w:sz w:val="22"/>
        </w:rPr>
        <w:t xml:space="preserve"> </w:t>
      </w:r>
      <w:r w:rsidR="009E1256">
        <w:rPr>
          <w:rFonts w:ascii="Arial" w:hAnsi="Arial"/>
          <w:sz w:val="22"/>
        </w:rPr>
        <w:t>See Table 1.</w:t>
      </w:r>
    </w:p>
    <w:p w:rsidR="00884058" w:rsidRPr="00701678" w:rsidRDefault="00884058">
      <w:pPr>
        <w:rPr>
          <w:rFonts w:ascii="Arial" w:hAnsi="Arial"/>
          <w:sz w:val="22"/>
        </w:rPr>
      </w:pPr>
    </w:p>
    <w:p w:rsidR="00884058" w:rsidRPr="00701678" w:rsidRDefault="00884058" w:rsidP="00176A7A">
      <w:pPr>
        <w:pStyle w:val="Level1"/>
        <w:widowControl/>
        <w:numPr>
          <w:ilvl w:val="0"/>
          <w:numId w:val="10"/>
        </w:numPr>
        <w:rPr>
          <w:rFonts w:ascii="Arial" w:hAnsi="Arial"/>
          <w:sz w:val="22"/>
        </w:rPr>
      </w:pPr>
      <w:r w:rsidRPr="00701678">
        <w:rPr>
          <w:rFonts w:ascii="Arial" w:hAnsi="Arial"/>
          <w:sz w:val="22"/>
          <w:u w:val="single"/>
        </w:rPr>
        <w:t>Estimate of Other Additional Costs</w:t>
      </w:r>
      <w:r w:rsidRPr="00701678">
        <w:rPr>
          <w:rFonts w:ascii="Arial" w:hAnsi="Arial"/>
          <w:sz w:val="22"/>
        </w:rPr>
        <w:t xml:space="preserve">  </w:t>
      </w:r>
    </w:p>
    <w:p w:rsidR="00E812A8" w:rsidRPr="00701678" w:rsidRDefault="00E812A8" w:rsidP="00E812A8">
      <w:pPr>
        <w:ind w:left="2160"/>
        <w:rPr>
          <w:rFonts w:ascii="Arial" w:hAnsi="Arial" w:cs="Arial"/>
          <w:sz w:val="22"/>
          <w:szCs w:val="22"/>
        </w:rPr>
      </w:pPr>
    </w:p>
    <w:p w:rsidR="00884058" w:rsidRPr="00701678" w:rsidRDefault="00884058" w:rsidP="00176A7A">
      <w:pPr>
        <w:ind w:left="2160"/>
        <w:rPr>
          <w:rFonts w:ascii="Arial" w:hAnsi="Arial"/>
          <w:sz w:val="22"/>
        </w:rPr>
      </w:pPr>
      <w:r w:rsidRPr="00701678">
        <w:rPr>
          <w:rFonts w:ascii="Arial" w:hAnsi="Arial"/>
          <w:sz w:val="22"/>
        </w:rPr>
        <w:t>No other additional costs are anticipated.</w:t>
      </w:r>
    </w:p>
    <w:p w:rsidR="00884058" w:rsidRPr="00701678" w:rsidRDefault="00884058">
      <w:pPr>
        <w:rPr>
          <w:rFonts w:ascii="Arial" w:hAnsi="Arial"/>
          <w:sz w:val="22"/>
        </w:rPr>
      </w:pPr>
    </w:p>
    <w:p w:rsidR="00884058" w:rsidRPr="00701678" w:rsidRDefault="00884058" w:rsidP="00176A7A">
      <w:pPr>
        <w:pStyle w:val="Level1"/>
        <w:widowControl/>
        <w:numPr>
          <w:ilvl w:val="0"/>
          <w:numId w:val="10"/>
        </w:numPr>
        <w:rPr>
          <w:rFonts w:ascii="Arial" w:hAnsi="Arial"/>
          <w:sz w:val="22"/>
        </w:rPr>
      </w:pPr>
      <w:r w:rsidRPr="00701678">
        <w:rPr>
          <w:rFonts w:ascii="Arial" w:hAnsi="Arial"/>
          <w:sz w:val="22"/>
          <w:u w:val="single"/>
        </w:rPr>
        <w:t>Estimated Annualized Cost to the Federal Government</w:t>
      </w:r>
    </w:p>
    <w:p w:rsidR="00F87A90" w:rsidRPr="00701678" w:rsidRDefault="00F87A90" w:rsidP="00F87A90">
      <w:pPr>
        <w:pStyle w:val="Level1"/>
        <w:widowControl/>
        <w:rPr>
          <w:rFonts w:ascii="Arial" w:hAnsi="Arial"/>
          <w:sz w:val="22"/>
          <w:u w:val="single"/>
        </w:rPr>
      </w:pPr>
    </w:p>
    <w:p w:rsidR="00884058" w:rsidRDefault="00884058">
      <w:pPr>
        <w:ind w:left="2160"/>
        <w:rPr>
          <w:rFonts w:ascii="Arial" w:hAnsi="Arial"/>
          <w:sz w:val="22"/>
        </w:rPr>
      </w:pPr>
      <w:r>
        <w:rPr>
          <w:rFonts w:ascii="Arial" w:hAnsi="Arial"/>
          <w:sz w:val="22"/>
        </w:rPr>
        <w:t>Currently, it is anticipated that no reports will be submitted under these requirements and, therefore, there is no burden to the Government.  However, if reports were submitted, the following costs are anticipated</w:t>
      </w:r>
      <w:r w:rsidR="001104A4">
        <w:rPr>
          <w:rFonts w:ascii="Arial" w:hAnsi="Arial"/>
          <w:sz w:val="22"/>
        </w:rPr>
        <w:t>:</w:t>
      </w:r>
    </w:p>
    <w:p w:rsidR="0085356A" w:rsidRDefault="0085356A">
      <w:pPr>
        <w:ind w:left="2160"/>
        <w:rPr>
          <w:rFonts w:ascii="Arial" w:hAnsi="Arial"/>
          <w:sz w:val="22"/>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340"/>
        <w:gridCol w:w="1548"/>
      </w:tblGrid>
      <w:tr w:rsidR="001917A5" w:rsidRPr="00637915" w:rsidTr="00637915">
        <w:tc>
          <w:tcPr>
            <w:tcW w:w="3528" w:type="dxa"/>
            <w:shd w:val="clear" w:color="auto" w:fill="auto"/>
          </w:tcPr>
          <w:p w:rsidR="0085356A" w:rsidRPr="00637915" w:rsidRDefault="0085356A" w:rsidP="00637915">
            <w:pPr>
              <w:jc w:val="center"/>
              <w:rPr>
                <w:rFonts w:ascii="Arial" w:hAnsi="Arial"/>
                <w:sz w:val="22"/>
              </w:rPr>
            </w:pPr>
            <w:r w:rsidRPr="00637915">
              <w:rPr>
                <w:rFonts w:ascii="Arial" w:hAnsi="Arial"/>
                <w:sz w:val="22"/>
              </w:rPr>
              <w:t>Activity</w:t>
            </w:r>
          </w:p>
        </w:tc>
        <w:tc>
          <w:tcPr>
            <w:tcW w:w="2340" w:type="dxa"/>
            <w:shd w:val="clear" w:color="auto" w:fill="auto"/>
          </w:tcPr>
          <w:p w:rsidR="0085356A" w:rsidRPr="00637915" w:rsidRDefault="0085356A">
            <w:pPr>
              <w:rPr>
                <w:rFonts w:ascii="Arial" w:hAnsi="Arial"/>
                <w:sz w:val="22"/>
              </w:rPr>
            </w:pPr>
            <w:r w:rsidRPr="00637915">
              <w:rPr>
                <w:rFonts w:ascii="Arial" w:hAnsi="Arial"/>
                <w:sz w:val="22"/>
              </w:rPr>
              <w:t>Estimated Review Time</w:t>
            </w:r>
          </w:p>
        </w:tc>
        <w:tc>
          <w:tcPr>
            <w:tcW w:w="1548" w:type="dxa"/>
            <w:shd w:val="clear" w:color="auto" w:fill="auto"/>
          </w:tcPr>
          <w:p w:rsidR="0085356A" w:rsidRPr="00637915" w:rsidRDefault="001917A5" w:rsidP="00637915">
            <w:pPr>
              <w:jc w:val="center"/>
              <w:rPr>
                <w:rFonts w:ascii="Arial" w:hAnsi="Arial"/>
                <w:sz w:val="22"/>
              </w:rPr>
            </w:pPr>
            <w:r w:rsidRPr="00637915">
              <w:rPr>
                <w:rFonts w:ascii="Arial" w:hAnsi="Arial"/>
                <w:sz w:val="22"/>
              </w:rPr>
              <w:t xml:space="preserve">Estimated </w:t>
            </w:r>
            <w:r w:rsidR="0085356A" w:rsidRPr="00637915">
              <w:rPr>
                <w:rFonts w:ascii="Arial" w:hAnsi="Arial"/>
                <w:sz w:val="22"/>
              </w:rPr>
              <w:t>Cost</w:t>
            </w:r>
          </w:p>
        </w:tc>
      </w:tr>
      <w:tr w:rsidR="001917A5" w:rsidRPr="00637915" w:rsidTr="00637915">
        <w:tc>
          <w:tcPr>
            <w:tcW w:w="3528" w:type="dxa"/>
            <w:shd w:val="clear" w:color="auto" w:fill="auto"/>
          </w:tcPr>
          <w:p w:rsidR="0085356A" w:rsidRPr="00637915" w:rsidRDefault="001917A5">
            <w:pPr>
              <w:rPr>
                <w:rFonts w:ascii="Arial" w:hAnsi="Arial"/>
                <w:sz w:val="22"/>
              </w:rPr>
            </w:pPr>
            <w:r w:rsidRPr="00637915">
              <w:rPr>
                <w:rFonts w:ascii="Arial" w:hAnsi="Arial"/>
                <w:sz w:val="22"/>
              </w:rPr>
              <w:t>Review a report submitted on a nonexclusive license</w:t>
            </w:r>
          </w:p>
        </w:tc>
        <w:tc>
          <w:tcPr>
            <w:tcW w:w="2340" w:type="dxa"/>
            <w:shd w:val="clear" w:color="auto" w:fill="auto"/>
          </w:tcPr>
          <w:p w:rsidR="0085356A" w:rsidRPr="00637915" w:rsidRDefault="001917A5">
            <w:pPr>
              <w:rPr>
                <w:rFonts w:ascii="Arial" w:hAnsi="Arial"/>
                <w:sz w:val="22"/>
              </w:rPr>
            </w:pPr>
            <w:r w:rsidRPr="00637915">
              <w:rPr>
                <w:rFonts w:ascii="Arial" w:hAnsi="Arial"/>
                <w:sz w:val="22"/>
              </w:rPr>
              <w:t>4 hours</w:t>
            </w:r>
          </w:p>
        </w:tc>
        <w:tc>
          <w:tcPr>
            <w:tcW w:w="1548" w:type="dxa"/>
            <w:shd w:val="clear" w:color="auto" w:fill="auto"/>
          </w:tcPr>
          <w:p w:rsidR="0085356A" w:rsidRPr="00637915" w:rsidRDefault="00821FB8" w:rsidP="00FF4972">
            <w:pPr>
              <w:rPr>
                <w:rFonts w:ascii="Arial" w:hAnsi="Arial"/>
                <w:sz w:val="22"/>
              </w:rPr>
            </w:pPr>
            <w:r>
              <w:rPr>
                <w:rFonts w:ascii="Arial" w:hAnsi="Arial"/>
                <w:sz w:val="22"/>
              </w:rPr>
              <w:t xml:space="preserve">          </w:t>
            </w:r>
            <w:r w:rsidR="001917A5" w:rsidRPr="00637915">
              <w:rPr>
                <w:rFonts w:ascii="Arial" w:hAnsi="Arial"/>
                <w:sz w:val="22"/>
              </w:rPr>
              <w:t>$1,</w:t>
            </w:r>
            <w:r w:rsidR="008F6466">
              <w:rPr>
                <w:rFonts w:ascii="Arial" w:hAnsi="Arial"/>
                <w:sz w:val="22"/>
              </w:rPr>
              <w:t>060</w:t>
            </w:r>
          </w:p>
        </w:tc>
      </w:tr>
      <w:tr w:rsidR="001917A5" w:rsidRPr="00637915" w:rsidTr="00637915">
        <w:tc>
          <w:tcPr>
            <w:tcW w:w="3528" w:type="dxa"/>
            <w:shd w:val="clear" w:color="auto" w:fill="auto"/>
          </w:tcPr>
          <w:p w:rsidR="0085356A" w:rsidRPr="00637915" w:rsidRDefault="001917A5" w:rsidP="002D4A84">
            <w:pPr>
              <w:rPr>
                <w:rFonts w:ascii="Arial" w:hAnsi="Arial"/>
                <w:sz w:val="22"/>
              </w:rPr>
            </w:pPr>
            <w:r w:rsidRPr="00637915">
              <w:rPr>
                <w:rFonts w:ascii="Arial" w:hAnsi="Arial"/>
                <w:sz w:val="22"/>
              </w:rPr>
              <w:t xml:space="preserve">review information supporting a </w:t>
            </w:r>
            <w:r w:rsidR="002D4A84" w:rsidRPr="00637915">
              <w:rPr>
                <w:rFonts w:ascii="Arial" w:hAnsi="Arial"/>
                <w:sz w:val="22"/>
              </w:rPr>
              <w:t>request for an extended license  period</w:t>
            </w:r>
          </w:p>
        </w:tc>
        <w:tc>
          <w:tcPr>
            <w:tcW w:w="2340" w:type="dxa"/>
            <w:shd w:val="clear" w:color="auto" w:fill="auto"/>
          </w:tcPr>
          <w:p w:rsidR="0085356A" w:rsidRPr="00637915" w:rsidRDefault="001917A5">
            <w:pPr>
              <w:rPr>
                <w:rFonts w:ascii="Arial" w:hAnsi="Arial"/>
                <w:sz w:val="22"/>
              </w:rPr>
            </w:pPr>
            <w:r w:rsidRPr="00637915">
              <w:rPr>
                <w:rFonts w:ascii="Arial" w:hAnsi="Arial"/>
                <w:sz w:val="22"/>
              </w:rPr>
              <w:t>5 hours</w:t>
            </w:r>
          </w:p>
        </w:tc>
        <w:tc>
          <w:tcPr>
            <w:tcW w:w="1548" w:type="dxa"/>
            <w:shd w:val="clear" w:color="auto" w:fill="auto"/>
          </w:tcPr>
          <w:p w:rsidR="0085356A" w:rsidRPr="00637915" w:rsidRDefault="00821FB8">
            <w:pPr>
              <w:rPr>
                <w:rFonts w:ascii="Arial" w:hAnsi="Arial"/>
                <w:sz w:val="22"/>
              </w:rPr>
            </w:pPr>
            <w:r>
              <w:rPr>
                <w:rFonts w:ascii="Arial" w:hAnsi="Arial"/>
                <w:sz w:val="22"/>
              </w:rPr>
              <w:t xml:space="preserve">          </w:t>
            </w:r>
            <w:r w:rsidR="008F6466">
              <w:rPr>
                <w:rFonts w:ascii="Arial" w:hAnsi="Arial"/>
                <w:sz w:val="22"/>
              </w:rPr>
              <w:t>$1,325</w:t>
            </w:r>
          </w:p>
        </w:tc>
      </w:tr>
      <w:tr w:rsidR="001917A5" w:rsidRPr="00637915" w:rsidTr="00637915">
        <w:tc>
          <w:tcPr>
            <w:tcW w:w="3528" w:type="dxa"/>
            <w:shd w:val="clear" w:color="auto" w:fill="auto"/>
          </w:tcPr>
          <w:p w:rsidR="0085356A" w:rsidRPr="00637915" w:rsidRDefault="00BB0F5C">
            <w:pPr>
              <w:rPr>
                <w:rFonts w:ascii="Arial" w:hAnsi="Arial"/>
                <w:sz w:val="22"/>
              </w:rPr>
            </w:pPr>
            <w:r w:rsidRPr="00637915">
              <w:rPr>
                <w:rFonts w:ascii="Arial" w:hAnsi="Arial"/>
                <w:sz w:val="22"/>
              </w:rPr>
              <w:t>R</w:t>
            </w:r>
            <w:r w:rsidR="002D4A84" w:rsidRPr="00637915">
              <w:rPr>
                <w:rFonts w:ascii="Arial" w:hAnsi="Arial"/>
                <w:sz w:val="22"/>
              </w:rPr>
              <w:t>eview a license assignment or transfer notice</w:t>
            </w:r>
          </w:p>
        </w:tc>
        <w:tc>
          <w:tcPr>
            <w:tcW w:w="2340" w:type="dxa"/>
            <w:shd w:val="clear" w:color="auto" w:fill="auto"/>
          </w:tcPr>
          <w:p w:rsidR="0085356A" w:rsidRPr="00637915" w:rsidRDefault="002D4A84">
            <w:pPr>
              <w:rPr>
                <w:rFonts w:ascii="Arial" w:hAnsi="Arial"/>
                <w:sz w:val="22"/>
              </w:rPr>
            </w:pPr>
            <w:r w:rsidRPr="00637915">
              <w:rPr>
                <w:rFonts w:ascii="Arial" w:hAnsi="Arial"/>
                <w:sz w:val="22"/>
              </w:rPr>
              <w:t>2 hours</w:t>
            </w:r>
          </w:p>
        </w:tc>
        <w:tc>
          <w:tcPr>
            <w:tcW w:w="1548" w:type="dxa"/>
            <w:shd w:val="clear" w:color="auto" w:fill="auto"/>
          </w:tcPr>
          <w:p w:rsidR="0085356A" w:rsidRPr="00637915" w:rsidRDefault="00821FB8">
            <w:pPr>
              <w:rPr>
                <w:rFonts w:ascii="Arial" w:hAnsi="Arial"/>
                <w:sz w:val="22"/>
              </w:rPr>
            </w:pPr>
            <w:r>
              <w:rPr>
                <w:rFonts w:ascii="Arial" w:hAnsi="Arial"/>
                <w:sz w:val="22"/>
              </w:rPr>
              <w:t xml:space="preserve">             </w:t>
            </w:r>
            <w:r w:rsidR="008F6466">
              <w:rPr>
                <w:rFonts w:ascii="Arial" w:hAnsi="Arial"/>
                <w:sz w:val="22"/>
              </w:rPr>
              <w:t>$530</w:t>
            </w:r>
          </w:p>
        </w:tc>
      </w:tr>
      <w:tr w:rsidR="001917A5" w:rsidRPr="00637915" w:rsidTr="00637915">
        <w:tc>
          <w:tcPr>
            <w:tcW w:w="3528" w:type="dxa"/>
            <w:shd w:val="clear" w:color="auto" w:fill="auto"/>
          </w:tcPr>
          <w:p w:rsidR="0085356A" w:rsidRPr="00637915" w:rsidRDefault="002D4A84" w:rsidP="00BB0F5C">
            <w:pPr>
              <w:rPr>
                <w:rFonts w:ascii="Arial" w:hAnsi="Arial"/>
                <w:sz w:val="22"/>
              </w:rPr>
            </w:pPr>
            <w:r w:rsidRPr="00637915">
              <w:rPr>
                <w:rFonts w:ascii="Arial" w:hAnsi="Arial"/>
                <w:sz w:val="22"/>
              </w:rPr>
              <w:t>Review</w:t>
            </w:r>
            <w:r w:rsidR="00BB0F5C" w:rsidRPr="00637915">
              <w:rPr>
                <w:rFonts w:ascii="Arial" w:hAnsi="Arial"/>
                <w:sz w:val="22"/>
              </w:rPr>
              <w:t xml:space="preserve"> a copy of any sublicense or assignment</w:t>
            </w:r>
          </w:p>
        </w:tc>
        <w:tc>
          <w:tcPr>
            <w:tcW w:w="2340" w:type="dxa"/>
            <w:shd w:val="clear" w:color="auto" w:fill="auto"/>
          </w:tcPr>
          <w:p w:rsidR="0085356A" w:rsidRPr="00637915" w:rsidRDefault="007E133F">
            <w:pPr>
              <w:rPr>
                <w:rFonts w:ascii="Arial" w:hAnsi="Arial"/>
                <w:sz w:val="22"/>
              </w:rPr>
            </w:pPr>
            <w:r w:rsidRPr="00637915">
              <w:rPr>
                <w:rFonts w:ascii="Arial" w:hAnsi="Arial"/>
                <w:sz w:val="22"/>
              </w:rPr>
              <w:t>3 hours</w:t>
            </w:r>
          </w:p>
        </w:tc>
        <w:tc>
          <w:tcPr>
            <w:tcW w:w="1548" w:type="dxa"/>
            <w:shd w:val="clear" w:color="auto" w:fill="auto"/>
          </w:tcPr>
          <w:p w:rsidR="0085356A" w:rsidRPr="00637915" w:rsidRDefault="00821FB8">
            <w:pPr>
              <w:rPr>
                <w:rFonts w:ascii="Arial" w:hAnsi="Arial"/>
                <w:sz w:val="22"/>
              </w:rPr>
            </w:pPr>
            <w:r>
              <w:rPr>
                <w:rFonts w:ascii="Arial" w:hAnsi="Arial"/>
                <w:sz w:val="22"/>
              </w:rPr>
              <w:t xml:space="preserve">             </w:t>
            </w:r>
            <w:r w:rsidR="008F6466">
              <w:rPr>
                <w:rFonts w:ascii="Arial" w:hAnsi="Arial"/>
                <w:sz w:val="22"/>
              </w:rPr>
              <w:t>$795</w:t>
            </w:r>
          </w:p>
        </w:tc>
      </w:tr>
      <w:tr w:rsidR="002D4A84" w:rsidRPr="00637915" w:rsidTr="00637915">
        <w:tc>
          <w:tcPr>
            <w:tcW w:w="3528" w:type="dxa"/>
            <w:shd w:val="clear" w:color="auto" w:fill="auto"/>
          </w:tcPr>
          <w:p w:rsidR="00F156F5" w:rsidRPr="00637915" w:rsidRDefault="007E133F">
            <w:pPr>
              <w:rPr>
                <w:rFonts w:ascii="Arial" w:hAnsi="Arial"/>
                <w:sz w:val="22"/>
              </w:rPr>
            </w:pPr>
            <w:r w:rsidRPr="00637915">
              <w:rPr>
                <w:rFonts w:ascii="Arial" w:hAnsi="Arial"/>
                <w:sz w:val="22"/>
              </w:rPr>
              <w:t>Review a practical application progress report</w:t>
            </w:r>
          </w:p>
          <w:p w:rsidR="00F156F5" w:rsidRPr="00637915" w:rsidRDefault="00F156F5">
            <w:pPr>
              <w:rPr>
                <w:rFonts w:ascii="Arial" w:hAnsi="Arial"/>
                <w:sz w:val="22"/>
              </w:rPr>
            </w:pPr>
          </w:p>
          <w:p w:rsidR="00F156F5" w:rsidRPr="00637915" w:rsidRDefault="00F156F5">
            <w:pPr>
              <w:rPr>
                <w:rFonts w:ascii="Arial" w:hAnsi="Arial"/>
                <w:sz w:val="22"/>
              </w:rPr>
            </w:pPr>
            <w:r w:rsidRPr="00637915">
              <w:rPr>
                <w:rFonts w:ascii="Arial" w:hAnsi="Arial"/>
                <w:sz w:val="22"/>
              </w:rPr>
              <w:t>Prepare and give written notice to the licensee about the intention to modify or revoke</w:t>
            </w:r>
            <w:r w:rsidRPr="00637915">
              <w:rPr>
                <w:rFonts w:ascii="Arial" w:hAnsi="Arial"/>
                <w:b/>
                <w:sz w:val="22"/>
              </w:rPr>
              <w:t xml:space="preserve"> </w:t>
            </w:r>
            <w:r w:rsidRPr="00637915">
              <w:rPr>
                <w:rFonts w:ascii="Arial" w:hAnsi="Arial"/>
                <w:sz w:val="22"/>
              </w:rPr>
              <w:t>the license</w:t>
            </w:r>
          </w:p>
          <w:p w:rsidR="00F156F5" w:rsidRPr="00637915" w:rsidRDefault="00F156F5">
            <w:pPr>
              <w:rPr>
                <w:rFonts w:ascii="Arial" w:hAnsi="Arial"/>
                <w:sz w:val="22"/>
              </w:rPr>
            </w:pPr>
          </w:p>
          <w:p w:rsidR="00F156F5" w:rsidRPr="00637915" w:rsidRDefault="00F156F5">
            <w:pPr>
              <w:rPr>
                <w:rFonts w:ascii="Arial" w:hAnsi="Arial"/>
                <w:sz w:val="22"/>
              </w:rPr>
            </w:pPr>
            <w:r w:rsidRPr="00637915">
              <w:rPr>
                <w:rFonts w:ascii="Arial" w:hAnsi="Arial"/>
                <w:sz w:val="22"/>
              </w:rPr>
              <w:t>Review court pleadings</w:t>
            </w:r>
          </w:p>
          <w:p w:rsidR="00F156F5" w:rsidRPr="00637915" w:rsidRDefault="00F156F5">
            <w:pPr>
              <w:rPr>
                <w:rFonts w:ascii="Arial" w:hAnsi="Arial"/>
                <w:sz w:val="22"/>
              </w:rPr>
            </w:pPr>
          </w:p>
          <w:p w:rsidR="00F156F5" w:rsidRPr="00637915" w:rsidRDefault="00F156F5">
            <w:pPr>
              <w:rPr>
                <w:rFonts w:ascii="Arial" w:hAnsi="Arial"/>
                <w:sz w:val="22"/>
              </w:rPr>
            </w:pPr>
            <w:r w:rsidRPr="00637915">
              <w:rPr>
                <w:rFonts w:ascii="Arial" w:hAnsi="Arial"/>
                <w:sz w:val="22"/>
              </w:rPr>
              <w:t>Review a licensee’s surrendered license</w:t>
            </w:r>
          </w:p>
          <w:p w:rsidR="00F156F5" w:rsidRPr="00637915" w:rsidRDefault="00F156F5">
            <w:pPr>
              <w:rPr>
                <w:rFonts w:ascii="Arial" w:hAnsi="Arial"/>
                <w:sz w:val="22"/>
              </w:rPr>
            </w:pPr>
          </w:p>
          <w:p w:rsidR="00F156F5" w:rsidRPr="00637915" w:rsidRDefault="00F156F5">
            <w:pPr>
              <w:rPr>
                <w:rFonts w:ascii="Arial" w:hAnsi="Arial"/>
                <w:sz w:val="22"/>
              </w:rPr>
            </w:pPr>
            <w:r w:rsidRPr="00637915">
              <w:rPr>
                <w:rFonts w:ascii="Arial" w:hAnsi="Arial"/>
                <w:sz w:val="22"/>
              </w:rPr>
              <w:t>Review an application</w:t>
            </w:r>
          </w:p>
        </w:tc>
        <w:tc>
          <w:tcPr>
            <w:tcW w:w="2340" w:type="dxa"/>
            <w:shd w:val="clear" w:color="auto" w:fill="auto"/>
          </w:tcPr>
          <w:p w:rsidR="002D4A84" w:rsidRPr="00637915" w:rsidRDefault="007E133F">
            <w:pPr>
              <w:rPr>
                <w:rFonts w:ascii="Arial" w:hAnsi="Arial"/>
                <w:sz w:val="22"/>
              </w:rPr>
            </w:pPr>
            <w:r w:rsidRPr="00637915">
              <w:rPr>
                <w:rFonts w:ascii="Arial" w:hAnsi="Arial"/>
                <w:sz w:val="22"/>
              </w:rPr>
              <w:t>4 hours</w:t>
            </w:r>
          </w:p>
          <w:p w:rsidR="00F156F5" w:rsidRPr="00637915" w:rsidRDefault="00F156F5">
            <w:pPr>
              <w:rPr>
                <w:rFonts w:ascii="Arial" w:hAnsi="Arial"/>
                <w:sz w:val="22"/>
              </w:rPr>
            </w:pPr>
          </w:p>
          <w:p w:rsidR="00F156F5" w:rsidRPr="00637915" w:rsidRDefault="00F156F5">
            <w:pPr>
              <w:rPr>
                <w:rFonts w:ascii="Arial" w:hAnsi="Arial"/>
                <w:sz w:val="22"/>
              </w:rPr>
            </w:pPr>
          </w:p>
          <w:p w:rsidR="00F156F5" w:rsidRPr="00637915" w:rsidRDefault="00F156F5">
            <w:pPr>
              <w:rPr>
                <w:rFonts w:ascii="Arial" w:hAnsi="Arial"/>
                <w:sz w:val="22"/>
              </w:rPr>
            </w:pPr>
          </w:p>
          <w:p w:rsidR="00F156F5" w:rsidRPr="00637915" w:rsidRDefault="00F156F5">
            <w:pPr>
              <w:rPr>
                <w:rFonts w:ascii="Arial" w:hAnsi="Arial"/>
                <w:sz w:val="22"/>
              </w:rPr>
            </w:pPr>
          </w:p>
          <w:p w:rsidR="00F156F5" w:rsidRPr="00637915" w:rsidRDefault="00F156F5">
            <w:pPr>
              <w:rPr>
                <w:rFonts w:ascii="Arial" w:hAnsi="Arial"/>
                <w:sz w:val="22"/>
              </w:rPr>
            </w:pPr>
          </w:p>
          <w:p w:rsidR="00F156F5" w:rsidRPr="00637915" w:rsidRDefault="00F156F5">
            <w:pPr>
              <w:rPr>
                <w:rFonts w:ascii="Arial" w:hAnsi="Arial"/>
                <w:sz w:val="22"/>
              </w:rPr>
            </w:pPr>
          </w:p>
          <w:p w:rsidR="00F156F5" w:rsidRPr="00637915" w:rsidRDefault="00F156F5">
            <w:pPr>
              <w:rPr>
                <w:rFonts w:ascii="Arial" w:hAnsi="Arial"/>
                <w:sz w:val="22"/>
              </w:rPr>
            </w:pPr>
            <w:r w:rsidRPr="00637915">
              <w:rPr>
                <w:rFonts w:ascii="Arial" w:hAnsi="Arial"/>
                <w:sz w:val="22"/>
              </w:rPr>
              <w:t>Subject to complexity</w:t>
            </w:r>
          </w:p>
        </w:tc>
        <w:tc>
          <w:tcPr>
            <w:tcW w:w="1548" w:type="dxa"/>
            <w:shd w:val="clear" w:color="auto" w:fill="auto"/>
          </w:tcPr>
          <w:p w:rsidR="002D4A84" w:rsidRPr="00637915" w:rsidRDefault="00821FB8">
            <w:pPr>
              <w:rPr>
                <w:rFonts w:ascii="Arial" w:hAnsi="Arial"/>
                <w:sz w:val="22"/>
              </w:rPr>
            </w:pPr>
            <w:r>
              <w:rPr>
                <w:rFonts w:ascii="Arial" w:hAnsi="Arial"/>
                <w:sz w:val="22"/>
              </w:rPr>
              <w:t xml:space="preserve">          </w:t>
            </w:r>
            <w:r w:rsidR="007E133F" w:rsidRPr="00637915">
              <w:rPr>
                <w:rFonts w:ascii="Arial" w:hAnsi="Arial"/>
                <w:sz w:val="22"/>
              </w:rPr>
              <w:t>$1,0</w:t>
            </w:r>
            <w:r w:rsidR="008F6466">
              <w:rPr>
                <w:rFonts w:ascii="Arial" w:hAnsi="Arial"/>
                <w:sz w:val="22"/>
              </w:rPr>
              <w:t>60</w:t>
            </w:r>
          </w:p>
        </w:tc>
      </w:tr>
    </w:tbl>
    <w:p w:rsidR="0085356A" w:rsidRDefault="0085356A">
      <w:pPr>
        <w:ind w:left="2160"/>
        <w:rPr>
          <w:rFonts w:ascii="Arial" w:hAnsi="Arial"/>
          <w:sz w:val="22"/>
        </w:rPr>
      </w:pPr>
    </w:p>
    <w:p w:rsidR="00884058" w:rsidRDefault="00FF4972" w:rsidP="00FF4972">
      <w:pPr>
        <w:ind w:left="2136"/>
        <w:rPr>
          <w:rFonts w:ascii="Arial" w:hAnsi="Arial"/>
          <w:sz w:val="22"/>
        </w:rPr>
      </w:pPr>
      <w:r>
        <w:rPr>
          <w:rFonts w:ascii="Arial" w:hAnsi="Arial"/>
          <w:sz w:val="22"/>
        </w:rPr>
        <w:t>The total annual cost to the NRC for all of these requir</w:t>
      </w:r>
      <w:r w:rsidR="008F6466">
        <w:rPr>
          <w:rFonts w:ascii="Arial" w:hAnsi="Arial"/>
          <w:sz w:val="22"/>
        </w:rPr>
        <w:t>ements is estimated to be $4,770</w:t>
      </w:r>
      <w:r>
        <w:rPr>
          <w:rFonts w:ascii="Arial" w:hAnsi="Arial"/>
          <w:sz w:val="22"/>
        </w:rPr>
        <w:t xml:space="preserve"> per respondent.</w:t>
      </w:r>
    </w:p>
    <w:p w:rsidR="00884058" w:rsidRDefault="00884058" w:rsidP="00356222">
      <w:pPr>
        <w:ind w:left="2880"/>
        <w:rPr>
          <w:rFonts w:ascii="Arial" w:hAnsi="Arial"/>
          <w:sz w:val="22"/>
        </w:rPr>
      </w:pPr>
    </w:p>
    <w:p w:rsidR="00F02405" w:rsidRPr="00701678" w:rsidRDefault="00F02405" w:rsidP="00F02405">
      <w:pPr>
        <w:ind w:left="3240"/>
        <w:rPr>
          <w:rFonts w:ascii="Arial" w:hAnsi="Arial"/>
          <w:sz w:val="22"/>
        </w:rPr>
      </w:pPr>
    </w:p>
    <w:p w:rsidR="00F87A90" w:rsidRPr="00701678" w:rsidRDefault="00884058" w:rsidP="00F02405">
      <w:pPr>
        <w:pStyle w:val="Level1"/>
        <w:keepNext/>
        <w:keepLines/>
        <w:numPr>
          <w:ilvl w:val="0"/>
          <w:numId w:val="10"/>
        </w:numPr>
        <w:ind w:left="1440" w:firstLine="0"/>
        <w:rPr>
          <w:rFonts w:ascii="Arial" w:hAnsi="Arial" w:cs="Arial"/>
          <w:szCs w:val="24"/>
        </w:rPr>
      </w:pPr>
      <w:r w:rsidRPr="00701678">
        <w:rPr>
          <w:rFonts w:ascii="Arial" w:hAnsi="Arial"/>
          <w:sz w:val="22"/>
          <w:u w:val="single"/>
        </w:rPr>
        <w:t>Reasons for Change in Burden or Cost</w:t>
      </w:r>
    </w:p>
    <w:p w:rsidR="00ED0438" w:rsidRPr="00701678" w:rsidRDefault="00ED0438" w:rsidP="00ED0438">
      <w:pPr>
        <w:pStyle w:val="Level1"/>
        <w:keepNext/>
        <w:keepLines/>
        <w:ind w:left="1440"/>
        <w:rPr>
          <w:rFonts w:ascii="Arial" w:hAnsi="Arial" w:cs="Arial"/>
          <w:szCs w:val="24"/>
        </w:rPr>
      </w:pPr>
    </w:p>
    <w:p w:rsidR="00821FB8" w:rsidRDefault="00884058" w:rsidP="007F2143">
      <w:pPr>
        <w:keepLines/>
        <w:ind w:left="2160"/>
        <w:rPr>
          <w:rFonts w:ascii="Arial" w:hAnsi="Arial"/>
          <w:sz w:val="22"/>
        </w:rPr>
      </w:pPr>
      <w:r w:rsidRPr="00701678">
        <w:rPr>
          <w:rFonts w:ascii="Arial" w:hAnsi="Arial"/>
          <w:sz w:val="22"/>
        </w:rPr>
        <w:t xml:space="preserve">This renewal represents no increase in the burden </w:t>
      </w:r>
      <w:r>
        <w:rPr>
          <w:rFonts w:ascii="Arial" w:hAnsi="Arial"/>
          <w:sz w:val="22"/>
        </w:rPr>
        <w:t xml:space="preserve">on potential respondents. </w:t>
      </w:r>
    </w:p>
    <w:p w:rsidR="00821FB8" w:rsidRDefault="00821FB8" w:rsidP="007F2143">
      <w:pPr>
        <w:keepLines/>
        <w:ind w:left="2160"/>
        <w:rPr>
          <w:rFonts w:ascii="Arial" w:hAnsi="Arial"/>
          <w:sz w:val="22"/>
        </w:rPr>
      </w:pPr>
    </w:p>
    <w:p w:rsidR="00884058" w:rsidRDefault="00FF4972" w:rsidP="007F2143">
      <w:pPr>
        <w:keepLines/>
        <w:ind w:left="2160"/>
        <w:rPr>
          <w:rFonts w:ascii="Arial" w:hAnsi="Arial"/>
          <w:sz w:val="22"/>
        </w:rPr>
      </w:pPr>
      <w:r>
        <w:rPr>
          <w:rFonts w:ascii="Arial" w:hAnsi="Arial"/>
          <w:sz w:val="22"/>
        </w:rPr>
        <w:t>How</w:t>
      </w:r>
      <w:r w:rsidR="00DD682E">
        <w:rPr>
          <w:rFonts w:ascii="Arial" w:hAnsi="Arial"/>
          <w:sz w:val="22"/>
        </w:rPr>
        <w:t>ever, there has been a decrease in the hourly fee rate from $272 to $265</w:t>
      </w:r>
      <w:r>
        <w:rPr>
          <w:rFonts w:ascii="Arial" w:hAnsi="Arial"/>
          <w:sz w:val="22"/>
        </w:rPr>
        <w:t>.</w:t>
      </w:r>
    </w:p>
    <w:p w:rsidR="00884058" w:rsidRDefault="00884058">
      <w:pPr>
        <w:rPr>
          <w:rFonts w:ascii="Arial" w:hAnsi="Arial"/>
          <w:sz w:val="22"/>
        </w:rPr>
      </w:pPr>
    </w:p>
    <w:p w:rsidR="00884058" w:rsidRDefault="00884058" w:rsidP="00176A7A">
      <w:pPr>
        <w:pStyle w:val="Level1"/>
        <w:numPr>
          <w:ilvl w:val="0"/>
          <w:numId w:val="10"/>
        </w:numPr>
        <w:rPr>
          <w:rFonts w:ascii="Arial" w:hAnsi="Arial"/>
          <w:sz w:val="22"/>
        </w:rPr>
      </w:pPr>
      <w:r>
        <w:rPr>
          <w:rFonts w:ascii="Arial" w:hAnsi="Arial"/>
          <w:sz w:val="22"/>
          <w:u w:val="single"/>
        </w:rPr>
        <w:t>Publication for Statistical Use</w:t>
      </w:r>
      <w:r>
        <w:rPr>
          <w:rFonts w:ascii="Arial" w:hAnsi="Arial"/>
          <w:sz w:val="22"/>
        </w:rPr>
        <w:t xml:space="preserve"> </w:t>
      </w:r>
    </w:p>
    <w:p w:rsidR="00884058" w:rsidRDefault="00884058">
      <w:pPr>
        <w:widowControl w:val="0"/>
        <w:ind w:left="720"/>
        <w:rPr>
          <w:rFonts w:ascii="Arial" w:hAnsi="Arial"/>
          <w:sz w:val="22"/>
        </w:rPr>
      </w:pPr>
    </w:p>
    <w:p w:rsidR="00884058" w:rsidRDefault="00884058">
      <w:pPr>
        <w:widowControl w:val="0"/>
        <w:ind w:left="2160"/>
        <w:rPr>
          <w:rFonts w:ascii="Arial" w:hAnsi="Arial"/>
          <w:sz w:val="22"/>
        </w:rPr>
      </w:pPr>
      <w:r>
        <w:rPr>
          <w:rFonts w:ascii="Arial" w:hAnsi="Arial"/>
          <w:sz w:val="22"/>
        </w:rPr>
        <w:t>The collections of information under these requirements will not be published for statistical use.</w:t>
      </w:r>
    </w:p>
    <w:p w:rsidR="00884058" w:rsidRDefault="00884058">
      <w:pPr>
        <w:widowControl w:val="0"/>
        <w:rPr>
          <w:rFonts w:ascii="Arial" w:hAnsi="Arial"/>
          <w:sz w:val="22"/>
        </w:rPr>
      </w:pPr>
    </w:p>
    <w:p w:rsidR="00884058" w:rsidRDefault="00884058" w:rsidP="00176A7A">
      <w:pPr>
        <w:pStyle w:val="Level1"/>
        <w:numPr>
          <w:ilvl w:val="0"/>
          <w:numId w:val="10"/>
        </w:numPr>
        <w:rPr>
          <w:rFonts w:ascii="Arial" w:hAnsi="Arial"/>
          <w:sz w:val="22"/>
        </w:rPr>
      </w:pPr>
      <w:r>
        <w:rPr>
          <w:rFonts w:ascii="Arial" w:hAnsi="Arial"/>
          <w:sz w:val="22"/>
          <w:u w:val="single"/>
        </w:rPr>
        <w:t>Reason for Not Displaying the Expiration Date</w:t>
      </w:r>
      <w:r>
        <w:rPr>
          <w:rFonts w:ascii="Arial" w:hAnsi="Arial"/>
          <w:sz w:val="22"/>
        </w:rPr>
        <w:t xml:space="preserve"> </w:t>
      </w:r>
    </w:p>
    <w:p w:rsidR="00884058" w:rsidRDefault="00884058">
      <w:pPr>
        <w:widowControl w:val="0"/>
        <w:rPr>
          <w:rFonts w:ascii="Arial" w:hAnsi="Arial"/>
          <w:sz w:val="22"/>
        </w:rPr>
      </w:pPr>
    </w:p>
    <w:p w:rsidR="00884058" w:rsidRDefault="00701678" w:rsidP="00701678">
      <w:pPr>
        <w:widowControl w:val="0"/>
        <w:tabs>
          <w:tab w:val="left" w:pos="540"/>
        </w:tabs>
        <w:ind w:left="2160"/>
        <w:rPr>
          <w:rFonts w:ascii="Arial" w:hAnsi="Arial"/>
          <w:sz w:val="22"/>
        </w:rPr>
      </w:pPr>
      <w:r w:rsidRPr="00701678">
        <w:rPr>
          <w:rFonts w:ascii="Arial" w:hAnsi="Arial"/>
          <w:sz w:val="22"/>
        </w:rPr>
        <w:t xml:space="preserve">The </w:t>
      </w:r>
      <w:r w:rsidR="00AD5A51">
        <w:rPr>
          <w:rFonts w:ascii="Arial" w:hAnsi="Arial"/>
          <w:sz w:val="22"/>
        </w:rPr>
        <w:t xml:space="preserve">recordkeeping and </w:t>
      </w:r>
      <w:r w:rsidRPr="00701678">
        <w:rPr>
          <w:rFonts w:ascii="Arial" w:hAnsi="Arial"/>
          <w:sz w:val="22"/>
        </w:rPr>
        <w:t>reporting requirement</w:t>
      </w:r>
      <w:r>
        <w:rPr>
          <w:rFonts w:ascii="Arial" w:hAnsi="Arial"/>
          <w:sz w:val="22"/>
        </w:rPr>
        <w:t>s</w:t>
      </w:r>
      <w:r w:rsidRPr="00701678">
        <w:rPr>
          <w:rFonts w:ascii="Arial" w:hAnsi="Arial"/>
          <w:sz w:val="22"/>
        </w:rPr>
        <w:t xml:space="preserve">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701678" w:rsidRDefault="00701678" w:rsidP="00701678">
      <w:pPr>
        <w:widowControl w:val="0"/>
        <w:tabs>
          <w:tab w:val="left" w:pos="540"/>
        </w:tabs>
        <w:ind w:left="2160"/>
        <w:rPr>
          <w:rFonts w:ascii="Arial" w:hAnsi="Arial"/>
          <w:sz w:val="22"/>
        </w:rPr>
      </w:pPr>
    </w:p>
    <w:p w:rsidR="00884058" w:rsidRDefault="00884058" w:rsidP="00176A7A">
      <w:pPr>
        <w:pStyle w:val="Level1"/>
        <w:numPr>
          <w:ilvl w:val="0"/>
          <w:numId w:val="10"/>
        </w:numPr>
        <w:rPr>
          <w:rFonts w:ascii="Arial" w:hAnsi="Arial"/>
          <w:sz w:val="22"/>
        </w:rPr>
      </w:pPr>
      <w:r>
        <w:rPr>
          <w:rFonts w:ascii="Arial" w:hAnsi="Arial"/>
          <w:sz w:val="22"/>
          <w:u w:val="single"/>
        </w:rPr>
        <w:t>Exceptions to the Certification Statement</w:t>
      </w:r>
    </w:p>
    <w:p w:rsidR="00884058" w:rsidRDefault="00884058">
      <w:pPr>
        <w:widowControl w:val="0"/>
        <w:rPr>
          <w:rFonts w:ascii="Arial" w:hAnsi="Arial"/>
          <w:sz w:val="22"/>
        </w:rPr>
      </w:pPr>
    </w:p>
    <w:p w:rsidR="00884058" w:rsidRDefault="00884058" w:rsidP="00176A7A">
      <w:pPr>
        <w:widowControl w:val="0"/>
        <w:ind w:left="2160"/>
        <w:rPr>
          <w:rFonts w:ascii="Arial" w:hAnsi="Arial"/>
          <w:sz w:val="22"/>
        </w:rPr>
      </w:pPr>
      <w:r>
        <w:rPr>
          <w:rFonts w:ascii="Arial" w:hAnsi="Arial"/>
          <w:sz w:val="22"/>
        </w:rPr>
        <w:t>None.</w:t>
      </w:r>
    </w:p>
    <w:p w:rsidR="00884058" w:rsidRDefault="00884058">
      <w:pPr>
        <w:widowControl w:val="0"/>
        <w:rPr>
          <w:rFonts w:ascii="Arial" w:hAnsi="Arial"/>
          <w:sz w:val="22"/>
        </w:rPr>
      </w:pPr>
    </w:p>
    <w:p w:rsidR="00884058" w:rsidRDefault="00884058" w:rsidP="00176A7A">
      <w:pPr>
        <w:widowControl w:val="0"/>
        <w:ind w:firstLine="720"/>
        <w:rPr>
          <w:rFonts w:ascii="Arial" w:hAnsi="Arial"/>
          <w:sz w:val="22"/>
        </w:rPr>
      </w:pPr>
      <w:r>
        <w:rPr>
          <w:rFonts w:ascii="Arial" w:hAnsi="Arial"/>
          <w:sz w:val="22"/>
        </w:rPr>
        <w:t xml:space="preserve">B. </w:t>
      </w:r>
      <w:r w:rsidR="00176A7A">
        <w:rPr>
          <w:rFonts w:ascii="Arial" w:hAnsi="Arial"/>
          <w:sz w:val="22"/>
        </w:rPr>
        <w:tab/>
      </w:r>
      <w:r>
        <w:rPr>
          <w:rFonts w:ascii="Arial" w:hAnsi="Arial"/>
          <w:sz w:val="22"/>
        </w:rPr>
        <w:t>COLLECTIONS OF INFORMATION EMPLOYING STATISTICAL METHODS</w:t>
      </w:r>
    </w:p>
    <w:p w:rsidR="00884058" w:rsidRDefault="00884058">
      <w:pPr>
        <w:widowControl w:val="0"/>
        <w:rPr>
          <w:rFonts w:ascii="Arial" w:hAnsi="Arial"/>
          <w:sz w:val="22"/>
        </w:rPr>
      </w:pPr>
    </w:p>
    <w:p w:rsidR="000D05D3" w:rsidRDefault="00884058" w:rsidP="00176A7A">
      <w:pPr>
        <w:widowControl w:val="0"/>
        <w:spacing w:line="0" w:lineRule="atLeast"/>
        <w:ind w:left="720"/>
        <w:rPr>
          <w:rFonts w:ascii="Arial" w:hAnsi="Arial"/>
          <w:sz w:val="22"/>
        </w:rPr>
      </w:pPr>
      <w:r>
        <w:rPr>
          <w:rFonts w:ascii="Arial" w:hAnsi="Arial"/>
          <w:sz w:val="22"/>
        </w:rPr>
        <w:tab/>
        <w:t>Statistical methods are not used in this collection of information.</w:t>
      </w:r>
    </w:p>
    <w:p w:rsidR="000D05D3" w:rsidRPr="00EF1449" w:rsidRDefault="000D05D3" w:rsidP="000D0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r>
        <w:rPr>
          <w:rFonts w:ascii="Arial" w:hAnsi="Arial"/>
          <w:sz w:val="22"/>
        </w:rPr>
        <w:br w:type="page"/>
      </w:r>
      <w:r w:rsidRPr="00EF1449">
        <w:rPr>
          <w:rFonts w:ascii="Arial" w:hAnsi="Arial" w:cs="Arial"/>
          <w:sz w:val="22"/>
          <w:szCs w:val="22"/>
          <w:u w:val="single"/>
        </w:rPr>
        <w:t xml:space="preserve">TABLE </w:t>
      </w:r>
      <w:r>
        <w:rPr>
          <w:rFonts w:ascii="Arial" w:hAnsi="Arial" w:cs="Arial"/>
          <w:sz w:val="22"/>
          <w:szCs w:val="22"/>
          <w:u w:val="single"/>
        </w:rPr>
        <w:t>1</w:t>
      </w:r>
    </w:p>
    <w:p w:rsidR="00DE481D" w:rsidRDefault="00DE481D" w:rsidP="00DE4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rPr>
      </w:pPr>
      <w:r w:rsidRPr="00EF1449">
        <w:rPr>
          <w:rFonts w:ascii="Arial" w:hAnsi="Arial" w:cs="Arial"/>
          <w:sz w:val="22"/>
          <w:szCs w:val="22"/>
        </w:rPr>
        <w:t xml:space="preserve">LICENSEE REPORTING BURDEN, </w:t>
      </w:r>
      <w:r>
        <w:rPr>
          <w:rFonts w:ascii="Arial" w:hAnsi="Arial" w:cs="Arial"/>
          <w:sz w:val="22"/>
          <w:szCs w:val="22"/>
        </w:rPr>
        <w:t>10 CFR PART 81</w:t>
      </w:r>
    </w:p>
    <w:p w:rsidR="00DE481D" w:rsidRPr="00EF1449" w:rsidRDefault="00DE481D" w:rsidP="00DE4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rPr>
      </w:pPr>
      <w:r>
        <w:rPr>
          <w:rFonts w:ascii="Arial" w:hAnsi="Arial" w:cs="Arial"/>
          <w:sz w:val="22"/>
          <w:szCs w:val="22"/>
        </w:rPr>
        <w:t>PATENT LICENSES</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3510"/>
        <w:gridCol w:w="1462"/>
        <w:gridCol w:w="1463"/>
      </w:tblGrid>
      <w:tr w:rsidR="00DE481D" w:rsidRPr="00195A0E" w:rsidTr="00E30A40">
        <w:trPr>
          <w:jc w:val="center"/>
        </w:trPr>
        <w:tc>
          <w:tcPr>
            <w:tcW w:w="2317" w:type="dxa"/>
            <w:tcBorders>
              <w:top w:val="single" w:sz="4" w:space="0" w:color="auto"/>
              <w:left w:val="single" w:sz="4" w:space="0" w:color="auto"/>
              <w:bottom w:val="single" w:sz="4" w:space="0" w:color="auto"/>
              <w:right w:val="single" w:sz="4" w:space="0" w:color="auto"/>
            </w:tcBorders>
            <w:shd w:val="clear" w:color="auto" w:fill="auto"/>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Section</w:t>
            </w:r>
          </w:p>
        </w:tc>
        <w:tc>
          <w:tcPr>
            <w:tcW w:w="3510" w:type="dxa"/>
            <w:tcBorders>
              <w:left w:val="single" w:sz="4" w:space="0" w:color="auto"/>
            </w:tcBorders>
            <w:shd w:val="clear" w:color="auto" w:fill="auto"/>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Description</w:t>
            </w:r>
          </w:p>
        </w:tc>
        <w:tc>
          <w:tcPr>
            <w:tcW w:w="1462" w:type="dxa"/>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Burden Hrs per Response</w:t>
            </w:r>
          </w:p>
        </w:tc>
        <w:tc>
          <w:tcPr>
            <w:tcW w:w="1463" w:type="dxa"/>
            <w:shd w:val="clear" w:color="auto" w:fill="auto"/>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Annual Cost Per Response</w:t>
            </w:r>
          </w:p>
        </w:tc>
      </w:tr>
      <w:tr w:rsidR="00DE481D" w:rsidRPr="00195A0E" w:rsidTr="00E30A40">
        <w:trPr>
          <w:jc w:val="center"/>
        </w:trPr>
        <w:tc>
          <w:tcPr>
            <w:tcW w:w="2317" w:type="dxa"/>
            <w:tcBorders>
              <w:top w:val="single" w:sz="4" w:space="0" w:color="auto"/>
              <w:left w:val="single" w:sz="4" w:space="0" w:color="auto"/>
              <w:bottom w:val="single" w:sz="4" w:space="0" w:color="auto"/>
              <w:right w:val="single" w:sz="4" w:space="0" w:color="auto"/>
            </w:tcBorders>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10 CFR 81.20(a)(5)</w:t>
            </w:r>
          </w:p>
        </w:tc>
        <w:tc>
          <w:tcPr>
            <w:tcW w:w="3510" w:type="dxa"/>
            <w:tcBorders>
              <w:left w:val="single" w:sz="4" w:space="0" w:color="auto"/>
            </w:tcBorders>
            <w:shd w:val="clear" w:color="auto" w:fill="auto"/>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Reports on nonexclusive licenses</w:t>
            </w:r>
          </w:p>
        </w:tc>
        <w:tc>
          <w:tcPr>
            <w:tcW w:w="1462" w:type="dxa"/>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2</w:t>
            </w:r>
          </w:p>
        </w:tc>
        <w:tc>
          <w:tcPr>
            <w:tcW w:w="1463" w:type="dxa"/>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w:t>
            </w:r>
            <w:r w:rsidR="00DD682E">
              <w:rPr>
                <w:rFonts w:ascii="Arial" w:hAnsi="Arial" w:cs="Arial"/>
                <w:sz w:val="22"/>
                <w:szCs w:val="22"/>
              </w:rPr>
              <w:t>530</w:t>
            </w:r>
          </w:p>
        </w:tc>
      </w:tr>
      <w:tr w:rsidR="00DE481D" w:rsidRPr="00195A0E" w:rsidTr="00E30A40">
        <w:trPr>
          <w:jc w:val="center"/>
        </w:trPr>
        <w:tc>
          <w:tcPr>
            <w:tcW w:w="2317" w:type="dxa"/>
            <w:tcBorders>
              <w:top w:val="single" w:sz="4" w:space="0" w:color="auto"/>
              <w:left w:val="single" w:sz="4" w:space="0" w:color="auto"/>
              <w:bottom w:val="single" w:sz="4" w:space="0" w:color="auto"/>
              <w:right w:val="single" w:sz="4" w:space="0" w:color="auto"/>
            </w:tcBorders>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10 CFR 81.20(a)(10)</w:t>
            </w:r>
          </w:p>
        </w:tc>
        <w:tc>
          <w:tcPr>
            <w:tcW w:w="3510" w:type="dxa"/>
            <w:tcBorders>
              <w:left w:val="single" w:sz="4" w:space="0" w:color="auto"/>
            </w:tcBorders>
            <w:shd w:val="clear" w:color="auto" w:fill="auto"/>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Revocation of nonexclusive licenses</w:t>
            </w:r>
          </w:p>
        </w:tc>
        <w:tc>
          <w:tcPr>
            <w:tcW w:w="1462" w:type="dxa"/>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2</w:t>
            </w:r>
          </w:p>
        </w:tc>
        <w:tc>
          <w:tcPr>
            <w:tcW w:w="1463" w:type="dxa"/>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$5</w:t>
            </w:r>
            <w:r w:rsidR="00DD682E">
              <w:rPr>
                <w:rFonts w:ascii="Arial" w:hAnsi="Arial" w:cs="Arial"/>
                <w:sz w:val="22"/>
                <w:szCs w:val="22"/>
              </w:rPr>
              <w:t>30</w:t>
            </w:r>
          </w:p>
        </w:tc>
      </w:tr>
      <w:tr w:rsidR="00DE481D" w:rsidRPr="00195A0E" w:rsidTr="00E30A40">
        <w:trPr>
          <w:jc w:val="center"/>
        </w:trPr>
        <w:tc>
          <w:tcPr>
            <w:tcW w:w="2317" w:type="dxa"/>
            <w:tcBorders>
              <w:top w:val="single" w:sz="4" w:space="0" w:color="auto"/>
              <w:left w:val="single" w:sz="4" w:space="0" w:color="auto"/>
              <w:bottom w:val="single" w:sz="4" w:space="0" w:color="auto"/>
              <w:right w:val="single" w:sz="4" w:space="0" w:color="auto"/>
            </w:tcBorders>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10 CFR 81.32(a)(2)</w:t>
            </w:r>
          </w:p>
        </w:tc>
        <w:tc>
          <w:tcPr>
            <w:tcW w:w="3510" w:type="dxa"/>
            <w:tcBorders>
              <w:left w:val="single" w:sz="4" w:space="0" w:color="auto"/>
            </w:tcBorders>
            <w:shd w:val="clear" w:color="auto" w:fill="auto"/>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Extensions of exclusive licenses</w:t>
            </w:r>
          </w:p>
        </w:tc>
        <w:tc>
          <w:tcPr>
            <w:tcW w:w="1462" w:type="dxa"/>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5</w:t>
            </w:r>
          </w:p>
        </w:tc>
        <w:tc>
          <w:tcPr>
            <w:tcW w:w="1463" w:type="dxa"/>
            <w:shd w:val="clear" w:color="auto" w:fill="auto"/>
          </w:tcPr>
          <w:p w:rsidR="00DE481D" w:rsidRPr="00195A0E" w:rsidRDefault="00DD682E" w:rsidP="00E30A40">
            <w:pPr>
              <w:spacing w:before="120" w:after="120"/>
              <w:jc w:val="right"/>
              <w:rPr>
                <w:rFonts w:ascii="Arial" w:hAnsi="Arial" w:cs="Arial"/>
                <w:sz w:val="22"/>
                <w:szCs w:val="22"/>
              </w:rPr>
            </w:pPr>
            <w:r>
              <w:rPr>
                <w:rFonts w:ascii="Arial" w:hAnsi="Arial" w:cs="Arial"/>
                <w:sz w:val="22"/>
                <w:szCs w:val="22"/>
              </w:rPr>
              <w:t>$1,325</w:t>
            </w:r>
          </w:p>
        </w:tc>
      </w:tr>
      <w:tr w:rsidR="00DE481D" w:rsidRPr="00195A0E" w:rsidTr="00E30A40">
        <w:trPr>
          <w:jc w:val="center"/>
        </w:trPr>
        <w:tc>
          <w:tcPr>
            <w:tcW w:w="2317" w:type="dxa"/>
            <w:tcBorders>
              <w:top w:val="single" w:sz="4" w:space="0" w:color="auto"/>
              <w:left w:val="single" w:sz="4" w:space="0" w:color="auto"/>
              <w:bottom w:val="single" w:sz="4" w:space="0" w:color="auto"/>
              <w:right w:val="single" w:sz="4" w:space="0" w:color="auto"/>
            </w:tcBorders>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10 CFR 81.32(a)(8)</w:t>
            </w:r>
          </w:p>
        </w:tc>
        <w:tc>
          <w:tcPr>
            <w:tcW w:w="3510" w:type="dxa"/>
            <w:tcBorders>
              <w:left w:val="single" w:sz="4" w:space="0" w:color="auto"/>
            </w:tcBorders>
            <w:shd w:val="clear" w:color="auto" w:fill="auto"/>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License transfer of exclusive licenses</w:t>
            </w:r>
          </w:p>
        </w:tc>
        <w:tc>
          <w:tcPr>
            <w:tcW w:w="1462" w:type="dxa"/>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2</w:t>
            </w:r>
          </w:p>
        </w:tc>
        <w:tc>
          <w:tcPr>
            <w:tcW w:w="1463" w:type="dxa"/>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$5</w:t>
            </w:r>
            <w:r w:rsidR="00DD682E">
              <w:rPr>
                <w:rFonts w:ascii="Arial" w:hAnsi="Arial" w:cs="Arial"/>
                <w:sz w:val="22"/>
                <w:szCs w:val="22"/>
              </w:rPr>
              <w:t>30</w:t>
            </w:r>
          </w:p>
        </w:tc>
      </w:tr>
      <w:tr w:rsidR="00DE481D" w:rsidRPr="00195A0E" w:rsidTr="00E30A40">
        <w:trPr>
          <w:jc w:val="center"/>
        </w:trPr>
        <w:tc>
          <w:tcPr>
            <w:tcW w:w="2317" w:type="dxa"/>
            <w:tcBorders>
              <w:top w:val="single" w:sz="4" w:space="0" w:color="auto"/>
              <w:left w:val="single" w:sz="4" w:space="0" w:color="auto"/>
              <w:bottom w:val="single" w:sz="4" w:space="0" w:color="auto"/>
              <w:right w:val="single" w:sz="4" w:space="0" w:color="auto"/>
            </w:tcBorders>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10 CFR 81.32(a)(9)</w:t>
            </w:r>
          </w:p>
        </w:tc>
        <w:tc>
          <w:tcPr>
            <w:tcW w:w="3510" w:type="dxa"/>
            <w:tcBorders>
              <w:left w:val="single" w:sz="4" w:space="0" w:color="auto"/>
            </w:tcBorders>
            <w:shd w:val="clear" w:color="auto" w:fill="auto"/>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Sublicenses for exclusive licenses</w:t>
            </w:r>
          </w:p>
        </w:tc>
        <w:tc>
          <w:tcPr>
            <w:tcW w:w="1462" w:type="dxa"/>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3</w:t>
            </w:r>
          </w:p>
        </w:tc>
        <w:tc>
          <w:tcPr>
            <w:tcW w:w="1463" w:type="dxa"/>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w:t>
            </w:r>
            <w:r w:rsidR="00DD682E">
              <w:rPr>
                <w:rFonts w:ascii="Arial" w:hAnsi="Arial" w:cs="Arial"/>
                <w:sz w:val="22"/>
                <w:szCs w:val="22"/>
              </w:rPr>
              <w:t>795</w:t>
            </w:r>
          </w:p>
        </w:tc>
      </w:tr>
      <w:tr w:rsidR="00DE481D" w:rsidRPr="00195A0E" w:rsidTr="00E30A40">
        <w:trPr>
          <w:jc w:val="center"/>
        </w:trPr>
        <w:tc>
          <w:tcPr>
            <w:tcW w:w="2317" w:type="dxa"/>
            <w:tcBorders>
              <w:top w:val="single" w:sz="4" w:space="0" w:color="auto"/>
              <w:left w:val="single" w:sz="4" w:space="0" w:color="auto"/>
              <w:bottom w:val="single" w:sz="4" w:space="0" w:color="auto"/>
              <w:right w:val="single" w:sz="4" w:space="0" w:color="auto"/>
            </w:tcBorders>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10 CFR 81.32(a)(10)</w:t>
            </w:r>
          </w:p>
        </w:tc>
        <w:tc>
          <w:tcPr>
            <w:tcW w:w="3510" w:type="dxa"/>
            <w:tcBorders>
              <w:left w:val="single" w:sz="4" w:space="0" w:color="auto"/>
            </w:tcBorders>
            <w:shd w:val="clear" w:color="auto" w:fill="auto"/>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Reports on exclusive licenses</w:t>
            </w:r>
          </w:p>
        </w:tc>
        <w:tc>
          <w:tcPr>
            <w:tcW w:w="1462" w:type="dxa"/>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2</w:t>
            </w:r>
          </w:p>
        </w:tc>
        <w:tc>
          <w:tcPr>
            <w:tcW w:w="1463" w:type="dxa"/>
            <w:tcBorders>
              <w:bottom w:val="single" w:sz="4" w:space="0" w:color="auto"/>
            </w:tcBorders>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$5</w:t>
            </w:r>
            <w:r w:rsidR="00DD682E">
              <w:rPr>
                <w:rFonts w:ascii="Arial" w:hAnsi="Arial" w:cs="Arial"/>
                <w:sz w:val="22"/>
                <w:szCs w:val="22"/>
              </w:rPr>
              <w:t>30</w:t>
            </w:r>
          </w:p>
        </w:tc>
      </w:tr>
      <w:tr w:rsidR="00DE481D" w:rsidRPr="00195A0E" w:rsidTr="00E30A40">
        <w:trPr>
          <w:jc w:val="center"/>
        </w:trPr>
        <w:tc>
          <w:tcPr>
            <w:tcW w:w="2317" w:type="dxa"/>
            <w:tcBorders>
              <w:top w:val="single" w:sz="4" w:space="0" w:color="auto"/>
              <w:left w:val="single" w:sz="4" w:space="0" w:color="auto"/>
              <w:bottom w:val="single" w:sz="4" w:space="0" w:color="auto"/>
              <w:right w:val="single" w:sz="4" w:space="0" w:color="auto"/>
            </w:tcBorders>
            <w:shd w:val="clear" w:color="auto" w:fill="auto"/>
          </w:tcPr>
          <w:p w:rsidR="00DE481D" w:rsidRPr="007B78E5" w:rsidRDefault="00DE481D" w:rsidP="00E30A40">
            <w:pPr>
              <w:spacing w:before="120" w:after="120"/>
              <w:jc w:val="right"/>
            </w:pPr>
            <w:r w:rsidRPr="00195A0E">
              <w:rPr>
                <w:rFonts w:ascii="Arial" w:hAnsi="Arial" w:cs="Arial"/>
                <w:sz w:val="22"/>
                <w:szCs w:val="22"/>
              </w:rPr>
              <w:t>10 CFR 81.32(a)(12)</w:t>
            </w:r>
          </w:p>
        </w:tc>
        <w:tc>
          <w:tcPr>
            <w:tcW w:w="3510" w:type="dxa"/>
            <w:tcBorders>
              <w:left w:val="single" w:sz="4" w:space="0" w:color="auto"/>
            </w:tcBorders>
            <w:shd w:val="clear" w:color="auto" w:fill="auto"/>
            <w:vAlign w:val="bottom"/>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License revocation/modification of exclusive licenses</w:t>
            </w:r>
          </w:p>
        </w:tc>
        <w:tc>
          <w:tcPr>
            <w:tcW w:w="1462" w:type="dxa"/>
            <w:vAlign w:val="bottom"/>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2</w:t>
            </w:r>
          </w:p>
        </w:tc>
        <w:tc>
          <w:tcPr>
            <w:tcW w:w="1463" w:type="dxa"/>
            <w:shd w:val="clear" w:color="auto" w:fill="auto"/>
            <w:vAlign w:val="bottom"/>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$5</w:t>
            </w:r>
            <w:r w:rsidR="00DD682E">
              <w:rPr>
                <w:rFonts w:ascii="Arial" w:hAnsi="Arial" w:cs="Arial"/>
                <w:sz w:val="22"/>
                <w:szCs w:val="22"/>
              </w:rPr>
              <w:t>30</w:t>
            </w:r>
          </w:p>
        </w:tc>
      </w:tr>
      <w:tr w:rsidR="00DE481D" w:rsidRPr="00195A0E" w:rsidTr="00E30A40">
        <w:trPr>
          <w:jc w:val="center"/>
        </w:trPr>
        <w:tc>
          <w:tcPr>
            <w:tcW w:w="2317" w:type="dxa"/>
            <w:tcBorders>
              <w:top w:val="single" w:sz="4" w:space="0" w:color="auto"/>
              <w:left w:val="single" w:sz="4" w:space="0" w:color="auto"/>
              <w:bottom w:val="single" w:sz="4" w:space="0" w:color="auto"/>
              <w:right w:val="single" w:sz="4" w:space="0" w:color="auto"/>
            </w:tcBorders>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10 CFR 81.32(a)(13)</w:t>
            </w:r>
          </w:p>
        </w:tc>
        <w:tc>
          <w:tcPr>
            <w:tcW w:w="3510" w:type="dxa"/>
            <w:tcBorders>
              <w:left w:val="single" w:sz="4" w:space="0" w:color="auto"/>
            </w:tcBorders>
            <w:shd w:val="clear" w:color="auto" w:fill="auto"/>
            <w:vAlign w:val="bottom"/>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Patent lawsuits for exclusive licenses</w:t>
            </w:r>
          </w:p>
        </w:tc>
        <w:tc>
          <w:tcPr>
            <w:tcW w:w="1462" w:type="dxa"/>
            <w:vAlign w:val="bottom"/>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9</w:t>
            </w:r>
          </w:p>
        </w:tc>
        <w:tc>
          <w:tcPr>
            <w:tcW w:w="1463" w:type="dxa"/>
            <w:shd w:val="clear" w:color="auto" w:fill="auto"/>
            <w:vAlign w:val="bottom"/>
          </w:tcPr>
          <w:p w:rsidR="00DE481D" w:rsidRPr="00195A0E" w:rsidRDefault="00DD682E" w:rsidP="00E30A40">
            <w:pPr>
              <w:spacing w:before="120" w:after="120"/>
              <w:jc w:val="right"/>
              <w:rPr>
                <w:rFonts w:ascii="Arial" w:hAnsi="Arial" w:cs="Arial"/>
                <w:sz w:val="22"/>
                <w:szCs w:val="22"/>
              </w:rPr>
            </w:pPr>
            <w:r>
              <w:rPr>
                <w:rFonts w:ascii="Arial" w:hAnsi="Arial" w:cs="Arial"/>
                <w:sz w:val="22"/>
                <w:szCs w:val="22"/>
              </w:rPr>
              <w:t>$2,385</w:t>
            </w:r>
          </w:p>
        </w:tc>
      </w:tr>
      <w:tr w:rsidR="00DE481D" w:rsidRPr="00195A0E" w:rsidTr="00E30A40">
        <w:trPr>
          <w:jc w:val="center"/>
        </w:trPr>
        <w:tc>
          <w:tcPr>
            <w:tcW w:w="2317" w:type="dxa"/>
            <w:tcBorders>
              <w:top w:val="single" w:sz="4" w:space="0" w:color="auto"/>
              <w:left w:val="single" w:sz="4" w:space="0" w:color="auto"/>
              <w:bottom w:val="single" w:sz="4" w:space="0" w:color="auto"/>
              <w:right w:val="single" w:sz="4" w:space="0" w:color="auto"/>
            </w:tcBorders>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10 CFR 81.32(a)(14)</w:t>
            </w:r>
          </w:p>
        </w:tc>
        <w:tc>
          <w:tcPr>
            <w:tcW w:w="3510" w:type="dxa"/>
            <w:tcBorders>
              <w:left w:val="single" w:sz="4" w:space="0" w:color="auto"/>
            </w:tcBorders>
            <w:shd w:val="clear" w:color="auto" w:fill="auto"/>
            <w:vAlign w:val="bottom"/>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Surrender of exclusive licenses</w:t>
            </w:r>
          </w:p>
        </w:tc>
        <w:tc>
          <w:tcPr>
            <w:tcW w:w="1462" w:type="dxa"/>
            <w:vAlign w:val="bottom"/>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4</w:t>
            </w:r>
          </w:p>
        </w:tc>
        <w:tc>
          <w:tcPr>
            <w:tcW w:w="1463" w:type="dxa"/>
            <w:shd w:val="clear" w:color="auto" w:fill="auto"/>
            <w:vAlign w:val="bottom"/>
          </w:tcPr>
          <w:p w:rsidR="00DE481D" w:rsidRPr="00195A0E" w:rsidRDefault="00DD682E" w:rsidP="00E30A40">
            <w:pPr>
              <w:spacing w:before="120" w:after="120"/>
              <w:jc w:val="right"/>
              <w:rPr>
                <w:rFonts w:ascii="Arial" w:hAnsi="Arial" w:cs="Arial"/>
                <w:sz w:val="22"/>
                <w:szCs w:val="22"/>
              </w:rPr>
            </w:pPr>
            <w:r>
              <w:rPr>
                <w:rFonts w:ascii="Arial" w:hAnsi="Arial" w:cs="Arial"/>
                <w:sz w:val="22"/>
                <w:szCs w:val="22"/>
              </w:rPr>
              <w:t>$1,060</w:t>
            </w:r>
          </w:p>
        </w:tc>
      </w:tr>
      <w:tr w:rsidR="00DE481D" w:rsidRPr="00195A0E" w:rsidTr="00E30A40">
        <w:trPr>
          <w:jc w:val="center"/>
        </w:trPr>
        <w:tc>
          <w:tcPr>
            <w:tcW w:w="2317" w:type="dxa"/>
            <w:tcBorders>
              <w:top w:val="single" w:sz="4" w:space="0" w:color="auto"/>
              <w:left w:val="single" w:sz="4" w:space="0" w:color="auto"/>
              <w:bottom w:val="single" w:sz="4" w:space="0" w:color="auto"/>
              <w:right w:val="single" w:sz="4" w:space="0" w:color="auto"/>
            </w:tcBorders>
            <w:shd w:val="clear" w:color="auto" w:fill="auto"/>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10 CFR 81.40</w:t>
            </w:r>
          </w:p>
        </w:tc>
        <w:tc>
          <w:tcPr>
            <w:tcW w:w="3510" w:type="dxa"/>
            <w:tcBorders>
              <w:left w:val="single" w:sz="4" w:space="0" w:color="auto"/>
            </w:tcBorders>
            <w:shd w:val="clear" w:color="auto" w:fill="auto"/>
            <w:vAlign w:val="bottom"/>
          </w:tcPr>
          <w:p w:rsidR="00DE481D" w:rsidRPr="00195A0E" w:rsidRDefault="00DE481D" w:rsidP="00E30A40">
            <w:pPr>
              <w:spacing w:before="120" w:after="120"/>
              <w:rPr>
                <w:rFonts w:ascii="Arial" w:hAnsi="Arial" w:cs="Arial"/>
                <w:sz w:val="22"/>
                <w:szCs w:val="22"/>
              </w:rPr>
            </w:pPr>
            <w:r w:rsidRPr="00195A0E">
              <w:rPr>
                <w:rFonts w:ascii="Arial" w:hAnsi="Arial" w:cs="Arial"/>
                <w:sz w:val="22"/>
                <w:szCs w:val="22"/>
              </w:rPr>
              <w:t>License applications (nonexclusive and exclusive licenses)</w:t>
            </w:r>
          </w:p>
        </w:tc>
        <w:tc>
          <w:tcPr>
            <w:tcW w:w="1462" w:type="dxa"/>
            <w:vAlign w:val="bottom"/>
          </w:tcPr>
          <w:p w:rsidR="00DE481D" w:rsidRPr="00195A0E" w:rsidRDefault="00DE481D" w:rsidP="00E30A40">
            <w:pPr>
              <w:spacing w:before="120" w:after="120"/>
              <w:jc w:val="right"/>
              <w:rPr>
                <w:rFonts w:ascii="Arial" w:hAnsi="Arial" w:cs="Arial"/>
                <w:sz w:val="22"/>
                <w:szCs w:val="22"/>
              </w:rPr>
            </w:pPr>
            <w:r w:rsidRPr="00195A0E">
              <w:rPr>
                <w:rFonts w:ascii="Arial" w:hAnsi="Arial" w:cs="Arial"/>
                <w:sz w:val="22"/>
                <w:szCs w:val="22"/>
              </w:rPr>
              <w:t>6</w:t>
            </w:r>
          </w:p>
        </w:tc>
        <w:tc>
          <w:tcPr>
            <w:tcW w:w="1463" w:type="dxa"/>
            <w:shd w:val="clear" w:color="auto" w:fill="auto"/>
            <w:vAlign w:val="bottom"/>
          </w:tcPr>
          <w:p w:rsidR="00DE481D" w:rsidRPr="00195A0E" w:rsidRDefault="00DD682E" w:rsidP="00E30A40">
            <w:pPr>
              <w:spacing w:before="120" w:after="120"/>
              <w:jc w:val="right"/>
              <w:rPr>
                <w:rFonts w:ascii="Arial" w:hAnsi="Arial" w:cs="Arial"/>
                <w:sz w:val="22"/>
                <w:szCs w:val="22"/>
              </w:rPr>
            </w:pPr>
            <w:r>
              <w:rPr>
                <w:rFonts w:ascii="Arial" w:hAnsi="Arial" w:cs="Arial"/>
                <w:sz w:val="22"/>
                <w:szCs w:val="22"/>
              </w:rPr>
              <w:t>$1,590</w:t>
            </w:r>
          </w:p>
        </w:tc>
      </w:tr>
      <w:tr w:rsidR="00DE481D" w:rsidRPr="00195A0E" w:rsidTr="00E30A40">
        <w:trPr>
          <w:jc w:val="center"/>
        </w:trPr>
        <w:tc>
          <w:tcPr>
            <w:tcW w:w="2317" w:type="dxa"/>
            <w:tcBorders>
              <w:top w:val="single" w:sz="4" w:space="0" w:color="auto"/>
              <w:left w:val="single" w:sz="4" w:space="0" w:color="auto"/>
              <w:bottom w:val="single" w:sz="4" w:space="0" w:color="auto"/>
              <w:right w:val="single" w:sz="4" w:space="0" w:color="auto"/>
            </w:tcBorders>
            <w:shd w:val="clear" w:color="auto" w:fill="auto"/>
          </w:tcPr>
          <w:p w:rsidR="00DE481D" w:rsidRPr="00195A0E" w:rsidRDefault="00DE481D" w:rsidP="00E30A40">
            <w:pPr>
              <w:spacing w:before="120" w:after="120"/>
              <w:rPr>
                <w:rFonts w:ascii="Arial" w:hAnsi="Arial" w:cs="Arial"/>
                <w:sz w:val="22"/>
                <w:szCs w:val="22"/>
              </w:rPr>
            </w:pPr>
            <w:r>
              <w:rPr>
                <w:rFonts w:ascii="Arial" w:hAnsi="Arial" w:cs="Arial"/>
                <w:sz w:val="22"/>
                <w:szCs w:val="22"/>
              </w:rPr>
              <w:t xml:space="preserve">TOTAL </w:t>
            </w:r>
          </w:p>
        </w:tc>
        <w:tc>
          <w:tcPr>
            <w:tcW w:w="3510" w:type="dxa"/>
            <w:tcBorders>
              <w:left w:val="single" w:sz="4" w:space="0" w:color="auto"/>
            </w:tcBorders>
            <w:shd w:val="clear" w:color="auto" w:fill="auto"/>
            <w:vAlign w:val="bottom"/>
          </w:tcPr>
          <w:p w:rsidR="00DE481D" w:rsidRPr="00195A0E" w:rsidRDefault="00DE481D" w:rsidP="00E30A40">
            <w:pPr>
              <w:spacing w:before="120" w:after="120"/>
              <w:rPr>
                <w:rFonts w:ascii="Arial" w:hAnsi="Arial" w:cs="Arial"/>
                <w:sz w:val="22"/>
                <w:szCs w:val="22"/>
              </w:rPr>
            </w:pPr>
          </w:p>
        </w:tc>
        <w:tc>
          <w:tcPr>
            <w:tcW w:w="1462" w:type="dxa"/>
            <w:vAlign w:val="bottom"/>
          </w:tcPr>
          <w:p w:rsidR="00DE481D" w:rsidRPr="00195A0E" w:rsidRDefault="00DE481D" w:rsidP="00E30A40">
            <w:pPr>
              <w:spacing w:before="120" w:after="120"/>
              <w:jc w:val="right"/>
              <w:rPr>
                <w:rFonts w:ascii="Arial" w:hAnsi="Arial" w:cs="Arial"/>
                <w:sz w:val="22"/>
                <w:szCs w:val="22"/>
              </w:rPr>
            </w:pPr>
            <w:r>
              <w:rPr>
                <w:rFonts w:ascii="Arial" w:hAnsi="Arial" w:cs="Arial"/>
                <w:sz w:val="22"/>
                <w:szCs w:val="22"/>
              </w:rPr>
              <w:t>37</w:t>
            </w:r>
          </w:p>
        </w:tc>
        <w:tc>
          <w:tcPr>
            <w:tcW w:w="1463" w:type="dxa"/>
            <w:shd w:val="clear" w:color="auto" w:fill="auto"/>
            <w:vAlign w:val="bottom"/>
          </w:tcPr>
          <w:p w:rsidR="00DE481D" w:rsidRPr="00195A0E" w:rsidRDefault="00DD682E" w:rsidP="00E30A40">
            <w:pPr>
              <w:spacing w:before="120" w:after="120"/>
              <w:jc w:val="right"/>
              <w:rPr>
                <w:rFonts w:ascii="Arial" w:hAnsi="Arial" w:cs="Arial"/>
                <w:sz w:val="22"/>
                <w:szCs w:val="22"/>
              </w:rPr>
            </w:pPr>
            <w:r>
              <w:rPr>
                <w:rFonts w:ascii="Arial" w:hAnsi="Arial" w:cs="Arial"/>
                <w:sz w:val="22"/>
                <w:szCs w:val="22"/>
              </w:rPr>
              <w:t>$9,805</w:t>
            </w:r>
          </w:p>
        </w:tc>
      </w:tr>
    </w:tbl>
    <w:p w:rsidR="00701678" w:rsidRDefault="00701678" w:rsidP="00DE4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pPr>
    </w:p>
    <w:sectPr w:rsidR="00701678" w:rsidSect="000A0AA0">
      <w:headerReference w:type="even" r:id="rId10"/>
      <w:headerReference w:type="default" r:id="rId11"/>
      <w:footerReference w:type="even" r:id="rId12"/>
      <w:footerReference w:type="default" r:id="rId13"/>
      <w:pgSz w:w="12240" w:h="15840"/>
      <w:pgMar w:top="1920" w:right="1440" w:bottom="1170" w:left="1440" w:header="1440" w:footer="117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8D1" w:rsidRDefault="006258D1">
      <w:r>
        <w:separator/>
      </w:r>
    </w:p>
  </w:endnote>
  <w:endnote w:type="continuationSeparator" w:id="0">
    <w:p w:rsidR="006258D1" w:rsidRDefault="0062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29" w:rsidRDefault="004C0029">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29" w:rsidRDefault="004C0029">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8D1" w:rsidRDefault="006258D1">
      <w:r>
        <w:separator/>
      </w:r>
    </w:p>
  </w:footnote>
  <w:footnote w:type="continuationSeparator" w:id="0">
    <w:p w:rsidR="006258D1" w:rsidRDefault="00625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29" w:rsidRPr="00CF6706" w:rsidRDefault="004C0029" w:rsidP="00CF6706">
    <w:pPr>
      <w:widowControl w:val="0"/>
      <w:jc w:val="center"/>
      <w:rPr>
        <w:rFonts w:ascii="Arial" w:hAnsi="Arial" w:cs="Arial"/>
        <w:sz w:val="22"/>
        <w:szCs w:val="22"/>
      </w:rPr>
    </w:pPr>
    <w:r w:rsidRPr="00CF6706">
      <w:rPr>
        <w:rFonts w:ascii="Arial" w:hAnsi="Arial" w:cs="Arial"/>
        <w:sz w:val="22"/>
        <w:szCs w:val="22"/>
      </w:rPr>
      <w:t xml:space="preserve">- </w:t>
    </w:r>
    <w:r w:rsidRPr="00CF6706">
      <w:rPr>
        <w:rStyle w:val="PageNumber"/>
        <w:rFonts w:ascii="Arial" w:hAnsi="Arial" w:cs="Arial"/>
        <w:sz w:val="22"/>
        <w:szCs w:val="22"/>
      </w:rPr>
      <w:fldChar w:fldCharType="begin"/>
    </w:r>
    <w:r w:rsidRPr="00CF6706">
      <w:rPr>
        <w:rStyle w:val="PageNumber"/>
        <w:rFonts w:ascii="Arial" w:hAnsi="Arial" w:cs="Arial"/>
        <w:sz w:val="22"/>
        <w:szCs w:val="22"/>
      </w:rPr>
      <w:instrText xml:space="preserve"> PAGE </w:instrText>
    </w:r>
    <w:r w:rsidRPr="00CF6706">
      <w:rPr>
        <w:rStyle w:val="PageNumber"/>
        <w:rFonts w:ascii="Arial" w:hAnsi="Arial" w:cs="Arial"/>
        <w:sz w:val="22"/>
        <w:szCs w:val="22"/>
      </w:rPr>
      <w:fldChar w:fldCharType="separate"/>
    </w:r>
    <w:r w:rsidR="009818E1">
      <w:rPr>
        <w:rStyle w:val="PageNumber"/>
        <w:rFonts w:ascii="Arial" w:hAnsi="Arial" w:cs="Arial"/>
        <w:noProof/>
        <w:sz w:val="22"/>
        <w:szCs w:val="22"/>
      </w:rPr>
      <w:t>2</w:t>
    </w:r>
    <w:r w:rsidRPr="00CF6706">
      <w:rPr>
        <w:rStyle w:val="PageNumber"/>
        <w:rFonts w:ascii="Arial" w:hAnsi="Arial" w:cs="Arial"/>
        <w:sz w:val="22"/>
        <w:szCs w:val="22"/>
      </w:rPr>
      <w:fldChar w:fldCharType="end"/>
    </w:r>
    <w:r w:rsidRPr="00CF6706">
      <w:rPr>
        <w:rStyle w:val="PageNumber"/>
        <w:rFonts w:ascii="Arial" w:hAnsi="Arial" w:cs="Arial"/>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29" w:rsidRPr="00CF6706" w:rsidRDefault="004C0029" w:rsidP="00CF6706">
    <w:pPr>
      <w:widowControl w:val="0"/>
      <w:jc w:val="center"/>
      <w:rPr>
        <w:rFonts w:ascii="Arial" w:hAnsi="Arial" w:cs="Arial"/>
        <w:sz w:val="22"/>
        <w:szCs w:val="22"/>
      </w:rPr>
    </w:pPr>
    <w:r w:rsidRPr="00CF6706">
      <w:rPr>
        <w:rFonts w:ascii="Arial" w:hAnsi="Arial" w:cs="Arial"/>
        <w:sz w:val="22"/>
        <w:szCs w:val="22"/>
      </w:rPr>
      <w:t xml:space="preserve">- </w:t>
    </w:r>
    <w:r w:rsidRPr="00CF6706">
      <w:rPr>
        <w:rStyle w:val="PageNumber"/>
        <w:rFonts w:ascii="Arial" w:hAnsi="Arial" w:cs="Arial"/>
        <w:sz w:val="22"/>
        <w:szCs w:val="22"/>
      </w:rPr>
      <w:fldChar w:fldCharType="begin"/>
    </w:r>
    <w:r w:rsidRPr="00CF6706">
      <w:rPr>
        <w:rStyle w:val="PageNumber"/>
        <w:rFonts w:ascii="Arial" w:hAnsi="Arial" w:cs="Arial"/>
        <w:sz w:val="22"/>
        <w:szCs w:val="22"/>
      </w:rPr>
      <w:instrText xml:space="preserve"> PAGE </w:instrText>
    </w:r>
    <w:r w:rsidRPr="00CF6706">
      <w:rPr>
        <w:rStyle w:val="PageNumber"/>
        <w:rFonts w:ascii="Arial" w:hAnsi="Arial" w:cs="Arial"/>
        <w:sz w:val="22"/>
        <w:szCs w:val="22"/>
      </w:rPr>
      <w:fldChar w:fldCharType="separate"/>
    </w:r>
    <w:r w:rsidR="005F0A34">
      <w:rPr>
        <w:rStyle w:val="PageNumber"/>
        <w:rFonts w:ascii="Arial" w:hAnsi="Arial" w:cs="Arial"/>
        <w:noProof/>
        <w:sz w:val="22"/>
        <w:szCs w:val="22"/>
      </w:rPr>
      <w:t>3</w:t>
    </w:r>
    <w:r w:rsidRPr="00CF6706">
      <w:rPr>
        <w:rStyle w:val="PageNumber"/>
        <w:rFonts w:ascii="Arial" w:hAnsi="Arial" w:cs="Arial"/>
        <w:sz w:val="22"/>
        <w:szCs w:val="22"/>
      </w:rPr>
      <w:fldChar w:fldCharType="end"/>
    </w:r>
    <w:r w:rsidRPr="00CF6706">
      <w:rPr>
        <w:rStyle w:val="PageNumber"/>
        <w:rFonts w:ascii="Arial" w:hAnsi="Arial" w:cs="Arial"/>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5003B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0000002"/>
    <w:multiLevelType w:val="multilevel"/>
    <w:tmpl w:val="00000002"/>
    <w:lvl w:ilvl="0">
      <w:start w:val="10"/>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3"/>
    <w:multiLevelType w:val="multilevel"/>
    <w:tmpl w:val="00000003"/>
    <w:lvl w:ilvl="0">
      <w:start w:val="1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C75203F"/>
    <w:multiLevelType w:val="hybridMultilevel"/>
    <w:tmpl w:val="6C009CB2"/>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7">
    <w:nsid w:val="1BCB6A65"/>
    <w:multiLevelType w:val="hybridMultilevel"/>
    <w:tmpl w:val="0866A91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285C1406"/>
    <w:multiLevelType w:val="multilevel"/>
    <w:tmpl w:val="9C74BE4E"/>
    <w:lvl w:ilvl="0">
      <w:start w:val="1"/>
      <w:numFmt w:val="decimal"/>
      <w:lvlText w:val="%1."/>
      <w:lvlJc w:val="left"/>
      <w:pPr>
        <w:tabs>
          <w:tab w:val="num" w:pos="2160"/>
        </w:tabs>
        <w:ind w:left="2160" w:hanging="720"/>
      </w:pPr>
      <w:rPr>
        <w:rFonts w:hint="default"/>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3C942FF0"/>
    <w:multiLevelType w:val="multilevel"/>
    <w:tmpl w:val="00000003"/>
    <w:lvl w:ilvl="0">
      <w:start w:val="1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558E72C2"/>
    <w:multiLevelType w:val="hybridMultilevel"/>
    <w:tmpl w:val="800CAB34"/>
    <w:lvl w:ilvl="0" w:tplc="FC70DC9A">
      <w:start w:val="1"/>
      <w:numFmt w:val="decimal"/>
      <w:lvlText w:val="%1."/>
      <w:lvlJc w:val="left"/>
      <w:pPr>
        <w:tabs>
          <w:tab w:val="num" w:pos="2160"/>
        </w:tabs>
        <w:ind w:left="2160" w:hanging="720"/>
      </w:pPr>
      <w:rPr>
        <w:rFonts w:ascii="Arial" w:hAnsi="Arial" w:cs="Arial" w:hint="default"/>
        <w:color w:val="auto"/>
        <w:sz w:val="22"/>
        <w:szCs w:val="22"/>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605E3A06"/>
    <w:multiLevelType w:val="multilevel"/>
    <w:tmpl w:val="9C74BE4E"/>
    <w:lvl w:ilvl="0">
      <w:start w:val="1"/>
      <w:numFmt w:val="decimal"/>
      <w:lvlText w:val="%1."/>
      <w:lvlJc w:val="left"/>
      <w:pPr>
        <w:tabs>
          <w:tab w:val="num" w:pos="2160"/>
        </w:tabs>
        <w:ind w:left="2160" w:hanging="720"/>
      </w:pPr>
      <w:rPr>
        <w:rFonts w:hint="default"/>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67DE6A14"/>
    <w:multiLevelType w:val="hybridMultilevel"/>
    <w:tmpl w:val="54F487B2"/>
    <w:lvl w:ilvl="0" w:tplc="46967B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BC45495"/>
    <w:multiLevelType w:val="hybridMultilevel"/>
    <w:tmpl w:val="52002928"/>
    <w:lvl w:ilvl="0" w:tplc="6B0E4EDA">
      <w:start w:val="1"/>
      <w:numFmt w:val="lowerLetter"/>
      <w:lvlText w:val="%1."/>
      <w:lvlJc w:val="left"/>
      <w:pPr>
        <w:tabs>
          <w:tab w:val="num" w:pos="3240"/>
        </w:tabs>
        <w:ind w:left="3240" w:hanging="360"/>
      </w:pPr>
      <w:rPr>
        <w:rFonts w:hint="default"/>
        <w:color w:val="auto"/>
      </w:rPr>
    </w:lvl>
    <w:lvl w:ilvl="1" w:tplc="0409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6"/>
  </w:num>
  <w:num w:numId="8">
    <w:abstractNumId w:val="13"/>
  </w:num>
  <w:num w:numId="9">
    <w:abstractNumId w:val="9"/>
  </w:num>
  <w:num w:numId="10">
    <w:abstractNumId w:val="10"/>
  </w:num>
  <w:num w:numId="11">
    <w:abstractNumId w:val="8"/>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9C"/>
    <w:rsid w:val="00012763"/>
    <w:rsid w:val="00040314"/>
    <w:rsid w:val="0004365B"/>
    <w:rsid w:val="00055366"/>
    <w:rsid w:val="00090AB4"/>
    <w:rsid w:val="000913E3"/>
    <w:rsid w:val="000A0AA0"/>
    <w:rsid w:val="000B5199"/>
    <w:rsid w:val="000B783E"/>
    <w:rsid w:val="000D05D3"/>
    <w:rsid w:val="000D0675"/>
    <w:rsid w:val="000D5D8D"/>
    <w:rsid w:val="000D67D4"/>
    <w:rsid w:val="000F265C"/>
    <w:rsid w:val="000F39B9"/>
    <w:rsid w:val="00102B00"/>
    <w:rsid w:val="001104A4"/>
    <w:rsid w:val="00111A3D"/>
    <w:rsid w:val="0013049D"/>
    <w:rsid w:val="00176A7A"/>
    <w:rsid w:val="0018276C"/>
    <w:rsid w:val="001835B0"/>
    <w:rsid w:val="001917A5"/>
    <w:rsid w:val="00195A0E"/>
    <w:rsid w:val="001A6296"/>
    <w:rsid w:val="001B64D5"/>
    <w:rsid w:val="001D2344"/>
    <w:rsid w:val="001F33F7"/>
    <w:rsid w:val="001F3455"/>
    <w:rsid w:val="00201D9A"/>
    <w:rsid w:val="00203E72"/>
    <w:rsid w:val="00204C0A"/>
    <w:rsid w:val="002303D9"/>
    <w:rsid w:val="00263F3C"/>
    <w:rsid w:val="00283CCC"/>
    <w:rsid w:val="002B0B6D"/>
    <w:rsid w:val="002D223E"/>
    <w:rsid w:val="002D4A84"/>
    <w:rsid w:val="002F465D"/>
    <w:rsid w:val="00314801"/>
    <w:rsid w:val="00314F49"/>
    <w:rsid w:val="00335D35"/>
    <w:rsid w:val="00337714"/>
    <w:rsid w:val="00356222"/>
    <w:rsid w:val="003815F4"/>
    <w:rsid w:val="00392E93"/>
    <w:rsid w:val="003A7CD3"/>
    <w:rsid w:val="003B7AAE"/>
    <w:rsid w:val="003C4F05"/>
    <w:rsid w:val="003C71ED"/>
    <w:rsid w:val="003E278F"/>
    <w:rsid w:val="003E4EA2"/>
    <w:rsid w:val="003E6C15"/>
    <w:rsid w:val="003F5E67"/>
    <w:rsid w:val="00401BAA"/>
    <w:rsid w:val="00403329"/>
    <w:rsid w:val="0040470F"/>
    <w:rsid w:val="00405196"/>
    <w:rsid w:val="004077C7"/>
    <w:rsid w:val="0041695B"/>
    <w:rsid w:val="00440375"/>
    <w:rsid w:val="0046288C"/>
    <w:rsid w:val="00493132"/>
    <w:rsid w:val="004B0336"/>
    <w:rsid w:val="004C0029"/>
    <w:rsid w:val="004D0CD8"/>
    <w:rsid w:val="004E3429"/>
    <w:rsid w:val="004F03A3"/>
    <w:rsid w:val="004F132C"/>
    <w:rsid w:val="004F7A61"/>
    <w:rsid w:val="00502625"/>
    <w:rsid w:val="00510936"/>
    <w:rsid w:val="00547E2B"/>
    <w:rsid w:val="00550A69"/>
    <w:rsid w:val="00557EF9"/>
    <w:rsid w:val="00562AF5"/>
    <w:rsid w:val="00571889"/>
    <w:rsid w:val="00581C9A"/>
    <w:rsid w:val="00593258"/>
    <w:rsid w:val="005A0A57"/>
    <w:rsid w:val="005A62A1"/>
    <w:rsid w:val="005A7678"/>
    <w:rsid w:val="005C0AFB"/>
    <w:rsid w:val="005F0A34"/>
    <w:rsid w:val="00601337"/>
    <w:rsid w:val="00606668"/>
    <w:rsid w:val="006160AE"/>
    <w:rsid w:val="006258D1"/>
    <w:rsid w:val="00637915"/>
    <w:rsid w:val="00641619"/>
    <w:rsid w:val="00695F75"/>
    <w:rsid w:val="006C4C3F"/>
    <w:rsid w:val="006F0A14"/>
    <w:rsid w:val="00701678"/>
    <w:rsid w:val="007068C5"/>
    <w:rsid w:val="00716BBA"/>
    <w:rsid w:val="00743C9C"/>
    <w:rsid w:val="00747662"/>
    <w:rsid w:val="0075429E"/>
    <w:rsid w:val="007613D0"/>
    <w:rsid w:val="007621AD"/>
    <w:rsid w:val="00764941"/>
    <w:rsid w:val="007703CC"/>
    <w:rsid w:val="0077295D"/>
    <w:rsid w:val="007968DD"/>
    <w:rsid w:val="007A4C3F"/>
    <w:rsid w:val="007B6A27"/>
    <w:rsid w:val="007B6CCA"/>
    <w:rsid w:val="007C6F71"/>
    <w:rsid w:val="007D33BA"/>
    <w:rsid w:val="007D6EEC"/>
    <w:rsid w:val="007D7602"/>
    <w:rsid w:val="007E133F"/>
    <w:rsid w:val="007F2143"/>
    <w:rsid w:val="007F66EC"/>
    <w:rsid w:val="00813D3F"/>
    <w:rsid w:val="00821FB8"/>
    <w:rsid w:val="0085356A"/>
    <w:rsid w:val="008553D0"/>
    <w:rsid w:val="00865DDD"/>
    <w:rsid w:val="008707F1"/>
    <w:rsid w:val="00884058"/>
    <w:rsid w:val="008923B8"/>
    <w:rsid w:val="00892C0B"/>
    <w:rsid w:val="008A16DA"/>
    <w:rsid w:val="008D0844"/>
    <w:rsid w:val="008D2700"/>
    <w:rsid w:val="008D5DF8"/>
    <w:rsid w:val="008F3EAF"/>
    <w:rsid w:val="008F6466"/>
    <w:rsid w:val="00935E5C"/>
    <w:rsid w:val="00946960"/>
    <w:rsid w:val="009555B5"/>
    <w:rsid w:val="0096478F"/>
    <w:rsid w:val="00973F18"/>
    <w:rsid w:val="00976E03"/>
    <w:rsid w:val="009818E1"/>
    <w:rsid w:val="009A303D"/>
    <w:rsid w:val="009B00DD"/>
    <w:rsid w:val="009B1226"/>
    <w:rsid w:val="009B1E08"/>
    <w:rsid w:val="009B2DAA"/>
    <w:rsid w:val="009E1256"/>
    <w:rsid w:val="009E2D01"/>
    <w:rsid w:val="009E7FC6"/>
    <w:rsid w:val="00A142C8"/>
    <w:rsid w:val="00A179BE"/>
    <w:rsid w:val="00A6105D"/>
    <w:rsid w:val="00A71906"/>
    <w:rsid w:val="00A71BCA"/>
    <w:rsid w:val="00A87FF1"/>
    <w:rsid w:val="00A90732"/>
    <w:rsid w:val="00AB484C"/>
    <w:rsid w:val="00AC01A1"/>
    <w:rsid w:val="00AC0A08"/>
    <w:rsid w:val="00AC454A"/>
    <w:rsid w:val="00AC6608"/>
    <w:rsid w:val="00AD44C1"/>
    <w:rsid w:val="00AD5A51"/>
    <w:rsid w:val="00AE198E"/>
    <w:rsid w:val="00AE210A"/>
    <w:rsid w:val="00AF2137"/>
    <w:rsid w:val="00B03FD4"/>
    <w:rsid w:val="00B96496"/>
    <w:rsid w:val="00B96D00"/>
    <w:rsid w:val="00BB0F5C"/>
    <w:rsid w:val="00BE345B"/>
    <w:rsid w:val="00C20974"/>
    <w:rsid w:val="00C20C4D"/>
    <w:rsid w:val="00C306E6"/>
    <w:rsid w:val="00C63530"/>
    <w:rsid w:val="00C711AB"/>
    <w:rsid w:val="00C85F41"/>
    <w:rsid w:val="00C87DBC"/>
    <w:rsid w:val="00C91AB7"/>
    <w:rsid w:val="00C91C7E"/>
    <w:rsid w:val="00CA6558"/>
    <w:rsid w:val="00CB3CA7"/>
    <w:rsid w:val="00CF299D"/>
    <w:rsid w:val="00CF6706"/>
    <w:rsid w:val="00D04EAA"/>
    <w:rsid w:val="00D25C94"/>
    <w:rsid w:val="00D32102"/>
    <w:rsid w:val="00D33D35"/>
    <w:rsid w:val="00D45F49"/>
    <w:rsid w:val="00D51979"/>
    <w:rsid w:val="00D61C68"/>
    <w:rsid w:val="00D652C3"/>
    <w:rsid w:val="00D81236"/>
    <w:rsid w:val="00DA17B6"/>
    <w:rsid w:val="00DB4F3D"/>
    <w:rsid w:val="00DC3C99"/>
    <w:rsid w:val="00DD682E"/>
    <w:rsid w:val="00DD7A6E"/>
    <w:rsid w:val="00DE481D"/>
    <w:rsid w:val="00DE5552"/>
    <w:rsid w:val="00E206C9"/>
    <w:rsid w:val="00E206E2"/>
    <w:rsid w:val="00E30A40"/>
    <w:rsid w:val="00E4780C"/>
    <w:rsid w:val="00E47B17"/>
    <w:rsid w:val="00E522AF"/>
    <w:rsid w:val="00E568D4"/>
    <w:rsid w:val="00E61554"/>
    <w:rsid w:val="00E73B7D"/>
    <w:rsid w:val="00E7772B"/>
    <w:rsid w:val="00E810CE"/>
    <w:rsid w:val="00E812A8"/>
    <w:rsid w:val="00EB4DC0"/>
    <w:rsid w:val="00ED0438"/>
    <w:rsid w:val="00EE1030"/>
    <w:rsid w:val="00EF6012"/>
    <w:rsid w:val="00F02405"/>
    <w:rsid w:val="00F110F7"/>
    <w:rsid w:val="00F156F5"/>
    <w:rsid w:val="00F310FB"/>
    <w:rsid w:val="00F416EB"/>
    <w:rsid w:val="00F41B21"/>
    <w:rsid w:val="00F56EEC"/>
    <w:rsid w:val="00F61018"/>
    <w:rsid w:val="00F87A90"/>
    <w:rsid w:val="00FA7E6D"/>
    <w:rsid w:val="00FD30DB"/>
    <w:rsid w:val="00FD715C"/>
    <w:rsid w:val="00FF4972"/>
    <w:rsid w:val="00FF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rsid w:val="00743C9C"/>
    <w:pPr>
      <w:numPr>
        <w:numId w:val="6"/>
      </w:numPr>
    </w:pPr>
    <w:rPr>
      <w:rFonts w:ascii="Arial" w:hAnsi="Arial"/>
      <w:sz w:val="22"/>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FootnoteReference">
    <w:name w:val="footnote reference"/>
    <w:semiHidden/>
    <w:rPr>
      <w:vertAlign w:val="superscript"/>
    </w:rPr>
  </w:style>
  <w:style w:type="character" w:customStyle="1" w:styleId="ListBulletChar">
    <w:name w:val="List Bullet Char"/>
    <w:link w:val="ListBullet"/>
    <w:rsid w:val="00743C9C"/>
    <w:rPr>
      <w:rFonts w:ascii="Arial" w:hAnsi="Arial"/>
      <w:sz w:val="22"/>
      <w:szCs w:val="24"/>
      <w:lang w:val="en-US" w:eastAsia="en-US" w:bidi="ar-SA"/>
    </w:rPr>
  </w:style>
  <w:style w:type="table" w:styleId="TableGrid">
    <w:name w:val="Table Grid"/>
    <w:basedOn w:val="TableNormal"/>
    <w:rsid w:val="000D0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F6706"/>
    <w:pPr>
      <w:tabs>
        <w:tab w:val="center" w:pos="4320"/>
        <w:tab w:val="right" w:pos="8640"/>
      </w:tabs>
    </w:pPr>
  </w:style>
  <w:style w:type="paragraph" w:styleId="Footer">
    <w:name w:val="footer"/>
    <w:basedOn w:val="Normal"/>
    <w:rsid w:val="00CF6706"/>
    <w:pPr>
      <w:tabs>
        <w:tab w:val="center" w:pos="4320"/>
        <w:tab w:val="right" w:pos="8640"/>
      </w:tabs>
    </w:pPr>
  </w:style>
  <w:style w:type="character" w:styleId="PageNumber">
    <w:name w:val="page number"/>
    <w:basedOn w:val="DefaultParagraphFont"/>
    <w:rsid w:val="00CF6706"/>
  </w:style>
  <w:style w:type="paragraph" w:styleId="ListParagraph">
    <w:name w:val="List Paragraph"/>
    <w:basedOn w:val="Normal"/>
    <w:uiPriority w:val="34"/>
    <w:qFormat/>
    <w:rsid w:val="00F02405"/>
    <w:pPr>
      <w:ind w:left="720"/>
    </w:pPr>
  </w:style>
  <w:style w:type="paragraph" w:styleId="BalloonText">
    <w:name w:val="Balloon Text"/>
    <w:basedOn w:val="Normal"/>
    <w:link w:val="BalloonTextChar"/>
    <w:rsid w:val="000F265C"/>
    <w:rPr>
      <w:rFonts w:ascii="Tahoma" w:hAnsi="Tahoma" w:cs="Tahoma"/>
      <w:sz w:val="16"/>
      <w:szCs w:val="16"/>
    </w:rPr>
  </w:style>
  <w:style w:type="character" w:customStyle="1" w:styleId="BalloonTextChar">
    <w:name w:val="Balloon Text Char"/>
    <w:link w:val="BalloonText"/>
    <w:rsid w:val="000F265C"/>
    <w:rPr>
      <w:rFonts w:ascii="Tahoma" w:hAnsi="Tahoma" w:cs="Tahoma"/>
      <w:sz w:val="16"/>
      <w:szCs w:val="16"/>
    </w:rPr>
  </w:style>
  <w:style w:type="character" w:styleId="CommentReference">
    <w:name w:val="annotation reference"/>
    <w:rsid w:val="001B64D5"/>
    <w:rPr>
      <w:sz w:val="16"/>
      <w:szCs w:val="16"/>
    </w:rPr>
  </w:style>
  <w:style w:type="paragraph" w:styleId="CommentText">
    <w:name w:val="annotation text"/>
    <w:basedOn w:val="Normal"/>
    <w:link w:val="CommentTextChar"/>
    <w:rsid w:val="001B64D5"/>
    <w:rPr>
      <w:sz w:val="20"/>
    </w:rPr>
  </w:style>
  <w:style w:type="character" w:customStyle="1" w:styleId="CommentTextChar">
    <w:name w:val="Comment Text Char"/>
    <w:basedOn w:val="DefaultParagraphFont"/>
    <w:link w:val="CommentText"/>
    <w:rsid w:val="001B64D5"/>
  </w:style>
  <w:style w:type="paragraph" w:styleId="CommentSubject">
    <w:name w:val="annotation subject"/>
    <w:basedOn w:val="CommentText"/>
    <w:next w:val="CommentText"/>
    <w:link w:val="CommentSubjectChar"/>
    <w:rsid w:val="001B64D5"/>
    <w:rPr>
      <w:b/>
      <w:bCs/>
    </w:rPr>
  </w:style>
  <w:style w:type="character" w:customStyle="1" w:styleId="CommentSubjectChar">
    <w:name w:val="Comment Subject Char"/>
    <w:link w:val="CommentSubject"/>
    <w:rsid w:val="001B64D5"/>
    <w:rPr>
      <w:b/>
      <w:bCs/>
    </w:rPr>
  </w:style>
  <w:style w:type="paragraph" w:styleId="Revision">
    <w:name w:val="Revision"/>
    <w:hidden/>
    <w:uiPriority w:val="99"/>
    <w:semiHidden/>
    <w:rsid w:val="001B64D5"/>
    <w:rPr>
      <w:sz w:val="24"/>
    </w:rPr>
  </w:style>
  <w:style w:type="character" w:styleId="Hyperlink">
    <w:name w:val="Hyperlink"/>
    <w:basedOn w:val="DefaultParagraphFont"/>
    <w:rsid w:val="005A767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rsid w:val="00743C9C"/>
    <w:pPr>
      <w:numPr>
        <w:numId w:val="6"/>
      </w:numPr>
    </w:pPr>
    <w:rPr>
      <w:rFonts w:ascii="Arial" w:hAnsi="Arial"/>
      <w:sz w:val="22"/>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FootnoteReference">
    <w:name w:val="footnote reference"/>
    <w:semiHidden/>
    <w:rPr>
      <w:vertAlign w:val="superscript"/>
    </w:rPr>
  </w:style>
  <w:style w:type="character" w:customStyle="1" w:styleId="ListBulletChar">
    <w:name w:val="List Bullet Char"/>
    <w:link w:val="ListBullet"/>
    <w:rsid w:val="00743C9C"/>
    <w:rPr>
      <w:rFonts w:ascii="Arial" w:hAnsi="Arial"/>
      <w:sz w:val="22"/>
      <w:szCs w:val="24"/>
      <w:lang w:val="en-US" w:eastAsia="en-US" w:bidi="ar-SA"/>
    </w:rPr>
  </w:style>
  <w:style w:type="table" w:styleId="TableGrid">
    <w:name w:val="Table Grid"/>
    <w:basedOn w:val="TableNormal"/>
    <w:rsid w:val="000D0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F6706"/>
    <w:pPr>
      <w:tabs>
        <w:tab w:val="center" w:pos="4320"/>
        <w:tab w:val="right" w:pos="8640"/>
      </w:tabs>
    </w:pPr>
  </w:style>
  <w:style w:type="paragraph" w:styleId="Footer">
    <w:name w:val="footer"/>
    <w:basedOn w:val="Normal"/>
    <w:rsid w:val="00CF6706"/>
    <w:pPr>
      <w:tabs>
        <w:tab w:val="center" w:pos="4320"/>
        <w:tab w:val="right" w:pos="8640"/>
      </w:tabs>
    </w:pPr>
  </w:style>
  <w:style w:type="character" w:styleId="PageNumber">
    <w:name w:val="page number"/>
    <w:basedOn w:val="DefaultParagraphFont"/>
    <w:rsid w:val="00CF6706"/>
  </w:style>
  <w:style w:type="paragraph" w:styleId="ListParagraph">
    <w:name w:val="List Paragraph"/>
    <w:basedOn w:val="Normal"/>
    <w:uiPriority w:val="34"/>
    <w:qFormat/>
    <w:rsid w:val="00F02405"/>
    <w:pPr>
      <w:ind w:left="720"/>
    </w:pPr>
  </w:style>
  <w:style w:type="paragraph" w:styleId="BalloonText">
    <w:name w:val="Balloon Text"/>
    <w:basedOn w:val="Normal"/>
    <w:link w:val="BalloonTextChar"/>
    <w:rsid w:val="000F265C"/>
    <w:rPr>
      <w:rFonts w:ascii="Tahoma" w:hAnsi="Tahoma" w:cs="Tahoma"/>
      <w:sz w:val="16"/>
      <w:szCs w:val="16"/>
    </w:rPr>
  </w:style>
  <w:style w:type="character" w:customStyle="1" w:styleId="BalloonTextChar">
    <w:name w:val="Balloon Text Char"/>
    <w:link w:val="BalloonText"/>
    <w:rsid w:val="000F265C"/>
    <w:rPr>
      <w:rFonts w:ascii="Tahoma" w:hAnsi="Tahoma" w:cs="Tahoma"/>
      <w:sz w:val="16"/>
      <w:szCs w:val="16"/>
    </w:rPr>
  </w:style>
  <w:style w:type="character" w:styleId="CommentReference">
    <w:name w:val="annotation reference"/>
    <w:rsid w:val="001B64D5"/>
    <w:rPr>
      <w:sz w:val="16"/>
      <w:szCs w:val="16"/>
    </w:rPr>
  </w:style>
  <w:style w:type="paragraph" w:styleId="CommentText">
    <w:name w:val="annotation text"/>
    <w:basedOn w:val="Normal"/>
    <w:link w:val="CommentTextChar"/>
    <w:rsid w:val="001B64D5"/>
    <w:rPr>
      <w:sz w:val="20"/>
    </w:rPr>
  </w:style>
  <w:style w:type="character" w:customStyle="1" w:styleId="CommentTextChar">
    <w:name w:val="Comment Text Char"/>
    <w:basedOn w:val="DefaultParagraphFont"/>
    <w:link w:val="CommentText"/>
    <w:rsid w:val="001B64D5"/>
  </w:style>
  <w:style w:type="paragraph" w:styleId="CommentSubject">
    <w:name w:val="annotation subject"/>
    <w:basedOn w:val="CommentText"/>
    <w:next w:val="CommentText"/>
    <w:link w:val="CommentSubjectChar"/>
    <w:rsid w:val="001B64D5"/>
    <w:rPr>
      <w:b/>
      <w:bCs/>
    </w:rPr>
  </w:style>
  <w:style w:type="character" w:customStyle="1" w:styleId="CommentSubjectChar">
    <w:name w:val="Comment Subject Char"/>
    <w:link w:val="CommentSubject"/>
    <w:rsid w:val="001B64D5"/>
    <w:rPr>
      <w:b/>
      <w:bCs/>
    </w:rPr>
  </w:style>
  <w:style w:type="paragraph" w:styleId="Revision">
    <w:name w:val="Revision"/>
    <w:hidden/>
    <w:uiPriority w:val="99"/>
    <w:semiHidden/>
    <w:rsid w:val="001B64D5"/>
    <w:rPr>
      <w:sz w:val="24"/>
    </w:rPr>
  </w:style>
  <w:style w:type="character" w:styleId="Hyperlink">
    <w:name w:val="Hyperlink"/>
    <w:basedOn w:val="DefaultParagraphFont"/>
    <w:rsid w:val="005A76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5597">
      <w:bodyDiv w:val="1"/>
      <w:marLeft w:val="0"/>
      <w:marRight w:val="0"/>
      <w:marTop w:val="0"/>
      <w:marBottom w:val="0"/>
      <w:divBdr>
        <w:top w:val="none" w:sz="0" w:space="0" w:color="auto"/>
        <w:left w:val="none" w:sz="0" w:space="0" w:color="auto"/>
        <w:bottom w:val="none" w:sz="0" w:space="0" w:color="auto"/>
        <w:right w:val="none" w:sz="0" w:space="0" w:color="auto"/>
      </w:divBdr>
    </w:div>
    <w:div w:id="332757785">
      <w:bodyDiv w:val="1"/>
      <w:marLeft w:val="0"/>
      <w:marRight w:val="0"/>
      <w:marTop w:val="0"/>
      <w:marBottom w:val="0"/>
      <w:divBdr>
        <w:top w:val="none" w:sz="0" w:space="0" w:color="auto"/>
        <w:left w:val="none" w:sz="0" w:space="0" w:color="auto"/>
        <w:bottom w:val="none" w:sz="0" w:space="0" w:color="auto"/>
        <w:right w:val="none" w:sz="0" w:space="0" w:color="auto"/>
      </w:divBdr>
    </w:div>
    <w:div w:id="11053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rc.gov/site-help/electronic-sub-ref-ma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19D6-6A1D-4586-9389-CF625A55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DMB2</dc:creator>
  <cp:keywords/>
  <cp:lastModifiedBy>SYSTEM</cp:lastModifiedBy>
  <cp:revision>2</cp:revision>
  <cp:lastPrinted>2014-08-22T13:58:00Z</cp:lastPrinted>
  <dcterms:created xsi:type="dcterms:W3CDTF">2017-10-18T20:26:00Z</dcterms:created>
  <dcterms:modified xsi:type="dcterms:W3CDTF">2017-10-18T20:26:00Z</dcterms:modified>
</cp:coreProperties>
</file>