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C5" w:rsidRDefault="00816E3B">
      <w:pPr>
        <w:pStyle w:val="Title"/>
      </w:pPr>
      <w:bookmarkStart w:id="0" w:name="_GoBack"/>
      <w:bookmarkEnd w:id="0"/>
      <w:r>
        <w:t xml:space="preserve">SUPPORTING </w:t>
      </w:r>
      <w:r w:rsidR="005A29C5">
        <w:t>STATEMENT</w:t>
      </w:r>
    </w:p>
    <w:p w:rsidR="005A29C5" w:rsidRDefault="005A29C5"/>
    <w:p w:rsidR="00BD0C65" w:rsidRDefault="00BD0C65" w:rsidP="00BD0C65">
      <w:r>
        <w:t>Title of Information Collection: Combined Federal Campaign (CFC) Form 1654-B (Retiree Pledge Form):</w:t>
      </w:r>
    </w:p>
    <w:p w:rsidR="00BD0C65" w:rsidRDefault="00BD0C65" w:rsidP="00BD0C65"/>
    <w:p w:rsidR="00547C96" w:rsidRDefault="00A90F75" w:rsidP="00BD0C65">
      <w:r>
        <w:t>The U.S. Office of Personnel Management seeks emergency/expedited review and approval of the information collection for the Federal retiree pledge form</w:t>
      </w:r>
      <w:r w:rsidR="00181919">
        <w:t xml:space="preserve"> due to 1) unanticipated events and 2) disruption of the collection method</w:t>
      </w:r>
      <w:r>
        <w:t xml:space="preserve">.  </w:t>
      </w:r>
    </w:p>
    <w:p w:rsidR="00547C96" w:rsidRDefault="00547C96"/>
    <w:p w:rsidR="00181919" w:rsidRPr="00181919" w:rsidRDefault="00181919">
      <w:pPr>
        <w:rPr>
          <w:b/>
          <w:u w:val="single"/>
        </w:rPr>
      </w:pPr>
      <w:r w:rsidRPr="00181919">
        <w:rPr>
          <w:b/>
          <w:u w:val="single"/>
        </w:rPr>
        <w:t>Unanticipated Events: Hurricanes Harvey, Irma and Marie</w:t>
      </w:r>
    </w:p>
    <w:p w:rsidR="00181919" w:rsidRDefault="00547C96">
      <w:r>
        <w:t xml:space="preserve">While OPM has been able to offer special solicitation status to employees who want to respond to Hurricane Harvey, Irma and Marie, that authority did not extend to retirees.  Now that we are in CFC open season, we would like to make this available as soon as possible due to the on-going humanitarian needs especially in Puerto Rico where more than </w:t>
      </w:r>
      <w:r w:rsidR="00181919">
        <w:t>half of the island’s population is with</w:t>
      </w:r>
      <w:r>
        <w:t xml:space="preserve">out </w:t>
      </w:r>
      <w:r w:rsidR="00181919">
        <w:t>access to clean drinking water and many also are without p</w:t>
      </w:r>
      <w:r>
        <w:t>ower</w:t>
      </w:r>
      <w:r w:rsidR="00181919">
        <w:t xml:space="preserve">.  The CFC provides retirees a safe, secure and effective way to respond to the humanitarian needs. </w:t>
      </w:r>
    </w:p>
    <w:p w:rsidR="00181919" w:rsidRDefault="00181919"/>
    <w:p w:rsidR="00181919" w:rsidRPr="00816E3B" w:rsidRDefault="00181919">
      <w:pPr>
        <w:rPr>
          <w:b/>
          <w:u w:val="single"/>
        </w:rPr>
      </w:pPr>
      <w:r w:rsidRPr="00816E3B">
        <w:rPr>
          <w:b/>
          <w:u w:val="single"/>
        </w:rPr>
        <w:t>Disruption of the Normal Collection Period</w:t>
      </w:r>
    </w:p>
    <w:p w:rsidR="00181919" w:rsidRDefault="00181919">
      <w:r>
        <w:t>With CFC Open Season set for October 2, 2017 through January 12, 2018, offering the form on a more expedited path to retirees will treat all potential donors equally.  While employed in Federal Service, retirees are used to a CFC open season which extends from the late summer through early winter.  Had we know</w:t>
      </w:r>
      <w:r w:rsidR="00101E04">
        <w:t>n</w:t>
      </w:r>
      <w:r>
        <w:t xml:space="preserve"> that emergency or expedited approval was possible, we would have filed this request instead of the 60-day notice. </w:t>
      </w:r>
    </w:p>
    <w:p w:rsidR="00BD0C65" w:rsidRDefault="00BD0C65"/>
    <w:p w:rsidR="00BD0C65" w:rsidRDefault="00BD0C65">
      <w:r>
        <w:t xml:space="preserve">Due to the fact that no comments came in during the 60-day notice period and that this form is based upon existing collections already used with employees, OPM requests using the form immediately. </w:t>
      </w:r>
    </w:p>
    <w:p w:rsidR="00181919" w:rsidRDefault="00181919"/>
    <w:p w:rsidR="005A29C5" w:rsidRPr="00F742FF" w:rsidRDefault="005A29C5">
      <w:pPr>
        <w:pStyle w:val="Heading1"/>
        <w:rPr>
          <w:b/>
          <w:u w:val="none"/>
        </w:rPr>
      </w:pPr>
      <w:r w:rsidRPr="00F742FF">
        <w:rPr>
          <w:b/>
          <w:u w:val="none"/>
        </w:rPr>
        <w:t>Justification</w:t>
      </w:r>
    </w:p>
    <w:p w:rsidR="005A29C5" w:rsidRDefault="005A29C5">
      <w:pPr>
        <w:jc w:val="both"/>
      </w:pPr>
    </w:p>
    <w:p w:rsidR="003C4878" w:rsidRDefault="00C84120" w:rsidP="003C4878">
      <w:pPr>
        <w:pStyle w:val="ListParagraph"/>
        <w:numPr>
          <w:ilvl w:val="0"/>
          <w:numId w:val="2"/>
        </w:numPr>
      </w:pPr>
      <w:r w:rsidRPr="00C84120">
        <w:t>OPM is authorized to collect the information on this form based</w:t>
      </w:r>
      <w:r w:rsidR="00202F3B">
        <w:t xml:space="preserve"> upon the authority provided via </w:t>
      </w:r>
      <w:r w:rsidRPr="00C84120">
        <w:t xml:space="preserve">Executive Order (EO) 12353 (March 23, 1982), as amended by EO 13743 (October 13, 2016), and </w:t>
      </w:r>
      <w:r w:rsidR="00202F3B">
        <w:t xml:space="preserve">in Federal Regulations </w:t>
      </w:r>
      <w:r w:rsidRPr="00C84120">
        <w:t xml:space="preserve">5 CFR 950 (January 1, 2017).  In addition, Executive Order 9397 (November 22, 1943), as amended by EO 13478 (November 18, 2008), permits us to collect your Social Security Number (SSN). </w:t>
      </w:r>
    </w:p>
    <w:p w:rsidR="003C4878" w:rsidRDefault="003C4878" w:rsidP="003C4878">
      <w:pPr>
        <w:pStyle w:val="ListParagraph"/>
        <w:ind w:left="1440"/>
      </w:pPr>
    </w:p>
    <w:p w:rsidR="005A29C5" w:rsidRDefault="00C84120" w:rsidP="00D73A4F">
      <w:pPr>
        <w:pStyle w:val="ListParagraph"/>
        <w:ind w:left="1170"/>
      </w:pPr>
      <w:r>
        <w:t xml:space="preserve">Retirees have always been permitted by CFC regulation to make one-time, unsolicited gifts to their favorite charities through the CFC.  The EO 13743 (October 13, 2016) </w:t>
      </w:r>
      <w:r w:rsidR="00202F3B">
        <w:t xml:space="preserve">extended authority to </w:t>
      </w:r>
      <w:r>
        <w:t>permit CFC to solicit retiree giving and authorized OPM to collect allotments for CFC out of monthly deductions from retirement annuities.</w:t>
      </w:r>
    </w:p>
    <w:p w:rsidR="00202F3B" w:rsidRDefault="00202F3B" w:rsidP="00D73A4F">
      <w:pPr>
        <w:pStyle w:val="ListParagraph"/>
        <w:ind w:left="1170"/>
      </w:pPr>
    </w:p>
    <w:p w:rsidR="00202F3B" w:rsidRDefault="00202F3B" w:rsidP="00D73A4F">
      <w:pPr>
        <w:pStyle w:val="ListParagraph"/>
        <w:ind w:left="1170"/>
      </w:pPr>
      <w:r>
        <w:t xml:space="preserve">Currently, OPM Retirement Services already processes allotments out of annuity payments – usually for mortgages, car payments and other recurring </w:t>
      </w:r>
      <w:r>
        <w:lastRenderedPageBreak/>
        <w:t>commitment</w:t>
      </w:r>
      <w:r w:rsidR="00101E04">
        <w:t>s</w:t>
      </w:r>
      <w:r>
        <w:t xml:space="preserve"> of retirees.  This will join together the allotment process with the CFC process. </w:t>
      </w:r>
    </w:p>
    <w:p w:rsidR="006611BD" w:rsidRDefault="006611BD" w:rsidP="006611BD">
      <w:pPr>
        <w:ind w:left="720"/>
      </w:pPr>
    </w:p>
    <w:p w:rsidR="0094489F" w:rsidRPr="00C10044" w:rsidRDefault="0094489F" w:rsidP="0094489F">
      <w:pPr>
        <w:numPr>
          <w:ilvl w:val="0"/>
          <w:numId w:val="2"/>
        </w:numPr>
        <w:spacing w:after="160" w:line="259" w:lineRule="auto"/>
        <w:rPr>
          <w:rFonts w:ascii="Garamond" w:hAnsi="Garamond"/>
          <w:bCs/>
          <w:szCs w:val="24"/>
        </w:rPr>
      </w:pPr>
      <w:r w:rsidRPr="00C10044">
        <w:rPr>
          <w:szCs w:val="24"/>
        </w:rPr>
        <w:t xml:space="preserve">The information provided is primarily collected and used by OPM to accurately receive, process, acknowledge, and account for donations to the </w:t>
      </w:r>
      <w:r>
        <w:rPr>
          <w:szCs w:val="24"/>
        </w:rPr>
        <w:t xml:space="preserve">charities approved to participate in the </w:t>
      </w:r>
      <w:r w:rsidRPr="00C10044">
        <w:rPr>
          <w:szCs w:val="24"/>
        </w:rPr>
        <w:t xml:space="preserve">CFC; and to make payments to the charitable organizations to which retirees choose to donate.   </w:t>
      </w:r>
    </w:p>
    <w:p w:rsidR="0042758F" w:rsidRDefault="005A29C5" w:rsidP="00D73A4F">
      <w:pPr>
        <w:ind w:left="1170"/>
      </w:pPr>
      <w:r>
        <w:t xml:space="preserve">The collection of this information by OPM </w:t>
      </w:r>
      <w:r w:rsidR="0042758F">
        <w:t xml:space="preserve">will be via </w:t>
      </w:r>
      <w:r w:rsidR="00C84120">
        <w:t>both e</w:t>
      </w:r>
      <w:r>
        <w:t>lectronic</w:t>
      </w:r>
      <w:r w:rsidR="00C84120">
        <w:t xml:space="preserve"> </w:t>
      </w:r>
      <w:r w:rsidR="00A01FC0">
        <w:t xml:space="preserve">user interface or </w:t>
      </w:r>
      <w:r w:rsidR="00C84120">
        <w:t xml:space="preserve">paper </w:t>
      </w:r>
      <w:r w:rsidR="00A01FC0">
        <w:t xml:space="preserve">forms </w:t>
      </w:r>
      <w:r w:rsidR="00C84120">
        <w:t xml:space="preserve">for the next five years.  </w:t>
      </w:r>
      <w:r w:rsidR="0042758F">
        <w:t>Starting in 202</w:t>
      </w:r>
      <w:r w:rsidR="00A01FC0">
        <w:t>2</w:t>
      </w:r>
      <w:r w:rsidR="0042758F">
        <w:t xml:space="preserve">, the collection will be 100 percent electronic, reducing the burden on the CFC and the retiree/contributor. </w:t>
      </w:r>
    </w:p>
    <w:p w:rsidR="0042758F" w:rsidRDefault="0042758F" w:rsidP="00D73A4F">
      <w:pPr>
        <w:ind w:left="1170"/>
      </w:pPr>
    </w:p>
    <w:p w:rsidR="005A29C5" w:rsidRDefault="00202F3B" w:rsidP="00D73A4F">
      <w:pPr>
        <w:ind w:left="1170"/>
      </w:pPr>
      <w:r>
        <w:t xml:space="preserve">The retiree will provide the </w:t>
      </w:r>
      <w:r w:rsidR="0042758F">
        <w:t>payment</w:t>
      </w:r>
      <w:r w:rsidR="00A01FC0">
        <w:t xml:space="preserve"> source, </w:t>
      </w:r>
      <w:r w:rsidR="0042758F">
        <w:t xml:space="preserve">charity </w:t>
      </w:r>
      <w:r w:rsidR="00A01FC0">
        <w:t xml:space="preserve">designation </w:t>
      </w:r>
      <w:r>
        <w:t>information</w:t>
      </w:r>
      <w:r w:rsidR="00A01FC0">
        <w:t>, and donor information</w:t>
      </w:r>
      <w:r>
        <w:t xml:space="preserve"> to OPM through our Central Campaign Administrator (The Give Back Foundation and its sub-contractor the Total Administrative Services Corporation – TASC).  The information will be collected solely to honor voluntary charitable gifts made by retirees and forward those funds to designated charities. </w:t>
      </w:r>
      <w:r w:rsidR="0042758F">
        <w:t>Information will be shared with the authorized payment source (annuity, bank, or credit card company) and the recipient charity</w:t>
      </w:r>
      <w:r w:rsidR="00A01FC0">
        <w:t xml:space="preserve"> or chari</w:t>
      </w:r>
      <w:r w:rsidR="00BD0C65">
        <w:t>ties if the donor authorizes such</w:t>
      </w:r>
      <w:r w:rsidR="00A01FC0">
        <w:t xml:space="preserve"> release. </w:t>
      </w:r>
    </w:p>
    <w:p w:rsidR="00A01FC0" w:rsidRDefault="00A01FC0" w:rsidP="00D73A4F">
      <w:pPr>
        <w:ind w:left="1170"/>
      </w:pPr>
    </w:p>
    <w:p w:rsidR="00A90F75" w:rsidRDefault="00A90F75" w:rsidP="00D73A4F">
      <w:pPr>
        <w:ind w:left="1170"/>
      </w:pPr>
      <w:r w:rsidRPr="00A90F75">
        <w:t>The information collected may be disclosed as a “routine use” to the retirement service (e.g., OPM Retirement Services or the Defense Finance and Accounting Services Retiree Pay), for contributors who choose to make a recurring gift via a deduction from an annuity; or to credit card companies, banks, or other financial institutions, for a one-time or recurring gift (using the CFC’s online option) via credit card, electronic check, or automatic deduction from a financial account.</w:t>
      </w:r>
      <w:r w:rsidRPr="006F264D">
        <w:t xml:space="preserve">  </w:t>
      </w:r>
    </w:p>
    <w:p w:rsidR="00BD0C65" w:rsidRDefault="00BD0C65" w:rsidP="00D73A4F">
      <w:pPr>
        <w:ind w:left="1170"/>
      </w:pPr>
    </w:p>
    <w:p w:rsidR="00BD0C65" w:rsidRDefault="00BD0C65" w:rsidP="00D73A4F">
      <w:pPr>
        <w:ind w:left="1170"/>
      </w:pPr>
      <w:r>
        <w:t>This is consistent with the ways OPM uses employee contribution information currently and retiree information for one-time gifts in the past.</w:t>
      </w:r>
    </w:p>
    <w:p w:rsidR="00A90F75" w:rsidRDefault="00A90F75" w:rsidP="00A90F75">
      <w:pPr>
        <w:pStyle w:val="ListParagraph"/>
        <w:ind w:left="1440"/>
      </w:pPr>
    </w:p>
    <w:p w:rsidR="00BD0C65" w:rsidRDefault="0094489F" w:rsidP="0094489F">
      <w:pPr>
        <w:pStyle w:val="ListParagraph"/>
        <w:numPr>
          <w:ilvl w:val="0"/>
          <w:numId w:val="2"/>
        </w:numPr>
      </w:pPr>
      <w:r>
        <w:t>T</w:t>
      </w:r>
      <w:r w:rsidR="005A29C5">
        <w:t xml:space="preserve">he information collection </w:t>
      </w:r>
      <w:r w:rsidR="00C10044">
        <w:t xml:space="preserve">relies heavily upon the </w:t>
      </w:r>
      <w:r w:rsidR="00A01FC0">
        <w:t xml:space="preserve">deployment of an online user interface via the OPM Charitable Application and Online Donation System.  Retirees can create a custom profile within that system.  </w:t>
      </w:r>
    </w:p>
    <w:p w:rsidR="00BD0C65" w:rsidRDefault="00BD0C65" w:rsidP="00BD0C65">
      <w:pPr>
        <w:pStyle w:val="ListParagraph"/>
        <w:ind w:left="1440"/>
      </w:pPr>
    </w:p>
    <w:p w:rsidR="00A01FC0" w:rsidRDefault="00A01FC0" w:rsidP="00D73A4F">
      <w:pPr>
        <w:pStyle w:val="ListParagraph"/>
        <w:ind w:left="1170"/>
      </w:pPr>
      <w:r>
        <w:t xml:space="preserve">The system was developed based upon the recommendations of the CFC 50 Commission and </w:t>
      </w:r>
      <w:r w:rsidR="00BD0C65">
        <w:t xml:space="preserve">is </w:t>
      </w:r>
      <w:r>
        <w:t>consistent with the revisions to 5 CFR 950.  It allows OPM to strengthen the integrity, the operation and effectiveness of the CFC w</w:t>
      </w:r>
      <w:r w:rsidR="00C10044">
        <w:t>h</w:t>
      </w:r>
      <w:r>
        <w:t xml:space="preserve">ile over time, lowering costs, increasing </w:t>
      </w:r>
      <w:r w:rsidR="00C10044">
        <w:t>confidentiality</w:t>
      </w:r>
      <w:r>
        <w:t xml:space="preserve"> and </w:t>
      </w:r>
      <w:r w:rsidR="00C10044">
        <w:t xml:space="preserve">expanding the donor pool. </w:t>
      </w:r>
    </w:p>
    <w:p w:rsidR="00A01FC0" w:rsidRDefault="00A01FC0" w:rsidP="00D73A4F">
      <w:pPr>
        <w:ind w:left="1170"/>
      </w:pPr>
    </w:p>
    <w:p w:rsidR="00C10044" w:rsidRDefault="00C10044" w:rsidP="00D73A4F">
      <w:pPr>
        <w:ind w:left="1170"/>
      </w:pPr>
      <w:r>
        <w:t xml:space="preserve">Any </w:t>
      </w:r>
      <w:r w:rsidR="00BD0C65">
        <w:t xml:space="preserve">retirees </w:t>
      </w:r>
      <w:r>
        <w:t>not using the Online Donation System can use the paper form OPM 1654-B for the next five years. The form will be available locally through contractors and also via the internet (</w:t>
      </w:r>
      <w:hyperlink r:id="rId8" w:history="1">
        <w:r w:rsidRPr="00894D97">
          <w:rPr>
            <w:rStyle w:val="Hyperlink"/>
          </w:rPr>
          <w:t>www.opm.gov/cfc</w:t>
        </w:r>
      </w:hyperlink>
      <w:r>
        <w:t xml:space="preserve">). After 2021, the paper form will be discontinued. </w:t>
      </w:r>
    </w:p>
    <w:p w:rsidR="00C10044" w:rsidRDefault="00C10044" w:rsidP="00D73A4F">
      <w:pPr>
        <w:ind w:left="1170"/>
      </w:pPr>
    </w:p>
    <w:p w:rsidR="00C10044" w:rsidRDefault="00C10044" w:rsidP="00D73A4F">
      <w:pPr>
        <w:ind w:left="1170"/>
      </w:pPr>
      <w:r>
        <w:t>OPM will provide summary reports about CFC giving and the distribution of funds by the spring of the year following the campaign</w:t>
      </w:r>
      <w:r w:rsidR="00BD0C65">
        <w:t xml:space="preserve"> on our web site</w:t>
      </w:r>
      <w:r>
        <w:t xml:space="preserve">. </w:t>
      </w:r>
    </w:p>
    <w:p w:rsidR="00C10044" w:rsidRDefault="00C10044" w:rsidP="00A01FC0">
      <w:pPr>
        <w:ind w:left="1440"/>
      </w:pPr>
      <w:r>
        <w:t xml:space="preserve"> </w:t>
      </w:r>
    </w:p>
    <w:p w:rsidR="00C10044" w:rsidRPr="00C10044" w:rsidRDefault="00C10044" w:rsidP="007F06B1">
      <w:pPr>
        <w:numPr>
          <w:ilvl w:val="0"/>
          <w:numId w:val="2"/>
        </w:numPr>
        <w:spacing w:after="160" w:line="259" w:lineRule="auto"/>
        <w:rPr>
          <w:rFonts w:ascii="Garamond" w:hAnsi="Garamond"/>
          <w:bCs/>
          <w:szCs w:val="24"/>
        </w:rPr>
      </w:pPr>
      <w:r w:rsidRPr="00C10044">
        <w:rPr>
          <w:szCs w:val="24"/>
        </w:rPr>
        <w:t xml:space="preserve">There is no duplication of any collection from retirees for this purpose. </w:t>
      </w:r>
    </w:p>
    <w:p w:rsidR="0094489F" w:rsidRDefault="0094489F" w:rsidP="007F06B1">
      <w:pPr>
        <w:numPr>
          <w:ilvl w:val="0"/>
          <w:numId w:val="2"/>
        </w:numPr>
        <w:spacing w:after="160" w:line="259" w:lineRule="auto"/>
      </w:pPr>
      <w:r>
        <w:t xml:space="preserve">The information will come only from individuals and there will be no impact on small business. </w:t>
      </w:r>
    </w:p>
    <w:p w:rsidR="0094489F" w:rsidRDefault="0094489F" w:rsidP="007F06B1">
      <w:pPr>
        <w:numPr>
          <w:ilvl w:val="0"/>
          <w:numId w:val="2"/>
        </w:numPr>
        <w:spacing w:after="160" w:line="259" w:lineRule="auto"/>
      </w:pPr>
      <w:r>
        <w:t>If the information collection is not conducted, retirees who have been asking about this program for years will be</w:t>
      </w:r>
      <w:r w:rsidR="00D73A4F" w:rsidRPr="00D73A4F">
        <w:t xml:space="preserve"> </w:t>
      </w:r>
      <w:r w:rsidR="00D73A4F">
        <w:t>frustrated</w:t>
      </w:r>
      <w:r>
        <w:t xml:space="preserve">.  In addition, a study by the NARFE showed that allowing this program to extend to retirees would result in millions of dollars raised for charities.  </w:t>
      </w:r>
    </w:p>
    <w:p w:rsidR="00044EE1" w:rsidRDefault="00044EE1" w:rsidP="00D73A4F">
      <w:pPr>
        <w:spacing w:after="160" w:line="259" w:lineRule="auto"/>
        <w:ind w:left="1170"/>
      </w:pPr>
      <w:r>
        <w:t xml:space="preserve">The collection is done annually consistent with Federal tax years.  If the collection is done less frequently, there would be a disruption in the participation of the program and the benefit to retirees and charities would be diminished.   </w:t>
      </w:r>
    </w:p>
    <w:p w:rsidR="00044EE1" w:rsidRDefault="00044EE1" w:rsidP="007F06B1">
      <w:pPr>
        <w:numPr>
          <w:ilvl w:val="0"/>
          <w:numId w:val="2"/>
        </w:numPr>
        <w:spacing w:after="160" w:line="259" w:lineRule="auto"/>
      </w:pPr>
      <w:r>
        <w:t>Special Circumstances:</w:t>
      </w:r>
      <w:r w:rsidR="00E901C5">
        <w:t xml:space="preserve"> None apply.</w:t>
      </w:r>
    </w:p>
    <w:p w:rsidR="00D73A4F" w:rsidRPr="00E901C5" w:rsidRDefault="000E0D96" w:rsidP="005C5142">
      <w:pPr>
        <w:numPr>
          <w:ilvl w:val="0"/>
          <w:numId w:val="2"/>
        </w:numPr>
        <w:spacing w:after="160" w:line="259" w:lineRule="auto"/>
        <w:rPr>
          <w:szCs w:val="24"/>
        </w:rPr>
      </w:pPr>
      <w:r w:rsidRPr="00E901C5">
        <w:rPr>
          <w:szCs w:val="24"/>
        </w:rPr>
        <w:t>On August 2</w:t>
      </w:r>
      <w:r w:rsidR="005C5142" w:rsidRPr="00E901C5">
        <w:rPr>
          <w:szCs w:val="24"/>
        </w:rPr>
        <w:t>2</w:t>
      </w:r>
      <w:r w:rsidRPr="00E901C5">
        <w:rPr>
          <w:szCs w:val="24"/>
        </w:rPr>
        <w:t xml:space="preserve">, 2017, a 60-day Federal Register Notice was published at </w:t>
      </w:r>
      <w:r w:rsidR="00E901C5" w:rsidRPr="00E901C5">
        <w:rPr>
          <w:color w:val="333333"/>
          <w:szCs w:val="24"/>
        </w:rPr>
        <w:t xml:space="preserve">[FR Doc. </w:t>
      </w:r>
      <w:hyperlink r:id="rId9" w:history="1">
        <w:r w:rsidR="00E901C5" w:rsidRPr="00E901C5">
          <w:rPr>
            <w:color w:val="3071A9"/>
            <w:szCs w:val="24"/>
            <w:bdr w:val="none" w:sz="0" w:space="0" w:color="auto" w:frame="1"/>
          </w:rPr>
          <w:t>2017-17763</w:t>
        </w:r>
      </w:hyperlink>
      <w:r w:rsidR="00E901C5" w:rsidRPr="00E901C5">
        <w:rPr>
          <w:color w:val="333333"/>
          <w:szCs w:val="24"/>
        </w:rPr>
        <w:t xml:space="preserve"> Filed 8-21-17; 8:45 am]</w:t>
      </w:r>
      <w:r w:rsidR="005C5142" w:rsidRPr="00E901C5">
        <w:rPr>
          <w:szCs w:val="24"/>
        </w:rPr>
        <w:t>, page 39919</w:t>
      </w:r>
      <w:r w:rsidRPr="00E901C5">
        <w:rPr>
          <w:szCs w:val="24"/>
        </w:rPr>
        <w:t xml:space="preserve">. </w:t>
      </w:r>
    </w:p>
    <w:p w:rsidR="00044EE1" w:rsidRDefault="005C5142" w:rsidP="00D73A4F">
      <w:pPr>
        <w:spacing w:after="160" w:line="259" w:lineRule="auto"/>
        <w:ind w:left="1170"/>
      </w:pPr>
      <w:r>
        <w:t>(</w:t>
      </w:r>
      <w:hyperlink r:id="rId10" w:history="1">
        <w:r w:rsidRPr="00894D97">
          <w:rPr>
            <w:rStyle w:val="Hyperlink"/>
          </w:rPr>
          <w:t>https://www.federalregister.gov/documents/2017/08/22/2017-17763/submission-for-review-combined-federal-campaign-annuitant-pledge-form-opm-form-1654-b</w:t>
        </w:r>
      </w:hyperlink>
      <w:r>
        <w:t xml:space="preserve">) </w:t>
      </w:r>
    </w:p>
    <w:p w:rsidR="00E901C5" w:rsidRPr="00E901C5" w:rsidRDefault="005C5142" w:rsidP="00E901C5">
      <w:pPr>
        <w:numPr>
          <w:ilvl w:val="0"/>
          <w:numId w:val="2"/>
        </w:numPr>
        <w:spacing w:after="160" w:line="259" w:lineRule="auto"/>
      </w:pPr>
      <w:r>
        <w:t xml:space="preserve">There is no payment of </w:t>
      </w:r>
      <w:r w:rsidR="00FD7E4C">
        <w:t xml:space="preserve">any </w:t>
      </w:r>
      <w:r>
        <w:t>gift to the respondents.</w:t>
      </w:r>
      <w:r w:rsidR="00E901C5">
        <w:t xml:space="preserve"> </w:t>
      </w:r>
      <w:r w:rsidR="00E901C5" w:rsidRPr="00E901C5">
        <w:t>CFC organizations do not provide goods or services in whole or partial consideration for any contributions made to the organizations via th</w:t>
      </w:r>
      <w:r w:rsidR="00FD7E4C">
        <w:t>e CFC</w:t>
      </w:r>
      <w:r w:rsidR="00E901C5" w:rsidRPr="00E901C5">
        <w:t>.</w:t>
      </w:r>
    </w:p>
    <w:p w:rsidR="003102CC" w:rsidRDefault="005C5142" w:rsidP="007F06B1">
      <w:pPr>
        <w:numPr>
          <w:ilvl w:val="0"/>
          <w:numId w:val="2"/>
        </w:numPr>
        <w:spacing w:after="160" w:line="259" w:lineRule="auto"/>
      </w:pPr>
      <w:r>
        <w:t>Confidentiality is assured through state</w:t>
      </w:r>
      <w:r w:rsidR="00D73A4F">
        <w:t>-</w:t>
      </w:r>
      <w:r>
        <w:t>of</w:t>
      </w:r>
      <w:r w:rsidR="00D73A4F">
        <w:t>-</w:t>
      </w:r>
      <w:r>
        <w:t>the</w:t>
      </w:r>
      <w:r w:rsidR="00D73A4F">
        <w:t>-</w:t>
      </w:r>
      <w:r>
        <w:t xml:space="preserve">art controls put in place on the Online Donation System with the only exception being if the donor authorizes disclosure to the charity/charities designated. </w:t>
      </w:r>
      <w:r w:rsidR="003102CC">
        <w:t xml:space="preserve"> See OPM SORN 20 and PIA for details. </w:t>
      </w:r>
    </w:p>
    <w:p w:rsidR="003102CC" w:rsidRDefault="003102CC" w:rsidP="00D73A4F">
      <w:pPr>
        <w:pStyle w:val="ListParagraph"/>
        <w:spacing w:after="160" w:line="259" w:lineRule="auto"/>
        <w:ind w:left="1170"/>
      </w:pPr>
      <w:r w:rsidRPr="003102CC">
        <w:t>The Privacy Act (5 USC 552a) applies to a collection</w:t>
      </w:r>
      <w:r>
        <w:t xml:space="preserve"> in addition to the confidentiality protections promised in 5 CFR 950. </w:t>
      </w:r>
    </w:p>
    <w:p w:rsidR="003102CC" w:rsidRDefault="003102CC" w:rsidP="00FD7E4C">
      <w:pPr>
        <w:spacing w:after="160" w:line="259" w:lineRule="auto"/>
        <w:ind w:left="1170"/>
      </w:pPr>
      <w:r w:rsidRPr="003102CC">
        <w:t xml:space="preserve">Section 7(a)(1) </w:t>
      </w:r>
      <w:r>
        <w:t xml:space="preserve">of the privacy act also </w:t>
      </w:r>
      <w:r w:rsidRPr="003102CC">
        <w:t>applies</w:t>
      </w:r>
      <w:r>
        <w:t xml:space="preserve"> to the collection of the social security number of any donor contributing via annuity deduction:</w:t>
      </w:r>
      <w:r w:rsidRPr="003102CC">
        <w:t xml:space="preserve"> Any Federal, State or local government agency which requests an individual to disclose his social security account number shall inform that individual whether that disclosure is mandatory or voluntary, by what statutory or other authority such number is solicited, and what uses will be made of it. </w:t>
      </w:r>
    </w:p>
    <w:p w:rsidR="003102CC" w:rsidRPr="003102CC" w:rsidRDefault="003102CC" w:rsidP="00D73A4F">
      <w:pPr>
        <w:spacing w:after="160" w:line="259" w:lineRule="auto"/>
        <w:ind w:left="1170"/>
      </w:pPr>
      <w:r w:rsidRPr="006F264D">
        <w:t>With authorization</w:t>
      </w:r>
      <w:r>
        <w:t xml:space="preserve"> from the donor</w:t>
      </w:r>
      <w:r w:rsidRPr="006F264D">
        <w:t xml:space="preserve">, </w:t>
      </w:r>
      <w:r>
        <w:t xml:space="preserve">OPM </w:t>
      </w:r>
      <w:r w:rsidRPr="006F264D">
        <w:t>may also share the information provide</w:t>
      </w:r>
      <w:r>
        <w:t>d</w:t>
      </w:r>
      <w:r w:rsidRPr="006F264D">
        <w:t xml:space="preserve"> to us with local, national, or international charitable organizations or federations</w:t>
      </w:r>
      <w:r>
        <w:t xml:space="preserve">.  </w:t>
      </w:r>
      <w:r w:rsidRPr="006F264D">
        <w:t xml:space="preserve">A complete list of routine uses can be found in the system of records notice for OPM 20, National CFC System. </w:t>
      </w:r>
    </w:p>
    <w:p w:rsidR="00FD7E4C" w:rsidRDefault="00FD7E4C" w:rsidP="00D73A4F">
      <w:pPr>
        <w:pStyle w:val="ListParagraph"/>
        <w:numPr>
          <w:ilvl w:val="0"/>
          <w:numId w:val="2"/>
        </w:numPr>
      </w:pPr>
      <w:r>
        <w:t xml:space="preserve">No data is collected that is of a sensitive nature such as sexual behavior, religious beliefs, and other matters commonly considered private. </w:t>
      </w:r>
    </w:p>
    <w:p w:rsidR="00FD7E4C" w:rsidRDefault="00FD7E4C" w:rsidP="00FD7E4C">
      <w:pPr>
        <w:pStyle w:val="ListParagraph"/>
        <w:ind w:left="1170"/>
      </w:pPr>
    </w:p>
    <w:p w:rsidR="006462C7" w:rsidRDefault="00D73A4F" w:rsidP="00D73A4F">
      <w:pPr>
        <w:pStyle w:val="ListParagraph"/>
        <w:numPr>
          <w:ilvl w:val="0"/>
          <w:numId w:val="2"/>
        </w:numPr>
      </w:pPr>
      <w:r>
        <w:t xml:space="preserve">Providing </w:t>
      </w:r>
      <w:r w:rsidR="006462C7" w:rsidRPr="006462C7">
        <w:t xml:space="preserve">this information takes an average of 30 minutes per response to complete, including the time for reviewing instructions, getting the needed data, and reviewing the completed information collection title. </w:t>
      </w:r>
    </w:p>
    <w:p w:rsidR="006462C7" w:rsidRDefault="006462C7" w:rsidP="006462C7"/>
    <w:tbl>
      <w:tblPr>
        <w:tblStyle w:val="TableGrid"/>
        <w:tblW w:w="9720" w:type="dxa"/>
        <w:tblInd w:w="108" w:type="dxa"/>
        <w:tblLayout w:type="fixed"/>
        <w:tblLook w:val="01E0" w:firstRow="1" w:lastRow="1" w:firstColumn="1" w:lastColumn="1" w:noHBand="0" w:noVBand="0"/>
      </w:tblPr>
      <w:tblGrid>
        <w:gridCol w:w="1260"/>
        <w:gridCol w:w="1080"/>
        <w:gridCol w:w="1260"/>
        <w:gridCol w:w="1980"/>
        <w:gridCol w:w="900"/>
        <w:gridCol w:w="1170"/>
        <w:gridCol w:w="990"/>
        <w:gridCol w:w="1080"/>
      </w:tblGrid>
      <w:tr w:rsidR="006462C7" w:rsidRPr="00AB5A92" w:rsidTr="00D73A4F">
        <w:tc>
          <w:tcPr>
            <w:tcW w:w="126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 xml:space="preserve">Form Name </w:t>
            </w:r>
          </w:p>
        </w:tc>
        <w:tc>
          <w:tcPr>
            <w:tcW w:w="108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Form Number</w:t>
            </w:r>
          </w:p>
        </w:tc>
        <w:tc>
          <w:tcPr>
            <w:tcW w:w="126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No. of Respondents</w:t>
            </w:r>
          </w:p>
        </w:tc>
        <w:tc>
          <w:tcPr>
            <w:tcW w:w="198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No. of Responses per Respondent</w:t>
            </w:r>
          </w:p>
        </w:tc>
        <w:tc>
          <w:tcPr>
            <w:tcW w:w="90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Avg. Burden per Response (in hours)</w:t>
            </w:r>
          </w:p>
        </w:tc>
        <w:tc>
          <w:tcPr>
            <w:tcW w:w="117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Total Annual Burden (in hours)</w:t>
            </w:r>
          </w:p>
        </w:tc>
        <w:tc>
          <w:tcPr>
            <w:tcW w:w="99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Average Hourly Wage Rate</w:t>
            </w:r>
          </w:p>
        </w:tc>
        <w:tc>
          <w:tcPr>
            <w:tcW w:w="108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Total Annual Respondent Cost</w:t>
            </w:r>
          </w:p>
        </w:tc>
      </w:tr>
      <w:tr w:rsidR="006462C7" w:rsidRPr="00AB5A92" w:rsidTr="00D73A4F">
        <w:tc>
          <w:tcPr>
            <w:tcW w:w="1260" w:type="dxa"/>
          </w:tcPr>
          <w:p w:rsidR="006462C7" w:rsidRPr="00AB5A92"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CFC Retiree Pledge Form </w:t>
            </w:r>
          </w:p>
        </w:tc>
        <w:tc>
          <w:tcPr>
            <w:tcW w:w="1080" w:type="dxa"/>
            <w:vAlign w:val="center"/>
          </w:tcPr>
          <w:p w:rsidR="006462C7" w:rsidRPr="00AB5A92"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OPM 1654-B</w:t>
            </w:r>
          </w:p>
        </w:tc>
        <w:tc>
          <w:tcPr>
            <w:tcW w:w="1260" w:type="dxa"/>
            <w:vAlign w:val="center"/>
          </w:tcPr>
          <w:p w:rsidR="006462C7" w:rsidRPr="00AB5A92" w:rsidRDefault="006462C7" w:rsidP="00646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250,000</w:t>
            </w:r>
          </w:p>
        </w:tc>
        <w:tc>
          <w:tcPr>
            <w:tcW w:w="1980" w:type="dxa"/>
            <w:vAlign w:val="center"/>
          </w:tcPr>
          <w:p w:rsidR="006462C7" w:rsidRPr="00AB5A92"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900" w:type="dxa"/>
            <w:vAlign w:val="center"/>
          </w:tcPr>
          <w:p w:rsidR="006462C7" w:rsidRPr="00AB5A92"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170" w:type="dxa"/>
            <w:vAlign w:val="center"/>
          </w:tcPr>
          <w:p w:rsidR="006462C7" w:rsidRPr="00AB5A92"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125,000</w:t>
            </w:r>
          </w:p>
        </w:tc>
        <w:tc>
          <w:tcPr>
            <w:tcW w:w="990" w:type="dxa"/>
            <w:vAlign w:val="center"/>
          </w:tcPr>
          <w:p w:rsidR="006462C7" w:rsidRPr="00AB5A92" w:rsidRDefault="00C176ED"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080" w:type="dxa"/>
            <w:vAlign w:val="center"/>
          </w:tcPr>
          <w:p w:rsidR="006462C7" w:rsidRPr="00AB5A92" w:rsidRDefault="00C176ED"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r>
    </w:tbl>
    <w:p w:rsidR="00FD7E4C" w:rsidRDefault="00FD7E4C" w:rsidP="00FD7E4C">
      <w:pPr>
        <w:spacing w:after="160" w:line="259" w:lineRule="auto"/>
      </w:pPr>
    </w:p>
    <w:p w:rsidR="00556DD4" w:rsidRDefault="00FD7E4C" w:rsidP="007F06B1">
      <w:pPr>
        <w:numPr>
          <w:ilvl w:val="0"/>
          <w:numId w:val="2"/>
        </w:numPr>
        <w:spacing w:after="160" w:line="259" w:lineRule="auto"/>
      </w:pPr>
      <w:r w:rsidRPr="00FD7E4C">
        <w:rPr>
          <w:b/>
        </w:rPr>
        <w:t>Cost to the Respondent:</w:t>
      </w:r>
      <w:r>
        <w:t xml:space="preserve">  </w:t>
      </w:r>
      <w:r w:rsidR="00556DD4">
        <w:t>The cost burden to respondents would be minimal.  Beyond obtaining the f</w:t>
      </w:r>
      <w:r w:rsidR="00E95FA9">
        <w:t>o</w:t>
      </w:r>
      <w:r w:rsidR="00556DD4">
        <w:t>rm and researching their favorite charities from the approved database, a donor who pledges electronically will have no further costs.  If a donor uses a paper form, they would have the minimal costs of mailing in the form in a first-class letter</w:t>
      </w:r>
      <w:r w:rsidR="00E95FA9">
        <w:t xml:space="preserve"> envelope</w:t>
      </w:r>
      <w:r w:rsidR="00556DD4">
        <w:t>.</w:t>
      </w:r>
    </w:p>
    <w:p w:rsidR="00FD7E4C" w:rsidRDefault="00FD7E4C" w:rsidP="00FD7E4C">
      <w:pPr>
        <w:spacing w:after="160" w:line="259" w:lineRule="auto"/>
        <w:ind w:left="1170"/>
      </w:pPr>
      <w:r>
        <w:t>There are no capital or start-up costs.</w:t>
      </w:r>
    </w:p>
    <w:p w:rsidR="00FD7E4C" w:rsidRPr="00FD7E4C" w:rsidRDefault="00FD7E4C" w:rsidP="00FD7E4C">
      <w:pPr>
        <w:spacing w:after="160" w:line="259" w:lineRule="auto"/>
        <w:ind w:left="1170"/>
      </w:pPr>
      <w:r>
        <w:t xml:space="preserve">There are no on-going maintenance or services needed. </w:t>
      </w:r>
    </w:p>
    <w:p w:rsidR="00556DD4" w:rsidRDefault="00556DD4" w:rsidP="007F06B1">
      <w:pPr>
        <w:numPr>
          <w:ilvl w:val="0"/>
          <w:numId w:val="2"/>
        </w:numPr>
        <w:spacing w:after="160" w:line="259" w:lineRule="auto"/>
      </w:pPr>
      <w:r w:rsidRPr="00FD7E4C">
        <w:rPr>
          <w:b/>
        </w:rPr>
        <w:t>Costs to the Government:</w:t>
      </w:r>
      <w:r>
        <w:t xml:space="preserve"> </w:t>
      </w:r>
      <w:r w:rsidR="00E95FA9">
        <w:t xml:space="preserve">There are no costs beyond the normal labor costs.  </w:t>
      </w:r>
      <w:r w:rsidR="0018553A">
        <w:t xml:space="preserve">No appropriated funds will be used to support this program.  </w:t>
      </w:r>
      <w:r>
        <w:t xml:space="preserve">Because this is an extension of an employee program to retirees, the added costs are </w:t>
      </w:r>
      <w:r w:rsidR="00E95FA9">
        <w:t xml:space="preserve">minor and </w:t>
      </w:r>
      <w:r>
        <w:t xml:space="preserve">incremental.  The forms would be designed and available for download so there are no printing costs.  The costs of the system have already been incurred to build it for employees so there are no further costs for system development. Some customer support would be needed to answer questions from retirees.  However, these contractor personnel are already in place for the employee campaign.  </w:t>
      </w:r>
    </w:p>
    <w:p w:rsidR="006F264D" w:rsidRDefault="00556DD4" w:rsidP="00816E3B">
      <w:pPr>
        <w:spacing w:after="160" w:line="259" w:lineRule="auto"/>
        <w:ind w:left="1170"/>
      </w:pPr>
      <w:r>
        <w:t xml:space="preserve">Most of the costs </w:t>
      </w:r>
      <w:r w:rsidR="00816E3B">
        <w:t xml:space="preserve">incurred </w:t>
      </w:r>
      <w:r>
        <w:t xml:space="preserve">to implement this are paid by application and listing fees </w:t>
      </w:r>
      <w:r w:rsidR="00816E3B">
        <w:t xml:space="preserve">collected </w:t>
      </w:r>
      <w:r>
        <w:t xml:space="preserve">from </w:t>
      </w:r>
      <w:r w:rsidR="00816E3B">
        <w:t xml:space="preserve">the federated groups and </w:t>
      </w:r>
      <w:r>
        <w:t>charities</w:t>
      </w:r>
      <w:r w:rsidR="00816E3B">
        <w:t xml:space="preserve"> approved to be listed in the CFC</w:t>
      </w:r>
      <w:r>
        <w:t xml:space="preserve">.  </w:t>
      </w:r>
      <w:r w:rsidR="0018553A">
        <w:t xml:space="preserve">Donors might pay a small distribution fee if the first two fees are not sufficient for all expenses. </w:t>
      </w:r>
      <w:r w:rsidR="00E95FA9">
        <w:t xml:space="preserve">That fee level will be computed at the end of the campaign prior to funds being distributed to charities. </w:t>
      </w:r>
    </w:p>
    <w:p w:rsidR="005A29C5" w:rsidRDefault="00E95FA9">
      <w:pPr>
        <w:numPr>
          <w:ilvl w:val="0"/>
          <w:numId w:val="2"/>
        </w:numPr>
      </w:pPr>
      <w:r>
        <w:t xml:space="preserve">The program change which made this required was a new Executive Order issued October 13, 2016 that expanded OPM’s authority to solicit and collect information within the CFC.  </w:t>
      </w:r>
      <w:r w:rsidR="005A29C5">
        <w:t xml:space="preserve">No </w:t>
      </w:r>
      <w:r>
        <w:t>other s</w:t>
      </w:r>
      <w:r w:rsidR="005A29C5">
        <w:t>pecial circumstances exist for this information collection.</w:t>
      </w:r>
    </w:p>
    <w:p w:rsidR="006611BD" w:rsidRDefault="006611BD" w:rsidP="006611BD">
      <w:pPr>
        <w:ind w:left="720"/>
      </w:pPr>
    </w:p>
    <w:p w:rsidR="00E95FA9" w:rsidRDefault="00E95FA9" w:rsidP="00E6005D">
      <w:pPr>
        <w:numPr>
          <w:ilvl w:val="0"/>
          <w:numId w:val="2"/>
        </w:numPr>
      </w:pPr>
      <w:r>
        <w:t xml:space="preserve">Overall </w:t>
      </w:r>
      <w:r w:rsidR="00D4431E">
        <w:t>statistics</w:t>
      </w:r>
      <w:r>
        <w:t xml:space="preserve"> will be disclosed at the end of the campaign period </w:t>
      </w:r>
      <w:r w:rsidR="00D4431E">
        <w:t xml:space="preserve">and made available on </w:t>
      </w:r>
      <w:hyperlink r:id="rId11" w:history="1">
        <w:r w:rsidR="00D4431E" w:rsidRPr="00894D97">
          <w:rPr>
            <w:rStyle w:val="Hyperlink"/>
          </w:rPr>
          <w:t>www.opm.gov/cfc</w:t>
        </w:r>
      </w:hyperlink>
      <w:r w:rsidR="00D4431E">
        <w:t>.  Data</w:t>
      </w:r>
      <w:r w:rsidR="00FD7E4C">
        <w:t xml:space="preserve"> released will</w:t>
      </w:r>
      <w:r w:rsidR="00D4431E">
        <w:t xml:space="preserve"> include</w:t>
      </w:r>
      <w:r>
        <w:t>:</w:t>
      </w:r>
    </w:p>
    <w:p w:rsidR="00E95FA9" w:rsidRDefault="00E95FA9" w:rsidP="00E95FA9">
      <w:pPr>
        <w:pStyle w:val="ListParagraph"/>
      </w:pPr>
    </w:p>
    <w:p w:rsidR="00E95FA9" w:rsidRDefault="00E95FA9" w:rsidP="00E95FA9">
      <w:pPr>
        <w:ind w:left="2160"/>
      </w:pPr>
      <w:r>
        <w:t>Total number of retirees giving</w:t>
      </w:r>
    </w:p>
    <w:p w:rsidR="00E95FA9" w:rsidRDefault="00E95FA9" w:rsidP="00E95FA9">
      <w:pPr>
        <w:ind w:left="2160"/>
      </w:pPr>
      <w:r>
        <w:t>Total amount donated by retirees</w:t>
      </w:r>
    </w:p>
    <w:p w:rsidR="00E95FA9" w:rsidRDefault="00E95FA9" w:rsidP="00E95FA9">
      <w:pPr>
        <w:ind w:left="2160"/>
      </w:pPr>
      <w:r>
        <w:t xml:space="preserve">Method of giving </w:t>
      </w:r>
    </w:p>
    <w:p w:rsidR="00E95FA9" w:rsidRDefault="00E95FA9" w:rsidP="00E95FA9">
      <w:pPr>
        <w:ind w:left="2160" w:firstLine="720"/>
      </w:pPr>
      <w:r>
        <w:t>(Annuity/Check/Credit Card)</w:t>
      </w:r>
    </w:p>
    <w:p w:rsidR="00E95FA9" w:rsidRDefault="00E95FA9" w:rsidP="00E95FA9">
      <w:r>
        <w:tab/>
      </w:r>
      <w:r>
        <w:tab/>
      </w:r>
      <w:r>
        <w:tab/>
        <w:t xml:space="preserve">Timing of Gift </w:t>
      </w:r>
    </w:p>
    <w:p w:rsidR="00E95FA9" w:rsidRDefault="00E95FA9" w:rsidP="00E95FA9">
      <w:r>
        <w:tab/>
      </w:r>
      <w:r>
        <w:tab/>
      </w:r>
      <w:r>
        <w:tab/>
      </w:r>
      <w:r>
        <w:tab/>
        <w:t>(One-time or Recurring)</w:t>
      </w:r>
    </w:p>
    <w:p w:rsidR="00D4431E" w:rsidRDefault="00E95FA9" w:rsidP="00E95FA9">
      <w:pPr>
        <w:ind w:left="2160"/>
      </w:pPr>
      <w:r>
        <w:t>Average Gift</w:t>
      </w:r>
    </w:p>
    <w:p w:rsidR="00D4431E" w:rsidRDefault="00D4431E" w:rsidP="00E95FA9">
      <w:pPr>
        <w:ind w:left="2160"/>
      </w:pPr>
      <w:r>
        <w:t>Distribution to charities</w:t>
      </w:r>
    </w:p>
    <w:p w:rsidR="00D4431E" w:rsidRDefault="00D4431E" w:rsidP="00E95FA9">
      <w:pPr>
        <w:ind w:left="2160"/>
      </w:pPr>
    </w:p>
    <w:p w:rsidR="005A29C5" w:rsidRDefault="005A29C5">
      <w:pPr>
        <w:numPr>
          <w:ilvl w:val="0"/>
          <w:numId w:val="2"/>
        </w:numPr>
      </w:pPr>
      <w:r>
        <w:t>Not applicable.</w:t>
      </w:r>
    </w:p>
    <w:p w:rsidR="006611BD" w:rsidRDefault="006611BD" w:rsidP="006611BD">
      <w:pPr>
        <w:ind w:left="720"/>
      </w:pPr>
    </w:p>
    <w:p w:rsidR="005A29C5" w:rsidRDefault="005A29C5">
      <w:pPr>
        <w:numPr>
          <w:ilvl w:val="0"/>
          <w:numId w:val="2"/>
        </w:numPr>
      </w:pPr>
      <w:r>
        <w:t>Not applicable.</w:t>
      </w:r>
    </w:p>
    <w:p w:rsidR="00D4431E" w:rsidRDefault="00D4431E" w:rsidP="00D4431E">
      <w:pPr>
        <w:pStyle w:val="ListParagraph"/>
      </w:pPr>
    </w:p>
    <w:p w:rsidR="00D4431E" w:rsidRPr="00F742FF" w:rsidRDefault="00816E3B" w:rsidP="00816E3B">
      <w:pPr>
        <w:pStyle w:val="Heading1"/>
        <w:rPr>
          <w:b/>
          <w:u w:val="none"/>
        </w:rPr>
      </w:pPr>
      <w:r w:rsidRPr="00F742FF">
        <w:rPr>
          <w:b/>
          <w:u w:val="none"/>
        </w:rPr>
        <w:t>Collections of Information Employing Statistical Methods</w:t>
      </w:r>
    </w:p>
    <w:p w:rsidR="00816E3B" w:rsidRDefault="00816E3B" w:rsidP="00816E3B"/>
    <w:p w:rsidR="00816E3B" w:rsidRDefault="00816E3B" w:rsidP="00816E3B">
      <w:pPr>
        <w:pStyle w:val="ListParagraph"/>
        <w:numPr>
          <w:ilvl w:val="0"/>
          <w:numId w:val="6"/>
        </w:numPr>
        <w:ind w:left="1170" w:hanging="630"/>
      </w:pPr>
      <w:r>
        <w:t>Not applicable.</w:t>
      </w:r>
    </w:p>
    <w:p w:rsidR="00816E3B" w:rsidRDefault="00816E3B" w:rsidP="00816E3B">
      <w:pPr>
        <w:pStyle w:val="ListParagraph"/>
        <w:ind w:left="1170" w:hanging="630"/>
      </w:pPr>
    </w:p>
    <w:p w:rsidR="00816E3B" w:rsidRDefault="00816E3B" w:rsidP="00816E3B">
      <w:pPr>
        <w:pStyle w:val="ListParagraph"/>
        <w:numPr>
          <w:ilvl w:val="0"/>
          <w:numId w:val="6"/>
        </w:numPr>
        <w:ind w:left="1170" w:hanging="630"/>
      </w:pPr>
      <w:r>
        <w:t>Not applicable.</w:t>
      </w:r>
    </w:p>
    <w:p w:rsidR="00816E3B" w:rsidRDefault="00816E3B" w:rsidP="00816E3B">
      <w:pPr>
        <w:pStyle w:val="ListParagraph"/>
        <w:ind w:left="1170" w:hanging="630"/>
      </w:pPr>
    </w:p>
    <w:p w:rsidR="00816E3B" w:rsidRDefault="00816E3B" w:rsidP="00816E3B">
      <w:pPr>
        <w:pStyle w:val="ListParagraph"/>
        <w:numPr>
          <w:ilvl w:val="0"/>
          <w:numId w:val="6"/>
        </w:numPr>
        <w:ind w:left="1170" w:hanging="630"/>
      </w:pPr>
      <w:r>
        <w:t>Not applicable.</w:t>
      </w:r>
    </w:p>
    <w:p w:rsidR="00816E3B" w:rsidRDefault="00816E3B" w:rsidP="00816E3B">
      <w:pPr>
        <w:pStyle w:val="ListParagraph"/>
        <w:ind w:left="1170" w:hanging="630"/>
      </w:pPr>
    </w:p>
    <w:p w:rsidR="00816E3B" w:rsidRDefault="00816E3B" w:rsidP="00816E3B">
      <w:pPr>
        <w:pStyle w:val="ListParagraph"/>
        <w:numPr>
          <w:ilvl w:val="0"/>
          <w:numId w:val="6"/>
        </w:numPr>
        <w:ind w:left="1170" w:hanging="630"/>
      </w:pPr>
      <w:r>
        <w:t>Not applicable.</w:t>
      </w:r>
    </w:p>
    <w:p w:rsidR="00816E3B" w:rsidRDefault="00816E3B" w:rsidP="00816E3B">
      <w:pPr>
        <w:pStyle w:val="ListParagraph"/>
        <w:ind w:left="1170" w:hanging="630"/>
      </w:pPr>
    </w:p>
    <w:p w:rsidR="00816E3B" w:rsidRDefault="00816E3B" w:rsidP="00816E3B">
      <w:pPr>
        <w:pStyle w:val="ListParagraph"/>
        <w:numPr>
          <w:ilvl w:val="0"/>
          <w:numId w:val="6"/>
        </w:numPr>
        <w:ind w:left="1170" w:hanging="630"/>
      </w:pPr>
      <w:r>
        <w:t>Not applicable.</w:t>
      </w:r>
    </w:p>
    <w:p w:rsidR="00816E3B" w:rsidRPr="00816E3B" w:rsidRDefault="00816E3B" w:rsidP="00816E3B">
      <w:pPr>
        <w:pStyle w:val="ListParagraph"/>
        <w:ind w:left="1080"/>
      </w:pPr>
    </w:p>
    <w:p w:rsidR="005A29C5" w:rsidRDefault="005A29C5" w:rsidP="00D4431E"/>
    <w:sectPr w:rsidR="005A29C5" w:rsidSect="00133389">
      <w:head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5C1" w:rsidRDefault="00CA75C1">
      <w:r>
        <w:separator/>
      </w:r>
    </w:p>
  </w:endnote>
  <w:endnote w:type="continuationSeparator" w:id="0">
    <w:p w:rsidR="00CA75C1" w:rsidRDefault="00CA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5C1" w:rsidRDefault="00CA75C1">
      <w:r>
        <w:separator/>
      </w:r>
    </w:p>
  </w:footnote>
  <w:footnote w:type="continuationSeparator" w:id="0">
    <w:p w:rsidR="00CA75C1" w:rsidRDefault="00CA7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73" w:rsidRDefault="00D4431E" w:rsidP="008848C3">
    <w:pPr>
      <w:pStyle w:val="Header"/>
      <w:jc w:val="right"/>
    </w:pPr>
    <w:r>
      <w:t>OPM 1654-B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1F32"/>
    <w:multiLevelType w:val="hybridMultilevel"/>
    <w:tmpl w:val="9636183C"/>
    <w:lvl w:ilvl="0" w:tplc="E5102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5B3B02"/>
    <w:multiLevelType w:val="hybridMultilevel"/>
    <w:tmpl w:val="F71E02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5B133E"/>
    <w:multiLevelType w:val="hybridMultilevel"/>
    <w:tmpl w:val="DC3C74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6B54471"/>
    <w:multiLevelType w:val="singleLevel"/>
    <w:tmpl w:val="965A7D40"/>
    <w:lvl w:ilvl="0">
      <w:start w:val="1"/>
      <w:numFmt w:val="upperLetter"/>
      <w:pStyle w:val="Heading1"/>
      <w:lvlText w:val="%1."/>
      <w:lvlJc w:val="left"/>
      <w:pPr>
        <w:tabs>
          <w:tab w:val="num" w:pos="720"/>
        </w:tabs>
        <w:ind w:left="720" w:hanging="720"/>
      </w:pPr>
      <w:rPr>
        <w:rFonts w:hint="default"/>
      </w:rPr>
    </w:lvl>
  </w:abstractNum>
  <w:abstractNum w:abstractNumId="4">
    <w:nsid w:val="54870E05"/>
    <w:multiLevelType w:val="singleLevel"/>
    <w:tmpl w:val="26526DAA"/>
    <w:lvl w:ilvl="0">
      <w:start w:val="1"/>
      <w:numFmt w:val="bullet"/>
      <w:lvlText w:val=""/>
      <w:lvlJc w:val="left"/>
      <w:pPr>
        <w:tabs>
          <w:tab w:val="num" w:pos="2520"/>
        </w:tabs>
        <w:ind w:left="2520" w:hanging="360"/>
      </w:pPr>
      <w:rPr>
        <w:rFonts w:ascii="Symbol" w:hAnsi="Symbol" w:hint="default"/>
      </w:rPr>
    </w:lvl>
  </w:abstractNum>
  <w:abstractNum w:abstractNumId="5">
    <w:nsid w:val="5ED737C5"/>
    <w:multiLevelType w:val="singleLevel"/>
    <w:tmpl w:val="70B66CBA"/>
    <w:lvl w:ilvl="0">
      <w:start w:val="1"/>
      <w:numFmt w:val="decimal"/>
      <w:lvlText w:val="%1."/>
      <w:lvlJc w:val="left"/>
      <w:pPr>
        <w:tabs>
          <w:tab w:val="num" w:pos="1170"/>
        </w:tabs>
        <w:ind w:left="1170" w:hanging="72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24"/>
    <w:rsid w:val="00044EE1"/>
    <w:rsid w:val="00071FEC"/>
    <w:rsid w:val="000B2777"/>
    <w:rsid w:val="000E0D96"/>
    <w:rsid w:val="000E1AE7"/>
    <w:rsid w:val="00101E04"/>
    <w:rsid w:val="00133389"/>
    <w:rsid w:val="00181919"/>
    <w:rsid w:val="0018553A"/>
    <w:rsid w:val="001B2F9C"/>
    <w:rsid w:val="001C561D"/>
    <w:rsid w:val="00202F3B"/>
    <w:rsid w:val="00272AAD"/>
    <w:rsid w:val="003102CC"/>
    <w:rsid w:val="0037613B"/>
    <w:rsid w:val="003A160E"/>
    <w:rsid w:val="003B49E5"/>
    <w:rsid w:val="003C4878"/>
    <w:rsid w:val="003E58EB"/>
    <w:rsid w:val="003F192C"/>
    <w:rsid w:val="00425465"/>
    <w:rsid w:val="0042758F"/>
    <w:rsid w:val="004D0C9C"/>
    <w:rsid w:val="00547C96"/>
    <w:rsid w:val="00556DD4"/>
    <w:rsid w:val="005A29C5"/>
    <w:rsid w:val="005C0229"/>
    <w:rsid w:val="005C5142"/>
    <w:rsid w:val="005F4F15"/>
    <w:rsid w:val="006462C7"/>
    <w:rsid w:val="006611BD"/>
    <w:rsid w:val="006A72A7"/>
    <w:rsid w:val="006F264D"/>
    <w:rsid w:val="006F7818"/>
    <w:rsid w:val="00777F73"/>
    <w:rsid w:val="007D4F8D"/>
    <w:rsid w:val="00816E3B"/>
    <w:rsid w:val="00820086"/>
    <w:rsid w:val="00842FDD"/>
    <w:rsid w:val="00864877"/>
    <w:rsid w:val="008848C3"/>
    <w:rsid w:val="00917803"/>
    <w:rsid w:val="0094489F"/>
    <w:rsid w:val="00954F58"/>
    <w:rsid w:val="009B1AD5"/>
    <w:rsid w:val="00A01FC0"/>
    <w:rsid w:val="00A06827"/>
    <w:rsid w:val="00A3202B"/>
    <w:rsid w:val="00A3467C"/>
    <w:rsid w:val="00A80F24"/>
    <w:rsid w:val="00A90F75"/>
    <w:rsid w:val="00AC0317"/>
    <w:rsid w:val="00B147E9"/>
    <w:rsid w:val="00BC26B1"/>
    <w:rsid w:val="00BD0C65"/>
    <w:rsid w:val="00C00A0E"/>
    <w:rsid w:val="00C070A1"/>
    <w:rsid w:val="00C10044"/>
    <w:rsid w:val="00C176ED"/>
    <w:rsid w:val="00C40251"/>
    <w:rsid w:val="00C607F9"/>
    <w:rsid w:val="00C84120"/>
    <w:rsid w:val="00CA75C1"/>
    <w:rsid w:val="00D4431E"/>
    <w:rsid w:val="00D66CA0"/>
    <w:rsid w:val="00D73A4F"/>
    <w:rsid w:val="00DA3E75"/>
    <w:rsid w:val="00E01A4A"/>
    <w:rsid w:val="00E52912"/>
    <w:rsid w:val="00E6005D"/>
    <w:rsid w:val="00E901C5"/>
    <w:rsid w:val="00E95FA9"/>
    <w:rsid w:val="00EA217E"/>
    <w:rsid w:val="00EC7F26"/>
    <w:rsid w:val="00F742FF"/>
    <w:rsid w:val="00F82FDE"/>
    <w:rsid w:val="00FD7E4C"/>
    <w:rsid w:val="00FE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389"/>
    <w:rPr>
      <w:sz w:val="24"/>
    </w:rPr>
  </w:style>
  <w:style w:type="paragraph" w:styleId="Heading1">
    <w:name w:val="heading 1"/>
    <w:basedOn w:val="Normal"/>
    <w:next w:val="Normal"/>
    <w:qFormat/>
    <w:rsid w:val="00133389"/>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3389"/>
    <w:pPr>
      <w:jc w:val="center"/>
    </w:pPr>
    <w:rPr>
      <w:b/>
    </w:rPr>
  </w:style>
  <w:style w:type="paragraph" w:styleId="BalloonText">
    <w:name w:val="Balloon Text"/>
    <w:basedOn w:val="Normal"/>
    <w:semiHidden/>
    <w:rsid w:val="000B2777"/>
    <w:rPr>
      <w:rFonts w:ascii="Tahoma" w:hAnsi="Tahoma" w:cs="Tahoma"/>
      <w:sz w:val="16"/>
      <w:szCs w:val="16"/>
    </w:rPr>
  </w:style>
  <w:style w:type="paragraph" w:styleId="Header">
    <w:name w:val="header"/>
    <w:basedOn w:val="Normal"/>
    <w:rsid w:val="008848C3"/>
    <w:pPr>
      <w:tabs>
        <w:tab w:val="center" w:pos="4320"/>
        <w:tab w:val="right" w:pos="8640"/>
      </w:tabs>
    </w:pPr>
  </w:style>
  <w:style w:type="paragraph" w:styleId="Footer">
    <w:name w:val="footer"/>
    <w:basedOn w:val="Normal"/>
    <w:rsid w:val="008848C3"/>
    <w:pPr>
      <w:tabs>
        <w:tab w:val="center" w:pos="4320"/>
        <w:tab w:val="right" w:pos="8640"/>
      </w:tabs>
    </w:pPr>
  </w:style>
  <w:style w:type="paragraph" w:styleId="ListParagraph">
    <w:name w:val="List Paragraph"/>
    <w:basedOn w:val="Normal"/>
    <w:uiPriority w:val="34"/>
    <w:qFormat/>
    <w:rsid w:val="00BC26B1"/>
    <w:pPr>
      <w:ind w:left="720"/>
    </w:pPr>
  </w:style>
  <w:style w:type="paragraph" w:customStyle="1" w:styleId="Default">
    <w:name w:val="Default"/>
    <w:rsid w:val="006F264D"/>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C10044"/>
    <w:rPr>
      <w:color w:val="0000FF" w:themeColor="hyperlink"/>
      <w:u w:val="single"/>
    </w:rPr>
  </w:style>
  <w:style w:type="table" w:styleId="TableGrid">
    <w:name w:val="Table Grid"/>
    <w:basedOn w:val="TableNormal"/>
    <w:rsid w:val="0064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389"/>
    <w:rPr>
      <w:sz w:val="24"/>
    </w:rPr>
  </w:style>
  <w:style w:type="paragraph" w:styleId="Heading1">
    <w:name w:val="heading 1"/>
    <w:basedOn w:val="Normal"/>
    <w:next w:val="Normal"/>
    <w:qFormat/>
    <w:rsid w:val="00133389"/>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3389"/>
    <w:pPr>
      <w:jc w:val="center"/>
    </w:pPr>
    <w:rPr>
      <w:b/>
    </w:rPr>
  </w:style>
  <w:style w:type="paragraph" w:styleId="BalloonText">
    <w:name w:val="Balloon Text"/>
    <w:basedOn w:val="Normal"/>
    <w:semiHidden/>
    <w:rsid w:val="000B2777"/>
    <w:rPr>
      <w:rFonts w:ascii="Tahoma" w:hAnsi="Tahoma" w:cs="Tahoma"/>
      <w:sz w:val="16"/>
      <w:szCs w:val="16"/>
    </w:rPr>
  </w:style>
  <w:style w:type="paragraph" w:styleId="Header">
    <w:name w:val="header"/>
    <w:basedOn w:val="Normal"/>
    <w:rsid w:val="008848C3"/>
    <w:pPr>
      <w:tabs>
        <w:tab w:val="center" w:pos="4320"/>
        <w:tab w:val="right" w:pos="8640"/>
      </w:tabs>
    </w:pPr>
  </w:style>
  <w:style w:type="paragraph" w:styleId="Footer">
    <w:name w:val="footer"/>
    <w:basedOn w:val="Normal"/>
    <w:rsid w:val="008848C3"/>
    <w:pPr>
      <w:tabs>
        <w:tab w:val="center" w:pos="4320"/>
        <w:tab w:val="right" w:pos="8640"/>
      </w:tabs>
    </w:pPr>
  </w:style>
  <w:style w:type="paragraph" w:styleId="ListParagraph">
    <w:name w:val="List Paragraph"/>
    <w:basedOn w:val="Normal"/>
    <w:uiPriority w:val="34"/>
    <w:qFormat/>
    <w:rsid w:val="00BC26B1"/>
    <w:pPr>
      <w:ind w:left="720"/>
    </w:pPr>
  </w:style>
  <w:style w:type="paragraph" w:customStyle="1" w:styleId="Default">
    <w:name w:val="Default"/>
    <w:rsid w:val="006F264D"/>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C10044"/>
    <w:rPr>
      <w:color w:val="0000FF" w:themeColor="hyperlink"/>
      <w:u w:val="single"/>
    </w:rPr>
  </w:style>
  <w:style w:type="table" w:styleId="TableGrid">
    <w:name w:val="Table Grid"/>
    <w:basedOn w:val="TableNormal"/>
    <w:rsid w:val="0064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cf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m.gov/cfc" TargetMode="External"/><Relationship Id="rId5" Type="http://schemas.openxmlformats.org/officeDocument/2006/relationships/webSettings" Target="webSettings.xml"/><Relationship Id="rId10" Type="http://schemas.openxmlformats.org/officeDocument/2006/relationships/hyperlink" Target="https://www.federalregister.gov/documents/2017/08/22/2017-17763/submission-for-review-combined-federal-campaign-annuitant-pledge-form-opm-form-1654-b" TargetMode="External"/><Relationship Id="rId4" Type="http://schemas.openxmlformats.org/officeDocument/2006/relationships/settings" Target="settings.xml"/><Relationship Id="rId9" Type="http://schemas.openxmlformats.org/officeDocument/2006/relationships/hyperlink" Target="https://www.federalregister.gov/a/2017-177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OPM / CFC Operations</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creator>Jennifer Hirschmann</dc:creator>
  <cp:lastModifiedBy>SYSTEM</cp:lastModifiedBy>
  <cp:revision>2</cp:revision>
  <cp:lastPrinted>2017-10-13T15:58:00Z</cp:lastPrinted>
  <dcterms:created xsi:type="dcterms:W3CDTF">2017-10-13T21:09:00Z</dcterms:created>
  <dcterms:modified xsi:type="dcterms:W3CDTF">2017-10-13T21:09:00Z</dcterms:modified>
</cp:coreProperties>
</file>