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1"/>
        <w:tblW w:w="0" w:type="auto"/>
        <w:tblLook w:val="04A0" w:firstRow="1" w:lastRow="0" w:firstColumn="1" w:lastColumn="0" w:noHBand="0" w:noVBand="1"/>
      </w:tblPr>
      <w:tblGrid>
        <w:gridCol w:w="468"/>
        <w:gridCol w:w="4590"/>
        <w:gridCol w:w="4518"/>
      </w:tblGrid>
      <w:tr w:rsidR="00AF6331" w:rsidRPr="00AF6331" w:rsidTr="00C42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DC55B7" w:rsidRPr="00AF6331" w:rsidRDefault="00153B27" w:rsidP="00AF6331">
            <w:pPr>
              <w:pStyle w:val="CommentText"/>
              <w:spacing w:line="276" w:lineRule="auto"/>
              <w:jc w:val="center"/>
              <w:rPr>
                <w:rFonts w:ascii="Garamond" w:hAnsi="Garamond"/>
                <w:color w:val="auto"/>
                <w:sz w:val="24"/>
                <w:szCs w:val="24"/>
              </w:rPr>
            </w:pPr>
            <w:r w:rsidRPr="00AF6331">
              <w:rPr>
                <w:rFonts w:ascii="Garamond" w:hAnsi="Garamond"/>
                <w:color w:val="auto"/>
                <w:sz w:val="24"/>
                <w:szCs w:val="24"/>
              </w:rPr>
              <w:t>#</w:t>
            </w:r>
          </w:p>
        </w:tc>
        <w:tc>
          <w:tcPr>
            <w:tcW w:w="4590" w:type="dxa"/>
          </w:tcPr>
          <w:p w:rsidR="00DC55B7" w:rsidRPr="00AF6331" w:rsidRDefault="00DC55B7" w:rsidP="00AF6331">
            <w:pPr>
              <w:pStyle w:val="CommentText"/>
              <w:spacing w:line="276" w:lineRule="auto"/>
              <w:cnfStyle w:val="100000000000" w:firstRow="1" w:lastRow="0" w:firstColumn="0" w:lastColumn="0" w:oddVBand="0" w:evenVBand="0" w:oddHBand="0" w:evenHBand="0" w:firstRowFirstColumn="0" w:firstRowLastColumn="0" w:lastRowFirstColumn="0" w:lastRowLastColumn="0"/>
              <w:rPr>
                <w:rFonts w:ascii="Garamond" w:hAnsi="Garamond"/>
                <w:color w:val="auto"/>
                <w:sz w:val="24"/>
                <w:szCs w:val="24"/>
              </w:rPr>
            </w:pPr>
            <w:r w:rsidRPr="00AF6331">
              <w:rPr>
                <w:rFonts w:ascii="Garamond" w:hAnsi="Garamond"/>
                <w:color w:val="auto"/>
                <w:sz w:val="24"/>
                <w:szCs w:val="24"/>
              </w:rPr>
              <w:t>Reviewer comment</w:t>
            </w:r>
          </w:p>
        </w:tc>
        <w:tc>
          <w:tcPr>
            <w:tcW w:w="4518" w:type="dxa"/>
          </w:tcPr>
          <w:p w:rsidR="00DC55B7" w:rsidRPr="00AF6331" w:rsidRDefault="00DC55B7" w:rsidP="00AF6331">
            <w:pPr>
              <w:spacing w:line="276" w:lineRule="auto"/>
              <w:cnfStyle w:val="100000000000" w:firstRow="1" w:lastRow="0" w:firstColumn="0" w:lastColumn="0" w:oddVBand="0" w:evenVBand="0" w:oddHBand="0" w:evenHBand="0" w:firstRowFirstColumn="0" w:firstRowLastColumn="0" w:lastRowFirstColumn="0" w:lastRowLastColumn="0"/>
              <w:rPr>
                <w:rFonts w:ascii="Garamond" w:hAnsi="Garamond"/>
                <w:color w:val="auto"/>
                <w:sz w:val="24"/>
                <w:szCs w:val="24"/>
              </w:rPr>
            </w:pPr>
            <w:r w:rsidRPr="00AF6331">
              <w:rPr>
                <w:rFonts w:ascii="Garamond" w:hAnsi="Garamond"/>
                <w:color w:val="auto"/>
                <w:sz w:val="24"/>
                <w:szCs w:val="24"/>
              </w:rPr>
              <w:t>Westat response</w:t>
            </w:r>
          </w:p>
        </w:tc>
      </w:tr>
      <w:tr w:rsidR="00AF6331" w:rsidRPr="00AF6331" w:rsidTr="00C42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3264AB" w:rsidRPr="00AF6331" w:rsidRDefault="003264AB" w:rsidP="00AF6331">
            <w:pPr>
              <w:spacing w:line="276" w:lineRule="auto"/>
              <w:jc w:val="center"/>
              <w:rPr>
                <w:rFonts w:ascii="Garamond" w:hAnsi="Garamond"/>
                <w:color w:val="auto"/>
                <w:sz w:val="24"/>
                <w:szCs w:val="24"/>
              </w:rPr>
            </w:pPr>
            <w:r w:rsidRPr="00AF6331">
              <w:rPr>
                <w:rFonts w:ascii="Garamond" w:hAnsi="Garamond"/>
                <w:color w:val="auto"/>
                <w:sz w:val="24"/>
                <w:szCs w:val="24"/>
              </w:rPr>
              <w:t>Supporting Statement A</w:t>
            </w:r>
          </w:p>
        </w:tc>
      </w:tr>
      <w:tr w:rsidR="00AF6331" w:rsidRPr="00AF6331" w:rsidTr="00C42393">
        <w:tc>
          <w:tcPr>
            <w:cnfStyle w:val="001000000000" w:firstRow="0" w:lastRow="0" w:firstColumn="1" w:lastColumn="0" w:oddVBand="0" w:evenVBand="0" w:oddHBand="0" w:evenHBand="0" w:firstRowFirstColumn="0" w:firstRowLastColumn="0" w:lastRowFirstColumn="0" w:lastRowLastColumn="0"/>
            <w:tcW w:w="468" w:type="dxa"/>
          </w:tcPr>
          <w:p w:rsidR="00DC55B7" w:rsidRPr="00AF6331" w:rsidRDefault="005E3E56" w:rsidP="00AF6331">
            <w:pPr>
              <w:pStyle w:val="CommentText"/>
              <w:spacing w:line="276" w:lineRule="auto"/>
              <w:jc w:val="center"/>
              <w:rPr>
                <w:rFonts w:ascii="Garamond" w:hAnsi="Garamond"/>
                <w:color w:val="auto"/>
                <w:sz w:val="24"/>
                <w:szCs w:val="24"/>
              </w:rPr>
            </w:pPr>
            <w:r w:rsidRPr="00AF6331">
              <w:rPr>
                <w:rFonts w:ascii="Garamond" w:hAnsi="Garamond"/>
                <w:color w:val="auto"/>
                <w:sz w:val="24"/>
                <w:szCs w:val="24"/>
              </w:rPr>
              <w:t>1</w:t>
            </w:r>
          </w:p>
        </w:tc>
        <w:tc>
          <w:tcPr>
            <w:tcW w:w="4590" w:type="dxa"/>
          </w:tcPr>
          <w:p w:rsidR="00422B9B" w:rsidRPr="00AF6331" w:rsidRDefault="00422B9B" w:rsidP="00AF6331">
            <w:pPr>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AF6331">
              <w:rPr>
                <w:rFonts w:ascii="Garamond" w:hAnsi="Garamond"/>
                <w:color w:val="auto"/>
                <w:sz w:val="24"/>
                <w:szCs w:val="24"/>
              </w:rPr>
              <w:t>There appears to be three separate places that the information for the study will be obtained from. The first is from the SNAP participants, the second are the FINI Grantees, and the third are the retail outlets.</w:t>
            </w:r>
          </w:p>
          <w:p w:rsidR="00EC383B" w:rsidRDefault="00EC383B" w:rsidP="00AF6331">
            <w:pPr>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p>
          <w:p w:rsidR="00422B9B" w:rsidRPr="00AF6331" w:rsidRDefault="00422B9B" w:rsidP="00AF6331">
            <w:pPr>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AF6331">
              <w:rPr>
                <w:rFonts w:ascii="Garamond" w:hAnsi="Garamond"/>
                <w:color w:val="auto"/>
                <w:sz w:val="24"/>
                <w:szCs w:val="24"/>
              </w:rPr>
              <w:t>The universe for the areas in which the data are to be collected seems defined. However, it is unclear where all the data will be obtained. For the SNAP participants will the data be coming just from the administrative data files from the state agencies? For the grantees and the outlets where is all the data to be included in the sample going to be obtained from?</w:t>
            </w:r>
          </w:p>
          <w:p w:rsidR="00DC55B7" w:rsidRPr="00AF6331" w:rsidRDefault="00DC55B7" w:rsidP="00AF6331">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p>
        </w:tc>
        <w:tc>
          <w:tcPr>
            <w:tcW w:w="4518" w:type="dxa"/>
          </w:tcPr>
          <w:p w:rsidR="00DC55B7" w:rsidRPr="00AF6331" w:rsidRDefault="003C1058" w:rsidP="00D07745">
            <w:pPr>
              <w:pStyle w:val="L1-FlLSp12"/>
              <w:spacing w:line="276" w:lineRule="auto"/>
              <w:cnfStyle w:val="000000000000" w:firstRow="0" w:lastRow="0" w:firstColumn="0" w:lastColumn="0" w:oddVBand="0" w:evenVBand="0" w:oddHBand="0" w:evenHBand="0" w:firstRowFirstColumn="0" w:firstRowLastColumn="0" w:lastRowFirstColumn="0" w:lastRowLastColumn="0"/>
              <w:rPr>
                <w:color w:val="auto"/>
                <w:szCs w:val="24"/>
              </w:rPr>
            </w:pPr>
            <w:r>
              <w:rPr>
                <w:color w:val="auto"/>
              </w:rPr>
              <w:t xml:space="preserve">We will </w:t>
            </w:r>
            <w:r w:rsidR="00BB77EB" w:rsidRPr="00BB77EB">
              <w:rPr>
                <w:color w:val="auto"/>
              </w:rPr>
              <w:t>construct</w:t>
            </w:r>
            <w:r>
              <w:rPr>
                <w:color w:val="auto"/>
              </w:rPr>
              <w:t xml:space="preserve"> the</w:t>
            </w:r>
            <w:r w:rsidR="00BB77EB" w:rsidRPr="00BB77EB">
              <w:rPr>
                <w:color w:val="auto"/>
              </w:rPr>
              <w:t xml:space="preserve"> sampling frame for the SNAP participants </w:t>
            </w:r>
            <w:r>
              <w:rPr>
                <w:color w:val="auto"/>
              </w:rPr>
              <w:t xml:space="preserve">using the following four data sources:  </w:t>
            </w:r>
            <w:r w:rsidRPr="00AF6331">
              <w:rPr>
                <w:color w:val="auto"/>
                <w:szCs w:val="24"/>
              </w:rPr>
              <w:t xml:space="preserve">(1) SNAP administrative data from the </w:t>
            </w:r>
            <w:r>
              <w:rPr>
                <w:color w:val="auto"/>
                <w:szCs w:val="24"/>
              </w:rPr>
              <w:t>S</w:t>
            </w:r>
            <w:r w:rsidRPr="00AF6331">
              <w:rPr>
                <w:color w:val="auto"/>
                <w:szCs w:val="24"/>
              </w:rPr>
              <w:t>tate agencies, which includes SNAP household records with contact information, SNAP status and benefit, and basic demographic information;  (2) ALERT data</w:t>
            </w:r>
            <w:r w:rsidR="001079E5">
              <w:rPr>
                <w:color w:val="auto"/>
                <w:szCs w:val="24"/>
              </w:rPr>
              <w:t xml:space="preserve"> from FNS</w:t>
            </w:r>
            <w:r w:rsidRPr="00AF6331">
              <w:rPr>
                <w:color w:val="auto"/>
                <w:szCs w:val="24"/>
              </w:rPr>
              <w:t>, which includes the</w:t>
            </w:r>
            <w:bookmarkStart w:id="0" w:name="_GoBack"/>
            <w:bookmarkEnd w:id="0"/>
            <w:r w:rsidRPr="00AF6331">
              <w:rPr>
                <w:color w:val="auto"/>
                <w:szCs w:val="24"/>
              </w:rPr>
              <w:t xml:space="preserve"> SNAP participants’ transaction records that can be matched to the SNAP participant records by EBT card number, and to the outlet records by FNS number, (3) STARS data</w:t>
            </w:r>
            <w:r w:rsidR="001079E5">
              <w:rPr>
                <w:color w:val="auto"/>
                <w:szCs w:val="24"/>
              </w:rPr>
              <w:t xml:space="preserve"> from FNS</w:t>
            </w:r>
            <w:r w:rsidRPr="00AF6331">
              <w:rPr>
                <w:color w:val="auto"/>
                <w:szCs w:val="24"/>
              </w:rPr>
              <w:t xml:space="preserve">, which includes a list of SNAP authorized farmers markets and grocers with store type, status, and geographic information, etc., and can be matched to the outlet records by FNS number; and (4) </w:t>
            </w:r>
            <w:r w:rsidR="001079E5">
              <w:rPr>
                <w:color w:val="auto"/>
                <w:szCs w:val="24"/>
              </w:rPr>
              <w:t>outlet</w:t>
            </w:r>
            <w:r w:rsidRPr="00AF6331">
              <w:rPr>
                <w:color w:val="auto"/>
                <w:szCs w:val="24"/>
              </w:rPr>
              <w:t xml:space="preserve"> information from the FIN</w:t>
            </w:r>
            <w:r w:rsidR="00D07745">
              <w:rPr>
                <w:color w:val="auto"/>
                <w:szCs w:val="24"/>
              </w:rPr>
              <w:t>I grantees for the FINI outlets.</w:t>
            </w:r>
          </w:p>
        </w:tc>
      </w:tr>
      <w:tr w:rsidR="00AF6331" w:rsidRPr="00AF6331" w:rsidTr="00C42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AF6331" w:rsidRPr="00AF6331" w:rsidRDefault="00AF6331" w:rsidP="00AF6331">
            <w:pPr>
              <w:pStyle w:val="CommentText"/>
              <w:spacing w:line="276" w:lineRule="auto"/>
              <w:jc w:val="center"/>
              <w:rPr>
                <w:rFonts w:ascii="Garamond" w:hAnsi="Garamond"/>
                <w:color w:val="auto"/>
                <w:sz w:val="24"/>
                <w:szCs w:val="24"/>
              </w:rPr>
            </w:pPr>
            <w:r w:rsidRPr="00AF6331">
              <w:rPr>
                <w:rFonts w:ascii="Garamond" w:hAnsi="Garamond"/>
                <w:color w:val="auto"/>
                <w:sz w:val="24"/>
                <w:szCs w:val="24"/>
              </w:rPr>
              <w:t>2</w:t>
            </w:r>
          </w:p>
        </w:tc>
        <w:tc>
          <w:tcPr>
            <w:tcW w:w="4590" w:type="dxa"/>
          </w:tcPr>
          <w:p w:rsidR="00AF6331" w:rsidRPr="00AF6331" w:rsidRDefault="00AF6331" w:rsidP="00AF6331">
            <w:pPr>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AF6331">
              <w:rPr>
                <w:rFonts w:ascii="Garamond" w:hAnsi="Garamond"/>
                <w:color w:val="auto"/>
                <w:sz w:val="24"/>
                <w:szCs w:val="24"/>
              </w:rPr>
              <w:t>The cluster division is talked about how it will apply to the SNAP participants but not with the grantees and outlet.</w:t>
            </w:r>
          </w:p>
        </w:tc>
        <w:tc>
          <w:tcPr>
            <w:tcW w:w="4518" w:type="dxa"/>
          </w:tcPr>
          <w:p w:rsidR="00AF6331" w:rsidRPr="00AF6331" w:rsidRDefault="00D07745" w:rsidP="00F34684">
            <w:pPr>
              <w:pStyle w:val="L1-FlLSp12"/>
              <w:spacing w:line="276" w:lineRule="auto"/>
              <w:cnfStyle w:val="000000100000" w:firstRow="0" w:lastRow="0" w:firstColumn="0" w:lastColumn="0" w:oddVBand="0" w:evenVBand="0" w:oddHBand="1" w:evenHBand="0" w:firstRowFirstColumn="0" w:firstRowLastColumn="0" w:lastRowFirstColumn="0" w:lastRowLastColumn="0"/>
              <w:rPr>
                <w:color w:val="auto"/>
                <w:szCs w:val="24"/>
              </w:rPr>
            </w:pPr>
            <w:r>
              <w:rPr>
                <w:color w:val="auto"/>
              </w:rPr>
              <w:t>Characteristics of the outlets will drive the formation of the clusters</w:t>
            </w:r>
            <w:r w:rsidR="00D34E34">
              <w:rPr>
                <w:color w:val="auto"/>
              </w:rPr>
              <w:t xml:space="preserve">.  Using a combination of outlet type </w:t>
            </w:r>
            <w:r>
              <w:rPr>
                <w:color w:val="auto"/>
              </w:rPr>
              <w:t>(</w:t>
            </w:r>
            <w:r w:rsidR="00F34684">
              <w:rPr>
                <w:color w:val="auto"/>
              </w:rPr>
              <w:t xml:space="preserve">i.e., </w:t>
            </w:r>
            <w:proofErr w:type="gramStart"/>
            <w:r>
              <w:rPr>
                <w:color w:val="auto"/>
              </w:rPr>
              <w:t>farmers</w:t>
            </w:r>
            <w:proofErr w:type="gramEnd"/>
            <w:r>
              <w:rPr>
                <w:color w:val="auto"/>
              </w:rPr>
              <w:t xml:space="preserve"> markets/farm stands and grocery store</w:t>
            </w:r>
            <w:r w:rsidR="00F34684">
              <w:rPr>
                <w:color w:val="auto"/>
              </w:rPr>
              <w:t>s</w:t>
            </w:r>
            <w:r>
              <w:rPr>
                <w:color w:val="auto"/>
              </w:rPr>
              <w:t xml:space="preserve">) </w:t>
            </w:r>
            <w:r w:rsidR="00D34E34">
              <w:rPr>
                <w:color w:val="auto"/>
              </w:rPr>
              <w:t xml:space="preserve">and incentive match rate, we will create four unique </w:t>
            </w:r>
            <w:r w:rsidR="00F34684">
              <w:rPr>
                <w:color w:val="auto"/>
              </w:rPr>
              <w:t>intervention outlet clusters.  Comparison clusters will be defined by outlet type only 1) farmers markets and farm stands; and 2) grocery stores.</w:t>
            </w:r>
          </w:p>
        </w:tc>
      </w:tr>
      <w:tr w:rsidR="00AF6331" w:rsidRPr="00AF6331" w:rsidTr="00C42393">
        <w:tc>
          <w:tcPr>
            <w:cnfStyle w:val="001000000000" w:firstRow="0" w:lastRow="0" w:firstColumn="1" w:lastColumn="0" w:oddVBand="0" w:evenVBand="0" w:oddHBand="0" w:evenHBand="0" w:firstRowFirstColumn="0" w:firstRowLastColumn="0" w:lastRowFirstColumn="0" w:lastRowLastColumn="0"/>
            <w:tcW w:w="468" w:type="dxa"/>
          </w:tcPr>
          <w:p w:rsidR="00DC55B7" w:rsidRPr="00AF6331" w:rsidRDefault="00AF6331" w:rsidP="00AF6331">
            <w:pPr>
              <w:spacing w:line="276" w:lineRule="auto"/>
              <w:jc w:val="center"/>
              <w:rPr>
                <w:rFonts w:ascii="Garamond" w:hAnsi="Garamond"/>
                <w:color w:val="auto"/>
                <w:sz w:val="24"/>
                <w:szCs w:val="24"/>
              </w:rPr>
            </w:pPr>
            <w:r w:rsidRPr="00AF6331">
              <w:rPr>
                <w:rFonts w:ascii="Garamond" w:hAnsi="Garamond"/>
                <w:color w:val="auto"/>
                <w:sz w:val="24"/>
                <w:szCs w:val="24"/>
              </w:rPr>
              <w:t>3</w:t>
            </w:r>
          </w:p>
        </w:tc>
        <w:tc>
          <w:tcPr>
            <w:tcW w:w="4590" w:type="dxa"/>
          </w:tcPr>
          <w:p w:rsidR="00422B9B" w:rsidRPr="00AF6331" w:rsidRDefault="00422B9B" w:rsidP="00AF6331">
            <w:pPr>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AF6331">
              <w:rPr>
                <w:rFonts w:ascii="Garamond" w:hAnsi="Garamond"/>
                <w:color w:val="auto"/>
                <w:sz w:val="24"/>
                <w:szCs w:val="24"/>
              </w:rPr>
              <w:t>Will the same sample design be applied to all the separate areas in which the data will be collected? The specific sampling methods used to select the samples should be included in the documentation as well.</w:t>
            </w:r>
          </w:p>
          <w:p w:rsidR="00DC55B7" w:rsidRPr="00AF6331" w:rsidRDefault="00DC55B7" w:rsidP="00AF6331">
            <w:pPr>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p>
        </w:tc>
        <w:tc>
          <w:tcPr>
            <w:tcW w:w="4518" w:type="dxa"/>
          </w:tcPr>
          <w:p w:rsidR="00422B9B" w:rsidRPr="00AF6331" w:rsidRDefault="00CF422D" w:rsidP="00AF6331">
            <w:pPr>
              <w:pStyle w:val="L1-FlLSp12"/>
              <w:spacing w:line="276" w:lineRule="auto"/>
              <w:cnfStyle w:val="000000000000" w:firstRow="0" w:lastRow="0" w:firstColumn="0" w:lastColumn="0" w:oddVBand="0" w:evenVBand="0" w:oddHBand="0" w:evenHBand="0" w:firstRowFirstColumn="0" w:firstRowLastColumn="0" w:lastRowFirstColumn="0" w:lastRowLastColumn="0"/>
              <w:rPr>
                <w:color w:val="auto"/>
                <w:szCs w:val="24"/>
              </w:rPr>
            </w:pPr>
            <w:r w:rsidRPr="00AF6331">
              <w:rPr>
                <w:color w:val="auto"/>
                <w:szCs w:val="24"/>
              </w:rPr>
              <w:t>W</w:t>
            </w:r>
            <w:r w:rsidR="00422B9B" w:rsidRPr="00AF6331">
              <w:rPr>
                <w:color w:val="auto"/>
                <w:szCs w:val="24"/>
              </w:rPr>
              <w:t xml:space="preserve">e will select a sample of SNAP participants from each frame using a same sampling method. That is, before the sample selection, the SNAP participant records on the frame will be sorted by State, urbanicity, and outlet ID, and then, from the sorted frame, a SNAP participant sample will be selected with equal probability systematic sampling method. </w:t>
            </w:r>
          </w:p>
          <w:p w:rsidR="00DC55B7" w:rsidRPr="00AF6331" w:rsidRDefault="00DC55B7" w:rsidP="00AF6331">
            <w:pPr>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p>
        </w:tc>
      </w:tr>
      <w:tr w:rsidR="00AF6331" w:rsidRPr="00AF6331" w:rsidTr="00C42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DC55B7" w:rsidRPr="00AF6331" w:rsidRDefault="00AF6331" w:rsidP="00AF6331">
            <w:pPr>
              <w:spacing w:line="276" w:lineRule="auto"/>
              <w:jc w:val="center"/>
              <w:rPr>
                <w:rFonts w:ascii="Garamond" w:hAnsi="Garamond"/>
                <w:color w:val="auto"/>
                <w:sz w:val="24"/>
                <w:szCs w:val="24"/>
              </w:rPr>
            </w:pPr>
            <w:r w:rsidRPr="00AF6331">
              <w:rPr>
                <w:rFonts w:ascii="Garamond" w:hAnsi="Garamond"/>
                <w:color w:val="auto"/>
                <w:sz w:val="24"/>
                <w:szCs w:val="24"/>
              </w:rPr>
              <w:t>4</w:t>
            </w:r>
          </w:p>
        </w:tc>
        <w:tc>
          <w:tcPr>
            <w:tcW w:w="4590" w:type="dxa"/>
          </w:tcPr>
          <w:p w:rsidR="00DC55B7" w:rsidRPr="00AF6331" w:rsidRDefault="00422B9B" w:rsidP="00AF6331">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AF6331">
              <w:rPr>
                <w:rFonts w:ascii="Garamond" w:hAnsi="Garamond"/>
                <w:color w:val="auto"/>
                <w:sz w:val="24"/>
                <w:szCs w:val="24"/>
              </w:rPr>
              <w:t xml:space="preserve">It is not discussed how the sampling frame for the SNAP participants will be placed into the 6 clusters. </w:t>
            </w:r>
          </w:p>
        </w:tc>
        <w:tc>
          <w:tcPr>
            <w:tcW w:w="4518" w:type="dxa"/>
          </w:tcPr>
          <w:p w:rsidR="00D07745" w:rsidRDefault="008E2C5C" w:rsidP="00AF6331">
            <w:pPr>
              <w:pStyle w:val="L1-FlLSp12"/>
              <w:spacing w:line="276" w:lineRule="auto"/>
              <w:cnfStyle w:val="000000100000" w:firstRow="0" w:lastRow="0" w:firstColumn="0" w:lastColumn="0" w:oddVBand="0" w:evenVBand="0" w:oddHBand="1" w:evenHBand="0" w:firstRowFirstColumn="0" w:firstRowLastColumn="0" w:lastRowFirstColumn="0" w:lastRowLastColumn="0"/>
              <w:rPr>
                <w:color w:val="auto"/>
                <w:szCs w:val="24"/>
              </w:rPr>
            </w:pPr>
            <w:r w:rsidRPr="00AF6331">
              <w:rPr>
                <w:color w:val="auto"/>
                <w:szCs w:val="24"/>
              </w:rPr>
              <w:t>By linking the data sources</w:t>
            </w:r>
            <w:r w:rsidR="00D07745">
              <w:rPr>
                <w:color w:val="auto"/>
                <w:szCs w:val="24"/>
              </w:rPr>
              <w:t xml:space="preserve"> (described in the response to question 1)</w:t>
            </w:r>
            <w:r w:rsidRPr="00AF6331">
              <w:rPr>
                <w:color w:val="auto"/>
                <w:szCs w:val="24"/>
              </w:rPr>
              <w:t xml:space="preserve"> and by using geocoding, a list of SNAP participants living </w:t>
            </w:r>
            <w:r w:rsidRPr="00AF6331">
              <w:rPr>
                <w:color w:val="auto"/>
                <w:szCs w:val="24"/>
              </w:rPr>
              <w:lastRenderedPageBreak/>
              <w:t xml:space="preserve">within an outlet’s catchment area can be established for each of the intervention and comparison </w:t>
            </w:r>
            <w:r w:rsidR="00EC383B">
              <w:rPr>
                <w:color w:val="auto"/>
                <w:szCs w:val="24"/>
              </w:rPr>
              <w:t>cluster</w:t>
            </w:r>
            <w:r w:rsidRPr="00AF6331">
              <w:rPr>
                <w:color w:val="auto"/>
                <w:szCs w:val="24"/>
              </w:rPr>
              <w:t xml:space="preserve">s. </w:t>
            </w:r>
            <w:r w:rsidR="00D07745">
              <w:rPr>
                <w:color w:val="auto"/>
                <w:szCs w:val="24"/>
              </w:rPr>
              <w:t>Sampling frames for each of the 6 clusters--based on outlet type and incentive ratio match amount--will be determined as follows:</w:t>
            </w:r>
          </w:p>
          <w:p w:rsidR="00D07745" w:rsidRDefault="00D07745" w:rsidP="00AF6331">
            <w:pPr>
              <w:pStyle w:val="L1-FlLSp12"/>
              <w:spacing w:line="276" w:lineRule="auto"/>
              <w:cnfStyle w:val="000000100000" w:firstRow="0" w:lastRow="0" w:firstColumn="0" w:lastColumn="0" w:oddVBand="0" w:evenVBand="0" w:oddHBand="1" w:evenHBand="0" w:firstRowFirstColumn="0" w:firstRowLastColumn="0" w:lastRowFirstColumn="0" w:lastRowLastColumn="0"/>
              <w:rPr>
                <w:color w:val="auto"/>
                <w:szCs w:val="24"/>
              </w:rPr>
            </w:pPr>
          </w:p>
          <w:p w:rsidR="00D07745" w:rsidRDefault="00D07745" w:rsidP="00D07745">
            <w:pPr>
              <w:pStyle w:val="L1-FlLSp12"/>
              <w:spacing w:line="276" w:lineRule="auto"/>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Treatment clusters: we will geocode FINI outlets and SNAP households. Next, we will compute distance between SNAP households and the FINI outlets.  The sampling frame will include all SNAP households within </w:t>
            </w:r>
            <w:r w:rsidRPr="00BB77EB">
              <w:rPr>
                <w:color w:val="auto"/>
              </w:rPr>
              <w:t>a 2-mile radius</w:t>
            </w:r>
            <w:r>
              <w:rPr>
                <w:color w:val="auto"/>
              </w:rPr>
              <w:t xml:space="preserve"> (8 miles for rural outlets)</w:t>
            </w:r>
            <w:r w:rsidRPr="00BB77EB">
              <w:rPr>
                <w:color w:val="auto"/>
              </w:rPr>
              <w:t xml:space="preserve"> </w:t>
            </w:r>
            <w:r>
              <w:rPr>
                <w:color w:val="auto"/>
              </w:rPr>
              <w:t xml:space="preserve">of the FINI outlet.  </w:t>
            </w:r>
          </w:p>
          <w:p w:rsidR="00D07745" w:rsidRDefault="00D07745" w:rsidP="00D07745">
            <w:pPr>
              <w:pStyle w:val="L1-FlLSp12"/>
              <w:spacing w:line="276" w:lineRule="auto"/>
              <w:cnfStyle w:val="000000100000" w:firstRow="0" w:lastRow="0" w:firstColumn="0" w:lastColumn="0" w:oddVBand="0" w:evenVBand="0" w:oddHBand="1" w:evenHBand="0" w:firstRowFirstColumn="0" w:firstRowLastColumn="0" w:lastRowFirstColumn="0" w:lastRowLastColumn="0"/>
              <w:rPr>
                <w:color w:val="auto"/>
              </w:rPr>
            </w:pPr>
          </w:p>
          <w:p w:rsidR="00D07745" w:rsidRDefault="00D07745" w:rsidP="00D07745">
            <w:pPr>
              <w:pStyle w:val="L1-FlLSp12"/>
              <w:spacing w:line="276" w:lineRule="auto"/>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Comparison clusters: Using data matching procedures (such as propensity scores), we will match similar SNAP households who live near similar non-FINI farmers markets/farm stands or grocery stores using data from the STARS database.  We will geocode the SNAP households and compute distance between SNAP households and non-FINI outlets.  The sampling frame will include all SNAP households within 2 miles in urban areas (and 8 miles in rural areas) from the nearest non-FINI retailer. </w:t>
            </w:r>
          </w:p>
          <w:p w:rsidR="00D07745" w:rsidRDefault="00D07745" w:rsidP="00D07745">
            <w:pPr>
              <w:pStyle w:val="L1-FlLSp12"/>
              <w:spacing w:line="276" w:lineRule="auto"/>
              <w:cnfStyle w:val="000000100000" w:firstRow="0" w:lastRow="0" w:firstColumn="0" w:lastColumn="0" w:oddVBand="0" w:evenVBand="0" w:oddHBand="1" w:evenHBand="0" w:firstRowFirstColumn="0" w:firstRowLastColumn="0" w:lastRowFirstColumn="0" w:lastRowLastColumn="0"/>
              <w:rPr>
                <w:color w:val="auto"/>
              </w:rPr>
            </w:pPr>
          </w:p>
          <w:p w:rsidR="00DC55B7" w:rsidRPr="00AF6331" w:rsidRDefault="00D07745" w:rsidP="00D07745">
            <w:pPr>
              <w:pStyle w:val="L1-FlLSp12"/>
              <w:spacing w:line="276" w:lineRule="auto"/>
              <w:cnfStyle w:val="000000100000" w:firstRow="0" w:lastRow="0" w:firstColumn="0" w:lastColumn="0" w:oddVBand="0" w:evenVBand="0" w:oddHBand="1" w:evenHBand="0" w:firstRowFirstColumn="0" w:firstRowLastColumn="0" w:lastRowFirstColumn="0" w:lastRowLastColumn="0"/>
              <w:rPr>
                <w:color w:val="auto"/>
                <w:szCs w:val="24"/>
              </w:rPr>
            </w:pPr>
            <w:r>
              <w:rPr>
                <w:color w:val="auto"/>
              </w:rPr>
              <w:t xml:space="preserve">For both treatment and comparison clusters, we will divide the sampling frame using </w:t>
            </w:r>
            <w:proofErr w:type="spellStart"/>
            <w:r>
              <w:rPr>
                <w:color w:val="auto"/>
              </w:rPr>
              <w:t>EBT</w:t>
            </w:r>
            <w:proofErr w:type="spellEnd"/>
            <w:r>
              <w:rPr>
                <w:color w:val="auto"/>
              </w:rPr>
              <w:t xml:space="preserve"> transaction data contained in the ALERT database.  SNAP households with transactions in the FINI outlets and selected non-FINI outlets will be considered shoppers and those with no </w:t>
            </w:r>
            <w:proofErr w:type="spellStart"/>
            <w:r>
              <w:rPr>
                <w:color w:val="auto"/>
              </w:rPr>
              <w:t>EBT</w:t>
            </w:r>
            <w:proofErr w:type="spellEnd"/>
            <w:r>
              <w:rPr>
                <w:color w:val="auto"/>
              </w:rPr>
              <w:t xml:space="preserve"> transactions at the stores will be considered </w:t>
            </w:r>
            <w:proofErr w:type="spellStart"/>
            <w:r>
              <w:rPr>
                <w:color w:val="auto"/>
              </w:rPr>
              <w:t>nonshoppers</w:t>
            </w:r>
            <w:proofErr w:type="spellEnd"/>
            <w:r>
              <w:rPr>
                <w:color w:val="auto"/>
              </w:rPr>
              <w:t>.</w:t>
            </w:r>
          </w:p>
        </w:tc>
      </w:tr>
      <w:tr w:rsidR="00AF6331" w:rsidRPr="00AF6331" w:rsidTr="00C42393">
        <w:tc>
          <w:tcPr>
            <w:cnfStyle w:val="001000000000" w:firstRow="0" w:lastRow="0" w:firstColumn="1" w:lastColumn="0" w:oddVBand="0" w:evenVBand="0" w:oddHBand="0" w:evenHBand="0" w:firstRowFirstColumn="0" w:firstRowLastColumn="0" w:lastRowFirstColumn="0" w:lastRowLastColumn="0"/>
            <w:tcW w:w="468" w:type="dxa"/>
          </w:tcPr>
          <w:p w:rsidR="00422B9B" w:rsidRPr="00AF6331" w:rsidRDefault="00AF6331" w:rsidP="00AF6331">
            <w:pPr>
              <w:spacing w:line="276" w:lineRule="auto"/>
              <w:jc w:val="center"/>
              <w:rPr>
                <w:rFonts w:ascii="Garamond" w:hAnsi="Garamond"/>
                <w:color w:val="auto"/>
                <w:sz w:val="24"/>
                <w:szCs w:val="24"/>
              </w:rPr>
            </w:pPr>
            <w:r w:rsidRPr="00AF6331">
              <w:rPr>
                <w:rFonts w:ascii="Garamond" w:hAnsi="Garamond"/>
                <w:color w:val="auto"/>
                <w:sz w:val="24"/>
                <w:szCs w:val="24"/>
              </w:rPr>
              <w:lastRenderedPageBreak/>
              <w:t>5</w:t>
            </w:r>
          </w:p>
        </w:tc>
        <w:tc>
          <w:tcPr>
            <w:tcW w:w="4590" w:type="dxa"/>
          </w:tcPr>
          <w:p w:rsidR="00422B9B" w:rsidRPr="00AF6331" w:rsidRDefault="00422B9B" w:rsidP="00AF6331">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AF6331">
              <w:rPr>
                <w:rFonts w:ascii="Garamond" w:hAnsi="Garamond"/>
                <w:color w:val="auto"/>
                <w:sz w:val="24"/>
                <w:szCs w:val="24"/>
              </w:rPr>
              <w:t xml:space="preserve">The </w:t>
            </w:r>
            <w:proofErr w:type="gramStart"/>
            <w:r w:rsidRPr="00AF6331">
              <w:rPr>
                <w:rFonts w:ascii="Garamond" w:hAnsi="Garamond"/>
                <w:color w:val="auto"/>
                <w:sz w:val="24"/>
                <w:szCs w:val="24"/>
              </w:rPr>
              <w:t>clusters</w:t>
            </w:r>
            <w:proofErr w:type="gramEnd"/>
            <w:r w:rsidRPr="00AF6331">
              <w:rPr>
                <w:rFonts w:ascii="Garamond" w:hAnsi="Garamond"/>
                <w:color w:val="auto"/>
                <w:sz w:val="24"/>
                <w:szCs w:val="24"/>
              </w:rPr>
              <w:t xml:space="preserve"> in which the study is divided into is based on the business while the participants will be people/households. In a specific area/neighborhood isn’t there the possibility of the different cluster businesses in the same </w:t>
            </w:r>
            <w:r w:rsidRPr="00AF6331">
              <w:rPr>
                <w:rFonts w:ascii="Garamond" w:hAnsi="Garamond"/>
                <w:color w:val="auto"/>
                <w:sz w:val="24"/>
                <w:szCs w:val="24"/>
              </w:rPr>
              <w:lastRenderedPageBreak/>
              <w:t xml:space="preserve">area of the participants? In other words couldn’t a SNAP participant shop at a farmers market as well as a grocery store? </w:t>
            </w:r>
          </w:p>
          <w:p w:rsidR="00422B9B" w:rsidRPr="00AF6331" w:rsidRDefault="00422B9B" w:rsidP="00AF6331">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p>
        </w:tc>
        <w:tc>
          <w:tcPr>
            <w:tcW w:w="4518" w:type="dxa"/>
          </w:tcPr>
          <w:p w:rsidR="00DC4F22" w:rsidRPr="00AF6331" w:rsidRDefault="00DC4F22" w:rsidP="00AF6331">
            <w:pPr>
              <w:pStyle w:val="L1-FlLSp12"/>
              <w:spacing w:line="276" w:lineRule="auto"/>
              <w:cnfStyle w:val="000000000000" w:firstRow="0" w:lastRow="0" w:firstColumn="0" w:lastColumn="0" w:oddVBand="0" w:evenVBand="0" w:oddHBand="0" w:evenHBand="0" w:firstRowFirstColumn="0" w:firstRowLastColumn="0" w:lastRowFirstColumn="0" w:lastRowLastColumn="0"/>
              <w:rPr>
                <w:color w:val="auto"/>
                <w:szCs w:val="24"/>
              </w:rPr>
            </w:pPr>
            <w:r w:rsidRPr="00AF6331">
              <w:rPr>
                <w:color w:val="auto"/>
                <w:szCs w:val="24"/>
              </w:rPr>
              <w:lastRenderedPageBreak/>
              <w:t xml:space="preserve">There is a possibility that some catchment areas may overlap with each other, especially in densely populated areas or </w:t>
            </w:r>
            <w:r w:rsidR="00EC383B">
              <w:rPr>
                <w:color w:val="auto"/>
                <w:szCs w:val="24"/>
              </w:rPr>
              <w:t>S</w:t>
            </w:r>
            <w:r w:rsidRPr="00AF6331">
              <w:rPr>
                <w:color w:val="auto"/>
                <w:szCs w:val="24"/>
              </w:rPr>
              <w:t>tates</w:t>
            </w:r>
            <w:r w:rsidR="00CB0D67">
              <w:rPr>
                <w:color w:val="auto"/>
                <w:szCs w:val="24"/>
              </w:rPr>
              <w:t>.  I</w:t>
            </w:r>
            <w:r w:rsidRPr="00AF6331">
              <w:rPr>
                <w:color w:val="auto"/>
                <w:szCs w:val="24"/>
              </w:rPr>
              <w:t>n th</w:t>
            </w:r>
            <w:r w:rsidR="00CB0D67">
              <w:rPr>
                <w:color w:val="auto"/>
                <w:szCs w:val="24"/>
              </w:rPr>
              <w:t>ese instances</w:t>
            </w:r>
            <w:r w:rsidRPr="00AF6331">
              <w:rPr>
                <w:color w:val="auto"/>
                <w:szCs w:val="24"/>
              </w:rPr>
              <w:t>,</w:t>
            </w:r>
            <w:r w:rsidR="00CB0D67">
              <w:rPr>
                <w:color w:val="auto"/>
                <w:szCs w:val="24"/>
              </w:rPr>
              <w:t xml:space="preserve"> it is likely that</w:t>
            </w:r>
            <w:r w:rsidRPr="00AF6331">
              <w:rPr>
                <w:color w:val="auto"/>
                <w:szCs w:val="24"/>
              </w:rPr>
              <w:t xml:space="preserve"> a SNAP participant </w:t>
            </w:r>
            <w:r w:rsidR="00CB0D67">
              <w:rPr>
                <w:color w:val="auto"/>
                <w:szCs w:val="24"/>
              </w:rPr>
              <w:t>shops (i.e.</w:t>
            </w:r>
            <w:r w:rsidR="00364D88">
              <w:rPr>
                <w:color w:val="auto"/>
                <w:szCs w:val="24"/>
              </w:rPr>
              <w:t>,</w:t>
            </w:r>
            <w:r w:rsidR="00CB0D67">
              <w:rPr>
                <w:color w:val="auto"/>
                <w:szCs w:val="24"/>
              </w:rPr>
              <w:t xml:space="preserve"> has EBT transactions) </w:t>
            </w:r>
            <w:r w:rsidRPr="00AF6331">
              <w:rPr>
                <w:color w:val="auto"/>
                <w:szCs w:val="24"/>
              </w:rPr>
              <w:t xml:space="preserve">at more </w:t>
            </w:r>
            <w:r w:rsidRPr="00AF6331">
              <w:rPr>
                <w:color w:val="auto"/>
                <w:szCs w:val="24"/>
              </w:rPr>
              <w:lastRenderedPageBreak/>
              <w:t xml:space="preserve">than one </w:t>
            </w:r>
            <w:r w:rsidR="00CB0D67">
              <w:rPr>
                <w:color w:val="auto"/>
                <w:szCs w:val="24"/>
              </w:rPr>
              <w:t xml:space="preserve">FINI and/or selected non-FINI </w:t>
            </w:r>
            <w:r w:rsidRPr="00AF6331">
              <w:rPr>
                <w:color w:val="auto"/>
                <w:szCs w:val="24"/>
              </w:rPr>
              <w:t xml:space="preserve">outlet. To address this potential issue, we will have a reviewing step in the frame construction process to see if there are any outlets that are close to each other and will result in an overlap. If such cases are identified, we will do a random selection among the overlapped catchment areas to keep only one in the frame. </w:t>
            </w:r>
          </w:p>
          <w:p w:rsidR="00422B9B" w:rsidRPr="00AF6331" w:rsidRDefault="00422B9B" w:rsidP="00AF6331">
            <w:pPr>
              <w:spacing w:line="276" w:lineRule="auto"/>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p>
        </w:tc>
      </w:tr>
    </w:tbl>
    <w:p w:rsidR="00C42393" w:rsidRDefault="00C42393">
      <w:r>
        <w:rPr>
          <w:b/>
          <w:bCs/>
        </w:rPr>
        <w:lastRenderedPageBreak/>
        <w:br w:type="page"/>
      </w:r>
    </w:p>
    <w:tbl>
      <w:tblPr>
        <w:tblStyle w:val="LightShading-Accent1"/>
        <w:tblW w:w="0" w:type="auto"/>
        <w:tblLook w:val="04A0" w:firstRow="1" w:lastRow="0" w:firstColumn="1" w:lastColumn="0" w:noHBand="0" w:noVBand="1"/>
      </w:tblPr>
      <w:tblGrid>
        <w:gridCol w:w="468"/>
        <w:gridCol w:w="4590"/>
        <w:gridCol w:w="4518"/>
      </w:tblGrid>
      <w:tr w:rsidR="003264AB" w:rsidRPr="00CC4F55" w:rsidTr="00C42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3264AB" w:rsidRPr="00CC4F55" w:rsidRDefault="003264AB" w:rsidP="00B06048">
            <w:pPr>
              <w:pStyle w:val="CommentText"/>
              <w:jc w:val="center"/>
              <w:rPr>
                <w:rFonts w:ascii="Garamond" w:hAnsi="Garamond"/>
                <w:color w:val="auto"/>
                <w:sz w:val="24"/>
                <w:szCs w:val="24"/>
              </w:rPr>
            </w:pPr>
            <w:r w:rsidRPr="00CC4F55">
              <w:rPr>
                <w:rFonts w:ascii="Garamond" w:hAnsi="Garamond"/>
                <w:color w:val="auto"/>
                <w:sz w:val="24"/>
                <w:szCs w:val="24"/>
              </w:rPr>
              <w:lastRenderedPageBreak/>
              <w:t>#</w:t>
            </w:r>
          </w:p>
        </w:tc>
        <w:tc>
          <w:tcPr>
            <w:tcW w:w="4590" w:type="dxa"/>
          </w:tcPr>
          <w:p w:rsidR="003264AB" w:rsidRPr="00CC4F55" w:rsidRDefault="003264AB" w:rsidP="00B06048">
            <w:pPr>
              <w:pStyle w:val="CommentText"/>
              <w:cnfStyle w:val="100000000000" w:firstRow="1"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Reviewer comment</w:t>
            </w:r>
          </w:p>
        </w:tc>
        <w:tc>
          <w:tcPr>
            <w:tcW w:w="4518" w:type="dxa"/>
          </w:tcPr>
          <w:p w:rsidR="003264AB" w:rsidRPr="00CC4F55" w:rsidRDefault="003264AB" w:rsidP="00B06048">
            <w:pPr>
              <w:cnfStyle w:val="100000000000" w:firstRow="1"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Westat response</w:t>
            </w:r>
          </w:p>
        </w:tc>
      </w:tr>
      <w:tr w:rsidR="003264AB" w:rsidRPr="00CC4F55" w:rsidTr="00C42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3264AB" w:rsidRPr="00CC4F55" w:rsidRDefault="003264AB" w:rsidP="00B06048">
            <w:pPr>
              <w:jc w:val="center"/>
              <w:rPr>
                <w:rFonts w:ascii="Garamond" w:hAnsi="Garamond"/>
                <w:color w:val="auto"/>
                <w:sz w:val="24"/>
                <w:szCs w:val="24"/>
              </w:rPr>
            </w:pPr>
            <w:r w:rsidRPr="00CC4F55">
              <w:rPr>
                <w:rFonts w:ascii="Garamond" w:hAnsi="Garamond"/>
                <w:color w:val="auto"/>
                <w:sz w:val="24"/>
                <w:szCs w:val="24"/>
              </w:rPr>
              <w:t>Supporting Statement B</w:t>
            </w:r>
          </w:p>
        </w:tc>
      </w:tr>
      <w:tr w:rsidR="003264AB" w:rsidRPr="00CC4F55" w:rsidTr="00C42393">
        <w:tc>
          <w:tcPr>
            <w:cnfStyle w:val="001000000000" w:firstRow="0" w:lastRow="0" w:firstColumn="1" w:lastColumn="0" w:oddVBand="0" w:evenVBand="0" w:oddHBand="0" w:evenHBand="0" w:firstRowFirstColumn="0" w:firstRowLastColumn="0" w:lastRowFirstColumn="0" w:lastRowLastColumn="0"/>
            <w:tcW w:w="468" w:type="dxa"/>
          </w:tcPr>
          <w:p w:rsidR="003264AB" w:rsidRPr="00CC4F55" w:rsidRDefault="003264AB" w:rsidP="00B06048">
            <w:pPr>
              <w:pStyle w:val="CommentText"/>
              <w:jc w:val="center"/>
              <w:rPr>
                <w:rFonts w:ascii="Garamond" w:hAnsi="Garamond"/>
                <w:color w:val="auto"/>
                <w:sz w:val="24"/>
                <w:szCs w:val="24"/>
              </w:rPr>
            </w:pPr>
            <w:r w:rsidRPr="00CC4F55">
              <w:rPr>
                <w:rFonts w:ascii="Garamond" w:hAnsi="Garamond"/>
                <w:color w:val="auto"/>
                <w:sz w:val="24"/>
                <w:szCs w:val="24"/>
              </w:rPr>
              <w:t>1</w:t>
            </w:r>
          </w:p>
        </w:tc>
        <w:tc>
          <w:tcPr>
            <w:tcW w:w="4590" w:type="dxa"/>
          </w:tcPr>
          <w:p w:rsidR="003264AB" w:rsidRPr="00CC4F55" w:rsidRDefault="003264AB" w:rsidP="00B06048">
            <w:pPr>
              <w:pStyle w:val="CommentText"/>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Remove Westat Logo address and contact information.  This data collection is sponsored by USDA/FNS</w:t>
            </w:r>
          </w:p>
        </w:tc>
        <w:tc>
          <w:tcPr>
            <w:tcW w:w="4518" w:type="dxa"/>
          </w:tcPr>
          <w:p w:rsidR="003264AB" w:rsidRPr="00CC4F55" w:rsidRDefault="00EC383B" w:rsidP="00B06048">
            <w:pPr>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This change has been made.</w:t>
            </w:r>
          </w:p>
        </w:tc>
      </w:tr>
      <w:tr w:rsidR="00EC383B" w:rsidRPr="00CC4F55" w:rsidTr="00C42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C383B" w:rsidRPr="00CC4F55" w:rsidRDefault="00EC383B" w:rsidP="00B06048">
            <w:pPr>
              <w:jc w:val="center"/>
              <w:rPr>
                <w:rFonts w:ascii="Garamond" w:hAnsi="Garamond"/>
                <w:color w:val="auto"/>
                <w:sz w:val="24"/>
                <w:szCs w:val="24"/>
              </w:rPr>
            </w:pPr>
            <w:r w:rsidRPr="00CC4F55">
              <w:rPr>
                <w:rFonts w:ascii="Garamond" w:hAnsi="Garamond"/>
                <w:color w:val="auto"/>
                <w:sz w:val="24"/>
                <w:szCs w:val="24"/>
              </w:rPr>
              <w:t>2</w:t>
            </w:r>
          </w:p>
        </w:tc>
        <w:tc>
          <w:tcPr>
            <w:tcW w:w="4590" w:type="dxa"/>
          </w:tcPr>
          <w:p w:rsidR="00EC383B" w:rsidRPr="00CC4F55" w:rsidRDefault="00EC383B" w:rsidP="00B06048">
            <w:pPr>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[date of submission] – update</w:t>
            </w:r>
          </w:p>
        </w:tc>
        <w:tc>
          <w:tcPr>
            <w:tcW w:w="4518" w:type="dxa"/>
          </w:tcPr>
          <w:p w:rsidR="00EC383B" w:rsidRPr="00CC4F55" w:rsidRDefault="00EC383B" w:rsidP="00EC383B">
            <w:pPr>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This change has been made.</w:t>
            </w:r>
          </w:p>
        </w:tc>
      </w:tr>
      <w:tr w:rsidR="00EC383B" w:rsidRPr="00CC4F55" w:rsidTr="00C42393">
        <w:tc>
          <w:tcPr>
            <w:cnfStyle w:val="001000000000" w:firstRow="0" w:lastRow="0" w:firstColumn="1" w:lastColumn="0" w:oddVBand="0" w:evenVBand="0" w:oddHBand="0" w:evenHBand="0" w:firstRowFirstColumn="0" w:firstRowLastColumn="0" w:lastRowFirstColumn="0" w:lastRowLastColumn="0"/>
            <w:tcW w:w="468" w:type="dxa"/>
          </w:tcPr>
          <w:p w:rsidR="00EC383B" w:rsidRPr="00CC4F55" w:rsidRDefault="00EC383B" w:rsidP="00B06048">
            <w:pPr>
              <w:jc w:val="center"/>
              <w:rPr>
                <w:rFonts w:ascii="Garamond" w:hAnsi="Garamond"/>
                <w:color w:val="auto"/>
                <w:sz w:val="24"/>
                <w:szCs w:val="24"/>
              </w:rPr>
            </w:pPr>
            <w:r w:rsidRPr="00CC4F55">
              <w:rPr>
                <w:rFonts w:ascii="Garamond" w:hAnsi="Garamond"/>
                <w:color w:val="auto"/>
                <w:sz w:val="24"/>
                <w:szCs w:val="24"/>
              </w:rPr>
              <w:t>3</w:t>
            </w:r>
          </w:p>
        </w:tc>
        <w:tc>
          <w:tcPr>
            <w:tcW w:w="4590" w:type="dxa"/>
          </w:tcPr>
          <w:p w:rsidR="00EC383B" w:rsidRPr="00CC4F55" w:rsidRDefault="00EC383B" w:rsidP="003264AB">
            <w:pPr>
              <w:pStyle w:val="CommentText"/>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follow recommendations from title page PART A</w:t>
            </w:r>
          </w:p>
        </w:tc>
        <w:tc>
          <w:tcPr>
            <w:tcW w:w="4518" w:type="dxa"/>
          </w:tcPr>
          <w:p w:rsidR="00EC383B" w:rsidRPr="00CC4F55" w:rsidRDefault="00EC383B" w:rsidP="00EC383B">
            <w:pPr>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These changes have been made.</w:t>
            </w:r>
          </w:p>
        </w:tc>
      </w:tr>
      <w:tr w:rsidR="00EC383B" w:rsidRPr="00CC4F55" w:rsidTr="00C42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C383B" w:rsidRPr="00CC4F55" w:rsidRDefault="00EC383B" w:rsidP="00B06048">
            <w:pPr>
              <w:pStyle w:val="CommentText"/>
              <w:jc w:val="center"/>
              <w:rPr>
                <w:rFonts w:ascii="Garamond" w:hAnsi="Garamond"/>
                <w:color w:val="auto"/>
                <w:sz w:val="24"/>
                <w:szCs w:val="24"/>
              </w:rPr>
            </w:pPr>
            <w:r w:rsidRPr="00CC4F55">
              <w:rPr>
                <w:rFonts w:ascii="Garamond" w:hAnsi="Garamond"/>
                <w:color w:val="auto"/>
                <w:sz w:val="24"/>
                <w:szCs w:val="24"/>
              </w:rPr>
              <w:t>4</w:t>
            </w:r>
          </w:p>
        </w:tc>
        <w:tc>
          <w:tcPr>
            <w:tcW w:w="4590" w:type="dxa"/>
          </w:tcPr>
          <w:p w:rsidR="00EC383B" w:rsidRPr="00CC4F55" w:rsidRDefault="00EC383B" w:rsidP="00B06048">
            <w:pPr>
              <w:pStyle w:val="CommentText"/>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 xml:space="preserve">Delete </w:t>
            </w:r>
            <w:proofErr w:type="spellStart"/>
            <w:r w:rsidRPr="00CC4F55">
              <w:rPr>
                <w:rFonts w:ascii="Garamond" w:hAnsi="Garamond"/>
                <w:color w:val="auto"/>
                <w:sz w:val="24"/>
                <w:szCs w:val="24"/>
              </w:rPr>
              <w:t>appendice</w:t>
            </w:r>
            <w:proofErr w:type="spellEnd"/>
            <w:r w:rsidRPr="00CC4F55">
              <w:rPr>
                <w:rFonts w:ascii="Garamond" w:hAnsi="Garamond"/>
                <w:color w:val="auto"/>
                <w:sz w:val="24"/>
                <w:szCs w:val="24"/>
              </w:rPr>
              <w:t xml:space="preserve"> reference in PART B since these are denoted in PART A</w:t>
            </w:r>
          </w:p>
        </w:tc>
        <w:tc>
          <w:tcPr>
            <w:tcW w:w="4518" w:type="dxa"/>
          </w:tcPr>
          <w:p w:rsidR="00EC383B" w:rsidRPr="00CC4F55" w:rsidRDefault="00EC383B" w:rsidP="00EC383B">
            <w:pPr>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This change has been made.</w:t>
            </w:r>
          </w:p>
        </w:tc>
      </w:tr>
      <w:tr w:rsidR="00EC383B" w:rsidRPr="00CC4F55" w:rsidTr="00C42393">
        <w:tc>
          <w:tcPr>
            <w:cnfStyle w:val="001000000000" w:firstRow="0" w:lastRow="0" w:firstColumn="1" w:lastColumn="0" w:oddVBand="0" w:evenVBand="0" w:oddHBand="0" w:evenHBand="0" w:firstRowFirstColumn="0" w:firstRowLastColumn="0" w:lastRowFirstColumn="0" w:lastRowLastColumn="0"/>
            <w:tcW w:w="468" w:type="dxa"/>
          </w:tcPr>
          <w:p w:rsidR="00EC383B" w:rsidRPr="00CC4F55" w:rsidRDefault="00EC383B" w:rsidP="00B06048">
            <w:pPr>
              <w:jc w:val="center"/>
              <w:rPr>
                <w:rFonts w:ascii="Garamond" w:hAnsi="Garamond"/>
                <w:color w:val="auto"/>
                <w:sz w:val="24"/>
                <w:szCs w:val="24"/>
              </w:rPr>
            </w:pPr>
            <w:r w:rsidRPr="00CC4F55">
              <w:rPr>
                <w:rFonts w:ascii="Garamond" w:hAnsi="Garamond"/>
                <w:color w:val="auto"/>
                <w:sz w:val="24"/>
                <w:szCs w:val="24"/>
              </w:rPr>
              <w:t>5</w:t>
            </w:r>
          </w:p>
        </w:tc>
        <w:tc>
          <w:tcPr>
            <w:tcW w:w="4590" w:type="dxa"/>
          </w:tcPr>
          <w:p w:rsidR="00EC383B" w:rsidRPr="00CC4F55" w:rsidRDefault="00EC383B" w:rsidP="003264AB">
            <w:pPr>
              <w:pStyle w:val="CommentText"/>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 xml:space="preserve">How were these households selected?  What criteria used.  </w:t>
            </w:r>
          </w:p>
        </w:tc>
        <w:tc>
          <w:tcPr>
            <w:tcW w:w="4518" w:type="dxa"/>
          </w:tcPr>
          <w:p w:rsidR="00EC383B" w:rsidRPr="00CC4F55" w:rsidRDefault="00EC383B" w:rsidP="00B06048">
            <w:pPr>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We have updated the text to include these details.</w:t>
            </w:r>
          </w:p>
        </w:tc>
      </w:tr>
      <w:tr w:rsidR="00EC383B" w:rsidRPr="00CC4F55" w:rsidTr="00C42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C383B" w:rsidRPr="00CC4F55" w:rsidRDefault="00EC383B" w:rsidP="00B06048">
            <w:pPr>
              <w:pStyle w:val="CommentText"/>
              <w:jc w:val="center"/>
              <w:rPr>
                <w:rFonts w:ascii="Garamond" w:hAnsi="Garamond"/>
                <w:color w:val="auto"/>
                <w:sz w:val="24"/>
                <w:szCs w:val="24"/>
              </w:rPr>
            </w:pPr>
            <w:r w:rsidRPr="00CC4F55">
              <w:rPr>
                <w:rFonts w:ascii="Garamond" w:hAnsi="Garamond"/>
                <w:color w:val="auto"/>
                <w:sz w:val="24"/>
                <w:szCs w:val="24"/>
              </w:rPr>
              <w:t>6</w:t>
            </w:r>
          </w:p>
        </w:tc>
        <w:tc>
          <w:tcPr>
            <w:tcW w:w="4590" w:type="dxa"/>
          </w:tcPr>
          <w:p w:rsidR="00EC383B" w:rsidRPr="00CC4F55" w:rsidRDefault="00EC383B" w:rsidP="00B06048">
            <w:pPr>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 xml:space="preserve">[sampling procedures for SNAP participants] - This needs to be reference in PART A question 2.  How is this data </w:t>
            </w:r>
            <w:proofErr w:type="gramStart"/>
            <w:r w:rsidRPr="00CC4F55">
              <w:rPr>
                <w:rFonts w:ascii="Garamond" w:hAnsi="Garamond"/>
                <w:color w:val="auto"/>
                <w:sz w:val="24"/>
                <w:szCs w:val="24"/>
              </w:rPr>
              <w:t>obtain</w:t>
            </w:r>
            <w:proofErr w:type="gramEnd"/>
            <w:r w:rsidRPr="00CC4F55">
              <w:rPr>
                <w:rFonts w:ascii="Garamond" w:hAnsi="Garamond"/>
                <w:color w:val="auto"/>
                <w:sz w:val="24"/>
                <w:szCs w:val="24"/>
              </w:rPr>
              <w:t xml:space="preserve">?  Is this already collected?  If so, reference form, OMB# and expiration date of already approved data collection that we plan to </w:t>
            </w:r>
            <w:proofErr w:type="spellStart"/>
            <w:proofErr w:type="gramStart"/>
            <w:r w:rsidRPr="00CC4F55">
              <w:rPr>
                <w:rFonts w:ascii="Garamond" w:hAnsi="Garamond"/>
                <w:color w:val="auto"/>
                <w:sz w:val="24"/>
                <w:szCs w:val="24"/>
              </w:rPr>
              <w:t>used</w:t>
            </w:r>
            <w:proofErr w:type="spellEnd"/>
            <w:proofErr w:type="gramEnd"/>
            <w:r w:rsidRPr="00CC4F55">
              <w:rPr>
                <w:rFonts w:ascii="Garamond" w:hAnsi="Garamond"/>
                <w:color w:val="auto"/>
                <w:sz w:val="24"/>
                <w:szCs w:val="24"/>
              </w:rPr>
              <w:t xml:space="preserve"> as secondary data.  Include the time in burden it will take for the agencies to gather already approved data and submit to FNS.</w:t>
            </w:r>
          </w:p>
        </w:tc>
        <w:tc>
          <w:tcPr>
            <w:tcW w:w="4518" w:type="dxa"/>
          </w:tcPr>
          <w:p w:rsidR="00EC383B" w:rsidRPr="00CC4F55" w:rsidRDefault="00EC383B" w:rsidP="00A8027A">
            <w:pPr>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 xml:space="preserve">We plan to obtain administrative data from the SNAP eligibility system.  </w:t>
            </w:r>
            <w:r w:rsidR="00CB0D67" w:rsidRPr="00CC4F55">
              <w:rPr>
                <w:rFonts w:ascii="Garamond" w:hAnsi="Garamond"/>
                <w:color w:val="auto"/>
                <w:sz w:val="24"/>
                <w:szCs w:val="24"/>
              </w:rPr>
              <w:t xml:space="preserve">Prior to OMB approval, we will initiate contact with SNAP agencies in selected </w:t>
            </w:r>
            <w:r w:rsidR="00A8027A" w:rsidRPr="00CC4F55">
              <w:rPr>
                <w:rFonts w:ascii="Garamond" w:hAnsi="Garamond"/>
                <w:color w:val="auto"/>
                <w:sz w:val="24"/>
                <w:szCs w:val="24"/>
              </w:rPr>
              <w:t>S</w:t>
            </w:r>
            <w:r w:rsidR="00CB0D67" w:rsidRPr="00CC4F55">
              <w:rPr>
                <w:rFonts w:ascii="Garamond" w:hAnsi="Garamond"/>
                <w:color w:val="auto"/>
                <w:sz w:val="24"/>
                <w:szCs w:val="24"/>
              </w:rPr>
              <w:t>tates but will obtain the administrative files only after OMB approval</w:t>
            </w:r>
            <w:r w:rsidR="00A8027A" w:rsidRPr="00CC4F55">
              <w:rPr>
                <w:rFonts w:ascii="Garamond" w:hAnsi="Garamond"/>
                <w:color w:val="auto"/>
                <w:sz w:val="24"/>
                <w:szCs w:val="24"/>
              </w:rPr>
              <w:t>.</w:t>
            </w:r>
          </w:p>
        </w:tc>
      </w:tr>
      <w:tr w:rsidR="00EC2CC5" w:rsidRPr="00CC4F55" w:rsidTr="00C42393">
        <w:tc>
          <w:tcPr>
            <w:cnfStyle w:val="001000000000" w:firstRow="0" w:lastRow="0" w:firstColumn="1" w:lastColumn="0" w:oddVBand="0" w:evenVBand="0" w:oddHBand="0" w:evenHBand="0" w:firstRowFirstColumn="0" w:firstRowLastColumn="0" w:lastRowFirstColumn="0" w:lastRowLastColumn="0"/>
            <w:tcW w:w="468" w:type="dxa"/>
          </w:tcPr>
          <w:p w:rsidR="00EC2CC5" w:rsidRPr="00CC4F55" w:rsidRDefault="00EC2CC5" w:rsidP="00B06048">
            <w:pPr>
              <w:pStyle w:val="CommentText"/>
              <w:jc w:val="center"/>
              <w:rPr>
                <w:rFonts w:ascii="Garamond" w:hAnsi="Garamond"/>
                <w:color w:val="auto"/>
                <w:sz w:val="24"/>
                <w:szCs w:val="24"/>
              </w:rPr>
            </w:pPr>
            <w:r w:rsidRPr="00CC4F55">
              <w:rPr>
                <w:rFonts w:ascii="Garamond" w:hAnsi="Garamond"/>
                <w:color w:val="auto"/>
                <w:sz w:val="24"/>
                <w:szCs w:val="24"/>
              </w:rPr>
              <w:t>7</w:t>
            </w:r>
          </w:p>
        </w:tc>
        <w:tc>
          <w:tcPr>
            <w:tcW w:w="4590" w:type="dxa"/>
          </w:tcPr>
          <w:p w:rsidR="00EC2CC5" w:rsidRPr="00CC4F55" w:rsidRDefault="00EC2CC5" w:rsidP="00B06048">
            <w:pPr>
              <w:pStyle w:val="CommentText"/>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 xml:space="preserve">Indicated whether or not these grantees were selected and awarded during the RFA process </w:t>
            </w:r>
          </w:p>
        </w:tc>
        <w:tc>
          <w:tcPr>
            <w:tcW w:w="4518" w:type="dxa"/>
          </w:tcPr>
          <w:p w:rsidR="00EC2CC5" w:rsidRPr="00CC4F55" w:rsidRDefault="00EC2CC5" w:rsidP="00891C77">
            <w:pPr>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This change has been made.</w:t>
            </w:r>
          </w:p>
        </w:tc>
      </w:tr>
      <w:tr w:rsidR="00EC2CC5" w:rsidRPr="00CC4F55" w:rsidTr="00C42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C2CC5" w:rsidRPr="00CC4F55" w:rsidRDefault="00EC2CC5" w:rsidP="00B06048">
            <w:pPr>
              <w:jc w:val="center"/>
              <w:rPr>
                <w:rFonts w:ascii="Garamond" w:hAnsi="Garamond"/>
                <w:color w:val="auto"/>
                <w:sz w:val="24"/>
                <w:szCs w:val="24"/>
              </w:rPr>
            </w:pPr>
            <w:r w:rsidRPr="00CC4F55">
              <w:rPr>
                <w:rFonts w:ascii="Garamond" w:hAnsi="Garamond"/>
                <w:color w:val="auto"/>
                <w:sz w:val="24"/>
                <w:szCs w:val="24"/>
              </w:rPr>
              <w:t>8</w:t>
            </w:r>
          </w:p>
        </w:tc>
        <w:tc>
          <w:tcPr>
            <w:tcW w:w="4590" w:type="dxa"/>
          </w:tcPr>
          <w:p w:rsidR="00EC2CC5" w:rsidRPr="00CC4F55" w:rsidRDefault="00EC2CC5" w:rsidP="003264AB">
            <w:pPr>
              <w:pStyle w:val="CommentText"/>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 xml:space="preserve">Where are the States in this section?  Include which </w:t>
            </w:r>
            <w:proofErr w:type="gramStart"/>
            <w:r w:rsidRPr="00CC4F55">
              <w:rPr>
                <w:rFonts w:ascii="Garamond" w:hAnsi="Garamond"/>
                <w:color w:val="auto"/>
                <w:sz w:val="24"/>
                <w:szCs w:val="24"/>
              </w:rPr>
              <w:t>group contain</w:t>
            </w:r>
            <w:proofErr w:type="gramEnd"/>
            <w:r w:rsidRPr="00CC4F55">
              <w:rPr>
                <w:rFonts w:ascii="Garamond" w:hAnsi="Garamond"/>
                <w:color w:val="auto"/>
                <w:sz w:val="24"/>
                <w:szCs w:val="24"/>
              </w:rPr>
              <w:t xml:space="preserve"> State Agencies.</w:t>
            </w:r>
          </w:p>
        </w:tc>
        <w:tc>
          <w:tcPr>
            <w:tcW w:w="4518" w:type="dxa"/>
          </w:tcPr>
          <w:p w:rsidR="00EC2CC5" w:rsidRPr="00CC4F55" w:rsidRDefault="00EC2CC5" w:rsidP="00EC2CC5">
            <w:pPr>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We will separate the State agencies from non-State agency grantees.</w:t>
            </w:r>
          </w:p>
        </w:tc>
      </w:tr>
      <w:tr w:rsidR="00EC2CC5" w:rsidRPr="00CC4F55" w:rsidTr="00C42393">
        <w:tc>
          <w:tcPr>
            <w:cnfStyle w:val="001000000000" w:firstRow="0" w:lastRow="0" w:firstColumn="1" w:lastColumn="0" w:oddVBand="0" w:evenVBand="0" w:oddHBand="0" w:evenHBand="0" w:firstRowFirstColumn="0" w:firstRowLastColumn="0" w:lastRowFirstColumn="0" w:lastRowLastColumn="0"/>
            <w:tcW w:w="468" w:type="dxa"/>
          </w:tcPr>
          <w:p w:rsidR="00EC2CC5" w:rsidRPr="00CC4F55" w:rsidRDefault="00EC2CC5" w:rsidP="00B06048">
            <w:pPr>
              <w:jc w:val="center"/>
              <w:rPr>
                <w:rFonts w:ascii="Garamond" w:hAnsi="Garamond"/>
                <w:color w:val="auto"/>
                <w:sz w:val="24"/>
                <w:szCs w:val="24"/>
              </w:rPr>
            </w:pPr>
            <w:r w:rsidRPr="00CC4F55">
              <w:rPr>
                <w:rFonts w:ascii="Garamond" w:hAnsi="Garamond"/>
                <w:color w:val="auto"/>
                <w:sz w:val="24"/>
                <w:szCs w:val="24"/>
              </w:rPr>
              <w:t>9</w:t>
            </w:r>
          </w:p>
        </w:tc>
        <w:tc>
          <w:tcPr>
            <w:tcW w:w="4590" w:type="dxa"/>
          </w:tcPr>
          <w:p w:rsidR="00EC2CC5" w:rsidRPr="00CC4F55" w:rsidRDefault="00EC2CC5" w:rsidP="00B06048">
            <w:pPr>
              <w:pStyle w:val="CommentText"/>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 xml:space="preserve">In the footnote, include the OMB# and expiration date when referencing a government sponsored study.  </w:t>
            </w:r>
          </w:p>
        </w:tc>
        <w:tc>
          <w:tcPr>
            <w:tcW w:w="4518" w:type="dxa"/>
          </w:tcPr>
          <w:p w:rsidR="00EC2CC5" w:rsidRPr="00CC4F55" w:rsidRDefault="00EC2CC5" w:rsidP="00891C77">
            <w:pPr>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This change has been made.</w:t>
            </w:r>
          </w:p>
        </w:tc>
      </w:tr>
      <w:tr w:rsidR="00EC2CC5" w:rsidRPr="00CC4F55" w:rsidTr="00C42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C2CC5" w:rsidRPr="00CC4F55" w:rsidRDefault="00EC2CC5" w:rsidP="00B06048">
            <w:pPr>
              <w:jc w:val="center"/>
              <w:rPr>
                <w:rFonts w:ascii="Garamond" w:hAnsi="Garamond"/>
                <w:color w:val="auto"/>
                <w:sz w:val="24"/>
                <w:szCs w:val="24"/>
              </w:rPr>
            </w:pPr>
            <w:r w:rsidRPr="00CC4F55">
              <w:rPr>
                <w:rFonts w:ascii="Garamond" w:hAnsi="Garamond"/>
                <w:color w:val="auto"/>
                <w:sz w:val="24"/>
                <w:szCs w:val="24"/>
              </w:rPr>
              <w:t>10</w:t>
            </w:r>
          </w:p>
        </w:tc>
        <w:tc>
          <w:tcPr>
            <w:tcW w:w="4590" w:type="dxa"/>
          </w:tcPr>
          <w:p w:rsidR="00EC2CC5" w:rsidRPr="00CC4F55" w:rsidRDefault="00EC2CC5" w:rsidP="00B06048">
            <w:pPr>
              <w:pStyle w:val="CommentText"/>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Using what instrument?  How is this information transmitted to us?</w:t>
            </w:r>
          </w:p>
        </w:tc>
        <w:tc>
          <w:tcPr>
            <w:tcW w:w="4518" w:type="dxa"/>
          </w:tcPr>
          <w:p w:rsidR="00EC2CC5" w:rsidRPr="00CC4F55" w:rsidRDefault="00EC2CC5" w:rsidP="00EC2CC5">
            <w:pPr>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The SNAP eligibility system data already includes this information; we will obtain these data from State agencies that have FINI outlets, using a secure transfer method such as an FTP site or encrypted email.</w:t>
            </w:r>
          </w:p>
        </w:tc>
      </w:tr>
      <w:tr w:rsidR="00EC2CC5" w:rsidRPr="00CC4F55" w:rsidTr="00C42393">
        <w:tc>
          <w:tcPr>
            <w:cnfStyle w:val="001000000000" w:firstRow="0" w:lastRow="0" w:firstColumn="1" w:lastColumn="0" w:oddVBand="0" w:evenVBand="0" w:oddHBand="0" w:evenHBand="0" w:firstRowFirstColumn="0" w:firstRowLastColumn="0" w:lastRowFirstColumn="0" w:lastRowLastColumn="0"/>
            <w:tcW w:w="468" w:type="dxa"/>
          </w:tcPr>
          <w:p w:rsidR="00EC2CC5" w:rsidRPr="00CC4F55" w:rsidRDefault="00EC2CC5" w:rsidP="00B06048">
            <w:pPr>
              <w:jc w:val="center"/>
              <w:rPr>
                <w:rFonts w:ascii="Garamond" w:hAnsi="Garamond"/>
                <w:color w:val="auto"/>
                <w:sz w:val="24"/>
                <w:szCs w:val="24"/>
              </w:rPr>
            </w:pPr>
            <w:r w:rsidRPr="00CC4F55">
              <w:rPr>
                <w:rFonts w:ascii="Garamond" w:hAnsi="Garamond"/>
                <w:color w:val="auto"/>
                <w:sz w:val="24"/>
                <w:szCs w:val="24"/>
              </w:rPr>
              <w:t>11</w:t>
            </w:r>
          </w:p>
        </w:tc>
        <w:tc>
          <w:tcPr>
            <w:tcW w:w="4590" w:type="dxa"/>
          </w:tcPr>
          <w:p w:rsidR="00EC2CC5" w:rsidRPr="00CC4F55" w:rsidRDefault="00EC2CC5" w:rsidP="00B06048">
            <w:pPr>
              <w:pStyle w:val="CommentText"/>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Insert appendix references</w:t>
            </w:r>
          </w:p>
        </w:tc>
        <w:tc>
          <w:tcPr>
            <w:tcW w:w="4518" w:type="dxa"/>
          </w:tcPr>
          <w:p w:rsidR="00EC2CC5" w:rsidRPr="00CC4F55" w:rsidRDefault="00EC2CC5" w:rsidP="00891C77">
            <w:pPr>
              <w:cnfStyle w:val="000000000000" w:firstRow="0" w:lastRow="0" w:firstColumn="0" w:lastColumn="0" w:oddVBand="0" w:evenVBand="0" w:oddHBand="0"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This change has been made.</w:t>
            </w:r>
          </w:p>
        </w:tc>
      </w:tr>
      <w:tr w:rsidR="00EC2CC5" w:rsidRPr="00CC4F55" w:rsidTr="00C42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C2CC5" w:rsidRPr="00CC4F55" w:rsidRDefault="00EC2CC5" w:rsidP="00B06048">
            <w:pPr>
              <w:jc w:val="center"/>
              <w:rPr>
                <w:rFonts w:ascii="Garamond" w:hAnsi="Garamond"/>
                <w:color w:val="auto"/>
                <w:sz w:val="24"/>
                <w:szCs w:val="24"/>
              </w:rPr>
            </w:pPr>
            <w:r w:rsidRPr="00CC4F55">
              <w:rPr>
                <w:rFonts w:ascii="Garamond" w:hAnsi="Garamond"/>
                <w:color w:val="auto"/>
                <w:sz w:val="24"/>
                <w:szCs w:val="24"/>
              </w:rPr>
              <w:t>12</w:t>
            </w:r>
          </w:p>
        </w:tc>
        <w:tc>
          <w:tcPr>
            <w:tcW w:w="4590" w:type="dxa"/>
          </w:tcPr>
          <w:p w:rsidR="00EC2CC5" w:rsidRPr="00CC4F55" w:rsidRDefault="00EC2CC5" w:rsidP="00B06048">
            <w:pPr>
              <w:pStyle w:val="CommentText"/>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Again reference the appendices denoted in TOC PART A for these reminder notifications</w:t>
            </w:r>
          </w:p>
        </w:tc>
        <w:tc>
          <w:tcPr>
            <w:tcW w:w="4518" w:type="dxa"/>
          </w:tcPr>
          <w:p w:rsidR="00EC2CC5" w:rsidRPr="00CC4F55" w:rsidRDefault="00EC2CC5" w:rsidP="00891C77">
            <w:pPr>
              <w:cnfStyle w:val="000000100000" w:firstRow="0" w:lastRow="0" w:firstColumn="0" w:lastColumn="0" w:oddVBand="0" w:evenVBand="0" w:oddHBand="1" w:evenHBand="0" w:firstRowFirstColumn="0" w:firstRowLastColumn="0" w:lastRowFirstColumn="0" w:lastRowLastColumn="0"/>
              <w:rPr>
                <w:rFonts w:ascii="Garamond" w:hAnsi="Garamond"/>
                <w:color w:val="auto"/>
                <w:sz w:val="24"/>
                <w:szCs w:val="24"/>
              </w:rPr>
            </w:pPr>
            <w:r w:rsidRPr="00CC4F55">
              <w:rPr>
                <w:rFonts w:ascii="Garamond" w:hAnsi="Garamond"/>
                <w:color w:val="auto"/>
                <w:sz w:val="24"/>
                <w:szCs w:val="24"/>
              </w:rPr>
              <w:t>This change has been made.</w:t>
            </w:r>
          </w:p>
        </w:tc>
      </w:tr>
    </w:tbl>
    <w:p w:rsidR="003264AB" w:rsidRDefault="003264AB"/>
    <w:p w:rsidR="00AB553D" w:rsidRPr="005100D8" w:rsidRDefault="00AB553D"/>
    <w:sectPr w:rsidR="00AB553D" w:rsidRPr="005100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45" w:rsidRDefault="00D07745" w:rsidP="00DC55B7">
      <w:pPr>
        <w:spacing w:after="0" w:line="240" w:lineRule="auto"/>
      </w:pPr>
      <w:r>
        <w:separator/>
      </w:r>
    </w:p>
  </w:endnote>
  <w:endnote w:type="continuationSeparator" w:id="0">
    <w:p w:rsidR="00D07745" w:rsidRDefault="00D07745" w:rsidP="00DC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45" w:rsidRDefault="00D07745" w:rsidP="00DC55B7">
      <w:pPr>
        <w:spacing w:after="0" w:line="240" w:lineRule="auto"/>
      </w:pPr>
      <w:r>
        <w:separator/>
      </w:r>
    </w:p>
  </w:footnote>
  <w:footnote w:type="continuationSeparator" w:id="0">
    <w:p w:rsidR="00D07745" w:rsidRDefault="00D07745" w:rsidP="00DC5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90" w:rsidRPr="00DD5978" w:rsidRDefault="001F4290" w:rsidP="001F4290">
    <w:pPr>
      <w:spacing w:after="0" w:line="240" w:lineRule="auto"/>
      <w:jc w:val="center"/>
      <w:rPr>
        <w:rFonts w:ascii="Arial" w:hAnsi="Arial" w:cs="Arial"/>
        <w:b/>
      </w:rPr>
    </w:pPr>
    <w:r w:rsidRPr="00DD5978">
      <w:rPr>
        <w:rFonts w:ascii="Arial" w:hAnsi="Arial" w:cs="Arial"/>
        <w:b/>
      </w:rPr>
      <w:t>Appendix A</w:t>
    </w:r>
    <w:r>
      <w:rPr>
        <w:rFonts w:ascii="Arial" w:hAnsi="Arial" w:cs="Arial"/>
        <w:b/>
      </w:rPr>
      <w:t>L</w:t>
    </w:r>
    <w:r w:rsidRPr="00DD5978">
      <w:rPr>
        <w:rFonts w:ascii="Arial" w:hAnsi="Arial" w:cs="Arial"/>
        <w:b/>
      </w:rPr>
      <w:t>.</w:t>
    </w:r>
    <w:r>
      <w:rPr>
        <w:rFonts w:ascii="Arial" w:hAnsi="Arial" w:cs="Arial"/>
        <w:b/>
      </w:rPr>
      <w:t xml:space="preserve">2: </w:t>
    </w:r>
    <w:proofErr w:type="spellStart"/>
    <w:r>
      <w:rPr>
        <w:rFonts w:ascii="Arial" w:hAnsi="Arial" w:cs="Arial"/>
        <w:b/>
      </w:rPr>
      <w:t>NASS</w:t>
    </w:r>
    <w:proofErr w:type="spellEnd"/>
    <w:r>
      <w:rPr>
        <w:rFonts w:ascii="Arial" w:hAnsi="Arial" w:cs="Arial"/>
        <w:b/>
      </w:rPr>
      <w:t xml:space="preserve"> Comments</w:t>
    </w:r>
    <w:r>
      <w:rPr>
        <w:rFonts w:ascii="Arial" w:hAnsi="Arial" w:cs="Arial"/>
        <w:b/>
      </w:rPr>
      <w:t xml:space="preserve"> and Westat Responses</w:t>
    </w:r>
  </w:p>
  <w:p w:rsidR="00D07745" w:rsidRPr="00D22009" w:rsidRDefault="00D07745" w:rsidP="00D22009">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70377"/>
    <w:multiLevelType w:val="hybridMultilevel"/>
    <w:tmpl w:val="F554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F93EAB"/>
    <w:multiLevelType w:val="hybridMultilevel"/>
    <w:tmpl w:val="BDA87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732CE4"/>
    <w:multiLevelType w:val="hybridMultilevel"/>
    <w:tmpl w:val="B420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BB71F1"/>
    <w:multiLevelType w:val="hybridMultilevel"/>
    <w:tmpl w:val="D08AE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3D"/>
    <w:rsid w:val="000D765E"/>
    <w:rsid w:val="00106E77"/>
    <w:rsid w:val="001079E5"/>
    <w:rsid w:val="00153B27"/>
    <w:rsid w:val="001F4290"/>
    <w:rsid w:val="00246917"/>
    <w:rsid w:val="003165FC"/>
    <w:rsid w:val="003264AB"/>
    <w:rsid w:val="00364D88"/>
    <w:rsid w:val="0038175B"/>
    <w:rsid w:val="003C1058"/>
    <w:rsid w:val="004049D5"/>
    <w:rsid w:val="00422B9B"/>
    <w:rsid w:val="004250AB"/>
    <w:rsid w:val="00443EE2"/>
    <w:rsid w:val="00507F87"/>
    <w:rsid w:val="005100D8"/>
    <w:rsid w:val="00564507"/>
    <w:rsid w:val="005E3E56"/>
    <w:rsid w:val="00606428"/>
    <w:rsid w:val="00642A92"/>
    <w:rsid w:val="00760C3F"/>
    <w:rsid w:val="007D051C"/>
    <w:rsid w:val="00872100"/>
    <w:rsid w:val="00891C77"/>
    <w:rsid w:val="008E2C5C"/>
    <w:rsid w:val="0094445D"/>
    <w:rsid w:val="009C1A8C"/>
    <w:rsid w:val="009C714D"/>
    <w:rsid w:val="00A8027A"/>
    <w:rsid w:val="00AB553D"/>
    <w:rsid w:val="00AF1EBE"/>
    <w:rsid w:val="00AF6331"/>
    <w:rsid w:val="00B06048"/>
    <w:rsid w:val="00BB77EB"/>
    <w:rsid w:val="00C16C57"/>
    <w:rsid w:val="00C42393"/>
    <w:rsid w:val="00CB0D67"/>
    <w:rsid w:val="00CC4F55"/>
    <w:rsid w:val="00CF422D"/>
    <w:rsid w:val="00D07745"/>
    <w:rsid w:val="00D22009"/>
    <w:rsid w:val="00D34E34"/>
    <w:rsid w:val="00DC1D1D"/>
    <w:rsid w:val="00DC4F22"/>
    <w:rsid w:val="00DC55B7"/>
    <w:rsid w:val="00EC2CC5"/>
    <w:rsid w:val="00EC383B"/>
    <w:rsid w:val="00F34684"/>
    <w:rsid w:val="00F571D8"/>
    <w:rsid w:val="00FD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AB553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B553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DC55B7"/>
    <w:rPr>
      <w:rFonts w:cs="Times New Roman"/>
      <w:sz w:val="16"/>
      <w:szCs w:val="16"/>
    </w:rPr>
  </w:style>
  <w:style w:type="paragraph" w:styleId="BalloonText">
    <w:name w:val="Balloon Text"/>
    <w:basedOn w:val="Normal"/>
    <w:link w:val="BalloonTextChar"/>
    <w:uiPriority w:val="99"/>
    <w:semiHidden/>
    <w:unhideWhenUsed/>
    <w:rsid w:val="00DC5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5B7"/>
    <w:rPr>
      <w:rFonts w:ascii="Tahoma" w:hAnsi="Tahoma" w:cs="Tahoma"/>
      <w:sz w:val="16"/>
      <w:szCs w:val="16"/>
    </w:rPr>
  </w:style>
  <w:style w:type="paragraph" w:styleId="FootnoteText">
    <w:name w:val="footnote text"/>
    <w:aliases w:val="F1,Footnote Text Char Char,Footnote Text2,F"/>
    <w:link w:val="FootnoteTextChar"/>
    <w:rsid w:val="00DC55B7"/>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Footnote Text Char Char Char,Footnote Text2 Char,F Char"/>
    <w:basedOn w:val="DefaultParagraphFont"/>
    <w:link w:val="FootnoteText"/>
    <w:rsid w:val="00DC55B7"/>
    <w:rPr>
      <w:rFonts w:ascii="Garamond" w:eastAsia="Times New Roman" w:hAnsi="Garamond" w:cs="Times New Roman"/>
      <w:sz w:val="20"/>
      <w:szCs w:val="20"/>
    </w:rPr>
  </w:style>
  <w:style w:type="character" w:styleId="FootnoteReference">
    <w:name w:val="footnote reference"/>
    <w:basedOn w:val="DefaultParagraphFont"/>
    <w:uiPriority w:val="99"/>
    <w:unhideWhenUsed/>
    <w:rsid w:val="00DC55B7"/>
    <w:rPr>
      <w:vertAlign w:val="superscript"/>
    </w:rPr>
  </w:style>
  <w:style w:type="paragraph" w:customStyle="1" w:styleId="TX-TableText">
    <w:name w:val="TX-Table Text"/>
    <w:basedOn w:val="Normal"/>
    <w:rsid w:val="00DC55B7"/>
    <w:pPr>
      <w:spacing w:after="0" w:line="240" w:lineRule="atLeast"/>
    </w:pPr>
    <w:rPr>
      <w:rFonts w:ascii="Franklin Gothic Medium" w:eastAsia="Times New Roman" w:hAnsi="Franklin Gothic Medium" w:cs="Times New Roman"/>
      <w:sz w:val="20"/>
      <w:szCs w:val="20"/>
    </w:rPr>
  </w:style>
  <w:style w:type="paragraph" w:styleId="ListParagraph">
    <w:name w:val="List Paragraph"/>
    <w:basedOn w:val="Normal"/>
    <w:uiPriority w:val="34"/>
    <w:qFormat/>
    <w:rsid w:val="005100D8"/>
    <w:pPr>
      <w:ind w:left="720"/>
      <w:contextualSpacing/>
    </w:pPr>
  </w:style>
  <w:style w:type="table" w:styleId="LightShading">
    <w:name w:val="Light Shading"/>
    <w:basedOn w:val="TableNormal"/>
    <w:uiPriority w:val="60"/>
    <w:rsid w:val="003264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423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22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009"/>
  </w:style>
  <w:style w:type="paragraph" w:styleId="Footer">
    <w:name w:val="footer"/>
    <w:basedOn w:val="Normal"/>
    <w:link w:val="FooterChar"/>
    <w:uiPriority w:val="99"/>
    <w:unhideWhenUsed/>
    <w:rsid w:val="00D22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009"/>
  </w:style>
  <w:style w:type="paragraph" w:customStyle="1" w:styleId="L1-FlLSp12">
    <w:name w:val="L1-FlL Sp&amp;1/2"/>
    <w:basedOn w:val="Normal"/>
    <w:link w:val="L1-FlLSp12Char"/>
    <w:rsid w:val="00422B9B"/>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locked/>
    <w:rsid w:val="00422B9B"/>
    <w:rPr>
      <w:rFonts w:ascii="Garamond" w:eastAsia="Times New Roman" w:hAnsi="Garamond" w:cs="Times New Roman"/>
      <w:sz w:val="24"/>
      <w:szCs w:val="20"/>
    </w:rPr>
  </w:style>
  <w:style w:type="paragraph" w:styleId="NoSpacing">
    <w:name w:val="No Spacing"/>
    <w:uiPriority w:val="1"/>
    <w:qFormat/>
    <w:rsid w:val="00422B9B"/>
    <w:pPr>
      <w:spacing w:after="0" w:line="240" w:lineRule="auto"/>
    </w:pPr>
  </w:style>
  <w:style w:type="paragraph" w:styleId="CommentSubject">
    <w:name w:val="annotation subject"/>
    <w:basedOn w:val="CommentText"/>
    <w:next w:val="CommentText"/>
    <w:link w:val="CommentSubjectChar"/>
    <w:uiPriority w:val="99"/>
    <w:semiHidden/>
    <w:unhideWhenUsed/>
    <w:rsid w:val="00EC2CC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2CC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AB553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B553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DC55B7"/>
    <w:rPr>
      <w:rFonts w:cs="Times New Roman"/>
      <w:sz w:val="16"/>
      <w:szCs w:val="16"/>
    </w:rPr>
  </w:style>
  <w:style w:type="paragraph" w:styleId="BalloonText">
    <w:name w:val="Balloon Text"/>
    <w:basedOn w:val="Normal"/>
    <w:link w:val="BalloonTextChar"/>
    <w:uiPriority w:val="99"/>
    <w:semiHidden/>
    <w:unhideWhenUsed/>
    <w:rsid w:val="00DC5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5B7"/>
    <w:rPr>
      <w:rFonts w:ascii="Tahoma" w:hAnsi="Tahoma" w:cs="Tahoma"/>
      <w:sz w:val="16"/>
      <w:szCs w:val="16"/>
    </w:rPr>
  </w:style>
  <w:style w:type="paragraph" w:styleId="FootnoteText">
    <w:name w:val="footnote text"/>
    <w:aliases w:val="F1,Footnote Text Char Char,Footnote Text2,F"/>
    <w:link w:val="FootnoteTextChar"/>
    <w:rsid w:val="00DC55B7"/>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Footnote Text Char Char Char,Footnote Text2 Char,F Char"/>
    <w:basedOn w:val="DefaultParagraphFont"/>
    <w:link w:val="FootnoteText"/>
    <w:rsid w:val="00DC55B7"/>
    <w:rPr>
      <w:rFonts w:ascii="Garamond" w:eastAsia="Times New Roman" w:hAnsi="Garamond" w:cs="Times New Roman"/>
      <w:sz w:val="20"/>
      <w:szCs w:val="20"/>
    </w:rPr>
  </w:style>
  <w:style w:type="character" w:styleId="FootnoteReference">
    <w:name w:val="footnote reference"/>
    <w:basedOn w:val="DefaultParagraphFont"/>
    <w:uiPriority w:val="99"/>
    <w:unhideWhenUsed/>
    <w:rsid w:val="00DC55B7"/>
    <w:rPr>
      <w:vertAlign w:val="superscript"/>
    </w:rPr>
  </w:style>
  <w:style w:type="paragraph" w:customStyle="1" w:styleId="TX-TableText">
    <w:name w:val="TX-Table Text"/>
    <w:basedOn w:val="Normal"/>
    <w:rsid w:val="00DC55B7"/>
    <w:pPr>
      <w:spacing w:after="0" w:line="240" w:lineRule="atLeast"/>
    </w:pPr>
    <w:rPr>
      <w:rFonts w:ascii="Franklin Gothic Medium" w:eastAsia="Times New Roman" w:hAnsi="Franklin Gothic Medium" w:cs="Times New Roman"/>
      <w:sz w:val="20"/>
      <w:szCs w:val="20"/>
    </w:rPr>
  </w:style>
  <w:style w:type="paragraph" w:styleId="ListParagraph">
    <w:name w:val="List Paragraph"/>
    <w:basedOn w:val="Normal"/>
    <w:uiPriority w:val="34"/>
    <w:qFormat/>
    <w:rsid w:val="005100D8"/>
    <w:pPr>
      <w:ind w:left="720"/>
      <w:contextualSpacing/>
    </w:pPr>
  </w:style>
  <w:style w:type="table" w:styleId="LightShading">
    <w:name w:val="Light Shading"/>
    <w:basedOn w:val="TableNormal"/>
    <w:uiPriority w:val="60"/>
    <w:rsid w:val="003264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423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22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009"/>
  </w:style>
  <w:style w:type="paragraph" w:styleId="Footer">
    <w:name w:val="footer"/>
    <w:basedOn w:val="Normal"/>
    <w:link w:val="FooterChar"/>
    <w:uiPriority w:val="99"/>
    <w:unhideWhenUsed/>
    <w:rsid w:val="00D22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009"/>
  </w:style>
  <w:style w:type="paragraph" w:customStyle="1" w:styleId="L1-FlLSp12">
    <w:name w:val="L1-FlL Sp&amp;1/2"/>
    <w:basedOn w:val="Normal"/>
    <w:link w:val="L1-FlLSp12Char"/>
    <w:rsid w:val="00422B9B"/>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locked/>
    <w:rsid w:val="00422B9B"/>
    <w:rPr>
      <w:rFonts w:ascii="Garamond" w:eastAsia="Times New Roman" w:hAnsi="Garamond" w:cs="Times New Roman"/>
      <w:sz w:val="24"/>
      <w:szCs w:val="20"/>
    </w:rPr>
  </w:style>
  <w:style w:type="paragraph" w:styleId="NoSpacing">
    <w:name w:val="No Spacing"/>
    <w:uiPriority w:val="1"/>
    <w:qFormat/>
    <w:rsid w:val="00422B9B"/>
    <w:pPr>
      <w:spacing w:after="0" w:line="240" w:lineRule="auto"/>
    </w:pPr>
  </w:style>
  <w:style w:type="paragraph" w:styleId="CommentSubject">
    <w:name w:val="annotation subject"/>
    <w:basedOn w:val="CommentText"/>
    <w:next w:val="CommentText"/>
    <w:link w:val="CommentSubjectChar"/>
    <w:uiPriority w:val="99"/>
    <w:semiHidden/>
    <w:unhideWhenUsed/>
    <w:rsid w:val="00EC2CC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2C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7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Tracy Vericker</cp:lastModifiedBy>
  <cp:revision>2</cp:revision>
  <dcterms:created xsi:type="dcterms:W3CDTF">2016-04-20T13:10:00Z</dcterms:created>
  <dcterms:modified xsi:type="dcterms:W3CDTF">2016-04-20T13:10:00Z</dcterms:modified>
</cp:coreProperties>
</file>