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792" w:rsidRPr="003702B9" w:rsidRDefault="00392792" w:rsidP="00392792">
      <w:pPr>
        <w:pStyle w:val="NoSpacing"/>
        <w:rPr>
          <w:rFonts w:asciiTheme="minorHAnsi" w:hAnsiTheme="minorHAnsi"/>
          <w:b w:val="0"/>
          <w:szCs w:val="24"/>
        </w:rPr>
      </w:pPr>
      <w:r w:rsidRPr="003702B9">
        <w:rPr>
          <w:rFonts w:asciiTheme="minorHAnsi" w:hAnsiTheme="minorHAnsi"/>
          <w:szCs w:val="24"/>
        </w:rPr>
        <w:t>SUPPORTING STATEMENT PART A FOR</w:t>
      </w:r>
    </w:p>
    <w:p w:rsidR="00392792" w:rsidRPr="003702B9" w:rsidRDefault="00392792" w:rsidP="00392792">
      <w:pPr>
        <w:pStyle w:val="NoSpacing"/>
        <w:rPr>
          <w:rFonts w:asciiTheme="minorHAnsi" w:hAnsiTheme="minorHAnsi"/>
          <w:b w:val="0"/>
          <w:szCs w:val="24"/>
        </w:rPr>
      </w:pPr>
    </w:p>
    <w:p w:rsidR="00392792" w:rsidRPr="003702B9" w:rsidRDefault="00392792" w:rsidP="00392792">
      <w:pPr>
        <w:jc w:val="center"/>
        <w:rPr>
          <w:rFonts w:asciiTheme="minorHAnsi" w:hAnsiTheme="minorHAnsi"/>
          <w:b/>
          <w:szCs w:val="24"/>
        </w:rPr>
      </w:pPr>
      <w:r w:rsidRPr="003702B9">
        <w:rPr>
          <w:rFonts w:asciiTheme="minorHAnsi" w:hAnsiTheme="minorHAnsi"/>
          <w:b/>
          <w:szCs w:val="24"/>
        </w:rPr>
        <w:t>Evaluation of the Food Insecurity Nutrition Incentives (FINI)</w:t>
      </w:r>
    </w:p>
    <w:p w:rsidR="00392792" w:rsidRPr="003702B9" w:rsidRDefault="00392792" w:rsidP="00392792">
      <w:pPr>
        <w:pStyle w:val="NoSpacing"/>
        <w:rPr>
          <w:rFonts w:asciiTheme="minorHAnsi" w:hAnsiTheme="minorHAnsi"/>
          <w:b w:val="0"/>
          <w:szCs w:val="24"/>
        </w:rPr>
      </w:pPr>
    </w:p>
    <w:p w:rsidR="00392792" w:rsidRPr="003702B9" w:rsidRDefault="00392792" w:rsidP="00392792">
      <w:pPr>
        <w:pStyle w:val="NoSpacing"/>
        <w:rPr>
          <w:rFonts w:asciiTheme="minorHAnsi" w:hAnsiTheme="minorHAnsi"/>
          <w:b w:val="0"/>
          <w:szCs w:val="24"/>
        </w:rPr>
      </w:pPr>
    </w:p>
    <w:p w:rsidR="00392792" w:rsidRPr="000F00EB" w:rsidRDefault="00392792" w:rsidP="00392792">
      <w:pPr>
        <w:pStyle w:val="NoSpacing"/>
        <w:rPr>
          <w:rFonts w:asciiTheme="minorHAnsi" w:hAnsiTheme="minorHAnsi"/>
          <w:b w:val="0"/>
          <w:szCs w:val="24"/>
        </w:rPr>
      </w:pPr>
      <w:r w:rsidRPr="000F00EB">
        <w:rPr>
          <w:rFonts w:asciiTheme="minorHAnsi" w:hAnsiTheme="minorHAnsi"/>
          <w:szCs w:val="24"/>
        </w:rPr>
        <w:t>Office of Research and Analysis</w:t>
      </w:r>
    </w:p>
    <w:p w:rsidR="00392792" w:rsidRPr="000F00EB" w:rsidRDefault="00392792" w:rsidP="00392792">
      <w:pPr>
        <w:pStyle w:val="NoSpacing"/>
        <w:rPr>
          <w:rFonts w:asciiTheme="minorHAnsi" w:hAnsiTheme="minorHAnsi"/>
          <w:b w:val="0"/>
          <w:szCs w:val="24"/>
        </w:rPr>
      </w:pPr>
      <w:r w:rsidRPr="000F00EB">
        <w:rPr>
          <w:rFonts w:asciiTheme="minorHAnsi" w:hAnsiTheme="minorHAnsi"/>
          <w:szCs w:val="24"/>
        </w:rPr>
        <w:t>Food and Nutrition Service</w:t>
      </w:r>
    </w:p>
    <w:p w:rsidR="00392792" w:rsidRPr="000F00EB" w:rsidRDefault="00392792" w:rsidP="00392792">
      <w:pPr>
        <w:pStyle w:val="NoSpacing"/>
        <w:rPr>
          <w:rFonts w:asciiTheme="minorHAnsi" w:hAnsiTheme="minorHAnsi"/>
          <w:b w:val="0"/>
          <w:szCs w:val="24"/>
        </w:rPr>
      </w:pPr>
      <w:r w:rsidRPr="000F00EB">
        <w:rPr>
          <w:rFonts w:asciiTheme="minorHAnsi" w:hAnsiTheme="minorHAnsi"/>
          <w:szCs w:val="24"/>
        </w:rPr>
        <w:t>US Department of Agriculture</w:t>
      </w:r>
    </w:p>
    <w:p w:rsidR="00392792" w:rsidRPr="000F00EB" w:rsidRDefault="00392792" w:rsidP="00392792">
      <w:pPr>
        <w:pStyle w:val="NoSpacing"/>
        <w:rPr>
          <w:rFonts w:asciiTheme="minorHAnsi" w:hAnsiTheme="minorHAnsi"/>
          <w:b w:val="0"/>
          <w:szCs w:val="24"/>
        </w:rPr>
      </w:pPr>
      <w:r w:rsidRPr="000F00EB">
        <w:rPr>
          <w:rFonts w:asciiTheme="minorHAnsi" w:hAnsiTheme="minorHAnsi"/>
          <w:szCs w:val="24"/>
        </w:rPr>
        <w:t>3101 Park Center Drive</w:t>
      </w:r>
    </w:p>
    <w:p w:rsidR="00392792" w:rsidRPr="00A171AB" w:rsidRDefault="00392792" w:rsidP="00392792">
      <w:pPr>
        <w:pStyle w:val="NoSpacing"/>
        <w:rPr>
          <w:rFonts w:asciiTheme="minorHAnsi" w:hAnsiTheme="minorHAnsi"/>
          <w:b w:val="0"/>
          <w:szCs w:val="24"/>
          <w:lang w:val="fr-FR"/>
        </w:rPr>
      </w:pPr>
      <w:r w:rsidRPr="00A171AB">
        <w:rPr>
          <w:rFonts w:asciiTheme="minorHAnsi" w:hAnsiTheme="minorHAnsi"/>
          <w:szCs w:val="24"/>
          <w:lang w:val="fr-FR"/>
        </w:rPr>
        <w:t>Alexandria, VA 22302</w:t>
      </w:r>
    </w:p>
    <w:p w:rsidR="00392792" w:rsidRPr="00A171AB" w:rsidRDefault="00392792" w:rsidP="00392792">
      <w:pPr>
        <w:pStyle w:val="NoSpacing"/>
        <w:rPr>
          <w:rFonts w:asciiTheme="minorHAnsi" w:hAnsiTheme="minorHAnsi"/>
          <w:b w:val="0"/>
          <w:szCs w:val="24"/>
          <w:lang w:val="fr-FR"/>
        </w:rPr>
      </w:pPr>
      <w:r w:rsidRPr="00A171AB">
        <w:rPr>
          <w:rFonts w:asciiTheme="minorHAnsi" w:hAnsiTheme="minorHAnsi"/>
          <w:szCs w:val="24"/>
          <w:lang w:val="fr-FR"/>
        </w:rPr>
        <w:t>Phone: 703-305-2640</w:t>
      </w:r>
    </w:p>
    <w:p w:rsidR="00392792" w:rsidRPr="00A171AB" w:rsidRDefault="00392792" w:rsidP="00392792">
      <w:pPr>
        <w:pStyle w:val="NoSpacing"/>
        <w:rPr>
          <w:rFonts w:asciiTheme="minorHAnsi" w:hAnsiTheme="minorHAnsi"/>
          <w:b w:val="0"/>
          <w:szCs w:val="24"/>
          <w:lang w:val="fr-FR"/>
        </w:rPr>
      </w:pPr>
      <w:r w:rsidRPr="00A171AB">
        <w:rPr>
          <w:rFonts w:asciiTheme="minorHAnsi" w:hAnsiTheme="minorHAnsi"/>
          <w:szCs w:val="24"/>
          <w:lang w:val="fr-FR"/>
        </w:rPr>
        <w:t>Fax: 703-305-2576</w:t>
      </w:r>
    </w:p>
    <w:p w:rsidR="00392792" w:rsidRPr="00A171AB" w:rsidRDefault="00392792" w:rsidP="00392792">
      <w:pPr>
        <w:pStyle w:val="NoSpacing"/>
        <w:rPr>
          <w:rFonts w:asciiTheme="minorHAnsi" w:hAnsiTheme="minorHAnsi"/>
          <w:b w:val="0"/>
          <w:szCs w:val="24"/>
          <w:lang w:val="fr-FR"/>
        </w:rPr>
      </w:pPr>
      <w:r w:rsidRPr="00A171AB">
        <w:rPr>
          <w:rFonts w:asciiTheme="minorHAnsi" w:hAnsiTheme="minorHAnsi"/>
          <w:szCs w:val="24"/>
          <w:lang w:val="fr-FR"/>
        </w:rPr>
        <w:t>E-mail: Eric.Williams@fns.usda.gov</w:t>
      </w:r>
    </w:p>
    <w:p w:rsidR="0051381C" w:rsidRPr="00A171AB" w:rsidRDefault="0051381C" w:rsidP="0051381C">
      <w:pPr>
        <w:spacing w:line="14" w:lineRule="exact"/>
        <w:rPr>
          <w:lang w:val="fr-FR"/>
        </w:rPr>
        <w:sectPr w:rsidR="0051381C" w:rsidRPr="00A171AB" w:rsidSect="0051381C">
          <w:footerReference w:type="default" r:id="rId9"/>
          <w:pgSz w:w="12240" w:h="15840" w:code="1"/>
          <w:pgMar w:top="2520" w:right="576" w:bottom="432" w:left="662" w:header="720" w:footer="576" w:gutter="0"/>
          <w:cols w:space="720"/>
          <w:titlePg/>
          <w:docGrid w:linePitch="360"/>
        </w:sectPr>
      </w:pPr>
    </w:p>
    <w:p w:rsidR="0051381C" w:rsidRPr="00A171AB" w:rsidRDefault="0051381C" w:rsidP="0051381C">
      <w:pPr>
        <w:spacing w:line="14" w:lineRule="exact"/>
        <w:rPr>
          <w:lang w:val="fr-FR"/>
        </w:rPr>
      </w:pPr>
    </w:p>
    <w:p w:rsidR="007C2CD6" w:rsidRDefault="007C2CD6" w:rsidP="007C2CD6">
      <w:pPr>
        <w:pStyle w:val="TC-TableofContentsHeading"/>
      </w:pPr>
      <w:r>
        <w:t>Table of Contents</w:t>
      </w:r>
    </w:p>
    <w:p w:rsidR="007C2CD6" w:rsidRDefault="009C4246" w:rsidP="007C2CD6">
      <w:pPr>
        <w:pStyle w:val="T0-ChapPgHd"/>
      </w:pPr>
      <w:r>
        <w:t>Section</w:t>
      </w:r>
      <w:r w:rsidR="007C2CD6">
        <w:tab/>
        <w:t>Page</w:t>
      </w:r>
    </w:p>
    <w:p w:rsidR="007C2CD6" w:rsidRDefault="007C2CD6" w:rsidP="007C2CD6">
      <w:pPr>
        <w:pStyle w:val="T0-ChapPgHd"/>
      </w:pPr>
    </w:p>
    <w:p w:rsidR="00234CBA" w:rsidRDefault="00234CBA" w:rsidP="00234CBA">
      <w:pPr>
        <w:pStyle w:val="TOC1"/>
      </w:pPr>
      <w:r>
        <w:t>A</w:t>
      </w:r>
      <w:r>
        <w:tab/>
      </w:r>
      <w:r w:rsidRPr="005A257C">
        <w:t>Justification</w:t>
      </w:r>
      <w:r w:rsidRPr="005A257C">
        <w:tab/>
      </w:r>
      <w:r>
        <w:tab/>
      </w:r>
      <w:r w:rsidRPr="005A257C">
        <w:t>1</w:t>
      </w:r>
    </w:p>
    <w:p w:rsidR="00234CBA" w:rsidRPr="005A257C" w:rsidRDefault="00234CBA" w:rsidP="00234CBA">
      <w:pPr>
        <w:pStyle w:val="TOC1"/>
        <w:rPr>
          <w:rFonts w:eastAsiaTheme="minorEastAsia"/>
        </w:rPr>
      </w:pPr>
    </w:p>
    <w:p w:rsidR="00234CBA" w:rsidRPr="005A257C" w:rsidRDefault="00234CBA" w:rsidP="00234CBA">
      <w:pPr>
        <w:pStyle w:val="TOC2"/>
        <w:rPr>
          <w:rFonts w:eastAsiaTheme="minorEastAsia"/>
        </w:rPr>
      </w:pPr>
      <w:r w:rsidRPr="005A257C">
        <w:t>A.1</w:t>
      </w:r>
      <w:r w:rsidRPr="005A257C">
        <w:rPr>
          <w:rFonts w:eastAsiaTheme="minorEastAsia"/>
        </w:rPr>
        <w:tab/>
      </w:r>
      <w:r w:rsidRPr="005A257C">
        <w:t>Circumstances Making the Collection of Information Necessary</w:t>
      </w:r>
      <w:r w:rsidRPr="005A257C">
        <w:tab/>
      </w:r>
      <w:r>
        <w:tab/>
      </w:r>
      <w:r w:rsidRPr="005A257C">
        <w:t>1</w:t>
      </w:r>
    </w:p>
    <w:p w:rsidR="00234CBA" w:rsidRPr="005A257C" w:rsidRDefault="00234CBA" w:rsidP="00234CBA">
      <w:pPr>
        <w:pStyle w:val="TOC2"/>
        <w:rPr>
          <w:rFonts w:eastAsiaTheme="minorEastAsia"/>
        </w:rPr>
      </w:pPr>
      <w:r w:rsidRPr="005A257C">
        <w:t>A.2</w:t>
      </w:r>
      <w:r w:rsidRPr="005A257C">
        <w:rPr>
          <w:rFonts w:eastAsiaTheme="minorEastAsia"/>
        </w:rPr>
        <w:tab/>
      </w:r>
      <w:r w:rsidRPr="005A257C">
        <w:t>Purpose and Use of the Information</w:t>
      </w:r>
      <w:r w:rsidRPr="005A257C">
        <w:tab/>
      </w:r>
      <w:r>
        <w:tab/>
      </w:r>
      <w:r w:rsidRPr="005A257C">
        <w:t>2</w:t>
      </w:r>
    </w:p>
    <w:p w:rsidR="00234CBA" w:rsidRPr="005A257C" w:rsidRDefault="00234CBA" w:rsidP="00234CBA">
      <w:pPr>
        <w:pStyle w:val="TOC2"/>
        <w:rPr>
          <w:rFonts w:eastAsiaTheme="minorEastAsia"/>
        </w:rPr>
      </w:pPr>
      <w:r w:rsidRPr="005A257C">
        <w:t>A.3</w:t>
      </w:r>
      <w:r w:rsidRPr="005A257C">
        <w:rPr>
          <w:rFonts w:eastAsiaTheme="minorEastAsia"/>
        </w:rPr>
        <w:tab/>
      </w:r>
      <w:r w:rsidRPr="005A257C">
        <w:t>Use of Information Technology and Burden Reduction</w:t>
      </w:r>
      <w:r w:rsidRPr="005A257C">
        <w:tab/>
      </w:r>
      <w:r>
        <w:tab/>
      </w:r>
      <w:r w:rsidR="00272A43">
        <w:t>8</w:t>
      </w:r>
    </w:p>
    <w:p w:rsidR="00234CBA" w:rsidRPr="005A257C" w:rsidRDefault="00234CBA" w:rsidP="00234CBA">
      <w:pPr>
        <w:pStyle w:val="TOC2"/>
        <w:rPr>
          <w:rFonts w:eastAsiaTheme="minorEastAsia"/>
        </w:rPr>
      </w:pPr>
      <w:r w:rsidRPr="005A257C">
        <w:t>A.4</w:t>
      </w:r>
      <w:r w:rsidRPr="005A257C">
        <w:rPr>
          <w:rFonts w:eastAsiaTheme="minorEastAsia"/>
        </w:rPr>
        <w:tab/>
      </w:r>
      <w:r w:rsidRPr="005A257C">
        <w:t>Efforts to Identify Duplication and Use of Similar Information</w:t>
      </w:r>
      <w:r w:rsidRPr="005A257C">
        <w:tab/>
      </w:r>
      <w:r>
        <w:tab/>
      </w:r>
      <w:r w:rsidR="00272A43">
        <w:t>9</w:t>
      </w:r>
    </w:p>
    <w:p w:rsidR="00234CBA" w:rsidRPr="005A257C" w:rsidRDefault="00234CBA" w:rsidP="00234CBA">
      <w:pPr>
        <w:pStyle w:val="TOC2"/>
        <w:rPr>
          <w:rFonts w:eastAsiaTheme="minorEastAsia"/>
        </w:rPr>
      </w:pPr>
      <w:r w:rsidRPr="005A257C">
        <w:t>A.5</w:t>
      </w:r>
      <w:r w:rsidRPr="005A257C">
        <w:rPr>
          <w:rFonts w:eastAsiaTheme="minorEastAsia"/>
        </w:rPr>
        <w:tab/>
      </w:r>
      <w:r w:rsidRPr="005A257C">
        <w:t>Impact on Small Businesses or Other Small Entities</w:t>
      </w:r>
      <w:r w:rsidRPr="005A257C">
        <w:tab/>
      </w:r>
      <w:r>
        <w:tab/>
      </w:r>
      <w:r w:rsidR="00272A43">
        <w:t>9</w:t>
      </w:r>
    </w:p>
    <w:p w:rsidR="00234CBA" w:rsidRPr="005A257C" w:rsidRDefault="00234CBA" w:rsidP="00234CBA">
      <w:pPr>
        <w:pStyle w:val="TOC2"/>
        <w:rPr>
          <w:rFonts w:eastAsiaTheme="minorEastAsia"/>
        </w:rPr>
      </w:pPr>
      <w:r w:rsidRPr="005A257C">
        <w:t>A.6</w:t>
      </w:r>
      <w:r w:rsidRPr="005A257C">
        <w:rPr>
          <w:rFonts w:eastAsiaTheme="minorEastAsia"/>
        </w:rPr>
        <w:tab/>
      </w:r>
      <w:r w:rsidRPr="005A257C">
        <w:t>Consequences of Collecting the Information Less Frequently</w:t>
      </w:r>
      <w:r w:rsidRPr="005A257C">
        <w:tab/>
      </w:r>
      <w:r>
        <w:tab/>
      </w:r>
      <w:r w:rsidR="00272A43">
        <w:t>10</w:t>
      </w:r>
    </w:p>
    <w:p w:rsidR="00234CBA" w:rsidRPr="005A257C" w:rsidRDefault="00234CBA" w:rsidP="00234CBA">
      <w:pPr>
        <w:pStyle w:val="TOC2"/>
        <w:rPr>
          <w:rFonts w:eastAsiaTheme="minorEastAsia"/>
        </w:rPr>
      </w:pPr>
      <w:r w:rsidRPr="005A257C">
        <w:t>A.7</w:t>
      </w:r>
      <w:r w:rsidRPr="005A257C">
        <w:rPr>
          <w:rFonts w:eastAsiaTheme="minorEastAsia"/>
        </w:rPr>
        <w:tab/>
      </w:r>
      <w:r w:rsidRPr="005A257C">
        <w:t>Special Circumstances Relating to the Guidelines of 5 CFR 1320.5</w:t>
      </w:r>
      <w:r w:rsidRPr="005A257C">
        <w:tab/>
      </w:r>
      <w:r>
        <w:tab/>
      </w:r>
      <w:r w:rsidR="00272A43">
        <w:t>10</w:t>
      </w:r>
    </w:p>
    <w:p w:rsidR="00234CBA" w:rsidRPr="005A257C" w:rsidRDefault="00234CBA" w:rsidP="00234CBA">
      <w:pPr>
        <w:pStyle w:val="TOC2"/>
        <w:rPr>
          <w:rFonts w:eastAsiaTheme="minorEastAsia"/>
        </w:rPr>
      </w:pPr>
      <w:r w:rsidRPr="005A257C">
        <w:t>A.8</w:t>
      </w:r>
      <w:r w:rsidRPr="005A257C">
        <w:rPr>
          <w:rFonts w:eastAsiaTheme="minorEastAsia"/>
        </w:rPr>
        <w:tab/>
      </w:r>
      <w:r w:rsidRPr="005A257C">
        <w:t xml:space="preserve">Responses to the </w:t>
      </w:r>
      <w:r w:rsidRPr="000F23D5">
        <w:rPr>
          <w:i/>
        </w:rPr>
        <w:t>Federal Register</w:t>
      </w:r>
      <w:r w:rsidRPr="005A257C">
        <w:t xml:space="preserve"> Notice and Efforts to Contact Outside Agencies</w:t>
      </w:r>
      <w:r w:rsidRPr="005A257C">
        <w:tab/>
      </w:r>
      <w:r>
        <w:tab/>
      </w:r>
      <w:r w:rsidR="00AD2269">
        <w:t>1</w:t>
      </w:r>
      <w:r w:rsidR="00272A43">
        <w:t>1</w:t>
      </w:r>
    </w:p>
    <w:p w:rsidR="00234CBA" w:rsidRDefault="00234CBA" w:rsidP="00234CBA">
      <w:pPr>
        <w:pStyle w:val="TOC2"/>
      </w:pPr>
    </w:p>
    <w:p w:rsidR="00234CBA" w:rsidRPr="00450128" w:rsidRDefault="00234CBA" w:rsidP="00234CBA">
      <w:pPr>
        <w:pStyle w:val="TOC3"/>
      </w:pPr>
      <w:r w:rsidRPr="000F23D5">
        <w:rPr>
          <w:i/>
        </w:rPr>
        <w:t>Federal Register</w:t>
      </w:r>
      <w:r w:rsidR="00212F39">
        <w:t xml:space="preserve"> Notice and Comments</w:t>
      </w:r>
      <w:r w:rsidR="00212F39">
        <w:tab/>
      </w:r>
      <w:r w:rsidR="00212F39">
        <w:tab/>
        <w:t>1</w:t>
      </w:r>
      <w:r w:rsidR="00272A43">
        <w:t>1</w:t>
      </w:r>
    </w:p>
    <w:p w:rsidR="00234CBA" w:rsidRDefault="00234CBA" w:rsidP="00234CBA">
      <w:pPr>
        <w:pStyle w:val="TOC3"/>
      </w:pPr>
      <w:r w:rsidRPr="00450128">
        <w:t>Consultations Outside the Agency</w:t>
      </w:r>
      <w:r w:rsidR="00212F39">
        <w:tab/>
      </w:r>
      <w:r w:rsidR="00212F39">
        <w:tab/>
        <w:t>1</w:t>
      </w:r>
      <w:r w:rsidR="00272A43">
        <w:t>1</w:t>
      </w:r>
    </w:p>
    <w:p w:rsidR="00234CBA" w:rsidRPr="00450128" w:rsidRDefault="00234CBA" w:rsidP="00234CBA">
      <w:pPr>
        <w:pStyle w:val="TOC3"/>
      </w:pPr>
    </w:p>
    <w:p w:rsidR="00234CBA" w:rsidRPr="005A257C" w:rsidRDefault="00234CBA" w:rsidP="00234CBA">
      <w:pPr>
        <w:pStyle w:val="TOC2"/>
        <w:rPr>
          <w:rFonts w:eastAsiaTheme="minorEastAsia"/>
        </w:rPr>
      </w:pPr>
      <w:r w:rsidRPr="005A257C">
        <w:t>A.9</w:t>
      </w:r>
      <w:r w:rsidRPr="005A257C">
        <w:rPr>
          <w:rFonts w:eastAsiaTheme="minorEastAsia"/>
        </w:rPr>
        <w:tab/>
      </w:r>
      <w:r w:rsidRPr="005A257C">
        <w:t>Explanation of Any Payment or Gift to Respondents</w:t>
      </w:r>
      <w:r w:rsidRPr="005A257C">
        <w:tab/>
      </w:r>
      <w:r>
        <w:tab/>
      </w:r>
      <w:r w:rsidR="00212F39">
        <w:t>1</w:t>
      </w:r>
      <w:r w:rsidR="00272A43">
        <w:t>2</w:t>
      </w:r>
    </w:p>
    <w:p w:rsidR="00234CBA" w:rsidRPr="005A257C" w:rsidRDefault="00234CBA" w:rsidP="00234CBA">
      <w:pPr>
        <w:pStyle w:val="TOC2"/>
        <w:rPr>
          <w:rFonts w:eastAsiaTheme="minorEastAsia"/>
        </w:rPr>
      </w:pPr>
      <w:r w:rsidRPr="005A257C">
        <w:t>A.10</w:t>
      </w:r>
      <w:r w:rsidRPr="005A257C">
        <w:rPr>
          <w:rFonts w:eastAsiaTheme="minorEastAsia"/>
        </w:rPr>
        <w:tab/>
      </w:r>
      <w:r w:rsidRPr="005A257C">
        <w:t>Assurance of Confidentiality Provided to Respondents</w:t>
      </w:r>
      <w:r w:rsidRPr="005A257C">
        <w:tab/>
      </w:r>
      <w:r>
        <w:tab/>
      </w:r>
      <w:r w:rsidR="00212F39">
        <w:t>1</w:t>
      </w:r>
      <w:r w:rsidR="00EE3B87">
        <w:t>7</w:t>
      </w:r>
    </w:p>
    <w:p w:rsidR="00234CBA" w:rsidRPr="005A257C" w:rsidRDefault="00234CBA" w:rsidP="00234CBA">
      <w:pPr>
        <w:pStyle w:val="TOC2"/>
        <w:rPr>
          <w:rFonts w:eastAsiaTheme="minorEastAsia"/>
        </w:rPr>
      </w:pPr>
      <w:r w:rsidRPr="005A257C">
        <w:t>A.11</w:t>
      </w:r>
      <w:r w:rsidRPr="005A257C">
        <w:rPr>
          <w:rFonts w:eastAsiaTheme="minorEastAsia"/>
        </w:rPr>
        <w:tab/>
      </w:r>
      <w:r w:rsidRPr="005A257C">
        <w:t>Justification for Sensitive Questions</w:t>
      </w:r>
      <w:r w:rsidRPr="005A257C">
        <w:tab/>
      </w:r>
      <w:r>
        <w:tab/>
      </w:r>
      <w:r w:rsidR="00E65D83">
        <w:t>1</w:t>
      </w:r>
      <w:r w:rsidR="00EE3B87">
        <w:t>8</w:t>
      </w:r>
    </w:p>
    <w:p w:rsidR="00234CBA" w:rsidRPr="005A257C" w:rsidRDefault="00234CBA" w:rsidP="00234CBA">
      <w:pPr>
        <w:pStyle w:val="TOC2"/>
        <w:rPr>
          <w:rFonts w:eastAsiaTheme="minorEastAsia"/>
        </w:rPr>
      </w:pPr>
      <w:r w:rsidRPr="005A257C">
        <w:t>A.12</w:t>
      </w:r>
      <w:r w:rsidRPr="005A257C">
        <w:rPr>
          <w:rFonts w:eastAsiaTheme="minorEastAsia"/>
        </w:rPr>
        <w:tab/>
      </w:r>
      <w:r w:rsidRPr="005A257C">
        <w:t>Estimates of Respondent Burden Including Annualized Hourly Costs</w:t>
      </w:r>
      <w:r w:rsidRPr="005A257C">
        <w:tab/>
      </w:r>
      <w:r>
        <w:tab/>
      </w:r>
      <w:r w:rsidR="00212F39">
        <w:t>1</w:t>
      </w:r>
      <w:r w:rsidR="00EE3B87">
        <w:t>8</w:t>
      </w:r>
    </w:p>
    <w:p w:rsidR="00E65D83" w:rsidRDefault="00234CBA" w:rsidP="00234CBA">
      <w:pPr>
        <w:pStyle w:val="TOC2"/>
      </w:pPr>
      <w:r w:rsidRPr="005A257C">
        <w:t>A.13</w:t>
      </w:r>
      <w:r w:rsidRPr="005A257C">
        <w:rPr>
          <w:rFonts w:eastAsiaTheme="minorEastAsia"/>
        </w:rPr>
        <w:tab/>
      </w:r>
      <w:r w:rsidRPr="005A257C">
        <w:t>Estimates of Other Total Annualized Cost Burden</w:t>
      </w:r>
      <w:r w:rsidRPr="005A257C">
        <w:tab/>
      </w:r>
      <w:r>
        <w:tab/>
      </w:r>
      <w:r w:rsidR="00E65D83">
        <w:t>2</w:t>
      </w:r>
      <w:r w:rsidR="00EE3B87">
        <w:t>7</w:t>
      </w:r>
    </w:p>
    <w:p w:rsidR="00234CBA" w:rsidRPr="005A257C" w:rsidRDefault="00234CBA" w:rsidP="00234CBA">
      <w:pPr>
        <w:pStyle w:val="TOC2"/>
        <w:rPr>
          <w:rFonts w:eastAsiaTheme="minorEastAsia"/>
        </w:rPr>
      </w:pPr>
      <w:r w:rsidRPr="005A257C">
        <w:t>A.14</w:t>
      </w:r>
      <w:r w:rsidRPr="005A257C">
        <w:rPr>
          <w:rFonts w:eastAsiaTheme="minorEastAsia"/>
        </w:rPr>
        <w:tab/>
      </w:r>
      <w:r w:rsidRPr="005A257C">
        <w:t>Annualized Cost to the Federal Government</w:t>
      </w:r>
      <w:r w:rsidRPr="005A257C">
        <w:tab/>
      </w:r>
      <w:r>
        <w:tab/>
      </w:r>
      <w:r w:rsidR="00E65D83">
        <w:t>2</w:t>
      </w:r>
      <w:r w:rsidR="00EE3B87">
        <w:t>7</w:t>
      </w:r>
    </w:p>
    <w:p w:rsidR="00234CBA" w:rsidRPr="005A257C" w:rsidRDefault="00234CBA" w:rsidP="00234CBA">
      <w:pPr>
        <w:pStyle w:val="TOC2"/>
        <w:rPr>
          <w:rFonts w:eastAsiaTheme="minorEastAsia"/>
        </w:rPr>
      </w:pPr>
      <w:r w:rsidRPr="005A257C">
        <w:t>A.15</w:t>
      </w:r>
      <w:r w:rsidRPr="005A257C">
        <w:rPr>
          <w:rFonts w:eastAsiaTheme="minorEastAsia"/>
        </w:rPr>
        <w:tab/>
      </w:r>
      <w:r w:rsidRPr="005A257C">
        <w:t>Explanation for Program Changes or Adjustments</w:t>
      </w:r>
      <w:r w:rsidRPr="005A257C">
        <w:tab/>
      </w:r>
      <w:r>
        <w:tab/>
      </w:r>
      <w:r w:rsidR="00E65D83">
        <w:t>2</w:t>
      </w:r>
      <w:r w:rsidR="00272A43">
        <w:t>6</w:t>
      </w:r>
    </w:p>
    <w:p w:rsidR="00234CBA" w:rsidRPr="005A257C" w:rsidRDefault="00234CBA" w:rsidP="00234CBA">
      <w:pPr>
        <w:pStyle w:val="TOC2"/>
        <w:rPr>
          <w:rFonts w:eastAsiaTheme="minorEastAsia"/>
        </w:rPr>
      </w:pPr>
      <w:r w:rsidRPr="005A257C">
        <w:t>A.16</w:t>
      </w:r>
      <w:r w:rsidRPr="005A257C">
        <w:rPr>
          <w:rFonts w:eastAsiaTheme="minorEastAsia"/>
        </w:rPr>
        <w:tab/>
      </w:r>
      <w:r w:rsidRPr="005A257C">
        <w:t>Plans for Tabulation and Publication and Project Time Schedule</w:t>
      </w:r>
      <w:r w:rsidRPr="005A257C">
        <w:tab/>
      </w:r>
      <w:r>
        <w:tab/>
      </w:r>
      <w:r w:rsidR="00E65D83">
        <w:t>2</w:t>
      </w:r>
      <w:r w:rsidR="00EE3B87">
        <w:t>8</w:t>
      </w:r>
    </w:p>
    <w:p w:rsidR="00234CBA" w:rsidRPr="005A257C" w:rsidRDefault="00234CBA" w:rsidP="00234CBA">
      <w:pPr>
        <w:pStyle w:val="TOC2"/>
        <w:rPr>
          <w:rFonts w:eastAsiaTheme="minorEastAsia"/>
        </w:rPr>
      </w:pPr>
      <w:r w:rsidRPr="005A257C">
        <w:t>A.17</w:t>
      </w:r>
      <w:r w:rsidRPr="005A257C">
        <w:rPr>
          <w:rFonts w:eastAsiaTheme="minorEastAsia"/>
        </w:rPr>
        <w:tab/>
      </w:r>
      <w:r w:rsidRPr="005A257C">
        <w:t>Reason Display of OMB Expiration Date Is Inappropriate</w:t>
      </w:r>
      <w:r w:rsidRPr="005A257C">
        <w:tab/>
      </w:r>
      <w:r>
        <w:tab/>
      </w:r>
      <w:r w:rsidR="00EE3B87">
        <w:t>30</w:t>
      </w:r>
    </w:p>
    <w:p w:rsidR="00234CBA" w:rsidRDefault="00234CBA" w:rsidP="00234CBA">
      <w:pPr>
        <w:pStyle w:val="TOC2"/>
      </w:pPr>
      <w:r w:rsidRPr="005A257C">
        <w:t>A.18</w:t>
      </w:r>
      <w:r w:rsidRPr="005A257C">
        <w:rPr>
          <w:rFonts w:eastAsiaTheme="minorEastAsia"/>
        </w:rPr>
        <w:tab/>
      </w:r>
      <w:r w:rsidRPr="005A257C">
        <w:t>Exceptions to Certification for Paperwork Reduction Act Submissions</w:t>
      </w:r>
      <w:r w:rsidRPr="005A257C">
        <w:tab/>
      </w:r>
      <w:r>
        <w:tab/>
      </w:r>
      <w:r w:rsidR="00EE3B87">
        <w:t>30</w:t>
      </w:r>
    </w:p>
    <w:p w:rsidR="00234CBA" w:rsidRDefault="00234CBA" w:rsidP="00234CBA">
      <w:pPr>
        <w:pStyle w:val="TOC2"/>
      </w:pPr>
    </w:p>
    <w:p w:rsidR="00234CBA" w:rsidRDefault="00234CBA" w:rsidP="00234CBA">
      <w:pPr>
        <w:pStyle w:val="TOC2"/>
      </w:pPr>
    </w:p>
    <w:p w:rsidR="00FA7EE1" w:rsidRDefault="00FA7EE1" w:rsidP="00FA7EE1">
      <w:pPr>
        <w:pStyle w:val="T0-ChapPgHd"/>
      </w:pPr>
      <w:r>
        <w:t>Tables</w:t>
      </w:r>
    </w:p>
    <w:p w:rsidR="00FA7EE1" w:rsidRDefault="00FA7EE1" w:rsidP="00FA7EE1">
      <w:pPr>
        <w:pStyle w:val="T0-ChapPgHd"/>
      </w:pPr>
    </w:p>
    <w:p w:rsidR="00EE3B87" w:rsidRPr="005A257C" w:rsidRDefault="00EE3B87" w:rsidP="00EE3B87">
      <w:pPr>
        <w:pStyle w:val="TOC5"/>
        <w:rPr>
          <w:rFonts w:eastAsiaTheme="minorEastAsia"/>
        </w:rPr>
      </w:pPr>
      <w:r>
        <w:t>A.9.1</w:t>
      </w:r>
      <w:r w:rsidRPr="005A257C">
        <w:rPr>
          <w:rFonts w:eastAsiaTheme="minorEastAsia"/>
        </w:rPr>
        <w:tab/>
      </w:r>
      <w:r w:rsidRPr="005A257C">
        <w:t>Respon</w:t>
      </w:r>
      <w:r>
        <w:t xml:space="preserve">se </w:t>
      </w:r>
      <w:proofErr w:type="spellStart"/>
      <w:r>
        <w:t>Outomes</w:t>
      </w:r>
      <w:proofErr w:type="spellEnd"/>
      <w:r>
        <w:t xml:space="preserve"> Varying the Pre-paid (initial) and Survey Completion (Post) Incentive Amounts</w:t>
      </w:r>
      <w:r w:rsidRPr="005A257C">
        <w:tab/>
      </w:r>
      <w:r>
        <w:tab/>
        <w:t>16</w:t>
      </w:r>
    </w:p>
    <w:p w:rsidR="00EE3B87" w:rsidRDefault="00EE3B87" w:rsidP="00234CBA">
      <w:pPr>
        <w:pStyle w:val="TOC5"/>
      </w:pPr>
    </w:p>
    <w:p w:rsidR="00234CBA" w:rsidRPr="005A257C" w:rsidRDefault="00234CBA" w:rsidP="00234CBA">
      <w:pPr>
        <w:pStyle w:val="TOC5"/>
        <w:rPr>
          <w:rFonts w:eastAsiaTheme="minorEastAsia"/>
        </w:rPr>
      </w:pPr>
      <w:r>
        <w:t>A.12.1</w:t>
      </w:r>
      <w:r w:rsidRPr="005A257C">
        <w:rPr>
          <w:rFonts w:eastAsiaTheme="minorEastAsia"/>
        </w:rPr>
        <w:tab/>
      </w:r>
      <w:r w:rsidRPr="005A257C">
        <w:t>Respondent burden and cost estimate</w:t>
      </w:r>
      <w:r w:rsidRPr="005A257C">
        <w:tab/>
      </w:r>
      <w:r>
        <w:tab/>
      </w:r>
      <w:r w:rsidR="00EE3B87">
        <w:t>21</w:t>
      </w:r>
    </w:p>
    <w:p w:rsidR="00234CBA" w:rsidRDefault="00234CBA" w:rsidP="00234CBA">
      <w:pPr>
        <w:pStyle w:val="TOC5"/>
      </w:pPr>
    </w:p>
    <w:p w:rsidR="00234CBA" w:rsidRPr="005A257C" w:rsidRDefault="00234CBA" w:rsidP="00234CBA">
      <w:pPr>
        <w:pStyle w:val="TOC5"/>
        <w:rPr>
          <w:rFonts w:eastAsiaTheme="minorEastAsia"/>
        </w:rPr>
      </w:pPr>
      <w:r>
        <w:t>A.16.1</w:t>
      </w:r>
      <w:r w:rsidRPr="005A257C">
        <w:rPr>
          <w:rFonts w:eastAsiaTheme="minorEastAsia"/>
        </w:rPr>
        <w:tab/>
      </w:r>
      <w:r w:rsidRPr="005A257C">
        <w:t>Data collection and reporting schedule</w:t>
      </w:r>
      <w:r w:rsidRPr="005A257C">
        <w:tab/>
      </w:r>
      <w:r>
        <w:tab/>
      </w:r>
      <w:r w:rsidR="00E65D83">
        <w:t>2</w:t>
      </w:r>
      <w:r w:rsidR="00EE3B87">
        <w:t>9</w:t>
      </w:r>
    </w:p>
    <w:p w:rsidR="00234CBA" w:rsidRPr="00234CBA" w:rsidRDefault="00234CBA" w:rsidP="00234CBA">
      <w:pPr>
        <w:pStyle w:val="TC-TableofContentsHeading"/>
        <w:rPr>
          <w:sz w:val="24"/>
          <w:szCs w:val="24"/>
        </w:rPr>
      </w:pPr>
      <w:r w:rsidRPr="00234CBA">
        <w:rPr>
          <w:sz w:val="24"/>
          <w:szCs w:val="24"/>
        </w:rPr>
        <w:t>Contents</w:t>
      </w:r>
      <w:r>
        <w:rPr>
          <w:sz w:val="24"/>
          <w:szCs w:val="24"/>
        </w:rPr>
        <w:t xml:space="preserve"> (continued)</w:t>
      </w:r>
    </w:p>
    <w:p w:rsidR="007C2CD6" w:rsidRDefault="007C2CD6" w:rsidP="007C2CD6">
      <w:pPr>
        <w:pStyle w:val="T0-ChapPgHd"/>
      </w:pPr>
      <w:r>
        <w:t>Appendixes</w:t>
      </w:r>
      <w:r w:rsidR="00234CBA">
        <w:tab/>
      </w:r>
    </w:p>
    <w:p w:rsidR="007C2CD6" w:rsidRDefault="007C2CD6" w:rsidP="007C2CD6">
      <w:pPr>
        <w:pStyle w:val="T0-ChapPgHd"/>
      </w:pPr>
    </w:p>
    <w:p w:rsidR="009C4246" w:rsidRDefault="009C4246" w:rsidP="00072FFE">
      <w:pPr>
        <w:pStyle w:val="TOC5"/>
      </w:pPr>
      <w:r>
        <w:t>A</w:t>
      </w:r>
      <w:r>
        <w:tab/>
        <w:t>Authorizing Legislation</w:t>
      </w:r>
    </w:p>
    <w:p w:rsidR="005A31EE" w:rsidRDefault="005A31EE" w:rsidP="00072FFE">
      <w:pPr>
        <w:pStyle w:val="TOC5"/>
      </w:pPr>
    </w:p>
    <w:p w:rsidR="009C4246" w:rsidRPr="0034369A" w:rsidRDefault="009C4246" w:rsidP="00072FFE">
      <w:pPr>
        <w:pStyle w:val="TOC5"/>
        <w:rPr>
          <w:lang w:val="fr-FR"/>
        </w:rPr>
      </w:pPr>
      <w:r w:rsidRPr="0034369A">
        <w:rPr>
          <w:lang w:val="fr-FR"/>
        </w:rPr>
        <w:t>B</w:t>
      </w:r>
      <w:r w:rsidR="002534B9">
        <w:rPr>
          <w:lang w:val="fr-FR"/>
        </w:rPr>
        <w:t>.1</w:t>
      </w:r>
      <w:r w:rsidRPr="0034369A">
        <w:rPr>
          <w:lang w:val="fr-FR"/>
        </w:rPr>
        <w:tab/>
        <w:t>FINI RFA – 2015</w:t>
      </w:r>
    </w:p>
    <w:p w:rsidR="005A31EE" w:rsidRPr="0034369A" w:rsidRDefault="005A31EE" w:rsidP="00072FFE">
      <w:pPr>
        <w:pStyle w:val="TOC5"/>
        <w:rPr>
          <w:lang w:val="fr-FR"/>
        </w:rPr>
      </w:pPr>
    </w:p>
    <w:p w:rsidR="009C4246" w:rsidRDefault="002534B9" w:rsidP="00072FFE">
      <w:pPr>
        <w:pStyle w:val="TOC5"/>
        <w:rPr>
          <w:lang w:val="fr-FR"/>
        </w:rPr>
      </w:pPr>
      <w:r>
        <w:rPr>
          <w:lang w:val="fr-FR"/>
        </w:rPr>
        <w:t>B.2</w:t>
      </w:r>
      <w:r w:rsidR="009C4246" w:rsidRPr="0034369A">
        <w:rPr>
          <w:lang w:val="fr-FR"/>
        </w:rPr>
        <w:tab/>
        <w:t>FINI RFA – 2016</w:t>
      </w:r>
    </w:p>
    <w:p w:rsidR="002534B9" w:rsidRDefault="002534B9" w:rsidP="00072FFE">
      <w:pPr>
        <w:pStyle w:val="TOC5"/>
        <w:rPr>
          <w:lang w:val="fr-FR"/>
        </w:rPr>
      </w:pPr>
    </w:p>
    <w:p w:rsidR="002534B9" w:rsidRPr="00A171AB" w:rsidRDefault="002534B9" w:rsidP="00072FFE">
      <w:pPr>
        <w:pStyle w:val="TOC5"/>
      </w:pPr>
      <w:r w:rsidRPr="00A171AB">
        <w:t>C</w:t>
      </w:r>
      <w:r w:rsidRPr="00A171AB">
        <w:tab/>
        <w:t>Evaluation of Food Insecurity Nutrition Incentives : Statement of Objectives</w:t>
      </w:r>
    </w:p>
    <w:p w:rsidR="005A31EE" w:rsidRPr="00A171AB" w:rsidRDefault="005A31EE" w:rsidP="00072FFE">
      <w:pPr>
        <w:pStyle w:val="TOC5"/>
      </w:pPr>
    </w:p>
    <w:p w:rsidR="00EB2438" w:rsidRPr="00A171AB" w:rsidRDefault="009C4246" w:rsidP="00072FFE">
      <w:pPr>
        <w:pStyle w:val="TOC5"/>
      </w:pPr>
      <w:r w:rsidRPr="00A171AB">
        <w:t>D.1</w:t>
      </w:r>
      <w:r w:rsidRPr="00A171AB">
        <w:tab/>
        <w:t>Pre-SNAP Participant Survey Invitation letter – English</w:t>
      </w:r>
    </w:p>
    <w:p w:rsidR="00072FFE" w:rsidRPr="00A171AB" w:rsidRDefault="00072FFE" w:rsidP="00072FFE">
      <w:pPr>
        <w:pStyle w:val="TOC5"/>
      </w:pPr>
    </w:p>
    <w:p w:rsidR="009C4246" w:rsidRPr="00A171AB" w:rsidRDefault="009C4246" w:rsidP="00072FFE">
      <w:pPr>
        <w:pStyle w:val="TOC5"/>
      </w:pPr>
      <w:r w:rsidRPr="00A171AB">
        <w:t>D.2</w:t>
      </w:r>
      <w:r w:rsidRPr="00A171AB">
        <w:tab/>
        <w:t>Pre-SNAP Participant Survey Invitation letter – Spanish</w:t>
      </w:r>
    </w:p>
    <w:p w:rsidR="005A31EE" w:rsidRPr="00A171AB" w:rsidRDefault="005A31EE" w:rsidP="00072FFE">
      <w:pPr>
        <w:pStyle w:val="TOC5"/>
      </w:pPr>
    </w:p>
    <w:p w:rsidR="009C4246" w:rsidRPr="00A171AB" w:rsidRDefault="009C4246" w:rsidP="00072FFE">
      <w:pPr>
        <w:pStyle w:val="TOC5"/>
      </w:pPr>
      <w:r w:rsidRPr="00A171AB">
        <w:t>E.1</w:t>
      </w:r>
      <w:r w:rsidRPr="00A171AB">
        <w:tab/>
        <w:t>Pre-SNAP Participant Survey – English</w:t>
      </w:r>
    </w:p>
    <w:p w:rsidR="005A31EE" w:rsidRPr="00A171AB" w:rsidRDefault="005A31EE" w:rsidP="00072FFE">
      <w:pPr>
        <w:pStyle w:val="TOC5"/>
      </w:pPr>
    </w:p>
    <w:p w:rsidR="009C4246" w:rsidRDefault="009C4246" w:rsidP="00072FFE">
      <w:pPr>
        <w:pStyle w:val="TOC5"/>
      </w:pPr>
      <w:r>
        <w:t>E</w:t>
      </w:r>
      <w:r w:rsidRPr="003702B9">
        <w:t>.2</w:t>
      </w:r>
      <w:r w:rsidRPr="003702B9">
        <w:tab/>
        <w:t>Pre-</w:t>
      </w:r>
      <w:r>
        <w:t>SNAP Participant Survey</w:t>
      </w:r>
      <w:r w:rsidRPr="003702B9">
        <w:t xml:space="preserve"> – Spanish</w:t>
      </w:r>
    </w:p>
    <w:p w:rsidR="006510C8" w:rsidRDefault="006510C8" w:rsidP="00072FFE">
      <w:pPr>
        <w:pStyle w:val="TOC5"/>
      </w:pPr>
    </w:p>
    <w:p w:rsidR="006510C8" w:rsidRDefault="006510C8" w:rsidP="006510C8">
      <w:pPr>
        <w:pStyle w:val="TOC5"/>
      </w:pPr>
      <w:r>
        <w:t>E.3</w:t>
      </w:r>
      <w:r>
        <w:tab/>
        <w:t>Pre-SNAP Participant Web Survey Screenshots</w:t>
      </w:r>
      <w:r w:rsidR="00D62B9A">
        <w:t xml:space="preserve"> – </w:t>
      </w:r>
      <w:r>
        <w:t>English</w:t>
      </w:r>
    </w:p>
    <w:p w:rsidR="00AE3249" w:rsidRDefault="00AE3249" w:rsidP="006510C8">
      <w:pPr>
        <w:pStyle w:val="TOC5"/>
      </w:pPr>
    </w:p>
    <w:p w:rsidR="00AE3249" w:rsidRPr="003702B9" w:rsidRDefault="00AE3249" w:rsidP="006510C8">
      <w:pPr>
        <w:pStyle w:val="TOC5"/>
      </w:pPr>
      <w:r>
        <w:t>E.4</w:t>
      </w:r>
      <w:r>
        <w:tab/>
        <w:t xml:space="preserve">Pre-SNAP Participant Web Survey Screenshots – English </w:t>
      </w:r>
    </w:p>
    <w:p w:rsidR="005A31EE" w:rsidRDefault="005A31EE" w:rsidP="00072FFE">
      <w:pPr>
        <w:pStyle w:val="TOC5"/>
      </w:pPr>
    </w:p>
    <w:p w:rsidR="009C4246" w:rsidRPr="003702B9" w:rsidRDefault="009C4246" w:rsidP="00072FFE">
      <w:pPr>
        <w:pStyle w:val="TOC5"/>
      </w:pPr>
      <w:r>
        <w:t>F</w:t>
      </w:r>
      <w:r w:rsidRPr="003702B9">
        <w:t>.1</w:t>
      </w:r>
      <w:r w:rsidRPr="003702B9">
        <w:tab/>
      </w:r>
      <w:r>
        <w:t>SNAP Participant Survey Reminder</w:t>
      </w:r>
      <w:r w:rsidRPr="003702B9">
        <w:t xml:space="preserve"> </w:t>
      </w:r>
      <w:r>
        <w:t xml:space="preserve">Postcard 1 </w:t>
      </w:r>
      <w:r w:rsidRPr="003702B9">
        <w:t>– English</w:t>
      </w:r>
    </w:p>
    <w:p w:rsidR="005A31EE" w:rsidRDefault="005A31EE" w:rsidP="00072FFE">
      <w:pPr>
        <w:pStyle w:val="TOC5"/>
      </w:pPr>
    </w:p>
    <w:p w:rsidR="009C4246" w:rsidRPr="003702B9" w:rsidRDefault="009C4246" w:rsidP="00072FFE">
      <w:pPr>
        <w:pStyle w:val="TOC5"/>
      </w:pPr>
      <w:r>
        <w:t>F.</w:t>
      </w:r>
      <w:r w:rsidRPr="003702B9">
        <w:t>2</w:t>
      </w:r>
      <w:r w:rsidRPr="003702B9">
        <w:tab/>
      </w:r>
      <w:r>
        <w:t>SNAP Participant Survey Reminder</w:t>
      </w:r>
      <w:r w:rsidRPr="003702B9">
        <w:t xml:space="preserve"> </w:t>
      </w:r>
      <w:r>
        <w:t xml:space="preserve">Postcard 1 </w:t>
      </w:r>
      <w:r w:rsidRPr="003702B9">
        <w:t>– Spanish</w:t>
      </w:r>
    </w:p>
    <w:p w:rsidR="005A31EE" w:rsidRDefault="005A31EE" w:rsidP="00072FFE">
      <w:pPr>
        <w:pStyle w:val="TOC5"/>
      </w:pPr>
    </w:p>
    <w:p w:rsidR="009C4246" w:rsidRPr="003702B9" w:rsidRDefault="009C4246" w:rsidP="00072FFE">
      <w:pPr>
        <w:pStyle w:val="TOC5"/>
      </w:pPr>
      <w:r>
        <w:t>G</w:t>
      </w:r>
      <w:r w:rsidRPr="003702B9">
        <w:t>.1</w:t>
      </w:r>
      <w:r w:rsidRPr="003702B9">
        <w:tab/>
        <w:t>Pre-</w:t>
      </w:r>
      <w:r>
        <w:t>SNAP Participant Survey</w:t>
      </w:r>
      <w:r w:rsidRPr="003702B9">
        <w:t xml:space="preserve"> Reminder letter 1 – English</w:t>
      </w:r>
    </w:p>
    <w:p w:rsidR="005A31EE" w:rsidRDefault="005A31EE" w:rsidP="00072FFE">
      <w:pPr>
        <w:pStyle w:val="TOC5"/>
      </w:pPr>
    </w:p>
    <w:p w:rsidR="009C4246" w:rsidRDefault="009C4246" w:rsidP="00072FFE">
      <w:pPr>
        <w:pStyle w:val="TOC5"/>
      </w:pPr>
      <w:r>
        <w:t>G</w:t>
      </w:r>
      <w:r w:rsidRPr="003702B9">
        <w:t>.2</w:t>
      </w:r>
      <w:r w:rsidRPr="003702B9">
        <w:tab/>
        <w:t>Pre-</w:t>
      </w:r>
      <w:r>
        <w:t>SNAP Participant Survey</w:t>
      </w:r>
      <w:r w:rsidRPr="003702B9">
        <w:t xml:space="preserve"> Reminder letter 1</w:t>
      </w:r>
      <w:r>
        <w:t xml:space="preserve"> </w:t>
      </w:r>
      <w:r w:rsidRPr="003702B9">
        <w:t>– Spanish</w:t>
      </w:r>
    </w:p>
    <w:p w:rsidR="005A31EE" w:rsidRDefault="005A31EE" w:rsidP="00072FFE">
      <w:pPr>
        <w:pStyle w:val="TOC5"/>
      </w:pPr>
    </w:p>
    <w:p w:rsidR="009C4246" w:rsidRPr="003702B9" w:rsidRDefault="009C4246" w:rsidP="00072FFE">
      <w:pPr>
        <w:pStyle w:val="TOC5"/>
      </w:pPr>
      <w:r>
        <w:t>H</w:t>
      </w:r>
      <w:r w:rsidRPr="003702B9">
        <w:t>.1</w:t>
      </w:r>
      <w:r w:rsidRPr="003702B9">
        <w:tab/>
      </w:r>
      <w:r>
        <w:t>SNAP Participant Survey Reminder</w:t>
      </w:r>
      <w:r w:rsidRPr="003702B9">
        <w:t xml:space="preserve"> </w:t>
      </w:r>
      <w:r>
        <w:t xml:space="preserve">Postcard 2 </w:t>
      </w:r>
      <w:r w:rsidRPr="003702B9">
        <w:t>– English</w:t>
      </w:r>
    </w:p>
    <w:p w:rsidR="005A31EE" w:rsidRDefault="005A31EE" w:rsidP="00072FFE">
      <w:pPr>
        <w:pStyle w:val="TOC5"/>
      </w:pPr>
    </w:p>
    <w:p w:rsidR="009C4246" w:rsidRPr="003702B9" w:rsidRDefault="009C4246" w:rsidP="00072FFE">
      <w:pPr>
        <w:pStyle w:val="TOC5"/>
      </w:pPr>
      <w:r>
        <w:t>H.</w:t>
      </w:r>
      <w:r w:rsidRPr="003702B9">
        <w:t>2</w:t>
      </w:r>
      <w:r w:rsidRPr="003702B9">
        <w:tab/>
      </w:r>
      <w:r>
        <w:t>SNAP Participant Survey Reminder</w:t>
      </w:r>
      <w:r w:rsidRPr="003702B9">
        <w:t xml:space="preserve"> </w:t>
      </w:r>
      <w:r>
        <w:t xml:space="preserve">Postcard 2 </w:t>
      </w:r>
      <w:r w:rsidRPr="003702B9">
        <w:t>– Spanish</w:t>
      </w:r>
    </w:p>
    <w:p w:rsidR="005A31EE" w:rsidRDefault="005A31EE" w:rsidP="00072FFE">
      <w:pPr>
        <w:pStyle w:val="TOC5"/>
      </w:pPr>
    </w:p>
    <w:p w:rsidR="009C4246" w:rsidRPr="003702B9" w:rsidRDefault="009C4246" w:rsidP="00072FFE">
      <w:pPr>
        <w:pStyle w:val="TOC5"/>
      </w:pPr>
      <w:r>
        <w:t>I</w:t>
      </w:r>
      <w:r w:rsidRPr="003702B9">
        <w:t>.1</w:t>
      </w:r>
      <w:r w:rsidRPr="003702B9">
        <w:tab/>
        <w:t>Pre-</w:t>
      </w:r>
      <w:r>
        <w:t>SNAP Participant Survey</w:t>
      </w:r>
      <w:r w:rsidRPr="003702B9">
        <w:t xml:space="preserve"> Reminder letter 2 – English</w:t>
      </w:r>
    </w:p>
    <w:p w:rsidR="005A31EE" w:rsidRDefault="005A31EE" w:rsidP="00072FFE">
      <w:pPr>
        <w:pStyle w:val="TOC5"/>
      </w:pPr>
    </w:p>
    <w:p w:rsidR="009C4246" w:rsidRPr="003702B9" w:rsidRDefault="009C4246" w:rsidP="00072FFE">
      <w:pPr>
        <w:pStyle w:val="TOC5"/>
      </w:pPr>
      <w:r>
        <w:t>I</w:t>
      </w:r>
      <w:r w:rsidRPr="003702B9">
        <w:t>.2</w:t>
      </w:r>
      <w:r w:rsidRPr="003702B9">
        <w:tab/>
        <w:t>Pre-</w:t>
      </w:r>
      <w:r>
        <w:t>SNAP Participant Survey</w:t>
      </w:r>
      <w:r w:rsidRPr="003702B9">
        <w:t xml:space="preserve"> Reminder letter 2 – Spanish</w:t>
      </w:r>
    </w:p>
    <w:p w:rsidR="005A31EE" w:rsidRDefault="005A31EE" w:rsidP="00072FFE">
      <w:pPr>
        <w:pStyle w:val="TOC5"/>
      </w:pPr>
    </w:p>
    <w:p w:rsidR="009C4246" w:rsidRPr="003702B9" w:rsidRDefault="009C4246" w:rsidP="00072FFE">
      <w:pPr>
        <w:pStyle w:val="TOC5"/>
      </w:pPr>
      <w:r>
        <w:t>J</w:t>
      </w:r>
      <w:r w:rsidRPr="003702B9">
        <w:t>.1</w:t>
      </w:r>
      <w:r w:rsidRPr="003702B9">
        <w:tab/>
      </w:r>
      <w:r>
        <w:t>SNAP Participant Survey</w:t>
      </w:r>
      <w:r w:rsidRPr="003702B9">
        <w:t xml:space="preserve"> Telephone interview script – English</w:t>
      </w:r>
    </w:p>
    <w:p w:rsidR="005A31EE" w:rsidRDefault="005A31EE" w:rsidP="00072FFE">
      <w:pPr>
        <w:pStyle w:val="TOC5"/>
      </w:pPr>
    </w:p>
    <w:p w:rsidR="009C4246" w:rsidRPr="003702B9" w:rsidRDefault="009C4246" w:rsidP="00072FFE">
      <w:pPr>
        <w:pStyle w:val="TOC5"/>
      </w:pPr>
      <w:r>
        <w:t>J</w:t>
      </w:r>
      <w:r w:rsidRPr="003702B9">
        <w:t>.2</w:t>
      </w:r>
      <w:r w:rsidRPr="003702B9">
        <w:tab/>
      </w:r>
      <w:r>
        <w:t>SNAP Participant Survey</w:t>
      </w:r>
      <w:r w:rsidRPr="003702B9">
        <w:t xml:space="preserve"> Telephone interview script – Spanish</w:t>
      </w:r>
    </w:p>
    <w:p w:rsidR="005A31EE" w:rsidRDefault="005A31EE" w:rsidP="00072FFE">
      <w:pPr>
        <w:pStyle w:val="TOC5"/>
      </w:pPr>
    </w:p>
    <w:p w:rsidR="00234CBA" w:rsidRPr="00234CBA" w:rsidRDefault="00234CBA" w:rsidP="00234CBA">
      <w:pPr>
        <w:pStyle w:val="TC-TableofContentsHeading"/>
        <w:rPr>
          <w:sz w:val="24"/>
          <w:szCs w:val="24"/>
        </w:rPr>
      </w:pPr>
      <w:r w:rsidRPr="00234CBA">
        <w:rPr>
          <w:sz w:val="24"/>
          <w:szCs w:val="24"/>
        </w:rPr>
        <w:t>Contents</w:t>
      </w:r>
      <w:r>
        <w:rPr>
          <w:sz w:val="24"/>
          <w:szCs w:val="24"/>
        </w:rPr>
        <w:t xml:space="preserve"> (continued)</w:t>
      </w:r>
    </w:p>
    <w:p w:rsidR="009B4AB8" w:rsidRDefault="00234CBA" w:rsidP="00234CBA">
      <w:pPr>
        <w:pStyle w:val="T0-ChapPgHd"/>
      </w:pPr>
      <w:r>
        <w:t>Appendixes</w:t>
      </w:r>
    </w:p>
    <w:p w:rsidR="00234CBA" w:rsidRDefault="00234CBA" w:rsidP="00234CBA">
      <w:pPr>
        <w:pStyle w:val="T0-ChapPgHd"/>
      </w:pPr>
      <w:r>
        <w:tab/>
      </w:r>
    </w:p>
    <w:p w:rsidR="009B4AB8" w:rsidRPr="003702B9" w:rsidRDefault="009B4AB8" w:rsidP="009B4AB8">
      <w:pPr>
        <w:pStyle w:val="TOC5"/>
      </w:pPr>
      <w:r>
        <w:t>K</w:t>
      </w:r>
      <w:r w:rsidRPr="003702B9">
        <w:t>.1</w:t>
      </w:r>
      <w:r w:rsidRPr="003702B9">
        <w:tab/>
      </w:r>
      <w:r>
        <w:t xml:space="preserve">SNAP Participant Survey Voicemail/Text Message Reminder for Telephone Survey </w:t>
      </w:r>
      <w:r w:rsidRPr="003702B9">
        <w:t>– English</w:t>
      </w:r>
    </w:p>
    <w:p w:rsidR="00234CBA" w:rsidRDefault="00234CBA" w:rsidP="00234CBA">
      <w:pPr>
        <w:pStyle w:val="T0-ChapPgHd"/>
      </w:pPr>
    </w:p>
    <w:p w:rsidR="0047294D" w:rsidRDefault="0047294D" w:rsidP="0047294D">
      <w:pPr>
        <w:pStyle w:val="TOC5"/>
      </w:pPr>
      <w:r>
        <w:t>K</w:t>
      </w:r>
      <w:r w:rsidRPr="003702B9">
        <w:t>.2</w:t>
      </w:r>
      <w:r w:rsidRPr="003702B9">
        <w:tab/>
      </w:r>
      <w:r>
        <w:t>Voicemail</w:t>
      </w:r>
      <w:r w:rsidR="00C22CD1">
        <w:t>/Text</w:t>
      </w:r>
      <w:r w:rsidRPr="003702B9">
        <w:t xml:space="preserve"> </w:t>
      </w:r>
      <w:r w:rsidR="00C22CD1">
        <w:t>M</w:t>
      </w:r>
      <w:r w:rsidRPr="003702B9">
        <w:t xml:space="preserve">essage </w:t>
      </w:r>
      <w:r>
        <w:t xml:space="preserve">for Telephone Survey </w:t>
      </w:r>
      <w:r w:rsidRPr="003702B9">
        <w:t>– Spanish</w:t>
      </w:r>
    </w:p>
    <w:p w:rsidR="0047294D" w:rsidRPr="003702B9" w:rsidRDefault="0047294D" w:rsidP="0047294D">
      <w:pPr>
        <w:pStyle w:val="TOC5"/>
      </w:pPr>
    </w:p>
    <w:p w:rsidR="006510C8" w:rsidRPr="003702B9" w:rsidRDefault="006510C8" w:rsidP="006510C8">
      <w:pPr>
        <w:pStyle w:val="TOC5"/>
      </w:pPr>
      <w:r>
        <w:t>L.1</w:t>
      </w:r>
      <w:r w:rsidRPr="003702B9">
        <w:tab/>
        <w:t xml:space="preserve">Pre- </w:t>
      </w:r>
      <w:r>
        <w:t>SNAP Participant Survey T</w:t>
      </w:r>
      <w:r w:rsidRPr="003702B9">
        <w:t>hank you letter – English</w:t>
      </w:r>
    </w:p>
    <w:p w:rsidR="006510C8" w:rsidRDefault="006510C8" w:rsidP="00072FFE">
      <w:pPr>
        <w:pStyle w:val="TOC5"/>
      </w:pPr>
    </w:p>
    <w:p w:rsidR="009C4246" w:rsidRPr="003702B9" w:rsidRDefault="009C4246" w:rsidP="00072FFE">
      <w:pPr>
        <w:pStyle w:val="TOC5"/>
      </w:pPr>
      <w:r>
        <w:t>L</w:t>
      </w:r>
      <w:r w:rsidRPr="003702B9">
        <w:t>.2</w:t>
      </w:r>
      <w:r w:rsidRPr="003702B9">
        <w:tab/>
        <w:t xml:space="preserve">Pre- </w:t>
      </w:r>
      <w:r>
        <w:t>SNAP Participant Survey</w:t>
      </w:r>
      <w:r w:rsidR="00831BD7">
        <w:t xml:space="preserve"> T</w:t>
      </w:r>
      <w:r w:rsidRPr="003702B9">
        <w:t>hank you letter – Spanish</w:t>
      </w:r>
    </w:p>
    <w:p w:rsidR="005A31EE" w:rsidRDefault="005A31EE" w:rsidP="00072FFE">
      <w:pPr>
        <w:pStyle w:val="TOC5"/>
      </w:pPr>
    </w:p>
    <w:p w:rsidR="009C4246" w:rsidRPr="003702B9" w:rsidRDefault="009C4246" w:rsidP="00072FFE">
      <w:pPr>
        <w:pStyle w:val="TOC5"/>
      </w:pPr>
      <w:r>
        <w:t>M</w:t>
      </w:r>
      <w:r w:rsidRPr="003702B9">
        <w:t>.1</w:t>
      </w:r>
      <w:r w:rsidRPr="003702B9">
        <w:tab/>
        <w:t>Post-</w:t>
      </w:r>
      <w:r>
        <w:t>SNAP Participant Survey</w:t>
      </w:r>
      <w:r w:rsidRPr="003702B9">
        <w:t xml:space="preserve"> Invitation letter – English</w:t>
      </w:r>
    </w:p>
    <w:p w:rsidR="00234CBA" w:rsidRDefault="00234CBA" w:rsidP="00072FFE">
      <w:pPr>
        <w:pStyle w:val="TOC5"/>
      </w:pPr>
    </w:p>
    <w:p w:rsidR="009C4246" w:rsidRPr="003702B9" w:rsidRDefault="009C4246" w:rsidP="00072FFE">
      <w:pPr>
        <w:pStyle w:val="TOC5"/>
      </w:pPr>
      <w:r>
        <w:t>M.</w:t>
      </w:r>
      <w:r w:rsidRPr="003702B9">
        <w:t>2</w:t>
      </w:r>
      <w:r w:rsidRPr="003702B9">
        <w:tab/>
        <w:t>Post-</w:t>
      </w:r>
      <w:r>
        <w:t>SNAP Participant Survey</w:t>
      </w:r>
      <w:r w:rsidRPr="003702B9">
        <w:t xml:space="preserve"> Invitation letter – Spanish</w:t>
      </w:r>
    </w:p>
    <w:p w:rsidR="005A31EE" w:rsidRDefault="005A31EE" w:rsidP="00072FFE">
      <w:pPr>
        <w:pStyle w:val="TOC5"/>
      </w:pPr>
    </w:p>
    <w:p w:rsidR="00FA7EE1" w:rsidRDefault="009C4246" w:rsidP="00072FFE">
      <w:pPr>
        <w:pStyle w:val="TOC5"/>
      </w:pPr>
      <w:r>
        <w:t>N</w:t>
      </w:r>
      <w:r w:rsidRPr="003702B9">
        <w:t>.1</w:t>
      </w:r>
      <w:r w:rsidRPr="003702B9">
        <w:tab/>
        <w:t>Post-</w:t>
      </w:r>
      <w:r>
        <w:t>SNAP Participant Survey</w:t>
      </w:r>
      <w:r w:rsidRPr="003702B9">
        <w:t xml:space="preserve"> </w:t>
      </w:r>
      <w:r w:rsidR="007536EC">
        <w:t xml:space="preserve">Treatment Group </w:t>
      </w:r>
      <w:r w:rsidRPr="003702B9">
        <w:t>– English</w:t>
      </w:r>
    </w:p>
    <w:p w:rsidR="00072FFE" w:rsidRDefault="00072FFE" w:rsidP="00072FFE">
      <w:pPr>
        <w:pStyle w:val="TOC5"/>
      </w:pPr>
    </w:p>
    <w:p w:rsidR="009C4246" w:rsidRDefault="009C4246" w:rsidP="00072FFE">
      <w:pPr>
        <w:pStyle w:val="TOC5"/>
      </w:pPr>
      <w:r>
        <w:t>N</w:t>
      </w:r>
      <w:r w:rsidRPr="003702B9">
        <w:t>.2</w:t>
      </w:r>
      <w:r w:rsidRPr="003702B9">
        <w:tab/>
        <w:t>Post-</w:t>
      </w:r>
      <w:r>
        <w:t>SNAP Participant Survey</w:t>
      </w:r>
      <w:r w:rsidRPr="003702B9">
        <w:t xml:space="preserve"> </w:t>
      </w:r>
      <w:r w:rsidR="007536EC">
        <w:t xml:space="preserve">Treatment Group </w:t>
      </w:r>
      <w:r w:rsidRPr="003702B9">
        <w:t>– Spanish</w:t>
      </w:r>
    </w:p>
    <w:p w:rsidR="007536EC" w:rsidRDefault="007536EC" w:rsidP="00072FFE">
      <w:pPr>
        <w:pStyle w:val="TOC5"/>
      </w:pPr>
    </w:p>
    <w:p w:rsidR="007536EC" w:rsidRDefault="007536EC" w:rsidP="00072FFE">
      <w:pPr>
        <w:pStyle w:val="TOC5"/>
      </w:pPr>
      <w:r>
        <w:t>O.1</w:t>
      </w:r>
      <w:r>
        <w:tab/>
        <w:t>Post-SNAP Participant Survey Comparison Group – English</w:t>
      </w:r>
    </w:p>
    <w:p w:rsidR="007536EC" w:rsidRPr="003702B9" w:rsidRDefault="007536EC" w:rsidP="00072FFE">
      <w:pPr>
        <w:pStyle w:val="TOC5"/>
      </w:pPr>
    </w:p>
    <w:p w:rsidR="007536EC" w:rsidRDefault="007536EC" w:rsidP="00072FFE">
      <w:pPr>
        <w:pStyle w:val="TOC5"/>
      </w:pPr>
      <w:r>
        <w:t>O</w:t>
      </w:r>
      <w:r w:rsidRPr="003702B9">
        <w:t>.2</w:t>
      </w:r>
      <w:r w:rsidRPr="003702B9">
        <w:tab/>
        <w:t>Post-</w:t>
      </w:r>
      <w:r>
        <w:t>SNAP Participant Survey</w:t>
      </w:r>
      <w:r w:rsidRPr="003702B9">
        <w:t xml:space="preserve"> </w:t>
      </w:r>
      <w:r>
        <w:t xml:space="preserve">Comparison Group </w:t>
      </w:r>
      <w:r w:rsidRPr="003702B9">
        <w:t>– Spanish</w:t>
      </w:r>
    </w:p>
    <w:p w:rsidR="005A31EE" w:rsidRDefault="005A31EE" w:rsidP="00072FFE">
      <w:pPr>
        <w:pStyle w:val="TOC5"/>
      </w:pPr>
    </w:p>
    <w:p w:rsidR="009C4246" w:rsidRPr="003702B9" w:rsidRDefault="007536EC" w:rsidP="00072FFE">
      <w:pPr>
        <w:pStyle w:val="TOC5"/>
      </w:pPr>
      <w:r>
        <w:t>P</w:t>
      </w:r>
      <w:r w:rsidR="009C4246" w:rsidRPr="003702B9">
        <w:t>.1</w:t>
      </w:r>
      <w:r w:rsidR="009C4246" w:rsidRPr="003702B9">
        <w:tab/>
        <w:t>P</w:t>
      </w:r>
      <w:r>
        <w:t>ost</w:t>
      </w:r>
      <w:r w:rsidR="009C4246" w:rsidRPr="003702B9">
        <w:t>-</w:t>
      </w:r>
      <w:r w:rsidR="009C4246">
        <w:t>SNAP Participant Survey</w:t>
      </w:r>
      <w:r w:rsidR="009C4246" w:rsidRPr="003702B9">
        <w:t xml:space="preserve"> Reminder letter 1 – English</w:t>
      </w:r>
    </w:p>
    <w:p w:rsidR="005A31EE" w:rsidRDefault="005A31EE" w:rsidP="00072FFE">
      <w:pPr>
        <w:pStyle w:val="TOC5"/>
      </w:pPr>
    </w:p>
    <w:p w:rsidR="009C4246" w:rsidRPr="003702B9" w:rsidRDefault="007536EC" w:rsidP="00072FFE">
      <w:pPr>
        <w:pStyle w:val="TOC5"/>
      </w:pPr>
      <w:r>
        <w:t>P</w:t>
      </w:r>
      <w:r w:rsidR="009C4246" w:rsidRPr="003702B9">
        <w:t>.2</w:t>
      </w:r>
      <w:r w:rsidR="009C4246" w:rsidRPr="003702B9">
        <w:tab/>
        <w:t>P</w:t>
      </w:r>
      <w:r>
        <w:t>ost</w:t>
      </w:r>
      <w:r w:rsidR="009C4246" w:rsidRPr="003702B9">
        <w:t>-</w:t>
      </w:r>
      <w:r w:rsidR="009C4246">
        <w:t>SNAP Participant Survey</w:t>
      </w:r>
      <w:r w:rsidR="009C4246" w:rsidRPr="003702B9">
        <w:t xml:space="preserve"> Reminder letter 1</w:t>
      </w:r>
      <w:r w:rsidR="009C4246">
        <w:t xml:space="preserve"> </w:t>
      </w:r>
      <w:r w:rsidR="009C4246" w:rsidRPr="003702B9">
        <w:t>– Spanish</w:t>
      </w:r>
    </w:p>
    <w:p w:rsidR="005A31EE" w:rsidRDefault="005A31EE" w:rsidP="00072FFE">
      <w:pPr>
        <w:pStyle w:val="TOC5"/>
      </w:pPr>
    </w:p>
    <w:p w:rsidR="009C4246" w:rsidRPr="003702B9" w:rsidRDefault="007536EC" w:rsidP="00072FFE">
      <w:pPr>
        <w:pStyle w:val="TOC5"/>
      </w:pPr>
      <w:r>
        <w:t>Q</w:t>
      </w:r>
      <w:r w:rsidR="009C4246" w:rsidRPr="003702B9">
        <w:t>.1</w:t>
      </w:r>
      <w:r w:rsidR="009C4246" w:rsidRPr="003702B9">
        <w:tab/>
        <w:t>P</w:t>
      </w:r>
      <w:r>
        <w:t>ost</w:t>
      </w:r>
      <w:r w:rsidR="009C4246" w:rsidRPr="003702B9">
        <w:t>-</w:t>
      </w:r>
      <w:r w:rsidR="009C4246">
        <w:t>SNAP Participant Survey</w:t>
      </w:r>
      <w:r w:rsidR="009C4246" w:rsidRPr="003702B9">
        <w:t xml:space="preserve"> Reminder letter 2 – English</w:t>
      </w:r>
    </w:p>
    <w:p w:rsidR="005A31EE" w:rsidRDefault="005A31EE" w:rsidP="00072FFE">
      <w:pPr>
        <w:pStyle w:val="TOC5"/>
      </w:pPr>
    </w:p>
    <w:p w:rsidR="009C4246" w:rsidRPr="003702B9" w:rsidRDefault="007536EC" w:rsidP="00072FFE">
      <w:pPr>
        <w:pStyle w:val="TOC5"/>
      </w:pPr>
      <w:r>
        <w:t>Q.</w:t>
      </w:r>
      <w:r w:rsidR="009C4246" w:rsidRPr="003702B9">
        <w:t>2</w:t>
      </w:r>
      <w:r w:rsidR="009C4246" w:rsidRPr="003702B9">
        <w:tab/>
        <w:t>P</w:t>
      </w:r>
      <w:r>
        <w:t>ost</w:t>
      </w:r>
      <w:r w:rsidR="009C4246" w:rsidRPr="003702B9">
        <w:t>-</w:t>
      </w:r>
      <w:r w:rsidR="009C4246">
        <w:t>SNAP Participant Survey</w:t>
      </w:r>
      <w:r w:rsidR="009C4246" w:rsidRPr="003702B9">
        <w:t xml:space="preserve"> Reminder letter 2 – Spanish</w:t>
      </w:r>
    </w:p>
    <w:p w:rsidR="005A31EE" w:rsidRDefault="005A31EE" w:rsidP="00072FFE">
      <w:pPr>
        <w:pStyle w:val="TOC5"/>
      </w:pPr>
    </w:p>
    <w:p w:rsidR="009C4246" w:rsidRPr="003702B9" w:rsidRDefault="007536EC" w:rsidP="00072FFE">
      <w:pPr>
        <w:pStyle w:val="TOC5"/>
      </w:pPr>
      <w:r>
        <w:t>R</w:t>
      </w:r>
      <w:r w:rsidR="009C4246" w:rsidRPr="003702B9">
        <w:t>.1</w:t>
      </w:r>
      <w:r w:rsidR="009C4246" w:rsidRPr="003702B9">
        <w:tab/>
        <w:t>Post-</w:t>
      </w:r>
      <w:r w:rsidR="009C4246">
        <w:t>SNAP Participant Survey</w:t>
      </w:r>
      <w:r w:rsidR="006647FB">
        <w:t xml:space="preserve"> T</w:t>
      </w:r>
      <w:r w:rsidR="009C4246" w:rsidRPr="003702B9">
        <w:t>hank you letter – English</w:t>
      </w:r>
    </w:p>
    <w:p w:rsidR="005A31EE" w:rsidRDefault="005A31EE" w:rsidP="00072FFE">
      <w:pPr>
        <w:pStyle w:val="TOC5"/>
      </w:pPr>
    </w:p>
    <w:p w:rsidR="009C4246" w:rsidRPr="003702B9" w:rsidRDefault="007536EC" w:rsidP="00072FFE">
      <w:pPr>
        <w:pStyle w:val="TOC5"/>
      </w:pPr>
      <w:r>
        <w:t>R</w:t>
      </w:r>
      <w:r w:rsidR="009C4246" w:rsidRPr="003702B9">
        <w:t>.2</w:t>
      </w:r>
      <w:r w:rsidR="009C4246" w:rsidRPr="003702B9">
        <w:tab/>
        <w:t>Post-</w:t>
      </w:r>
      <w:r w:rsidR="009C4246">
        <w:t>SNAP Participant Survey</w:t>
      </w:r>
      <w:r w:rsidR="006647FB">
        <w:t xml:space="preserve"> T</w:t>
      </w:r>
      <w:r w:rsidR="009C4246" w:rsidRPr="003702B9">
        <w:t>hank you letter – Spanish</w:t>
      </w:r>
    </w:p>
    <w:p w:rsidR="005A31EE" w:rsidRDefault="005A31EE" w:rsidP="00072FFE">
      <w:pPr>
        <w:pStyle w:val="TOC5"/>
      </w:pPr>
    </w:p>
    <w:p w:rsidR="009C4246" w:rsidRPr="003702B9" w:rsidRDefault="007536EC" w:rsidP="00072FFE">
      <w:pPr>
        <w:pStyle w:val="TOC5"/>
      </w:pPr>
      <w:r>
        <w:t>S</w:t>
      </w:r>
      <w:r w:rsidR="009C4246" w:rsidRPr="003702B9">
        <w:tab/>
        <w:t>SNAP Participant Key Informant Interview Invitation Letter – English only</w:t>
      </w:r>
    </w:p>
    <w:p w:rsidR="005A31EE" w:rsidRDefault="005A31EE" w:rsidP="00072FFE">
      <w:pPr>
        <w:pStyle w:val="TOC5"/>
      </w:pPr>
    </w:p>
    <w:p w:rsidR="009C4246" w:rsidRPr="003702B9" w:rsidRDefault="007536EC" w:rsidP="00072FFE">
      <w:pPr>
        <w:pStyle w:val="TOC5"/>
      </w:pPr>
      <w:r>
        <w:t>T</w:t>
      </w:r>
      <w:r w:rsidR="009C4246" w:rsidRPr="003702B9">
        <w:tab/>
        <w:t>SNAP Participant Key Informant Interview Recruitment Script – English only</w:t>
      </w:r>
    </w:p>
    <w:p w:rsidR="005A31EE" w:rsidRDefault="005A31EE" w:rsidP="00072FFE">
      <w:pPr>
        <w:pStyle w:val="TOC5"/>
      </w:pPr>
    </w:p>
    <w:p w:rsidR="009C4246" w:rsidRPr="003702B9" w:rsidRDefault="007536EC" w:rsidP="00072FFE">
      <w:pPr>
        <w:pStyle w:val="TOC5"/>
      </w:pPr>
      <w:r>
        <w:t>U</w:t>
      </w:r>
      <w:r w:rsidR="009C4246" w:rsidRPr="003702B9">
        <w:tab/>
        <w:t>SNAP Participant Key Informant Interview Confirmation Letter – English only</w:t>
      </w:r>
    </w:p>
    <w:p w:rsidR="005A31EE" w:rsidRDefault="005A31EE" w:rsidP="00072FFE">
      <w:pPr>
        <w:pStyle w:val="TOC5"/>
      </w:pPr>
    </w:p>
    <w:p w:rsidR="00234CBA" w:rsidRPr="00234CBA" w:rsidRDefault="00234CBA" w:rsidP="00234CBA">
      <w:pPr>
        <w:pStyle w:val="TC-TableofContentsHeading"/>
        <w:rPr>
          <w:sz w:val="24"/>
          <w:szCs w:val="24"/>
        </w:rPr>
      </w:pPr>
      <w:r w:rsidRPr="00234CBA">
        <w:rPr>
          <w:sz w:val="24"/>
          <w:szCs w:val="24"/>
        </w:rPr>
        <w:t>Contents</w:t>
      </w:r>
      <w:r>
        <w:rPr>
          <w:sz w:val="24"/>
          <w:szCs w:val="24"/>
        </w:rPr>
        <w:t xml:space="preserve"> (continued)</w:t>
      </w:r>
    </w:p>
    <w:p w:rsidR="00234CBA" w:rsidRDefault="00234CBA" w:rsidP="00234CBA">
      <w:pPr>
        <w:pStyle w:val="T0-ChapPgHd"/>
      </w:pPr>
      <w:r>
        <w:t>Appendixes</w:t>
      </w:r>
      <w:r>
        <w:tab/>
      </w:r>
    </w:p>
    <w:p w:rsidR="00234CBA" w:rsidRDefault="00234CBA" w:rsidP="00234CBA">
      <w:pPr>
        <w:pStyle w:val="T0-ChapPgHd"/>
      </w:pPr>
    </w:p>
    <w:p w:rsidR="00B00D3D" w:rsidRDefault="00B00D3D" w:rsidP="00B00D3D">
      <w:pPr>
        <w:pStyle w:val="TOC5"/>
      </w:pPr>
      <w:r>
        <w:t>V</w:t>
      </w:r>
      <w:r w:rsidRPr="003702B9">
        <w:tab/>
        <w:t>SNAP Participant Key Informant Interview Discussion Guide – English only</w:t>
      </w:r>
    </w:p>
    <w:p w:rsidR="00B00D3D" w:rsidRPr="003702B9" w:rsidRDefault="00B00D3D" w:rsidP="00B00D3D">
      <w:pPr>
        <w:pStyle w:val="TOC5"/>
      </w:pPr>
    </w:p>
    <w:p w:rsidR="006510C8" w:rsidRPr="003702B9" w:rsidRDefault="006510C8" w:rsidP="006510C8">
      <w:pPr>
        <w:pStyle w:val="TOC5"/>
      </w:pPr>
      <w:r>
        <w:t>W</w:t>
      </w:r>
      <w:r w:rsidRPr="003702B9">
        <w:tab/>
        <w:t>SNAP Participant Key Informant Interview Thank you letter – English only</w:t>
      </w:r>
    </w:p>
    <w:p w:rsidR="006510C8" w:rsidRDefault="006510C8" w:rsidP="00072FFE">
      <w:pPr>
        <w:pStyle w:val="TOC5"/>
      </w:pPr>
    </w:p>
    <w:p w:rsidR="00110597" w:rsidRDefault="007536EC" w:rsidP="00110597">
      <w:pPr>
        <w:pStyle w:val="TOC5"/>
      </w:pPr>
      <w:r>
        <w:t>X</w:t>
      </w:r>
      <w:r w:rsidR="00110597">
        <w:t>.1</w:t>
      </w:r>
      <w:r w:rsidR="009C4246" w:rsidRPr="003702B9">
        <w:tab/>
      </w:r>
      <w:r w:rsidR="00110597">
        <w:t>Grantee Email Request for Submission of FINI outlet characteristics form</w:t>
      </w:r>
    </w:p>
    <w:p w:rsidR="00110597" w:rsidRDefault="00110597" w:rsidP="00110597">
      <w:pPr>
        <w:pStyle w:val="TOC5"/>
      </w:pPr>
    </w:p>
    <w:p w:rsidR="00110597" w:rsidRDefault="00110597" w:rsidP="00110597">
      <w:pPr>
        <w:pStyle w:val="TOC5"/>
      </w:pPr>
      <w:r>
        <w:t>X.2</w:t>
      </w:r>
      <w:r>
        <w:tab/>
        <w:t>FINI Outlet characteristics form</w:t>
      </w:r>
    </w:p>
    <w:p w:rsidR="00110597" w:rsidRDefault="00110597" w:rsidP="00072FFE">
      <w:pPr>
        <w:pStyle w:val="TOC5"/>
      </w:pPr>
    </w:p>
    <w:p w:rsidR="009C4246" w:rsidRPr="002A1619" w:rsidRDefault="00C24FFC" w:rsidP="00072FFE">
      <w:pPr>
        <w:pStyle w:val="TOC5"/>
      </w:pPr>
      <w:r w:rsidRPr="002A1619">
        <w:t>Y.1</w:t>
      </w:r>
      <w:r w:rsidRPr="002A1619">
        <w:tab/>
      </w:r>
      <w:r w:rsidR="009C4246" w:rsidRPr="002A1619">
        <w:t>Grantee Administrator Interview Scheduling Script – English only</w:t>
      </w:r>
    </w:p>
    <w:p w:rsidR="005A31EE" w:rsidRPr="002A1619" w:rsidRDefault="005A31EE" w:rsidP="00072FFE">
      <w:pPr>
        <w:pStyle w:val="TOC5"/>
      </w:pPr>
    </w:p>
    <w:p w:rsidR="009C4246" w:rsidRPr="002A1619" w:rsidRDefault="007536EC" w:rsidP="00072FFE">
      <w:pPr>
        <w:pStyle w:val="TOC5"/>
      </w:pPr>
      <w:r w:rsidRPr="002A1619">
        <w:t>Y</w:t>
      </w:r>
      <w:r w:rsidR="00C24FFC" w:rsidRPr="002A1619">
        <w:t>.2</w:t>
      </w:r>
      <w:r w:rsidR="009C4246" w:rsidRPr="002A1619">
        <w:tab/>
        <w:t>Grantee Administrator Interview Discussion Guide – English only</w:t>
      </w:r>
    </w:p>
    <w:p w:rsidR="005A31EE" w:rsidRPr="002A1619" w:rsidRDefault="005A31EE" w:rsidP="00072FFE">
      <w:pPr>
        <w:pStyle w:val="TOC5"/>
      </w:pPr>
    </w:p>
    <w:p w:rsidR="009C4246" w:rsidRPr="002A1619" w:rsidRDefault="007536EC" w:rsidP="00072FFE">
      <w:pPr>
        <w:pStyle w:val="TOC5"/>
      </w:pPr>
      <w:r w:rsidRPr="002A1619">
        <w:t>Z</w:t>
      </w:r>
      <w:r w:rsidR="009C4246" w:rsidRPr="002A1619">
        <w:tab/>
        <w:t>Grantee A</w:t>
      </w:r>
      <w:r w:rsidR="00831BD7" w:rsidRPr="002A1619">
        <w:t>dministrator Pre Intervention- T</w:t>
      </w:r>
      <w:r w:rsidR="009C4246" w:rsidRPr="002A1619">
        <w:t>hank you card – English only</w:t>
      </w:r>
    </w:p>
    <w:p w:rsidR="00072FFE" w:rsidRPr="002A1619" w:rsidRDefault="00072FFE" w:rsidP="00072FFE">
      <w:pPr>
        <w:pStyle w:val="TOC5"/>
      </w:pPr>
    </w:p>
    <w:p w:rsidR="007536EC" w:rsidRPr="002A1619" w:rsidRDefault="007536EC" w:rsidP="00072FFE">
      <w:pPr>
        <w:pStyle w:val="TOC5"/>
      </w:pPr>
      <w:r w:rsidRPr="002A1619">
        <w:t>AA</w:t>
      </w:r>
      <w:r w:rsidRPr="002A1619">
        <w:tab/>
        <w:t>Grantee Administrator Post</w:t>
      </w:r>
      <w:r w:rsidR="00831BD7" w:rsidRPr="002A1619">
        <w:t xml:space="preserve"> Intervention- T</w:t>
      </w:r>
      <w:r w:rsidRPr="002A1619">
        <w:t>hank you card – English only</w:t>
      </w:r>
    </w:p>
    <w:p w:rsidR="007536EC" w:rsidRPr="002A1619" w:rsidRDefault="007536EC" w:rsidP="00072FFE">
      <w:pPr>
        <w:pStyle w:val="TOC5"/>
      </w:pPr>
    </w:p>
    <w:p w:rsidR="009C4246" w:rsidRPr="002A1619" w:rsidRDefault="009C4246" w:rsidP="00072FFE">
      <w:pPr>
        <w:pStyle w:val="TOC5"/>
      </w:pPr>
      <w:r w:rsidRPr="002A1619">
        <w:t>A</w:t>
      </w:r>
      <w:r w:rsidR="007536EC" w:rsidRPr="002A1619">
        <w:t>B</w:t>
      </w:r>
      <w:r w:rsidRPr="002A1619">
        <w:tab/>
        <w:t>Quarterly Core Program Data Form Email – English only</w:t>
      </w:r>
    </w:p>
    <w:p w:rsidR="005A31EE" w:rsidRPr="002A1619" w:rsidRDefault="005A31EE" w:rsidP="00072FFE">
      <w:pPr>
        <w:pStyle w:val="TOC5"/>
      </w:pPr>
    </w:p>
    <w:p w:rsidR="00B34409" w:rsidRPr="002A1619" w:rsidRDefault="00B34409" w:rsidP="00072FFE">
      <w:pPr>
        <w:pStyle w:val="TOC5"/>
      </w:pPr>
      <w:r w:rsidRPr="002A1619">
        <w:t>AC</w:t>
      </w:r>
      <w:r w:rsidRPr="002A1619">
        <w:tab/>
        <w:t>Annual Core Program Data Form Email – English only</w:t>
      </w:r>
    </w:p>
    <w:p w:rsidR="00B34409" w:rsidRPr="002A1619" w:rsidRDefault="00B34409" w:rsidP="00072FFE">
      <w:pPr>
        <w:pStyle w:val="TOC5"/>
      </w:pPr>
    </w:p>
    <w:p w:rsidR="009C4246" w:rsidRPr="002A1619" w:rsidRDefault="009C4246" w:rsidP="00072FFE">
      <w:pPr>
        <w:pStyle w:val="TOC5"/>
      </w:pPr>
      <w:r w:rsidRPr="002A1619">
        <w:t>A</w:t>
      </w:r>
      <w:r w:rsidR="00B34409" w:rsidRPr="002A1619">
        <w:t>D</w:t>
      </w:r>
      <w:r w:rsidR="001C6A13" w:rsidRPr="002A1619">
        <w:t>.1</w:t>
      </w:r>
      <w:r w:rsidRPr="002A1619">
        <w:tab/>
        <w:t>Quarterly Core Program Data Form – English only</w:t>
      </w:r>
    </w:p>
    <w:p w:rsidR="006510C8" w:rsidRPr="002A1619" w:rsidRDefault="006510C8" w:rsidP="00072FFE">
      <w:pPr>
        <w:pStyle w:val="TOC5"/>
      </w:pPr>
    </w:p>
    <w:p w:rsidR="006510C8" w:rsidRPr="002A1619" w:rsidRDefault="006510C8" w:rsidP="00072FFE">
      <w:pPr>
        <w:pStyle w:val="TOC5"/>
      </w:pPr>
      <w:r w:rsidRPr="002A1619">
        <w:t>AD.</w:t>
      </w:r>
      <w:r w:rsidR="001C6A13" w:rsidRPr="002A1619">
        <w:t>2</w:t>
      </w:r>
      <w:r w:rsidRPr="002A1619">
        <w:tab/>
        <w:t>Quarterly Core Program Data Web Form Screenshots – English only</w:t>
      </w:r>
    </w:p>
    <w:p w:rsidR="005A31EE" w:rsidRPr="002A1619" w:rsidRDefault="005A31EE" w:rsidP="00072FFE">
      <w:pPr>
        <w:pStyle w:val="TOC5"/>
      </w:pPr>
    </w:p>
    <w:p w:rsidR="009C4246" w:rsidRPr="002A1619" w:rsidRDefault="009C4246" w:rsidP="00072FFE">
      <w:pPr>
        <w:pStyle w:val="TOC5"/>
      </w:pPr>
      <w:r w:rsidRPr="002A1619">
        <w:t>A</w:t>
      </w:r>
      <w:r w:rsidR="007536EC" w:rsidRPr="002A1619">
        <w:t>E</w:t>
      </w:r>
      <w:r w:rsidR="001C6A13" w:rsidRPr="002A1619">
        <w:t>.1</w:t>
      </w:r>
      <w:r w:rsidRPr="002A1619">
        <w:tab/>
        <w:t>Annual Core Program Data Form – English only</w:t>
      </w:r>
    </w:p>
    <w:p w:rsidR="006510C8" w:rsidRPr="002A1619" w:rsidRDefault="006510C8" w:rsidP="00072FFE">
      <w:pPr>
        <w:pStyle w:val="TOC5"/>
      </w:pPr>
    </w:p>
    <w:p w:rsidR="006510C8" w:rsidRDefault="001C6A13" w:rsidP="006510C8">
      <w:pPr>
        <w:pStyle w:val="TOC5"/>
      </w:pPr>
      <w:r w:rsidRPr="002A1619">
        <w:t>AE.2</w:t>
      </w:r>
      <w:r w:rsidR="006510C8" w:rsidRPr="002A1619">
        <w:tab/>
        <w:t>Annual Core Program Data Web Form Screenshots – English only</w:t>
      </w:r>
    </w:p>
    <w:p w:rsidR="005A31EE" w:rsidRDefault="005A31EE" w:rsidP="00072FFE">
      <w:pPr>
        <w:pStyle w:val="TOC5"/>
      </w:pPr>
    </w:p>
    <w:p w:rsidR="009C4246" w:rsidRDefault="009C4246" w:rsidP="00072FFE">
      <w:pPr>
        <w:pStyle w:val="TOC5"/>
      </w:pPr>
      <w:r>
        <w:t>A</w:t>
      </w:r>
      <w:r w:rsidR="007536EC">
        <w:t>F</w:t>
      </w:r>
      <w:r w:rsidRPr="003702B9">
        <w:tab/>
        <w:t>Outlet Survey Invitation Letter – English only</w:t>
      </w:r>
    </w:p>
    <w:p w:rsidR="005A31EE" w:rsidRDefault="005A31EE" w:rsidP="00072FFE">
      <w:pPr>
        <w:pStyle w:val="TOC5"/>
      </w:pPr>
    </w:p>
    <w:p w:rsidR="009C4246" w:rsidRPr="003702B9" w:rsidRDefault="009C4246" w:rsidP="00072FFE">
      <w:pPr>
        <w:pStyle w:val="TOC5"/>
      </w:pPr>
      <w:r>
        <w:t>A</w:t>
      </w:r>
      <w:r w:rsidR="007536EC">
        <w:t>G</w:t>
      </w:r>
      <w:r w:rsidR="005212BA">
        <w:t>.1</w:t>
      </w:r>
      <w:r w:rsidRPr="003702B9">
        <w:tab/>
        <w:t>Outlet Survey</w:t>
      </w:r>
      <w:r w:rsidR="007536EC">
        <w:t>: Farmers Market</w:t>
      </w:r>
      <w:r w:rsidRPr="003702B9">
        <w:t xml:space="preserve"> – English only</w:t>
      </w:r>
    </w:p>
    <w:p w:rsidR="00C37DDB" w:rsidRPr="00234CBA" w:rsidRDefault="00C37DDB" w:rsidP="00C37DDB">
      <w:pPr>
        <w:pStyle w:val="TC-TableofContentsHeading"/>
        <w:rPr>
          <w:sz w:val="24"/>
          <w:szCs w:val="24"/>
        </w:rPr>
      </w:pPr>
      <w:r w:rsidRPr="00234CBA">
        <w:rPr>
          <w:sz w:val="24"/>
          <w:szCs w:val="24"/>
        </w:rPr>
        <w:t>Contents</w:t>
      </w:r>
      <w:r>
        <w:rPr>
          <w:sz w:val="24"/>
          <w:szCs w:val="24"/>
        </w:rPr>
        <w:t xml:space="preserve"> (continued)</w:t>
      </w:r>
    </w:p>
    <w:p w:rsidR="00C37DDB" w:rsidRPr="00C37DDB" w:rsidRDefault="00C37DDB" w:rsidP="00C37DDB">
      <w:pPr>
        <w:pStyle w:val="T0-ChapPgHd"/>
        <w:rPr>
          <w:b/>
        </w:rPr>
      </w:pPr>
      <w:r>
        <w:t>Appendixes</w:t>
      </w:r>
    </w:p>
    <w:p w:rsidR="00B00D3D" w:rsidRDefault="00B00D3D" w:rsidP="00B00D3D">
      <w:pPr>
        <w:pStyle w:val="TOC5"/>
      </w:pPr>
    </w:p>
    <w:p w:rsidR="00B00D3D" w:rsidRPr="002A1619" w:rsidRDefault="00B00D3D" w:rsidP="00B00D3D">
      <w:pPr>
        <w:pStyle w:val="TOC5"/>
      </w:pPr>
      <w:r w:rsidRPr="002A1619">
        <w:t>AG.2</w:t>
      </w:r>
      <w:r w:rsidRPr="002A1619">
        <w:tab/>
        <w:t>Outlet Survey: Grocery Stores, CSAs, Farm Stands – English only</w:t>
      </w:r>
    </w:p>
    <w:p w:rsidR="00B00D3D" w:rsidRPr="002A1619" w:rsidRDefault="00B00D3D" w:rsidP="00B00D3D">
      <w:pPr>
        <w:pStyle w:val="TOC5"/>
      </w:pPr>
    </w:p>
    <w:p w:rsidR="00B00D3D" w:rsidRDefault="00B00D3D" w:rsidP="00B00D3D">
      <w:pPr>
        <w:pStyle w:val="TOC5"/>
      </w:pPr>
      <w:r w:rsidRPr="002A1619">
        <w:t>AH</w:t>
      </w:r>
      <w:r w:rsidRPr="002A1619">
        <w:tab/>
        <w:t>Outlet Survey Reminder Letter – English only</w:t>
      </w:r>
    </w:p>
    <w:p w:rsidR="00C37DDB" w:rsidRDefault="00C37DDB" w:rsidP="00072FFE">
      <w:pPr>
        <w:pStyle w:val="TOC5"/>
      </w:pPr>
    </w:p>
    <w:p w:rsidR="0047294D" w:rsidRDefault="005212BA" w:rsidP="0047294D">
      <w:pPr>
        <w:pStyle w:val="TOC5"/>
      </w:pPr>
      <w:r>
        <w:t>AI</w:t>
      </w:r>
      <w:r w:rsidR="0047294D" w:rsidRPr="003702B9">
        <w:tab/>
        <w:t xml:space="preserve">Outlet Survey </w:t>
      </w:r>
      <w:r w:rsidR="0047294D">
        <w:t>Email to Grantees</w:t>
      </w:r>
      <w:r w:rsidR="0047294D" w:rsidRPr="003702B9">
        <w:t xml:space="preserve"> – English only</w:t>
      </w:r>
    </w:p>
    <w:p w:rsidR="0047294D" w:rsidRDefault="0047294D" w:rsidP="0047294D">
      <w:pPr>
        <w:pStyle w:val="TOC5"/>
      </w:pPr>
    </w:p>
    <w:p w:rsidR="0047294D" w:rsidRPr="003702B9" w:rsidRDefault="0047294D" w:rsidP="0047294D">
      <w:pPr>
        <w:pStyle w:val="TOC5"/>
      </w:pPr>
      <w:r>
        <w:t>AJ</w:t>
      </w:r>
      <w:r w:rsidRPr="003702B9">
        <w:tab/>
        <w:t>Outlet Survey Thank you Letter – English only</w:t>
      </w:r>
    </w:p>
    <w:p w:rsidR="00D7418A" w:rsidRDefault="00D7418A" w:rsidP="00C506DC">
      <w:pPr>
        <w:pStyle w:val="TOC5"/>
        <w:ind w:left="0" w:firstLine="0"/>
      </w:pPr>
    </w:p>
    <w:p w:rsidR="009C4246" w:rsidRPr="002A1619" w:rsidRDefault="009C4246" w:rsidP="00072FFE">
      <w:pPr>
        <w:pStyle w:val="TOC5"/>
      </w:pPr>
      <w:r w:rsidRPr="002A1619">
        <w:t>A</w:t>
      </w:r>
      <w:r w:rsidR="007536EC" w:rsidRPr="002A1619">
        <w:t>K</w:t>
      </w:r>
      <w:r w:rsidR="00C506DC">
        <w:t>.1</w:t>
      </w:r>
      <w:r w:rsidRPr="002A1619">
        <w:tab/>
        <w:t xml:space="preserve">60-Day </w:t>
      </w:r>
      <w:r w:rsidR="00C24FFC" w:rsidRPr="002A1619">
        <w:t>Fe</w:t>
      </w:r>
      <w:r w:rsidR="00C260D3" w:rsidRPr="002A1619">
        <w:t>deral Register Notice: Comments – 1</w:t>
      </w:r>
    </w:p>
    <w:p w:rsidR="00C260D3" w:rsidRPr="002A1619" w:rsidRDefault="00C260D3" w:rsidP="00072FFE">
      <w:pPr>
        <w:pStyle w:val="TOC5"/>
      </w:pPr>
    </w:p>
    <w:p w:rsidR="008F306B" w:rsidRPr="002A1619" w:rsidRDefault="00C506DC" w:rsidP="008F306B">
      <w:pPr>
        <w:pStyle w:val="TOC5"/>
      </w:pPr>
      <w:r>
        <w:t>AK.2</w:t>
      </w:r>
      <w:r w:rsidR="008F306B" w:rsidRPr="002A1619">
        <w:tab/>
        <w:t>60-Day Federal Register Notice: Comments - 2</w:t>
      </w:r>
    </w:p>
    <w:p w:rsidR="008F306B" w:rsidRPr="002A1619" w:rsidRDefault="008F306B">
      <w:pPr>
        <w:pStyle w:val="TOC5"/>
      </w:pPr>
    </w:p>
    <w:p w:rsidR="00C260D3" w:rsidRPr="002A1619" w:rsidRDefault="00C506DC" w:rsidP="00072FFE">
      <w:pPr>
        <w:pStyle w:val="TOC5"/>
      </w:pPr>
      <w:r>
        <w:t>AK.3</w:t>
      </w:r>
      <w:r w:rsidR="00C260D3" w:rsidRPr="002A1619">
        <w:tab/>
        <w:t>60-Day Federal Register Notice: Action Taken – 1</w:t>
      </w:r>
    </w:p>
    <w:p w:rsidR="00C260D3" w:rsidRPr="002A1619" w:rsidRDefault="00C260D3" w:rsidP="00072FFE">
      <w:pPr>
        <w:pStyle w:val="TOC5"/>
      </w:pPr>
    </w:p>
    <w:p w:rsidR="00F34F07" w:rsidRPr="003702B9" w:rsidRDefault="00C506DC" w:rsidP="00F34F07">
      <w:pPr>
        <w:pStyle w:val="TOC5"/>
      </w:pPr>
      <w:r>
        <w:t>AK.4</w:t>
      </w:r>
      <w:r w:rsidR="00F34F07" w:rsidRPr="002A1619">
        <w:tab/>
        <w:t>60-Day Federal Register Notice: Action Taken - 2</w:t>
      </w:r>
    </w:p>
    <w:p w:rsidR="00F34F07" w:rsidRDefault="00F34F07">
      <w:pPr>
        <w:pStyle w:val="TOC5"/>
      </w:pPr>
    </w:p>
    <w:p w:rsidR="009C4246" w:rsidRDefault="009C4246" w:rsidP="00072FFE">
      <w:pPr>
        <w:pStyle w:val="TOC5"/>
      </w:pPr>
      <w:r>
        <w:t>A</w:t>
      </w:r>
      <w:r w:rsidR="007536EC">
        <w:t>L</w:t>
      </w:r>
      <w:r w:rsidR="00921183">
        <w:t>.1</w:t>
      </w:r>
      <w:r w:rsidRPr="003702B9">
        <w:tab/>
        <w:t>NASS comments</w:t>
      </w:r>
    </w:p>
    <w:p w:rsidR="00921183" w:rsidRDefault="00921183" w:rsidP="00072FFE">
      <w:pPr>
        <w:pStyle w:val="TOC5"/>
      </w:pPr>
    </w:p>
    <w:p w:rsidR="00921183" w:rsidRPr="003702B9" w:rsidRDefault="00921183" w:rsidP="00072FFE">
      <w:pPr>
        <w:pStyle w:val="TOC5"/>
      </w:pPr>
      <w:r>
        <w:t>AL.2</w:t>
      </w:r>
      <w:r>
        <w:tab/>
        <w:t xml:space="preserve">NASS comments and </w:t>
      </w:r>
      <w:proofErr w:type="spellStart"/>
      <w:r>
        <w:t>Westat</w:t>
      </w:r>
      <w:proofErr w:type="spellEnd"/>
      <w:r>
        <w:t xml:space="preserve"> responses </w:t>
      </w:r>
    </w:p>
    <w:p w:rsidR="005A31EE" w:rsidRDefault="005A31EE" w:rsidP="00072FFE">
      <w:pPr>
        <w:pStyle w:val="TOC5"/>
      </w:pPr>
    </w:p>
    <w:p w:rsidR="009C4246" w:rsidRPr="003702B9" w:rsidRDefault="009C4246" w:rsidP="00072FFE">
      <w:pPr>
        <w:pStyle w:val="TOC5"/>
      </w:pPr>
      <w:r>
        <w:t>A</w:t>
      </w:r>
      <w:r w:rsidR="007536EC">
        <w:t>M</w:t>
      </w:r>
      <w:r w:rsidRPr="003702B9">
        <w:tab/>
        <w:t>Confidentiality/Non-disclosure agreement</w:t>
      </w:r>
    </w:p>
    <w:p w:rsidR="005A31EE" w:rsidRDefault="005A31EE" w:rsidP="00072FFE">
      <w:pPr>
        <w:pStyle w:val="TOC5"/>
      </w:pPr>
    </w:p>
    <w:p w:rsidR="009C4246" w:rsidRDefault="009C4246" w:rsidP="00072FFE">
      <w:pPr>
        <w:pStyle w:val="TOC5"/>
      </w:pPr>
      <w:r w:rsidRPr="003702B9">
        <w:t>A</w:t>
      </w:r>
      <w:r w:rsidR="007536EC">
        <w:t>N</w:t>
      </w:r>
      <w:r w:rsidRPr="003702B9">
        <w:tab/>
        <w:t>IRB approval letter</w:t>
      </w:r>
    </w:p>
    <w:p w:rsidR="005A31EE" w:rsidRDefault="005A31EE" w:rsidP="00072FFE">
      <w:pPr>
        <w:pStyle w:val="TOC5"/>
      </w:pPr>
    </w:p>
    <w:p w:rsidR="009C4246" w:rsidRDefault="002202FD" w:rsidP="00072FFE">
      <w:pPr>
        <w:pStyle w:val="TOC5"/>
      </w:pPr>
      <w:r>
        <w:t>AO</w:t>
      </w:r>
      <w:r w:rsidR="009C4246">
        <w:tab/>
        <w:t>Pretest protocol for 2 items in SNAP Participant Survey</w:t>
      </w:r>
    </w:p>
    <w:p w:rsidR="005A31EE" w:rsidRDefault="005A31EE" w:rsidP="00072FFE">
      <w:pPr>
        <w:pStyle w:val="TOC5"/>
      </w:pPr>
    </w:p>
    <w:p w:rsidR="009C4246" w:rsidRDefault="002202FD" w:rsidP="009C4246">
      <w:pPr>
        <w:pStyle w:val="TOC5"/>
      </w:pPr>
      <w:r>
        <w:t>AP</w:t>
      </w:r>
      <w:r w:rsidR="009C4246">
        <w:tab/>
        <w:t>Pretest protocol for Outlet Survey</w:t>
      </w:r>
    </w:p>
    <w:p w:rsidR="009C2750" w:rsidRDefault="009C2750" w:rsidP="009C4246">
      <w:pPr>
        <w:pStyle w:val="TOC5"/>
      </w:pPr>
    </w:p>
    <w:p w:rsidR="002534B9" w:rsidRDefault="002534B9" w:rsidP="002534B9">
      <w:pPr>
        <w:pStyle w:val="TOC5"/>
      </w:pPr>
      <w:r>
        <w:t>AQ</w:t>
      </w:r>
      <w:r w:rsidR="006A3A08">
        <w:t>.1</w:t>
      </w:r>
      <w:r>
        <w:tab/>
        <w:t xml:space="preserve">Email to State SNAP agencies </w:t>
      </w:r>
      <w:r w:rsidR="00A63373">
        <w:t xml:space="preserve">to schedule a discussion call for obtaining </w:t>
      </w:r>
      <w:r>
        <w:t>SNAP administrative data</w:t>
      </w:r>
    </w:p>
    <w:p w:rsidR="00A63373" w:rsidRDefault="00A63373" w:rsidP="002534B9">
      <w:pPr>
        <w:pStyle w:val="TOC5"/>
      </w:pPr>
    </w:p>
    <w:p w:rsidR="006A3A08" w:rsidRDefault="006A3A08" w:rsidP="002534B9">
      <w:pPr>
        <w:pStyle w:val="TOC5"/>
      </w:pPr>
      <w:r>
        <w:t>AQ.2</w:t>
      </w:r>
      <w:r>
        <w:tab/>
      </w:r>
      <w:r w:rsidR="00A63373">
        <w:t xml:space="preserve">State Agency Telephone Discussion Schedule </w:t>
      </w:r>
      <w:proofErr w:type="spellStart"/>
      <w:r w:rsidR="00A63373">
        <w:t>Confiramtion</w:t>
      </w:r>
      <w:proofErr w:type="spellEnd"/>
      <w:r w:rsidR="00A63373">
        <w:t xml:space="preserve"> Email</w:t>
      </w:r>
    </w:p>
    <w:p w:rsidR="00A63373" w:rsidRDefault="00A63373" w:rsidP="002534B9">
      <w:pPr>
        <w:pStyle w:val="TOC5"/>
      </w:pPr>
    </w:p>
    <w:p w:rsidR="00A63373" w:rsidRDefault="00A63373" w:rsidP="002534B9">
      <w:pPr>
        <w:pStyle w:val="TOC5"/>
      </w:pPr>
      <w:r>
        <w:t>AQ.3</w:t>
      </w:r>
      <w:r>
        <w:tab/>
      </w:r>
      <w:r w:rsidR="00D7418A">
        <w:t>State Agency Discussion Guide</w:t>
      </w:r>
    </w:p>
    <w:p w:rsidR="00A63373" w:rsidRDefault="00A63373" w:rsidP="002534B9">
      <w:pPr>
        <w:pStyle w:val="TOC5"/>
      </w:pPr>
    </w:p>
    <w:p w:rsidR="00A63373" w:rsidRDefault="00A63373" w:rsidP="002534B9">
      <w:pPr>
        <w:pStyle w:val="TOC5"/>
      </w:pPr>
      <w:r>
        <w:t>AQ.4</w:t>
      </w:r>
      <w:r>
        <w:tab/>
        <w:t>Email to State Agenc</w:t>
      </w:r>
      <w:r w:rsidR="00FF552A">
        <w:t xml:space="preserve">y: Variables and Timeline to secure SNAP </w:t>
      </w:r>
      <w:r>
        <w:t>administrative data files</w:t>
      </w:r>
    </w:p>
    <w:p w:rsidR="002534B9" w:rsidRDefault="002534B9" w:rsidP="002534B9">
      <w:pPr>
        <w:pStyle w:val="TOC5"/>
      </w:pPr>
    </w:p>
    <w:p w:rsidR="002534B9" w:rsidRDefault="002534B9" w:rsidP="002534B9">
      <w:pPr>
        <w:pStyle w:val="TOC5"/>
        <w:sectPr w:rsidR="002534B9" w:rsidSect="009C2750">
          <w:headerReference w:type="default" r:id="rId10"/>
          <w:headerReference w:type="first" r:id="rId11"/>
          <w:footerReference w:type="first" r:id="rId12"/>
          <w:pgSz w:w="12240" w:h="15840" w:code="1"/>
          <w:pgMar w:top="1440" w:right="1440" w:bottom="1440" w:left="1440" w:header="720" w:footer="576" w:gutter="0"/>
          <w:pgNumType w:fmt="lowerRoman"/>
          <w:cols w:space="720"/>
          <w:titlePg/>
          <w:docGrid w:linePitch="326"/>
        </w:sectPr>
      </w:pPr>
    </w:p>
    <w:p w:rsidR="00271489" w:rsidRDefault="00271489" w:rsidP="00271489">
      <w:pPr>
        <w:pStyle w:val="Heading1"/>
      </w:pPr>
      <w:bookmarkStart w:id="0" w:name="_Toc286158948"/>
      <w:bookmarkStart w:id="1" w:name="_Toc286160537"/>
      <w:bookmarkStart w:id="2" w:name="_Toc290021760"/>
      <w:bookmarkStart w:id="3" w:name="_Toc282506023"/>
      <w:bookmarkStart w:id="4" w:name="_Toc329675296"/>
      <w:bookmarkStart w:id="5" w:name="_Toc329675884"/>
      <w:r>
        <w:t>Part A. Justification</w:t>
      </w:r>
    </w:p>
    <w:p w:rsidR="00271489" w:rsidRDefault="00271489" w:rsidP="00271489">
      <w:pPr>
        <w:pStyle w:val="Heading1"/>
      </w:pPr>
    </w:p>
    <w:p w:rsidR="00271489" w:rsidRPr="003702B9" w:rsidRDefault="00271489" w:rsidP="00271489">
      <w:pPr>
        <w:pStyle w:val="Heading2"/>
      </w:pPr>
      <w:r>
        <w:t>A.1</w:t>
      </w:r>
      <w:r w:rsidRPr="003702B9">
        <w:tab/>
        <w:t xml:space="preserve">Circumstances </w:t>
      </w:r>
      <w:bookmarkEnd w:id="0"/>
      <w:bookmarkEnd w:id="1"/>
      <w:bookmarkEnd w:id="2"/>
      <w:r w:rsidRPr="003702B9">
        <w:t>Making the Collection of Information Necessary</w:t>
      </w:r>
    </w:p>
    <w:bookmarkEnd w:id="3"/>
    <w:bookmarkEnd w:id="4"/>
    <w:bookmarkEnd w:id="5"/>
    <w:p w:rsidR="00271489" w:rsidRPr="002F126A" w:rsidRDefault="00271489" w:rsidP="00271489">
      <w:pPr>
        <w:pStyle w:val="L1-FlLSp12"/>
        <w:rPr>
          <w:b/>
        </w:rPr>
      </w:pPr>
      <w:r w:rsidRPr="002F126A">
        <w:rPr>
          <w:b/>
        </w:rPr>
        <w:t>Explain the circumstances that make the collection of information necessary. Identify any legal or administrative requirements that necessitate the collection. Reference the appropriate section of each statute and regulation mandating or authorizing the collection of information.</w:t>
      </w:r>
    </w:p>
    <w:p w:rsidR="00271489" w:rsidRPr="003702B9" w:rsidRDefault="00271489" w:rsidP="00271489">
      <w:pPr>
        <w:pStyle w:val="L1-FlLSp12"/>
      </w:pPr>
    </w:p>
    <w:p w:rsidR="00271489" w:rsidRDefault="0034369A" w:rsidP="00271489">
      <w:pPr>
        <w:pStyle w:val="L1-FlLSp12"/>
      </w:pPr>
      <w:r>
        <w:t xml:space="preserve">This is a new information collection request.  </w:t>
      </w:r>
      <w:r w:rsidR="00271489" w:rsidRPr="00A75704">
        <w:t xml:space="preserve">The </w:t>
      </w:r>
      <w:r w:rsidR="00271489" w:rsidRPr="002F126A">
        <w:rPr>
          <w:b/>
        </w:rPr>
        <w:t>Food Insecurity Nutrition Incentive</w:t>
      </w:r>
      <w:r w:rsidR="00271489" w:rsidRPr="00A75704">
        <w:t xml:space="preserve"> (FINI) Grants Program is authorized by </w:t>
      </w:r>
      <w:r w:rsidR="00271489">
        <w:t>S</w:t>
      </w:r>
      <w:r w:rsidR="00271489" w:rsidRPr="00A75704">
        <w:t>ection 4208 of the Agricultural Act of 2014</w:t>
      </w:r>
      <w:r w:rsidR="00271489">
        <w:t xml:space="preserve"> </w:t>
      </w:r>
      <w:r w:rsidR="00271489" w:rsidRPr="003702B9">
        <w:rPr>
          <w:szCs w:val="24"/>
        </w:rPr>
        <w:t>(P.L. 113-79)</w:t>
      </w:r>
      <w:r w:rsidR="00271489" w:rsidRPr="00A75704">
        <w:t xml:space="preserve">, which amends </w:t>
      </w:r>
      <w:r w:rsidR="00271489">
        <w:t>S</w:t>
      </w:r>
      <w:r w:rsidR="00271489" w:rsidRPr="00A75704">
        <w:t>ection 4405 of the Food, Conservation, and Energy Act of 2008 (“FCEA”) (7 U.S.C. 7517</w:t>
      </w:r>
      <w:r w:rsidR="00271489" w:rsidRPr="000F7435">
        <w:t xml:space="preserve">) </w:t>
      </w:r>
      <w:r w:rsidR="00271489">
        <w:t>[</w:t>
      </w:r>
      <w:r w:rsidR="001F77A3">
        <w:t xml:space="preserve">see </w:t>
      </w:r>
      <w:r w:rsidR="00271489" w:rsidRPr="000F7435">
        <w:t>Appendix A</w:t>
      </w:r>
      <w:r w:rsidR="001F77A3">
        <w:t xml:space="preserve"> for authorizing legislation</w:t>
      </w:r>
      <w:r w:rsidR="00271489">
        <w:t>]</w:t>
      </w:r>
      <w:r w:rsidR="00271489" w:rsidRPr="000F7435">
        <w:t>.</w:t>
      </w:r>
      <w:r w:rsidR="00271489" w:rsidRPr="00A75704">
        <w:t xml:space="preserve"> </w:t>
      </w:r>
      <w:r w:rsidR="00271489">
        <w:t>Section 4208 directs the Secretary of Agriculture of the U.S. Department of Agriculture (USDA) to implement and independently evaluate the FINI Grants Program</w:t>
      </w:r>
      <w:r w:rsidR="001B5380">
        <w:t xml:space="preserve"> [see Appendix B</w:t>
      </w:r>
      <w:r w:rsidR="002534B9">
        <w:t xml:space="preserve">.1 and B.2 </w:t>
      </w:r>
      <w:r w:rsidR="001B5380">
        <w:t>for the FINI Request for Applications released in 2014 and 2015, respectively]</w:t>
      </w:r>
      <w:r w:rsidR="00271489">
        <w:t>. The FINI program is administered by the National Institute of Food and Agriculture (NIFA). The Food and Nutrition Service (FNS) is directing the evaluation.</w:t>
      </w:r>
    </w:p>
    <w:p w:rsidR="00271489" w:rsidRDefault="00271489" w:rsidP="00271489">
      <w:pPr>
        <w:pStyle w:val="L1-FlLSp12"/>
      </w:pPr>
    </w:p>
    <w:p w:rsidR="00271489" w:rsidRDefault="00B67F82" w:rsidP="00271489">
      <w:pPr>
        <w:pStyle w:val="L1-FlLSp12"/>
      </w:pPr>
      <w:r>
        <w:t xml:space="preserve">As stated in the Statement of </w:t>
      </w:r>
      <w:r w:rsidR="00766987">
        <w:t>Objectives</w:t>
      </w:r>
      <w:r>
        <w:t xml:space="preserve"> for the FINI independent evaluation [Appendix</w:t>
      </w:r>
      <w:r w:rsidR="002534B9">
        <w:t xml:space="preserve"> </w:t>
      </w:r>
      <w:proofErr w:type="gramStart"/>
      <w:r w:rsidR="002534B9">
        <w:t>C</w:t>
      </w:r>
      <w:r>
        <w:t xml:space="preserve"> ]</w:t>
      </w:r>
      <w:proofErr w:type="gramEnd"/>
      <w:r>
        <w:t xml:space="preserve">, </w:t>
      </w:r>
      <w:r w:rsidR="00206059">
        <w:t>FINI g</w:t>
      </w:r>
      <w:r w:rsidR="00271489">
        <w:t xml:space="preserve">rants will be awarded over four cycles: 2014-2015, 2016, 2017, and 2018. Three types of projects are funded: (1) FINI Pilot Projects, not to exceed $100,000 and 1 year; (2) FINI Community-Based Projects, not to exceed $500,000 and 4 years; and (3) FINI Large-Scale Projects, $500,000 or over and not to exceed 4 years. </w:t>
      </w:r>
      <w:r w:rsidR="00271489" w:rsidRPr="003702B9">
        <w:t xml:space="preserve">Eligibility to receive FINI grants is limited to </w:t>
      </w:r>
      <w:r w:rsidR="00271489">
        <w:t>non-Federal G</w:t>
      </w:r>
      <w:r w:rsidR="00271489" w:rsidRPr="003702B9">
        <w:t xml:space="preserve">overnment agencies and nonprofit organizations, including emergency feeding organizations; agricultural cooperatives; producer networks or associations; community health organizations; public benefit corporations; economic development corporations; farmers markets; community supported agriculture programs; buying clubs; Supplemental Nutrition Assistance Program (SNAP)-authorized retailers; and </w:t>
      </w:r>
      <w:r w:rsidR="00271489">
        <w:t>s</w:t>
      </w:r>
      <w:r w:rsidR="00271489" w:rsidRPr="003702B9">
        <w:t>tate, local, or tribal agencies</w:t>
      </w:r>
      <w:r w:rsidR="00271489">
        <w:t>.</w:t>
      </w:r>
    </w:p>
    <w:p w:rsidR="00271489" w:rsidRDefault="00271489" w:rsidP="00271489">
      <w:pPr>
        <w:pStyle w:val="L1-FlLSp12"/>
      </w:pPr>
    </w:p>
    <w:p w:rsidR="00271489" w:rsidRDefault="00271489" w:rsidP="00271489">
      <w:pPr>
        <w:pStyle w:val="L1-FlLSp12"/>
      </w:pPr>
      <w:r>
        <w:t>As directed by Section 4208, the independent evaluation will measure the impact of FINI on (1)</w:t>
      </w:r>
      <w:r w:rsidR="00744F53">
        <w:t> </w:t>
      </w:r>
      <w:r>
        <w:t>improving the nutrition and health status of participating households receiving incentives and (2)</w:t>
      </w:r>
      <w:r w:rsidR="00744F53">
        <w:t> </w:t>
      </w:r>
      <w:r>
        <w:t xml:space="preserve">increasing fruit and vegetable purchases in participating households. </w:t>
      </w:r>
      <w:r w:rsidRPr="00370A71">
        <w:t xml:space="preserve">The focus of the independent evaluation is on the </w:t>
      </w:r>
      <w:r>
        <w:t>Community-Based and Large-Scale</w:t>
      </w:r>
      <w:r w:rsidRPr="00370A71">
        <w:t xml:space="preserve"> </w:t>
      </w:r>
      <w:r>
        <w:t xml:space="preserve">Projects </w:t>
      </w:r>
      <w:r w:rsidRPr="00370A71">
        <w:t xml:space="preserve">awarded in fiscal years </w:t>
      </w:r>
      <w:r>
        <w:t>2014-</w:t>
      </w:r>
      <w:r w:rsidRPr="00370A71">
        <w:t>2015 and 2016</w:t>
      </w:r>
      <w:r>
        <w:t xml:space="preserve">. The 2014-2015 grantees include </w:t>
      </w:r>
      <w:r w:rsidR="006D5AA2">
        <w:t>seven</w:t>
      </w:r>
      <w:r>
        <w:t xml:space="preserve"> Community-Based Projects and </w:t>
      </w:r>
      <w:r w:rsidR="006D5AA2">
        <w:t xml:space="preserve">eight </w:t>
      </w:r>
      <w:r>
        <w:t>Large-Scale Projects. The 2016 FINI grantees are expected to be selected in April 2016; for planning purposes, we estimate that there will be 20 Community-Based and Large-Scale Projects.</w:t>
      </w:r>
    </w:p>
    <w:p w:rsidR="00271489" w:rsidRDefault="00271489" w:rsidP="00271489">
      <w:pPr>
        <w:pStyle w:val="L1-FlLSp12"/>
      </w:pPr>
    </w:p>
    <w:p w:rsidR="00271489" w:rsidRDefault="00271489" w:rsidP="00271489">
      <w:pPr>
        <w:pStyle w:val="L1-FlLSp12"/>
      </w:pPr>
      <w:r w:rsidRPr="003702B9">
        <w:t xml:space="preserve">The proposed </w:t>
      </w:r>
      <w:r w:rsidR="001B5380">
        <w:t>independent evaluation</w:t>
      </w:r>
      <w:r w:rsidR="001B5380" w:rsidRPr="003702B9">
        <w:t xml:space="preserve"> </w:t>
      </w:r>
      <w:r w:rsidRPr="003702B9">
        <w:t>will provide information on implementation of FINI projects, consumer awareness and acceptance of these projects, and the effect of these programs on fruit and vegetable purchase and consumption. The findings will expand the evidence base on the effectiveness of incentive programs and provide policymakers in USDA and Congress with credible information on which interventions work best.</w:t>
      </w:r>
    </w:p>
    <w:p w:rsidR="00271489" w:rsidRDefault="00271489" w:rsidP="00271489">
      <w:pPr>
        <w:pStyle w:val="L1-FlLSp12"/>
      </w:pPr>
    </w:p>
    <w:p w:rsidR="00271489" w:rsidRPr="003702B9" w:rsidRDefault="00271489" w:rsidP="00271489">
      <w:pPr>
        <w:pStyle w:val="L1-FlLSp12"/>
      </w:pPr>
    </w:p>
    <w:p w:rsidR="00271489" w:rsidRPr="003702B9" w:rsidRDefault="00271489" w:rsidP="00271489">
      <w:pPr>
        <w:pStyle w:val="Heading2"/>
      </w:pPr>
      <w:bookmarkStart w:id="6" w:name="_Toc286158949"/>
      <w:bookmarkStart w:id="7" w:name="_Toc286160538"/>
      <w:bookmarkStart w:id="8" w:name="_Toc290021761"/>
      <w:bookmarkStart w:id="9" w:name="_Toc329341674"/>
      <w:bookmarkStart w:id="10" w:name="_Toc400376123"/>
      <w:r w:rsidRPr="003702B9">
        <w:t>A.2</w:t>
      </w:r>
      <w:r w:rsidRPr="003702B9">
        <w:tab/>
      </w:r>
      <w:bookmarkEnd w:id="6"/>
      <w:bookmarkEnd w:id="7"/>
      <w:bookmarkEnd w:id="8"/>
      <w:r w:rsidRPr="003702B9">
        <w:t>Purpose and Use of the Information</w:t>
      </w:r>
      <w:bookmarkEnd w:id="9"/>
      <w:bookmarkEnd w:id="10"/>
    </w:p>
    <w:p w:rsidR="00271489" w:rsidRPr="002F126A" w:rsidRDefault="00271489" w:rsidP="00271489">
      <w:pPr>
        <w:pStyle w:val="L1-FlLSp12"/>
        <w:rPr>
          <w:b/>
        </w:rPr>
      </w:pPr>
      <w:r w:rsidRPr="002F126A">
        <w:rPr>
          <w:b/>
        </w:rPr>
        <w:t>Indicate how, by whom, how frequently, and for what purpose the information is to be used. Except for a new collection, indicate the actual use the agency has made of the information received from the current collection.</w:t>
      </w:r>
    </w:p>
    <w:p w:rsidR="00271489" w:rsidRPr="003702B9" w:rsidRDefault="00271489" w:rsidP="00271489">
      <w:pPr>
        <w:pStyle w:val="L1-FlLSp12"/>
      </w:pPr>
    </w:p>
    <w:p w:rsidR="00271489" w:rsidRDefault="00271489" w:rsidP="00271489">
      <w:pPr>
        <w:pStyle w:val="L1-FlLSp12"/>
      </w:pPr>
      <w:r>
        <w:t>The data collection described in this document is necessary for meeting the congressional mandate for an independent evaluation of the FINI grant program. A preliminary report, interim report, and a final report detailing the study findings will be produced. There is currently no other effort that can address the research objectives of the proposed study.</w:t>
      </w:r>
    </w:p>
    <w:p w:rsidR="00134DDB" w:rsidRDefault="00134DDB" w:rsidP="00271489">
      <w:pPr>
        <w:pStyle w:val="L1-FlLSp12"/>
      </w:pPr>
    </w:p>
    <w:p w:rsidR="00134DDB" w:rsidRDefault="00134DDB" w:rsidP="00134DDB">
      <w:pPr>
        <w:pStyle w:val="N1-1stBullet"/>
      </w:pPr>
      <w:r>
        <w:t xml:space="preserve">Recruitment of SNAP Participants:  </w:t>
      </w:r>
      <w:r w:rsidRPr="003702B9">
        <w:t xml:space="preserve">Local and </w:t>
      </w:r>
      <w:r>
        <w:t>S</w:t>
      </w:r>
      <w:r w:rsidRPr="003702B9">
        <w:t xml:space="preserve">tate SNAP agency officers will be contacted after the grant award, to obtain the SNAP case files necessary to develop the sampling frame of SNAP participants in the intervention and comparison groups. SNAP participants in the intervention and comparison groups will be asked to complete the </w:t>
      </w:r>
      <w:r>
        <w:t>pre-SPS (before the incentive program is implemented) and post-SPS (6 months after the incentive program is initiated) SNAP Participant Survey</w:t>
      </w:r>
      <w:r w:rsidRPr="003702B9">
        <w:t>.</w:t>
      </w:r>
      <w:r>
        <w:t xml:space="preserve"> P</w:t>
      </w:r>
      <w:r w:rsidRPr="003702B9">
        <w:t>rogram implementers will be interviewed twice; at approximately 18 months and 30</w:t>
      </w:r>
      <w:r>
        <w:t> </w:t>
      </w:r>
      <w:r w:rsidRPr="003702B9">
        <w:t>months after the program start date. Retail operators will be asked to respond to the Outlet Survey once. Finally, grantees will provide Core Program Data on a quarterly basis. This data collection design is necessary to capture the early and late-onset changes in program implementation as well as consumer purchase and consumption behaviors</w:t>
      </w:r>
      <w:r>
        <w:t>.</w:t>
      </w:r>
    </w:p>
    <w:p w:rsidR="00271489" w:rsidRDefault="00271489" w:rsidP="00271489">
      <w:pPr>
        <w:pStyle w:val="L1-FlLSp12"/>
      </w:pPr>
      <w:r w:rsidRPr="003702B9">
        <w:t xml:space="preserve">The proposed study </w:t>
      </w:r>
      <w:r>
        <w:t>evaluation</w:t>
      </w:r>
      <w:r w:rsidRPr="003702B9">
        <w:t xml:space="preserve"> involves data collection from </w:t>
      </w:r>
      <w:r w:rsidR="005200BA">
        <w:t xml:space="preserve">(Individuals/Households) </w:t>
      </w:r>
      <w:r w:rsidRPr="003702B9">
        <w:t>SNAP participants and</w:t>
      </w:r>
      <w:r w:rsidR="005200BA">
        <w:t xml:space="preserve"> (Business for-not-for-profit)</w:t>
      </w:r>
      <w:r w:rsidRPr="003702B9">
        <w:t xml:space="preserve"> FINI grantees, including program administrators and retailers. The </w:t>
      </w:r>
      <w:r>
        <w:t xml:space="preserve">research </w:t>
      </w:r>
      <w:r w:rsidRPr="003702B9">
        <w:t xml:space="preserve">objectives of this </w:t>
      </w:r>
      <w:r>
        <w:t>evaluation</w:t>
      </w:r>
      <w:r>
        <w:rPr>
          <w:rStyle w:val="FootnoteReference"/>
        </w:rPr>
        <w:footnoteReference w:id="1"/>
      </w:r>
      <w:r w:rsidRPr="003702B9">
        <w:t xml:space="preserve"> are to:</w:t>
      </w:r>
    </w:p>
    <w:p w:rsidR="00271489" w:rsidRPr="003702B9" w:rsidRDefault="00271489" w:rsidP="00072FFE">
      <w:pPr>
        <w:pStyle w:val="N1-1stBullet"/>
      </w:pPr>
      <w:r>
        <w:t>Document each nutrition incentive program by describing its design and operations to identify (</w:t>
      </w:r>
      <w:proofErr w:type="spellStart"/>
      <w:r>
        <w:t>i</w:t>
      </w:r>
      <w:proofErr w:type="spellEnd"/>
      <w:r>
        <w:t>) barriers and facilitators to implementation and (ii) specific lessons learned to support replication of successful program</w:t>
      </w:r>
      <w:r w:rsidR="0047782E">
        <w:t>;</w:t>
      </w:r>
    </w:p>
    <w:p w:rsidR="00271489" w:rsidRPr="003702B9" w:rsidRDefault="00271489" w:rsidP="00072FFE">
      <w:pPr>
        <w:pStyle w:val="N1-1stBullet"/>
      </w:pPr>
      <w:r>
        <w:t>Assess the effectiveness of each Multiyear FINI Project and Multiyear FINI Large-Scale Project in increasing fruit and vegetable purchases and consumption among SNAP participants</w:t>
      </w:r>
      <w:r w:rsidRPr="003702B9">
        <w:t>; and</w:t>
      </w:r>
    </w:p>
    <w:p w:rsidR="00271489" w:rsidRPr="003702B9" w:rsidRDefault="00271489" w:rsidP="00072FFE">
      <w:pPr>
        <w:pStyle w:val="N1-1stBullet"/>
      </w:pPr>
      <w:r>
        <w:t>Compare the relative outcomes of different forms of incentives to help determine the most effective and efficient strategies for using incentives to increase purchase and consumption of fruits and vegetables among SNAP participants</w:t>
      </w:r>
      <w:r w:rsidRPr="003702B9">
        <w:t>.</w:t>
      </w:r>
    </w:p>
    <w:p w:rsidR="00271489" w:rsidRDefault="00271489" w:rsidP="00271489">
      <w:pPr>
        <w:pStyle w:val="L1-FlLSp12"/>
      </w:pPr>
      <w:r w:rsidRPr="003702B9">
        <w:t xml:space="preserve">There are </w:t>
      </w:r>
      <w:r w:rsidR="00C0253C">
        <w:t>four</w:t>
      </w:r>
      <w:r w:rsidR="00C0253C" w:rsidRPr="003702B9">
        <w:t xml:space="preserve"> </w:t>
      </w:r>
      <w:r w:rsidRPr="003702B9">
        <w:t>categories of individuals from/about whom we will collect data:</w:t>
      </w:r>
      <w:r w:rsidR="00E94009">
        <w:t xml:space="preserve"> State SNAP agency staff,</w:t>
      </w:r>
      <w:r w:rsidRPr="003702B9">
        <w:t xml:space="preserve"> SNAP participants, FINI grantees, and retail operators</w:t>
      </w:r>
      <w:r>
        <w:t>.</w:t>
      </w:r>
    </w:p>
    <w:p w:rsidR="00271489" w:rsidRPr="003702B9" w:rsidRDefault="00271489" w:rsidP="00271489">
      <w:pPr>
        <w:pStyle w:val="L1-FlLSp12"/>
      </w:pPr>
    </w:p>
    <w:p w:rsidR="00C0253C" w:rsidRDefault="00C0253C" w:rsidP="0047782E">
      <w:pPr>
        <w:pStyle w:val="N1-1stBullet"/>
      </w:pPr>
      <w:r w:rsidRPr="00E94009">
        <w:rPr>
          <w:b/>
        </w:rPr>
        <w:t>S</w:t>
      </w:r>
      <w:r w:rsidR="00E94009">
        <w:rPr>
          <w:b/>
        </w:rPr>
        <w:t>tate</w:t>
      </w:r>
      <w:r w:rsidR="00ED3EB6">
        <w:rPr>
          <w:b/>
        </w:rPr>
        <w:t>/Local</w:t>
      </w:r>
      <w:r w:rsidR="00E94009">
        <w:rPr>
          <w:b/>
        </w:rPr>
        <w:t xml:space="preserve"> </w:t>
      </w:r>
      <w:r w:rsidRPr="00E94009">
        <w:rPr>
          <w:b/>
        </w:rPr>
        <w:t xml:space="preserve">SNAP </w:t>
      </w:r>
      <w:r w:rsidR="00E94009">
        <w:rPr>
          <w:b/>
        </w:rPr>
        <w:t>Agency Staff</w:t>
      </w:r>
      <w:r>
        <w:t>.  We will request SNAP administrative</w:t>
      </w:r>
      <w:r w:rsidR="00E94009">
        <w:t xml:space="preserve"> caseload</w:t>
      </w:r>
      <w:r>
        <w:t xml:space="preserve"> files from State agencies; these files will be used to build the sampling frame of SNAP participants (described below). </w:t>
      </w:r>
    </w:p>
    <w:p w:rsidR="0089206E" w:rsidRDefault="00C0253C" w:rsidP="0089206E">
      <w:pPr>
        <w:pStyle w:val="N1-1stBullet"/>
        <w:numPr>
          <w:ilvl w:val="0"/>
          <w:numId w:val="0"/>
        </w:numPr>
        <w:ind w:left="1800"/>
      </w:pPr>
      <w:r w:rsidRPr="002534B9">
        <w:t xml:space="preserve">An introductory email will be sent to all States that have at least </w:t>
      </w:r>
      <w:r w:rsidR="005B4423">
        <w:t>5</w:t>
      </w:r>
      <w:r w:rsidRPr="002534B9">
        <w:t xml:space="preserve"> FINI outlets</w:t>
      </w:r>
      <w:r w:rsidR="005B4423">
        <w:rPr>
          <w:rStyle w:val="FootnoteReference"/>
        </w:rPr>
        <w:footnoteReference w:id="2"/>
      </w:r>
      <w:r w:rsidR="002534B9">
        <w:t xml:space="preserve"> [Appendix AQ</w:t>
      </w:r>
      <w:r w:rsidR="00766987">
        <w:t>.1</w:t>
      </w:r>
      <w:r w:rsidR="002534B9">
        <w:t>]</w:t>
      </w:r>
      <w:r w:rsidR="00766987">
        <w:t xml:space="preserve">, with a </w:t>
      </w:r>
      <w:proofErr w:type="spellStart"/>
      <w:r w:rsidR="00766987">
        <w:t>follw</w:t>
      </w:r>
      <w:proofErr w:type="spellEnd"/>
      <w:r w:rsidR="00766987">
        <w:t>-up email to confirm the discussion time [Appendix AQ.2]</w:t>
      </w:r>
      <w:r w:rsidRPr="00E94009">
        <w:t>.</w:t>
      </w:r>
      <w:r>
        <w:t xml:space="preserve">  </w:t>
      </w:r>
    </w:p>
    <w:p w:rsidR="0089206E" w:rsidRDefault="00C0253C" w:rsidP="0089206E">
      <w:pPr>
        <w:pStyle w:val="N1-1stBullet"/>
        <w:numPr>
          <w:ilvl w:val="0"/>
          <w:numId w:val="0"/>
        </w:numPr>
        <w:ind w:left="1800"/>
      </w:pPr>
      <w:r>
        <w:t xml:space="preserve">We will </w:t>
      </w:r>
      <w:r w:rsidR="00766987">
        <w:t>conduct a telephone discussion w</w:t>
      </w:r>
      <w:r>
        <w:t xml:space="preserve">ith the State agency staff </w:t>
      </w:r>
      <w:r w:rsidR="00766987">
        <w:t>[Appendix AQ.3</w:t>
      </w:r>
      <w:r w:rsidR="002534B9">
        <w:t xml:space="preserve">] </w:t>
      </w:r>
      <w:r>
        <w:t>to discuss the need for SNAP administrative data files, timeframe, and best way to receive these data files (</w:t>
      </w:r>
      <w:r w:rsidR="00CD7BE2">
        <w:t xml:space="preserve">e.g., </w:t>
      </w:r>
      <w:r>
        <w:t>secure FTP server or encrypted email)</w:t>
      </w:r>
      <w:r w:rsidR="00766987">
        <w:t xml:space="preserve">.  </w:t>
      </w:r>
    </w:p>
    <w:p w:rsidR="00C0253C" w:rsidRDefault="00766987" w:rsidP="0089206E">
      <w:pPr>
        <w:pStyle w:val="N1-1stBullet"/>
        <w:numPr>
          <w:ilvl w:val="0"/>
          <w:numId w:val="0"/>
        </w:numPr>
        <w:ind w:left="1800"/>
      </w:pPr>
      <w:r>
        <w:t>After the telephone discussion, we will send an email listing the variables, date range for the data, and date when data should be provided for sampling purpose [Appendix AQ.4]</w:t>
      </w:r>
    </w:p>
    <w:p w:rsidR="00271489" w:rsidRPr="003702B9" w:rsidRDefault="00271489" w:rsidP="0047782E">
      <w:pPr>
        <w:pStyle w:val="N1-1stBullet"/>
      </w:pPr>
      <w:r w:rsidRPr="003702B9">
        <w:rPr>
          <w:b/>
        </w:rPr>
        <w:t>SNAP Participants</w:t>
      </w:r>
      <w:r w:rsidR="0047782E">
        <w:rPr>
          <w:b/>
        </w:rPr>
        <w:t xml:space="preserve">. </w:t>
      </w:r>
      <w:r w:rsidRPr="003702B9">
        <w:t>Two data collection activities—surveys and key informant interviews—are planned for SNAP participants.</w:t>
      </w:r>
      <w:r w:rsidR="00AF4FB2">
        <w:t xml:space="preserve">  SNAP participant surveys will be conducted in English and Spanish; key informant interviews will be conducted in English.</w:t>
      </w:r>
      <w:r w:rsidR="0089206E" w:rsidRPr="0089206E">
        <w:t xml:space="preserve"> </w:t>
      </w:r>
      <w:r w:rsidR="0089206E" w:rsidRPr="00E94009">
        <w:t>The SNAP Participant surveys were developed using items from previously validated surveys of SNAP participants.</w:t>
      </w:r>
      <w:r w:rsidR="0089206E">
        <w:t xml:space="preserve">  Two survey items were pre-tested with SNAP shoppers at farmers markets and the item wording was revised accordingly [Appendix AO].  </w:t>
      </w:r>
    </w:p>
    <w:p w:rsidR="001F77A3" w:rsidRDefault="00271489" w:rsidP="0047782E">
      <w:pPr>
        <w:pStyle w:val="N2-2ndBullet"/>
      </w:pPr>
      <w:r w:rsidRPr="003702B9">
        <w:rPr>
          <w:b/>
        </w:rPr>
        <w:t xml:space="preserve">Surveys. </w:t>
      </w:r>
      <w:r w:rsidRPr="003702B9">
        <w:t xml:space="preserve">Surveys will be administered to SNAP participants in the intervention and comparison groups asking questions about their shopping patterns, knowledge and attitudes about fruits and vegetables, fruit and vegetable intake, household characteristics, and their experience with the incentive programs. </w:t>
      </w:r>
    </w:p>
    <w:p w:rsidR="00202F26" w:rsidRDefault="00271489" w:rsidP="00E94009">
      <w:pPr>
        <w:pStyle w:val="N2-2ndBullet"/>
        <w:numPr>
          <w:ilvl w:val="0"/>
          <w:numId w:val="0"/>
        </w:numPr>
        <w:ind w:left="1728"/>
      </w:pPr>
      <w:r w:rsidRPr="003702B9">
        <w:t xml:space="preserve">Two rounds of the </w:t>
      </w:r>
      <w:r>
        <w:t>SNAP Participant Survey</w:t>
      </w:r>
      <w:r w:rsidRPr="003702B9">
        <w:t xml:space="preserve"> (</w:t>
      </w:r>
      <w:r>
        <w:t>SPS</w:t>
      </w:r>
      <w:r w:rsidRPr="003702B9">
        <w:t>) will be administered</w:t>
      </w:r>
      <w:r w:rsidR="00202F26">
        <w:t xml:space="preserve"> in </w:t>
      </w:r>
      <w:proofErr w:type="spellStart"/>
      <w:r w:rsidR="00202F26">
        <w:t>Enlish</w:t>
      </w:r>
      <w:proofErr w:type="spellEnd"/>
      <w:r w:rsidR="00202F26">
        <w:t xml:space="preserve"> and Spanish </w:t>
      </w:r>
      <w:r w:rsidRPr="003702B9">
        <w:t xml:space="preserve">—a pre-intervention survey </w:t>
      </w:r>
      <w:r w:rsidR="001B5380">
        <w:t>[Appendix</w:t>
      </w:r>
      <w:r w:rsidR="00110597">
        <w:t>es</w:t>
      </w:r>
      <w:r w:rsidR="001B5380">
        <w:t xml:space="preserve"> </w:t>
      </w:r>
      <w:r w:rsidR="000D7FCE">
        <w:t>E</w:t>
      </w:r>
      <w:r w:rsidR="00110597">
        <w:t>1 and D2</w:t>
      </w:r>
      <w:r w:rsidR="001B5380">
        <w:t xml:space="preserve">] </w:t>
      </w:r>
      <w:r w:rsidRPr="003702B9">
        <w:t xml:space="preserve">and a 6-month </w:t>
      </w:r>
      <w:r>
        <w:t xml:space="preserve">post-intervention </w:t>
      </w:r>
      <w:r w:rsidRPr="003702B9">
        <w:t>survey</w:t>
      </w:r>
      <w:r w:rsidR="001B5380">
        <w:t xml:space="preserve"> [</w:t>
      </w:r>
      <w:r w:rsidR="000D7FCE">
        <w:t xml:space="preserve">see </w:t>
      </w:r>
      <w:r w:rsidR="001B5380">
        <w:t>Appendix</w:t>
      </w:r>
      <w:r w:rsidR="000D7FCE">
        <w:t>es N2 and</w:t>
      </w:r>
      <w:r w:rsidR="00110597">
        <w:t xml:space="preserve"> N2</w:t>
      </w:r>
      <w:r w:rsidR="000D7FCE">
        <w:t xml:space="preserve"> for treatment group SPS and Appendixes O1</w:t>
      </w:r>
      <w:r w:rsidR="00110597">
        <w:t xml:space="preserve"> and </w:t>
      </w:r>
      <w:proofErr w:type="gramStart"/>
      <w:r w:rsidR="00110597">
        <w:t>O2</w:t>
      </w:r>
      <w:r w:rsidR="001B5380">
        <w:t xml:space="preserve"> </w:t>
      </w:r>
      <w:r w:rsidR="000D7FCE">
        <w:t xml:space="preserve"> for</w:t>
      </w:r>
      <w:proofErr w:type="gramEnd"/>
      <w:r w:rsidR="000D7FCE">
        <w:t xml:space="preserve"> comparison group surveys</w:t>
      </w:r>
      <w:r w:rsidR="001B5380">
        <w:t>]</w:t>
      </w:r>
      <w:r w:rsidRPr="003702B9">
        <w:t>. Data collection procedures will be the same for the pre- and post-intervention surveys</w:t>
      </w:r>
      <w:r w:rsidR="00B12521">
        <w:t>, as detailed below and illustrated in Figure 1</w:t>
      </w:r>
      <w:r w:rsidRPr="003702B9">
        <w:t xml:space="preserve">. </w:t>
      </w:r>
    </w:p>
    <w:p w:rsidR="00202F26" w:rsidRDefault="000D7FCE" w:rsidP="005B6542">
      <w:pPr>
        <w:pStyle w:val="N2-2ndBullet"/>
        <w:numPr>
          <w:ilvl w:val="0"/>
          <w:numId w:val="0"/>
        </w:numPr>
        <w:ind w:left="1728"/>
      </w:pPr>
      <w:r>
        <w:t xml:space="preserve">To gather data prior to incentive program implementation, we will identify the SNAP participants several months before the Pre-SNAP Participant Survey (SPS) data collection. </w:t>
      </w:r>
      <w:r w:rsidR="00202F26">
        <w:t>We will work with the State SNAP office to obtain SNAP case files</w:t>
      </w:r>
      <w:r w:rsidR="005B213E">
        <w:t xml:space="preserve"> under OMB number 0584-0064 titled SNAP Forms, Applications and Periodic Reporting Notice (expiration 4/30/2016) </w:t>
      </w:r>
      <w:r w:rsidR="00202F26">
        <w:t xml:space="preserve"> and select participants from the intervention and comparison areas</w:t>
      </w:r>
      <w:r w:rsidR="001B5380">
        <w:t xml:space="preserve"> [Appendix</w:t>
      </w:r>
      <w:r>
        <w:t xml:space="preserve">es AQ.1 to </w:t>
      </w:r>
      <w:r w:rsidR="00C700F4">
        <w:t>AQ</w:t>
      </w:r>
      <w:r>
        <w:t>.4 contain</w:t>
      </w:r>
      <w:r w:rsidR="001B5380">
        <w:t xml:space="preserve"> the emails and discussion guide to discuss the need and protocol to obtain SNAP administrative files]</w:t>
      </w:r>
      <w:r w:rsidR="00202F26">
        <w:t xml:space="preserve">. </w:t>
      </w:r>
    </w:p>
    <w:p w:rsidR="001B5380" w:rsidRDefault="00271489" w:rsidP="005B6542">
      <w:pPr>
        <w:pStyle w:val="N2-2ndBullet"/>
        <w:numPr>
          <w:ilvl w:val="0"/>
          <w:numId w:val="0"/>
        </w:numPr>
        <w:ind w:left="1728"/>
      </w:pPr>
      <w:r w:rsidRPr="003702B9">
        <w:t xml:space="preserve">At the onset of the study, a packet will be mailed to participants containing an invitation letter </w:t>
      </w:r>
      <w:r>
        <w:t>[Appendix</w:t>
      </w:r>
      <w:r w:rsidR="00110597">
        <w:t>es</w:t>
      </w:r>
      <w:r>
        <w:t xml:space="preserve"> D</w:t>
      </w:r>
      <w:r w:rsidR="00110597">
        <w:t>.1 and D.2</w:t>
      </w:r>
      <w:r>
        <w:t>]</w:t>
      </w:r>
      <w:r w:rsidRPr="003702B9">
        <w:t>, a $2 pre-incentive,</w:t>
      </w:r>
      <w:r w:rsidRPr="003702B9">
        <w:rPr>
          <w:rStyle w:val="FootnoteReference"/>
        </w:rPr>
        <w:footnoteReference w:id="3"/>
      </w:r>
      <w:r w:rsidRPr="003702B9">
        <w:t xml:space="preserve"> a URL and PIN number to access the Pre-</w:t>
      </w:r>
      <w:r>
        <w:t>SPS</w:t>
      </w:r>
      <w:r w:rsidRPr="003702B9">
        <w:t xml:space="preserve"> </w:t>
      </w:r>
      <w:r>
        <w:t>via the web</w:t>
      </w:r>
      <w:r w:rsidR="00110597">
        <w:t xml:space="preserve"> [Appendix E.3</w:t>
      </w:r>
      <w:r w:rsidR="009B4AB8">
        <w:t xml:space="preserve"> &amp; E.4</w:t>
      </w:r>
      <w:r w:rsidR="00110597">
        <w:t>]</w:t>
      </w:r>
      <w:r w:rsidRPr="003702B9">
        <w:t xml:space="preserve">, and </w:t>
      </w:r>
      <w:r w:rsidRPr="005B6542">
        <w:t xml:space="preserve">a </w:t>
      </w:r>
      <w:r w:rsidRPr="005B6542">
        <w:rPr>
          <w:bCs/>
        </w:rPr>
        <w:t>$20</w:t>
      </w:r>
      <w:r w:rsidRPr="005B6542">
        <w:rPr>
          <w:b/>
          <w:bCs/>
        </w:rPr>
        <w:t xml:space="preserve"> </w:t>
      </w:r>
      <w:r w:rsidRPr="005B6542">
        <w:t>cash incentive</w:t>
      </w:r>
      <w:r w:rsidRPr="003702B9">
        <w:t xml:space="preserve"> </w:t>
      </w:r>
      <w:r>
        <w:t xml:space="preserve">offer </w:t>
      </w:r>
      <w:r w:rsidRPr="003702B9">
        <w:t xml:space="preserve">for completing the survey. </w:t>
      </w:r>
      <w:r w:rsidR="001B5380">
        <w:t xml:space="preserve">The URL </w:t>
      </w:r>
      <w:r w:rsidR="00AF4FB2">
        <w:t xml:space="preserve">will be setup and the </w:t>
      </w:r>
      <w:r w:rsidR="001B5380">
        <w:t xml:space="preserve">online survey will be </w:t>
      </w:r>
      <w:r w:rsidR="00AF4FB2">
        <w:t>developed</w:t>
      </w:r>
      <w:r w:rsidR="001B5380">
        <w:t xml:space="preserve"> after OMB approval.</w:t>
      </w:r>
    </w:p>
    <w:p w:rsidR="001B5380" w:rsidRDefault="00271489" w:rsidP="00D90492">
      <w:pPr>
        <w:pStyle w:val="N2-2ndBullet"/>
        <w:numPr>
          <w:ilvl w:val="0"/>
          <w:numId w:val="0"/>
        </w:numPr>
        <w:ind w:left="1728"/>
      </w:pPr>
      <w:r w:rsidRPr="003702B9">
        <w:t xml:space="preserve">One week after the initial mailing, participants who have not completed the web survey will receive </w:t>
      </w:r>
      <w:r>
        <w:t>a postcard</w:t>
      </w:r>
      <w:r w:rsidRPr="003702B9">
        <w:t xml:space="preserve"> </w:t>
      </w:r>
      <w:r>
        <w:t>[</w:t>
      </w:r>
      <w:r w:rsidRPr="003702B9">
        <w:t>Appendix</w:t>
      </w:r>
      <w:r w:rsidR="00110597">
        <w:t>es</w:t>
      </w:r>
      <w:r w:rsidRPr="003702B9">
        <w:t xml:space="preserve"> </w:t>
      </w:r>
      <w:r>
        <w:t>F</w:t>
      </w:r>
      <w:r w:rsidR="00110597">
        <w:t>.1 and F.2</w:t>
      </w:r>
      <w:r>
        <w:t>]</w:t>
      </w:r>
      <w:r w:rsidRPr="003702B9">
        <w:t xml:space="preserve"> reminding them to complete the </w:t>
      </w:r>
      <w:r>
        <w:t>pre-SPS</w:t>
      </w:r>
      <w:r w:rsidRPr="003702B9">
        <w:t xml:space="preserve">. Next, </w:t>
      </w:r>
      <w:r w:rsidR="00A23259">
        <w:t>three</w:t>
      </w:r>
      <w:r w:rsidRPr="003702B9">
        <w:t xml:space="preserve"> weeks after the initial mailing, a </w:t>
      </w:r>
      <w:r>
        <w:t xml:space="preserve">first </w:t>
      </w:r>
      <w:r w:rsidRPr="003702B9">
        <w:t xml:space="preserve">reminder mailing will be sent to </w:t>
      </w:r>
      <w:proofErr w:type="spellStart"/>
      <w:r w:rsidRPr="003702B9">
        <w:t>nonrespondents</w:t>
      </w:r>
      <w:proofErr w:type="spellEnd"/>
      <w:r w:rsidRPr="003702B9">
        <w:t xml:space="preserve">, to underscore the importance of the study. The mailing will include a reminder letter </w:t>
      </w:r>
      <w:r>
        <w:t>[</w:t>
      </w:r>
      <w:r w:rsidRPr="003702B9">
        <w:t>Appendix</w:t>
      </w:r>
      <w:r w:rsidR="00110597">
        <w:t>es</w:t>
      </w:r>
      <w:r w:rsidRPr="003702B9">
        <w:t xml:space="preserve"> </w:t>
      </w:r>
      <w:r>
        <w:t>G</w:t>
      </w:r>
      <w:r w:rsidR="00110597">
        <w:t>.1 and G.2</w:t>
      </w:r>
      <w:r>
        <w:t>]</w:t>
      </w:r>
      <w:r w:rsidRPr="003702B9">
        <w:t xml:space="preserve">, a </w:t>
      </w:r>
      <w:proofErr w:type="spellStart"/>
      <w:r>
        <w:t>T</w:t>
      </w:r>
      <w:r w:rsidRPr="003702B9">
        <w:t>eleform</w:t>
      </w:r>
      <w:proofErr w:type="spellEnd"/>
      <w:r w:rsidRPr="003702B9">
        <w:t xml:space="preserve"> </w:t>
      </w:r>
      <w:r>
        <w:t>–</w:t>
      </w:r>
      <w:r w:rsidRPr="003702B9">
        <w:t xml:space="preserve"> hard</w:t>
      </w:r>
      <w:r>
        <w:t xml:space="preserve"> </w:t>
      </w:r>
      <w:r w:rsidRPr="003702B9">
        <w:t>copy of the survey</w:t>
      </w:r>
      <w:r>
        <w:t xml:space="preserve"> [Appendix</w:t>
      </w:r>
      <w:r w:rsidR="00110597">
        <w:t>es</w:t>
      </w:r>
      <w:r>
        <w:t xml:space="preserve"> E</w:t>
      </w:r>
      <w:r w:rsidR="00110597">
        <w:t>.1 and E.2</w:t>
      </w:r>
      <w:r>
        <w:t>]</w:t>
      </w:r>
      <w:r w:rsidRPr="003702B9">
        <w:t xml:space="preserve">, and a postage paid return envelope. </w:t>
      </w:r>
    </w:p>
    <w:p w:rsidR="001B5380" w:rsidRDefault="00271489" w:rsidP="00D90492">
      <w:pPr>
        <w:pStyle w:val="N2-2ndBullet"/>
        <w:numPr>
          <w:ilvl w:val="0"/>
          <w:numId w:val="0"/>
        </w:numPr>
        <w:ind w:left="1728"/>
      </w:pPr>
      <w:r w:rsidRPr="003702B9">
        <w:t xml:space="preserve">One week after the </w:t>
      </w:r>
      <w:r>
        <w:t>first reminder</w:t>
      </w:r>
      <w:r w:rsidRPr="003702B9">
        <w:t xml:space="preserve"> mailing, all non-responding participants will receive </w:t>
      </w:r>
      <w:r>
        <w:t>a reminder postcard</w:t>
      </w:r>
      <w:r w:rsidRPr="003702B9">
        <w:t xml:space="preserve"> </w:t>
      </w:r>
      <w:r>
        <w:t>[</w:t>
      </w:r>
      <w:r w:rsidRPr="003702B9">
        <w:t>Appendix</w:t>
      </w:r>
      <w:r w:rsidR="00110597">
        <w:t>es</w:t>
      </w:r>
      <w:r w:rsidRPr="003702B9">
        <w:t xml:space="preserve"> </w:t>
      </w:r>
      <w:r>
        <w:t>H</w:t>
      </w:r>
      <w:r w:rsidR="00110597">
        <w:t>.1 and H.2</w:t>
      </w:r>
      <w:r>
        <w:t>]</w:t>
      </w:r>
      <w:r w:rsidRPr="003702B9">
        <w:t xml:space="preserve">. </w:t>
      </w:r>
    </w:p>
    <w:p w:rsidR="001B5380" w:rsidRDefault="00271489" w:rsidP="00D90492">
      <w:pPr>
        <w:pStyle w:val="N2-2ndBullet"/>
        <w:numPr>
          <w:ilvl w:val="0"/>
          <w:numId w:val="0"/>
        </w:numPr>
        <w:ind w:left="1728"/>
      </w:pPr>
      <w:r w:rsidRPr="003702B9">
        <w:t xml:space="preserve">About three weeks after the </w:t>
      </w:r>
      <w:r>
        <w:t xml:space="preserve">first </w:t>
      </w:r>
      <w:r w:rsidRPr="003702B9">
        <w:t xml:space="preserve">reminder letter mailing, a </w:t>
      </w:r>
      <w:r>
        <w:t xml:space="preserve">second </w:t>
      </w:r>
      <w:r w:rsidRPr="003702B9">
        <w:t>reminder package containi</w:t>
      </w:r>
      <w:r>
        <w:t>ng a reminder letter [Appendix</w:t>
      </w:r>
      <w:r w:rsidR="00110597">
        <w:t>es</w:t>
      </w:r>
      <w:r>
        <w:t xml:space="preserve"> I</w:t>
      </w:r>
      <w:r w:rsidR="00110597">
        <w:t>.1 and I.2</w:t>
      </w:r>
      <w:r>
        <w:t>]</w:t>
      </w:r>
      <w:r w:rsidRPr="003702B9">
        <w:t xml:space="preserve">, </w:t>
      </w:r>
      <w:proofErr w:type="spellStart"/>
      <w:r>
        <w:t>T</w:t>
      </w:r>
      <w:r w:rsidRPr="003702B9">
        <w:t>eleform</w:t>
      </w:r>
      <w:proofErr w:type="spellEnd"/>
      <w:r w:rsidRPr="003702B9">
        <w:t xml:space="preserve"> survey and a postage paid return envelope will be mailed to </w:t>
      </w:r>
      <w:proofErr w:type="spellStart"/>
      <w:r w:rsidRPr="003702B9">
        <w:t>nonrespondents</w:t>
      </w:r>
      <w:proofErr w:type="spellEnd"/>
      <w:r w:rsidRPr="003702B9">
        <w:t xml:space="preserve">. </w:t>
      </w:r>
    </w:p>
    <w:p w:rsidR="001B5380" w:rsidRDefault="00271489" w:rsidP="00D90492">
      <w:pPr>
        <w:pStyle w:val="N2-2ndBullet"/>
        <w:numPr>
          <w:ilvl w:val="0"/>
          <w:numId w:val="0"/>
        </w:numPr>
        <w:ind w:left="1728"/>
      </w:pPr>
      <w:r w:rsidRPr="003702B9">
        <w:t>Finally, if response rates are low in specific cells, targeted telephone interviews will be conducted to obtain the ne</w:t>
      </w:r>
      <w:r>
        <w:t>cessary survey completion count</w:t>
      </w:r>
      <w:r w:rsidR="00267B5F">
        <w:t xml:space="preserve"> [Appendixes J</w:t>
      </w:r>
      <w:r w:rsidR="000D7FCE">
        <w:t xml:space="preserve">.1 and </w:t>
      </w:r>
      <w:r w:rsidR="00110597">
        <w:t xml:space="preserve"> J.2</w:t>
      </w:r>
      <w:r w:rsidR="000D7FCE">
        <w:t xml:space="preserve">]; voicemail </w:t>
      </w:r>
      <w:r w:rsidR="0092264B">
        <w:t xml:space="preserve">or text message </w:t>
      </w:r>
      <w:r w:rsidR="000D7FCE">
        <w:t xml:space="preserve">reminders will be left in instances where we are unable to reach the sampled individual [Appendixes </w:t>
      </w:r>
      <w:r w:rsidR="00110597">
        <w:t>K.1 and K.2</w:t>
      </w:r>
      <w:r w:rsidR="00267B5F">
        <w:t>]</w:t>
      </w:r>
      <w:r w:rsidRPr="003702B9">
        <w:t xml:space="preserve">. </w:t>
      </w:r>
    </w:p>
    <w:p w:rsidR="00267F75" w:rsidRDefault="00271489" w:rsidP="00D90492">
      <w:pPr>
        <w:pStyle w:val="N2-2ndBullet"/>
        <w:numPr>
          <w:ilvl w:val="0"/>
          <w:numId w:val="0"/>
        </w:numPr>
        <w:ind w:left="1728"/>
      </w:pPr>
      <w:r w:rsidRPr="003702B9">
        <w:t xml:space="preserve">A </w:t>
      </w:r>
      <w:r>
        <w:rPr>
          <w:bCs/>
        </w:rPr>
        <w:t>thank you</w:t>
      </w:r>
      <w:r w:rsidRPr="003702B9">
        <w:rPr>
          <w:bCs/>
        </w:rPr>
        <w:t xml:space="preserve"> letter </w:t>
      </w:r>
      <w:r>
        <w:rPr>
          <w:bCs/>
        </w:rPr>
        <w:t>[Appendix</w:t>
      </w:r>
      <w:r w:rsidR="000D7FCE">
        <w:rPr>
          <w:bCs/>
        </w:rPr>
        <w:t>es</w:t>
      </w:r>
      <w:r>
        <w:rPr>
          <w:bCs/>
        </w:rPr>
        <w:t xml:space="preserve"> L</w:t>
      </w:r>
      <w:r w:rsidR="000D7FCE">
        <w:rPr>
          <w:bCs/>
        </w:rPr>
        <w:t>.1 and L.2</w:t>
      </w:r>
      <w:r>
        <w:rPr>
          <w:bCs/>
        </w:rPr>
        <w:t>]</w:t>
      </w:r>
      <w:r w:rsidRPr="003702B9">
        <w:rPr>
          <w:bCs/>
        </w:rPr>
        <w:t xml:space="preserve"> with a</w:t>
      </w:r>
      <w:r w:rsidRPr="003702B9">
        <w:rPr>
          <w:b/>
          <w:bCs/>
        </w:rPr>
        <w:t xml:space="preserve"> </w:t>
      </w:r>
      <w:r w:rsidRPr="003702B9">
        <w:rPr>
          <w:bCs/>
        </w:rPr>
        <w:t>$20</w:t>
      </w:r>
      <w:r w:rsidRPr="003702B9">
        <w:rPr>
          <w:b/>
          <w:bCs/>
        </w:rPr>
        <w:t xml:space="preserve"> </w:t>
      </w:r>
      <w:r w:rsidRPr="00D90492">
        <w:t>cash incentive</w:t>
      </w:r>
      <w:r w:rsidRPr="003702B9">
        <w:t xml:space="preserve"> will be mailed to participants completing the survey. The post-</w:t>
      </w:r>
      <w:r w:rsidR="009224A2">
        <w:t>SPS</w:t>
      </w:r>
      <w:r w:rsidRPr="003702B9">
        <w:t xml:space="preserve"> invitation letter [Appendix </w:t>
      </w:r>
      <w:r>
        <w:t>M</w:t>
      </w:r>
      <w:r w:rsidRPr="003702B9">
        <w:t>] will be sent to</w:t>
      </w:r>
      <w:r>
        <w:t xml:space="preserve"> all</w:t>
      </w:r>
      <w:r w:rsidRPr="003702B9">
        <w:t xml:space="preserve"> </w:t>
      </w:r>
      <w:r w:rsidR="009224A2">
        <w:t xml:space="preserve">SNAP participants who completed the </w:t>
      </w:r>
      <w:r w:rsidRPr="003702B9">
        <w:t>pre-</w:t>
      </w:r>
      <w:r w:rsidR="009224A2">
        <w:t>SPS</w:t>
      </w:r>
      <w:r w:rsidRPr="003702B9">
        <w:t xml:space="preserve">. All </w:t>
      </w:r>
      <w:r w:rsidR="000D7FCE">
        <w:t>post-</w:t>
      </w:r>
      <w:r w:rsidR="00267B5F">
        <w:t xml:space="preserve">SPS related </w:t>
      </w:r>
      <w:r w:rsidRPr="003702B9">
        <w:t>communication materials are included in Appendices</w:t>
      </w:r>
      <w:r w:rsidR="005A31EE">
        <w:t> </w:t>
      </w:r>
      <w:r w:rsidR="000D7FCE">
        <w:t>M</w:t>
      </w:r>
      <w:r w:rsidR="005212BA">
        <w:t>.1</w:t>
      </w:r>
      <w:r w:rsidRPr="003702B9">
        <w:t xml:space="preserve"> through </w:t>
      </w:r>
      <w:r w:rsidR="00267B5F">
        <w:t>R</w:t>
      </w:r>
      <w:r w:rsidR="005212BA">
        <w:t>.2</w:t>
      </w:r>
      <w:r w:rsidR="00267F75">
        <w:t>.</w:t>
      </w:r>
    </w:p>
    <w:p w:rsidR="001B5380" w:rsidRDefault="00271489" w:rsidP="0047782E">
      <w:pPr>
        <w:pStyle w:val="N2-2ndBullet"/>
      </w:pPr>
      <w:r w:rsidRPr="003702B9">
        <w:rPr>
          <w:b/>
        </w:rPr>
        <w:t xml:space="preserve">Semi-Structured Telephone Interviews. </w:t>
      </w:r>
      <w:r w:rsidRPr="003702B9">
        <w:t>Using the response to the post-</w:t>
      </w:r>
      <w:r>
        <w:t>SPS</w:t>
      </w:r>
      <w:r w:rsidRPr="003702B9">
        <w:t xml:space="preserve"> question “</w:t>
      </w:r>
      <w:r>
        <w:t>W</w:t>
      </w:r>
      <w:r w:rsidRPr="003702B9">
        <w:t>ould you be willing to participate in a telephone survey</w:t>
      </w:r>
      <w:proofErr w:type="gramStart"/>
      <w:r w:rsidRPr="003702B9">
        <w:t>?</w:t>
      </w:r>
      <w:r>
        <w:t>,</w:t>
      </w:r>
      <w:proofErr w:type="gramEnd"/>
      <w:r w:rsidRPr="003702B9">
        <w:t xml:space="preserve">” we will select 60 SNAP participants who agreed to a telephone interview. </w:t>
      </w:r>
      <w:r w:rsidR="005212BA">
        <w:t>All semi-structured telephone interviews will be conducted in English.</w:t>
      </w:r>
    </w:p>
    <w:p w:rsidR="001B5380" w:rsidRDefault="00271489" w:rsidP="00D90492">
      <w:pPr>
        <w:pStyle w:val="N2-2ndBullet"/>
        <w:numPr>
          <w:ilvl w:val="0"/>
          <w:numId w:val="0"/>
        </w:numPr>
        <w:ind w:left="1728"/>
      </w:pPr>
      <w:r w:rsidRPr="003702B9">
        <w:t xml:space="preserve">We will mail invitation letters to the </w:t>
      </w:r>
      <w:r w:rsidR="00267B5F">
        <w:t>sampled participants [Appendix S</w:t>
      </w:r>
      <w:r w:rsidRPr="003702B9">
        <w:t>] and fo</w:t>
      </w:r>
      <w:r>
        <w:t xml:space="preserve">llow </w:t>
      </w:r>
      <w:r w:rsidR="00267B5F">
        <w:t>up by telephone [Appendix T</w:t>
      </w:r>
      <w:r w:rsidRPr="003702B9">
        <w:t xml:space="preserve">] and schedule a time for the telephone interview. </w:t>
      </w:r>
    </w:p>
    <w:p w:rsidR="001B5380" w:rsidRDefault="00271489" w:rsidP="00D90492">
      <w:pPr>
        <w:pStyle w:val="N2-2ndBullet"/>
        <w:numPr>
          <w:ilvl w:val="0"/>
          <w:numId w:val="0"/>
        </w:numPr>
        <w:ind w:left="1728"/>
      </w:pPr>
      <w:r w:rsidRPr="003702B9">
        <w:t>Immediately after the interviews are scheduled, a confirmation letter specifying the time for the scheduled interview will be sent to those who a</w:t>
      </w:r>
      <w:r>
        <w:t xml:space="preserve">greed to participate [Appendix </w:t>
      </w:r>
      <w:r w:rsidR="00091E0B">
        <w:t>U</w:t>
      </w:r>
      <w:r w:rsidRPr="003702B9">
        <w:t xml:space="preserve">]. </w:t>
      </w:r>
    </w:p>
    <w:p w:rsidR="001B5380" w:rsidRDefault="00271489" w:rsidP="00D90492">
      <w:pPr>
        <w:pStyle w:val="N2-2ndBullet"/>
        <w:numPr>
          <w:ilvl w:val="0"/>
          <w:numId w:val="0"/>
        </w:numPr>
        <w:ind w:left="1728"/>
      </w:pPr>
      <w:r w:rsidRPr="003702B9">
        <w:t>We will schedule interviews with 5</w:t>
      </w:r>
      <w:r w:rsidR="00AA6AA6">
        <w:t>0</w:t>
      </w:r>
      <w:r w:rsidRPr="003702B9">
        <w:t xml:space="preserve"> SNAP participants to ensure that we complete 4</w:t>
      </w:r>
      <w:r w:rsidR="00AA6AA6">
        <w:t>0</w:t>
      </w:r>
      <w:r w:rsidRPr="003702B9">
        <w:t xml:space="preserve"> interviews.</w:t>
      </w:r>
      <w:r w:rsidRPr="00D90492">
        <w:rPr>
          <w:vertAlign w:val="superscript"/>
        </w:rPr>
        <w:footnoteReference w:id="4"/>
      </w:r>
      <w:r>
        <w:t xml:space="preserve"> </w:t>
      </w:r>
      <w:r w:rsidRPr="003702B9">
        <w:t>On the designated day, an interviewer will conduct the semi-structured interviews. The interviews will begin with an overview of the project and the goals of the discussion, followed by verbal informed consent and permission to audiotape the session</w:t>
      </w:r>
      <w:r w:rsidR="009F0FB0">
        <w:t xml:space="preserve"> [Appendix V</w:t>
      </w:r>
      <w:r w:rsidRPr="003702B9">
        <w:t xml:space="preserve">]. </w:t>
      </w:r>
    </w:p>
    <w:p w:rsidR="00271489" w:rsidRDefault="00271489" w:rsidP="00D90492">
      <w:pPr>
        <w:pStyle w:val="N2-2ndBullet"/>
        <w:numPr>
          <w:ilvl w:val="0"/>
          <w:numId w:val="0"/>
        </w:numPr>
        <w:ind w:left="1728"/>
      </w:pPr>
      <w:r w:rsidRPr="003702B9">
        <w:t xml:space="preserve">We will mail a </w:t>
      </w:r>
      <w:r>
        <w:t>thank you</w:t>
      </w:r>
      <w:r w:rsidRPr="003702B9">
        <w:t xml:space="preserve"> letter and a $25 </w:t>
      </w:r>
      <w:r w:rsidR="00D90492">
        <w:t xml:space="preserve">cash </w:t>
      </w:r>
      <w:r w:rsidRPr="003702B9">
        <w:t xml:space="preserve">incentive to SNAP participants who complete the interviews [Appendix </w:t>
      </w:r>
      <w:r w:rsidR="009F0FB0">
        <w:t>W</w:t>
      </w:r>
      <w:r w:rsidRPr="003702B9">
        <w:t>]. All key informant interviews will be conducted in English.</w:t>
      </w:r>
    </w:p>
    <w:p w:rsidR="00B12521" w:rsidRDefault="00B12521" w:rsidP="00D90492">
      <w:pPr>
        <w:pStyle w:val="N2-2ndBullet"/>
        <w:numPr>
          <w:ilvl w:val="0"/>
          <w:numId w:val="0"/>
        </w:numPr>
        <w:ind w:left="1728"/>
      </w:pPr>
    </w:p>
    <w:p w:rsidR="00B12521" w:rsidRDefault="00B12521" w:rsidP="00D90492">
      <w:pPr>
        <w:pStyle w:val="N2-2ndBullet"/>
        <w:numPr>
          <w:ilvl w:val="0"/>
          <w:numId w:val="0"/>
        </w:numPr>
        <w:ind w:left="1728"/>
      </w:pPr>
    </w:p>
    <w:p w:rsidR="00B12521" w:rsidRDefault="00B12521" w:rsidP="00D90492">
      <w:pPr>
        <w:pStyle w:val="N2-2ndBullet"/>
        <w:numPr>
          <w:ilvl w:val="0"/>
          <w:numId w:val="0"/>
        </w:numPr>
        <w:ind w:left="1728"/>
      </w:pPr>
    </w:p>
    <w:p w:rsidR="00B12521" w:rsidRDefault="00B12521">
      <w:pPr>
        <w:spacing w:line="240" w:lineRule="auto"/>
      </w:pPr>
      <w:r>
        <w:br w:type="page"/>
      </w:r>
    </w:p>
    <w:p w:rsidR="00B12521" w:rsidRDefault="00B12521" w:rsidP="00D90492">
      <w:pPr>
        <w:pStyle w:val="N2-2ndBullet"/>
        <w:numPr>
          <w:ilvl w:val="0"/>
          <w:numId w:val="0"/>
        </w:numPr>
        <w:ind w:left="1728"/>
      </w:pPr>
      <w:proofErr w:type="gramStart"/>
      <w:r>
        <w:t>Figure 1.</w:t>
      </w:r>
      <w:proofErr w:type="gramEnd"/>
      <w:r>
        <w:t xml:space="preserve">  Fielding Procedures for SNAP Participant Surveys</w:t>
      </w:r>
    </w:p>
    <w:tbl>
      <w:tblPr>
        <w:tblStyle w:val="TableGrid"/>
        <w:tblW w:w="5000" w:type="pct"/>
        <w:tblLook w:val="04A0" w:firstRow="1" w:lastRow="0" w:firstColumn="1" w:lastColumn="0" w:noHBand="0" w:noVBand="1"/>
      </w:tblPr>
      <w:tblGrid>
        <w:gridCol w:w="5520"/>
        <w:gridCol w:w="4056"/>
      </w:tblGrid>
      <w:tr w:rsidR="00B12521" w:rsidTr="00CE1198">
        <w:tc>
          <w:tcPr>
            <w:tcW w:w="5000" w:type="pct"/>
            <w:gridSpan w:val="2"/>
          </w:tcPr>
          <w:p w:rsidR="00B12521" w:rsidRDefault="00B12521" w:rsidP="00CE1198">
            <w:pPr>
              <w:pStyle w:val="PlainText"/>
              <w:rPr>
                <w:noProof/>
              </w:rPr>
            </w:pPr>
            <w:r w:rsidRPr="004F33DC">
              <w:rPr>
                <w:rFonts w:ascii="Garamond" w:hAnsi="Garamond"/>
                <w:b/>
                <w:i/>
                <w:sz w:val="24"/>
                <w:szCs w:val="24"/>
              </w:rPr>
              <w:t>SNAP Participant Survey</w:t>
            </w:r>
            <w:r>
              <w:rPr>
                <w:rFonts w:ascii="Garamond" w:hAnsi="Garamond"/>
                <w:b/>
                <w:i/>
                <w:sz w:val="24"/>
                <w:szCs w:val="24"/>
              </w:rPr>
              <w:t>s (pre and post)</w:t>
            </w:r>
          </w:p>
        </w:tc>
      </w:tr>
      <w:tr w:rsidR="00B12521" w:rsidTr="00CE1198">
        <w:tc>
          <w:tcPr>
            <w:tcW w:w="2882" w:type="pct"/>
          </w:tcPr>
          <w:p w:rsidR="00B12521" w:rsidRPr="007304C2" w:rsidRDefault="00B12521" w:rsidP="00B12521">
            <w:pPr>
              <w:pStyle w:val="N1-1stBullet"/>
              <w:numPr>
                <w:ilvl w:val="0"/>
                <w:numId w:val="20"/>
              </w:numPr>
              <w:tabs>
                <w:tab w:val="clear" w:pos="576"/>
                <w:tab w:val="num" w:pos="270"/>
              </w:tabs>
              <w:ind w:left="270" w:hanging="270"/>
              <w:rPr>
                <w:i/>
              </w:rPr>
            </w:pPr>
            <w:r>
              <w:rPr>
                <w:b/>
                <w:i/>
              </w:rPr>
              <w:t>Invitation to Web Survey</w:t>
            </w:r>
            <w:r w:rsidRPr="007304C2">
              <w:rPr>
                <w:b/>
                <w:i/>
              </w:rPr>
              <w:t xml:space="preserve">. </w:t>
            </w:r>
            <w:r w:rsidRPr="007304C2">
              <w:rPr>
                <w:i/>
              </w:rPr>
              <w:t xml:space="preserve">Using the mailing address contained in the SNAP case files, </w:t>
            </w:r>
            <w:proofErr w:type="spellStart"/>
            <w:r w:rsidRPr="007304C2">
              <w:rPr>
                <w:i/>
              </w:rPr>
              <w:t>Westat</w:t>
            </w:r>
            <w:proofErr w:type="spellEnd"/>
            <w:r w:rsidRPr="007304C2">
              <w:rPr>
                <w:i/>
              </w:rPr>
              <w:t xml:space="preserve"> will mail an invitation letter explaining the study and inviting the sampled person to complete the survey. Included in the letter will be a URL</w:t>
            </w:r>
            <w:r>
              <w:rPr>
                <w:i/>
              </w:rPr>
              <w:t xml:space="preserve">, </w:t>
            </w:r>
            <w:r w:rsidRPr="007304C2">
              <w:rPr>
                <w:i/>
              </w:rPr>
              <w:t xml:space="preserve">a PIN number </w:t>
            </w:r>
            <w:r>
              <w:rPr>
                <w:i/>
              </w:rPr>
              <w:t xml:space="preserve">to access </w:t>
            </w:r>
            <w:r w:rsidRPr="007304C2">
              <w:rPr>
                <w:i/>
              </w:rPr>
              <w:t>the web survey</w:t>
            </w:r>
            <w:r>
              <w:rPr>
                <w:i/>
              </w:rPr>
              <w:t xml:space="preserve">, and </w:t>
            </w:r>
            <w:r w:rsidRPr="007304C2">
              <w:rPr>
                <w:b/>
                <w:i/>
                <w:u w:val="single"/>
              </w:rPr>
              <w:t>$2 cash pre-incentive</w:t>
            </w:r>
            <w:r w:rsidRPr="007304C2">
              <w:rPr>
                <w:i/>
              </w:rPr>
              <w:t xml:space="preserve">. </w:t>
            </w:r>
            <w:r>
              <w:rPr>
                <w:i/>
              </w:rPr>
              <w:t xml:space="preserve">For participants for whom there is </w:t>
            </w:r>
            <w:proofErr w:type="gramStart"/>
            <w:r>
              <w:rPr>
                <w:i/>
              </w:rPr>
              <w:t>an email address in the State administrative data file</w:t>
            </w:r>
            <w:proofErr w:type="gramEnd"/>
            <w:r>
              <w:rPr>
                <w:i/>
              </w:rPr>
              <w:t xml:space="preserve">, </w:t>
            </w:r>
            <w:proofErr w:type="spellStart"/>
            <w:r>
              <w:rPr>
                <w:i/>
              </w:rPr>
              <w:t>Westat</w:t>
            </w:r>
            <w:proofErr w:type="spellEnd"/>
            <w:r w:rsidRPr="007304C2">
              <w:rPr>
                <w:i/>
              </w:rPr>
              <w:t xml:space="preserve"> will invite sampled persons to participate in the study </w:t>
            </w:r>
            <w:r>
              <w:rPr>
                <w:i/>
              </w:rPr>
              <w:t>via</w:t>
            </w:r>
            <w:r w:rsidRPr="007304C2">
              <w:rPr>
                <w:i/>
              </w:rPr>
              <w:t xml:space="preserve"> email</w:t>
            </w:r>
            <w:r>
              <w:rPr>
                <w:i/>
              </w:rPr>
              <w:t xml:space="preserve"> concurrently with the mailing</w:t>
            </w:r>
            <w:r w:rsidRPr="007304C2">
              <w:rPr>
                <w:i/>
              </w:rPr>
              <w:t>.</w:t>
            </w:r>
          </w:p>
          <w:p w:rsidR="00B12521" w:rsidRPr="007304C2" w:rsidRDefault="00B12521" w:rsidP="00B12521">
            <w:pPr>
              <w:pStyle w:val="N1-1stBullet"/>
              <w:numPr>
                <w:ilvl w:val="0"/>
                <w:numId w:val="20"/>
              </w:numPr>
              <w:tabs>
                <w:tab w:val="clear" w:pos="576"/>
                <w:tab w:val="num" w:pos="270"/>
              </w:tabs>
              <w:ind w:left="270" w:hanging="270"/>
              <w:rPr>
                <w:i/>
              </w:rPr>
            </w:pPr>
            <w:r w:rsidRPr="007304C2">
              <w:rPr>
                <w:b/>
                <w:i/>
              </w:rPr>
              <w:t xml:space="preserve">Postcard Reminder. </w:t>
            </w:r>
            <w:r w:rsidRPr="007304C2">
              <w:rPr>
                <w:i/>
              </w:rPr>
              <w:t>One week after the initial mailing, a postcard reminder will be mailed to sampled persons, reminding them to complete the survey.</w:t>
            </w:r>
          </w:p>
          <w:p w:rsidR="00B12521" w:rsidRPr="007304C2" w:rsidRDefault="00B12521" w:rsidP="00B12521">
            <w:pPr>
              <w:pStyle w:val="N1-1stBullet"/>
              <w:numPr>
                <w:ilvl w:val="0"/>
                <w:numId w:val="20"/>
              </w:numPr>
              <w:tabs>
                <w:tab w:val="clear" w:pos="576"/>
                <w:tab w:val="num" w:pos="270"/>
              </w:tabs>
              <w:ind w:left="270" w:hanging="270"/>
              <w:rPr>
                <w:i/>
              </w:rPr>
            </w:pPr>
            <w:r w:rsidRPr="007304C2">
              <w:rPr>
                <w:b/>
                <w:i/>
              </w:rPr>
              <w:t xml:space="preserve">First Survey Mailing. </w:t>
            </w:r>
            <w:r w:rsidRPr="007304C2">
              <w:rPr>
                <w:i/>
              </w:rPr>
              <w:t xml:space="preserve">Three weeks after </w:t>
            </w:r>
            <w:r>
              <w:rPr>
                <w:i/>
              </w:rPr>
              <w:t xml:space="preserve">mailing the web invitation, </w:t>
            </w:r>
            <w:proofErr w:type="spellStart"/>
            <w:r>
              <w:rPr>
                <w:i/>
              </w:rPr>
              <w:t>Westat</w:t>
            </w:r>
            <w:proofErr w:type="spellEnd"/>
            <w:r w:rsidRPr="007304C2">
              <w:rPr>
                <w:i/>
              </w:rPr>
              <w:t xml:space="preserve"> will </w:t>
            </w:r>
            <w:r>
              <w:rPr>
                <w:i/>
              </w:rPr>
              <w:t>mail</w:t>
            </w:r>
            <w:r w:rsidRPr="007304C2">
              <w:rPr>
                <w:i/>
              </w:rPr>
              <w:t xml:space="preserve"> </w:t>
            </w:r>
            <w:r>
              <w:rPr>
                <w:i/>
              </w:rPr>
              <w:t xml:space="preserve">the invitation and hard copy </w:t>
            </w:r>
            <w:r w:rsidRPr="007304C2">
              <w:rPr>
                <w:i/>
              </w:rPr>
              <w:t xml:space="preserve">survey to </w:t>
            </w:r>
            <w:proofErr w:type="spellStart"/>
            <w:r w:rsidRPr="007304C2">
              <w:rPr>
                <w:i/>
              </w:rPr>
              <w:t>nonresponders</w:t>
            </w:r>
            <w:proofErr w:type="spellEnd"/>
            <w:r w:rsidRPr="007304C2">
              <w:rPr>
                <w:i/>
              </w:rPr>
              <w:t xml:space="preserve">. An email will be sent to </w:t>
            </w:r>
            <w:proofErr w:type="spellStart"/>
            <w:r w:rsidRPr="007304C2">
              <w:rPr>
                <w:i/>
              </w:rPr>
              <w:t>nonresponders</w:t>
            </w:r>
            <w:proofErr w:type="spellEnd"/>
            <w:r w:rsidRPr="007304C2">
              <w:rPr>
                <w:i/>
              </w:rPr>
              <w:t xml:space="preserve"> with an email address reminding them to complete the survey.</w:t>
            </w:r>
          </w:p>
          <w:p w:rsidR="00B12521" w:rsidRPr="007304C2" w:rsidRDefault="00B12521" w:rsidP="00B12521">
            <w:pPr>
              <w:pStyle w:val="N1-1stBullet"/>
              <w:numPr>
                <w:ilvl w:val="0"/>
                <w:numId w:val="20"/>
              </w:numPr>
              <w:tabs>
                <w:tab w:val="clear" w:pos="576"/>
                <w:tab w:val="num" w:pos="270"/>
              </w:tabs>
              <w:ind w:left="270" w:hanging="270"/>
              <w:rPr>
                <w:i/>
              </w:rPr>
            </w:pPr>
            <w:r w:rsidRPr="007304C2">
              <w:rPr>
                <w:b/>
                <w:i/>
              </w:rPr>
              <w:t xml:space="preserve">Postcard Reminder. </w:t>
            </w:r>
            <w:r w:rsidRPr="007304C2">
              <w:rPr>
                <w:i/>
              </w:rPr>
              <w:t>One week after the mailing</w:t>
            </w:r>
            <w:r>
              <w:rPr>
                <w:i/>
              </w:rPr>
              <w:t xml:space="preserve"> the survey</w:t>
            </w:r>
            <w:r w:rsidRPr="007304C2">
              <w:rPr>
                <w:i/>
              </w:rPr>
              <w:t>, a postcard reminder will be mailed to sampled persons, reminding them to complete the survey.</w:t>
            </w:r>
          </w:p>
          <w:p w:rsidR="00B12521" w:rsidRDefault="00B12521" w:rsidP="00B12521">
            <w:pPr>
              <w:pStyle w:val="N1-1stBullet"/>
              <w:numPr>
                <w:ilvl w:val="0"/>
                <w:numId w:val="20"/>
              </w:numPr>
              <w:tabs>
                <w:tab w:val="clear" w:pos="576"/>
                <w:tab w:val="num" w:pos="270"/>
              </w:tabs>
              <w:ind w:left="270" w:hanging="270"/>
              <w:rPr>
                <w:i/>
              </w:rPr>
            </w:pPr>
            <w:r w:rsidRPr="007304C2">
              <w:rPr>
                <w:b/>
                <w:i/>
              </w:rPr>
              <w:t xml:space="preserve">Second Survey Mailing. </w:t>
            </w:r>
            <w:r w:rsidRPr="007304C2">
              <w:rPr>
                <w:i/>
              </w:rPr>
              <w:t>One week after the postcard rem</w:t>
            </w:r>
            <w:r>
              <w:rPr>
                <w:i/>
              </w:rPr>
              <w:t xml:space="preserve">inder, </w:t>
            </w:r>
            <w:proofErr w:type="spellStart"/>
            <w:r>
              <w:rPr>
                <w:i/>
              </w:rPr>
              <w:t>Westat</w:t>
            </w:r>
            <w:proofErr w:type="spellEnd"/>
            <w:r w:rsidRPr="007304C2">
              <w:rPr>
                <w:i/>
              </w:rPr>
              <w:t xml:space="preserve"> will send a </w:t>
            </w:r>
            <w:r>
              <w:rPr>
                <w:i/>
              </w:rPr>
              <w:t>reminder letter and hard copy survey</w:t>
            </w:r>
            <w:r w:rsidRPr="007304C2">
              <w:rPr>
                <w:i/>
              </w:rPr>
              <w:t>.</w:t>
            </w:r>
          </w:p>
          <w:p w:rsidR="00B12521" w:rsidRPr="007304C2" w:rsidRDefault="00B12521" w:rsidP="00B12521">
            <w:pPr>
              <w:pStyle w:val="N1-1stBullet"/>
              <w:numPr>
                <w:ilvl w:val="0"/>
                <w:numId w:val="20"/>
              </w:numPr>
              <w:tabs>
                <w:tab w:val="clear" w:pos="576"/>
                <w:tab w:val="num" w:pos="270"/>
              </w:tabs>
              <w:ind w:left="270" w:hanging="270"/>
              <w:rPr>
                <w:i/>
              </w:rPr>
            </w:pPr>
            <w:r>
              <w:rPr>
                <w:b/>
                <w:i/>
              </w:rPr>
              <w:t>Telephone Survey:</w:t>
            </w:r>
            <w:r>
              <w:rPr>
                <w:i/>
              </w:rPr>
              <w:t xml:space="preserve"> One week after the second survey mailing, </w:t>
            </w:r>
            <w:proofErr w:type="spellStart"/>
            <w:r>
              <w:rPr>
                <w:i/>
              </w:rPr>
              <w:t>Westat</w:t>
            </w:r>
            <w:proofErr w:type="spellEnd"/>
            <w:r>
              <w:rPr>
                <w:i/>
              </w:rPr>
              <w:t xml:space="preserve"> will begin calling the non-responders and complete the survey by telephone.</w:t>
            </w:r>
          </w:p>
          <w:p w:rsidR="00B12521" w:rsidRPr="004716D2" w:rsidRDefault="00B12521" w:rsidP="00B12521">
            <w:pPr>
              <w:pStyle w:val="N1-1stBullet"/>
              <w:numPr>
                <w:ilvl w:val="0"/>
                <w:numId w:val="20"/>
              </w:numPr>
              <w:tabs>
                <w:tab w:val="clear" w:pos="576"/>
                <w:tab w:val="num" w:pos="270"/>
              </w:tabs>
              <w:ind w:left="270" w:hanging="270"/>
              <w:rPr>
                <w:i/>
              </w:rPr>
            </w:pPr>
            <w:r w:rsidRPr="007304C2">
              <w:rPr>
                <w:b/>
                <w:i/>
              </w:rPr>
              <w:t xml:space="preserve">Mail Thank You Letters. </w:t>
            </w:r>
            <w:r w:rsidRPr="007304C2">
              <w:rPr>
                <w:i/>
              </w:rPr>
              <w:t>For those who complete</w:t>
            </w:r>
            <w:r>
              <w:rPr>
                <w:i/>
              </w:rPr>
              <w:t xml:space="preserve">d the survey on the web, by mail, or over the telephone, </w:t>
            </w:r>
            <w:proofErr w:type="spellStart"/>
            <w:r>
              <w:rPr>
                <w:i/>
              </w:rPr>
              <w:t>Westat</w:t>
            </w:r>
            <w:proofErr w:type="spellEnd"/>
            <w:r>
              <w:rPr>
                <w:i/>
              </w:rPr>
              <w:t xml:space="preserve"> </w:t>
            </w:r>
            <w:r w:rsidRPr="007304C2">
              <w:rPr>
                <w:i/>
              </w:rPr>
              <w:t>will send a</w:t>
            </w:r>
            <w:r>
              <w:rPr>
                <w:i/>
              </w:rPr>
              <w:t xml:space="preserve"> thank you letter with</w:t>
            </w:r>
            <w:r w:rsidRPr="007304C2">
              <w:rPr>
                <w:i/>
              </w:rPr>
              <w:t xml:space="preserve"> </w:t>
            </w:r>
            <w:r w:rsidRPr="007304C2">
              <w:rPr>
                <w:b/>
                <w:i/>
                <w:u w:val="single"/>
              </w:rPr>
              <w:t>$20 cash incentive</w:t>
            </w:r>
            <w:r>
              <w:rPr>
                <w:i/>
              </w:rPr>
              <w:t>.</w:t>
            </w:r>
          </w:p>
        </w:tc>
        <w:tc>
          <w:tcPr>
            <w:tcW w:w="2118" w:type="pct"/>
          </w:tcPr>
          <w:p w:rsidR="00B12521" w:rsidRDefault="00B12521" w:rsidP="00CE1198">
            <w:pPr>
              <w:pStyle w:val="PlainText"/>
              <w:rPr>
                <w:rFonts w:ascii="Garamond" w:hAnsi="Garamond"/>
                <w:b/>
                <w:i/>
                <w:sz w:val="24"/>
                <w:szCs w:val="24"/>
              </w:rPr>
            </w:pPr>
            <w:r>
              <w:rPr>
                <w:noProof/>
              </w:rPr>
              <w:drawing>
                <wp:inline distT="0" distB="0" distL="0" distR="0" wp14:anchorId="24F94884" wp14:editId="0A5FC66D">
                  <wp:extent cx="2438400" cy="579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438400" cy="5791200"/>
                          </a:xfrm>
                          <a:prstGeom prst="rect">
                            <a:avLst/>
                          </a:prstGeom>
                        </pic:spPr>
                      </pic:pic>
                    </a:graphicData>
                  </a:graphic>
                </wp:inline>
              </w:drawing>
            </w:r>
          </w:p>
        </w:tc>
      </w:tr>
    </w:tbl>
    <w:p w:rsidR="00B12521" w:rsidRDefault="00B12521" w:rsidP="00D90492">
      <w:pPr>
        <w:pStyle w:val="N2-2ndBullet"/>
        <w:numPr>
          <w:ilvl w:val="0"/>
          <w:numId w:val="0"/>
        </w:numPr>
        <w:ind w:left="1728"/>
      </w:pPr>
    </w:p>
    <w:p w:rsidR="00B12521" w:rsidRPr="003702B9" w:rsidRDefault="00B12521" w:rsidP="00D90492">
      <w:pPr>
        <w:pStyle w:val="N2-2ndBullet"/>
        <w:numPr>
          <w:ilvl w:val="0"/>
          <w:numId w:val="0"/>
        </w:numPr>
        <w:ind w:left="1728"/>
      </w:pPr>
    </w:p>
    <w:p w:rsidR="00267F75" w:rsidRDefault="00271489" w:rsidP="0047782E">
      <w:pPr>
        <w:pStyle w:val="N1-1stBullet"/>
      </w:pPr>
      <w:r w:rsidRPr="003702B9">
        <w:rPr>
          <w:b/>
        </w:rPr>
        <w:t>FINI Grantees (Key Informants)</w:t>
      </w:r>
      <w:r w:rsidR="0047782E">
        <w:rPr>
          <w:b/>
        </w:rPr>
        <w:t xml:space="preserve">. </w:t>
      </w:r>
      <w:r w:rsidRPr="003702B9">
        <w:t xml:space="preserve">Grantees will participate in </w:t>
      </w:r>
      <w:r w:rsidR="00C0253C">
        <w:t>three</w:t>
      </w:r>
      <w:r w:rsidR="00C0253C" w:rsidRPr="003702B9">
        <w:t xml:space="preserve"> </w:t>
      </w:r>
      <w:r w:rsidRPr="003702B9">
        <w:t xml:space="preserve">data collection efforts: </w:t>
      </w:r>
      <w:r w:rsidR="00C0253C">
        <w:t>submission of outlet characteristics form</w:t>
      </w:r>
      <w:r w:rsidR="00A14B1C">
        <w:t>,</w:t>
      </w:r>
      <w:r w:rsidR="00C0253C">
        <w:t xml:space="preserve"> </w:t>
      </w:r>
      <w:r w:rsidRPr="003702B9">
        <w:t xml:space="preserve">key informant interviews and submission of </w:t>
      </w:r>
      <w:r w:rsidR="0086665C">
        <w:t>Core Program</w:t>
      </w:r>
      <w:r w:rsidRPr="003702B9">
        <w:t xml:space="preserve"> </w:t>
      </w:r>
      <w:r w:rsidR="0086665C">
        <w:t>D</w:t>
      </w:r>
      <w:r w:rsidRPr="003702B9">
        <w:t>ata</w:t>
      </w:r>
      <w:r w:rsidR="00267F75">
        <w:t>.</w:t>
      </w:r>
      <w:r w:rsidR="005212BA">
        <w:t xml:space="preserve"> All Grantee interviews will be conducted in English and all grantee emails and forms will also be in English.</w:t>
      </w:r>
    </w:p>
    <w:p w:rsidR="00C0253C" w:rsidRPr="00A14B1C" w:rsidRDefault="00C0253C" w:rsidP="0047782E">
      <w:pPr>
        <w:pStyle w:val="N2-2ndBullet"/>
      </w:pPr>
      <w:r w:rsidRPr="00A14B1C">
        <w:rPr>
          <w:b/>
        </w:rPr>
        <w:t>Submission of FINI outlet characteristics form</w:t>
      </w:r>
      <w:r>
        <w:t>: All large scale and multi-year grantees will provide basic information about their outl</w:t>
      </w:r>
      <w:r w:rsidR="00786628">
        <w:t xml:space="preserve">et, such as type (farmers market/farm stand, grocery store, etc.), </w:t>
      </w:r>
      <w:r w:rsidR="00A14B1C">
        <w:t xml:space="preserve">incentive structure, </w:t>
      </w:r>
      <w:r w:rsidR="00786628">
        <w:t>FINI operation structure (year round/seasonal), and months FINI incentive will be offered in 2017.</w:t>
      </w:r>
      <w:r>
        <w:t xml:space="preserve"> </w:t>
      </w:r>
      <w:r w:rsidR="00110597">
        <w:t xml:space="preserve"> We will send an email [Appendix X.1] and a form [Appendix X.2] to obtain this information from the grantees.  </w:t>
      </w:r>
      <w:r w:rsidR="00786628">
        <w:t xml:space="preserve">This information will be used </w:t>
      </w:r>
      <w:r w:rsidR="00A14B1C">
        <w:t>to sample SNAP participants to participate in the SNAP Participant Survey</w:t>
      </w:r>
      <w:r w:rsidR="00786628">
        <w:t>.</w:t>
      </w:r>
      <w:r>
        <w:t xml:space="preserve"> </w:t>
      </w:r>
    </w:p>
    <w:p w:rsidR="001B5380" w:rsidRDefault="00271489" w:rsidP="0047782E">
      <w:pPr>
        <w:pStyle w:val="N2-2ndBullet"/>
      </w:pPr>
      <w:r w:rsidRPr="00FC7E90">
        <w:rPr>
          <w:b/>
        </w:rPr>
        <w:t>Key Informant Interviews.</w:t>
      </w:r>
      <w:r w:rsidRPr="003702B9">
        <w:t xml:space="preserve"> Grantees will identify a program administrator to participate in two interviews</w:t>
      </w:r>
      <w:r w:rsidR="00EB54AD">
        <w:t>—</w:t>
      </w:r>
      <w:r w:rsidRPr="003702B9">
        <w:t xml:space="preserve">one in </w:t>
      </w:r>
      <w:r>
        <w:t>Y</w:t>
      </w:r>
      <w:r w:rsidRPr="003702B9">
        <w:t>ear</w:t>
      </w:r>
      <w:r w:rsidR="007223AE">
        <w:t xml:space="preserve"> </w:t>
      </w:r>
      <w:r>
        <w:t>2</w:t>
      </w:r>
      <w:r w:rsidRPr="003702B9">
        <w:t xml:space="preserve"> of the intervention, and one in </w:t>
      </w:r>
      <w:r>
        <w:t>Y</w:t>
      </w:r>
      <w:r w:rsidRPr="003702B9">
        <w:t xml:space="preserve">ear </w:t>
      </w:r>
      <w:r>
        <w:t>3</w:t>
      </w:r>
      <w:r w:rsidRPr="003702B9">
        <w:t xml:space="preserve"> of the intervention. The interview procedures will be the same for the two interviews. </w:t>
      </w:r>
    </w:p>
    <w:p w:rsidR="001B5380" w:rsidRDefault="00271489" w:rsidP="006C3F63">
      <w:pPr>
        <w:pStyle w:val="N2-2ndBullet"/>
        <w:numPr>
          <w:ilvl w:val="0"/>
          <w:numId w:val="0"/>
        </w:numPr>
        <w:ind w:left="1728"/>
      </w:pPr>
      <w:r w:rsidRPr="003702B9">
        <w:t xml:space="preserve">Telephone interviews will be scheduled with these stakeholders [Appendix </w:t>
      </w:r>
      <w:r w:rsidR="00C24FFC">
        <w:t>Y.1</w:t>
      </w:r>
      <w:r w:rsidRPr="003702B9">
        <w:t>]. At the scheduled time, telephone interviewers will conduct a semi-structured interview, using the interview guide [</w:t>
      </w:r>
      <w:r w:rsidR="009F0FB0">
        <w:t>Appendix Y</w:t>
      </w:r>
      <w:r w:rsidR="00C24FFC">
        <w:t>.2</w:t>
      </w:r>
      <w:r w:rsidRPr="003702B9">
        <w:t>]; all interviews will be audio</w:t>
      </w:r>
      <w:r>
        <w:t>-</w:t>
      </w:r>
      <w:r w:rsidRPr="003702B9">
        <w:t xml:space="preserve">recorded. </w:t>
      </w:r>
    </w:p>
    <w:p w:rsidR="00267F75" w:rsidRDefault="00271489" w:rsidP="006C3F63">
      <w:pPr>
        <w:pStyle w:val="N2-2ndBullet"/>
        <w:numPr>
          <w:ilvl w:val="0"/>
          <w:numId w:val="0"/>
        </w:numPr>
        <w:ind w:left="1728"/>
      </w:pPr>
      <w:r w:rsidRPr="003702B9">
        <w:t xml:space="preserve">A </w:t>
      </w:r>
      <w:r>
        <w:t>thank you</w:t>
      </w:r>
      <w:r w:rsidRPr="003702B9">
        <w:t xml:space="preserve"> postcard will be mailed to all </w:t>
      </w:r>
      <w:r w:rsidR="005212BA">
        <w:t>grantees who participated in the pre-intervention and the post-</w:t>
      </w:r>
      <w:proofErr w:type="spellStart"/>
      <w:proofErr w:type="gramStart"/>
      <w:r w:rsidR="005212BA">
        <w:t>interevention</w:t>
      </w:r>
      <w:proofErr w:type="spellEnd"/>
      <w:r w:rsidR="005212BA">
        <w:t xml:space="preserve"> </w:t>
      </w:r>
      <w:r w:rsidRPr="003702B9">
        <w:t xml:space="preserve"> </w:t>
      </w:r>
      <w:r w:rsidR="005212BA">
        <w:t>interviews</w:t>
      </w:r>
      <w:proofErr w:type="gramEnd"/>
      <w:r w:rsidR="005212BA">
        <w:t xml:space="preserve"> </w:t>
      </w:r>
      <w:r w:rsidRPr="003702B9">
        <w:t>[Appendix</w:t>
      </w:r>
      <w:r>
        <w:t>es</w:t>
      </w:r>
      <w:r w:rsidR="009F0FB0">
        <w:t xml:space="preserve"> Z and AA</w:t>
      </w:r>
      <w:r w:rsidR="005212BA">
        <w:t xml:space="preserve"> respectively</w:t>
      </w:r>
      <w:r w:rsidRPr="003702B9">
        <w:t xml:space="preserve">]. </w:t>
      </w:r>
      <w:r w:rsidR="005212BA">
        <w:t xml:space="preserve">Grantees participating in the key informant interviews will not receive any </w:t>
      </w:r>
      <w:proofErr w:type="spellStart"/>
      <w:r w:rsidR="005212BA">
        <w:t>incnetives</w:t>
      </w:r>
      <w:proofErr w:type="spellEnd"/>
      <w:r w:rsidR="005212BA">
        <w:t xml:space="preserve">; this is in keeping with the </w:t>
      </w:r>
      <w:r>
        <w:t>terms of the grant</w:t>
      </w:r>
      <w:r w:rsidR="00F74DAF">
        <w:t>s award</w:t>
      </w:r>
      <w:r w:rsidR="005212BA">
        <w:t xml:space="preserve">, which specify that grantees </w:t>
      </w:r>
      <w:r w:rsidRPr="003702B9">
        <w:t>are expected to cooperate with and contribute to the independent evaluation</w:t>
      </w:r>
      <w:r w:rsidR="00F74DAF">
        <w:t xml:space="preserve"> in its </w:t>
      </w:r>
      <w:proofErr w:type="spellStart"/>
      <w:r w:rsidR="00F74DAF">
        <w:t>entirity</w:t>
      </w:r>
      <w:proofErr w:type="spellEnd"/>
      <w:r w:rsidR="00267F75">
        <w:t>.</w:t>
      </w:r>
    </w:p>
    <w:p w:rsidR="001B5380" w:rsidRDefault="00271489" w:rsidP="0047782E">
      <w:pPr>
        <w:pStyle w:val="N2-2ndBullet"/>
      </w:pPr>
      <w:r w:rsidRPr="00FC7E90">
        <w:rPr>
          <w:b/>
        </w:rPr>
        <w:t xml:space="preserve">Submission of </w:t>
      </w:r>
      <w:r w:rsidR="0086665C">
        <w:rPr>
          <w:b/>
        </w:rPr>
        <w:t xml:space="preserve">Core </w:t>
      </w:r>
      <w:r w:rsidRPr="00FC7E90">
        <w:rPr>
          <w:b/>
        </w:rPr>
        <w:t>Program Data.</w:t>
      </w:r>
      <w:r w:rsidRPr="003702B9">
        <w:t xml:space="preserve"> </w:t>
      </w:r>
      <w:r>
        <w:t>As a part of the grant award, all grantees</w:t>
      </w:r>
      <w:r w:rsidRPr="003702B9">
        <w:t xml:space="preserve"> </w:t>
      </w:r>
      <w:r>
        <w:t>are expected to provide quarterly program data.</w:t>
      </w:r>
    </w:p>
    <w:p w:rsidR="001B5380" w:rsidRDefault="00271489" w:rsidP="006C3F63">
      <w:pPr>
        <w:pStyle w:val="N2-2ndBullet"/>
        <w:numPr>
          <w:ilvl w:val="0"/>
          <w:numId w:val="0"/>
        </w:numPr>
        <w:ind w:left="1728"/>
      </w:pPr>
      <w:r>
        <w:t xml:space="preserve">To obtain this information, all grantees </w:t>
      </w:r>
      <w:r w:rsidRPr="003702B9">
        <w:t>will be emailed on a quarterly basis [</w:t>
      </w:r>
      <w:r w:rsidR="009F0FB0">
        <w:t>Appendix AB</w:t>
      </w:r>
      <w:r w:rsidRPr="003702B9">
        <w:t>]</w:t>
      </w:r>
      <w:proofErr w:type="gramStart"/>
      <w:r w:rsidRPr="003702B9">
        <w:t>,</w:t>
      </w:r>
      <w:proofErr w:type="gramEnd"/>
      <w:r w:rsidRPr="003702B9">
        <w:t xml:space="preserve"> with a request to complete online</w:t>
      </w:r>
      <w:r w:rsidR="002129C5">
        <w:t xml:space="preserve"> Quarterly</w:t>
      </w:r>
      <w:r w:rsidRPr="003702B9">
        <w:t xml:space="preserve"> Core Program Data forms</w:t>
      </w:r>
      <w:r>
        <w:t xml:space="preserve"> </w:t>
      </w:r>
      <w:r w:rsidR="007223AE">
        <w:t>[</w:t>
      </w:r>
      <w:r w:rsidR="005212BA">
        <w:t xml:space="preserve">see </w:t>
      </w:r>
      <w:r w:rsidR="009F0FB0">
        <w:t>Appendix A</w:t>
      </w:r>
      <w:r w:rsidR="00B34409">
        <w:t>D</w:t>
      </w:r>
      <w:r w:rsidR="005212BA">
        <w:t xml:space="preserve">.1 for the Quarterly Core </w:t>
      </w:r>
      <w:r w:rsidR="002129C5">
        <w:t xml:space="preserve">Program </w:t>
      </w:r>
      <w:r w:rsidR="005212BA">
        <w:t xml:space="preserve">Data Form and Appendix AD.1 for illustrative </w:t>
      </w:r>
      <w:r w:rsidR="008E48AC">
        <w:t>Q</w:t>
      </w:r>
      <w:r w:rsidR="002129C5">
        <w:t>uarterly Core Program Data Web Form Screenshots</w:t>
      </w:r>
      <w:r w:rsidR="007223AE">
        <w:t>]</w:t>
      </w:r>
      <w:r w:rsidRPr="003702B9">
        <w:t xml:space="preserve">. </w:t>
      </w:r>
    </w:p>
    <w:p w:rsidR="001B5380" w:rsidRDefault="00271489" w:rsidP="006C3F63">
      <w:pPr>
        <w:pStyle w:val="N2-2ndBullet"/>
        <w:numPr>
          <w:ilvl w:val="0"/>
          <w:numId w:val="0"/>
        </w:numPr>
        <w:ind w:left="1728"/>
      </w:pPr>
      <w:r w:rsidRPr="003702B9">
        <w:t xml:space="preserve">At the end of each award year, </w:t>
      </w:r>
      <w:r>
        <w:t>a separate email [App</w:t>
      </w:r>
      <w:r w:rsidR="00B34409">
        <w:t>endix AC</w:t>
      </w:r>
      <w:r w:rsidRPr="003702B9">
        <w:t xml:space="preserve">] will be sent to </w:t>
      </w:r>
      <w:r>
        <w:t xml:space="preserve">all </w:t>
      </w:r>
      <w:r w:rsidRPr="003702B9">
        <w:t xml:space="preserve">grantees, requesting completion of the Annual </w:t>
      </w:r>
      <w:r>
        <w:t>C</w:t>
      </w:r>
      <w:r w:rsidRPr="003702B9">
        <w:t xml:space="preserve">ore </w:t>
      </w:r>
      <w:r>
        <w:t>P</w:t>
      </w:r>
      <w:r w:rsidRPr="003702B9">
        <w:t xml:space="preserve">rogram </w:t>
      </w:r>
      <w:r>
        <w:t>D</w:t>
      </w:r>
      <w:r w:rsidRPr="003702B9">
        <w:t>ata form</w:t>
      </w:r>
      <w:r>
        <w:t xml:space="preserve"> </w:t>
      </w:r>
      <w:r w:rsidR="007223AE">
        <w:t>[</w:t>
      </w:r>
      <w:r w:rsidR="005212BA">
        <w:t xml:space="preserve">see </w:t>
      </w:r>
      <w:r w:rsidR="009F0FB0">
        <w:t>Appendix AE</w:t>
      </w:r>
      <w:r w:rsidR="005212BA">
        <w:t xml:space="preserve"> for the Annual Core Program Data Form and Appendix AE.1 for illustrative screenshots</w:t>
      </w:r>
      <w:r w:rsidR="007223AE">
        <w:t>]</w:t>
      </w:r>
      <w:r w:rsidR="00267F75">
        <w:t xml:space="preserve">. </w:t>
      </w:r>
    </w:p>
    <w:p w:rsidR="00271489" w:rsidRPr="003702B9" w:rsidRDefault="00271489" w:rsidP="006C3F63">
      <w:pPr>
        <w:pStyle w:val="N2-2ndBullet"/>
        <w:numPr>
          <w:ilvl w:val="0"/>
          <w:numId w:val="0"/>
        </w:numPr>
        <w:ind w:left="1728"/>
      </w:pPr>
      <w:r w:rsidRPr="003702B9">
        <w:t xml:space="preserve">The emails to complete the quarterly and annual </w:t>
      </w:r>
      <w:r>
        <w:t>C</w:t>
      </w:r>
      <w:r w:rsidRPr="003702B9">
        <w:t xml:space="preserve">ore </w:t>
      </w:r>
      <w:r>
        <w:t>Program D</w:t>
      </w:r>
      <w:r w:rsidRPr="003702B9">
        <w:t xml:space="preserve">ata forms will contain a link to the online forms. As indicated in the program staff section above, </w:t>
      </w:r>
      <w:r w:rsidR="00EC0B17">
        <w:t>100</w:t>
      </w:r>
      <w:r w:rsidR="007C437A">
        <w:t xml:space="preserve"> percent</w:t>
      </w:r>
      <w:r w:rsidR="00EC0B17">
        <w:t xml:space="preserve"> participation is expected for </w:t>
      </w:r>
      <w:r>
        <w:t xml:space="preserve">all </w:t>
      </w:r>
      <w:r w:rsidRPr="003702B9">
        <w:t>grantees</w:t>
      </w:r>
      <w:r w:rsidR="00EC0B17">
        <w:t>.  Grantees</w:t>
      </w:r>
      <w:r w:rsidRPr="003702B9">
        <w:t xml:space="preserve"> are expected to cooperate with and contribute to the independent evaluation. Therefore, grantees will not be paid for their participation in this study. However, they may receive a summary data report about their FINI program.</w:t>
      </w:r>
    </w:p>
    <w:p w:rsidR="001B5380" w:rsidRDefault="00271489" w:rsidP="0047782E">
      <w:pPr>
        <w:pStyle w:val="N1-1stBullet"/>
      </w:pPr>
      <w:r w:rsidRPr="003702B9">
        <w:rPr>
          <w:b/>
        </w:rPr>
        <w:t>Retail Operators</w:t>
      </w:r>
      <w:r w:rsidR="0047782E">
        <w:rPr>
          <w:b/>
        </w:rPr>
        <w:t>.</w:t>
      </w:r>
      <w:r w:rsidRPr="003702B9">
        <w:t xml:space="preserve"> The Outlet Survey will provide the FINI operators’ perspectives on </w:t>
      </w:r>
      <w:r w:rsidR="0037532E" w:rsidRPr="003702B9">
        <w:t>implementing</w:t>
      </w:r>
      <w:r w:rsidR="0086665C">
        <w:t xml:space="preserve"> </w:t>
      </w:r>
      <w:r w:rsidRPr="003702B9">
        <w:t>and operati</w:t>
      </w:r>
      <w:r>
        <w:t>ng</w:t>
      </w:r>
      <w:r w:rsidRPr="003702B9">
        <w:t xml:space="preserve"> the incentive program. The Outlet Survey will be mailed to </w:t>
      </w:r>
      <w:r>
        <w:t xml:space="preserve">all </w:t>
      </w:r>
      <w:r w:rsidRPr="003702B9">
        <w:t xml:space="preserve">participating outlets. </w:t>
      </w:r>
    </w:p>
    <w:p w:rsidR="001B5380" w:rsidRDefault="001B5380" w:rsidP="00A3583D">
      <w:pPr>
        <w:pStyle w:val="N1-1stBullet"/>
        <w:numPr>
          <w:ilvl w:val="0"/>
          <w:numId w:val="0"/>
        </w:numPr>
        <w:ind w:left="1800"/>
      </w:pPr>
      <w:r w:rsidRPr="00A3583D">
        <w:t>We</w:t>
      </w:r>
      <w:r>
        <w:rPr>
          <w:b/>
        </w:rPr>
        <w:t xml:space="preserve"> </w:t>
      </w:r>
      <w:r w:rsidR="00271489" w:rsidRPr="003702B9">
        <w:t xml:space="preserve">will mail an invitation letter [Appendix </w:t>
      </w:r>
      <w:r w:rsidR="009F0FB0">
        <w:t>AF</w:t>
      </w:r>
      <w:r w:rsidR="00271489" w:rsidRPr="003702B9">
        <w:t>] and the hardcopy survey to all operating outlets</w:t>
      </w:r>
      <w:r w:rsidR="004F4292">
        <w:t>, including all farmers markets</w:t>
      </w:r>
      <w:r w:rsidR="009F0FB0">
        <w:t xml:space="preserve"> [A</w:t>
      </w:r>
      <w:r w:rsidR="004F4292">
        <w:t>ppendix AG</w:t>
      </w:r>
      <w:r w:rsidR="005212BA">
        <w:t>.1</w:t>
      </w:r>
      <w:r w:rsidR="004F4292">
        <w:t>]</w:t>
      </w:r>
      <w:r w:rsidR="009F0FB0">
        <w:t xml:space="preserve"> </w:t>
      </w:r>
      <w:r w:rsidR="004F4292">
        <w:t xml:space="preserve">and grocery stores, CSAs and farm stands [Appendix </w:t>
      </w:r>
      <w:r w:rsidR="005212BA">
        <w:t>AG.2</w:t>
      </w:r>
      <w:r w:rsidR="00271489" w:rsidRPr="003702B9">
        <w:t>].</w:t>
      </w:r>
      <w:r w:rsidR="00F952DB">
        <w:rPr>
          <w:rStyle w:val="FootnoteReference"/>
        </w:rPr>
        <w:footnoteReference w:id="5"/>
      </w:r>
      <w:r w:rsidR="00271489" w:rsidRPr="003702B9">
        <w:t xml:space="preserve"> </w:t>
      </w:r>
    </w:p>
    <w:p w:rsidR="001B5380" w:rsidRDefault="00271489" w:rsidP="00A3583D">
      <w:pPr>
        <w:pStyle w:val="N1-1stBullet"/>
        <w:numPr>
          <w:ilvl w:val="0"/>
          <w:numId w:val="0"/>
        </w:numPr>
        <w:ind w:left="1800"/>
      </w:pPr>
      <w:r w:rsidRPr="003702B9">
        <w:t xml:space="preserve">Two weeks after the invitation letter mailing, </w:t>
      </w:r>
      <w:r w:rsidR="00EC0B17">
        <w:t>we</w:t>
      </w:r>
      <w:r w:rsidR="00EC0B17" w:rsidRPr="003702B9">
        <w:t xml:space="preserve"> </w:t>
      </w:r>
      <w:r w:rsidRPr="003702B9">
        <w:t>will mail a reminder postcard to nonresponding outlet operators [Appendi</w:t>
      </w:r>
      <w:r w:rsidR="005212BA">
        <w:t>x AH</w:t>
      </w:r>
      <w:r w:rsidRPr="003702B9">
        <w:t xml:space="preserve">]. The </w:t>
      </w:r>
      <w:r w:rsidR="001B5380">
        <w:t xml:space="preserve">reminder </w:t>
      </w:r>
      <w:r w:rsidRPr="003702B9">
        <w:t xml:space="preserve">postcard will include a toll-free number to call to request another copy of the survey in the event they have lost or misplaced the survey included in the invitation letter mailing. </w:t>
      </w:r>
    </w:p>
    <w:p w:rsidR="001B5380" w:rsidRDefault="00271489" w:rsidP="00A3583D">
      <w:pPr>
        <w:pStyle w:val="N1-1stBullet"/>
        <w:numPr>
          <w:ilvl w:val="0"/>
          <w:numId w:val="0"/>
        </w:numPr>
        <w:ind w:left="1800"/>
      </w:pPr>
      <w:r w:rsidRPr="003702B9">
        <w:t xml:space="preserve">Five weeks after the invitation letter mailing, </w:t>
      </w:r>
      <w:r w:rsidR="002202FD">
        <w:t>we w</w:t>
      </w:r>
      <w:r w:rsidR="005212BA">
        <w:t>ill send an email [Appendix AI</w:t>
      </w:r>
      <w:r w:rsidR="002202FD">
        <w:t xml:space="preserve">] to </w:t>
      </w:r>
      <w:r w:rsidRPr="003702B9">
        <w:t xml:space="preserve">grantees </w:t>
      </w:r>
      <w:r w:rsidR="002202FD">
        <w:t>that will provide</w:t>
      </w:r>
      <w:r w:rsidRPr="003702B9">
        <w:t xml:space="preserve"> a list of nonresponding </w:t>
      </w:r>
      <w:r w:rsidR="00744AF5">
        <w:t>outlets and ask them</w:t>
      </w:r>
      <w:r w:rsidRPr="003702B9">
        <w:t xml:space="preserve"> to follow up with the outlet operator to complete the survey. </w:t>
      </w:r>
    </w:p>
    <w:p w:rsidR="00271489" w:rsidRDefault="00271489" w:rsidP="00A3583D">
      <w:pPr>
        <w:pStyle w:val="N1-1stBullet"/>
        <w:numPr>
          <w:ilvl w:val="0"/>
          <w:numId w:val="0"/>
        </w:numPr>
        <w:ind w:left="1800"/>
      </w:pPr>
      <w:r w:rsidRPr="003702B9">
        <w:t>A thank</w:t>
      </w:r>
      <w:r>
        <w:t xml:space="preserve"> </w:t>
      </w:r>
      <w:r w:rsidRPr="003702B9">
        <w:t>you letter will be send to all respondi</w:t>
      </w:r>
      <w:r w:rsidR="009F0FB0">
        <w:t>ng retail operators [Appendix AJ</w:t>
      </w:r>
      <w:r w:rsidRPr="003702B9">
        <w:t>].</w:t>
      </w:r>
    </w:p>
    <w:p w:rsidR="00271489" w:rsidRPr="003702B9" w:rsidRDefault="00271489" w:rsidP="00271489">
      <w:pPr>
        <w:pStyle w:val="L1-FlLSp12"/>
      </w:pPr>
      <w:bookmarkStart w:id="11" w:name="_Toc329341675"/>
      <w:bookmarkStart w:id="12" w:name="_Toc400376124"/>
    </w:p>
    <w:p w:rsidR="00271489" w:rsidRPr="003702B9" w:rsidRDefault="00271489" w:rsidP="00271489">
      <w:pPr>
        <w:pStyle w:val="Heading2"/>
      </w:pPr>
      <w:r w:rsidRPr="003702B9">
        <w:t>A.3</w:t>
      </w:r>
      <w:r w:rsidRPr="003702B9">
        <w:tab/>
        <w:t>Use of Information Technology and Burden Reduction</w:t>
      </w:r>
      <w:bookmarkEnd w:id="11"/>
      <w:bookmarkEnd w:id="12"/>
    </w:p>
    <w:p w:rsidR="00271489" w:rsidRPr="002F126A" w:rsidRDefault="00271489" w:rsidP="00271489">
      <w:pPr>
        <w:pStyle w:val="L1-FlLSp12"/>
        <w:rPr>
          <w:b/>
        </w:rPr>
      </w:pPr>
      <w:r w:rsidRPr="002F126A">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71489" w:rsidRPr="003702B9" w:rsidRDefault="00271489" w:rsidP="00271489">
      <w:pPr>
        <w:pStyle w:val="L1-FlLSp12"/>
        <w:rPr>
          <w:i/>
        </w:rPr>
      </w:pPr>
    </w:p>
    <w:p w:rsidR="00271489" w:rsidRPr="003702B9" w:rsidRDefault="00EC0B17" w:rsidP="00271489">
      <w:pPr>
        <w:pStyle w:val="L1-FlLSp12"/>
        <w:rPr>
          <w:i/>
        </w:rPr>
      </w:pPr>
      <w:r w:rsidRPr="00EC0B17">
        <w:rPr>
          <w:rFonts w:cs="Arial"/>
          <w:spacing w:val="-3"/>
        </w:rPr>
        <w:t>FNS is committed to compliance with the E-Government Act, 2002.</w:t>
      </w:r>
      <w:r>
        <w:rPr>
          <w:rFonts w:ascii="Arial" w:hAnsi="Arial" w:cs="Arial"/>
          <w:spacing w:val="-3"/>
        </w:rPr>
        <w:t xml:space="preserve"> </w:t>
      </w:r>
      <w:r w:rsidRPr="00EF55DE">
        <w:rPr>
          <w:rFonts w:ascii="Arial" w:hAnsi="Arial" w:cs="Arial"/>
          <w:spacing w:val="-3"/>
        </w:rPr>
        <w:t xml:space="preserve"> </w:t>
      </w:r>
      <w:r w:rsidR="00271489" w:rsidRPr="003702B9">
        <w:t xml:space="preserve">This study offers technology-based options to </w:t>
      </w:r>
      <w:r w:rsidR="009224A2">
        <w:t xml:space="preserve">SNAP Participants invited to complete the SPS, </w:t>
      </w:r>
      <w:r w:rsidR="00271489" w:rsidRPr="003702B9">
        <w:t xml:space="preserve">to ease the burden of participating in the study. </w:t>
      </w:r>
      <w:r w:rsidR="00271489">
        <w:t>We expect 15 percent of the SNAP participants to complete the SPS online</w:t>
      </w:r>
      <w:r w:rsidR="00271489" w:rsidRPr="003702B9">
        <w:t xml:space="preserve">. In addition, </w:t>
      </w:r>
      <w:r w:rsidR="003A1CD9">
        <w:t xml:space="preserve">100 percent of all </w:t>
      </w:r>
      <w:r w:rsidR="00271489">
        <w:t>FINI grantees will submit all annual and quarterly Core Program Data using the online form.</w:t>
      </w:r>
    </w:p>
    <w:p w:rsidR="00271489" w:rsidRDefault="00271489" w:rsidP="00271489">
      <w:pPr>
        <w:pStyle w:val="L1-FlLSp12"/>
      </w:pPr>
    </w:p>
    <w:p w:rsidR="00271489" w:rsidRPr="003702B9" w:rsidRDefault="00271489" w:rsidP="00271489">
      <w:pPr>
        <w:pStyle w:val="L1-FlLSp12"/>
      </w:pPr>
    </w:p>
    <w:p w:rsidR="00271489" w:rsidRPr="003702B9" w:rsidRDefault="00271489" w:rsidP="00271489">
      <w:pPr>
        <w:pStyle w:val="Heading2"/>
      </w:pPr>
      <w:bookmarkStart w:id="13" w:name="_Toc286158951"/>
      <w:bookmarkStart w:id="14" w:name="_Toc286160540"/>
      <w:bookmarkStart w:id="15" w:name="_Toc290021763"/>
      <w:bookmarkStart w:id="16" w:name="_Toc329341676"/>
      <w:bookmarkStart w:id="17" w:name="_Toc400376125"/>
      <w:r w:rsidRPr="003702B9">
        <w:t>A.4</w:t>
      </w:r>
      <w:r w:rsidRPr="003702B9">
        <w:tab/>
      </w:r>
      <w:bookmarkEnd w:id="13"/>
      <w:bookmarkEnd w:id="14"/>
      <w:bookmarkEnd w:id="15"/>
      <w:r w:rsidRPr="003702B9">
        <w:t>Efforts to Identify Duplication and Use of Similar Information</w:t>
      </w:r>
      <w:bookmarkEnd w:id="16"/>
      <w:bookmarkEnd w:id="17"/>
    </w:p>
    <w:p w:rsidR="00271489" w:rsidRPr="002F126A" w:rsidRDefault="00271489" w:rsidP="00271489">
      <w:pPr>
        <w:pStyle w:val="L1-FlLSp12"/>
        <w:rPr>
          <w:b/>
        </w:rPr>
      </w:pPr>
      <w:r w:rsidRPr="002F126A">
        <w:rPr>
          <w:b/>
        </w:rPr>
        <w:t xml:space="preserve">Describe efforts to identify duplication. Show specifically why any similar information </w:t>
      </w:r>
      <w:r w:rsidRPr="00772184">
        <w:rPr>
          <w:b/>
        </w:rPr>
        <w:t>already available cannot be used or modified for use for the purpose</w:t>
      </w:r>
      <w:r w:rsidRPr="002F126A">
        <w:rPr>
          <w:b/>
        </w:rPr>
        <w:t xml:space="preserve"> described in item 2</w:t>
      </w:r>
      <w:r w:rsidR="00EB54AD">
        <w:rPr>
          <w:b/>
        </w:rPr>
        <w:t> </w:t>
      </w:r>
      <w:r w:rsidRPr="002F126A">
        <w:rPr>
          <w:b/>
        </w:rPr>
        <w:t>above.</w:t>
      </w:r>
    </w:p>
    <w:p w:rsidR="00271489" w:rsidRPr="003702B9" w:rsidRDefault="00271489" w:rsidP="00271489">
      <w:pPr>
        <w:pStyle w:val="L1-FlLSp12"/>
      </w:pPr>
    </w:p>
    <w:p w:rsidR="00267F75" w:rsidRDefault="00271489" w:rsidP="00EC0B17">
      <w:pPr>
        <w:pStyle w:val="L1-FlLSp12"/>
        <w:rPr>
          <w:rFonts w:cs="Arial"/>
          <w:szCs w:val="24"/>
        </w:rPr>
      </w:pPr>
      <w:r>
        <w:t xml:space="preserve">To our knowledge, there is no similar information already available or being collected for the study’s timeframe that can be used to independently evaluate this congressionally mandated grant program. </w:t>
      </w:r>
      <w:r w:rsidRPr="003702B9">
        <w:t>Every effort has been made to avoid duplication. The data requirements for the study have been carefully reviewed to determine whether the needed information is already available. I</w:t>
      </w:r>
      <w:r w:rsidRPr="003702B9">
        <w:rPr>
          <w:szCs w:val="24"/>
        </w:rPr>
        <w:t xml:space="preserve">n our review, we identified several studies examining the impact of incentives on fruit and vegetable consumption among SNAP participants. The largest and most rigorous study </w:t>
      </w:r>
      <w:r w:rsidR="00D6308A">
        <w:rPr>
          <w:szCs w:val="24"/>
        </w:rPr>
        <w:t>was the Healthy Incentives Pilot</w:t>
      </w:r>
      <w:r w:rsidR="00D6308A">
        <w:rPr>
          <w:rStyle w:val="FootnoteReference"/>
        </w:rPr>
        <w:footnoteReference w:id="6"/>
      </w:r>
      <w:r w:rsidR="00D6308A">
        <w:rPr>
          <w:szCs w:val="24"/>
        </w:rPr>
        <w:t xml:space="preserve"> </w:t>
      </w:r>
      <w:r w:rsidRPr="003702B9">
        <w:rPr>
          <w:szCs w:val="24"/>
        </w:rPr>
        <w:t xml:space="preserve">funded by USDA and conducted in </w:t>
      </w:r>
      <w:r>
        <w:rPr>
          <w:szCs w:val="24"/>
        </w:rPr>
        <w:t xml:space="preserve">one county in </w:t>
      </w:r>
      <w:r w:rsidRPr="003702B9">
        <w:rPr>
          <w:szCs w:val="24"/>
        </w:rPr>
        <w:t>Massachusetts. The current survey is designed to gather</w:t>
      </w:r>
      <w:r w:rsidR="006E4C70">
        <w:rPr>
          <w:szCs w:val="24"/>
        </w:rPr>
        <w:t xml:space="preserve"> process data for large-</w:t>
      </w:r>
      <w:r w:rsidRPr="003702B9">
        <w:rPr>
          <w:szCs w:val="24"/>
        </w:rPr>
        <w:t xml:space="preserve">scale and </w:t>
      </w:r>
      <w:r w:rsidR="006E4C70">
        <w:rPr>
          <w:szCs w:val="24"/>
        </w:rPr>
        <w:t>community-based</w:t>
      </w:r>
      <w:r w:rsidRPr="003702B9">
        <w:rPr>
          <w:szCs w:val="24"/>
        </w:rPr>
        <w:t xml:space="preserve"> FINI grantees and outcome data from a sample of SNAP participants in the intervention and comparison groups. This study will combine</w:t>
      </w:r>
      <w:r w:rsidRPr="003702B9">
        <w:rPr>
          <w:rFonts w:cs="Arial"/>
          <w:szCs w:val="24"/>
        </w:rPr>
        <w:t xml:space="preserve"> the data from </w:t>
      </w:r>
      <w:r>
        <w:rPr>
          <w:rFonts w:cs="Arial"/>
          <w:szCs w:val="24"/>
        </w:rPr>
        <w:t>SNAP Participant Survey</w:t>
      </w:r>
      <w:r w:rsidRPr="003702B9">
        <w:rPr>
          <w:rFonts w:cs="Arial"/>
          <w:szCs w:val="24"/>
        </w:rPr>
        <w:t xml:space="preserve">s, </w:t>
      </w:r>
      <w:r w:rsidR="006D5AA2">
        <w:rPr>
          <w:rFonts w:cs="Arial"/>
          <w:szCs w:val="24"/>
        </w:rPr>
        <w:t>Outlet S</w:t>
      </w:r>
      <w:r w:rsidRPr="003702B9">
        <w:rPr>
          <w:rFonts w:cs="Arial"/>
          <w:szCs w:val="24"/>
        </w:rPr>
        <w:t>urvey</w:t>
      </w:r>
      <w:r>
        <w:rPr>
          <w:rFonts w:cs="Arial"/>
          <w:szCs w:val="24"/>
        </w:rPr>
        <w:t>s</w:t>
      </w:r>
      <w:r w:rsidRPr="003702B9">
        <w:rPr>
          <w:rFonts w:cs="Arial"/>
          <w:szCs w:val="24"/>
        </w:rPr>
        <w:t>, and key informant interviews with SNAP participants and grantees, providing valuable information on how FINI interventions were delivered and their associated outcomes</w:t>
      </w:r>
      <w:r w:rsidR="00267F75">
        <w:rPr>
          <w:rFonts w:cs="Arial"/>
          <w:szCs w:val="24"/>
        </w:rPr>
        <w:t>.</w:t>
      </w:r>
    </w:p>
    <w:p w:rsidR="0047782E" w:rsidRDefault="0047782E" w:rsidP="00271489">
      <w:pPr>
        <w:pStyle w:val="L1-FlLSp12"/>
        <w:rPr>
          <w:rFonts w:cs="Arial"/>
          <w:szCs w:val="24"/>
        </w:rPr>
      </w:pPr>
    </w:p>
    <w:p w:rsidR="0047782E" w:rsidRPr="003702B9" w:rsidRDefault="0047782E" w:rsidP="00271489">
      <w:pPr>
        <w:pStyle w:val="L1-FlLSp12"/>
        <w:rPr>
          <w:rFonts w:cs="Arial"/>
          <w:szCs w:val="24"/>
        </w:rPr>
      </w:pPr>
    </w:p>
    <w:p w:rsidR="00271489" w:rsidRPr="003702B9" w:rsidRDefault="00271489" w:rsidP="00271489">
      <w:pPr>
        <w:pStyle w:val="Heading2"/>
      </w:pPr>
      <w:bookmarkStart w:id="18" w:name="_Toc400376126"/>
      <w:bookmarkStart w:id="19" w:name="_Toc280797903"/>
      <w:r w:rsidRPr="003702B9">
        <w:t>A.5</w:t>
      </w:r>
      <w:r w:rsidRPr="003702B9">
        <w:tab/>
        <w:t>Impact on Small Businesses or Other Small Entities</w:t>
      </w:r>
      <w:bookmarkEnd w:id="18"/>
    </w:p>
    <w:p w:rsidR="00271489" w:rsidRPr="002F126A" w:rsidRDefault="00271489" w:rsidP="00271489">
      <w:pPr>
        <w:pStyle w:val="L1-FlLSp12"/>
        <w:rPr>
          <w:b/>
        </w:rPr>
      </w:pPr>
      <w:r w:rsidRPr="002F126A">
        <w:rPr>
          <w:b/>
        </w:rPr>
        <w:t>If the collection of information impacts small businesses or other small entities, describe any methods used to minimize burden.</w:t>
      </w:r>
    </w:p>
    <w:p w:rsidR="00271489" w:rsidRPr="003702B9" w:rsidRDefault="00271489" w:rsidP="00271489">
      <w:pPr>
        <w:pStyle w:val="L1-FlLSp12"/>
      </w:pPr>
    </w:p>
    <w:p w:rsidR="00271489" w:rsidRDefault="00271489" w:rsidP="00271489">
      <w:pPr>
        <w:pStyle w:val="L1-FlLSp12"/>
      </w:pPr>
      <w:bookmarkStart w:id="20" w:name="_Toc323559322"/>
      <w:r>
        <w:t>Many of the outlets selected for the evaluation will be small businesses or other small entities, and will provide information on the administration of the incentives. All efforts will be made to minimize burden. As with the other respondents, the information being collected from small businesses will be kept to the minimum needed for the congressional-mandated evaluation</w:t>
      </w:r>
      <w:bookmarkEnd w:id="20"/>
      <w:r>
        <w:t xml:space="preserve">. </w:t>
      </w:r>
    </w:p>
    <w:p w:rsidR="00705148" w:rsidRDefault="004C246C" w:rsidP="00271489">
      <w:pPr>
        <w:pStyle w:val="L1-FlLSp12"/>
      </w:pPr>
      <w:r w:rsidRPr="00F654D7">
        <w:t xml:space="preserve">We estimate 3600 participating FINI outlets; of these </w:t>
      </w:r>
      <w:r w:rsidR="00705148" w:rsidRPr="00F654D7">
        <w:t xml:space="preserve">approximately </w:t>
      </w:r>
      <w:r w:rsidR="00F654D7" w:rsidRPr="00F654D7">
        <w:t>85 percent</w:t>
      </w:r>
      <w:r w:rsidR="00705148" w:rsidRPr="00F654D7">
        <w:t xml:space="preserve"> </w:t>
      </w:r>
      <w:r w:rsidRPr="00F654D7">
        <w:t xml:space="preserve">are expected to </w:t>
      </w:r>
      <w:proofErr w:type="gramStart"/>
      <w:r w:rsidRPr="00F654D7">
        <w:t xml:space="preserve">be </w:t>
      </w:r>
      <w:r w:rsidR="00705148" w:rsidRPr="00F654D7">
        <w:t xml:space="preserve"> small</w:t>
      </w:r>
      <w:proofErr w:type="gramEnd"/>
      <w:r w:rsidR="00705148" w:rsidRPr="00F654D7">
        <w:t xml:space="preserve"> business</w:t>
      </w:r>
      <w:r w:rsidR="005B213E">
        <w:t xml:space="preserve"> for a total of 3060</w:t>
      </w:r>
      <w:r w:rsidRPr="00F654D7">
        <w:t>.</w:t>
      </w:r>
      <w:r w:rsidRPr="00F654D7">
        <w:rPr>
          <w:rStyle w:val="FootnoteReference"/>
        </w:rPr>
        <w:footnoteReference w:id="7"/>
      </w:r>
    </w:p>
    <w:p w:rsidR="00271489" w:rsidRPr="003702B9" w:rsidRDefault="00271489" w:rsidP="00271489">
      <w:pPr>
        <w:pStyle w:val="Heading2"/>
      </w:pPr>
      <w:bookmarkStart w:id="21" w:name="_Toc329341678"/>
      <w:bookmarkStart w:id="22" w:name="_Toc400376127"/>
      <w:bookmarkStart w:id="23" w:name="_Toc280797904"/>
      <w:r w:rsidRPr="003702B9">
        <w:t>A.6</w:t>
      </w:r>
      <w:r w:rsidRPr="003702B9">
        <w:tab/>
        <w:t>Consequences of Collecting the Information Less Frequently</w:t>
      </w:r>
      <w:bookmarkEnd w:id="21"/>
      <w:bookmarkEnd w:id="22"/>
    </w:p>
    <w:p w:rsidR="00271489" w:rsidRPr="002F126A" w:rsidRDefault="00271489" w:rsidP="00271489">
      <w:pPr>
        <w:pStyle w:val="L1-FlLSp12"/>
        <w:rPr>
          <w:b/>
        </w:rPr>
      </w:pPr>
      <w:r w:rsidRPr="002F126A">
        <w:rPr>
          <w:b/>
        </w:rPr>
        <w:t>Describe the consequence to Federal program or policy activities if the collection is not conducted or is conducted less frequently, as well as any technical or legal obstacles to reducing burden.</w:t>
      </w:r>
    </w:p>
    <w:p w:rsidR="00155714" w:rsidRDefault="00155714" w:rsidP="00271489">
      <w:pPr>
        <w:pStyle w:val="L1-FlLSp12"/>
      </w:pPr>
    </w:p>
    <w:p w:rsidR="00271489" w:rsidRDefault="00A13B5E" w:rsidP="00271489">
      <w:pPr>
        <w:pStyle w:val="L1-FlLSp12"/>
      </w:pPr>
      <w:r>
        <w:t xml:space="preserve">This is a one-time data collection activity. </w:t>
      </w:r>
      <w:r w:rsidR="00271489" w:rsidRPr="003702B9">
        <w:t xml:space="preserve">FINI grantees are expected to conduct their own process and outcome evaluations. The independent, rigorous evaluation provides an opportunity to collect standardized data across all grantees and to use consistent measures to compare implementation processes and outcomes. </w:t>
      </w:r>
      <w:r w:rsidR="00271489">
        <w:t>Some outlets such as farmers markets may be seasonal and operate for part of the year</w:t>
      </w:r>
      <w:r w:rsidR="00267F75">
        <w:t xml:space="preserve">. </w:t>
      </w:r>
      <w:r w:rsidR="00271489" w:rsidRPr="003702B9">
        <w:t xml:space="preserve">The request for clearance is to conduct data collection </w:t>
      </w:r>
      <w:r w:rsidR="0037532E">
        <w:t xml:space="preserve">during </w:t>
      </w:r>
      <w:r w:rsidR="0037532E" w:rsidRPr="003702B9">
        <w:t>a</w:t>
      </w:r>
      <w:r w:rsidR="00271489" w:rsidRPr="003702B9">
        <w:t xml:space="preserve"> specifi</w:t>
      </w:r>
      <w:r w:rsidR="00271489">
        <w:t>c</w:t>
      </w:r>
      <w:r w:rsidR="00271489" w:rsidRPr="003702B9">
        <w:t xml:space="preserve"> time for each cycle of grantee awards. If this information collection is not conducted, USDA/FNS will not have consistent data across all </w:t>
      </w:r>
      <w:r w:rsidR="004B415F">
        <w:t xml:space="preserve">incentive </w:t>
      </w:r>
      <w:r w:rsidR="00271489" w:rsidRPr="003702B9">
        <w:t>programs to identify the best intervention strategies to promote and improve fruit and vegetable purchase and consumption in SNAP households.</w:t>
      </w:r>
    </w:p>
    <w:p w:rsidR="00460BBB" w:rsidRDefault="00460BBB" w:rsidP="00271489">
      <w:pPr>
        <w:pStyle w:val="L1-FlLSp12"/>
      </w:pPr>
    </w:p>
    <w:p w:rsidR="00986958" w:rsidRDefault="00986958" w:rsidP="00271489">
      <w:pPr>
        <w:pStyle w:val="L1-FlLSp12"/>
      </w:pPr>
    </w:p>
    <w:p w:rsidR="00271489" w:rsidRPr="003702B9" w:rsidRDefault="00271489" w:rsidP="00271489">
      <w:pPr>
        <w:pStyle w:val="Heading2"/>
      </w:pPr>
      <w:bookmarkStart w:id="24" w:name="_Toc329341679"/>
      <w:bookmarkStart w:id="25" w:name="_Toc400376128"/>
      <w:bookmarkEnd w:id="23"/>
      <w:r w:rsidRPr="003702B9">
        <w:t>A.7</w:t>
      </w:r>
      <w:r w:rsidRPr="003702B9">
        <w:tab/>
        <w:t>Special Circumstances Relating to the Guidelines of 5</w:t>
      </w:r>
      <w:r>
        <w:t> </w:t>
      </w:r>
      <w:r w:rsidRPr="003702B9">
        <w:t>CFR 1320.5</w:t>
      </w:r>
      <w:bookmarkEnd w:id="24"/>
      <w:bookmarkEnd w:id="25"/>
    </w:p>
    <w:p w:rsidR="00271489" w:rsidRPr="002F126A" w:rsidRDefault="00271489" w:rsidP="00271489">
      <w:pPr>
        <w:pStyle w:val="L1-FlLSp12"/>
        <w:rPr>
          <w:b/>
        </w:rPr>
      </w:pPr>
      <w:bookmarkStart w:id="26" w:name="_Toc400376129"/>
      <w:r w:rsidRPr="002F126A">
        <w:rPr>
          <w:b/>
        </w:rPr>
        <w:t>Explain any special circumstances that would cause an information collection to be conducted in a manner:</w:t>
      </w:r>
      <w:bookmarkEnd w:id="26"/>
    </w:p>
    <w:p w:rsidR="00271489" w:rsidRPr="003702B9" w:rsidRDefault="00271489" w:rsidP="00271489">
      <w:pPr>
        <w:pStyle w:val="L1-FlLSp12"/>
      </w:pPr>
    </w:p>
    <w:p w:rsidR="00271489" w:rsidRPr="00392792" w:rsidRDefault="00271489" w:rsidP="0047782E">
      <w:pPr>
        <w:pStyle w:val="N1-1stBullet"/>
        <w:rPr>
          <w:b/>
        </w:rPr>
      </w:pPr>
      <w:bookmarkStart w:id="27" w:name="_Toc315090007"/>
      <w:bookmarkStart w:id="28" w:name="_Toc316652478"/>
      <w:bookmarkStart w:id="29" w:name="_Toc325472105"/>
      <w:bookmarkStart w:id="30" w:name="_Toc325552279"/>
      <w:bookmarkStart w:id="31" w:name="_Toc400376130"/>
      <w:r w:rsidRPr="00392792">
        <w:rPr>
          <w:b/>
        </w:rPr>
        <w:t>Requiring respondents to report information to the agency more often than quarterly;</w:t>
      </w:r>
      <w:bookmarkEnd w:id="27"/>
      <w:bookmarkEnd w:id="28"/>
      <w:bookmarkEnd w:id="29"/>
      <w:bookmarkEnd w:id="30"/>
      <w:bookmarkEnd w:id="31"/>
    </w:p>
    <w:p w:rsidR="00271489" w:rsidRPr="00392792" w:rsidRDefault="00271489" w:rsidP="0047782E">
      <w:pPr>
        <w:pStyle w:val="N1-1stBullet"/>
        <w:rPr>
          <w:b/>
        </w:rPr>
      </w:pPr>
      <w:bookmarkStart w:id="32" w:name="_Toc315090008"/>
      <w:bookmarkStart w:id="33" w:name="_Toc316652479"/>
      <w:bookmarkStart w:id="34" w:name="_Toc325472106"/>
      <w:bookmarkStart w:id="35" w:name="_Toc325552280"/>
      <w:bookmarkStart w:id="36" w:name="_Toc400376131"/>
      <w:r w:rsidRPr="00392792">
        <w:rPr>
          <w:b/>
        </w:rPr>
        <w:t>Requiring respondents to prepare a written response to a collection of information in fewer than 30 days after receipt of it;</w:t>
      </w:r>
      <w:bookmarkEnd w:id="32"/>
      <w:bookmarkEnd w:id="33"/>
      <w:bookmarkEnd w:id="34"/>
      <w:bookmarkEnd w:id="35"/>
      <w:bookmarkEnd w:id="36"/>
    </w:p>
    <w:p w:rsidR="00271489" w:rsidRPr="00392792" w:rsidRDefault="00271489" w:rsidP="0047782E">
      <w:pPr>
        <w:pStyle w:val="N1-1stBullet"/>
        <w:rPr>
          <w:b/>
        </w:rPr>
      </w:pPr>
      <w:bookmarkStart w:id="37" w:name="_Toc315090009"/>
      <w:bookmarkStart w:id="38" w:name="_Toc316652480"/>
      <w:bookmarkStart w:id="39" w:name="_Toc325472107"/>
      <w:bookmarkStart w:id="40" w:name="_Toc325552281"/>
      <w:bookmarkStart w:id="41" w:name="_Toc400376132"/>
      <w:r w:rsidRPr="00392792">
        <w:rPr>
          <w:b/>
        </w:rPr>
        <w:t>Requiring respondents to submit more than an original and two copies of any document;</w:t>
      </w:r>
      <w:bookmarkEnd w:id="37"/>
      <w:bookmarkEnd w:id="38"/>
      <w:bookmarkEnd w:id="39"/>
      <w:bookmarkEnd w:id="40"/>
      <w:bookmarkEnd w:id="41"/>
    </w:p>
    <w:p w:rsidR="00271489" w:rsidRPr="00392792" w:rsidRDefault="00271489" w:rsidP="0047782E">
      <w:pPr>
        <w:pStyle w:val="N1-1stBullet"/>
        <w:rPr>
          <w:b/>
        </w:rPr>
      </w:pPr>
      <w:bookmarkStart w:id="42" w:name="_Toc315090010"/>
      <w:bookmarkStart w:id="43" w:name="_Toc316652481"/>
      <w:bookmarkStart w:id="44" w:name="_Toc325472108"/>
      <w:bookmarkStart w:id="45" w:name="_Toc325552282"/>
      <w:bookmarkStart w:id="46" w:name="_Toc400376133"/>
      <w:r w:rsidRPr="00392792">
        <w:rPr>
          <w:b/>
        </w:rPr>
        <w:t>Requiring respondents to retain records, other than health, medical, government contract, grant-in-aid, or tax records for more than 3 years;</w:t>
      </w:r>
      <w:bookmarkEnd w:id="42"/>
      <w:bookmarkEnd w:id="43"/>
      <w:bookmarkEnd w:id="44"/>
      <w:bookmarkEnd w:id="45"/>
      <w:bookmarkEnd w:id="46"/>
    </w:p>
    <w:p w:rsidR="00271489" w:rsidRPr="00392792" w:rsidRDefault="00271489" w:rsidP="0047782E">
      <w:pPr>
        <w:pStyle w:val="N1-1stBullet"/>
        <w:rPr>
          <w:b/>
        </w:rPr>
      </w:pPr>
      <w:bookmarkStart w:id="47" w:name="_Toc315090011"/>
      <w:bookmarkStart w:id="48" w:name="_Toc316652482"/>
      <w:bookmarkStart w:id="49" w:name="_Toc325472109"/>
      <w:bookmarkStart w:id="50" w:name="_Toc325552283"/>
      <w:bookmarkStart w:id="51" w:name="_Toc400376134"/>
      <w:r w:rsidRPr="00392792">
        <w:rPr>
          <w:b/>
        </w:rPr>
        <w:t>In connection with a statistical surveys, that is not designed to produce valid and reliable results that can be generalized to the universe of study;</w:t>
      </w:r>
      <w:bookmarkEnd w:id="47"/>
      <w:bookmarkEnd w:id="48"/>
      <w:bookmarkEnd w:id="49"/>
      <w:bookmarkEnd w:id="50"/>
      <w:bookmarkEnd w:id="51"/>
    </w:p>
    <w:p w:rsidR="00271489" w:rsidRPr="00392792" w:rsidRDefault="00271489" w:rsidP="0047782E">
      <w:pPr>
        <w:pStyle w:val="N1-1stBullet"/>
        <w:rPr>
          <w:b/>
        </w:rPr>
      </w:pPr>
      <w:bookmarkStart w:id="52" w:name="_Toc315090012"/>
      <w:bookmarkStart w:id="53" w:name="_Toc316652483"/>
      <w:bookmarkStart w:id="54" w:name="_Toc325472110"/>
      <w:bookmarkStart w:id="55" w:name="_Toc325552284"/>
      <w:bookmarkStart w:id="56" w:name="_Toc400376135"/>
      <w:r w:rsidRPr="00392792">
        <w:rPr>
          <w:b/>
        </w:rPr>
        <w:t>Requiring the use of a statistical data classification that has not been reviewed and approved by OMB;</w:t>
      </w:r>
      <w:bookmarkEnd w:id="52"/>
      <w:bookmarkEnd w:id="53"/>
      <w:bookmarkEnd w:id="54"/>
      <w:bookmarkEnd w:id="55"/>
      <w:bookmarkEnd w:id="56"/>
    </w:p>
    <w:p w:rsidR="00271489" w:rsidRPr="00392792" w:rsidRDefault="00271489" w:rsidP="0047782E">
      <w:pPr>
        <w:pStyle w:val="N1-1stBullet"/>
        <w:rPr>
          <w:b/>
        </w:rPr>
      </w:pPr>
      <w:bookmarkStart w:id="57" w:name="_Toc315090013"/>
      <w:bookmarkStart w:id="58" w:name="_Toc316652484"/>
      <w:bookmarkStart w:id="59" w:name="_Toc325472111"/>
      <w:bookmarkStart w:id="60" w:name="_Toc325552285"/>
      <w:bookmarkStart w:id="61" w:name="_Toc400376136"/>
      <w:r w:rsidRPr="00392792">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Start w:id="62" w:name="_Toc315090014"/>
      <w:bookmarkStart w:id="63" w:name="_Toc316652485"/>
      <w:bookmarkStart w:id="64" w:name="_Toc325472112"/>
      <w:bookmarkStart w:id="65" w:name="_Toc325552286"/>
      <w:bookmarkEnd w:id="57"/>
      <w:bookmarkEnd w:id="58"/>
      <w:bookmarkEnd w:id="59"/>
      <w:bookmarkEnd w:id="60"/>
      <w:bookmarkEnd w:id="61"/>
    </w:p>
    <w:p w:rsidR="00271489" w:rsidRPr="00392792" w:rsidRDefault="00271489" w:rsidP="0047782E">
      <w:pPr>
        <w:pStyle w:val="N1-1stBullet"/>
        <w:rPr>
          <w:b/>
        </w:rPr>
      </w:pPr>
      <w:bookmarkStart w:id="66" w:name="_Toc400376137"/>
      <w:r w:rsidRPr="00392792">
        <w:rPr>
          <w:b/>
        </w:rPr>
        <w:t>Requiring respondents to submit proprietary trade secret, or other confidential information unless the agency can demonstrate that it has instituted procedures to protect the information’s confidentiality to the extent permitted by law.</w:t>
      </w:r>
      <w:bookmarkEnd w:id="62"/>
      <w:bookmarkEnd w:id="63"/>
      <w:bookmarkEnd w:id="64"/>
      <w:bookmarkEnd w:id="65"/>
      <w:bookmarkEnd w:id="66"/>
    </w:p>
    <w:p w:rsidR="004B415F" w:rsidRDefault="00271489" w:rsidP="00271489">
      <w:pPr>
        <w:pStyle w:val="L1-FlLSp12"/>
      </w:pPr>
      <w:r w:rsidRPr="003702B9">
        <w:t>There are no special circumstances relating to the guidelines of 5 CFR 1320.5. This request fully complies with 5 CFR 1320.5</w:t>
      </w:r>
    </w:p>
    <w:p w:rsidR="004B415F" w:rsidRDefault="004B415F" w:rsidP="00271489">
      <w:pPr>
        <w:pStyle w:val="L1-FlLSp12"/>
      </w:pPr>
    </w:p>
    <w:p w:rsidR="00271489" w:rsidRPr="003702B9" w:rsidRDefault="00271489" w:rsidP="00271489">
      <w:pPr>
        <w:pStyle w:val="Heading2"/>
      </w:pPr>
      <w:bookmarkStart w:id="67" w:name="_Toc286158956"/>
      <w:bookmarkStart w:id="68" w:name="_Toc286160544"/>
      <w:bookmarkStart w:id="69" w:name="_Toc290021767"/>
      <w:bookmarkStart w:id="70" w:name="_Toc329341681"/>
      <w:bookmarkStart w:id="71" w:name="_Toc400376138"/>
      <w:r w:rsidRPr="003702B9">
        <w:t>A.8</w:t>
      </w:r>
      <w:r w:rsidRPr="003702B9">
        <w:tab/>
      </w:r>
      <w:bookmarkEnd w:id="67"/>
      <w:bookmarkEnd w:id="68"/>
      <w:bookmarkEnd w:id="69"/>
      <w:r w:rsidRPr="003702B9">
        <w:t xml:space="preserve">Responses to the </w:t>
      </w:r>
      <w:r w:rsidRPr="007536EC">
        <w:rPr>
          <w:i/>
        </w:rPr>
        <w:t>Federal Register</w:t>
      </w:r>
      <w:r w:rsidRPr="003702B9">
        <w:t xml:space="preserve"> Notice and Efforts to Contact Outside Agencies</w:t>
      </w:r>
      <w:bookmarkEnd w:id="70"/>
      <w:bookmarkEnd w:id="71"/>
    </w:p>
    <w:p w:rsidR="00271489" w:rsidRPr="002F126A" w:rsidRDefault="00271489" w:rsidP="00271489">
      <w:pPr>
        <w:pStyle w:val="L1-FlLSp12"/>
        <w:rPr>
          <w:b/>
        </w:rPr>
      </w:pPr>
      <w:bookmarkStart w:id="72" w:name="_Toc400376139"/>
      <w:r w:rsidRPr="002F126A">
        <w:rPr>
          <w:b/>
        </w:rPr>
        <w:t xml:space="preserve">If applicable, identify the date and page number of publication in the </w:t>
      </w:r>
      <w:r w:rsidRPr="007536EC">
        <w:rPr>
          <w:b/>
          <w:i/>
        </w:rPr>
        <w:t>Federal Register</w:t>
      </w:r>
      <w:r w:rsidRPr="002F126A">
        <w:rPr>
          <w:b/>
        </w:rPr>
        <w:t xml:space="preserve"> of the agency’s notice, soliciting comments on the information collection prior to submission to OMB. Summarize public comments received in response to that notice and describe actions taken by the agency in response to these comments.</w:t>
      </w:r>
      <w:bookmarkEnd w:id="72"/>
    </w:p>
    <w:p w:rsidR="00271489" w:rsidRPr="002F126A" w:rsidRDefault="00271489" w:rsidP="00271489">
      <w:pPr>
        <w:pStyle w:val="L1-FlLSp12"/>
        <w:rPr>
          <w:b/>
        </w:rPr>
      </w:pPr>
      <w:bookmarkStart w:id="73" w:name="_Toc316652487"/>
      <w:bookmarkStart w:id="74" w:name="_Toc325472114"/>
      <w:bookmarkStart w:id="75" w:name="_Toc325552288"/>
      <w:bookmarkStart w:id="76" w:name="_Toc400376140"/>
      <w:r w:rsidRPr="002F126A">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73"/>
      <w:bookmarkEnd w:id="74"/>
      <w:bookmarkEnd w:id="75"/>
      <w:bookmarkEnd w:id="76"/>
    </w:p>
    <w:p w:rsidR="00271489" w:rsidRDefault="00271489" w:rsidP="00271489">
      <w:pPr>
        <w:pStyle w:val="L1-FlLSp12"/>
      </w:pPr>
    </w:p>
    <w:p w:rsidR="00271489" w:rsidRPr="00450128" w:rsidRDefault="00271489" w:rsidP="0047782E">
      <w:pPr>
        <w:pStyle w:val="Heading5"/>
      </w:pPr>
      <w:r w:rsidRPr="003702B9">
        <w:tab/>
        <w:t>Federal Register</w:t>
      </w:r>
      <w:r>
        <w:t xml:space="preserve"> Notice and Comments</w:t>
      </w:r>
    </w:p>
    <w:p w:rsidR="00267F75" w:rsidRDefault="00271489" w:rsidP="00271489">
      <w:pPr>
        <w:pStyle w:val="L1-FlLSp12"/>
      </w:pPr>
      <w:r w:rsidRPr="003702B9">
        <w:t xml:space="preserve">FNS published a notice on </w:t>
      </w:r>
      <w:r>
        <w:t xml:space="preserve">September 10, </w:t>
      </w:r>
      <w:r w:rsidRPr="003702B9">
        <w:t xml:space="preserve">2015 in the </w:t>
      </w:r>
      <w:r w:rsidRPr="007536EC">
        <w:rPr>
          <w:i/>
        </w:rPr>
        <w:t>Federal Register</w:t>
      </w:r>
      <w:r w:rsidRPr="003702B9">
        <w:t xml:space="preserve">, Volume 80, Number 175, pages 54512-54517 and provided a 60-day period for public comments. </w:t>
      </w:r>
      <w:r w:rsidR="00C74938">
        <w:t>FNS</w:t>
      </w:r>
      <w:r w:rsidRPr="003702B9">
        <w:t xml:space="preserve"> received </w:t>
      </w:r>
      <w:r>
        <w:t>two</w:t>
      </w:r>
      <w:r w:rsidRPr="003702B9">
        <w:t xml:space="preserve"> comments; Appendix A</w:t>
      </w:r>
      <w:r w:rsidR="009F0FB0">
        <w:t>K</w:t>
      </w:r>
      <w:r w:rsidR="00C24FFC">
        <w:t>.</w:t>
      </w:r>
      <w:r w:rsidR="00C506DC">
        <w:t>1</w:t>
      </w:r>
      <w:r w:rsidR="008F306B">
        <w:t xml:space="preserve"> and Appendix AK.</w:t>
      </w:r>
      <w:r w:rsidR="00C506DC">
        <w:t>2</w:t>
      </w:r>
      <w:r w:rsidRPr="003702B9">
        <w:rPr>
          <w:b/>
        </w:rPr>
        <w:t xml:space="preserve"> </w:t>
      </w:r>
      <w:proofErr w:type="gramStart"/>
      <w:r w:rsidRPr="003702B9">
        <w:t>includes</w:t>
      </w:r>
      <w:proofErr w:type="gramEnd"/>
      <w:r w:rsidRPr="003702B9">
        <w:t xml:space="preserve"> the comments </w:t>
      </w:r>
      <w:r w:rsidR="006E4C70">
        <w:t xml:space="preserve">and </w:t>
      </w:r>
      <w:r w:rsidR="008F306B">
        <w:t>Appendix AK.</w:t>
      </w:r>
      <w:r w:rsidR="00C506DC">
        <w:t>3 and AK.4</w:t>
      </w:r>
      <w:r w:rsidR="008F306B">
        <w:t xml:space="preserve"> includes</w:t>
      </w:r>
      <w:r w:rsidR="00C24FFC">
        <w:t xml:space="preserve"> </w:t>
      </w:r>
      <w:r w:rsidR="006E4C70">
        <w:t>FNS’</w:t>
      </w:r>
      <w:r>
        <w:t xml:space="preserve"> response</w:t>
      </w:r>
      <w:r w:rsidR="00C74938">
        <w:t>s</w:t>
      </w:r>
      <w:r w:rsidR="00267F75">
        <w:t>.</w:t>
      </w:r>
    </w:p>
    <w:p w:rsidR="0047782E" w:rsidRDefault="0047782E" w:rsidP="00271489">
      <w:pPr>
        <w:pStyle w:val="L1-FlLSp12"/>
      </w:pPr>
    </w:p>
    <w:p w:rsidR="00271489" w:rsidRPr="00450128" w:rsidRDefault="0047782E" w:rsidP="0047782E">
      <w:pPr>
        <w:pStyle w:val="Heading5"/>
      </w:pPr>
      <w:r>
        <w:tab/>
      </w:r>
      <w:r w:rsidR="00271489" w:rsidRPr="00450128">
        <w:t xml:space="preserve">Consultations </w:t>
      </w:r>
      <w:proofErr w:type="gramStart"/>
      <w:r w:rsidRPr="00450128">
        <w:t>Outside</w:t>
      </w:r>
      <w:proofErr w:type="gramEnd"/>
      <w:r w:rsidRPr="00450128">
        <w:t xml:space="preserve"> </w:t>
      </w:r>
      <w:r w:rsidR="00271489" w:rsidRPr="00450128">
        <w:t xml:space="preserve">the </w:t>
      </w:r>
      <w:r w:rsidRPr="00450128">
        <w:t>Agency</w:t>
      </w:r>
    </w:p>
    <w:p w:rsidR="00271489" w:rsidRPr="006E4C70" w:rsidRDefault="00271489" w:rsidP="00271489">
      <w:pPr>
        <w:pStyle w:val="L1-FlLSp12"/>
      </w:pPr>
      <w:r w:rsidRPr="003702B9">
        <w:t>The information collection request has been reviewed by the National Agricultural Statistics Service (NASS) of USDA with special reference to the statistical procedures</w:t>
      </w:r>
      <w:r w:rsidR="007223AE">
        <w:t xml:space="preserve"> [</w:t>
      </w:r>
      <w:r w:rsidRPr="003702B9">
        <w:t>Appendix A</w:t>
      </w:r>
      <w:r w:rsidR="009F0FB0">
        <w:t>L</w:t>
      </w:r>
      <w:r w:rsidR="007223AE">
        <w:t>]</w:t>
      </w:r>
      <w:r w:rsidRPr="003702B9">
        <w:t xml:space="preserve">. FNS also </w:t>
      </w:r>
      <w:r w:rsidRPr="006E4C70">
        <w:t>consulted with</w:t>
      </w:r>
      <w:bookmarkStart w:id="77" w:name="_Toc400376145"/>
      <w:bookmarkEnd w:id="19"/>
      <w:r w:rsidRPr="006E4C70">
        <w:t xml:space="preserve"> </w:t>
      </w:r>
      <w:r w:rsidR="006E4C70" w:rsidRPr="006E4C70">
        <w:t>Michelle</w:t>
      </w:r>
      <w:r w:rsidR="003A62E5" w:rsidRPr="006E4C70">
        <w:t xml:space="preserve"> </w:t>
      </w:r>
      <w:proofErr w:type="spellStart"/>
      <w:r w:rsidR="006E4C70" w:rsidRPr="006E4C70">
        <w:t>V</w:t>
      </w:r>
      <w:r w:rsidR="003A62E5" w:rsidRPr="006E4C70">
        <w:t>er</w:t>
      </w:r>
      <w:proofErr w:type="spellEnd"/>
      <w:r w:rsidR="003A62E5" w:rsidRPr="006E4C70">
        <w:t xml:space="preserve"> </w:t>
      </w:r>
      <w:proofErr w:type="spellStart"/>
      <w:r w:rsidR="003A62E5" w:rsidRPr="006E4C70">
        <w:t>Ploeg</w:t>
      </w:r>
      <w:proofErr w:type="spellEnd"/>
      <w:r w:rsidR="003A62E5" w:rsidRPr="006E4C70">
        <w:t xml:space="preserve"> </w:t>
      </w:r>
      <w:r w:rsidR="004B415F">
        <w:t xml:space="preserve">[Email: </w:t>
      </w:r>
      <w:hyperlink r:id="rId14" w:history="1">
        <w:r w:rsidR="004B415F" w:rsidRPr="009F5548">
          <w:rPr>
            <w:rStyle w:val="Hyperlink"/>
          </w:rPr>
          <w:t>SVERPLOEG@ers.usda.gov</w:t>
        </w:r>
      </w:hyperlink>
      <w:r w:rsidR="004B415F">
        <w:t xml:space="preserve">; Phone: </w:t>
      </w:r>
      <w:r w:rsidR="004B415F" w:rsidRPr="004B415F">
        <w:t>202-694-5372</w:t>
      </w:r>
      <w:r w:rsidR="004B415F">
        <w:t xml:space="preserve">] </w:t>
      </w:r>
      <w:r w:rsidR="003A62E5" w:rsidRPr="006E4C70">
        <w:t xml:space="preserve">from </w:t>
      </w:r>
      <w:r w:rsidR="006E4C70" w:rsidRPr="006E4C70">
        <w:t xml:space="preserve">the Economic Research Service and Jane Clary </w:t>
      </w:r>
      <w:r w:rsidR="00ED155E">
        <w:t xml:space="preserve">[Email: </w:t>
      </w:r>
      <w:r w:rsidR="00ED155E" w:rsidRPr="00ED155E">
        <w:t>jclary@nifa.usda.gov</w:t>
      </w:r>
      <w:r w:rsidR="00ED155E">
        <w:t xml:space="preserve">; Phone: </w:t>
      </w:r>
      <w:r w:rsidR="00ED155E">
        <w:rPr>
          <w:rStyle w:val="baec5a81-e4d6-4674-97f3-e9220f0136c1"/>
        </w:rPr>
        <w:t>202-720-3891</w:t>
      </w:r>
      <w:r w:rsidR="00ED155E">
        <w:t xml:space="preserve">] </w:t>
      </w:r>
      <w:r w:rsidR="006E4C70" w:rsidRPr="006E4C70">
        <w:t>from the National Institute of Food and Agriculture.</w:t>
      </w:r>
    </w:p>
    <w:p w:rsidR="0047782E" w:rsidRDefault="0047782E" w:rsidP="00271489">
      <w:pPr>
        <w:pStyle w:val="L1-FlLSp12"/>
      </w:pPr>
    </w:p>
    <w:p w:rsidR="00BB623C" w:rsidRDefault="00BB623C" w:rsidP="00BB623C">
      <w:pPr>
        <w:pStyle w:val="Heading2"/>
      </w:pPr>
      <w:r>
        <w:rPr>
          <w:b w:val="0"/>
        </w:rPr>
        <w:t>A.9</w:t>
      </w:r>
      <w:r>
        <w:rPr>
          <w:b w:val="0"/>
        </w:rPr>
        <w:tab/>
        <w:t>Explanation of Any Payment or Gift to Respondents</w:t>
      </w:r>
    </w:p>
    <w:p w:rsidR="00BB623C" w:rsidRDefault="00BB623C" w:rsidP="00BB623C">
      <w:pPr>
        <w:pStyle w:val="L1-FlLSp12"/>
        <w:rPr>
          <w:b/>
        </w:rPr>
      </w:pPr>
      <w:r>
        <w:rPr>
          <w:b/>
        </w:rPr>
        <w:t>Explain any decision to provide any payment or gift to respondents, other than remuneration of contractors or grantees.</w:t>
      </w:r>
    </w:p>
    <w:p w:rsidR="00BB623C" w:rsidRDefault="00BB623C" w:rsidP="00BB623C">
      <w:pPr>
        <w:pStyle w:val="L1-FlLSp12"/>
        <w:rPr>
          <w:b/>
        </w:rPr>
      </w:pPr>
    </w:p>
    <w:p w:rsidR="00BB623C" w:rsidRDefault="00BB623C" w:rsidP="00BB623C">
      <w:pPr>
        <w:pStyle w:val="L1-FlLSp12"/>
        <w:rPr>
          <w:rFonts w:cs="CJPCAL+TimesNewRoman"/>
          <w:szCs w:val="24"/>
        </w:rPr>
      </w:pPr>
      <w:r>
        <w:t>Providing survey participants with a monetary incentive reduces non-response bias and improves survey representativeness</w:t>
      </w:r>
      <w:r>
        <w:rPr>
          <w:rFonts w:cs="CJPCAL+TimesNewRoman"/>
          <w:szCs w:val="24"/>
        </w:rPr>
        <w:t>, especially in populations defined as being in poverty.</w:t>
      </w:r>
      <w:r>
        <w:rPr>
          <w:rStyle w:val="FootnoteReference"/>
        </w:rPr>
        <w:footnoteReference w:id="8"/>
      </w:r>
      <w:r>
        <w:rPr>
          <w:vertAlign w:val="superscript"/>
        </w:rPr>
        <w:t>,</w:t>
      </w:r>
      <w:r>
        <w:rPr>
          <w:rStyle w:val="FootnoteReference"/>
        </w:rPr>
        <w:footnoteReference w:id="9"/>
      </w:r>
      <w:r>
        <w:rPr>
          <w:vertAlign w:val="superscript"/>
        </w:rPr>
        <w:t>,</w:t>
      </w:r>
      <w:r>
        <w:rPr>
          <w:rStyle w:val="FootnoteReference"/>
        </w:rPr>
        <w:footnoteReference w:id="10"/>
      </w:r>
      <w:r>
        <w:rPr>
          <w:vertAlign w:val="superscript"/>
        </w:rPr>
        <w:t>,</w:t>
      </w:r>
      <w:r>
        <w:rPr>
          <w:rFonts w:cs="CJPCAL+TimesNewRoman"/>
          <w:szCs w:val="24"/>
          <w:vertAlign w:val="superscript"/>
        </w:rPr>
        <w:footnoteReference w:id="11"/>
      </w:r>
      <w:r>
        <w:rPr>
          <w:rFonts w:cs="CJPCAL+TimesNewRoman"/>
          <w:szCs w:val="24"/>
          <w:vertAlign w:val="superscript"/>
        </w:rPr>
        <w:t xml:space="preserve"> </w:t>
      </w:r>
      <w:r>
        <w:rPr>
          <w:rStyle w:val="FootnoteReference"/>
        </w:rPr>
        <w:footnoteReference w:id="12"/>
      </w:r>
      <w:r>
        <w:rPr>
          <w:rFonts w:cs="CJPCAL+TimesNewRoman"/>
          <w:szCs w:val="24"/>
        </w:rPr>
        <w:t xml:space="preserve"> Additionally, incentives improve survey response rates and therefore the numbers of surveys completed. Having an adequate number of completed surveys is essential </w:t>
      </w:r>
      <w:r>
        <w:t>to detect statistically significant differences between subpopulations in the impact of the intervention</w:t>
      </w:r>
      <w:r>
        <w:rPr>
          <w:rFonts w:cs="CJPCAL+TimesNewRoman"/>
          <w:szCs w:val="24"/>
        </w:rPr>
        <w:t xml:space="preserve">.  Incentives are an essential component of the multi-pronged approaches used to minimize non-response bias, especially in longitudinal studies with hard-to-reach, low-income households such as those with children, elderly, and those residing in rural areas; receiving federal nutrition assistance benefits; </w:t>
      </w:r>
      <w:r>
        <w:rPr>
          <w:rStyle w:val="FootnoteReference"/>
          <w:rFonts w:cs="CJPCAL+TimesNewRoman"/>
          <w:szCs w:val="24"/>
        </w:rPr>
        <w:footnoteReference w:id="13"/>
      </w:r>
      <w:r>
        <w:rPr>
          <w:rFonts w:cs="CJPCAL+TimesNewRoman"/>
          <w:szCs w:val="24"/>
        </w:rPr>
        <w:t xml:space="preserve">  </w:t>
      </w:r>
      <w:r>
        <w:t>reduce efforts to locate hard-to-reach study participants; and lower overall survey costs and time to achieve completion rates without affecting data quality</w:t>
      </w:r>
      <w:r>
        <w:rPr>
          <w:rStyle w:val="FootnoteReference"/>
        </w:rPr>
        <w:footnoteReference w:id="14"/>
      </w:r>
      <w:r>
        <w:rPr>
          <w:vertAlign w:val="superscript"/>
        </w:rPr>
        <w:t>,</w:t>
      </w:r>
      <w:r>
        <w:rPr>
          <w:rStyle w:val="FootnoteReference"/>
        </w:rPr>
        <w:footnoteReference w:id="15"/>
      </w:r>
      <w:r>
        <w:t>.</w:t>
      </w:r>
    </w:p>
    <w:p w:rsidR="00BB623C" w:rsidRDefault="00BB623C" w:rsidP="00BB623C">
      <w:pPr>
        <w:pStyle w:val="L1-FlLSp12"/>
        <w:rPr>
          <w:rFonts w:cs="CJPCAL+TimesNewRoman"/>
          <w:szCs w:val="24"/>
        </w:rPr>
      </w:pPr>
    </w:p>
    <w:p w:rsidR="00BB623C" w:rsidRDefault="00BB623C" w:rsidP="00BB623C">
      <w:pPr>
        <w:pStyle w:val="L1-FlLSp12"/>
        <w:rPr>
          <w:rFonts w:cs="CJPCAL+TimesNewRoman"/>
          <w:szCs w:val="24"/>
        </w:rPr>
      </w:pPr>
      <w:r>
        <w:rPr>
          <w:rFonts w:cs="CJPCAL+TimesNewRoman"/>
          <w:szCs w:val="24"/>
        </w:rPr>
        <w:t xml:space="preserve">The Food and Nutrition Service (FNS) is requesting the use of pre-paid (pre-survey) and post-participation (survey completion) cash incentives to increase survey response rates, gain efficiency in data collection, and most importantly to reduce non-response bias. The incentives for survey participants are necessary for recruiting and retaining participants for the longitudinal study involving baseline and follow-up data collection six months apart.  The baseline data collection for this evaluation must be completed in a compressed window between February and April 2017 prior to the start of the farmers’ market season and the launch of FINI intervention at supermarkets.  Seasonal farmers markets typically operate from May to December and participating supermarkets are scheduled to start offering incentives as early as May 2017. The survey incentive is also important for improving response rates and addressing non-response bias for the follow-up survey. </w:t>
      </w:r>
      <w:r>
        <w:rPr>
          <w:szCs w:val="24"/>
        </w:rPr>
        <w:t xml:space="preserve">Based on the empirical evidence summarized below,  SNAP participants in the FINI national evaluation will receive a pre-survey incentive of $2 with the invitation letter and post-participation/survey completion incentives of $20 each after completing the baseline and the follow-up surveys.  SNAP participants selected to participate in the key informant interviews will also receive </w:t>
      </w:r>
      <w:r>
        <w:t>$25 after completing the telephone interview</w:t>
      </w:r>
      <w:r>
        <w:rPr>
          <w:rFonts w:cs="CJPCAL+TimesNewRoman"/>
          <w:szCs w:val="24"/>
        </w:rPr>
        <w:t xml:space="preserve">. </w:t>
      </w:r>
    </w:p>
    <w:p w:rsidR="00BB623C" w:rsidRDefault="00BB623C" w:rsidP="00BB623C">
      <w:pPr>
        <w:pStyle w:val="L1-FlLSp12"/>
        <w:rPr>
          <w:rFonts w:cs="CJPCAL+TimesNewRoman"/>
          <w:szCs w:val="24"/>
        </w:rPr>
      </w:pPr>
    </w:p>
    <w:p w:rsidR="00BB623C" w:rsidRDefault="00BB623C" w:rsidP="00BB623C">
      <w:pPr>
        <w:pStyle w:val="L1-FlLSp12"/>
      </w:pPr>
      <w:r>
        <w:t>Since grantees are required to cooperate with and contribute to the independent evaluation, grantees and outlet staff will not receive any incentives for their participation in this study.</w:t>
      </w:r>
    </w:p>
    <w:p w:rsidR="00BB623C" w:rsidRDefault="00BB623C" w:rsidP="00BB623C">
      <w:pPr>
        <w:pStyle w:val="L1-FlLSp12"/>
        <w:rPr>
          <w:rFonts w:cs="CJPCAL+TimesNewRoman"/>
          <w:szCs w:val="24"/>
        </w:rPr>
      </w:pPr>
    </w:p>
    <w:p w:rsidR="00BB623C" w:rsidRDefault="00BB623C" w:rsidP="00BB623C">
      <w:pPr>
        <w:pStyle w:val="L1-FlLSp12"/>
        <w:rPr>
          <w:rFonts w:cs="CJPCAL+TimesNewRoman"/>
          <w:b/>
          <w:szCs w:val="24"/>
        </w:rPr>
      </w:pPr>
      <w:r>
        <w:rPr>
          <w:rFonts w:cs="CJPCAL+TimesNewRoman"/>
          <w:b/>
          <w:szCs w:val="24"/>
        </w:rPr>
        <w:t xml:space="preserve">Survey Incentives Improve Sample Representativeness </w:t>
      </w:r>
    </w:p>
    <w:p w:rsidR="00BB623C" w:rsidRDefault="00BB623C" w:rsidP="00BB623C">
      <w:pPr>
        <w:pStyle w:val="L1-FlLSp12"/>
        <w:rPr>
          <w:szCs w:val="24"/>
        </w:rPr>
      </w:pPr>
      <w:r>
        <w:rPr>
          <w:rFonts w:cs="CJPCAL+TimesNewRoman"/>
          <w:szCs w:val="24"/>
        </w:rPr>
        <w:t xml:space="preserve">Survey incentives can improve sample representativeness. </w:t>
      </w:r>
      <w:r>
        <w:rPr>
          <w:szCs w:val="24"/>
        </w:rPr>
        <w:t>Incentives encourage those less interested in research to participate,</w:t>
      </w:r>
      <w:r>
        <w:rPr>
          <w:rStyle w:val="FootnoteReference"/>
          <w:szCs w:val="24"/>
        </w:rPr>
        <w:footnoteReference w:id="16"/>
      </w:r>
      <w:r>
        <w:rPr>
          <w:szCs w:val="24"/>
        </w:rPr>
        <w:t xml:space="preserve">  including low-income respondents,</w:t>
      </w:r>
      <w:r>
        <w:rPr>
          <w:rStyle w:val="FootnoteReference"/>
          <w:szCs w:val="24"/>
        </w:rPr>
        <w:footnoteReference w:id="17"/>
      </w:r>
      <w:r>
        <w:rPr>
          <w:szCs w:val="24"/>
        </w:rPr>
        <w:t xml:space="preserve"> thereby reducing non-response </w:t>
      </w:r>
      <w:proofErr w:type="gramStart"/>
      <w:r>
        <w:rPr>
          <w:szCs w:val="24"/>
        </w:rPr>
        <w:t>bias.</w:t>
      </w:r>
      <w:r>
        <w:rPr>
          <w:rFonts w:cs="CJPCAL+TimesNewRoman"/>
          <w:szCs w:val="24"/>
          <w:vertAlign w:val="superscript"/>
        </w:rPr>
        <w:footnoteReference w:id="18"/>
      </w:r>
      <w:r>
        <w:rPr>
          <w:rFonts w:cs="CJPCAL+TimesNewRoman"/>
          <w:szCs w:val="24"/>
          <w:vertAlign w:val="superscript"/>
        </w:rPr>
        <w:t>,</w:t>
      </w:r>
      <w:proofErr w:type="gramEnd"/>
      <w:r>
        <w:rPr>
          <w:rStyle w:val="FootnoteReference"/>
        </w:rPr>
        <w:footnoteReference w:id="19"/>
      </w:r>
      <w:r>
        <w:rPr>
          <w:rFonts w:cs="CJPCAL+TimesNewRoman"/>
          <w:szCs w:val="24"/>
        </w:rPr>
        <w:t xml:space="preserve"> </w:t>
      </w:r>
      <w:r>
        <w:rPr>
          <w:szCs w:val="24"/>
        </w:rPr>
        <w:t xml:space="preserve"> </w:t>
      </w:r>
      <w:r>
        <w:t>Several studies provide evidence that offering incentives may improve representation for low-education, low-income, and ethnic minority subgroups.  For example, Singer et al.</w:t>
      </w:r>
      <w:r>
        <w:rPr>
          <w:rStyle w:val="FootnoteReference"/>
        </w:rPr>
        <w:footnoteReference w:id="20"/>
      </w:r>
      <w:r>
        <w:t xml:space="preserve"> noted that a $5 incentive paid in advance brought in a disproportionate number of low-education respondents into the sample.  Another experiment,</w:t>
      </w:r>
      <w:r>
        <w:rPr>
          <w:rStyle w:val="FootnoteReference"/>
        </w:rPr>
        <w:footnoteReference w:id="21"/>
      </w:r>
      <w:r>
        <w:t xml:space="preserve"> examining the impact of providing incentives to telephone survey non-respondents on sample composition and data quality in the New York Adult Tobacco Survey, found that offering an incentive to individuals who refused to participate in the survey led to increased proportion of respondents who were over age 55, did not have a college degree, and were not employed. Many of these subpopulations are represented in the SNAP universe.  </w:t>
      </w:r>
    </w:p>
    <w:p w:rsidR="006C225A" w:rsidRDefault="006C225A" w:rsidP="00BB623C">
      <w:pPr>
        <w:pStyle w:val="L1-FlLSp12"/>
      </w:pPr>
    </w:p>
    <w:p w:rsidR="00BB623C" w:rsidRDefault="00BB623C" w:rsidP="00BB623C">
      <w:pPr>
        <w:pStyle w:val="L1-FlLSp12"/>
      </w:pPr>
      <w:r>
        <w:t xml:space="preserve">None of the studies have examined how incentives mitigate non-response bias in surveys of SNAP participants. FNS is currently conducting two studies that include longitudinal surveys of SNAP-participants and are providing survey completion incentives to respondents. The two studies are: </w:t>
      </w:r>
    </w:p>
    <w:p w:rsidR="00BB623C" w:rsidRDefault="00BB623C" w:rsidP="00BB623C">
      <w:pPr>
        <w:pStyle w:val="L1-FlLSp12"/>
      </w:pPr>
    </w:p>
    <w:p w:rsidR="00BB623C" w:rsidRDefault="00BB623C" w:rsidP="00BB623C">
      <w:pPr>
        <w:pStyle w:val="L1-FlLSp12"/>
        <w:numPr>
          <w:ilvl w:val="0"/>
          <w:numId w:val="21"/>
        </w:numPr>
        <w:rPr>
          <w:szCs w:val="24"/>
        </w:rPr>
      </w:pPr>
      <w:r>
        <w:rPr>
          <w:szCs w:val="24"/>
        </w:rPr>
        <w:t xml:space="preserve">The USDA-FNS study Evaluation of Demonstration Projects to End Childhood Hunger OMB control number: 0584-0603, expiration date: 8/31/2018) includes a baseline and a follow-up survey each with an estimated 30 minutes of burden. For this study, a $30 completion incentive was approved for the baseline survey, and a $30 completion incentive was approved for the follow-up survey. </w:t>
      </w:r>
    </w:p>
    <w:p w:rsidR="00BB623C" w:rsidRDefault="00BB623C" w:rsidP="00BB623C">
      <w:pPr>
        <w:pStyle w:val="L1-FlLSp12"/>
        <w:rPr>
          <w:szCs w:val="24"/>
        </w:rPr>
      </w:pPr>
    </w:p>
    <w:p w:rsidR="00BB623C" w:rsidRDefault="00BB623C" w:rsidP="00BB623C">
      <w:pPr>
        <w:pStyle w:val="L1-FlLSp12"/>
        <w:numPr>
          <w:ilvl w:val="0"/>
          <w:numId w:val="22"/>
        </w:numPr>
        <w:rPr>
          <w:szCs w:val="24"/>
        </w:rPr>
      </w:pPr>
      <w:r>
        <w:rPr>
          <w:szCs w:val="24"/>
        </w:rPr>
        <w:t xml:space="preserve">The USDA- FNS study Evaluation of SNAP Employment and Training Pilots (OMB control number: 0584-0604, expiration date: 1/31/2019) involves surveying participants in the treatment and control groups after 12 months of participation and again after 36 months of participation.  The estimated burden for the completion of each survey is about 30 minutes. A $30 completion incentive has been approved for the completion of the 12 month follow-up survey and a $ 40 incentive for the completion of the 36 month follow-up survey; there is no baseline survey. </w:t>
      </w:r>
    </w:p>
    <w:p w:rsidR="00BB623C" w:rsidRDefault="00BB623C" w:rsidP="00BB623C">
      <w:pPr>
        <w:pStyle w:val="ListParagraph"/>
        <w:rPr>
          <w:szCs w:val="24"/>
        </w:rPr>
      </w:pPr>
    </w:p>
    <w:p w:rsidR="00BB623C" w:rsidRDefault="00BB623C" w:rsidP="00BB623C">
      <w:pPr>
        <w:pStyle w:val="ListParagraph"/>
        <w:rPr>
          <w:szCs w:val="24"/>
        </w:rPr>
      </w:pPr>
      <w:r>
        <w:rPr>
          <w:szCs w:val="24"/>
        </w:rPr>
        <w:t>Both studies noted above will conduct a robust non-response bias analysis as most research studies currently are not achieving the desired 80 percent survey response rate.   These studies and FINI will contribute to the evidence-base.</w:t>
      </w:r>
    </w:p>
    <w:p w:rsidR="00BB623C" w:rsidRDefault="00BB623C" w:rsidP="00BB623C">
      <w:pPr>
        <w:pStyle w:val="L1-FlLSp12"/>
        <w:numPr>
          <w:ilvl w:val="0"/>
          <w:numId w:val="22"/>
        </w:numPr>
        <w:rPr>
          <w:szCs w:val="24"/>
        </w:rPr>
      </w:pPr>
      <w:r>
        <w:rPr>
          <w:szCs w:val="24"/>
        </w:rPr>
        <w:t xml:space="preserve">For this study (FINI) the estimated burden for completing the baseline and follow-up surveys is 20 minutes. A $ 20 survey-completion incentive is being requested for the baseline and the follow-up surveys.  A non-response bias analysis is planned for FINI.  </w:t>
      </w:r>
    </w:p>
    <w:p w:rsidR="00BB623C" w:rsidRDefault="00BB623C" w:rsidP="00BB623C">
      <w:pPr>
        <w:pStyle w:val="L1-FlLSp12"/>
        <w:rPr>
          <w:szCs w:val="24"/>
        </w:rPr>
      </w:pPr>
    </w:p>
    <w:p w:rsidR="00BB623C" w:rsidRDefault="00BB623C" w:rsidP="00BB623C">
      <w:pPr>
        <w:pStyle w:val="L1-FlLSp12"/>
        <w:rPr>
          <w:szCs w:val="24"/>
        </w:rPr>
      </w:pPr>
      <w:r>
        <w:rPr>
          <w:szCs w:val="24"/>
        </w:rPr>
        <w:t xml:space="preserve">Survey incentive experiments in future studies could be used to determine whether incentives help mitigate non-response bias within SNAP participant subpopulations, and if so, what level of survey incentives are most effective. </w:t>
      </w:r>
    </w:p>
    <w:p w:rsidR="00BB623C" w:rsidRDefault="00BB623C" w:rsidP="00BB623C">
      <w:pPr>
        <w:pStyle w:val="L1-FlLSp12"/>
        <w:rPr>
          <w:rFonts w:cs="CJPCAL+TimesNewRoman"/>
          <w:b/>
          <w:szCs w:val="24"/>
        </w:rPr>
      </w:pPr>
    </w:p>
    <w:p w:rsidR="00BB623C" w:rsidRDefault="00BB623C" w:rsidP="00BB623C">
      <w:pPr>
        <w:pStyle w:val="L1-FlLSp12"/>
        <w:rPr>
          <w:rFonts w:cs="CJPCAL+TimesNewRoman"/>
          <w:b/>
          <w:szCs w:val="24"/>
        </w:rPr>
      </w:pPr>
      <w:r>
        <w:rPr>
          <w:rFonts w:cs="CJPCAL+TimesNewRoman"/>
          <w:b/>
          <w:szCs w:val="24"/>
        </w:rPr>
        <w:t>Survey Incentives Improve Response Rates</w:t>
      </w:r>
    </w:p>
    <w:p w:rsidR="00BB623C" w:rsidRDefault="00BB623C" w:rsidP="00BB623C">
      <w:pPr>
        <w:pStyle w:val="L1-FlLSp12"/>
      </w:pPr>
      <w:r>
        <w:t xml:space="preserve">Empirical evidence also supports the use of survey incentives to improve response rates in addition to reducing non-response bias. In a meta-analysis of 40 studies, Messer and </w:t>
      </w:r>
      <w:proofErr w:type="spellStart"/>
      <w:r>
        <w:t>Dillman</w:t>
      </w:r>
      <w:proofErr w:type="spellEnd"/>
      <w:r>
        <w:rPr>
          <w:rStyle w:val="FootnoteReference"/>
        </w:rPr>
        <w:footnoteReference w:id="22"/>
      </w:r>
      <w:r>
        <w:t xml:space="preserve"> reported findings of their experiments on response rates to multi-mode surveys and varying incentive amounts. Their findings demonstrated that offering a $5 pre-incentive and implementing a web-mail design yielded significant increase in response rates. In a recently completed meta-analysis, Mercer and colleagues</w:t>
      </w:r>
      <w:r>
        <w:rPr>
          <w:rStyle w:val="FootnoteReference"/>
        </w:rPr>
        <w:footnoteReference w:id="23"/>
      </w:r>
      <w:r>
        <w:t xml:space="preserve"> reported a 10 percentage point increase in response rates for mail surveys when participants were paid a $2 pre-paid incentives and 6 percentage point increase for phone surveys when participants were offered a $20 post-incentive.    Similarly, research indicates that post-paid incentives improves responses to mail and interviewer-administered surveys.</w:t>
      </w:r>
      <w:r>
        <w:rPr>
          <w:vertAlign w:val="superscript"/>
        </w:rPr>
        <w:t>10,11</w:t>
      </w:r>
      <w:r>
        <w:t xml:space="preserve">  For example, Cantor et al.</w:t>
      </w:r>
      <w:r>
        <w:rPr>
          <w:rStyle w:val="FootnoteReference"/>
        </w:rPr>
        <w:footnoteReference w:id="24"/>
      </w:r>
      <w:r>
        <w:t xml:space="preserve"> reported an effect of 9.1 percentage points when offering a post-incentive of $20 (compared to no incentive).    </w:t>
      </w:r>
    </w:p>
    <w:p w:rsidR="00BB623C" w:rsidRDefault="00BB623C" w:rsidP="00BB623C">
      <w:pPr>
        <w:pStyle w:val="L1-FlLSp12"/>
        <w:rPr>
          <w:rFonts w:cs="CJPCAL+TimesNewRoman"/>
          <w:b/>
          <w:szCs w:val="24"/>
        </w:rPr>
      </w:pPr>
    </w:p>
    <w:p w:rsidR="00BB623C" w:rsidRDefault="00BB623C" w:rsidP="00BB623C">
      <w:pPr>
        <w:pStyle w:val="L1-FlLSp12"/>
      </w:pPr>
      <w:r>
        <w:t xml:space="preserve">The Food and Nutrition Service (FNS) study: </w:t>
      </w:r>
      <w:r>
        <w:rPr>
          <w:i/>
        </w:rPr>
        <w:t>Nutrition Assistance in Farmers Markets: Understanding the Shopping Patterns of SNAP Participants (FMCS)</w:t>
      </w:r>
      <w:r>
        <w:rPr>
          <w:rStyle w:val="FootnoteReference"/>
          <w:i/>
        </w:rPr>
        <w:footnoteReference w:id="25"/>
      </w:r>
      <w:r>
        <w:t xml:space="preserve"> (OMB Control Number: 0584-0564; Expiration Date: November 30, 2014) involved survey data collection from SNAP participants; the respondent burden was comparable to the proposed burden for the FINI national evaluation.  The FMCS included an incentive experiment to examine the impact of a differential incentive on survey completion rates among SNAP participants.  In this study, SNAP participants were surveyed once (</w:t>
      </w:r>
      <w:proofErr w:type="spellStart"/>
      <w:r>
        <w:t>i.e</w:t>
      </w:r>
      <w:proofErr w:type="spellEnd"/>
      <w:r>
        <w:t xml:space="preserve"> there was no follow-up survey).  The estimated burden for completing the survey was 25 minutes. Survey completion rates ranged from 42.5 to 48.9 percent, with the highest response rate for the $5 initial (pre-paid or pre-survey) and $20 post survey completion incentive group (Table </w:t>
      </w:r>
      <w:r w:rsidR="00EE3B87">
        <w:t>A.9.</w:t>
      </w:r>
      <w:r>
        <w:t xml:space="preserve">1). Response rates were approximately 6 percentage points higher in the $20 post survey completion incentive group than the $10 post survey completion incentive group.    </w:t>
      </w:r>
    </w:p>
    <w:p w:rsidR="00BB623C" w:rsidRDefault="00BB623C" w:rsidP="00BB623C">
      <w:pPr>
        <w:rPr>
          <w:b/>
          <w:noProof/>
          <w:sz w:val="20"/>
        </w:rPr>
      </w:pPr>
    </w:p>
    <w:p w:rsidR="00EE3B87" w:rsidRDefault="00EE3B87">
      <w:pPr>
        <w:spacing w:line="240" w:lineRule="auto"/>
        <w:rPr>
          <w:b/>
        </w:rPr>
      </w:pPr>
      <w:r>
        <w:rPr>
          <w:b/>
        </w:rPr>
        <w:br w:type="page"/>
      </w:r>
    </w:p>
    <w:p w:rsidR="00BB623C" w:rsidRDefault="00BB623C" w:rsidP="00BB623C">
      <w:pPr>
        <w:pStyle w:val="L1-FlLSp12"/>
      </w:pPr>
      <w:r>
        <w:rPr>
          <w:b/>
        </w:rPr>
        <w:t xml:space="preserve">Table </w:t>
      </w:r>
      <w:r w:rsidR="00EE3B87">
        <w:rPr>
          <w:b/>
        </w:rPr>
        <w:t>A.9.</w:t>
      </w:r>
      <w:r>
        <w:rPr>
          <w:b/>
        </w:rPr>
        <w:t xml:space="preserve">1.  Response </w:t>
      </w:r>
      <w:r>
        <w:rPr>
          <w:b/>
          <w:noProof/>
          <w:szCs w:val="24"/>
        </w:rPr>
        <w:t xml:space="preserve">Outcomes Varying </w:t>
      </w:r>
      <w:r>
        <w:rPr>
          <w:b/>
        </w:rPr>
        <w:t xml:space="preserve">the </w:t>
      </w:r>
      <w:r>
        <w:rPr>
          <w:b/>
          <w:noProof/>
          <w:szCs w:val="24"/>
        </w:rPr>
        <w:t>Pre-paid (intial)</w:t>
      </w:r>
      <w:r w:rsidR="00677C0D">
        <w:rPr>
          <w:b/>
          <w:noProof/>
          <w:szCs w:val="24"/>
        </w:rPr>
        <w:t xml:space="preserve"> </w:t>
      </w:r>
      <w:r>
        <w:rPr>
          <w:b/>
          <w:noProof/>
          <w:szCs w:val="24"/>
        </w:rPr>
        <w:t>and Survey Completion (Post)  Incentive Amounts</w:t>
      </w:r>
    </w:p>
    <w:p w:rsidR="00BB623C" w:rsidRDefault="00BB623C" w:rsidP="00BB623C">
      <w:pPr>
        <w:pStyle w:val="L1-FlLSp12"/>
        <w:rPr>
          <w:rFonts w:cs="CJPCAL+TimesNewRoman"/>
          <w:b/>
          <w:szCs w:val="24"/>
        </w:rPr>
      </w:pPr>
      <w:r>
        <w:rPr>
          <w:noProof/>
        </w:rPr>
        <w:drawing>
          <wp:inline distT="0" distB="0" distL="0" distR="0" wp14:anchorId="38AABD7F" wp14:editId="093490AD">
            <wp:extent cx="5947410" cy="1542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7410" cy="1542415"/>
                    </a:xfrm>
                    <a:prstGeom prst="rect">
                      <a:avLst/>
                    </a:prstGeom>
                    <a:noFill/>
                    <a:ln>
                      <a:noFill/>
                    </a:ln>
                  </pic:spPr>
                </pic:pic>
              </a:graphicData>
            </a:graphic>
          </wp:inline>
        </w:drawing>
      </w:r>
    </w:p>
    <w:p w:rsidR="00BB623C" w:rsidRDefault="00BB623C" w:rsidP="00BB623C">
      <w:pPr>
        <w:pStyle w:val="L1-FlLSp12"/>
        <w:rPr>
          <w:rFonts w:cs="CJPCAL+TimesNewRoman"/>
          <w:szCs w:val="24"/>
        </w:rPr>
      </w:pPr>
    </w:p>
    <w:p w:rsidR="00BB623C" w:rsidRDefault="00BB623C" w:rsidP="00BB623C">
      <w:pPr>
        <w:pStyle w:val="L1-FlLSp12"/>
        <w:rPr>
          <w:rFonts w:cs="CJPCAL+TimesNewRoman"/>
          <w:szCs w:val="24"/>
        </w:rPr>
      </w:pPr>
      <w:r>
        <w:rPr>
          <w:rFonts w:cs="CJPCAL+TimesNewRoman"/>
          <w:szCs w:val="24"/>
        </w:rPr>
        <w:t>The USDA-FNS Study to Assess</w:t>
      </w:r>
      <w:r>
        <w:t xml:space="preserve"> the </w:t>
      </w:r>
      <w:r>
        <w:rPr>
          <w:rFonts w:cs="CJPCAL+TimesNewRoman"/>
          <w:szCs w:val="24"/>
        </w:rPr>
        <w:t>Effect</w:t>
      </w:r>
      <w:r>
        <w:t xml:space="preserve"> of </w:t>
      </w:r>
      <w:r>
        <w:rPr>
          <w:rFonts w:cs="CJPCAL+TimesNewRoman"/>
          <w:szCs w:val="24"/>
        </w:rPr>
        <w:t>SNAP</w:t>
      </w:r>
      <w:r>
        <w:t xml:space="preserve"> Participation </w:t>
      </w:r>
      <w:r>
        <w:rPr>
          <w:rFonts w:cs="CJPCAL+TimesNewRoman"/>
          <w:szCs w:val="24"/>
        </w:rPr>
        <w:t>of</w:t>
      </w:r>
      <w:r>
        <w:t xml:space="preserve"> Food Security</w:t>
      </w:r>
      <w:r>
        <w:rPr>
          <w:rFonts w:cs="CJPCAL+TimesNewRoman"/>
          <w:szCs w:val="24"/>
        </w:rPr>
        <w:t xml:space="preserve"> in the post-American Recovery and Reinvestment (ARRA) Environment (</w:t>
      </w:r>
      <w:r>
        <w:t>OMB Control Number 0584-0563</w:t>
      </w:r>
      <w:r>
        <w:rPr>
          <w:rFonts w:cs="CJPCAL+TimesNewRoman"/>
          <w:szCs w:val="24"/>
        </w:rPr>
        <w:t>, Discontinued</w:t>
      </w:r>
      <w:r>
        <w:t xml:space="preserve"> September </w:t>
      </w:r>
      <w:r>
        <w:rPr>
          <w:rFonts w:cs="CJPCAL+TimesNewRoman"/>
          <w:szCs w:val="24"/>
        </w:rPr>
        <w:t>19</w:t>
      </w:r>
      <w:r>
        <w:t>, 2011</w:t>
      </w:r>
      <w:r>
        <w:rPr>
          <w:rFonts w:cs="CJPCAL+TimesNewRoman"/>
          <w:szCs w:val="24"/>
        </w:rPr>
        <w:t xml:space="preserve">) offered a $2 pre-pay incentive and a $20 post-pay each upon completing the telephone interviews and had a response rate of 56 percent for baseline and 67 </w:t>
      </w:r>
      <w:proofErr w:type="gramStart"/>
      <w:r>
        <w:rPr>
          <w:rFonts w:cs="CJPCAL+TimesNewRoman"/>
          <w:szCs w:val="24"/>
        </w:rPr>
        <w:t>percent  for</w:t>
      </w:r>
      <w:proofErr w:type="gramEnd"/>
      <w:r>
        <w:rPr>
          <w:rFonts w:cs="CJPCAL+TimesNewRoman"/>
          <w:szCs w:val="24"/>
        </w:rPr>
        <w:t xml:space="preserve"> a six-month follow-up</w:t>
      </w:r>
      <w:r>
        <w:rPr>
          <w:rStyle w:val="FootnoteReference"/>
          <w:rFonts w:cs="CJPCAL+TimesNewRoman"/>
          <w:szCs w:val="24"/>
        </w:rPr>
        <w:footnoteReference w:id="26"/>
      </w:r>
      <w:r>
        <w:rPr>
          <w:rFonts w:cs="CJPCAL+TimesNewRoman"/>
          <w:szCs w:val="24"/>
        </w:rPr>
        <w:t xml:space="preserve"> The estimated burden was about 30 minutes for each survey.    Similar incentive amounts are being requested for this study.  Furthermore, the FMCS study has demonstrated that the $20 incentive has a better outcome for response rates than the $ 10 incentive.   </w:t>
      </w:r>
    </w:p>
    <w:p w:rsidR="00BB623C" w:rsidRDefault="00BB623C" w:rsidP="00BB623C">
      <w:pPr>
        <w:pStyle w:val="L1-FlLSp12"/>
        <w:rPr>
          <w:rFonts w:cs="CJPCAL+TimesNewRoman"/>
          <w:b/>
          <w:szCs w:val="24"/>
        </w:rPr>
      </w:pPr>
    </w:p>
    <w:p w:rsidR="00BB623C" w:rsidRDefault="00BB623C" w:rsidP="00BB623C">
      <w:pPr>
        <w:pStyle w:val="L1-FlLSp12"/>
        <w:rPr>
          <w:rFonts w:cs="CJPCAL+TimesNewRoman"/>
          <w:b/>
          <w:szCs w:val="24"/>
        </w:rPr>
      </w:pPr>
      <w:r>
        <w:rPr>
          <w:rFonts w:cs="CJPCAL+TimesNewRoman"/>
          <w:b/>
          <w:szCs w:val="24"/>
        </w:rPr>
        <w:t>Cash Incentives are Preferred to Other Forms for Low-Income Respondents</w:t>
      </w:r>
    </w:p>
    <w:p w:rsidR="00BB623C" w:rsidRDefault="00BB623C" w:rsidP="00BB623C">
      <w:pPr>
        <w:pStyle w:val="L1-FlLSp12"/>
        <w:rPr>
          <w:rFonts w:cs="CJPCAL+TimesNewRoman"/>
          <w:szCs w:val="24"/>
        </w:rPr>
      </w:pPr>
      <w:r>
        <w:rPr>
          <w:rFonts w:cs="CJPCAL+TimesNewRoman"/>
          <w:szCs w:val="24"/>
        </w:rPr>
        <w:t>While the use of cash incentives is currently not the preferred method by OMB for increasing response rates, FNS believes that for this study population of low-income households, cash incentives are the most appropriate way to ensure high survey response rates and  to provide reliable and generalizable results. Cash is better than checks as a medium for incentives for low-income populations</w:t>
      </w:r>
      <w:r>
        <w:rPr>
          <w:rFonts w:cs="CJPCAL+TimesNewRoman"/>
          <w:szCs w:val="24"/>
          <w:vertAlign w:val="superscript"/>
        </w:rPr>
        <w:footnoteReference w:id="27"/>
      </w:r>
      <w:r>
        <w:rPr>
          <w:rFonts w:cs="CJPCAL+TimesNewRoman"/>
          <w:szCs w:val="24"/>
        </w:rPr>
        <w:t xml:space="preserve"> because many low-income households are unbanked. For instance, over a quarter of households with incomes of $15,000 or less are unbanked.</w:t>
      </w:r>
      <w:r>
        <w:rPr>
          <w:rFonts w:cs="CJPCAL+TimesNewRoman"/>
          <w:szCs w:val="24"/>
          <w:vertAlign w:val="superscript"/>
        </w:rPr>
        <w:footnoteReference w:id="28"/>
      </w:r>
      <w:r>
        <w:rPr>
          <w:rFonts w:cs="CJPCAL+TimesNewRoman"/>
          <w:szCs w:val="24"/>
        </w:rPr>
        <w:t xml:space="preserve"> If these households are to monetize their checks, they often must use check cashing services that often require customers to pay substantial service charges in order to cash a </w:t>
      </w:r>
      <w:proofErr w:type="gramStart"/>
      <w:r>
        <w:rPr>
          <w:rFonts w:cs="CJPCAL+TimesNewRoman"/>
          <w:szCs w:val="24"/>
        </w:rPr>
        <w:t>check.</w:t>
      </w:r>
      <w:r>
        <w:rPr>
          <w:rFonts w:cs="CJPCAL+TimesNewRoman"/>
          <w:szCs w:val="24"/>
          <w:vertAlign w:val="superscript"/>
        </w:rPr>
        <w:footnoteReference w:id="29"/>
      </w:r>
      <w:r>
        <w:rPr>
          <w:rFonts w:cs="CJPCAL+TimesNewRoman"/>
          <w:szCs w:val="24"/>
          <w:vertAlign w:val="superscript"/>
        </w:rPr>
        <w:t>,</w:t>
      </w:r>
      <w:proofErr w:type="gramEnd"/>
      <w:r>
        <w:rPr>
          <w:rFonts w:cs="CJPCAL+TimesNewRoman"/>
          <w:szCs w:val="24"/>
          <w:vertAlign w:val="superscript"/>
        </w:rPr>
        <w:footnoteReference w:id="30"/>
      </w:r>
      <w:r>
        <w:rPr>
          <w:rFonts w:cs="CJPCAL+TimesNewRoman"/>
          <w:szCs w:val="24"/>
        </w:rPr>
        <w:t xml:space="preserve"> Cash incentives are also preferable to pre-paid gift cards as cash has shown to provide a higher response rate than prepaid vouchers</w:t>
      </w:r>
      <w:r>
        <w:rPr>
          <w:rFonts w:cs="CJPCAL+TimesNewRoman"/>
          <w:szCs w:val="24"/>
          <w:vertAlign w:val="superscript"/>
        </w:rPr>
        <w:footnoteReference w:id="31"/>
      </w:r>
      <w:r>
        <w:rPr>
          <w:rFonts w:cs="CJPCAL+TimesNewRoman"/>
          <w:szCs w:val="24"/>
        </w:rPr>
        <w:t xml:space="preserve"> or gift cards.</w:t>
      </w:r>
      <w:r>
        <w:rPr>
          <w:rFonts w:cs="CJPCAL+TimesNewRoman"/>
          <w:szCs w:val="24"/>
          <w:vertAlign w:val="superscript"/>
        </w:rPr>
        <w:footnoteReference w:id="32"/>
      </w:r>
    </w:p>
    <w:p w:rsidR="00EE3B87" w:rsidRDefault="00EE3B87" w:rsidP="00BB623C">
      <w:pPr>
        <w:pStyle w:val="L1-FlLSp12"/>
        <w:rPr>
          <w:rFonts w:cs="CJPCAL+TimesNewRoman"/>
          <w:szCs w:val="24"/>
        </w:rPr>
      </w:pPr>
    </w:p>
    <w:p w:rsidR="00BB623C" w:rsidRDefault="00BB623C" w:rsidP="00BB623C">
      <w:pPr>
        <w:rPr>
          <w:rFonts w:cstheme="minorBidi"/>
          <w:szCs w:val="22"/>
        </w:rPr>
      </w:pPr>
    </w:p>
    <w:p w:rsidR="00271489" w:rsidRPr="003702B9" w:rsidRDefault="00271489" w:rsidP="00271489">
      <w:pPr>
        <w:pStyle w:val="Heading2"/>
      </w:pPr>
      <w:bookmarkStart w:id="78" w:name="_Toc329341683"/>
      <w:bookmarkStart w:id="79" w:name="_Toc400376146"/>
      <w:bookmarkStart w:id="80" w:name="_Toc286158961"/>
      <w:bookmarkStart w:id="81" w:name="_Toc286160553"/>
      <w:bookmarkStart w:id="82" w:name="_Toc290021770"/>
      <w:bookmarkStart w:id="83" w:name="_Toc329675319"/>
      <w:bookmarkStart w:id="84" w:name="_Toc329675908"/>
      <w:bookmarkEnd w:id="77"/>
      <w:r w:rsidRPr="003702B9">
        <w:t>A.10</w:t>
      </w:r>
      <w:r w:rsidRPr="003702B9">
        <w:tab/>
        <w:t>Assurance of Confidentiality Provided to Respondents</w:t>
      </w:r>
      <w:bookmarkEnd w:id="78"/>
      <w:bookmarkEnd w:id="79"/>
    </w:p>
    <w:p w:rsidR="00271489" w:rsidRPr="002F126A" w:rsidRDefault="00271489" w:rsidP="00271489">
      <w:pPr>
        <w:pStyle w:val="L1-FlLSp12"/>
        <w:rPr>
          <w:b/>
        </w:rPr>
      </w:pPr>
      <w:r w:rsidRPr="002F126A">
        <w:rPr>
          <w:b/>
        </w:rPr>
        <w:t>Describe any assurance of confidentiality provided to respondents and the basis for the assurance in statute, regulation, or agency policy.</w:t>
      </w:r>
    </w:p>
    <w:p w:rsidR="00271489" w:rsidRPr="003702B9" w:rsidRDefault="00271489" w:rsidP="00090E69">
      <w:pPr>
        <w:spacing w:before="360" w:line="360" w:lineRule="atLeast"/>
        <w:jc w:val="both"/>
      </w:pPr>
      <w:r w:rsidRPr="003702B9">
        <w:t>Study participants</w:t>
      </w:r>
      <w:r w:rsidR="00761178">
        <w:t>—i</w:t>
      </w:r>
      <w:r w:rsidR="007806BB">
        <w:t>.e.</w:t>
      </w:r>
      <w:r w:rsidR="00761178">
        <w:t xml:space="preserve">, </w:t>
      </w:r>
      <w:r w:rsidR="007806BB">
        <w:t xml:space="preserve"> SNAP participants, FINI grantees, and outlet operators</w:t>
      </w:r>
      <w:r w:rsidR="00761178">
        <w:t>—</w:t>
      </w:r>
      <w:r w:rsidRPr="003702B9">
        <w:t>will</w:t>
      </w:r>
      <w:r w:rsidR="00761178">
        <w:t xml:space="preserve"> </w:t>
      </w:r>
      <w:r w:rsidRPr="003702B9">
        <w:t xml:space="preserve">be subject to assurances as provided by the Privacy Act of 1974 (5 USC </w:t>
      </w:r>
      <w:r>
        <w:t xml:space="preserve">Section </w:t>
      </w:r>
      <w:r w:rsidRPr="003702B9">
        <w:t xml:space="preserve">552a), which requires the safeguarding of individuals against invasion of privacy. The individuals participating in this study will be assured that the information they provide will not be published in a form that identifies them. </w:t>
      </w:r>
      <w:r w:rsidR="00EB4944">
        <w:t xml:space="preserve">Specifically, the invitation letter and telephone interview script will inform the participants that participation in the survey is voluntary; </w:t>
      </w:r>
      <w:r w:rsidR="00B12521" w:rsidRPr="009E76E5">
        <w:rPr>
          <w:szCs w:val="24"/>
        </w:rPr>
        <w:t>information provided in this survey or interview will be kept private to the extent required by law</w:t>
      </w:r>
      <w:bookmarkStart w:id="85" w:name="_GoBack"/>
      <w:bookmarkEnd w:id="85"/>
      <w:r w:rsidR="00EB4944">
        <w:t xml:space="preserve">.  Finally, they will also be informed that there is no penalty if they decide not to respond to the </w:t>
      </w:r>
      <w:proofErr w:type="spellStart"/>
      <w:r w:rsidR="00EB4944">
        <w:t>dat</w:t>
      </w:r>
      <w:proofErr w:type="spellEnd"/>
      <w:r w:rsidR="00EB4944">
        <w:t xml:space="preserve"> collection as a whole or to any particular questions. </w:t>
      </w:r>
      <w:r w:rsidRPr="003702B9">
        <w:t xml:space="preserve">No identifying information will be attached to any reports. Identifying information will not be included in the public use dataset. In addition, all </w:t>
      </w:r>
      <w:proofErr w:type="spellStart"/>
      <w:r w:rsidRPr="003702B9">
        <w:t>Westat</w:t>
      </w:r>
      <w:proofErr w:type="spellEnd"/>
      <w:r w:rsidRPr="003702B9">
        <w:t xml:space="preserve"> project staff and subcontractors will sign a confidentiality and nond</w:t>
      </w:r>
      <w:r w:rsidR="009F0FB0">
        <w:t>isclosure agreement [Appendix AM</w:t>
      </w:r>
      <w:r w:rsidRPr="003702B9">
        <w:t>]. We will ensure the privacy and security of electronic data during the data collection and processing period following the system of record notice (SORN) titled FNS-8 USDA/FNS Studies and Reports.</w:t>
      </w:r>
      <w:r w:rsidRPr="003702B9">
        <w:rPr>
          <w:vertAlign w:val="superscript"/>
        </w:rPr>
        <w:footnoteReference w:id="33"/>
      </w:r>
      <w:r w:rsidR="007806BB" w:rsidRPr="009D7343">
        <w:rPr>
          <w:vertAlign w:val="superscript"/>
        </w:rPr>
        <w:t>,</w:t>
      </w:r>
      <w:r w:rsidR="007806BB">
        <w:rPr>
          <w:rStyle w:val="FootnoteReference"/>
        </w:rPr>
        <w:footnoteReference w:id="34"/>
      </w:r>
      <w:r w:rsidRPr="003702B9">
        <w:t xml:space="preserve"> Names and phone numbers will not be linked to participants’ responses, survey respondents will have a unique ID number, and analysis will be conducted on datasets that include only respondent ID numbers. All data will be securely transmitted to </w:t>
      </w:r>
      <w:proofErr w:type="spellStart"/>
      <w:r w:rsidRPr="003702B9">
        <w:t>Westat</w:t>
      </w:r>
      <w:proofErr w:type="spellEnd"/>
      <w:r w:rsidRPr="003702B9">
        <w:t xml:space="preserve"> via secure fax, FTP site, or </w:t>
      </w:r>
      <w:r>
        <w:t>tele</w:t>
      </w:r>
      <w:r w:rsidRPr="003702B9">
        <w:t xml:space="preserve">phone; and will be stored in locked file cabinets or password-protected computers, and accessible only to </w:t>
      </w:r>
      <w:proofErr w:type="spellStart"/>
      <w:r w:rsidRPr="003702B9">
        <w:t>Westat</w:t>
      </w:r>
      <w:proofErr w:type="spellEnd"/>
      <w:r w:rsidRPr="003702B9">
        <w:t xml:space="preserve"> project staff. Names and phone numbers will be destroyed within 12</w:t>
      </w:r>
      <w:r w:rsidR="006A778D">
        <w:t> </w:t>
      </w:r>
      <w:r w:rsidRPr="003702B9">
        <w:t xml:space="preserve">months after the end of the </w:t>
      </w:r>
      <w:r>
        <w:t>data collection period</w:t>
      </w:r>
      <w:r w:rsidRPr="003702B9">
        <w:t xml:space="preserve">. </w:t>
      </w:r>
      <w:proofErr w:type="spellStart"/>
      <w:r w:rsidRPr="003702B9">
        <w:t>Westat’s</w:t>
      </w:r>
      <w:proofErr w:type="spellEnd"/>
      <w:r w:rsidRPr="003702B9">
        <w:t xml:space="preserve"> Institutional Review Board (IRB) serves as the organization’s administrative body, and all research involving interactions or interventions with human subjects is within its purview. The IRB approval letter from </w:t>
      </w:r>
      <w:proofErr w:type="spellStart"/>
      <w:r w:rsidRPr="003702B9">
        <w:t>Westa</w:t>
      </w:r>
      <w:r w:rsidR="009F0FB0">
        <w:t>t</w:t>
      </w:r>
      <w:proofErr w:type="spellEnd"/>
      <w:r w:rsidR="009F0FB0">
        <w:t xml:space="preserve"> is in Appendix AN</w:t>
      </w:r>
      <w:r w:rsidRPr="003702B9">
        <w:t>.</w:t>
      </w:r>
    </w:p>
    <w:p w:rsidR="00271489" w:rsidRDefault="00271489" w:rsidP="00271489">
      <w:pPr>
        <w:pStyle w:val="L1-FlLSp12"/>
      </w:pPr>
    </w:p>
    <w:p w:rsidR="0047782E" w:rsidRPr="003702B9" w:rsidRDefault="0047782E" w:rsidP="00271489">
      <w:pPr>
        <w:pStyle w:val="L1-FlLSp12"/>
      </w:pPr>
    </w:p>
    <w:p w:rsidR="00271489" w:rsidRPr="003702B9" w:rsidRDefault="00271489" w:rsidP="00271489">
      <w:pPr>
        <w:pStyle w:val="Heading2"/>
      </w:pPr>
      <w:bookmarkStart w:id="86" w:name="_Toc329341684"/>
      <w:bookmarkStart w:id="87" w:name="_Toc400376147"/>
      <w:bookmarkEnd w:id="80"/>
      <w:bookmarkEnd w:id="81"/>
      <w:bookmarkEnd w:id="82"/>
      <w:bookmarkEnd w:id="83"/>
      <w:bookmarkEnd w:id="84"/>
      <w:r w:rsidRPr="003702B9">
        <w:t>A.11</w:t>
      </w:r>
      <w:r w:rsidRPr="003702B9">
        <w:tab/>
        <w:t>Justification for Sensitive Questions</w:t>
      </w:r>
      <w:bookmarkEnd w:id="86"/>
      <w:bookmarkEnd w:id="87"/>
    </w:p>
    <w:p w:rsidR="00271489" w:rsidRPr="002F126A" w:rsidRDefault="00271489" w:rsidP="00271489">
      <w:pPr>
        <w:pStyle w:val="L1-FlLSp12"/>
        <w:rPr>
          <w:b/>
        </w:rPr>
      </w:pPr>
      <w:r w:rsidRPr="002F126A">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71489" w:rsidRPr="003702B9" w:rsidRDefault="00271489" w:rsidP="00271489">
      <w:pPr>
        <w:pStyle w:val="L1-FlLSp12"/>
      </w:pPr>
    </w:p>
    <w:p w:rsidR="00271489" w:rsidRDefault="00271489" w:rsidP="00271489">
      <w:pPr>
        <w:pStyle w:val="L1-FlLSp12"/>
      </w:pPr>
      <w:r w:rsidRPr="003702B9">
        <w:t xml:space="preserve">In general, questions on the </w:t>
      </w:r>
      <w:r>
        <w:t>SPS</w:t>
      </w:r>
      <w:r w:rsidRPr="003702B9">
        <w:t>, Outlet Survey, Core Program Data, and key informant interview discussion guides are not considered sensitive.</w:t>
      </w:r>
      <w:r w:rsidR="00D62B9A">
        <w:t xml:space="preserve"> </w:t>
      </w:r>
      <w:r>
        <w:t>The SPS includes household food security questions; it is possible some SNAP participants may consider these questions sensitive. However, participation in this study is voluntary and participants can choose not to answer any of these or any other questions.</w:t>
      </w:r>
    </w:p>
    <w:p w:rsidR="0047782E" w:rsidRDefault="0047782E" w:rsidP="00271489">
      <w:pPr>
        <w:pStyle w:val="L1-FlLSp12"/>
      </w:pPr>
    </w:p>
    <w:p w:rsidR="00271489" w:rsidRPr="003702B9" w:rsidRDefault="00271489" w:rsidP="00271489">
      <w:pPr>
        <w:pStyle w:val="Heading2"/>
      </w:pPr>
      <w:bookmarkStart w:id="88" w:name="_Toc329341685"/>
      <w:bookmarkStart w:id="89" w:name="_Toc400376148"/>
      <w:r w:rsidRPr="003702B9">
        <w:t>A.12</w:t>
      </w:r>
      <w:r w:rsidRPr="003702B9">
        <w:tab/>
        <w:t>Estimates of Respondent Burden Including Annualized Hourly Cost</w:t>
      </w:r>
      <w:bookmarkEnd w:id="88"/>
      <w:bookmarkEnd w:id="89"/>
      <w:r w:rsidRPr="003702B9">
        <w:t>s</w:t>
      </w:r>
    </w:p>
    <w:p w:rsidR="00271489" w:rsidRPr="006510C8" w:rsidRDefault="00271489" w:rsidP="00271489">
      <w:pPr>
        <w:pStyle w:val="L1-FlLSp12"/>
        <w:rPr>
          <w:b/>
        </w:rPr>
      </w:pPr>
      <w:bookmarkStart w:id="90" w:name="_Toc400376149"/>
      <w:r w:rsidRPr="006510C8">
        <w:rPr>
          <w:b/>
        </w:rPr>
        <w:t>Provide estimates of the hour burden of the collection of information. The statement should:</w:t>
      </w:r>
      <w:bookmarkEnd w:id="90"/>
    </w:p>
    <w:p w:rsidR="00271489" w:rsidRPr="006510C8" w:rsidRDefault="00271489" w:rsidP="00271489">
      <w:pPr>
        <w:pStyle w:val="L1-FlLSp12"/>
        <w:rPr>
          <w:b/>
        </w:rPr>
      </w:pPr>
    </w:p>
    <w:p w:rsidR="00271489" w:rsidRPr="006510C8" w:rsidRDefault="00271489" w:rsidP="0047782E">
      <w:pPr>
        <w:pStyle w:val="N1-1stBullet"/>
        <w:rPr>
          <w:b/>
        </w:rPr>
      </w:pPr>
      <w:bookmarkStart w:id="91" w:name="_Toc315090023"/>
      <w:bookmarkStart w:id="92" w:name="_Toc316652495"/>
      <w:bookmarkStart w:id="93" w:name="_Toc325472122"/>
      <w:bookmarkStart w:id="94" w:name="_Toc325552296"/>
      <w:bookmarkStart w:id="95" w:name="_Toc400376150"/>
      <w:r w:rsidRPr="006510C8">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91"/>
      <w:bookmarkEnd w:id="92"/>
      <w:bookmarkEnd w:id="93"/>
      <w:bookmarkEnd w:id="94"/>
      <w:bookmarkEnd w:id="95"/>
    </w:p>
    <w:p w:rsidR="00271489" w:rsidRPr="006510C8" w:rsidRDefault="00271489" w:rsidP="0047782E">
      <w:pPr>
        <w:pStyle w:val="N1-1stBullet"/>
        <w:rPr>
          <w:b/>
        </w:rPr>
      </w:pPr>
      <w:bookmarkStart w:id="96" w:name="_Toc400376151"/>
      <w:r w:rsidRPr="006510C8">
        <w:rPr>
          <w:b/>
        </w:rPr>
        <w:t>Provide estimates of annualized cost to respondents for the hour burdens for collections of information, identifying and using appropriate wage rate categories</w:t>
      </w:r>
      <w:bookmarkEnd w:id="96"/>
      <w:r w:rsidRPr="006510C8">
        <w:rPr>
          <w:b/>
        </w:rPr>
        <w:t>.</w:t>
      </w:r>
    </w:p>
    <w:p w:rsidR="00271489" w:rsidRPr="006510C8" w:rsidRDefault="00271489" w:rsidP="00271489">
      <w:pPr>
        <w:pStyle w:val="L1-FlLSp12"/>
        <w:rPr>
          <w:b/>
        </w:rPr>
      </w:pPr>
      <w:r w:rsidRPr="006510C8">
        <w:rPr>
          <w:b/>
        </w:rPr>
        <w:t xml:space="preserve">Table </w:t>
      </w:r>
      <w:r w:rsidR="0036034F" w:rsidRPr="006510C8">
        <w:rPr>
          <w:b/>
        </w:rPr>
        <w:t>A.</w:t>
      </w:r>
      <w:r w:rsidRPr="006510C8">
        <w:rPr>
          <w:b/>
        </w:rPr>
        <w:t>12.</w:t>
      </w:r>
      <w:r w:rsidR="0036034F" w:rsidRPr="006510C8">
        <w:rPr>
          <w:b/>
        </w:rPr>
        <w:t>1</w:t>
      </w:r>
      <w:r w:rsidRPr="006510C8">
        <w:rPr>
          <w:b/>
        </w:rPr>
        <w:t xml:space="preserve"> presents the number of respondents, frequency of response, and annual hour burden for </w:t>
      </w:r>
      <w:r w:rsidR="00392A6B">
        <w:rPr>
          <w:b/>
        </w:rPr>
        <w:t xml:space="preserve">State/Local Agency Data Managers and FINI program administrators </w:t>
      </w:r>
      <w:r w:rsidR="00F5256A">
        <w:rPr>
          <w:b/>
        </w:rPr>
        <w:t>(State</w:t>
      </w:r>
      <w:r w:rsidR="00392A6B">
        <w:rPr>
          <w:b/>
        </w:rPr>
        <w:t>/Local Government</w:t>
      </w:r>
      <w:r w:rsidR="00F5256A">
        <w:rPr>
          <w:b/>
        </w:rPr>
        <w:t>)</w:t>
      </w:r>
      <w:r w:rsidR="00392A6B">
        <w:rPr>
          <w:b/>
        </w:rPr>
        <w:t>,</w:t>
      </w:r>
      <w:r w:rsidRPr="006510C8">
        <w:rPr>
          <w:b/>
        </w:rPr>
        <w:t xml:space="preserve"> </w:t>
      </w:r>
      <w:r w:rsidR="00392A6B" w:rsidRPr="006510C8">
        <w:rPr>
          <w:b/>
        </w:rPr>
        <w:t>SNAP beneficiaries</w:t>
      </w:r>
      <w:r w:rsidR="00392A6B">
        <w:rPr>
          <w:b/>
        </w:rPr>
        <w:t xml:space="preserve"> (households and </w:t>
      </w:r>
      <w:proofErr w:type="spellStart"/>
      <w:r w:rsidR="00392A6B">
        <w:rPr>
          <w:b/>
        </w:rPr>
        <w:t>indiviudals</w:t>
      </w:r>
      <w:proofErr w:type="spellEnd"/>
      <w:r w:rsidR="00392A6B">
        <w:rPr>
          <w:b/>
        </w:rPr>
        <w:t>),  and FINI Grantees and FINI outlet operators (</w:t>
      </w:r>
      <w:r w:rsidR="00F5256A">
        <w:rPr>
          <w:b/>
        </w:rPr>
        <w:t>Business-for-</w:t>
      </w:r>
      <w:r w:rsidR="00392A6B">
        <w:rPr>
          <w:b/>
        </w:rPr>
        <w:t xml:space="preserve"> and Business-</w:t>
      </w:r>
      <w:r w:rsidR="00F5256A">
        <w:rPr>
          <w:b/>
        </w:rPr>
        <w:t>not-for-profit</w:t>
      </w:r>
      <w:r w:rsidR="00392A6B">
        <w:rPr>
          <w:b/>
        </w:rPr>
        <w:t>).</w:t>
      </w:r>
      <w:r w:rsidRPr="006510C8">
        <w:rPr>
          <w:b/>
        </w:rPr>
        <w:t xml:space="preserve"> </w:t>
      </w:r>
    </w:p>
    <w:p w:rsidR="0047782E" w:rsidRPr="003702B9" w:rsidRDefault="0047782E" w:rsidP="00271489">
      <w:pPr>
        <w:pStyle w:val="L1-FlLSp12"/>
      </w:pPr>
    </w:p>
    <w:p w:rsidR="00C24FFC" w:rsidRDefault="00C24FFC" w:rsidP="00555E97">
      <w:pPr>
        <w:pStyle w:val="N1-1stBullet"/>
      </w:pPr>
      <w:r w:rsidRPr="00555E97">
        <w:rPr>
          <w:b/>
        </w:rPr>
        <w:t>State/Local SNAP Agency Staff</w:t>
      </w:r>
      <w:r>
        <w:t xml:space="preserve">.  We will request SNAP administrative caseload files from State agencies that host FINI outlets.  </w:t>
      </w:r>
      <w:r w:rsidR="008F306B">
        <w:t xml:space="preserve">We will send an introductory email to </w:t>
      </w:r>
      <w:r w:rsidRPr="002534B9">
        <w:t xml:space="preserve">all States that have at least </w:t>
      </w:r>
      <w:r w:rsidR="005B4423">
        <w:t>5</w:t>
      </w:r>
      <w:r w:rsidR="005B4423" w:rsidRPr="002534B9">
        <w:t xml:space="preserve"> </w:t>
      </w:r>
      <w:r w:rsidRPr="002534B9">
        <w:t>FINI outlet</w:t>
      </w:r>
      <w:r w:rsidR="005B4423">
        <w:t>s</w:t>
      </w:r>
      <w:r w:rsidRPr="00E94009">
        <w:t>.</w:t>
      </w:r>
      <w:r w:rsidR="00BB5D0A">
        <w:rPr>
          <w:rStyle w:val="FootnoteReference"/>
        </w:rPr>
        <w:footnoteReference w:id="35"/>
      </w:r>
      <w:r>
        <w:t xml:space="preserve">  </w:t>
      </w:r>
      <w:r w:rsidR="008F306B">
        <w:t>Since a list of 2016 FINI grantees is not available at this time, we assume that we will need to request SNAP administrative data files from 51 States</w:t>
      </w:r>
      <w:r w:rsidR="00555E97">
        <w:t xml:space="preserve">; this represents the maximum possible burden to obtain SNAP administrative data.  Participant burden for state agency staff includes time to read the request email, participate in the telephone discussion, develop and sign off on the data sharing agreement, prepare the necessary data files, and submit these using a secure FTP server or an encrypted email. </w:t>
      </w:r>
    </w:p>
    <w:p w:rsidR="00267F75" w:rsidRPr="00555E97" w:rsidRDefault="00271489" w:rsidP="00090E69">
      <w:pPr>
        <w:pStyle w:val="N1-1stBullet"/>
      </w:pPr>
      <w:r w:rsidRPr="00090E69">
        <w:rPr>
          <w:b/>
        </w:rPr>
        <w:t>SNAP Participant</w:t>
      </w:r>
      <w:r w:rsidR="00555E97" w:rsidRPr="00090E69">
        <w:rPr>
          <w:b/>
        </w:rPr>
        <w:t>s</w:t>
      </w:r>
      <w:r w:rsidR="0047782E" w:rsidRPr="00090E69">
        <w:rPr>
          <w:b/>
        </w:rPr>
        <w:t>.</w:t>
      </w:r>
      <w:r w:rsidRPr="00090E69">
        <w:rPr>
          <w:b/>
        </w:rPr>
        <w:t xml:space="preserve"> </w:t>
      </w:r>
      <w:r w:rsidRPr="003702B9">
        <w:t>For the pre-</w:t>
      </w:r>
      <w:r>
        <w:t>SPS</w:t>
      </w:r>
      <w:r w:rsidRPr="003702B9">
        <w:t>, the sample size of SNAP participants is 7,</w:t>
      </w:r>
      <w:r>
        <w:t>5</w:t>
      </w:r>
      <w:r w:rsidRPr="003702B9">
        <w:t xml:space="preserve">90, </w:t>
      </w:r>
      <w:r w:rsidR="00EC1B56">
        <w:t>which includes</w:t>
      </w:r>
      <w:r w:rsidR="00EC1B56" w:rsidRPr="003702B9">
        <w:t xml:space="preserve"> </w:t>
      </w:r>
      <w:r w:rsidRPr="003702B9">
        <w:t xml:space="preserve">a reserve sample of 1,518. We expect </w:t>
      </w:r>
      <w:r w:rsidR="004A2D5D">
        <w:t>54 </w:t>
      </w:r>
      <w:r>
        <w:t xml:space="preserve">percent </w:t>
      </w:r>
      <w:r w:rsidRPr="003702B9">
        <w:t xml:space="preserve">of the </w:t>
      </w:r>
      <w:r w:rsidR="00EC1B56">
        <w:t>total sampled</w:t>
      </w:r>
      <w:r w:rsidR="00EC1B56" w:rsidRPr="003702B9">
        <w:t xml:space="preserve"> </w:t>
      </w:r>
      <w:r w:rsidRPr="003702B9">
        <w:t>individuals will complete the pre-</w:t>
      </w:r>
      <w:r>
        <w:t>SPS</w:t>
      </w:r>
      <w:r w:rsidRPr="003702B9">
        <w:t xml:space="preserve"> (</w:t>
      </w:r>
      <w:r>
        <w:t>including web, mail, and telephone)</w:t>
      </w:r>
      <w:r w:rsidRPr="003702B9">
        <w:t>. All pre-</w:t>
      </w:r>
      <w:r>
        <w:t>SPS</w:t>
      </w:r>
      <w:r w:rsidRPr="003702B9">
        <w:t xml:space="preserve"> respondents will </w:t>
      </w:r>
      <w:r>
        <w:t xml:space="preserve">be </w:t>
      </w:r>
      <w:r w:rsidRPr="003702B9">
        <w:t>invited to complete the post-</w:t>
      </w:r>
      <w:r>
        <w:t>SPS</w:t>
      </w:r>
      <w:r w:rsidRPr="003702B9">
        <w:t xml:space="preserve"> (n=4,128)</w:t>
      </w:r>
      <w:r w:rsidR="00FB3315">
        <w:t>; t</w:t>
      </w:r>
      <w:r w:rsidRPr="003702B9">
        <w:t>he expected response rate for the post-</w:t>
      </w:r>
      <w:r>
        <w:t>SPS</w:t>
      </w:r>
      <w:r w:rsidRPr="003702B9">
        <w:t xml:space="preserve"> is </w:t>
      </w:r>
      <w:r w:rsidR="00FB3315">
        <w:t>56</w:t>
      </w:r>
      <w:r>
        <w:t xml:space="preserve"> percent</w:t>
      </w:r>
      <w:r w:rsidRPr="003702B9">
        <w:t xml:space="preserve"> (2,310). </w:t>
      </w:r>
      <w:r w:rsidR="0023525A" w:rsidRPr="003702B9">
        <w:t xml:space="preserve">Participant burden </w:t>
      </w:r>
      <w:r w:rsidR="0023525A">
        <w:t xml:space="preserve">for the pre- and post-SPS </w:t>
      </w:r>
      <w:r w:rsidR="0023525A" w:rsidRPr="003702B9">
        <w:t>includes reading invitation</w:t>
      </w:r>
      <w:r w:rsidR="0023525A">
        <w:t>, reminder post cards,</w:t>
      </w:r>
      <w:r w:rsidR="0023525A" w:rsidRPr="003702B9">
        <w:t xml:space="preserve"> and </w:t>
      </w:r>
      <w:r w:rsidR="0023525A">
        <w:t>thank you</w:t>
      </w:r>
      <w:r w:rsidR="0023525A" w:rsidRPr="003702B9">
        <w:t xml:space="preserve"> letters, </w:t>
      </w:r>
      <w:r w:rsidR="0023525A">
        <w:t xml:space="preserve">and </w:t>
      </w:r>
      <w:r w:rsidR="0023525A" w:rsidRPr="003702B9">
        <w:t xml:space="preserve">completing the </w:t>
      </w:r>
      <w:r w:rsidR="0023525A">
        <w:t xml:space="preserve">online, </w:t>
      </w:r>
      <w:r w:rsidR="0023525A" w:rsidRPr="003702B9">
        <w:t>hard copy, or telephone survey</w:t>
      </w:r>
      <w:r w:rsidR="00AA6D00">
        <w:rPr>
          <w:rStyle w:val="FootnoteReference"/>
        </w:rPr>
        <w:footnoteReference w:id="36"/>
      </w:r>
      <w:r w:rsidR="0023525A">
        <w:t xml:space="preserve">.  </w:t>
      </w:r>
      <w:r w:rsidR="0023525A" w:rsidRPr="00555E97">
        <w:t>We will also recruit 60 SNAP participants to participate in the key informant interviews; the expected response rate for participation in the key informant survey is 80 percent</w:t>
      </w:r>
      <w:r w:rsidR="0023525A">
        <w:t xml:space="preserve">  </w:t>
      </w:r>
    </w:p>
    <w:p w:rsidR="00271489" w:rsidRPr="003702B9" w:rsidRDefault="00555E97" w:rsidP="0047782E">
      <w:pPr>
        <w:pStyle w:val="N1-1stBullet"/>
      </w:pPr>
      <w:r>
        <w:rPr>
          <w:b/>
        </w:rPr>
        <w:t>Grantees</w:t>
      </w:r>
      <w:r w:rsidR="00271489" w:rsidRPr="003702B9">
        <w:rPr>
          <w:b/>
        </w:rPr>
        <w:t>.</w:t>
      </w:r>
      <w:r w:rsidR="00271489">
        <w:t xml:space="preserve"> </w:t>
      </w:r>
      <w:r>
        <w:t xml:space="preserve">The Grantees include State/local agencies and business –for and business – not-for profit organizations.  For the purpose of sampling SNAP </w:t>
      </w:r>
      <w:proofErr w:type="spellStart"/>
      <w:r>
        <w:t>participnats</w:t>
      </w:r>
      <w:proofErr w:type="spellEnd"/>
      <w:r>
        <w:t xml:space="preserve">, all grantees will review the email requesting outlet characteristics and </w:t>
      </w:r>
      <w:r w:rsidR="004C246C">
        <w:t xml:space="preserve">submit </w:t>
      </w:r>
      <w:r>
        <w:t xml:space="preserve">the outlet characteristics form.  </w:t>
      </w:r>
      <w:r w:rsidR="00271489">
        <w:t>We will select 6</w:t>
      </w:r>
      <w:r w:rsidR="00271489" w:rsidRPr="003702B9">
        <w:t>0 SNAP participants to participate in key informant interviews by telephone. We expect to schedule interviews with 5</w:t>
      </w:r>
      <w:r w:rsidR="00AA6AA6">
        <w:t>0</w:t>
      </w:r>
      <w:r w:rsidR="00271489" w:rsidRPr="003702B9">
        <w:t xml:space="preserve"> SNAP participants (80</w:t>
      </w:r>
      <w:r w:rsidR="00A87666">
        <w:t xml:space="preserve"> percent</w:t>
      </w:r>
      <w:r w:rsidR="00271489" w:rsidRPr="003702B9">
        <w:t xml:space="preserve"> of sampled participants) and conduct interviews with 4</w:t>
      </w:r>
      <w:r w:rsidR="00AA6AA6">
        <w:t>0</w:t>
      </w:r>
      <w:r w:rsidR="00271489" w:rsidRPr="003702B9">
        <w:t xml:space="preserve"> participants (80</w:t>
      </w:r>
      <w:r w:rsidR="00A87666">
        <w:t xml:space="preserve"> percent</w:t>
      </w:r>
      <w:r w:rsidR="00271489" w:rsidRPr="003702B9">
        <w:t xml:space="preserve"> of invited participants).</w:t>
      </w:r>
      <w:r w:rsidRPr="00555E97">
        <w:t xml:space="preserve"> </w:t>
      </w:r>
      <w:r w:rsidRPr="003702B9">
        <w:t>All 35 FINI grantees will respond to the annual grantee level and quarterly outlet level Core Program Data forms.</w:t>
      </w:r>
      <w:r>
        <w:t xml:space="preserve"> All grantees will also participate in key informant </w:t>
      </w:r>
      <w:proofErr w:type="spellStart"/>
      <w:r>
        <w:t>interviews.All</w:t>
      </w:r>
      <w:proofErr w:type="spellEnd"/>
      <w:r>
        <w:t xml:space="preserve"> grantees will respond to the outlet data form</w:t>
      </w:r>
    </w:p>
    <w:p w:rsidR="00271489" w:rsidRPr="003702B9" w:rsidRDefault="00271489" w:rsidP="0047782E">
      <w:pPr>
        <w:pStyle w:val="N1-1stBullet"/>
      </w:pPr>
      <w:r w:rsidRPr="003702B9">
        <w:rPr>
          <w:b/>
        </w:rPr>
        <w:t xml:space="preserve">Outlet </w:t>
      </w:r>
      <w:r w:rsidR="00555E97">
        <w:rPr>
          <w:b/>
        </w:rPr>
        <w:t>Operators</w:t>
      </w:r>
      <w:r w:rsidR="0047782E">
        <w:rPr>
          <w:b/>
        </w:rPr>
        <w:t>.</w:t>
      </w:r>
      <w:r w:rsidRPr="003702B9">
        <w:rPr>
          <w:b/>
        </w:rPr>
        <w:t xml:space="preserve"> </w:t>
      </w:r>
      <w:r w:rsidRPr="003702B9">
        <w:t xml:space="preserve">The Outlet Survey will be mailed to all </w:t>
      </w:r>
      <w:r>
        <w:t xml:space="preserve">FINI Retail Operators </w:t>
      </w:r>
      <w:r w:rsidRPr="003702B9">
        <w:t>(3,600); 80</w:t>
      </w:r>
      <w:r>
        <w:t xml:space="preserve"> percent</w:t>
      </w:r>
      <w:r w:rsidRPr="003702B9">
        <w:t xml:space="preserve"> of the outlet staff will complete the return the survey (2,880). Participant burden includes reading invitation and reminder letters, completing the survey, and reading the </w:t>
      </w:r>
      <w:r>
        <w:t>thank you</w:t>
      </w:r>
      <w:r w:rsidRPr="003702B9">
        <w:t xml:space="preserve"> postcard.</w:t>
      </w:r>
    </w:p>
    <w:p w:rsidR="00271489" w:rsidRDefault="00271489" w:rsidP="00271489">
      <w:pPr>
        <w:pStyle w:val="L1-FlLSp12"/>
      </w:pPr>
      <w:bookmarkStart w:id="97" w:name="_Toc282508099"/>
      <w:r w:rsidRPr="003702B9">
        <w:t>The estimated annualized cost is $7.25 per hour for SNAP participants (average national minimum wage); $53.15 per hour for state and local SNAP grantees/program administrators (job category “Management Occupations” code #11-0000); and $13.61 per hour for retailers/markets and local community organization representatives staff (job category “Healthcare Support Occupations” code #31-0000). As stated in the award requirement, FINI grantees are expected to keep data records; therefore</w:t>
      </w:r>
      <w:r>
        <w:t>,</w:t>
      </w:r>
      <w:r w:rsidRPr="003702B9">
        <w:t xml:space="preserve"> burden hours for recordkeeping have not been estimated.</w:t>
      </w:r>
    </w:p>
    <w:p w:rsidR="00396CF5" w:rsidRDefault="00396CF5" w:rsidP="00396CF5">
      <w:pPr>
        <w:pStyle w:val="L1-FlLSp12"/>
      </w:pPr>
      <w:bookmarkStart w:id="98" w:name="_Toc282506035"/>
      <w:bookmarkEnd w:id="97"/>
    </w:p>
    <w:p w:rsidR="00396CF5" w:rsidRDefault="00396CF5" w:rsidP="00BB3850">
      <w:pPr>
        <w:pStyle w:val="L1-FlLSp12"/>
        <w:sectPr w:rsidR="00396CF5" w:rsidSect="009C2750">
          <w:footerReference w:type="first" r:id="rId16"/>
          <w:pgSz w:w="12240" w:h="15840" w:code="1"/>
          <w:pgMar w:top="1440" w:right="1440" w:bottom="1440" w:left="1440" w:header="720" w:footer="576" w:gutter="0"/>
          <w:pgNumType w:start="1"/>
          <w:cols w:space="720"/>
          <w:titlePg/>
          <w:docGrid w:linePitch="326"/>
        </w:sectPr>
      </w:pPr>
      <w:bookmarkStart w:id="99" w:name="_Toc280797912"/>
      <w:bookmarkEnd w:id="98"/>
    </w:p>
    <w:p w:rsidR="002A1619" w:rsidRDefault="00BB3850" w:rsidP="0088142D">
      <w:pPr>
        <w:pStyle w:val="TT-TableTitle"/>
        <w:tabs>
          <w:tab w:val="clear" w:pos="1440"/>
          <w:tab w:val="left" w:pos="1080"/>
        </w:tabs>
      </w:pPr>
      <w:bookmarkStart w:id="100" w:name="_Toc329675324"/>
      <w:bookmarkStart w:id="101" w:name="_Toc329675913"/>
      <w:r w:rsidRPr="003702B9">
        <w:t>Table A.12</w:t>
      </w:r>
      <w:r>
        <w:t>.1.</w:t>
      </w:r>
      <w:r w:rsidRPr="003702B9">
        <w:tab/>
      </w:r>
      <w:bookmarkStart w:id="102" w:name="_Toc282508100"/>
      <w:r w:rsidRPr="003702B9">
        <w:t>Respondent burden and cost estimate</w:t>
      </w:r>
      <w:bookmarkEnd w:id="100"/>
      <w:bookmarkEnd w:id="101"/>
    </w:p>
    <w:p w:rsidR="00F96443" w:rsidRDefault="00F96443" w:rsidP="00AD5C8A">
      <w:pPr>
        <w:pStyle w:val="TT-TableTitle"/>
      </w:pPr>
    </w:p>
    <w:tbl>
      <w:tblPr>
        <w:tblW w:w="14594" w:type="dxa"/>
        <w:tblInd w:w="93" w:type="dxa"/>
        <w:tblLayout w:type="fixed"/>
        <w:tblLook w:val="04A0" w:firstRow="1" w:lastRow="0" w:firstColumn="1" w:lastColumn="0" w:noHBand="0" w:noVBand="1"/>
      </w:tblPr>
      <w:tblGrid>
        <w:gridCol w:w="865"/>
        <w:gridCol w:w="567"/>
        <w:gridCol w:w="923"/>
        <w:gridCol w:w="2019"/>
        <w:gridCol w:w="236"/>
        <w:gridCol w:w="33"/>
        <w:gridCol w:w="164"/>
        <w:gridCol w:w="236"/>
        <w:gridCol w:w="287"/>
        <w:gridCol w:w="88"/>
        <w:gridCol w:w="236"/>
        <w:gridCol w:w="305"/>
        <w:gridCol w:w="88"/>
        <w:gridCol w:w="236"/>
        <w:gridCol w:w="222"/>
        <w:gridCol w:w="151"/>
        <w:gridCol w:w="236"/>
        <w:gridCol w:w="326"/>
        <w:gridCol w:w="88"/>
        <w:gridCol w:w="236"/>
        <w:gridCol w:w="395"/>
        <w:gridCol w:w="88"/>
        <w:gridCol w:w="236"/>
        <w:gridCol w:w="470"/>
        <w:gridCol w:w="194"/>
        <w:gridCol w:w="236"/>
        <w:gridCol w:w="264"/>
        <w:gridCol w:w="267"/>
        <w:gridCol w:w="41"/>
        <w:gridCol w:w="272"/>
        <w:gridCol w:w="236"/>
        <w:gridCol w:w="232"/>
        <w:gridCol w:w="146"/>
        <w:gridCol w:w="90"/>
        <w:gridCol w:w="303"/>
        <w:gridCol w:w="194"/>
        <w:gridCol w:w="42"/>
        <w:gridCol w:w="377"/>
        <w:gridCol w:w="236"/>
        <w:gridCol w:w="47"/>
        <w:gridCol w:w="617"/>
        <w:gridCol w:w="114"/>
        <w:gridCol w:w="122"/>
        <w:gridCol w:w="454"/>
        <w:gridCol w:w="235"/>
        <w:gridCol w:w="217"/>
        <w:gridCol w:w="448"/>
        <w:gridCol w:w="121"/>
        <w:gridCol w:w="122"/>
        <w:gridCol w:w="114"/>
        <w:gridCol w:w="122"/>
      </w:tblGrid>
      <w:tr w:rsidR="0088142D" w:rsidRPr="00347788" w:rsidTr="007E0AC6">
        <w:trPr>
          <w:gridAfter w:val="4"/>
          <w:wAfter w:w="479" w:type="dxa"/>
          <w:trHeight w:val="288"/>
        </w:trPr>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b/>
                <w:bCs/>
                <w:sz w:val="14"/>
                <w:szCs w:val="14"/>
              </w:rPr>
            </w:pPr>
            <w:bookmarkStart w:id="103" w:name="RANGE!A1:T107"/>
            <w:r w:rsidRPr="00347788">
              <w:rPr>
                <w:rFonts w:ascii="Calibri" w:hAnsi="Calibri"/>
                <w:b/>
                <w:bCs/>
                <w:sz w:val="14"/>
                <w:szCs w:val="14"/>
              </w:rPr>
              <w:t>Affected Public</w:t>
            </w:r>
            <w:bookmarkEnd w:id="103"/>
          </w:p>
        </w:tc>
        <w:tc>
          <w:tcPr>
            <w:tcW w:w="14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Respondent Description</w:t>
            </w:r>
          </w:p>
        </w:tc>
        <w:tc>
          <w:tcPr>
            <w:tcW w:w="2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b/>
                <w:bCs/>
                <w:sz w:val="14"/>
                <w:szCs w:val="14"/>
              </w:rPr>
            </w:pPr>
            <w:r w:rsidRPr="00347788">
              <w:rPr>
                <w:rFonts w:ascii="Calibri" w:hAnsi="Calibri"/>
                <w:b/>
                <w:bCs/>
                <w:sz w:val="14"/>
                <w:szCs w:val="14"/>
              </w:rPr>
              <w:t>Type of Survey Instrument</w:t>
            </w:r>
          </w:p>
        </w:tc>
        <w:tc>
          <w:tcPr>
            <w:tcW w:w="433"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Appendices</w:t>
            </w:r>
          </w:p>
        </w:tc>
        <w:tc>
          <w:tcPr>
            <w:tcW w:w="611"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Sample size</w:t>
            </w:r>
          </w:p>
        </w:tc>
        <w:tc>
          <w:tcPr>
            <w:tcW w:w="8697" w:type="dxa"/>
            <w:gridSpan w:val="37"/>
            <w:tcBorders>
              <w:top w:val="single" w:sz="4" w:space="0" w:color="auto"/>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Estimated Sample Size and Respondent Burden</w:t>
            </w:r>
          </w:p>
        </w:tc>
      </w:tr>
      <w:tr w:rsidR="0088142D" w:rsidRPr="00347788" w:rsidTr="007E0AC6">
        <w:trPr>
          <w:gridAfter w:val="4"/>
          <w:wAfter w:w="479" w:type="dxa"/>
          <w:trHeight w:val="204"/>
        </w:trPr>
        <w:tc>
          <w:tcPr>
            <w:tcW w:w="865" w:type="dxa"/>
            <w:vMerge/>
            <w:tcBorders>
              <w:top w:val="single" w:sz="4" w:space="0" w:color="auto"/>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b/>
                <w:bCs/>
                <w:sz w:val="14"/>
                <w:szCs w:val="14"/>
              </w:rPr>
            </w:pPr>
          </w:p>
        </w:tc>
        <w:tc>
          <w:tcPr>
            <w:tcW w:w="1490" w:type="dxa"/>
            <w:gridSpan w:val="2"/>
            <w:vMerge/>
            <w:tcBorders>
              <w:top w:val="single" w:sz="4" w:space="0" w:color="auto"/>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b/>
                <w:bCs/>
                <w:sz w:val="14"/>
                <w:szCs w:val="14"/>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b/>
                <w:bCs/>
                <w:sz w:val="14"/>
                <w:szCs w:val="14"/>
              </w:rPr>
            </w:pPr>
          </w:p>
        </w:tc>
        <w:tc>
          <w:tcPr>
            <w:tcW w:w="433" w:type="dxa"/>
            <w:gridSpan w:val="3"/>
            <w:vMerge/>
            <w:tcBorders>
              <w:top w:val="single" w:sz="4" w:space="0" w:color="auto"/>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b/>
                <w:bCs/>
                <w:sz w:val="14"/>
                <w:szCs w:val="14"/>
              </w:rPr>
            </w:pPr>
          </w:p>
        </w:tc>
        <w:tc>
          <w:tcPr>
            <w:tcW w:w="611" w:type="dxa"/>
            <w:gridSpan w:val="3"/>
            <w:vMerge/>
            <w:tcBorders>
              <w:top w:val="single" w:sz="4" w:space="0" w:color="auto"/>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b/>
                <w:bCs/>
                <w:sz w:val="14"/>
                <w:szCs w:val="14"/>
              </w:rPr>
            </w:pPr>
          </w:p>
        </w:tc>
        <w:tc>
          <w:tcPr>
            <w:tcW w:w="3507" w:type="dxa"/>
            <w:gridSpan w:val="15"/>
            <w:tcBorders>
              <w:top w:val="single" w:sz="4" w:space="0" w:color="auto"/>
              <w:left w:val="nil"/>
              <w:bottom w:val="single" w:sz="4" w:space="0" w:color="auto"/>
              <w:right w:val="single" w:sz="4" w:space="0" w:color="auto"/>
            </w:tcBorders>
            <w:shd w:val="clear" w:color="000000" w:fill="FFFF00"/>
            <w:noWrap/>
            <w:vAlign w:val="center"/>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Responses</w:t>
            </w:r>
          </w:p>
        </w:tc>
        <w:tc>
          <w:tcPr>
            <w:tcW w:w="2700" w:type="dxa"/>
            <w:gridSpan w:val="13"/>
            <w:tcBorders>
              <w:top w:val="single" w:sz="4" w:space="0" w:color="auto"/>
              <w:left w:val="nil"/>
              <w:bottom w:val="single" w:sz="4" w:space="0" w:color="auto"/>
              <w:right w:val="single" w:sz="4" w:space="0" w:color="auto"/>
            </w:tcBorders>
            <w:shd w:val="clear" w:color="000000" w:fill="FFC000"/>
            <w:noWrap/>
            <w:vAlign w:val="center"/>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Non-Responses</w:t>
            </w:r>
          </w:p>
        </w:tc>
        <w:tc>
          <w:tcPr>
            <w:tcW w:w="2490" w:type="dxa"/>
            <w:gridSpan w:val="9"/>
            <w:tcBorders>
              <w:top w:val="single" w:sz="4" w:space="0" w:color="auto"/>
              <w:left w:val="nil"/>
              <w:bottom w:val="single" w:sz="4" w:space="0" w:color="auto"/>
              <w:right w:val="single" w:sz="4" w:space="0" w:color="auto"/>
            </w:tcBorders>
            <w:shd w:val="clear" w:color="000000" w:fill="92D050"/>
            <w:noWrap/>
            <w:vAlign w:val="center"/>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Grand Total</w:t>
            </w:r>
          </w:p>
        </w:tc>
      </w:tr>
      <w:tr w:rsidR="0088142D" w:rsidRPr="00347788" w:rsidTr="007E0AC6">
        <w:trPr>
          <w:gridAfter w:val="4"/>
          <w:wAfter w:w="479" w:type="dxa"/>
          <w:trHeight w:val="1335"/>
        </w:trPr>
        <w:tc>
          <w:tcPr>
            <w:tcW w:w="865" w:type="dxa"/>
            <w:vMerge/>
            <w:tcBorders>
              <w:top w:val="single" w:sz="4" w:space="0" w:color="auto"/>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b/>
                <w:bCs/>
                <w:sz w:val="14"/>
                <w:szCs w:val="14"/>
              </w:rPr>
            </w:pPr>
          </w:p>
        </w:tc>
        <w:tc>
          <w:tcPr>
            <w:tcW w:w="1490" w:type="dxa"/>
            <w:gridSpan w:val="2"/>
            <w:vMerge/>
            <w:tcBorders>
              <w:top w:val="single" w:sz="4" w:space="0" w:color="auto"/>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b/>
                <w:bCs/>
                <w:sz w:val="14"/>
                <w:szCs w:val="14"/>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b/>
                <w:bCs/>
                <w:sz w:val="14"/>
                <w:szCs w:val="14"/>
              </w:rPr>
            </w:pPr>
          </w:p>
        </w:tc>
        <w:tc>
          <w:tcPr>
            <w:tcW w:w="433" w:type="dxa"/>
            <w:gridSpan w:val="3"/>
            <w:vMerge/>
            <w:tcBorders>
              <w:top w:val="single" w:sz="4" w:space="0" w:color="auto"/>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b/>
                <w:bCs/>
                <w:sz w:val="14"/>
                <w:szCs w:val="14"/>
              </w:rPr>
            </w:pPr>
          </w:p>
        </w:tc>
        <w:tc>
          <w:tcPr>
            <w:tcW w:w="611" w:type="dxa"/>
            <w:gridSpan w:val="3"/>
            <w:vMerge/>
            <w:tcBorders>
              <w:top w:val="single" w:sz="4" w:space="0" w:color="auto"/>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b/>
                <w:bCs/>
                <w:sz w:val="14"/>
                <w:szCs w:val="14"/>
              </w:rPr>
            </w:pPr>
          </w:p>
        </w:tc>
        <w:tc>
          <w:tcPr>
            <w:tcW w:w="629" w:type="dxa"/>
            <w:gridSpan w:val="3"/>
            <w:tcBorders>
              <w:top w:val="nil"/>
              <w:left w:val="nil"/>
              <w:bottom w:val="single" w:sz="4" w:space="0" w:color="auto"/>
              <w:right w:val="single" w:sz="4" w:space="0" w:color="auto"/>
            </w:tcBorders>
            <w:shd w:val="clear" w:color="auto" w:fill="auto"/>
            <w:textDirection w:val="btLr"/>
            <w:vAlign w:val="bottom"/>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Number of Respondents</w:t>
            </w:r>
          </w:p>
        </w:tc>
        <w:tc>
          <w:tcPr>
            <w:tcW w:w="609" w:type="dxa"/>
            <w:gridSpan w:val="3"/>
            <w:tcBorders>
              <w:top w:val="nil"/>
              <w:left w:val="nil"/>
              <w:bottom w:val="single" w:sz="4" w:space="0" w:color="auto"/>
              <w:right w:val="single" w:sz="4" w:space="0" w:color="auto"/>
            </w:tcBorders>
            <w:shd w:val="clear" w:color="auto" w:fill="auto"/>
            <w:textDirection w:val="btLr"/>
            <w:vAlign w:val="bottom"/>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Frequency of Response (annual)</w:t>
            </w:r>
          </w:p>
        </w:tc>
        <w:tc>
          <w:tcPr>
            <w:tcW w:w="650" w:type="dxa"/>
            <w:gridSpan w:val="3"/>
            <w:tcBorders>
              <w:top w:val="nil"/>
              <w:left w:val="nil"/>
              <w:bottom w:val="single" w:sz="4" w:space="0" w:color="auto"/>
              <w:right w:val="single" w:sz="4" w:space="0" w:color="auto"/>
            </w:tcBorders>
            <w:shd w:val="clear" w:color="auto" w:fill="auto"/>
            <w:textDirection w:val="btLr"/>
            <w:vAlign w:val="bottom"/>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Total Annual Responses</w:t>
            </w:r>
          </w:p>
        </w:tc>
        <w:tc>
          <w:tcPr>
            <w:tcW w:w="719" w:type="dxa"/>
            <w:gridSpan w:val="3"/>
            <w:tcBorders>
              <w:top w:val="nil"/>
              <w:left w:val="nil"/>
              <w:bottom w:val="single" w:sz="4" w:space="0" w:color="auto"/>
              <w:right w:val="single" w:sz="4" w:space="0" w:color="auto"/>
            </w:tcBorders>
            <w:shd w:val="clear" w:color="auto" w:fill="auto"/>
            <w:textDirection w:val="btLr"/>
            <w:vAlign w:val="bottom"/>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Average Hours per Response</w:t>
            </w:r>
          </w:p>
        </w:tc>
        <w:tc>
          <w:tcPr>
            <w:tcW w:w="900" w:type="dxa"/>
            <w:gridSpan w:val="3"/>
            <w:tcBorders>
              <w:top w:val="nil"/>
              <w:left w:val="nil"/>
              <w:bottom w:val="single" w:sz="4" w:space="0" w:color="auto"/>
              <w:right w:val="single" w:sz="4" w:space="0" w:color="auto"/>
            </w:tcBorders>
            <w:shd w:val="clear" w:color="auto" w:fill="auto"/>
            <w:textDirection w:val="btLr"/>
            <w:vAlign w:val="bottom"/>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Sub-Total Annual Burden</w:t>
            </w:r>
          </w:p>
        </w:tc>
        <w:tc>
          <w:tcPr>
            <w:tcW w:w="500" w:type="dxa"/>
            <w:gridSpan w:val="2"/>
            <w:tcBorders>
              <w:top w:val="nil"/>
              <w:left w:val="nil"/>
              <w:bottom w:val="single" w:sz="4" w:space="0" w:color="auto"/>
              <w:right w:val="single" w:sz="4" w:space="0" w:color="auto"/>
            </w:tcBorders>
            <w:shd w:val="clear" w:color="auto" w:fill="auto"/>
            <w:textDirection w:val="btLr"/>
            <w:vAlign w:val="bottom"/>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Number of non -respondents</w:t>
            </w:r>
          </w:p>
        </w:tc>
        <w:tc>
          <w:tcPr>
            <w:tcW w:w="580" w:type="dxa"/>
            <w:gridSpan w:val="3"/>
            <w:tcBorders>
              <w:top w:val="nil"/>
              <w:left w:val="nil"/>
              <w:bottom w:val="single" w:sz="4" w:space="0" w:color="auto"/>
              <w:right w:val="single" w:sz="4" w:space="0" w:color="auto"/>
            </w:tcBorders>
            <w:shd w:val="clear" w:color="auto" w:fill="auto"/>
            <w:textDirection w:val="btLr"/>
            <w:vAlign w:val="bottom"/>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Frequency of Response (annual)</w:t>
            </w:r>
          </w:p>
        </w:tc>
        <w:tc>
          <w:tcPr>
            <w:tcW w:w="468" w:type="dxa"/>
            <w:gridSpan w:val="2"/>
            <w:tcBorders>
              <w:top w:val="nil"/>
              <w:left w:val="nil"/>
              <w:bottom w:val="single" w:sz="4" w:space="0" w:color="auto"/>
              <w:right w:val="single" w:sz="4" w:space="0" w:color="auto"/>
            </w:tcBorders>
            <w:shd w:val="clear" w:color="auto" w:fill="auto"/>
            <w:textDirection w:val="btLr"/>
            <w:vAlign w:val="bottom"/>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Total Annual Responses</w:t>
            </w:r>
          </w:p>
        </w:tc>
        <w:tc>
          <w:tcPr>
            <w:tcW w:w="539" w:type="dxa"/>
            <w:gridSpan w:val="3"/>
            <w:tcBorders>
              <w:top w:val="nil"/>
              <w:left w:val="nil"/>
              <w:bottom w:val="single" w:sz="4" w:space="0" w:color="auto"/>
              <w:right w:val="single" w:sz="4" w:space="0" w:color="auto"/>
            </w:tcBorders>
            <w:shd w:val="clear" w:color="auto" w:fill="auto"/>
            <w:textDirection w:val="btLr"/>
            <w:vAlign w:val="bottom"/>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Average Hours per response</w:t>
            </w:r>
          </w:p>
        </w:tc>
        <w:tc>
          <w:tcPr>
            <w:tcW w:w="613" w:type="dxa"/>
            <w:gridSpan w:val="3"/>
            <w:tcBorders>
              <w:top w:val="nil"/>
              <w:left w:val="nil"/>
              <w:bottom w:val="single" w:sz="4" w:space="0" w:color="auto"/>
              <w:right w:val="single" w:sz="4" w:space="0" w:color="auto"/>
            </w:tcBorders>
            <w:shd w:val="clear" w:color="auto" w:fill="auto"/>
            <w:textDirection w:val="btLr"/>
            <w:vAlign w:val="bottom"/>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Sub-Total Annual Burden</w:t>
            </w:r>
          </w:p>
        </w:tc>
        <w:tc>
          <w:tcPr>
            <w:tcW w:w="900" w:type="dxa"/>
            <w:gridSpan w:val="3"/>
            <w:tcBorders>
              <w:top w:val="nil"/>
              <w:left w:val="nil"/>
              <w:bottom w:val="single" w:sz="4" w:space="0" w:color="auto"/>
              <w:right w:val="single" w:sz="4" w:space="0" w:color="auto"/>
            </w:tcBorders>
            <w:shd w:val="clear" w:color="auto" w:fill="auto"/>
            <w:textDirection w:val="btLr"/>
            <w:vAlign w:val="center"/>
            <w:hideMark/>
          </w:tcPr>
          <w:p w:rsidR="00347788" w:rsidRPr="00347788" w:rsidRDefault="00347788" w:rsidP="00347788">
            <w:pPr>
              <w:spacing w:line="240" w:lineRule="auto"/>
              <w:jc w:val="center"/>
              <w:rPr>
                <w:rFonts w:ascii="Arial Narrow" w:hAnsi="Arial Narrow"/>
                <w:b/>
                <w:bCs/>
                <w:color w:val="000000"/>
                <w:sz w:val="14"/>
                <w:szCs w:val="14"/>
              </w:rPr>
            </w:pPr>
            <w:r w:rsidRPr="00347788">
              <w:rPr>
                <w:rFonts w:ascii="Arial Narrow" w:hAnsi="Arial Narrow"/>
                <w:b/>
                <w:bCs/>
                <w:color w:val="000000"/>
                <w:sz w:val="14"/>
                <w:szCs w:val="14"/>
              </w:rPr>
              <w:t xml:space="preserve">Est. Grand Total Burden hours for respondents and </w:t>
            </w:r>
            <w:proofErr w:type="spellStart"/>
            <w:r w:rsidRPr="00347788">
              <w:rPr>
                <w:rFonts w:ascii="Arial Narrow" w:hAnsi="Arial Narrow"/>
                <w:b/>
                <w:bCs/>
                <w:color w:val="000000"/>
                <w:sz w:val="14"/>
                <w:szCs w:val="14"/>
              </w:rPr>
              <w:t>non respondents</w:t>
            </w:r>
            <w:proofErr w:type="spellEnd"/>
          </w:p>
        </w:tc>
        <w:tc>
          <w:tcPr>
            <w:tcW w:w="690" w:type="dxa"/>
            <w:gridSpan w:val="3"/>
            <w:tcBorders>
              <w:top w:val="nil"/>
              <w:left w:val="nil"/>
              <w:bottom w:val="single" w:sz="4" w:space="0" w:color="auto"/>
              <w:right w:val="single" w:sz="4" w:space="0" w:color="auto"/>
            </w:tcBorders>
            <w:shd w:val="clear" w:color="auto" w:fill="auto"/>
            <w:vAlign w:val="bottom"/>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Hourly Rate</w:t>
            </w:r>
          </w:p>
        </w:tc>
        <w:tc>
          <w:tcPr>
            <w:tcW w:w="900" w:type="dxa"/>
            <w:gridSpan w:val="3"/>
            <w:tcBorders>
              <w:top w:val="nil"/>
              <w:left w:val="nil"/>
              <w:bottom w:val="single" w:sz="4" w:space="0" w:color="auto"/>
              <w:right w:val="single" w:sz="4" w:space="0" w:color="auto"/>
            </w:tcBorders>
            <w:shd w:val="clear" w:color="auto" w:fill="auto"/>
            <w:vAlign w:val="bottom"/>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Total Annualized Cost</w:t>
            </w:r>
          </w:p>
        </w:tc>
      </w:tr>
      <w:tr w:rsidR="0088142D" w:rsidRPr="00347788" w:rsidTr="007E0AC6">
        <w:trPr>
          <w:gridAfter w:val="4"/>
          <w:wAfter w:w="479" w:type="dxa"/>
          <w:trHeight w:val="495"/>
        </w:trPr>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Household and Individuals</w:t>
            </w:r>
          </w:p>
        </w:tc>
        <w:tc>
          <w:tcPr>
            <w:tcW w:w="14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SNAP participants</w:t>
            </w:r>
          </w:p>
        </w:tc>
        <w:tc>
          <w:tcPr>
            <w:tcW w:w="2019" w:type="dxa"/>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Pretest for 2 SPS questions</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AO</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w:t>
            </w:r>
          </w:p>
        </w:tc>
        <w:tc>
          <w:tcPr>
            <w:tcW w:w="60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6 </w:t>
            </w:r>
          </w:p>
        </w:tc>
        <w:tc>
          <w:tcPr>
            <w:tcW w:w="71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1.5000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1.5000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10.88</w:t>
            </w:r>
          </w:p>
        </w:tc>
      </w:tr>
      <w:tr w:rsidR="0088142D" w:rsidRPr="00347788" w:rsidTr="007E0AC6">
        <w:trPr>
          <w:gridAfter w:val="4"/>
          <w:wAfter w:w="479" w:type="dxa"/>
          <w:trHeight w:val="435"/>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Pre-SPS  Invitation Letter (a)</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 xml:space="preserve">D </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7,590</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6,831</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6,831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0.0501</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342.2331</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759</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0.050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342.2331</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2481.19</w:t>
            </w:r>
          </w:p>
        </w:tc>
      </w:tr>
      <w:tr w:rsidR="0088142D" w:rsidRPr="00347788" w:rsidTr="007E0AC6">
        <w:trPr>
          <w:gridAfter w:val="4"/>
          <w:wAfter w:w="479" w:type="dxa"/>
          <w:trHeight w:val="435"/>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 xml:space="preserve">Pre-SPS  - Web(c) </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E</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6,831</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1,025</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1,025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342.2331</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5806</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342.2331</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2481.19</w:t>
            </w:r>
          </w:p>
        </w:tc>
      </w:tr>
      <w:tr w:rsidR="0088142D" w:rsidRPr="00347788" w:rsidTr="007E0AC6">
        <w:trPr>
          <w:gridAfter w:val="4"/>
          <w:wAfter w:w="479" w:type="dxa"/>
          <w:trHeight w:val="435"/>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SPS Reminder Postcard - 1 (b)</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F</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7,590</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4,554</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4,554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76.0518</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3036</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76.0518</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551.38</w:t>
            </w:r>
          </w:p>
        </w:tc>
      </w:tr>
      <w:tr w:rsidR="0088142D" w:rsidRPr="00347788" w:rsidTr="007E0AC6">
        <w:trPr>
          <w:gridAfter w:val="4"/>
          <w:wAfter w:w="479" w:type="dxa"/>
          <w:trHeight w:val="435"/>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Pre-SPS Reminder Letter 1 (d)</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G</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6,565</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5,909</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5,909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98.6772</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657</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98.6772</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715.41</w:t>
            </w:r>
          </w:p>
        </w:tc>
      </w:tr>
      <w:tr w:rsidR="0088142D" w:rsidRPr="00347788" w:rsidTr="007E0AC6">
        <w:trPr>
          <w:gridAfter w:val="4"/>
          <w:wAfter w:w="479" w:type="dxa"/>
          <w:trHeight w:val="435"/>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 xml:space="preserve">Pre-SPS </w:t>
            </w:r>
            <w:proofErr w:type="spellStart"/>
            <w:r w:rsidRPr="00347788">
              <w:rPr>
                <w:rFonts w:ascii="Calibri" w:hAnsi="Calibri"/>
                <w:sz w:val="14"/>
                <w:szCs w:val="14"/>
              </w:rPr>
              <w:t>Teleform</w:t>
            </w:r>
            <w:proofErr w:type="spellEnd"/>
            <w:r w:rsidRPr="00347788">
              <w:rPr>
                <w:rFonts w:ascii="Calibri" w:hAnsi="Calibri"/>
                <w:sz w:val="14"/>
                <w:szCs w:val="14"/>
              </w:rPr>
              <w:t xml:space="preserve"> - 1 (e)</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E</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5,909</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2,068</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2,068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690.7405</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3841</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690.7405</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5007.87</w:t>
            </w:r>
          </w:p>
        </w:tc>
      </w:tr>
      <w:tr w:rsidR="0088142D" w:rsidRPr="00347788" w:rsidTr="007E0AC6">
        <w:trPr>
          <w:gridAfter w:val="4"/>
          <w:wAfter w:w="479" w:type="dxa"/>
          <w:trHeight w:val="390"/>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SPS Reminder Postcard -2 (b)</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H</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6,565</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3,939</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3,939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65.7848</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2626</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65.7848</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476.94</w:t>
            </w:r>
          </w:p>
        </w:tc>
      </w:tr>
      <w:tr w:rsidR="0088142D" w:rsidRPr="00347788" w:rsidTr="007E0AC6">
        <w:trPr>
          <w:gridAfter w:val="4"/>
          <w:wAfter w:w="479" w:type="dxa"/>
          <w:trHeight w:val="390"/>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Pre-SPS Reminder Letter 2 (d)</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I</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4,497</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4,048</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4,048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67.5939</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450</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67.5939</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490.06</w:t>
            </w:r>
          </w:p>
        </w:tc>
      </w:tr>
      <w:tr w:rsidR="0088142D" w:rsidRPr="00347788" w:rsidTr="007E0AC6">
        <w:trPr>
          <w:gridAfter w:val="4"/>
          <w:wAfter w:w="479" w:type="dxa"/>
          <w:trHeight w:val="465"/>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 xml:space="preserve">Pre-SPS </w:t>
            </w:r>
            <w:proofErr w:type="spellStart"/>
            <w:r w:rsidRPr="00347788">
              <w:rPr>
                <w:rFonts w:ascii="Calibri" w:hAnsi="Calibri"/>
                <w:sz w:val="14"/>
                <w:szCs w:val="14"/>
              </w:rPr>
              <w:t>Teleform</w:t>
            </w:r>
            <w:proofErr w:type="spellEnd"/>
            <w:r w:rsidRPr="00347788">
              <w:rPr>
                <w:rFonts w:ascii="Calibri" w:hAnsi="Calibri"/>
                <w:sz w:val="14"/>
                <w:szCs w:val="14"/>
              </w:rPr>
              <w:t xml:space="preserve"> -2 (f)</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E</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4,048</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1,012</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1,012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337.9694</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3036</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337.9694</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2450.28</w:t>
            </w:r>
          </w:p>
        </w:tc>
      </w:tr>
      <w:tr w:rsidR="0088142D" w:rsidRPr="00347788" w:rsidTr="007E0AC6">
        <w:trPr>
          <w:gridAfter w:val="4"/>
          <w:wAfter w:w="479" w:type="dxa"/>
          <w:trHeight w:val="465"/>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Pre-SPS - Telephone Survey (g)</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J</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334</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23</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23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7.8090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311</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7.8090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56.62</w:t>
            </w:r>
          </w:p>
        </w:tc>
      </w:tr>
      <w:tr w:rsidR="0088142D" w:rsidRPr="00347788" w:rsidTr="007E0AC6">
        <w:trPr>
          <w:gridAfter w:val="4"/>
          <w:wAfter w:w="479" w:type="dxa"/>
          <w:trHeight w:val="465"/>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Voicemail/Text Message Reminder for Telephone Survey  (h)</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K</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334</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200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200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3.3467</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134</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3.3467</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24.26</w:t>
            </w:r>
          </w:p>
        </w:tc>
      </w:tr>
      <w:tr w:rsidR="0088142D" w:rsidRPr="00347788" w:rsidTr="007E0AC6">
        <w:trPr>
          <w:gridAfter w:val="4"/>
          <w:wAfter w:w="479" w:type="dxa"/>
          <w:trHeight w:val="450"/>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Pre-SPS Thank You Letter (</w:t>
            </w:r>
            <w:proofErr w:type="spellStart"/>
            <w:r w:rsidRPr="00347788">
              <w:rPr>
                <w:rFonts w:ascii="Calibri" w:hAnsi="Calibri"/>
                <w:sz w:val="14"/>
                <w:szCs w:val="14"/>
              </w:rPr>
              <w:t>i</w:t>
            </w:r>
            <w:proofErr w:type="spellEnd"/>
            <w:r w:rsidRPr="00347788">
              <w:rPr>
                <w:rFonts w:ascii="Calibri" w:hAnsi="Calibri"/>
                <w:sz w:val="14"/>
                <w:szCs w:val="14"/>
              </w:rPr>
              <w:t>)</w:t>
            </w:r>
          </w:p>
        </w:tc>
        <w:tc>
          <w:tcPr>
            <w:tcW w:w="433"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L</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4,128</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4,128</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4,128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68.9376</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68.9376</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499.80</w:t>
            </w:r>
          </w:p>
        </w:tc>
      </w:tr>
      <w:tr w:rsidR="0088142D" w:rsidRPr="00347788" w:rsidTr="007E0AC6">
        <w:trPr>
          <w:gridAfter w:val="4"/>
          <w:wAfter w:w="479" w:type="dxa"/>
          <w:trHeight w:val="435"/>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Post-SPS Web Invitation letter (j)</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M</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4,128</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3,715</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3,715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0.0501</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186.1315</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413</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0.050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186.1315</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1349.45</w:t>
            </w:r>
          </w:p>
        </w:tc>
      </w:tr>
      <w:tr w:rsidR="0088142D" w:rsidRPr="00347788" w:rsidTr="007E0AC6">
        <w:trPr>
          <w:gridAfter w:val="4"/>
          <w:wAfter w:w="479" w:type="dxa"/>
          <w:trHeight w:val="435"/>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Post-SPS - Web (c)</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N,O</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3,715</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669</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669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223.3578</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3046</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223.3578</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1619.34</w:t>
            </w:r>
          </w:p>
        </w:tc>
      </w:tr>
      <w:tr w:rsidR="0088142D" w:rsidRPr="00347788" w:rsidTr="007E0AC6">
        <w:trPr>
          <w:gridAfter w:val="4"/>
          <w:wAfter w:w="479" w:type="dxa"/>
          <w:trHeight w:val="480"/>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SPS Reminder Postcard - 1 (b)</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F</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4,128</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2,477</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2,477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41.3626</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1651</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41.3626</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299.88</w:t>
            </w:r>
          </w:p>
        </w:tc>
      </w:tr>
      <w:tr w:rsidR="0088142D" w:rsidRPr="00347788" w:rsidTr="007E0AC6">
        <w:trPr>
          <w:gridAfter w:val="4"/>
          <w:wAfter w:w="479" w:type="dxa"/>
          <w:trHeight w:val="480"/>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Post-SPS Reminder Letter 1 (d)</w:t>
            </w:r>
          </w:p>
        </w:tc>
        <w:tc>
          <w:tcPr>
            <w:tcW w:w="433" w:type="dxa"/>
            <w:gridSpan w:val="3"/>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P</w:t>
            </w:r>
          </w:p>
        </w:tc>
        <w:tc>
          <w:tcPr>
            <w:tcW w:w="611" w:type="dxa"/>
            <w:gridSpan w:val="3"/>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3,459</w:t>
            </w:r>
          </w:p>
        </w:tc>
        <w:tc>
          <w:tcPr>
            <w:tcW w:w="629" w:type="dxa"/>
            <w:gridSpan w:val="3"/>
            <w:tcBorders>
              <w:top w:val="single" w:sz="4" w:space="0" w:color="auto"/>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3,113</w:t>
            </w:r>
          </w:p>
        </w:tc>
        <w:tc>
          <w:tcPr>
            <w:tcW w:w="609" w:type="dxa"/>
            <w:gridSpan w:val="3"/>
            <w:tcBorders>
              <w:top w:val="single" w:sz="4" w:space="0" w:color="auto"/>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single" w:sz="4" w:space="0" w:color="auto"/>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3,113 </w:t>
            </w:r>
          </w:p>
        </w:tc>
        <w:tc>
          <w:tcPr>
            <w:tcW w:w="719" w:type="dxa"/>
            <w:gridSpan w:val="3"/>
            <w:tcBorders>
              <w:top w:val="single" w:sz="4" w:space="0" w:color="auto"/>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51.9927</w:t>
            </w:r>
          </w:p>
        </w:tc>
        <w:tc>
          <w:tcPr>
            <w:tcW w:w="500" w:type="dxa"/>
            <w:gridSpan w:val="2"/>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346</w:t>
            </w:r>
          </w:p>
        </w:tc>
        <w:tc>
          <w:tcPr>
            <w:tcW w:w="580" w:type="dxa"/>
            <w:gridSpan w:val="3"/>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51.9927</w:t>
            </w:r>
          </w:p>
        </w:tc>
        <w:tc>
          <w:tcPr>
            <w:tcW w:w="690" w:type="dxa"/>
            <w:gridSpan w:val="3"/>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376.95</w:t>
            </w:r>
          </w:p>
        </w:tc>
      </w:tr>
      <w:tr w:rsidR="0088142D" w:rsidRPr="00347788" w:rsidTr="007E0AC6">
        <w:trPr>
          <w:gridAfter w:val="4"/>
          <w:wAfter w:w="479" w:type="dxa"/>
          <w:trHeight w:val="480"/>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 xml:space="preserve">Post-SPS </w:t>
            </w:r>
            <w:proofErr w:type="spellStart"/>
            <w:r w:rsidRPr="00347788">
              <w:rPr>
                <w:rFonts w:ascii="Calibri" w:hAnsi="Calibri"/>
                <w:sz w:val="14"/>
                <w:szCs w:val="14"/>
              </w:rPr>
              <w:t>Teleform</w:t>
            </w:r>
            <w:proofErr w:type="spellEnd"/>
            <w:r w:rsidRPr="00347788">
              <w:rPr>
                <w:rFonts w:ascii="Calibri" w:hAnsi="Calibri"/>
                <w:sz w:val="14"/>
                <w:szCs w:val="14"/>
              </w:rPr>
              <w:t xml:space="preserve"> - 1 (e)</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N,O</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3,113</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1,090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1,090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363.9492</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2024</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363.9492</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2638.63</w:t>
            </w:r>
          </w:p>
        </w:tc>
      </w:tr>
      <w:tr w:rsidR="0088142D" w:rsidRPr="00347788" w:rsidTr="007E0AC6">
        <w:trPr>
          <w:gridAfter w:val="4"/>
          <w:wAfter w:w="479" w:type="dxa"/>
          <w:trHeight w:val="480"/>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 xml:space="preserve">SPS Reminder Postcard - 2 (b) </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H</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3,113</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1,868</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1,868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31.1956</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1245</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31.1956</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226.17</w:t>
            </w:r>
          </w:p>
        </w:tc>
      </w:tr>
      <w:tr w:rsidR="0088142D" w:rsidRPr="00347788" w:rsidTr="007E0AC6">
        <w:trPr>
          <w:gridAfter w:val="4"/>
          <w:wAfter w:w="479" w:type="dxa"/>
          <w:trHeight w:val="480"/>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Post-SPS Reminder Letter 2 (d)</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Q</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2,370</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2,133</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2,133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35.6150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237</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35.6150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258.21</w:t>
            </w:r>
          </w:p>
        </w:tc>
      </w:tr>
      <w:tr w:rsidR="0088142D" w:rsidRPr="00347788" w:rsidTr="007E0AC6">
        <w:trPr>
          <w:gridAfter w:val="4"/>
          <w:wAfter w:w="479" w:type="dxa"/>
          <w:trHeight w:val="300"/>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 xml:space="preserve">Post-SPS </w:t>
            </w:r>
            <w:proofErr w:type="spellStart"/>
            <w:r w:rsidRPr="00347788">
              <w:rPr>
                <w:rFonts w:ascii="Calibri" w:hAnsi="Calibri"/>
                <w:sz w:val="14"/>
                <w:szCs w:val="14"/>
              </w:rPr>
              <w:t>Teleform</w:t>
            </w:r>
            <w:proofErr w:type="spellEnd"/>
            <w:r w:rsidRPr="00347788">
              <w:rPr>
                <w:rFonts w:ascii="Calibri" w:hAnsi="Calibri"/>
                <w:sz w:val="14"/>
                <w:szCs w:val="14"/>
              </w:rPr>
              <w:t xml:space="preserve"> - 2 (f)</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N,O</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2,133</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533</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533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178.0751</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1599</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178.0751</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1291.04</w:t>
            </w:r>
          </w:p>
        </w:tc>
      </w:tr>
      <w:tr w:rsidR="0088142D" w:rsidRPr="00347788" w:rsidTr="007E0AC6">
        <w:trPr>
          <w:gridAfter w:val="4"/>
          <w:wAfter w:w="479" w:type="dxa"/>
          <w:trHeight w:val="450"/>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Post-SPS - Telephone Survey (g)</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J</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263</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18</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18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6.1579</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245</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6.1579</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44.64</w:t>
            </w:r>
          </w:p>
        </w:tc>
      </w:tr>
      <w:tr w:rsidR="0088142D" w:rsidRPr="00347788" w:rsidTr="007E0AC6">
        <w:trPr>
          <w:gridAfter w:val="4"/>
          <w:wAfter w:w="479" w:type="dxa"/>
          <w:trHeight w:val="450"/>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Voicemail/Text Message Reminder for Telephone Survey (h)</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K</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263</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158</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158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2.6391</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105</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105</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1.7593952</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4.3985</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31.89</w:t>
            </w:r>
          </w:p>
        </w:tc>
      </w:tr>
      <w:tr w:rsidR="0088142D" w:rsidRPr="00347788" w:rsidTr="007E0AC6">
        <w:trPr>
          <w:gridAfter w:val="4"/>
          <w:wAfter w:w="479" w:type="dxa"/>
          <w:trHeight w:val="510"/>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Post-SPS Thank You Letter (</w:t>
            </w:r>
            <w:proofErr w:type="spellStart"/>
            <w:r w:rsidRPr="00347788">
              <w:rPr>
                <w:rFonts w:ascii="Calibri" w:hAnsi="Calibri"/>
                <w:sz w:val="14"/>
                <w:szCs w:val="14"/>
              </w:rPr>
              <w:t>i</w:t>
            </w:r>
            <w:proofErr w:type="spellEnd"/>
            <w:r w:rsidRPr="00347788">
              <w:rPr>
                <w:rFonts w:ascii="Calibri" w:hAnsi="Calibri"/>
                <w:sz w:val="14"/>
                <w:szCs w:val="14"/>
              </w:rPr>
              <w:t>)</w:t>
            </w:r>
          </w:p>
        </w:tc>
        <w:tc>
          <w:tcPr>
            <w:tcW w:w="433"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R</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2,310</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2,310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2,310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38.5770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38.5770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279.68</w:t>
            </w:r>
          </w:p>
        </w:tc>
      </w:tr>
      <w:tr w:rsidR="0088142D" w:rsidRPr="00347788" w:rsidTr="007E0AC6">
        <w:trPr>
          <w:gridAfter w:val="4"/>
          <w:wAfter w:w="479" w:type="dxa"/>
          <w:trHeight w:val="510"/>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SNAP Participant KII Invitation Letter (k)</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S</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60</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60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1.0020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1.0020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7.26</w:t>
            </w:r>
          </w:p>
        </w:tc>
      </w:tr>
      <w:tr w:rsidR="0088142D" w:rsidRPr="00347788" w:rsidTr="007E0AC6">
        <w:trPr>
          <w:gridAfter w:val="4"/>
          <w:wAfter w:w="479" w:type="dxa"/>
          <w:trHeight w:val="510"/>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SNAP Participant KII Recruitment Script (l)</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T</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60</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51</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51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0.0835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4.2585</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9</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9</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0.084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0.7515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5.0100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36.32</w:t>
            </w:r>
          </w:p>
        </w:tc>
      </w:tr>
      <w:tr w:rsidR="0088142D" w:rsidRPr="00347788" w:rsidTr="007E0AC6">
        <w:trPr>
          <w:gridAfter w:val="4"/>
          <w:wAfter w:w="479" w:type="dxa"/>
          <w:trHeight w:val="510"/>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SNAP participant KII Confirmation Letter (k)</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U</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51</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51</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51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0.8517</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0.8517</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6.17</w:t>
            </w:r>
          </w:p>
        </w:tc>
      </w:tr>
      <w:tr w:rsidR="0088142D" w:rsidRPr="00347788" w:rsidTr="007E0AC6">
        <w:trPr>
          <w:gridAfter w:val="4"/>
          <w:wAfter w:w="479" w:type="dxa"/>
          <w:trHeight w:val="510"/>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SNAP Participant KII Discussion Guide (m)</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V</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51</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41</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41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1.0000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40.8000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1.000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10.2</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51.0000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369.75</w:t>
            </w:r>
          </w:p>
        </w:tc>
      </w:tr>
      <w:tr w:rsidR="0088142D" w:rsidRPr="00347788" w:rsidTr="008F6F96">
        <w:trPr>
          <w:gridAfter w:val="4"/>
          <w:wAfter w:w="479" w:type="dxa"/>
          <w:trHeight w:val="495"/>
        </w:trPr>
        <w:tc>
          <w:tcPr>
            <w:tcW w:w="865"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1490"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bottom"/>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SNAP participant KII Thank you Letter (</w:t>
            </w:r>
            <w:proofErr w:type="spellStart"/>
            <w:r w:rsidRPr="00347788">
              <w:rPr>
                <w:rFonts w:ascii="Calibri" w:hAnsi="Calibri"/>
                <w:sz w:val="14"/>
                <w:szCs w:val="14"/>
              </w:rPr>
              <w:t>i</w:t>
            </w:r>
            <w:proofErr w:type="spellEnd"/>
            <w:r w:rsidRPr="00347788">
              <w:rPr>
                <w:rFonts w:ascii="Calibri" w:hAnsi="Calibri"/>
                <w:sz w:val="14"/>
                <w:szCs w:val="14"/>
              </w:rPr>
              <w:t>)</w:t>
            </w:r>
          </w:p>
        </w:tc>
        <w:tc>
          <w:tcPr>
            <w:tcW w:w="433"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W</w:t>
            </w:r>
          </w:p>
        </w:tc>
        <w:tc>
          <w:tcPr>
            <w:tcW w:w="611"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41</w:t>
            </w:r>
          </w:p>
        </w:tc>
        <w:tc>
          <w:tcPr>
            <w:tcW w:w="62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41</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 xml:space="preserve">               41 </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0.6814</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0.6814</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4.94</w:t>
            </w:r>
          </w:p>
        </w:tc>
      </w:tr>
      <w:tr w:rsidR="009E4325" w:rsidRPr="00347788" w:rsidTr="00E13D83">
        <w:trPr>
          <w:gridAfter w:val="4"/>
          <w:wAfter w:w="479" w:type="dxa"/>
          <w:trHeight w:val="480"/>
        </w:trPr>
        <w:tc>
          <w:tcPr>
            <w:tcW w:w="23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7788" w:rsidRPr="00F83176" w:rsidRDefault="00347788" w:rsidP="00347788">
            <w:pPr>
              <w:spacing w:line="240" w:lineRule="auto"/>
              <w:rPr>
                <w:rFonts w:ascii="Calibri" w:hAnsi="Calibri"/>
                <w:b/>
                <w:bCs/>
                <w:sz w:val="14"/>
                <w:szCs w:val="14"/>
              </w:rPr>
            </w:pPr>
            <w:r w:rsidRPr="00F83176">
              <w:rPr>
                <w:rFonts w:ascii="Calibri" w:hAnsi="Calibri"/>
                <w:b/>
                <w:bCs/>
                <w:sz w:val="14"/>
                <w:szCs w:val="14"/>
              </w:rPr>
              <w:t>Individuals and Households Subtotal</w:t>
            </w:r>
          </w:p>
        </w:tc>
        <w:tc>
          <w:tcPr>
            <w:tcW w:w="20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F83176" w:rsidRDefault="00347788" w:rsidP="00347788">
            <w:pPr>
              <w:spacing w:line="240" w:lineRule="auto"/>
              <w:jc w:val="center"/>
              <w:rPr>
                <w:rFonts w:ascii="Calibri" w:hAnsi="Calibri"/>
                <w:sz w:val="14"/>
                <w:szCs w:val="14"/>
              </w:rPr>
            </w:pPr>
            <w:r w:rsidRPr="00F83176">
              <w:rPr>
                <w:rFonts w:ascii="Calibri" w:hAnsi="Calibri"/>
                <w:sz w:val="14"/>
                <w:szCs w:val="14"/>
              </w:rPr>
              <w:t> </w:t>
            </w:r>
          </w:p>
        </w:tc>
        <w:tc>
          <w:tcPr>
            <w:tcW w:w="433" w:type="dxa"/>
            <w:gridSpan w:val="3"/>
            <w:tcBorders>
              <w:top w:val="nil"/>
              <w:left w:val="nil"/>
              <w:bottom w:val="single" w:sz="4" w:space="0" w:color="auto"/>
              <w:right w:val="single" w:sz="4" w:space="0" w:color="auto"/>
            </w:tcBorders>
            <w:shd w:val="clear" w:color="auto" w:fill="D9D9D9" w:themeFill="background1" w:themeFillShade="D9"/>
            <w:vAlign w:val="center"/>
            <w:hideMark/>
          </w:tcPr>
          <w:p w:rsidR="00347788" w:rsidRPr="00F83176" w:rsidRDefault="00347788" w:rsidP="00347788">
            <w:pPr>
              <w:spacing w:line="240" w:lineRule="auto"/>
              <w:jc w:val="center"/>
              <w:rPr>
                <w:rFonts w:ascii="Calibri" w:hAnsi="Calibri"/>
                <w:b/>
                <w:bCs/>
                <w:sz w:val="14"/>
                <w:szCs w:val="14"/>
              </w:rPr>
            </w:pPr>
            <w:r w:rsidRPr="00F83176">
              <w:rPr>
                <w:rFonts w:ascii="Calibri" w:hAnsi="Calibri"/>
                <w:b/>
                <w:bCs/>
                <w:sz w:val="14"/>
                <w:szCs w:val="14"/>
              </w:rPr>
              <w:t> </w:t>
            </w:r>
          </w:p>
        </w:tc>
        <w:tc>
          <w:tcPr>
            <w:tcW w:w="611" w:type="dxa"/>
            <w:gridSpan w:val="3"/>
            <w:tcBorders>
              <w:top w:val="nil"/>
              <w:left w:val="nil"/>
              <w:bottom w:val="single" w:sz="4" w:space="0" w:color="auto"/>
              <w:right w:val="single" w:sz="4" w:space="0" w:color="auto"/>
            </w:tcBorders>
            <w:shd w:val="clear" w:color="auto" w:fill="D9D9D9" w:themeFill="background1" w:themeFillShade="D9"/>
            <w:vAlign w:val="center"/>
            <w:hideMark/>
          </w:tcPr>
          <w:p w:rsidR="00347788" w:rsidRPr="00F83176" w:rsidRDefault="00347788" w:rsidP="00347788">
            <w:pPr>
              <w:spacing w:line="240" w:lineRule="auto"/>
              <w:jc w:val="right"/>
              <w:rPr>
                <w:rFonts w:ascii="Calibri" w:hAnsi="Calibri"/>
                <w:b/>
                <w:bCs/>
                <w:sz w:val="14"/>
                <w:szCs w:val="14"/>
              </w:rPr>
            </w:pPr>
            <w:r w:rsidRPr="00F83176">
              <w:rPr>
                <w:rFonts w:ascii="Calibri" w:hAnsi="Calibri"/>
                <w:b/>
                <w:bCs/>
                <w:sz w:val="14"/>
                <w:szCs w:val="14"/>
              </w:rPr>
              <w:t>7,596</w:t>
            </w:r>
          </w:p>
        </w:tc>
        <w:tc>
          <w:tcPr>
            <w:tcW w:w="629"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F83176" w:rsidRDefault="00347788" w:rsidP="00347788">
            <w:pPr>
              <w:spacing w:line="240" w:lineRule="auto"/>
              <w:jc w:val="right"/>
              <w:rPr>
                <w:rFonts w:ascii="Calibri" w:hAnsi="Calibri"/>
                <w:b/>
                <w:bCs/>
                <w:sz w:val="14"/>
                <w:szCs w:val="14"/>
              </w:rPr>
            </w:pPr>
            <w:r w:rsidRPr="00F83176">
              <w:rPr>
                <w:rFonts w:ascii="Calibri" w:hAnsi="Calibri"/>
                <w:b/>
                <w:bCs/>
                <w:sz w:val="14"/>
                <w:szCs w:val="14"/>
              </w:rPr>
              <w:t>6,837</w:t>
            </w:r>
          </w:p>
        </w:tc>
        <w:tc>
          <w:tcPr>
            <w:tcW w:w="609"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47788" w:rsidRPr="00F83176" w:rsidRDefault="00347788" w:rsidP="00347788">
            <w:pPr>
              <w:spacing w:line="240" w:lineRule="auto"/>
              <w:jc w:val="right"/>
              <w:rPr>
                <w:rFonts w:ascii="Calibri" w:hAnsi="Calibri"/>
                <w:b/>
                <w:bCs/>
                <w:sz w:val="14"/>
                <w:szCs w:val="14"/>
              </w:rPr>
            </w:pPr>
            <w:r w:rsidRPr="00F83176">
              <w:rPr>
                <w:rFonts w:ascii="Calibri" w:hAnsi="Calibri"/>
                <w:b/>
                <w:bCs/>
                <w:sz w:val="14"/>
                <w:szCs w:val="14"/>
              </w:rPr>
              <w:t>7.6160</w:t>
            </w:r>
          </w:p>
        </w:tc>
        <w:tc>
          <w:tcPr>
            <w:tcW w:w="65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47788" w:rsidRPr="00F83176" w:rsidRDefault="00347788" w:rsidP="00347788">
            <w:pPr>
              <w:spacing w:line="240" w:lineRule="auto"/>
              <w:jc w:val="right"/>
              <w:rPr>
                <w:rFonts w:ascii="Calibri" w:hAnsi="Calibri"/>
                <w:b/>
                <w:bCs/>
                <w:sz w:val="14"/>
                <w:szCs w:val="14"/>
              </w:rPr>
            </w:pPr>
            <w:r w:rsidRPr="00F83176">
              <w:rPr>
                <w:rFonts w:ascii="Calibri" w:hAnsi="Calibri"/>
                <w:b/>
                <w:bCs/>
                <w:sz w:val="14"/>
                <w:szCs w:val="14"/>
              </w:rPr>
              <w:t>52071</w:t>
            </w:r>
          </w:p>
        </w:tc>
        <w:tc>
          <w:tcPr>
            <w:tcW w:w="719"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47788" w:rsidRPr="00F83176" w:rsidRDefault="00347788" w:rsidP="00347788">
            <w:pPr>
              <w:spacing w:line="240" w:lineRule="auto"/>
              <w:jc w:val="right"/>
              <w:rPr>
                <w:rFonts w:ascii="Calibri" w:hAnsi="Calibri"/>
                <w:b/>
                <w:bCs/>
                <w:sz w:val="14"/>
                <w:szCs w:val="14"/>
              </w:rPr>
            </w:pPr>
            <w:r w:rsidRPr="00F83176">
              <w:rPr>
                <w:rFonts w:ascii="Calibri" w:hAnsi="Calibri"/>
                <w:b/>
                <w:bCs/>
                <w:sz w:val="14"/>
                <w:szCs w:val="14"/>
              </w:rPr>
              <w:t> </w:t>
            </w:r>
          </w:p>
        </w:tc>
        <w:tc>
          <w:tcPr>
            <w:tcW w:w="90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47788" w:rsidRPr="00F83176" w:rsidRDefault="00347788" w:rsidP="00347788">
            <w:pPr>
              <w:spacing w:line="240" w:lineRule="auto"/>
              <w:jc w:val="right"/>
              <w:rPr>
                <w:rFonts w:ascii="Calibri" w:hAnsi="Calibri"/>
                <w:b/>
                <w:bCs/>
                <w:sz w:val="14"/>
                <w:szCs w:val="14"/>
              </w:rPr>
            </w:pPr>
            <w:r w:rsidRPr="00F83176">
              <w:rPr>
                <w:rFonts w:ascii="Calibri" w:hAnsi="Calibri"/>
                <w:b/>
                <w:bCs/>
                <w:sz w:val="14"/>
                <w:szCs w:val="14"/>
              </w:rPr>
              <w:t>3309.5243</w:t>
            </w:r>
          </w:p>
        </w:tc>
        <w:tc>
          <w:tcPr>
            <w:tcW w:w="50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47788" w:rsidRPr="00F83176" w:rsidRDefault="00347788" w:rsidP="00347788">
            <w:pPr>
              <w:spacing w:line="240" w:lineRule="auto"/>
              <w:jc w:val="right"/>
              <w:rPr>
                <w:rFonts w:ascii="Calibri" w:hAnsi="Calibri"/>
                <w:b/>
                <w:bCs/>
                <w:sz w:val="14"/>
                <w:szCs w:val="14"/>
              </w:rPr>
            </w:pPr>
            <w:r w:rsidRPr="00F83176">
              <w:rPr>
                <w:rFonts w:ascii="Calibri" w:hAnsi="Calibri"/>
                <w:b/>
                <w:bCs/>
                <w:sz w:val="14"/>
                <w:szCs w:val="14"/>
              </w:rPr>
              <w:t>759</w:t>
            </w:r>
          </w:p>
        </w:tc>
        <w:tc>
          <w:tcPr>
            <w:tcW w:w="58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47788" w:rsidRPr="00F83176" w:rsidRDefault="00347788" w:rsidP="00347788">
            <w:pPr>
              <w:spacing w:line="240" w:lineRule="auto"/>
              <w:jc w:val="right"/>
              <w:rPr>
                <w:rFonts w:ascii="Calibri" w:hAnsi="Calibri"/>
                <w:b/>
                <w:bCs/>
                <w:sz w:val="14"/>
                <w:szCs w:val="14"/>
              </w:rPr>
            </w:pPr>
            <w:r w:rsidRPr="00F83176">
              <w:rPr>
                <w:rFonts w:ascii="Calibri" w:hAnsi="Calibri"/>
                <w:b/>
                <w:bCs/>
                <w:sz w:val="14"/>
                <w:szCs w:val="14"/>
              </w:rPr>
              <w:t>0.1641</w:t>
            </w:r>
          </w:p>
        </w:tc>
        <w:tc>
          <w:tcPr>
            <w:tcW w:w="46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47788" w:rsidRPr="00F83176" w:rsidRDefault="00347788" w:rsidP="00347788">
            <w:pPr>
              <w:spacing w:line="240" w:lineRule="auto"/>
              <w:jc w:val="right"/>
              <w:rPr>
                <w:rFonts w:ascii="Calibri" w:hAnsi="Calibri"/>
                <w:b/>
                <w:bCs/>
                <w:sz w:val="14"/>
                <w:szCs w:val="14"/>
              </w:rPr>
            </w:pPr>
            <w:r w:rsidRPr="00F83176">
              <w:rPr>
                <w:rFonts w:ascii="Calibri" w:hAnsi="Calibri"/>
                <w:b/>
                <w:bCs/>
                <w:sz w:val="14"/>
                <w:szCs w:val="14"/>
              </w:rPr>
              <w:t>125</w:t>
            </w:r>
          </w:p>
        </w:tc>
        <w:tc>
          <w:tcPr>
            <w:tcW w:w="539"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47788" w:rsidRPr="00F83176" w:rsidRDefault="00347788" w:rsidP="00347788">
            <w:pPr>
              <w:spacing w:line="240" w:lineRule="auto"/>
              <w:jc w:val="right"/>
              <w:rPr>
                <w:rFonts w:ascii="Calibri" w:hAnsi="Calibri"/>
                <w:b/>
                <w:bCs/>
                <w:sz w:val="14"/>
                <w:szCs w:val="14"/>
              </w:rPr>
            </w:pPr>
            <w:r w:rsidRPr="00F83176">
              <w:rPr>
                <w:rFonts w:ascii="Calibri" w:hAnsi="Calibri"/>
                <w:b/>
                <w:bCs/>
                <w:sz w:val="14"/>
                <w:szCs w:val="14"/>
              </w:rPr>
              <w:t> </w:t>
            </w:r>
          </w:p>
        </w:tc>
        <w:tc>
          <w:tcPr>
            <w:tcW w:w="613"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47788" w:rsidRPr="00F83176" w:rsidRDefault="00347788" w:rsidP="00347788">
            <w:pPr>
              <w:spacing w:line="240" w:lineRule="auto"/>
              <w:jc w:val="right"/>
              <w:rPr>
                <w:rFonts w:ascii="Calibri" w:hAnsi="Calibri"/>
                <w:b/>
                <w:bCs/>
                <w:sz w:val="14"/>
                <w:szCs w:val="14"/>
              </w:rPr>
            </w:pPr>
            <w:r w:rsidRPr="00F83176">
              <w:rPr>
                <w:rFonts w:ascii="Calibri" w:hAnsi="Calibri"/>
                <w:b/>
                <w:bCs/>
                <w:sz w:val="14"/>
                <w:szCs w:val="14"/>
              </w:rPr>
              <w:t>12.7</w:t>
            </w:r>
          </w:p>
        </w:tc>
        <w:tc>
          <w:tcPr>
            <w:tcW w:w="90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F83176" w:rsidRDefault="00347788" w:rsidP="00347788">
            <w:pPr>
              <w:spacing w:line="240" w:lineRule="auto"/>
              <w:jc w:val="right"/>
              <w:rPr>
                <w:rFonts w:ascii="Calibri" w:hAnsi="Calibri"/>
                <w:b/>
                <w:bCs/>
                <w:sz w:val="14"/>
                <w:szCs w:val="14"/>
              </w:rPr>
            </w:pPr>
            <w:r w:rsidRPr="00F83176">
              <w:rPr>
                <w:rFonts w:ascii="Calibri" w:hAnsi="Calibri"/>
                <w:b/>
                <w:bCs/>
                <w:sz w:val="14"/>
                <w:szCs w:val="14"/>
              </w:rPr>
              <w:t>3322.2351</w:t>
            </w:r>
          </w:p>
        </w:tc>
        <w:tc>
          <w:tcPr>
            <w:tcW w:w="690" w:type="dxa"/>
            <w:gridSpan w:val="3"/>
            <w:tcBorders>
              <w:top w:val="nil"/>
              <w:left w:val="nil"/>
              <w:bottom w:val="single" w:sz="4" w:space="0" w:color="auto"/>
              <w:right w:val="single" w:sz="4" w:space="0" w:color="auto"/>
            </w:tcBorders>
            <w:shd w:val="clear" w:color="auto" w:fill="D9D9D9" w:themeFill="background1" w:themeFillShade="D9"/>
            <w:vAlign w:val="center"/>
            <w:hideMark/>
          </w:tcPr>
          <w:p w:rsidR="00347788" w:rsidRPr="00F83176" w:rsidRDefault="00347788" w:rsidP="00347788">
            <w:pPr>
              <w:spacing w:line="240" w:lineRule="auto"/>
              <w:jc w:val="right"/>
              <w:rPr>
                <w:rFonts w:ascii="Calibri" w:hAnsi="Calibri"/>
                <w:b/>
                <w:bCs/>
                <w:sz w:val="14"/>
                <w:szCs w:val="14"/>
              </w:rPr>
            </w:pPr>
            <w:r w:rsidRPr="00F83176">
              <w:rPr>
                <w:rFonts w:ascii="Calibri" w:hAnsi="Calibri"/>
                <w:b/>
                <w:bCs/>
                <w:sz w:val="14"/>
                <w:szCs w:val="14"/>
              </w:rPr>
              <w:t> </w:t>
            </w:r>
          </w:p>
        </w:tc>
        <w:tc>
          <w:tcPr>
            <w:tcW w:w="900" w:type="dxa"/>
            <w:gridSpan w:val="3"/>
            <w:tcBorders>
              <w:top w:val="nil"/>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F83176">
              <w:rPr>
                <w:rFonts w:ascii="Calibri" w:hAnsi="Calibri"/>
                <w:b/>
                <w:bCs/>
                <w:sz w:val="14"/>
                <w:szCs w:val="14"/>
              </w:rPr>
              <w:t>24086.20</w:t>
            </w:r>
          </w:p>
        </w:tc>
      </w:tr>
      <w:tr w:rsidR="0088142D" w:rsidRPr="00347788" w:rsidTr="007E0AC6">
        <w:trPr>
          <w:gridAfter w:val="4"/>
          <w:wAfter w:w="479" w:type="dxa"/>
          <w:trHeight w:val="390"/>
        </w:trPr>
        <w:tc>
          <w:tcPr>
            <w:tcW w:w="143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 </w:t>
            </w:r>
          </w:p>
        </w:tc>
        <w:tc>
          <w:tcPr>
            <w:tcW w:w="923" w:type="dxa"/>
            <w:vMerge w:val="restart"/>
            <w:tcBorders>
              <w:top w:val="nil"/>
              <w:left w:val="single" w:sz="4" w:space="0" w:color="auto"/>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 </w:t>
            </w: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Submit SNAP administrative file</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51</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51</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51</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0.0250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1.2750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0.025</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1.2750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67.77</w:t>
            </w:r>
          </w:p>
        </w:tc>
      </w:tr>
      <w:tr w:rsidR="0088142D" w:rsidRPr="00347788" w:rsidTr="007E0AC6">
        <w:trPr>
          <w:gridAfter w:val="4"/>
          <w:wAfter w:w="479" w:type="dxa"/>
          <w:trHeight w:val="39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 xml:space="preserve">Request to complete Outlet Characteristics Form </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X</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0.0501</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0.2505</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0.050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0.2505</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13.31</w:t>
            </w:r>
          </w:p>
        </w:tc>
      </w:tr>
      <w:tr w:rsidR="0088142D" w:rsidRPr="00347788" w:rsidTr="007E0AC6">
        <w:trPr>
          <w:gridAfter w:val="4"/>
          <w:wAfter w:w="479" w:type="dxa"/>
          <w:trHeight w:val="39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Outlet Characteristics Form</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X</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1.0000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5.0000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1.000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5.0000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265.75</w:t>
            </w:r>
          </w:p>
        </w:tc>
      </w:tr>
      <w:tr w:rsidR="0088142D" w:rsidRPr="00347788" w:rsidTr="007E0AC6">
        <w:trPr>
          <w:gridAfter w:val="4"/>
          <w:wAfter w:w="479" w:type="dxa"/>
          <w:trHeight w:val="39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Grantee Administrator Interview Scheduling (script), Year 1 (n)</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Y</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0.0835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0.1670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0.084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0.1670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8.88</w:t>
            </w:r>
          </w:p>
        </w:tc>
      </w:tr>
      <w:tr w:rsidR="0088142D" w:rsidRPr="00347788" w:rsidTr="007E0AC6">
        <w:trPr>
          <w:gridAfter w:val="4"/>
          <w:wAfter w:w="479" w:type="dxa"/>
          <w:trHeight w:val="465"/>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Grantee Administrator Interview Discussion Guide, Year 1 (o)</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Y</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1.5000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3.0000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1.500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3.0000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159.45</w:t>
            </w:r>
          </w:p>
        </w:tc>
      </w:tr>
      <w:tr w:rsidR="0088142D" w:rsidRPr="00347788" w:rsidTr="007E0AC6">
        <w:trPr>
          <w:gridAfter w:val="4"/>
          <w:wAfter w:w="479" w:type="dxa"/>
          <w:trHeight w:val="51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Grantee Administrator Interview Thank you Postcard , Year 1(</w:t>
            </w:r>
            <w:proofErr w:type="spellStart"/>
            <w:r w:rsidRPr="00347788">
              <w:rPr>
                <w:rFonts w:ascii="Calibri" w:hAnsi="Calibri"/>
                <w:sz w:val="14"/>
                <w:szCs w:val="14"/>
              </w:rPr>
              <w:t>i</w:t>
            </w:r>
            <w:proofErr w:type="spellEnd"/>
            <w:r w:rsidRPr="00347788">
              <w:rPr>
                <w:rFonts w:ascii="Calibri" w:hAnsi="Calibri"/>
                <w:sz w:val="14"/>
                <w:szCs w:val="14"/>
              </w:rPr>
              <w:t>)</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Z</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0.0334</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0.0334</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1.78</w:t>
            </w:r>
          </w:p>
        </w:tc>
      </w:tr>
      <w:tr w:rsidR="0088142D" w:rsidRPr="00347788" w:rsidTr="007E0AC6">
        <w:trPr>
          <w:gridAfter w:val="4"/>
          <w:wAfter w:w="479" w:type="dxa"/>
          <w:trHeight w:val="45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Quarterly Core Program Data Form Request Email, Year 1 (p)</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AB</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8</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0.1336</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0.1336</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7.10</w:t>
            </w:r>
          </w:p>
        </w:tc>
      </w:tr>
      <w:tr w:rsidR="0088142D" w:rsidRPr="00347788" w:rsidTr="007E0AC6">
        <w:trPr>
          <w:gridAfter w:val="4"/>
          <w:wAfter w:w="479" w:type="dxa"/>
          <w:trHeight w:val="465"/>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Annual Core Program Data Form Request Email , Year 1(p)</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AC</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0.0334</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0.0334</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1.78</w:t>
            </w:r>
          </w:p>
        </w:tc>
      </w:tr>
      <w:tr w:rsidR="0088142D" w:rsidRPr="00347788" w:rsidTr="007E0AC6">
        <w:trPr>
          <w:gridAfter w:val="4"/>
          <w:wAfter w:w="479" w:type="dxa"/>
          <w:trHeight w:val="39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Quarterly Core Program Data Form, Year 1 (q)</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AD</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8</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2.6720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2.6720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142.02</w:t>
            </w:r>
          </w:p>
        </w:tc>
      </w:tr>
      <w:tr w:rsidR="0088142D" w:rsidRPr="00347788" w:rsidTr="007E0AC6">
        <w:trPr>
          <w:gridAfter w:val="4"/>
          <w:wAfter w:w="479" w:type="dxa"/>
          <w:trHeight w:val="39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Annual Core Program Data Form, Year 1 (q)</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AE</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0.5000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0.5000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26.58</w:t>
            </w:r>
          </w:p>
        </w:tc>
      </w:tr>
      <w:tr w:rsidR="0088142D" w:rsidRPr="00347788" w:rsidTr="007E0AC6">
        <w:trPr>
          <w:gridAfter w:val="4"/>
          <w:wAfter w:w="479" w:type="dxa"/>
          <w:trHeight w:val="465"/>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Grantee Administrator Interview Scheduling (script), Year 2 (n)</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Y</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0.0835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0.4175</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0.084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0.4175</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22.19</w:t>
            </w:r>
          </w:p>
        </w:tc>
      </w:tr>
      <w:tr w:rsidR="0088142D" w:rsidRPr="00347788" w:rsidTr="007E0AC6">
        <w:trPr>
          <w:gridAfter w:val="4"/>
          <w:wAfter w:w="479" w:type="dxa"/>
          <w:trHeight w:val="435"/>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Grantee Administrator Interview Discussion Guide, Year 2 (o)</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Y</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1.5000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7.5000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1.500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7.5000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398.63</w:t>
            </w:r>
          </w:p>
        </w:tc>
      </w:tr>
      <w:tr w:rsidR="0088142D" w:rsidRPr="00347788" w:rsidTr="007E0AC6">
        <w:trPr>
          <w:gridAfter w:val="4"/>
          <w:wAfter w:w="479" w:type="dxa"/>
          <w:trHeight w:val="39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Grantee Administrator Thank you Postcard, Year 2 (</w:t>
            </w:r>
            <w:proofErr w:type="spellStart"/>
            <w:r w:rsidRPr="00347788">
              <w:rPr>
                <w:rFonts w:ascii="Calibri" w:hAnsi="Calibri"/>
                <w:sz w:val="14"/>
                <w:szCs w:val="14"/>
              </w:rPr>
              <w:t>i</w:t>
            </w:r>
            <w:proofErr w:type="spellEnd"/>
            <w:r w:rsidRPr="00347788">
              <w:rPr>
                <w:rFonts w:ascii="Calibri" w:hAnsi="Calibri"/>
                <w:sz w:val="14"/>
                <w:szCs w:val="14"/>
              </w:rPr>
              <w:t>)</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AA</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0.0835</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0.0835</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4.44</w:t>
            </w:r>
          </w:p>
        </w:tc>
      </w:tr>
      <w:tr w:rsidR="0088142D" w:rsidRPr="00347788" w:rsidTr="007E0AC6">
        <w:trPr>
          <w:gridAfter w:val="4"/>
          <w:wAfter w:w="479" w:type="dxa"/>
          <w:trHeight w:val="39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Quarterly Core Program Data Form Request Email, Year 2 (p)</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AB</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17.75</w:t>
            </w:r>
          </w:p>
        </w:tc>
      </w:tr>
      <w:tr w:rsidR="0088142D" w:rsidRPr="00347788" w:rsidTr="007E0AC6">
        <w:trPr>
          <w:gridAfter w:val="4"/>
          <w:wAfter w:w="479" w:type="dxa"/>
          <w:trHeight w:val="39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Annual Core Program Data Form Request Email, Year 2 (p)</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AC</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0.0835</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0.0835</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4.44</w:t>
            </w:r>
          </w:p>
        </w:tc>
      </w:tr>
      <w:tr w:rsidR="0088142D" w:rsidRPr="00347788" w:rsidTr="007E0AC6">
        <w:trPr>
          <w:gridAfter w:val="4"/>
          <w:wAfter w:w="479" w:type="dxa"/>
          <w:trHeight w:val="39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Quarterly Core Program Data Form, Year 2 (q)</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AD</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6.6800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6.6800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355.04</w:t>
            </w:r>
          </w:p>
        </w:tc>
      </w:tr>
      <w:tr w:rsidR="0088142D" w:rsidRPr="00347788" w:rsidTr="007E0AC6">
        <w:trPr>
          <w:gridAfter w:val="4"/>
          <w:wAfter w:w="479" w:type="dxa"/>
          <w:trHeight w:val="39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Annual Core Program Data Form, Year 2 (q)</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AE</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1.2500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1.2500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66.44</w:t>
            </w:r>
          </w:p>
        </w:tc>
      </w:tr>
      <w:tr w:rsidR="0088142D" w:rsidRPr="00347788" w:rsidTr="007E0AC6">
        <w:trPr>
          <w:gridAfter w:val="4"/>
          <w:wAfter w:w="479" w:type="dxa"/>
          <w:trHeight w:val="48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Quarterly Core Program Data Form Request Email, Year 3 (p)</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AB</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17.75</w:t>
            </w:r>
          </w:p>
        </w:tc>
      </w:tr>
      <w:tr w:rsidR="0088142D" w:rsidRPr="00347788" w:rsidTr="007E0AC6">
        <w:trPr>
          <w:gridAfter w:val="4"/>
          <w:wAfter w:w="479" w:type="dxa"/>
          <w:trHeight w:val="435"/>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Annual Core Program Data Form Request Email, Year 3 (p)</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AC</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0.0835</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0.0835</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4.44</w:t>
            </w:r>
          </w:p>
        </w:tc>
      </w:tr>
      <w:tr w:rsidR="0088142D" w:rsidRPr="00347788" w:rsidTr="007E0AC6">
        <w:trPr>
          <w:gridAfter w:val="4"/>
          <w:wAfter w:w="479" w:type="dxa"/>
          <w:trHeight w:val="39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Quarterly Core Program Data Form, Year 3 (q)</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AD</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6.6800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6.6800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355.04</w:t>
            </w:r>
          </w:p>
        </w:tc>
      </w:tr>
      <w:tr w:rsidR="0088142D" w:rsidRPr="00347788" w:rsidTr="007E0AC6">
        <w:trPr>
          <w:gridAfter w:val="4"/>
          <w:wAfter w:w="479" w:type="dxa"/>
          <w:trHeight w:val="39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Annual Core Program Data Form, Year 3 (q)</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AE</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1.2500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1.2500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66.44</w:t>
            </w:r>
          </w:p>
        </w:tc>
      </w:tr>
      <w:tr w:rsidR="0088142D" w:rsidRPr="00347788" w:rsidTr="008F6F96">
        <w:trPr>
          <w:gridAfter w:val="4"/>
          <w:wAfter w:w="479" w:type="dxa"/>
          <w:trHeight w:val="45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bottom"/>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 xml:space="preserve">Email to Grantees for </w:t>
            </w:r>
            <w:proofErr w:type="spellStart"/>
            <w:r w:rsidRPr="00347788">
              <w:rPr>
                <w:rFonts w:ascii="Calibri" w:hAnsi="Calibri"/>
                <w:sz w:val="14"/>
                <w:szCs w:val="14"/>
              </w:rPr>
              <w:t>Followup</w:t>
            </w:r>
            <w:proofErr w:type="spellEnd"/>
            <w:r w:rsidRPr="00347788">
              <w:rPr>
                <w:rFonts w:ascii="Calibri" w:hAnsi="Calibri"/>
                <w:sz w:val="14"/>
                <w:szCs w:val="14"/>
              </w:rPr>
              <w:t xml:space="preserve"> with Nonresponding Outlets</w:t>
            </w:r>
          </w:p>
        </w:tc>
        <w:tc>
          <w:tcPr>
            <w:tcW w:w="433" w:type="dxa"/>
            <w:gridSpan w:val="3"/>
            <w:tcBorders>
              <w:top w:val="nil"/>
              <w:left w:val="nil"/>
              <w:bottom w:val="single" w:sz="4" w:space="0" w:color="auto"/>
              <w:right w:val="single" w:sz="4" w:space="0" w:color="auto"/>
            </w:tcBorders>
            <w:shd w:val="clear" w:color="auto" w:fill="auto"/>
            <w:noWrap/>
            <w:vAlign w:val="bottom"/>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 xml:space="preserve">AI </w:t>
            </w:r>
          </w:p>
        </w:tc>
        <w:tc>
          <w:tcPr>
            <w:tcW w:w="611" w:type="dxa"/>
            <w:gridSpan w:val="3"/>
            <w:tcBorders>
              <w:top w:val="nil"/>
              <w:left w:val="nil"/>
              <w:bottom w:val="single" w:sz="4" w:space="0" w:color="auto"/>
              <w:right w:val="single" w:sz="4" w:space="0" w:color="auto"/>
            </w:tcBorders>
            <w:shd w:val="clear" w:color="auto" w:fill="auto"/>
            <w:noWrap/>
            <w:vAlign w:val="bottom"/>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0.0501</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0.2505</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0.050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0.2505</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13.31</w:t>
            </w:r>
          </w:p>
        </w:tc>
      </w:tr>
      <w:tr w:rsidR="009E4325" w:rsidRPr="00347788" w:rsidTr="00685519">
        <w:trPr>
          <w:gridAfter w:val="4"/>
          <w:wAfter w:w="479" w:type="dxa"/>
          <w:trHeight w:val="435"/>
        </w:trPr>
        <w:tc>
          <w:tcPr>
            <w:tcW w:w="2355"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rPr>
                <w:rFonts w:ascii="Calibri" w:hAnsi="Calibri"/>
                <w:b/>
                <w:bCs/>
                <w:sz w:val="14"/>
                <w:szCs w:val="14"/>
              </w:rPr>
            </w:pPr>
            <w:r w:rsidRPr="00347788">
              <w:rPr>
                <w:rFonts w:ascii="Calibri" w:hAnsi="Calibri"/>
                <w:b/>
                <w:bCs/>
                <w:sz w:val="14"/>
                <w:szCs w:val="14"/>
              </w:rPr>
              <w:t>State/Local Government Subtotal (</w:t>
            </w:r>
            <w:proofErr w:type="spellStart"/>
            <w:r w:rsidRPr="00347788">
              <w:rPr>
                <w:rFonts w:ascii="Calibri" w:hAnsi="Calibri"/>
                <w:b/>
                <w:bCs/>
                <w:sz w:val="14"/>
                <w:szCs w:val="14"/>
              </w:rPr>
              <w:t>i</w:t>
            </w:r>
            <w:proofErr w:type="spellEnd"/>
            <w:r w:rsidRPr="00347788">
              <w:rPr>
                <w:rFonts w:ascii="Calibri" w:hAnsi="Calibri"/>
                <w:b/>
                <w:bCs/>
                <w:sz w:val="14"/>
                <w:szCs w:val="14"/>
              </w:rPr>
              <w:t>)</w:t>
            </w:r>
          </w:p>
        </w:tc>
        <w:tc>
          <w:tcPr>
            <w:tcW w:w="2019" w:type="dxa"/>
            <w:tcBorders>
              <w:top w:val="single" w:sz="4" w:space="0" w:color="auto"/>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 </w:t>
            </w:r>
          </w:p>
        </w:tc>
        <w:tc>
          <w:tcPr>
            <w:tcW w:w="433"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center"/>
              <w:rPr>
                <w:rFonts w:ascii="Calibri" w:hAnsi="Calibri"/>
                <w:b/>
                <w:bCs/>
                <w:sz w:val="14"/>
                <w:szCs w:val="14"/>
              </w:rPr>
            </w:pPr>
            <w:r w:rsidRPr="00347788">
              <w:rPr>
                <w:rFonts w:ascii="Calibri" w:hAnsi="Calibri"/>
                <w:b/>
                <w:bCs/>
                <w:sz w:val="14"/>
                <w:szCs w:val="14"/>
              </w:rPr>
              <w:t> </w:t>
            </w:r>
          </w:p>
        </w:tc>
        <w:tc>
          <w:tcPr>
            <w:tcW w:w="611"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56</w:t>
            </w:r>
          </w:p>
        </w:tc>
        <w:tc>
          <w:tcPr>
            <w:tcW w:w="629"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56</w:t>
            </w:r>
          </w:p>
        </w:tc>
        <w:tc>
          <w:tcPr>
            <w:tcW w:w="609"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3.70</w:t>
            </w:r>
          </w:p>
        </w:tc>
        <w:tc>
          <w:tcPr>
            <w:tcW w:w="65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207</w:t>
            </w:r>
          </w:p>
        </w:tc>
        <w:tc>
          <w:tcPr>
            <w:tcW w:w="719"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 </w:t>
            </w:r>
          </w:p>
        </w:tc>
        <w:tc>
          <w:tcPr>
            <w:tcW w:w="90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38.0114</w:t>
            </w:r>
          </w:p>
        </w:tc>
        <w:tc>
          <w:tcPr>
            <w:tcW w:w="50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0</w:t>
            </w:r>
          </w:p>
        </w:tc>
        <w:tc>
          <w:tcPr>
            <w:tcW w:w="58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0</w:t>
            </w:r>
          </w:p>
        </w:tc>
        <w:tc>
          <w:tcPr>
            <w:tcW w:w="46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0</w:t>
            </w:r>
          </w:p>
        </w:tc>
        <w:tc>
          <w:tcPr>
            <w:tcW w:w="539"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 </w:t>
            </w:r>
          </w:p>
        </w:tc>
        <w:tc>
          <w:tcPr>
            <w:tcW w:w="613"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0</w:t>
            </w:r>
          </w:p>
        </w:tc>
        <w:tc>
          <w:tcPr>
            <w:tcW w:w="90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38.0114</w:t>
            </w:r>
          </w:p>
        </w:tc>
        <w:tc>
          <w:tcPr>
            <w:tcW w:w="690"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 </w:t>
            </w:r>
          </w:p>
        </w:tc>
        <w:tc>
          <w:tcPr>
            <w:tcW w:w="900"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2020.31</w:t>
            </w:r>
          </w:p>
        </w:tc>
      </w:tr>
      <w:tr w:rsidR="0088142D" w:rsidRPr="00347788" w:rsidTr="007E0AC6">
        <w:trPr>
          <w:gridAfter w:val="4"/>
          <w:wAfter w:w="479" w:type="dxa"/>
          <w:trHeight w:val="420"/>
        </w:trPr>
        <w:tc>
          <w:tcPr>
            <w:tcW w:w="143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Profit/Non-Profit Business Subtotal</w:t>
            </w:r>
          </w:p>
        </w:tc>
        <w:tc>
          <w:tcPr>
            <w:tcW w:w="923" w:type="dxa"/>
            <w:vMerge w:val="restart"/>
            <w:tcBorders>
              <w:top w:val="nil"/>
              <w:left w:val="single" w:sz="4" w:space="0" w:color="auto"/>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Grantees and Administrators/ Retailers/Local Community Org.  Staff</w:t>
            </w: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Outlet Survey Cognitive Testing</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 xml:space="preserve">AP </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1.0000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1.0000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 xml:space="preserve">Email to accompany Outlet Characteristics Form </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X</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0.0501</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1.5030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0.050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1.5030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79.88</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Outlet Characteristics Form</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X</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1.0000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30.0000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1.000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30.0000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1594.50</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Grantee Administrator Interview Scheduling (script), Year 1 (n)</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Y</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0.0835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2.5050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0.084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2.5050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133.14</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Grantee Administrator Interview Discussion Guide, Year 1 (o)</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Y</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1.5000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45.0000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1.500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45.0000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2391.75</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Grantee Administrator Interview Thank you Postcard , Year 1(</w:t>
            </w:r>
            <w:proofErr w:type="spellStart"/>
            <w:r w:rsidRPr="00347788">
              <w:rPr>
                <w:rFonts w:ascii="Calibri" w:hAnsi="Calibri"/>
                <w:sz w:val="14"/>
                <w:szCs w:val="14"/>
              </w:rPr>
              <w:t>i</w:t>
            </w:r>
            <w:proofErr w:type="spellEnd"/>
            <w:r w:rsidRPr="00347788">
              <w:rPr>
                <w:rFonts w:ascii="Calibri" w:hAnsi="Calibri"/>
                <w:sz w:val="14"/>
                <w:szCs w:val="14"/>
              </w:rPr>
              <w:t>)</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Z</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0.5010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0.5010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26.63</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Quarterly Core Program Data Form Request Email, Year 1 (p)</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AB</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120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2.0040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2.0040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106.51</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Annual Core Program Data Form Request Email , Year 1(p)</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AC</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0.5010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0.5010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26.63</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Quarterly Core Program Data Form, Year 1 (q)</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AD</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120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40.0800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40.0800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2130.25</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Annual Core Program Data Form, Year 1 (q)</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AE</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7.5000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7.5000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398.63</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Grantee Administrator Interview Scheduling (script), Year 2 (n)</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Y</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0.0835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2.5050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0.084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2.5050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133.14</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Grantee Administrator Interview Discussion Guide, Year 2 (o)</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Y</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1.5000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45.0000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1.500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45.0000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2391.75</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Grantee Administrator Thank you Postcard, Year 2 (</w:t>
            </w:r>
            <w:proofErr w:type="spellStart"/>
            <w:r w:rsidRPr="00347788">
              <w:rPr>
                <w:rFonts w:ascii="Calibri" w:hAnsi="Calibri"/>
                <w:sz w:val="14"/>
                <w:szCs w:val="14"/>
              </w:rPr>
              <w:t>i</w:t>
            </w:r>
            <w:proofErr w:type="spellEnd"/>
            <w:r w:rsidRPr="00347788">
              <w:rPr>
                <w:rFonts w:ascii="Calibri" w:hAnsi="Calibri"/>
                <w:sz w:val="14"/>
                <w:szCs w:val="14"/>
              </w:rPr>
              <w:t>)</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AA</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0.5010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0.5010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26.63</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Quarterly Core Program Data Form Request Email, Year 2 (p)</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AB</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120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2.0040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2.0040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106.51</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Annual Core Program Data Form Request Email, Year 2 (p)</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AC</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0.5010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0.5010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26.63</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Quarterly Core Program Data Form, Year 2 (q)</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AD</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120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40.0800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40.0800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2130.25</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Annual Core Program Data Form, Year 2 (q)</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AE</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7.5000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7.5000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398.63</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Quarterly Core Program Data Form Request Email, Year 3 (p)</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AB</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120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2.0040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2.0040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106.51</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Annual Core Program Data Form Request Email, Year 3 (p)</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AC</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0.5010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0.5010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26.63</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Quarterly Core Program Data Form, Year 3 (q)</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AD</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120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40.0800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0.334</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40.0800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2130.25</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Annual Core Program Data Form, Year 3 (q)</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AE</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7.5000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0.250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7.5000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398.63</w:t>
            </w:r>
          </w:p>
        </w:tc>
      </w:tr>
      <w:tr w:rsidR="0088142D" w:rsidRPr="00347788" w:rsidTr="007E0AC6">
        <w:trPr>
          <w:gridAfter w:val="4"/>
          <w:wAfter w:w="479" w:type="dxa"/>
          <w:trHeight w:val="42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bottom"/>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 xml:space="preserve">Email to Grantees for </w:t>
            </w:r>
            <w:proofErr w:type="spellStart"/>
            <w:r w:rsidRPr="00347788">
              <w:rPr>
                <w:rFonts w:ascii="Calibri" w:hAnsi="Calibri"/>
                <w:sz w:val="14"/>
                <w:szCs w:val="14"/>
              </w:rPr>
              <w:t>Followup</w:t>
            </w:r>
            <w:proofErr w:type="spellEnd"/>
            <w:r w:rsidRPr="00347788">
              <w:rPr>
                <w:rFonts w:ascii="Calibri" w:hAnsi="Calibri"/>
                <w:sz w:val="14"/>
                <w:szCs w:val="14"/>
              </w:rPr>
              <w:t xml:space="preserve"> with Nonresponding Outlets</w:t>
            </w:r>
          </w:p>
        </w:tc>
        <w:tc>
          <w:tcPr>
            <w:tcW w:w="433" w:type="dxa"/>
            <w:gridSpan w:val="3"/>
            <w:tcBorders>
              <w:top w:val="nil"/>
              <w:left w:val="nil"/>
              <w:bottom w:val="single" w:sz="4" w:space="0" w:color="auto"/>
              <w:right w:val="single" w:sz="4" w:space="0" w:color="auto"/>
            </w:tcBorders>
            <w:shd w:val="clear" w:color="auto" w:fill="auto"/>
            <w:noWrap/>
            <w:vAlign w:val="bottom"/>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 xml:space="preserve">AI </w:t>
            </w:r>
          </w:p>
        </w:tc>
        <w:tc>
          <w:tcPr>
            <w:tcW w:w="611" w:type="dxa"/>
            <w:gridSpan w:val="3"/>
            <w:tcBorders>
              <w:top w:val="nil"/>
              <w:left w:val="nil"/>
              <w:bottom w:val="single" w:sz="4" w:space="0" w:color="auto"/>
              <w:right w:val="single" w:sz="4" w:space="0" w:color="auto"/>
            </w:tcBorders>
            <w:shd w:val="clear" w:color="auto" w:fill="auto"/>
            <w:noWrap/>
            <w:vAlign w:val="bottom"/>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0.0501</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1.5030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0.050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1.5030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53.15</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79.88</w:t>
            </w:r>
          </w:p>
        </w:tc>
      </w:tr>
      <w:tr w:rsidR="0088142D" w:rsidRPr="00347788" w:rsidTr="008F6F96">
        <w:trPr>
          <w:gridAfter w:val="4"/>
          <w:wAfter w:w="479" w:type="dxa"/>
          <w:trHeight w:val="51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Outlet Survey Invitation Letter (r)</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AF</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3600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3600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3600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0.0501</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180.3600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0.050</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180.3600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13.61</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2454.70</w:t>
            </w:r>
          </w:p>
        </w:tc>
      </w:tr>
      <w:tr w:rsidR="0088142D" w:rsidRPr="00347788" w:rsidTr="008F6F96">
        <w:trPr>
          <w:gridAfter w:val="4"/>
          <w:wAfter w:w="479" w:type="dxa"/>
          <w:trHeight w:val="510"/>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Outlet Survey Reminder Letter (s)</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AH</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1800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1710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1710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28.5570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90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070ABE" w:rsidRDefault="00347788" w:rsidP="00347788">
            <w:pPr>
              <w:spacing w:line="240" w:lineRule="auto"/>
              <w:jc w:val="right"/>
              <w:rPr>
                <w:rFonts w:ascii="Calibri" w:hAnsi="Calibri"/>
                <w:sz w:val="14"/>
                <w:szCs w:val="14"/>
              </w:rPr>
            </w:pPr>
            <w:r w:rsidRPr="00070ABE">
              <w:rPr>
                <w:rFonts w:ascii="Calibri" w:hAnsi="Calibri"/>
                <w:sz w:val="14"/>
                <w:szCs w:val="14"/>
              </w:rPr>
              <w:t>1</w:t>
            </w:r>
          </w:p>
        </w:tc>
        <w:tc>
          <w:tcPr>
            <w:tcW w:w="468" w:type="dxa"/>
            <w:gridSpan w:val="2"/>
            <w:tcBorders>
              <w:top w:val="single" w:sz="4" w:space="0" w:color="auto"/>
              <w:left w:val="nil"/>
              <w:bottom w:val="single" w:sz="4" w:space="0" w:color="auto"/>
              <w:right w:val="single" w:sz="4" w:space="0" w:color="auto"/>
            </w:tcBorders>
            <w:shd w:val="clear" w:color="000000" w:fill="auto"/>
            <w:vAlign w:val="center"/>
            <w:hideMark/>
          </w:tcPr>
          <w:p w:rsidR="00347788" w:rsidRPr="00070ABE" w:rsidRDefault="00070ABE" w:rsidP="00347788">
            <w:pPr>
              <w:spacing w:line="240" w:lineRule="auto"/>
              <w:jc w:val="right"/>
              <w:rPr>
                <w:rFonts w:ascii="Calibri" w:hAnsi="Calibri"/>
                <w:sz w:val="14"/>
                <w:szCs w:val="14"/>
              </w:rPr>
            </w:pPr>
            <w:r w:rsidRPr="00347788">
              <w:rPr>
                <w:rFonts w:ascii="Calibri" w:hAnsi="Calibri"/>
                <w:sz w:val="14"/>
                <w:szCs w:val="14"/>
              </w:rPr>
              <w:t>90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070ABE" w:rsidRDefault="00347788" w:rsidP="00347788">
            <w:pPr>
              <w:spacing w:line="240" w:lineRule="auto"/>
              <w:jc w:val="right"/>
              <w:rPr>
                <w:rFonts w:ascii="Calibri" w:hAnsi="Calibri"/>
                <w:sz w:val="14"/>
                <w:szCs w:val="14"/>
              </w:rPr>
            </w:pPr>
            <w:r w:rsidRPr="00070ABE">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30.0600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13.61</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409.12</w:t>
            </w:r>
          </w:p>
        </w:tc>
      </w:tr>
      <w:tr w:rsidR="0088142D" w:rsidRPr="00347788" w:rsidTr="008F6F96">
        <w:trPr>
          <w:gridAfter w:val="4"/>
          <w:wAfter w:w="479" w:type="dxa"/>
          <w:trHeight w:val="465"/>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Outlet Survey (t)</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AG</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3600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2880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2880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0.1670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480.9600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720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070ABE" w:rsidRDefault="00347788" w:rsidP="00347788">
            <w:pPr>
              <w:spacing w:line="240" w:lineRule="auto"/>
              <w:jc w:val="right"/>
              <w:rPr>
                <w:rFonts w:ascii="Calibri" w:hAnsi="Calibri"/>
                <w:sz w:val="14"/>
                <w:szCs w:val="14"/>
              </w:rPr>
            </w:pPr>
            <w:r w:rsidRPr="00070ABE">
              <w:rPr>
                <w:rFonts w:ascii="Calibri" w:hAnsi="Calibri"/>
                <w:sz w:val="14"/>
                <w:szCs w:val="14"/>
              </w:rPr>
              <w:t>1</w:t>
            </w:r>
          </w:p>
        </w:tc>
        <w:tc>
          <w:tcPr>
            <w:tcW w:w="468" w:type="dxa"/>
            <w:gridSpan w:val="2"/>
            <w:tcBorders>
              <w:top w:val="single" w:sz="4" w:space="0" w:color="auto"/>
              <w:left w:val="nil"/>
              <w:bottom w:val="single" w:sz="4" w:space="0" w:color="auto"/>
              <w:right w:val="single" w:sz="4" w:space="0" w:color="auto"/>
            </w:tcBorders>
            <w:shd w:val="clear" w:color="000000" w:fill="auto"/>
            <w:vAlign w:val="center"/>
            <w:hideMark/>
          </w:tcPr>
          <w:p w:rsidR="00347788" w:rsidRPr="00070ABE" w:rsidRDefault="00347788" w:rsidP="00347788">
            <w:pPr>
              <w:spacing w:line="240" w:lineRule="auto"/>
              <w:jc w:val="right"/>
              <w:rPr>
                <w:rFonts w:ascii="Calibri" w:hAnsi="Calibri"/>
                <w:sz w:val="14"/>
                <w:szCs w:val="14"/>
              </w:rPr>
            </w:pPr>
            <w:r w:rsidRPr="00070ABE">
              <w:rPr>
                <w:rFonts w:ascii="Calibri" w:hAnsi="Calibri"/>
                <w:sz w:val="14"/>
                <w:szCs w:val="14"/>
              </w:rPr>
              <w:t>720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070ABE" w:rsidRDefault="00347788" w:rsidP="00347788">
            <w:pPr>
              <w:spacing w:line="240" w:lineRule="auto"/>
              <w:jc w:val="right"/>
              <w:rPr>
                <w:rFonts w:ascii="Calibri" w:hAnsi="Calibri"/>
                <w:sz w:val="14"/>
                <w:szCs w:val="14"/>
              </w:rPr>
            </w:pPr>
            <w:r w:rsidRPr="00070ABE">
              <w:rPr>
                <w:rFonts w:ascii="Calibri" w:hAnsi="Calibri"/>
                <w:sz w:val="14"/>
                <w:szCs w:val="14"/>
              </w:rPr>
              <w:t>0.167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120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601.2000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13.61</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8182.33</w:t>
            </w:r>
          </w:p>
        </w:tc>
      </w:tr>
      <w:tr w:rsidR="0088142D" w:rsidRPr="00347788" w:rsidTr="008F6F96">
        <w:trPr>
          <w:gridAfter w:val="4"/>
          <w:wAfter w:w="479" w:type="dxa"/>
          <w:trHeight w:val="465"/>
        </w:trPr>
        <w:tc>
          <w:tcPr>
            <w:tcW w:w="1432" w:type="dxa"/>
            <w:gridSpan w:val="2"/>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923" w:type="dxa"/>
            <w:vMerge/>
            <w:tcBorders>
              <w:top w:val="nil"/>
              <w:left w:val="single" w:sz="4" w:space="0" w:color="auto"/>
              <w:bottom w:val="single" w:sz="4" w:space="0" w:color="auto"/>
              <w:right w:val="single" w:sz="4" w:space="0" w:color="auto"/>
            </w:tcBorders>
            <w:vAlign w:val="center"/>
            <w:hideMark/>
          </w:tcPr>
          <w:p w:rsidR="00347788" w:rsidRPr="00347788" w:rsidRDefault="00347788" w:rsidP="00347788">
            <w:pPr>
              <w:spacing w:line="240" w:lineRule="auto"/>
              <w:rPr>
                <w:rFonts w:ascii="Calibri" w:hAnsi="Calibri"/>
                <w:sz w:val="14"/>
                <w:szCs w:val="14"/>
              </w:rPr>
            </w:pP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rPr>
                <w:rFonts w:ascii="Calibri" w:hAnsi="Calibri"/>
                <w:sz w:val="14"/>
                <w:szCs w:val="14"/>
              </w:rPr>
            </w:pPr>
            <w:r w:rsidRPr="00347788">
              <w:rPr>
                <w:rFonts w:ascii="Calibri" w:hAnsi="Calibri"/>
                <w:sz w:val="14"/>
                <w:szCs w:val="14"/>
              </w:rPr>
              <w:t>Outlet Survey Thank you Postcard (</w:t>
            </w:r>
            <w:proofErr w:type="spellStart"/>
            <w:r w:rsidRPr="00347788">
              <w:rPr>
                <w:rFonts w:ascii="Calibri" w:hAnsi="Calibri"/>
                <w:sz w:val="14"/>
                <w:szCs w:val="14"/>
              </w:rPr>
              <w:t>i</w:t>
            </w:r>
            <w:proofErr w:type="spellEnd"/>
            <w:r w:rsidRPr="00347788">
              <w:rPr>
                <w:rFonts w:ascii="Calibri" w:hAnsi="Calibri"/>
                <w:sz w:val="14"/>
                <w:szCs w:val="14"/>
              </w:rPr>
              <w:t>)</w:t>
            </w:r>
          </w:p>
        </w:tc>
        <w:tc>
          <w:tcPr>
            <w:tcW w:w="43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AJ</w:t>
            </w:r>
          </w:p>
        </w:tc>
        <w:tc>
          <w:tcPr>
            <w:tcW w:w="611"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2880</w:t>
            </w:r>
          </w:p>
        </w:tc>
        <w:tc>
          <w:tcPr>
            <w:tcW w:w="629"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2880</w:t>
            </w:r>
          </w:p>
        </w:tc>
        <w:tc>
          <w:tcPr>
            <w:tcW w:w="60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65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2880</w:t>
            </w:r>
          </w:p>
        </w:tc>
        <w:tc>
          <w:tcPr>
            <w:tcW w:w="71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0.0167</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48.0960</w:t>
            </w:r>
          </w:p>
        </w:tc>
        <w:tc>
          <w:tcPr>
            <w:tcW w:w="500" w:type="dxa"/>
            <w:gridSpan w:val="2"/>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w:t>
            </w:r>
          </w:p>
        </w:tc>
        <w:tc>
          <w:tcPr>
            <w:tcW w:w="468" w:type="dxa"/>
            <w:gridSpan w:val="2"/>
            <w:tcBorders>
              <w:top w:val="nil"/>
              <w:left w:val="nil"/>
              <w:bottom w:val="single" w:sz="4" w:space="0" w:color="auto"/>
              <w:right w:val="single" w:sz="4" w:space="0" w:color="auto"/>
            </w:tcBorders>
            <w:shd w:val="clear" w:color="auto" w:fill="auto"/>
            <w:vAlign w:val="center"/>
            <w:hideMark/>
          </w:tcPr>
          <w:p w:rsidR="00347788" w:rsidRPr="00070ABE" w:rsidRDefault="00347788" w:rsidP="00347788">
            <w:pPr>
              <w:spacing w:line="240" w:lineRule="auto"/>
              <w:jc w:val="right"/>
              <w:rPr>
                <w:rFonts w:ascii="Calibri" w:hAnsi="Calibri"/>
                <w:sz w:val="14"/>
                <w:szCs w:val="14"/>
              </w:rPr>
            </w:pPr>
            <w:r w:rsidRPr="00070ABE">
              <w:rPr>
                <w:rFonts w:ascii="Calibri" w:hAnsi="Calibri"/>
                <w:sz w:val="14"/>
                <w:szCs w:val="14"/>
              </w:rPr>
              <w:t>0</w:t>
            </w:r>
          </w:p>
        </w:tc>
        <w:tc>
          <w:tcPr>
            <w:tcW w:w="539" w:type="dxa"/>
            <w:gridSpan w:val="3"/>
            <w:tcBorders>
              <w:top w:val="nil"/>
              <w:left w:val="nil"/>
              <w:bottom w:val="single" w:sz="4" w:space="0" w:color="auto"/>
              <w:right w:val="single" w:sz="4" w:space="0" w:color="auto"/>
            </w:tcBorders>
            <w:shd w:val="clear" w:color="auto" w:fill="auto"/>
            <w:noWrap/>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0.017</w:t>
            </w:r>
          </w:p>
        </w:tc>
        <w:tc>
          <w:tcPr>
            <w:tcW w:w="613"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0</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48.0960</w:t>
            </w:r>
          </w:p>
        </w:tc>
        <w:tc>
          <w:tcPr>
            <w:tcW w:w="69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13.61</w:t>
            </w:r>
          </w:p>
        </w:tc>
        <w:tc>
          <w:tcPr>
            <w:tcW w:w="900" w:type="dxa"/>
            <w:gridSpan w:val="3"/>
            <w:tcBorders>
              <w:top w:val="nil"/>
              <w:left w:val="nil"/>
              <w:bottom w:val="single" w:sz="4" w:space="0" w:color="auto"/>
              <w:right w:val="single" w:sz="4" w:space="0" w:color="auto"/>
            </w:tcBorders>
            <w:shd w:val="clear" w:color="auto" w:fill="auto"/>
            <w:vAlign w:val="center"/>
            <w:hideMark/>
          </w:tcPr>
          <w:p w:rsidR="00347788" w:rsidRPr="00347788" w:rsidRDefault="00347788" w:rsidP="00347788">
            <w:pPr>
              <w:spacing w:line="240" w:lineRule="auto"/>
              <w:jc w:val="right"/>
              <w:rPr>
                <w:rFonts w:ascii="Calibri" w:hAnsi="Calibri"/>
                <w:sz w:val="14"/>
                <w:szCs w:val="14"/>
              </w:rPr>
            </w:pPr>
            <w:r w:rsidRPr="00347788">
              <w:rPr>
                <w:rFonts w:ascii="Calibri" w:hAnsi="Calibri"/>
                <w:sz w:val="14"/>
                <w:szCs w:val="14"/>
              </w:rPr>
              <w:t>654.59</w:t>
            </w:r>
          </w:p>
        </w:tc>
      </w:tr>
      <w:tr w:rsidR="009E4325" w:rsidRPr="00347788" w:rsidTr="00685519">
        <w:trPr>
          <w:gridAfter w:val="4"/>
          <w:wAfter w:w="479" w:type="dxa"/>
          <w:trHeight w:val="510"/>
        </w:trPr>
        <w:tc>
          <w:tcPr>
            <w:tcW w:w="2355" w:type="dxa"/>
            <w:gridSpan w:val="3"/>
            <w:tcBorders>
              <w:top w:val="single" w:sz="4" w:space="0" w:color="auto"/>
              <w:left w:val="single" w:sz="4" w:space="0" w:color="auto"/>
              <w:bottom w:val="single" w:sz="4" w:space="0" w:color="auto"/>
              <w:right w:val="single" w:sz="4" w:space="0" w:color="auto"/>
            </w:tcBorders>
            <w:shd w:val="clear" w:color="000000" w:fill="D9D9D9"/>
            <w:vAlign w:val="bottom"/>
            <w:hideMark/>
          </w:tcPr>
          <w:p w:rsidR="00347788" w:rsidRPr="00347788" w:rsidRDefault="00347788" w:rsidP="00347788">
            <w:pPr>
              <w:spacing w:line="240" w:lineRule="auto"/>
              <w:rPr>
                <w:rFonts w:ascii="Calibri" w:hAnsi="Calibri"/>
                <w:b/>
                <w:bCs/>
                <w:sz w:val="14"/>
                <w:szCs w:val="14"/>
              </w:rPr>
            </w:pPr>
            <w:r w:rsidRPr="00347788">
              <w:rPr>
                <w:rFonts w:ascii="Calibri" w:hAnsi="Calibri"/>
                <w:b/>
                <w:bCs/>
                <w:sz w:val="14"/>
                <w:szCs w:val="14"/>
              </w:rPr>
              <w:t>Profit/Non-Profit Business Subtotal</w:t>
            </w:r>
          </w:p>
        </w:tc>
        <w:tc>
          <w:tcPr>
            <w:tcW w:w="2019" w:type="dxa"/>
            <w:tcBorders>
              <w:top w:val="single" w:sz="4" w:space="0" w:color="auto"/>
              <w:left w:val="nil"/>
              <w:bottom w:val="single" w:sz="4" w:space="0" w:color="auto"/>
              <w:right w:val="single" w:sz="4" w:space="0" w:color="auto"/>
            </w:tcBorders>
            <w:shd w:val="clear" w:color="000000" w:fill="D9D9D9"/>
            <w:vAlign w:val="bottom"/>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 </w:t>
            </w:r>
          </w:p>
        </w:tc>
        <w:tc>
          <w:tcPr>
            <w:tcW w:w="433"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 </w:t>
            </w:r>
          </w:p>
        </w:tc>
        <w:tc>
          <w:tcPr>
            <w:tcW w:w="611"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3,634</w:t>
            </w:r>
          </w:p>
        </w:tc>
        <w:tc>
          <w:tcPr>
            <w:tcW w:w="629"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2,914</w:t>
            </w:r>
          </w:p>
        </w:tc>
        <w:tc>
          <w:tcPr>
            <w:tcW w:w="609"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4</w:t>
            </w:r>
          </w:p>
        </w:tc>
        <w:tc>
          <w:tcPr>
            <w:tcW w:w="65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12244</w:t>
            </w:r>
          </w:p>
        </w:tc>
        <w:tc>
          <w:tcPr>
            <w:tcW w:w="719"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 </w:t>
            </w:r>
          </w:p>
        </w:tc>
        <w:tc>
          <w:tcPr>
            <w:tcW w:w="90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1018.2460</w:t>
            </w:r>
          </w:p>
        </w:tc>
        <w:tc>
          <w:tcPr>
            <w:tcW w:w="50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720</w:t>
            </w:r>
          </w:p>
        </w:tc>
        <w:tc>
          <w:tcPr>
            <w:tcW w:w="58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1.125</w:t>
            </w:r>
          </w:p>
        </w:tc>
        <w:tc>
          <w:tcPr>
            <w:tcW w:w="46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070ABE" w:rsidRDefault="00347788" w:rsidP="00347788">
            <w:pPr>
              <w:spacing w:line="240" w:lineRule="auto"/>
              <w:jc w:val="right"/>
              <w:rPr>
                <w:rFonts w:ascii="Calibri" w:hAnsi="Calibri"/>
                <w:b/>
                <w:bCs/>
                <w:sz w:val="14"/>
                <w:szCs w:val="14"/>
              </w:rPr>
            </w:pPr>
            <w:r w:rsidRPr="00070ABE">
              <w:rPr>
                <w:rFonts w:ascii="Calibri" w:hAnsi="Calibri"/>
                <w:b/>
                <w:bCs/>
                <w:sz w:val="14"/>
                <w:szCs w:val="14"/>
              </w:rPr>
              <w:t>810</w:t>
            </w:r>
          </w:p>
        </w:tc>
        <w:tc>
          <w:tcPr>
            <w:tcW w:w="539"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 </w:t>
            </w:r>
          </w:p>
        </w:tc>
        <w:tc>
          <w:tcPr>
            <w:tcW w:w="613"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121.74</w:t>
            </w:r>
          </w:p>
        </w:tc>
        <w:tc>
          <w:tcPr>
            <w:tcW w:w="90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1139.9890</w:t>
            </w:r>
          </w:p>
        </w:tc>
        <w:tc>
          <w:tcPr>
            <w:tcW w:w="690"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 </w:t>
            </w:r>
          </w:p>
        </w:tc>
        <w:tc>
          <w:tcPr>
            <w:tcW w:w="900"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26597.24</w:t>
            </w:r>
          </w:p>
        </w:tc>
      </w:tr>
      <w:tr w:rsidR="009E4325" w:rsidRPr="00347788" w:rsidTr="00685519">
        <w:trPr>
          <w:gridAfter w:val="4"/>
          <w:wAfter w:w="479" w:type="dxa"/>
          <w:trHeight w:val="210"/>
        </w:trPr>
        <w:tc>
          <w:tcPr>
            <w:tcW w:w="2355" w:type="dxa"/>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rsidR="00347788" w:rsidRPr="00347788" w:rsidRDefault="00347788" w:rsidP="00347788">
            <w:pPr>
              <w:spacing w:line="240" w:lineRule="auto"/>
              <w:rPr>
                <w:rFonts w:ascii="Calibri" w:hAnsi="Calibri"/>
                <w:b/>
                <w:bCs/>
                <w:sz w:val="14"/>
                <w:szCs w:val="14"/>
              </w:rPr>
            </w:pPr>
            <w:r w:rsidRPr="00347788">
              <w:rPr>
                <w:rFonts w:ascii="Calibri" w:hAnsi="Calibri"/>
                <w:b/>
                <w:bCs/>
                <w:sz w:val="14"/>
                <w:szCs w:val="14"/>
              </w:rPr>
              <w:t>GRAND TOTAL</w:t>
            </w:r>
          </w:p>
        </w:tc>
        <w:tc>
          <w:tcPr>
            <w:tcW w:w="2019" w:type="dxa"/>
            <w:tcBorders>
              <w:top w:val="single" w:sz="4" w:space="0" w:color="auto"/>
              <w:left w:val="nil"/>
              <w:bottom w:val="single" w:sz="4" w:space="0" w:color="auto"/>
              <w:right w:val="single" w:sz="4" w:space="0" w:color="auto"/>
            </w:tcBorders>
            <w:shd w:val="clear" w:color="000000" w:fill="D9D9D9"/>
            <w:vAlign w:val="bottom"/>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 </w:t>
            </w:r>
          </w:p>
        </w:tc>
        <w:tc>
          <w:tcPr>
            <w:tcW w:w="433"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center"/>
              <w:rPr>
                <w:rFonts w:ascii="Calibri" w:hAnsi="Calibri"/>
                <w:sz w:val="14"/>
                <w:szCs w:val="14"/>
              </w:rPr>
            </w:pPr>
            <w:r w:rsidRPr="00347788">
              <w:rPr>
                <w:rFonts w:ascii="Calibri" w:hAnsi="Calibri"/>
                <w:sz w:val="14"/>
                <w:szCs w:val="14"/>
              </w:rPr>
              <w:t> </w:t>
            </w:r>
          </w:p>
        </w:tc>
        <w:tc>
          <w:tcPr>
            <w:tcW w:w="611"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11,286</w:t>
            </w:r>
          </w:p>
        </w:tc>
        <w:tc>
          <w:tcPr>
            <w:tcW w:w="629"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9,807</w:t>
            </w:r>
          </w:p>
        </w:tc>
        <w:tc>
          <w:tcPr>
            <w:tcW w:w="609"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 </w:t>
            </w:r>
          </w:p>
        </w:tc>
        <w:tc>
          <w:tcPr>
            <w:tcW w:w="650"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 xml:space="preserve">   64,522 </w:t>
            </w:r>
          </w:p>
        </w:tc>
        <w:tc>
          <w:tcPr>
            <w:tcW w:w="719"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 </w:t>
            </w:r>
          </w:p>
        </w:tc>
        <w:tc>
          <w:tcPr>
            <w:tcW w:w="900"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4365.7817</w:t>
            </w:r>
          </w:p>
        </w:tc>
        <w:tc>
          <w:tcPr>
            <w:tcW w:w="500" w:type="dxa"/>
            <w:gridSpan w:val="2"/>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1479</w:t>
            </w:r>
          </w:p>
        </w:tc>
        <w:tc>
          <w:tcPr>
            <w:tcW w:w="580"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 </w:t>
            </w:r>
          </w:p>
        </w:tc>
        <w:tc>
          <w:tcPr>
            <w:tcW w:w="468" w:type="dxa"/>
            <w:gridSpan w:val="2"/>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935</w:t>
            </w:r>
          </w:p>
        </w:tc>
        <w:tc>
          <w:tcPr>
            <w:tcW w:w="539"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 </w:t>
            </w:r>
          </w:p>
        </w:tc>
        <w:tc>
          <w:tcPr>
            <w:tcW w:w="613"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134.45</w:t>
            </w:r>
          </w:p>
        </w:tc>
        <w:tc>
          <w:tcPr>
            <w:tcW w:w="900"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4500.2355</w:t>
            </w:r>
          </w:p>
        </w:tc>
        <w:tc>
          <w:tcPr>
            <w:tcW w:w="690"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 </w:t>
            </w:r>
          </w:p>
        </w:tc>
        <w:tc>
          <w:tcPr>
            <w:tcW w:w="900" w:type="dxa"/>
            <w:gridSpan w:val="3"/>
            <w:tcBorders>
              <w:top w:val="nil"/>
              <w:left w:val="nil"/>
              <w:bottom w:val="single" w:sz="4" w:space="0" w:color="auto"/>
              <w:right w:val="single" w:sz="4" w:space="0" w:color="auto"/>
            </w:tcBorders>
            <w:shd w:val="clear" w:color="000000" w:fill="D9D9D9"/>
            <w:vAlign w:val="center"/>
            <w:hideMark/>
          </w:tcPr>
          <w:p w:rsidR="00347788" w:rsidRPr="00347788" w:rsidRDefault="00347788" w:rsidP="00347788">
            <w:pPr>
              <w:spacing w:line="240" w:lineRule="auto"/>
              <w:jc w:val="right"/>
              <w:rPr>
                <w:rFonts w:ascii="Calibri" w:hAnsi="Calibri"/>
                <w:b/>
                <w:bCs/>
                <w:sz w:val="14"/>
                <w:szCs w:val="14"/>
              </w:rPr>
            </w:pPr>
            <w:r w:rsidRPr="00347788">
              <w:rPr>
                <w:rFonts w:ascii="Calibri" w:hAnsi="Calibri"/>
                <w:b/>
                <w:bCs/>
                <w:sz w:val="14"/>
                <w:szCs w:val="14"/>
              </w:rPr>
              <w:t>52703.76</w:t>
            </w:r>
          </w:p>
        </w:tc>
      </w:tr>
      <w:tr w:rsidR="0088142D" w:rsidRPr="00347788" w:rsidTr="007E0AC6">
        <w:trPr>
          <w:gridAfter w:val="2"/>
          <w:wAfter w:w="236" w:type="dxa"/>
          <w:trHeight w:val="204"/>
        </w:trPr>
        <w:tc>
          <w:tcPr>
            <w:tcW w:w="1432"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923" w:type="dxa"/>
            <w:tcBorders>
              <w:top w:val="nil"/>
              <w:left w:val="nil"/>
              <w:bottom w:val="nil"/>
              <w:right w:val="nil"/>
            </w:tcBorders>
            <w:shd w:val="clear" w:color="auto" w:fill="auto"/>
            <w:noWrap/>
            <w:vAlign w:val="bottom"/>
            <w:hideMark/>
          </w:tcPr>
          <w:p w:rsidR="00347788" w:rsidRPr="00347788" w:rsidRDefault="00347788" w:rsidP="00347788">
            <w:pPr>
              <w:spacing w:line="240" w:lineRule="auto"/>
              <w:jc w:val="center"/>
              <w:rPr>
                <w:rFonts w:ascii="Calibri" w:hAnsi="Calibri"/>
                <w:sz w:val="16"/>
                <w:szCs w:val="16"/>
              </w:rPr>
            </w:pPr>
          </w:p>
        </w:tc>
        <w:tc>
          <w:tcPr>
            <w:tcW w:w="2019" w:type="dxa"/>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433"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jc w:val="center"/>
              <w:rPr>
                <w:rFonts w:ascii="Calibri" w:hAnsi="Calibri"/>
                <w:sz w:val="16"/>
                <w:szCs w:val="16"/>
              </w:rPr>
            </w:pPr>
          </w:p>
        </w:tc>
        <w:tc>
          <w:tcPr>
            <w:tcW w:w="611"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jc w:val="right"/>
              <w:rPr>
                <w:rFonts w:ascii="Calibri" w:hAnsi="Calibri"/>
                <w:sz w:val="16"/>
                <w:szCs w:val="16"/>
              </w:rPr>
            </w:pPr>
          </w:p>
        </w:tc>
        <w:tc>
          <w:tcPr>
            <w:tcW w:w="62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60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650"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900"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4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468"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3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613"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900"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68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90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88142D" w:rsidRPr="00347788" w:rsidTr="007E0AC6">
        <w:trPr>
          <w:gridAfter w:val="1"/>
          <w:wAfter w:w="122" w:type="dxa"/>
          <w:trHeight w:val="204"/>
        </w:trPr>
        <w:tc>
          <w:tcPr>
            <w:tcW w:w="8731" w:type="dxa"/>
            <w:gridSpan w:val="2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 xml:space="preserve">(a) Assume 90 percent of sampled participants will read the invitation letter - 5 percent postal </w:t>
            </w:r>
            <w:proofErr w:type="spellStart"/>
            <w:r w:rsidRPr="00347788">
              <w:rPr>
                <w:rFonts w:ascii="Calibri" w:hAnsi="Calibri"/>
                <w:sz w:val="16"/>
                <w:szCs w:val="16"/>
              </w:rPr>
              <w:t>nondeliverables</w:t>
            </w:r>
            <w:proofErr w:type="spellEnd"/>
            <w:r w:rsidRPr="00347788">
              <w:rPr>
                <w:rFonts w:ascii="Calibri" w:hAnsi="Calibri"/>
                <w:sz w:val="16"/>
                <w:szCs w:val="16"/>
              </w:rPr>
              <w:t xml:space="preserve"> and 5 percent not read</w:t>
            </w:r>
          </w:p>
        </w:tc>
        <w:tc>
          <w:tcPr>
            <w:tcW w:w="1002" w:type="dxa"/>
            <w:gridSpan w:val="5"/>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0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37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02"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2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6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88142D" w:rsidRPr="00347788" w:rsidTr="007E0AC6">
        <w:trPr>
          <w:gridAfter w:val="1"/>
          <w:wAfter w:w="122" w:type="dxa"/>
          <w:trHeight w:val="204"/>
        </w:trPr>
        <w:tc>
          <w:tcPr>
            <w:tcW w:w="4643" w:type="dxa"/>
            <w:gridSpan w:val="6"/>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(b) Assume 60 percent of sampled participants will receive a reminder postcard</w:t>
            </w:r>
          </w:p>
        </w:tc>
        <w:tc>
          <w:tcPr>
            <w:tcW w:w="6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jc w:val="center"/>
              <w:rPr>
                <w:rFonts w:ascii="Calibri" w:hAnsi="Calibri"/>
                <w:sz w:val="16"/>
                <w:szCs w:val="16"/>
              </w:rPr>
            </w:pPr>
          </w:p>
        </w:tc>
        <w:tc>
          <w:tcPr>
            <w:tcW w:w="62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46"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3"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94"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02" w:type="dxa"/>
            <w:gridSpan w:val="5"/>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0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37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02"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2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6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A1019E" w:rsidRPr="00347788" w:rsidTr="007E0AC6">
        <w:trPr>
          <w:gridAfter w:val="1"/>
          <w:wAfter w:w="122" w:type="dxa"/>
          <w:trHeight w:val="204"/>
        </w:trPr>
        <w:tc>
          <w:tcPr>
            <w:tcW w:w="10241" w:type="dxa"/>
            <w:gridSpan w:val="31"/>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(c) Assume 15 percent of participants who read the invitation letter will complete the pre survey by web and 18 percent will complete the post survey by web</w:t>
            </w:r>
          </w:p>
        </w:tc>
        <w:tc>
          <w:tcPr>
            <w:tcW w:w="37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02"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2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6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88142D" w:rsidRPr="00347788" w:rsidTr="007E0AC6">
        <w:trPr>
          <w:gridAfter w:val="1"/>
          <w:wAfter w:w="122" w:type="dxa"/>
          <w:trHeight w:val="204"/>
        </w:trPr>
        <w:tc>
          <w:tcPr>
            <w:tcW w:w="9733" w:type="dxa"/>
            <w:gridSpan w:val="29"/>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 xml:space="preserve">(d) Reminder letters will be sent to all non-respondents; assume 90 percent will read the letter - 5 percent postal </w:t>
            </w:r>
            <w:proofErr w:type="spellStart"/>
            <w:r w:rsidRPr="00347788">
              <w:rPr>
                <w:rFonts w:ascii="Calibri" w:hAnsi="Calibri"/>
                <w:sz w:val="16"/>
                <w:szCs w:val="16"/>
              </w:rPr>
              <w:t>nondeliverables</w:t>
            </w:r>
            <w:proofErr w:type="spellEnd"/>
            <w:r w:rsidRPr="00347788">
              <w:rPr>
                <w:rFonts w:ascii="Calibri" w:hAnsi="Calibri"/>
                <w:sz w:val="16"/>
                <w:szCs w:val="16"/>
              </w:rPr>
              <w:t xml:space="preserve"> and 5 percent not read</w:t>
            </w:r>
          </w:p>
        </w:tc>
        <w:tc>
          <w:tcPr>
            <w:tcW w:w="50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37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02"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2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6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88142D" w:rsidRPr="00347788" w:rsidTr="007E0AC6">
        <w:trPr>
          <w:gridAfter w:val="1"/>
          <w:wAfter w:w="122" w:type="dxa"/>
          <w:trHeight w:val="204"/>
        </w:trPr>
        <w:tc>
          <w:tcPr>
            <w:tcW w:w="5959" w:type="dxa"/>
            <w:gridSpan w:val="1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 xml:space="preserve">(e) Assume 35 percent of those who read the first reminder letter will complete the </w:t>
            </w:r>
            <w:proofErr w:type="spellStart"/>
            <w:r w:rsidRPr="00347788">
              <w:rPr>
                <w:rFonts w:ascii="Calibri" w:hAnsi="Calibri"/>
                <w:sz w:val="16"/>
                <w:szCs w:val="16"/>
              </w:rPr>
              <w:t>teleform</w:t>
            </w:r>
            <w:proofErr w:type="spellEnd"/>
            <w:r w:rsidRPr="00347788">
              <w:rPr>
                <w:rFonts w:ascii="Calibri" w:hAnsi="Calibri"/>
                <w:sz w:val="16"/>
                <w:szCs w:val="16"/>
              </w:rPr>
              <w:t xml:space="preserve"> survey</w:t>
            </w:r>
          </w:p>
        </w:tc>
        <w:tc>
          <w:tcPr>
            <w:tcW w:w="546"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3"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94"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02" w:type="dxa"/>
            <w:gridSpan w:val="5"/>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0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37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02"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2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6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88142D" w:rsidRPr="00347788" w:rsidTr="007E0AC6">
        <w:trPr>
          <w:gridAfter w:val="1"/>
          <w:wAfter w:w="122" w:type="dxa"/>
          <w:trHeight w:val="204"/>
        </w:trPr>
        <w:tc>
          <w:tcPr>
            <w:tcW w:w="6505" w:type="dxa"/>
            <w:gridSpan w:val="15"/>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color w:val="000000"/>
                <w:sz w:val="16"/>
                <w:szCs w:val="16"/>
              </w:rPr>
            </w:pPr>
            <w:r w:rsidRPr="00347788">
              <w:rPr>
                <w:rFonts w:ascii="Calibri" w:hAnsi="Calibri"/>
                <w:color w:val="000000"/>
                <w:sz w:val="16"/>
                <w:szCs w:val="16"/>
              </w:rPr>
              <w:t xml:space="preserve">(f) Assume 25 percent of those who read the second reminder letter will complete the </w:t>
            </w:r>
            <w:proofErr w:type="spellStart"/>
            <w:r w:rsidRPr="00347788">
              <w:rPr>
                <w:rFonts w:ascii="Calibri" w:hAnsi="Calibri"/>
                <w:color w:val="000000"/>
                <w:sz w:val="16"/>
                <w:szCs w:val="16"/>
              </w:rPr>
              <w:t>teleform</w:t>
            </w:r>
            <w:proofErr w:type="spellEnd"/>
            <w:r w:rsidRPr="00347788">
              <w:rPr>
                <w:rFonts w:ascii="Calibri" w:hAnsi="Calibri"/>
                <w:color w:val="000000"/>
                <w:sz w:val="16"/>
                <w:szCs w:val="16"/>
              </w:rPr>
              <w:t xml:space="preserve"> survey</w:t>
            </w:r>
          </w:p>
        </w:tc>
        <w:tc>
          <w:tcPr>
            <w:tcW w:w="713"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94"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02" w:type="dxa"/>
            <w:gridSpan w:val="5"/>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0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37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02"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2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6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88142D" w:rsidRPr="00347788" w:rsidTr="007E0AC6">
        <w:trPr>
          <w:gridAfter w:val="1"/>
          <w:wAfter w:w="122" w:type="dxa"/>
          <w:trHeight w:val="204"/>
        </w:trPr>
        <w:tc>
          <w:tcPr>
            <w:tcW w:w="9733" w:type="dxa"/>
            <w:gridSpan w:val="29"/>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 xml:space="preserve">(g) Assume Non-respondents will be contacted by phone to achieve the targeted number of completes; assume 7 percent will complete the survey by phone </w:t>
            </w:r>
          </w:p>
        </w:tc>
        <w:tc>
          <w:tcPr>
            <w:tcW w:w="50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37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02"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2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6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A1019E" w:rsidRPr="00347788" w:rsidTr="007E0AC6">
        <w:trPr>
          <w:gridAfter w:val="1"/>
          <w:wAfter w:w="122" w:type="dxa"/>
          <w:trHeight w:val="204"/>
        </w:trPr>
        <w:tc>
          <w:tcPr>
            <w:tcW w:w="11206" w:type="dxa"/>
            <w:gridSpan w:val="36"/>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(h) Non-respondents will be contacted by phone to achieve the targeted number of completes; messages will be left on voicemail for 60 percent with working phone numbers and voicemails</w:t>
            </w:r>
          </w:p>
        </w:tc>
        <w:tc>
          <w:tcPr>
            <w:tcW w:w="702"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2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6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88142D" w:rsidRPr="00347788" w:rsidTr="007E0AC6">
        <w:trPr>
          <w:trHeight w:val="204"/>
        </w:trPr>
        <w:tc>
          <w:tcPr>
            <w:tcW w:w="4374"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w:t>
            </w:r>
            <w:proofErr w:type="spellStart"/>
            <w:r w:rsidRPr="00347788">
              <w:rPr>
                <w:rFonts w:ascii="Calibri" w:hAnsi="Calibri"/>
                <w:sz w:val="16"/>
                <w:szCs w:val="16"/>
              </w:rPr>
              <w:t>i</w:t>
            </w:r>
            <w:proofErr w:type="spellEnd"/>
            <w:r w:rsidRPr="00347788">
              <w:rPr>
                <w:rFonts w:ascii="Calibri" w:hAnsi="Calibri"/>
                <w:sz w:val="16"/>
                <w:szCs w:val="16"/>
              </w:rPr>
              <w:t>) Thank you letters will be read by all respondents</w:t>
            </w:r>
          </w:p>
        </w:tc>
        <w:tc>
          <w:tcPr>
            <w:tcW w:w="236" w:type="dxa"/>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433"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jc w:val="center"/>
              <w:rPr>
                <w:rFonts w:ascii="Calibri" w:hAnsi="Calibri"/>
                <w:sz w:val="16"/>
                <w:szCs w:val="16"/>
              </w:rPr>
            </w:pPr>
          </w:p>
        </w:tc>
        <w:tc>
          <w:tcPr>
            <w:tcW w:w="611"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62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60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650"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900"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4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468"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3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613"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900"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68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90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vAlign w:val="center"/>
            <w:hideMark/>
          </w:tcPr>
          <w:p w:rsidR="00347788" w:rsidRPr="00347788" w:rsidRDefault="00347788" w:rsidP="00347788">
            <w:pPr>
              <w:spacing w:line="240" w:lineRule="auto"/>
              <w:rPr>
                <w:rFonts w:ascii="Times New Roman" w:hAnsi="Times New Roman"/>
                <w:sz w:val="20"/>
              </w:rPr>
            </w:pPr>
          </w:p>
        </w:tc>
      </w:tr>
      <w:tr w:rsidR="0088142D" w:rsidRPr="00347788" w:rsidTr="007E0AC6">
        <w:trPr>
          <w:gridAfter w:val="1"/>
          <w:wAfter w:w="122" w:type="dxa"/>
          <w:trHeight w:val="204"/>
        </w:trPr>
        <w:tc>
          <w:tcPr>
            <w:tcW w:w="7937" w:type="dxa"/>
            <w:gridSpan w:val="21"/>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(j) Post-SPS invitation letters will be mailed to all those who completed the pre-SPS; 90 percent will read the invitation letter</w:t>
            </w:r>
          </w:p>
        </w:tc>
        <w:tc>
          <w:tcPr>
            <w:tcW w:w="794"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02" w:type="dxa"/>
            <w:gridSpan w:val="5"/>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0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37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02"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2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6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88142D" w:rsidRPr="00347788" w:rsidTr="007E0AC6">
        <w:trPr>
          <w:gridAfter w:val="1"/>
          <w:wAfter w:w="122" w:type="dxa"/>
          <w:trHeight w:val="204"/>
        </w:trPr>
        <w:tc>
          <w:tcPr>
            <w:tcW w:w="5959" w:type="dxa"/>
            <w:gridSpan w:val="1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(k) Assume all SNAP participants will read the KII invitation letter and KII Confirmation Letter</w:t>
            </w:r>
          </w:p>
        </w:tc>
        <w:tc>
          <w:tcPr>
            <w:tcW w:w="546"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3"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94"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02" w:type="dxa"/>
            <w:gridSpan w:val="5"/>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0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37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02"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2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6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88142D" w:rsidRPr="00347788" w:rsidTr="007E0AC6">
        <w:trPr>
          <w:gridAfter w:val="1"/>
          <w:wAfter w:w="122" w:type="dxa"/>
          <w:trHeight w:val="204"/>
        </w:trPr>
        <w:tc>
          <w:tcPr>
            <w:tcW w:w="4643" w:type="dxa"/>
            <w:gridSpan w:val="6"/>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(l) Assume 85 percent of those contacted by phone will be scheduled for KII</w:t>
            </w:r>
          </w:p>
        </w:tc>
        <w:tc>
          <w:tcPr>
            <w:tcW w:w="6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jc w:val="center"/>
              <w:rPr>
                <w:rFonts w:ascii="Calibri" w:hAnsi="Calibri"/>
                <w:sz w:val="16"/>
                <w:szCs w:val="16"/>
              </w:rPr>
            </w:pPr>
          </w:p>
        </w:tc>
        <w:tc>
          <w:tcPr>
            <w:tcW w:w="62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46"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3"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94"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02" w:type="dxa"/>
            <w:gridSpan w:val="5"/>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0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37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02"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2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6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88142D" w:rsidRPr="00347788" w:rsidTr="007E0AC6">
        <w:trPr>
          <w:gridAfter w:val="1"/>
          <w:wAfter w:w="122" w:type="dxa"/>
          <w:trHeight w:val="204"/>
        </w:trPr>
        <w:tc>
          <w:tcPr>
            <w:tcW w:w="4643" w:type="dxa"/>
            <w:gridSpan w:val="6"/>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(m) Assume 80 percent of those who are scheduled for KII will participate in KII</w:t>
            </w:r>
          </w:p>
        </w:tc>
        <w:tc>
          <w:tcPr>
            <w:tcW w:w="6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jc w:val="center"/>
              <w:rPr>
                <w:rFonts w:ascii="Calibri" w:hAnsi="Calibri"/>
                <w:sz w:val="16"/>
                <w:szCs w:val="16"/>
              </w:rPr>
            </w:pPr>
          </w:p>
        </w:tc>
        <w:tc>
          <w:tcPr>
            <w:tcW w:w="62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46"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3"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94"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02" w:type="dxa"/>
            <w:gridSpan w:val="5"/>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0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37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02"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2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6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88142D" w:rsidRPr="00347788" w:rsidTr="007E0AC6">
        <w:trPr>
          <w:gridAfter w:val="1"/>
          <w:wAfter w:w="122" w:type="dxa"/>
          <w:trHeight w:val="204"/>
        </w:trPr>
        <w:tc>
          <w:tcPr>
            <w:tcW w:w="4643" w:type="dxa"/>
            <w:gridSpan w:val="6"/>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(n) Assume all grantees will be contacted to schedule KII</w:t>
            </w:r>
          </w:p>
        </w:tc>
        <w:tc>
          <w:tcPr>
            <w:tcW w:w="6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jc w:val="center"/>
              <w:rPr>
                <w:rFonts w:ascii="Calibri" w:hAnsi="Calibri"/>
                <w:sz w:val="16"/>
                <w:szCs w:val="16"/>
              </w:rPr>
            </w:pPr>
          </w:p>
        </w:tc>
        <w:tc>
          <w:tcPr>
            <w:tcW w:w="62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46"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3"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94"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02" w:type="dxa"/>
            <w:gridSpan w:val="5"/>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0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37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02"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2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6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88142D" w:rsidRPr="00347788" w:rsidTr="007E0AC6">
        <w:trPr>
          <w:trHeight w:val="204"/>
        </w:trPr>
        <w:tc>
          <w:tcPr>
            <w:tcW w:w="4374"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(o) Assume all grantees will participate in KII</w:t>
            </w:r>
          </w:p>
        </w:tc>
        <w:tc>
          <w:tcPr>
            <w:tcW w:w="236" w:type="dxa"/>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433"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jc w:val="center"/>
              <w:rPr>
                <w:rFonts w:ascii="Calibri" w:hAnsi="Calibri"/>
                <w:sz w:val="16"/>
                <w:szCs w:val="16"/>
              </w:rPr>
            </w:pPr>
          </w:p>
        </w:tc>
        <w:tc>
          <w:tcPr>
            <w:tcW w:w="611"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62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60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650"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900"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4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468"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3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613"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900"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68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90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vAlign w:val="center"/>
            <w:hideMark/>
          </w:tcPr>
          <w:p w:rsidR="00347788" w:rsidRPr="00347788" w:rsidRDefault="00347788" w:rsidP="00347788">
            <w:pPr>
              <w:spacing w:line="240" w:lineRule="auto"/>
              <w:rPr>
                <w:rFonts w:ascii="Times New Roman" w:hAnsi="Times New Roman"/>
                <w:sz w:val="20"/>
              </w:rPr>
            </w:pPr>
          </w:p>
        </w:tc>
      </w:tr>
      <w:tr w:rsidR="0088142D" w:rsidRPr="00347788" w:rsidTr="007E0AC6">
        <w:trPr>
          <w:gridAfter w:val="1"/>
          <w:wAfter w:w="122" w:type="dxa"/>
          <w:trHeight w:val="204"/>
        </w:trPr>
        <w:tc>
          <w:tcPr>
            <w:tcW w:w="4643" w:type="dxa"/>
            <w:gridSpan w:val="6"/>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(p) Assume all grantees will read the  program data form request email</w:t>
            </w:r>
          </w:p>
        </w:tc>
        <w:tc>
          <w:tcPr>
            <w:tcW w:w="6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jc w:val="center"/>
              <w:rPr>
                <w:rFonts w:ascii="Calibri" w:hAnsi="Calibri"/>
                <w:sz w:val="16"/>
                <w:szCs w:val="16"/>
              </w:rPr>
            </w:pPr>
          </w:p>
        </w:tc>
        <w:tc>
          <w:tcPr>
            <w:tcW w:w="62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46"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3"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94"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02" w:type="dxa"/>
            <w:gridSpan w:val="5"/>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0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37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02"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2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6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A1019E" w:rsidRPr="00347788" w:rsidTr="007E0AC6">
        <w:trPr>
          <w:gridAfter w:val="1"/>
          <w:wAfter w:w="122" w:type="dxa"/>
          <w:trHeight w:val="204"/>
        </w:trPr>
        <w:tc>
          <w:tcPr>
            <w:tcW w:w="14236" w:type="dxa"/>
            <w:gridSpan w:val="48"/>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 xml:space="preserve">(q) Assume all grantees will complete the program data forms. If grantees request to submit more than one </w:t>
            </w:r>
            <w:proofErr w:type="spellStart"/>
            <w:r w:rsidRPr="00347788">
              <w:rPr>
                <w:rFonts w:ascii="Calibri" w:hAnsi="Calibri"/>
                <w:sz w:val="16"/>
                <w:szCs w:val="16"/>
              </w:rPr>
              <w:t>respose</w:t>
            </w:r>
            <w:proofErr w:type="spellEnd"/>
            <w:r w:rsidRPr="00347788">
              <w:rPr>
                <w:rFonts w:ascii="Calibri" w:hAnsi="Calibri"/>
                <w:sz w:val="16"/>
                <w:szCs w:val="16"/>
              </w:rPr>
              <w:t xml:space="preserve"> on the annual form to </w:t>
            </w:r>
            <w:proofErr w:type="spellStart"/>
            <w:r w:rsidRPr="00347788">
              <w:rPr>
                <w:rFonts w:ascii="Calibri" w:hAnsi="Calibri"/>
                <w:sz w:val="16"/>
                <w:szCs w:val="16"/>
              </w:rPr>
              <w:t>accomdate</w:t>
            </w:r>
            <w:proofErr w:type="spellEnd"/>
            <w:r w:rsidRPr="00347788">
              <w:rPr>
                <w:rFonts w:ascii="Calibri" w:hAnsi="Calibri"/>
                <w:sz w:val="16"/>
                <w:szCs w:val="16"/>
              </w:rPr>
              <w:t xml:space="preserve"> </w:t>
            </w:r>
            <w:proofErr w:type="spellStart"/>
            <w:r w:rsidRPr="00347788">
              <w:rPr>
                <w:rFonts w:ascii="Calibri" w:hAnsi="Calibri"/>
                <w:sz w:val="16"/>
                <w:szCs w:val="16"/>
              </w:rPr>
              <w:t>subawardees</w:t>
            </w:r>
            <w:proofErr w:type="spellEnd"/>
            <w:r w:rsidRPr="00347788">
              <w:rPr>
                <w:rFonts w:ascii="Calibri" w:hAnsi="Calibri"/>
                <w:sz w:val="16"/>
                <w:szCs w:val="16"/>
              </w:rPr>
              <w:t xml:space="preserve"> or partner organizations, the agency will work with them on an individual basis.</w:t>
            </w: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88142D" w:rsidRPr="00347788" w:rsidTr="007E0AC6">
        <w:trPr>
          <w:gridAfter w:val="1"/>
          <w:wAfter w:w="122" w:type="dxa"/>
          <w:trHeight w:val="204"/>
        </w:trPr>
        <w:tc>
          <w:tcPr>
            <w:tcW w:w="4643" w:type="dxa"/>
            <w:gridSpan w:val="6"/>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(r) Assume all outlet operators will read the invitation letter</w:t>
            </w:r>
          </w:p>
        </w:tc>
        <w:tc>
          <w:tcPr>
            <w:tcW w:w="6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jc w:val="center"/>
              <w:rPr>
                <w:rFonts w:ascii="Calibri" w:hAnsi="Calibri"/>
                <w:sz w:val="16"/>
                <w:szCs w:val="16"/>
              </w:rPr>
            </w:pPr>
          </w:p>
        </w:tc>
        <w:tc>
          <w:tcPr>
            <w:tcW w:w="62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46"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3"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94"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02" w:type="dxa"/>
            <w:gridSpan w:val="5"/>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0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37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02"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2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6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88142D" w:rsidRPr="00347788" w:rsidTr="007E0AC6">
        <w:trPr>
          <w:gridAfter w:val="1"/>
          <w:wAfter w:w="122" w:type="dxa"/>
          <w:trHeight w:val="204"/>
        </w:trPr>
        <w:tc>
          <w:tcPr>
            <w:tcW w:w="6505" w:type="dxa"/>
            <w:gridSpan w:val="15"/>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(s) Assume 50 percent of outlet operators will need a reminder letter and 95 percent of these will read it</w:t>
            </w:r>
          </w:p>
        </w:tc>
        <w:tc>
          <w:tcPr>
            <w:tcW w:w="713"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94"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02" w:type="dxa"/>
            <w:gridSpan w:val="5"/>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0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37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02"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2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6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r w:rsidR="0088142D" w:rsidRPr="00347788" w:rsidTr="007E0AC6">
        <w:trPr>
          <w:gridAfter w:val="1"/>
          <w:wAfter w:w="122" w:type="dxa"/>
          <w:trHeight w:val="204"/>
        </w:trPr>
        <w:tc>
          <w:tcPr>
            <w:tcW w:w="4643" w:type="dxa"/>
            <w:gridSpan w:val="6"/>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r w:rsidRPr="00347788">
              <w:rPr>
                <w:rFonts w:ascii="Calibri" w:hAnsi="Calibri"/>
                <w:sz w:val="16"/>
                <w:szCs w:val="16"/>
              </w:rPr>
              <w:t>(t) Assume 80 percent of outlet operators will complete the outlet survey</w:t>
            </w:r>
          </w:p>
        </w:tc>
        <w:tc>
          <w:tcPr>
            <w:tcW w:w="6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jc w:val="center"/>
              <w:rPr>
                <w:rFonts w:ascii="Calibri" w:hAnsi="Calibri"/>
                <w:sz w:val="16"/>
                <w:szCs w:val="16"/>
              </w:rPr>
            </w:pPr>
          </w:p>
        </w:tc>
        <w:tc>
          <w:tcPr>
            <w:tcW w:w="62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46"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3"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19"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94"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02" w:type="dxa"/>
            <w:gridSpan w:val="5"/>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0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378"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87" w:type="dxa"/>
            <w:gridSpan w:val="3"/>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02"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731"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1028" w:type="dxa"/>
            <w:gridSpan w:val="4"/>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569"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c>
          <w:tcPr>
            <w:tcW w:w="236" w:type="dxa"/>
            <w:gridSpan w:val="2"/>
            <w:tcBorders>
              <w:top w:val="nil"/>
              <w:left w:val="nil"/>
              <w:bottom w:val="nil"/>
              <w:right w:val="nil"/>
            </w:tcBorders>
            <w:shd w:val="clear" w:color="auto" w:fill="auto"/>
            <w:noWrap/>
            <w:vAlign w:val="bottom"/>
            <w:hideMark/>
          </w:tcPr>
          <w:p w:rsidR="00347788" w:rsidRPr="00347788" w:rsidRDefault="00347788" w:rsidP="00347788">
            <w:pPr>
              <w:spacing w:line="240" w:lineRule="auto"/>
              <w:rPr>
                <w:rFonts w:ascii="Calibri" w:hAnsi="Calibri"/>
                <w:sz w:val="16"/>
                <w:szCs w:val="16"/>
              </w:rPr>
            </w:pPr>
          </w:p>
        </w:tc>
      </w:tr>
    </w:tbl>
    <w:p w:rsidR="00101B2F" w:rsidRDefault="00101B2F" w:rsidP="00AD5C8A">
      <w:pPr>
        <w:pStyle w:val="TT-TableTitle"/>
      </w:pPr>
    </w:p>
    <w:p w:rsidR="00541C40" w:rsidRPr="002537D0" w:rsidRDefault="002A1619" w:rsidP="000A5D1B">
      <w:pPr>
        <w:pStyle w:val="TF-TblFN"/>
        <w:tabs>
          <w:tab w:val="clear" w:pos="120"/>
          <w:tab w:val="left" w:pos="270"/>
        </w:tabs>
        <w:ind w:left="270" w:hanging="270"/>
        <w:rPr>
          <w:szCs w:val="12"/>
        </w:rPr>
      </w:pPr>
      <w:bookmarkStart w:id="104" w:name="_Toc286158963"/>
      <w:bookmarkStart w:id="105" w:name="_Toc286160555"/>
      <w:bookmarkStart w:id="106" w:name="_Toc290021772"/>
      <w:bookmarkStart w:id="107" w:name="_Toc329675325"/>
      <w:bookmarkStart w:id="108" w:name="_Toc329675914"/>
      <w:bookmarkEnd w:id="102"/>
      <w:r w:rsidRPr="002537D0">
        <w:rPr>
          <w:szCs w:val="12"/>
        </w:rPr>
        <w:t xml:space="preserve"> </w:t>
      </w:r>
      <w:r w:rsidR="00541C40" w:rsidRPr="002537D0">
        <w:rPr>
          <w:szCs w:val="12"/>
        </w:rPr>
        <w:t>(a) Assume 90</w:t>
      </w:r>
      <w:r w:rsidR="003A5B7B" w:rsidRPr="002537D0">
        <w:rPr>
          <w:szCs w:val="12"/>
        </w:rPr>
        <w:t xml:space="preserve"> percent</w:t>
      </w:r>
      <w:r w:rsidR="00541C40" w:rsidRPr="002537D0">
        <w:rPr>
          <w:szCs w:val="12"/>
        </w:rPr>
        <w:t xml:space="preserve"> of sampled participants will read the invitation letter – 5</w:t>
      </w:r>
      <w:r w:rsidR="003A5B7B" w:rsidRPr="002537D0">
        <w:rPr>
          <w:szCs w:val="12"/>
        </w:rPr>
        <w:t xml:space="preserve"> percent</w:t>
      </w:r>
      <w:r w:rsidR="00541C40" w:rsidRPr="002537D0">
        <w:rPr>
          <w:szCs w:val="12"/>
        </w:rPr>
        <w:t xml:space="preserve"> postal </w:t>
      </w:r>
      <w:proofErr w:type="spellStart"/>
      <w:r w:rsidR="00541C40" w:rsidRPr="002537D0">
        <w:rPr>
          <w:szCs w:val="12"/>
        </w:rPr>
        <w:t>nondeliverables</w:t>
      </w:r>
      <w:proofErr w:type="spellEnd"/>
      <w:r w:rsidR="00541C40" w:rsidRPr="002537D0">
        <w:rPr>
          <w:szCs w:val="12"/>
        </w:rPr>
        <w:t xml:space="preserve"> and 5</w:t>
      </w:r>
      <w:r w:rsidR="003A5B7B" w:rsidRPr="002537D0">
        <w:rPr>
          <w:szCs w:val="12"/>
        </w:rPr>
        <w:t xml:space="preserve"> percent</w:t>
      </w:r>
      <w:r w:rsidR="00541C40" w:rsidRPr="002537D0">
        <w:rPr>
          <w:szCs w:val="12"/>
        </w:rPr>
        <w:t xml:space="preserve"> not read.</w:t>
      </w:r>
    </w:p>
    <w:p w:rsidR="00541C40" w:rsidRPr="002537D0" w:rsidRDefault="00541C40" w:rsidP="000A5D1B">
      <w:pPr>
        <w:pStyle w:val="TF-TblFN"/>
        <w:tabs>
          <w:tab w:val="clear" w:pos="120"/>
          <w:tab w:val="left" w:pos="270"/>
        </w:tabs>
        <w:ind w:left="270" w:hanging="270"/>
        <w:rPr>
          <w:szCs w:val="12"/>
        </w:rPr>
      </w:pPr>
      <w:r w:rsidRPr="002537D0">
        <w:rPr>
          <w:szCs w:val="12"/>
        </w:rPr>
        <w:t>(b) Assume 60</w:t>
      </w:r>
      <w:r w:rsidR="003A5B7B" w:rsidRPr="002537D0">
        <w:rPr>
          <w:szCs w:val="12"/>
        </w:rPr>
        <w:t xml:space="preserve"> percent</w:t>
      </w:r>
      <w:r w:rsidRPr="002537D0">
        <w:rPr>
          <w:szCs w:val="12"/>
        </w:rPr>
        <w:t xml:space="preserve"> of sampled </w:t>
      </w:r>
      <w:r w:rsidR="0037532E" w:rsidRPr="002537D0">
        <w:rPr>
          <w:szCs w:val="12"/>
        </w:rPr>
        <w:t>participants will</w:t>
      </w:r>
      <w:r w:rsidRPr="002537D0">
        <w:rPr>
          <w:szCs w:val="12"/>
        </w:rPr>
        <w:t xml:space="preserve"> receive </w:t>
      </w:r>
      <w:r w:rsidR="00ED4CAF" w:rsidRPr="002537D0">
        <w:rPr>
          <w:szCs w:val="12"/>
        </w:rPr>
        <w:t>a reminder postcard</w:t>
      </w:r>
      <w:r w:rsidRPr="002537D0">
        <w:rPr>
          <w:szCs w:val="12"/>
        </w:rPr>
        <w:t>.</w:t>
      </w:r>
    </w:p>
    <w:p w:rsidR="00541C40" w:rsidRPr="002537D0" w:rsidRDefault="00541C40" w:rsidP="000A5D1B">
      <w:pPr>
        <w:pStyle w:val="TF-TblFN"/>
        <w:tabs>
          <w:tab w:val="clear" w:pos="120"/>
          <w:tab w:val="left" w:pos="270"/>
        </w:tabs>
        <w:ind w:left="270" w:hanging="270"/>
        <w:rPr>
          <w:szCs w:val="12"/>
        </w:rPr>
      </w:pPr>
      <w:r w:rsidRPr="002537D0">
        <w:rPr>
          <w:szCs w:val="12"/>
        </w:rPr>
        <w:t>(c) Assume 15</w:t>
      </w:r>
      <w:r w:rsidR="003A5B7B" w:rsidRPr="002537D0">
        <w:rPr>
          <w:szCs w:val="12"/>
        </w:rPr>
        <w:t xml:space="preserve"> percent</w:t>
      </w:r>
      <w:r w:rsidRPr="002537D0">
        <w:rPr>
          <w:szCs w:val="12"/>
        </w:rPr>
        <w:t xml:space="preserve"> of participants who read the invitation letter will complete the pre survey by web and 18</w:t>
      </w:r>
      <w:r w:rsidR="003A5B7B" w:rsidRPr="002537D0">
        <w:rPr>
          <w:szCs w:val="12"/>
        </w:rPr>
        <w:t xml:space="preserve"> percent</w:t>
      </w:r>
      <w:r w:rsidRPr="002537D0">
        <w:rPr>
          <w:szCs w:val="12"/>
        </w:rPr>
        <w:t xml:space="preserve"> will complete the post survey by web.</w:t>
      </w:r>
    </w:p>
    <w:p w:rsidR="00541C40" w:rsidRPr="002537D0" w:rsidRDefault="00541C40" w:rsidP="000A5D1B">
      <w:pPr>
        <w:pStyle w:val="TF-TblFN"/>
        <w:tabs>
          <w:tab w:val="clear" w:pos="120"/>
          <w:tab w:val="left" w:pos="270"/>
        </w:tabs>
        <w:ind w:left="270" w:hanging="270"/>
        <w:rPr>
          <w:szCs w:val="12"/>
        </w:rPr>
      </w:pPr>
      <w:r w:rsidRPr="002537D0">
        <w:rPr>
          <w:szCs w:val="12"/>
        </w:rPr>
        <w:t>(d) Reminder letters will be sent to all non-respondents; assume 90</w:t>
      </w:r>
      <w:r w:rsidR="00B07318" w:rsidRPr="002537D0">
        <w:rPr>
          <w:szCs w:val="12"/>
        </w:rPr>
        <w:t xml:space="preserve"> percent</w:t>
      </w:r>
      <w:r w:rsidRPr="002537D0">
        <w:rPr>
          <w:szCs w:val="12"/>
        </w:rPr>
        <w:t xml:space="preserve"> will read the letter – 5</w:t>
      </w:r>
      <w:r w:rsidR="003A5B7B" w:rsidRPr="002537D0">
        <w:rPr>
          <w:szCs w:val="12"/>
        </w:rPr>
        <w:t xml:space="preserve"> percent</w:t>
      </w:r>
      <w:r w:rsidRPr="002537D0">
        <w:rPr>
          <w:szCs w:val="12"/>
        </w:rPr>
        <w:t xml:space="preserve"> postal </w:t>
      </w:r>
      <w:proofErr w:type="spellStart"/>
      <w:r w:rsidRPr="002537D0">
        <w:rPr>
          <w:szCs w:val="12"/>
        </w:rPr>
        <w:t>nondeliverables</w:t>
      </w:r>
      <w:proofErr w:type="spellEnd"/>
      <w:r w:rsidRPr="002537D0">
        <w:rPr>
          <w:szCs w:val="12"/>
        </w:rPr>
        <w:t xml:space="preserve"> and 5</w:t>
      </w:r>
      <w:r w:rsidR="003A5B7B" w:rsidRPr="002537D0">
        <w:rPr>
          <w:szCs w:val="12"/>
        </w:rPr>
        <w:t xml:space="preserve"> percent</w:t>
      </w:r>
      <w:r w:rsidRPr="002537D0">
        <w:rPr>
          <w:szCs w:val="12"/>
        </w:rPr>
        <w:t xml:space="preserve"> not read.</w:t>
      </w:r>
    </w:p>
    <w:p w:rsidR="00541C40" w:rsidRPr="002537D0" w:rsidRDefault="00541C40" w:rsidP="000A5D1B">
      <w:pPr>
        <w:pStyle w:val="TF-TblFN"/>
        <w:tabs>
          <w:tab w:val="clear" w:pos="120"/>
          <w:tab w:val="left" w:pos="270"/>
        </w:tabs>
        <w:ind w:left="270" w:hanging="270"/>
        <w:rPr>
          <w:szCs w:val="12"/>
        </w:rPr>
      </w:pPr>
      <w:r w:rsidRPr="002537D0">
        <w:rPr>
          <w:szCs w:val="12"/>
        </w:rPr>
        <w:t>(e) Assume 35</w:t>
      </w:r>
      <w:r w:rsidR="003A5B7B" w:rsidRPr="002537D0">
        <w:rPr>
          <w:szCs w:val="12"/>
        </w:rPr>
        <w:t xml:space="preserve"> percent</w:t>
      </w:r>
      <w:r w:rsidRPr="002537D0">
        <w:rPr>
          <w:szCs w:val="12"/>
        </w:rPr>
        <w:t xml:space="preserve"> of those who read the first reminder letter will complete the </w:t>
      </w:r>
      <w:proofErr w:type="spellStart"/>
      <w:r w:rsidRPr="002537D0">
        <w:rPr>
          <w:szCs w:val="12"/>
        </w:rPr>
        <w:t>teleform</w:t>
      </w:r>
      <w:proofErr w:type="spellEnd"/>
      <w:r w:rsidRPr="002537D0">
        <w:rPr>
          <w:szCs w:val="12"/>
        </w:rPr>
        <w:t xml:space="preserve"> survey.</w:t>
      </w:r>
    </w:p>
    <w:p w:rsidR="00541C40" w:rsidRPr="002537D0" w:rsidRDefault="00541C40" w:rsidP="000A5D1B">
      <w:pPr>
        <w:pStyle w:val="TF-TblFN"/>
        <w:tabs>
          <w:tab w:val="clear" w:pos="120"/>
          <w:tab w:val="left" w:pos="270"/>
        </w:tabs>
        <w:ind w:left="270" w:hanging="270"/>
        <w:rPr>
          <w:szCs w:val="12"/>
        </w:rPr>
      </w:pPr>
      <w:r w:rsidRPr="002537D0">
        <w:rPr>
          <w:color w:val="000000"/>
          <w:szCs w:val="12"/>
        </w:rPr>
        <w:t>(f) Assume 25</w:t>
      </w:r>
      <w:r w:rsidR="003A5B7B" w:rsidRPr="002537D0">
        <w:rPr>
          <w:szCs w:val="12"/>
        </w:rPr>
        <w:t xml:space="preserve"> percent</w:t>
      </w:r>
      <w:r w:rsidRPr="002537D0">
        <w:rPr>
          <w:color w:val="000000"/>
          <w:szCs w:val="12"/>
        </w:rPr>
        <w:t xml:space="preserve"> of those who read the second reminder letter will complete the </w:t>
      </w:r>
      <w:proofErr w:type="spellStart"/>
      <w:r w:rsidRPr="002537D0">
        <w:rPr>
          <w:color w:val="000000"/>
          <w:szCs w:val="12"/>
        </w:rPr>
        <w:t>teleform</w:t>
      </w:r>
      <w:proofErr w:type="spellEnd"/>
      <w:r w:rsidRPr="002537D0">
        <w:rPr>
          <w:color w:val="000000"/>
          <w:szCs w:val="12"/>
        </w:rPr>
        <w:t xml:space="preserve"> survey.</w:t>
      </w:r>
    </w:p>
    <w:p w:rsidR="00541C40" w:rsidRPr="002537D0" w:rsidRDefault="004116F2" w:rsidP="000A5D1B">
      <w:pPr>
        <w:pStyle w:val="TF-TblFN"/>
        <w:tabs>
          <w:tab w:val="clear" w:pos="120"/>
          <w:tab w:val="left" w:pos="270"/>
        </w:tabs>
        <w:ind w:left="270" w:hanging="270"/>
        <w:rPr>
          <w:szCs w:val="12"/>
        </w:rPr>
      </w:pPr>
      <w:r w:rsidRPr="002537D0">
        <w:rPr>
          <w:szCs w:val="12"/>
        </w:rPr>
        <w:t>(</w:t>
      </w:r>
      <w:proofErr w:type="gramStart"/>
      <w:r w:rsidRPr="002537D0">
        <w:rPr>
          <w:szCs w:val="12"/>
        </w:rPr>
        <w:t>g</w:t>
      </w:r>
      <w:proofErr w:type="gramEnd"/>
      <w:r w:rsidRPr="002537D0">
        <w:rPr>
          <w:szCs w:val="12"/>
        </w:rPr>
        <w:t xml:space="preserve">) Assume </w:t>
      </w:r>
      <w:proofErr w:type="spellStart"/>
      <w:r w:rsidRPr="002537D0">
        <w:rPr>
          <w:szCs w:val="12"/>
        </w:rPr>
        <w:t>non</w:t>
      </w:r>
      <w:r w:rsidR="00541C40" w:rsidRPr="002537D0">
        <w:rPr>
          <w:szCs w:val="12"/>
        </w:rPr>
        <w:t>respondents</w:t>
      </w:r>
      <w:proofErr w:type="spellEnd"/>
      <w:r w:rsidR="00541C40" w:rsidRPr="002537D0">
        <w:rPr>
          <w:szCs w:val="12"/>
        </w:rPr>
        <w:t xml:space="preserve"> will be contacted by phone to achieve the targeted number of completes; assume 7</w:t>
      </w:r>
      <w:r w:rsidR="003A5B7B" w:rsidRPr="002537D0">
        <w:rPr>
          <w:szCs w:val="12"/>
        </w:rPr>
        <w:t xml:space="preserve"> percent</w:t>
      </w:r>
      <w:r w:rsidR="00541C40" w:rsidRPr="002537D0">
        <w:rPr>
          <w:szCs w:val="12"/>
        </w:rPr>
        <w:t xml:space="preserve"> will complete the survey by phone.</w:t>
      </w:r>
    </w:p>
    <w:p w:rsidR="00541C40" w:rsidRPr="002537D0" w:rsidRDefault="00541C40" w:rsidP="000A5D1B">
      <w:pPr>
        <w:pStyle w:val="TF-TblFN"/>
        <w:tabs>
          <w:tab w:val="clear" w:pos="120"/>
          <w:tab w:val="left" w:pos="270"/>
        </w:tabs>
        <w:ind w:left="270" w:hanging="270"/>
        <w:rPr>
          <w:szCs w:val="12"/>
        </w:rPr>
      </w:pPr>
      <w:r w:rsidRPr="002537D0">
        <w:rPr>
          <w:szCs w:val="12"/>
        </w:rPr>
        <w:t xml:space="preserve">(h) Non-respondents will be contacted by phone to achieve the targeted number of completes; messages will be left on </w:t>
      </w:r>
      <w:r w:rsidR="000A3E75" w:rsidRPr="002537D0">
        <w:rPr>
          <w:szCs w:val="12"/>
        </w:rPr>
        <w:t>voicemail</w:t>
      </w:r>
      <w:r w:rsidRPr="002537D0">
        <w:rPr>
          <w:szCs w:val="12"/>
        </w:rPr>
        <w:t xml:space="preserve"> for 60</w:t>
      </w:r>
      <w:r w:rsidR="003A5B7B" w:rsidRPr="002537D0">
        <w:rPr>
          <w:szCs w:val="12"/>
        </w:rPr>
        <w:t xml:space="preserve"> percent</w:t>
      </w:r>
      <w:r w:rsidRPr="002537D0">
        <w:rPr>
          <w:szCs w:val="12"/>
        </w:rPr>
        <w:t xml:space="preserve"> with working phone numbers and </w:t>
      </w:r>
      <w:r w:rsidR="000A3E75" w:rsidRPr="002537D0">
        <w:rPr>
          <w:szCs w:val="12"/>
        </w:rPr>
        <w:t>voicemails</w:t>
      </w:r>
      <w:r w:rsidRPr="002537D0">
        <w:rPr>
          <w:szCs w:val="12"/>
        </w:rPr>
        <w:t>.</w:t>
      </w:r>
    </w:p>
    <w:p w:rsidR="00541C40" w:rsidRPr="002537D0" w:rsidRDefault="00541C40" w:rsidP="000A5D1B">
      <w:pPr>
        <w:pStyle w:val="TF-TblFN"/>
        <w:tabs>
          <w:tab w:val="clear" w:pos="120"/>
          <w:tab w:val="left" w:pos="270"/>
        </w:tabs>
        <w:ind w:left="270" w:hanging="270"/>
        <w:rPr>
          <w:szCs w:val="12"/>
        </w:rPr>
      </w:pPr>
      <w:r w:rsidRPr="002537D0">
        <w:rPr>
          <w:szCs w:val="12"/>
        </w:rPr>
        <w:t>(</w:t>
      </w:r>
      <w:proofErr w:type="spellStart"/>
      <w:r w:rsidRPr="002537D0">
        <w:rPr>
          <w:szCs w:val="12"/>
        </w:rPr>
        <w:t>i</w:t>
      </w:r>
      <w:proofErr w:type="spellEnd"/>
      <w:r w:rsidRPr="002537D0">
        <w:rPr>
          <w:szCs w:val="12"/>
        </w:rPr>
        <w:t>) Thank you letters will be read by all respondents.</w:t>
      </w:r>
    </w:p>
    <w:p w:rsidR="00541C40" w:rsidRPr="002537D0" w:rsidRDefault="00541C40" w:rsidP="000A5D1B">
      <w:pPr>
        <w:pStyle w:val="TF-TblFN"/>
        <w:tabs>
          <w:tab w:val="clear" w:pos="120"/>
          <w:tab w:val="left" w:pos="270"/>
        </w:tabs>
        <w:ind w:left="270" w:hanging="270"/>
        <w:rPr>
          <w:szCs w:val="12"/>
        </w:rPr>
      </w:pPr>
      <w:r w:rsidRPr="002537D0">
        <w:rPr>
          <w:szCs w:val="12"/>
        </w:rPr>
        <w:t>(j) Post-</w:t>
      </w:r>
      <w:r w:rsidR="004116F2" w:rsidRPr="002537D0">
        <w:rPr>
          <w:szCs w:val="12"/>
        </w:rPr>
        <w:t>SPS</w:t>
      </w:r>
      <w:r w:rsidRPr="002537D0">
        <w:rPr>
          <w:szCs w:val="12"/>
        </w:rPr>
        <w:t xml:space="preserve"> invitation letters will be mailed to all </w:t>
      </w:r>
      <w:r w:rsidR="00ED4CAF" w:rsidRPr="002537D0">
        <w:rPr>
          <w:szCs w:val="12"/>
        </w:rPr>
        <w:t>those who completed the pre-SPS</w:t>
      </w:r>
      <w:r w:rsidRPr="002537D0">
        <w:rPr>
          <w:szCs w:val="12"/>
        </w:rPr>
        <w:t>; 90</w:t>
      </w:r>
      <w:r w:rsidR="003A5B7B" w:rsidRPr="002537D0">
        <w:rPr>
          <w:szCs w:val="12"/>
        </w:rPr>
        <w:t xml:space="preserve"> percent</w:t>
      </w:r>
      <w:r w:rsidRPr="002537D0">
        <w:rPr>
          <w:szCs w:val="12"/>
        </w:rPr>
        <w:t xml:space="preserve"> will read the invitation letter.</w:t>
      </w:r>
    </w:p>
    <w:p w:rsidR="00541C40" w:rsidRPr="002537D0" w:rsidRDefault="00541C40" w:rsidP="000A5D1B">
      <w:pPr>
        <w:pStyle w:val="TF-TblFN"/>
        <w:tabs>
          <w:tab w:val="clear" w:pos="120"/>
          <w:tab w:val="left" w:pos="270"/>
        </w:tabs>
        <w:ind w:left="270" w:hanging="270"/>
        <w:rPr>
          <w:szCs w:val="12"/>
        </w:rPr>
      </w:pPr>
      <w:r w:rsidRPr="002537D0">
        <w:rPr>
          <w:szCs w:val="12"/>
        </w:rPr>
        <w:t>(k) Assume all SNAP participants will read the KII invitation letter</w:t>
      </w:r>
      <w:r w:rsidR="00ED4CAF" w:rsidRPr="002537D0">
        <w:rPr>
          <w:szCs w:val="12"/>
        </w:rPr>
        <w:t xml:space="preserve"> and KII confirmation letter</w:t>
      </w:r>
      <w:r w:rsidRPr="002537D0">
        <w:rPr>
          <w:szCs w:val="12"/>
        </w:rPr>
        <w:t>.</w:t>
      </w:r>
    </w:p>
    <w:p w:rsidR="00541C40" w:rsidRPr="002537D0" w:rsidRDefault="00541C40" w:rsidP="000A5D1B">
      <w:pPr>
        <w:pStyle w:val="TF-TblFN"/>
        <w:tabs>
          <w:tab w:val="clear" w:pos="120"/>
          <w:tab w:val="left" w:pos="270"/>
        </w:tabs>
        <w:ind w:left="270" w:hanging="270"/>
        <w:rPr>
          <w:szCs w:val="12"/>
        </w:rPr>
      </w:pPr>
      <w:r w:rsidRPr="002537D0">
        <w:rPr>
          <w:szCs w:val="12"/>
        </w:rPr>
        <w:t>(l) Assume 85</w:t>
      </w:r>
      <w:r w:rsidR="003A5B7B" w:rsidRPr="002537D0">
        <w:rPr>
          <w:szCs w:val="12"/>
        </w:rPr>
        <w:t xml:space="preserve"> percent</w:t>
      </w:r>
      <w:r w:rsidRPr="002537D0">
        <w:rPr>
          <w:szCs w:val="12"/>
        </w:rPr>
        <w:t xml:space="preserve"> of those contacted by phone will be scheduled for KII.</w:t>
      </w:r>
    </w:p>
    <w:p w:rsidR="00541C40" w:rsidRPr="002537D0" w:rsidRDefault="00541C40" w:rsidP="000A5D1B">
      <w:pPr>
        <w:pStyle w:val="TF-TblFN"/>
        <w:tabs>
          <w:tab w:val="clear" w:pos="120"/>
          <w:tab w:val="left" w:pos="270"/>
        </w:tabs>
        <w:ind w:left="270" w:hanging="270"/>
        <w:rPr>
          <w:szCs w:val="12"/>
        </w:rPr>
      </w:pPr>
      <w:r w:rsidRPr="002537D0">
        <w:rPr>
          <w:szCs w:val="12"/>
        </w:rPr>
        <w:t>(m) Assume 80</w:t>
      </w:r>
      <w:r w:rsidR="003A5B7B" w:rsidRPr="002537D0">
        <w:rPr>
          <w:szCs w:val="12"/>
        </w:rPr>
        <w:t xml:space="preserve"> percent</w:t>
      </w:r>
      <w:r w:rsidRPr="002537D0">
        <w:rPr>
          <w:szCs w:val="12"/>
        </w:rPr>
        <w:t xml:space="preserve"> of those who are scheduled for KII will </w:t>
      </w:r>
      <w:r w:rsidR="0037532E" w:rsidRPr="002537D0">
        <w:rPr>
          <w:szCs w:val="12"/>
        </w:rPr>
        <w:t>participate</w:t>
      </w:r>
      <w:r w:rsidRPr="002537D0">
        <w:rPr>
          <w:szCs w:val="12"/>
        </w:rPr>
        <w:t xml:space="preserve"> in KII.</w:t>
      </w:r>
    </w:p>
    <w:p w:rsidR="00541C40" w:rsidRPr="002537D0" w:rsidRDefault="00541C40" w:rsidP="000A5D1B">
      <w:pPr>
        <w:pStyle w:val="TF-TblFN"/>
        <w:tabs>
          <w:tab w:val="clear" w:pos="120"/>
          <w:tab w:val="left" w:pos="270"/>
        </w:tabs>
        <w:ind w:left="270" w:hanging="270"/>
        <w:rPr>
          <w:szCs w:val="12"/>
        </w:rPr>
      </w:pPr>
      <w:r w:rsidRPr="002537D0">
        <w:rPr>
          <w:szCs w:val="12"/>
        </w:rPr>
        <w:t>(n) Assume all grantees will be contacted to schedule KII.</w:t>
      </w:r>
    </w:p>
    <w:p w:rsidR="00541C40" w:rsidRPr="002537D0" w:rsidRDefault="00541C40" w:rsidP="000A5D1B">
      <w:pPr>
        <w:pStyle w:val="TF-TblFN"/>
        <w:tabs>
          <w:tab w:val="clear" w:pos="120"/>
          <w:tab w:val="left" w:pos="270"/>
        </w:tabs>
        <w:ind w:left="270" w:hanging="270"/>
        <w:rPr>
          <w:szCs w:val="12"/>
        </w:rPr>
      </w:pPr>
      <w:r w:rsidRPr="002537D0">
        <w:rPr>
          <w:szCs w:val="12"/>
        </w:rPr>
        <w:t>(o) Assume all grantees will participate in KII.</w:t>
      </w:r>
    </w:p>
    <w:p w:rsidR="00541C40" w:rsidRPr="002537D0" w:rsidRDefault="00541C40" w:rsidP="000A5D1B">
      <w:pPr>
        <w:pStyle w:val="TF-TblFN"/>
        <w:tabs>
          <w:tab w:val="clear" w:pos="120"/>
          <w:tab w:val="left" w:pos="270"/>
        </w:tabs>
        <w:ind w:left="270" w:hanging="270"/>
        <w:rPr>
          <w:szCs w:val="12"/>
        </w:rPr>
      </w:pPr>
      <w:r w:rsidRPr="002537D0">
        <w:rPr>
          <w:szCs w:val="12"/>
        </w:rPr>
        <w:t xml:space="preserve">(p) Assume all grantees will read </w:t>
      </w:r>
      <w:r w:rsidR="0037532E" w:rsidRPr="002537D0">
        <w:rPr>
          <w:szCs w:val="12"/>
        </w:rPr>
        <w:t>the program</w:t>
      </w:r>
      <w:r w:rsidRPr="002537D0">
        <w:rPr>
          <w:szCs w:val="12"/>
        </w:rPr>
        <w:t xml:space="preserve"> data form request email.</w:t>
      </w:r>
    </w:p>
    <w:p w:rsidR="00541C40" w:rsidRPr="002537D0" w:rsidRDefault="00541C40" w:rsidP="000A5D1B">
      <w:pPr>
        <w:pStyle w:val="TF-TblFN"/>
        <w:tabs>
          <w:tab w:val="clear" w:pos="120"/>
          <w:tab w:val="left" w:pos="270"/>
        </w:tabs>
        <w:ind w:left="270" w:hanging="270"/>
        <w:rPr>
          <w:szCs w:val="12"/>
        </w:rPr>
      </w:pPr>
      <w:r w:rsidRPr="002537D0">
        <w:rPr>
          <w:szCs w:val="12"/>
        </w:rPr>
        <w:t>(q) Assume all grantees will complete the program data forms.</w:t>
      </w:r>
      <w:r w:rsidR="00782610" w:rsidRPr="002537D0">
        <w:rPr>
          <w:szCs w:val="12"/>
        </w:rPr>
        <w:t xml:space="preserve"> If grantees request to submit more than one </w:t>
      </w:r>
      <w:proofErr w:type="spellStart"/>
      <w:r w:rsidR="00782610" w:rsidRPr="002537D0">
        <w:rPr>
          <w:szCs w:val="12"/>
        </w:rPr>
        <w:t>respose</w:t>
      </w:r>
      <w:proofErr w:type="spellEnd"/>
      <w:r w:rsidR="00782610" w:rsidRPr="002537D0">
        <w:rPr>
          <w:szCs w:val="12"/>
        </w:rPr>
        <w:t xml:space="preserve"> on the annual form to </w:t>
      </w:r>
      <w:proofErr w:type="spellStart"/>
      <w:r w:rsidR="00782610" w:rsidRPr="002537D0">
        <w:rPr>
          <w:szCs w:val="12"/>
        </w:rPr>
        <w:t>accomdate</w:t>
      </w:r>
      <w:proofErr w:type="spellEnd"/>
      <w:r w:rsidR="00782610" w:rsidRPr="002537D0">
        <w:rPr>
          <w:szCs w:val="12"/>
        </w:rPr>
        <w:t xml:space="preserve"> </w:t>
      </w:r>
      <w:proofErr w:type="spellStart"/>
      <w:r w:rsidR="00782610" w:rsidRPr="002537D0">
        <w:rPr>
          <w:szCs w:val="12"/>
        </w:rPr>
        <w:t>subawardees</w:t>
      </w:r>
      <w:proofErr w:type="spellEnd"/>
      <w:r w:rsidR="00782610" w:rsidRPr="002537D0">
        <w:rPr>
          <w:szCs w:val="12"/>
        </w:rPr>
        <w:t xml:space="preserve"> or partner organizations, the agency will work with them on an individual basis.</w:t>
      </w:r>
    </w:p>
    <w:p w:rsidR="00541C40" w:rsidRPr="002537D0" w:rsidRDefault="00541C40" w:rsidP="000A5D1B">
      <w:pPr>
        <w:pStyle w:val="TF-TblFN"/>
        <w:tabs>
          <w:tab w:val="clear" w:pos="120"/>
          <w:tab w:val="left" w:pos="270"/>
        </w:tabs>
        <w:ind w:left="270" w:hanging="270"/>
        <w:rPr>
          <w:szCs w:val="12"/>
        </w:rPr>
      </w:pPr>
      <w:r w:rsidRPr="002537D0">
        <w:rPr>
          <w:szCs w:val="12"/>
        </w:rPr>
        <w:t>(r) Assume all outlet operators will read the invitation letter.</w:t>
      </w:r>
    </w:p>
    <w:p w:rsidR="00541C40" w:rsidRPr="002537D0" w:rsidRDefault="00541C40" w:rsidP="000A5D1B">
      <w:pPr>
        <w:pStyle w:val="TF-TblFN"/>
        <w:tabs>
          <w:tab w:val="clear" w:pos="120"/>
          <w:tab w:val="left" w:pos="270"/>
        </w:tabs>
        <w:ind w:left="270" w:hanging="270"/>
        <w:rPr>
          <w:szCs w:val="12"/>
        </w:rPr>
      </w:pPr>
      <w:r w:rsidRPr="002537D0">
        <w:rPr>
          <w:szCs w:val="12"/>
        </w:rPr>
        <w:t>(s) Assume 50</w:t>
      </w:r>
      <w:r w:rsidR="003A5B7B" w:rsidRPr="002537D0">
        <w:rPr>
          <w:szCs w:val="12"/>
        </w:rPr>
        <w:t xml:space="preserve"> percent</w:t>
      </w:r>
      <w:r w:rsidRPr="002537D0">
        <w:rPr>
          <w:szCs w:val="12"/>
        </w:rPr>
        <w:t xml:space="preserve"> of outlet operators will need a reminder letter and 85</w:t>
      </w:r>
      <w:r w:rsidR="003A5B7B" w:rsidRPr="002537D0">
        <w:rPr>
          <w:szCs w:val="12"/>
        </w:rPr>
        <w:t xml:space="preserve"> percent</w:t>
      </w:r>
      <w:r w:rsidRPr="002537D0">
        <w:rPr>
          <w:szCs w:val="12"/>
        </w:rPr>
        <w:t xml:space="preserve"> of these will read it.</w:t>
      </w:r>
    </w:p>
    <w:p w:rsidR="00541C40" w:rsidRPr="002537D0" w:rsidRDefault="00541C40" w:rsidP="000A5D1B">
      <w:pPr>
        <w:pStyle w:val="TF-TblFN"/>
        <w:tabs>
          <w:tab w:val="clear" w:pos="120"/>
          <w:tab w:val="left" w:pos="270"/>
        </w:tabs>
        <w:ind w:left="270" w:hanging="270"/>
        <w:rPr>
          <w:szCs w:val="12"/>
        </w:rPr>
      </w:pPr>
      <w:r w:rsidRPr="002537D0">
        <w:rPr>
          <w:szCs w:val="12"/>
        </w:rPr>
        <w:t>(t) Assume 80</w:t>
      </w:r>
      <w:r w:rsidR="003A5B7B" w:rsidRPr="002537D0">
        <w:rPr>
          <w:szCs w:val="12"/>
        </w:rPr>
        <w:t xml:space="preserve"> percent</w:t>
      </w:r>
      <w:r w:rsidRPr="002537D0">
        <w:rPr>
          <w:szCs w:val="12"/>
        </w:rPr>
        <w:t xml:space="preserve"> of outlet operators will complete the outlet survey.</w:t>
      </w:r>
    </w:p>
    <w:p w:rsidR="00396CF5" w:rsidRDefault="00396CF5" w:rsidP="00396CF5">
      <w:pPr>
        <w:pStyle w:val="L1-FlLSp12"/>
      </w:pPr>
    </w:p>
    <w:p w:rsidR="00396CF5" w:rsidRDefault="00396CF5" w:rsidP="00BB3850">
      <w:pPr>
        <w:pStyle w:val="L1-FlLSp12"/>
        <w:sectPr w:rsidR="00396CF5" w:rsidSect="00E60620">
          <w:headerReference w:type="default" r:id="rId17"/>
          <w:footerReference w:type="default" r:id="rId18"/>
          <w:headerReference w:type="first" r:id="rId19"/>
          <w:footerReference w:type="first" r:id="rId20"/>
          <w:pgSz w:w="15840" w:h="12240" w:orient="landscape" w:code="1"/>
          <w:pgMar w:top="1440" w:right="1440" w:bottom="1440" w:left="1440" w:header="720" w:footer="576" w:gutter="0"/>
          <w:cols w:space="720"/>
          <w:titlePg/>
          <w:docGrid w:linePitch="326"/>
        </w:sectPr>
      </w:pPr>
    </w:p>
    <w:bookmarkEnd w:id="104"/>
    <w:bookmarkEnd w:id="105"/>
    <w:bookmarkEnd w:id="106"/>
    <w:bookmarkEnd w:id="107"/>
    <w:bookmarkEnd w:id="108"/>
    <w:p w:rsidR="005F7D5D" w:rsidRPr="003702B9" w:rsidRDefault="005F7D5D" w:rsidP="005F7D5D">
      <w:pPr>
        <w:pStyle w:val="Heading2"/>
      </w:pPr>
      <w:r w:rsidRPr="003702B9">
        <w:t>A.13</w:t>
      </w:r>
      <w:r w:rsidRPr="003702B9">
        <w:tab/>
        <w:t>Estimates of Other Total Annualized Cost Burden</w:t>
      </w:r>
    </w:p>
    <w:p w:rsidR="005F7D5D" w:rsidRPr="002F126A" w:rsidRDefault="005F7D5D" w:rsidP="005F7D5D">
      <w:pPr>
        <w:pStyle w:val="L1-FlLSp12"/>
        <w:rPr>
          <w:b/>
        </w:rPr>
      </w:pPr>
      <w:r w:rsidRPr="002F126A">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F7D5D" w:rsidRPr="003702B9" w:rsidRDefault="005F7D5D" w:rsidP="005F7D5D">
      <w:pPr>
        <w:pStyle w:val="L1-FlLSp12"/>
      </w:pPr>
    </w:p>
    <w:p w:rsidR="005F7D5D" w:rsidRDefault="005F7D5D" w:rsidP="005F7D5D">
      <w:pPr>
        <w:pStyle w:val="L1-FlLSp12"/>
      </w:pPr>
      <w:r w:rsidRPr="003702B9">
        <w:t>There are no capital/start-up or ongoing operation/maintenance costs associated with this information collection.</w:t>
      </w:r>
    </w:p>
    <w:p w:rsidR="005F7D5D" w:rsidRDefault="005F7D5D" w:rsidP="005F7D5D">
      <w:pPr>
        <w:pStyle w:val="L1-FlLSp12"/>
      </w:pPr>
    </w:p>
    <w:p w:rsidR="005F7D5D" w:rsidRDefault="005F7D5D" w:rsidP="005F7D5D">
      <w:pPr>
        <w:pStyle w:val="L1-FlLSp12"/>
      </w:pPr>
    </w:p>
    <w:p w:rsidR="00271489" w:rsidRPr="003702B9" w:rsidRDefault="00271489" w:rsidP="00271489">
      <w:pPr>
        <w:pStyle w:val="Heading2"/>
      </w:pPr>
      <w:r w:rsidRPr="003702B9">
        <w:t>A.14</w:t>
      </w:r>
      <w:r w:rsidRPr="003702B9">
        <w:tab/>
        <w:t>Annualized Cost to the Federal Government</w:t>
      </w:r>
    </w:p>
    <w:p w:rsidR="00271489" w:rsidRPr="002F126A" w:rsidRDefault="00271489" w:rsidP="00271489">
      <w:pPr>
        <w:pStyle w:val="L1-FlLSp12"/>
        <w:rPr>
          <w:b/>
        </w:rPr>
      </w:pPr>
      <w:r w:rsidRPr="002F126A">
        <w:rPr>
          <w:b/>
        </w:rPr>
        <w:t>Provide estimates of annualized cost to the Federal Government. Also, provide a description of the method used to estimate cost and any other expense that would not have been incurred without this collection of information.</w:t>
      </w:r>
    </w:p>
    <w:p w:rsidR="00271489" w:rsidRPr="003702B9" w:rsidRDefault="00271489" w:rsidP="00271489">
      <w:pPr>
        <w:pStyle w:val="L1-FlLSp12"/>
      </w:pPr>
    </w:p>
    <w:p w:rsidR="00271489" w:rsidRDefault="00271489" w:rsidP="00271489">
      <w:pPr>
        <w:pStyle w:val="L1-FlLSp12"/>
      </w:pPr>
      <w:r>
        <w:t xml:space="preserve">The total cost to the Federal </w:t>
      </w:r>
      <w:r w:rsidR="007223AE">
        <w:t>G</w:t>
      </w:r>
      <w:r>
        <w:t xml:space="preserve">overnment is </w:t>
      </w:r>
      <w:r w:rsidR="008A5A9F">
        <w:t>$</w:t>
      </w:r>
      <w:r w:rsidRPr="006A6652">
        <w:t>4</w:t>
      </w:r>
      <w:r>
        <w:t>,360,</w:t>
      </w:r>
      <w:r w:rsidRPr="006A6652">
        <w:t>626</w:t>
      </w:r>
      <w:r>
        <w:t xml:space="preserve"> over the 5-year period or </w:t>
      </w:r>
      <w:r w:rsidR="008A5A9F">
        <w:t>$</w:t>
      </w:r>
      <w:r w:rsidRPr="006A6652">
        <w:t>872</w:t>
      </w:r>
      <w:r w:rsidR="008A5A9F">
        <w:t>,</w:t>
      </w:r>
      <w:r w:rsidRPr="006A6652">
        <w:t>125</w:t>
      </w:r>
      <w:r>
        <w:t xml:space="preserve"> on annualized basis. The largest cost to the Federal Government is to pay the contractor $4,341,978</w:t>
      </w:r>
      <w:r w:rsidR="008C39E8">
        <w:rPr>
          <w:rStyle w:val="FootnoteReference"/>
        </w:rPr>
        <w:footnoteReference w:id="37"/>
      </w:r>
      <w:r>
        <w:t xml:space="preserve"> to conduct this study and deliver reports and data files. The information collection also assumes a total of 80 hours of a Federal Employee’s time per year:</w:t>
      </w:r>
      <w:r w:rsidR="00267F75">
        <w:t xml:space="preserve"> </w:t>
      </w:r>
      <w:r>
        <w:t xml:space="preserve">for a GS-13, </w:t>
      </w:r>
      <w:r w:rsidR="007223AE">
        <w:t>S</w:t>
      </w:r>
      <w:r>
        <w:t>tep 4 in the Washington, DC area</w:t>
      </w:r>
      <w:r w:rsidR="007223AE">
        <w:t>,</w:t>
      </w:r>
      <w:r>
        <w:t xml:space="preserve"> at $47.87 per hour for a total of $3,</w:t>
      </w:r>
      <w:r w:rsidR="0036034F">
        <w:t>8</w:t>
      </w:r>
      <w:r>
        <w:t xml:space="preserve">29.60 per year. The </w:t>
      </w:r>
      <w:r w:rsidR="00134DDB">
        <w:t xml:space="preserve">2015 </w:t>
      </w:r>
      <w:r>
        <w:t xml:space="preserve">Federal </w:t>
      </w:r>
      <w:r w:rsidR="007223AE">
        <w:t>E</w:t>
      </w:r>
      <w:r>
        <w:t xml:space="preserve">mployee </w:t>
      </w:r>
      <w:r w:rsidR="00134DDB">
        <w:t xml:space="preserve">Wage </w:t>
      </w:r>
      <w:r>
        <w:t>rate is from the Office of Personnel Management (OPM).</w:t>
      </w:r>
    </w:p>
    <w:p w:rsidR="0047782E" w:rsidRDefault="0047782E" w:rsidP="00271489">
      <w:pPr>
        <w:pStyle w:val="L1-FlLSp12"/>
      </w:pPr>
    </w:p>
    <w:p w:rsidR="00271489" w:rsidRPr="003702B9" w:rsidRDefault="00271489" w:rsidP="00271489">
      <w:pPr>
        <w:pStyle w:val="L1-FlLSp12"/>
      </w:pPr>
    </w:p>
    <w:p w:rsidR="00271489" w:rsidRPr="003702B9" w:rsidRDefault="00271489" w:rsidP="00271489">
      <w:pPr>
        <w:pStyle w:val="Heading2"/>
      </w:pPr>
      <w:bookmarkStart w:id="109" w:name="_Toc290021774"/>
      <w:bookmarkStart w:id="110" w:name="_Toc329341690"/>
      <w:bookmarkStart w:id="111" w:name="_Toc400376155"/>
      <w:bookmarkEnd w:id="99"/>
      <w:r w:rsidRPr="003702B9">
        <w:t>A.15</w:t>
      </w:r>
      <w:r w:rsidRPr="003702B9">
        <w:tab/>
      </w:r>
      <w:bookmarkEnd w:id="109"/>
      <w:r w:rsidRPr="003702B9">
        <w:t>Explanation for Program Changes or Adjustments</w:t>
      </w:r>
      <w:bookmarkEnd w:id="110"/>
      <w:bookmarkEnd w:id="111"/>
    </w:p>
    <w:p w:rsidR="00271489" w:rsidRPr="002F126A" w:rsidRDefault="00271489" w:rsidP="00271489">
      <w:pPr>
        <w:pStyle w:val="L1-FlLSp12"/>
        <w:rPr>
          <w:b/>
        </w:rPr>
      </w:pPr>
      <w:r w:rsidRPr="002F126A">
        <w:rPr>
          <w:b/>
        </w:rPr>
        <w:t>Explain the reasons for any program changes or adjustments reported in Items 13 or 14 of the OMB Form 83-1.</w:t>
      </w:r>
    </w:p>
    <w:p w:rsidR="00271489" w:rsidRPr="003702B9" w:rsidRDefault="00271489" w:rsidP="00271489">
      <w:pPr>
        <w:pStyle w:val="L1-FlLSp12"/>
      </w:pPr>
    </w:p>
    <w:p w:rsidR="00271489" w:rsidRPr="00CE74D6" w:rsidRDefault="00271489" w:rsidP="00271489">
      <w:pPr>
        <w:pStyle w:val="L1-FlLSp12"/>
      </w:pPr>
      <w:r w:rsidRPr="00CE74D6">
        <w:t xml:space="preserve">This is a new collection of information, and is estimated to </w:t>
      </w:r>
      <w:r w:rsidRPr="00CE74D6">
        <w:rPr>
          <w:szCs w:val="24"/>
        </w:rPr>
        <w:t xml:space="preserve">add </w:t>
      </w:r>
      <w:r w:rsidR="00A1019E" w:rsidRPr="00AC74C0">
        <w:rPr>
          <w:rFonts w:cstheme="minorHAnsi"/>
          <w:szCs w:val="24"/>
        </w:rPr>
        <w:t>4,500</w:t>
      </w:r>
      <w:r w:rsidRPr="00CE74D6">
        <w:rPr>
          <w:rFonts w:cstheme="minorHAnsi"/>
          <w:szCs w:val="24"/>
        </w:rPr>
        <w:t xml:space="preserve"> </w:t>
      </w:r>
      <w:r w:rsidRPr="00CE74D6">
        <w:rPr>
          <w:szCs w:val="24"/>
        </w:rPr>
        <w:t>burden</w:t>
      </w:r>
      <w:r w:rsidRPr="00CE74D6">
        <w:t xml:space="preserve"> hours to the OMB information collection inventory.</w:t>
      </w:r>
    </w:p>
    <w:p w:rsidR="00271489" w:rsidRPr="003702B9" w:rsidRDefault="00271489" w:rsidP="00271489">
      <w:pPr>
        <w:pStyle w:val="Heading2"/>
      </w:pPr>
      <w:bookmarkStart w:id="112" w:name="_Toc290021775"/>
      <w:bookmarkStart w:id="113" w:name="_Toc329341691"/>
      <w:bookmarkStart w:id="114" w:name="_Toc400376156"/>
      <w:r w:rsidRPr="003702B9">
        <w:t>A.16</w:t>
      </w:r>
      <w:r w:rsidRPr="003702B9">
        <w:tab/>
      </w:r>
      <w:bookmarkEnd w:id="112"/>
      <w:r w:rsidRPr="003702B9">
        <w:t>Plans for Tabulation and Publication and Project Time Schedule</w:t>
      </w:r>
      <w:bookmarkEnd w:id="113"/>
      <w:bookmarkEnd w:id="114"/>
    </w:p>
    <w:p w:rsidR="00271489" w:rsidRPr="002F126A" w:rsidRDefault="00271489" w:rsidP="00271489">
      <w:pPr>
        <w:pStyle w:val="L1-FlLSp12"/>
        <w:rPr>
          <w:b/>
        </w:rPr>
      </w:pPr>
      <w:r w:rsidRPr="002F126A">
        <w:rPr>
          <w:b/>
        </w:rPr>
        <w:t>For collections of information whose results are planned to be published, outline plans for tabulation and publication</w:t>
      </w:r>
      <w:r w:rsidR="0047782E" w:rsidRPr="002F126A">
        <w:rPr>
          <w:b/>
        </w:rPr>
        <w:t>.</w:t>
      </w:r>
    </w:p>
    <w:p w:rsidR="00EB54AD" w:rsidRDefault="00EB54AD" w:rsidP="00271489">
      <w:pPr>
        <w:pStyle w:val="L1-FlLSp12"/>
      </w:pPr>
    </w:p>
    <w:p w:rsidR="00E51228" w:rsidRDefault="0006542D" w:rsidP="00271489">
      <w:pPr>
        <w:pStyle w:val="L1-FlLSp12"/>
      </w:pPr>
      <w:r w:rsidRPr="0006542D">
        <w:t>We will begin the evaluation analyses by conducting a process study of the grantees’ implementation of their programs</w:t>
      </w:r>
      <w:r w:rsidR="000D6367">
        <w:t xml:space="preserve"> (Research Objective 1)</w:t>
      </w:r>
      <w:r w:rsidRPr="0006542D">
        <w:t>. After gaining an understanding of how the programs are being implemented, we will examine their impact on outcomes to determine which program clusters are having a positive effect on increasing the purchase and consumption of fruits and vegetables</w:t>
      </w:r>
      <w:r w:rsidR="000D6367">
        <w:t xml:space="preserve"> (Research Objective 2)</w:t>
      </w:r>
      <w:r w:rsidRPr="0006542D">
        <w:t xml:space="preserve">. </w:t>
      </w:r>
      <w:r w:rsidR="004B415F">
        <w:t>Final</w:t>
      </w:r>
      <w:r w:rsidRPr="0006542D">
        <w:t xml:space="preserve">ly, we will compare impacts across intervention clusters to determine if there are certain program traits or conditions that lead to </w:t>
      </w:r>
      <w:r w:rsidR="00E51228">
        <w:t>positive</w:t>
      </w:r>
      <w:r w:rsidRPr="0006542D">
        <w:t xml:space="preserve"> impacts</w:t>
      </w:r>
      <w:r w:rsidR="000D6367">
        <w:t xml:space="preserve"> (Research Objective 3)</w:t>
      </w:r>
      <w:r w:rsidR="00EB54AD">
        <w:t>.</w:t>
      </w:r>
    </w:p>
    <w:p w:rsidR="00E51228" w:rsidRDefault="00E51228" w:rsidP="00271489">
      <w:pPr>
        <w:pStyle w:val="L1-FlLSp12"/>
      </w:pPr>
    </w:p>
    <w:p w:rsidR="0006542D" w:rsidRDefault="0006542D" w:rsidP="00271489">
      <w:pPr>
        <w:pStyle w:val="L1-FlLSp12"/>
      </w:pPr>
      <w:r w:rsidRPr="0006542D">
        <w:t>To meet Research Objective 1, we will analyze data from multiple sources to determine how the programs are being implemented and understand the challenges. Data for each grantee will consist of quantitative information such as the grant award amount, the features of the program and community, and verbatim transcriptions of interviews with program administrators and SNAP participants.</w:t>
      </w:r>
      <w:r>
        <w:t xml:space="preserve"> Analysis types will include content analysis, GIS analysis, and descriptive univariate and </w:t>
      </w:r>
      <w:r w:rsidR="0037532E">
        <w:t>bivariate</w:t>
      </w:r>
      <w:r>
        <w:t xml:space="preserve"> analyses.</w:t>
      </w:r>
    </w:p>
    <w:p w:rsidR="00E51228" w:rsidRDefault="00E51228" w:rsidP="00271489">
      <w:pPr>
        <w:pStyle w:val="L1-FlLSp12"/>
      </w:pPr>
    </w:p>
    <w:p w:rsidR="00E51228" w:rsidRDefault="00E51228" w:rsidP="00E51228">
      <w:pPr>
        <w:pStyle w:val="L1-FlLSp12"/>
      </w:pPr>
      <w:r>
        <w:t xml:space="preserve">To meet Research Objective 2 to assess program effects, outcome data will largely be collected by the SNAP Participant Survey. Although we will examine multiple outcomes, the approach for assessing outcomes will follow the same general difference-in-differences approach. </w:t>
      </w:r>
      <w:r w:rsidRPr="00E51228">
        <w:t>In this approach, the dependent variable is the change</w:t>
      </w:r>
      <w:r>
        <w:t xml:space="preserve"> in the outcome of interest</w:t>
      </w:r>
      <w:r w:rsidRPr="00E51228">
        <w:t xml:space="preserve"> between the </w:t>
      </w:r>
      <w:r w:rsidR="0037532E" w:rsidRPr="00E51228">
        <w:t>pre and</w:t>
      </w:r>
      <w:r w:rsidRPr="00E51228">
        <w:t xml:space="preserve"> post- time periods.</w:t>
      </w:r>
      <w:r>
        <w:t xml:space="preserve"> </w:t>
      </w:r>
      <w:r w:rsidRPr="00E51228">
        <w:t>The change in outcomes in the comparison group represents the general trend (or the change that would have occurred in absence of the FINI program). For each cluster, we will measure the change in outcomes for the individual between the pre- and post- time periods in the intervention cluster and in the comparison groups.</w:t>
      </w:r>
      <w:r>
        <w:t xml:space="preserve"> </w:t>
      </w:r>
      <w:r w:rsidRPr="00E51228">
        <w:t>Because the SNAP participants are not randomly assigned to the intervention and comparison groups, it is possible that the two groups differ in their characteristics. This is minimized through the use of regression. We will use regression to estimate the relationship between the change in the outcome of interest and a series of SNAP participant characteristics as well as an intervention/comparison indicator.</w:t>
      </w:r>
      <w:r>
        <w:t xml:space="preserve"> In addition, content analysis of SNAP participant KIIs will contextualize the findings reported fr</w:t>
      </w:r>
      <w:r w:rsidR="00EB54AD">
        <w:t>om the SNAP Participant Survey.</w:t>
      </w:r>
    </w:p>
    <w:p w:rsidR="00E51228" w:rsidRDefault="00E51228" w:rsidP="00E51228">
      <w:pPr>
        <w:pStyle w:val="L1-FlLSp12"/>
      </w:pPr>
    </w:p>
    <w:p w:rsidR="00E51228" w:rsidRDefault="00772B9D" w:rsidP="00E51228">
      <w:pPr>
        <w:pStyle w:val="L1-FlLSp12"/>
      </w:pPr>
      <w:r>
        <w:t>To meet</w:t>
      </w:r>
      <w:r w:rsidR="00E51228">
        <w:t xml:space="preserve"> Research Objective 3, t</w:t>
      </w:r>
      <w:r w:rsidR="00E51228" w:rsidRPr="00E51228">
        <w:t xml:space="preserve">he comparative analysis </w:t>
      </w:r>
      <w:r>
        <w:t>will focus</w:t>
      </w:r>
      <w:r w:rsidR="00E51228" w:rsidRPr="00E51228">
        <w:t xml:space="preserve"> on select cross-cluster changes to determine if there are certain program features or structures that are associated with the larger increases in outcomes. For this analysis, we will focus on the changes in fruit and vegetable purchasing and consumption and limit the analysis to the intervention clusters. To assess what program features vary across clusters and within clusters, we will examine the Core Program Data. Program features or structures for which there is variation will be included as covariates in the analysis. We will pool the intervention data across all four clusters to examine the relative differences in outcomes due to program features given a common population.</w:t>
      </w:r>
    </w:p>
    <w:p w:rsidR="0006542D" w:rsidRDefault="0006542D" w:rsidP="00271489">
      <w:pPr>
        <w:pStyle w:val="L1-FlLSp12"/>
      </w:pPr>
    </w:p>
    <w:p w:rsidR="00271489" w:rsidRDefault="00271489" w:rsidP="00271489">
      <w:pPr>
        <w:pStyle w:val="L1-FlLSp12"/>
      </w:pPr>
      <w:r w:rsidRPr="003702B9">
        <w:t xml:space="preserve">The </w:t>
      </w:r>
      <w:r>
        <w:t xml:space="preserve">planned </w:t>
      </w:r>
      <w:r w:rsidRPr="003702B9">
        <w:t>schedule for the study showing sample selection, beginning and ending dates of collection of information, completion of reports, and publication dates is presented in Table</w:t>
      </w:r>
      <w:r w:rsidR="0047782E">
        <w:t> </w:t>
      </w:r>
      <w:r w:rsidRPr="003702B9">
        <w:t>A</w:t>
      </w:r>
      <w:r w:rsidR="000770CB">
        <w:t>.</w:t>
      </w:r>
      <w:r w:rsidRPr="003702B9">
        <w:t>16.1.</w:t>
      </w:r>
    </w:p>
    <w:p w:rsidR="005F7D5D" w:rsidRDefault="005F7D5D" w:rsidP="00271489">
      <w:pPr>
        <w:pStyle w:val="L1-FlLSp12"/>
      </w:pPr>
    </w:p>
    <w:p w:rsidR="00271489" w:rsidRDefault="00271489" w:rsidP="0047782E">
      <w:pPr>
        <w:pStyle w:val="TT-TableTitle"/>
      </w:pPr>
      <w:bookmarkStart w:id="115" w:name="_Toc400376158"/>
      <w:r w:rsidRPr="003702B9">
        <w:t>Table A</w:t>
      </w:r>
      <w:r w:rsidR="000770CB">
        <w:t>.</w:t>
      </w:r>
      <w:r w:rsidRPr="003702B9">
        <w:t>16.1.</w:t>
      </w:r>
      <w:r w:rsidRPr="003702B9">
        <w:tab/>
        <w:t>Data collection and reporting schedule</w:t>
      </w:r>
      <w:bookmarkEnd w:id="115"/>
    </w:p>
    <w:p w:rsidR="0047782E" w:rsidRPr="003702B9" w:rsidRDefault="0047782E" w:rsidP="0047782E">
      <w:pPr>
        <w:pStyle w:val="TT-TableTitle"/>
      </w:pPr>
    </w:p>
    <w:tbl>
      <w:tblPr>
        <w:tblStyle w:val="TableWestatStandardFormat2"/>
        <w:tblW w:w="4944" w:type="pct"/>
        <w:tblInd w:w="108" w:type="dxa"/>
        <w:tblBorders>
          <w:top w:val="single" w:sz="4" w:space="0" w:color="auto"/>
        </w:tblBorders>
        <w:tblLook w:val="00A0" w:firstRow="1" w:lastRow="0" w:firstColumn="1" w:lastColumn="0" w:noHBand="0" w:noVBand="0"/>
      </w:tblPr>
      <w:tblGrid>
        <w:gridCol w:w="6392"/>
        <w:gridCol w:w="3077"/>
      </w:tblGrid>
      <w:tr w:rsidR="00271489" w:rsidRPr="003702B9" w:rsidTr="00EB54AD">
        <w:trPr>
          <w:cnfStyle w:val="100000000000" w:firstRow="1" w:lastRow="0" w:firstColumn="0" w:lastColumn="0" w:oddVBand="0" w:evenVBand="0" w:oddHBand="0" w:evenHBand="0" w:firstRowFirstColumn="0" w:firstRowLastColumn="0" w:lastRowFirstColumn="0" w:lastRowLastColumn="0"/>
        </w:trPr>
        <w:tc>
          <w:tcPr>
            <w:tcW w:w="3375" w:type="pct"/>
            <w:tcBorders>
              <w:left w:val="none" w:sz="0" w:space="0" w:color="auto"/>
              <w:right w:val="none" w:sz="0" w:space="0" w:color="auto"/>
              <w:tl2br w:val="none" w:sz="0" w:space="0" w:color="auto"/>
              <w:tr2bl w:val="none" w:sz="0" w:space="0" w:color="auto"/>
            </w:tcBorders>
          </w:tcPr>
          <w:p w:rsidR="00271489" w:rsidRPr="003702B9" w:rsidRDefault="00271489" w:rsidP="0047782E">
            <w:pPr>
              <w:pStyle w:val="TH-TableHeading"/>
            </w:pPr>
            <w:r w:rsidRPr="003702B9">
              <w:t>Activity</w:t>
            </w:r>
          </w:p>
        </w:tc>
        <w:tc>
          <w:tcPr>
            <w:tcW w:w="1625" w:type="pct"/>
            <w:tcBorders>
              <w:left w:val="none" w:sz="0" w:space="0" w:color="auto"/>
              <w:right w:val="none" w:sz="0" w:space="0" w:color="auto"/>
              <w:tl2br w:val="none" w:sz="0" w:space="0" w:color="auto"/>
              <w:tr2bl w:val="none" w:sz="0" w:space="0" w:color="auto"/>
            </w:tcBorders>
          </w:tcPr>
          <w:p w:rsidR="00271489" w:rsidRPr="003702B9" w:rsidRDefault="00271489" w:rsidP="0047782E">
            <w:pPr>
              <w:pStyle w:val="TH-TableHeading"/>
            </w:pPr>
            <w:r w:rsidRPr="003702B9">
              <w:t>Schedule</w:t>
            </w:r>
          </w:p>
        </w:tc>
      </w:tr>
      <w:tr w:rsidR="00271489" w:rsidRPr="003702B9" w:rsidTr="00EB54AD">
        <w:tc>
          <w:tcPr>
            <w:tcW w:w="3375" w:type="pct"/>
            <w:tcBorders>
              <w:top w:val="single" w:sz="4" w:space="0" w:color="auto"/>
            </w:tcBorders>
          </w:tcPr>
          <w:p w:rsidR="00271489" w:rsidRPr="003702B9" w:rsidRDefault="00271489" w:rsidP="00EC6615">
            <w:pPr>
              <w:pStyle w:val="TX-TableText"/>
            </w:pPr>
            <w:r w:rsidRPr="003702B9">
              <w:t>Pre-</w:t>
            </w:r>
            <w:r>
              <w:t xml:space="preserve">SNAP Participant Survey (SNAP Participant </w:t>
            </w:r>
            <w:r w:rsidR="00EC6615">
              <w:t>S</w:t>
            </w:r>
            <w:r>
              <w:t>urvey)</w:t>
            </w:r>
            <w:r w:rsidR="006244B0" w:rsidRPr="006244B0">
              <w:rPr>
                <w:vertAlign w:val="superscript"/>
              </w:rPr>
              <w:t>a</w:t>
            </w:r>
          </w:p>
        </w:tc>
        <w:tc>
          <w:tcPr>
            <w:tcW w:w="1625" w:type="pct"/>
            <w:tcBorders>
              <w:top w:val="single" w:sz="4" w:space="0" w:color="auto"/>
            </w:tcBorders>
          </w:tcPr>
          <w:p w:rsidR="00271489" w:rsidRPr="003702B9" w:rsidRDefault="00271489" w:rsidP="0047782E">
            <w:pPr>
              <w:pStyle w:val="TX-TableText"/>
            </w:pPr>
            <w:r w:rsidRPr="003702B9">
              <w:t>February – April 2017</w:t>
            </w:r>
          </w:p>
        </w:tc>
      </w:tr>
      <w:tr w:rsidR="00271489" w:rsidRPr="003702B9" w:rsidTr="00EB54AD">
        <w:tc>
          <w:tcPr>
            <w:tcW w:w="3375" w:type="pct"/>
          </w:tcPr>
          <w:p w:rsidR="00271489" w:rsidRPr="003702B9" w:rsidRDefault="00271489" w:rsidP="0047782E">
            <w:pPr>
              <w:pStyle w:val="TX-TableText"/>
            </w:pPr>
            <w:r w:rsidRPr="003702B9">
              <w:t>Post-</w:t>
            </w:r>
            <w:r>
              <w:t>SNAP Participant Survey</w:t>
            </w:r>
            <w:r w:rsidR="006244B0" w:rsidRPr="006244B0">
              <w:rPr>
                <w:vertAlign w:val="superscript"/>
              </w:rPr>
              <w:t xml:space="preserve"> </w:t>
            </w:r>
            <w:r w:rsidR="006244B0">
              <w:rPr>
                <w:vertAlign w:val="superscript"/>
              </w:rPr>
              <w:t>b</w:t>
            </w:r>
          </w:p>
        </w:tc>
        <w:tc>
          <w:tcPr>
            <w:tcW w:w="1625" w:type="pct"/>
          </w:tcPr>
          <w:p w:rsidR="00271489" w:rsidRPr="003702B9" w:rsidRDefault="00271489" w:rsidP="0047782E">
            <w:pPr>
              <w:pStyle w:val="TX-TableText"/>
            </w:pPr>
            <w:r w:rsidRPr="003702B9">
              <w:t>August – October 2017</w:t>
            </w:r>
          </w:p>
        </w:tc>
      </w:tr>
      <w:tr w:rsidR="00271489" w:rsidRPr="003702B9" w:rsidTr="00EB54AD">
        <w:tc>
          <w:tcPr>
            <w:tcW w:w="3375" w:type="pct"/>
          </w:tcPr>
          <w:p w:rsidR="00271489" w:rsidRPr="003702B9" w:rsidRDefault="00271489" w:rsidP="0047782E">
            <w:pPr>
              <w:pStyle w:val="TX-TableText"/>
            </w:pPr>
            <w:r w:rsidRPr="003702B9">
              <w:t>K</w:t>
            </w:r>
            <w:r>
              <w:t>ey Informant Interview</w:t>
            </w:r>
            <w:r w:rsidRPr="003702B9">
              <w:t xml:space="preserve"> – Grantee Administrators, Year 2</w:t>
            </w:r>
            <w:r w:rsidR="006244B0" w:rsidRPr="006244B0">
              <w:rPr>
                <w:vertAlign w:val="superscript"/>
              </w:rPr>
              <w:t>c</w:t>
            </w:r>
          </w:p>
        </w:tc>
        <w:tc>
          <w:tcPr>
            <w:tcW w:w="1625" w:type="pct"/>
          </w:tcPr>
          <w:p w:rsidR="00271489" w:rsidRPr="003702B9" w:rsidRDefault="00271489" w:rsidP="0047782E">
            <w:pPr>
              <w:pStyle w:val="TX-TableText"/>
            </w:pPr>
            <w:r w:rsidRPr="003702B9">
              <w:t>September – October 2016</w:t>
            </w:r>
          </w:p>
        </w:tc>
      </w:tr>
      <w:tr w:rsidR="00271489" w:rsidRPr="003702B9" w:rsidTr="00EB54AD">
        <w:tc>
          <w:tcPr>
            <w:tcW w:w="3375" w:type="pct"/>
          </w:tcPr>
          <w:p w:rsidR="00271489" w:rsidRPr="003702B9" w:rsidRDefault="00271489" w:rsidP="0047782E">
            <w:pPr>
              <w:pStyle w:val="TX-TableText"/>
            </w:pPr>
            <w:r w:rsidRPr="003702B9">
              <w:t>K</w:t>
            </w:r>
            <w:r>
              <w:t>ey Informant Interview</w:t>
            </w:r>
            <w:r w:rsidRPr="003702B9">
              <w:t xml:space="preserve"> – Grantee Administrators, Year 3</w:t>
            </w:r>
            <w:r w:rsidR="006244B0">
              <w:rPr>
                <w:vertAlign w:val="superscript"/>
              </w:rPr>
              <w:t>c</w:t>
            </w:r>
          </w:p>
        </w:tc>
        <w:tc>
          <w:tcPr>
            <w:tcW w:w="1625" w:type="pct"/>
          </w:tcPr>
          <w:p w:rsidR="00271489" w:rsidRPr="003702B9" w:rsidRDefault="00271489" w:rsidP="0047782E">
            <w:pPr>
              <w:pStyle w:val="TX-TableText"/>
            </w:pPr>
            <w:r w:rsidRPr="003702B9">
              <w:t>September – October 2017</w:t>
            </w:r>
          </w:p>
        </w:tc>
      </w:tr>
      <w:tr w:rsidR="00271489" w:rsidRPr="003702B9" w:rsidTr="00EB54AD">
        <w:tc>
          <w:tcPr>
            <w:tcW w:w="3375" w:type="pct"/>
          </w:tcPr>
          <w:p w:rsidR="00271489" w:rsidRPr="003702B9" w:rsidRDefault="00271489" w:rsidP="0047782E">
            <w:pPr>
              <w:pStyle w:val="TX-TableText"/>
            </w:pPr>
            <w:r w:rsidRPr="003702B9">
              <w:t>K</w:t>
            </w:r>
            <w:r>
              <w:t>ey Informant Interview</w:t>
            </w:r>
            <w:r w:rsidRPr="003702B9">
              <w:t xml:space="preserve"> – SNAP </w:t>
            </w:r>
            <w:proofErr w:type="spellStart"/>
            <w:r w:rsidRPr="003702B9">
              <w:t>Participants</w:t>
            </w:r>
            <w:r w:rsidR="006244B0" w:rsidRPr="006244B0">
              <w:rPr>
                <w:vertAlign w:val="superscript"/>
              </w:rPr>
              <w:t>d</w:t>
            </w:r>
            <w:proofErr w:type="spellEnd"/>
          </w:p>
        </w:tc>
        <w:tc>
          <w:tcPr>
            <w:tcW w:w="1625" w:type="pct"/>
          </w:tcPr>
          <w:p w:rsidR="00271489" w:rsidRPr="003702B9" w:rsidRDefault="00271489" w:rsidP="0047782E">
            <w:pPr>
              <w:pStyle w:val="TX-TableText"/>
            </w:pPr>
            <w:r w:rsidRPr="003702B9">
              <w:t>January – March 2018</w:t>
            </w:r>
          </w:p>
        </w:tc>
      </w:tr>
      <w:tr w:rsidR="00271489" w:rsidRPr="003702B9" w:rsidTr="00EB54AD">
        <w:tc>
          <w:tcPr>
            <w:tcW w:w="3375" w:type="pct"/>
          </w:tcPr>
          <w:p w:rsidR="00271489" w:rsidRPr="003702B9" w:rsidRDefault="00271489" w:rsidP="0047782E">
            <w:pPr>
              <w:pStyle w:val="TX-TableText"/>
            </w:pPr>
            <w:r w:rsidRPr="003702B9">
              <w:t xml:space="preserve">Outlet Survey, </w:t>
            </w:r>
            <w:r>
              <w:t xml:space="preserve">Grant </w:t>
            </w:r>
            <w:r w:rsidRPr="003702B9">
              <w:t>Cycle 2015</w:t>
            </w:r>
            <w:r w:rsidR="006244B0" w:rsidRPr="006244B0">
              <w:rPr>
                <w:vertAlign w:val="superscript"/>
              </w:rPr>
              <w:t>e</w:t>
            </w:r>
          </w:p>
        </w:tc>
        <w:tc>
          <w:tcPr>
            <w:tcW w:w="1625" w:type="pct"/>
          </w:tcPr>
          <w:p w:rsidR="00271489" w:rsidRPr="003702B9" w:rsidRDefault="00271489" w:rsidP="0047782E">
            <w:pPr>
              <w:pStyle w:val="TX-TableText"/>
            </w:pPr>
            <w:r w:rsidRPr="003702B9">
              <w:t>October – December 2016</w:t>
            </w:r>
          </w:p>
        </w:tc>
      </w:tr>
      <w:tr w:rsidR="00271489" w:rsidRPr="003702B9" w:rsidTr="00EB54AD">
        <w:tc>
          <w:tcPr>
            <w:tcW w:w="3375" w:type="pct"/>
          </w:tcPr>
          <w:p w:rsidR="00271489" w:rsidRPr="003702B9" w:rsidRDefault="00271489" w:rsidP="0047782E">
            <w:pPr>
              <w:pStyle w:val="TX-TableText"/>
            </w:pPr>
            <w:r w:rsidRPr="003702B9">
              <w:t xml:space="preserve">Outlet Survey, </w:t>
            </w:r>
            <w:r>
              <w:t xml:space="preserve">Grant </w:t>
            </w:r>
            <w:r w:rsidRPr="003702B9">
              <w:t>Cycle 2016</w:t>
            </w:r>
            <w:r w:rsidR="006244B0" w:rsidRPr="006244B0">
              <w:rPr>
                <w:vertAlign w:val="superscript"/>
              </w:rPr>
              <w:t>e</w:t>
            </w:r>
          </w:p>
        </w:tc>
        <w:tc>
          <w:tcPr>
            <w:tcW w:w="1625" w:type="pct"/>
          </w:tcPr>
          <w:p w:rsidR="00271489" w:rsidRPr="003702B9" w:rsidRDefault="00271489" w:rsidP="0047782E">
            <w:pPr>
              <w:pStyle w:val="TX-TableText"/>
            </w:pPr>
            <w:r w:rsidRPr="003702B9">
              <w:t>October – December 2017</w:t>
            </w:r>
          </w:p>
        </w:tc>
      </w:tr>
      <w:tr w:rsidR="00271489" w:rsidRPr="003702B9" w:rsidTr="00EB54AD">
        <w:tc>
          <w:tcPr>
            <w:tcW w:w="3375" w:type="pct"/>
          </w:tcPr>
          <w:p w:rsidR="00271489" w:rsidRPr="003702B9" w:rsidRDefault="00271489" w:rsidP="0047782E">
            <w:pPr>
              <w:pStyle w:val="TX-TableText"/>
            </w:pPr>
            <w:r w:rsidRPr="003702B9">
              <w:t xml:space="preserve">Core Program </w:t>
            </w:r>
            <w:proofErr w:type="spellStart"/>
            <w:r w:rsidRPr="003702B9">
              <w:t>Data</w:t>
            </w:r>
            <w:r w:rsidR="006244B0" w:rsidRPr="006244B0">
              <w:rPr>
                <w:vertAlign w:val="superscript"/>
              </w:rPr>
              <w:t>f</w:t>
            </w:r>
            <w:proofErr w:type="spellEnd"/>
          </w:p>
        </w:tc>
        <w:tc>
          <w:tcPr>
            <w:tcW w:w="1625" w:type="pct"/>
          </w:tcPr>
          <w:p w:rsidR="00271489" w:rsidRPr="003702B9" w:rsidRDefault="00271489" w:rsidP="0047782E">
            <w:pPr>
              <w:pStyle w:val="TX-TableText"/>
            </w:pPr>
            <w:r w:rsidRPr="003702B9">
              <w:t>July 2016 – June 2019</w:t>
            </w:r>
          </w:p>
        </w:tc>
      </w:tr>
      <w:tr w:rsidR="00271489" w:rsidRPr="003702B9" w:rsidTr="00EB54AD">
        <w:tc>
          <w:tcPr>
            <w:tcW w:w="3375" w:type="pct"/>
          </w:tcPr>
          <w:p w:rsidR="00271489" w:rsidRPr="003702B9" w:rsidRDefault="00271489" w:rsidP="0047782E">
            <w:pPr>
              <w:pStyle w:val="TX-TableText"/>
            </w:pPr>
            <w:r w:rsidRPr="003702B9">
              <w:t>Preliminary Report</w:t>
            </w:r>
          </w:p>
        </w:tc>
        <w:tc>
          <w:tcPr>
            <w:tcW w:w="1625" w:type="pct"/>
          </w:tcPr>
          <w:p w:rsidR="00271489" w:rsidRPr="003702B9" w:rsidRDefault="00271489" w:rsidP="0047782E">
            <w:pPr>
              <w:pStyle w:val="TX-TableText"/>
            </w:pPr>
            <w:r w:rsidRPr="003702B9">
              <w:t>December 2016</w:t>
            </w:r>
          </w:p>
        </w:tc>
      </w:tr>
      <w:tr w:rsidR="00271489" w:rsidRPr="003702B9" w:rsidTr="00EB54AD">
        <w:tc>
          <w:tcPr>
            <w:tcW w:w="3375" w:type="pct"/>
          </w:tcPr>
          <w:p w:rsidR="00271489" w:rsidRPr="003702B9" w:rsidRDefault="00271489" w:rsidP="0047782E">
            <w:pPr>
              <w:pStyle w:val="TX-TableText"/>
            </w:pPr>
            <w:r w:rsidRPr="003702B9">
              <w:t>Interim Report</w:t>
            </w:r>
          </w:p>
        </w:tc>
        <w:tc>
          <w:tcPr>
            <w:tcW w:w="1625" w:type="pct"/>
          </w:tcPr>
          <w:p w:rsidR="00271489" w:rsidRPr="003702B9" w:rsidRDefault="00271489" w:rsidP="0047782E">
            <w:pPr>
              <w:pStyle w:val="TX-TableText"/>
            </w:pPr>
            <w:r>
              <w:t>Spring</w:t>
            </w:r>
            <w:r w:rsidRPr="003702B9">
              <w:t xml:space="preserve"> 2018</w:t>
            </w:r>
          </w:p>
        </w:tc>
      </w:tr>
      <w:tr w:rsidR="00271489" w:rsidRPr="003702B9" w:rsidTr="00EB54AD">
        <w:tc>
          <w:tcPr>
            <w:tcW w:w="3375" w:type="pct"/>
          </w:tcPr>
          <w:p w:rsidR="00271489" w:rsidRPr="003702B9" w:rsidRDefault="00271489" w:rsidP="0047782E">
            <w:pPr>
              <w:pStyle w:val="TX-TableText"/>
            </w:pPr>
            <w:r w:rsidRPr="003702B9">
              <w:t>Final Report</w:t>
            </w:r>
          </w:p>
        </w:tc>
        <w:tc>
          <w:tcPr>
            <w:tcW w:w="1625" w:type="pct"/>
          </w:tcPr>
          <w:p w:rsidR="00271489" w:rsidRPr="003702B9" w:rsidRDefault="00271489" w:rsidP="0047782E">
            <w:pPr>
              <w:pStyle w:val="TX-TableText"/>
            </w:pPr>
            <w:r>
              <w:t>Spring</w:t>
            </w:r>
            <w:r w:rsidRPr="003702B9">
              <w:t xml:space="preserve"> 2020</w:t>
            </w:r>
          </w:p>
        </w:tc>
      </w:tr>
    </w:tbl>
    <w:p w:rsidR="00FD761B" w:rsidRDefault="006244B0" w:rsidP="006244B0">
      <w:pPr>
        <w:pStyle w:val="L1-FlLSp12"/>
        <w:spacing w:line="240" w:lineRule="auto"/>
        <w:rPr>
          <w:sz w:val="20"/>
        </w:rPr>
      </w:pPr>
      <w:proofErr w:type="spellStart"/>
      <w:proofErr w:type="gramStart"/>
      <w:r>
        <w:rPr>
          <w:vertAlign w:val="superscript"/>
        </w:rPr>
        <w:t>a</w:t>
      </w:r>
      <w:r w:rsidR="0041035E">
        <w:rPr>
          <w:sz w:val="20"/>
        </w:rPr>
        <w:t>S</w:t>
      </w:r>
      <w:r w:rsidR="00FD761B" w:rsidRPr="006244B0">
        <w:rPr>
          <w:sz w:val="20"/>
        </w:rPr>
        <w:t>chedule</w:t>
      </w:r>
      <w:proofErr w:type="spellEnd"/>
      <w:proofErr w:type="gramEnd"/>
      <w:r w:rsidR="00FD761B" w:rsidRPr="006244B0">
        <w:rPr>
          <w:sz w:val="20"/>
        </w:rPr>
        <w:t xml:space="preserve"> reflects all activities associated with </w:t>
      </w:r>
      <w:r>
        <w:rPr>
          <w:sz w:val="20"/>
        </w:rPr>
        <w:t>conducting the</w:t>
      </w:r>
      <w:r w:rsidR="00FD761B" w:rsidRPr="006244B0">
        <w:rPr>
          <w:sz w:val="20"/>
        </w:rPr>
        <w:t xml:space="preserve"> Pre-SNAP </w:t>
      </w:r>
      <w:r w:rsidR="0041035E">
        <w:rPr>
          <w:sz w:val="20"/>
        </w:rPr>
        <w:t>P</w:t>
      </w:r>
      <w:r w:rsidR="00FD761B" w:rsidRPr="006244B0">
        <w:rPr>
          <w:sz w:val="20"/>
        </w:rPr>
        <w:t xml:space="preserve">articipant </w:t>
      </w:r>
      <w:r w:rsidR="0041035E">
        <w:rPr>
          <w:sz w:val="20"/>
        </w:rPr>
        <w:t>S</w:t>
      </w:r>
      <w:r w:rsidR="00FD761B" w:rsidRPr="006244B0">
        <w:rPr>
          <w:sz w:val="20"/>
        </w:rPr>
        <w:t>urvey</w:t>
      </w:r>
      <w:r>
        <w:rPr>
          <w:sz w:val="20"/>
        </w:rPr>
        <w:t xml:space="preserve"> and includes mailing out invitation letters, reminder postcards, hard copy surveys, and telephone administration of surveys.  </w:t>
      </w:r>
    </w:p>
    <w:p w:rsidR="006244B0" w:rsidRDefault="006244B0" w:rsidP="006244B0">
      <w:pPr>
        <w:pStyle w:val="L1-FlLSp12"/>
        <w:spacing w:line="240" w:lineRule="auto"/>
        <w:rPr>
          <w:sz w:val="20"/>
        </w:rPr>
      </w:pPr>
      <w:proofErr w:type="spellStart"/>
      <w:proofErr w:type="gramStart"/>
      <w:r w:rsidRPr="006244B0">
        <w:rPr>
          <w:sz w:val="20"/>
          <w:vertAlign w:val="superscript"/>
        </w:rPr>
        <w:t>b</w:t>
      </w:r>
      <w:r w:rsidR="0041035E">
        <w:rPr>
          <w:sz w:val="20"/>
        </w:rPr>
        <w:t>S</w:t>
      </w:r>
      <w:r w:rsidRPr="006244B0">
        <w:rPr>
          <w:sz w:val="20"/>
        </w:rPr>
        <w:t>chedule</w:t>
      </w:r>
      <w:proofErr w:type="spellEnd"/>
      <w:proofErr w:type="gramEnd"/>
      <w:r w:rsidRPr="006244B0">
        <w:rPr>
          <w:sz w:val="20"/>
        </w:rPr>
        <w:t xml:space="preserve"> reflects all activities associated with </w:t>
      </w:r>
      <w:r>
        <w:rPr>
          <w:sz w:val="20"/>
        </w:rPr>
        <w:t>conducting the Post</w:t>
      </w:r>
      <w:r w:rsidRPr="006244B0">
        <w:rPr>
          <w:sz w:val="20"/>
        </w:rPr>
        <w:t xml:space="preserve">-SNAP </w:t>
      </w:r>
      <w:r w:rsidR="0041035E">
        <w:rPr>
          <w:sz w:val="20"/>
        </w:rPr>
        <w:t>P</w:t>
      </w:r>
      <w:r w:rsidRPr="006244B0">
        <w:rPr>
          <w:sz w:val="20"/>
        </w:rPr>
        <w:t xml:space="preserve">articipant </w:t>
      </w:r>
      <w:r w:rsidR="0041035E">
        <w:rPr>
          <w:sz w:val="20"/>
        </w:rPr>
        <w:t>S</w:t>
      </w:r>
      <w:r w:rsidRPr="006244B0">
        <w:rPr>
          <w:sz w:val="20"/>
        </w:rPr>
        <w:t>urvey</w:t>
      </w:r>
      <w:r>
        <w:rPr>
          <w:sz w:val="20"/>
        </w:rPr>
        <w:t xml:space="preserve"> and includes mailing out invitation letters, reminder postcards, hard copy surveys, and telephone administration of surveys.  </w:t>
      </w:r>
    </w:p>
    <w:p w:rsidR="006244B0" w:rsidRDefault="006244B0" w:rsidP="006244B0">
      <w:pPr>
        <w:pStyle w:val="L1-FlLSp12"/>
        <w:spacing w:line="240" w:lineRule="auto"/>
        <w:rPr>
          <w:sz w:val="20"/>
        </w:rPr>
      </w:pPr>
      <w:proofErr w:type="spellStart"/>
      <w:proofErr w:type="gramStart"/>
      <w:r w:rsidRPr="006244B0">
        <w:rPr>
          <w:sz w:val="20"/>
          <w:vertAlign w:val="superscript"/>
        </w:rPr>
        <w:t>c</w:t>
      </w:r>
      <w:r w:rsidR="0041035E">
        <w:rPr>
          <w:sz w:val="20"/>
        </w:rPr>
        <w:t>S</w:t>
      </w:r>
      <w:r>
        <w:rPr>
          <w:sz w:val="20"/>
        </w:rPr>
        <w:t>chedule</w:t>
      </w:r>
      <w:proofErr w:type="spellEnd"/>
      <w:proofErr w:type="gramEnd"/>
      <w:r>
        <w:rPr>
          <w:sz w:val="20"/>
        </w:rPr>
        <w:t xml:space="preserve"> reflects all activities associated with conducting key informant interviews with grantees and includes sending out invitations, scheduling and conducting telephone discussions, and mailing thank you postcards.</w:t>
      </w:r>
    </w:p>
    <w:p w:rsidR="006244B0" w:rsidRDefault="006244B0" w:rsidP="006244B0">
      <w:pPr>
        <w:pStyle w:val="L1-FlLSp12"/>
        <w:spacing w:line="240" w:lineRule="auto"/>
        <w:rPr>
          <w:sz w:val="20"/>
        </w:rPr>
      </w:pPr>
      <w:proofErr w:type="spellStart"/>
      <w:proofErr w:type="gramStart"/>
      <w:r w:rsidRPr="006244B0">
        <w:rPr>
          <w:sz w:val="20"/>
          <w:vertAlign w:val="superscript"/>
        </w:rPr>
        <w:t>d</w:t>
      </w:r>
      <w:r w:rsidR="0041035E">
        <w:rPr>
          <w:sz w:val="20"/>
        </w:rPr>
        <w:t>S</w:t>
      </w:r>
      <w:r>
        <w:rPr>
          <w:sz w:val="20"/>
        </w:rPr>
        <w:t>chedule</w:t>
      </w:r>
      <w:proofErr w:type="spellEnd"/>
      <w:proofErr w:type="gramEnd"/>
      <w:r>
        <w:rPr>
          <w:sz w:val="20"/>
        </w:rPr>
        <w:t xml:space="preserve"> reflects all activities associated with conducting key informant interviews with SNAP participants and includes mailing invitation letters, scheduling and conducting discussions, and mailing thank you letters.</w:t>
      </w:r>
    </w:p>
    <w:p w:rsidR="006244B0" w:rsidRDefault="006244B0" w:rsidP="006244B0">
      <w:pPr>
        <w:pStyle w:val="L1-FlLSp12"/>
        <w:spacing w:line="240" w:lineRule="auto"/>
        <w:rPr>
          <w:sz w:val="20"/>
        </w:rPr>
      </w:pPr>
      <w:proofErr w:type="spellStart"/>
      <w:proofErr w:type="gramStart"/>
      <w:r>
        <w:rPr>
          <w:sz w:val="20"/>
          <w:vertAlign w:val="superscript"/>
        </w:rPr>
        <w:t>e</w:t>
      </w:r>
      <w:r w:rsidR="0041035E">
        <w:rPr>
          <w:sz w:val="20"/>
        </w:rPr>
        <w:t>S</w:t>
      </w:r>
      <w:r>
        <w:rPr>
          <w:sz w:val="20"/>
        </w:rPr>
        <w:t>chedule</w:t>
      </w:r>
      <w:proofErr w:type="spellEnd"/>
      <w:proofErr w:type="gramEnd"/>
      <w:r>
        <w:rPr>
          <w:sz w:val="20"/>
        </w:rPr>
        <w:t xml:space="preserve"> reflects all activities associated with conducting </w:t>
      </w:r>
      <w:r w:rsidR="0041035E">
        <w:rPr>
          <w:sz w:val="20"/>
        </w:rPr>
        <w:t>O</w:t>
      </w:r>
      <w:r>
        <w:rPr>
          <w:sz w:val="20"/>
        </w:rPr>
        <w:t xml:space="preserve">utlet </w:t>
      </w:r>
      <w:r w:rsidR="0041035E">
        <w:rPr>
          <w:sz w:val="20"/>
        </w:rPr>
        <w:t>S</w:t>
      </w:r>
      <w:r>
        <w:rPr>
          <w:sz w:val="20"/>
        </w:rPr>
        <w:t>urveys and includes mailing invitation letters, reminder letters, and thank you letters.</w:t>
      </w:r>
    </w:p>
    <w:p w:rsidR="006244B0" w:rsidRDefault="006244B0" w:rsidP="006244B0">
      <w:pPr>
        <w:pStyle w:val="L1-FlLSp12"/>
        <w:spacing w:line="240" w:lineRule="auto"/>
        <w:rPr>
          <w:sz w:val="20"/>
        </w:rPr>
      </w:pPr>
      <w:proofErr w:type="spellStart"/>
      <w:r>
        <w:rPr>
          <w:sz w:val="20"/>
          <w:vertAlign w:val="superscript"/>
        </w:rPr>
        <w:t>f</w:t>
      </w:r>
      <w:r w:rsidR="0041035E">
        <w:rPr>
          <w:sz w:val="20"/>
        </w:rPr>
        <w:t>S</w:t>
      </w:r>
      <w:r>
        <w:rPr>
          <w:sz w:val="20"/>
        </w:rPr>
        <w:t>chedule</w:t>
      </w:r>
      <w:proofErr w:type="spellEnd"/>
      <w:r>
        <w:rPr>
          <w:sz w:val="20"/>
        </w:rPr>
        <w:t xml:space="preserve"> reflects all activities associated with obtaining annual and </w:t>
      </w:r>
      <w:r w:rsidR="0041035E">
        <w:rPr>
          <w:sz w:val="20"/>
        </w:rPr>
        <w:t>C</w:t>
      </w:r>
      <w:r>
        <w:rPr>
          <w:sz w:val="20"/>
        </w:rPr>
        <w:t xml:space="preserve">ore </w:t>
      </w:r>
      <w:r w:rsidR="0041035E">
        <w:rPr>
          <w:sz w:val="20"/>
        </w:rPr>
        <w:t>P</w:t>
      </w:r>
      <w:r>
        <w:rPr>
          <w:sz w:val="20"/>
        </w:rPr>
        <w:t xml:space="preserve">rogram </w:t>
      </w:r>
      <w:r w:rsidR="0041035E">
        <w:rPr>
          <w:sz w:val="20"/>
        </w:rPr>
        <w:t>D</w:t>
      </w:r>
      <w:r>
        <w:rPr>
          <w:sz w:val="20"/>
        </w:rPr>
        <w:t xml:space="preserve">ata; an email will be sent once a year, </w:t>
      </w:r>
      <w:r w:rsidR="005D02E5">
        <w:rPr>
          <w:sz w:val="20"/>
        </w:rPr>
        <w:t xml:space="preserve">to request annual core program data and an email will be send once each quarter to request quarterly core program data.  </w:t>
      </w:r>
      <w:r>
        <w:rPr>
          <w:sz w:val="20"/>
        </w:rPr>
        <w:t xml:space="preserve"> </w:t>
      </w:r>
    </w:p>
    <w:p w:rsidR="006244B0" w:rsidRPr="006244B0" w:rsidRDefault="006244B0" w:rsidP="006244B0">
      <w:pPr>
        <w:pStyle w:val="L1-FlLSp12"/>
        <w:spacing w:line="240" w:lineRule="auto"/>
        <w:rPr>
          <w:sz w:val="20"/>
        </w:rPr>
      </w:pPr>
    </w:p>
    <w:p w:rsidR="00271489" w:rsidRDefault="004867EA" w:rsidP="00271489">
      <w:pPr>
        <w:pStyle w:val="L1-FlLSp12"/>
      </w:pPr>
      <w:r w:rsidRPr="003702B9">
        <w:t xml:space="preserve">Final reports will be posted on the FNS </w:t>
      </w:r>
      <w:r>
        <w:t>w</w:t>
      </w:r>
      <w:r w:rsidRPr="003702B9">
        <w:t>eb site.</w:t>
      </w:r>
      <w:r>
        <w:t xml:space="preserve"> </w:t>
      </w:r>
      <w:r w:rsidR="00271489" w:rsidRPr="003702B9">
        <w:t xml:space="preserve">Findings </w:t>
      </w:r>
      <w:r>
        <w:t>may also</w:t>
      </w:r>
      <w:r w:rsidRPr="003702B9">
        <w:t xml:space="preserve"> </w:t>
      </w:r>
      <w:r w:rsidR="00271489" w:rsidRPr="003702B9">
        <w:t>be published in peer-reviewed reports, professional journals, and publications intended for general audiences such as nutrition educators. Early results from the process study will be available in the Preliminary Report; early results from outcome study will be available in the Interim Report; and all results from the process study, outcome study, and comparative analysis will be presented in the Final Report in January 2020.</w:t>
      </w:r>
    </w:p>
    <w:p w:rsidR="00460BBB" w:rsidRDefault="00460BBB" w:rsidP="00271489">
      <w:pPr>
        <w:pStyle w:val="L1-FlLSp12"/>
      </w:pPr>
    </w:p>
    <w:p w:rsidR="0041035E" w:rsidRDefault="0041035E" w:rsidP="00271489">
      <w:pPr>
        <w:pStyle w:val="L1-FlLSp12"/>
      </w:pPr>
    </w:p>
    <w:p w:rsidR="00271489" w:rsidRPr="003702B9" w:rsidRDefault="00271489" w:rsidP="00271489">
      <w:pPr>
        <w:pStyle w:val="Heading2"/>
      </w:pPr>
      <w:bookmarkStart w:id="116" w:name="_Toc290021776"/>
      <w:bookmarkStart w:id="117" w:name="_Toc329341699"/>
      <w:bookmarkStart w:id="118" w:name="_Toc400376165"/>
      <w:r w:rsidRPr="003702B9">
        <w:t>A.17</w:t>
      </w:r>
      <w:r w:rsidRPr="003702B9">
        <w:tab/>
      </w:r>
      <w:bookmarkEnd w:id="116"/>
      <w:r w:rsidRPr="003702B9">
        <w:t>Reason Display of OMB Expiration Date Is Inappropriate</w:t>
      </w:r>
      <w:bookmarkEnd w:id="117"/>
      <w:bookmarkEnd w:id="118"/>
    </w:p>
    <w:p w:rsidR="00271489" w:rsidRPr="002F126A" w:rsidRDefault="00271489" w:rsidP="00271489">
      <w:pPr>
        <w:pStyle w:val="L1-FlLSp12"/>
        <w:rPr>
          <w:b/>
        </w:rPr>
      </w:pPr>
      <w:r w:rsidRPr="002F126A">
        <w:rPr>
          <w:b/>
        </w:rPr>
        <w:t>If seeking approval to not display the expiration date for OMB approval of the information collection, explain the reasons that display would be inappropriate.</w:t>
      </w:r>
    </w:p>
    <w:p w:rsidR="00271489" w:rsidRPr="003702B9" w:rsidRDefault="00271489" w:rsidP="00271489">
      <w:pPr>
        <w:pStyle w:val="L1-FlLSp12"/>
      </w:pPr>
    </w:p>
    <w:p w:rsidR="00271489" w:rsidRDefault="00271489" w:rsidP="00271489">
      <w:pPr>
        <w:pStyle w:val="L1-FlLSp12"/>
      </w:pPr>
      <w:r w:rsidRPr="003702B9">
        <w:t>All data collection instruments will display the OMB approval number and expiration date.</w:t>
      </w:r>
    </w:p>
    <w:p w:rsidR="008C39E8" w:rsidRDefault="008C39E8" w:rsidP="00271489">
      <w:pPr>
        <w:pStyle w:val="L1-FlLSp12"/>
      </w:pPr>
    </w:p>
    <w:p w:rsidR="008C39E8" w:rsidRDefault="008C39E8" w:rsidP="00271489">
      <w:pPr>
        <w:pStyle w:val="L1-FlLSp12"/>
      </w:pPr>
    </w:p>
    <w:p w:rsidR="00271489" w:rsidRPr="003702B9" w:rsidRDefault="00271489" w:rsidP="00271489">
      <w:pPr>
        <w:pStyle w:val="Heading2"/>
      </w:pPr>
      <w:r w:rsidRPr="003702B9">
        <w:t>A.18</w:t>
      </w:r>
      <w:r w:rsidRPr="003702B9">
        <w:tab/>
        <w:t>Exceptions to Certification for Paperwork Reduction Act Submissions</w:t>
      </w:r>
    </w:p>
    <w:p w:rsidR="00271489" w:rsidRPr="002F126A" w:rsidRDefault="00271489" w:rsidP="00271489">
      <w:pPr>
        <w:pStyle w:val="L1-FlLSp12"/>
        <w:rPr>
          <w:b/>
        </w:rPr>
      </w:pPr>
      <w:r w:rsidRPr="002F126A">
        <w:rPr>
          <w:b/>
        </w:rPr>
        <w:t>Explain each exception to the certification statement identified in Item 19 “Certification for Paperwork Reduction Act.”</w:t>
      </w:r>
    </w:p>
    <w:p w:rsidR="00271489" w:rsidRPr="003702B9" w:rsidRDefault="00271489" w:rsidP="00271489">
      <w:pPr>
        <w:pStyle w:val="L1-FlLSp12"/>
      </w:pPr>
    </w:p>
    <w:p w:rsidR="00271489" w:rsidRPr="00D0578E" w:rsidRDefault="00271489" w:rsidP="00271489">
      <w:pPr>
        <w:pStyle w:val="L1-FlLSp12"/>
      </w:pPr>
      <w:r w:rsidRPr="003702B9">
        <w:t>There are no exceptions to the Certification for Paperwork Reduction Act (5 CFR 1320.9) for this study.</w:t>
      </w:r>
    </w:p>
    <w:p w:rsidR="00271489" w:rsidRDefault="00271489" w:rsidP="00271489">
      <w:pPr>
        <w:pStyle w:val="L1-FlLSp12"/>
      </w:pPr>
    </w:p>
    <w:sectPr w:rsidR="00271489" w:rsidSect="00E60620">
      <w:headerReference w:type="default" r:id="rId21"/>
      <w:footerReference w:type="default" r:id="rId22"/>
      <w:headerReference w:type="first" r:id="rId23"/>
      <w:footerReference w:type="first" r:id="rId24"/>
      <w:pgSz w:w="12240" w:h="15840" w:code="1"/>
      <w:pgMar w:top="1440" w:right="1440" w:bottom="1440" w:left="1440" w:header="720" w:footer="576"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693586" w15:done="0"/>
  <w15:commentEx w15:paraId="0136FE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325" w:rsidRDefault="009E4325">
      <w:pPr>
        <w:spacing w:line="240" w:lineRule="auto"/>
      </w:pPr>
      <w:r>
        <w:separator/>
      </w:r>
    </w:p>
  </w:endnote>
  <w:endnote w:type="continuationSeparator" w:id="0">
    <w:p w:rsidR="009E4325" w:rsidRDefault="009E43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59"/>
    <w:family w:val="auto"/>
    <w:pitch w:val="variable"/>
    <w:sig w:usb0="00000000" w:usb1="C0007843" w:usb2="00000009" w:usb3="00000000" w:csb0="000001FF" w:csb1="00000000"/>
  </w:font>
  <w:font w:name="CJPCAL+TimesNewRoman">
    <w:altName w:val="Times New Roman"/>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25" w:rsidRDefault="009E4325" w:rsidP="00D6308A">
    <w:pPr>
      <w:pStyle w:val="Footer"/>
      <w:jc w:val="center"/>
    </w:pPr>
    <w:r>
      <w:fldChar w:fldCharType="begin"/>
    </w:r>
    <w:r>
      <w:instrText xml:space="preserve"> PAGE   \* MERGEFORMAT </w:instrText>
    </w:r>
    <w:r>
      <w:fldChar w:fldCharType="separate"/>
    </w:r>
    <w:r w:rsidR="009E76E5">
      <w:rPr>
        <w:noProof/>
      </w:rPr>
      <w:t>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25" w:rsidRDefault="009E4325" w:rsidP="000F23D5">
    <w:pPr>
      <w:pStyle w:val="Footer"/>
      <w:jc w:val="center"/>
    </w:pPr>
    <w:r>
      <w:fldChar w:fldCharType="begin"/>
    </w:r>
    <w:r>
      <w:instrText xml:space="preserve"> PAGE   \* MERGEFORMAT </w:instrText>
    </w:r>
    <w:r>
      <w:fldChar w:fldCharType="separate"/>
    </w:r>
    <w:r w:rsidR="009E76E5">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25" w:rsidRPr="00BB3850" w:rsidRDefault="009E4325" w:rsidP="00B55BAD">
    <w:pPr>
      <w:pStyle w:val="Footer"/>
      <w:jc w:val="center"/>
    </w:pPr>
    <w:r>
      <w:fldChar w:fldCharType="begin"/>
    </w:r>
    <w:r>
      <w:instrText xml:space="preserve"> PAGE   \* MERGEFORMAT </w:instrText>
    </w:r>
    <w:r>
      <w:fldChar w:fldCharType="separate"/>
    </w:r>
    <w:r w:rsidR="009E76E5">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25" w:rsidRPr="00E60620" w:rsidRDefault="009E4325" w:rsidP="00E6062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25" w:rsidRPr="00E60620" w:rsidRDefault="009E4325" w:rsidP="00E6062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25" w:rsidRPr="00E60620" w:rsidRDefault="009E4325" w:rsidP="00E60620">
    <w:pPr>
      <w:pStyle w:val="Footer"/>
      <w:jc w:val="center"/>
    </w:pPr>
    <w:r>
      <w:fldChar w:fldCharType="begin"/>
    </w:r>
    <w:r>
      <w:instrText xml:space="preserve"> PAGE   \* MERGEFORMAT </w:instrText>
    </w:r>
    <w:r>
      <w:fldChar w:fldCharType="separate"/>
    </w:r>
    <w:r w:rsidR="009E76E5">
      <w:rPr>
        <w:noProof/>
      </w:rPr>
      <w:t>28</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25" w:rsidRPr="00D6415D" w:rsidRDefault="009E4325" w:rsidP="00B55BAD">
    <w:pPr>
      <w:pStyle w:val="Footer"/>
      <w:jc w:val="center"/>
    </w:pPr>
    <w:r w:rsidRPr="00D6415D">
      <w:rPr>
        <w:noProof/>
      </w:rPr>
      <w:fldChar w:fldCharType="begin"/>
    </w:r>
    <w:r w:rsidRPr="00D6415D">
      <w:rPr>
        <w:noProof/>
      </w:rPr>
      <w:instrText xml:space="preserve"> PAGE   \* MERGEFORMAT </w:instrText>
    </w:r>
    <w:r w:rsidRPr="00D6415D">
      <w:rPr>
        <w:noProof/>
      </w:rPr>
      <w:fldChar w:fldCharType="separate"/>
    </w:r>
    <w:r w:rsidR="009E76E5">
      <w:rPr>
        <w:noProof/>
      </w:rPr>
      <w:t>27</w:t>
    </w:r>
    <w:r w:rsidRPr="00D6415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325" w:rsidRDefault="009E4325">
      <w:pPr>
        <w:spacing w:line="240" w:lineRule="auto"/>
      </w:pPr>
      <w:r>
        <w:separator/>
      </w:r>
    </w:p>
  </w:footnote>
  <w:footnote w:type="continuationSeparator" w:id="0">
    <w:p w:rsidR="009E4325" w:rsidRDefault="009E4325">
      <w:pPr>
        <w:spacing w:line="240" w:lineRule="auto"/>
      </w:pPr>
      <w:r>
        <w:continuationSeparator/>
      </w:r>
    </w:p>
  </w:footnote>
  <w:footnote w:id="1">
    <w:p w:rsidR="009E4325" w:rsidRDefault="009E4325" w:rsidP="00EB54AD">
      <w:pPr>
        <w:pStyle w:val="FootnoteText"/>
        <w:tabs>
          <w:tab w:val="clear" w:pos="120"/>
          <w:tab w:val="left" w:pos="270"/>
        </w:tabs>
        <w:ind w:left="270" w:hanging="270"/>
      </w:pPr>
      <w:r>
        <w:rPr>
          <w:rStyle w:val="FootnoteReference"/>
        </w:rPr>
        <w:footnoteRef/>
      </w:r>
      <w:r>
        <w:tab/>
        <w:t>These research objectives are as stated in the Statement of Work released for the Evaluation of Food Insecurity Nutrition Incentives.</w:t>
      </w:r>
    </w:p>
  </w:footnote>
  <w:footnote w:id="2">
    <w:p w:rsidR="009E4325" w:rsidRDefault="009E4325">
      <w:pPr>
        <w:pStyle w:val="FootnoteText"/>
      </w:pPr>
      <w:r>
        <w:rPr>
          <w:rStyle w:val="FootnoteReference"/>
        </w:rPr>
        <w:footnoteRef/>
      </w:r>
      <w:r>
        <w:t xml:space="preserve"> We will not set a minimum threshold for number of outlets for </w:t>
      </w:r>
      <w:proofErr w:type="spellStart"/>
      <w:r>
        <w:t>granees</w:t>
      </w:r>
      <w:proofErr w:type="spellEnd"/>
      <w:r>
        <w:t xml:space="preserve"> that operate FINI in only one State. This will ensure that all grantees have the potential to be represented in the national evaluation.</w:t>
      </w:r>
    </w:p>
  </w:footnote>
  <w:footnote w:id="3">
    <w:p w:rsidR="009E4325" w:rsidRDefault="009E4325" w:rsidP="00EB54AD">
      <w:pPr>
        <w:pStyle w:val="FootnoteText"/>
        <w:tabs>
          <w:tab w:val="clear" w:pos="120"/>
          <w:tab w:val="left" w:pos="270"/>
        </w:tabs>
        <w:ind w:left="270" w:hanging="270"/>
      </w:pPr>
      <w:r>
        <w:rPr>
          <w:rStyle w:val="FootnoteReference"/>
        </w:rPr>
        <w:footnoteRef/>
      </w:r>
      <w:r>
        <w:tab/>
      </w:r>
      <w:r w:rsidRPr="00F14145">
        <w:t>Our experience from previous studies</w:t>
      </w:r>
      <w:r>
        <w:t>,</w:t>
      </w:r>
      <w:r w:rsidRPr="00F14145">
        <w:t xml:space="preserve"> including the</w:t>
      </w:r>
      <w:r>
        <w:t xml:space="preserve"> Nutrition Assistance in Farmers Markets: Understanding Shopping Patterns of SNAP Participants study</w:t>
      </w:r>
      <w:r w:rsidRPr="00F14145">
        <w:t xml:space="preserve"> indicates that a small </w:t>
      </w:r>
      <w:proofErr w:type="spellStart"/>
      <w:r w:rsidRPr="00F14145">
        <w:t>noncontingent</w:t>
      </w:r>
      <w:proofErr w:type="spellEnd"/>
      <w:r w:rsidRPr="00F14145">
        <w:t xml:space="preserve"> incentive has a positive effect on response rates.</w:t>
      </w:r>
      <w:r>
        <w:t xml:space="preserve"> Further discussion of this topic is provided in Section A.9.</w:t>
      </w:r>
    </w:p>
  </w:footnote>
  <w:footnote w:id="4">
    <w:p w:rsidR="009E4325" w:rsidRDefault="009E4325" w:rsidP="00EB54AD">
      <w:pPr>
        <w:pStyle w:val="FootnoteText"/>
        <w:tabs>
          <w:tab w:val="clear" w:pos="120"/>
          <w:tab w:val="left" w:pos="270"/>
        </w:tabs>
        <w:ind w:left="270" w:hanging="270"/>
      </w:pPr>
      <w:r>
        <w:rPr>
          <w:rStyle w:val="FootnoteReference"/>
        </w:rPr>
        <w:footnoteRef/>
      </w:r>
      <w:r>
        <w:tab/>
        <w:t>We plan to schedule 50 interviews in the event of cancellations. In the event that we complete 40 interviews, we will cancel the remaining interviews and provide SNAP participants with whom interviews were scheduled (excluding no</w:t>
      </w:r>
      <w:r>
        <w:noBreakHyphen/>
        <w:t>shows) with the incentive, to thank them for being available for the interview.</w:t>
      </w:r>
    </w:p>
  </w:footnote>
  <w:footnote w:id="5">
    <w:p w:rsidR="009E4325" w:rsidRDefault="009E4325" w:rsidP="00F952DB">
      <w:pPr>
        <w:pStyle w:val="FootnoteText"/>
        <w:tabs>
          <w:tab w:val="clear" w:pos="120"/>
          <w:tab w:val="left" w:pos="270"/>
        </w:tabs>
        <w:ind w:left="270" w:hanging="270"/>
      </w:pPr>
      <w:r>
        <w:rPr>
          <w:rStyle w:val="FootnoteReference"/>
        </w:rPr>
        <w:footnoteRef/>
      </w:r>
      <w:r>
        <w:tab/>
        <w:t>Separate surveys will be provided to farmers markets and grocery stores, CSAs and farm stands because farmers markets are composed of multiple venders, while grocery stores, CSAs and farm stands are single vendor retailers. Providing separate surveys will allow us to capture differences in incentive mechanism delivery due retail structure differences.</w:t>
      </w:r>
    </w:p>
  </w:footnote>
  <w:footnote w:id="6">
    <w:p w:rsidR="009E4325" w:rsidRDefault="009E4325" w:rsidP="00671D4E">
      <w:pPr>
        <w:pStyle w:val="FootnoteText"/>
      </w:pPr>
      <w:r>
        <w:rPr>
          <w:rStyle w:val="FootnoteReference"/>
        </w:rPr>
        <w:footnoteRef/>
      </w:r>
      <w:r>
        <w:tab/>
      </w:r>
      <w:proofErr w:type="gramStart"/>
      <w:r>
        <w:t xml:space="preserve">Bartlett, S., </w:t>
      </w:r>
      <w:proofErr w:type="spellStart"/>
      <w:r>
        <w:t>Klerman</w:t>
      </w:r>
      <w:proofErr w:type="spellEnd"/>
      <w:r>
        <w:t xml:space="preserve">, J., Wilde, P., </w:t>
      </w:r>
      <w:proofErr w:type="spellStart"/>
      <w:r>
        <w:t>Ohlso</w:t>
      </w:r>
      <w:proofErr w:type="spellEnd"/>
      <w:r>
        <w:t xml:space="preserve">, L., Logan, C., </w:t>
      </w:r>
      <w:proofErr w:type="spellStart"/>
      <w:r>
        <w:t>Blockin</w:t>
      </w:r>
      <w:proofErr w:type="spellEnd"/>
      <w:r>
        <w:t xml:space="preserve">, M., Beauregard, M., and </w:t>
      </w:r>
      <w:proofErr w:type="spellStart"/>
      <w:r>
        <w:t>Enver</w:t>
      </w:r>
      <w:proofErr w:type="spellEnd"/>
      <w:r>
        <w:t>, A. (2014).</w:t>
      </w:r>
      <w:proofErr w:type="gramEnd"/>
      <w:r>
        <w:t xml:space="preserve"> </w:t>
      </w:r>
      <w:proofErr w:type="gramStart"/>
      <w:r>
        <w:t>Evaluation of the Healthy Incentives Pilot (HIP) Final Report.</w:t>
      </w:r>
      <w:proofErr w:type="gramEnd"/>
      <w:r>
        <w:t xml:space="preserve"> Alexandria, VA: Food and Nutrition Service, USDA.</w:t>
      </w:r>
    </w:p>
  </w:footnote>
  <w:footnote w:id="7">
    <w:p w:rsidR="009E4325" w:rsidRDefault="009E4325">
      <w:pPr>
        <w:pStyle w:val="FootnoteText"/>
      </w:pPr>
      <w:r w:rsidRPr="00F654D7">
        <w:rPr>
          <w:rStyle w:val="FootnoteReference"/>
        </w:rPr>
        <w:footnoteRef/>
      </w:r>
      <w:r w:rsidRPr="00F654D7">
        <w:t xml:space="preserve"> Assuming a similar count and breakdown of FINI outlets among 2015 and 2016 grantees, we estimate 85 percent of the outlets to be farmers markets, farm stands, mobile markets, and CSAs.  These outlet types are considered small business.  The remaining 15 percent include traditional and local grocery stores and are considered medium to large business.</w:t>
      </w:r>
    </w:p>
  </w:footnote>
  <w:footnote w:id="8">
    <w:p w:rsidR="00BB623C" w:rsidRDefault="00BB623C" w:rsidP="00BB623C">
      <w:pPr>
        <w:pStyle w:val="FootnoteText"/>
        <w:tabs>
          <w:tab w:val="left" w:pos="180"/>
        </w:tabs>
        <w:ind w:left="180" w:hanging="180"/>
      </w:pPr>
      <w:r>
        <w:rPr>
          <w:rStyle w:val="FootnoteReference"/>
        </w:rPr>
        <w:footnoteRef/>
      </w:r>
      <w:r>
        <w:t xml:space="preserve"> Singer E. (2002). The use of incentives to reduce non response in households surveys in: Groves R, </w:t>
      </w:r>
      <w:proofErr w:type="spellStart"/>
      <w:r>
        <w:t>Dillman</w:t>
      </w:r>
      <w:proofErr w:type="spellEnd"/>
      <w:r>
        <w:t xml:space="preserve"> D, </w:t>
      </w:r>
      <w:proofErr w:type="spellStart"/>
      <w:r>
        <w:t>Eltinge</w:t>
      </w:r>
      <w:proofErr w:type="spellEnd"/>
      <w:r>
        <w:t xml:space="preserve"> J, </w:t>
      </w:r>
      <w:proofErr w:type="gramStart"/>
      <w:r>
        <w:t>Little</w:t>
      </w:r>
      <w:proofErr w:type="gramEnd"/>
      <w:r>
        <w:t xml:space="preserve"> R (eds.) Survey Non Response. New York: Wiley, pp 163-177.</w:t>
      </w:r>
    </w:p>
  </w:footnote>
  <w:footnote w:id="9">
    <w:p w:rsidR="00BB623C" w:rsidRDefault="00BB623C" w:rsidP="00BB623C">
      <w:pPr>
        <w:pStyle w:val="FootnoteText"/>
        <w:tabs>
          <w:tab w:val="left" w:pos="180"/>
        </w:tabs>
        <w:ind w:left="180" w:hanging="180"/>
      </w:pPr>
      <w:r>
        <w:rPr>
          <w:rStyle w:val="FootnoteReference"/>
        </w:rPr>
        <w:footnoteRef/>
      </w:r>
      <w:r>
        <w:t xml:space="preserve"> James T. (1996). </w:t>
      </w:r>
      <w:proofErr w:type="gramStart"/>
      <w:r>
        <w:t>Results of wave 1 incentive experiment in the 1996 survey of income and program participation.</w:t>
      </w:r>
      <w:proofErr w:type="gramEnd"/>
      <w:r>
        <w:t xml:space="preserve"> Proceedings of the Survey Research Section, American Statistical </w:t>
      </w:r>
      <w:proofErr w:type="gramStart"/>
      <w:r>
        <w:t>Association.,</w:t>
      </w:r>
      <w:proofErr w:type="gramEnd"/>
      <w:r>
        <w:t xml:space="preserve"> 834-839.</w:t>
      </w:r>
    </w:p>
  </w:footnote>
  <w:footnote w:id="10">
    <w:p w:rsidR="00BB623C" w:rsidRDefault="00BB623C" w:rsidP="00BB623C">
      <w:pPr>
        <w:pStyle w:val="FootnoteText"/>
        <w:tabs>
          <w:tab w:val="left" w:pos="180"/>
        </w:tabs>
        <w:ind w:left="180" w:hanging="180"/>
      </w:pPr>
      <w:r>
        <w:rPr>
          <w:rStyle w:val="FootnoteReference"/>
        </w:rPr>
        <w:footnoteRef/>
      </w:r>
      <w:r>
        <w:t xml:space="preserve"> Groves R, Fowler F, Couper M, </w:t>
      </w:r>
      <w:proofErr w:type="spellStart"/>
      <w:r>
        <w:t>Lepkowski</w:t>
      </w:r>
      <w:proofErr w:type="spellEnd"/>
      <w:r>
        <w:t xml:space="preserve"> J, Singer E. (2009) in: Survey methodology. John Wiley &amp; Sons, pp 205-206.</w:t>
      </w:r>
    </w:p>
  </w:footnote>
  <w:footnote w:id="11">
    <w:p w:rsidR="00BB623C" w:rsidRDefault="00BB623C" w:rsidP="00BB623C">
      <w:pPr>
        <w:pStyle w:val="FootnoteText"/>
        <w:tabs>
          <w:tab w:val="left" w:pos="180"/>
        </w:tabs>
        <w:ind w:left="180" w:hanging="180"/>
      </w:pPr>
      <w:r>
        <w:rPr>
          <w:rStyle w:val="FootnoteReference"/>
        </w:rPr>
        <w:footnoteRef/>
      </w:r>
      <w:r>
        <w:t xml:space="preserve"> Singer E. (2002).</w:t>
      </w:r>
    </w:p>
  </w:footnote>
  <w:footnote w:id="12">
    <w:p w:rsidR="00BB623C" w:rsidRDefault="00BB623C" w:rsidP="00BB623C">
      <w:pPr>
        <w:pStyle w:val="FootnoteText"/>
      </w:pPr>
      <w:r>
        <w:rPr>
          <w:rStyle w:val="FootnoteReference"/>
        </w:rPr>
        <w:footnoteRef/>
      </w:r>
      <w:r>
        <w:t xml:space="preserve"> </w:t>
      </w:r>
      <w:proofErr w:type="gramStart"/>
      <w:r>
        <w:t>Singer E and Ye C. (2013).</w:t>
      </w:r>
      <w:proofErr w:type="gramEnd"/>
      <w:r>
        <w:t xml:space="preserve">  </w:t>
      </w:r>
      <w:proofErr w:type="gramStart"/>
      <w:r>
        <w:t>The use and effectives of incentives in surveys.</w:t>
      </w:r>
      <w:proofErr w:type="gramEnd"/>
      <w:r>
        <w:t xml:space="preserve">  Annals of the American Academy of Political and Social Science, 645(1):112-141.</w:t>
      </w:r>
    </w:p>
  </w:footnote>
  <w:footnote w:id="13">
    <w:p w:rsidR="00BB623C" w:rsidRDefault="00BB623C" w:rsidP="00BB623C">
      <w:pPr>
        <w:pStyle w:val="FootnoteText"/>
      </w:pPr>
      <w:r>
        <w:rPr>
          <w:rStyle w:val="FootnoteReference"/>
        </w:rPr>
        <w:footnoteRef/>
      </w:r>
      <w:r>
        <w:t xml:space="preserve"> </w:t>
      </w:r>
      <w:proofErr w:type="spellStart"/>
      <w:r>
        <w:t>Bonevski</w:t>
      </w:r>
      <w:proofErr w:type="spellEnd"/>
      <w:r>
        <w:t xml:space="preserve"> B, Randell M, Paul C, Chapman K, </w:t>
      </w:r>
      <w:proofErr w:type="spellStart"/>
      <w:r>
        <w:t>Twyman</w:t>
      </w:r>
      <w:proofErr w:type="spellEnd"/>
      <w:r>
        <w:t xml:space="preserve"> L, Bryant J, </w:t>
      </w:r>
      <w:proofErr w:type="spellStart"/>
      <w:r>
        <w:t>Brozek</w:t>
      </w:r>
      <w:proofErr w:type="spellEnd"/>
      <w:r>
        <w:t xml:space="preserve"> K, Hughes, C. (2014) Reaching the hard-to-reach: a systematic review of strategies for improving health and medical research with socially disadvantaged groups.  BMC Medical Research Methodology 14:42, 14-42. http://bmcmedresmethodol.biomedcentral.com/articles/10.1186/1471-2288-14-42</w:t>
      </w:r>
    </w:p>
  </w:footnote>
  <w:footnote w:id="14">
    <w:p w:rsidR="00BB623C" w:rsidRDefault="00BB623C" w:rsidP="00BB623C">
      <w:pPr>
        <w:pStyle w:val="FootnoteText"/>
      </w:pPr>
      <w:r>
        <w:rPr>
          <w:rStyle w:val="FootnoteReference"/>
        </w:rPr>
        <w:footnoteRef/>
      </w:r>
      <w:r>
        <w:t xml:space="preserve"> </w:t>
      </w:r>
      <w:proofErr w:type="spellStart"/>
      <w:r>
        <w:t>Dillman</w:t>
      </w:r>
      <w:proofErr w:type="spellEnd"/>
      <w:r>
        <w:t xml:space="preserve">, Don. 2000. </w:t>
      </w:r>
      <w:r>
        <w:rPr>
          <w:i/>
        </w:rPr>
        <w:t>Mail and Internet Surveys: The Tailored Design Method, 2</w:t>
      </w:r>
      <w:r>
        <w:rPr>
          <w:i/>
          <w:vertAlign w:val="superscript"/>
        </w:rPr>
        <w:t>nd</w:t>
      </w:r>
      <w:r>
        <w:rPr>
          <w:i/>
        </w:rPr>
        <w:t xml:space="preserve"> Edition</w:t>
      </w:r>
      <w:r>
        <w:t>. John Wiley &amp; Sons: New York.</w:t>
      </w:r>
    </w:p>
  </w:footnote>
  <w:footnote w:id="15">
    <w:p w:rsidR="00BB623C" w:rsidRDefault="00BB623C" w:rsidP="00BB623C">
      <w:pPr>
        <w:pStyle w:val="FootnoteText"/>
      </w:pPr>
      <w:r>
        <w:rPr>
          <w:rStyle w:val="FootnoteReference"/>
        </w:rPr>
        <w:footnoteRef/>
      </w:r>
      <w:r>
        <w:t xml:space="preserve"> Singer, Eleanor. 2006. “Introduction: Nonresponse Bias in Household Surveys,” </w:t>
      </w:r>
      <w:r>
        <w:rPr>
          <w:i/>
        </w:rPr>
        <w:t>Public Opinion Quarterly</w:t>
      </w:r>
      <w:r>
        <w:t>. 70(5): 637-645.</w:t>
      </w:r>
    </w:p>
  </w:footnote>
  <w:footnote w:id="16">
    <w:p w:rsidR="00BB623C" w:rsidRDefault="00BB623C" w:rsidP="00BB623C">
      <w:pPr>
        <w:pStyle w:val="FootnoteText"/>
      </w:pPr>
      <w:r>
        <w:rPr>
          <w:rStyle w:val="FootnoteReference"/>
        </w:rPr>
        <w:footnoteRef/>
      </w:r>
      <w:r>
        <w:t xml:space="preserve"> Groves RM, Couper MP, Presser S, Singer E, </w:t>
      </w:r>
      <w:proofErr w:type="spellStart"/>
      <w:r>
        <w:t>Tourangeau</w:t>
      </w:r>
      <w:proofErr w:type="spellEnd"/>
      <w:r>
        <w:t xml:space="preserve"> R, Acosta G, Nelson L. (2006) Experiments in Producing Nonresponse bias.  </w:t>
      </w:r>
      <w:proofErr w:type="gramStart"/>
      <w:r>
        <w:t>Public Opinion Quarterly.</w:t>
      </w:r>
      <w:proofErr w:type="gramEnd"/>
      <w:r>
        <w:t xml:space="preserve"> 70(5): 720-736</w:t>
      </w:r>
    </w:p>
  </w:footnote>
  <w:footnote w:id="17">
    <w:p w:rsidR="00BB623C" w:rsidRDefault="00BB623C" w:rsidP="00BB623C">
      <w:pPr>
        <w:pStyle w:val="FootnoteText"/>
      </w:pPr>
      <w:r>
        <w:rPr>
          <w:rStyle w:val="FootnoteReference"/>
        </w:rPr>
        <w:footnoteRef/>
      </w:r>
      <w:r>
        <w:t xml:space="preserve"> </w:t>
      </w:r>
      <w:proofErr w:type="gramStart"/>
      <w:r>
        <w:t xml:space="preserve">Singer, E., and R.A. </w:t>
      </w:r>
      <w:proofErr w:type="spellStart"/>
      <w:r>
        <w:t>Kulka</w:t>
      </w:r>
      <w:proofErr w:type="spellEnd"/>
      <w:r>
        <w:t>.</w:t>
      </w:r>
      <w:proofErr w:type="gramEnd"/>
      <w:r>
        <w:t xml:space="preserve"> </w:t>
      </w:r>
      <w:proofErr w:type="gramStart"/>
      <w:r>
        <w:t>“Paying Respondents for Survey Participation.”</w:t>
      </w:r>
      <w:proofErr w:type="gramEnd"/>
      <w:r>
        <w:t xml:space="preserve"> In </w:t>
      </w:r>
      <w:r>
        <w:rPr>
          <w:i/>
        </w:rPr>
        <w:t xml:space="preserve">Studies of Welfare Populations: Data Collection and Research Issues. </w:t>
      </w:r>
      <w:proofErr w:type="gramStart"/>
      <w:r>
        <w:rPr>
          <w:i/>
        </w:rPr>
        <w:t>Panel on Data and Methods for Measuring the Effects of Changes in Social Welfare Programs,</w:t>
      </w:r>
      <w:r>
        <w:t xml:space="preserve"> edited by Michele </w:t>
      </w:r>
      <w:proofErr w:type="spellStart"/>
      <w:r>
        <w:t>Ver</w:t>
      </w:r>
      <w:proofErr w:type="spellEnd"/>
      <w:r>
        <w:t xml:space="preserve"> </w:t>
      </w:r>
      <w:proofErr w:type="spellStart"/>
      <w:r>
        <w:t>Ploeg</w:t>
      </w:r>
      <w:proofErr w:type="spellEnd"/>
      <w:r>
        <w:t xml:space="preserve">, Robert A. Moffitt, and Constance F. </w:t>
      </w:r>
      <w:proofErr w:type="spellStart"/>
      <w:r>
        <w:t>Citro</w:t>
      </w:r>
      <w:proofErr w:type="spellEnd"/>
      <w:r>
        <w:t>.</w:t>
      </w:r>
      <w:proofErr w:type="gramEnd"/>
      <w:r>
        <w:t xml:space="preserve"> </w:t>
      </w:r>
      <w:proofErr w:type="gramStart"/>
      <w:r>
        <w:t>Committee on National Statistics, Division of Behavioral and Social Sciences and Education.</w:t>
      </w:r>
      <w:proofErr w:type="gramEnd"/>
      <w:r>
        <w:t xml:space="preserve"> Washington, DC: National Academy Press, 2002, pp. 105–128.</w:t>
      </w:r>
    </w:p>
  </w:footnote>
  <w:footnote w:id="18">
    <w:p w:rsidR="00BB623C" w:rsidRDefault="00BB623C" w:rsidP="00BB623C">
      <w:pPr>
        <w:pStyle w:val="FootnoteText"/>
        <w:tabs>
          <w:tab w:val="clear" w:pos="120"/>
          <w:tab w:val="left" w:pos="180"/>
        </w:tabs>
        <w:ind w:left="180" w:hanging="180"/>
      </w:pPr>
      <w:r>
        <w:rPr>
          <w:rStyle w:val="FootnoteReference"/>
        </w:rPr>
        <w:footnoteRef/>
      </w:r>
      <w:r>
        <w:t xml:space="preserve"> Groves, R., Singer, E., Corning, A. (2000). Leverage-saliency theory of survey participation: description and an illustration. </w:t>
      </w:r>
      <w:proofErr w:type="gramStart"/>
      <w:r>
        <w:rPr>
          <w:i/>
        </w:rPr>
        <w:t>Public Opinion Quarterly</w:t>
      </w:r>
      <w:r>
        <w:t>.</w:t>
      </w:r>
      <w:proofErr w:type="gramEnd"/>
      <w:r>
        <w:t xml:space="preserve"> 64(3): 299-308.</w:t>
      </w:r>
    </w:p>
  </w:footnote>
  <w:footnote w:id="19">
    <w:p w:rsidR="00BB623C" w:rsidRDefault="00BB623C" w:rsidP="00BB623C">
      <w:pPr>
        <w:pStyle w:val="FootnoteText"/>
      </w:pPr>
      <w:r>
        <w:rPr>
          <w:rStyle w:val="FootnoteReference"/>
        </w:rPr>
        <w:footnoteRef/>
      </w:r>
      <w:r>
        <w:t xml:space="preserve"> </w:t>
      </w:r>
      <w:proofErr w:type="gramStart"/>
      <w:r>
        <w:t xml:space="preserve">Messer B and </w:t>
      </w:r>
      <w:proofErr w:type="spellStart"/>
      <w:r>
        <w:t>Dillamn</w:t>
      </w:r>
      <w:proofErr w:type="spellEnd"/>
      <w:r>
        <w:t xml:space="preserve"> D (2011).</w:t>
      </w:r>
      <w:proofErr w:type="gramEnd"/>
      <w:r>
        <w:t xml:space="preserve">  </w:t>
      </w:r>
      <w:proofErr w:type="gramStart"/>
      <w:r>
        <w:t>Surveying the general public over the internet using address-based sampling and mail contact procedures.</w:t>
      </w:r>
      <w:proofErr w:type="gramEnd"/>
      <w:r>
        <w:t xml:space="preserve"> </w:t>
      </w:r>
      <w:r>
        <w:rPr>
          <w:i/>
        </w:rPr>
        <w:t>Public Opinion Quarterly</w:t>
      </w:r>
      <w:r>
        <w:t>, 75:429-457.</w:t>
      </w:r>
    </w:p>
  </w:footnote>
  <w:footnote w:id="20">
    <w:p w:rsidR="00BB623C" w:rsidRDefault="00BB623C" w:rsidP="00BB623C">
      <w:pPr>
        <w:pStyle w:val="FootnoteText"/>
      </w:pPr>
      <w:r>
        <w:rPr>
          <w:rStyle w:val="FootnoteReference"/>
        </w:rPr>
        <w:footnoteRef/>
      </w:r>
      <w:r>
        <w:t xml:space="preserve"> Singer E, Van </w:t>
      </w:r>
      <w:proofErr w:type="spellStart"/>
      <w:r>
        <w:t>Hoewyk</w:t>
      </w:r>
      <w:proofErr w:type="spellEnd"/>
      <w:r>
        <w:t xml:space="preserve"> J, Maher MP. </w:t>
      </w:r>
      <w:proofErr w:type="gramStart"/>
      <w:r>
        <w:t>(2000). Experiments with incentives in telephone surveys.</w:t>
      </w:r>
      <w:proofErr w:type="gramEnd"/>
      <w:r>
        <w:t xml:space="preserve"> Public Opinion Quarterly 64:171-188.</w:t>
      </w:r>
    </w:p>
  </w:footnote>
  <w:footnote w:id="21">
    <w:p w:rsidR="00BB623C" w:rsidRDefault="00BB623C" w:rsidP="00BB623C">
      <w:pPr>
        <w:pStyle w:val="FootnoteText"/>
      </w:pPr>
      <w:r>
        <w:rPr>
          <w:rStyle w:val="FootnoteReference"/>
        </w:rPr>
        <w:footnoteRef/>
      </w:r>
      <w:r>
        <w:t xml:space="preserve"> </w:t>
      </w:r>
      <w:proofErr w:type="spellStart"/>
      <w:r>
        <w:t>Currivan</w:t>
      </w:r>
      <w:proofErr w:type="spellEnd"/>
      <w:r>
        <w:t xml:space="preserve"> D (2005).  </w:t>
      </w:r>
      <w:proofErr w:type="gramStart"/>
      <w:r>
        <w:t>The impact of providing incentives to initial telephone survey refusers on sample composition and data quality.</w:t>
      </w:r>
      <w:proofErr w:type="gramEnd"/>
      <w:r>
        <w:t xml:space="preserve">  Prepared for the American Association of Public Opinion Research Annual Meeting in Miami, 2005. </w:t>
      </w:r>
    </w:p>
  </w:footnote>
  <w:footnote w:id="22">
    <w:p w:rsidR="00BB623C" w:rsidRDefault="00BB623C" w:rsidP="00BB623C">
      <w:pPr>
        <w:pStyle w:val="FootnoteText"/>
        <w:tabs>
          <w:tab w:val="left" w:pos="180"/>
        </w:tabs>
        <w:ind w:left="180" w:hanging="180"/>
      </w:pPr>
      <w:r>
        <w:rPr>
          <w:rStyle w:val="FootnoteReference"/>
        </w:rPr>
        <w:footnoteRef/>
      </w:r>
      <w:r>
        <w:t xml:space="preserve"> </w:t>
      </w:r>
      <w:proofErr w:type="gramStart"/>
      <w:r>
        <w:t xml:space="preserve">Messer and </w:t>
      </w:r>
      <w:proofErr w:type="spellStart"/>
      <w:r>
        <w:t>Dillman</w:t>
      </w:r>
      <w:proofErr w:type="spellEnd"/>
      <w:r>
        <w:t>, 2011.</w:t>
      </w:r>
      <w:proofErr w:type="gramEnd"/>
      <w:r>
        <w:t xml:space="preserve">  </w:t>
      </w:r>
    </w:p>
  </w:footnote>
  <w:footnote w:id="23">
    <w:p w:rsidR="00BB623C" w:rsidRDefault="00BB623C" w:rsidP="00BB623C">
      <w:pPr>
        <w:pStyle w:val="FootnoteText"/>
        <w:tabs>
          <w:tab w:val="clear" w:pos="120"/>
          <w:tab w:val="left" w:pos="180"/>
        </w:tabs>
        <w:ind w:left="180" w:hanging="180"/>
      </w:pPr>
      <w:r>
        <w:rPr>
          <w:rStyle w:val="FootnoteReference"/>
        </w:rPr>
        <w:footnoteRef/>
      </w:r>
      <w:r>
        <w:t xml:space="preserve"> </w:t>
      </w:r>
      <w:proofErr w:type="gramStart"/>
      <w:r>
        <w:t xml:space="preserve">Mercer A, </w:t>
      </w:r>
      <w:proofErr w:type="spellStart"/>
      <w:r>
        <w:t>Caporaso</w:t>
      </w:r>
      <w:proofErr w:type="spellEnd"/>
      <w:r>
        <w:t xml:space="preserve"> A, Cantor D, Townsend R (2015).</w:t>
      </w:r>
      <w:proofErr w:type="gramEnd"/>
      <w:r>
        <w:t xml:space="preserve">  How much gets you how much? </w:t>
      </w:r>
      <w:proofErr w:type="gramStart"/>
      <w:r>
        <w:t>Monetary incentives and response rates in household surveys.</w:t>
      </w:r>
      <w:proofErr w:type="gramEnd"/>
      <w:r>
        <w:t xml:space="preserve">  </w:t>
      </w:r>
      <w:r>
        <w:rPr>
          <w:i/>
        </w:rPr>
        <w:t>Public Opinion Quarterly</w:t>
      </w:r>
      <w:r>
        <w:t>, 79:105-129.</w:t>
      </w:r>
    </w:p>
  </w:footnote>
  <w:footnote w:id="24">
    <w:p w:rsidR="00BB623C" w:rsidRDefault="00BB623C" w:rsidP="00BB623C">
      <w:pPr>
        <w:pStyle w:val="FootnoteText"/>
        <w:tabs>
          <w:tab w:val="clear" w:pos="120"/>
          <w:tab w:val="left" w:pos="180"/>
          <w:tab w:val="left" w:pos="270"/>
        </w:tabs>
        <w:ind w:left="180" w:hanging="180"/>
      </w:pPr>
      <w:r>
        <w:rPr>
          <w:rStyle w:val="FootnoteReference"/>
        </w:rPr>
        <w:footnoteRef/>
      </w:r>
      <w:r>
        <w:tab/>
      </w:r>
      <w:proofErr w:type="gramStart"/>
      <w:r>
        <w:t>Cantor, David, Kevin Wang, and Natalie Abi-Habib.</w:t>
      </w:r>
      <w:proofErr w:type="gramEnd"/>
      <w:r>
        <w:t xml:space="preserve"> (2003). “Comparing Promised and Pre-Paid Incentives for an Extended Interview on a Random Digit Dial Survey.” </w:t>
      </w:r>
      <w:proofErr w:type="gramStart"/>
      <w:r>
        <w:rPr>
          <w:i/>
        </w:rPr>
        <w:t>Proceedings of the American Statistical Association, Survey Research Section.</w:t>
      </w:r>
      <w:proofErr w:type="gramEnd"/>
    </w:p>
  </w:footnote>
  <w:footnote w:id="25">
    <w:p w:rsidR="00BB623C" w:rsidRDefault="00BB623C" w:rsidP="00BB623C">
      <w:pPr>
        <w:pStyle w:val="FootnoteText"/>
      </w:pPr>
      <w:r>
        <w:rPr>
          <w:rStyle w:val="FootnoteReference"/>
        </w:rPr>
        <w:footnoteRef/>
      </w:r>
      <w:r>
        <w:t xml:space="preserve"> </w:t>
      </w:r>
      <w:proofErr w:type="spellStart"/>
      <w:r>
        <w:t>Karakus</w:t>
      </w:r>
      <w:proofErr w:type="spellEnd"/>
      <w:r>
        <w:t xml:space="preserve">, Mustafa, </w:t>
      </w:r>
      <w:proofErr w:type="spellStart"/>
      <w:r>
        <w:t>MacAllum</w:t>
      </w:r>
      <w:proofErr w:type="spellEnd"/>
      <w:r>
        <w:t xml:space="preserve">, Keith, </w:t>
      </w:r>
      <w:proofErr w:type="spellStart"/>
      <w:r>
        <w:t>Milfort</w:t>
      </w:r>
      <w:proofErr w:type="spellEnd"/>
      <w:r>
        <w:t xml:space="preserve">, </w:t>
      </w:r>
      <w:proofErr w:type="spellStart"/>
      <w:r>
        <w:t>Roline</w:t>
      </w:r>
      <w:proofErr w:type="spellEnd"/>
      <w:r>
        <w:t xml:space="preserve"> and </w:t>
      </w:r>
      <w:proofErr w:type="spellStart"/>
      <w:r>
        <w:t>Hao</w:t>
      </w:r>
      <w:proofErr w:type="spellEnd"/>
      <w:r>
        <w:t xml:space="preserve">, </w:t>
      </w:r>
      <w:proofErr w:type="spellStart"/>
      <w:r>
        <w:t>Hongsheng</w:t>
      </w:r>
      <w:proofErr w:type="spellEnd"/>
      <w:r>
        <w:t xml:space="preserve">. </w:t>
      </w:r>
      <w:r>
        <w:rPr>
          <w:i/>
          <w:iCs/>
        </w:rPr>
        <w:t>Nutrition Assistance in Farmers Markets: Understanding the Shopping Patterns of SNAP Participants</w:t>
      </w:r>
      <w:r>
        <w:t xml:space="preserve">. </w:t>
      </w:r>
      <w:proofErr w:type="gramStart"/>
      <w:r>
        <w:t xml:space="preserve">Prepared by </w:t>
      </w:r>
      <w:proofErr w:type="spellStart"/>
      <w:r>
        <w:t>Westat</w:t>
      </w:r>
      <w:proofErr w:type="spellEnd"/>
      <w:r>
        <w:t xml:space="preserve"> for the U.S. Department of Agriculture, Food and Nutrition Service, October, 2014.</w:t>
      </w:r>
      <w:proofErr w:type="gramEnd"/>
      <w:r>
        <w:t xml:space="preserve"> </w:t>
      </w:r>
    </w:p>
  </w:footnote>
  <w:footnote w:id="26">
    <w:p w:rsidR="00BB623C" w:rsidRDefault="00BB623C" w:rsidP="00BB623C">
      <w:pPr>
        <w:pStyle w:val="FootnoteText"/>
      </w:pPr>
      <w:r>
        <w:rPr>
          <w:rStyle w:val="FootnoteReference"/>
        </w:rPr>
        <w:footnoteRef/>
      </w:r>
      <w:r>
        <w:t xml:space="preserve"> </w:t>
      </w:r>
      <w:proofErr w:type="spellStart"/>
      <w:proofErr w:type="gramStart"/>
      <w:r>
        <w:t>Mabli</w:t>
      </w:r>
      <w:proofErr w:type="spellEnd"/>
      <w:r>
        <w:t xml:space="preserve">, James, Jim </w:t>
      </w:r>
      <w:proofErr w:type="spellStart"/>
      <w:r>
        <w:t>Ohls</w:t>
      </w:r>
      <w:proofErr w:type="spellEnd"/>
      <w:r>
        <w:t xml:space="preserve">, Lisa </w:t>
      </w:r>
      <w:proofErr w:type="spellStart"/>
      <w:r>
        <w:t>Dragoset</w:t>
      </w:r>
      <w:proofErr w:type="spellEnd"/>
      <w:r>
        <w:t xml:space="preserve">, Laura </w:t>
      </w:r>
      <w:proofErr w:type="spellStart"/>
      <w:r>
        <w:t>Castner</w:t>
      </w:r>
      <w:proofErr w:type="spellEnd"/>
      <w:r>
        <w:t>, and Betsy Santos.</w:t>
      </w:r>
      <w:proofErr w:type="gramEnd"/>
      <w:r>
        <w:t xml:space="preserve"> </w:t>
      </w:r>
      <w:proofErr w:type="gramStart"/>
      <w:r>
        <w:rPr>
          <w:i/>
          <w:iCs/>
        </w:rPr>
        <w:t>Measuring the Effect of Supplemental Nutrition Assistance Program (SNAP) Participation on Food Security</w:t>
      </w:r>
      <w:r>
        <w:t>.</w:t>
      </w:r>
      <w:proofErr w:type="gramEnd"/>
      <w:r>
        <w:t xml:space="preserve"> </w:t>
      </w:r>
      <w:proofErr w:type="gramStart"/>
      <w:r>
        <w:t>Prepared by Mathematica Policy Research for the U.S. Department of Agriculture, Food and Nutrition Service, August 2013.</w:t>
      </w:r>
      <w:proofErr w:type="gramEnd"/>
    </w:p>
  </w:footnote>
  <w:footnote w:id="27">
    <w:p w:rsidR="00BB623C" w:rsidRDefault="00BB623C" w:rsidP="00BB623C">
      <w:pPr>
        <w:pStyle w:val="FootnoteText"/>
        <w:tabs>
          <w:tab w:val="clear" w:pos="120"/>
          <w:tab w:val="left" w:pos="180"/>
        </w:tabs>
        <w:ind w:left="180" w:hanging="180"/>
      </w:pPr>
      <w:r>
        <w:rPr>
          <w:rStyle w:val="FootnoteReference"/>
        </w:rPr>
        <w:footnoteRef/>
      </w:r>
      <w:r>
        <w:t xml:space="preserve"> </w:t>
      </w:r>
      <w:proofErr w:type="gramStart"/>
      <w:r>
        <w:t>Groves et al., 2009.</w:t>
      </w:r>
      <w:proofErr w:type="gramEnd"/>
    </w:p>
  </w:footnote>
  <w:footnote w:id="28">
    <w:p w:rsidR="00BB623C" w:rsidRDefault="00BB623C" w:rsidP="00BB623C">
      <w:pPr>
        <w:pStyle w:val="FootnoteText"/>
        <w:tabs>
          <w:tab w:val="clear" w:pos="120"/>
          <w:tab w:val="left" w:pos="180"/>
        </w:tabs>
        <w:spacing w:line="240" w:lineRule="auto"/>
        <w:ind w:left="180" w:hanging="180"/>
      </w:pPr>
      <w:r>
        <w:rPr>
          <w:rStyle w:val="FootnoteReference"/>
        </w:rPr>
        <w:footnoteRef/>
      </w:r>
      <w:r>
        <w:t xml:space="preserve"> Federal Deposit Insurance Corporation (2014). </w:t>
      </w:r>
      <w:proofErr w:type="gramStart"/>
      <w:r>
        <w:rPr>
          <w:i/>
        </w:rPr>
        <w:t>2013 FDIC National Survey of Unbanked and Underbanked Households</w:t>
      </w:r>
      <w:r>
        <w:t>.</w:t>
      </w:r>
      <w:proofErr w:type="gramEnd"/>
      <w:r>
        <w:t xml:space="preserve"> Available at: </w:t>
      </w:r>
      <w:hyperlink r:id="rId1" w:history="1">
        <w:r>
          <w:rPr>
            <w:rStyle w:val="Hyperlink"/>
            <w:u w:val="single"/>
          </w:rPr>
          <w:t>https://www.economicinclusion.gov/surveys/2013household/documents/2013_FDIC_Unbanked_HH_Survey_Report.pdf</w:t>
        </w:r>
      </w:hyperlink>
      <w:r>
        <w:t xml:space="preserve">. </w:t>
      </w:r>
    </w:p>
  </w:footnote>
  <w:footnote w:id="29">
    <w:p w:rsidR="00BB623C" w:rsidRDefault="00BB623C" w:rsidP="00BB623C">
      <w:pPr>
        <w:pStyle w:val="FootnoteText"/>
        <w:tabs>
          <w:tab w:val="clear" w:pos="120"/>
          <w:tab w:val="left" w:pos="180"/>
        </w:tabs>
        <w:spacing w:line="240" w:lineRule="auto"/>
        <w:ind w:left="180" w:hanging="180"/>
      </w:pPr>
      <w:r>
        <w:rPr>
          <w:rStyle w:val="FootnoteReference"/>
        </w:rPr>
        <w:footnoteRef/>
      </w:r>
      <w:r>
        <w:t xml:space="preserve"> </w:t>
      </w:r>
      <w:r>
        <w:rPr>
          <w:lang w:val="en"/>
        </w:rPr>
        <w:t xml:space="preserve">Roger </w:t>
      </w:r>
      <w:proofErr w:type="spellStart"/>
      <w:r>
        <w:rPr>
          <w:lang w:val="en"/>
        </w:rPr>
        <w:t>Swagler</w:t>
      </w:r>
      <w:proofErr w:type="spellEnd"/>
      <w:r>
        <w:rPr>
          <w:lang w:val="en"/>
        </w:rPr>
        <w:t xml:space="preserve"> R, John Burton J and Joan </w:t>
      </w:r>
      <w:proofErr w:type="spellStart"/>
      <w:r>
        <w:rPr>
          <w:lang w:val="en"/>
        </w:rPr>
        <w:t>Koonce</w:t>
      </w:r>
      <w:proofErr w:type="spellEnd"/>
      <w:r>
        <w:rPr>
          <w:lang w:val="en"/>
        </w:rPr>
        <w:t xml:space="preserve"> Lewis J (1995). The Alternative Financial Sector: An Overview.  </w:t>
      </w:r>
      <w:proofErr w:type="gramStart"/>
      <w:r>
        <w:rPr>
          <w:i/>
          <w:iCs/>
          <w:lang w:val="en"/>
        </w:rPr>
        <w:t>Advancing the Consumer Interest</w:t>
      </w:r>
      <w:r>
        <w:rPr>
          <w:lang w:val="en"/>
        </w:rPr>
        <w:t>.</w:t>
      </w:r>
      <w:proofErr w:type="gramEnd"/>
      <w:r>
        <w:rPr>
          <w:lang w:val="en"/>
        </w:rPr>
        <w:t xml:space="preserve"> Vol. 7, No. 2 (Fall 1995), pp. 7-12. </w:t>
      </w:r>
    </w:p>
  </w:footnote>
  <w:footnote w:id="30">
    <w:p w:rsidR="00BB623C" w:rsidRDefault="00BB623C" w:rsidP="00BB623C">
      <w:pPr>
        <w:pStyle w:val="FootnoteText"/>
        <w:tabs>
          <w:tab w:val="clear" w:pos="120"/>
          <w:tab w:val="left" w:pos="180"/>
        </w:tabs>
        <w:spacing w:line="240" w:lineRule="auto"/>
        <w:ind w:left="180" w:hanging="180"/>
      </w:pPr>
      <w:r>
        <w:rPr>
          <w:rStyle w:val="FootnoteReference"/>
        </w:rPr>
        <w:footnoteRef/>
      </w:r>
      <w:r>
        <w:t xml:space="preserve"> Fox J A, Woodall P (2006). Cashed Out: Consumers Pay Steep Premium to “Bank” at Check Cashing Outlets. Available at: </w:t>
      </w:r>
      <w:hyperlink r:id="rId2" w:history="1">
        <w:r>
          <w:rPr>
            <w:rStyle w:val="Hyperlink"/>
            <w:u w:val="single"/>
          </w:rPr>
          <w:t>http://consumerfed.org/pdfs/CFA_2006_Check_Cashing_Study111506.pdf</w:t>
        </w:r>
      </w:hyperlink>
      <w:r>
        <w:t xml:space="preserve">. </w:t>
      </w:r>
    </w:p>
  </w:footnote>
  <w:footnote w:id="31">
    <w:p w:rsidR="00BB623C" w:rsidRDefault="00BB623C" w:rsidP="00BB623C">
      <w:pPr>
        <w:pStyle w:val="FootnoteText"/>
        <w:tabs>
          <w:tab w:val="clear" w:pos="120"/>
          <w:tab w:val="left" w:pos="180"/>
        </w:tabs>
        <w:spacing w:after="240" w:line="240" w:lineRule="auto"/>
        <w:ind w:left="180" w:hanging="180"/>
      </w:pPr>
      <w:r>
        <w:rPr>
          <w:rStyle w:val="FootnoteReference"/>
        </w:rPr>
        <w:footnoteRef/>
      </w:r>
      <w:r>
        <w:t xml:space="preserve"> Van Veen F, </w:t>
      </w:r>
      <w:proofErr w:type="spellStart"/>
      <w:r>
        <w:t>Göritz</w:t>
      </w:r>
      <w:proofErr w:type="spellEnd"/>
      <w:r>
        <w:t xml:space="preserve"> A, Sattler S (2004). Response effects of </w:t>
      </w:r>
      <w:proofErr w:type="spellStart"/>
      <w:r>
        <w:t>prenotification</w:t>
      </w:r>
      <w:proofErr w:type="spellEnd"/>
      <w:r>
        <w:t xml:space="preserve">, prepaid cash, prepaid vouchers, and postpaid vouchers: an experimental comparison. </w:t>
      </w:r>
      <w:proofErr w:type="gramStart"/>
      <w:r>
        <w:rPr>
          <w:i/>
        </w:rPr>
        <w:t>Social Science Computer Review</w:t>
      </w:r>
      <w:r>
        <w:t>.</w:t>
      </w:r>
      <w:proofErr w:type="gramEnd"/>
      <w:r>
        <w:t xml:space="preserve"> Available at: </w:t>
      </w:r>
      <w:hyperlink r:id="rId3" w:history="1">
        <w:r>
          <w:rPr>
            <w:rStyle w:val="Hyperlink"/>
            <w:u w:val="single"/>
          </w:rPr>
          <w:t>http://ssc.sagepub.com/content/early/2015/05/05/0894439315585074.abstract</w:t>
        </w:r>
      </w:hyperlink>
      <w:r>
        <w:t xml:space="preserve">. </w:t>
      </w:r>
    </w:p>
  </w:footnote>
  <w:footnote w:id="32">
    <w:p w:rsidR="00BB623C" w:rsidRDefault="00BB623C" w:rsidP="00BB623C">
      <w:pPr>
        <w:pStyle w:val="NoSpacing"/>
        <w:tabs>
          <w:tab w:val="left" w:pos="180"/>
        </w:tabs>
        <w:spacing w:after="240" w:line="240" w:lineRule="auto"/>
        <w:ind w:left="180" w:hanging="180"/>
        <w:jc w:val="left"/>
        <w:rPr>
          <w:rFonts w:ascii="Garamond" w:hAnsi="Garamond"/>
          <w:b w:val="0"/>
          <w:sz w:val="20"/>
        </w:rPr>
      </w:pPr>
      <w:r>
        <w:rPr>
          <w:rStyle w:val="FootnoteReference"/>
          <w:b w:val="0"/>
          <w:sz w:val="20"/>
        </w:rPr>
        <w:footnoteRef/>
      </w:r>
      <w:r>
        <w:rPr>
          <w:rFonts w:ascii="Garamond" w:hAnsi="Garamond"/>
          <w:b w:val="0"/>
          <w:sz w:val="20"/>
        </w:rPr>
        <w:t xml:space="preserve"> </w:t>
      </w:r>
      <w:proofErr w:type="spellStart"/>
      <w:r>
        <w:rPr>
          <w:rFonts w:ascii="Garamond" w:hAnsi="Garamond"/>
          <w:b w:val="0"/>
          <w:sz w:val="20"/>
        </w:rPr>
        <w:t>Birnholtz</w:t>
      </w:r>
      <w:proofErr w:type="spellEnd"/>
      <w:r>
        <w:rPr>
          <w:rFonts w:ascii="Garamond" w:hAnsi="Garamond"/>
          <w:b w:val="0"/>
          <w:sz w:val="20"/>
        </w:rPr>
        <w:t xml:space="preserve"> J P</w:t>
      </w:r>
      <w:proofErr w:type="gramStart"/>
      <w:r>
        <w:rPr>
          <w:rFonts w:ascii="Garamond" w:hAnsi="Garamond"/>
          <w:b w:val="0"/>
          <w:sz w:val="20"/>
        </w:rPr>
        <w:t>,  Horn</w:t>
      </w:r>
      <w:proofErr w:type="gramEnd"/>
      <w:r>
        <w:rPr>
          <w:rFonts w:ascii="Garamond" w:hAnsi="Garamond"/>
          <w:b w:val="0"/>
          <w:sz w:val="20"/>
        </w:rPr>
        <w:t xml:space="preserve"> D B, </w:t>
      </w:r>
      <w:proofErr w:type="spellStart"/>
      <w:r>
        <w:rPr>
          <w:rFonts w:ascii="Garamond" w:hAnsi="Garamond"/>
          <w:b w:val="0"/>
          <w:sz w:val="20"/>
        </w:rPr>
        <w:t>Finholt</w:t>
      </w:r>
      <w:proofErr w:type="spellEnd"/>
      <w:r>
        <w:rPr>
          <w:rFonts w:ascii="Garamond" w:hAnsi="Garamond"/>
          <w:b w:val="0"/>
          <w:sz w:val="20"/>
        </w:rPr>
        <w:t xml:space="preserve"> T A, Bae S J (2006). </w:t>
      </w:r>
      <w:proofErr w:type="gramStart"/>
      <w:r>
        <w:rPr>
          <w:rFonts w:ascii="Garamond" w:hAnsi="Garamond"/>
          <w:b w:val="0"/>
          <w:sz w:val="20"/>
        </w:rPr>
        <w:t>The effects of cash, electronic, and paper gift certificates as respondent incentives for a web-based survey of technologically sophisticated respondents.</w:t>
      </w:r>
      <w:proofErr w:type="gramEnd"/>
      <w:r>
        <w:rPr>
          <w:rFonts w:ascii="Garamond" w:hAnsi="Garamond"/>
          <w:b w:val="0"/>
          <w:sz w:val="20"/>
        </w:rPr>
        <w:t xml:space="preserve"> </w:t>
      </w:r>
      <w:proofErr w:type="gramStart"/>
      <w:r>
        <w:rPr>
          <w:rFonts w:ascii="Garamond" w:hAnsi="Garamond"/>
          <w:b w:val="0"/>
          <w:i/>
          <w:sz w:val="20"/>
        </w:rPr>
        <w:t>Social Science Computer Review</w:t>
      </w:r>
      <w:r>
        <w:rPr>
          <w:rFonts w:ascii="Garamond" w:hAnsi="Garamond"/>
          <w:b w:val="0"/>
          <w:sz w:val="20"/>
        </w:rPr>
        <w:t>.</w:t>
      </w:r>
      <w:proofErr w:type="gramEnd"/>
      <w:r>
        <w:rPr>
          <w:rFonts w:ascii="Garamond" w:hAnsi="Garamond"/>
          <w:b w:val="0"/>
          <w:sz w:val="20"/>
        </w:rPr>
        <w:t xml:space="preserve"> </w:t>
      </w:r>
    </w:p>
  </w:footnote>
  <w:footnote w:id="33">
    <w:p w:rsidR="009E4325" w:rsidRPr="00AD6A02" w:rsidRDefault="009E4325" w:rsidP="00EB54AD">
      <w:pPr>
        <w:pStyle w:val="FootnoteText"/>
        <w:tabs>
          <w:tab w:val="clear" w:pos="120"/>
          <w:tab w:val="left" w:pos="270"/>
        </w:tabs>
        <w:ind w:left="270" w:hanging="270"/>
        <w:rPr>
          <w:rFonts w:cs="CJPCAL+TimesNewRoman"/>
          <w:color w:val="000000"/>
          <w:szCs w:val="18"/>
        </w:rPr>
      </w:pPr>
      <w:r w:rsidRPr="00AD6A02">
        <w:rPr>
          <w:rStyle w:val="FootnoteReference"/>
          <w:szCs w:val="18"/>
        </w:rPr>
        <w:footnoteRef/>
      </w:r>
      <w:r>
        <w:rPr>
          <w:rFonts w:cs="CJPCAL+TimesNewRoman"/>
          <w:color w:val="000000"/>
          <w:szCs w:val="18"/>
        </w:rPr>
        <w:tab/>
      </w:r>
      <w:r w:rsidRPr="00AD6A02">
        <w:rPr>
          <w:rFonts w:cs="CJPCAL+TimesNewRoman"/>
          <w:color w:val="000000"/>
          <w:szCs w:val="18"/>
        </w:rPr>
        <w:t xml:space="preserve">Published in the </w:t>
      </w:r>
      <w:r w:rsidRPr="0036034F">
        <w:rPr>
          <w:rFonts w:cs="CJPCAL+TimesNewRoman"/>
          <w:i/>
          <w:color w:val="000000"/>
          <w:szCs w:val="18"/>
        </w:rPr>
        <w:t>Federal Register</w:t>
      </w:r>
      <w:r w:rsidRPr="00AD6A02">
        <w:rPr>
          <w:rFonts w:cs="CJPCAL+TimesNewRoman"/>
          <w:color w:val="000000"/>
          <w:szCs w:val="18"/>
        </w:rPr>
        <w:t xml:space="preserve"> on April 25, 1991 (56 FR 19078).</w:t>
      </w:r>
    </w:p>
  </w:footnote>
  <w:footnote w:id="34">
    <w:p w:rsidR="009E4325" w:rsidRDefault="009E4325">
      <w:pPr>
        <w:pStyle w:val="FootnoteText"/>
      </w:pPr>
      <w:r>
        <w:rPr>
          <w:rStyle w:val="FootnoteReference"/>
        </w:rPr>
        <w:footnoteRef/>
      </w:r>
      <w:r>
        <w:t xml:space="preserve">   </w:t>
      </w:r>
      <w:proofErr w:type="gramStart"/>
      <w:r>
        <w:t xml:space="preserve">Published in the </w:t>
      </w:r>
      <w:r w:rsidRPr="007806BB">
        <w:rPr>
          <w:i/>
        </w:rPr>
        <w:t>Federal Register</w:t>
      </w:r>
      <w:r>
        <w:t xml:space="preserve">, </w:t>
      </w:r>
      <w:r>
        <w:rPr>
          <w:rFonts w:ascii="Melior" w:hAnsi="Melior" w:cs="Melior"/>
        </w:rPr>
        <w:t>Vol. 65, No. 63, March 31, 2000 (FR 00-8005).</w:t>
      </w:r>
      <w:proofErr w:type="gramEnd"/>
    </w:p>
  </w:footnote>
  <w:footnote w:id="35">
    <w:p w:rsidR="009E4325" w:rsidRDefault="009E4325">
      <w:pPr>
        <w:pStyle w:val="FootnoteText"/>
      </w:pPr>
      <w:r>
        <w:rPr>
          <w:rStyle w:val="FootnoteReference"/>
        </w:rPr>
        <w:footnoteRef/>
      </w:r>
      <w:r>
        <w:t xml:space="preserve"> We will not set a minimum threshold for number of outlets for </w:t>
      </w:r>
      <w:proofErr w:type="spellStart"/>
      <w:r>
        <w:t>granees</w:t>
      </w:r>
      <w:proofErr w:type="spellEnd"/>
      <w:r>
        <w:t xml:space="preserve"> that operate FINI in only one State. This will ensure that all grantees are represented in the national evaluation.</w:t>
      </w:r>
    </w:p>
  </w:footnote>
  <w:footnote w:id="36">
    <w:p w:rsidR="009E4325" w:rsidRDefault="009E4325">
      <w:pPr>
        <w:pStyle w:val="FootnoteText"/>
      </w:pPr>
      <w:r>
        <w:rPr>
          <w:rStyle w:val="FootnoteReference"/>
        </w:rPr>
        <w:footnoteRef/>
      </w:r>
      <w:r>
        <w:t xml:space="preserve"> Two main assumptions made to compute response rates for the pre- and post-SPS surveys include: (1) We will deploy the entire reserve sample to obtain the necessary number of completed surveys and (ii) ineligibles are included in the </w:t>
      </w:r>
      <w:proofErr w:type="spellStart"/>
      <w:r>
        <w:t>deonominator</w:t>
      </w:r>
      <w:proofErr w:type="spellEnd"/>
      <w:r>
        <w:t xml:space="preserve"> since there is no mechanism to identify them.</w:t>
      </w:r>
    </w:p>
  </w:footnote>
  <w:footnote w:id="37">
    <w:p w:rsidR="009E4325" w:rsidRDefault="009E4325" w:rsidP="00ED155E">
      <w:pPr>
        <w:pStyle w:val="FootnoteText"/>
        <w:tabs>
          <w:tab w:val="clear" w:pos="120"/>
          <w:tab w:val="left" w:pos="270"/>
        </w:tabs>
        <w:ind w:left="270" w:hanging="270"/>
      </w:pPr>
      <w:r>
        <w:rPr>
          <w:rStyle w:val="FootnoteReference"/>
        </w:rPr>
        <w:footnoteRef/>
      </w:r>
      <w:r>
        <w:tab/>
        <w:t>The contractor currently has a task order contract for $2,099,676 to evaluate the Cycle 2014-2015 FINI grants. The estimated value of the contract to evaluate the Cycle 2016 grants is $2,242,302. FNS also has the option to award the contractor with task orders to evaluate the Cycles 2017 and 2018 FINI grants.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25" w:rsidRDefault="009E43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25" w:rsidRPr="007C2CD6" w:rsidRDefault="009E4325" w:rsidP="007C2C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25" w:rsidRDefault="009E4325">
    <w:pPr>
      <w:pStyle w:val="Header"/>
    </w:pPr>
    <w:r>
      <w:rPr>
        <w:noProof/>
      </w:rPr>
      <mc:AlternateContent>
        <mc:Choice Requires="wps">
          <w:drawing>
            <wp:anchor distT="0" distB="0" distL="114300" distR="114300" simplePos="0" relativeHeight="251663360" behindDoc="0" locked="0" layoutInCell="0" allowOverlap="1" wp14:anchorId="29F9BC4F" wp14:editId="6CB9F172">
              <wp:simplePos x="0" y="0"/>
              <wp:positionH relativeFrom="leftMargin">
                <wp:posOffset>-93345</wp:posOffset>
              </wp:positionH>
              <wp:positionV relativeFrom="page">
                <wp:posOffset>3571875</wp:posOffset>
              </wp:positionV>
              <wp:extent cx="762000" cy="89535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noProof/>
                              <w:szCs w:val="24"/>
                            </w:rPr>
                            <w:id w:val="1932543556"/>
                            <w:docPartObj>
                              <w:docPartGallery w:val="Page Numbers (Margins)"/>
                              <w:docPartUnique/>
                            </w:docPartObj>
                          </w:sdtPr>
                          <w:sdtEndPr>
                            <w:rPr>
                              <w:szCs w:val="20"/>
                            </w:rPr>
                          </w:sdtEndPr>
                          <w:sdtContent>
                            <w:sdt>
                              <w:sdtPr>
                                <w:rPr>
                                  <w:noProof/>
                                  <w:szCs w:val="24"/>
                                </w:rPr>
                                <w:id w:val="-403221229"/>
                                <w:docPartObj>
                                  <w:docPartGallery w:val="Page Numbers (Margins)"/>
                                  <w:docPartUnique/>
                                </w:docPartObj>
                              </w:sdtPr>
                              <w:sdtEndPr>
                                <w:rPr>
                                  <w:szCs w:val="20"/>
                                </w:rPr>
                              </w:sdtEndPr>
                              <w:sdtContent>
                                <w:p w:rsidR="009E4325" w:rsidRPr="00E60620" w:rsidRDefault="009E4325" w:rsidP="00E60620">
                                  <w:pPr>
                                    <w:pStyle w:val="Footer"/>
                                    <w:jc w:val="center"/>
                                    <w:rPr>
                                      <w:noProof/>
                                    </w:rPr>
                                  </w:pPr>
                                  <w:r w:rsidRPr="00E60620">
                                    <w:rPr>
                                      <w:noProof/>
                                      <w:szCs w:val="24"/>
                                    </w:rPr>
                                    <w:fldChar w:fldCharType="begin"/>
                                  </w:r>
                                  <w:r w:rsidRPr="00E60620">
                                    <w:rPr>
                                      <w:noProof/>
                                      <w:szCs w:val="24"/>
                                    </w:rPr>
                                    <w:instrText xml:space="preserve"> PAGE   \* MERGEFORMAT </w:instrText>
                                  </w:r>
                                  <w:r w:rsidRPr="00E60620">
                                    <w:rPr>
                                      <w:noProof/>
                                      <w:szCs w:val="24"/>
                                    </w:rPr>
                                    <w:fldChar w:fldCharType="separate"/>
                                  </w:r>
                                  <w:r w:rsidR="009E76E5">
                                    <w:rPr>
                                      <w:noProof/>
                                      <w:szCs w:val="24"/>
                                    </w:rPr>
                                    <w:t>22</w:t>
                                  </w:r>
                                  <w:r w:rsidRPr="00E60620">
                                    <w:rPr>
                                      <w:noProof/>
                                      <w:szCs w:val="24"/>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7.35pt;margin-top:281.25pt;width:60pt;height:70.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KPdQIAAO0EAAAOAAAAZHJzL2Uyb0RvYy54bWysVNuO0zAQfUfiHyy/t0lKeknUdLXbUoS0&#10;wIqFD3Btp7FwbGO7TSvEvzN22m4LLwjRB9cTj0/OnDOT+d2hlWjPrRNaVTgbphhxRTUTalvhr1/W&#10;gxlGzhPFiNSKV/jIHb5bvH4170zJR7rRknGLAES5sjMVbrw3ZZI42vCWuKE2XMFhrW1LPIR2mzBL&#10;OkBvZTJK00nSacuM1ZQ7B09X/SFeRPy65tR/qmvHPZIVBm4+rjaum7Amizkpt5aYRtATDfIPLFoi&#10;FLz0ArUinqCdFX9AtYJa7XTth1S3ia5rQXmsAarJ0t+qeW6I4bEWEMeZi0zu/8HSj/sniwSrcIGR&#10;Ii1Y9BlEI2orOSqCPJ1xJWQ9mycbCnTmUdNvDim9bCCL31uru4YTBqSykJ/cXAiBg6to033QDNDJ&#10;zuuo1KG2bQAEDdAhGnK8GMIPHlF4OJ2Ax2AbhaNZMX4zjoYlpDxfNtb5d1y3KGwqbIF6BCf7R+cD&#10;GVKeUyJ5LQVbCyljYLebpbRoT6A31vEX+UON12nABbDChcAqevqjyEZ5+jAqBuvJbDrI1/l4UEzT&#10;2SDNiodikuZFvlr/DESyvGwEY1w9CsXP/ZXlf+ffqdP7zogdhjrwaTwaxxpvWLrrYkCzIFtf/01a&#10;KzyMmxQt6HlJImXw761icIGUngjZ75Nb+lFN0OD8H1WJbgeD+0bxh80BUILrG82O4LvV4AtYCN8I&#10;2IQVow7mrcLu+45YjpF8r6B3iizPw4DGIB9PRxDY65PN9QlRtNEwxgDWb5e+H+qdsWLbwJuyqJHS&#10;99BvtYi98MLq1KUwU7GY0/yHob2OY9bLV2rxCwAA//8DAFBLAwQUAAYACAAAACEA6jnc8OMAAAAL&#10;AQAADwAAAGRycy9kb3ducmV2LnhtbEyPQU/CQBCF7yb+h82YeIMtYAFrt4QYNZEYE0CJx6E7ttXd&#10;2aa7QP33Lic9Tt6X977JF7014kidbxwrGA0TEMSl0w1XCt62j4M5CB+QNRrHpOCHPCyKy4scM+1O&#10;vKbjJlQilrDPUEEdQptJ6cuaLPqha4lj9uk6iyGeXSV1h6dYbo0cJ8lUWmw4LtTY0n1N5ffmYBU0&#10;uOtfv1YPYf2yejIfy50pb5/flbq+6pd3IAL14Q+Gs35UhyI67d2BtRdGwWB0M4uognQ6TkGciSSd&#10;gNgrmCWTFGSRy/8/FL8AAAD//wMAUEsBAi0AFAAGAAgAAAAhALaDOJL+AAAA4QEAABMAAAAAAAAA&#10;AAAAAAAAAAAAAFtDb250ZW50X1R5cGVzXS54bWxQSwECLQAUAAYACAAAACEAOP0h/9YAAACUAQAA&#10;CwAAAAAAAAAAAAAAAAAvAQAAX3JlbHMvLnJlbHNQSwECLQAUAAYACAAAACEACn2yj3UCAADtBAAA&#10;DgAAAAAAAAAAAAAAAAAuAgAAZHJzL2Uyb0RvYy54bWxQSwECLQAUAAYACAAAACEA6jnc8OMAAAAL&#10;AQAADwAAAAAAAAAAAAAAAADPBAAAZHJzL2Rvd25yZXYueG1sUEsFBgAAAAAEAAQA8wAAAN8FAAAA&#10;AA==&#10;" o:allowincell="f" stroked="f">
              <v:textbox style="layout-flow:vertical">
                <w:txbxContent>
                  <w:sdt>
                    <w:sdtPr>
                      <w:rPr>
                        <w:noProof/>
                        <w:szCs w:val="24"/>
                      </w:rPr>
                      <w:id w:val="1932543556"/>
                      <w:docPartObj>
                        <w:docPartGallery w:val="Page Numbers (Margins)"/>
                        <w:docPartUnique/>
                      </w:docPartObj>
                    </w:sdtPr>
                    <w:sdtEndPr>
                      <w:rPr>
                        <w:szCs w:val="20"/>
                      </w:rPr>
                    </w:sdtEndPr>
                    <w:sdtContent>
                      <w:sdt>
                        <w:sdtPr>
                          <w:rPr>
                            <w:noProof/>
                            <w:szCs w:val="24"/>
                          </w:rPr>
                          <w:id w:val="-403221229"/>
                          <w:docPartObj>
                            <w:docPartGallery w:val="Page Numbers (Margins)"/>
                            <w:docPartUnique/>
                          </w:docPartObj>
                        </w:sdtPr>
                        <w:sdtEndPr>
                          <w:rPr>
                            <w:szCs w:val="20"/>
                          </w:rPr>
                        </w:sdtEndPr>
                        <w:sdtContent>
                          <w:p w:rsidR="009E4325" w:rsidRPr="00E60620" w:rsidRDefault="009E4325" w:rsidP="00E60620">
                            <w:pPr>
                              <w:pStyle w:val="Footer"/>
                              <w:jc w:val="center"/>
                              <w:rPr>
                                <w:noProof/>
                              </w:rPr>
                            </w:pPr>
                            <w:r w:rsidRPr="00E60620">
                              <w:rPr>
                                <w:noProof/>
                                <w:szCs w:val="24"/>
                              </w:rPr>
                              <w:fldChar w:fldCharType="begin"/>
                            </w:r>
                            <w:r w:rsidRPr="00E60620">
                              <w:rPr>
                                <w:noProof/>
                                <w:szCs w:val="24"/>
                              </w:rPr>
                              <w:instrText xml:space="preserve"> PAGE   \* MERGEFORMAT </w:instrText>
                            </w:r>
                            <w:r w:rsidRPr="00E60620">
                              <w:rPr>
                                <w:noProof/>
                                <w:szCs w:val="24"/>
                              </w:rPr>
                              <w:fldChar w:fldCharType="separate"/>
                            </w:r>
                            <w:r w:rsidR="009E76E5">
                              <w:rPr>
                                <w:noProof/>
                                <w:szCs w:val="24"/>
                              </w:rPr>
                              <w:t>22</w:t>
                            </w:r>
                            <w:r w:rsidRPr="00E60620">
                              <w:rPr>
                                <w:noProof/>
                                <w:szCs w:val="24"/>
                              </w:rPr>
                              <w:fldChar w:fldCharType="end"/>
                            </w:r>
                          </w:p>
                        </w:sdtContent>
                      </w:sdt>
                    </w:sdtContent>
                  </w:sdt>
                </w:txbxContent>
              </v:textbox>
              <w10:wrap anchorx="margin"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821185"/>
      <w:docPartObj>
        <w:docPartGallery w:val="Page Numbers (Margins)"/>
        <w:docPartUnique/>
      </w:docPartObj>
    </w:sdtPr>
    <w:sdtEndPr/>
    <w:sdtContent>
      <w:p w:rsidR="009E4325" w:rsidRPr="007C2CD6" w:rsidRDefault="009E4325" w:rsidP="007C2CD6">
        <w:pPr>
          <w:pStyle w:val="Header"/>
        </w:pPr>
        <w:r>
          <w:rPr>
            <w:noProof/>
          </w:rPr>
          <mc:AlternateContent>
            <mc:Choice Requires="wps">
              <w:drawing>
                <wp:anchor distT="0" distB="0" distL="114300" distR="114300" simplePos="0" relativeHeight="251661312" behindDoc="0" locked="0" layoutInCell="0" allowOverlap="1" wp14:anchorId="6B94366B" wp14:editId="2FF8A6B3">
                  <wp:simplePos x="0" y="0"/>
                  <wp:positionH relativeFrom="leftMargin">
                    <wp:posOffset>-131445</wp:posOffset>
                  </wp:positionH>
                  <wp:positionV relativeFrom="page">
                    <wp:align>center</wp:align>
                  </wp:positionV>
                  <wp:extent cx="762000" cy="895350"/>
                  <wp:effectExtent l="0" t="0" r="0" b="0"/>
                  <wp:wrapNone/>
                  <wp:docPr id="5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noProof/>
                                  <w:szCs w:val="24"/>
                                </w:rPr>
                                <w:id w:val="84434915"/>
                                <w:docPartObj>
                                  <w:docPartGallery w:val="Page Numbers (Margins)"/>
                                  <w:docPartUnique/>
                                </w:docPartObj>
                              </w:sdtPr>
                              <w:sdtEndPr>
                                <w:rPr>
                                  <w:szCs w:val="20"/>
                                </w:rPr>
                              </w:sdtEndPr>
                              <w:sdtContent>
                                <w:sdt>
                                  <w:sdtPr>
                                    <w:rPr>
                                      <w:noProof/>
                                      <w:szCs w:val="24"/>
                                    </w:rPr>
                                    <w:id w:val="-800072624"/>
                                    <w:docPartObj>
                                      <w:docPartGallery w:val="Page Numbers (Margins)"/>
                                      <w:docPartUnique/>
                                    </w:docPartObj>
                                  </w:sdtPr>
                                  <w:sdtEndPr>
                                    <w:rPr>
                                      <w:szCs w:val="20"/>
                                    </w:rPr>
                                  </w:sdtEndPr>
                                  <w:sdtContent>
                                    <w:p w:rsidR="009E4325" w:rsidRPr="00E60620" w:rsidRDefault="009E4325" w:rsidP="00E60620">
                                      <w:pPr>
                                        <w:pStyle w:val="Footer"/>
                                        <w:jc w:val="center"/>
                                        <w:rPr>
                                          <w:noProof/>
                                        </w:rPr>
                                      </w:pPr>
                                      <w:r w:rsidRPr="00E60620">
                                        <w:rPr>
                                          <w:noProof/>
                                          <w:szCs w:val="24"/>
                                        </w:rPr>
                                        <w:fldChar w:fldCharType="begin"/>
                                      </w:r>
                                      <w:r w:rsidRPr="00E60620">
                                        <w:rPr>
                                          <w:noProof/>
                                          <w:szCs w:val="24"/>
                                        </w:rPr>
                                        <w:instrText xml:space="preserve"> PAGE   \* MERGEFORMAT </w:instrText>
                                      </w:r>
                                      <w:r w:rsidRPr="00E60620">
                                        <w:rPr>
                                          <w:noProof/>
                                          <w:szCs w:val="24"/>
                                        </w:rPr>
                                        <w:fldChar w:fldCharType="separate"/>
                                      </w:r>
                                      <w:r w:rsidR="009E76E5">
                                        <w:rPr>
                                          <w:noProof/>
                                          <w:szCs w:val="24"/>
                                        </w:rPr>
                                        <w:t>21</w:t>
                                      </w:r>
                                      <w:r w:rsidRPr="00E60620">
                                        <w:rPr>
                                          <w:noProof/>
                                          <w:szCs w:val="24"/>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0.35pt;margin-top:0;width:60pt;height:70.5pt;z-index:251661312;visibility:visible;mso-wrap-style:square;mso-width-percent:0;mso-height-percent:0;mso-wrap-distance-left:9pt;mso-wrap-distance-top:0;mso-wrap-distance-right:9pt;mso-wrap-distance-bottom:0;mso-position-horizontal:absolute;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NLegIAAPYEAAAOAAAAZHJzL2Uyb0RvYy54bWysVMGO0zAQvSPxD5bv3SQlaZuo6Wq3pQhp&#10;gRULH+DaTmPh2MZ2m64Q/87YabstXBCiB9cTjydv3nuT+e2hk2jPrRNa1Ti7STHiimom1LbGX7+s&#10;RzOMnCeKEakVr/Ezd/h28frVvDcVH+tWS8YtgiLKVb2pceu9qZLE0ZZ3xN1owxUcNtp2xENotwmz&#10;pIfqnUzGaTpJem2ZsZpy5+DpajjEi1i/aTj1n5rGcY9kjQGbj6uN6yasyWJOqq0lphX0CIP8A4qO&#10;CAUvPZdaEU/Qzoo/SnWCWu1042+o7hLdNILy2AN0k6W/dfPUEsNjL0COM2ea3P8rSz/uHy0SrMZF&#10;AVIp0oFIn4E2oraSozIQ1BtXQd6TebShRWceNP3mkNLLFrL4nbW6bzlhACsL+cnVhRA4uIo2/QfN&#10;oDrZeR25OjS2CwWBBXSIkjyfJeEHjyg8nE5AZRCOwtGsLN4UUbKEVKfLxjr/jusOhU2NLUCPxcn+&#10;wfkAhlSnlAheS8HWQsoY2O1mKS3aE3DHOv4ifujxMg2wQK1wIaCKqv4os3Ge3o/L0Xoym47ydV6M&#10;ymk6G6VZeV9O0rzMV+ufAUiWV61gjKsHofjJYVn+dwoevT54I3oM9TUui3ERe7xC6S6bAc4CbUP/&#10;V2md8DBwUnTA5zmJVEG/t4rBBVJ5IuSwT67hRzaBg9N/ZCWqHQQejOIPm0P0U7RCEH+j2TPIbzXI&#10;A0rCxwI2YcWoh8Grsfu+I5ZjJN8rsFCZ5XmY1BjkxXQMgb082VyeEEVbDfMMxYbt0g/TvTNWbFt4&#10;UxapUvoObNeIaIkXVEezwnDFno4fgjC9l3HMevlcLX4BAAD//wMAUEsDBBQABgAIAAAAIQD5fv01&#10;3gAAAAcBAAAPAAAAZHJzL2Rvd25yZXYueG1sTI9dS8NAEEXfBf/DMoJv7W6raBOzKUVUsBShrRYf&#10;p9kxie5HyG7b+O8dn/RxuId7zxTzwVlxpD62wWuYjBUI8lUwra81vG4fRzMQMaE3aIMnDd8UYV6e&#10;nxWYm3DyazpuUi24xMccNTQpdbmUsWrIYRyHjjxnH6F3mPjsa2l6PHG5s3Kq1I102HpeaLCj+4aq&#10;r83BaWhxN7x8Lh/SerV8su+Lna2y5zetLy+GxR2IREP6g+FXn9WhZKd9OHgThdUwmqpbRjXwRxxn&#10;2RWIPWPXEwWyLOR///IHAAD//wMAUEsBAi0AFAAGAAgAAAAhALaDOJL+AAAA4QEAABMAAAAAAAAA&#10;AAAAAAAAAAAAAFtDb250ZW50X1R5cGVzXS54bWxQSwECLQAUAAYACAAAACEAOP0h/9YAAACUAQAA&#10;CwAAAAAAAAAAAAAAAAAvAQAAX3JlbHMvLnJlbHNQSwECLQAUAAYACAAAACEAwp2jS3oCAAD2BAAA&#10;DgAAAAAAAAAAAAAAAAAuAgAAZHJzL2Uyb0RvYy54bWxQSwECLQAUAAYACAAAACEA+X79Nd4AAAAH&#10;AQAADwAAAAAAAAAAAAAAAADUBAAAZHJzL2Rvd25yZXYueG1sUEsFBgAAAAAEAAQA8wAAAN8FAAAA&#10;AA==&#10;" o:allowincell="f" stroked="f">
                  <v:textbox style="layout-flow:vertical">
                    <w:txbxContent>
                      <w:sdt>
                        <w:sdtPr>
                          <w:rPr>
                            <w:noProof/>
                            <w:szCs w:val="24"/>
                          </w:rPr>
                          <w:id w:val="84434915"/>
                          <w:docPartObj>
                            <w:docPartGallery w:val="Page Numbers (Margins)"/>
                            <w:docPartUnique/>
                          </w:docPartObj>
                        </w:sdtPr>
                        <w:sdtEndPr>
                          <w:rPr>
                            <w:szCs w:val="20"/>
                          </w:rPr>
                        </w:sdtEndPr>
                        <w:sdtContent>
                          <w:sdt>
                            <w:sdtPr>
                              <w:rPr>
                                <w:noProof/>
                                <w:szCs w:val="24"/>
                              </w:rPr>
                              <w:id w:val="-800072624"/>
                              <w:docPartObj>
                                <w:docPartGallery w:val="Page Numbers (Margins)"/>
                                <w:docPartUnique/>
                              </w:docPartObj>
                            </w:sdtPr>
                            <w:sdtEndPr>
                              <w:rPr>
                                <w:szCs w:val="20"/>
                              </w:rPr>
                            </w:sdtEndPr>
                            <w:sdtContent>
                              <w:p w:rsidR="009E4325" w:rsidRPr="00E60620" w:rsidRDefault="009E4325" w:rsidP="00E60620">
                                <w:pPr>
                                  <w:pStyle w:val="Footer"/>
                                  <w:jc w:val="center"/>
                                  <w:rPr>
                                    <w:noProof/>
                                  </w:rPr>
                                </w:pPr>
                                <w:r w:rsidRPr="00E60620">
                                  <w:rPr>
                                    <w:noProof/>
                                    <w:szCs w:val="24"/>
                                  </w:rPr>
                                  <w:fldChar w:fldCharType="begin"/>
                                </w:r>
                                <w:r w:rsidRPr="00E60620">
                                  <w:rPr>
                                    <w:noProof/>
                                    <w:szCs w:val="24"/>
                                  </w:rPr>
                                  <w:instrText xml:space="preserve"> PAGE   \* MERGEFORMAT </w:instrText>
                                </w:r>
                                <w:r w:rsidRPr="00E60620">
                                  <w:rPr>
                                    <w:noProof/>
                                    <w:szCs w:val="24"/>
                                  </w:rPr>
                                  <w:fldChar w:fldCharType="separate"/>
                                </w:r>
                                <w:r w:rsidR="009E76E5">
                                  <w:rPr>
                                    <w:noProof/>
                                    <w:szCs w:val="24"/>
                                  </w:rPr>
                                  <w:t>21</w:t>
                                </w:r>
                                <w:r w:rsidRPr="00E60620">
                                  <w:rPr>
                                    <w:noProof/>
                                    <w:szCs w:val="24"/>
                                  </w:rPr>
                                  <w:fldChar w:fldCharType="end"/>
                                </w:r>
                              </w:p>
                            </w:sdtContent>
                          </w:sdt>
                        </w:sdtContent>
                      </w:sdt>
                    </w:txbxContent>
                  </v:textbox>
                  <w10:wrap anchorx="margin" anchory="page"/>
                </v:rect>
              </w:pict>
            </mc:Fallback>
          </mc:AlternateConten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25" w:rsidRDefault="009E432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25" w:rsidRPr="007C2CD6" w:rsidRDefault="009E4325" w:rsidP="007C2C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1E9E04CE"/>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D2324E22">
      <w:numFmt w:val="bullet"/>
      <w:lvlText w:val=""/>
      <w:lvlJc w:val="left"/>
      <w:pPr>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FE3BB8"/>
    <w:multiLevelType w:val="hybridMultilevel"/>
    <w:tmpl w:val="74C4154C"/>
    <w:lvl w:ilvl="0" w:tplc="AC026486">
      <w:start w:val="1"/>
      <w:numFmt w:val="decimal"/>
      <w:lvlText w:val="%1."/>
      <w:lvlJc w:val="left"/>
      <w:pPr>
        <w:tabs>
          <w:tab w:val="num" w:pos="576"/>
        </w:tabs>
        <w:ind w:left="576" w:hanging="576"/>
      </w:pPr>
      <w:rPr>
        <w:rFonts w:hint="default"/>
        <w:color w:val="auto"/>
        <w:sz w:val="24"/>
        <w:szCs w:val="24"/>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
    <w:nsid w:val="1F117D49"/>
    <w:multiLevelType w:val="hybridMultilevel"/>
    <w:tmpl w:val="7A603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70377"/>
    <w:multiLevelType w:val="hybridMultilevel"/>
    <w:tmpl w:val="F554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951A2E"/>
    <w:multiLevelType w:val="hybridMultilevel"/>
    <w:tmpl w:val="EF68F89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1">
    <w:nsid w:val="4F274B01"/>
    <w:multiLevelType w:val="hybridMultilevel"/>
    <w:tmpl w:val="DA601CB6"/>
    <w:lvl w:ilvl="0" w:tplc="EB885550">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AD0BAF"/>
    <w:multiLevelType w:val="hybridMultilevel"/>
    <w:tmpl w:val="9580DFEA"/>
    <w:lvl w:ilvl="0" w:tplc="D6F4D944">
      <w:start w:val="2"/>
      <w:numFmt w:val="bullet"/>
      <w:lvlText w:val="-"/>
      <w:lvlJc w:val="left"/>
      <w:pPr>
        <w:ind w:left="1800" w:hanging="360"/>
      </w:pPr>
      <w:rPr>
        <w:rFonts w:ascii="Garamond" w:eastAsia="Times New Roman" w:hAnsi="Garamond"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48810EF"/>
    <w:multiLevelType w:val="hybridMultilevel"/>
    <w:tmpl w:val="C608C618"/>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nsid w:val="64974652"/>
    <w:multiLevelType w:val="hybridMultilevel"/>
    <w:tmpl w:val="11F6586C"/>
    <w:lvl w:ilvl="0" w:tplc="04090001">
      <w:start w:val="1"/>
      <w:numFmt w:val="bullet"/>
      <w:lvlText w:val=""/>
      <w:lvlJc w:val="left"/>
      <w:pPr>
        <w:tabs>
          <w:tab w:val="num" w:pos="1152"/>
        </w:tabs>
        <w:ind w:left="1152" w:hanging="57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nsid w:val="6CAC6069"/>
    <w:multiLevelType w:val="hybridMultilevel"/>
    <w:tmpl w:val="C096F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7"/>
  </w:num>
  <w:num w:numId="2">
    <w:abstractNumId w:val="0"/>
  </w:num>
  <w:num w:numId="3">
    <w:abstractNumId w:val="1"/>
  </w:num>
  <w:num w:numId="4">
    <w:abstractNumId w:val="9"/>
    <w:lvlOverride w:ilvl="0">
      <w:startOverride w:val="1"/>
    </w:lvlOverride>
  </w:num>
  <w:num w:numId="5">
    <w:abstractNumId w:val="18"/>
  </w:num>
  <w:num w:numId="6">
    <w:abstractNumId w:val="4"/>
  </w:num>
  <w:num w:numId="7">
    <w:abstractNumId w:val="10"/>
  </w:num>
  <w:num w:numId="8">
    <w:abstractNumId w:val="12"/>
  </w:num>
  <w:num w:numId="9">
    <w:abstractNumId w:val="16"/>
  </w:num>
  <w:num w:numId="10">
    <w:abstractNumId w:val="19"/>
  </w:num>
  <w:num w:numId="11">
    <w:abstractNumId w:val="8"/>
  </w:num>
  <w:num w:numId="12">
    <w:abstractNumId w:val="11"/>
  </w:num>
  <w:num w:numId="13">
    <w:abstractNumId w:val="15"/>
  </w:num>
  <w:num w:numId="14">
    <w:abstractNumId w:val="9"/>
  </w:num>
  <w:num w:numId="15">
    <w:abstractNumId w:val="5"/>
  </w:num>
  <w:num w:numId="16">
    <w:abstractNumId w:val="6"/>
  </w:num>
  <w:num w:numId="17">
    <w:abstractNumId w:val="7"/>
  </w:num>
  <w:num w:numId="18">
    <w:abstractNumId w:val="13"/>
  </w:num>
  <w:num w:numId="19">
    <w:abstractNumId w:val="14"/>
  </w:num>
  <w:num w:numId="20">
    <w:abstractNumId w:val="2"/>
  </w:num>
  <w:num w:numId="21">
    <w:abstractNumId w:val="3"/>
  </w:num>
  <w:num w:numId="22">
    <w:abstractNumId w:val="1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OIRA">
    <w15:presenceInfo w15:providerId="None" w15:userId="OMB/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89"/>
    <w:rsid w:val="0000117F"/>
    <w:rsid w:val="0001030E"/>
    <w:rsid w:val="00013289"/>
    <w:rsid w:val="00015AF8"/>
    <w:rsid w:val="000350E9"/>
    <w:rsid w:val="00036AF4"/>
    <w:rsid w:val="00043871"/>
    <w:rsid w:val="00044705"/>
    <w:rsid w:val="000447C2"/>
    <w:rsid w:val="00047085"/>
    <w:rsid w:val="00051FAB"/>
    <w:rsid w:val="0005749C"/>
    <w:rsid w:val="00057925"/>
    <w:rsid w:val="0006498E"/>
    <w:rsid w:val="0006542D"/>
    <w:rsid w:val="00066207"/>
    <w:rsid w:val="00070ABE"/>
    <w:rsid w:val="00072FFE"/>
    <w:rsid w:val="00073632"/>
    <w:rsid w:val="00073F2D"/>
    <w:rsid w:val="00076495"/>
    <w:rsid w:val="000770CB"/>
    <w:rsid w:val="00080F95"/>
    <w:rsid w:val="00082DA8"/>
    <w:rsid w:val="00090E69"/>
    <w:rsid w:val="00091A23"/>
    <w:rsid w:val="00091E0B"/>
    <w:rsid w:val="00092660"/>
    <w:rsid w:val="0009266E"/>
    <w:rsid w:val="00093A51"/>
    <w:rsid w:val="000A3E75"/>
    <w:rsid w:val="000A5D1B"/>
    <w:rsid w:val="000C33DB"/>
    <w:rsid w:val="000C6495"/>
    <w:rsid w:val="000D02CD"/>
    <w:rsid w:val="000D15B7"/>
    <w:rsid w:val="000D51B5"/>
    <w:rsid w:val="000D6367"/>
    <w:rsid w:val="000D7FCE"/>
    <w:rsid w:val="000E07BE"/>
    <w:rsid w:val="000F23D5"/>
    <w:rsid w:val="000F4CFB"/>
    <w:rsid w:val="00101B2F"/>
    <w:rsid w:val="00101C84"/>
    <w:rsid w:val="00110597"/>
    <w:rsid w:val="00114C6E"/>
    <w:rsid w:val="00116F98"/>
    <w:rsid w:val="00120A6B"/>
    <w:rsid w:val="00121A4A"/>
    <w:rsid w:val="001252A6"/>
    <w:rsid w:val="00134DDB"/>
    <w:rsid w:val="00134EFB"/>
    <w:rsid w:val="00141287"/>
    <w:rsid w:val="001442CE"/>
    <w:rsid w:val="00147D20"/>
    <w:rsid w:val="001527CB"/>
    <w:rsid w:val="00152B01"/>
    <w:rsid w:val="00154539"/>
    <w:rsid w:val="00155714"/>
    <w:rsid w:val="00156208"/>
    <w:rsid w:val="001627D3"/>
    <w:rsid w:val="001659AC"/>
    <w:rsid w:val="001659E5"/>
    <w:rsid w:val="00167218"/>
    <w:rsid w:val="001768BA"/>
    <w:rsid w:val="00184A10"/>
    <w:rsid w:val="001A10A2"/>
    <w:rsid w:val="001A21CD"/>
    <w:rsid w:val="001A2A49"/>
    <w:rsid w:val="001A504B"/>
    <w:rsid w:val="001A742E"/>
    <w:rsid w:val="001B097C"/>
    <w:rsid w:val="001B528F"/>
    <w:rsid w:val="001B5380"/>
    <w:rsid w:val="001B6AA1"/>
    <w:rsid w:val="001C4245"/>
    <w:rsid w:val="001C69DD"/>
    <w:rsid w:val="001C6A13"/>
    <w:rsid w:val="001D0187"/>
    <w:rsid w:val="001D1F70"/>
    <w:rsid w:val="001D4520"/>
    <w:rsid w:val="001E22E8"/>
    <w:rsid w:val="001E3800"/>
    <w:rsid w:val="001E5F24"/>
    <w:rsid w:val="001E6079"/>
    <w:rsid w:val="001F0116"/>
    <w:rsid w:val="001F2345"/>
    <w:rsid w:val="001F77A3"/>
    <w:rsid w:val="00202F26"/>
    <w:rsid w:val="00203CA4"/>
    <w:rsid w:val="00203EFB"/>
    <w:rsid w:val="0020415E"/>
    <w:rsid w:val="0020526D"/>
    <w:rsid w:val="00206059"/>
    <w:rsid w:val="002129C5"/>
    <w:rsid w:val="00212F39"/>
    <w:rsid w:val="00212FFB"/>
    <w:rsid w:val="002143C2"/>
    <w:rsid w:val="00214B46"/>
    <w:rsid w:val="002202FD"/>
    <w:rsid w:val="0023018D"/>
    <w:rsid w:val="00234CBA"/>
    <w:rsid w:val="0023525A"/>
    <w:rsid w:val="00246088"/>
    <w:rsid w:val="002534B9"/>
    <w:rsid w:val="002537D0"/>
    <w:rsid w:val="00266495"/>
    <w:rsid w:val="002674D0"/>
    <w:rsid w:val="00267642"/>
    <w:rsid w:val="00267B5F"/>
    <w:rsid w:val="00267F75"/>
    <w:rsid w:val="00271489"/>
    <w:rsid w:val="00272A43"/>
    <w:rsid w:val="00274144"/>
    <w:rsid w:val="002747D9"/>
    <w:rsid w:val="00282312"/>
    <w:rsid w:val="002851B1"/>
    <w:rsid w:val="00296C58"/>
    <w:rsid w:val="002A1619"/>
    <w:rsid w:val="002A4D1F"/>
    <w:rsid w:val="002A6821"/>
    <w:rsid w:val="002B2525"/>
    <w:rsid w:val="002B30EE"/>
    <w:rsid w:val="002B4DD1"/>
    <w:rsid w:val="002B5AF5"/>
    <w:rsid w:val="002D1420"/>
    <w:rsid w:val="002D3E8C"/>
    <w:rsid w:val="002F0F19"/>
    <w:rsid w:val="002F126A"/>
    <w:rsid w:val="002F5259"/>
    <w:rsid w:val="002F5557"/>
    <w:rsid w:val="002F6B9F"/>
    <w:rsid w:val="00302E5C"/>
    <w:rsid w:val="00304009"/>
    <w:rsid w:val="0030559D"/>
    <w:rsid w:val="00306197"/>
    <w:rsid w:val="0030691F"/>
    <w:rsid w:val="00315646"/>
    <w:rsid w:val="00316074"/>
    <w:rsid w:val="00323FC9"/>
    <w:rsid w:val="003254F9"/>
    <w:rsid w:val="0034369A"/>
    <w:rsid w:val="00347788"/>
    <w:rsid w:val="0036034F"/>
    <w:rsid w:val="0037532E"/>
    <w:rsid w:val="00383C29"/>
    <w:rsid w:val="00390F0D"/>
    <w:rsid w:val="00392792"/>
    <w:rsid w:val="00392A6B"/>
    <w:rsid w:val="00396CF5"/>
    <w:rsid w:val="00397B0B"/>
    <w:rsid w:val="003A1CD9"/>
    <w:rsid w:val="003A1F97"/>
    <w:rsid w:val="003A33F2"/>
    <w:rsid w:val="003A4615"/>
    <w:rsid w:val="003A522C"/>
    <w:rsid w:val="003A5B7B"/>
    <w:rsid w:val="003A62E5"/>
    <w:rsid w:val="003A6AB6"/>
    <w:rsid w:val="003C3199"/>
    <w:rsid w:val="0041029F"/>
    <w:rsid w:val="0041035E"/>
    <w:rsid w:val="004116F2"/>
    <w:rsid w:val="004144E2"/>
    <w:rsid w:val="00414B36"/>
    <w:rsid w:val="0041506C"/>
    <w:rsid w:val="004153AF"/>
    <w:rsid w:val="00417779"/>
    <w:rsid w:val="00421E98"/>
    <w:rsid w:val="00423C67"/>
    <w:rsid w:val="004273F4"/>
    <w:rsid w:val="004477BA"/>
    <w:rsid w:val="004479E3"/>
    <w:rsid w:val="004508A6"/>
    <w:rsid w:val="00454B64"/>
    <w:rsid w:val="00460BBB"/>
    <w:rsid w:val="0046264A"/>
    <w:rsid w:val="0046310F"/>
    <w:rsid w:val="0047041E"/>
    <w:rsid w:val="0047294D"/>
    <w:rsid w:val="004762B0"/>
    <w:rsid w:val="0047782E"/>
    <w:rsid w:val="00477F2C"/>
    <w:rsid w:val="00481CFB"/>
    <w:rsid w:val="00481DB2"/>
    <w:rsid w:val="004867EA"/>
    <w:rsid w:val="00487814"/>
    <w:rsid w:val="00493E51"/>
    <w:rsid w:val="004A2D5D"/>
    <w:rsid w:val="004B2D28"/>
    <w:rsid w:val="004B3AEF"/>
    <w:rsid w:val="004B415F"/>
    <w:rsid w:val="004C246C"/>
    <w:rsid w:val="004D0D4C"/>
    <w:rsid w:val="004D3719"/>
    <w:rsid w:val="004E55C6"/>
    <w:rsid w:val="004E7AC1"/>
    <w:rsid w:val="004F22C8"/>
    <w:rsid w:val="004F2FA1"/>
    <w:rsid w:val="004F4053"/>
    <w:rsid w:val="004F4292"/>
    <w:rsid w:val="004F460B"/>
    <w:rsid w:val="00510522"/>
    <w:rsid w:val="0051381C"/>
    <w:rsid w:val="00514088"/>
    <w:rsid w:val="00517BD9"/>
    <w:rsid w:val="005200BA"/>
    <w:rsid w:val="005212BA"/>
    <w:rsid w:val="00541C40"/>
    <w:rsid w:val="00542BEA"/>
    <w:rsid w:val="005444F4"/>
    <w:rsid w:val="005547B9"/>
    <w:rsid w:val="00555E97"/>
    <w:rsid w:val="00575C11"/>
    <w:rsid w:val="00580B23"/>
    <w:rsid w:val="005872D0"/>
    <w:rsid w:val="005930DB"/>
    <w:rsid w:val="00593313"/>
    <w:rsid w:val="00596C37"/>
    <w:rsid w:val="005A31EE"/>
    <w:rsid w:val="005B213E"/>
    <w:rsid w:val="005B4423"/>
    <w:rsid w:val="005B6542"/>
    <w:rsid w:val="005B7031"/>
    <w:rsid w:val="005B7B12"/>
    <w:rsid w:val="005C2DE4"/>
    <w:rsid w:val="005D02E5"/>
    <w:rsid w:val="005D1174"/>
    <w:rsid w:val="005D4348"/>
    <w:rsid w:val="005D46D8"/>
    <w:rsid w:val="005D4F54"/>
    <w:rsid w:val="005D5BBC"/>
    <w:rsid w:val="005E3AA1"/>
    <w:rsid w:val="005E53FF"/>
    <w:rsid w:val="005F1DC0"/>
    <w:rsid w:val="005F33C9"/>
    <w:rsid w:val="005F5509"/>
    <w:rsid w:val="005F7D5D"/>
    <w:rsid w:val="00601DB7"/>
    <w:rsid w:val="006044AF"/>
    <w:rsid w:val="00614494"/>
    <w:rsid w:val="0062206D"/>
    <w:rsid w:val="006244B0"/>
    <w:rsid w:val="006313A0"/>
    <w:rsid w:val="00644471"/>
    <w:rsid w:val="00646653"/>
    <w:rsid w:val="00651022"/>
    <w:rsid w:val="006510C8"/>
    <w:rsid w:val="00655E9C"/>
    <w:rsid w:val="006647FB"/>
    <w:rsid w:val="00671D4E"/>
    <w:rsid w:val="00672E8F"/>
    <w:rsid w:val="006742DC"/>
    <w:rsid w:val="006756A3"/>
    <w:rsid w:val="00677C0D"/>
    <w:rsid w:val="0068253C"/>
    <w:rsid w:val="00683296"/>
    <w:rsid w:val="0068381B"/>
    <w:rsid w:val="00683820"/>
    <w:rsid w:val="006849A8"/>
    <w:rsid w:val="00685519"/>
    <w:rsid w:val="006901D7"/>
    <w:rsid w:val="006A0637"/>
    <w:rsid w:val="006A238C"/>
    <w:rsid w:val="006A3A08"/>
    <w:rsid w:val="006A46F6"/>
    <w:rsid w:val="006A778D"/>
    <w:rsid w:val="006C225A"/>
    <w:rsid w:val="006C3F63"/>
    <w:rsid w:val="006C4E75"/>
    <w:rsid w:val="006D5AA2"/>
    <w:rsid w:val="006D735C"/>
    <w:rsid w:val="006E1530"/>
    <w:rsid w:val="006E4C70"/>
    <w:rsid w:val="006E775D"/>
    <w:rsid w:val="0070039E"/>
    <w:rsid w:val="007035CD"/>
    <w:rsid w:val="00705148"/>
    <w:rsid w:val="00705A09"/>
    <w:rsid w:val="00707A44"/>
    <w:rsid w:val="007127D3"/>
    <w:rsid w:val="007159E0"/>
    <w:rsid w:val="0071777B"/>
    <w:rsid w:val="00721588"/>
    <w:rsid w:val="007223AE"/>
    <w:rsid w:val="0072337A"/>
    <w:rsid w:val="007304BD"/>
    <w:rsid w:val="00731A44"/>
    <w:rsid w:val="007320F6"/>
    <w:rsid w:val="00734E19"/>
    <w:rsid w:val="00735162"/>
    <w:rsid w:val="00741FAB"/>
    <w:rsid w:val="0074389B"/>
    <w:rsid w:val="00744AF5"/>
    <w:rsid w:val="00744F53"/>
    <w:rsid w:val="00747F27"/>
    <w:rsid w:val="007536EC"/>
    <w:rsid w:val="00761178"/>
    <w:rsid w:val="00765BEC"/>
    <w:rsid w:val="00766987"/>
    <w:rsid w:val="00770E81"/>
    <w:rsid w:val="00772184"/>
    <w:rsid w:val="00772B9D"/>
    <w:rsid w:val="00774268"/>
    <w:rsid w:val="00775896"/>
    <w:rsid w:val="0077775D"/>
    <w:rsid w:val="007806BB"/>
    <w:rsid w:val="00782610"/>
    <w:rsid w:val="00786628"/>
    <w:rsid w:val="00787ED8"/>
    <w:rsid w:val="00795760"/>
    <w:rsid w:val="007A4BF5"/>
    <w:rsid w:val="007A76FF"/>
    <w:rsid w:val="007A7CB3"/>
    <w:rsid w:val="007C0946"/>
    <w:rsid w:val="007C2CD6"/>
    <w:rsid w:val="007C2D80"/>
    <w:rsid w:val="007C437A"/>
    <w:rsid w:val="007C6B0F"/>
    <w:rsid w:val="007D6004"/>
    <w:rsid w:val="007E0AC6"/>
    <w:rsid w:val="00801A32"/>
    <w:rsid w:val="00813AEF"/>
    <w:rsid w:val="00820471"/>
    <w:rsid w:val="00820C97"/>
    <w:rsid w:val="00830684"/>
    <w:rsid w:val="00831011"/>
    <w:rsid w:val="00831BD7"/>
    <w:rsid w:val="00833AED"/>
    <w:rsid w:val="00837DE0"/>
    <w:rsid w:val="008478CF"/>
    <w:rsid w:val="00850A8B"/>
    <w:rsid w:val="00851E00"/>
    <w:rsid w:val="0085379A"/>
    <w:rsid w:val="00853851"/>
    <w:rsid w:val="00853A45"/>
    <w:rsid w:val="008562F2"/>
    <w:rsid w:val="00857DB6"/>
    <w:rsid w:val="0086324B"/>
    <w:rsid w:val="0086665C"/>
    <w:rsid w:val="008750B5"/>
    <w:rsid w:val="0088021E"/>
    <w:rsid w:val="00881423"/>
    <w:rsid w:val="0088142D"/>
    <w:rsid w:val="008874B0"/>
    <w:rsid w:val="00887EC8"/>
    <w:rsid w:val="0089206E"/>
    <w:rsid w:val="00894610"/>
    <w:rsid w:val="00895E95"/>
    <w:rsid w:val="008A1784"/>
    <w:rsid w:val="008A182C"/>
    <w:rsid w:val="008A5A9F"/>
    <w:rsid w:val="008B577C"/>
    <w:rsid w:val="008B7750"/>
    <w:rsid w:val="008C39E8"/>
    <w:rsid w:val="008D45A5"/>
    <w:rsid w:val="008D6B6F"/>
    <w:rsid w:val="008E44E3"/>
    <w:rsid w:val="008E48AC"/>
    <w:rsid w:val="008E55BF"/>
    <w:rsid w:val="008F235F"/>
    <w:rsid w:val="008F306B"/>
    <w:rsid w:val="008F4CA6"/>
    <w:rsid w:val="008F6F96"/>
    <w:rsid w:val="00904176"/>
    <w:rsid w:val="00904A72"/>
    <w:rsid w:val="0090656F"/>
    <w:rsid w:val="00906E30"/>
    <w:rsid w:val="009142DB"/>
    <w:rsid w:val="009176A8"/>
    <w:rsid w:val="00921183"/>
    <w:rsid w:val="009224A2"/>
    <w:rsid w:val="0092264B"/>
    <w:rsid w:val="00923737"/>
    <w:rsid w:val="00923C66"/>
    <w:rsid w:val="009355F7"/>
    <w:rsid w:val="00940319"/>
    <w:rsid w:val="00943A64"/>
    <w:rsid w:val="00950A60"/>
    <w:rsid w:val="00950DFE"/>
    <w:rsid w:val="009516B6"/>
    <w:rsid w:val="0095362B"/>
    <w:rsid w:val="0097142D"/>
    <w:rsid w:val="009724C6"/>
    <w:rsid w:val="00981619"/>
    <w:rsid w:val="00986958"/>
    <w:rsid w:val="009871D3"/>
    <w:rsid w:val="00992616"/>
    <w:rsid w:val="00992641"/>
    <w:rsid w:val="009943A4"/>
    <w:rsid w:val="009A4F4E"/>
    <w:rsid w:val="009B1DC5"/>
    <w:rsid w:val="009B2E74"/>
    <w:rsid w:val="009B4AB8"/>
    <w:rsid w:val="009C2750"/>
    <w:rsid w:val="009C4246"/>
    <w:rsid w:val="009D254B"/>
    <w:rsid w:val="009D7343"/>
    <w:rsid w:val="009E4325"/>
    <w:rsid w:val="009E76E5"/>
    <w:rsid w:val="009F0FB0"/>
    <w:rsid w:val="00A07B71"/>
    <w:rsid w:val="00A1019E"/>
    <w:rsid w:val="00A13B5E"/>
    <w:rsid w:val="00A14B1C"/>
    <w:rsid w:val="00A15A6F"/>
    <w:rsid w:val="00A171AB"/>
    <w:rsid w:val="00A17423"/>
    <w:rsid w:val="00A23259"/>
    <w:rsid w:val="00A257BE"/>
    <w:rsid w:val="00A26E08"/>
    <w:rsid w:val="00A3583D"/>
    <w:rsid w:val="00A427F3"/>
    <w:rsid w:val="00A44935"/>
    <w:rsid w:val="00A503EE"/>
    <w:rsid w:val="00A5064E"/>
    <w:rsid w:val="00A6027E"/>
    <w:rsid w:val="00A63373"/>
    <w:rsid w:val="00A64F4F"/>
    <w:rsid w:val="00A668DB"/>
    <w:rsid w:val="00A755BD"/>
    <w:rsid w:val="00A75648"/>
    <w:rsid w:val="00A777E2"/>
    <w:rsid w:val="00A77D80"/>
    <w:rsid w:val="00A80085"/>
    <w:rsid w:val="00A80C12"/>
    <w:rsid w:val="00A8571C"/>
    <w:rsid w:val="00A87666"/>
    <w:rsid w:val="00A877F4"/>
    <w:rsid w:val="00A9104B"/>
    <w:rsid w:val="00AA1CCC"/>
    <w:rsid w:val="00AA6AA6"/>
    <w:rsid w:val="00AA6D00"/>
    <w:rsid w:val="00AB0688"/>
    <w:rsid w:val="00AC64BC"/>
    <w:rsid w:val="00AC74C0"/>
    <w:rsid w:val="00AD2269"/>
    <w:rsid w:val="00AD5980"/>
    <w:rsid w:val="00AD5C8A"/>
    <w:rsid w:val="00AD6A02"/>
    <w:rsid w:val="00AE1CC1"/>
    <w:rsid w:val="00AE3249"/>
    <w:rsid w:val="00AE3C51"/>
    <w:rsid w:val="00AF1251"/>
    <w:rsid w:val="00AF3094"/>
    <w:rsid w:val="00AF4FB2"/>
    <w:rsid w:val="00B00D3D"/>
    <w:rsid w:val="00B05111"/>
    <w:rsid w:val="00B06CAC"/>
    <w:rsid w:val="00B07318"/>
    <w:rsid w:val="00B118D4"/>
    <w:rsid w:val="00B11E90"/>
    <w:rsid w:val="00B12521"/>
    <w:rsid w:val="00B231D1"/>
    <w:rsid w:val="00B335C4"/>
    <w:rsid w:val="00B34409"/>
    <w:rsid w:val="00B4238F"/>
    <w:rsid w:val="00B4742F"/>
    <w:rsid w:val="00B54406"/>
    <w:rsid w:val="00B55900"/>
    <w:rsid w:val="00B55B95"/>
    <w:rsid w:val="00B55BAD"/>
    <w:rsid w:val="00B622B3"/>
    <w:rsid w:val="00B63AFD"/>
    <w:rsid w:val="00B6649C"/>
    <w:rsid w:val="00B67F82"/>
    <w:rsid w:val="00B70876"/>
    <w:rsid w:val="00B755EB"/>
    <w:rsid w:val="00B84D69"/>
    <w:rsid w:val="00B95296"/>
    <w:rsid w:val="00B9677F"/>
    <w:rsid w:val="00BA4999"/>
    <w:rsid w:val="00BB06E9"/>
    <w:rsid w:val="00BB3850"/>
    <w:rsid w:val="00BB46EA"/>
    <w:rsid w:val="00BB5D0A"/>
    <w:rsid w:val="00BB623C"/>
    <w:rsid w:val="00BC6E81"/>
    <w:rsid w:val="00BD1970"/>
    <w:rsid w:val="00BD2F35"/>
    <w:rsid w:val="00BD4AB9"/>
    <w:rsid w:val="00BD53A5"/>
    <w:rsid w:val="00BD57B1"/>
    <w:rsid w:val="00BE6197"/>
    <w:rsid w:val="00BE7DE8"/>
    <w:rsid w:val="00BF2625"/>
    <w:rsid w:val="00C02332"/>
    <w:rsid w:val="00C0253C"/>
    <w:rsid w:val="00C05B17"/>
    <w:rsid w:val="00C05DF6"/>
    <w:rsid w:val="00C06140"/>
    <w:rsid w:val="00C07120"/>
    <w:rsid w:val="00C14B4C"/>
    <w:rsid w:val="00C16990"/>
    <w:rsid w:val="00C22CD1"/>
    <w:rsid w:val="00C23317"/>
    <w:rsid w:val="00C24FFC"/>
    <w:rsid w:val="00C260D3"/>
    <w:rsid w:val="00C274BD"/>
    <w:rsid w:val="00C31396"/>
    <w:rsid w:val="00C37DDB"/>
    <w:rsid w:val="00C41ADD"/>
    <w:rsid w:val="00C4276C"/>
    <w:rsid w:val="00C44186"/>
    <w:rsid w:val="00C50612"/>
    <w:rsid w:val="00C506DC"/>
    <w:rsid w:val="00C61ED2"/>
    <w:rsid w:val="00C700F4"/>
    <w:rsid w:val="00C74938"/>
    <w:rsid w:val="00C8014C"/>
    <w:rsid w:val="00C81152"/>
    <w:rsid w:val="00C83E0B"/>
    <w:rsid w:val="00C84840"/>
    <w:rsid w:val="00C86540"/>
    <w:rsid w:val="00C869C7"/>
    <w:rsid w:val="00C86E49"/>
    <w:rsid w:val="00C9296E"/>
    <w:rsid w:val="00C9473F"/>
    <w:rsid w:val="00CA053D"/>
    <w:rsid w:val="00CB6421"/>
    <w:rsid w:val="00CD70C0"/>
    <w:rsid w:val="00CD7BE2"/>
    <w:rsid w:val="00CE6820"/>
    <w:rsid w:val="00CE74D6"/>
    <w:rsid w:val="00CF10E3"/>
    <w:rsid w:val="00CF2F50"/>
    <w:rsid w:val="00D0190B"/>
    <w:rsid w:val="00D01D99"/>
    <w:rsid w:val="00D026CE"/>
    <w:rsid w:val="00D04D9B"/>
    <w:rsid w:val="00D256B0"/>
    <w:rsid w:val="00D302BC"/>
    <w:rsid w:val="00D30637"/>
    <w:rsid w:val="00D528BE"/>
    <w:rsid w:val="00D564BE"/>
    <w:rsid w:val="00D62B9A"/>
    <w:rsid w:val="00D6308A"/>
    <w:rsid w:val="00D63563"/>
    <w:rsid w:val="00D6415D"/>
    <w:rsid w:val="00D64E83"/>
    <w:rsid w:val="00D67AB7"/>
    <w:rsid w:val="00D737EE"/>
    <w:rsid w:val="00D7418A"/>
    <w:rsid w:val="00D83C10"/>
    <w:rsid w:val="00D87BF5"/>
    <w:rsid w:val="00D90492"/>
    <w:rsid w:val="00D95188"/>
    <w:rsid w:val="00DA6E82"/>
    <w:rsid w:val="00DB4B6E"/>
    <w:rsid w:val="00DC2EC4"/>
    <w:rsid w:val="00DC3DBD"/>
    <w:rsid w:val="00DD4E06"/>
    <w:rsid w:val="00DE658E"/>
    <w:rsid w:val="00DF435E"/>
    <w:rsid w:val="00E02933"/>
    <w:rsid w:val="00E11011"/>
    <w:rsid w:val="00E11D52"/>
    <w:rsid w:val="00E13D83"/>
    <w:rsid w:val="00E1521A"/>
    <w:rsid w:val="00E30E6D"/>
    <w:rsid w:val="00E314C7"/>
    <w:rsid w:val="00E33761"/>
    <w:rsid w:val="00E47194"/>
    <w:rsid w:val="00E51228"/>
    <w:rsid w:val="00E60620"/>
    <w:rsid w:val="00E6096F"/>
    <w:rsid w:val="00E62BCD"/>
    <w:rsid w:val="00E65595"/>
    <w:rsid w:val="00E65D83"/>
    <w:rsid w:val="00E70DFB"/>
    <w:rsid w:val="00E90931"/>
    <w:rsid w:val="00E94009"/>
    <w:rsid w:val="00E976F7"/>
    <w:rsid w:val="00E97A8A"/>
    <w:rsid w:val="00EA6750"/>
    <w:rsid w:val="00EB2438"/>
    <w:rsid w:val="00EB4944"/>
    <w:rsid w:val="00EB54AD"/>
    <w:rsid w:val="00EC0B17"/>
    <w:rsid w:val="00EC17B6"/>
    <w:rsid w:val="00EC1B56"/>
    <w:rsid w:val="00EC5256"/>
    <w:rsid w:val="00EC6615"/>
    <w:rsid w:val="00ED155E"/>
    <w:rsid w:val="00ED3B35"/>
    <w:rsid w:val="00ED3EB6"/>
    <w:rsid w:val="00ED4CAF"/>
    <w:rsid w:val="00EE3B87"/>
    <w:rsid w:val="00EE593E"/>
    <w:rsid w:val="00EF4608"/>
    <w:rsid w:val="00F05884"/>
    <w:rsid w:val="00F16E90"/>
    <w:rsid w:val="00F34F07"/>
    <w:rsid w:val="00F5256A"/>
    <w:rsid w:val="00F54A25"/>
    <w:rsid w:val="00F56573"/>
    <w:rsid w:val="00F654D7"/>
    <w:rsid w:val="00F66426"/>
    <w:rsid w:val="00F72113"/>
    <w:rsid w:val="00F74DAF"/>
    <w:rsid w:val="00F82EDF"/>
    <w:rsid w:val="00F83176"/>
    <w:rsid w:val="00F952DB"/>
    <w:rsid w:val="00F96443"/>
    <w:rsid w:val="00FA7EE1"/>
    <w:rsid w:val="00FB2F41"/>
    <w:rsid w:val="00FB2FBC"/>
    <w:rsid w:val="00FB3315"/>
    <w:rsid w:val="00FC4254"/>
    <w:rsid w:val="00FD761B"/>
    <w:rsid w:val="00FF1233"/>
    <w:rsid w:val="00FF1595"/>
    <w:rsid w:val="00FF3CD7"/>
    <w:rsid w:val="00FF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0"/>
    <w:lsdException w:name="toc 4" w:uiPriority="0"/>
    <w:lsdException w:name="toc 5" w:uiPriority="39"/>
    <w:lsdException w:name="toc 6" w:uiPriority="0"/>
    <w:lsdException w:name="toc 7" w:uiPriority="0"/>
    <w:lsdException w:name="toc 8" w:uiPriority="0"/>
    <w:lsdException w:name="toc 9" w:uiPriority="0"/>
    <w:lsdException w:name="footnote text" w:uiPriority="0" w:qFormat="1"/>
    <w:lsdException w:name="header" w:uiPriority="0"/>
    <w:lsdException w:name="footer" w:uiPriority="0"/>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71489"/>
    <w:pPr>
      <w:spacing w:line="240" w:lineRule="atLeast"/>
    </w:pPr>
    <w:rPr>
      <w:rFonts w:ascii="Garamond" w:hAnsi="Garamond"/>
      <w:sz w:val="24"/>
    </w:rPr>
  </w:style>
  <w:style w:type="paragraph" w:styleId="Heading1">
    <w:name w:val="heading 1"/>
    <w:aliases w:val="H1-Chap. Head,H1-Sec.Head"/>
    <w:basedOn w:val="Normal"/>
    <w:link w:val="Heading1Char"/>
    <w:qFormat/>
    <w:rsid w:val="0027148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7148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71489"/>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27148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7148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71489"/>
    <w:pPr>
      <w:keepNext/>
      <w:spacing w:before="240"/>
      <w:jc w:val="center"/>
      <w:outlineLvl w:val="5"/>
    </w:pPr>
    <w:rPr>
      <w:b/>
      <w:caps/>
    </w:rPr>
  </w:style>
  <w:style w:type="paragraph" w:styleId="Heading7">
    <w:name w:val="heading 7"/>
    <w:basedOn w:val="Normal"/>
    <w:next w:val="Normal"/>
    <w:link w:val="Heading7Char"/>
    <w:qFormat/>
    <w:rsid w:val="00271489"/>
    <w:pPr>
      <w:spacing w:before="240" w:after="60"/>
      <w:outlineLvl w:val="6"/>
    </w:pPr>
  </w:style>
  <w:style w:type="paragraph" w:styleId="Heading8">
    <w:name w:val="heading 8"/>
    <w:basedOn w:val="Normal"/>
    <w:next w:val="Normal"/>
    <w:link w:val="Heading8Char"/>
    <w:uiPriority w:val="99"/>
    <w:qFormat/>
    <w:rsid w:val="00271489"/>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271489"/>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271489"/>
    <w:rPr>
      <w:rFonts w:ascii="Franklin Gothic Medium" w:hAnsi="Franklin Gothic Medium"/>
      <w:b/>
      <w:color w:val="324162"/>
      <w:sz w:val="40"/>
    </w:rPr>
  </w:style>
  <w:style w:type="paragraph" w:customStyle="1" w:styleId="L1-FlLSp12">
    <w:name w:val="L1-FlL Sp&amp;1/2"/>
    <w:basedOn w:val="Normal"/>
    <w:link w:val="L1-FlLSp12Char"/>
    <w:rsid w:val="00271489"/>
    <w:pPr>
      <w:tabs>
        <w:tab w:val="left" w:pos="1152"/>
      </w:tabs>
      <w:spacing w:line="360" w:lineRule="atLeast"/>
    </w:pPr>
  </w:style>
  <w:style w:type="character" w:customStyle="1" w:styleId="L1-FlLSp12Char">
    <w:name w:val="L1-FlL Sp&amp;1/2 Char"/>
    <w:basedOn w:val="DefaultParagraphFont"/>
    <w:link w:val="L1-FlLSp12"/>
    <w:locked/>
    <w:rsid w:val="00271489"/>
    <w:rPr>
      <w:rFonts w:ascii="Garamond" w:hAnsi="Garamond"/>
      <w:sz w:val="24"/>
    </w:rPr>
  </w:style>
  <w:style w:type="character" w:customStyle="1" w:styleId="Heading2Char">
    <w:name w:val="Heading 2 Char"/>
    <w:aliases w:val="H2-Sec. Head Char"/>
    <w:link w:val="Heading2"/>
    <w:rsid w:val="00271489"/>
    <w:rPr>
      <w:rFonts w:ascii="Franklin Gothic Medium" w:hAnsi="Franklin Gothic Medium"/>
      <w:b/>
      <w:color w:val="324162"/>
      <w:sz w:val="32"/>
    </w:rPr>
  </w:style>
  <w:style w:type="character" w:customStyle="1" w:styleId="Heading3Char">
    <w:name w:val="Heading 3 Char"/>
    <w:aliases w:val="H3-Sec. Head Char"/>
    <w:link w:val="Heading3"/>
    <w:rsid w:val="00271489"/>
    <w:rPr>
      <w:rFonts w:ascii="Franklin Gothic Medium" w:hAnsi="Franklin Gothic Medium"/>
      <w:b/>
      <w:color w:val="324162"/>
      <w:sz w:val="28"/>
    </w:rPr>
  </w:style>
  <w:style w:type="character" w:customStyle="1" w:styleId="Heading4Char">
    <w:name w:val="Heading 4 Char"/>
    <w:aliases w:val="H4-Sec. Head Char,H4 Sec.Heading Char"/>
    <w:link w:val="Heading4"/>
    <w:rsid w:val="00271489"/>
    <w:rPr>
      <w:rFonts w:ascii="Franklin Gothic Medium" w:hAnsi="Franklin Gothic Medium"/>
      <w:b/>
      <w:sz w:val="24"/>
    </w:rPr>
  </w:style>
  <w:style w:type="character" w:customStyle="1" w:styleId="Heading5Char">
    <w:name w:val="Heading 5 Char"/>
    <w:aliases w:val="H5-Sec. Head Char"/>
    <w:link w:val="Heading5"/>
    <w:rsid w:val="00271489"/>
    <w:rPr>
      <w:rFonts w:ascii="Franklin Gothic Medium" w:hAnsi="Franklin Gothic Medium"/>
      <w:b/>
      <w:i/>
      <w:sz w:val="24"/>
    </w:rPr>
  </w:style>
  <w:style w:type="character" w:customStyle="1" w:styleId="Heading6Char">
    <w:name w:val="Heading 6 Char"/>
    <w:link w:val="Heading6"/>
    <w:rsid w:val="00271489"/>
    <w:rPr>
      <w:rFonts w:ascii="Garamond" w:hAnsi="Garamond"/>
      <w:b/>
      <w:caps/>
      <w:sz w:val="24"/>
    </w:rPr>
  </w:style>
  <w:style w:type="character" w:customStyle="1" w:styleId="Heading7Char">
    <w:name w:val="Heading 7 Char"/>
    <w:link w:val="Heading7"/>
    <w:rsid w:val="00271489"/>
    <w:rPr>
      <w:rFonts w:ascii="Garamond" w:hAnsi="Garamond"/>
      <w:sz w:val="24"/>
    </w:rPr>
  </w:style>
  <w:style w:type="character" w:customStyle="1" w:styleId="Heading8Char">
    <w:name w:val="Heading 8 Char"/>
    <w:basedOn w:val="DefaultParagraphFont"/>
    <w:link w:val="Heading8"/>
    <w:uiPriority w:val="99"/>
    <w:rsid w:val="00271489"/>
    <w:rPr>
      <w:i/>
      <w:iCs/>
      <w:sz w:val="24"/>
      <w:szCs w:val="24"/>
    </w:rPr>
  </w:style>
  <w:style w:type="character" w:customStyle="1" w:styleId="Heading9Char">
    <w:name w:val="Heading 9 Char"/>
    <w:basedOn w:val="DefaultParagraphFont"/>
    <w:link w:val="Heading9"/>
    <w:uiPriority w:val="99"/>
    <w:rsid w:val="00271489"/>
    <w:rPr>
      <w:rFonts w:ascii="Arial" w:hAnsi="Arial"/>
      <w:sz w:val="24"/>
      <w:szCs w:val="24"/>
    </w:rPr>
  </w:style>
  <w:style w:type="paragraph" w:customStyle="1" w:styleId="C1-CtrBoldHd">
    <w:name w:val="C1-Ctr BoldHd"/>
    <w:rsid w:val="0027148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71489"/>
    <w:pPr>
      <w:keepLines/>
      <w:jc w:val="center"/>
    </w:pPr>
  </w:style>
  <w:style w:type="paragraph" w:customStyle="1" w:styleId="C3-CtrSp12">
    <w:name w:val="C3-Ctr Sp&amp;1/2"/>
    <w:basedOn w:val="Normal"/>
    <w:rsid w:val="00271489"/>
    <w:pPr>
      <w:keepLines/>
      <w:spacing w:line="360" w:lineRule="atLeast"/>
      <w:jc w:val="center"/>
    </w:pPr>
  </w:style>
  <w:style w:type="paragraph" w:customStyle="1" w:styleId="E1-Equation">
    <w:name w:val="E1-Equation"/>
    <w:basedOn w:val="Normal"/>
    <w:rsid w:val="00271489"/>
    <w:pPr>
      <w:tabs>
        <w:tab w:val="center" w:pos="4680"/>
        <w:tab w:val="right" w:pos="9360"/>
      </w:tabs>
    </w:pPr>
  </w:style>
  <w:style w:type="paragraph" w:customStyle="1" w:styleId="E2-Equation">
    <w:name w:val="E2-Equation"/>
    <w:basedOn w:val="Normal"/>
    <w:rsid w:val="00271489"/>
    <w:pPr>
      <w:tabs>
        <w:tab w:val="right" w:pos="1152"/>
        <w:tab w:val="center" w:pos="1440"/>
        <w:tab w:val="left" w:pos="1728"/>
      </w:tabs>
      <w:ind w:left="1728" w:hanging="1728"/>
    </w:pPr>
  </w:style>
  <w:style w:type="paragraph" w:styleId="Footer">
    <w:name w:val="footer"/>
    <w:basedOn w:val="Normal"/>
    <w:link w:val="FooterChar"/>
    <w:rsid w:val="00271489"/>
  </w:style>
  <w:style w:type="character" w:customStyle="1" w:styleId="FooterChar">
    <w:name w:val="Footer Char"/>
    <w:link w:val="Footer"/>
    <w:rsid w:val="00271489"/>
    <w:rPr>
      <w:rFonts w:ascii="Garamond" w:hAnsi="Garamond"/>
      <w:sz w:val="24"/>
    </w:rPr>
  </w:style>
  <w:style w:type="paragraph" w:styleId="FootnoteText">
    <w:name w:val="footnote text"/>
    <w:aliases w:val="F1,Footnote Text Char Char,Footnote Text2,F"/>
    <w:link w:val="FootnoteTextChar"/>
    <w:rsid w:val="00271489"/>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 Char Char,Footnote Text2 Char,F Char"/>
    <w:link w:val="FootnoteText"/>
    <w:rsid w:val="00271489"/>
    <w:rPr>
      <w:rFonts w:ascii="Garamond" w:hAnsi="Garamond"/>
    </w:rPr>
  </w:style>
  <w:style w:type="paragraph" w:styleId="Header">
    <w:name w:val="header"/>
    <w:basedOn w:val="Normal"/>
    <w:link w:val="HeaderChar"/>
    <w:rsid w:val="00271489"/>
    <w:rPr>
      <w:sz w:val="20"/>
    </w:rPr>
  </w:style>
  <w:style w:type="character" w:customStyle="1" w:styleId="HeaderChar">
    <w:name w:val="Header Char"/>
    <w:link w:val="Header"/>
    <w:rsid w:val="00271489"/>
    <w:rPr>
      <w:rFonts w:ascii="Garamond" w:hAnsi="Garamond"/>
    </w:rPr>
  </w:style>
  <w:style w:type="paragraph" w:customStyle="1" w:styleId="N0-FlLftBullet">
    <w:name w:val="N0-Fl Lft Bullet"/>
    <w:basedOn w:val="Normal"/>
    <w:rsid w:val="00271489"/>
    <w:pPr>
      <w:tabs>
        <w:tab w:val="left" w:pos="576"/>
      </w:tabs>
      <w:spacing w:after="240"/>
      <w:ind w:left="576" w:hanging="576"/>
    </w:pPr>
  </w:style>
  <w:style w:type="paragraph" w:customStyle="1" w:styleId="N1-1stBullet">
    <w:name w:val="N1-1st Bullet"/>
    <w:basedOn w:val="Normal"/>
    <w:link w:val="N1-1stBulletChar"/>
    <w:rsid w:val="00271489"/>
    <w:pPr>
      <w:numPr>
        <w:numId w:val="2"/>
      </w:numPr>
      <w:spacing w:after="240"/>
    </w:pPr>
  </w:style>
  <w:style w:type="character" w:customStyle="1" w:styleId="N1-1stBulletChar">
    <w:name w:val="N1-1st Bullet Char"/>
    <w:basedOn w:val="DefaultParagraphFont"/>
    <w:link w:val="N1-1stBullet"/>
    <w:locked/>
    <w:rsid w:val="00271489"/>
    <w:rPr>
      <w:rFonts w:ascii="Garamond" w:hAnsi="Garamond"/>
      <w:sz w:val="24"/>
    </w:rPr>
  </w:style>
  <w:style w:type="paragraph" w:customStyle="1" w:styleId="N2-2ndBullet">
    <w:name w:val="N2-2nd Bullet"/>
    <w:basedOn w:val="Normal"/>
    <w:rsid w:val="00271489"/>
    <w:pPr>
      <w:numPr>
        <w:numId w:val="1"/>
      </w:numPr>
      <w:spacing w:after="240"/>
    </w:pPr>
  </w:style>
  <w:style w:type="paragraph" w:customStyle="1" w:styleId="N3-3rdBullet">
    <w:name w:val="N3-3rd Bullet"/>
    <w:basedOn w:val="Normal"/>
    <w:rsid w:val="00271489"/>
    <w:pPr>
      <w:numPr>
        <w:numId w:val="4"/>
      </w:numPr>
      <w:spacing w:after="240"/>
    </w:pPr>
  </w:style>
  <w:style w:type="paragraph" w:customStyle="1" w:styleId="N4-4thBullet">
    <w:name w:val="N4-4th Bullet"/>
    <w:basedOn w:val="Normal"/>
    <w:rsid w:val="00271489"/>
    <w:pPr>
      <w:numPr>
        <w:numId w:val="3"/>
      </w:numPr>
      <w:spacing w:after="240"/>
    </w:pPr>
  </w:style>
  <w:style w:type="paragraph" w:customStyle="1" w:styleId="N5-5thBullet">
    <w:name w:val="N5-5th Bullet"/>
    <w:basedOn w:val="Normal"/>
    <w:rsid w:val="00271489"/>
    <w:pPr>
      <w:tabs>
        <w:tab w:val="left" w:pos="3456"/>
      </w:tabs>
      <w:spacing w:after="240"/>
      <w:ind w:left="3456" w:hanging="576"/>
    </w:pPr>
  </w:style>
  <w:style w:type="paragraph" w:customStyle="1" w:styleId="N6-DateInd">
    <w:name w:val="N6-Date Ind."/>
    <w:basedOn w:val="Normal"/>
    <w:rsid w:val="00271489"/>
    <w:pPr>
      <w:tabs>
        <w:tab w:val="left" w:pos="4910"/>
      </w:tabs>
      <w:ind w:left="4910"/>
    </w:pPr>
  </w:style>
  <w:style w:type="paragraph" w:customStyle="1" w:styleId="N7-3Block">
    <w:name w:val="N7-3&quot; Block"/>
    <w:basedOn w:val="Normal"/>
    <w:rsid w:val="00271489"/>
    <w:pPr>
      <w:tabs>
        <w:tab w:val="left" w:pos="1152"/>
      </w:tabs>
      <w:ind w:left="1152" w:right="1152"/>
    </w:pPr>
  </w:style>
  <w:style w:type="paragraph" w:customStyle="1" w:styleId="N8-QxQBlock">
    <w:name w:val="N8-QxQ Block"/>
    <w:basedOn w:val="Normal"/>
    <w:rsid w:val="00271489"/>
    <w:pPr>
      <w:tabs>
        <w:tab w:val="left" w:pos="1152"/>
      </w:tabs>
      <w:spacing w:after="360" w:line="360" w:lineRule="atLeast"/>
      <w:ind w:left="1152" w:hanging="1152"/>
    </w:pPr>
  </w:style>
  <w:style w:type="paragraph" w:customStyle="1" w:styleId="P1-StandPara">
    <w:name w:val="P1-Stand Para"/>
    <w:basedOn w:val="Normal"/>
    <w:link w:val="P1-StandParaChar"/>
    <w:rsid w:val="00271489"/>
    <w:pPr>
      <w:spacing w:line="360" w:lineRule="atLeast"/>
      <w:ind w:firstLine="1152"/>
    </w:pPr>
  </w:style>
  <w:style w:type="character" w:customStyle="1" w:styleId="P1-StandParaChar">
    <w:name w:val="P1-Stand Para Char"/>
    <w:basedOn w:val="DefaultParagraphFont"/>
    <w:link w:val="P1-StandPara"/>
    <w:rsid w:val="00271489"/>
    <w:rPr>
      <w:rFonts w:ascii="Garamond" w:hAnsi="Garamond"/>
      <w:sz w:val="24"/>
    </w:rPr>
  </w:style>
  <w:style w:type="paragraph" w:customStyle="1" w:styleId="Q1-BestFinQ">
    <w:name w:val="Q1-Best/Fin Q"/>
    <w:rsid w:val="0027148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27148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271489"/>
  </w:style>
  <w:style w:type="paragraph" w:customStyle="1" w:styleId="SP-SglSpPara">
    <w:name w:val="SP-Sgl Sp Para"/>
    <w:basedOn w:val="Normal"/>
    <w:rsid w:val="00271489"/>
    <w:pPr>
      <w:tabs>
        <w:tab w:val="left" w:pos="576"/>
      </w:tabs>
      <w:ind w:firstLine="576"/>
    </w:pPr>
  </w:style>
  <w:style w:type="paragraph" w:customStyle="1" w:styleId="T0-ChapPgHd">
    <w:name w:val="T0-Chap/Pg Hd"/>
    <w:basedOn w:val="Normal"/>
    <w:rsid w:val="00271489"/>
    <w:pPr>
      <w:tabs>
        <w:tab w:val="left" w:pos="8640"/>
      </w:tabs>
    </w:pPr>
    <w:rPr>
      <w:rFonts w:ascii="Franklin Gothic Medium" w:hAnsi="Franklin Gothic Medium"/>
      <w:u w:val="words"/>
    </w:rPr>
  </w:style>
  <w:style w:type="paragraph" w:styleId="TOC1">
    <w:name w:val="toc 1"/>
    <w:basedOn w:val="Normal"/>
    <w:uiPriority w:val="39"/>
    <w:rsid w:val="00271489"/>
    <w:pPr>
      <w:tabs>
        <w:tab w:val="left" w:pos="1440"/>
        <w:tab w:val="right" w:leader="dot" w:pos="8208"/>
        <w:tab w:val="left" w:pos="8640"/>
      </w:tabs>
      <w:ind w:left="1440" w:right="1800" w:hanging="1152"/>
    </w:pPr>
  </w:style>
  <w:style w:type="paragraph" w:styleId="TOC2">
    <w:name w:val="toc 2"/>
    <w:basedOn w:val="Normal"/>
    <w:uiPriority w:val="39"/>
    <w:rsid w:val="00271489"/>
    <w:pPr>
      <w:tabs>
        <w:tab w:val="left" w:pos="2160"/>
        <w:tab w:val="right" w:leader="dot" w:pos="8208"/>
        <w:tab w:val="left" w:pos="8640"/>
      </w:tabs>
      <w:ind w:left="2160" w:right="1800" w:hanging="720"/>
    </w:pPr>
    <w:rPr>
      <w:szCs w:val="22"/>
    </w:rPr>
  </w:style>
  <w:style w:type="paragraph" w:styleId="TOC3">
    <w:name w:val="toc 3"/>
    <w:basedOn w:val="Normal"/>
    <w:rsid w:val="00271489"/>
    <w:pPr>
      <w:tabs>
        <w:tab w:val="left" w:pos="3024"/>
        <w:tab w:val="right" w:leader="dot" w:pos="8208"/>
        <w:tab w:val="left" w:pos="8640"/>
      </w:tabs>
      <w:ind w:left="3024" w:right="1800" w:hanging="864"/>
    </w:pPr>
  </w:style>
  <w:style w:type="paragraph" w:styleId="TOC4">
    <w:name w:val="toc 4"/>
    <w:basedOn w:val="Normal"/>
    <w:rsid w:val="00271489"/>
    <w:pPr>
      <w:tabs>
        <w:tab w:val="left" w:pos="3888"/>
        <w:tab w:val="right" w:leader="dot" w:pos="8208"/>
        <w:tab w:val="left" w:pos="8640"/>
      </w:tabs>
      <w:ind w:left="3888" w:right="1800" w:hanging="864"/>
    </w:pPr>
  </w:style>
  <w:style w:type="paragraph" w:styleId="TOC5">
    <w:name w:val="toc 5"/>
    <w:basedOn w:val="Normal"/>
    <w:uiPriority w:val="39"/>
    <w:rsid w:val="00271489"/>
    <w:pPr>
      <w:tabs>
        <w:tab w:val="left" w:pos="1440"/>
        <w:tab w:val="right" w:leader="dot" w:pos="8208"/>
        <w:tab w:val="left" w:pos="8640"/>
      </w:tabs>
      <w:ind w:left="1440" w:right="1800" w:hanging="1152"/>
    </w:pPr>
  </w:style>
  <w:style w:type="paragraph" w:customStyle="1" w:styleId="TT-TableTitle">
    <w:name w:val="TT-Table Title"/>
    <w:rsid w:val="0027148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271489"/>
    <w:pPr>
      <w:tabs>
        <w:tab w:val="left" w:pos="2232"/>
      </w:tabs>
      <w:spacing w:line="240" w:lineRule="exact"/>
    </w:pPr>
  </w:style>
  <w:style w:type="paragraph" w:customStyle="1" w:styleId="R1-ResPara">
    <w:name w:val="R1-Res. Para"/>
    <w:rsid w:val="00271489"/>
    <w:pPr>
      <w:spacing w:line="240" w:lineRule="atLeast"/>
      <w:ind w:left="288"/>
    </w:pPr>
    <w:rPr>
      <w:rFonts w:ascii="Garamond" w:hAnsi="Garamond"/>
      <w:sz w:val="24"/>
    </w:rPr>
  </w:style>
  <w:style w:type="paragraph" w:customStyle="1" w:styleId="R2-ResBullet">
    <w:name w:val="R2-Res Bullet"/>
    <w:basedOn w:val="Normal"/>
    <w:rsid w:val="00271489"/>
    <w:pPr>
      <w:tabs>
        <w:tab w:val="left" w:pos="720"/>
      </w:tabs>
      <w:ind w:left="720" w:hanging="432"/>
    </w:pPr>
  </w:style>
  <w:style w:type="paragraph" w:customStyle="1" w:styleId="RF-Reference">
    <w:name w:val="RF-Reference"/>
    <w:basedOn w:val="Normal"/>
    <w:rsid w:val="00271489"/>
    <w:pPr>
      <w:spacing w:line="240" w:lineRule="exact"/>
      <w:ind w:left="216" w:hanging="216"/>
    </w:pPr>
  </w:style>
  <w:style w:type="paragraph" w:customStyle="1" w:styleId="RH-SglSpHead">
    <w:name w:val="RH-Sgl Sp Head"/>
    <w:next w:val="RL-FlLftSgl"/>
    <w:rsid w:val="0027148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27148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271489"/>
    <w:pPr>
      <w:keepNext/>
      <w:spacing w:line="240" w:lineRule="exact"/>
    </w:pPr>
    <w:rPr>
      <w:u w:val="single"/>
    </w:rPr>
  </w:style>
  <w:style w:type="paragraph" w:customStyle="1" w:styleId="Header-1">
    <w:name w:val="Header-1"/>
    <w:rsid w:val="0027148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271489"/>
    <w:pPr>
      <w:numPr>
        <w:numId w:val="5"/>
      </w:numPr>
      <w:ind w:left="288" w:hanging="288"/>
    </w:pPr>
  </w:style>
  <w:style w:type="paragraph" w:customStyle="1" w:styleId="TX-TableText">
    <w:name w:val="TX-Table Text"/>
    <w:basedOn w:val="Normal"/>
    <w:rsid w:val="00271489"/>
    <w:rPr>
      <w:rFonts w:ascii="Franklin Gothic Medium" w:hAnsi="Franklin Gothic Medium"/>
      <w:sz w:val="20"/>
    </w:rPr>
  </w:style>
  <w:style w:type="character" w:styleId="PageNumber">
    <w:name w:val="page number"/>
    <w:basedOn w:val="DefaultParagraphFont"/>
    <w:rsid w:val="00271489"/>
  </w:style>
  <w:style w:type="paragraph" w:customStyle="1" w:styleId="R0-FLLftSglBoldItalic">
    <w:name w:val="R0-FL Lft Sgl Bold Italic"/>
    <w:rsid w:val="0027148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7148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71489"/>
    <w:rPr>
      <w:rFonts w:ascii="Franklin Gothic Medium" w:hAnsi="Franklin Gothic Medium"/>
      <w:sz w:val="16"/>
    </w:rPr>
  </w:style>
  <w:style w:type="paragraph" w:customStyle="1" w:styleId="TH-TableHeading">
    <w:name w:val="TH-Table Heading"/>
    <w:rsid w:val="00271489"/>
    <w:pPr>
      <w:keepNext/>
      <w:spacing w:line="240" w:lineRule="atLeast"/>
      <w:jc w:val="center"/>
    </w:pPr>
    <w:rPr>
      <w:rFonts w:ascii="Franklin Gothic Medium" w:hAnsi="Franklin Gothic Medium"/>
      <w:b/>
    </w:rPr>
  </w:style>
  <w:style w:type="paragraph" w:styleId="TOC6">
    <w:name w:val="toc 6"/>
    <w:rsid w:val="00271489"/>
    <w:pPr>
      <w:tabs>
        <w:tab w:val="right" w:leader="dot" w:pos="8208"/>
        <w:tab w:val="left" w:pos="8640"/>
      </w:tabs>
      <w:ind w:left="288"/>
    </w:pPr>
    <w:rPr>
      <w:rFonts w:ascii="Garamond" w:hAnsi="Garamond"/>
      <w:sz w:val="24"/>
      <w:szCs w:val="22"/>
    </w:rPr>
  </w:style>
  <w:style w:type="paragraph" w:styleId="TOC7">
    <w:name w:val="toc 7"/>
    <w:rsid w:val="00271489"/>
    <w:pPr>
      <w:tabs>
        <w:tab w:val="right" w:leader="dot" w:pos="8208"/>
        <w:tab w:val="left" w:pos="8640"/>
      </w:tabs>
      <w:ind w:left="1440"/>
    </w:pPr>
    <w:rPr>
      <w:rFonts w:ascii="Garamond" w:hAnsi="Garamond"/>
      <w:sz w:val="24"/>
      <w:szCs w:val="22"/>
    </w:rPr>
  </w:style>
  <w:style w:type="paragraph" w:styleId="TOC8">
    <w:name w:val="toc 8"/>
    <w:rsid w:val="00271489"/>
    <w:pPr>
      <w:tabs>
        <w:tab w:val="right" w:leader="dot" w:pos="8208"/>
        <w:tab w:val="left" w:pos="8640"/>
      </w:tabs>
      <w:ind w:left="2160"/>
    </w:pPr>
    <w:rPr>
      <w:rFonts w:ascii="Garamond" w:hAnsi="Garamond"/>
      <w:sz w:val="24"/>
      <w:szCs w:val="22"/>
    </w:rPr>
  </w:style>
  <w:style w:type="paragraph" w:styleId="TOC9">
    <w:name w:val="toc 9"/>
    <w:rsid w:val="00271489"/>
    <w:pPr>
      <w:tabs>
        <w:tab w:val="right" w:leader="dot" w:pos="8208"/>
        <w:tab w:val="left" w:pos="8640"/>
      </w:tabs>
      <w:ind w:left="3024"/>
    </w:pPr>
    <w:rPr>
      <w:rFonts w:ascii="Garamond" w:hAnsi="Garamond"/>
      <w:sz w:val="24"/>
      <w:szCs w:val="22"/>
    </w:rPr>
  </w:style>
  <w:style w:type="paragraph" w:styleId="BalloonText">
    <w:name w:val="Balloon Text"/>
    <w:basedOn w:val="Normal"/>
    <w:link w:val="BalloonTextChar"/>
    <w:unhideWhenUsed/>
    <w:rsid w:val="0027148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71489"/>
    <w:rPr>
      <w:rFonts w:ascii="Tahoma" w:hAnsi="Tahoma" w:cs="Tahoma"/>
      <w:sz w:val="16"/>
      <w:szCs w:val="16"/>
    </w:rPr>
  </w:style>
  <w:style w:type="character" w:styleId="FootnoteReference">
    <w:name w:val="footnote reference"/>
    <w:basedOn w:val="DefaultParagraphFont"/>
    <w:uiPriority w:val="99"/>
    <w:unhideWhenUsed/>
    <w:rsid w:val="00271489"/>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sz w:val="22"/>
      <w:szCs w:val="22"/>
    </w:rPr>
  </w:style>
  <w:style w:type="paragraph" w:customStyle="1" w:styleId="ReportCover-AuthorsHead">
    <w:name w:val="ReportCover-AuthorsHead"/>
    <w:basedOn w:val="Normal"/>
    <w:uiPriority w:val="99"/>
    <w:rsid w:val="007C2CD6"/>
    <w:rPr>
      <w:rFonts w:ascii="Franklin Gothic Medium" w:hAnsi="Franklin Gothic Medium"/>
      <w:b/>
      <w:color w:val="003C79"/>
      <w:szCs w:val="24"/>
    </w:rPr>
  </w:style>
  <w:style w:type="paragraph" w:customStyle="1" w:styleId="ReportCover-Date">
    <w:name w:val="ReportCover-Date"/>
    <w:basedOn w:val="Normal"/>
    <w:uiPriority w:val="99"/>
    <w:rsid w:val="007C2CD6"/>
    <w:rPr>
      <w:rFonts w:ascii="Franklin Gothic Medium" w:hAnsi="Franklin Gothic Medium"/>
      <w:b/>
      <w:color w:val="003C79"/>
      <w:sz w:val="28"/>
    </w:rPr>
  </w:style>
  <w:style w:type="paragraph" w:customStyle="1" w:styleId="ReportCover-Prepared">
    <w:name w:val="ReportCover-Prepared"/>
    <w:basedOn w:val="Normal"/>
    <w:uiPriority w:val="99"/>
    <w:rsid w:val="007C2CD6"/>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7C2CD6"/>
    <w:pPr>
      <w:spacing w:line="480" w:lineRule="exact"/>
    </w:pPr>
    <w:rPr>
      <w:rFonts w:ascii="Franklin Gothic Medium" w:hAnsi="Franklin Gothic Medium"/>
      <w:b/>
      <w:color w:val="003C79"/>
      <w:sz w:val="44"/>
      <w:szCs w:val="40"/>
    </w:rPr>
  </w:style>
  <w:style w:type="paragraph" w:customStyle="1" w:styleId="Heading0">
    <w:name w:val="Heading 0"/>
    <w:aliases w:val="H0-Chap Head"/>
    <w:basedOn w:val="Heading1"/>
    <w:rsid w:val="00271489"/>
    <w:pPr>
      <w:tabs>
        <w:tab w:val="clear" w:pos="1152"/>
      </w:tabs>
    </w:pPr>
    <w:rPr>
      <w:szCs w:val="32"/>
    </w:rPr>
  </w:style>
  <w:style w:type="paragraph" w:styleId="ListParagraph">
    <w:name w:val="List Paragraph"/>
    <w:basedOn w:val="Normal"/>
    <w:uiPriority w:val="34"/>
    <w:qFormat/>
    <w:rsid w:val="00271489"/>
  </w:style>
  <w:style w:type="paragraph" w:styleId="BodyTextIndent3">
    <w:name w:val="Body Text Indent 3"/>
    <w:basedOn w:val="Normal"/>
    <w:link w:val="BodyTextIndent3Char"/>
    <w:uiPriority w:val="99"/>
    <w:rsid w:val="00271489"/>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271489"/>
    <w:rPr>
      <w:rFonts w:ascii="Calibri" w:hAnsi="Calibri"/>
      <w:sz w:val="16"/>
      <w:szCs w:val="16"/>
    </w:rPr>
  </w:style>
  <w:style w:type="table" w:styleId="TableGrid">
    <w:name w:val="Table Grid"/>
    <w:basedOn w:val="TableNormal"/>
    <w:uiPriority w:val="59"/>
    <w:rsid w:val="0027148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271489"/>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271489"/>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271489"/>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271489"/>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271489"/>
    <w:rPr>
      <w:rFonts w:cs="Times New Roman"/>
      <w:sz w:val="16"/>
      <w:szCs w:val="16"/>
    </w:rPr>
  </w:style>
  <w:style w:type="paragraph" w:styleId="CommentText">
    <w:name w:val="annotation text"/>
    <w:basedOn w:val="Normal"/>
    <w:link w:val="CommentTextChar"/>
    <w:uiPriority w:val="99"/>
    <w:rsid w:val="00271489"/>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271489"/>
  </w:style>
  <w:style w:type="paragraph" w:styleId="CommentSubject">
    <w:name w:val="annotation subject"/>
    <w:basedOn w:val="CommentText"/>
    <w:next w:val="CommentText"/>
    <w:link w:val="CommentSubjectChar"/>
    <w:uiPriority w:val="99"/>
    <w:semiHidden/>
    <w:rsid w:val="00271489"/>
    <w:rPr>
      <w:rFonts w:ascii="Garamond" w:hAnsi="Garamond"/>
      <w:b/>
      <w:bCs/>
    </w:rPr>
  </w:style>
  <w:style w:type="character" w:customStyle="1" w:styleId="CommentSubjectChar">
    <w:name w:val="Comment Subject Char"/>
    <w:basedOn w:val="CommentTextChar"/>
    <w:link w:val="CommentSubject"/>
    <w:uiPriority w:val="99"/>
    <w:semiHidden/>
    <w:rsid w:val="00271489"/>
    <w:rPr>
      <w:rFonts w:ascii="Garamond" w:hAnsi="Garamond"/>
      <w:b/>
      <w:bCs/>
    </w:rPr>
  </w:style>
  <w:style w:type="paragraph" w:styleId="BodyTextIndent">
    <w:name w:val="Body Text Indent"/>
    <w:basedOn w:val="Normal"/>
    <w:link w:val="BodyTextIndentChar"/>
    <w:uiPriority w:val="99"/>
    <w:rsid w:val="00271489"/>
    <w:pPr>
      <w:spacing w:after="120"/>
      <w:ind w:left="360"/>
    </w:pPr>
  </w:style>
  <w:style w:type="character" w:customStyle="1" w:styleId="BodyTextIndentChar">
    <w:name w:val="Body Text Indent Char"/>
    <w:basedOn w:val="DefaultParagraphFont"/>
    <w:link w:val="BodyTextIndent"/>
    <w:uiPriority w:val="99"/>
    <w:rsid w:val="00271489"/>
    <w:rPr>
      <w:rFonts w:ascii="Garamond" w:hAnsi="Garamond"/>
      <w:sz w:val="24"/>
    </w:rPr>
  </w:style>
  <w:style w:type="character" w:styleId="Hyperlink">
    <w:name w:val="Hyperlink"/>
    <w:basedOn w:val="DefaultParagraphFont"/>
    <w:uiPriority w:val="99"/>
    <w:rsid w:val="00271489"/>
    <w:rPr>
      <w:rFonts w:cs="Times New Roman"/>
      <w:color w:val="000000"/>
    </w:rPr>
  </w:style>
  <w:style w:type="table" w:customStyle="1" w:styleId="LightShading-Accent11">
    <w:name w:val="Light Shading - Accent 11"/>
    <w:basedOn w:val="TableNormal"/>
    <w:uiPriority w:val="60"/>
    <w:rsid w:val="0027148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271489"/>
    <w:pPr>
      <w:spacing w:after="120"/>
    </w:pPr>
  </w:style>
  <w:style w:type="character" w:customStyle="1" w:styleId="BodyTextChar">
    <w:name w:val="Body Text Char"/>
    <w:basedOn w:val="DefaultParagraphFont"/>
    <w:link w:val="BodyText"/>
    <w:uiPriority w:val="99"/>
    <w:rsid w:val="00271489"/>
    <w:rPr>
      <w:rFonts w:ascii="Garamond" w:hAnsi="Garamond"/>
      <w:sz w:val="24"/>
    </w:rPr>
  </w:style>
  <w:style w:type="paragraph" w:customStyle="1" w:styleId="L1-FlLfSp12">
    <w:name w:val="L1-FlLfSp&amp;1/2"/>
    <w:rsid w:val="00271489"/>
    <w:pPr>
      <w:tabs>
        <w:tab w:val="left" w:pos="1152"/>
      </w:tabs>
      <w:spacing w:line="360" w:lineRule="atLeast"/>
      <w:jc w:val="both"/>
    </w:pPr>
    <w:rPr>
      <w:rFonts w:ascii="Arial" w:hAnsi="Arial"/>
    </w:rPr>
  </w:style>
  <w:style w:type="paragraph" w:customStyle="1" w:styleId="Q1-FirstLevelQuestion">
    <w:name w:val="Q1-First Level Question"/>
    <w:rsid w:val="00271489"/>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271489"/>
    <w:pPr>
      <w:tabs>
        <w:tab w:val="left" w:pos="1440"/>
      </w:tabs>
      <w:spacing w:line="240" w:lineRule="atLeast"/>
      <w:ind w:left="1440" w:hanging="720"/>
      <w:jc w:val="both"/>
    </w:pPr>
    <w:rPr>
      <w:rFonts w:ascii="Arial" w:hAnsi="Arial"/>
    </w:rPr>
  </w:style>
  <w:style w:type="paragraph" w:customStyle="1" w:styleId="A1-1stLeader">
    <w:name w:val="A1-1st Leader"/>
    <w:rsid w:val="00271489"/>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271489"/>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27148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271489"/>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271489"/>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271489"/>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271489"/>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271489"/>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271489"/>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271489"/>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271489"/>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271489"/>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271489"/>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271489"/>
    <w:rPr>
      <w:b/>
      <w:i/>
      <w:vanish/>
      <w:color w:val="000000"/>
    </w:rPr>
  </w:style>
  <w:style w:type="paragraph" w:customStyle="1" w:styleId="AnnotatedParagraph">
    <w:name w:val="AnnotatedParagraph"/>
    <w:basedOn w:val="Normal"/>
    <w:rsid w:val="00271489"/>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271489"/>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271489"/>
    <w:rPr>
      <w:rFonts w:cs="Times New Roman"/>
      <w:b/>
      <w:bCs/>
    </w:rPr>
  </w:style>
  <w:style w:type="paragraph" w:styleId="ListBullet">
    <w:name w:val="List Bullet"/>
    <w:basedOn w:val="Normal"/>
    <w:uiPriority w:val="99"/>
    <w:unhideWhenUsed/>
    <w:rsid w:val="00271489"/>
    <w:pPr>
      <w:numPr>
        <w:numId w:val="6"/>
      </w:numPr>
      <w:spacing w:line="360" w:lineRule="atLeast"/>
      <w:contextualSpacing/>
      <w:jc w:val="both"/>
    </w:pPr>
    <w:rPr>
      <w:rFonts w:ascii="Arial" w:hAnsi="Arial"/>
      <w:sz w:val="20"/>
    </w:rPr>
  </w:style>
  <w:style w:type="paragraph" w:styleId="Revision">
    <w:name w:val="Revision"/>
    <w:hidden/>
    <w:uiPriority w:val="99"/>
    <w:semiHidden/>
    <w:rsid w:val="00271489"/>
    <w:rPr>
      <w:rFonts w:ascii="Arial" w:hAnsi="Arial"/>
    </w:rPr>
  </w:style>
  <w:style w:type="paragraph" w:styleId="NoSpacing">
    <w:name w:val="No Spacing"/>
    <w:link w:val="NoSpacingChar"/>
    <w:uiPriority w:val="1"/>
    <w:qFormat/>
    <w:rsid w:val="00271489"/>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271489"/>
    <w:rPr>
      <w:rFonts w:ascii="Calibri" w:hAnsi="Calibri"/>
      <w:b/>
      <w:sz w:val="24"/>
    </w:rPr>
  </w:style>
  <w:style w:type="paragraph" w:styleId="HTMLPreformatted">
    <w:name w:val="HTML Preformatted"/>
    <w:basedOn w:val="Normal"/>
    <w:link w:val="HTMLPreformattedChar"/>
    <w:uiPriority w:val="99"/>
    <w:unhideWhenUsed/>
    <w:rsid w:val="0027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71489"/>
    <w:rPr>
      <w:rFonts w:ascii="Courier New" w:hAnsi="Courier New" w:cs="Courier New"/>
    </w:rPr>
  </w:style>
  <w:style w:type="paragraph" w:styleId="TableofFigures">
    <w:name w:val="table of figures"/>
    <w:basedOn w:val="Normal"/>
    <w:next w:val="Normal"/>
    <w:uiPriority w:val="99"/>
    <w:rsid w:val="00271489"/>
  </w:style>
  <w:style w:type="paragraph" w:customStyle="1" w:styleId="bodytextblack">
    <w:name w:val="bodytextblack"/>
    <w:basedOn w:val="Normal"/>
    <w:rsid w:val="00271489"/>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271489"/>
  </w:style>
  <w:style w:type="character" w:customStyle="1" w:styleId="NormalChar">
    <w:name w:val="Normal Char"/>
    <w:link w:val="Normal1"/>
    <w:uiPriority w:val="99"/>
    <w:rsid w:val="00271489"/>
    <w:rPr>
      <w:rFonts w:ascii="Garamond" w:hAnsi="Garamond"/>
      <w:sz w:val="24"/>
    </w:rPr>
  </w:style>
  <w:style w:type="paragraph" w:customStyle="1" w:styleId="Default">
    <w:name w:val="Default"/>
    <w:uiPriority w:val="99"/>
    <w:rsid w:val="00271489"/>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271489"/>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271489"/>
    <w:rPr>
      <w:color w:val="800080" w:themeColor="followedHyperlink"/>
      <w:u w:val="single"/>
    </w:rPr>
  </w:style>
  <w:style w:type="paragraph" w:customStyle="1" w:styleId="ExhibitHead">
    <w:name w:val="Exhibit Head"/>
    <w:basedOn w:val="Normal"/>
    <w:uiPriority w:val="99"/>
    <w:rsid w:val="00271489"/>
    <w:pPr>
      <w:spacing w:after="120" w:line="240" w:lineRule="auto"/>
      <w:jc w:val="center"/>
    </w:pPr>
    <w:rPr>
      <w:rFonts w:ascii="Arial" w:hAnsi="Arial"/>
      <w:b/>
      <w:bCs/>
      <w:sz w:val="20"/>
    </w:rPr>
  </w:style>
  <w:style w:type="paragraph" w:customStyle="1" w:styleId="BodyText1">
    <w:name w:val="Body Text1"/>
    <w:link w:val="BodytextChar0"/>
    <w:uiPriority w:val="99"/>
    <w:rsid w:val="00271489"/>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271489"/>
    <w:rPr>
      <w:sz w:val="24"/>
      <w:szCs w:val="24"/>
    </w:rPr>
  </w:style>
  <w:style w:type="paragraph" w:customStyle="1" w:styleId="TableText">
    <w:name w:val="Table Text"/>
    <w:basedOn w:val="Normal"/>
    <w:uiPriority w:val="99"/>
    <w:rsid w:val="00271489"/>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271489"/>
    <w:pPr>
      <w:jc w:val="center"/>
    </w:pPr>
    <w:rPr>
      <w:b/>
      <w:bCs/>
    </w:rPr>
  </w:style>
  <w:style w:type="paragraph" w:customStyle="1" w:styleId="AbtHeadC">
    <w:name w:val="AbtHead C"/>
    <w:basedOn w:val="Normal"/>
    <w:next w:val="BodyText"/>
    <w:link w:val="AbtHeadCChar"/>
    <w:uiPriority w:val="99"/>
    <w:rsid w:val="00271489"/>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271489"/>
    <w:rPr>
      <w:rFonts w:ascii="Arial" w:hAnsi="Arial"/>
      <w:b/>
    </w:rPr>
  </w:style>
  <w:style w:type="character" w:customStyle="1" w:styleId="CommentTextChar2">
    <w:name w:val="Comment Text Char2"/>
    <w:uiPriority w:val="99"/>
    <w:locked/>
    <w:rsid w:val="00271489"/>
    <w:rPr>
      <w:rFonts w:cs="Times New Roman"/>
    </w:rPr>
  </w:style>
  <w:style w:type="paragraph" w:customStyle="1" w:styleId="ExhibitColumnHeads">
    <w:name w:val="Exhibit Column Heads"/>
    <w:basedOn w:val="BodyText"/>
    <w:uiPriority w:val="99"/>
    <w:rsid w:val="00271489"/>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271489"/>
    <w:pPr>
      <w:spacing w:line="240" w:lineRule="auto"/>
    </w:pPr>
    <w:rPr>
      <w:rFonts w:ascii="Arial Narrow" w:hAnsi="Arial Narrow"/>
      <w:sz w:val="18"/>
    </w:rPr>
  </w:style>
  <w:style w:type="paragraph" w:customStyle="1" w:styleId="ExhibitTitle">
    <w:name w:val="Exhibit Title"/>
    <w:basedOn w:val="Default"/>
    <w:next w:val="Default"/>
    <w:uiPriority w:val="99"/>
    <w:rsid w:val="00271489"/>
    <w:rPr>
      <w:color w:val="auto"/>
    </w:rPr>
  </w:style>
  <w:style w:type="paragraph" w:styleId="Caption">
    <w:name w:val="caption"/>
    <w:basedOn w:val="Normal"/>
    <w:next w:val="Normal"/>
    <w:uiPriority w:val="99"/>
    <w:qFormat/>
    <w:rsid w:val="00271489"/>
    <w:rPr>
      <w:b/>
      <w:bCs/>
      <w:sz w:val="20"/>
    </w:rPr>
  </w:style>
  <w:style w:type="paragraph" w:customStyle="1" w:styleId="TOCTitle">
    <w:name w:val="TOC Title"/>
    <w:basedOn w:val="Default"/>
    <w:next w:val="Default"/>
    <w:uiPriority w:val="99"/>
    <w:rsid w:val="00271489"/>
    <w:rPr>
      <w:color w:val="auto"/>
    </w:rPr>
  </w:style>
  <w:style w:type="paragraph" w:customStyle="1" w:styleId="BodyTextItalics">
    <w:name w:val="Body Text Italics"/>
    <w:basedOn w:val="Default"/>
    <w:next w:val="Default"/>
    <w:uiPriority w:val="99"/>
    <w:rsid w:val="00271489"/>
    <w:rPr>
      <w:color w:val="auto"/>
    </w:rPr>
  </w:style>
  <w:style w:type="paragraph" w:customStyle="1" w:styleId="HeadingUnderline">
    <w:name w:val="Heading Underline"/>
    <w:basedOn w:val="Default"/>
    <w:next w:val="Default"/>
    <w:uiPriority w:val="99"/>
    <w:rsid w:val="00271489"/>
    <w:rPr>
      <w:color w:val="auto"/>
    </w:rPr>
  </w:style>
  <w:style w:type="paragraph" w:customStyle="1" w:styleId="BodyText0">
    <w:name w:val="BodyText"/>
    <w:basedOn w:val="Default"/>
    <w:next w:val="Default"/>
    <w:link w:val="BodyTextCharChar"/>
    <w:uiPriority w:val="99"/>
    <w:rsid w:val="00271489"/>
    <w:rPr>
      <w:color w:val="auto"/>
    </w:rPr>
  </w:style>
  <w:style w:type="character" w:customStyle="1" w:styleId="BodyTextCharChar">
    <w:name w:val="BodyText Char Char"/>
    <w:link w:val="BodyText0"/>
    <w:uiPriority w:val="99"/>
    <w:locked/>
    <w:rsid w:val="00271489"/>
    <w:rPr>
      <w:rFonts w:eastAsia="Calibri"/>
      <w:sz w:val="24"/>
      <w:szCs w:val="24"/>
      <w:lang w:bidi="he-IL"/>
    </w:rPr>
  </w:style>
  <w:style w:type="paragraph" w:customStyle="1" w:styleId="BodyTextIndent1">
    <w:name w:val="Body Text Indent1"/>
    <w:basedOn w:val="Default"/>
    <w:next w:val="Default"/>
    <w:uiPriority w:val="99"/>
    <w:rsid w:val="00271489"/>
    <w:rPr>
      <w:color w:val="auto"/>
    </w:rPr>
  </w:style>
  <w:style w:type="paragraph" w:customStyle="1" w:styleId="Bullet">
    <w:name w:val="Bullet"/>
    <w:basedOn w:val="Default"/>
    <w:next w:val="Default"/>
    <w:link w:val="BulletChar"/>
    <w:uiPriority w:val="99"/>
    <w:rsid w:val="00271489"/>
    <w:rPr>
      <w:color w:val="auto"/>
    </w:rPr>
  </w:style>
  <w:style w:type="character" w:customStyle="1" w:styleId="BulletChar">
    <w:name w:val="Bullet Char"/>
    <w:link w:val="Bullet"/>
    <w:uiPriority w:val="99"/>
    <w:locked/>
    <w:rsid w:val="00271489"/>
    <w:rPr>
      <w:rFonts w:eastAsia="Calibri"/>
      <w:sz w:val="24"/>
      <w:szCs w:val="24"/>
      <w:lang w:bidi="he-IL"/>
    </w:rPr>
  </w:style>
  <w:style w:type="paragraph" w:customStyle="1" w:styleId="ExhibitColumnHeadLeft">
    <w:name w:val="Exhibit Column Head Left"/>
    <w:basedOn w:val="Default"/>
    <w:next w:val="Default"/>
    <w:uiPriority w:val="99"/>
    <w:rsid w:val="00271489"/>
    <w:rPr>
      <w:color w:val="auto"/>
    </w:rPr>
  </w:style>
  <w:style w:type="paragraph" w:customStyle="1" w:styleId="ExhibitColumnHead">
    <w:name w:val="Exhibit Column Head"/>
    <w:basedOn w:val="Default"/>
    <w:next w:val="Default"/>
    <w:uiPriority w:val="99"/>
    <w:rsid w:val="00271489"/>
    <w:rPr>
      <w:color w:val="auto"/>
    </w:rPr>
  </w:style>
  <w:style w:type="paragraph" w:customStyle="1" w:styleId="ExhibitInfo">
    <w:name w:val="Exhibit Info"/>
    <w:basedOn w:val="Default"/>
    <w:next w:val="Default"/>
    <w:uiPriority w:val="99"/>
    <w:rsid w:val="00271489"/>
    <w:rPr>
      <w:color w:val="auto"/>
    </w:rPr>
  </w:style>
  <w:style w:type="paragraph" w:customStyle="1" w:styleId="ExhibitInfoCentered">
    <w:name w:val="Exhibit Info Centered"/>
    <w:basedOn w:val="Default"/>
    <w:next w:val="Default"/>
    <w:uiPriority w:val="99"/>
    <w:rsid w:val="00271489"/>
    <w:rPr>
      <w:color w:val="auto"/>
    </w:rPr>
  </w:style>
  <w:style w:type="paragraph" w:customStyle="1" w:styleId="ContactInfo">
    <w:name w:val="Contact Info"/>
    <w:basedOn w:val="Default"/>
    <w:next w:val="Default"/>
    <w:uiPriority w:val="99"/>
    <w:rsid w:val="00271489"/>
    <w:rPr>
      <w:color w:val="auto"/>
    </w:rPr>
  </w:style>
  <w:style w:type="paragraph" w:customStyle="1" w:styleId="ContactInfoLAST">
    <w:name w:val="Contact Info LAST"/>
    <w:basedOn w:val="Default"/>
    <w:next w:val="Default"/>
    <w:uiPriority w:val="99"/>
    <w:rsid w:val="00271489"/>
    <w:rPr>
      <w:color w:val="auto"/>
    </w:rPr>
  </w:style>
  <w:style w:type="paragraph" w:customStyle="1" w:styleId="ConfPled">
    <w:name w:val="Conf Pled"/>
    <w:basedOn w:val="Default"/>
    <w:next w:val="Default"/>
    <w:uiPriority w:val="99"/>
    <w:rsid w:val="00271489"/>
    <w:rPr>
      <w:rFonts w:ascii="Arial" w:hAnsi="Arial" w:cs="Arial"/>
      <w:color w:val="auto"/>
    </w:rPr>
  </w:style>
  <w:style w:type="paragraph" w:customStyle="1" w:styleId="ConfPledBodyText">
    <w:name w:val="Conf Pled Body Text"/>
    <w:basedOn w:val="Default"/>
    <w:next w:val="Default"/>
    <w:uiPriority w:val="99"/>
    <w:rsid w:val="00271489"/>
    <w:rPr>
      <w:rFonts w:ascii="Arial" w:hAnsi="Arial" w:cs="Arial"/>
      <w:color w:val="auto"/>
    </w:rPr>
  </w:style>
  <w:style w:type="paragraph" w:customStyle="1" w:styleId="bullet0">
    <w:name w:val="bullet"/>
    <w:basedOn w:val="Default"/>
    <w:next w:val="Default"/>
    <w:uiPriority w:val="99"/>
    <w:rsid w:val="00271489"/>
    <w:rPr>
      <w:rFonts w:ascii="Arial" w:hAnsi="Arial" w:cs="Arial"/>
      <w:color w:val="auto"/>
    </w:rPr>
  </w:style>
  <w:style w:type="paragraph" w:customStyle="1" w:styleId="ConfPledIndent">
    <w:name w:val="Conf Pled Indent"/>
    <w:basedOn w:val="Default"/>
    <w:next w:val="Default"/>
    <w:uiPriority w:val="99"/>
    <w:rsid w:val="00271489"/>
    <w:rPr>
      <w:rFonts w:ascii="Arial" w:hAnsi="Arial" w:cs="Arial"/>
      <w:color w:val="auto"/>
    </w:rPr>
  </w:style>
  <w:style w:type="paragraph" w:customStyle="1" w:styleId="Sign">
    <w:name w:val="Sign"/>
    <w:basedOn w:val="Default"/>
    <w:next w:val="Default"/>
    <w:uiPriority w:val="99"/>
    <w:rsid w:val="00271489"/>
    <w:rPr>
      <w:rFonts w:ascii="Arial" w:hAnsi="Arial" w:cs="Arial"/>
      <w:color w:val="auto"/>
    </w:rPr>
  </w:style>
  <w:style w:type="paragraph" w:customStyle="1" w:styleId="TableColumnHeadLeft">
    <w:name w:val="Table Column Head Left"/>
    <w:basedOn w:val="Default"/>
    <w:next w:val="Default"/>
    <w:uiPriority w:val="99"/>
    <w:rsid w:val="00271489"/>
    <w:rPr>
      <w:color w:val="auto"/>
    </w:rPr>
  </w:style>
  <w:style w:type="paragraph" w:customStyle="1" w:styleId="TableColumnHead">
    <w:name w:val="Table Column Head"/>
    <w:basedOn w:val="Default"/>
    <w:next w:val="Default"/>
    <w:uiPriority w:val="99"/>
    <w:rsid w:val="00271489"/>
    <w:rPr>
      <w:color w:val="auto"/>
    </w:rPr>
  </w:style>
  <w:style w:type="paragraph" w:customStyle="1" w:styleId="TableInfo">
    <w:name w:val="Table Info"/>
    <w:basedOn w:val="Default"/>
    <w:next w:val="Default"/>
    <w:uiPriority w:val="99"/>
    <w:rsid w:val="00271489"/>
    <w:rPr>
      <w:color w:val="auto"/>
    </w:rPr>
  </w:style>
  <w:style w:type="paragraph" w:customStyle="1" w:styleId="TableInfoCentered">
    <w:name w:val="Table Info Centered"/>
    <w:basedOn w:val="Default"/>
    <w:next w:val="Default"/>
    <w:uiPriority w:val="99"/>
    <w:rsid w:val="00271489"/>
    <w:rPr>
      <w:color w:val="auto"/>
    </w:rPr>
  </w:style>
  <w:style w:type="paragraph" w:customStyle="1" w:styleId="Footnote">
    <w:name w:val="Footnote"/>
    <w:basedOn w:val="Normal"/>
    <w:link w:val="FootnoteChar"/>
    <w:uiPriority w:val="99"/>
    <w:rsid w:val="00271489"/>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271489"/>
    <w:rPr>
      <w:rFonts w:ascii="Garamond" w:hAnsi="Garamond"/>
      <w:szCs w:val="16"/>
    </w:rPr>
  </w:style>
  <w:style w:type="paragraph" w:customStyle="1" w:styleId="Bulletsingle">
    <w:name w:val="Bullet single"/>
    <w:basedOn w:val="Normal"/>
    <w:link w:val="BulletsingleChar"/>
    <w:uiPriority w:val="99"/>
    <w:rsid w:val="00271489"/>
    <w:pPr>
      <w:numPr>
        <w:numId w:val="8"/>
      </w:numPr>
      <w:spacing w:line="240" w:lineRule="auto"/>
      <w:jc w:val="both"/>
    </w:pPr>
  </w:style>
  <w:style w:type="character" w:customStyle="1" w:styleId="BulletsingleChar">
    <w:name w:val="Bullet single Char"/>
    <w:link w:val="Bulletsingle"/>
    <w:uiPriority w:val="99"/>
    <w:locked/>
    <w:rsid w:val="00271489"/>
    <w:rPr>
      <w:rFonts w:ascii="Garamond" w:hAnsi="Garamond"/>
      <w:sz w:val="24"/>
    </w:rPr>
  </w:style>
  <w:style w:type="paragraph" w:customStyle="1" w:styleId="Heading4NEW">
    <w:name w:val="Heading 4 NEW"/>
    <w:basedOn w:val="Normal"/>
    <w:uiPriority w:val="99"/>
    <w:rsid w:val="00271489"/>
    <w:pPr>
      <w:spacing w:after="240" w:line="240" w:lineRule="auto"/>
    </w:pPr>
    <w:rPr>
      <w:b/>
      <w:bCs/>
      <w:i/>
      <w:iCs/>
    </w:rPr>
  </w:style>
  <w:style w:type="character" w:customStyle="1" w:styleId="EndnoteTextChar">
    <w:name w:val="Endnote Text Char"/>
    <w:link w:val="EndnoteText"/>
    <w:uiPriority w:val="99"/>
    <w:semiHidden/>
    <w:rsid w:val="00271489"/>
  </w:style>
  <w:style w:type="paragraph" w:styleId="EndnoteText">
    <w:name w:val="endnote text"/>
    <w:basedOn w:val="Normal"/>
    <w:link w:val="EndnoteTextChar"/>
    <w:uiPriority w:val="99"/>
    <w:semiHidden/>
    <w:rsid w:val="00271489"/>
    <w:pPr>
      <w:spacing w:line="240" w:lineRule="auto"/>
    </w:pPr>
    <w:rPr>
      <w:rFonts w:ascii="Times New Roman" w:hAnsi="Times New Roman"/>
      <w:sz w:val="20"/>
    </w:rPr>
  </w:style>
  <w:style w:type="character" w:customStyle="1" w:styleId="EndnoteTextChar1">
    <w:name w:val="Endnote Text Char1"/>
    <w:basedOn w:val="DefaultParagraphFont"/>
    <w:uiPriority w:val="99"/>
    <w:rsid w:val="00271489"/>
    <w:rPr>
      <w:rFonts w:ascii="Garamond" w:hAnsi="Garamond"/>
    </w:rPr>
  </w:style>
  <w:style w:type="character" w:customStyle="1" w:styleId="CommentTextChar1">
    <w:name w:val="Comment Text Char1"/>
    <w:uiPriority w:val="99"/>
    <w:semiHidden/>
    <w:rsid w:val="00271489"/>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271489"/>
    <w:rPr>
      <w:rFonts w:cs="Times New Roman"/>
    </w:rPr>
  </w:style>
  <w:style w:type="paragraph" w:customStyle="1" w:styleId="AbtHeadA">
    <w:name w:val="AbtHead A"/>
    <w:basedOn w:val="Normal"/>
    <w:next w:val="BodyText"/>
    <w:uiPriority w:val="99"/>
    <w:rsid w:val="0027148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271489"/>
    <w:pPr>
      <w:spacing w:after="120"/>
      <w:ind w:left="360"/>
    </w:pPr>
    <w:rPr>
      <w:szCs w:val="24"/>
    </w:rPr>
  </w:style>
  <w:style w:type="character" w:customStyle="1" w:styleId="BodyText2Char1">
    <w:name w:val="Body Text 2 Char1"/>
    <w:link w:val="BodyText2"/>
    <w:uiPriority w:val="99"/>
    <w:locked/>
    <w:rsid w:val="00271489"/>
    <w:rPr>
      <w:rFonts w:ascii="Garamond" w:hAnsi="Garamond"/>
      <w:sz w:val="24"/>
      <w:szCs w:val="24"/>
    </w:rPr>
  </w:style>
  <w:style w:type="character" w:customStyle="1" w:styleId="BodyText2Char">
    <w:name w:val="Body Text 2 Char"/>
    <w:basedOn w:val="DefaultParagraphFont"/>
    <w:uiPriority w:val="99"/>
    <w:semiHidden/>
    <w:rsid w:val="00271489"/>
    <w:rPr>
      <w:rFonts w:ascii="Garamond" w:hAnsi="Garamond"/>
      <w:sz w:val="24"/>
    </w:rPr>
  </w:style>
  <w:style w:type="paragraph" w:styleId="Title">
    <w:name w:val="Title"/>
    <w:basedOn w:val="Normal"/>
    <w:next w:val="Normal"/>
    <w:link w:val="TitleChar"/>
    <w:uiPriority w:val="99"/>
    <w:qFormat/>
    <w:rsid w:val="00271489"/>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271489"/>
    <w:rPr>
      <w:rFonts w:ascii="Arial" w:hAnsi="Arial"/>
      <w:b/>
      <w:bCs/>
      <w:kern w:val="28"/>
      <w:sz w:val="32"/>
      <w:szCs w:val="32"/>
    </w:rPr>
  </w:style>
  <w:style w:type="paragraph" w:styleId="Subtitle">
    <w:name w:val="Subtitle"/>
    <w:basedOn w:val="Normal"/>
    <w:next w:val="Normal"/>
    <w:link w:val="SubtitleChar"/>
    <w:uiPriority w:val="99"/>
    <w:qFormat/>
    <w:rsid w:val="00271489"/>
    <w:pPr>
      <w:spacing w:after="60"/>
      <w:jc w:val="center"/>
      <w:outlineLvl w:val="1"/>
    </w:pPr>
    <w:rPr>
      <w:rFonts w:ascii="Arial" w:hAnsi="Arial"/>
      <w:sz w:val="28"/>
      <w:szCs w:val="28"/>
    </w:rPr>
  </w:style>
  <w:style w:type="character" w:customStyle="1" w:styleId="SubtitleChar">
    <w:name w:val="Subtitle Char"/>
    <w:basedOn w:val="DefaultParagraphFont"/>
    <w:link w:val="Subtitle"/>
    <w:uiPriority w:val="99"/>
    <w:rsid w:val="00271489"/>
    <w:rPr>
      <w:rFonts w:ascii="Arial" w:hAnsi="Arial"/>
      <w:sz w:val="28"/>
      <w:szCs w:val="28"/>
    </w:rPr>
  </w:style>
  <w:style w:type="paragraph" w:styleId="TOCHeading">
    <w:name w:val="TOC Heading"/>
    <w:basedOn w:val="Heading1"/>
    <w:next w:val="Normal"/>
    <w:uiPriority w:val="99"/>
    <w:qFormat/>
    <w:rsid w:val="00271489"/>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271489"/>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271489"/>
    <w:rPr>
      <w:rFonts w:cs="Times New Roman"/>
      <w:sz w:val="20"/>
      <w:szCs w:val="20"/>
    </w:rPr>
  </w:style>
  <w:style w:type="paragraph" w:customStyle="1" w:styleId="Table">
    <w:name w:val="Table"/>
    <w:basedOn w:val="Normal"/>
    <w:uiPriority w:val="99"/>
    <w:rsid w:val="00271489"/>
    <w:pPr>
      <w:tabs>
        <w:tab w:val="left" w:pos="720"/>
        <w:tab w:val="left" w:pos="1080"/>
        <w:tab w:val="left" w:pos="1440"/>
        <w:tab w:val="left" w:pos="1800"/>
      </w:tabs>
      <w:spacing w:line="264" w:lineRule="auto"/>
    </w:pPr>
    <w:rPr>
      <w:rFonts w:ascii="Arial" w:hAnsi="Arial"/>
      <w:sz w:val="20"/>
    </w:rPr>
  </w:style>
  <w:style w:type="paragraph" w:customStyle="1" w:styleId="ReportCover-ImageBottom">
    <w:name w:val="ReportCover-ImageBottom"/>
    <w:basedOn w:val="Normal"/>
    <w:uiPriority w:val="99"/>
    <w:rsid w:val="00271489"/>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271489"/>
    <w:pPr>
      <w:spacing w:line="100" w:lineRule="exact"/>
    </w:pPr>
  </w:style>
  <w:style w:type="paragraph" w:customStyle="1" w:styleId="EX-ExhibitTitle">
    <w:name w:val="EX-Exhibit Title"/>
    <w:basedOn w:val="TT-TableTitle"/>
    <w:uiPriority w:val="99"/>
    <w:rsid w:val="00271489"/>
    <w:pPr>
      <w:ind w:left="0" w:firstLine="0"/>
      <w:outlineLvl w:val="0"/>
    </w:pPr>
    <w:rPr>
      <w:szCs w:val="32"/>
    </w:rPr>
  </w:style>
  <w:style w:type="character" w:customStyle="1" w:styleId="Heading5-SF">
    <w:name w:val="Heading5-SF"/>
    <w:rsid w:val="00271489"/>
    <w:rPr>
      <w:rFonts w:ascii="Arial" w:hAnsi="Arial" w:cs="Arial"/>
      <w:b/>
      <w:color w:val="0000AC"/>
    </w:rPr>
  </w:style>
  <w:style w:type="paragraph" w:customStyle="1" w:styleId="Bullets">
    <w:name w:val="Bullets"/>
    <w:basedOn w:val="BodyText"/>
    <w:link w:val="BulletsCharChar"/>
    <w:uiPriority w:val="99"/>
    <w:rsid w:val="00271489"/>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271489"/>
    <w:rPr>
      <w:rFonts w:eastAsia="Calibri"/>
      <w:sz w:val="22"/>
    </w:rPr>
  </w:style>
  <w:style w:type="character" w:customStyle="1" w:styleId="FootnoteTextChar1">
    <w:name w:val="Footnote Text Char1"/>
    <w:aliases w:val="F1 Char1"/>
    <w:basedOn w:val="DefaultParagraphFont"/>
    <w:semiHidden/>
    <w:locked/>
    <w:rsid w:val="00271489"/>
    <w:rPr>
      <w:rFonts w:ascii="Calibri" w:eastAsia="Calibri" w:hAnsi="Calibri"/>
    </w:rPr>
  </w:style>
  <w:style w:type="paragraph" w:customStyle="1" w:styleId="BulletsLast">
    <w:name w:val="BulletsLast"/>
    <w:basedOn w:val="Bullets"/>
    <w:uiPriority w:val="99"/>
    <w:rsid w:val="00271489"/>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271489"/>
  </w:style>
  <w:style w:type="paragraph" w:styleId="DocumentMap">
    <w:name w:val="Document Map"/>
    <w:basedOn w:val="Normal"/>
    <w:link w:val="DocumentMapChar"/>
    <w:uiPriority w:val="99"/>
    <w:semiHidden/>
    <w:unhideWhenUsed/>
    <w:rsid w:val="0027148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71489"/>
    <w:rPr>
      <w:rFonts w:ascii="Tahoma" w:hAnsi="Tahoma" w:cs="Tahoma"/>
      <w:sz w:val="16"/>
      <w:szCs w:val="16"/>
    </w:rPr>
  </w:style>
  <w:style w:type="character" w:styleId="EndnoteReference">
    <w:name w:val="endnote reference"/>
    <w:basedOn w:val="DefaultParagraphFont"/>
    <w:uiPriority w:val="99"/>
    <w:semiHidden/>
    <w:unhideWhenUsed/>
    <w:rsid w:val="00271489"/>
    <w:rPr>
      <w:vertAlign w:val="superscript"/>
    </w:rPr>
  </w:style>
  <w:style w:type="character" w:customStyle="1" w:styleId="t101">
    <w:name w:val="t101"/>
    <w:basedOn w:val="DefaultParagraphFont"/>
    <w:rsid w:val="00271489"/>
    <w:rPr>
      <w:rFonts w:ascii="Times New Roman" w:hAnsi="Times New Roman" w:cs="Times New Roman" w:hint="default"/>
      <w:color w:val="339933"/>
      <w:sz w:val="24"/>
      <w:szCs w:val="24"/>
    </w:rPr>
  </w:style>
  <w:style w:type="paragraph" w:styleId="PlainText">
    <w:name w:val="Plain Text"/>
    <w:basedOn w:val="Normal"/>
    <w:link w:val="PlainTextChar"/>
    <w:uiPriority w:val="99"/>
    <w:rsid w:val="00271489"/>
    <w:pPr>
      <w:spacing w:line="240" w:lineRule="auto"/>
    </w:pPr>
    <w:rPr>
      <w:rFonts w:ascii="Courier New" w:hAnsi="Courier New" w:cs="Courier New"/>
      <w:sz w:val="20"/>
    </w:rPr>
  </w:style>
  <w:style w:type="character" w:customStyle="1" w:styleId="PlainTextChar">
    <w:name w:val="Plain Text Char"/>
    <w:basedOn w:val="DefaultParagraphFont"/>
    <w:link w:val="PlainText"/>
    <w:uiPriority w:val="99"/>
    <w:rsid w:val="00271489"/>
    <w:rPr>
      <w:rFonts w:ascii="Courier New" w:hAnsi="Courier New" w:cs="Courier New"/>
    </w:rPr>
  </w:style>
  <w:style w:type="character" w:customStyle="1" w:styleId="slug-pub-date">
    <w:name w:val="slug-pub-date"/>
    <w:basedOn w:val="DefaultParagraphFont"/>
    <w:rsid w:val="00271489"/>
  </w:style>
  <w:style w:type="character" w:customStyle="1" w:styleId="apple-converted-space">
    <w:name w:val="apple-converted-space"/>
    <w:basedOn w:val="DefaultParagraphFont"/>
    <w:rsid w:val="00271489"/>
  </w:style>
  <w:style w:type="character" w:customStyle="1" w:styleId="slug-vol">
    <w:name w:val="slug-vol"/>
    <w:basedOn w:val="DefaultParagraphFont"/>
    <w:rsid w:val="00271489"/>
  </w:style>
  <w:style w:type="character" w:customStyle="1" w:styleId="slug-issue">
    <w:name w:val="slug-issue"/>
    <w:basedOn w:val="DefaultParagraphFont"/>
    <w:rsid w:val="00271489"/>
  </w:style>
  <w:style w:type="character" w:customStyle="1" w:styleId="slug-pages">
    <w:name w:val="slug-pages"/>
    <w:basedOn w:val="DefaultParagraphFont"/>
    <w:rsid w:val="00271489"/>
  </w:style>
  <w:style w:type="table" w:customStyle="1" w:styleId="TableWestatStandardFormat1">
    <w:name w:val="Table Westat Standard Format1"/>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2">
    <w:name w:val="Table Westat Standard Format2"/>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3">
    <w:name w:val="Table Westat Standard Format3"/>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NormalSS">
    <w:name w:val="NormalSS"/>
    <w:basedOn w:val="Normal"/>
    <w:qFormat/>
    <w:rsid w:val="00271489"/>
    <w:pPr>
      <w:tabs>
        <w:tab w:val="left" w:pos="432"/>
      </w:tabs>
      <w:spacing w:line="240" w:lineRule="auto"/>
      <w:ind w:firstLine="432"/>
      <w:jc w:val="both"/>
    </w:pPr>
    <w:rPr>
      <w:rFonts w:ascii="Times New Roman" w:hAnsi="Times New Roman"/>
      <w:szCs w:val="24"/>
    </w:rPr>
  </w:style>
  <w:style w:type="paragraph" w:customStyle="1" w:styleId="xl63">
    <w:name w:val="xl63"/>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4">
    <w:name w:val="xl64"/>
    <w:basedOn w:val="Normal"/>
    <w:rsid w:val="001527CB"/>
    <w:pPr>
      <w:spacing w:before="100" w:beforeAutospacing="1" w:after="100" w:afterAutospacing="1" w:line="240" w:lineRule="auto"/>
      <w:jc w:val="center"/>
    </w:pPr>
    <w:rPr>
      <w:rFonts w:ascii="Times New Roman" w:hAnsi="Times New Roman"/>
      <w:sz w:val="16"/>
      <w:szCs w:val="16"/>
    </w:rPr>
  </w:style>
  <w:style w:type="paragraph" w:customStyle="1" w:styleId="xl65">
    <w:name w:val="xl65"/>
    <w:basedOn w:val="Normal"/>
    <w:rsid w:val="001527CB"/>
    <w:pPr>
      <w:spacing w:before="100" w:beforeAutospacing="1" w:after="100" w:afterAutospacing="1" w:line="240" w:lineRule="auto"/>
      <w:jc w:val="right"/>
    </w:pPr>
    <w:rPr>
      <w:rFonts w:ascii="Times New Roman" w:hAnsi="Times New Roman"/>
      <w:sz w:val="16"/>
      <w:szCs w:val="16"/>
    </w:rPr>
  </w:style>
  <w:style w:type="paragraph" w:customStyle="1" w:styleId="xl66">
    <w:name w:val="xl66"/>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7">
    <w:name w:val="xl67"/>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8">
    <w:name w:val="xl68"/>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9">
    <w:name w:val="xl69"/>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70">
    <w:name w:val="xl70"/>
    <w:basedOn w:val="Normal"/>
    <w:rsid w:val="001527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1">
    <w:name w:val="xl71"/>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2">
    <w:name w:val="xl72"/>
    <w:basedOn w:val="Normal"/>
    <w:rsid w:val="001527CB"/>
    <w:pPr>
      <w:pBdr>
        <w:top w:val="single" w:sz="8"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3">
    <w:name w:val="xl73"/>
    <w:basedOn w:val="Normal"/>
    <w:rsid w:val="001527C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Normal"/>
    <w:rsid w:val="001527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5">
    <w:name w:val="xl75"/>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6">
    <w:name w:val="xl76"/>
    <w:basedOn w:val="Normal"/>
    <w:rsid w:val="001527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7">
    <w:name w:val="xl77"/>
    <w:basedOn w:val="Normal"/>
    <w:rsid w:val="001527C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8">
    <w:name w:val="xl78"/>
    <w:basedOn w:val="Normal"/>
    <w:rsid w:val="001527CB"/>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9">
    <w:name w:val="xl7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0">
    <w:name w:val="xl8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1">
    <w:name w:val="xl81"/>
    <w:basedOn w:val="Normal"/>
    <w:rsid w:val="001527CB"/>
    <w:pPr>
      <w:spacing w:before="100" w:beforeAutospacing="1" w:after="100" w:afterAutospacing="1" w:line="240" w:lineRule="auto"/>
      <w:jc w:val="center"/>
    </w:pPr>
    <w:rPr>
      <w:rFonts w:ascii="Times New Roman" w:hAnsi="Times New Roman"/>
      <w:sz w:val="16"/>
      <w:szCs w:val="16"/>
    </w:rPr>
  </w:style>
  <w:style w:type="paragraph" w:customStyle="1" w:styleId="xl82">
    <w:name w:val="xl82"/>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83">
    <w:name w:val="xl8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4">
    <w:name w:val="xl8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5">
    <w:name w:val="xl85"/>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6">
    <w:name w:val="xl86"/>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87">
    <w:name w:val="xl87"/>
    <w:basedOn w:val="Normal"/>
    <w:rsid w:val="001527CB"/>
    <w:pPr>
      <w:shd w:val="clear" w:color="000000" w:fill="FFFF00"/>
      <w:spacing w:before="100" w:beforeAutospacing="1" w:after="100" w:afterAutospacing="1" w:line="240" w:lineRule="auto"/>
    </w:pPr>
    <w:rPr>
      <w:rFonts w:ascii="Times New Roman" w:hAnsi="Times New Roman"/>
      <w:sz w:val="16"/>
      <w:szCs w:val="16"/>
    </w:rPr>
  </w:style>
  <w:style w:type="paragraph" w:customStyle="1" w:styleId="xl88">
    <w:name w:val="xl88"/>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89">
    <w:name w:val="xl89"/>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0">
    <w:name w:val="xl9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1">
    <w:name w:val="xl91"/>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2">
    <w:name w:val="xl92"/>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3">
    <w:name w:val="xl9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4">
    <w:name w:val="xl9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5">
    <w:name w:val="xl95"/>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6">
    <w:name w:val="xl96"/>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7">
    <w:name w:val="xl97"/>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8">
    <w:name w:val="xl98"/>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9">
    <w:name w:val="xl9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0">
    <w:name w:val="xl10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1">
    <w:name w:val="xl101"/>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2">
    <w:name w:val="xl102"/>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3">
    <w:name w:val="xl103"/>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4">
    <w:name w:val="xl104"/>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5">
    <w:name w:val="xl105"/>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6">
    <w:name w:val="xl106"/>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7">
    <w:name w:val="xl107"/>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8">
    <w:name w:val="xl108"/>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9">
    <w:name w:val="xl10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0">
    <w:name w:val="xl11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1">
    <w:name w:val="xl111"/>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2">
    <w:name w:val="xl112"/>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3">
    <w:name w:val="xl11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14">
    <w:name w:val="xl114"/>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115">
    <w:name w:val="xl115"/>
    <w:basedOn w:val="Normal"/>
    <w:rsid w:val="001527CB"/>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6">
    <w:name w:val="xl116"/>
    <w:basedOn w:val="Normal"/>
    <w:rsid w:val="001527CB"/>
    <w:pPr>
      <w:pBdr>
        <w:lef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7">
    <w:name w:val="xl117"/>
    <w:basedOn w:val="Normal"/>
    <w:rsid w:val="001527CB"/>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8">
    <w:name w:val="xl118"/>
    <w:basedOn w:val="Normal"/>
    <w:rsid w:val="001527C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9">
    <w:name w:val="xl119"/>
    <w:basedOn w:val="Normal"/>
    <w:rsid w:val="001527CB"/>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0">
    <w:name w:val="xl120"/>
    <w:basedOn w:val="Normal"/>
    <w:rsid w:val="001527C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Normal"/>
    <w:rsid w:val="001527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2">
    <w:name w:val="xl122"/>
    <w:basedOn w:val="Normal"/>
    <w:rsid w:val="001527CB"/>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3">
    <w:name w:val="xl123"/>
    <w:basedOn w:val="Normal"/>
    <w:rsid w:val="001527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4">
    <w:name w:val="xl12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Normal"/>
    <w:rsid w:val="001527C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6">
    <w:name w:val="xl126"/>
    <w:basedOn w:val="Normal"/>
    <w:rsid w:val="001527CB"/>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7">
    <w:name w:val="xl127"/>
    <w:basedOn w:val="Normal"/>
    <w:rsid w:val="001527C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8">
    <w:name w:val="xl128"/>
    <w:basedOn w:val="Normal"/>
    <w:rsid w:val="001527CB"/>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9">
    <w:name w:val="xl129"/>
    <w:basedOn w:val="Normal"/>
    <w:rsid w:val="001527CB"/>
    <w:pPr>
      <w:pBdr>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0">
    <w:name w:val="xl130"/>
    <w:basedOn w:val="Normal"/>
    <w:rsid w:val="001527CB"/>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1">
    <w:name w:val="xl131"/>
    <w:basedOn w:val="Normal"/>
    <w:rsid w:val="001527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Normal"/>
    <w:rsid w:val="001527CB"/>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Normal"/>
    <w:rsid w:val="001527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4">
    <w:name w:val="xl134"/>
    <w:basedOn w:val="Normal"/>
    <w:rsid w:val="001527C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5">
    <w:name w:val="xl135"/>
    <w:basedOn w:val="Normal"/>
    <w:rsid w:val="001527CB"/>
    <w:pPr>
      <w:pBdr>
        <w:top w:val="single" w:sz="4" w:space="0" w:color="auto"/>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6">
    <w:name w:val="xl136"/>
    <w:basedOn w:val="Normal"/>
    <w:rsid w:val="001527C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7">
    <w:name w:val="xl137"/>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8">
    <w:name w:val="xl138"/>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9">
    <w:name w:val="xl139"/>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40">
    <w:name w:val="xl140"/>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1">
    <w:name w:val="xl141"/>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2">
    <w:name w:val="xl142"/>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3">
    <w:name w:val="xl143"/>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4">
    <w:name w:val="xl144"/>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5">
    <w:name w:val="xl145"/>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6">
    <w:name w:val="xl146"/>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47">
    <w:name w:val="xl147"/>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48">
    <w:name w:val="xl148"/>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49">
    <w:name w:val="xl149"/>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50">
    <w:name w:val="xl150"/>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character" w:customStyle="1" w:styleId="baec5a81-e4d6-4674-97f3-e9220f0136c1">
    <w:name w:val="baec5a81-e4d6-4674-97f3-e9220f0136c1"/>
    <w:basedOn w:val="DefaultParagraphFont"/>
    <w:rsid w:val="00ED15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0"/>
    <w:lsdException w:name="toc 4" w:uiPriority="0"/>
    <w:lsdException w:name="toc 5" w:uiPriority="39"/>
    <w:lsdException w:name="toc 6" w:uiPriority="0"/>
    <w:lsdException w:name="toc 7" w:uiPriority="0"/>
    <w:lsdException w:name="toc 8" w:uiPriority="0"/>
    <w:lsdException w:name="toc 9" w:uiPriority="0"/>
    <w:lsdException w:name="footnote text" w:uiPriority="0" w:qFormat="1"/>
    <w:lsdException w:name="header" w:uiPriority="0"/>
    <w:lsdException w:name="footer" w:uiPriority="0"/>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71489"/>
    <w:pPr>
      <w:spacing w:line="240" w:lineRule="atLeast"/>
    </w:pPr>
    <w:rPr>
      <w:rFonts w:ascii="Garamond" w:hAnsi="Garamond"/>
      <w:sz w:val="24"/>
    </w:rPr>
  </w:style>
  <w:style w:type="paragraph" w:styleId="Heading1">
    <w:name w:val="heading 1"/>
    <w:aliases w:val="H1-Chap. Head,H1-Sec.Head"/>
    <w:basedOn w:val="Normal"/>
    <w:link w:val="Heading1Char"/>
    <w:qFormat/>
    <w:rsid w:val="0027148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7148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71489"/>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27148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7148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71489"/>
    <w:pPr>
      <w:keepNext/>
      <w:spacing w:before="240"/>
      <w:jc w:val="center"/>
      <w:outlineLvl w:val="5"/>
    </w:pPr>
    <w:rPr>
      <w:b/>
      <w:caps/>
    </w:rPr>
  </w:style>
  <w:style w:type="paragraph" w:styleId="Heading7">
    <w:name w:val="heading 7"/>
    <w:basedOn w:val="Normal"/>
    <w:next w:val="Normal"/>
    <w:link w:val="Heading7Char"/>
    <w:qFormat/>
    <w:rsid w:val="00271489"/>
    <w:pPr>
      <w:spacing w:before="240" w:after="60"/>
      <w:outlineLvl w:val="6"/>
    </w:pPr>
  </w:style>
  <w:style w:type="paragraph" w:styleId="Heading8">
    <w:name w:val="heading 8"/>
    <w:basedOn w:val="Normal"/>
    <w:next w:val="Normal"/>
    <w:link w:val="Heading8Char"/>
    <w:uiPriority w:val="99"/>
    <w:qFormat/>
    <w:rsid w:val="00271489"/>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271489"/>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271489"/>
    <w:rPr>
      <w:rFonts w:ascii="Franklin Gothic Medium" w:hAnsi="Franklin Gothic Medium"/>
      <w:b/>
      <w:color w:val="324162"/>
      <w:sz w:val="40"/>
    </w:rPr>
  </w:style>
  <w:style w:type="paragraph" w:customStyle="1" w:styleId="L1-FlLSp12">
    <w:name w:val="L1-FlL Sp&amp;1/2"/>
    <w:basedOn w:val="Normal"/>
    <w:link w:val="L1-FlLSp12Char"/>
    <w:rsid w:val="00271489"/>
    <w:pPr>
      <w:tabs>
        <w:tab w:val="left" w:pos="1152"/>
      </w:tabs>
      <w:spacing w:line="360" w:lineRule="atLeast"/>
    </w:pPr>
  </w:style>
  <w:style w:type="character" w:customStyle="1" w:styleId="L1-FlLSp12Char">
    <w:name w:val="L1-FlL Sp&amp;1/2 Char"/>
    <w:basedOn w:val="DefaultParagraphFont"/>
    <w:link w:val="L1-FlLSp12"/>
    <w:locked/>
    <w:rsid w:val="00271489"/>
    <w:rPr>
      <w:rFonts w:ascii="Garamond" w:hAnsi="Garamond"/>
      <w:sz w:val="24"/>
    </w:rPr>
  </w:style>
  <w:style w:type="character" w:customStyle="1" w:styleId="Heading2Char">
    <w:name w:val="Heading 2 Char"/>
    <w:aliases w:val="H2-Sec. Head Char"/>
    <w:link w:val="Heading2"/>
    <w:rsid w:val="00271489"/>
    <w:rPr>
      <w:rFonts w:ascii="Franklin Gothic Medium" w:hAnsi="Franklin Gothic Medium"/>
      <w:b/>
      <w:color w:val="324162"/>
      <w:sz w:val="32"/>
    </w:rPr>
  </w:style>
  <w:style w:type="character" w:customStyle="1" w:styleId="Heading3Char">
    <w:name w:val="Heading 3 Char"/>
    <w:aliases w:val="H3-Sec. Head Char"/>
    <w:link w:val="Heading3"/>
    <w:rsid w:val="00271489"/>
    <w:rPr>
      <w:rFonts w:ascii="Franklin Gothic Medium" w:hAnsi="Franklin Gothic Medium"/>
      <w:b/>
      <w:color w:val="324162"/>
      <w:sz w:val="28"/>
    </w:rPr>
  </w:style>
  <w:style w:type="character" w:customStyle="1" w:styleId="Heading4Char">
    <w:name w:val="Heading 4 Char"/>
    <w:aliases w:val="H4-Sec. Head Char,H4 Sec.Heading Char"/>
    <w:link w:val="Heading4"/>
    <w:rsid w:val="00271489"/>
    <w:rPr>
      <w:rFonts w:ascii="Franklin Gothic Medium" w:hAnsi="Franklin Gothic Medium"/>
      <w:b/>
      <w:sz w:val="24"/>
    </w:rPr>
  </w:style>
  <w:style w:type="character" w:customStyle="1" w:styleId="Heading5Char">
    <w:name w:val="Heading 5 Char"/>
    <w:aliases w:val="H5-Sec. Head Char"/>
    <w:link w:val="Heading5"/>
    <w:rsid w:val="00271489"/>
    <w:rPr>
      <w:rFonts w:ascii="Franklin Gothic Medium" w:hAnsi="Franklin Gothic Medium"/>
      <w:b/>
      <w:i/>
      <w:sz w:val="24"/>
    </w:rPr>
  </w:style>
  <w:style w:type="character" w:customStyle="1" w:styleId="Heading6Char">
    <w:name w:val="Heading 6 Char"/>
    <w:link w:val="Heading6"/>
    <w:rsid w:val="00271489"/>
    <w:rPr>
      <w:rFonts w:ascii="Garamond" w:hAnsi="Garamond"/>
      <w:b/>
      <w:caps/>
      <w:sz w:val="24"/>
    </w:rPr>
  </w:style>
  <w:style w:type="character" w:customStyle="1" w:styleId="Heading7Char">
    <w:name w:val="Heading 7 Char"/>
    <w:link w:val="Heading7"/>
    <w:rsid w:val="00271489"/>
    <w:rPr>
      <w:rFonts w:ascii="Garamond" w:hAnsi="Garamond"/>
      <w:sz w:val="24"/>
    </w:rPr>
  </w:style>
  <w:style w:type="character" w:customStyle="1" w:styleId="Heading8Char">
    <w:name w:val="Heading 8 Char"/>
    <w:basedOn w:val="DefaultParagraphFont"/>
    <w:link w:val="Heading8"/>
    <w:uiPriority w:val="99"/>
    <w:rsid w:val="00271489"/>
    <w:rPr>
      <w:i/>
      <w:iCs/>
      <w:sz w:val="24"/>
      <w:szCs w:val="24"/>
    </w:rPr>
  </w:style>
  <w:style w:type="character" w:customStyle="1" w:styleId="Heading9Char">
    <w:name w:val="Heading 9 Char"/>
    <w:basedOn w:val="DefaultParagraphFont"/>
    <w:link w:val="Heading9"/>
    <w:uiPriority w:val="99"/>
    <w:rsid w:val="00271489"/>
    <w:rPr>
      <w:rFonts w:ascii="Arial" w:hAnsi="Arial"/>
      <w:sz w:val="24"/>
      <w:szCs w:val="24"/>
    </w:rPr>
  </w:style>
  <w:style w:type="paragraph" w:customStyle="1" w:styleId="C1-CtrBoldHd">
    <w:name w:val="C1-Ctr BoldHd"/>
    <w:rsid w:val="0027148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71489"/>
    <w:pPr>
      <w:keepLines/>
      <w:jc w:val="center"/>
    </w:pPr>
  </w:style>
  <w:style w:type="paragraph" w:customStyle="1" w:styleId="C3-CtrSp12">
    <w:name w:val="C3-Ctr Sp&amp;1/2"/>
    <w:basedOn w:val="Normal"/>
    <w:rsid w:val="00271489"/>
    <w:pPr>
      <w:keepLines/>
      <w:spacing w:line="360" w:lineRule="atLeast"/>
      <w:jc w:val="center"/>
    </w:pPr>
  </w:style>
  <w:style w:type="paragraph" w:customStyle="1" w:styleId="E1-Equation">
    <w:name w:val="E1-Equation"/>
    <w:basedOn w:val="Normal"/>
    <w:rsid w:val="00271489"/>
    <w:pPr>
      <w:tabs>
        <w:tab w:val="center" w:pos="4680"/>
        <w:tab w:val="right" w:pos="9360"/>
      </w:tabs>
    </w:pPr>
  </w:style>
  <w:style w:type="paragraph" w:customStyle="1" w:styleId="E2-Equation">
    <w:name w:val="E2-Equation"/>
    <w:basedOn w:val="Normal"/>
    <w:rsid w:val="00271489"/>
    <w:pPr>
      <w:tabs>
        <w:tab w:val="right" w:pos="1152"/>
        <w:tab w:val="center" w:pos="1440"/>
        <w:tab w:val="left" w:pos="1728"/>
      </w:tabs>
      <w:ind w:left="1728" w:hanging="1728"/>
    </w:pPr>
  </w:style>
  <w:style w:type="paragraph" w:styleId="Footer">
    <w:name w:val="footer"/>
    <w:basedOn w:val="Normal"/>
    <w:link w:val="FooterChar"/>
    <w:rsid w:val="00271489"/>
  </w:style>
  <w:style w:type="character" w:customStyle="1" w:styleId="FooterChar">
    <w:name w:val="Footer Char"/>
    <w:link w:val="Footer"/>
    <w:rsid w:val="00271489"/>
    <w:rPr>
      <w:rFonts w:ascii="Garamond" w:hAnsi="Garamond"/>
      <w:sz w:val="24"/>
    </w:rPr>
  </w:style>
  <w:style w:type="paragraph" w:styleId="FootnoteText">
    <w:name w:val="footnote text"/>
    <w:aliases w:val="F1,Footnote Text Char Char,Footnote Text2,F"/>
    <w:link w:val="FootnoteTextChar"/>
    <w:rsid w:val="00271489"/>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 Char Char,Footnote Text2 Char,F Char"/>
    <w:link w:val="FootnoteText"/>
    <w:rsid w:val="00271489"/>
    <w:rPr>
      <w:rFonts w:ascii="Garamond" w:hAnsi="Garamond"/>
    </w:rPr>
  </w:style>
  <w:style w:type="paragraph" w:styleId="Header">
    <w:name w:val="header"/>
    <w:basedOn w:val="Normal"/>
    <w:link w:val="HeaderChar"/>
    <w:rsid w:val="00271489"/>
    <w:rPr>
      <w:sz w:val="20"/>
    </w:rPr>
  </w:style>
  <w:style w:type="character" w:customStyle="1" w:styleId="HeaderChar">
    <w:name w:val="Header Char"/>
    <w:link w:val="Header"/>
    <w:rsid w:val="00271489"/>
    <w:rPr>
      <w:rFonts w:ascii="Garamond" w:hAnsi="Garamond"/>
    </w:rPr>
  </w:style>
  <w:style w:type="paragraph" w:customStyle="1" w:styleId="N0-FlLftBullet">
    <w:name w:val="N0-Fl Lft Bullet"/>
    <w:basedOn w:val="Normal"/>
    <w:rsid w:val="00271489"/>
    <w:pPr>
      <w:tabs>
        <w:tab w:val="left" w:pos="576"/>
      </w:tabs>
      <w:spacing w:after="240"/>
      <w:ind w:left="576" w:hanging="576"/>
    </w:pPr>
  </w:style>
  <w:style w:type="paragraph" w:customStyle="1" w:styleId="N1-1stBullet">
    <w:name w:val="N1-1st Bullet"/>
    <w:basedOn w:val="Normal"/>
    <w:link w:val="N1-1stBulletChar"/>
    <w:rsid w:val="00271489"/>
    <w:pPr>
      <w:numPr>
        <w:numId w:val="2"/>
      </w:numPr>
      <w:spacing w:after="240"/>
    </w:pPr>
  </w:style>
  <w:style w:type="character" w:customStyle="1" w:styleId="N1-1stBulletChar">
    <w:name w:val="N1-1st Bullet Char"/>
    <w:basedOn w:val="DefaultParagraphFont"/>
    <w:link w:val="N1-1stBullet"/>
    <w:locked/>
    <w:rsid w:val="00271489"/>
    <w:rPr>
      <w:rFonts w:ascii="Garamond" w:hAnsi="Garamond"/>
      <w:sz w:val="24"/>
    </w:rPr>
  </w:style>
  <w:style w:type="paragraph" w:customStyle="1" w:styleId="N2-2ndBullet">
    <w:name w:val="N2-2nd Bullet"/>
    <w:basedOn w:val="Normal"/>
    <w:rsid w:val="00271489"/>
    <w:pPr>
      <w:numPr>
        <w:numId w:val="1"/>
      </w:numPr>
      <w:spacing w:after="240"/>
    </w:pPr>
  </w:style>
  <w:style w:type="paragraph" w:customStyle="1" w:styleId="N3-3rdBullet">
    <w:name w:val="N3-3rd Bullet"/>
    <w:basedOn w:val="Normal"/>
    <w:rsid w:val="00271489"/>
    <w:pPr>
      <w:numPr>
        <w:numId w:val="4"/>
      </w:numPr>
      <w:spacing w:after="240"/>
    </w:pPr>
  </w:style>
  <w:style w:type="paragraph" w:customStyle="1" w:styleId="N4-4thBullet">
    <w:name w:val="N4-4th Bullet"/>
    <w:basedOn w:val="Normal"/>
    <w:rsid w:val="00271489"/>
    <w:pPr>
      <w:numPr>
        <w:numId w:val="3"/>
      </w:numPr>
      <w:spacing w:after="240"/>
    </w:pPr>
  </w:style>
  <w:style w:type="paragraph" w:customStyle="1" w:styleId="N5-5thBullet">
    <w:name w:val="N5-5th Bullet"/>
    <w:basedOn w:val="Normal"/>
    <w:rsid w:val="00271489"/>
    <w:pPr>
      <w:tabs>
        <w:tab w:val="left" w:pos="3456"/>
      </w:tabs>
      <w:spacing w:after="240"/>
      <w:ind w:left="3456" w:hanging="576"/>
    </w:pPr>
  </w:style>
  <w:style w:type="paragraph" w:customStyle="1" w:styleId="N6-DateInd">
    <w:name w:val="N6-Date Ind."/>
    <w:basedOn w:val="Normal"/>
    <w:rsid w:val="00271489"/>
    <w:pPr>
      <w:tabs>
        <w:tab w:val="left" w:pos="4910"/>
      </w:tabs>
      <w:ind w:left="4910"/>
    </w:pPr>
  </w:style>
  <w:style w:type="paragraph" w:customStyle="1" w:styleId="N7-3Block">
    <w:name w:val="N7-3&quot; Block"/>
    <w:basedOn w:val="Normal"/>
    <w:rsid w:val="00271489"/>
    <w:pPr>
      <w:tabs>
        <w:tab w:val="left" w:pos="1152"/>
      </w:tabs>
      <w:ind w:left="1152" w:right="1152"/>
    </w:pPr>
  </w:style>
  <w:style w:type="paragraph" w:customStyle="1" w:styleId="N8-QxQBlock">
    <w:name w:val="N8-QxQ Block"/>
    <w:basedOn w:val="Normal"/>
    <w:rsid w:val="00271489"/>
    <w:pPr>
      <w:tabs>
        <w:tab w:val="left" w:pos="1152"/>
      </w:tabs>
      <w:spacing w:after="360" w:line="360" w:lineRule="atLeast"/>
      <w:ind w:left="1152" w:hanging="1152"/>
    </w:pPr>
  </w:style>
  <w:style w:type="paragraph" w:customStyle="1" w:styleId="P1-StandPara">
    <w:name w:val="P1-Stand Para"/>
    <w:basedOn w:val="Normal"/>
    <w:link w:val="P1-StandParaChar"/>
    <w:rsid w:val="00271489"/>
    <w:pPr>
      <w:spacing w:line="360" w:lineRule="atLeast"/>
      <w:ind w:firstLine="1152"/>
    </w:pPr>
  </w:style>
  <w:style w:type="character" w:customStyle="1" w:styleId="P1-StandParaChar">
    <w:name w:val="P1-Stand Para Char"/>
    <w:basedOn w:val="DefaultParagraphFont"/>
    <w:link w:val="P1-StandPara"/>
    <w:rsid w:val="00271489"/>
    <w:rPr>
      <w:rFonts w:ascii="Garamond" w:hAnsi="Garamond"/>
      <w:sz w:val="24"/>
    </w:rPr>
  </w:style>
  <w:style w:type="paragraph" w:customStyle="1" w:styleId="Q1-BestFinQ">
    <w:name w:val="Q1-Best/Fin Q"/>
    <w:rsid w:val="0027148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27148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271489"/>
  </w:style>
  <w:style w:type="paragraph" w:customStyle="1" w:styleId="SP-SglSpPara">
    <w:name w:val="SP-Sgl Sp Para"/>
    <w:basedOn w:val="Normal"/>
    <w:rsid w:val="00271489"/>
    <w:pPr>
      <w:tabs>
        <w:tab w:val="left" w:pos="576"/>
      </w:tabs>
      <w:ind w:firstLine="576"/>
    </w:pPr>
  </w:style>
  <w:style w:type="paragraph" w:customStyle="1" w:styleId="T0-ChapPgHd">
    <w:name w:val="T0-Chap/Pg Hd"/>
    <w:basedOn w:val="Normal"/>
    <w:rsid w:val="00271489"/>
    <w:pPr>
      <w:tabs>
        <w:tab w:val="left" w:pos="8640"/>
      </w:tabs>
    </w:pPr>
    <w:rPr>
      <w:rFonts w:ascii="Franklin Gothic Medium" w:hAnsi="Franklin Gothic Medium"/>
      <w:u w:val="words"/>
    </w:rPr>
  </w:style>
  <w:style w:type="paragraph" w:styleId="TOC1">
    <w:name w:val="toc 1"/>
    <w:basedOn w:val="Normal"/>
    <w:uiPriority w:val="39"/>
    <w:rsid w:val="00271489"/>
    <w:pPr>
      <w:tabs>
        <w:tab w:val="left" w:pos="1440"/>
        <w:tab w:val="right" w:leader="dot" w:pos="8208"/>
        <w:tab w:val="left" w:pos="8640"/>
      </w:tabs>
      <w:ind w:left="1440" w:right="1800" w:hanging="1152"/>
    </w:pPr>
  </w:style>
  <w:style w:type="paragraph" w:styleId="TOC2">
    <w:name w:val="toc 2"/>
    <w:basedOn w:val="Normal"/>
    <w:uiPriority w:val="39"/>
    <w:rsid w:val="00271489"/>
    <w:pPr>
      <w:tabs>
        <w:tab w:val="left" w:pos="2160"/>
        <w:tab w:val="right" w:leader="dot" w:pos="8208"/>
        <w:tab w:val="left" w:pos="8640"/>
      </w:tabs>
      <w:ind w:left="2160" w:right="1800" w:hanging="720"/>
    </w:pPr>
    <w:rPr>
      <w:szCs w:val="22"/>
    </w:rPr>
  </w:style>
  <w:style w:type="paragraph" w:styleId="TOC3">
    <w:name w:val="toc 3"/>
    <w:basedOn w:val="Normal"/>
    <w:rsid w:val="00271489"/>
    <w:pPr>
      <w:tabs>
        <w:tab w:val="left" w:pos="3024"/>
        <w:tab w:val="right" w:leader="dot" w:pos="8208"/>
        <w:tab w:val="left" w:pos="8640"/>
      </w:tabs>
      <w:ind w:left="3024" w:right="1800" w:hanging="864"/>
    </w:pPr>
  </w:style>
  <w:style w:type="paragraph" w:styleId="TOC4">
    <w:name w:val="toc 4"/>
    <w:basedOn w:val="Normal"/>
    <w:rsid w:val="00271489"/>
    <w:pPr>
      <w:tabs>
        <w:tab w:val="left" w:pos="3888"/>
        <w:tab w:val="right" w:leader="dot" w:pos="8208"/>
        <w:tab w:val="left" w:pos="8640"/>
      </w:tabs>
      <w:ind w:left="3888" w:right="1800" w:hanging="864"/>
    </w:pPr>
  </w:style>
  <w:style w:type="paragraph" w:styleId="TOC5">
    <w:name w:val="toc 5"/>
    <w:basedOn w:val="Normal"/>
    <w:uiPriority w:val="39"/>
    <w:rsid w:val="00271489"/>
    <w:pPr>
      <w:tabs>
        <w:tab w:val="left" w:pos="1440"/>
        <w:tab w:val="right" w:leader="dot" w:pos="8208"/>
        <w:tab w:val="left" w:pos="8640"/>
      </w:tabs>
      <w:ind w:left="1440" w:right="1800" w:hanging="1152"/>
    </w:pPr>
  </w:style>
  <w:style w:type="paragraph" w:customStyle="1" w:styleId="TT-TableTitle">
    <w:name w:val="TT-Table Title"/>
    <w:rsid w:val="0027148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271489"/>
    <w:pPr>
      <w:tabs>
        <w:tab w:val="left" w:pos="2232"/>
      </w:tabs>
      <w:spacing w:line="240" w:lineRule="exact"/>
    </w:pPr>
  </w:style>
  <w:style w:type="paragraph" w:customStyle="1" w:styleId="R1-ResPara">
    <w:name w:val="R1-Res. Para"/>
    <w:rsid w:val="00271489"/>
    <w:pPr>
      <w:spacing w:line="240" w:lineRule="atLeast"/>
      <w:ind w:left="288"/>
    </w:pPr>
    <w:rPr>
      <w:rFonts w:ascii="Garamond" w:hAnsi="Garamond"/>
      <w:sz w:val="24"/>
    </w:rPr>
  </w:style>
  <w:style w:type="paragraph" w:customStyle="1" w:styleId="R2-ResBullet">
    <w:name w:val="R2-Res Bullet"/>
    <w:basedOn w:val="Normal"/>
    <w:rsid w:val="00271489"/>
    <w:pPr>
      <w:tabs>
        <w:tab w:val="left" w:pos="720"/>
      </w:tabs>
      <w:ind w:left="720" w:hanging="432"/>
    </w:pPr>
  </w:style>
  <w:style w:type="paragraph" w:customStyle="1" w:styleId="RF-Reference">
    <w:name w:val="RF-Reference"/>
    <w:basedOn w:val="Normal"/>
    <w:rsid w:val="00271489"/>
    <w:pPr>
      <w:spacing w:line="240" w:lineRule="exact"/>
      <w:ind w:left="216" w:hanging="216"/>
    </w:pPr>
  </w:style>
  <w:style w:type="paragraph" w:customStyle="1" w:styleId="RH-SglSpHead">
    <w:name w:val="RH-Sgl Sp Head"/>
    <w:next w:val="RL-FlLftSgl"/>
    <w:rsid w:val="0027148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27148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271489"/>
    <w:pPr>
      <w:keepNext/>
      <w:spacing w:line="240" w:lineRule="exact"/>
    </w:pPr>
    <w:rPr>
      <w:u w:val="single"/>
    </w:rPr>
  </w:style>
  <w:style w:type="paragraph" w:customStyle="1" w:styleId="Header-1">
    <w:name w:val="Header-1"/>
    <w:rsid w:val="0027148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271489"/>
    <w:pPr>
      <w:numPr>
        <w:numId w:val="5"/>
      </w:numPr>
      <w:ind w:left="288" w:hanging="288"/>
    </w:pPr>
  </w:style>
  <w:style w:type="paragraph" w:customStyle="1" w:styleId="TX-TableText">
    <w:name w:val="TX-Table Text"/>
    <w:basedOn w:val="Normal"/>
    <w:rsid w:val="00271489"/>
    <w:rPr>
      <w:rFonts w:ascii="Franklin Gothic Medium" w:hAnsi="Franklin Gothic Medium"/>
      <w:sz w:val="20"/>
    </w:rPr>
  </w:style>
  <w:style w:type="character" w:styleId="PageNumber">
    <w:name w:val="page number"/>
    <w:basedOn w:val="DefaultParagraphFont"/>
    <w:rsid w:val="00271489"/>
  </w:style>
  <w:style w:type="paragraph" w:customStyle="1" w:styleId="R0-FLLftSglBoldItalic">
    <w:name w:val="R0-FL Lft Sgl Bold Italic"/>
    <w:rsid w:val="0027148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7148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71489"/>
    <w:rPr>
      <w:rFonts w:ascii="Franklin Gothic Medium" w:hAnsi="Franklin Gothic Medium"/>
      <w:sz w:val="16"/>
    </w:rPr>
  </w:style>
  <w:style w:type="paragraph" w:customStyle="1" w:styleId="TH-TableHeading">
    <w:name w:val="TH-Table Heading"/>
    <w:rsid w:val="00271489"/>
    <w:pPr>
      <w:keepNext/>
      <w:spacing w:line="240" w:lineRule="atLeast"/>
      <w:jc w:val="center"/>
    </w:pPr>
    <w:rPr>
      <w:rFonts w:ascii="Franklin Gothic Medium" w:hAnsi="Franklin Gothic Medium"/>
      <w:b/>
    </w:rPr>
  </w:style>
  <w:style w:type="paragraph" w:styleId="TOC6">
    <w:name w:val="toc 6"/>
    <w:rsid w:val="00271489"/>
    <w:pPr>
      <w:tabs>
        <w:tab w:val="right" w:leader="dot" w:pos="8208"/>
        <w:tab w:val="left" w:pos="8640"/>
      </w:tabs>
      <w:ind w:left="288"/>
    </w:pPr>
    <w:rPr>
      <w:rFonts w:ascii="Garamond" w:hAnsi="Garamond"/>
      <w:sz w:val="24"/>
      <w:szCs w:val="22"/>
    </w:rPr>
  </w:style>
  <w:style w:type="paragraph" w:styleId="TOC7">
    <w:name w:val="toc 7"/>
    <w:rsid w:val="00271489"/>
    <w:pPr>
      <w:tabs>
        <w:tab w:val="right" w:leader="dot" w:pos="8208"/>
        <w:tab w:val="left" w:pos="8640"/>
      </w:tabs>
      <w:ind w:left="1440"/>
    </w:pPr>
    <w:rPr>
      <w:rFonts w:ascii="Garamond" w:hAnsi="Garamond"/>
      <w:sz w:val="24"/>
      <w:szCs w:val="22"/>
    </w:rPr>
  </w:style>
  <w:style w:type="paragraph" w:styleId="TOC8">
    <w:name w:val="toc 8"/>
    <w:rsid w:val="00271489"/>
    <w:pPr>
      <w:tabs>
        <w:tab w:val="right" w:leader="dot" w:pos="8208"/>
        <w:tab w:val="left" w:pos="8640"/>
      </w:tabs>
      <w:ind w:left="2160"/>
    </w:pPr>
    <w:rPr>
      <w:rFonts w:ascii="Garamond" w:hAnsi="Garamond"/>
      <w:sz w:val="24"/>
      <w:szCs w:val="22"/>
    </w:rPr>
  </w:style>
  <w:style w:type="paragraph" w:styleId="TOC9">
    <w:name w:val="toc 9"/>
    <w:rsid w:val="00271489"/>
    <w:pPr>
      <w:tabs>
        <w:tab w:val="right" w:leader="dot" w:pos="8208"/>
        <w:tab w:val="left" w:pos="8640"/>
      </w:tabs>
      <w:ind w:left="3024"/>
    </w:pPr>
    <w:rPr>
      <w:rFonts w:ascii="Garamond" w:hAnsi="Garamond"/>
      <w:sz w:val="24"/>
      <w:szCs w:val="22"/>
    </w:rPr>
  </w:style>
  <w:style w:type="paragraph" w:styleId="BalloonText">
    <w:name w:val="Balloon Text"/>
    <w:basedOn w:val="Normal"/>
    <w:link w:val="BalloonTextChar"/>
    <w:unhideWhenUsed/>
    <w:rsid w:val="0027148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71489"/>
    <w:rPr>
      <w:rFonts w:ascii="Tahoma" w:hAnsi="Tahoma" w:cs="Tahoma"/>
      <w:sz w:val="16"/>
      <w:szCs w:val="16"/>
    </w:rPr>
  </w:style>
  <w:style w:type="character" w:styleId="FootnoteReference">
    <w:name w:val="footnote reference"/>
    <w:basedOn w:val="DefaultParagraphFont"/>
    <w:uiPriority w:val="99"/>
    <w:unhideWhenUsed/>
    <w:rsid w:val="00271489"/>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sz w:val="22"/>
      <w:szCs w:val="22"/>
    </w:rPr>
  </w:style>
  <w:style w:type="paragraph" w:customStyle="1" w:styleId="ReportCover-AuthorsHead">
    <w:name w:val="ReportCover-AuthorsHead"/>
    <w:basedOn w:val="Normal"/>
    <w:uiPriority w:val="99"/>
    <w:rsid w:val="007C2CD6"/>
    <w:rPr>
      <w:rFonts w:ascii="Franklin Gothic Medium" w:hAnsi="Franklin Gothic Medium"/>
      <w:b/>
      <w:color w:val="003C79"/>
      <w:szCs w:val="24"/>
    </w:rPr>
  </w:style>
  <w:style w:type="paragraph" w:customStyle="1" w:styleId="ReportCover-Date">
    <w:name w:val="ReportCover-Date"/>
    <w:basedOn w:val="Normal"/>
    <w:uiPriority w:val="99"/>
    <w:rsid w:val="007C2CD6"/>
    <w:rPr>
      <w:rFonts w:ascii="Franklin Gothic Medium" w:hAnsi="Franklin Gothic Medium"/>
      <w:b/>
      <w:color w:val="003C79"/>
      <w:sz w:val="28"/>
    </w:rPr>
  </w:style>
  <w:style w:type="paragraph" w:customStyle="1" w:styleId="ReportCover-Prepared">
    <w:name w:val="ReportCover-Prepared"/>
    <w:basedOn w:val="Normal"/>
    <w:uiPriority w:val="99"/>
    <w:rsid w:val="007C2CD6"/>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7C2CD6"/>
    <w:pPr>
      <w:spacing w:line="480" w:lineRule="exact"/>
    </w:pPr>
    <w:rPr>
      <w:rFonts w:ascii="Franklin Gothic Medium" w:hAnsi="Franklin Gothic Medium"/>
      <w:b/>
      <w:color w:val="003C79"/>
      <w:sz w:val="44"/>
      <w:szCs w:val="40"/>
    </w:rPr>
  </w:style>
  <w:style w:type="paragraph" w:customStyle="1" w:styleId="Heading0">
    <w:name w:val="Heading 0"/>
    <w:aliases w:val="H0-Chap Head"/>
    <w:basedOn w:val="Heading1"/>
    <w:rsid w:val="00271489"/>
    <w:pPr>
      <w:tabs>
        <w:tab w:val="clear" w:pos="1152"/>
      </w:tabs>
    </w:pPr>
    <w:rPr>
      <w:szCs w:val="32"/>
    </w:rPr>
  </w:style>
  <w:style w:type="paragraph" w:styleId="ListParagraph">
    <w:name w:val="List Paragraph"/>
    <w:basedOn w:val="Normal"/>
    <w:uiPriority w:val="34"/>
    <w:qFormat/>
    <w:rsid w:val="00271489"/>
  </w:style>
  <w:style w:type="paragraph" w:styleId="BodyTextIndent3">
    <w:name w:val="Body Text Indent 3"/>
    <w:basedOn w:val="Normal"/>
    <w:link w:val="BodyTextIndent3Char"/>
    <w:uiPriority w:val="99"/>
    <w:rsid w:val="00271489"/>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271489"/>
    <w:rPr>
      <w:rFonts w:ascii="Calibri" w:hAnsi="Calibri"/>
      <w:sz w:val="16"/>
      <w:szCs w:val="16"/>
    </w:rPr>
  </w:style>
  <w:style w:type="table" w:styleId="TableGrid">
    <w:name w:val="Table Grid"/>
    <w:basedOn w:val="TableNormal"/>
    <w:uiPriority w:val="59"/>
    <w:rsid w:val="0027148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271489"/>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271489"/>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271489"/>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271489"/>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271489"/>
    <w:rPr>
      <w:rFonts w:cs="Times New Roman"/>
      <w:sz w:val="16"/>
      <w:szCs w:val="16"/>
    </w:rPr>
  </w:style>
  <w:style w:type="paragraph" w:styleId="CommentText">
    <w:name w:val="annotation text"/>
    <w:basedOn w:val="Normal"/>
    <w:link w:val="CommentTextChar"/>
    <w:uiPriority w:val="99"/>
    <w:rsid w:val="00271489"/>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271489"/>
  </w:style>
  <w:style w:type="paragraph" w:styleId="CommentSubject">
    <w:name w:val="annotation subject"/>
    <w:basedOn w:val="CommentText"/>
    <w:next w:val="CommentText"/>
    <w:link w:val="CommentSubjectChar"/>
    <w:uiPriority w:val="99"/>
    <w:semiHidden/>
    <w:rsid w:val="00271489"/>
    <w:rPr>
      <w:rFonts w:ascii="Garamond" w:hAnsi="Garamond"/>
      <w:b/>
      <w:bCs/>
    </w:rPr>
  </w:style>
  <w:style w:type="character" w:customStyle="1" w:styleId="CommentSubjectChar">
    <w:name w:val="Comment Subject Char"/>
    <w:basedOn w:val="CommentTextChar"/>
    <w:link w:val="CommentSubject"/>
    <w:uiPriority w:val="99"/>
    <w:semiHidden/>
    <w:rsid w:val="00271489"/>
    <w:rPr>
      <w:rFonts w:ascii="Garamond" w:hAnsi="Garamond"/>
      <w:b/>
      <w:bCs/>
    </w:rPr>
  </w:style>
  <w:style w:type="paragraph" w:styleId="BodyTextIndent">
    <w:name w:val="Body Text Indent"/>
    <w:basedOn w:val="Normal"/>
    <w:link w:val="BodyTextIndentChar"/>
    <w:uiPriority w:val="99"/>
    <w:rsid w:val="00271489"/>
    <w:pPr>
      <w:spacing w:after="120"/>
      <w:ind w:left="360"/>
    </w:pPr>
  </w:style>
  <w:style w:type="character" w:customStyle="1" w:styleId="BodyTextIndentChar">
    <w:name w:val="Body Text Indent Char"/>
    <w:basedOn w:val="DefaultParagraphFont"/>
    <w:link w:val="BodyTextIndent"/>
    <w:uiPriority w:val="99"/>
    <w:rsid w:val="00271489"/>
    <w:rPr>
      <w:rFonts w:ascii="Garamond" w:hAnsi="Garamond"/>
      <w:sz w:val="24"/>
    </w:rPr>
  </w:style>
  <w:style w:type="character" w:styleId="Hyperlink">
    <w:name w:val="Hyperlink"/>
    <w:basedOn w:val="DefaultParagraphFont"/>
    <w:uiPriority w:val="99"/>
    <w:rsid w:val="00271489"/>
    <w:rPr>
      <w:rFonts w:cs="Times New Roman"/>
      <w:color w:val="000000"/>
    </w:rPr>
  </w:style>
  <w:style w:type="table" w:customStyle="1" w:styleId="LightShading-Accent11">
    <w:name w:val="Light Shading - Accent 11"/>
    <w:basedOn w:val="TableNormal"/>
    <w:uiPriority w:val="60"/>
    <w:rsid w:val="0027148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271489"/>
    <w:pPr>
      <w:spacing w:after="120"/>
    </w:pPr>
  </w:style>
  <w:style w:type="character" w:customStyle="1" w:styleId="BodyTextChar">
    <w:name w:val="Body Text Char"/>
    <w:basedOn w:val="DefaultParagraphFont"/>
    <w:link w:val="BodyText"/>
    <w:uiPriority w:val="99"/>
    <w:rsid w:val="00271489"/>
    <w:rPr>
      <w:rFonts w:ascii="Garamond" w:hAnsi="Garamond"/>
      <w:sz w:val="24"/>
    </w:rPr>
  </w:style>
  <w:style w:type="paragraph" w:customStyle="1" w:styleId="L1-FlLfSp12">
    <w:name w:val="L1-FlLfSp&amp;1/2"/>
    <w:rsid w:val="00271489"/>
    <w:pPr>
      <w:tabs>
        <w:tab w:val="left" w:pos="1152"/>
      </w:tabs>
      <w:spacing w:line="360" w:lineRule="atLeast"/>
      <w:jc w:val="both"/>
    </w:pPr>
    <w:rPr>
      <w:rFonts w:ascii="Arial" w:hAnsi="Arial"/>
    </w:rPr>
  </w:style>
  <w:style w:type="paragraph" w:customStyle="1" w:styleId="Q1-FirstLevelQuestion">
    <w:name w:val="Q1-First Level Question"/>
    <w:rsid w:val="00271489"/>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271489"/>
    <w:pPr>
      <w:tabs>
        <w:tab w:val="left" w:pos="1440"/>
      </w:tabs>
      <w:spacing w:line="240" w:lineRule="atLeast"/>
      <w:ind w:left="1440" w:hanging="720"/>
      <w:jc w:val="both"/>
    </w:pPr>
    <w:rPr>
      <w:rFonts w:ascii="Arial" w:hAnsi="Arial"/>
    </w:rPr>
  </w:style>
  <w:style w:type="paragraph" w:customStyle="1" w:styleId="A1-1stLeader">
    <w:name w:val="A1-1st Leader"/>
    <w:rsid w:val="00271489"/>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271489"/>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27148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271489"/>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271489"/>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271489"/>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271489"/>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271489"/>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271489"/>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271489"/>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271489"/>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271489"/>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271489"/>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271489"/>
    <w:rPr>
      <w:b/>
      <w:i/>
      <w:vanish/>
      <w:color w:val="000000"/>
    </w:rPr>
  </w:style>
  <w:style w:type="paragraph" w:customStyle="1" w:styleId="AnnotatedParagraph">
    <w:name w:val="AnnotatedParagraph"/>
    <w:basedOn w:val="Normal"/>
    <w:rsid w:val="00271489"/>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271489"/>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271489"/>
    <w:rPr>
      <w:rFonts w:cs="Times New Roman"/>
      <w:b/>
      <w:bCs/>
    </w:rPr>
  </w:style>
  <w:style w:type="paragraph" w:styleId="ListBullet">
    <w:name w:val="List Bullet"/>
    <w:basedOn w:val="Normal"/>
    <w:uiPriority w:val="99"/>
    <w:unhideWhenUsed/>
    <w:rsid w:val="00271489"/>
    <w:pPr>
      <w:numPr>
        <w:numId w:val="6"/>
      </w:numPr>
      <w:spacing w:line="360" w:lineRule="atLeast"/>
      <w:contextualSpacing/>
      <w:jc w:val="both"/>
    </w:pPr>
    <w:rPr>
      <w:rFonts w:ascii="Arial" w:hAnsi="Arial"/>
      <w:sz w:val="20"/>
    </w:rPr>
  </w:style>
  <w:style w:type="paragraph" w:styleId="Revision">
    <w:name w:val="Revision"/>
    <w:hidden/>
    <w:uiPriority w:val="99"/>
    <w:semiHidden/>
    <w:rsid w:val="00271489"/>
    <w:rPr>
      <w:rFonts w:ascii="Arial" w:hAnsi="Arial"/>
    </w:rPr>
  </w:style>
  <w:style w:type="paragraph" w:styleId="NoSpacing">
    <w:name w:val="No Spacing"/>
    <w:link w:val="NoSpacingChar"/>
    <w:uiPriority w:val="1"/>
    <w:qFormat/>
    <w:rsid w:val="00271489"/>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271489"/>
    <w:rPr>
      <w:rFonts w:ascii="Calibri" w:hAnsi="Calibri"/>
      <w:b/>
      <w:sz w:val="24"/>
    </w:rPr>
  </w:style>
  <w:style w:type="paragraph" w:styleId="HTMLPreformatted">
    <w:name w:val="HTML Preformatted"/>
    <w:basedOn w:val="Normal"/>
    <w:link w:val="HTMLPreformattedChar"/>
    <w:uiPriority w:val="99"/>
    <w:unhideWhenUsed/>
    <w:rsid w:val="0027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71489"/>
    <w:rPr>
      <w:rFonts w:ascii="Courier New" w:hAnsi="Courier New" w:cs="Courier New"/>
    </w:rPr>
  </w:style>
  <w:style w:type="paragraph" w:styleId="TableofFigures">
    <w:name w:val="table of figures"/>
    <w:basedOn w:val="Normal"/>
    <w:next w:val="Normal"/>
    <w:uiPriority w:val="99"/>
    <w:rsid w:val="00271489"/>
  </w:style>
  <w:style w:type="paragraph" w:customStyle="1" w:styleId="bodytextblack">
    <w:name w:val="bodytextblack"/>
    <w:basedOn w:val="Normal"/>
    <w:rsid w:val="00271489"/>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271489"/>
  </w:style>
  <w:style w:type="character" w:customStyle="1" w:styleId="NormalChar">
    <w:name w:val="Normal Char"/>
    <w:link w:val="Normal1"/>
    <w:uiPriority w:val="99"/>
    <w:rsid w:val="00271489"/>
    <w:rPr>
      <w:rFonts w:ascii="Garamond" w:hAnsi="Garamond"/>
      <w:sz w:val="24"/>
    </w:rPr>
  </w:style>
  <w:style w:type="paragraph" w:customStyle="1" w:styleId="Default">
    <w:name w:val="Default"/>
    <w:uiPriority w:val="99"/>
    <w:rsid w:val="00271489"/>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271489"/>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271489"/>
    <w:rPr>
      <w:color w:val="800080" w:themeColor="followedHyperlink"/>
      <w:u w:val="single"/>
    </w:rPr>
  </w:style>
  <w:style w:type="paragraph" w:customStyle="1" w:styleId="ExhibitHead">
    <w:name w:val="Exhibit Head"/>
    <w:basedOn w:val="Normal"/>
    <w:uiPriority w:val="99"/>
    <w:rsid w:val="00271489"/>
    <w:pPr>
      <w:spacing w:after="120" w:line="240" w:lineRule="auto"/>
      <w:jc w:val="center"/>
    </w:pPr>
    <w:rPr>
      <w:rFonts w:ascii="Arial" w:hAnsi="Arial"/>
      <w:b/>
      <w:bCs/>
      <w:sz w:val="20"/>
    </w:rPr>
  </w:style>
  <w:style w:type="paragraph" w:customStyle="1" w:styleId="BodyText1">
    <w:name w:val="Body Text1"/>
    <w:link w:val="BodytextChar0"/>
    <w:uiPriority w:val="99"/>
    <w:rsid w:val="00271489"/>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271489"/>
    <w:rPr>
      <w:sz w:val="24"/>
      <w:szCs w:val="24"/>
    </w:rPr>
  </w:style>
  <w:style w:type="paragraph" w:customStyle="1" w:styleId="TableText">
    <w:name w:val="Table Text"/>
    <w:basedOn w:val="Normal"/>
    <w:uiPriority w:val="99"/>
    <w:rsid w:val="00271489"/>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271489"/>
    <w:pPr>
      <w:jc w:val="center"/>
    </w:pPr>
    <w:rPr>
      <w:b/>
      <w:bCs/>
    </w:rPr>
  </w:style>
  <w:style w:type="paragraph" w:customStyle="1" w:styleId="AbtHeadC">
    <w:name w:val="AbtHead C"/>
    <w:basedOn w:val="Normal"/>
    <w:next w:val="BodyText"/>
    <w:link w:val="AbtHeadCChar"/>
    <w:uiPriority w:val="99"/>
    <w:rsid w:val="00271489"/>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271489"/>
    <w:rPr>
      <w:rFonts w:ascii="Arial" w:hAnsi="Arial"/>
      <w:b/>
    </w:rPr>
  </w:style>
  <w:style w:type="character" w:customStyle="1" w:styleId="CommentTextChar2">
    <w:name w:val="Comment Text Char2"/>
    <w:uiPriority w:val="99"/>
    <w:locked/>
    <w:rsid w:val="00271489"/>
    <w:rPr>
      <w:rFonts w:cs="Times New Roman"/>
    </w:rPr>
  </w:style>
  <w:style w:type="paragraph" w:customStyle="1" w:styleId="ExhibitColumnHeads">
    <w:name w:val="Exhibit Column Heads"/>
    <w:basedOn w:val="BodyText"/>
    <w:uiPriority w:val="99"/>
    <w:rsid w:val="00271489"/>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271489"/>
    <w:pPr>
      <w:spacing w:line="240" w:lineRule="auto"/>
    </w:pPr>
    <w:rPr>
      <w:rFonts w:ascii="Arial Narrow" w:hAnsi="Arial Narrow"/>
      <w:sz w:val="18"/>
    </w:rPr>
  </w:style>
  <w:style w:type="paragraph" w:customStyle="1" w:styleId="ExhibitTitle">
    <w:name w:val="Exhibit Title"/>
    <w:basedOn w:val="Default"/>
    <w:next w:val="Default"/>
    <w:uiPriority w:val="99"/>
    <w:rsid w:val="00271489"/>
    <w:rPr>
      <w:color w:val="auto"/>
    </w:rPr>
  </w:style>
  <w:style w:type="paragraph" w:styleId="Caption">
    <w:name w:val="caption"/>
    <w:basedOn w:val="Normal"/>
    <w:next w:val="Normal"/>
    <w:uiPriority w:val="99"/>
    <w:qFormat/>
    <w:rsid w:val="00271489"/>
    <w:rPr>
      <w:b/>
      <w:bCs/>
      <w:sz w:val="20"/>
    </w:rPr>
  </w:style>
  <w:style w:type="paragraph" w:customStyle="1" w:styleId="TOCTitle">
    <w:name w:val="TOC Title"/>
    <w:basedOn w:val="Default"/>
    <w:next w:val="Default"/>
    <w:uiPriority w:val="99"/>
    <w:rsid w:val="00271489"/>
    <w:rPr>
      <w:color w:val="auto"/>
    </w:rPr>
  </w:style>
  <w:style w:type="paragraph" w:customStyle="1" w:styleId="BodyTextItalics">
    <w:name w:val="Body Text Italics"/>
    <w:basedOn w:val="Default"/>
    <w:next w:val="Default"/>
    <w:uiPriority w:val="99"/>
    <w:rsid w:val="00271489"/>
    <w:rPr>
      <w:color w:val="auto"/>
    </w:rPr>
  </w:style>
  <w:style w:type="paragraph" w:customStyle="1" w:styleId="HeadingUnderline">
    <w:name w:val="Heading Underline"/>
    <w:basedOn w:val="Default"/>
    <w:next w:val="Default"/>
    <w:uiPriority w:val="99"/>
    <w:rsid w:val="00271489"/>
    <w:rPr>
      <w:color w:val="auto"/>
    </w:rPr>
  </w:style>
  <w:style w:type="paragraph" w:customStyle="1" w:styleId="BodyText0">
    <w:name w:val="BodyText"/>
    <w:basedOn w:val="Default"/>
    <w:next w:val="Default"/>
    <w:link w:val="BodyTextCharChar"/>
    <w:uiPriority w:val="99"/>
    <w:rsid w:val="00271489"/>
    <w:rPr>
      <w:color w:val="auto"/>
    </w:rPr>
  </w:style>
  <w:style w:type="character" w:customStyle="1" w:styleId="BodyTextCharChar">
    <w:name w:val="BodyText Char Char"/>
    <w:link w:val="BodyText0"/>
    <w:uiPriority w:val="99"/>
    <w:locked/>
    <w:rsid w:val="00271489"/>
    <w:rPr>
      <w:rFonts w:eastAsia="Calibri"/>
      <w:sz w:val="24"/>
      <w:szCs w:val="24"/>
      <w:lang w:bidi="he-IL"/>
    </w:rPr>
  </w:style>
  <w:style w:type="paragraph" w:customStyle="1" w:styleId="BodyTextIndent1">
    <w:name w:val="Body Text Indent1"/>
    <w:basedOn w:val="Default"/>
    <w:next w:val="Default"/>
    <w:uiPriority w:val="99"/>
    <w:rsid w:val="00271489"/>
    <w:rPr>
      <w:color w:val="auto"/>
    </w:rPr>
  </w:style>
  <w:style w:type="paragraph" w:customStyle="1" w:styleId="Bullet">
    <w:name w:val="Bullet"/>
    <w:basedOn w:val="Default"/>
    <w:next w:val="Default"/>
    <w:link w:val="BulletChar"/>
    <w:uiPriority w:val="99"/>
    <w:rsid w:val="00271489"/>
    <w:rPr>
      <w:color w:val="auto"/>
    </w:rPr>
  </w:style>
  <w:style w:type="character" w:customStyle="1" w:styleId="BulletChar">
    <w:name w:val="Bullet Char"/>
    <w:link w:val="Bullet"/>
    <w:uiPriority w:val="99"/>
    <w:locked/>
    <w:rsid w:val="00271489"/>
    <w:rPr>
      <w:rFonts w:eastAsia="Calibri"/>
      <w:sz w:val="24"/>
      <w:szCs w:val="24"/>
      <w:lang w:bidi="he-IL"/>
    </w:rPr>
  </w:style>
  <w:style w:type="paragraph" w:customStyle="1" w:styleId="ExhibitColumnHeadLeft">
    <w:name w:val="Exhibit Column Head Left"/>
    <w:basedOn w:val="Default"/>
    <w:next w:val="Default"/>
    <w:uiPriority w:val="99"/>
    <w:rsid w:val="00271489"/>
    <w:rPr>
      <w:color w:val="auto"/>
    </w:rPr>
  </w:style>
  <w:style w:type="paragraph" w:customStyle="1" w:styleId="ExhibitColumnHead">
    <w:name w:val="Exhibit Column Head"/>
    <w:basedOn w:val="Default"/>
    <w:next w:val="Default"/>
    <w:uiPriority w:val="99"/>
    <w:rsid w:val="00271489"/>
    <w:rPr>
      <w:color w:val="auto"/>
    </w:rPr>
  </w:style>
  <w:style w:type="paragraph" w:customStyle="1" w:styleId="ExhibitInfo">
    <w:name w:val="Exhibit Info"/>
    <w:basedOn w:val="Default"/>
    <w:next w:val="Default"/>
    <w:uiPriority w:val="99"/>
    <w:rsid w:val="00271489"/>
    <w:rPr>
      <w:color w:val="auto"/>
    </w:rPr>
  </w:style>
  <w:style w:type="paragraph" w:customStyle="1" w:styleId="ExhibitInfoCentered">
    <w:name w:val="Exhibit Info Centered"/>
    <w:basedOn w:val="Default"/>
    <w:next w:val="Default"/>
    <w:uiPriority w:val="99"/>
    <w:rsid w:val="00271489"/>
    <w:rPr>
      <w:color w:val="auto"/>
    </w:rPr>
  </w:style>
  <w:style w:type="paragraph" w:customStyle="1" w:styleId="ContactInfo">
    <w:name w:val="Contact Info"/>
    <w:basedOn w:val="Default"/>
    <w:next w:val="Default"/>
    <w:uiPriority w:val="99"/>
    <w:rsid w:val="00271489"/>
    <w:rPr>
      <w:color w:val="auto"/>
    </w:rPr>
  </w:style>
  <w:style w:type="paragraph" w:customStyle="1" w:styleId="ContactInfoLAST">
    <w:name w:val="Contact Info LAST"/>
    <w:basedOn w:val="Default"/>
    <w:next w:val="Default"/>
    <w:uiPriority w:val="99"/>
    <w:rsid w:val="00271489"/>
    <w:rPr>
      <w:color w:val="auto"/>
    </w:rPr>
  </w:style>
  <w:style w:type="paragraph" w:customStyle="1" w:styleId="ConfPled">
    <w:name w:val="Conf Pled"/>
    <w:basedOn w:val="Default"/>
    <w:next w:val="Default"/>
    <w:uiPriority w:val="99"/>
    <w:rsid w:val="00271489"/>
    <w:rPr>
      <w:rFonts w:ascii="Arial" w:hAnsi="Arial" w:cs="Arial"/>
      <w:color w:val="auto"/>
    </w:rPr>
  </w:style>
  <w:style w:type="paragraph" w:customStyle="1" w:styleId="ConfPledBodyText">
    <w:name w:val="Conf Pled Body Text"/>
    <w:basedOn w:val="Default"/>
    <w:next w:val="Default"/>
    <w:uiPriority w:val="99"/>
    <w:rsid w:val="00271489"/>
    <w:rPr>
      <w:rFonts w:ascii="Arial" w:hAnsi="Arial" w:cs="Arial"/>
      <w:color w:val="auto"/>
    </w:rPr>
  </w:style>
  <w:style w:type="paragraph" w:customStyle="1" w:styleId="bullet0">
    <w:name w:val="bullet"/>
    <w:basedOn w:val="Default"/>
    <w:next w:val="Default"/>
    <w:uiPriority w:val="99"/>
    <w:rsid w:val="00271489"/>
    <w:rPr>
      <w:rFonts w:ascii="Arial" w:hAnsi="Arial" w:cs="Arial"/>
      <w:color w:val="auto"/>
    </w:rPr>
  </w:style>
  <w:style w:type="paragraph" w:customStyle="1" w:styleId="ConfPledIndent">
    <w:name w:val="Conf Pled Indent"/>
    <w:basedOn w:val="Default"/>
    <w:next w:val="Default"/>
    <w:uiPriority w:val="99"/>
    <w:rsid w:val="00271489"/>
    <w:rPr>
      <w:rFonts w:ascii="Arial" w:hAnsi="Arial" w:cs="Arial"/>
      <w:color w:val="auto"/>
    </w:rPr>
  </w:style>
  <w:style w:type="paragraph" w:customStyle="1" w:styleId="Sign">
    <w:name w:val="Sign"/>
    <w:basedOn w:val="Default"/>
    <w:next w:val="Default"/>
    <w:uiPriority w:val="99"/>
    <w:rsid w:val="00271489"/>
    <w:rPr>
      <w:rFonts w:ascii="Arial" w:hAnsi="Arial" w:cs="Arial"/>
      <w:color w:val="auto"/>
    </w:rPr>
  </w:style>
  <w:style w:type="paragraph" w:customStyle="1" w:styleId="TableColumnHeadLeft">
    <w:name w:val="Table Column Head Left"/>
    <w:basedOn w:val="Default"/>
    <w:next w:val="Default"/>
    <w:uiPriority w:val="99"/>
    <w:rsid w:val="00271489"/>
    <w:rPr>
      <w:color w:val="auto"/>
    </w:rPr>
  </w:style>
  <w:style w:type="paragraph" w:customStyle="1" w:styleId="TableColumnHead">
    <w:name w:val="Table Column Head"/>
    <w:basedOn w:val="Default"/>
    <w:next w:val="Default"/>
    <w:uiPriority w:val="99"/>
    <w:rsid w:val="00271489"/>
    <w:rPr>
      <w:color w:val="auto"/>
    </w:rPr>
  </w:style>
  <w:style w:type="paragraph" w:customStyle="1" w:styleId="TableInfo">
    <w:name w:val="Table Info"/>
    <w:basedOn w:val="Default"/>
    <w:next w:val="Default"/>
    <w:uiPriority w:val="99"/>
    <w:rsid w:val="00271489"/>
    <w:rPr>
      <w:color w:val="auto"/>
    </w:rPr>
  </w:style>
  <w:style w:type="paragraph" w:customStyle="1" w:styleId="TableInfoCentered">
    <w:name w:val="Table Info Centered"/>
    <w:basedOn w:val="Default"/>
    <w:next w:val="Default"/>
    <w:uiPriority w:val="99"/>
    <w:rsid w:val="00271489"/>
    <w:rPr>
      <w:color w:val="auto"/>
    </w:rPr>
  </w:style>
  <w:style w:type="paragraph" w:customStyle="1" w:styleId="Footnote">
    <w:name w:val="Footnote"/>
    <w:basedOn w:val="Normal"/>
    <w:link w:val="FootnoteChar"/>
    <w:uiPriority w:val="99"/>
    <w:rsid w:val="00271489"/>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271489"/>
    <w:rPr>
      <w:rFonts w:ascii="Garamond" w:hAnsi="Garamond"/>
      <w:szCs w:val="16"/>
    </w:rPr>
  </w:style>
  <w:style w:type="paragraph" w:customStyle="1" w:styleId="Bulletsingle">
    <w:name w:val="Bullet single"/>
    <w:basedOn w:val="Normal"/>
    <w:link w:val="BulletsingleChar"/>
    <w:uiPriority w:val="99"/>
    <w:rsid w:val="00271489"/>
    <w:pPr>
      <w:numPr>
        <w:numId w:val="8"/>
      </w:numPr>
      <w:spacing w:line="240" w:lineRule="auto"/>
      <w:jc w:val="both"/>
    </w:pPr>
  </w:style>
  <w:style w:type="character" w:customStyle="1" w:styleId="BulletsingleChar">
    <w:name w:val="Bullet single Char"/>
    <w:link w:val="Bulletsingle"/>
    <w:uiPriority w:val="99"/>
    <w:locked/>
    <w:rsid w:val="00271489"/>
    <w:rPr>
      <w:rFonts w:ascii="Garamond" w:hAnsi="Garamond"/>
      <w:sz w:val="24"/>
    </w:rPr>
  </w:style>
  <w:style w:type="paragraph" w:customStyle="1" w:styleId="Heading4NEW">
    <w:name w:val="Heading 4 NEW"/>
    <w:basedOn w:val="Normal"/>
    <w:uiPriority w:val="99"/>
    <w:rsid w:val="00271489"/>
    <w:pPr>
      <w:spacing w:after="240" w:line="240" w:lineRule="auto"/>
    </w:pPr>
    <w:rPr>
      <w:b/>
      <w:bCs/>
      <w:i/>
      <w:iCs/>
    </w:rPr>
  </w:style>
  <w:style w:type="character" w:customStyle="1" w:styleId="EndnoteTextChar">
    <w:name w:val="Endnote Text Char"/>
    <w:link w:val="EndnoteText"/>
    <w:uiPriority w:val="99"/>
    <w:semiHidden/>
    <w:rsid w:val="00271489"/>
  </w:style>
  <w:style w:type="paragraph" w:styleId="EndnoteText">
    <w:name w:val="endnote text"/>
    <w:basedOn w:val="Normal"/>
    <w:link w:val="EndnoteTextChar"/>
    <w:uiPriority w:val="99"/>
    <w:semiHidden/>
    <w:rsid w:val="00271489"/>
    <w:pPr>
      <w:spacing w:line="240" w:lineRule="auto"/>
    </w:pPr>
    <w:rPr>
      <w:rFonts w:ascii="Times New Roman" w:hAnsi="Times New Roman"/>
      <w:sz w:val="20"/>
    </w:rPr>
  </w:style>
  <w:style w:type="character" w:customStyle="1" w:styleId="EndnoteTextChar1">
    <w:name w:val="Endnote Text Char1"/>
    <w:basedOn w:val="DefaultParagraphFont"/>
    <w:uiPriority w:val="99"/>
    <w:rsid w:val="00271489"/>
    <w:rPr>
      <w:rFonts w:ascii="Garamond" w:hAnsi="Garamond"/>
    </w:rPr>
  </w:style>
  <w:style w:type="character" w:customStyle="1" w:styleId="CommentTextChar1">
    <w:name w:val="Comment Text Char1"/>
    <w:uiPriority w:val="99"/>
    <w:semiHidden/>
    <w:rsid w:val="00271489"/>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271489"/>
    <w:rPr>
      <w:rFonts w:cs="Times New Roman"/>
    </w:rPr>
  </w:style>
  <w:style w:type="paragraph" w:customStyle="1" w:styleId="AbtHeadA">
    <w:name w:val="AbtHead A"/>
    <w:basedOn w:val="Normal"/>
    <w:next w:val="BodyText"/>
    <w:uiPriority w:val="99"/>
    <w:rsid w:val="0027148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271489"/>
    <w:pPr>
      <w:spacing w:after="120"/>
      <w:ind w:left="360"/>
    </w:pPr>
    <w:rPr>
      <w:szCs w:val="24"/>
    </w:rPr>
  </w:style>
  <w:style w:type="character" w:customStyle="1" w:styleId="BodyText2Char1">
    <w:name w:val="Body Text 2 Char1"/>
    <w:link w:val="BodyText2"/>
    <w:uiPriority w:val="99"/>
    <w:locked/>
    <w:rsid w:val="00271489"/>
    <w:rPr>
      <w:rFonts w:ascii="Garamond" w:hAnsi="Garamond"/>
      <w:sz w:val="24"/>
      <w:szCs w:val="24"/>
    </w:rPr>
  </w:style>
  <w:style w:type="character" w:customStyle="1" w:styleId="BodyText2Char">
    <w:name w:val="Body Text 2 Char"/>
    <w:basedOn w:val="DefaultParagraphFont"/>
    <w:uiPriority w:val="99"/>
    <w:semiHidden/>
    <w:rsid w:val="00271489"/>
    <w:rPr>
      <w:rFonts w:ascii="Garamond" w:hAnsi="Garamond"/>
      <w:sz w:val="24"/>
    </w:rPr>
  </w:style>
  <w:style w:type="paragraph" w:styleId="Title">
    <w:name w:val="Title"/>
    <w:basedOn w:val="Normal"/>
    <w:next w:val="Normal"/>
    <w:link w:val="TitleChar"/>
    <w:uiPriority w:val="99"/>
    <w:qFormat/>
    <w:rsid w:val="00271489"/>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271489"/>
    <w:rPr>
      <w:rFonts w:ascii="Arial" w:hAnsi="Arial"/>
      <w:b/>
      <w:bCs/>
      <w:kern w:val="28"/>
      <w:sz w:val="32"/>
      <w:szCs w:val="32"/>
    </w:rPr>
  </w:style>
  <w:style w:type="paragraph" w:styleId="Subtitle">
    <w:name w:val="Subtitle"/>
    <w:basedOn w:val="Normal"/>
    <w:next w:val="Normal"/>
    <w:link w:val="SubtitleChar"/>
    <w:uiPriority w:val="99"/>
    <w:qFormat/>
    <w:rsid w:val="00271489"/>
    <w:pPr>
      <w:spacing w:after="60"/>
      <w:jc w:val="center"/>
      <w:outlineLvl w:val="1"/>
    </w:pPr>
    <w:rPr>
      <w:rFonts w:ascii="Arial" w:hAnsi="Arial"/>
      <w:sz w:val="28"/>
      <w:szCs w:val="28"/>
    </w:rPr>
  </w:style>
  <w:style w:type="character" w:customStyle="1" w:styleId="SubtitleChar">
    <w:name w:val="Subtitle Char"/>
    <w:basedOn w:val="DefaultParagraphFont"/>
    <w:link w:val="Subtitle"/>
    <w:uiPriority w:val="99"/>
    <w:rsid w:val="00271489"/>
    <w:rPr>
      <w:rFonts w:ascii="Arial" w:hAnsi="Arial"/>
      <w:sz w:val="28"/>
      <w:szCs w:val="28"/>
    </w:rPr>
  </w:style>
  <w:style w:type="paragraph" w:styleId="TOCHeading">
    <w:name w:val="TOC Heading"/>
    <w:basedOn w:val="Heading1"/>
    <w:next w:val="Normal"/>
    <w:uiPriority w:val="99"/>
    <w:qFormat/>
    <w:rsid w:val="00271489"/>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271489"/>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271489"/>
    <w:rPr>
      <w:rFonts w:cs="Times New Roman"/>
      <w:sz w:val="20"/>
      <w:szCs w:val="20"/>
    </w:rPr>
  </w:style>
  <w:style w:type="paragraph" w:customStyle="1" w:styleId="Table">
    <w:name w:val="Table"/>
    <w:basedOn w:val="Normal"/>
    <w:uiPriority w:val="99"/>
    <w:rsid w:val="00271489"/>
    <w:pPr>
      <w:tabs>
        <w:tab w:val="left" w:pos="720"/>
        <w:tab w:val="left" w:pos="1080"/>
        <w:tab w:val="left" w:pos="1440"/>
        <w:tab w:val="left" w:pos="1800"/>
      </w:tabs>
      <w:spacing w:line="264" w:lineRule="auto"/>
    </w:pPr>
    <w:rPr>
      <w:rFonts w:ascii="Arial" w:hAnsi="Arial"/>
      <w:sz w:val="20"/>
    </w:rPr>
  </w:style>
  <w:style w:type="paragraph" w:customStyle="1" w:styleId="ReportCover-ImageBottom">
    <w:name w:val="ReportCover-ImageBottom"/>
    <w:basedOn w:val="Normal"/>
    <w:uiPriority w:val="99"/>
    <w:rsid w:val="00271489"/>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271489"/>
    <w:pPr>
      <w:spacing w:line="100" w:lineRule="exact"/>
    </w:pPr>
  </w:style>
  <w:style w:type="paragraph" w:customStyle="1" w:styleId="EX-ExhibitTitle">
    <w:name w:val="EX-Exhibit Title"/>
    <w:basedOn w:val="TT-TableTitle"/>
    <w:uiPriority w:val="99"/>
    <w:rsid w:val="00271489"/>
    <w:pPr>
      <w:ind w:left="0" w:firstLine="0"/>
      <w:outlineLvl w:val="0"/>
    </w:pPr>
    <w:rPr>
      <w:szCs w:val="32"/>
    </w:rPr>
  </w:style>
  <w:style w:type="character" w:customStyle="1" w:styleId="Heading5-SF">
    <w:name w:val="Heading5-SF"/>
    <w:rsid w:val="00271489"/>
    <w:rPr>
      <w:rFonts w:ascii="Arial" w:hAnsi="Arial" w:cs="Arial"/>
      <w:b/>
      <w:color w:val="0000AC"/>
    </w:rPr>
  </w:style>
  <w:style w:type="paragraph" w:customStyle="1" w:styleId="Bullets">
    <w:name w:val="Bullets"/>
    <w:basedOn w:val="BodyText"/>
    <w:link w:val="BulletsCharChar"/>
    <w:uiPriority w:val="99"/>
    <w:rsid w:val="00271489"/>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271489"/>
    <w:rPr>
      <w:rFonts w:eastAsia="Calibri"/>
      <w:sz w:val="22"/>
    </w:rPr>
  </w:style>
  <w:style w:type="character" w:customStyle="1" w:styleId="FootnoteTextChar1">
    <w:name w:val="Footnote Text Char1"/>
    <w:aliases w:val="F1 Char1"/>
    <w:basedOn w:val="DefaultParagraphFont"/>
    <w:semiHidden/>
    <w:locked/>
    <w:rsid w:val="00271489"/>
    <w:rPr>
      <w:rFonts w:ascii="Calibri" w:eastAsia="Calibri" w:hAnsi="Calibri"/>
    </w:rPr>
  </w:style>
  <w:style w:type="paragraph" w:customStyle="1" w:styleId="BulletsLast">
    <w:name w:val="BulletsLast"/>
    <w:basedOn w:val="Bullets"/>
    <w:uiPriority w:val="99"/>
    <w:rsid w:val="00271489"/>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271489"/>
  </w:style>
  <w:style w:type="paragraph" w:styleId="DocumentMap">
    <w:name w:val="Document Map"/>
    <w:basedOn w:val="Normal"/>
    <w:link w:val="DocumentMapChar"/>
    <w:uiPriority w:val="99"/>
    <w:semiHidden/>
    <w:unhideWhenUsed/>
    <w:rsid w:val="0027148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71489"/>
    <w:rPr>
      <w:rFonts w:ascii="Tahoma" w:hAnsi="Tahoma" w:cs="Tahoma"/>
      <w:sz w:val="16"/>
      <w:szCs w:val="16"/>
    </w:rPr>
  </w:style>
  <w:style w:type="character" w:styleId="EndnoteReference">
    <w:name w:val="endnote reference"/>
    <w:basedOn w:val="DefaultParagraphFont"/>
    <w:uiPriority w:val="99"/>
    <w:semiHidden/>
    <w:unhideWhenUsed/>
    <w:rsid w:val="00271489"/>
    <w:rPr>
      <w:vertAlign w:val="superscript"/>
    </w:rPr>
  </w:style>
  <w:style w:type="character" w:customStyle="1" w:styleId="t101">
    <w:name w:val="t101"/>
    <w:basedOn w:val="DefaultParagraphFont"/>
    <w:rsid w:val="00271489"/>
    <w:rPr>
      <w:rFonts w:ascii="Times New Roman" w:hAnsi="Times New Roman" w:cs="Times New Roman" w:hint="default"/>
      <w:color w:val="339933"/>
      <w:sz w:val="24"/>
      <w:szCs w:val="24"/>
    </w:rPr>
  </w:style>
  <w:style w:type="paragraph" w:styleId="PlainText">
    <w:name w:val="Plain Text"/>
    <w:basedOn w:val="Normal"/>
    <w:link w:val="PlainTextChar"/>
    <w:uiPriority w:val="99"/>
    <w:rsid w:val="00271489"/>
    <w:pPr>
      <w:spacing w:line="240" w:lineRule="auto"/>
    </w:pPr>
    <w:rPr>
      <w:rFonts w:ascii="Courier New" w:hAnsi="Courier New" w:cs="Courier New"/>
      <w:sz w:val="20"/>
    </w:rPr>
  </w:style>
  <w:style w:type="character" w:customStyle="1" w:styleId="PlainTextChar">
    <w:name w:val="Plain Text Char"/>
    <w:basedOn w:val="DefaultParagraphFont"/>
    <w:link w:val="PlainText"/>
    <w:uiPriority w:val="99"/>
    <w:rsid w:val="00271489"/>
    <w:rPr>
      <w:rFonts w:ascii="Courier New" w:hAnsi="Courier New" w:cs="Courier New"/>
    </w:rPr>
  </w:style>
  <w:style w:type="character" w:customStyle="1" w:styleId="slug-pub-date">
    <w:name w:val="slug-pub-date"/>
    <w:basedOn w:val="DefaultParagraphFont"/>
    <w:rsid w:val="00271489"/>
  </w:style>
  <w:style w:type="character" w:customStyle="1" w:styleId="apple-converted-space">
    <w:name w:val="apple-converted-space"/>
    <w:basedOn w:val="DefaultParagraphFont"/>
    <w:rsid w:val="00271489"/>
  </w:style>
  <w:style w:type="character" w:customStyle="1" w:styleId="slug-vol">
    <w:name w:val="slug-vol"/>
    <w:basedOn w:val="DefaultParagraphFont"/>
    <w:rsid w:val="00271489"/>
  </w:style>
  <w:style w:type="character" w:customStyle="1" w:styleId="slug-issue">
    <w:name w:val="slug-issue"/>
    <w:basedOn w:val="DefaultParagraphFont"/>
    <w:rsid w:val="00271489"/>
  </w:style>
  <w:style w:type="character" w:customStyle="1" w:styleId="slug-pages">
    <w:name w:val="slug-pages"/>
    <w:basedOn w:val="DefaultParagraphFont"/>
    <w:rsid w:val="00271489"/>
  </w:style>
  <w:style w:type="table" w:customStyle="1" w:styleId="TableWestatStandardFormat1">
    <w:name w:val="Table Westat Standard Format1"/>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2">
    <w:name w:val="Table Westat Standard Format2"/>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3">
    <w:name w:val="Table Westat Standard Format3"/>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NormalSS">
    <w:name w:val="NormalSS"/>
    <w:basedOn w:val="Normal"/>
    <w:qFormat/>
    <w:rsid w:val="00271489"/>
    <w:pPr>
      <w:tabs>
        <w:tab w:val="left" w:pos="432"/>
      </w:tabs>
      <w:spacing w:line="240" w:lineRule="auto"/>
      <w:ind w:firstLine="432"/>
      <w:jc w:val="both"/>
    </w:pPr>
    <w:rPr>
      <w:rFonts w:ascii="Times New Roman" w:hAnsi="Times New Roman"/>
      <w:szCs w:val="24"/>
    </w:rPr>
  </w:style>
  <w:style w:type="paragraph" w:customStyle="1" w:styleId="xl63">
    <w:name w:val="xl63"/>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4">
    <w:name w:val="xl64"/>
    <w:basedOn w:val="Normal"/>
    <w:rsid w:val="001527CB"/>
    <w:pPr>
      <w:spacing w:before="100" w:beforeAutospacing="1" w:after="100" w:afterAutospacing="1" w:line="240" w:lineRule="auto"/>
      <w:jc w:val="center"/>
    </w:pPr>
    <w:rPr>
      <w:rFonts w:ascii="Times New Roman" w:hAnsi="Times New Roman"/>
      <w:sz w:val="16"/>
      <w:szCs w:val="16"/>
    </w:rPr>
  </w:style>
  <w:style w:type="paragraph" w:customStyle="1" w:styleId="xl65">
    <w:name w:val="xl65"/>
    <w:basedOn w:val="Normal"/>
    <w:rsid w:val="001527CB"/>
    <w:pPr>
      <w:spacing w:before="100" w:beforeAutospacing="1" w:after="100" w:afterAutospacing="1" w:line="240" w:lineRule="auto"/>
      <w:jc w:val="right"/>
    </w:pPr>
    <w:rPr>
      <w:rFonts w:ascii="Times New Roman" w:hAnsi="Times New Roman"/>
      <w:sz w:val="16"/>
      <w:szCs w:val="16"/>
    </w:rPr>
  </w:style>
  <w:style w:type="paragraph" w:customStyle="1" w:styleId="xl66">
    <w:name w:val="xl66"/>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7">
    <w:name w:val="xl67"/>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8">
    <w:name w:val="xl68"/>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9">
    <w:name w:val="xl69"/>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70">
    <w:name w:val="xl70"/>
    <w:basedOn w:val="Normal"/>
    <w:rsid w:val="001527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1">
    <w:name w:val="xl71"/>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2">
    <w:name w:val="xl72"/>
    <w:basedOn w:val="Normal"/>
    <w:rsid w:val="001527CB"/>
    <w:pPr>
      <w:pBdr>
        <w:top w:val="single" w:sz="8"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3">
    <w:name w:val="xl73"/>
    <w:basedOn w:val="Normal"/>
    <w:rsid w:val="001527C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Normal"/>
    <w:rsid w:val="001527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5">
    <w:name w:val="xl75"/>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6">
    <w:name w:val="xl76"/>
    <w:basedOn w:val="Normal"/>
    <w:rsid w:val="001527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7">
    <w:name w:val="xl77"/>
    <w:basedOn w:val="Normal"/>
    <w:rsid w:val="001527C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8">
    <w:name w:val="xl78"/>
    <w:basedOn w:val="Normal"/>
    <w:rsid w:val="001527CB"/>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9">
    <w:name w:val="xl7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0">
    <w:name w:val="xl8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1">
    <w:name w:val="xl81"/>
    <w:basedOn w:val="Normal"/>
    <w:rsid w:val="001527CB"/>
    <w:pPr>
      <w:spacing w:before="100" w:beforeAutospacing="1" w:after="100" w:afterAutospacing="1" w:line="240" w:lineRule="auto"/>
      <w:jc w:val="center"/>
    </w:pPr>
    <w:rPr>
      <w:rFonts w:ascii="Times New Roman" w:hAnsi="Times New Roman"/>
      <w:sz w:val="16"/>
      <w:szCs w:val="16"/>
    </w:rPr>
  </w:style>
  <w:style w:type="paragraph" w:customStyle="1" w:styleId="xl82">
    <w:name w:val="xl82"/>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83">
    <w:name w:val="xl8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4">
    <w:name w:val="xl8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5">
    <w:name w:val="xl85"/>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6">
    <w:name w:val="xl86"/>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87">
    <w:name w:val="xl87"/>
    <w:basedOn w:val="Normal"/>
    <w:rsid w:val="001527CB"/>
    <w:pPr>
      <w:shd w:val="clear" w:color="000000" w:fill="FFFF00"/>
      <w:spacing w:before="100" w:beforeAutospacing="1" w:after="100" w:afterAutospacing="1" w:line="240" w:lineRule="auto"/>
    </w:pPr>
    <w:rPr>
      <w:rFonts w:ascii="Times New Roman" w:hAnsi="Times New Roman"/>
      <w:sz w:val="16"/>
      <w:szCs w:val="16"/>
    </w:rPr>
  </w:style>
  <w:style w:type="paragraph" w:customStyle="1" w:styleId="xl88">
    <w:name w:val="xl88"/>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89">
    <w:name w:val="xl89"/>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0">
    <w:name w:val="xl9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1">
    <w:name w:val="xl91"/>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2">
    <w:name w:val="xl92"/>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3">
    <w:name w:val="xl9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4">
    <w:name w:val="xl9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5">
    <w:name w:val="xl95"/>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6">
    <w:name w:val="xl96"/>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7">
    <w:name w:val="xl97"/>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8">
    <w:name w:val="xl98"/>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9">
    <w:name w:val="xl9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0">
    <w:name w:val="xl10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1">
    <w:name w:val="xl101"/>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2">
    <w:name w:val="xl102"/>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3">
    <w:name w:val="xl103"/>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4">
    <w:name w:val="xl104"/>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5">
    <w:name w:val="xl105"/>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6">
    <w:name w:val="xl106"/>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7">
    <w:name w:val="xl107"/>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8">
    <w:name w:val="xl108"/>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9">
    <w:name w:val="xl10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0">
    <w:name w:val="xl11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1">
    <w:name w:val="xl111"/>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2">
    <w:name w:val="xl112"/>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3">
    <w:name w:val="xl11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14">
    <w:name w:val="xl114"/>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115">
    <w:name w:val="xl115"/>
    <w:basedOn w:val="Normal"/>
    <w:rsid w:val="001527CB"/>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6">
    <w:name w:val="xl116"/>
    <w:basedOn w:val="Normal"/>
    <w:rsid w:val="001527CB"/>
    <w:pPr>
      <w:pBdr>
        <w:lef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7">
    <w:name w:val="xl117"/>
    <w:basedOn w:val="Normal"/>
    <w:rsid w:val="001527CB"/>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8">
    <w:name w:val="xl118"/>
    <w:basedOn w:val="Normal"/>
    <w:rsid w:val="001527C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9">
    <w:name w:val="xl119"/>
    <w:basedOn w:val="Normal"/>
    <w:rsid w:val="001527CB"/>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0">
    <w:name w:val="xl120"/>
    <w:basedOn w:val="Normal"/>
    <w:rsid w:val="001527C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Normal"/>
    <w:rsid w:val="001527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2">
    <w:name w:val="xl122"/>
    <w:basedOn w:val="Normal"/>
    <w:rsid w:val="001527CB"/>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3">
    <w:name w:val="xl123"/>
    <w:basedOn w:val="Normal"/>
    <w:rsid w:val="001527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4">
    <w:name w:val="xl12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Normal"/>
    <w:rsid w:val="001527C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6">
    <w:name w:val="xl126"/>
    <w:basedOn w:val="Normal"/>
    <w:rsid w:val="001527CB"/>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7">
    <w:name w:val="xl127"/>
    <w:basedOn w:val="Normal"/>
    <w:rsid w:val="001527C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8">
    <w:name w:val="xl128"/>
    <w:basedOn w:val="Normal"/>
    <w:rsid w:val="001527CB"/>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9">
    <w:name w:val="xl129"/>
    <w:basedOn w:val="Normal"/>
    <w:rsid w:val="001527CB"/>
    <w:pPr>
      <w:pBdr>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0">
    <w:name w:val="xl130"/>
    <w:basedOn w:val="Normal"/>
    <w:rsid w:val="001527CB"/>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1">
    <w:name w:val="xl131"/>
    <w:basedOn w:val="Normal"/>
    <w:rsid w:val="001527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Normal"/>
    <w:rsid w:val="001527CB"/>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Normal"/>
    <w:rsid w:val="001527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4">
    <w:name w:val="xl134"/>
    <w:basedOn w:val="Normal"/>
    <w:rsid w:val="001527C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5">
    <w:name w:val="xl135"/>
    <w:basedOn w:val="Normal"/>
    <w:rsid w:val="001527CB"/>
    <w:pPr>
      <w:pBdr>
        <w:top w:val="single" w:sz="4" w:space="0" w:color="auto"/>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6">
    <w:name w:val="xl136"/>
    <w:basedOn w:val="Normal"/>
    <w:rsid w:val="001527C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7">
    <w:name w:val="xl137"/>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8">
    <w:name w:val="xl138"/>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9">
    <w:name w:val="xl139"/>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40">
    <w:name w:val="xl140"/>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1">
    <w:name w:val="xl141"/>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2">
    <w:name w:val="xl142"/>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3">
    <w:name w:val="xl143"/>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4">
    <w:name w:val="xl144"/>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5">
    <w:name w:val="xl145"/>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6">
    <w:name w:val="xl146"/>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47">
    <w:name w:val="xl147"/>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48">
    <w:name w:val="xl148"/>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49">
    <w:name w:val="xl149"/>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50">
    <w:name w:val="xl150"/>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character" w:customStyle="1" w:styleId="baec5a81-e4d6-4674-97f3-e9220f0136c1">
    <w:name w:val="baec5a81-e4d6-4674-97f3-e9220f0136c1"/>
    <w:basedOn w:val="DefaultParagraphFont"/>
    <w:rsid w:val="00ED1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83063">
      <w:bodyDiv w:val="1"/>
      <w:marLeft w:val="0"/>
      <w:marRight w:val="0"/>
      <w:marTop w:val="0"/>
      <w:marBottom w:val="0"/>
      <w:divBdr>
        <w:top w:val="none" w:sz="0" w:space="0" w:color="auto"/>
        <w:left w:val="none" w:sz="0" w:space="0" w:color="auto"/>
        <w:bottom w:val="none" w:sz="0" w:space="0" w:color="auto"/>
        <w:right w:val="none" w:sz="0" w:space="0" w:color="auto"/>
      </w:divBdr>
    </w:div>
    <w:div w:id="323166104">
      <w:bodyDiv w:val="1"/>
      <w:marLeft w:val="0"/>
      <w:marRight w:val="0"/>
      <w:marTop w:val="0"/>
      <w:marBottom w:val="0"/>
      <w:divBdr>
        <w:top w:val="none" w:sz="0" w:space="0" w:color="auto"/>
        <w:left w:val="none" w:sz="0" w:space="0" w:color="auto"/>
        <w:bottom w:val="none" w:sz="0" w:space="0" w:color="auto"/>
        <w:right w:val="none" w:sz="0" w:space="0" w:color="auto"/>
      </w:divBdr>
    </w:div>
    <w:div w:id="386615183">
      <w:bodyDiv w:val="1"/>
      <w:marLeft w:val="0"/>
      <w:marRight w:val="0"/>
      <w:marTop w:val="0"/>
      <w:marBottom w:val="0"/>
      <w:divBdr>
        <w:top w:val="none" w:sz="0" w:space="0" w:color="auto"/>
        <w:left w:val="none" w:sz="0" w:space="0" w:color="auto"/>
        <w:bottom w:val="none" w:sz="0" w:space="0" w:color="auto"/>
        <w:right w:val="none" w:sz="0" w:space="0" w:color="auto"/>
      </w:divBdr>
    </w:div>
    <w:div w:id="511913540">
      <w:bodyDiv w:val="1"/>
      <w:marLeft w:val="0"/>
      <w:marRight w:val="0"/>
      <w:marTop w:val="0"/>
      <w:marBottom w:val="0"/>
      <w:divBdr>
        <w:top w:val="none" w:sz="0" w:space="0" w:color="auto"/>
        <w:left w:val="none" w:sz="0" w:space="0" w:color="auto"/>
        <w:bottom w:val="none" w:sz="0" w:space="0" w:color="auto"/>
        <w:right w:val="none" w:sz="0" w:space="0" w:color="auto"/>
      </w:divBdr>
    </w:div>
    <w:div w:id="526522885">
      <w:bodyDiv w:val="1"/>
      <w:marLeft w:val="0"/>
      <w:marRight w:val="0"/>
      <w:marTop w:val="0"/>
      <w:marBottom w:val="0"/>
      <w:divBdr>
        <w:top w:val="none" w:sz="0" w:space="0" w:color="auto"/>
        <w:left w:val="none" w:sz="0" w:space="0" w:color="auto"/>
        <w:bottom w:val="none" w:sz="0" w:space="0" w:color="auto"/>
        <w:right w:val="none" w:sz="0" w:space="0" w:color="auto"/>
      </w:divBdr>
    </w:div>
    <w:div w:id="630406619">
      <w:bodyDiv w:val="1"/>
      <w:marLeft w:val="0"/>
      <w:marRight w:val="0"/>
      <w:marTop w:val="0"/>
      <w:marBottom w:val="0"/>
      <w:divBdr>
        <w:top w:val="none" w:sz="0" w:space="0" w:color="auto"/>
        <w:left w:val="none" w:sz="0" w:space="0" w:color="auto"/>
        <w:bottom w:val="none" w:sz="0" w:space="0" w:color="auto"/>
        <w:right w:val="none" w:sz="0" w:space="0" w:color="auto"/>
      </w:divBdr>
    </w:div>
    <w:div w:id="760177463">
      <w:bodyDiv w:val="1"/>
      <w:marLeft w:val="0"/>
      <w:marRight w:val="0"/>
      <w:marTop w:val="0"/>
      <w:marBottom w:val="0"/>
      <w:divBdr>
        <w:top w:val="none" w:sz="0" w:space="0" w:color="auto"/>
        <w:left w:val="none" w:sz="0" w:space="0" w:color="auto"/>
        <w:bottom w:val="none" w:sz="0" w:space="0" w:color="auto"/>
        <w:right w:val="none" w:sz="0" w:space="0" w:color="auto"/>
      </w:divBdr>
    </w:div>
    <w:div w:id="761486540">
      <w:bodyDiv w:val="1"/>
      <w:marLeft w:val="0"/>
      <w:marRight w:val="0"/>
      <w:marTop w:val="0"/>
      <w:marBottom w:val="0"/>
      <w:divBdr>
        <w:top w:val="none" w:sz="0" w:space="0" w:color="auto"/>
        <w:left w:val="none" w:sz="0" w:space="0" w:color="auto"/>
        <w:bottom w:val="none" w:sz="0" w:space="0" w:color="auto"/>
        <w:right w:val="none" w:sz="0" w:space="0" w:color="auto"/>
      </w:divBdr>
    </w:div>
    <w:div w:id="1159998513">
      <w:bodyDiv w:val="1"/>
      <w:marLeft w:val="0"/>
      <w:marRight w:val="0"/>
      <w:marTop w:val="0"/>
      <w:marBottom w:val="0"/>
      <w:divBdr>
        <w:top w:val="none" w:sz="0" w:space="0" w:color="auto"/>
        <w:left w:val="none" w:sz="0" w:space="0" w:color="auto"/>
        <w:bottom w:val="none" w:sz="0" w:space="0" w:color="auto"/>
        <w:right w:val="none" w:sz="0" w:space="0" w:color="auto"/>
      </w:divBdr>
    </w:div>
    <w:div w:id="1257835016">
      <w:bodyDiv w:val="1"/>
      <w:marLeft w:val="0"/>
      <w:marRight w:val="0"/>
      <w:marTop w:val="0"/>
      <w:marBottom w:val="0"/>
      <w:divBdr>
        <w:top w:val="none" w:sz="0" w:space="0" w:color="auto"/>
        <w:left w:val="none" w:sz="0" w:space="0" w:color="auto"/>
        <w:bottom w:val="none" w:sz="0" w:space="0" w:color="auto"/>
        <w:right w:val="none" w:sz="0" w:space="0" w:color="auto"/>
      </w:divBdr>
    </w:div>
    <w:div w:id="1451127804">
      <w:bodyDiv w:val="1"/>
      <w:marLeft w:val="0"/>
      <w:marRight w:val="0"/>
      <w:marTop w:val="0"/>
      <w:marBottom w:val="0"/>
      <w:divBdr>
        <w:top w:val="none" w:sz="0" w:space="0" w:color="auto"/>
        <w:left w:val="none" w:sz="0" w:space="0" w:color="auto"/>
        <w:bottom w:val="none" w:sz="0" w:space="0" w:color="auto"/>
        <w:right w:val="none" w:sz="0" w:space="0" w:color="auto"/>
      </w:divBdr>
    </w:div>
    <w:div w:id="1529951854">
      <w:bodyDiv w:val="1"/>
      <w:marLeft w:val="0"/>
      <w:marRight w:val="0"/>
      <w:marTop w:val="0"/>
      <w:marBottom w:val="0"/>
      <w:divBdr>
        <w:top w:val="none" w:sz="0" w:space="0" w:color="auto"/>
        <w:left w:val="none" w:sz="0" w:space="0" w:color="auto"/>
        <w:bottom w:val="none" w:sz="0" w:space="0" w:color="auto"/>
        <w:right w:val="none" w:sz="0" w:space="0" w:color="auto"/>
      </w:divBdr>
    </w:div>
    <w:div w:id="1561556650">
      <w:bodyDiv w:val="1"/>
      <w:marLeft w:val="0"/>
      <w:marRight w:val="0"/>
      <w:marTop w:val="0"/>
      <w:marBottom w:val="0"/>
      <w:divBdr>
        <w:top w:val="none" w:sz="0" w:space="0" w:color="auto"/>
        <w:left w:val="none" w:sz="0" w:space="0" w:color="auto"/>
        <w:bottom w:val="none" w:sz="0" w:space="0" w:color="auto"/>
        <w:right w:val="none" w:sz="0" w:space="0" w:color="auto"/>
      </w:divBdr>
    </w:div>
    <w:div w:id="1816725067">
      <w:bodyDiv w:val="1"/>
      <w:marLeft w:val="0"/>
      <w:marRight w:val="0"/>
      <w:marTop w:val="0"/>
      <w:marBottom w:val="0"/>
      <w:divBdr>
        <w:top w:val="none" w:sz="0" w:space="0" w:color="auto"/>
        <w:left w:val="none" w:sz="0" w:space="0" w:color="auto"/>
        <w:bottom w:val="none" w:sz="0" w:space="0" w:color="auto"/>
        <w:right w:val="none" w:sz="0" w:space="0" w:color="auto"/>
      </w:divBdr>
    </w:div>
    <w:div w:id="1865514574">
      <w:bodyDiv w:val="1"/>
      <w:marLeft w:val="0"/>
      <w:marRight w:val="0"/>
      <w:marTop w:val="0"/>
      <w:marBottom w:val="0"/>
      <w:divBdr>
        <w:top w:val="none" w:sz="0" w:space="0" w:color="auto"/>
        <w:left w:val="none" w:sz="0" w:space="0" w:color="auto"/>
        <w:bottom w:val="none" w:sz="0" w:space="0" w:color="auto"/>
        <w:right w:val="none" w:sz="0" w:space="0" w:color="auto"/>
      </w:divBdr>
    </w:div>
    <w:div w:id="210726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6.xml"/><Relationship Id="rId28"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VERPLOEG@ers.usda.gov" TargetMode="Externa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sc.sagepub.com/content/early/2015/05/05/0894439315585074.abstract" TargetMode="External"/><Relationship Id="rId2" Type="http://schemas.openxmlformats.org/officeDocument/2006/relationships/hyperlink" Target="http://consumerfed.org/pdfs/CFA_2006_Check_Cashing_Study111506.pdf" TargetMode="External"/><Relationship Id="rId1" Type="http://schemas.openxmlformats.org/officeDocument/2006/relationships/hyperlink" Target="https://www.economicinclusion.gov/surveys/2013household/documents/2013_FDIC_Unbanked_HH_Survey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4F1E4-6E75-42D9-8E68-5336E52AB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10635</Words>
  <Characters>58961</Characters>
  <Application>Microsoft Office Word</Application>
  <DocSecurity>4</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 Atere</dc:creator>
  <cp:lastModifiedBy>Ragland-Greene, Rachelle - FNS</cp:lastModifiedBy>
  <cp:revision>2</cp:revision>
  <cp:lastPrinted>2016-02-23T20:09:00Z</cp:lastPrinted>
  <dcterms:created xsi:type="dcterms:W3CDTF">2016-11-01T18:28:00Z</dcterms:created>
  <dcterms:modified xsi:type="dcterms:W3CDTF">2016-11-01T18:28:00Z</dcterms:modified>
</cp:coreProperties>
</file>