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B2C" w:rsidRPr="00615DC9" w:rsidRDefault="00D67B2C" w:rsidP="00833FE8">
      <w:pPr>
        <w:spacing w:line="480" w:lineRule="auto"/>
        <w:jc w:val="center"/>
        <w:rPr>
          <w:b/>
          <w:sz w:val="28"/>
          <w:szCs w:val="28"/>
        </w:rPr>
      </w:pPr>
      <w:bookmarkStart w:id="0" w:name="_GoBack"/>
      <w:bookmarkEnd w:id="0"/>
    </w:p>
    <w:p w:rsidR="00D67B2C" w:rsidRPr="00615DC9" w:rsidRDefault="00D67B2C" w:rsidP="00833FE8">
      <w:pPr>
        <w:spacing w:line="480" w:lineRule="auto"/>
        <w:jc w:val="center"/>
        <w:rPr>
          <w:b/>
          <w:sz w:val="28"/>
          <w:szCs w:val="28"/>
        </w:rPr>
      </w:pPr>
    </w:p>
    <w:p w:rsidR="00833FE8" w:rsidRPr="00615DC9" w:rsidRDefault="00833FE8" w:rsidP="00833FE8">
      <w:pPr>
        <w:spacing w:line="480" w:lineRule="auto"/>
        <w:jc w:val="center"/>
        <w:rPr>
          <w:b/>
          <w:sz w:val="28"/>
          <w:szCs w:val="28"/>
        </w:rPr>
      </w:pPr>
      <w:r w:rsidRPr="00615DC9">
        <w:rPr>
          <w:b/>
          <w:sz w:val="28"/>
          <w:szCs w:val="28"/>
        </w:rPr>
        <w:t xml:space="preserve">Supporting Statement for </w:t>
      </w:r>
    </w:p>
    <w:p w:rsidR="00833FE8" w:rsidRPr="00615DC9" w:rsidRDefault="00833FE8" w:rsidP="00833FE8">
      <w:pPr>
        <w:spacing w:line="480" w:lineRule="auto"/>
        <w:jc w:val="center"/>
        <w:rPr>
          <w:b/>
          <w:sz w:val="28"/>
          <w:szCs w:val="28"/>
        </w:rPr>
      </w:pPr>
      <w:r w:rsidRPr="00615DC9">
        <w:rPr>
          <w:b/>
          <w:sz w:val="28"/>
          <w:szCs w:val="28"/>
        </w:rPr>
        <w:t xml:space="preserve">Uniform Grant Application for Non-Entitlement Discretionary Grants  </w:t>
      </w:r>
    </w:p>
    <w:p w:rsidR="00833FE8" w:rsidRPr="00615DC9" w:rsidRDefault="00833FE8" w:rsidP="00833FE8">
      <w:pPr>
        <w:spacing w:line="480" w:lineRule="auto"/>
        <w:jc w:val="center"/>
        <w:rPr>
          <w:b/>
          <w:sz w:val="28"/>
          <w:szCs w:val="28"/>
        </w:rPr>
      </w:pPr>
      <w:r w:rsidRPr="00615DC9">
        <w:rPr>
          <w:b/>
          <w:sz w:val="28"/>
          <w:szCs w:val="28"/>
        </w:rPr>
        <w:t>(OMB Control Number 0584-0512)</w:t>
      </w:r>
    </w:p>
    <w:p w:rsidR="00833FE8" w:rsidRPr="00615DC9" w:rsidRDefault="00833FE8" w:rsidP="00833FE8">
      <w:pPr>
        <w:spacing w:line="480" w:lineRule="auto"/>
        <w:jc w:val="center"/>
        <w:rPr>
          <w:sz w:val="28"/>
          <w:szCs w:val="28"/>
        </w:rPr>
      </w:pPr>
      <w:r w:rsidRPr="00615DC9">
        <w:rPr>
          <w:sz w:val="28"/>
          <w:szCs w:val="28"/>
        </w:rPr>
        <w:t>Lael Lubing</w:t>
      </w:r>
    </w:p>
    <w:p w:rsidR="00833FE8" w:rsidRPr="00615DC9" w:rsidRDefault="00833FE8" w:rsidP="00833FE8">
      <w:pPr>
        <w:spacing w:line="480" w:lineRule="auto"/>
        <w:jc w:val="center"/>
        <w:rPr>
          <w:sz w:val="28"/>
          <w:szCs w:val="28"/>
        </w:rPr>
      </w:pPr>
      <w:r w:rsidRPr="00615DC9">
        <w:rPr>
          <w:sz w:val="28"/>
          <w:szCs w:val="28"/>
        </w:rPr>
        <w:t xml:space="preserve">Director, Grants </w:t>
      </w:r>
      <w:r w:rsidR="00C902CE" w:rsidRPr="00615DC9">
        <w:rPr>
          <w:sz w:val="28"/>
          <w:szCs w:val="28"/>
        </w:rPr>
        <w:t xml:space="preserve">and Fiscal Policy </w:t>
      </w:r>
      <w:r w:rsidRPr="00615DC9">
        <w:rPr>
          <w:sz w:val="28"/>
          <w:szCs w:val="28"/>
        </w:rPr>
        <w:t>Division</w:t>
      </w:r>
    </w:p>
    <w:p w:rsidR="00833FE8" w:rsidRPr="00615DC9" w:rsidRDefault="00833FE8" w:rsidP="00833FE8">
      <w:pPr>
        <w:spacing w:line="480" w:lineRule="auto"/>
        <w:jc w:val="center"/>
        <w:rPr>
          <w:sz w:val="28"/>
          <w:szCs w:val="28"/>
        </w:rPr>
      </w:pPr>
      <w:r w:rsidRPr="00615DC9">
        <w:rPr>
          <w:sz w:val="28"/>
          <w:szCs w:val="28"/>
        </w:rPr>
        <w:t xml:space="preserve">3101 Park Center Drive, Room </w:t>
      </w:r>
      <w:r w:rsidR="002C6531" w:rsidRPr="00615DC9">
        <w:rPr>
          <w:sz w:val="28"/>
          <w:szCs w:val="28"/>
        </w:rPr>
        <w:t>732</w:t>
      </w:r>
    </w:p>
    <w:p w:rsidR="00833FE8" w:rsidRPr="00615DC9" w:rsidRDefault="00833FE8" w:rsidP="00833FE8">
      <w:pPr>
        <w:spacing w:line="480" w:lineRule="auto"/>
        <w:jc w:val="center"/>
        <w:rPr>
          <w:sz w:val="28"/>
          <w:szCs w:val="28"/>
        </w:rPr>
      </w:pPr>
      <w:r w:rsidRPr="00615DC9">
        <w:rPr>
          <w:sz w:val="28"/>
          <w:szCs w:val="28"/>
        </w:rPr>
        <w:t>Alexandria, Virginia 22302</w:t>
      </w:r>
    </w:p>
    <w:p w:rsidR="00833FE8" w:rsidRPr="00615DC9" w:rsidRDefault="00833FE8" w:rsidP="00833FE8">
      <w:pPr>
        <w:spacing w:line="480" w:lineRule="auto"/>
        <w:jc w:val="center"/>
        <w:rPr>
          <w:sz w:val="28"/>
          <w:szCs w:val="28"/>
        </w:rPr>
      </w:pPr>
      <w:r w:rsidRPr="00615DC9">
        <w:rPr>
          <w:sz w:val="28"/>
          <w:szCs w:val="28"/>
        </w:rPr>
        <w:t>Office Phone: 703-305-</w:t>
      </w:r>
      <w:r w:rsidR="001E58D3" w:rsidRPr="00615DC9">
        <w:rPr>
          <w:sz w:val="28"/>
          <w:szCs w:val="28"/>
        </w:rPr>
        <w:t>2048</w:t>
      </w:r>
    </w:p>
    <w:p w:rsidR="00833FE8" w:rsidRPr="00615DC9" w:rsidRDefault="00833FE8" w:rsidP="00833FE8">
      <w:pPr>
        <w:spacing w:line="480" w:lineRule="auto"/>
        <w:jc w:val="center"/>
        <w:rPr>
          <w:sz w:val="28"/>
          <w:szCs w:val="28"/>
        </w:rPr>
      </w:pPr>
      <w:r w:rsidRPr="00615DC9">
        <w:rPr>
          <w:sz w:val="28"/>
          <w:szCs w:val="28"/>
        </w:rPr>
        <w:t>Fax: 703-305-</w:t>
      </w:r>
      <w:r w:rsidR="002C6531" w:rsidRPr="00615DC9">
        <w:rPr>
          <w:sz w:val="28"/>
          <w:szCs w:val="28"/>
        </w:rPr>
        <w:t>0363</w:t>
      </w:r>
    </w:p>
    <w:p w:rsidR="00833FE8" w:rsidRPr="00615DC9" w:rsidRDefault="00833FE8" w:rsidP="00833FE8">
      <w:pPr>
        <w:spacing w:line="480" w:lineRule="auto"/>
        <w:jc w:val="center"/>
        <w:rPr>
          <w:sz w:val="28"/>
          <w:szCs w:val="28"/>
        </w:rPr>
      </w:pPr>
      <w:r w:rsidRPr="00615DC9">
        <w:rPr>
          <w:sz w:val="28"/>
          <w:szCs w:val="28"/>
        </w:rPr>
        <w:t xml:space="preserve">Email: </w:t>
      </w:r>
      <w:hyperlink r:id="rId9" w:history="1">
        <w:r w:rsidRPr="00615DC9">
          <w:rPr>
            <w:rStyle w:val="Hyperlink"/>
            <w:sz w:val="28"/>
            <w:szCs w:val="28"/>
          </w:rPr>
          <w:t>Lael.Lubing@fns.usda.gov</w:t>
        </w:r>
      </w:hyperlink>
    </w:p>
    <w:p w:rsidR="00833FE8" w:rsidRPr="00615DC9" w:rsidRDefault="00833FE8" w:rsidP="00833FE8">
      <w:pPr>
        <w:spacing w:line="480" w:lineRule="auto"/>
        <w:jc w:val="center"/>
        <w:rPr>
          <w:sz w:val="28"/>
          <w:szCs w:val="28"/>
        </w:rPr>
      </w:pPr>
    </w:p>
    <w:p w:rsidR="00833FE8" w:rsidRPr="00615DC9" w:rsidRDefault="00833FE8" w:rsidP="00833FE8">
      <w:pPr>
        <w:spacing w:line="480" w:lineRule="auto"/>
        <w:jc w:val="center"/>
        <w:rPr>
          <w:sz w:val="28"/>
          <w:szCs w:val="28"/>
        </w:rPr>
      </w:pPr>
    </w:p>
    <w:p w:rsidR="00833FE8" w:rsidRPr="00615DC9" w:rsidRDefault="00833FE8" w:rsidP="00833FE8">
      <w:pPr>
        <w:spacing w:line="480" w:lineRule="auto"/>
        <w:jc w:val="center"/>
        <w:rPr>
          <w:sz w:val="28"/>
          <w:szCs w:val="28"/>
        </w:rPr>
      </w:pPr>
    </w:p>
    <w:p w:rsidR="00833FE8" w:rsidRPr="00615DC9" w:rsidRDefault="00833FE8" w:rsidP="00833FE8">
      <w:pPr>
        <w:spacing w:line="480" w:lineRule="auto"/>
        <w:jc w:val="center"/>
        <w:rPr>
          <w:sz w:val="28"/>
          <w:szCs w:val="28"/>
        </w:rPr>
      </w:pPr>
    </w:p>
    <w:p w:rsidR="00833FE8" w:rsidRPr="00615DC9" w:rsidRDefault="00833FE8" w:rsidP="00833FE8">
      <w:pPr>
        <w:spacing w:line="480" w:lineRule="auto"/>
        <w:jc w:val="center"/>
        <w:rPr>
          <w:sz w:val="28"/>
          <w:szCs w:val="28"/>
        </w:rPr>
      </w:pPr>
    </w:p>
    <w:p w:rsidR="00833FE8" w:rsidRPr="00615DC9" w:rsidRDefault="00833FE8" w:rsidP="00833FE8">
      <w:pPr>
        <w:spacing w:line="480" w:lineRule="auto"/>
        <w:jc w:val="center"/>
        <w:rPr>
          <w:sz w:val="28"/>
          <w:szCs w:val="28"/>
        </w:rPr>
      </w:pPr>
    </w:p>
    <w:p w:rsidR="00833FE8" w:rsidRPr="00615DC9" w:rsidRDefault="00833FE8" w:rsidP="00833FE8">
      <w:pPr>
        <w:spacing w:line="480" w:lineRule="auto"/>
        <w:jc w:val="center"/>
        <w:rPr>
          <w:sz w:val="28"/>
          <w:szCs w:val="28"/>
        </w:rPr>
      </w:pPr>
    </w:p>
    <w:p w:rsidR="005A5BBE" w:rsidRPr="00615DC9" w:rsidRDefault="005A5BBE" w:rsidP="00833FE8">
      <w:pPr>
        <w:spacing w:line="480" w:lineRule="auto"/>
        <w:jc w:val="center"/>
        <w:rPr>
          <w:sz w:val="28"/>
          <w:szCs w:val="28"/>
        </w:rPr>
      </w:pPr>
    </w:p>
    <w:p w:rsidR="00833FE8" w:rsidRPr="00615DC9" w:rsidRDefault="0053013A" w:rsidP="0058650C">
      <w:pPr>
        <w:pStyle w:val="ListParagraph"/>
        <w:numPr>
          <w:ilvl w:val="0"/>
          <w:numId w:val="23"/>
        </w:numPr>
        <w:rPr>
          <w:b/>
        </w:rPr>
      </w:pPr>
      <w:r w:rsidRPr="00615DC9">
        <w:rPr>
          <w:b/>
          <w:bCs/>
        </w:rPr>
        <w:br w:type="page"/>
      </w:r>
      <w:r w:rsidR="00CD5858" w:rsidRPr="00615DC9">
        <w:rPr>
          <w:b/>
          <w:bCs/>
        </w:rPr>
        <w:lastRenderedPageBreak/>
        <w:t xml:space="preserve">Explain the circumstances that make the collection of information necessary. </w:t>
      </w:r>
      <w:r w:rsidR="001276C2" w:rsidRPr="00615DC9">
        <w:rPr>
          <w:b/>
          <w:bCs/>
        </w:rPr>
        <w:t xml:space="preserve"> </w:t>
      </w:r>
      <w:r w:rsidR="00CD5858" w:rsidRPr="00615DC9">
        <w:rPr>
          <w:b/>
          <w:bCs/>
        </w:rPr>
        <w:t>Identify</w:t>
      </w:r>
      <w:r w:rsidR="002E493A" w:rsidRPr="00615DC9">
        <w:rPr>
          <w:b/>
          <w:bCs/>
        </w:rPr>
        <w:t xml:space="preserve"> </w:t>
      </w:r>
      <w:r w:rsidR="00CD5858" w:rsidRPr="00615DC9">
        <w:rPr>
          <w:b/>
          <w:bCs/>
        </w:rPr>
        <w:t xml:space="preserve">any legal or administrative requirements that necessitate the collection. </w:t>
      </w:r>
      <w:r w:rsidR="001276C2" w:rsidRPr="00615DC9">
        <w:rPr>
          <w:b/>
          <w:bCs/>
        </w:rPr>
        <w:t xml:space="preserve"> </w:t>
      </w:r>
      <w:r w:rsidR="00CD5858" w:rsidRPr="00615DC9">
        <w:rPr>
          <w:b/>
          <w:bCs/>
        </w:rPr>
        <w:t>Attach a copy of</w:t>
      </w:r>
      <w:r w:rsidR="002E493A" w:rsidRPr="00615DC9">
        <w:rPr>
          <w:b/>
          <w:bCs/>
        </w:rPr>
        <w:t xml:space="preserve"> </w:t>
      </w:r>
      <w:r w:rsidR="00CD5858" w:rsidRPr="00615DC9">
        <w:rPr>
          <w:b/>
          <w:bCs/>
        </w:rPr>
        <w:t>the appropriate section of each statute and regulation mandating or authorizing the collection of information.</w:t>
      </w:r>
      <w:r w:rsidR="00AD4042" w:rsidRPr="00615DC9">
        <w:rPr>
          <w:b/>
        </w:rPr>
        <w:t xml:space="preserve"> </w:t>
      </w:r>
    </w:p>
    <w:p w:rsidR="00113652" w:rsidRPr="00615DC9" w:rsidRDefault="00113652" w:rsidP="00833FE8">
      <w:pPr>
        <w:ind w:left="180"/>
        <w:rPr>
          <w:b/>
        </w:rPr>
      </w:pPr>
    </w:p>
    <w:p w:rsidR="00833FE8" w:rsidRPr="00615DC9" w:rsidRDefault="001A3160" w:rsidP="00833FE8">
      <w:pPr>
        <w:tabs>
          <w:tab w:val="num" w:pos="540"/>
        </w:tabs>
        <w:spacing w:line="480" w:lineRule="auto"/>
        <w:ind w:left="540"/>
      </w:pPr>
      <w:r w:rsidRPr="00615DC9">
        <w:t xml:space="preserve">The information collection is a revision of a currently approved package for all non-entitlement discretionary grant programs to collect information from grant applicants.  </w:t>
      </w:r>
      <w:r w:rsidR="00113652" w:rsidRPr="00615DC9">
        <w:t>The Food and Nutrition Service (FNS) has a number of non-entitlement discretionary grant programs.  The te</w:t>
      </w:r>
      <w:r w:rsidR="0029704A" w:rsidRPr="00615DC9">
        <w:t>r</w:t>
      </w:r>
      <w:r w:rsidR="00113652" w:rsidRPr="00615DC9">
        <w:t>m “grant” i</w:t>
      </w:r>
      <w:r w:rsidR="0029704A" w:rsidRPr="00615DC9">
        <w:t>n</w:t>
      </w:r>
      <w:r w:rsidR="00113652" w:rsidRPr="00615DC9">
        <w:t xml:space="preserve"> this submission refers only to non-entitlement discretionary grants or cooperative agreements.  </w:t>
      </w:r>
      <w:r w:rsidR="00A375EA" w:rsidRPr="00615DC9">
        <w:t>This information collection is for the announcement of d</w:t>
      </w:r>
      <w:r w:rsidR="00113652" w:rsidRPr="00615DC9">
        <w:t>iscretionary grant</w:t>
      </w:r>
      <w:r w:rsidR="00A375EA" w:rsidRPr="00615DC9">
        <w:t>s via Requests for Applications (RFA)</w:t>
      </w:r>
      <w:r w:rsidR="00D310EE" w:rsidRPr="00615DC9">
        <w:t xml:space="preserve"> and subsequent reporting and recordkeeping for the grant awardees.</w:t>
      </w:r>
      <w:r w:rsidR="00A375EA" w:rsidRPr="00615DC9">
        <w:t xml:space="preserve">  </w:t>
      </w:r>
    </w:p>
    <w:p w:rsidR="00C558BF" w:rsidRPr="00615DC9" w:rsidRDefault="00C558BF" w:rsidP="00833FE8">
      <w:pPr>
        <w:tabs>
          <w:tab w:val="num" w:pos="540"/>
        </w:tabs>
        <w:spacing w:line="480" w:lineRule="auto"/>
        <w:ind w:left="540"/>
      </w:pPr>
    </w:p>
    <w:p w:rsidR="00FD19FE" w:rsidRPr="00615DC9" w:rsidRDefault="00D310EE" w:rsidP="00833FE8">
      <w:pPr>
        <w:tabs>
          <w:tab w:val="num" w:pos="540"/>
        </w:tabs>
        <w:spacing w:line="480" w:lineRule="auto"/>
        <w:ind w:left="540"/>
      </w:pPr>
      <w:r w:rsidRPr="00615DC9">
        <w:t xml:space="preserve">This </w:t>
      </w:r>
      <w:r w:rsidR="00CF1594" w:rsidRPr="00615DC9">
        <w:t>information</w:t>
      </w:r>
      <w:r w:rsidR="006B5869" w:rsidRPr="00615DC9">
        <w:t xml:space="preserve"> </w:t>
      </w:r>
      <w:r w:rsidRPr="00615DC9">
        <w:t xml:space="preserve">collection </w:t>
      </w:r>
      <w:r w:rsidR="006B5869" w:rsidRPr="00615DC9">
        <w:t xml:space="preserve">is </w:t>
      </w:r>
      <w:r w:rsidR="000652B9" w:rsidRPr="00615DC9">
        <w:t>needed to evaluate and rank applicants and protect the integrity of the grantee selection process</w:t>
      </w:r>
      <w:r w:rsidRPr="00615DC9">
        <w:t>, as well as evaluate performance post-award</w:t>
      </w:r>
      <w:r w:rsidR="000652B9" w:rsidRPr="00615DC9">
        <w:t xml:space="preserve">.  </w:t>
      </w:r>
      <w:r w:rsidRPr="00615DC9">
        <w:t xml:space="preserve">With this clearance request, FNS is submitting RFAs and forms for regularly issued grants.  Other FNS discretionary grants would use this generic collection by submitting a request for clearance under this generic collection.  The submissions will include a supporting statement, RFA, and any </w:t>
      </w:r>
      <w:r w:rsidR="00C12A08" w:rsidRPr="00615DC9">
        <w:t xml:space="preserve">associated </w:t>
      </w:r>
      <w:r w:rsidRPr="00615DC9">
        <w:t xml:space="preserve">forms.  </w:t>
      </w:r>
      <w:r w:rsidR="00CF1594" w:rsidRPr="00615DC9">
        <w:t xml:space="preserve">All </w:t>
      </w:r>
      <w:r w:rsidR="000652B9" w:rsidRPr="00615DC9">
        <w:t>FNS discretionary grant</w:t>
      </w:r>
      <w:r w:rsidR="00FD19FE" w:rsidRPr="00615DC9">
        <w:t xml:space="preserve"> programs would be eligible, but not required, to use this uniform grant application package</w:t>
      </w:r>
      <w:r w:rsidR="0029704A" w:rsidRPr="00615DC9">
        <w:t>.  If FNS decides</w:t>
      </w:r>
      <w:r w:rsidR="00FD19FE" w:rsidRPr="00615DC9">
        <w:t xml:space="preserve"> not to use the uniform grant application package or determines that it needs grant applicants to provide additional information not contained in the uniform package, then FNS will publish a notice soliciting comments on its </w:t>
      </w:r>
      <w:r w:rsidR="00D317DB" w:rsidRPr="00615DC9">
        <w:t xml:space="preserve">application </w:t>
      </w:r>
      <w:r w:rsidR="00FD19FE" w:rsidRPr="00615DC9">
        <w:t>to collect different</w:t>
      </w:r>
      <w:r w:rsidR="000B1295" w:rsidRPr="00615DC9">
        <w:t xml:space="preserve"> or </w:t>
      </w:r>
      <w:r w:rsidR="00FD19FE" w:rsidRPr="00615DC9">
        <w:t>additional information before making the grant solicitation.</w:t>
      </w:r>
    </w:p>
    <w:p w:rsidR="00CB3891" w:rsidRPr="00615DC9" w:rsidRDefault="00CB3891" w:rsidP="00760454">
      <w:pPr>
        <w:tabs>
          <w:tab w:val="num" w:pos="540"/>
        </w:tabs>
        <w:spacing w:line="480" w:lineRule="auto"/>
        <w:ind w:left="540" w:right="-144"/>
      </w:pPr>
    </w:p>
    <w:p w:rsidR="00D20D28" w:rsidRPr="00615DC9" w:rsidRDefault="00A375EA" w:rsidP="00A375EA">
      <w:pPr>
        <w:tabs>
          <w:tab w:val="num" w:pos="540"/>
        </w:tabs>
        <w:spacing w:line="480" w:lineRule="auto"/>
        <w:ind w:left="540" w:right="-144"/>
      </w:pPr>
      <w:r w:rsidRPr="00615DC9">
        <w:lastRenderedPageBreak/>
        <w:t xml:space="preserve">The generic clearance now in effect has provided clearance for the following Grant programs.  </w:t>
      </w:r>
      <w:r w:rsidR="001B43A4" w:rsidRPr="00615DC9">
        <w:t>The authorities for these grants vary</w:t>
      </w:r>
      <w:r w:rsidR="00D310EE" w:rsidRPr="00615DC9">
        <w:t xml:space="preserve"> and are listed in the table below</w:t>
      </w:r>
      <w:r w:rsidR="001B43A4" w:rsidRPr="00615DC9">
        <w:t>.  The legal or administrative authorit</w:t>
      </w:r>
      <w:r w:rsidR="00D45780" w:rsidRPr="00615DC9">
        <w:t>ies</w:t>
      </w:r>
      <w:r w:rsidR="001B43A4" w:rsidRPr="00615DC9">
        <w:t xml:space="preserve"> for </w:t>
      </w:r>
      <w:r w:rsidR="00D310EE" w:rsidRPr="00615DC9">
        <w:t xml:space="preserve">other </w:t>
      </w:r>
      <w:r w:rsidR="001B43A4" w:rsidRPr="00615DC9">
        <w:t>potential programs r</w:t>
      </w:r>
      <w:r w:rsidR="00086312" w:rsidRPr="00615DC9">
        <w:t xml:space="preserve">equesting </w:t>
      </w:r>
      <w:r w:rsidR="001B43A4" w:rsidRPr="00615DC9">
        <w:t xml:space="preserve">use of this </w:t>
      </w:r>
      <w:r w:rsidR="00C12A08" w:rsidRPr="00615DC9">
        <w:t xml:space="preserve">generic </w:t>
      </w:r>
      <w:r w:rsidR="00D310EE" w:rsidRPr="00615DC9">
        <w:t>information collection will be noted in the supporting statement submitted with each request, but will be similar to those listed below.</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3957"/>
        <w:gridCol w:w="3916"/>
      </w:tblGrid>
      <w:tr w:rsidR="00145ACE" w:rsidRPr="00615DC9" w:rsidTr="00C12A08">
        <w:tc>
          <w:tcPr>
            <w:tcW w:w="1163" w:type="dxa"/>
          </w:tcPr>
          <w:p w:rsidR="00145ACE" w:rsidRPr="00615DC9" w:rsidRDefault="00145ACE" w:rsidP="006863D9">
            <w:pPr>
              <w:pStyle w:val="NoSpacing"/>
              <w:jc w:val="center"/>
            </w:pPr>
            <w:r w:rsidRPr="00615DC9">
              <w:t>Appendix</w:t>
            </w:r>
            <w:r w:rsidR="00C12A08" w:rsidRPr="00615DC9">
              <w:t xml:space="preserve"> (ICs)</w:t>
            </w:r>
          </w:p>
        </w:tc>
        <w:tc>
          <w:tcPr>
            <w:tcW w:w="3957" w:type="dxa"/>
          </w:tcPr>
          <w:p w:rsidR="00145ACE" w:rsidRPr="00615DC9" w:rsidRDefault="00145ACE" w:rsidP="006863D9">
            <w:pPr>
              <w:pStyle w:val="NoSpacing"/>
              <w:jc w:val="center"/>
            </w:pPr>
            <w:r w:rsidRPr="00615DC9">
              <w:t>DISCRETIONARY GRANTS/COOPERATIVE AGREEMENTS</w:t>
            </w:r>
          </w:p>
        </w:tc>
        <w:tc>
          <w:tcPr>
            <w:tcW w:w="3916" w:type="dxa"/>
          </w:tcPr>
          <w:p w:rsidR="00145ACE" w:rsidRPr="00615DC9" w:rsidRDefault="00145ACE" w:rsidP="006863D9">
            <w:pPr>
              <w:pStyle w:val="NoSpacing"/>
              <w:jc w:val="center"/>
            </w:pPr>
          </w:p>
          <w:p w:rsidR="00145ACE" w:rsidRPr="00615DC9" w:rsidRDefault="00145ACE" w:rsidP="006863D9">
            <w:pPr>
              <w:pStyle w:val="NoSpacing"/>
              <w:jc w:val="center"/>
            </w:pPr>
            <w:r w:rsidRPr="00615DC9">
              <w:t>PROGRAM AUTHORIZATION</w:t>
            </w:r>
          </w:p>
        </w:tc>
      </w:tr>
      <w:tr w:rsidR="00145ACE" w:rsidRPr="00615DC9" w:rsidTr="00C12A08">
        <w:tc>
          <w:tcPr>
            <w:tcW w:w="1163" w:type="dxa"/>
          </w:tcPr>
          <w:p w:rsidR="00145ACE" w:rsidRPr="00615DC9" w:rsidRDefault="00145ACE" w:rsidP="00D20D28">
            <w:pPr>
              <w:pStyle w:val="NoSpacing"/>
            </w:pPr>
            <w:r w:rsidRPr="00615DC9">
              <w:t>A1</w:t>
            </w:r>
          </w:p>
        </w:tc>
        <w:tc>
          <w:tcPr>
            <w:tcW w:w="3957" w:type="dxa"/>
          </w:tcPr>
          <w:p w:rsidR="00145ACE" w:rsidRPr="00615DC9" w:rsidRDefault="00145ACE" w:rsidP="00D20D28">
            <w:pPr>
              <w:pStyle w:val="NoSpacing"/>
            </w:pPr>
            <w:r w:rsidRPr="00615DC9">
              <w:t>Child Nutrition - Team Nutrition Training Grants</w:t>
            </w:r>
          </w:p>
        </w:tc>
        <w:tc>
          <w:tcPr>
            <w:tcW w:w="3916" w:type="dxa"/>
          </w:tcPr>
          <w:p w:rsidR="00145ACE" w:rsidRPr="00615DC9" w:rsidRDefault="00145ACE" w:rsidP="00122DF4">
            <w:pPr>
              <w:pStyle w:val="NoSpacing"/>
            </w:pPr>
            <w:r w:rsidRPr="00615DC9">
              <w:t>Child Nutrition Act of 1996, as amended 19(c)</w:t>
            </w:r>
          </w:p>
        </w:tc>
      </w:tr>
      <w:tr w:rsidR="00145ACE" w:rsidRPr="00615DC9" w:rsidTr="00C12A08">
        <w:tc>
          <w:tcPr>
            <w:tcW w:w="1163" w:type="dxa"/>
          </w:tcPr>
          <w:p w:rsidR="00145ACE" w:rsidRPr="00615DC9" w:rsidRDefault="00145ACE" w:rsidP="00D20D28">
            <w:pPr>
              <w:pStyle w:val="NoSpacing"/>
            </w:pPr>
            <w:r w:rsidRPr="00615DC9">
              <w:t>A2</w:t>
            </w:r>
          </w:p>
        </w:tc>
        <w:tc>
          <w:tcPr>
            <w:tcW w:w="3957" w:type="dxa"/>
          </w:tcPr>
          <w:p w:rsidR="00145ACE" w:rsidRPr="00615DC9" w:rsidRDefault="00145ACE" w:rsidP="00D20D28">
            <w:pPr>
              <w:pStyle w:val="NoSpacing"/>
            </w:pPr>
            <w:r w:rsidRPr="00615DC9">
              <w:t>Child Nutrition – Direct Certification Grants</w:t>
            </w:r>
          </w:p>
        </w:tc>
        <w:tc>
          <w:tcPr>
            <w:tcW w:w="3916" w:type="dxa"/>
          </w:tcPr>
          <w:p w:rsidR="00145ACE" w:rsidRPr="00615DC9" w:rsidRDefault="00145ACE" w:rsidP="009938BA">
            <w:pPr>
              <w:pStyle w:val="NoSpacing"/>
            </w:pPr>
            <w:r w:rsidRPr="00615DC9">
              <w:t>Richard B. Russell National School Lunch Act, as amended, Section 9(b)(4) &amp; Agriculture, Rural Development, Food and Drug Administration, and Related Agencies Appropriations Act of 2010 (P.L. 111-80), Section 749(h)</w:t>
            </w:r>
          </w:p>
        </w:tc>
      </w:tr>
      <w:tr w:rsidR="00145ACE" w:rsidRPr="00615DC9" w:rsidTr="00C12A08">
        <w:trPr>
          <w:trHeight w:val="350"/>
        </w:trPr>
        <w:tc>
          <w:tcPr>
            <w:tcW w:w="1163" w:type="dxa"/>
          </w:tcPr>
          <w:p w:rsidR="00145ACE" w:rsidRPr="00615DC9" w:rsidRDefault="00145ACE" w:rsidP="00D20D28">
            <w:pPr>
              <w:pStyle w:val="NoSpacing"/>
            </w:pPr>
            <w:r w:rsidRPr="00615DC9">
              <w:t>A3</w:t>
            </w:r>
          </w:p>
        </w:tc>
        <w:tc>
          <w:tcPr>
            <w:tcW w:w="3957" w:type="dxa"/>
          </w:tcPr>
          <w:p w:rsidR="00145ACE" w:rsidRPr="00615DC9" w:rsidRDefault="00145ACE" w:rsidP="00D20D28">
            <w:pPr>
              <w:pStyle w:val="NoSpacing"/>
            </w:pPr>
            <w:r w:rsidRPr="00615DC9">
              <w:t>Child Nutrition – Administrative Review &amp; Training Grants</w:t>
            </w:r>
          </w:p>
        </w:tc>
        <w:tc>
          <w:tcPr>
            <w:tcW w:w="3916" w:type="dxa"/>
          </w:tcPr>
          <w:p w:rsidR="00145ACE" w:rsidRPr="00615DC9" w:rsidRDefault="00145ACE" w:rsidP="004E016B">
            <w:pPr>
              <w:pStyle w:val="NoSpacing"/>
            </w:pPr>
            <w:r w:rsidRPr="00615DC9">
              <w:t xml:space="preserve">Richard B. Russell </w:t>
            </w:r>
            <w:r w:rsidRPr="00615DC9">
              <w:rPr>
                <w:rFonts w:eastAsia="Calibri"/>
                <w:color w:val="000000"/>
              </w:rPr>
              <w:t>National School Lunch Act, as amended, Section 22</w:t>
            </w:r>
          </w:p>
        </w:tc>
      </w:tr>
      <w:tr w:rsidR="00145ACE" w:rsidRPr="00615DC9" w:rsidTr="00C12A08">
        <w:tc>
          <w:tcPr>
            <w:tcW w:w="1163" w:type="dxa"/>
          </w:tcPr>
          <w:p w:rsidR="00145ACE" w:rsidRPr="00615DC9" w:rsidRDefault="00145ACE" w:rsidP="00D20D28">
            <w:pPr>
              <w:pStyle w:val="NoSpacing"/>
            </w:pPr>
            <w:r w:rsidRPr="00615DC9">
              <w:t>A4</w:t>
            </w:r>
          </w:p>
        </w:tc>
        <w:tc>
          <w:tcPr>
            <w:tcW w:w="3957" w:type="dxa"/>
          </w:tcPr>
          <w:p w:rsidR="00145ACE" w:rsidRPr="00615DC9" w:rsidRDefault="00145ACE" w:rsidP="00D20D28">
            <w:pPr>
              <w:pStyle w:val="NoSpacing"/>
            </w:pPr>
            <w:r w:rsidRPr="00615DC9">
              <w:t>Child Nutrition – Farm to School Grants</w:t>
            </w:r>
          </w:p>
        </w:tc>
        <w:tc>
          <w:tcPr>
            <w:tcW w:w="3916" w:type="dxa"/>
          </w:tcPr>
          <w:p w:rsidR="00145ACE" w:rsidRPr="00615DC9" w:rsidRDefault="00145ACE" w:rsidP="001A3160">
            <w:pPr>
              <w:pStyle w:val="NoSpacing"/>
            </w:pPr>
            <w:r w:rsidRPr="00615DC9">
              <w:t xml:space="preserve">Richard B. Russell National School Lunch Act as amended, Section 18(g)(3), by the Healthy, Hunger-Free Kids Act of 2010 (HHFKA) </w:t>
            </w:r>
          </w:p>
        </w:tc>
      </w:tr>
      <w:tr w:rsidR="00145ACE" w:rsidRPr="00615DC9" w:rsidTr="00C12A08">
        <w:tc>
          <w:tcPr>
            <w:tcW w:w="1163" w:type="dxa"/>
          </w:tcPr>
          <w:p w:rsidR="00145ACE" w:rsidRPr="00615DC9" w:rsidRDefault="00145ACE" w:rsidP="00D20D28">
            <w:pPr>
              <w:pStyle w:val="NoSpacing"/>
            </w:pPr>
            <w:r w:rsidRPr="00615DC9">
              <w:t>A5</w:t>
            </w:r>
          </w:p>
        </w:tc>
        <w:tc>
          <w:tcPr>
            <w:tcW w:w="3957" w:type="dxa"/>
          </w:tcPr>
          <w:p w:rsidR="00145ACE" w:rsidRPr="00615DC9" w:rsidDel="004E45C9" w:rsidRDefault="00145ACE" w:rsidP="00D20D28">
            <w:pPr>
              <w:pStyle w:val="NoSpacing"/>
            </w:pPr>
            <w:r w:rsidRPr="00615DC9">
              <w:t>Child Nutrition – Professional Standard School Food Training Grants</w:t>
            </w:r>
          </w:p>
        </w:tc>
        <w:tc>
          <w:tcPr>
            <w:tcW w:w="3916" w:type="dxa"/>
          </w:tcPr>
          <w:p w:rsidR="00145ACE" w:rsidRPr="00615DC9" w:rsidDel="004E45C9" w:rsidRDefault="00145ACE" w:rsidP="00C85329">
            <w:pPr>
              <w:pStyle w:val="NoSpacing"/>
            </w:pPr>
            <w:r w:rsidRPr="00615DC9">
              <w:t>Richard B. Russell National School Lunch as amended, Section 306 of the Healthy, Hunger-Free Kids Act of 2010 (HHFKA)</w:t>
            </w:r>
          </w:p>
        </w:tc>
      </w:tr>
      <w:tr w:rsidR="00145ACE" w:rsidRPr="00615DC9" w:rsidTr="00C12A08">
        <w:tc>
          <w:tcPr>
            <w:tcW w:w="1163" w:type="dxa"/>
          </w:tcPr>
          <w:p w:rsidR="00145ACE" w:rsidRPr="00615DC9" w:rsidRDefault="00145ACE" w:rsidP="00AF68E7">
            <w:pPr>
              <w:pStyle w:val="NoSpacing"/>
            </w:pPr>
            <w:r w:rsidRPr="00615DC9">
              <w:t>A6</w:t>
            </w:r>
          </w:p>
        </w:tc>
        <w:tc>
          <w:tcPr>
            <w:tcW w:w="3957" w:type="dxa"/>
          </w:tcPr>
          <w:p w:rsidR="00145ACE" w:rsidRPr="00615DC9" w:rsidDel="004E45C9" w:rsidRDefault="00145ACE" w:rsidP="00AF68E7">
            <w:pPr>
              <w:pStyle w:val="NoSpacing"/>
            </w:pPr>
            <w:r w:rsidRPr="00615DC9">
              <w:t>Food Distribution  Program – Nutrition Education Grants</w:t>
            </w:r>
          </w:p>
        </w:tc>
        <w:tc>
          <w:tcPr>
            <w:tcW w:w="3916" w:type="dxa"/>
          </w:tcPr>
          <w:p w:rsidR="00145ACE" w:rsidRPr="00615DC9" w:rsidDel="004E45C9" w:rsidRDefault="00145ACE" w:rsidP="00C85329">
            <w:pPr>
              <w:pStyle w:val="NoSpacing"/>
            </w:pPr>
            <w:r w:rsidRPr="00615DC9">
              <w:t xml:space="preserve">Food and Nutrition Act of 2008 as amended, Section 17 (a) (1) </w:t>
            </w:r>
          </w:p>
        </w:tc>
      </w:tr>
      <w:tr w:rsidR="00145ACE" w:rsidRPr="00615DC9" w:rsidTr="00C12A08">
        <w:tc>
          <w:tcPr>
            <w:tcW w:w="1163" w:type="dxa"/>
          </w:tcPr>
          <w:p w:rsidR="00145ACE" w:rsidRPr="00615DC9" w:rsidRDefault="00145ACE" w:rsidP="008F7B26">
            <w:pPr>
              <w:pStyle w:val="NoSpacing"/>
            </w:pPr>
            <w:r w:rsidRPr="00615DC9">
              <w:t>A7</w:t>
            </w:r>
          </w:p>
        </w:tc>
        <w:tc>
          <w:tcPr>
            <w:tcW w:w="3957" w:type="dxa"/>
          </w:tcPr>
          <w:p w:rsidR="00145ACE" w:rsidRPr="00615DC9" w:rsidRDefault="00145ACE" w:rsidP="008F7B26">
            <w:pPr>
              <w:pStyle w:val="NoSpacing"/>
            </w:pPr>
            <w:r w:rsidRPr="00615DC9">
              <w:t>Supplemental Nutrition Assistance Program – Farmers’ Market SNAP Support Grants</w:t>
            </w:r>
          </w:p>
        </w:tc>
        <w:tc>
          <w:tcPr>
            <w:tcW w:w="3916" w:type="dxa"/>
          </w:tcPr>
          <w:p w:rsidR="00145ACE" w:rsidRPr="00615DC9" w:rsidRDefault="00145ACE" w:rsidP="00D20D28">
            <w:pPr>
              <w:pStyle w:val="NoSpacing"/>
            </w:pPr>
            <w:r w:rsidRPr="00615DC9">
              <w:rPr>
                <w:rFonts w:eastAsia="Cambria"/>
              </w:rPr>
              <w:t>The President’s FY 2014 budget request for FNS</w:t>
            </w:r>
            <w:r w:rsidRPr="00615DC9">
              <w:rPr>
                <w:i/>
              </w:rPr>
              <w:t xml:space="preserve"> (The Food and Nutrition Service: 2014, Explanatory Notes),</w:t>
            </w:r>
          </w:p>
        </w:tc>
      </w:tr>
      <w:tr w:rsidR="00145ACE" w:rsidRPr="00615DC9" w:rsidTr="00C12A08">
        <w:tc>
          <w:tcPr>
            <w:tcW w:w="1163" w:type="dxa"/>
          </w:tcPr>
          <w:p w:rsidR="00145ACE" w:rsidRPr="00615DC9" w:rsidRDefault="00145ACE" w:rsidP="008F7B26">
            <w:pPr>
              <w:pStyle w:val="NoSpacing"/>
            </w:pPr>
            <w:r w:rsidRPr="00615DC9">
              <w:t>A8</w:t>
            </w:r>
          </w:p>
        </w:tc>
        <w:tc>
          <w:tcPr>
            <w:tcW w:w="3957" w:type="dxa"/>
          </w:tcPr>
          <w:p w:rsidR="00145ACE" w:rsidRPr="00615DC9" w:rsidRDefault="00145ACE" w:rsidP="008F7B26">
            <w:pPr>
              <w:pStyle w:val="NoSpacing"/>
            </w:pPr>
            <w:r w:rsidRPr="00615DC9">
              <w:t>Supplemental Nutrition Assistance Program – Process and Technology Improvement</w:t>
            </w:r>
          </w:p>
        </w:tc>
        <w:tc>
          <w:tcPr>
            <w:tcW w:w="3916" w:type="dxa"/>
          </w:tcPr>
          <w:p w:rsidR="00145ACE" w:rsidRPr="00615DC9" w:rsidRDefault="00145ACE" w:rsidP="00D20D28">
            <w:pPr>
              <w:pStyle w:val="NoSpacing"/>
            </w:pPr>
            <w:r w:rsidRPr="00615DC9">
              <w:t>Food and Nutrition Act of 2008 as amended, Section 11 (t)(1)</w:t>
            </w:r>
          </w:p>
        </w:tc>
      </w:tr>
      <w:tr w:rsidR="00145ACE" w:rsidRPr="00615DC9" w:rsidTr="00C12A08">
        <w:tc>
          <w:tcPr>
            <w:tcW w:w="1163" w:type="dxa"/>
          </w:tcPr>
          <w:p w:rsidR="00145ACE" w:rsidRPr="00615DC9" w:rsidRDefault="00145ACE" w:rsidP="00D20D28">
            <w:pPr>
              <w:pStyle w:val="NoSpacing"/>
            </w:pPr>
            <w:r w:rsidRPr="00615DC9">
              <w:t>A9</w:t>
            </w:r>
          </w:p>
        </w:tc>
        <w:tc>
          <w:tcPr>
            <w:tcW w:w="3957" w:type="dxa"/>
          </w:tcPr>
          <w:p w:rsidR="00145ACE" w:rsidRPr="00615DC9" w:rsidRDefault="00145ACE" w:rsidP="00D20D28">
            <w:pPr>
              <w:pStyle w:val="NoSpacing"/>
            </w:pPr>
            <w:r w:rsidRPr="00615DC9">
              <w:t>Supplemental Nutrition Assistance Program – Recipient Integrity Grants</w:t>
            </w:r>
          </w:p>
        </w:tc>
        <w:tc>
          <w:tcPr>
            <w:tcW w:w="3916" w:type="dxa"/>
          </w:tcPr>
          <w:p w:rsidR="00145ACE" w:rsidRPr="00615DC9" w:rsidRDefault="00145ACE" w:rsidP="00AF7D94">
            <w:pPr>
              <w:pStyle w:val="NoSpacing"/>
            </w:pPr>
            <w:r w:rsidRPr="00615DC9">
              <w:t>Food and Nutrition Act of 2008, as amended, Section 29 (7 U.S.C. 2036b)</w:t>
            </w:r>
          </w:p>
        </w:tc>
      </w:tr>
      <w:tr w:rsidR="00AD1296" w:rsidRPr="00615DC9" w:rsidTr="00145ACE">
        <w:tc>
          <w:tcPr>
            <w:tcW w:w="1163" w:type="dxa"/>
          </w:tcPr>
          <w:p w:rsidR="00AD1296" w:rsidRPr="00615DC9" w:rsidRDefault="00AD1296" w:rsidP="00D20D28">
            <w:pPr>
              <w:pStyle w:val="NoSpacing"/>
            </w:pPr>
            <w:r w:rsidRPr="00615DC9">
              <w:t>A10</w:t>
            </w:r>
          </w:p>
        </w:tc>
        <w:tc>
          <w:tcPr>
            <w:tcW w:w="3957" w:type="dxa"/>
          </w:tcPr>
          <w:p w:rsidR="00AD1296" w:rsidRPr="00615DC9" w:rsidRDefault="00AD1296" w:rsidP="00C12A08">
            <w:pPr>
              <w:pStyle w:val="NoSpacing"/>
              <w:tabs>
                <w:tab w:val="left" w:pos="992"/>
              </w:tabs>
            </w:pPr>
            <w:r w:rsidRPr="00615DC9">
              <w:t xml:space="preserve">Special Supplemental Nutrition Program for Women, Infants and </w:t>
            </w:r>
            <w:r w:rsidRPr="00615DC9">
              <w:lastRenderedPageBreak/>
              <w:t>Children – Special Projects and Concept Papers</w:t>
            </w:r>
          </w:p>
        </w:tc>
        <w:tc>
          <w:tcPr>
            <w:tcW w:w="3916" w:type="dxa"/>
          </w:tcPr>
          <w:p w:rsidR="00AD1296" w:rsidRPr="00615DC9" w:rsidRDefault="00AD1296" w:rsidP="00AF7D94">
            <w:pPr>
              <w:pStyle w:val="NoSpacing"/>
            </w:pPr>
            <w:r w:rsidRPr="00615DC9">
              <w:lastRenderedPageBreak/>
              <w:t>Child Nutrition Act of 1996 as amended, Section 17(h)(10)(B)(</w:t>
            </w:r>
            <w:proofErr w:type="spellStart"/>
            <w:r w:rsidRPr="00615DC9">
              <w:t>i</w:t>
            </w:r>
            <w:proofErr w:type="spellEnd"/>
            <w:r w:rsidRPr="00615DC9">
              <w:t>)(III)</w:t>
            </w:r>
          </w:p>
        </w:tc>
      </w:tr>
    </w:tbl>
    <w:p w:rsidR="00122DF4" w:rsidRPr="00615DC9" w:rsidRDefault="00122DF4" w:rsidP="00CD5858">
      <w:pPr>
        <w:autoSpaceDE w:val="0"/>
        <w:autoSpaceDN w:val="0"/>
        <w:adjustRightInd w:val="0"/>
        <w:rPr>
          <w:b/>
        </w:rPr>
      </w:pPr>
    </w:p>
    <w:p w:rsidR="00AF45A8" w:rsidRPr="00615DC9" w:rsidRDefault="00CD5858" w:rsidP="0058650C">
      <w:pPr>
        <w:pStyle w:val="ListParagraph"/>
        <w:numPr>
          <w:ilvl w:val="0"/>
          <w:numId w:val="23"/>
        </w:numPr>
        <w:autoSpaceDE w:val="0"/>
        <w:autoSpaceDN w:val="0"/>
        <w:adjustRightInd w:val="0"/>
        <w:rPr>
          <w:b/>
        </w:rPr>
      </w:pPr>
      <w:r w:rsidRPr="00615DC9">
        <w:rPr>
          <w:b/>
          <w:bCs/>
        </w:rPr>
        <w:t xml:space="preserve">Indicate how, by whom, and for what purpose the information is to be used. </w:t>
      </w:r>
      <w:r w:rsidR="008E6289" w:rsidRPr="00615DC9">
        <w:rPr>
          <w:b/>
          <w:bCs/>
        </w:rPr>
        <w:t xml:space="preserve"> </w:t>
      </w:r>
      <w:r w:rsidRPr="00615DC9">
        <w:rPr>
          <w:b/>
          <w:bCs/>
        </w:rPr>
        <w:t>Except for a new collection, indicate how the agency has actually used the information received from the current collection.</w:t>
      </w:r>
    </w:p>
    <w:p w:rsidR="00AF45A8" w:rsidRPr="00615DC9" w:rsidRDefault="00AF45A8" w:rsidP="00AF45A8">
      <w:pPr>
        <w:ind w:left="360" w:right="-1440"/>
        <w:rPr>
          <w:b/>
        </w:rPr>
      </w:pPr>
    </w:p>
    <w:p w:rsidR="00A375EA" w:rsidRPr="00615DC9" w:rsidRDefault="00C66293" w:rsidP="00A375EA">
      <w:pPr>
        <w:spacing w:line="480" w:lineRule="auto"/>
        <w:ind w:left="360" w:right="180"/>
      </w:pPr>
      <w:r w:rsidRPr="00615DC9">
        <w:t xml:space="preserve">The primary users of the information collected from the applicants are FNS and other Federal staff who will serve on a panel to systematically review, evaluate, and approve the grant/cooperative agreement applications and recommend the applicants most likely to meet program objectives and most responsive to the solicitation.  The selection criteria will be contained in the RFA package. </w:t>
      </w:r>
      <w:r w:rsidR="008E6289" w:rsidRPr="00615DC9">
        <w:t xml:space="preserve"> </w:t>
      </w:r>
      <w:r w:rsidR="009A5454" w:rsidRPr="00615DC9">
        <w:t>Post-award, the primary users are FNS staff who will evaluate the on-going and final performance of the awarded grants.</w:t>
      </w:r>
    </w:p>
    <w:p w:rsidR="00A375EA" w:rsidRPr="00615DC9" w:rsidRDefault="00A375EA" w:rsidP="00A375EA">
      <w:pPr>
        <w:spacing w:line="480" w:lineRule="auto"/>
        <w:ind w:left="360" w:right="180"/>
      </w:pPr>
    </w:p>
    <w:p w:rsidR="00D653CD" w:rsidRPr="00615DC9" w:rsidRDefault="00D653CD" w:rsidP="00A375EA">
      <w:pPr>
        <w:spacing w:line="480" w:lineRule="auto"/>
        <w:ind w:left="360" w:right="180"/>
      </w:pPr>
      <w:r w:rsidRPr="00615DC9">
        <w:t xml:space="preserve">The generic information collection applies to grantees from States and local governments, Indian Tribal organizations, Non-Profit organizations, For-Profit organizations, and Institutions of Higher Education. </w:t>
      </w:r>
    </w:p>
    <w:p w:rsidR="00C558BF" w:rsidRPr="00615DC9" w:rsidRDefault="00C558BF" w:rsidP="00AF45A8">
      <w:pPr>
        <w:ind w:left="360" w:right="-1440"/>
      </w:pPr>
    </w:p>
    <w:p w:rsidR="00AF45A8" w:rsidRPr="00615DC9" w:rsidRDefault="00CD5858" w:rsidP="0058650C">
      <w:pPr>
        <w:pStyle w:val="ListParagraph"/>
        <w:numPr>
          <w:ilvl w:val="0"/>
          <w:numId w:val="23"/>
        </w:numPr>
        <w:autoSpaceDE w:val="0"/>
        <w:autoSpaceDN w:val="0"/>
        <w:adjustRightInd w:val="0"/>
        <w:rPr>
          <w:b/>
          <w:bCs/>
        </w:rPr>
      </w:pPr>
      <w:r w:rsidRPr="00615DC9">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690AEA" w:rsidRPr="00615DC9">
        <w:rPr>
          <w:b/>
          <w:bCs/>
        </w:rPr>
        <w:t xml:space="preserve"> </w:t>
      </w:r>
      <w:r w:rsidRPr="00615DC9">
        <w:rPr>
          <w:b/>
          <w:bCs/>
        </w:rPr>
        <w:t>Also describe any consideration of using information technology to reduce burden.</w:t>
      </w:r>
    </w:p>
    <w:p w:rsidR="002E31AB" w:rsidRPr="00615DC9" w:rsidRDefault="002E31AB" w:rsidP="002E493A">
      <w:pPr>
        <w:autoSpaceDE w:val="0"/>
        <w:autoSpaceDN w:val="0"/>
        <w:adjustRightInd w:val="0"/>
        <w:ind w:left="270" w:hanging="270"/>
        <w:rPr>
          <w:b/>
        </w:rPr>
      </w:pPr>
    </w:p>
    <w:p w:rsidR="002E31AB" w:rsidRPr="00615DC9" w:rsidRDefault="002E31AB" w:rsidP="002E31AB">
      <w:pPr>
        <w:spacing w:line="480" w:lineRule="auto"/>
        <w:ind w:left="360"/>
      </w:pPr>
      <w:r w:rsidRPr="00615DC9">
        <w:t xml:space="preserve">In compliance with the E-Government Act 2002, FNS offers applicants the opportunity to receive and provide information electronically.  Applicants may receive the RFA package by downloading the application from the FNS website or by downloading the application from the </w:t>
      </w:r>
      <w:hyperlink r:id="rId10" w:history="1">
        <w:r w:rsidRPr="00615DC9">
          <w:rPr>
            <w:rStyle w:val="Hyperlink"/>
          </w:rPr>
          <w:t>www.grants.gov</w:t>
        </w:r>
      </w:hyperlink>
      <w:r w:rsidRPr="00615DC9">
        <w:t xml:space="preserve">  website.  All applicants will apply for this opportunity directly through </w:t>
      </w:r>
      <w:hyperlink r:id="rId11" w:history="1">
        <w:r w:rsidRPr="00615DC9">
          <w:rPr>
            <w:rStyle w:val="Hyperlink"/>
          </w:rPr>
          <w:t>www.grants.gov</w:t>
        </w:r>
      </w:hyperlink>
      <w:r w:rsidRPr="00615DC9">
        <w:t>.  There will be no exceptions.  FNS will not accept emailed, faxed, or hand delivered applications.</w:t>
      </w:r>
    </w:p>
    <w:p w:rsidR="003355B9" w:rsidRPr="00615DC9" w:rsidRDefault="003355B9" w:rsidP="002E31AB">
      <w:pPr>
        <w:spacing w:line="480" w:lineRule="auto"/>
        <w:ind w:left="360"/>
      </w:pPr>
    </w:p>
    <w:p w:rsidR="002E31AB" w:rsidRPr="00615DC9" w:rsidRDefault="002E31AB" w:rsidP="002E31AB">
      <w:pPr>
        <w:spacing w:line="480" w:lineRule="auto"/>
        <w:ind w:left="360"/>
      </w:pPr>
      <w:r w:rsidRPr="00615DC9">
        <w:t xml:space="preserve">FNS estimates that approximately 100% of the grant awardees will </w:t>
      </w:r>
      <w:r w:rsidR="000339EB" w:rsidRPr="00615DC9">
        <w:t xml:space="preserve">complete post-award </w:t>
      </w:r>
      <w:r w:rsidRPr="00615DC9">
        <w:t>report</w:t>
      </w:r>
      <w:r w:rsidR="000339EB" w:rsidRPr="00615DC9">
        <w:t>ing</w:t>
      </w:r>
      <w:r w:rsidRPr="00615DC9">
        <w:t xml:space="preserve"> financial data using the SF</w:t>
      </w:r>
      <w:r w:rsidR="00ED1303" w:rsidRPr="00615DC9">
        <w:t>-</w:t>
      </w:r>
      <w:r w:rsidRPr="00615DC9">
        <w:t xml:space="preserve">425 electronically through FNS’ Food Programs Reporting System (FPRS) at </w:t>
      </w:r>
      <w:hyperlink r:id="rId12" w:history="1">
        <w:r w:rsidRPr="00615DC9">
          <w:rPr>
            <w:rStyle w:val="Hyperlink"/>
          </w:rPr>
          <w:t>https://fprs.fns.usda.gov/Home/Reminder.aspx</w:t>
        </w:r>
      </w:hyperlink>
      <w:r w:rsidRPr="00615DC9">
        <w:t>.</w:t>
      </w:r>
    </w:p>
    <w:p w:rsidR="00C66293" w:rsidRPr="00615DC9" w:rsidRDefault="00C66293" w:rsidP="001A31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color w:val="FF0000"/>
        </w:rPr>
      </w:pPr>
    </w:p>
    <w:p w:rsidR="00003F4C" w:rsidRPr="00615DC9" w:rsidRDefault="00CD5858" w:rsidP="0058650C">
      <w:pPr>
        <w:pStyle w:val="ListParagraph"/>
        <w:numPr>
          <w:ilvl w:val="0"/>
          <w:numId w:val="23"/>
        </w:numPr>
        <w:rPr>
          <w:b/>
        </w:rPr>
      </w:pPr>
      <w:r w:rsidRPr="00615DC9">
        <w:rPr>
          <w:b/>
          <w:bCs/>
        </w:rPr>
        <w:t xml:space="preserve">Describe efforts to identify duplication. </w:t>
      </w:r>
      <w:r w:rsidR="00C20CFD" w:rsidRPr="00615DC9">
        <w:rPr>
          <w:b/>
          <w:bCs/>
        </w:rPr>
        <w:t xml:space="preserve"> </w:t>
      </w:r>
      <w:r w:rsidRPr="00615DC9">
        <w:rPr>
          <w:b/>
          <w:bCs/>
        </w:rPr>
        <w:t>Show specifically why any similar information already available cannot be used or modified for use for the purposes described in Question 2.</w:t>
      </w:r>
    </w:p>
    <w:p w:rsidR="000960CD" w:rsidRPr="00615DC9" w:rsidRDefault="000960CD" w:rsidP="00760454">
      <w:pPr>
        <w:ind w:left="360"/>
      </w:pPr>
    </w:p>
    <w:p w:rsidR="008E71C7" w:rsidRPr="00615DC9" w:rsidRDefault="009F3EFB" w:rsidP="00B261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b/>
        </w:rPr>
      </w:pPr>
      <w:r w:rsidRPr="00615DC9">
        <w:t xml:space="preserve">Applications are unique and program specific.  </w:t>
      </w:r>
      <w:r w:rsidR="00C66293" w:rsidRPr="00615DC9">
        <w:t>There is no similar data collection effort available.</w:t>
      </w:r>
    </w:p>
    <w:p w:rsidR="00D04B4D" w:rsidRPr="00615DC9" w:rsidRDefault="00D04B4D" w:rsidP="00760454">
      <w:pPr>
        <w:rPr>
          <w:b/>
        </w:rPr>
      </w:pPr>
    </w:p>
    <w:p w:rsidR="002E493A" w:rsidRPr="00615DC9" w:rsidRDefault="00CD5858" w:rsidP="0058650C">
      <w:pPr>
        <w:pStyle w:val="ListParagraph"/>
        <w:numPr>
          <w:ilvl w:val="0"/>
          <w:numId w:val="23"/>
        </w:numPr>
        <w:rPr>
          <w:b/>
          <w:bCs/>
        </w:rPr>
      </w:pPr>
      <w:r w:rsidRPr="00615DC9">
        <w:rPr>
          <w:b/>
          <w:bCs/>
        </w:rPr>
        <w:t>If the collection of information impacts small businesses or other small entities (Item 5 of OMB Form 83-I), describe any methods used to minimize burden.</w:t>
      </w:r>
      <w:r w:rsidR="000960CD" w:rsidRPr="00615DC9">
        <w:rPr>
          <w:b/>
          <w:bCs/>
        </w:rPr>
        <w:t xml:space="preserve"> </w:t>
      </w:r>
    </w:p>
    <w:p w:rsidR="00B261BD" w:rsidRPr="00615DC9" w:rsidRDefault="00B261BD" w:rsidP="00243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b/>
          <w:bCs/>
        </w:rPr>
      </w:pPr>
    </w:p>
    <w:p w:rsidR="002432F6" w:rsidRPr="00615DC9" w:rsidRDefault="000960CD" w:rsidP="002432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spacing w:val="-3"/>
        </w:rPr>
      </w:pPr>
      <w:r w:rsidRPr="00615DC9">
        <w:t>Th</w:t>
      </w:r>
      <w:r w:rsidR="00936A23" w:rsidRPr="00615DC9">
        <w:t xml:space="preserve">e information requested is the minimum amount </w:t>
      </w:r>
      <w:r w:rsidR="00D04B4D" w:rsidRPr="00615DC9">
        <w:t xml:space="preserve">required </w:t>
      </w:r>
      <w:r w:rsidR="00936A23" w:rsidRPr="00615DC9">
        <w:t xml:space="preserve">to meet program requirements.  </w:t>
      </w:r>
      <w:r w:rsidR="006F7178" w:rsidRPr="00615DC9">
        <w:t>It cannot be</w:t>
      </w:r>
      <w:r w:rsidRPr="00615DC9">
        <w:t xml:space="preserve"> r</w:t>
      </w:r>
      <w:r w:rsidR="006F7178" w:rsidRPr="00615DC9">
        <w:t xml:space="preserve">educed for small businesses or entities. </w:t>
      </w:r>
      <w:r w:rsidR="001A3160" w:rsidRPr="00615DC9">
        <w:t xml:space="preserve"> </w:t>
      </w:r>
      <w:r w:rsidR="001A3160" w:rsidRPr="00615DC9">
        <w:rPr>
          <w:color w:val="000000"/>
        </w:rPr>
        <w:t xml:space="preserve">Although </w:t>
      </w:r>
      <w:r w:rsidR="001A3160" w:rsidRPr="00615DC9">
        <w:t>some grantees may be</w:t>
      </w:r>
      <w:r w:rsidR="001A3160" w:rsidRPr="00615DC9">
        <w:rPr>
          <w:color w:val="000000"/>
        </w:rPr>
        <w:t xml:space="preserve"> considered</w:t>
      </w:r>
      <w:r w:rsidR="002432F6" w:rsidRPr="00615DC9">
        <w:rPr>
          <w:color w:val="000000"/>
        </w:rPr>
        <w:t xml:space="preserve"> a </w:t>
      </w:r>
      <w:r w:rsidR="001A3160" w:rsidRPr="00615DC9">
        <w:rPr>
          <w:color w:val="000000"/>
        </w:rPr>
        <w:t xml:space="preserve">small </w:t>
      </w:r>
      <w:r w:rsidR="002432F6" w:rsidRPr="00615DC9">
        <w:rPr>
          <w:color w:val="000000"/>
        </w:rPr>
        <w:t>business</w:t>
      </w:r>
      <w:r w:rsidR="001A3160" w:rsidRPr="00615DC9">
        <w:rPr>
          <w:color w:val="000000"/>
        </w:rPr>
        <w:t xml:space="preserve"> or </w:t>
      </w:r>
      <w:r w:rsidR="001A3160" w:rsidRPr="00615DC9">
        <w:t>entit</w:t>
      </w:r>
      <w:r w:rsidR="002432F6" w:rsidRPr="00615DC9">
        <w:t>y</w:t>
      </w:r>
      <w:r w:rsidR="000339EB" w:rsidRPr="00615DC9">
        <w:t xml:space="preserve">, </w:t>
      </w:r>
      <w:r w:rsidR="001A3160" w:rsidRPr="00615DC9">
        <w:rPr>
          <w:spacing w:val="-3"/>
        </w:rPr>
        <w:t>they deliver the same program benefits and perform the same function as any other grantees.  Thus, they maintain the same kinds of information on file.</w:t>
      </w:r>
      <w:r w:rsidR="001A3160" w:rsidRPr="00615DC9">
        <w:t xml:space="preserve">  FNS estimates that </w:t>
      </w:r>
      <w:r w:rsidR="002432F6" w:rsidRPr="00615DC9">
        <w:rPr>
          <w:spacing w:val="-3"/>
        </w:rPr>
        <w:t xml:space="preserve">25 percent of our respondents, including </w:t>
      </w:r>
      <w:r w:rsidR="00D326ED" w:rsidRPr="00615DC9">
        <w:rPr>
          <w:spacing w:val="-3"/>
        </w:rPr>
        <w:t xml:space="preserve">for-profit and </w:t>
      </w:r>
      <w:r w:rsidR="002432F6" w:rsidRPr="00615DC9">
        <w:rPr>
          <w:spacing w:val="-3"/>
        </w:rPr>
        <w:t>non-profit organizations are small businesses or entities.</w:t>
      </w:r>
    </w:p>
    <w:p w:rsidR="00936A23" w:rsidRPr="00615DC9" w:rsidRDefault="00936A23" w:rsidP="00760454">
      <w:pPr>
        <w:ind w:left="360"/>
      </w:pPr>
    </w:p>
    <w:p w:rsidR="00936A23" w:rsidRPr="00615DC9" w:rsidRDefault="00BC1087" w:rsidP="0058650C">
      <w:pPr>
        <w:pStyle w:val="ListParagraph"/>
        <w:numPr>
          <w:ilvl w:val="0"/>
          <w:numId w:val="23"/>
        </w:numPr>
        <w:rPr>
          <w:b/>
        </w:rPr>
      </w:pPr>
      <w:r w:rsidRPr="00615DC9">
        <w:rPr>
          <w:b/>
          <w:bCs/>
        </w:rPr>
        <w:t>Describe the consequence to Federal program or policy activities if the collection is not conducted, or is conducted less frequently, as well as any technical or legal obstacles to reducing burden.</w:t>
      </w:r>
    </w:p>
    <w:p w:rsidR="000960CD" w:rsidRPr="00615DC9" w:rsidRDefault="000960CD" w:rsidP="000960CD">
      <w:pPr>
        <w:pStyle w:val="NoSpacing"/>
      </w:pPr>
    </w:p>
    <w:p w:rsidR="00936A23" w:rsidRPr="00615DC9" w:rsidRDefault="00936A23" w:rsidP="00A214B4">
      <w:pPr>
        <w:pStyle w:val="NoSpacing"/>
        <w:spacing w:line="480" w:lineRule="auto"/>
        <w:ind w:left="360"/>
      </w:pPr>
      <w:r w:rsidRPr="00615DC9">
        <w:t>If the information is not collected, the programs will not have adequate data to select appropriate grantees</w:t>
      </w:r>
      <w:r w:rsidR="002432F6" w:rsidRPr="00615DC9">
        <w:t>,</w:t>
      </w:r>
      <w:r w:rsidRPr="00615DC9">
        <w:t xml:space="preserve"> evaluate which grants should be continued</w:t>
      </w:r>
      <w:r w:rsidR="002432F6" w:rsidRPr="00615DC9">
        <w:t>,</w:t>
      </w:r>
      <w:r w:rsidRPr="00615DC9">
        <w:t xml:space="preserve"> </w:t>
      </w:r>
      <w:r w:rsidR="002432F6" w:rsidRPr="00615DC9">
        <w:t xml:space="preserve">or monitor financial reporting requirements.  </w:t>
      </w:r>
      <w:r w:rsidRPr="00615DC9">
        <w:t xml:space="preserve">FNS will seek minimal information that will be critical in selecting </w:t>
      </w:r>
      <w:r w:rsidRPr="00615DC9">
        <w:lastRenderedPageBreak/>
        <w:t xml:space="preserve">the most promising grantees.  Reduced frequency is not possible as the annual frequency of applications coincides with the annual appropriation of funds. </w:t>
      </w:r>
    </w:p>
    <w:p w:rsidR="00936A23" w:rsidRPr="00615DC9" w:rsidRDefault="00936A23" w:rsidP="00936A23">
      <w:pPr>
        <w:ind w:left="360" w:right="-1440"/>
      </w:pPr>
    </w:p>
    <w:p w:rsidR="00BC1087" w:rsidRPr="00615DC9" w:rsidRDefault="00BC1087" w:rsidP="0058650C">
      <w:pPr>
        <w:pStyle w:val="ListParagraph"/>
        <w:numPr>
          <w:ilvl w:val="0"/>
          <w:numId w:val="23"/>
        </w:numPr>
        <w:autoSpaceDE w:val="0"/>
        <w:autoSpaceDN w:val="0"/>
        <w:adjustRightInd w:val="0"/>
        <w:rPr>
          <w:b/>
          <w:bCs/>
        </w:rPr>
      </w:pPr>
      <w:r w:rsidRPr="00615DC9">
        <w:rPr>
          <w:b/>
          <w:bCs/>
        </w:rPr>
        <w:t>Explain any special circumstances that would cause an information collection to be conducted in a manner:</w:t>
      </w:r>
    </w:p>
    <w:p w:rsidR="000960CD" w:rsidRPr="00615DC9" w:rsidRDefault="000960CD" w:rsidP="00BC1087">
      <w:pPr>
        <w:autoSpaceDE w:val="0"/>
        <w:autoSpaceDN w:val="0"/>
        <w:adjustRightInd w:val="0"/>
        <w:rPr>
          <w:rFonts w:eastAsia="Wingdings-Regular"/>
        </w:rPr>
      </w:pPr>
    </w:p>
    <w:p w:rsidR="00BC1087" w:rsidRPr="00615DC9" w:rsidRDefault="00BC1087" w:rsidP="004D2F8F">
      <w:pPr>
        <w:numPr>
          <w:ilvl w:val="0"/>
          <w:numId w:val="16"/>
        </w:numPr>
        <w:autoSpaceDE w:val="0"/>
        <w:autoSpaceDN w:val="0"/>
        <w:adjustRightInd w:val="0"/>
        <w:ind w:left="720"/>
        <w:rPr>
          <w:b/>
          <w:bCs/>
        </w:rPr>
      </w:pPr>
      <w:r w:rsidRPr="00615DC9">
        <w:rPr>
          <w:b/>
          <w:bCs/>
        </w:rPr>
        <w:t>requiring respondents to report information to the agency more often than quarterly;</w:t>
      </w:r>
    </w:p>
    <w:p w:rsidR="00BC1087" w:rsidRPr="00615DC9" w:rsidRDefault="00BC1087" w:rsidP="004D2F8F">
      <w:pPr>
        <w:numPr>
          <w:ilvl w:val="0"/>
          <w:numId w:val="16"/>
        </w:numPr>
        <w:autoSpaceDE w:val="0"/>
        <w:autoSpaceDN w:val="0"/>
        <w:adjustRightInd w:val="0"/>
        <w:ind w:left="720"/>
        <w:rPr>
          <w:b/>
          <w:bCs/>
        </w:rPr>
      </w:pPr>
      <w:r w:rsidRPr="00615DC9">
        <w:rPr>
          <w:b/>
          <w:bCs/>
        </w:rPr>
        <w:t>requiring respondents to prepare a written response to a collection of information in</w:t>
      </w:r>
    </w:p>
    <w:p w:rsidR="00BC1087" w:rsidRPr="00615DC9" w:rsidRDefault="00BC1087" w:rsidP="0058650C">
      <w:pPr>
        <w:autoSpaceDE w:val="0"/>
        <w:autoSpaceDN w:val="0"/>
        <w:adjustRightInd w:val="0"/>
        <w:ind w:left="720"/>
        <w:rPr>
          <w:b/>
          <w:bCs/>
        </w:rPr>
      </w:pPr>
      <w:proofErr w:type="gramStart"/>
      <w:r w:rsidRPr="00615DC9">
        <w:rPr>
          <w:b/>
          <w:bCs/>
        </w:rPr>
        <w:t>fewer</w:t>
      </w:r>
      <w:proofErr w:type="gramEnd"/>
      <w:r w:rsidRPr="00615DC9">
        <w:rPr>
          <w:b/>
          <w:bCs/>
        </w:rPr>
        <w:t xml:space="preserve"> than 30 days after receipt of it;</w:t>
      </w:r>
    </w:p>
    <w:p w:rsidR="00BC1087" w:rsidRPr="00615DC9" w:rsidRDefault="00BC1087" w:rsidP="004D2F8F">
      <w:pPr>
        <w:numPr>
          <w:ilvl w:val="0"/>
          <w:numId w:val="16"/>
        </w:numPr>
        <w:autoSpaceDE w:val="0"/>
        <w:autoSpaceDN w:val="0"/>
        <w:adjustRightInd w:val="0"/>
        <w:ind w:left="720"/>
        <w:rPr>
          <w:b/>
          <w:bCs/>
        </w:rPr>
      </w:pPr>
      <w:r w:rsidRPr="00615DC9">
        <w:rPr>
          <w:b/>
          <w:bCs/>
        </w:rPr>
        <w:t>requiring respondents to submit more than an original and two copies of any document;</w:t>
      </w:r>
    </w:p>
    <w:p w:rsidR="00BC1087" w:rsidRPr="00615DC9" w:rsidRDefault="00BC1087" w:rsidP="004D2F8F">
      <w:pPr>
        <w:numPr>
          <w:ilvl w:val="0"/>
          <w:numId w:val="16"/>
        </w:numPr>
        <w:autoSpaceDE w:val="0"/>
        <w:autoSpaceDN w:val="0"/>
        <w:adjustRightInd w:val="0"/>
        <w:ind w:left="720"/>
        <w:rPr>
          <w:b/>
          <w:bCs/>
        </w:rPr>
      </w:pPr>
      <w:r w:rsidRPr="00615DC9">
        <w:rPr>
          <w:b/>
          <w:bCs/>
        </w:rPr>
        <w:t>requiring respondents to retain records, other than health, medical, government contract, grant-in-aid, or tax records for more than three years;</w:t>
      </w:r>
    </w:p>
    <w:p w:rsidR="00BC1087" w:rsidRPr="00615DC9" w:rsidRDefault="00BC1087" w:rsidP="00ED1303">
      <w:pPr>
        <w:numPr>
          <w:ilvl w:val="0"/>
          <w:numId w:val="16"/>
        </w:numPr>
        <w:autoSpaceDE w:val="0"/>
        <w:autoSpaceDN w:val="0"/>
        <w:adjustRightInd w:val="0"/>
        <w:ind w:left="720"/>
        <w:rPr>
          <w:b/>
          <w:bCs/>
        </w:rPr>
      </w:pPr>
      <w:r w:rsidRPr="00615DC9">
        <w:rPr>
          <w:b/>
          <w:bCs/>
        </w:rPr>
        <w:t>in connection with a statistical survey, that is not designed to produce valid and reliable</w:t>
      </w:r>
      <w:r w:rsidR="00ED1303" w:rsidRPr="00615DC9">
        <w:rPr>
          <w:b/>
          <w:bCs/>
        </w:rPr>
        <w:t xml:space="preserve"> </w:t>
      </w:r>
      <w:r w:rsidRPr="00615DC9">
        <w:rPr>
          <w:b/>
          <w:bCs/>
        </w:rPr>
        <w:t>results that can be generalized to the universe of study;</w:t>
      </w:r>
    </w:p>
    <w:p w:rsidR="00BC1087" w:rsidRPr="00615DC9" w:rsidRDefault="00BC1087" w:rsidP="004D2F8F">
      <w:pPr>
        <w:numPr>
          <w:ilvl w:val="0"/>
          <w:numId w:val="16"/>
        </w:numPr>
        <w:autoSpaceDE w:val="0"/>
        <w:autoSpaceDN w:val="0"/>
        <w:adjustRightInd w:val="0"/>
        <w:ind w:left="720"/>
        <w:rPr>
          <w:b/>
          <w:bCs/>
        </w:rPr>
      </w:pPr>
      <w:r w:rsidRPr="00615DC9">
        <w:rPr>
          <w:b/>
          <w:bCs/>
        </w:rPr>
        <w:t>requiring the use of a statistical data classification that has not been reviewed and approved by OMB;</w:t>
      </w:r>
    </w:p>
    <w:p w:rsidR="00BC1087" w:rsidRPr="00615DC9" w:rsidRDefault="00BC1087" w:rsidP="00ED1303">
      <w:pPr>
        <w:numPr>
          <w:ilvl w:val="0"/>
          <w:numId w:val="16"/>
        </w:numPr>
        <w:autoSpaceDE w:val="0"/>
        <w:autoSpaceDN w:val="0"/>
        <w:adjustRightInd w:val="0"/>
        <w:ind w:left="720"/>
        <w:rPr>
          <w:b/>
          <w:bCs/>
        </w:rPr>
      </w:pPr>
      <w:r w:rsidRPr="00615DC9">
        <w:rPr>
          <w:b/>
          <w:bCs/>
        </w:rPr>
        <w:t>that includes a pledge of confidentiality that is not supported by authority established</w:t>
      </w:r>
      <w:r w:rsidR="00ED1303" w:rsidRPr="00615DC9">
        <w:rPr>
          <w:b/>
          <w:bCs/>
        </w:rPr>
        <w:t xml:space="preserve"> </w:t>
      </w:r>
      <w:r w:rsidRPr="00615DC9">
        <w:rPr>
          <w:b/>
          <w:bCs/>
        </w:rPr>
        <w:t>in statute or regulation, that is not supported by disclosure and data security policies that are consistent with the pledge, or which unnecessarily impedes sharing of data with other agencies for compatible confidential use; or</w:t>
      </w:r>
    </w:p>
    <w:p w:rsidR="00D04B4D" w:rsidRPr="00615DC9" w:rsidRDefault="00BC1087" w:rsidP="00760454">
      <w:pPr>
        <w:numPr>
          <w:ilvl w:val="0"/>
          <w:numId w:val="16"/>
        </w:numPr>
        <w:ind w:left="720" w:right="-576"/>
      </w:pPr>
      <w:r w:rsidRPr="00615DC9">
        <w:rPr>
          <w:b/>
          <w:bCs/>
        </w:rPr>
        <w:t>requiring respondents to submit proprietary trade secret, or other confidential information unless the agency can demonstrate that it has instituted procedures to protect the information's confidentiality to the extent permitted by law.</w:t>
      </w:r>
    </w:p>
    <w:p w:rsidR="000960CD" w:rsidRPr="00615DC9" w:rsidRDefault="000960CD" w:rsidP="00760454">
      <w:pPr>
        <w:ind w:left="540" w:right="-576"/>
      </w:pPr>
    </w:p>
    <w:p w:rsidR="008062BF" w:rsidRPr="00615DC9" w:rsidRDefault="008062BF" w:rsidP="00760454">
      <w:pPr>
        <w:ind w:left="540" w:right="-576"/>
      </w:pPr>
      <w:r w:rsidRPr="00615DC9">
        <w:t>There are no special circumstances that require the collection to be conducted in the manner stated above.</w:t>
      </w:r>
    </w:p>
    <w:p w:rsidR="008062BF" w:rsidRPr="00615DC9" w:rsidRDefault="008062BF" w:rsidP="00303C55">
      <w:pPr>
        <w:ind w:left="900" w:right="-1440"/>
      </w:pPr>
    </w:p>
    <w:p w:rsidR="008062BF" w:rsidRPr="00615DC9" w:rsidRDefault="0025575C" w:rsidP="0058650C">
      <w:pPr>
        <w:pStyle w:val="ListParagraph"/>
        <w:numPr>
          <w:ilvl w:val="0"/>
          <w:numId w:val="23"/>
        </w:numPr>
        <w:autoSpaceDE w:val="0"/>
        <w:autoSpaceDN w:val="0"/>
        <w:adjustRightInd w:val="0"/>
        <w:rPr>
          <w:b/>
        </w:rPr>
      </w:pPr>
      <w:r w:rsidRPr="00615DC9">
        <w:rPr>
          <w:b/>
          <w:bCs/>
        </w:rPr>
        <w:t>If applicable, provide a copy and identify the date and page number of publication in the Federal Register of the agency's notice, required by 5 CFR 1320.8 (d), soliciting comments on the information collection prior to submission to OMB</w:t>
      </w:r>
      <w:proofErr w:type="gramStart"/>
      <w:r w:rsidRPr="00615DC9">
        <w:rPr>
          <w:b/>
          <w:bCs/>
        </w:rPr>
        <w:t xml:space="preserve">. </w:t>
      </w:r>
      <w:proofErr w:type="gramEnd"/>
      <w:r w:rsidRPr="00615DC9">
        <w:rPr>
          <w:b/>
          <w:bCs/>
        </w:rPr>
        <w:t xml:space="preserve">Summarize public comments received in response to that notice and describe actions taken by the agency in response to these comments. </w:t>
      </w:r>
      <w:r w:rsidR="00C20CFD" w:rsidRPr="00615DC9">
        <w:rPr>
          <w:b/>
          <w:bCs/>
        </w:rPr>
        <w:t xml:space="preserve"> </w:t>
      </w:r>
      <w:r w:rsidRPr="00615DC9">
        <w:rPr>
          <w:b/>
          <w:bCs/>
        </w:rPr>
        <w:t>Specifically address comments received on cost and hour burden.</w:t>
      </w:r>
      <w:r w:rsidR="00C20CFD" w:rsidRPr="00615DC9">
        <w:rPr>
          <w:b/>
          <w:bCs/>
        </w:rPr>
        <w:t xml:space="preserve"> </w:t>
      </w:r>
      <w:r w:rsidRPr="00615DC9">
        <w:rPr>
          <w:b/>
          <w:bCs/>
        </w:rPr>
        <w:t xml:space="preserve"> Describe efforts to consult with persons outside the agency to obtain their views on the</w:t>
      </w:r>
      <w:r w:rsidR="000960CD" w:rsidRPr="00615DC9">
        <w:rPr>
          <w:b/>
          <w:bCs/>
        </w:rPr>
        <w:t xml:space="preserve"> </w:t>
      </w:r>
      <w:r w:rsidRPr="00615DC9">
        <w:rPr>
          <w:b/>
          <w:bCs/>
        </w:rPr>
        <w:t>availability of data, frequency of collection, the clarity of instructions and recordkeeping, disclosure, or reporting format (if any), and on the data elements to be recorded, disclosed, or reported.</w:t>
      </w:r>
      <w:r w:rsidR="00D04B4D" w:rsidRPr="00615DC9">
        <w:rPr>
          <w:b/>
        </w:rPr>
        <w:t>.</w:t>
      </w:r>
      <w:r w:rsidR="00C93C50" w:rsidRPr="00615DC9">
        <w:rPr>
          <w:b/>
        </w:rPr>
        <w:t xml:space="preserve"> </w:t>
      </w:r>
    </w:p>
    <w:p w:rsidR="0025575C" w:rsidRPr="00615DC9" w:rsidRDefault="0025575C" w:rsidP="004D2F8F">
      <w:pPr>
        <w:autoSpaceDE w:val="0"/>
        <w:autoSpaceDN w:val="0"/>
        <w:adjustRightInd w:val="0"/>
        <w:ind w:left="360" w:hanging="270"/>
        <w:rPr>
          <w:b/>
        </w:rPr>
      </w:pPr>
    </w:p>
    <w:p w:rsidR="0025575C" w:rsidRPr="00615DC9" w:rsidRDefault="0025575C" w:rsidP="004D2F8F">
      <w:pPr>
        <w:autoSpaceDE w:val="0"/>
        <w:autoSpaceDN w:val="0"/>
        <w:adjustRightInd w:val="0"/>
        <w:ind w:left="360"/>
        <w:rPr>
          <w:b/>
        </w:rPr>
      </w:pPr>
      <w:r w:rsidRPr="00615DC9">
        <w:rPr>
          <w:b/>
          <w:bCs/>
        </w:rPr>
        <w:t>Consultation with representatives of those from whom information is to be obtained or</w:t>
      </w:r>
      <w:r w:rsidR="00C16EDE" w:rsidRPr="00615DC9">
        <w:rPr>
          <w:b/>
          <w:bCs/>
        </w:rPr>
        <w:t xml:space="preserve"> </w:t>
      </w:r>
      <w:r w:rsidRPr="00615DC9">
        <w:rPr>
          <w:b/>
          <w:bCs/>
        </w:rPr>
        <w:t>those who must compile records should occur at least once every 3 years even if the</w:t>
      </w:r>
      <w:r w:rsidR="00C16EDE" w:rsidRPr="00615DC9">
        <w:rPr>
          <w:b/>
          <w:bCs/>
        </w:rPr>
        <w:t xml:space="preserve"> </w:t>
      </w:r>
      <w:r w:rsidRPr="00615DC9">
        <w:rPr>
          <w:b/>
          <w:bCs/>
        </w:rPr>
        <w:t xml:space="preserve">collection of information activity is the same as in prior years. </w:t>
      </w:r>
      <w:r w:rsidR="00C20CFD" w:rsidRPr="00615DC9">
        <w:rPr>
          <w:b/>
          <w:bCs/>
        </w:rPr>
        <w:t xml:space="preserve"> </w:t>
      </w:r>
      <w:r w:rsidRPr="00615DC9">
        <w:rPr>
          <w:b/>
          <w:bCs/>
        </w:rPr>
        <w:t xml:space="preserve">There may be </w:t>
      </w:r>
      <w:r w:rsidR="00C16EDE" w:rsidRPr="00615DC9">
        <w:rPr>
          <w:b/>
          <w:bCs/>
        </w:rPr>
        <w:lastRenderedPageBreak/>
        <w:t>ci</w:t>
      </w:r>
      <w:r w:rsidRPr="00615DC9">
        <w:rPr>
          <w:b/>
          <w:bCs/>
        </w:rPr>
        <w:t>rcumstances</w:t>
      </w:r>
      <w:r w:rsidR="00C16EDE" w:rsidRPr="00615DC9">
        <w:rPr>
          <w:b/>
          <w:bCs/>
        </w:rPr>
        <w:t xml:space="preserve"> </w:t>
      </w:r>
      <w:r w:rsidRPr="00615DC9">
        <w:rPr>
          <w:b/>
          <w:bCs/>
        </w:rPr>
        <w:t xml:space="preserve">that may preclude consultation in a specific situation. </w:t>
      </w:r>
      <w:r w:rsidR="00C20CFD" w:rsidRPr="00615DC9">
        <w:rPr>
          <w:b/>
          <w:bCs/>
        </w:rPr>
        <w:t xml:space="preserve"> </w:t>
      </w:r>
      <w:r w:rsidRPr="00615DC9">
        <w:rPr>
          <w:b/>
          <w:bCs/>
        </w:rPr>
        <w:t>These circumstances should be</w:t>
      </w:r>
      <w:r w:rsidR="00C16EDE" w:rsidRPr="00615DC9">
        <w:rPr>
          <w:b/>
          <w:bCs/>
        </w:rPr>
        <w:t xml:space="preserve"> </w:t>
      </w:r>
      <w:r w:rsidRPr="00615DC9">
        <w:rPr>
          <w:b/>
          <w:bCs/>
        </w:rPr>
        <w:t>explained.</w:t>
      </w:r>
    </w:p>
    <w:p w:rsidR="008E1857" w:rsidRPr="00615DC9" w:rsidRDefault="008E1857" w:rsidP="004D2F8F">
      <w:pPr>
        <w:ind w:left="360" w:right="-1440" w:hanging="270"/>
        <w:rPr>
          <w:b/>
        </w:rPr>
      </w:pPr>
    </w:p>
    <w:p w:rsidR="00AC673F" w:rsidRPr="00615DC9" w:rsidRDefault="00B12CAF" w:rsidP="00760454">
      <w:pPr>
        <w:spacing w:line="480" w:lineRule="auto"/>
        <w:ind w:left="540" w:right="-288"/>
        <w:rPr>
          <w:b/>
        </w:rPr>
      </w:pPr>
      <w:r w:rsidRPr="00615DC9">
        <w:t xml:space="preserve">A notice was placed in the Federal Register on </w:t>
      </w:r>
      <w:r w:rsidR="00846DC1" w:rsidRPr="00615DC9">
        <w:t>November 23</w:t>
      </w:r>
      <w:r w:rsidR="00EE664C" w:rsidRPr="00615DC9">
        <w:t xml:space="preserve">, </w:t>
      </w:r>
      <w:r w:rsidR="00DF4D41" w:rsidRPr="00615DC9">
        <w:t>2015</w:t>
      </w:r>
      <w:r w:rsidR="00846DC1" w:rsidRPr="00615DC9">
        <w:t xml:space="preserve"> at 80 FR </w:t>
      </w:r>
      <w:r w:rsidR="0001163E" w:rsidRPr="00615DC9">
        <w:t>72945</w:t>
      </w:r>
      <w:r w:rsidRPr="00615DC9">
        <w:t xml:space="preserve"> soliciting comments on FNS’s intent to request OMB approval for a uniform grant application package for FNS discretionary grant programs.  </w:t>
      </w:r>
      <w:r w:rsidR="0001163E" w:rsidRPr="00615DC9">
        <w:t>No comments were</w:t>
      </w:r>
      <w:r w:rsidR="00880B96" w:rsidRPr="00615DC9">
        <w:t xml:space="preserve"> received </w:t>
      </w:r>
      <w:r w:rsidRPr="00615DC9">
        <w:t>in response to th</w:t>
      </w:r>
      <w:r w:rsidR="00880B96" w:rsidRPr="00615DC9">
        <w:t xml:space="preserve">e Federal Register </w:t>
      </w:r>
      <w:r w:rsidRPr="00615DC9">
        <w:t>notice</w:t>
      </w:r>
      <w:r w:rsidR="00D718E9" w:rsidRPr="00615DC9">
        <w:t xml:space="preserve">.  </w:t>
      </w:r>
      <w:r w:rsidR="0001163E" w:rsidRPr="00615DC9">
        <w:t xml:space="preserve">Additionally, </w:t>
      </w:r>
      <w:r w:rsidRPr="00615DC9">
        <w:t>FNS discuss</w:t>
      </w:r>
      <w:r w:rsidR="0001163E" w:rsidRPr="00615DC9">
        <w:t>es</w:t>
      </w:r>
      <w:r w:rsidRPr="00615DC9">
        <w:t xml:space="preserve"> the availability of the various grant opportunities and the grant application</w:t>
      </w:r>
      <w:r w:rsidR="00880B96" w:rsidRPr="00615DC9">
        <w:t xml:space="preserve"> </w:t>
      </w:r>
      <w:r w:rsidRPr="00615DC9">
        <w:t xml:space="preserve">requirements with </w:t>
      </w:r>
      <w:r w:rsidR="00FC7F4B" w:rsidRPr="00615DC9">
        <w:t>potential</w:t>
      </w:r>
      <w:r w:rsidRPr="00615DC9">
        <w:t xml:space="preserve"> </w:t>
      </w:r>
      <w:r w:rsidR="00CD4C7D" w:rsidRPr="00615DC9">
        <w:t>applicants</w:t>
      </w:r>
      <w:r w:rsidRPr="00615DC9">
        <w:t xml:space="preserve"> at various national or regional meetings.  F</w:t>
      </w:r>
      <w:r w:rsidR="00FC7F4B" w:rsidRPr="00615DC9">
        <w:t>o</w:t>
      </w:r>
      <w:r w:rsidR="0001163E" w:rsidRPr="00615DC9">
        <w:t xml:space="preserve">r example, FNS </w:t>
      </w:r>
      <w:r w:rsidR="00FC7F4B" w:rsidRPr="00615DC9">
        <w:t>discussed</w:t>
      </w:r>
      <w:r w:rsidRPr="00615DC9">
        <w:t xml:space="preserve"> the application process </w:t>
      </w:r>
      <w:r w:rsidR="00760454" w:rsidRPr="00615DC9">
        <w:t>at several webinars throughout FY 201</w:t>
      </w:r>
      <w:r w:rsidR="00460B54" w:rsidRPr="00615DC9">
        <w:t>4 and 2015</w:t>
      </w:r>
      <w:r w:rsidR="0001163E" w:rsidRPr="00615DC9">
        <w:t xml:space="preserve"> and did not receive comments or requests to modify the process</w:t>
      </w:r>
      <w:r w:rsidR="00760454" w:rsidRPr="00615DC9">
        <w:t>.</w:t>
      </w:r>
    </w:p>
    <w:p w:rsidR="00C558BF" w:rsidRPr="00615DC9" w:rsidRDefault="00B12CAF" w:rsidP="00760454">
      <w:pPr>
        <w:ind w:left="360" w:right="-288"/>
      </w:pPr>
      <w:r w:rsidRPr="00615DC9">
        <w:t xml:space="preserve"> </w:t>
      </w:r>
    </w:p>
    <w:p w:rsidR="00FC7F4B" w:rsidRPr="00615DC9" w:rsidRDefault="0025575C" w:rsidP="0058650C">
      <w:pPr>
        <w:pStyle w:val="ListParagraph"/>
        <w:numPr>
          <w:ilvl w:val="0"/>
          <w:numId w:val="23"/>
        </w:numPr>
        <w:ind w:right="-288"/>
        <w:rPr>
          <w:b/>
        </w:rPr>
      </w:pPr>
      <w:r w:rsidRPr="00615DC9">
        <w:rPr>
          <w:b/>
          <w:bCs/>
        </w:rPr>
        <w:t>Explain any decision to provide any payment or gift to respondents, other than re</w:t>
      </w:r>
      <w:r w:rsidR="00806CA2" w:rsidRPr="00615DC9">
        <w:rPr>
          <w:b/>
          <w:bCs/>
        </w:rPr>
        <w:t>-e</w:t>
      </w:r>
      <w:r w:rsidRPr="00615DC9">
        <w:rPr>
          <w:b/>
          <w:bCs/>
        </w:rPr>
        <w:t>numeration of contractors or grantees.</w:t>
      </w:r>
    </w:p>
    <w:p w:rsidR="00806CA2" w:rsidRPr="00615DC9" w:rsidRDefault="00806CA2" w:rsidP="00AA5625">
      <w:pPr>
        <w:ind w:left="540" w:right="-1440"/>
      </w:pPr>
    </w:p>
    <w:p w:rsidR="00FC7F4B" w:rsidRPr="00615DC9" w:rsidRDefault="00007E4E" w:rsidP="00AA5625">
      <w:pPr>
        <w:ind w:left="540" w:right="-1440"/>
      </w:pPr>
      <w:r w:rsidRPr="00615DC9">
        <w:t>There are no plans to provide payment or gifts to respondents.</w:t>
      </w:r>
    </w:p>
    <w:p w:rsidR="006B4A84" w:rsidRPr="00615DC9" w:rsidRDefault="006B4A84" w:rsidP="00AA5625">
      <w:pPr>
        <w:ind w:left="540" w:right="-1440"/>
      </w:pPr>
    </w:p>
    <w:p w:rsidR="00C558BF" w:rsidRPr="00615DC9" w:rsidRDefault="00C558BF" w:rsidP="00AA5625">
      <w:pPr>
        <w:ind w:left="540" w:right="-1440"/>
      </w:pPr>
    </w:p>
    <w:p w:rsidR="000F5D70" w:rsidRPr="00615DC9" w:rsidRDefault="0025575C" w:rsidP="0058650C">
      <w:pPr>
        <w:pStyle w:val="ListParagraph"/>
        <w:numPr>
          <w:ilvl w:val="0"/>
          <w:numId w:val="23"/>
        </w:numPr>
        <w:ind w:right="-720"/>
      </w:pPr>
      <w:r w:rsidRPr="00615DC9">
        <w:rPr>
          <w:b/>
          <w:bCs/>
        </w:rPr>
        <w:t>Describe any assurance of confidentiality provided to respondents and the basis for the assurance in statute, regulation, or agency policy.</w:t>
      </w:r>
    </w:p>
    <w:p w:rsidR="00806CA2" w:rsidRPr="00615DC9" w:rsidRDefault="00806CA2" w:rsidP="00760454">
      <w:pPr>
        <w:spacing w:line="480" w:lineRule="auto"/>
        <w:ind w:left="540" w:right="-720"/>
      </w:pPr>
    </w:p>
    <w:p w:rsidR="002432F6" w:rsidRPr="00615DC9" w:rsidRDefault="002432F6" w:rsidP="002432F6">
      <w:pPr>
        <w:spacing w:line="480" w:lineRule="auto"/>
        <w:ind w:left="540" w:right="-720"/>
      </w:pPr>
      <w:r w:rsidRPr="00615DC9">
        <w:t xml:space="preserve">FNS is requesting the information called for in this application package pursuant to its statutory authority to award grants.  Provision of the information requested is entirely voluntary.  The collection of this information is for the purpose of aiding in the review of applicants prior to grant award decisions and for management of grants. </w:t>
      </w:r>
      <w:r w:rsidR="00D317DB" w:rsidRPr="00615DC9">
        <w:t xml:space="preserve"> </w:t>
      </w:r>
      <w:r w:rsidR="004D374B" w:rsidRPr="00615DC9">
        <w:t xml:space="preserve">The only </w:t>
      </w:r>
      <w:r w:rsidRPr="00615DC9">
        <w:t>personal</w:t>
      </w:r>
      <w:r w:rsidR="00EE664C" w:rsidRPr="00615DC9">
        <w:t>ly</w:t>
      </w:r>
      <w:r w:rsidRPr="00615DC9">
        <w:t xml:space="preserve"> identifiable information is requested from potential applicants</w:t>
      </w:r>
      <w:r w:rsidR="004D374B" w:rsidRPr="00615DC9">
        <w:t xml:space="preserve"> is included on SF-424</w:t>
      </w:r>
      <w:r w:rsidRPr="00615DC9">
        <w:t xml:space="preserve">.  This information </w:t>
      </w:r>
      <w:r w:rsidR="004D374B" w:rsidRPr="00615DC9">
        <w:t xml:space="preserve">may </w:t>
      </w:r>
      <w:r w:rsidRPr="00615DC9">
        <w:t xml:space="preserve">be used within FNS </w:t>
      </w:r>
      <w:r w:rsidR="004D374B" w:rsidRPr="00615DC9">
        <w:t>but will not</w:t>
      </w:r>
      <w:r w:rsidRPr="00615DC9">
        <w:t xml:space="preserve"> be disclosed outside of FNS </w:t>
      </w:r>
      <w:r w:rsidR="00957D2A" w:rsidRPr="00615DC9">
        <w:t xml:space="preserve">except </w:t>
      </w:r>
      <w:r w:rsidRPr="00615DC9">
        <w:t>as permitted by the Privacy Act, including disclosures to the public as required by the Freedom of Information Act.</w:t>
      </w:r>
    </w:p>
    <w:p w:rsidR="002432F6" w:rsidRPr="00615DC9" w:rsidRDefault="00D317DB" w:rsidP="00760454">
      <w:pPr>
        <w:spacing w:line="480" w:lineRule="auto"/>
        <w:ind w:left="540" w:right="-720"/>
      </w:pPr>
      <w:r w:rsidRPr="00615DC9">
        <w:t>Grant</w:t>
      </w:r>
      <w:r w:rsidR="002432F6" w:rsidRPr="00615DC9">
        <w:t>ees will be required to submit</w:t>
      </w:r>
      <w:r w:rsidR="00F550A1" w:rsidRPr="00615DC9">
        <w:t xml:space="preserve"> semi-annual </w:t>
      </w:r>
      <w:r w:rsidR="00593AA4" w:rsidRPr="00615DC9">
        <w:t xml:space="preserve">or </w:t>
      </w:r>
      <w:r w:rsidR="002432F6" w:rsidRPr="00615DC9">
        <w:t>quarterly SF-425s, financial status reports.</w:t>
      </w:r>
      <w:r w:rsidRPr="00615DC9">
        <w:t xml:space="preserve">  </w:t>
      </w:r>
      <w:r w:rsidR="002432F6" w:rsidRPr="00615DC9">
        <w:t xml:space="preserve">These reports will be stored in a secured database.  Therefore, </w:t>
      </w:r>
      <w:r w:rsidRPr="00615DC9">
        <w:t>grant</w:t>
      </w:r>
      <w:r w:rsidR="002432F6" w:rsidRPr="00615DC9">
        <w:t xml:space="preserve">ees must obtain authorization </w:t>
      </w:r>
      <w:r w:rsidR="002432F6" w:rsidRPr="00615DC9">
        <w:lastRenderedPageBreak/>
        <w:t>to submit the form into FPRS.  The applications for authorization contain personal</w:t>
      </w:r>
      <w:r w:rsidR="007E1408" w:rsidRPr="00615DC9">
        <w:t>ly</w:t>
      </w:r>
      <w:r w:rsidR="002432F6" w:rsidRPr="00615DC9">
        <w:t xml:space="preserve"> identifying information on individuals doing business with Food and Nutrition Service.  Therefore, the USDA </w:t>
      </w:r>
      <w:r w:rsidR="0001163E" w:rsidRPr="00615DC9">
        <w:t xml:space="preserve">published the USDA </w:t>
      </w:r>
      <w:r w:rsidR="002432F6" w:rsidRPr="00615DC9">
        <w:t>e</w:t>
      </w:r>
      <w:r w:rsidR="00B261BD" w:rsidRPr="00615DC9">
        <w:t>-</w:t>
      </w:r>
      <w:r w:rsidR="002432F6" w:rsidRPr="00615DC9">
        <w:t xml:space="preserve">Authentication Service (system of records) </w:t>
      </w:r>
      <w:r w:rsidR="0001163E" w:rsidRPr="00615DC9">
        <w:t xml:space="preserve">March </w:t>
      </w:r>
      <w:r w:rsidR="00B37113" w:rsidRPr="00615DC9">
        <w:t>14</w:t>
      </w:r>
      <w:r w:rsidR="0001163E" w:rsidRPr="00615DC9">
        <w:t>, 2012</w:t>
      </w:r>
      <w:r w:rsidR="002432F6" w:rsidRPr="00615DC9">
        <w:t xml:space="preserve"> in the Federal Register </w:t>
      </w:r>
      <w:r w:rsidR="0001163E" w:rsidRPr="00615DC9">
        <w:t xml:space="preserve">at </w:t>
      </w:r>
      <w:r w:rsidR="00B37113" w:rsidRPr="00615DC9">
        <w:t>77 FR 15024</w:t>
      </w:r>
      <w:r w:rsidR="002432F6" w:rsidRPr="00615DC9">
        <w:t xml:space="preserve"> to specify the uses to be made of the information in this collection.  Access to records is limited to those persons who process the records for the specific uses stated in this Privacy Act notice.  Records are kept in physically secured rooms and/or cabinets</w:t>
      </w:r>
      <w:proofErr w:type="gramStart"/>
      <w:r w:rsidR="002432F6" w:rsidRPr="00615DC9">
        <w:t xml:space="preserve">. </w:t>
      </w:r>
      <w:proofErr w:type="gramEnd"/>
      <w:r w:rsidR="002432F6" w:rsidRPr="00615DC9">
        <w:t xml:space="preserve">Various methods of computer security limit access to records in automated databases.   </w:t>
      </w:r>
    </w:p>
    <w:p w:rsidR="00C558BF" w:rsidRPr="00615DC9" w:rsidRDefault="00C558BF" w:rsidP="00760454">
      <w:pPr>
        <w:ind w:left="540" w:right="-720"/>
      </w:pPr>
    </w:p>
    <w:p w:rsidR="00A3555D" w:rsidRPr="00615DC9" w:rsidRDefault="0025575C" w:rsidP="0058650C">
      <w:pPr>
        <w:pStyle w:val="ListParagraph"/>
        <w:numPr>
          <w:ilvl w:val="0"/>
          <w:numId w:val="23"/>
        </w:numPr>
        <w:ind w:left="360" w:right="-720" w:firstLine="0"/>
        <w:rPr>
          <w:b/>
        </w:rPr>
      </w:pPr>
      <w:r w:rsidRPr="00615DC9">
        <w:rPr>
          <w:b/>
          <w:bCs/>
        </w:rPr>
        <w:t>Provide additional justification for any questions of a sensitive nature, such as sexual behavior or attitudes, religious beliefs, and other matters that are commonly considered private</w:t>
      </w:r>
      <w:proofErr w:type="gramStart"/>
      <w:r w:rsidRPr="00615DC9">
        <w:rPr>
          <w:b/>
          <w:bCs/>
        </w:rPr>
        <w:t xml:space="preserve">. </w:t>
      </w:r>
      <w:proofErr w:type="gramEnd"/>
      <w:r w:rsidRPr="00615DC9">
        <w:rPr>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D2F8F" w:rsidRPr="00615DC9" w:rsidRDefault="004D2F8F" w:rsidP="00760454">
      <w:pPr>
        <w:spacing w:line="480" w:lineRule="auto"/>
        <w:ind w:left="540" w:right="-720"/>
      </w:pPr>
    </w:p>
    <w:p w:rsidR="00C558BF" w:rsidRPr="00615DC9" w:rsidRDefault="00A3555D" w:rsidP="00760454">
      <w:pPr>
        <w:spacing w:line="480" w:lineRule="auto"/>
        <w:ind w:left="540" w:right="-720"/>
      </w:pPr>
      <w:r w:rsidRPr="00615DC9">
        <w:t xml:space="preserve">There are no questions of a sensitive nature included in the </w:t>
      </w:r>
      <w:r w:rsidR="00410B75" w:rsidRPr="00615DC9">
        <w:t>uniform</w:t>
      </w:r>
      <w:r w:rsidRPr="00615DC9">
        <w:t xml:space="preserve"> grant application package for discretionary grant programs.</w:t>
      </w:r>
    </w:p>
    <w:p w:rsidR="0025575C" w:rsidRPr="00615DC9" w:rsidRDefault="0025575C" w:rsidP="0058650C">
      <w:pPr>
        <w:pStyle w:val="ListParagraph"/>
        <w:numPr>
          <w:ilvl w:val="0"/>
          <w:numId w:val="23"/>
        </w:numPr>
        <w:autoSpaceDE w:val="0"/>
        <w:autoSpaceDN w:val="0"/>
        <w:adjustRightInd w:val="0"/>
        <w:rPr>
          <w:b/>
          <w:bCs/>
        </w:rPr>
      </w:pPr>
      <w:r w:rsidRPr="00615DC9">
        <w:rPr>
          <w:b/>
          <w:bCs/>
        </w:rPr>
        <w:t>Provide estimates of the hour burden of the collection of information</w:t>
      </w:r>
      <w:proofErr w:type="gramStart"/>
      <w:r w:rsidRPr="00615DC9">
        <w:rPr>
          <w:b/>
          <w:bCs/>
        </w:rPr>
        <w:t xml:space="preserve">. </w:t>
      </w:r>
      <w:proofErr w:type="gramEnd"/>
      <w:r w:rsidRPr="00615DC9">
        <w:rPr>
          <w:b/>
          <w:bCs/>
        </w:rPr>
        <w:t>Indicate the number of respondents, frequency of response, annual hour burden, and an explanation of how the burden was estimated.</w:t>
      </w:r>
    </w:p>
    <w:p w:rsidR="0025575C" w:rsidRPr="00615DC9" w:rsidRDefault="0025575C" w:rsidP="0025575C">
      <w:pPr>
        <w:autoSpaceDE w:val="0"/>
        <w:autoSpaceDN w:val="0"/>
        <w:adjustRightInd w:val="0"/>
      </w:pPr>
    </w:p>
    <w:p w:rsidR="0025575C" w:rsidRPr="00615DC9" w:rsidRDefault="0025575C" w:rsidP="0025575C">
      <w:pPr>
        <w:numPr>
          <w:ilvl w:val="0"/>
          <w:numId w:val="13"/>
        </w:numPr>
        <w:autoSpaceDE w:val="0"/>
        <w:autoSpaceDN w:val="0"/>
        <w:adjustRightInd w:val="0"/>
        <w:rPr>
          <w:b/>
          <w:bCs/>
        </w:rPr>
      </w:pPr>
      <w:r w:rsidRPr="00615DC9">
        <w:rPr>
          <w:b/>
          <w:bCs/>
        </w:rPr>
        <w:t>Indicate the number of respondents, frequency of response, annual hour burden, and an explanation of how the burden was estimated</w:t>
      </w:r>
      <w:proofErr w:type="gramStart"/>
      <w:r w:rsidRPr="00615DC9">
        <w:rPr>
          <w:b/>
          <w:bCs/>
        </w:rPr>
        <w:t xml:space="preserve">. </w:t>
      </w:r>
      <w:proofErr w:type="gramEnd"/>
      <w:r w:rsidRPr="00615DC9">
        <w:rPr>
          <w:b/>
          <w:bCs/>
        </w:rPr>
        <w:t>If this request for approval covers more than one form, provide separate hour burden estimates for each form and aggregate the hour burdens in Item 13 of OMB Form 83-I.</w:t>
      </w:r>
    </w:p>
    <w:p w:rsidR="0025575C" w:rsidRPr="00615DC9" w:rsidRDefault="0025575C" w:rsidP="0025575C">
      <w:pPr>
        <w:autoSpaceDE w:val="0"/>
        <w:autoSpaceDN w:val="0"/>
        <w:adjustRightInd w:val="0"/>
        <w:ind w:left="720"/>
        <w:rPr>
          <w:b/>
          <w:bCs/>
        </w:rPr>
      </w:pPr>
    </w:p>
    <w:p w:rsidR="009518EA" w:rsidRPr="00615DC9" w:rsidRDefault="0005386C" w:rsidP="009518EA">
      <w:pPr>
        <w:spacing w:line="480" w:lineRule="auto"/>
        <w:ind w:left="540" w:right="-576"/>
        <w:rPr>
          <w:szCs w:val="20"/>
        </w:rPr>
      </w:pPr>
      <w:r w:rsidRPr="00615DC9">
        <w:rPr>
          <w:szCs w:val="20"/>
        </w:rPr>
        <w:t>A detailed burden table is included as Appendix B – 0584-0512 Burden Table.</w:t>
      </w:r>
      <w:r w:rsidR="009518EA" w:rsidRPr="00615DC9">
        <w:rPr>
          <w:szCs w:val="20"/>
        </w:rPr>
        <w:t xml:space="preserve">  The total </w:t>
      </w:r>
      <w:proofErr w:type="gramStart"/>
      <w:r w:rsidR="009518EA" w:rsidRPr="00615DC9">
        <w:rPr>
          <w:szCs w:val="20"/>
        </w:rPr>
        <w:t>burden  requested</w:t>
      </w:r>
      <w:proofErr w:type="gramEnd"/>
      <w:r w:rsidR="009518EA" w:rsidRPr="00615DC9">
        <w:rPr>
          <w:szCs w:val="20"/>
        </w:rPr>
        <w:t xml:space="preserve"> under this ICR is as follows:</w:t>
      </w:r>
    </w:p>
    <w:tbl>
      <w:tblPr>
        <w:tblW w:w="63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1350"/>
        <w:gridCol w:w="2340"/>
      </w:tblGrid>
      <w:tr w:rsidR="009518EA" w:rsidRPr="00615DC9" w:rsidTr="009518EA">
        <w:trPr>
          <w:trHeight w:val="300"/>
        </w:trPr>
        <w:tc>
          <w:tcPr>
            <w:tcW w:w="2625" w:type="dxa"/>
            <w:shd w:val="clear" w:color="auto" w:fill="auto"/>
            <w:noWrap/>
            <w:vAlign w:val="bottom"/>
          </w:tcPr>
          <w:p w:rsidR="009518EA" w:rsidRPr="00615DC9" w:rsidRDefault="009518EA">
            <w:pPr>
              <w:jc w:val="right"/>
              <w:rPr>
                <w:color w:val="000000"/>
                <w:sz w:val="22"/>
                <w:szCs w:val="22"/>
              </w:rPr>
            </w:pPr>
          </w:p>
        </w:tc>
        <w:tc>
          <w:tcPr>
            <w:tcW w:w="1350" w:type="dxa"/>
            <w:shd w:val="clear" w:color="auto" w:fill="auto"/>
            <w:noWrap/>
            <w:vAlign w:val="bottom"/>
          </w:tcPr>
          <w:p w:rsidR="009518EA" w:rsidRPr="00615DC9" w:rsidRDefault="009518EA">
            <w:pPr>
              <w:rPr>
                <w:b/>
                <w:color w:val="000000"/>
                <w:sz w:val="22"/>
                <w:szCs w:val="22"/>
              </w:rPr>
            </w:pPr>
            <w:r w:rsidRPr="00615DC9">
              <w:rPr>
                <w:b/>
                <w:color w:val="000000"/>
                <w:sz w:val="22"/>
                <w:szCs w:val="22"/>
              </w:rPr>
              <w:t>Responses</w:t>
            </w:r>
          </w:p>
        </w:tc>
        <w:tc>
          <w:tcPr>
            <w:tcW w:w="2340" w:type="dxa"/>
            <w:shd w:val="clear" w:color="auto" w:fill="auto"/>
            <w:noWrap/>
            <w:vAlign w:val="bottom"/>
          </w:tcPr>
          <w:p w:rsidR="009518EA" w:rsidRPr="00615DC9" w:rsidRDefault="009518EA">
            <w:pPr>
              <w:rPr>
                <w:b/>
                <w:color w:val="000000"/>
                <w:sz w:val="22"/>
                <w:szCs w:val="22"/>
              </w:rPr>
            </w:pPr>
            <w:r w:rsidRPr="00615DC9">
              <w:rPr>
                <w:b/>
                <w:color w:val="000000"/>
                <w:sz w:val="22"/>
                <w:szCs w:val="22"/>
              </w:rPr>
              <w:t>Hours</w:t>
            </w:r>
          </w:p>
        </w:tc>
      </w:tr>
      <w:tr w:rsidR="009518EA" w:rsidRPr="00615DC9" w:rsidTr="009518EA">
        <w:trPr>
          <w:trHeight w:val="300"/>
        </w:trPr>
        <w:tc>
          <w:tcPr>
            <w:tcW w:w="2625" w:type="dxa"/>
            <w:shd w:val="clear" w:color="auto" w:fill="auto"/>
            <w:noWrap/>
            <w:vAlign w:val="bottom"/>
            <w:hideMark/>
          </w:tcPr>
          <w:p w:rsidR="009518EA" w:rsidRPr="00615DC9" w:rsidRDefault="009518EA">
            <w:pPr>
              <w:jc w:val="right"/>
              <w:rPr>
                <w:b/>
                <w:color w:val="000000"/>
                <w:sz w:val="22"/>
                <w:szCs w:val="22"/>
              </w:rPr>
            </w:pPr>
            <w:r w:rsidRPr="00615DC9">
              <w:rPr>
                <w:b/>
                <w:color w:val="000000"/>
                <w:sz w:val="22"/>
                <w:szCs w:val="22"/>
              </w:rPr>
              <w:t>3 Year Total Requested:</w:t>
            </w:r>
          </w:p>
        </w:tc>
        <w:tc>
          <w:tcPr>
            <w:tcW w:w="1350" w:type="dxa"/>
            <w:shd w:val="clear" w:color="auto" w:fill="auto"/>
            <w:noWrap/>
            <w:vAlign w:val="bottom"/>
            <w:hideMark/>
          </w:tcPr>
          <w:p w:rsidR="009518EA" w:rsidRPr="00615DC9" w:rsidRDefault="009518EA">
            <w:pPr>
              <w:rPr>
                <w:color w:val="000000"/>
                <w:sz w:val="22"/>
                <w:szCs w:val="22"/>
              </w:rPr>
            </w:pPr>
            <w:r w:rsidRPr="00615DC9">
              <w:rPr>
                <w:color w:val="000000"/>
                <w:sz w:val="22"/>
                <w:szCs w:val="22"/>
              </w:rPr>
              <w:t xml:space="preserve">   30,000.00 </w:t>
            </w:r>
          </w:p>
        </w:tc>
        <w:tc>
          <w:tcPr>
            <w:tcW w:w="2340" w:type="dxa"/>
            <w:shd w:val="clear" w:color="auto" w:fill="auto"/>
            <w:noWrap/>
            <w:vAlign w:val="bottom"/>
            <w:hideMark/>
          </w:tcPr>
          <w:p w:rsidR="009518EA" w:rsidRPr="00615DC9" w:rsidRDefault="009518EA">
            <w:pPr>
              <w:rPr>
                <w:color w:val="000000"/>
                <w:sz w:val="22"/>
                <w:szCs w:val="22"/>
              </w:rPr>
            </w:pPr>
            <w:r w:rsidRPr="00615DC9">
              <w:rPr>
                <w:color w:val="000000"/>
                <w:sz w:val="22"/>
                <w:szCs w:val="22"/>
              </w:rPr>
              <w:t xml:space="preserve">     150,000.00 </w:t>
            </w:r>
          </w:p>
        </w:tc>
      </w:tr>
      <w:tr w:rsidR="009518EA" w:rsidRPr="00615DC9" w:rsidTr="009518EA">
        <w:trPr>
          <w:trHeight w:val="300"/>
        </w:trPr>
        <w:tc>
          <w:tcPr>
            <w:tcW w:w="2625" w:type="dxa"/>
            <w:shd w:val="clear" w:color="auto" w:fill="auto"/>
            <w:noWrap/>
            <w:vAlign w:val="bottom"/>
            <w:hideMark/>
          </w:tcPr>
          <w:p w:rsidR="009518EA" w:rsidRPr="00615DC9" w:rsidRDefault="009518EA">
            <w:pPr>
              <w:jc w:val="right"/>
              <w:rPr>
                <w:b/>
                <w:color w:val="000000"/>
                <w:sz w:val="22"/>
                <w:szCs w:val="22"/>
              </w:rPr>
            </w:pPr>
            <w:r w:rsidRPr="00615DC9">
              <w:rPr>
                <w:b/>
                <w:color w:val="000000"/>
                <w:sz w:val="22"/>
                <w:szCs w:val="22"/>
              </w:rPr>
              <w:t>Total Used for ICs submitted with this renewal:</w:t>
            </w:r>
          </w:p>
        </w:tc>
        <w:tc>
          <w:tcPr>
            <w:tcW w:w="1350" w:type="dxa"/>
            <w:shd w:val="clear" w:color="auto" w:fill="auto"/>
            <w:noWrap/>
            <w:vAlign w:val="bottom"/>
            <w:hideMark/>
          </w:tcPr>
          <w:p w:rsidR="009518EA" w:rsidRPr="00615DC9" w:rsidRDefault="009518EA">
            <w:pPr>
              <w:rPr>
                <w:color w:val="000000"/>
                <w:sz w:val="22"/>
                <w:szCs w:val="22"/>
              </w:rPr>
            </w:pPr>
            <w:r w:rsidRPr="00615DC9">
              <w:rPr>
                <w:color w:val="000000"/>
                <w:sz w:val="22"/>
                <w:szCs w:val="22"/>
              </w:rPr>
              <w:t xml:space="preserve">     9,795.00 </w:t>
            </w:r>
          </w:p>
        </w:tc>
        <w:tc>
          <w:tcPr>
            <w:tcW w:w="2340" w:type="dxa"/>
            <w:shd w:val="clear" w:color="auto" w:fill="auto"/>
            <w:noWrap/>
            <w:vAlign w:val="bottom"/>
            <w:hideMark/>
          </w:tcPr>
          <w:p w:rsidR="009518EA" w:rsidRPr="00615DC9" w:rsidRDefault="009518EA">
            <w:pPr>
              <w:rPr>
                <w:color w:val="000000"/>
                <w:sz w:val="22"/>
                <w:szCs w:val="22"/>
              </w:rPr>
            </w:pPr>
            <w:r w:rsidRPr="00615DC9">
              <w:rPr>
                <w:color w:val="000000"/>
                <w:sz w:val="22"/>
                <w:szCs w:val="22"/>
              </w:rPr>
              <w:t xml:space="preserve">       40,639.76 </w:t>
            </w:r>
          </w:p>
        </w:tc>
      </w:tr>
      <w:tr w:rsidR="009518EA" w:rsidRPr="00615DC9" w:rsidTr="009518EA">
        <w:trPr>
          <w:trHeight w:val="300"/>
        </w:trPr>
        <w:tc>
          <w:tcPr>
            <w:tcW w:w="2625" w:type="dxa"/>
            <w:shd w:val="clear" w:color="auto" w:fill="auto"/>
            <w:noWrap/>
            <w:vAlign w:val="bottom"/>
            <w:hideMark/>
          </w:tcPr>
          <w:p w:rsidR="009518EA" w:rsidRPr="00615DC9" w:rsidRDefault="009518EA">
            <w:pPr>
              <w:jc w:val="right"/>
              <w:rPr>
                <w:b/>
                <w:color w:val="000000"/>
                <w:sz w:val="22"/>
                <w:szCs w:val="22"/>
              </w:rPr>
            </w:pPr>
            <w:r w:rsidRPr="00615DC9">
              <w:rPr>
                <w:b/>
                <w:color w:val="000000"/>
                <w:sz w:val="22"/>
                <w:szCs w:val="22"/>
              </w:rPr>
              <w:t>Total Remaining:</w:t>
            </w:r>
          </w:p>
        </w:tc>
        <w:tc>
          <w:tcPr>
            <w:tcW w:w="1350" w:type="dxa"/>
            <w:shd w:val="clear" w:color="auto" w:fill="auto"/>
            <w:noWrap/>
            <w:vAlign w:val="bottom"/>
            <w:hideMark/>
          </w:tcPr>
          <w:p w:rsidR="009518EA" w:rsidRPr="00615DC9" w:rsidRDefault="009518EA">
            <w:pPr>
              <w:rPr>
                <w:color w:val="000000"/>
                <w:sz w:val="22"/>
                <w:szCs w:val="22"/>
              </w:rPr>
            </w:pPr>
            <w:r w:rsidRPr="00615DC9">
              <w:rPr>
                <w:color w:val="000000"/>
                <w:sz w:val="22"/>
                <w:szCs w:val="22"/>
              </w:rPr>
              <w:t xml:space="preserve">   20,205.00 </w:t>
            </w:r>
          </w:p>
        </w:tc>
        <w:tc>
          <w:tcPr>
            <w:tcW w:w="2340" w:type="dxa"/>
            <w:shd w:val="clear" w:color="auto" w:fill="auto"/>
            <w:noWrap/>
            <w:vAlign w:val="bottom"/>
            <w:hideMark/>
          </w:tcPr>
          <w:p w:rsidR="009518EA" w:rsidRPr="00615DC9" w:rsidRDefault="009518EA">
            <w:pPr>
              <w:rPr>
                <w:color w:val="000000"/>
                <w:sz w:val="22"/>
                <w:szCs w:val="22"/>
              </w:rPr>
            </w:pPr>
            <w:r w:rsidRPr="00615DC9">
              <w:rPr>
                <w:color w:val="000000"/>
                <w:sz w:val="22"/>
                <w:szCs w:val="22"/>
              </w:rPr>
              <w:t xml:space="preserve">     109,360.24 </w:t>
            </w:r>
          </w:p>
        </w:tc>
      </w:tr>
    </w:tbl>
    <w:p w:rsidR="00714C13" w:rsidRPr="00615DC9" w:rsidRDefault="002432F6" w:rsidP="00714C13">
      <w:pPr>
        <w:spacing w:line="480" w:lineRule="auto"/>
        <w:ind w:left="540" w:right="-576"/>
      </w:pPr>
      <w:r w:rsidRPr="00615DC9">
        <w:rPr>
          <w:b/>
        </w:rPr>
        <w:lastRenderedPageBreak/>
        <w:t>Pre-Award Burden Estimates:</w:t>
      </w:r>
      <w:r w:rsidRPr="00615DC9">
        <w:t xml:space="preserve">  </w:t>
      </w:r>
    </w:p>
    <w:p w:rsidR="009A5454" w:rsidRPr="00615DC9" w:rsidRDefault="009A5454" w:rsidP="00C12A08">
      <w:pPr>
        <w:spacing w:line="480" w:lineRule="auto"/>
        <w:ind w:left="540" w:right="180"/>
      </w:pPr>
      <w:r w:rsidRPr="00615DC9">
        <w:t xml:space="preserve">Pre-award burden is the burden associated with the grant RFA package.  The uniform grant RFA package will include:  (a) general information and instructions and requirements for the program narrative statement describing how the grant objectives will be reached as well as a description of the budget; (b) USDA disclosure forms; (c) Grants.gov Standard Forms that request basic information, budget and financial information, and disclosure of lobbying activities.  </w:t>
      </w:r>
    </w:p>
    <w:p w:rsidR="009A5454" w:rsidRPr="00615DC9" w:rsidRDefault="009A5454" w:rsidP="009A5454">
      <w:pPr>
        <w:spacing w:line="480" w:lineRule="auto"/>
        <w:ind w:left="360" w:right="180"/>
      </w:pPr>
    </w:p>
    <w:p w:rsidR="009A5454" w:rsidRPr="00615DC9" w:rsidRDefault="009A5454" w:rsidP="009A5454">
      <w:pPr>
        <w:pStyle w:val="ListParagraph"/>
        <w:numPr>
          <w:ilvl w:val="0"/>
          <w:numId w:val="32"/>
        </w:numPr>
        <w:spacing w:line="480" w:lineRule="auto"/>
        <w:ind w:right="180"/>
      </w:pPr>
      <w:r w:rsidRPr="00615DC9">
        <w:rPr>
          <w:b/>
          <w:i/>
        </w:rPr>
        <w:t>General Information and Instructions and program narrative requirements</w:t>
      </w:r>
      <w:r w:rsidRPr="00615DC9">
        <w:t xml:space="preserve"> – The above list of grants (see question 1) are submitted for continued clearance under this generic.  RFAs for these grants, which </w:t>
      </w:r>
      <w:proofErr w:type="gramStart"/>
      <w:r w:rsidRPr="00615DC9">
        <w:t>includes</w:t>
      </w:r>
      <w:proofErr w:type="gramEnd"/>
      <w:r w:rsidRPr="00615DC9">
        <w:t xml:space="preserve"> the general information and instructions, etc., are included in the Appendix A</w:t>
      </w:r>
      <w:r w:rsidR="00C12A08" w:rsidRPr="00615DC9">
        <w:t xml:space="preserve"> (and submitted under this request as ICs)</w:t>
      </w:r>
      <w:r w:rsidRPr="00615DC9">
        <w:t>.  For other grants submitted under this generic clearance, the RFA will be submitted with the clearance request, but will be similar to those included in the appendix.</w:t>
      </w:r>
    </w:p>
    <w:p w:rsidR="009A5454" w:rsidRPr="00615DC9" w:rsidRDefault="009A5454" w:rsidP="009A5454">
      <w:pPr>
        <w:pStyle w:val="ListParagraph"/>
        <w:numPr>
          <w:ilvl w:val="0"/>
          <w:numId w:val="32"/>
        </w:numPr>
        <w:spacing w:line="480" w:lineRule="auto"/>
        <w:ind w:right="180"/>
        <w:rPr>
          <w:b/>
          <w:i/>
        </w:rPr>
      </w:pPr>
      <w:r w:rsidRPr="00615DC9">
        <w:rPr>
          <w:b/>
          <w:i/>
        </w:rPr>
        <w:t xml:space="preserve">USDA Disclosure Forms – </w:t>
      </w:r>
      <w:r w:rsidRPr="00615DC9">
        <w:t xml:space="preserve">These forms are approved by OMB but burden is accounted for within this collection per the terms of clearance for the USDA forms.  </w:t>
      </w:r>
    </w:p>
    <w:p w:rsidR="009A5454" w:rsidRPr="00615DC9" w:rsidRDefault="009A5454" w:rsidP="009A5454">
      <w:pPr>
        <w:pStyle w:val="ListParagraph"/>
        <w:numPr>
          <w:ilvl w:val="0"/>
          <w:numId w:val="31"/>
        </w:numPr>
        <w:spacing w:line="480" w:lineRule="auto"/>
        <w:ind w:right="180"/>
      </w:pPr>
      <w:r w:rsidRPr="00615DC9">
        <w:t>AD-3030 - Corporate Felony Convictions and Corporate Federal Tax Delinquencies (OMB No. 0505-0025, Expiration date 2/29/2016).  This form is required in compliance with</w:t>
      </w:r>
      <w:r w:rsidRPr="00615DC9">
        <w:rPr>
          <w:u w:val="single"/>
        </w:rPr>
        <w:t xml:space="preserve"> </w:t>
      </w:r>
      <w:r w:rsidRPr="00615DC9">
        <w:t>Sections 744 and 745 of the Consolidated Further Continuing Appropriations Act, 2015 (Public Law 113-235) Corporate Felony Convictions and Corporate Federal Tax Delinquencies, for for-profit and non-profit business applicants.</w:t>
      </w:r>
    </w:p>
    <w:p w:rsidR="009A5454" w:rsidRPr="00615DC9" w:rsidRDefault="009A5454" w:rsidP="009A5454">
      <w:pPr>
        <w:pStyle w:val="ListParagraph"/>
        <w:numPr>
          <w:ilvl w:val="0"/>
          <w:numId w:val="31"/>
        </w:numPr>
        <w:spacing w:line="480" w:lineRule="auto"/>
        <w:ind w:right="180"/>
      </w:pPr>
      <w:r w:rsidRPr="00615DC9">
        <w:lastRenderedPageBreak/>
        <w:t>AD-1047 - Certification Regarding Debarment, Suspension, and Other Responsibility Matters Primary Covered Transactions (OMB No. 0505-0027, Expiration date 12/31/2018).</w:t>
      </w:r>
    </w:p>
    <w:p w:rsidR="009A5454" w:rsidRPr="00615DC9" w:rsidRDefault="009A5454" w:rsidP="009A5454">
      <w:pPr>
        <w:pStyle w:val="ListParagraph"/>
        <w:numPr>
          <w:ilvl w:val="0"/>
          <w:numId w:val="31"/>
        </w:numPr>
        <w:spacing w:line="480" w:lineRule="auto"/>
        <w:ind w:right="180"/>
      </w:pPr>
      <w:r w:rsidRPr="00615DC9">
        <w:t>AD-1048 - Certification Regarding Debarment, Suspension, Ineligibility and Voluntary Exclusion Lower Tier Covered Transactions (OMB No. 0505-0027, Expiration date 12/31/2018).</w:t>
      </w:r>
    </w:p>
    <w:p w:rsidR="009A5454" w:rsidRPr="00615DC9" w:rsidRDefault="009A5454" w:rsidP="009A5454">
      <w:pPr>
        <w:pStyle w:val="ListParagraph"/>
        <w:numPr>
          <w:ilvl w:val="0"/>
          <w:numId w:val="31"/>
        </w:numPr>
        <w:spacing w:line="480" w:lineRule="auto"/>
        <w:ind w:right="180"/>
      </w:pPr>
      <w:r w:rsidRPr="00615DC9">
        <w:t>AD-1049 – Certification Regarding Drug-Free Workplace Requirements for Grantees Other Than Individuals (OMB No. 0505-0027, Expiration date 12/31/2018).</w:t>
      </w:r>
    </w:p>
    <w:p w:rsidR="009A5454" w:rsidRPr="00615DC9" w:rsidRDefault="009A5454" w:rsidP="009A5454">
      <w:pPr>
        <w:pStyle w:val="ListParagraph"/>
        <w:numPr>
          <w:ilvl w:val="0"/>
          <w:numId w:val="31"/>
        </w:numPr>
        <w:spacing w:line="480" w:lineRule="auto"/>
        <w:ind w:right="180"/>
      </w:pPr>
      <w:r w:rsidRPr="00615DC9">
        <w:t>AD-1052 – Certification Regarding Drug-Free Workplace for State and State Agencies (OMB No. 0505-0027, Expiration date 12/31/2018).</w:t>
      </w:r>
    </w:p>
    <w:p w:rsidR="009A5454" w:rsidRPr="00615DC9" w:rsidRDefault="009A5454" w:rsidP="009A5454">
      <w:pPr>
        <w:pStyle w:val="ListParagraph"/>
        <w:numPr>
          <w:ilvl w:val="0"/>
          <w:numId w:val="32"/>
        </w:numPr>
        <w:spacing w:line="480" w:lineRule="auto"/>
        <w:ind w:left="360" w:right="180"/>
      </w:pPr>
      <w:r w:rsidRPr="00615DC9">
        <w:rPr>
          <w:b/>
          <w:i/>
        </w:rPr>
        <w:t xml:space="preserve">Grants.gov Forms – </w:t>
      </w:r>
      <w:r w:rsidRPr="00615DC9">
        <w:t xml:space="preserve">The following grants.gov forms are required of grant applicants.  </w:t>
      </w:r>
    </w:p>
    <w:p w:rsidR="009A5454" w:rsidRPr="00615DC9" w:rsidRDefault="009A5454" w:rsidP="009A5454">
      <w:pPr>
        <w:pStyle w:val="ListParagraph"/>
        <w:numPr>
          <w:ilvl w:val="0"/>
          <w:numId w:val="33"/>
        </w:numPr>
        <w:spacing w:line="480" w:lineRule="auto"/>
      </w:pPr>
      <w:r w:rsidRPr="00615DC9">
        <w:t>Non-Construction Grant Projects Forms: SF-424 Family:</w:t>
      </w:r>
    </w:p>
    <w:p w:rsidR="009A5454" w:rsidRPr="00615DC9" w:rsidRDefault="009A5454" w:rsidP="009A5454">
      <w:pPr>
        <w:pStyle w:val="ListParagraph"/>
        <w:numPr>
          <w:ilvl w:val="0"/>
          <w:numId w:val="30"/>
        </w:numPr>
        <w:spacing w:line="480" w:lineRule="auto"/>
      </w:pPr>
      <w:r w:rsidRPr="00615DC9">
        <w:t>Application and Instruction for Federal Assistance (SF-424), OMB Control Number 4040-0004, Expiration Date:  August 31, 2016</w:t>
      </w:r>
    </w:p>
    <w:p w:rsidR="009A5454" w:rsidRPr="00615DC9" w:rsidRDefault="009A5454" w:rsidP="009A5454">
      <w:pPr>
        <w:pStyle w:val="ListParagraph"/>
        <w:numPr>
          <w:ilvl w:val="0"/>
          <w:numId w:val="30"/>
        </w:numPr>
        <w:spacing w:line="480" w:lineRule="auto"/>
      </w:pPr>
      <w:r w:rsidRPr="00615DC9">
        <w:t xml:space="preserve">Budget Information for Non-Construction Programs (SF-424A), OMB Control Number 4040-0006, Expiration Date:  </w:t>
      </w:r>
      <w:r w:rsidR="00615DC9" w:rsidRPr="00615DC9">
        <w:t>January 31</w:t>
      </w:r>
      <w:r w:rsidRPr="00615DC9">
        <w:t>, 201</w:t>
      </w:r>
      <w:r w:rsidR="00615DC9" w:rsidRPr="00615DC9">
        <w:t>9</w:t>
      </w:r>
    </w:p>
    <w:p w:rsidR="009A5454" w:rsidRPr="00615DC9" w:rsidRDefault="009A5454" w:rsidP="009A5454">
      <w:pPr>
        <w:pStyle w:val="ListParagraph"/>
        <w:numPr>
          <w:ilvl w:val="0"/>
          <w:numId w:val="30"/>
        </w:numPr>
        <w:spacing w:line="480" w:lineRule="auto"/>
      </w:pPr>
      <w:r w:rsidRPr="00615DC9">
        <w:t xml:space="preserve">Assurances - Non-Construction Programs (SF-424B), OMB Control Number 4040-0007, Expiration Date:  </w:t>
      </w:r>
      <w:r w:rsidR="00615DC9" w:rsidRPr="00615DC9">
        <w:t>January 31, 2019</w:t>
      </w:r>
      <w:r w:rsidR="00615DC9" w:rsidRPr="00615DC9">
        <w:t>.</w:t>
      </w:r>
    </w:p>
    <w:p w:rsidR="009A5454" w:rsidRPr="00615DC9" w:rsidRDefault="009A5454" w:rsidP="009A5454">
      <w:pPr>
        <w:pStyle w:val="ListParagraph"/>
        <w:numPr>
          <w:ilvl w:val="0"/>
          <w:numId w:val="30"/>
        </w:numPr>
        <w:spacing w:line="480" w:lineRule="auto"/>
      </w:pPr>
      <w:r w:rsidRPr="00615DC9">
        <w:t>Application for Federal Assistance Research &amp; Related Projects (SF-424 R &amp; R), OMB Control Number 4040-0001, Expiration Date:  June 30, 2016</w:t>
      </w:r>
      <w:r w:rsidR="00615DC9" w:rsidRPr="00615DC9">
        <w:t>.</w:t>
      </w:r>
    </w:p>
    <w:p w:rsidR="009A5454" w:rsidRPr="00615DC9" w:rsidRDefault="009A5454" w:rsidP="009A5454">
      <w:pPr>
        <w:pStyle w:val="ListParagraph"/>
        <w:spacing w:line="480" w:lineRule="auto"/>
        <w:ind w:left="1080"/>
      </w:pPr>
    </w:p>
    <w:p w:rsidR="009A5454" w:rsidRPr="00615DC9" w:rsidRDefault="009A5454" w:rsidP="009A5454">
      <w:pPr>
        <w:pStyle w:val="ListParagraph"/>
        <w:numPr>
          <w:ilvl w:val="0"/>
          <w:numId w:val="33"/>
        </w:numPr>
        <w:spacing w:line="480" w:lineRule="auto"/>
      </w:pPr>
      <w:r w:rsidRPr="00615DC9">
        <w:lastRenderedPageBreak/>
        <w:t xml:space="preserve">SF </w:t>
      </w:r>
      <w:proofErr w:type="gramStart"/>
      <w:r w:rsidRPr="00615DC9">
        <w:t>LLL  --</w:t>
      </w:r>
      <w:proofErr w:type="gramEnd"/>
      <w:r w:rsidRPr="00615DC9">
        <w:t xml:space="preserve"> Disclosure of Lobbying Activities, OMB Control Number </w:t>
      </w:r>
      <w:r w:rsidR="00615DC9" w:rsidRPr="00615DC9">
        <w:t>4040</w:t>
      </w:r>
      <w:r w:rsidRPr="00615DC9">
        <w:t>-00</w:t>
      </w:r>
      <w:r w:rsidR="00615DC9" w:rsidRPr="00615DC9">
        <w:t>13</w:t>
      </w:r>
      <w:r w:rsidRPr="00615DC9">
        <w:t xml:space="preserve">, Expiration Date: </w:t>
      </w:r>
      <w:r w:rsidR="00615DC9" w:rsidRPr="00615DC9">
        <w:t>January 31, 2019</w:t>
      </w:r>
      <w:r w:rsidRPr="00615DC9">
        <w:t xml:space="preserve">.  The form is used to indicate whether the applying organization intends to conduct lobbying activities.  </w:t>
      </w:r>
    </w:p>
    <w:p w:rsidR="00C12A08" w:rsidRPr="00615DC9" w:rsidRDefault="00C12A08" w:rsidP="00A344B2">
      <w:pPr>
        <w:spacing w:line="480" w:lineRule="auto"/>
        <w:ind w:left="540" w:right="-864"/>
        <w:rPr>
          <w:b/>
        </w:rPr>
      </w:pPr>
    </w:p>
    <w:p w:rsidR="00A344B2" w:rsidRPr="00615DC9" w:rsidRDefault="00A344B2" w:rsidP="00A344B2">
      <w:pPr>
        <w:spacing w:line="480" w:lineRule="auto"/>
        <w:ind w:left="540" w:right="-864"/>
        <w:rPr>
          <w:b/>
        </w:rPr>
      </w:pPr>
      <w:r w:rsidRPr="00615DC9">
        <w:rPr>
          <w:b/>
        </w:rPr>
        <w:t xml:space="preserve">Post-Award Burden Estimates:  </w:t>
      </w:r>
    </w:p>
    <w:p w:rsidR="00A344B2" w:rsidRPr="00615DC9" w:rsidRDefault="00A344B2" w:rsidP="00A344B2">
      <w:pPr>
        <w:spacing w:line="480" w:lineRule="auto"/>
        <w:ind w:left="540" w:right="547"/>
      </w:pPr>
      <w:r w:rsidRPr="00615DC9">
        <w:t xml:space="preserve">Post-award </w:t>
      </w:r>
      <w:r w:rsidR="00D22C28" w:rsidRPr="00615DC9">
        <w:t xml:space="preserve">reporting </w:t>
      </w:r>
      <w:r w:rsidRPr="00615DC9">
        <w:t>burden hours are based on the production of semi-annual</w:t>
      </w:r>
      <w:r w:rsidR="002664D0" w:rsidRPr="00615DC9">
        <w:t xml:space="preserve"> </w:t>
      </w:r>
      <w:r w:rsidR="000A0B3B" w:rsidRPr="00615DC9">
        <w:t xml:space="preserve">or </w:t>
      </w:r>
      <w:r w:rsidRPr="00615DC9">
        <w:t>quarterly progress reports</w:t>
      </w:r>
      <w:r w:rsidR="002664D0" w:rsidRPr="00615DC9">
        <w:t xml:space="preserve"> and quarterly financial reports using the SF-425.  Additionally, grantees submit </w:t>
      </w:r>
      <w:r w:rsidRPr="00615DC9">
        <w:t xml:space="preserve">one final report </w:t>
      </w:r>
      <w:r w:rsidR="002664D0" w:rsidRPr="00615DC9">
        <w:t>and a final financial report (SF-425)</w:t>
      </w:r>
      <w:r w:rsidRPr="00615DC9">
        <w:t xml:space="preserve">.    </w:t>
      </w:r>
    </w:p>
    <w:p w:rsidR="00A344B2" w:rsidRPr="00615DC9" w:rsidRDefault="00A344B2" w:rsidP="00A344B2">
      <w:pPr>
        <w:spacing w:line="480" w:lineRule="auto"/>
        <w:ind w:left="540" w:right="547"/>
      </w:pPr>
    </w:p>
    <w:p w:rsidR="009A5454" w:rsidRPr="00615DC9" w:rsidRDefault="009A5454" w:rsidP="00C12A08">
      <w:pPr>
        <w:pStyle w:val="ListParagraph"/>
        <w:numPr>
          <w:ilvl w:val="0"/>
          <w:numId w:val="33"/>
        </w:numPr>
        <w:spacing w:line="480" w:lineRule="auto"/>
        <w:ind w:right="547"/>
      </w:pPr>
      <w:r w:rsidRPr="00615DC9">
        <w:rPr>
          <w:b/>
          <w:i/>
        </w:rPr>
        <w:t xml:space="preserve">Progress </w:t>
      </w:r>
      <w:r w:rsidR="002664D0" w:rsidRPr="00615DC9">
        <w:rPr>
          <w:b/>
          <w:i/>
        </w:rPr>
        <w:t xml:space="preserve">and Final </w:t>
      </w:r>
      <w:r w:rsidRPr="00615DC9">
        <w:rPr>
          <w:b/>
          <w:i/>
        </w:rPr>
        <w:t xml:space="preserve">reports:  </w:t>
      </w:r>
      <w:r w:rsidR="00A344B2" w:rsidRPr="00615DC9">
        <w:t>The</w:t>
      </w:r>
      <w:r w:rsidR="00ED1303" w:rsidRPr="00615DC9">
        <w:t xml:space="preserve"> </w:t>
      </w:r>
      <w:r w:rsidR="0033149B" w:rsidRPr="00615DC9">
        <w:t xml:space="preserve">progress </w:t>
      </w:r>
      <w:r w:rsidR="002664D0" w:rsidRPr="00615DC9">
        <w:t xml:space="preserve">and final </w:t>
      </w:r>
      <w:r w:rsidR="0033149B" w:rsidRPr="00615DC9">
        <w:t>reports</w:t>
      </w:r>
      <w:r w:rsidR="00A344B2" w:rsidRPr="00615DC9">
        <w:t xml:space="preserve"> will ask for a description of the activities that took place during the previous period and report any deviations and difficulties.  </w:t>
      </w:r>
      <w:r w:rsidR="002664D0" w:rsidRPr="00615DC9">
        <w:t>Based on an annual average period of performance, each grantee will submit either 2 semi-annual or 4 quarterly progress reports (averaged to 3 annual progress and financial reports in the burden table).</w:t>
      </w:r>
    </w:p>
    <w:p w:rsidR="00A344B2" w:rsidRPr="00615DC9" w:rsidRDefault="002664D0" w:rsidP="00C12A08">
      <w:pPr>
        <w:pStyle w:val="ListParagraph"/>
        <w:numPr>
          <w:ilvl w:val="0"/>
          <w:numId w:val="33"/>
        </w:numPr>
        <w:spacing w:line="480" w:lineRule="auto"/>
        <w:ind w:right="547"/>
      </w:pPr>
      <w:r w:rsidRPr="00615DC9">
        <w:rPr>
          <w:b/>
          <w:i/>
        </w:rPr>
        <w:t xml:space="preserve">Quarterly and Final </w:t>
      </w:r>
      <w:r w:rsidR="009A5454" w:rsidRPr="00615DC9">
        <w:rPr>
          <w:b/>
          <w:i/>
        </w:rPr>
        <w:t>Financial Reports:</w:t>
      </w:r>
      <w:r w:rsidR="009A5454" w:rsidRPr="00615DC9">
        <w:t xml:space="preserve"> </w:t>
      </w:r>
      <w:r w:rsidR="00A344B2" w:rsidRPr="00615DC9">
        <w:t>The financial reports will be the SF-425</w:t>
      </w:r>
      <w:r w:rsidRPr="00615DC9">
        <w:t xml:space="preserve"> (SF-425, Federal Financial Report, (OMB Control Number </w:t>
      </w:r>
      <w:r w:rsidR="00615DC9" w:rsidRPr="00615DC9">
        <w:t>4040</w:t>
      </w:r>
      <w:r w:rsidRPr="00615DC9">
        <w:t>-00</w:t>
      </w:r>
      <w:r w:rsidR="00615DC9" w:rsidRPr="00615DC9">
        <w:t>14</w:t>
      </w:r>
      <w:r w:rsidRPr="00615DC9">
        <w:t xml:space="preserve">; Expiration Date:  </w:t>
      </w:r>
      <w:r w:rsidR="00615DC9" w:rsidRPr="00615DC9">
        <w:t>January 31, 2019</w:t>
      </w:r>
      <w:r w:rsidRPr="00615DC9">
        <w:t>)</w:t>
      </w:r>
      <w:r w:rsidR="00A344B2" w:rsidRPr="00615DC9">
        <w:t xml:space="preserve">, which is the short form for reporting the financial status for the previous period, with the last SF-425 serving as the final financial status report. </w:t>
      </w:r>
      <w:r w:rsidRPr="00615DC9">
        <w:t xml:space="preserve"> </w:t>
      </w:r>
      <w:r w:rsidR="00A344B2" w:rsidRPr="00615DC9">
        <w:t xml:space="preserve">These reports are routine in nature and only request necessary information to monitor the progress and funds spent during the period of performance of the grant or cooperative agreement.  </w:t>
      </w:r>
    </w:p>
    <w:p w:rsidR="00396365" w:rsidRPr="00615DC9" w:rsidRDefault="00396365" w:rsidP="004E65F5">
      <w:pPr>
        <w:ind w:left="360" w:right="-1440"/>
        <w:jc w:val="center"/>
        <w:rPr>
          <w:b/>
        </w:rPr>
      </w:pPr>
    </w:p>
    <w:p w:rsidR="00396365" w:rsidRPr="00615DC9" w:rsidRDefault="00396365" w:rsidP="00C12A08">
      <w:pPr>
        <w:ind w:left="360" w:right="-1440"/>
        <w:rPr>
          <w:b/>
        </w:rPr>
      </w:pPr>
    </w:p>
    <w:p w:rsidR="0026633A" w:rsidRPr="00615DC9" w:rsidRDefault="00D22C28" w:rsidP="0026633A">
      <w:pPr>
        <w:spacing w:line="480" w:lineRule="auto"/>
        <w:ind w:left="540" w:right="-864"/>
      </w:pPr>
      <w:r w:rsidRPr="00615DC9">
        <w:lastRenderedPageBreak/>
        <w:t>Post-award recordkeeping burden includes maintaining forms submitting during the RFA and post-award.</w:t>
      </w:r>
    </w:p>
    <w:p w:rsidR="00396365" w:rsidRPr="00615DC9" w:rsidRDefault="00396365" w:rsidP="00C12A08">
      <w:pPr>
        <w:ind w:left="540" w:right="-864"/>
      </w:pPr>
    </w:p>
    <w:p w:rsidR="0005386C" w:rsidRPr="00615DC9" w:rsidRDefault="0005386C" w:rsidP="0005386C">
      <w:pPr>
        <w:numPr>
          <w:ilvl w:val="0"/>
          <w:numId w:val="13"/>
        </w:numPr>
        <w:autoSpaceDE w:val="0"/>
        <w:autoSpaceDN w:val="0"/>
        <w:adjustRightInd w:val="0"/>
        <w:rPr>
          <w:b/>
          <w:bCs/>
        </w:rPr>
      </w:pPr>
      <w:r w:rsidRPr="00615DC9">
        <w:rPr>
          <w:b/>
          <w:bCs/>
        </w:rPr>
        <w:t>Provide estimates of annualized cost to respondents for the hour burdens for collections of information, identifying and using appropriate wage rate categories.</w:t>
      </w:r>
      <w:r w:rsidRPr="00615DC9">
        <w:tab/>
      </w:r>
    </w:p>
    <w:p w:rsidR="00C12A08" w:rsidRPr="00615DC9" w:rsidRDefault="0005386C" w:rsidP="009B7C82">
      <w:pPr>
        <w:spacing w:line="480" w:lineRule="auto"/>
        <w:ind w:left="540" w:right="-864"/>
      </w:pPr>
      <w:r w:rsidRPr="00615DC9">
        <w:tab/>
      </w:r>
    </w:p>
    <w:p w:rsidR="00881EB9" w:rsidRPr="00615DC9" w:rsidRDefault="00977E8E" w:rsidP="009B7C82">
      <w:pPr>
        <w:spacing w:line="480" w:lineRule="auto"/>
        <w:ind w:left="540" w:right="-864"/>
      </w:pPr>
      <w:r w:rsidRPr="00615DC9">
        <w:t xml:space="preserve">Wage rates were determined using </w:t>
      </w:r>
      <w:hyperlink r:id="rId13" w:history="1">
        <w:r w:rsidRPr="00615DC9">
          <w:rPr>
            <w:rStyle w:val="Hyperlink"/>
            <w:bCs/>
          </w:rPr>
          <w:t>http://www.bls.gov/bls/wages.htm</w:t>
        </w:r>
      </w:hyperlink>
      <w:r w:rsidRPr="00615DC9">
        <w:t xml:space="preserve"> website.  The </w:t>
      </w:r>
      <w:r w:rsidR="00881EB9" w:rsidRPr="00615DC9">
        <w:t xml:space="preserve">total annualized </w:t>
      </w:r>
      <w:r w:rsidRPr="00615DC9">
        <w:t xml:space="preserve">cost to respondents </w:t>
      </w:r>
      <w:r w:rsidR="00D91994" w:rsidRPr="00615DC9">
        <w:t xml:space="preserve">for the burden hours used with this submission </w:t>
      </w:r>
      <w:r w:rsidRPr="00615DC9">
        <w:t xml:space="preserve">is </w:t>
      </w:r>
      <w:r w:rsidR="00881EB9" w:rsidRPr="00615DC9">
        <w:t>$</w:t>
      </w:r>
      <w:r w:rsidR="00396FC8" w:rsidRPr="00615DC9">
        <w:t>1,786,248</w:t>
      </w:r>
      <w:r w:rsidR="00881EB9" w:rsidRPr="00615DC9">
        <w:t xml:space="preserve">. </w:t>
      </w:r>
    </w:p>
    <w:p w:rsidR="00F66032" w:rsidRPr="00615DC9" w:rsidRDefault="00ED5520" w:rsidP="00C12A08">
      <w:pPr>
        <w:ind w:right="-1440"/>
        <w:jc w:val="center"/>
      </w:pPr>
      <w:r w:rsidRPr="00615DC9">
        <w:rPr>
          <w:b/>
        </w:rPr>
        <w:t>Estimates of Annualized Cost to Respondents</w:t>
      </w: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3181"/>
        <w:gridCol w:w="1639"/>
        <w:gridCol w:w="1639"/>
        <w:gridCol w:w="2098"/>
      </w:tblGrid>
      <w:tr w:rsidR="00977E8E" w:rsidRPr="00615DC9" w:rsidTr="00D91994">
        <w:trPr>
          <w:trHeight w:val="850"/>
        </w:trPr>
        <w:tc>
          <w:tcPr>
            <w:tcW w:w="725" w:type="pct"/>
            <w:shd w:val="clear" w:color="000000" w:fill="B8CCE4"/>
            <w:vAlign w:val="center"/>
            <w:hideMark/>
          </w:tcPr>
          <w:p w:rsidR="00977E8E" w:rsidRPr="00615DC9" w:rsidRDefault="00977E8E">
            <w:pPr>
              <w:jc w:val="center"/>
              <w:rPr>
                <w:b/>
                <w:bCs/>
                <w:color w:val="000000"/>
                <w:sz w:val="22"/>
                <w:szCs w:val="22"/>
              </w:rPr>
            </w:pPr>
            <w:r w:rsidRPr="00615DC9">
              <w:rPr>
                <w:b/>
                <w:bCs/>
                <w:color w:val="000000"/>
                <w:sz w:val="22"/>
                <w:szCs w:val="22"/>
              </w:rPr>
              <w:t>Type of Applicant</w:t>
            </w:r>
          </w:p>
        </w:tc>
        <w:tc>
          <w:tcPr>
            <w:tcW w:w="1589" w:type="pct"/>
            <w:shd w:val="clear" w:color="000000" w:fill="B8CCE4"/>
            <w:vAlign w:val="center"/>
          </w:tcPr>
          <w:p w:rsidR="00977E8E" w:rsidRPr="00615DC9" w:rsidRDefault="00977E8E">
            <w:pPr>
              <w:jc w:val="center"/>
              <w:rPr>
                <w:b/>
                <w:bCs/>
                <w:color w:val="000000"/>
                <w:sz w:val="22"/>
                <w:szCs w:val="22"/>
              </w:rPr>
            </w:pPr>
            <w:r w:rsidRPr="00615DC9">
              <w:rPr>
                <w:b/>
                <w:bCs/>
                <w:color w:val="000000"/>
                <w:sz w:val="22"/>
                <w:szCs w:val="22"/>
              </w:rPr>
              <w:t>BLS Category</w:t>
            </w:r>
          </w:p>
        </w:tc>
        <w:tc>
          <w:tcPr>
            <w:tcW w:w="819" w:type="pct"/>
            <w:shd w:val="clear" w:color="000000" w:fill="B8CCE4"/>
            <w:vAlign w:val="center"/>
            <w:hideMark/>
          </w:tcPr>
          <w:p w:rsidR="00977E8E" w:rsidRPr="00615DC9" w:rsidRDefault="00977E8E">
            <w:pPr>
              <w:jc w:val="center"/>
              <w:rPr>
                <w:b/>
                <w:bCs/>
                <w:color w:val="000000"/>
                <w:sz w:val="22"/>
                <w:szCs w:val="22"/>
              </w:rPr>
            </w:pPr>
            <w:r w:rsidRPr="00615DC9">
              <w:rPr>
                <w:b/>
                <w:bCs/>
                <w:color w:val="000000"/>
                <w:sz w:val="22"/>
                <w:szCs w:val="22"/>
              </w:rPr>
              <w:t>Hourly Wage Rate</w:t>
            </w:r>
          </w:p>
        </w:tc>
        <w:tc>
          <w:tcPr>
            <w:tcW w:w="819" w:type="pct"/>
            <w:shd w:val="clear" w:color="000000" w:fill="B8CCE4"/>
            <w:vAlign w:val="center"/>
          </w:tcPr>
          <w:p w:rsidR="00977E8E" w:rsidRPr="00615DC9" w:rsidRDefault="00977E8E">
            <w:pPr>
              <w:jc w:val="center"/>
              <w:rPr>
                <w:b/>
                <w:bCs/>
                <w:color w:val="000000"/>
                <w:sz w:val="22"/>
                <w:szCs w:val="22"/>
              </w:rPr>
            </w:pPr>
            <w:r w:rsidRPr="00615DC9">
              <w:rPr>
                <w:b/>
                <w:bCs/>
                <w:color w:val="000000"/>
                <w:sz w:val="22"/>
                <w:szCs w:val="22"/>
              </w:rPr>
              <w:t>Burden Hours</w:t>
            </w:r>
          </w:p>
        </w:tc>
        <w:tc>
          <w:tcPr>
            <w:tcW w:w="1049" w:type="pct"/>
            <w:shd w:val="clear" w:color="000000" w:fill="B8CCE4"/>
            <w:vAlign w:val="center"/>
          </w:tcPr>
          <w:p w:rsidR="00977E8E" w:rsidRPr="00615DC9" w:rsidRDefault="00977E8E">
            <w:pPr>
              <w:jc w:val="center"/>
              <w:rPr>
                <w:b/>
                <w:bCs/>
                <w:color w:val="000000"/>
                <w:sz w:val="22"/>
                <w:szCs w:val="22"/>
              </w:rPr>
            </w:pPr>
            <w:r w:rsidRPr="00615DC9">
              <w:rPr>
                <w:b/>
                <w:bCs/>
                <w:color w:val="000000"/>
                <w:sz w:val="22"/>
                <w:szCs w:val="22"/>
              </w:rPr>
              <w:t>Estimated Annual Cost</w:t>
            </w:r>
          </w:p>
        </w:tc>
      </w:tr>
      <w:tr w:rsidR="00977E8E" w:rsidRPr="00615DC9" w:rsidTr="00D91994">
        <w:trPr>
          <w:trHeight w:val="422"/>
        </w:trPr>
        <w:tc>
          <w:tcPr>
            <w:tcW w:w="725" w:type="pct"/>
            <w:shd w:val="clear" w:color="auto" w:fill="auto"/>
            <w:vAlign w:val="center"/>
          </w:tcPr>
          <w:p w:rsidR="00977E8E" w:rsidRPr="00615DC9" w:rsidRDefault="00977E8E">
            <w:pPr>
              <w:jc w:val="center"/>
              <w:rPr>
                <w:color w:val="000000"/>
                <w:sz w:val="22"/>
                <w:szCs w:val="22"/>
              </w:rPr>
            </w:pPr>
            <w:r w:rsidRPr="00615DC9">
              <w:rPr>
                <w:color w:val="000000"/>
                <w:sz w:val="22"/>
                <w:szCs w:val="22"/>
              </w:rPr>
              <w:t xml:space="preserve">State &amp; Local Government </w:t>
            </w:r>
          </w:p>
        </w:tc>
        <w:tc>
          <w:tcPr>
            <w:tcW w:w="1589" w:type="pct"/>
            <w:vAlign w:val="center"/>
          </w:tcPr>
          <w:p w:rsidR="00977E8E" w:rsidRPr="00615DC9" w:rsidRDefault="00977E8E" w:rsidP="00C12A08">
            <w:pPr>
              <w:rPr>
                <w:color w:val="000000"/>
                <w:sz w:val="22"/>
                <w:szCs w:val="22"/>
              </w:rPr>
            </w:pPr>
            <w:r w:rsidRPr="00615DC9">
              <w:rPr>
                <w:color w:val="000000"/>
                <w:sz w:val="22"/>
                <w:szCs w:val="22"/>
              </w:rPr>
              <w:t>11-9032 Education Administrators, Elementary and Secondary School  - Average of State and Local Government</w:t>
            </w:r>
          </w:p>
        </w:tc>
        <w:tc>
          <w:tcPr>
            <w:tcW w:w="819" w:type="pct"/>
            <w:shd w:val="clear" w:color="auto" w:fill="auto"/>
            <w:noWrap/>
            <w:vAlign w:val="center"/>
          </w:tcPr>
          <w:p w:rsidR="00977E8E" w:rsidRPr="00615DC9" w:rsidRDefault="00977E8E">
            <w:pPr>
              <w:jc w:val="center"/>
              <w:rPr>
                <w:color w:val="000000"/>
                <w:sz w:val="22"/>
                <w:szCs w:val="22"/>
              </w:rPr>
            </w:pPr>
            <w:r w:rsidRPr="00615DC9">
              <w:rPr>
                <w:color w:val="000000"/>
                <w:sz w:val="22"/>
                <w:szCs w:val="22"/>
              </w:rPr>
              <w:t xml:space="preserve">$42.16 </w:t>
            </w:r>
          </w:p>
        </w:tc>
        <w:tc>
          <w:tcPr>
            <w:tcW w:w="819" w:type="pct"/>
            <w:vMerge w:val="restart"/>
          </w:tcPr>
          <w:p w:rsidR="00396FC8" w:rsidRPr="00615DC9" w:rsidRDefault="00396FC8" w:rsidP="00396FC8">
            <w:pPr>
              <w:jc w:val="center"/>
              <w:rPr>
                <w:bCs/>
                <w:color w:val="000000"/>
                <w:sz w:val="22"/>
                <w:szCs w:val="22"/>
              </w:rPr>
            </w:pPr>
            <w:r w:rsidRPr="00615DC9">
              <w:rPr>
                <w:bCs/>
                <w:color w:val="000000"/>
                <w:sz w:val="22"/>
                <w:szCs w:val="22"/>
              </w:rPr>
              <w:t xml:space="preserve">      </w:t>
            </w:r>
            <w:r w:rsidR="00D91994" w:rsidRPr="00615DC9">
              <w:rPr>
                <w:bCs/>
                <w:color w:val="000000"/>
                <w:sz w:val="22"/>
                <w:szCs w:val="22"/>
              </w:rPr>
              <w:t>24,787</w:t>
            </w:r>
            <w:r w:rsidRPr="00615DC9">
              <w:rPr>
                <w:bCs/>
                <w:color w:val="000000"/>
                <w:sz w:val="22"/>
                <w:szCs w:val="22"/>
              </w:rPr>
              <w:t xml:space="preserve"> </w:t>
            </w:r>
          </w:p>
          <w:p w:rsidR="00977E8E" w:rsidRPr="00615DC9" w:rsidRDefault="00977E8E">
            <w:pPr>
              <w:jc w:val="center"/>
              <w:rPr>
                <w:color w:val="000000"/>
                <w:sz w:val="22"/>
                <w:szCs w:val="22"/>
              </w:rPr>
            </w:pPr>
          </w:p>
        </w:tc>
        <w:tc>
          <w:tcPr>
            <w:tcW w:w="1049" w:type="pct"/>
            <w:vMerge w:val="restart"/>
          </w:tcPr>
          <w:p w:rsidR="00D91994" w:rsidRPr="00615DC9" w:rsidRDefault="00D91994" w:rsidP="00D91994">
            <w:pPr>
              <w:jc w:val="center"/>
              <w:rPr>
                <w:color w:val="000000"/>
                <w:sz w:val="22"/>
                <w:szCs w:val="22"/>
              </w:rPr>
            </w:pPr>
            <w:r w:rsidRPr="00615DC9">
              <w:rPr>
                <w:color w:val="000000"/>
                <w:sz w:val="22"/>
                <w:szCs w:val="22"/>
              </w:rPr>
              <w:t xml:space="preserve">$   1,072,546.47 </w:t>
            </w:r>
          </w:p>
          <w:p w:rsidR="00396FC8" w:rsidRPr="00615DC9" w:rsidRDefault="00396FC8" w:rsidP="00396FC8">
            <w:pPr>
              <w:jc w:val="center"/>
              <w:rPr>
                <w:color w:val="000000"/>
                <w:sz w:val="22"/>
                <w:szCs w:val="22"/>
              </w:rPr>
            </w:pPr>
          </w:p>
          <w:p w:rsidR="00977E8E" w:rsidRPr="00615DC9" w:rsidRDefault="00977E8E">
            <w:pPr>
              <w:jc w:val="center"/>
              <w:rPr>
                <w:color w:val="000000"/>
                <w:sz w:val="22"/>
                <w:szCs w:val="22"/>
              </w:rPr>
            </w:pPr>
          </w:p>
        </w:tc>
      </w:tr>
      <w:tr w:rsidR="00977E8E" w:rsidRPr="00615DC9" w:rsidTr="00D91994">
        <w:trPr>
          <w:trHeight w:val="350"/>
        </w:trPr>
        <w:tc>
          <w:tcPr>
            <w:tcW w:w="725" w:type="pct"/>
            <w:shd w:val="clear" w:color="auto" w:fill="auto"/>
            <w:vAlign w:val="center"/>
          </w:tcPr>
          <w:p w:rsidR="00977E8E" w:rsidRPr="00615DC9" w:rsidRDefault="00977E8E">
            <w:pPr>
              <w:jc w:val="center"/>
              <w:rPr>
                <w:color w:val="000000"/>
                <w:sz w:val="22"/>
                <w:szCs w:val="22"/>
              </w:rPr>
            </w:pPr>
            <w:r w:rsidRPr="00615DC9">
              <w:rPr>
                <w:color w:val="000000"/>
                <w:sz w:val="22"/>
                <w:szCs w:val="22"/>
              </w:rPr>
              <w:t xml:space="preserve">School &amp; School Districts </w:t>
            </w:r>
          </w:p>
        </w:tc>
        <w:tc>
          <w:tcPr>
            <w:tcW w:w="1589" w:type="pct"/>
            <w:vAlign w:val="center"/>
          </w:tcPr>
          <w:p w:rsidR="00977E8E" w:rsidRPr="00615DC9" w:rsidRDefault="00977E8E" w:rsidP="00C12A08">
            <w:pPr>
              <w:rPr>
                <w:color w:val="000000"/>
                <w:sz w:val="22"/>
                <w:szCs w:val="22"/>
              </w:rPr>
            </w:pPr>
            <w:r w:rsidRPr="00615DC9">
              <w:rPr>
                <w:color w:val="000000"/>
                <w:sz w:val="22"/>
                <w:szCs w:val="22"/>
              </w:rPr>
              <w:t>11-9032 Education Administrators, Elementary and Secondary School - Elementary and Secondary Schools</w:t>
            </w:r>
          </w:p>
        </w:tc>
        <w:tc>
          <w:tcPr>
            <w:tcW w:w="819" w:type="pct"/>
            <w:shd w:val="clear" w:color="auto" w:fill="auto"/>
            <w:noWrap/>
            <w:vAlign w:val="center"/>
          </w:tcPr>
          <w:p w:rsidR="00977E8E" w:rsidRPr="00615DC9" w:rsidRDefault="00977E8E">
            <w:pPr>
              <w:jc w:val="center"/>
              <w:rPr>
                <w:color w:val="000000"/>
                <w:sz w:val="22"/>
                <w:szCs w:val="22"/>
              </w:rPr>
            </w:pPr>
            <w:r w:rsidRPr="00615DC9">
              <w:rPr>
                <w:color w:val="000000"/>
                <w:sz w:val="22"/>
                <w:szCs w:val="22"/>
              </w:rPr>
              <w:t xml:space="preserve">$43.44 </w:t>
            </w:r>
          </w:p>
        </w:tc>
        <w:tc>
          <w:tcPr>
            <w:tcW w:w="819" w:type="pct"/>
            <w:vMerge/>
          </w:tcPr>
          <w:p w:rsidR="00977E8E" w:rsidRPr="00615DC9" w:rsidRDefault="00977E8E">
            <w:pPr>
              <w:jc w:val="center"/>
              <w:rPr>
                <w:color w:val="000000"/>
                <w:sz w:val="22"/>
                <w:szCs w:val="22"/>
              </w:rPr>
            </w:pPr>
          </w:p>
        </w:tc>
        <w:tc>
          <w:tcPr>
            <w:tcW w:w="1049" w:type="pct"/>
            <w:vMerge/>
          </w:tcPr>
          <w:p w:rsidR="00977E8E" w:rsidRPr="00615DC9" w:rsidRDefault="00977E8E">
            <w:pPr>
              <w:jc w:val="center"/>
              <w:rPr>
                <w:color w:val="000000"/>
                <w:sz w:val="22"/>
                <w:szCs w:val="22"/>
              </w:rPr>
            </w:pPr>
          </w:p>
        </w:tc>
      </w:tr>
      <w:tr w:rsidR="00977E8E" w:rsidRPr="00615DC9" w:rsidTr="00D91994">
        <w:trPr>
          <w:trHeight w:val="440"/>
        </w:trPr>
        <w:tc>
          <w:tcPr>
            <w:tcW w:w="725" w:type="pct"/>
            <w:shd w:val="clear" w:color="auto" w:fill="auto"/>
            <w:vAlign w:val="center"/>
          </w:tcPr>
          <w:p w:rsidR="00977E8E" w:rsidRPr="00615DC9" w:rsidRDefault="00977E8E">
            <w:pPr>
              <w:jc w:val="center"/>
              <w:rPr>
                <w:color w:val="000000"/>
                <w:sz w:val="22"/>
                <w:szCs w:val="22"/>
              </w:rPr>
            </w:pPr>
            <w:r w:rsidRPr="00615DC9">
              <w:rPr>
                <w:color w:val="000000"/>
                <w:sz w:val="22"/>
                <w:szCs w:val="22"/>
              </w:rPr>
              <w:t xml:space="preserve">Universities </w:t>
            </w:r>
          </w:p>
        </w:tc>
        <w:tc>
          <w:tcPr>
            <w:tcW w:w="1589" w:type="pct"/>
            <w:vAlign w:val="center"/>
          </w:tcPr>
          <w:p w:rsidR="00977E8E" w:rsidRPr="00615DC9" w:rsidRDefault="00977E8E" w:rsidP="00C12A08">
            <w:pPr>
              <w:rPr>
                <w:color w:val="000000"/>
                <w:sz w:val="22"/>
                <w:szCs w:val="22"/>
              </w:rPr>
            </w:pPr>
            <w:r w:rsidRPr="00615DC9">
              <w:rPr>
                <w:color w:val="000000"/>
                <w:sz w:val="22"/>
                <w:szCs w:val="22"/>
              </w:rPr>
              <w:t>11-9033 Education Administrators, Postsecondary—Junior College</w:t>
            </w:r>
          </w:p>
        </w:tc>
        <w:tc>
          <w:tcPr>
            <w:tcW w:w="819" w:type="pct"/>
            <w:shd w:val="clear" w:color="auto" w:fill="auto"/>
            <w:noWrap/>
            <w:vAlign w:val="center"/>
          </w:tcPr>
          <w:p w:rsidR="00977E8E" w:rsidRPr="00615DC9" w:rsidRDefault="00977E8E">
            <w:pPr>
              <w:jc w:val="center"/>
              <w:rPr>
                <w:color w:val="000000"/>
                <w:sz w:val="22"/>
                <w:szCs w:val="22"/>
              </w:rPr>
            </w:pPr>
            <w:r w:rsidRPr="00615DC9">
              <w:rPr>
                <w:color w:val="000000"/>
                <w:sz w:val="22"/>
                <w:szCs w:val="22"/>
              </w:rPr>
              <w:t xml:space="preserve">$40.61 </w:t>
            </w:r>
          </w:p>
        </w:tc>
        <w:tc>
          <w:tcPr>
            <w:tcW w:w="819" w:type="pct"/>
            <w:vMerge/>
          </w:tcPr>
          <w:p w:rsidR="00977E8E" w:rsidRPr="00615DC9" w:rsidRDefault="00977E8E">
            <w:pPr>
              <w:jc w:val="center"/>
              <w:rPr>
                <w:color w:val="000000"/>
                <w:sz w:val="22"/>
                <w:szCs w:val="22"/>
              </w:rPr>
            </w:pPr>
          </w:p>
        </w:tc>
        <w:tc>
          <w:tcPr>
            <w:tcW w:w="1049" w:type="pct"/>
            <w:vMerge/>
          </w:tcPr>
          <w:p w:rsidR="00977E8E" w:rsidRPr="00615DC9" w:rsidRDefault="00977E8E">
            <w:pPr>
              <w:jc w:val="center"/>
              <w:rPr>
                <w:color w:val="000000"/>
                <w:sz w:val="22"/>
                <w:szCs w:val="22"/>
              </w:rPr>
            </w:pPr>
          </w:p>
        </w:tc>
      </w:tr>
      <w:tr w:rsidR="00977E8E" w:rsidRPr="00615DC9" w:rsidTr="00D91994">
        <w:trPr>
          <w:trHeight w:val="440"/>
        </w:trPr>
        <w:tc>
          <w:tcPr>
            <w:tcW w:w="725" w:type="pct"/>
            <w:shd w:val="clear" w:color="auto" w:fill="auto"/>
            <w:vAlign w:val="center"/>
            <w:hideMark/>
          </w:tcPr>
          <w:p w:rsidR="00977E8E" w:rsidRPr="00615DC9" w:rsidRDefault="00977E8E">
            <w:pPr>
              <w:jc w:val="center"/>
              <w:rPr>
                <w:color w:val="000000"/>
                <w:sz w:val="22"/>
                <w:szCs w:val="22"/>
              </w:rPr>
            </w:pPr>
            <w:r w:rsidRPr="00615DC9">
              <w:rPr>
                <w:color w:val="000000"/>
                <w:sz w:val="22"/>
                <w:szCs w:val="22"/>
              </w:rPr>
              <w:t xml:space="preserve">Indian Tribal Governments </w:t>
            </w:r>
          </w:p>
        </w:tc>
        <w:tc>
          <w:tcPr>
            <w:tcW w:w="1589" w:type="pct"/>
            <w:vAlign w:val="center"/>
          </w:tcPr>
          <w:p w:rsidR="00977E8E" w:rsidRPr="00615DC9" w:rsidRDefault="00977E8E" w:rsidP="00C12A08">
            <w:pPr>
              <w:rPr>
                <w:color w:val="000000"/>
                <w:sz w:val="22"/>
                <w:szCs w:val="22"/>
              </w:rPr>
            </w:pPr>
            <w:r w:rsidRPr="00615DC9">
              <w:rPr>
                <w:color w:val="000000"/>
                <w:sz w:val="22"/>
                <w:szCs w:val="22"/>
              </w:rPr>
              <w:t>11-9032 Education Administrators, Elementary and Secondary School  - Local Government</w:t>
            </w:r>
          </w:p>
        </w:tc>
        <w:tc>
          <w:tcPr>
            <w:tcW w:w="819" w:type="pct"/>
            <w:shd w:val="clear" w:color="auto" w:fill="auto"/>
            <w:noWrap/>
            <w:vAlign w:val="center"/>
            <w:hideMark/>
          </w:tcPr>
          <w:p w:rsidR="00977E8E" w:rsidRPr="00615DC9" w:rsidRDefault="00977E8E">
            <w:pPr>
              <w:jc w:val="center"/>
              <w:rPr>
                <w:color w:val="000000"/>
                <w:sz w:val="22"/>
                <w:szCs w:val="22"/>
              </w:rPr>
            </w:pPr>
            <w:r w:rsidRPr="00615DC9">
              <w:rPr>
                <w:color w:val="000000"/>
                <w:sz w:val="22"/>
                <w:szCs w:val="22"/>
              </w:rPr>
              <w:t xml:space="preserve">$46.85 </w:t>
            </w:r>
          </w:p>
        </w:tc>
        <w:tc>
          <w:tcPr>
            <w:tcW w:w="819" w:type="pct"/>
            <w:vMerge/>
          </w:tcPr>
          <w:p w:rsidR="00977E8E" w:rsidRPr="00615DC9" w:rsidRDefault="00977E8E">
            <w:pPr>
              <w:jc w:val="center"/>
              <w:rPr>
                <w:color w:val="000000"/>
                <w:sz w:val="22"/>
                <w:szCs w:val="22"/>
              </w:rPr>
            </w:pPr>
          </w:p>
        </w:tc>
        <w:tc>
          <w:tcPr>
            <w:tcW w:w="1049" w:type="pct"/>
            <w:vMerge/>
          </w:tcPr>
          <w:p w:rsidR="00977E8E" w:rsidRPr="00615DC9" w:rsidRDefault="00977E8E">
            <w:pPr>
              <w:jc w:val="center"/>
              <w:rPr>
                <w:color w:val="000000"/>
                <w:sz w:val="22"/>
                <w:szCs w:val="22"/>
              </w:rPr>
            </w:pPr>
          </w:p>
        </w:tc>
      </w:tr>
      <w:tr w:rsidR="00977E8E" w:rsidRPr="00615DC9" w:rsidTr="00D91994">
        <w:trPr>
          <w:trHeight w:val="620"/>
        </w:trPr>
        <w:tc>
          <w:tcPr>
            <w:tcW w:w="2314" w:type="pct"/>
            <w:gridSpan w:val="2"/>
            <w:shd w:val="clear" w:color="auto" w:fill="auto"/>
            <w:vAlign w:val="center"/>
          </w:tcPr>
          <w:p w:rsidR="00977E8E" w:rsidRPr="00615DC9" w:rsidRDefault="00977E8E" w:rsidP="00C12A08">
            <w:pPr>
              <w:rPr>
                <w:b/>
                <w:color w:val="000000"/>
                <w:sz w:val="22"/>
                <w:szCs w:val="22"/>
              </w:rPr>
            </w:pPr>
            <w:r w:rsidRPr="00615DC9">
              <w:rPr>
                <w:b/>
                <w:color w:val="000000"/>
                <w:sz w:val="22"/>
                <w:szCs w:val="22"/>
              </w:rPr>
              <w:t>SLT Average Wage</w:t>
            </w:r>
          </w:p>
        </w:tc>
        <w:tc>
          <w:tcPr>
            <w:tcW w:w="819" w:type="pct"/>
            <w:shd w:val="clear" w:color="auto" w:fill="auto"/>
            <w:noWrap/>
            <w:vAlign w:val="center"/>
          </w:tcPr>
          <w:p w:rsidR="00977E8E" w:rsidRPr="00615DC9" w:rsidRDefault="00977E8E">
            <w:pPr>
              <w:jc w:val="center"/>
              <w:rPr>
                <w:b/>
                <w:color w:val="000000"/>
                <w:sz w:val="22"/>
                <w:szCs w:val="22"/>
              </w:rPr>
            </w:pPr>
            <w:r w:rsidRPr="00615DC9">
              <w:rPr>
                <w:b/>
                <w:color w:val="000000"/>
                <w:sz w:val="22"/>
                <w:szCs w:val="22"/>
              </w:rPr>
              <w:t>$43.27</w:t>
            </w:r>
          </w:p>
        </w:tc>
        <w:tc>
          <w:tcPr>
            <w:tcW w:w="819" w:type="pct"/>
            <w:vMerge/>
          </w:tcPr>
          <w:p w:rsidR="00977E8E" w:rsidRPr="00615DC9" w:rsidRDefault="00977E8E" w:rsidP="00977E8E">
            <w:pPr>
              <w:jc w:val="center"/>
              <w:rPr>
                <w:color w:val="000000"/>
                <w:sz w:val="22"/>
                <w:szCs w:val="22"/>
              </w:rPr>
            </w:pPr>
          </w:p>
        </w:tc>
        <w:tc>
          <w:tcPr>
            <w:tcW w:w="1049" w:type="pct"/>
            <w:vMerge/>
          </w:tcPr>
          <w:p w:rsidR="00977E8E" w:rsidRPr="00615DC9" w:rsidRDefault="00977E8E" w:rsidP="00977E8E">
            <w:pPr>
              <w:jc w:val="center"/>
              <w:rPr>
                <w:color w:val="000000"/>
                <w:sz w:val="22"/>
                <w:szCs w:val="22"/>
              </w:rPr>
            </w:pPr>
          </w:p>
        </w:tc>
      </w:tr>
      <w:tr w:rsidR="00977E8E" w:rsidRPr="00615DC9" w:rsidTr="00D91994">
        <w:trPr>
          <w:trHeight w:val="440"/>
        </w:trPr>
        <w:tc>
          <w:tcPr>
            <w:tcW w:w="725" w:type="pct"/>
            <w:shd w:val="clear" w:color="auto" w:fill="auto"/>
            <w:vAlign w:val="center"/>
            <w:hideMark/>
          </w:tcPr>
          <w:p w:rsidR="00977E8E" w:rsidRPr="00615DC9" w:rsidRDefault="00977E8E">
            <w:pPr>
              <w:jc w:val="center"/>
              <w:rPr>
                <w:color w:val="000000"/>
                <w:sz w:val="22"/>
                <w:szCs w:val="22"/>
              </w:rPr>
            </w:pPr>
            <w:r w:rsidRPr="00615DC9">
              <w:rPr>
                <w:color w:val="000000"/>
                <w:sz w:val="22"/>
                <w:szCs w:val="22"/>
              </w:rPr>
              <w:t xml:space="preserve">Non-profit Organizations </w:t>
            </w:r>
          </w:p>
        </w:tc>
        <w:tc>
          <w:tcPr>
            <w:tcW w:w="1589" w:type="pct"/>
            <w:vAlign w:val="center"/>
          </w:tcPr>
          <w:p w:rsidR="00977E8E" w:rsidRPr="00615DC9" w:rsidRDefault="00977E8E" w:rsidP="00C12A08">
            <w:pPr>
              <w:rPr>
                <w:color w:val="000000"/>
                <w:sz w:val="22"/>
                <w:szCs w:val="22"/>
              </w:rPr>
            </w:pPr>
            <w:r w:rsidRPr="00615DC9">
              <w:rPr>
                <w:color w:val="000000"/>
                <w:sz w:val="22"/>
                <w:szCs w:val="22"/>
              </w:rPr>
              <w:t>21-0000 Community and Social Service Occupations</w:t>
            </w:r>
          </w:p>
        </w:tc>
        <w:tc>
          <w:tcPr>
            <w:tcW w:w="819" w:type="pct"/>
            <w:shd w:val="clear" w:color="auto" w:fill="auto"/>
            <w:noWrap/>
            <w:vAlign w:val="center"/>
            <w:hideMark/>
          </w:tcPr>
          <w:p w:rsidR="00977E8E" w:rsidRPr="00615DC9" w:rsidRDefault="00977E8E">
            <w:pPr>
              <w:jc w:val="center"/>
              <w:rPr>
                <w:color w:val="000000"/>
                <w:sz w:val="22"/>
                <w:szCs w:val="22"/>
              </w:rPr>
            </w:pPr>
            <w:r w:rsidRPr="00615DC9">
              <w:rPr>
                <w:color w:val="000000"/>
                <w:sz w:val="22"/>
                <w:szCs w:val="22"/>
              </w:rPr>
              <w:t xml:space="preserve">$21.07 </w:t>
            </w:r>
          </w:p>
        </w:tc>
        <w:tc>
          <w:tcPr>
            <w:tcW w:w="819" w:type="pct"/>
            <w:vMerge w:val="restart"/>
          </w:tcPr>
          <w:p w:rsidR="00D91994" w:rsidRPr="00615DC9" w:rsidRDefault="00D91994" w:rsidP="00D91994">
            <w:pPr>
              <w:jc w:val="center"/>
              <w:rPr>
                <w:bCs/>
                <w:color w:val="000000"/>
                <w:sz w:val="22"/>
                <w:szCs w:val="22"/>
              </w:rPr>
            </w:pPr>
            <w:r w:rsidRPr="00615DC9">
              <w:rPr>
                <w:bCs/>
                <w:color w:val="000000"/>
                <w:sz w:val="22"/>
                <w:szCs w:val="22"/>
              </w:rPr>
              <w:t xml:space="preserve">       15,852.46 </w:t>
            </w:r>
          </w:p>
          <w:p w:rsidR="00977E8E" w:rsidRPr="00615DC9" w:rsidRDefault="00977E8E">
            <w:pPr>
              <w:jc w:val="center"/>
              <w:rPr>
                <w:color w:val="000000"/>
                <w:sz w:val="22"/>
                <w:szCs w:val="22"/>
              </w:rPr>
            </w:pPr>
          </w:p>
        </w:tc>
        <w:tc>
          <w:tcPr>
            <w:tcW w:w="1049" w:type="pct"/>
            <w:vMerge w:val="restart"/>
          </w:tcPr>
          <w:p w:rsidR="00D91994" w:rsidRPr="00615DC9" w:rsidRDefault="00D91994" w:rsidP="00D91994">
            <w:pPr>
              <w:jc w:val="center"/>
              <w:rPr>
                <w:color w:val="000000"/>
                <w:sz w:val="22"/>
                <w:szCs w:val="22"/>
              </w:rPr>
            </w:pPr>
            <w:r w:rsidRPr="00615DC9">
              <w:rPr>
                <w:color w:val="000000"/>
                <w:sz w:val="22"/>
                <w:szCs w:val="22"/>
              </w:rPr>
              <w:t xml:space="preserve">$ 334,011.33 </w:t>
            </w:r>
          </w:p>
          <w:p w:rsidR="00977E8E" w:rsidRPr="00615DC9" w:rsidRDefault="00977E8E">
            <w:pPr>
              <w:jc w:val="center"/>
              <w:rPr>
                <w:color w:val="000000"/>
                <w:sz w:val="22"/>
                <w:szCs w:val="22"/>
              </w:rPr>
            </w:pPr>
          </w:p>
        </w:tc>
      </w:tr>
      <w:tr w:rsidR="00977E8E" w:rsidRPr="00615DC9" w:rsidTr="00D91994">
        <w:trPr>
          <w:trHeight w:val="143"/>
        </w:trPr>
        <w:tc>
          <w:tcPr>
            <w:tcW w:w="725" w:type="pct"/>
            <w:shd w:val="clear" w:color="auto" w:fill="auto"/>
            <w:vAlign w:val="center"/>
            <w:hideMark/>
          </w:tcPr>
          <w:p w:rsidR="00977E8E" w:rsidRPr="00615DC9" w:rsidRDefault="00977E8E">
            <w:pPr>
              <w:jc w:val="center"/>
              <w:rPr>
                <w:color w:val="000000"/>
                <w:sz w:val="22"/>
                <w:szCs w:val="22"/>
              </w:rPr>
            </w:pPr>
            <w:r w:rsidRPr="00615DC9">
              <w:rPr>
                <w:color w:val="000000"/>
                <w:sz w:val="22"/>
                <w:szCs w:val="22"/>
              </w:rPr>
              <w:t xml:space="preserve">Producer Groups </w:t>
            </w:r>
          </w:p>
        </w:tc>
        <w:tc>
          <w:tcPr>
            <w:tcW w:w="1589" w:type="pct"/>
            <w:vAlign w:val="center"/>
          </w:tcPr>
          <w:p w:rsidR="00977E8E" w:rsidRPr="00615DC9" w:rsidRDefault="00977E8E" w:rsidP="00C12A08">
            <w:pPr>
              <w:rPr>
                <w:color w:val="000000"/>
                <w:sz w:val="22"/>
                <w:szCs w:val="22"/>
              </w:rPr>
            </w:pPr>
            <w:r w:rsidRPr="00615DC9">
              <w:rPr>
                <w:color w:val="000000"/>
                <w:sz w:val="22"/>
                <w:szCs w:val="22"/>
              </w:rPr>
              <w:t>21-0000 Community and Social Service Occupations</w:t>
            </w:r>
          </w:p>
        </w:tc>
        <w:tc>
          <w:tcPr>
            <w:tcW w:w="819" w:type="pct"/>
            <w:shd w:val="clear" w:color="auto" w:fill="auto"/>
            <w:noWrap/>
            <w:vAlign w:val="center"/>
            <w:hideMark/>
          </w:tcPr>
          <w:p w:rsidR="00977E8E" w:rsidRPr="00615DC9" w:rsidRDefault="00977E8E">
            <w:pPr>
              <w:jc w:val="center"/>
              <w:rPr>
                <w:color w:val="000000"/>
                <w:sz w:val="22"/>
                <w:szCs w:val="22"/>
              </w:rPr>
            </w:pPr>
            <w:r w:rsidRPr="00615DC9">
              <w:rPr>
                <w:color w:val="000000"/>
                <w:sz w:val="22"/>
                <w:szCs w:val="22"/>
              </w:rPr>
              <w:t xml:space="preserve">$21.07 </w:t>
            </w:r>
          </w:p>
        </w:tc>
        <w:tc>
          <w:tcPr>
            <w:tcW w:w="819" w:type="pct"/>
            <w:vMerge/>
          </w:tcPr>
          <w:p w:rsidR="00977E8E" w:rsidRPr="00615DC9" w:rsidRDefault="00977E8E">
            <w:pPr>
              <w:jc w:val="center"/>
              <w:rPr>
                <w:color w:val="000000"/>
                <w:sz w:val="22"/>
                <w:szCs w:val="22"/>
              </w:rPr>
            </w:pPr>
          </w:p>
        </w:tc>
        <w:tc>
          <w:tcPr>
            <w:tcW w:w="1049" w:type="pct"/>
            <w:vMerge/>
          </w:tcPr>
          <w:p w:rsidR="00977E8E" w:rsidRPr="00615DC9" w:rsidRDefault="00977E8E">
            <w:pPr>
              <w:jc w:val="center"/>
              <w:rPr>
                <w:color w:val="000000"/>
                <w:sz w:val="22"/>
                <w:szCs w:val="22"/>
              </w:rPr>
            </w:pPr>
          </w:p>
        </w:tc>
      </w:tr>
      <w:tr w:rsidR="00977E8E" w:rsidRPr="00615DC9" w:rsidTr="00D91994">
        <w:trPr>
          <w:trHeight w:val="143"/>
        </w:trPr>
        <w:tc>
          <w:tcPr>
            <w:tcW w:w="2314" w:type="pct"/>
            <w:gridSpan w:val="2"/>
            <w:shd w:val="clear" w:color="auto" w:fill="auto"/>
            <w:vAlign w:val="center"/>
          </w:tcPr>
          <w:p w:rsidR="00977E8E" w:rsidRPr="00615DC9" w:rsidRDefault="00977E8E" w:rsidP="00C12A08">
            <w:pPr>
              <w:rPr>
                <w:b/>
                <w:color w:val="000000"/>
                <w:sz w:val="22"/>
                <w:szCs w:val="22"/>
              </w:rPr>
            </w:pPr>
            <w:r w:rsidRPr="00615DC9">
              <w:rPr>
                <w:b/>
                <w:color w:val="000000"/>
                <w:sz w:val="22"/>
                <w:szCs w:val="22"/>
              </w:rPr>
              <w:t>Business Average Wage</w:t>
            </w:r>
          </w:p>
        </w:tc>
        <w:tc>
          <w:tcPr>
            <w:tcW w:w="819" w:type="pct"/>
            <w:shd w:val="clear" w:color="auto" w:fill="auto"/>
            <w:noWrap/>
            <w:vAlign w:val="center"/>
          </w:tcPr>
          <w:p w:rsidR="00977E8E" w:rsidRPr="00615DC9" w:rsidRDefault="00977E8E">
            <w:pPr>
              <w:jc w:val="center"/>
              <w:rPr>
                <w:b/>
                <w:color w:val="000000"/>
                <w:sz w:val="22"/>
                <w:szCs w:val="22"/>
              </w:rPr>
            </w:pPr>
            <w:r w:rsidRPr="00615DC9">
              <w:rPr>
                <w:b/>
                <w:color w:val="000000"/>
                <w:sz w:val="22"/>
                <w:szCs w:val="22"/>
              </w:rPr>
              <w:t>21.07</w:t>
            </w:r>
          </w:p>
        </w:tc>
        <w:tc>
          <w:tcPr>
            <w:tcW w:w="819" w:type="pct"/>
            <w:vMerge/>
          </w:tcPr>
          <w:p w:rsidR="00977E8E" w:rsidRPr="00615DC9" w:rsidRDefault="00977E8E">
            <w:pPr>
              <w:jc w:val="center"/>
              <w:rPr>
                <w:color w:val="000000"/>
                <w:sz w:val="22"/>
                <w:szCs w:val="22"/>
              </w:rPr>
            </w:pPr>
          </w:p>
        </w:tc>
        <w:tc>
          <w:tcPr>
            <w:tcW w:w="1049" w:type="pct"/>
            <w:vMerge/>
          </w:tcPr>
          <w:p w:rsidR="00977E8E" w:rsidRPr="00615DC9" w:rsidRDefault="00977E8E">
            <w:pPr>
              <w:jc w:val="center"/>
              <w:rPr>
                <w:color w:val="000000"/>
                <w:sz w:val="22"/>
                <w:szCs w:val="22"/>
              </w:rPr>
            </w:pPr>
          </w:p>
        </w:tc>
      </w:tr>
      <w:tr w:rsidR="00977E8E" w:rsidRPr="00615DC9" w:rsidTr="00D91994">
        <w:trPr>
          <w:trHeight w:val="323"/>
        </w:trPr>
        <w:tc>
          <w:tcPr>
            <w:tcW w:w="3132" w:type="pct"/>
            <w:gridSpan w:val="3"/>
            <w:shd w:val="clear" w:color="auto" w:fill="auto"/>
            <w:vAlign w:val="center"/>
          </w:tcPr>
          <w:p w:rsidR="00977E8E" w:rsidRPr="00615DC9" w:rsidRDefault="00977E8E" w:rsidP="00C12A08">
            <w:pPr>
              <w:rPr>
                <w:b/>
                <w:color w:val="000000"/>
                <w:sz w:val="22"/>
                <w:szCs w:val="22"/>
              </w:rPr>
            </w:pPr>
            <w:r w:rsidRPr="00615DC9">
              <w:rPr>
                <w:b/>
                <w:color w:val="000000"/>
                <w:sz w:val="22"/>
                <w:szCs w:val="22"/>
              </w:rPr>
              <w:t>Total Annualized Cost</w:t>
            </w:r>
          </w:p>
        </w:tc>
        <w:tc>
          <w:tcPr>
            <w:tcW w:w="819" w:type="pct"/>
          </w:tcPr>
          <w:p w:rsidR="00D91994" w:rsidRPr="00615DC9" w:rsidRDefault="00D91994" w:rsidP="00D91994">
            <w:pPr>
              <w:jc w:val="center"/>
              <w:rPr>
                <w:b/>
                <w:bCs/>
                <w:color w:val="000000"/>
                <w:sz w:val="22"/>
                <w:szCs w:val="22"/>
              </w:rPr>
            </w:pPr>
            <w:r w:rsidRPr="00615DC9">
              <w:rPr>
                <w:b/>
                <w:bCs/>
                <w:color w:val="000000"/>
                <w:sz w:val="22"/>
                <w:szCs w:val="22"/>
              </w:rPr>
              <w:t xml:space="preserve">       40,639.76 </w:t>
            </w:r>
          </w:p>
          <w:p w:rsidR="00977E8E" w:rsidRPr="00615DC9" w:rsidRDefault="00396FC8">
            <w:pPr>
              <w:jc w:val="center"/>
              <w:rPr>
                <w:b/>
                <w:bCs/>
                <w:color w:val="000000"/>
                <w:sz w:val="22"/>
                <w:szCs w:val="22"/>
              </w:rPr>
            </w:pPr>
            <w:r w:rsidRPr="00615DC9">
              <w:rPr>
                <w:b/>
                <w:bCs/>
                <w:color w:val="000000"/>
                <w:sz w:val="22"/>
                <w:szCs w:val="22"/>
              </w:rPr>
              <w:t xml:space="preserve"> </w:t>
            </w:r>
          </w:p>
        </w:tc>
        <w:tc>
          <w:tcPr>
            <w:tcW w:w="1049" w:type="pct"/>
          </w:tcPr>
          <w:p w:rsidR="00D91994" w:rsidRPr="00615DC9" w:rsidRDefault="00396FC8" w:rsidP="00D91994">
            <w:pPr>
              <w:jc w:val="center"/>
              <w:rPr>
                <w:b/>
                <w:color w:val="000000"/>
                <w:sz w:val="22"/>
                <w:szCs w:val="22"/>
              </w:rPr>
            </w:pPr>
            <w:r w:rsidRPr="00615DC9">
              <w:rPr>
                <w:b/>
                <w:color w:val="000000"/>
                <w:sz w:val="22"/>
                <w:szCs w:val="22"/>
              </w:rPr>
              <w:t xml:space="preserve">   </w:t>
            </w:r>
            <w:r w:rsidR="00D91994" w:rsidRPr="00615DC9">
              <w:rPr>
                <w:b/>
                <w:color w:val="000000"/>
                <w:sz w:val="22"/>
                <w:szCs w:val="22"/>
              </w:rPr>
              <w:t xml:space="preserve">$   1,406,557.80 </w:t>
            </w:r>
          </w:p>
          <w:p w:rsidR="00977E8E" w:rsidRPr="00615DC9" w:rsidRDefault="00977E8E">
            <w:pPr>
              <w:jc w:val="center"/>
              <w:rPr>
                <w:b/>
                <w:color w:val="000000"/>
                <w:sz w:val="22"/>
                <w:szCs w:val="22"/>
              </w:rPr>
            </w:pPr>
          </w:p>
        </w:tc>
      </w:tr>
    </w:tbl>
    <w:p w:rsidR="00BD47E4" w:rsidRPr="00615DC9" w:rsidRDefault="00BD47E4"/>
    <w:p w:rsidR="00D91994" w:rsidRPr="00615DC9" w:rsidRDefault="00D91994" w:rsidP="00D91994">
      <w:pPr>
        <w:rPr>
          <w:color w:val="000000"/>
          <w:sz w:val="22"/>
          <w:szCs w:val="22"/>
        </w:rPr>
      </w:pPr>
      <w:r w:rsidRPr="00615DC9">
        <w:t>The total estimated cost for 150,000 hours over three years is estimated as</w:t>
      </w:r>
      <w:r w:rsidRPr="00615DC9">
        <w:rPr>
          <w:color w:val="000000"/>
          <w:sz w:val="22"/>
          <w:szCs w:val="22"/>
        </w:rPr>
        <w:t xml:space="preserve"> $ 5,158,500.00 (90,000 hours * $43.27 + 60,000 hours * $21.07).</w:t>
      </w:r>
    </w:p>
    <w:p w:rsidR="00C12A08" w:rsidRPr="00615DC9" w:rsidRDefault="00C12A08" w:rsidP="00C12A08">
      <w:pPr>
        <w:pStyle w:val="ListParagraph"/>
        <w:autoSpaceDE w:val="0"/>
        <w:autoSpaceDN w:val="0"/>
        <w:adjustRightInd w:val="0"/>
      </w:pPr>
    </w:p>
    <w:p w:rsidR="00D91994" w:rsidRPr="00615DC9" w:rsidRDefault="00D91994" w:rsidP="00C12A08">
      <w:pPr>
        <w:pStyle w:val="ListParagraph"/>
        <w:autoSpaceDE w:val="0"/>
        <w:autoSpaceDN w:val="0"/>
        <w:adjustRightInd w:val="0"/>
        <w:rPr>
          <w:b/>
        </w:rPr>
      </w:pPr>
    </w:p>
    <w:p w:rsidR="0020579C" w:rsidRPr="00615DC9" w:rsidRDefault="0025575C" w:rsidP="0058650C">
      <w:pPr>
        <w:pStyle w:val="ListParagraph"/>
        <w:numPr>
          <w:ilvl w:val="0"/>
          <w:numId w:val="23"/>
        </w:numPr>
        <w:autoSpaceDE w:val="0"/>
        <w:autoSpaceDN w:val="0"/>
        <w:adjustRightInd w:val="0"/>
        <w:rPr>
          <w:b/>
        </w:rPr>
      </w:pPr>
      <w:r w:rsidRPr="00615DC9">
        <w:rPr>
          <w:b/>
          <w:bCs/>
        </w:rPr>
        <w:t>Provide estimates of the total annual cost burden to respondents or record keepers</w:t>
      </w:r>
      <w:r w:rsidR="0026099E" w:rsidRPr="00615DC9">
        <w:rPr>
          <w:b/>
          <w:bCs/>
        </w:rPr>
        <w:t xml:space="preserve"> </w:t>
      </w:r>
      <w:r w:rsidRPr="00615DC9">
        <w:rPr>
          <w:b/>
          <w:bCs/>
        </w:rPr>
        <w:t>resulting from the collection</w:t>
      </w:r>
      <w:r w:rsidR="00557765" w:rsidRPr="00615DC9">
        <w:rPr>
          <w:b/>
          <w:bCs/>
        </w:rPr>
        <w:t xml:space="preserve"> </w:t>
      </w:r>
      <w:r w:rsidRPr="00615DC9">
        <w:rPr>
          <w:b/>
          <w:bCs/>
        </w:rPr>
        <w:t>of information, (do not include</w:t>
      </w:r>
      <w:r w:rsidR="00344BE8" w:rsidRPr="00615DC9">
        <w:rPr>
          <w:b/>
          <w:bCs/>
        </w:rPr>
        <w:t xml:space="preserve"> </w:t>
      </w:r>
      <w:r w:rsidRPr="00615DC9">
        <w:rPr>
          <w:b/>
          <w:bCs/>
        </w:rPr>
        <w:t xml:space="preserve">the cost of any hour </w:t>
      </w:r>
      <w:r w:rsidRPr="00615DC9">
        <w:rPr>
          <w:b/>
          <w:bCs/>
        </w:rPr>
        <w:lastRenderedPageBreak/>
        <w:t>burden</w:t>
      </w:r>
      <w:r w:rsidR="0026099E" w:rsidRPr="00615DC9">
        <w:rPr>
          <w:b/>
          <w:bCs/>
        </w:rPr>
        <w:t xml:space="preserve"> </w:t>
      </w:r>
      <w:r w:rsidRPr="00615DC9">
        <w:rPr>
          <w:b/>
          <w:bCs/>
        </w:rPr>
        <w:t>shown in questions 12 and 14)</w:t>
      </w:r>
      <w:proofErr w:type="gramStart"/>
      <w:r w:rsidRPr="00615DC9">
        <w:rPr>
          <w:b/>
          <w:bCs/>
        </w:rPr>
        <w:t xml:space="preserve">. </w:t>
      </w:r>
      <w:proofErr w:type="gramEnd"/>
      <w:r w:rsidRPr="00615DC9">
        <w:rPr>
          <w:b/>
          <w:bCs/>
        </w:rPr>
        <w:t>The cost estimates should be split into two components: (a)</w:t>
      </w:r>
      <w:r w:rsidR="0026099E" w:rsidRPr="00615DC9">
        <w:rPr>
          <w:b/>
          <w:bCs/>
        </w:rPr>
        <w:t xml:space="preserve"> </w:t>
      </w:r>
      <w:r w:rsidRPr="00615DC9">
        <w:rPr>
          <w:b/>
          <w:bCs/>
        </w:rPr>
        <w:t>a total capital and start-up cost component annualized over its expected useful life; and (b)</w:t>
      </w:r>
      <w:r w:rsidR="0026099E" w:rsidRPr="00615DC9">
        <w:rPr>
          <w:b/>
          <w:bCs/>
        </w:rPr>
        <w:t xml:space="preserve"> </w:t>
      </w:r>
      <w:r w:rsidRPr="00615DC9">
        <w:rPr>
          <w:b/>
          <w:bCs/>
        </w:rPr>
        <w:t>a total operation and maintenance and purchase of services component.</w:t>
      </w:r>
      <w:r w:rsidR="00C25C03" w:rsidRPr="00615DC9">
        <w:rPr>
          <w:b/>
        </w:rPr>
        <w:t xml:space="preserve"> </w:t>
      </w:r>
      <w:r w:rsidR="0026099E" w:rsidRPr="00615DC9">
        <w:rPr>
          <w:b/>
        </w:rPr>
        <w:t xml:space="preserve"> </w:t>
      </w:r>
    </w:p>
    <w:p w:rsidR="0020579C" w:rsidRPr="00615DC9" w:rsidRDefault="0020579C" w:rsidP="00AA5625">
      <w:pPr>
        <w:ind w:left="540" w:right="-1440"/>
        <w:rPr>
          <w:b/>
        </w:rPr>
      </w:pPr>
    </w:p>
    <w:p w:rsidR="0020579C" w:rsidRPr="00615DC9" w:rsidRDefault="00A220BA" w:rsidP="00C25C03">
      <w:pPr>
        <w:spacing w:line="480" w:lineRule="auto"/>
        <w:ind w:left="540" w:right="-1440"/>
      </w:pPr>
      <w:r w:rsidRPr="00615DC9">
        <w:t>There are no capital cost</w:t>
      </w:r>
      <w:r w:rsidR="00CD4C7D" w:rsidRPr="00615DC9">
        <w:t>s</w:t>
      </w:r>
      <w:r w:rsidRPr="00615DC9">
        <w:t>, o</w:t>
      </w:r>
      <w:r w:rsidR="00C16EDE" w:rsidRPr="00615DC9">
        <w:t>p</w:t>
      </w:r>
      <w:r w:rsidRPr="00615DC9">
        <w:t>erating cost</w:t>
      </w:r>
      <w:r w:rsidR="00CD4C7D" w:rsidRPr="00615DC9">
        <w:t>s</w:t>
      </w:r>
      <w:r w:rsidRPr="00615DC9">
        <w:t>, or maintenance to report.</w:t>
      </w:r>
    </w:p>
    <w:p w:rsidR="005547FC" w:rsidRPr="00615DC9" w:rsidRDefault="0025575C" w:rsidP="0058650C">
      <w:pPr>
        <w:pStyle w:val="ListParagraph"/>
        <w:numPr>
          <w:ilvl w:val="0"/>
          <w:numId w:val="23"/>
        </w:numPr>
      </w:pPr>
      <w:r w:rsidRPr="00615DC9">
        <w:rPr>
          <w:b/>
          <w:bCs/>
        </w:rPr>
        <w:t>Provide estimates of annualized cost to the Federal government</w:t>
      </w:r>
      <w:proofErr w:type="gramStart"/>
      <w:r w:rsidRPr="00615DC9">
        <w:t xml:space="preserve">. </w:t>
      </w:r>
      <w:proofErr w:type="gramEnd"/>
      <w:r w:rsidRPr="00615DC9">
        <w:rPr>
          <w:b/>
          <w:bCs/>
        </w:rPr>
        <w:t>Provide a description of the method used to estimate cost and any other expense that would not have been incurred without this collection of information.</w:t>
      </w:r>
    </w:p>
    <w:p w:rsidR="0026099E" w:rsidRPr="00615DC9" w:rsidRDefault="0026099E" w:rsidP="00760454">
      <w:pPr>
        <w:spacing w:line="480" w:lineRule="auto"/>
        <w:ind w:left="540"/>
      </w:pPr>
    </w:p>
    <w:p w:rsidR="00133416" w:rsidRPr="00615DC9" w:rsidRDefault="0020579C" w:rsidP="00760454">
      <w:pPr>
        <w:spacing w:line="480" w:lineRule="auto"/>
        <w:ind w:left="540"/>
      </w:pPr>
      <w:r w:rsidRPr="00615DC9">
        <w:t xml:space="preserve">It is estimated that within FNS there is an average of about </w:t>
      </w:r>
      <w:r w:rsidR="00C36E4D" w:rsidRPr="00615DC9">
        <w:t>20</w:t>
      </w:r>
      <w:r w:rsidR="00FA0576" w:rsidRPr="00615DC9">
        <w:t xml:space="preserve"> </w:t>
      </w:r>
      <w:r w:rsidRPr="00615DC9">
        <w:t xml:space="preserve">hours of labor required to process an application </w:t>
      </w:r>
      <w:r w:rsidR="009408DB" w:rsidRPr="00615DC9">
        <w:t>package for</w:t>
      </w:r>
      <w:r w:rsidRPr="00615DC9">
        <w:t xml:space="preserve"> this </w:t>
      </w:r>
      <w:r w:rsidR="00331168" w:rsidRPr="00615DC9">
        <w:t>data collection</w:t>
      </w:r>
      <w:r w:rsidRPr="00615DC9">
        <w:t xml:space="preserve">.  This labor estimate includes time spent by grants management </w:t>
      </w:r>
      <w:r w:rsidR="00C47BB7" w:rsidRPr="00615DC9">
        <w:t xml:space="preserve">operations and program </w:t>
      </w:r>
      <w:r w:rsidRPr="00615DC9">
        <w:t xml:space="preserve">staff to process an application (2 hours) and time spent by Agency staff to conduct a thorough technical review of each application (3 staff x 6 hours).  Assuming </w:t>
      </w:r>
      <w:r w:rsidR="00F850F8" w:rsidRPr="00615DC9">
        <w:t>8</w:t>
      </w:r>
      <w:r w:rsidR="00D91994" w:rsidRPr="00615DC9">
        <w:t>2</w:t>
      </w:r>
      <w:r w:rsidR="00F850F8" w:rsidRPr="00615DC9">
        <w:t>9</w:t>
      </w:r>
      <w:r w:rsidR="00780527" w:rsidRPr="00615DC9">
        <w:t>,</w:t>
      </w:r>
      <w:r w:rsidR="000E50FF" w:rsidRPr="00615DC9">
        <w:t xml:space="preserve"> </w:t>
      </w:r>
      <w:r w:rsidRPr="00615DC9">
        <w:t>applications will be received</w:t>
      </w:r>
      <w:r w:rsidR="0026099E" w:rsidRPr="00615DC9">
        <w:t xml:space="preserve"> on average, during</w:t>
      </w:r>
      <w:r w:rsidRPr="00615DC9">
        <w:t xml:space="preserve"> FY </w:t>
      </w:r>
      <w:r w:rsidR="00534BFD" w:rsidRPr="00615DC9">
        <w:t>2016</w:t>
      </w:r>
      <w:r w:rsidR="0026099E" w:rsidRPr="00615DC9">
        <w:t xml:space="preserve">- </w:t>
      </w:r>
      <w:r w:rsidR="00534BFD" w:rsidRPr="00615DC9">
        <w:t>2018</w:t>
      </w:r>
      <w:r w:rsidRPr="00615DC9">
        <w:t>, it is anticipated that</w:t>
      </w:r>
      <w:r w:rsidR="00DE11CF" w:rsidRPr="00615DC9">
        <w:t xml:space="preserve"> </w:t>
      </w:r>
      <w:r w:rsidR="00F850F8" w:rsidRPr="00615DC9">
        <w:t>16</w:t>
      </w:r>
      <w:r w:rsidR="00C36E4D" w:rsidRPr="00615DC9">
        <w:t>,</w:t>
      </w:r>
      <w:r w:rsidR="00D91994" w:rsidRPr="00615DC9">
        <w:t>5</w:t>
      </w:r>
      <w:r w:rsidR="00F850F8" w:rsidRPr="00615DC9">
        <w:t xml:space="preserve">80 </w:t>
      </w:r>
      <w:r w:rsidRPr="00615DC9">
        <w:t>hours will be needed to process and review these applications.  Assuming</w:t>
      </w:r>
      <w:r w:rsidR="00C53059" w:rsidRPr="00615DC9">
        <w:t xml:space="preserve"> that the Agency </w:t>
      </w:r>
      <w:r w:rsidR="00A344B2" w:rsidRPr="00615DC9">
        <w:t>staff participating in the processing and review of these applications makes</w:t>
      </w:r>
      <w:r w:rsidRPr="00615DC9">
        <w:t xml:space="preserve"> a</w:t>
      </w:r>
      <w:r w:rsidR="00FD0BA6" w:rsidRPr="00615DC9">
        <w:t>pproximately</w:t>
      </w:r>
      <w:r w:rsidRPr="00615DC9">
        <w:t xml:space="preserve"> $</w:t>
      </w:r>
      <w:r w:rsidR="00780527" w:rsidRPr="00615DC9">
        <w:t>49.32</w:t>
      </w:r>
      <w:r w:rsidRPr="00615DC9">
        <w:t xml:space="preserve"> per hour, the estimated annual cost to the Federal Government is $</w:t>
      </w:r>
      <w:r w:rsidR="00D91994" w:rsidRPr="00615DC9">
        <w:t xml:space="preserve"> 817,725.60</w:t>
      </w:r>
      <w:r w:rsidR="00F850F8" w:rsidRPr="00615DC9">
        <w:t xml:space="preserve"> </w:t>
      </w:r>
      <w:r w:rsidRPr="00615DC9">
        <w:t>(</w:t>
      </w:r>
      <w:r w:rsidR="00F850F8" w:rsidRPr="00615DC9">
        <w:t>16</w:t>
      </w:r>
      <w:r w:rsidR="00C36E4D" w:rsidRPr="00615DC9">
        <w:t>,</w:t>
      </w:r>
      <w:r w:rsidR="00D91994" w:rsidRPr="00615DC9">
        <w:t>5</w:t>
      </w:r>
      <w:r w:rsidR="00F850F8" w:rsidRPr="00615DC9">
        <w:t xml:space="preserve">80 </w:t>
      </w:r>
      <w:r w:rsidR="00993A90" w:rsidRPr="00615DC9">
        <w:t xml:space="preserve">hours </w:t>
      </w:r>
      <w:r w:rsidR="00BE6219" w:rsidRPr="00615DC9">
        <w:t>X</w:t>
      </w:r>
      <w:r w:rsidR="00993A90" w:rsidRPr="00615DC9">
        <w:t xml:space="preserve"> </w:t>
      </w:r>
      <w:r w:rsidRPr="00615DC9">
        <w:t>$</w:t>
      </w:r>
      <w:r w:rsidR="00780527" w:rsidRPr="00615DC9">
        <w:t>49.32</w:t>
      </w:r>
      <w:r w:rsidRPr="00615DC9">
        <w:t>).</w:t>
      </w:r>
      <w:r w:rsidR="00C36E4D" w:rsidRPr="00615DC9">
        <w:t xml:space="preserve">  The cost for the 3-year processing and reviewing these applications is </w:t>
      </w:r>
      <w:r w:rsidR="00D91994" w:rsidRPr="00615DC9">
        <w:t>$2,453,176.80</w:t>
      </w:r>
      <w:r w:rsidR="00C36E4D" w:rsidRPr="00615DC9">
        <w:t>.  (</w:t>
      </w:r>
      <w:r w:rsidRPr="00615DC9">
        <w:t>In addition, the grants themselves are expected to total about $</w:t>
      </w:r>
      <w:r w:rsidR="00794E06" w:rsidRPr="00615DC9">
        <w:t>75</w:t>
      </w:r>
      <w:r w:rsidR="00DE11CF" w:rsidRPr="00615DC9">
        <w:t>-$100</w:t>
      </w:r>
      <w:r w:rsidR="00794E06" w:rsidRPr="00615DC9">
        <w:t xml:space="preserve"> </w:t>
      </w:r>
      <w:r w:rsidRPr="00615DC9">
        <w:t>million depending on how many grants</w:t>
      </w:r>
      <w:r w:rsidR="00C53059" w:rsidRPr="00615DC9">
        <w:t xml:space="preserve"> </w:t>
      </w:r>
      <w:r w:rsidRPr="00615DC9">
        <w:t xml:space="preserve">are funded on a competitive basis and the merits of the </w:t>
      </w:r>
      <w:r w:rsidR="00D317DB" w:rsidRPr="00615DC9">
        <w:t>application</w:t>
      </w:r>
      <w:r w:rsidR="00BE6219" w:rsidRPr="00615DC9">
        <w:t>s</w:t>
      </w:r>
      <w:r w:rsidRPr="00615DC9">
        <w:t xml:space="preserve"> received.</w:t>
      </w:r>
      <w:r w:rsidR="00F850F8" w:rsidRPr="00615DC9">
        <w:t>)</w:t>
      </w:r>
      <w:r w:rsidR="00715CD4" w:rsidRPr="00615DC9">
        <w:t xml:space="preserve">  Wage rates were determined </w:t>
      </w:r>
      <w:r w:rsidR="002E493A" w:rsidRPr="00615DC9">
        <w:t xml:space="preserve">based on the Office of Personnel Management salary table for FY </w:t>
      </w:r>
      <w:r w:rsidR="00BD35EC" w:rsidRPr="00615DC9">
        <w:t>2015</w:t>
      </w:r>
      <w:r w:rsidR="002E493A" w:rsidRPr="00615DC9">
        <w:t xml:space="preserve">, GS 13, </w:t>
      </w:r>
      <w:proofErr w:type="gramStart"/>
      <w:r w:rsidR="002E493A" w:rsidRPr="00615DC9">
        <w:t>Step</w:t>
      </w:r>
      <w:proofErr w:type="gramEnd"/>
      <w:r w:rsidR="002E493A" w:rsidRPr="00615DC9">
        <w:t xml:space="preserve"> 5.</w:t>
      </w:r>
    </w:p>
    <w:p w:rsidR="00AC673F" w:rsidRPr="00615DC9" w:rsidRDefault="0025575C" w:rsidP="0058650C">
      <w:pPr>
        <w:pStyle w:val="ListParagraph"/>
        <w:numPr>
          <w:ilvl w:val="0"/>
          <w:numId w:val="23"/>
        </w:numPr>
        <w:autoSpaceDE w:val="0"/>
        <w:autoSpaceDN w:val="0"/>
        <w:adjustRightInd w:val="0"/>
        <w:rPr>
          <w:b/>
        </w:rPr>
      </w:pPr>
      <w:r w:rsidRPr="00615DC9">
        <w:rPr>
          <w:b/>
          <w:bCs/>
        </w:rPr>
        <w:t>Explain the reasons for any program changes or adjustments reported in Items 13 or14 of the OMB Form 83-</w:t>
      </w:r>
      <w:r w:rsidR="00D1593B" w:rsidRPr="00615DC9">
        <w:rPr>
          <w:b/>
          <w:bCs/>
        </w:rPr>
        <w:t>I</w:t>
      </w:r>
      <w:r w:rsidRPr="00615DC9">
        <w:rPr>
          <w:b/>
          <w:bCs/>
        </w:rPr>
        <w:t>.</w:t>
      </w:r>
    </w:p>
    <w:p w:rsidR="00AC673F" w:rsidRPr="00615DC9" w:rsidRDefault="00AC673F" w:rsidP="00760454">
      <w:pPr>
        <w:ind w:left="540"/>
        <w:rPr>
          <w:b/>
        </w:rPr>
      </w:pPr>
    </w:p>
    <w:p w:rsidR="00AC673F" w:rsidRPr="00615DC9" w:rsidRDefault="00AC673F" w:rsidP="00760454">
      <w:pPr>
        <w:spacing w:line="480" w:lineRule="auto"/>
        <w:ind w:left="540"/>
      </w:pPr>
      <w:r w:rsidRPr="00615DC9">
        <w:t>This is a</w:t>
      </w:r>
      <w:r w:rsidR="000F0C4C" w:rsidRPr="00615DC9">
        <w:t xml:space="preserve"> </w:t>
      </w:r>
      <w:r w:rsidR="00331168" w:rsidRPr="00615DC9">
        <w:t xml:space="preserve">revision </w:t>
      </w:r>
      <w:r w:rsidR="000F0C4C" w:rsidRPr="00615DC9">
        <w:t xml:space="preserve">to </w:t>
      </w:r>
      <w:r w:rsidR="00F24C19" w:rsidRPr="00615DC9">
        <w:t>the</w:t>
      </w:r>
      <w:r w:rsidR="000F0C4C" w:rsidRPr="00615DC9">
        <w:t xml:space="preserve"> currently approved</w:t>
      </w:r>
      <w:r w:rsidRPr="00615DC9">
        <w:t xml:space="preserve"> information collection</w:t>
      </w:r>
      <w:r w:rsidR="0004148F" w:rsidRPr="00615DC9">
        <w:t xml:space="preserve">.  </w:t>
      </w:r>
      <w:r w:rsidR="00D1593B" w:rsidRPr="00615DC9">
        <w:t xml:space="preserve">FNS is requesting a 3-year total generic burden of 150,000 hours and 30,000 responses.  This is an increase of </w:t>
      </w:r>
      <w:r w:rsidR="00D1593B" w:rsidRPr="00615DC9">
        <w:lastRenderedPageBreak/>
        <w:t xml:space="preserve">26,097 hours and 25,239 responses.  </w:t>
      </w:r>
      <w:r w:rsidR="00794E06" w:rsidRPr="00615DC9">
        <w:t>T</w:t>
      </w:r>
      <w:r w:rsidR="0004148F" w:rsidRPr="00615DC9">
        <w:t>here were additional grant programs added to the collection activities</w:t>
      </w:r>
      <w:r w:rsidR="00794E06" w:rsidRPr="00615DC9">
        <w:t xml:space="preserve"> in FY 20</w:t>
      </w:r>
      <w:r w:rsidR="00780527" w:rsidRPr="00615DC9">
        <w:t>1</w:t>
      </w:r>
      <w:r w:rsidR="008D0988" w:rsidRPr="00615DC9">
        <w:t>5</w:t>
      </w:r>
      <w:r w:rsidR="00794E06" w:rsidRPr="00615DC9">
        <w:t>.</w:t>
      </w:r>
      <w:r w:rsidR="00F24C19" w:rsidRPr="00615DC9">
        <w:t xml:space="preserve"> </w:t>
      </w:r>
      <w:r w:rsidR="00794E06" w:rsidRPr="00615DC9">
        <w:t xml:space="preserve"> This occurred because of new programs included in authorizing Program legislation. </w:t>
      </w:r>
      <w:r w:rsidR="00F24C19" w:rsidRPr="00615DC9">
        <w:t xml:space="preserve"> </w:t>
      </w:r>
      <w:r w:rsidR="00644B4A" w:rsidRPr="00615DC9">
        <w:t>This</w:t>
      </w:r>
      <w:r w:rsidR="00BE6219" w:rsidRPr="00615DC9">
        <w:t xml:space="preserve"> </w:t>
      </w:r>
      <w:r w:rsidR="00644B4A" w:rsidRPr="00615DC9">
        <w:t xml:space="preserve">is </w:t>
      </w:r>
      <w:r w:rsidR="00E04D8A" w:rsidRPr="00615DC9">
        <w:t xml:space="preserve">mainly </w:t>
      </w:r>
      <w:r w:rsidR="00BE6219" w:rsidRPr="00615DC9">
        <w:t>attributed to</w:t>
      </w:r>
      <w:r w:rsidR="00644B4A" w:rsidRPr="00615DC9">
        <w:t xml:space="preserve"> </w:t>
      </w:r>
      <w:r w:rsidR="00BE6219" w:rsidRPr="00615DC9">
        <w:t xml:space="preserve">several new </w:t>
      </w:r>
      <w:r w:rsidR="00644B4A" w:rsidRPr="00615DC9">
        <w:t xml:space="preserve">discretionary grant </w:t>
      </w:r>
      <w:r w:rsidR="00BE6219" w:rsidRPr="00615DC9">
        <w:t xml:space="preserve">programs </w:t>
      </w:r>
      <w:r w:rsidR="007E1408" w:rsidRPr="00615DC9">
        <w:t xml:space="preserve">that </w:t>
      </w:r>
      <w:r w:rsidR="00331168" w:rsidRPr="00615DC9">
        <w:t xml:space="preserve">were </w:t>
      </w:r>
      <w:r w:rsidR="00644B4A" w:rsidRPr="00615DC9">
        <w:t xml:space="preserve">added </w:t>
      </w:r>
      <w:r w:rsidR="00BE6219" w:rsidRPr="00615DC9">
        <w:t xml:space="preserve">from the </w:t>
      </w:r>
      <w:r w:rsidR="002E493A" w:rsidRPr="00615DC9">
        <w:t>2010</w:t>
      </w:r>
      <w:r w:rsidR="00644B4A" w:rsidRPr="00615DC9">
        <w:t xml:space="preserve"> </w:t>
      </w:r>
      <w:r w:rsidR="00794E06" w:rsidRPr="00615DC9">
        <w:t>Healthy, Hunger-Free Kids Act of 2010 (</w:t>
      </w:r>
      <w:r w:rsidR="00BE6219" w:rsidRPr="00615DC9">
        <w:t>Child Nutrition/WIC Reauthorization</w:t>
      </w:r>
      <w:r w:rsidR="00644B4A" w:rsidRPr="00615DC9">
        <w:t xml:space="preserve"> Act</w:t>
      </w:r>
      <w:r w:rsidR="00794E06" w:rsidRPr="00615DC9">
        <w:t>)</w:t>
      </w:r>
      <w:r w:rsidR="00644B4A" w:rsidRPr="00615DC9">
        <w:t xml:space="preserve"> </w:t>
      </w:r>
      <w:r w:rsidR="00BE6219" w:rsidRPr="00615DC9">
        <w:t>and the 2008 Farm Bill</w:t>
      </w:r>
      <w:r w:rsidRPr="00615DC9">
        <w:t>.</w:t>
      </w:r>
    </w:p>
    <w:p w:rsidR="00D1593B" w:rsidRPr="00615DC9" w:rsidRDefault="00D1593B" w:rsidP="00760454">
      <w:pPr>
        <w:spacing w:line="480" w:lineRule="auto"/>
        <w:ind w:left="540"/>
      </w:pPr>
      <w:r w:rsidRPr="00615DC9">
        <w:t>Additionally, FNS added responses to account for the use of USDA and standard forms (this resulted in a significant increase to the number of responses requested).  Of the 150,000 hours requested, 40,640 are used for ICs submitted with this clearance, leaving 109,360 hours (and 20,205 responses).</w:t>
      </w:r>
    </w:p>
    <w:p w:rsidR="00D1593B" w:rsidRPr="00615DC9" w:rsidRDefault="00D1593B" w:rsidP="00760454">
      <w:pPr>
        <w:spacing w:line="480" w:lineRule="auto"/>
        <w:ind w:left="540"/>
      </w:pPr>
    </w:p>
    <w:p w:rsidR="00AC673F" w:rsidRPr="00615DC9" w:rsidRDefault="0025575C" w:rsidP="0058650C">
      <w:pPr>
        <w:pStyle w:val="ListParagraph"/>
        <w:numPr>
          <w:ilvl w:val="0"/>
          <w:numId w:val="23"/>
        </w:numPr>
        <w:autoSpaceDE w:val="0"/>
        <w:autoSpaceDN w:val="0"/>
        <w:adjustRightInd w:val="0"/>
        <w:rPr>
          <w:b/>
        </w:rPr>
      </w:pPr>
      <w:r w:rsidRPr="00615DC9">
        <w:rPr>
          <w:b/>
          <w:bCs/>
        </w:rPr>
        <w:t>For collections of information whose results are planned to be published, outline plans</w:t>
      </w:r>
      <w:r w:rsidR="00794E06" w:rsidRPr="00615DC9">
        <w:rPr>
          <w:b/>
          <w:bCs/>
        </w:rPr>
        <w:t xml:space="preserve"> f</w:t>
      </w:r>
      <w:r w:rsidRPr="00615DC9">
        <w:rPr>
          <w:b/>
          <w:bCs/>
        </w:rPr>
        <w:t>or tabulation and publication.</w:t>
      </w:r>
    </w:p>
    <w:p w:rsidR="002E493A" w:rsidRPr="00615DC9" w:rsidRDefault="002E493A" w:rsidP="00760454">
      <w:pPr>
        <w:spacing w:line="480" w:lineRule="auto"/>
        <w:ind w:left="540"/>
      </w:pPr>
    </w:p>
    <w:p w:rsidR="00AC673F" w:rsidRPr="00615DC9" w:rsidRDefault="00AC673F" w:rsidP="00760454">
      <w:pPr>
        <w:spacing w:line="480" w:lineRule="auto"/>
        <w:ind w:left="540"/>
      </w:pPr>
      <w:r w:rsidRPr="00615DC9">
        <w:t>Information in the grant applications will not be published.  Disclosure of information contained in the grant application package is subject to the Freedom of Information Act and The Privacy Act.  FNS will publicize summary information of the applicants that receive funding</w:t>
      </w:r>
      <w:r w:rsidR="00A220BA" w:rsidRPr="00615DC9">
        <w:t xml:space="preserve"> at the FNS website</w:t>
      </w:r>
      <w:r w:rsidR="002E493A" w:rsidRPr="00615DC9">
        <w:t xml:space="preserve">, </w:t>
      </w:r>
      <w:r w:rsidR="00CD4C7D" w:rsidRPr="00615DC9">
        <w:t xml:space="preserve">  </w:t>
      </w:r>
      <w:hyperlink r:id="rId14" w:history="1">
        <w:r w:rsidR="00C558BF" w:rsidRPr="00615DC9">
          <w:rPr>
            <w:rStyle w:val="Hyperlink"/>
          </w:rPr>
          <w:t>http://</w:t>
        </w:r>
        <w:r w:rsidR="00CD4C7D" w:rsidRPr="00615DC9">
          <w:rPr>
            <w:rStyle w:val="Hyperlink"/>
          </w:rPr>
          <w:t>www.fns.usda.gov</w:t>
        </w:r>
      </w:hyperlink>
      <w:r w:rsidR="00C558BF" w:rsidRPr="00615DC9">
        <w:t xml:space="preserve">. </w:t>
      </w:r>
    </w:p>
    <w:p w:rsidR="00AC673F" w:rsidRPr="00615DC9" w:rsidRDefault="00AC673F" w:rsidP="00760454">
      <w:pPr>
        <w:ind w:left="540"/>
      </w:pPr>
    </w:p>
    <w:p w:rsidR="0025575C" w:rsidRPr="00615DC9" w:rsidRDefault="0025575C" w:rsidP="0058650C">
      <w:pPr>
        <w:pStyle w:val="ListParagraph"/>
        <w:numPr>
          <w:ilvl w:val="0"/>
          <w:numId w:val="23"/>
        </w:numPr>
        <w:autoSpaceDE w:val="0"/>
        <w:autoSpaceDN w:val="0"/>
        <w:adjustRightInd w:val="0"/>
        <w:rPr>
          <w:b/>
        </w:rPr>
      </w:pPr>
      <w:r w:rsidRPr="00615DC9">
        <w:rPr>
          <w:b/>
          <w:bCs/>
        </w:rPr>
        <w:t>If seeking approval to not display the expiration date for OMB approval of the</w:t>
      </w:r>
      <w:r w:rsidR="004D2F8F" w:rsidRPr="00615DC9">
        <w:rPr>
          <w:b/>
          <w:bCs/>
        </w:rPr>
        <w:t xml:space="preserve"> </w:t>
      </w:r>
      <w:r w:rsidRPr="00615DC9">
        <w:rPr>
          <w:b/>
          <w:bCs/>
        </w:rPr>
        <w:t>information collection, explain the reasons that display would be inappropriate.</w:t>
      </w:r>
    </w:p>
    <w:p w:rsidR="00AC673F" w:rsidRPr="00615DC9" w:rsidRDefault="00AC673F" w:rsidP="00760454">
      <w:pPr>
        <w:ind w:left="540"/>
        <w:rPr>
          <w:b/>
        </w:rPr>
      </w:pPr>
    </w:p>
    <w:p w:rsidR="00AC673F" w:rsidRPr="00615DC9" w:rsidRDefault="00B37113" w:rsidP="00760454">
      <w:pPr>
        <w:spacing w:line="480" w:lineRule="auto"/>
        <w:ind w:left="540"/>
      </w:pPr>
      <w:r w:rsidRPr="00615DC9">
        <w:t xml:space="preserve">FNS will display </w:t>
      </w:r>
      <w:r w:rsidR="00AC673F" w:rsidRPr="00615DC9">
        <w:t xml:space="preserve">the expiration date </w:t>
      </w:r>
      <w:r w:rsidRPr="00615DC9">
        <w:t>of</w:t>
      </w:r>
      <w:r w:rsidR="00AC673F" w:rsidRPr="00615DC9">
        <w:t xml:space="preserve"> OMB approval.</w:t>
      </w:r>
    </w:p>
    <w:p w:rsidR="00AC673F" w:rsidRPr="00615DC9" w:rsidRDefault="0025575C" w:rsidP="0058650C">
      <w:pPr>
        <w:pStyle w:val="ListParagraph"/>
        <w:numPr>
          <w:ilvl w:val="0"/>
          <w:numId w:val="23"/>
        </w:numPr>
        <w:autoSpaceDE w:val="0"/>
        <w:autoSpaceDN w:val="0"/>
        <w:adjustRightInd w:val="0"/>
        <w:rPr>
          <w:b/>
        </w:rPr>
      </w:pPr>
      <w:r w:rsidRPr="00615DC9">
        <w:rPr>
          <w:b/>
          <w:bCs/>
        </w:rPr>
        <w:t>Explain each exception to the certification statement identified in Item 19 of the OMB</w:t>
      </w:r>
      <w:r w:rsidR="004D2F8F" w:rsidRPr="00615DC9">
        <w:rPr>
          <w:b/>
          <w:bCs/>
        </w:rPr>
        <w:t xml:space="preserve"> </w:t>
      </w:r>
      <w:r w:rsidRPr="00615DC9">
        <w:rPr>
          <w:b/>
          <w:bCs/>
        </w:rPr>
        <w:t>83-I" Certification for Paperwork Reduction Act."</w:t>
      </w:r>
    </w:p>
    <w:p w:rsidR="001558D7" w:rsidRPr="00615DC9" w:rsidRDefault="001558D7" w:rsidP="00760454">
      <w:pPr>
        <w:ind w:left="540"/>
      </w:pPr>
    </w:p>
    <w:p w:rsidR="00EC138F" w:rsidRPr="00615DC9" w:rsidRDefault="00AC673F" w:rsidP="00760454">
      <w:pPr>
        <w:ind w:left="540"/>
      </w:pPr>
      <w:r w:rsidRPr="00615DC9">
        <w:t xml:space="preserve">There </w:t>
      </w:r>
      <w:r w:rsidR="00B37113" w:rsidRPr="00615DC9">
        <w:t>are</w:t>
      </w:r>
      <w:r w:rsidRPr="00615DC9">
        <w:t xml:space="preserve"> no exception</w:t>
      </w:r>
      <w:r w:rsidR="00B37113" w:rsidRPr="00615DC9">
        <w:t>s</w:t>
      </w:r>
      <w:r w:rsidRPr="00615DC9">
        <w:t xml:space="preserve"> to the certification statement.</w:t>
      </w:r>
    </w:p>
    <w:sectPr w:rsidR="00EC138F" w:rsidRPr="00615DC9" w:rsidSect="00714C13">
      <w:footerReference w:type="even" r:id="rId15"/>
      <w:footerReference w:type="default" r:id="rId16"/>
      <w:footerReference w:type="first" r:id="rId17"/>
      <w:pgSz w:w="12240" w:h="15840"/>
      <w:pgMar w:top="1440" w:right="180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BA5" w:rsidRDefault="00946BA5">
      <w:r>
        <w:separator/>
      </w:r>
    </w:p>
  </w:endnote>
  <w:endnote w:type="continuationSeparator" w:id="0">
    <w:p w:rsidR="00946BA5" w:rsidRDefault="00946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593" w:rsidRDefault="001F2593" w:rsidP="004F5D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2593" w:rsidRDefault="001F25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593" w:rsidRDefault="001F2593" w:rsidP="004F5D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79A4">
      <w:rPr>
        <w:rStyle w:val="PageNumber"/>
        <w:noProof/>
      </w:rPr>
      <w:t>2</w:t>
    </w:r>
    <w:r>
      <w:rPr>
        <w:rStyle w:val="PageNumber"/>
      </w:rPr>
      <w:fldChar w:fldCharType="end"/>
    </w:r>
  </w:p>
  <w:p w:rsidR="001F2593" w:rsidRDefault="001F25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481487"/>
      <w:docPartObj>
        <w:docPartGallery w:val="Page Numbers (Bottom of Page)"/>
        <w:docPartUnique/>
      </w:docPartObj>
    </w:sdtPr>
    <w:sdtEndPr>
      <w:rPr>
        <w:noProof/>
      </w:rPr>
    </w:sdtEndPr>
    <w:sdtContent>
      <w:p w:rsidR="001F2593" w:rsidRDefault="001F2593">
        <w:pPr>
          <w:pStyle w:val="Footer"/>
          <w:jc w:val="center"/>
        </w:pPr>
        <w:r>
          <w:fldChar w:fldCharType="begin"/>
        </w:r>
        <w:r>
          <w:instrText xml:space="preserve"> PAGE   \* MERGEFORMAT </w:instrText>
        </w:r>
        <w:r>
          <w:fldChar w:fldCharType="separate"/>
        </w:r>
        <w:r w:rsidR="00A079A4">
          <w:rPr>
            <w:noProof/>
          </w:rPr>
          <w:t>1</w:t>
        </w:r>
        <w:r>
          <w:rPr>
            <w:noProof/>
          </w:rPr>
          <w:fldChar w:fldCharType="end"/>
        </w:r>
      </w:p>
    </w:sdtContent>
  </w:sdt>
  <w:p w:rsidR="001F2593" w:rsidRDefault="001F2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BA5" w:rsidRDefault="00946BA5">
      <w:r>
        <w:separator/>
      </w:r>
    </w:p>
  </w:footnote>
  <w:footnote w:type="continuationSeparator" w:id="0">
    <w:p w:rsidR="00946BA5" w:rsidRDefault="00946B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0B9B"/>
    <w:multiLevelType w:val="hybridMultilevel"/>
    <w:tmpl w:val="E7B6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928BD"/>
    <w:multiLevelType w:val="hybridMultilevel"/>
    <w:tmpl w:val="2918E37A"/>
    <w:lvl w:ilvl="0" w:tplc="04090011">
      <w:start w:val="1"/>
      <w:numFmt w:val="decimal"/>
      <w:lvlText w:val="%1)"/>
      <w:lvlJc w:val="left"/>
      <w:pPr>
        <w:tabs>
          <w:tab w:val="num" w:pos="5580"/>
        </w:tabs>
        <w:ind w:left="5580" w:hanging="360"/>
      </w:pPr>
    </w:lvl>
    <w:lvl w:ilvl="1" w:tplc="04090019" w:tentative="1">
      <w:start w:val="1"/>
      <w:numFmt w:val="lowerLetter"/>
      <w:lvlText w:val="%2."/>
      <w:lvlJc w:val="left"/>
      <w:pPr>
        <w:tabs>
          <w:tab w:val="num" w:pos="6300"/>
        </w:tabs>
        <w:ind w:left="6300" w:hanging="360"/>
      </w:pPr>
    </w:lvl>
    <w:lvl w:ilvl="2" w:tplc="0409001B" w:tentative="1">
      <w:start w:val="1"/>
      <w:numFmt w:val="lowerRoman"/>
      <w:lvlText w:val="%3."/>
      <w:lvlJc w:val="right"/>
      <w:pPr>
        <w:tabs>
          <w:tab w:val="num" w:pos="7020"/>
        </w:tabs>
        <w:ind w:left="7020" w:hanging="180"/>
      </w:pPr>
    </w:lvl>
    <w:lvl w:ilvl="3" w:tplc="0409000F" w:tentative="1">
      <w:start w:val="1"/>
      <w:numFmt w:val="decimal"/>
      <w:lvlText w:val="%4."/>
      <w:lvlJc w:val="left"/>
      <w:pPr>
        <w:tabs>
          <w:tab w:val="num" w:pos="7740"/>
        </w:tabs>
        <w:ind w:left="7740" w:hanging="360"/>
      </w:pPr>
    </w:lvl>
    <w:lvl w:ilvl="4" w:tplc="04090019" w:tentative="1">
      <w:start w:val="1"/>
      <w:numFmt w:val="lowerLetter"/>
      <w:lvlText w:val="%5."/>
      <w:lvlJc w:val="left"/>
      <w:pPr>
        <w:tabs>
          <w:tab w:val="num" w:pos="8460"/>
        </w:tabs>
        <w:ind w:left="8460" w:hanging="360"/>
      </w:pPr>
    </w:lvl>
    <w:lvl w:ilvl="5" w:tplc="0409001B" w:tentative="1">
      <w:start w:val="1"/>
      <w:numFmt w:val="lowerRoman"/>
      <w:lvlText w:val="%6."/>
      <w:lvlJc w:val="right"/>
      <w:pPr>
        <w:tabs>
          <w:tab w:val="num" w:pos="9180"/>
        </w:tabs>
        <w:ind w:left="9180" w:hanging="180"/>
      </w:pPr>
    </w:lvl>
    <w:lvl w:ilvl="6" w:tplc="0409000F" w:tentative="1">
      <w:start w:val="1"/>
      <w:numFmt w:val="decimal"/>
      <w:lvlText w:val="%7."/>
      <w:lvlJc w:val="left"/>
      <w:pPr>
        <w:tabs>
          <w:tab w:val="num" w:pos="9900"/>
        </w:tabs>
        <w:ind w:left="9900" w:hanging="360"/>
      </w:pPr>
    </w:lvl>
    <w:lvl w:ilvl="7" w:tplc="04090019" w:tentative="1">
      <w:start w:val="1"/>
      <w:numFmt w:val="lowerLetter"/>
      <w:lvlText w:val="%8."/>
      <w:lvlJc w:val="left"/>
      <w:pPr>
        <w:tabs>
          <w:tab w:val="num" w:pos="10620"/>
        </w:tabs>
        <w:ind w:left="10620" w:hanging="360"/>
      </w:pPr>
    </w:lvl>
    <w:lvl w:ilvl="8" w:tplc="0409001B" w:tentative="1">
      <w:start w:val="1"/>
      <w:numFmt w:val="lowerRoman"/>
      <w:lvlText w:val="%9."/>
      <w:lvlJc w:val="right"/>
      <w:pPr>
        <w:tabs>
          <w:tab w:val="num" w:pos="11340"/>
        </w:tabs>
        <w:ind w:left="11340" w:hanging="180"/>
      </w:pPr>
    </w:lvl>
  </w:abstractNum>
  <w:abstractNum w:abstractNumId="2">
    <w:nsid w:val="08C75BA3"/>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23192E"/>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D3067"/>
    <w:multiLevelType w:val="hybridMultilevel"/>
    <w:tmpl w:val="19CABDCE"/>
    <w:lvl w:ilvl="0" w:tplc="5404B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2D559E"/>
    <w:multiLevelType w:val="hybridMultilevel"/>
    <w:tmpl w:val="6604FF16"/>
    <w:lvl w:ilvl="0" w:tplc="8B1065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E5C21"/>
    <w:multiLevelType w:val="hybridMultilevel"/>
    <w:tmpl w:val="4648B7B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1FDD0C95"/>
    <w:multiLevelType w:val="hybridMultilevel"/>
    <w:tmpl w:val="B0D8E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281920"/>
    <w:multiLevelType w:val="hybridMultilevel"/>
    <w:tmpl w:val="4C805C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70509E"/>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D7D4906"/>
    <w:multiLevelType w:val="hybridMultilevel"/>
    <w:tmpl w:val="96BEA6B6"/>
    <w:lvl w:ilvl="0" w:tplc="04090001">
      <w:start w:val="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55085B"/>
    <w:multiLevelType w:val="hybridMultilevel"/>
    <w:tmpl w:val="9082389A"/>
    <w:lvl w:ilvl="0" w:tplc="6E623A0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3952515B"/>
    <w:multiLevelType w:val="hybridMultilevel"/>
    <w:tmpl w:val="A4FAAA12"/>
    <w:lvl w:ilvl="0" w:tplc="4066DC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2B1E18"/>
    <w:multiLevelType w:val="hybridMultilevel"/>
    <w:tmpl w:val="82686ED2"/>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4">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35B3F57"/>
    <w:multiLevelType w:val="hybridMultilevel"/>
    <w:tmpl w:val="0B5AE0D4"/>
    <w:lvl w:ilvl="0" w:tplc="9014C96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80181F"/>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4C0420C"/>
    <w:multiLevelType w:val="hybridMultilevel"/>
    <w:tmpl w:val="F07C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F24554"/>
    <w:multiLevelType w:val="hybridMultilevel"/>
    <w:tmpl w:val="38C2EEF0"/>
    <w:lvl w:ilvl="0" w:tplc="CD22498E">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2734E0"/>
    <w:multiLevelType w:val="hybridMultilevel"/>
    <w:tmpl w:val="6C0A278E"/>
    <w:lvl w:ilvl="0" w:tplc="4066DC22">
      <w:start w:val="1"/>
      <w:numFmt w:val="upperLetter"/>
      <w:lvlText w:val="%1)"/>
      <w:lvlJc w:val="left"/>
      <w:pPr>
        <w:ind w:left="837"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20">
    <w:nsid w:val="4C60361C"/>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D1610B1"/>
    <w:multiLevelType w:val="hybridMultilevel"/>
    <w:tmpl w:val="1528138E"/>
    <w:lvl w:ilvl="0" w:tplc="7CFA2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4A0BAC"/>
    <w:multiLevelType w:val="hybridMultilevel"/>
    <w:tmpl w:val="8578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025A6F"/>
    <w:multiLevelType w:val="hybridMultilevel"/>
    <w:tmpl w:val="52D2B190"/>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4">
    <w:nsid w:val="598F169B"/>
    <w:multiLevelType w:val="hybridMultilevel"/>
    <w:tmpl w:val="A7D4E75A"/>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EA7525"/>
    <w:multiLevelType w:val="hybridMultilevel"/>
    <w:tmpl w:val="948A0A3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9BA4899"/>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CC51EAF"/>
    <w:multiLevelType w:val="hybridMultilevel"/>
    <w:tmpl w:val="4648B7B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77E730B0"/>
    <w:multiLevelType w:val="multilevel"/>
    <w:tmpl w:val="948A0A3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A5E40BB"/>
    <w:multiLevelType w:val="hybridMultilevel"/>
    <w:tmpl w:val="1018B9D4"/>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30">
    <w:nsid w:val="7AB66A15"/>
    <w:multiLevelType w:val="hybridMultilevel"/>
    <w:tmpl w:val="C8DA0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F76F14"/>
    <w:multiLevelType w:val="hybridMultilevel"/>
    <w:tmpl w:val="07DCED62"/>
    <w:lvl w:ilvl="0" w:tplc="04090001">
      <w:start w:val="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4444B4"/>
    <w:multiLevelType w:val="hybridMultilevel"/>
    <w:tmpl w:val="00F2A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C071FE"/>
    <w:multiLevelType w:val="multilevel"/>
    <w:tmpl w:val="FDF40ACC"/>
    <w:lvl w:ilvl="0">
      <w:start w:val="1"/>
      <w:numFmt w:val="decimal"/>
      <w:lvlText w:val="%1."/>
      <w:lvlJc w:val="left"/>
      <w:pPr>
        <w:tabs>
          <w:tab w:val="num" w:pos="540"/>
        </w:tabs>
        <w:ind w:left="54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num w:numId="1">
    <w:abstractNumId w:val="15"/>
  </w:num>
  <w:num w:numId="2">
    <w:abstractNumId w:val="25"/>
  </w:num>
  <w:num w:numId="3">
    <w:abstractNumId w:val="1"/>
  </w:num>
  <w:num w:numId="4">
    <w:abstractNumId w:val="16"/>
  </w:num>
  <w:num w:numId="5">
    <w:abstractNumId w:val="26"/>
  </w:num>
  <w:num w:numId="6">
    <w:abstractNumId w:val="2"/>
  </w:num>
  <w:num w:numId="7">
    <w:abstractNumId w:val="28"/>
  </w:num>
  <w:num w:numId="8">
    <w:abstractNumId w:val="6"/>
  </w:num>
  <w:num w:numId="9">
    <w:abstractNumId w:val="11"/>
  </w:num>
  <w:num w:numId="10">
    <w:abstractNumId w:val="9"/>
  </w:num>
  <w:num w:numId="11">
    <w:abstractNumId w:val="33"/>
  </w:num>
  <w:num w:numId="12">
    <w:abstractNumId w:val="20"/>
  </w:num>
  <w:num w:numId="13">
    <w:abstractNumId w:val="24"/>
  </w:num>
  <w:num w:numId="14">
    <w:abstractNumId w:val="3"/>
  </w:num>
  <w:num w:numId="15">
    <w:abstractNumId w:val="27"/>
  </w:num>
  <w:num w:numId="16">
    <w:abstractNumId w:val="14"/>
  </w:num>
  <w:num w:numId="17">
    <w:abstractNumId w:val="31"/>
  </w:num>
  <w:num w:numId="18">
    <w:abstractNumId w:val="10"/>
  </w:num>
  <w:num w:numId="19">
    <w:abstractNumId w:val="32"/>
  </w:num>
  <w:num w:numId="20">
    <w:abstractNumId w:val="0"/>
  </w:num>
  <w:num w:numId="21">
    <w:abstractNumId w:val="22"/>
  </w:num>
  <w:num w:numId="22">
    <w:abstractNumId w:val="30"/>
  </w:num>
  <w:num w:numId="23">
    <w:abstractNumId w:val="5"/>
  </w:num>
  <w:num w:numId="24">
    <w:abstractNumId w:val="21"/>
  </w:num>
  <w:num w:numId="25">
    <w:abstractNumId w:val="23"/>
  </w:num>
  <w:num w:numId="26">
    <w:abstractNumId w:val="13"/>
  </w:num>
  <w:num w:numId="27">
    <w:abstractNumId w:val="29"/>
  </w:num>
  <w:num w:numId="28">
    <w:abstractNumId w:val="12"/>
  </w:num>
  <w:num w:numId="29">
    <w:abstractNumId w:val="19"/>
  </w:num>
  <w:num w:numId="30">
    <w:abstractNumId w:val="4"/>
  </w:num>
  <w:num w:numId="31">
    <w:abstractNumId w:val="7"/>
  </w:num>
  <w:num w:numId="32">
    <w:abstractNumId w:val="18"/>
  </w:num>
  <w:num w:numId="33">
    <w:abstractNumId w:val="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DC8"/>
    <w:rsid w:val="00003F4C"/>
    <w:rsid w:val="00007E4E"/>
    <w:rsid w:val="0001163E"/>
    <w:rsid w:val="00020BE0"/>
    <w:rsid w:val="00026E16"/>
    <w:rsid w:val="000339EB"/>
    <w:rsid w:val="0004148F"/>
    <w:rsid w:val="000415BE"/>
    <w:rsid w:val="0004795B"/>
    <w:rsid w:val="00050082"/>
    <w:rsid w:val="0005386C"/>
    <w:rsid w:val="000619D3"/>
    <w:rsid w:val="000640B7"/>
    <w:rsid w:val="000652B9"/>
    <w:rsid w:val="000654F0"/>
    <w:rsid w:val="00066DC8"/>
    <w:rsid w:val="0007302D"/>
    <w:rsid w:val="00086312"/>
    <w:rsid w:val="000960CD"/>
    <w:rsid w:val="000974D9"/>
    <w:rsid w:val="000A07B4"/>
    <w:rsid w:val="000A0B3B"/>
    <w:rsid w:val="000A2C02"/>
    <w:rsid w:val="000A34AE"/>
    <w:rsid w:val="000A4508"/>
    <w:rsid w:val="000B1295"/>
    <w:rsid w:val="000C1F88"/>
    <w:rsid w:val="000C4A98"/>
    <w:rsid w:val="000D52CF"/>
    <w:rsid w:val="000D5765"/>
    <w:rsid w:val="000E189A"/>
    <w:rsid w:val="000E2481"/>
    <w:rsid w:val="000E50FF"/>
    <w:rsid w:val="000F036E"/>
    <w:rsid w:val="000F0C4C"/>
    <w:rsid w:val="000F227A"/>
    <w:rsid w:val="000F3558"/>
    <w:rsid w:val="000F5D70"/>
    <w:rsid w:val="001017BD"/>
    <w:rsid w:val="00104C8C"/>
    <w:rsid w:val="00104D23"/>
    <w:rsid w:val="00112E84"/>
    <w:rsid w:val="00113652"/>
    <w:rsid w:val="00122DF4"/>
    <w:rsid w:val="001276C2"/>
    <w:rsid w:val="00131159"/>
    <w:rsid w:val="0013148A"/>
    <w:rsid w:val="00133416"/>
    <w:rsid w:val="001415BC"/>
    <w:rsid w:val="001425D4"/>
    <w:rsid w:val="001443D9"/>
    <w:rsid w:val="00145ACE"/>
    <w:rsid w:val="00145AEB"/>
    <w:rsid w:val="0014639E"/>
    <w:rsid w:val="001558D7"/>
    <w:rsid w:val="001560AE"/>
    <w:rsid w:val="0016548E"/>
    <w:rsid w:val="00166DEC"/>
    <w:rsid w:val="00167CD0"/>
    <w:rsid w:val="00170B94"/>
    <w:rsid w:val="00176C34"/>
    <w:rsid w:val="00181E51"/>
    <w:rsid w:val="00186BE7"/>
    <w:rsid w:val="00187396"/>
    <w:rsid w:val="001A3160"/>
    <w:rsid w:val="001A4FD0"/>
    <w:rsid w:val="001A7B9C"/>
    <w:rsid w:val="001B2A11"/>
    <w:rsid w:val="001B43A4"/>
    <w:rsid w:val="001C5971"/>
    <w:rsid w:val="001C768F"/>
    <w:rsid w:val="001C7969"/>
    <w:rsid w:val="001D06F2"/>
    <w:rsid w:val="001E10A1"/>
    <w:rsid w:val="001E58D3"/>
    <w:rsid w:val="001E7032"/>
    <w:rsid w:val="001F0C28"/>
    <w:rsid w:val="001F2593"/>
    <w:rsid w:val="001F345C"/>
    <w:rsid w:val="002016E8"/>
    <w:rsid w:val="0020579C"/>
    <w:rsid w:val="00205C7B"/>
    <w:rsid w:val="00210D10"/>
    <w:rsid w:val="00214F19"/>
    <w:rsid w:val="00216AD9"/>
    <w:rsid w:val="00216F79"/>
    <w:rsid w:val="00217859"/>
    <w:rsid w:val="00236E24"/>
    <w:rsid w:val="00237290"/>
    <w:rsid w:val="002432F6"/>
    <w:rsid w:val="00250253"/>
    <w:rsid w:val="0025110B"/>
    <w:rsid w:val="002519B4"/>
    <w:rsid w:val="00252539"/>
    <w:rsid w:val="002555F6"/>
    <w:rsid w:val="0025575C"/>
    <w:rsid w:val="0026099E"/>
    <w:rsid w:val="00262362"/>
    <w:rsid w:val="002623DC"/>
    <w:rsid w:val="002660C9"/>
    <w:rsid w:val="0026633A"/>
    <w:rsid w:val="002664D0"/>
    <w:rsid w:val="00267E76"/>
    <w:rsid w:val="00271AB9"/>
    <w:rsid w:val="002747D9"/>
    <w:rsid w:val="00277ADB"/>
    <w:rsid w:val="00277D9E"/>
    <w:rsid w:val="0028016B"/>
    <w:rsid w:val="002836FE"/>
    <w:rsid w:val="002862F3"/>
    <w:rsid w:val="002873B7"/>
    <w:rsid w:val="00291C8A"/>
    <w:rsid w:val="0029704A"/>
    <w:rsid w:val="002B1CA1"/>
    <w:rsid w:val="002B2311"/>
    <w:rsid w:val="002B44BA"/>
    <w:rsid w:val="002C1DA0"/>
    <w:rsid w:val="002C3865"/>
    <w:rsid w:val="002C6531"/>
    <w:rsid w:val="002D0AD2"/>
    <w:rsid w:val="002D371B"/>
    <w:rsid w:val="002D4286"/>
    <w:rsid w:val="002E02AF"/>
    <w:rsid w:val="002E0E7B"/>
    <w:rsid w:val="002E31AB"/>
    <w:rsid w:val="002E493A"/>
    <w:rsid w:val="002E6319"/>
    <w:rsid w:val="002F16DF"/>
    <w:rsid w:val="002F25D8"/>
    <w:rsid w:val="002F5125"/>
    <w:rsid w:val="002F6929"/>
    <w:rsid w:val="00303C55"/>
    <w:rsid w:val="003071DE"/>
    <w:rsid w:val="00307765"/>
    <w:rsid w:val="00316946"/>
    <w:rsid w:val="00330948"/>
    <w:rsid w:val="00331168"/>
    <w:rsid w:val="0033149B"/>
    <w:rsid w:val="0033281F"/>
    <w:rsid w:val="003355B9"/>
    <w:rsid w:val="003436ED"/>
    <w:rsid w:val="00344BE8"/>
    <w:rsid w:val="0034503A"/>
    <w:rsid w:val="00345097"/>
    <w:rsid w:val="0035162A"/>
    <w:rsid w:val="003550AD"/>
    <w:rsid w:val="00356676"/>
    <w:rsid w:val="0037085E"/>
    <w:rsid w:val="003754FC"/>
    <w:rsid w:val="003763EE"/>
    <w:rsid w:val="00381891"/>
    <w:rsid w:val="00396365"/>
    <w:rsid w:val="00396FC8"/>
    <w:rsid w:val="003A5CFF"/>
    <w:rsid w:val="003B2085"/>
    <w:rsid w:val="003B512A"/>
    <w:rsid w:val="003C6D20"/>
    <w:rsid w:val="003E3E1A"/>
    <w:rsid w:val="00410B75"/>
    <w:rsid w:val="00414BAF"/>
    <w:rsid w:val="004179B9"/>
    <w:rsid w:val="00420F91"/>
    <w:rsid w:val="004210DE"/>
    <w:rsid w:val="00425951"/>
    <w:rsid w:val="00432B08"/>
    <w:rsid w:val="00434A9D"/>
    <w:rsid w:val="004379C3"/>
    <w:rsid w:val="00446529"/>
    <w:rsid w:val="00446FFD"/>
    <w:rsid w:val="00460B54"/>
    <w:rsid w:val="004651D9"/>
    <w:rsid w:val="004733F5"/>
    <w:rsid w:val="0047440F"/>
    <w:rsid w:val="004753EC"/>
    <w:rsid w:val="00480FF5"/>
    <w:rsid w:val="00491B4D"/>
    <w:rsid w:val="00494FB4"/>
    <w:rsid w:val="004A0BF5"/>
    <w:rsid w:val="004A1BFC"/>
    <w:rsid w:val="004A2643"/>
    <w:rsid w:val="004A272E"/>
    <w:rsid w:val="004A429B"/>
    <w:rsid w:val="004B1446"/>
    <w:rsid w:val="004B1FE1"/>
    <w:rsid w:val="004B25A8"/>
    <w:rsid w:val="004B3362"/>
    <w:rsid w:val="004B3395"/>
    <w:rsid w:val="004C150C"/>
    <w:rsid w:val="004C230A"/>
    <w:rsid w:val="004C7A23"/>
    <w:rsid w:val="004D2F8F"/>
    <w:rsid w:val="004D3118"/>
    <w:rsid w:val="004D374B"/>
    <w:rsid w:val="004E016B"/>
    <w:rsid w:val="004E0BFA"/>
    <w:rsid w:val="004E2271"/>
    <w:rsid w:val="004E2F3B"/>
    <w:rsid w:val="004E45C9"/>
    <w:rsid w:val="004E65F5"/>
    <w:rsid w:val="004E68B9"/>
    <w:rsid w:val="004E7478"/>
    <w:rsid w:val="004F200D"/>
    <w:rsid w:val="004F2CA4"/>
    <w:rsid w:val="004F4EDB"/>
    <w:rsid w:val="004F5803"/>
    <w:rsid w:val="004F5D08"/>
    <w:rsid w:val="004F7C4E"/>
    <w:rsid w:val="00502A71"/>
    <w:rsid w:val="00512949"/>
    <w:rsid w:val="005163C5"/>
    <w:rsid w:val="00522035"/>
    <w:rsid w:val="005266F2"/>
    <w:rsid w:val="0053013A"/>
    <w:rsid w:val="005329B0"/>
    <w:rsid w:val="00534BFD"/>
    <w:rsid w:val="00541222"/>
    <w:rsid w:val="00547B8A"/>
    <w:rsid w:val="005547FC"/>
    <w:rsid w:val="0055731B"/>
    <w:rsid w:val="00557765"/>
    <w:rsid w:val="005612B6"/>
    <w:rsid w:val="005620D2"/>
    <w:rsid w:val="005620EA"/>
    <w:rsid w:val="00564F01"/>
    <w:rsid w:val="00566873"/>
    <w:rsid w:val="0057065D"/>
    <w:rsid w:val="00575358"/>
    <w:rsid w:val="0058650C"/>
    <w:rsid w:val="005870BD"/>
    <w:rsid w:val="00593AA4"/>
    <w:rsid w:val="005A0C8B"/>
    <w:rsid w:val="005A1536"/>
    <w:rsid w:val="005A1898"/>
    <w:rsid w:val="005A4650"/>
    <w:rsid w:val="005A5BBE"/>
    <w:rsid w:val="005C7F9F"/>
    <w:rsid w:val="005D3BFF"/>
    <w:rsid w:val="005D746A"/>
    <w:rsid w:val="005E5F12"/>
    <w:rsid w:val="00612737"/>
    <w:rsid w:val="006127F3"/>
    <w:rsid w:val="00615D73"/>
    <w:rsid w:val="00615DC9"/>
    <w:rsid w:val="006240A2"/>
    <w:rsid w:val="006240DD"/>
    <w:rsid w:val="006244D7"/>
    <w:rsid w:val="006346F6"/>
    <w:rsid w:val="0063653D"/>
    <w:rsid w:val="00636B94"/>
    <w:rsid w:val="00644B4A"/>
    <w:rsid w:val="00653DDF"/>
    <w:rsid w:val="00657871"/>
    <w:rsid w:val="0066307E"/>
    <w:rsid w:val="006661AC"/>
    <w:rsid w:val="00667EC9"/>
    <w:rsid w:val="0067191A"/>
    <w:rsid w:val="00672279"/>
    <w:rsid w:val="00673EEC"/>
    <w:rsid w:val="006834A3"/>
    <w:rsid w:val="006863D9"/>
    <w:rsid w:val="00690AEA"/>
    <w:rsid w:val="006934F6"/>
    <w:rsid w:val="006A672C"/>
    <w:rsid w:val="006B0E5A"/>
    <w:rsid w:val="006B4A84"/>
    <w:rsid w:val="006B5869"/>
    <w:rsid w:val="006C050B"/>
    <w:rsid w:val="006C7189"/>
    <w:rsid w:val="006D210A"/>
    <w:rsid w:val="006E4DE9"/>
    <w:rsid w:val="006F3E4A"/>
    <w:rsid w:val="006F4E9A"/>
    <w:rsid w:val="006F7178"/>
    <w:rsid w:val="00702B18"/>
    <w:rsid w:val="00704604"/>
    <w:rsid w:val="00705CB9"/>
    <w:rsid w:val="00712662"/>
    <w:rsid w:val="00714719"/>
    <w:rsid w:val="00714C13"/>
    <w:rsid w:val="007151BB"/>
    <w:rsid w:val="00715CD4"/>
    <w:rsid w:val="00727820"/>
    <w:rsid w:val="00737BB4"/>
    <w:rsid w:val="0075323A"/>
    <w:rsid w:val="00754110"/>
    <w:rsid w:val="00760454"/>
    <w:rsid w:val="00762F73"/>
    <w:rsid w:val="00780527"/>
    <w:rsid w:val="00784192"/>
    <w:rsid w:val="00794E06"/>
    <w:rsid w:val="00795050"/>
    <w:rsid w:val="00795959"/>
    <w:rsid w:val="007B1A5B"/>
    <w:rsid w:val="007B2803"/>
    <w:rsid w:val="007B51C3"/>
    <w:rsid w:val="007B6968"/>
    <w:rsid w:val="007B6AEC"/>
    <w:rsid w:val="007C2F6C"/>
    <w:rsid w:val="007C4A8B"/>
    <w:rsid w:val="007D736E"/>
    <w:rsid w:val="007E1408"/>
    <w:rsid w:val="007E7444"/>
    <w:rsid w:val="007F036E"/>
    <w:rsid w:val="007F4FB4"/>
    <w:rsid w:val="008062BF"/>
    <w:rsid w:val="00806CA2"/>
    <w:rsid w:val="00813620"/>
    <w:rsid w:val="00815AC9"/>
    <w:rsid w:val="00820F5D"/>
    <w:rsid w:val="00821F40"/>
    <w:rsid w:val="00823A7C"/>
    <w:rsid w:val="00824E5C"/>
    <w:rsid w:val="008319B6"/>
    <w:rsid w:val="00833FE8"/>
    <w:rsid w:val="008428B4"/>
    <w:rsid w:val="00842986"/>
    <w:rsid w:val="0084586A"/>
    <w:rsid w:val="00845D78"/>
    <w:rsid w:val="00845E34"/>
    <w:rsid w:val="00846A93"/>
    <w:rsid w:val="00846DC1"/>
    <w:rsid w:val="00847D23"/>
    <w:rsid w:val="008528E3"/>
    <w:rsid w:val="008539C0"/>
    <w:rsid w:val="00870692"/>
    <w:rsid w:val="00873772"/>
    <w:rsid w:val="00880B96"/>
    <w:rsid w:val="00881EB9"/>
    <w:rsid w:val="0088306D"/>
    <w:rsid w:val="0088414C"/>
    <w:rsid w:val="00887D07"/>
    <w:rsid w:val="00894897"/>
    <w:rsid w:val="008A01BA"/>
    <w:rsid w:val="008A08B0"/>
    <w:rsid w:val="008A11D7"/>
    <w:rsid w:val="008C12C8"/>
    <w:rsid w:val="008C6A1F"/>
    <w:rsid w:val="008D0988"/>
    <w:rsid w:val="008E1857"/>
    <w:rsid w:val="008E249B"/>
    <w:rsid w:val="008E418C"/>
    <w:rsid w:val="008E6289"/>
    <w:rsid w:val="008E71C7"/>
    <w:rsid w:val="008F0E5A"/>
    <w:rsid w:val="008F1ACD"/>
    <w:rsid w:val="008F7B26"/>
    <w:rsid w:val="0090061B"/>
    <w:rsid w:val="00900F4F"/>
    <w:rsid w:val="009052B6"/>
    <w:rsid w:val="00911338"/>
    <w:rsid w:val="009251E1"/>
    <w:rsid w:val="00925B5B"/>
    <w:rsid w:val="0092609A"/>
    <w:rsid w:val="00933323"/>
    <w:rsid w:val="00936A23"/>
    <w:rsid w:val="009402A7"/>
    <w:rsid w:val="009408DB"/>
    <w:rsid w:val="009413A9"/>
    <w:rsid w:val="009465D0"/>
    <w:rsid w:val="00946BA5"/>
    <w:rsid w:val="00946E27"/>
    <w:rsid w:val="009518EA"/>
    <w:rsid w:val="00954E19"/>
    <w:rsid w:val="00957D2A"/>
    <w:rsid w:val="00965759"/>
    <w:rsid w:val="00966D10"/>
    <w:rsid w:val="00971658"/>
    <w:rsid w:val="0097255F"/>
    <w:rsid w:val="00975A9D"/>
    <w:rsid w:val="00977E8E"/>
    <w:rsid w:val="009818DE"/>
    <w:rsid w:val="009859D3"/>
    <w:rsid w:val="009870EC"/>
    <w:rsid w:val="009938BA"/>
    <w:rsid w:val="00993A90"/>
    <w:rsid w:val="009A1EB6"/>
    <w:rsid w:val="009A5454"/>
    <w:rsid w:val="009B7C82"/>
    <w:rsid w:val="009B7DAB"/>
    <w:rsid w:val="009E29F4"/>
    <w:rsid w:val="009E6256"/>
    <w:rsid w:val="009F3EFB"/>
    <w:rsid w:val="00A01F60"/>
    <w:rsid w:val="00A079A4"/>
    <w:rsid w:val="00A07B32"/>
    <w:rsid w:val="00A13CC0"/>
    <w:rsid w:val="00A21414"/>
    <w:rsid w:val="00A214B4"/>
    <w:rsid w:val="00A220BA"/>
    <w:rsid w:val="00A251FE"/>
    <w:rsid w:val="00A3003F"/>
    <w:rsid w:val="00A344B2"/>
    <w:rsid w:val="00A3555D"/>
    <w:rsid w:val="00A375EA"/>
    <w:rsid w:val="00A41576"/>
    <w:rsid w:val="00A421D9"/>
    <w:rsid w:val="00A43A49"/>
    <w:rsid w:val="00A44A0A"/>
    <w:rsid w:val="00A73F0A"/>
    <w:rsid w:val="00A741BF"/>
    <w:rsid w:val="00A80160"/>
    <w:rsid w:val="00A83DE9"/>
    <w:rsid w:val="00A856AC"/>
    <w:rsid w:val="00A94F13"/>
    <w:rsid w:val="00AA5625"/>
    <w:rsid w:val="00AA5C29"/>
    <w:rsid w:val="00AB0DC8"/>
    <w:rsid w:val="00AB6A13"/>
    <w:rsid w:val="00AC3FC3"/>
    <w:rsid w:val="00AC673F"/>
    <w:rsid w:val="00AD1296"/>
    <w:rsid w:val="00AD3600"/>
    <w:rsid w:val="00AD4042"/>
    <w:rsid w:val="00AD418A"/>
    <w:rsid w:val="00AD7246"/>
    <w:rsid w:val="00AE4D11"/>
    <w:rsid w:val="00AE611F"/>
    <w:rsid w:val="00AF45A8"/>
    <w:rsid w:val="00AF4DA1"/>
    <w:rsid w:val="00AF68E7"/>
    <w:rsid w:val="00AF7BDA"/>
    <w:rsid w:val="00AF7D94"/>
    <w:rsid w:val="00B02ED8"/>
    <w:rsid w:val="00B04F91"/>
    <w:rsid w:val="00B10F79"/>
    <w:rsid w:val="00B12CAF"/>
    <w:rsid w:val="00B16F07"/>
    <w:rsid w:val="00B25F4D"/>
    <w:rsid w:val="00B261BD"/>
    <w:rsid w:val="00B30CAA"/>
    <w:rsid w:val="00B31108"/>
    <w:rsid w:val="00B3494B"/>
    <w:rsid w:val="00B37113"/>
    <w:rsid w:val="00B5032A"/>
    <w:rsid w:val="00B50EEC"/>
    <w:rsid w:val="00B528B4"/>
    <w:rsid w:val="00B57E6B"/>
    <w:rsid w:val="00B60A07"/>
    <w:rsid w:val="00B73DB2"/>
    <w:rsid w:val="00B9065A"/>
    <w:rsid w:val="00BA0D72"/>
    <w:rsid w:val="00BA2340"/>
    <w:rsid w:val="00BA6650"/>
    <w:rsid w:val="00BA6DF1"/>
    <w:rsid w:val="00BB4577"/>
    <w:rsid w:val="00BB4FB4"/>
    <w:rsid w:val="00BC1087"/>
    <w:rsid w:val="00BC6E86"/>
    <w:rsid w:val="00BD1399"/>
    <w:rsid w:val="00BD35EC"/>
    <w:rsid w:val="00BD47E4"/>
    <w:rsid w:val="00BE6219"/>
    <w:rsid w:val="00BF05DD"/>
    <w:rsid w:val="00C018AB"/>
    <w:rsid w:val="00C06E4C"/>
    <w:rsid w:val="00C1168A"/>
    <w:rsid w:val="00C12546"/>
    <w:rsid w:val="00C12A08"/>
    <w:rsid w:val="00C147C0"/>
    <w:rsid w:val="00C15483"/>
    <w:rsid w:val="00C15843"/>
    <w:rsid w:val="00C16B5C"/>
    <w:rsid w:val="00C16EDE"/>
    <w:rsid w:val="00C20CFD"/>
    <w:rsid w:val="00C25C03"/>
    <w:rsid w:val="00C32882"/>
    <w:rsid w:val="00C33D29"/>
    <w:rsid w:val="00C35629"/>
    <w:rsid w:val="00C36E4D"/>
    <w:rsid w:val="00C3790B"/>
    <w:rsid w:val="00C47BB7"/>
    <w:rsid w:val="00C51D4D"/>
    <w:rsid w:val="00C53059"/>
    <w:rsid w:val="00C55734"/>
    <w:rsid w:val="00C558BF"/>
    <w:rsid w:val="00C55926"/>
    <w:rsid w:val="00C57E8A"/>
    <w:rsid w:val="00C66293"/>
    <w:rsid w:val="00C7641E"/>
    <w:rsid w:val="00C76AE4"/>
    <w:rsid w:val="00C85329"/>
    <w:rsid w:val="00C902CE"/>
    <w:rsid w:val="00C93C50"/>
    <w:rsid w:val="00C95853"/>
    <w:rsid w:val="00C962A2"/>
    <w:rsid w:val="00C96313"/>
    <w:rsid w:val="00C9775F"/>
    <w:rsid w:val="00CA64C0"/>
    <w:rsid w:val="00CA7AA4"/>
    <w:rsid w:val="00CB32A1"/>
    <w:rsid w:val="00CB3891"/>
    <w:rsid w:val="00CB4FF7"/>
    <w:rsid w:val="00CC3B74"/>
    <w:rsid w:val="00CD1DA3"/>
    <w:rsid w:val="00CD3533"/>
    <w:rsid w:val="00CD4C7D"/>
    <w:rsid w:val="00CD5858"/>
    <w:rsid w:val="00CE14C2"/>
    <w:rsid w:val="00CF1594"/>
    <w:rsid w:val="00CF3B54"/>
    <w:rsid w:val="00CF4598"/>
    <w:rsid w:val="00D00353"/>
    <w:rsid w:val="00D042C6"/>
    <w:rsid w:val="00D04B4D"/>
    <w:rsid w:val="00D10725"/>
    <w:rsid w:val="00D1147F"/>
    <w:rsid w:val="00D1593B"/>
    <w:rsid w:val="00D2029F"/>
    <w:rsid w:val="00D20D28"/>
    <w:rsid w:val="00D22913"/>
    <w:rsid w:val="00D22C28"/>
    <w:rsid w:val="00D27FE8"/>
    <w:rsid w:val="00D30977"/>
    <w:rsid w:val="00D310EE"/>
    <w:rsid w:val="00D317DB"/>
    <w:rsid w:val="00D323AA"/>
    <w:rsid w:val="00D326ED"/>
    <w:rsid w:val="00D34154"/>
    <w:rsid w:val="00D344DC"/>
    <w:rsid w:val="00D371B9"/>
    <w:rsid w:val="00D375D7"/>
    <w:rsid w:val="00D41DFD"/>
    <w:rsid w:val="00D42751"/>
    <w:rsid w:val="00D45780"/>
    <w:rsid w:val="00D52AB4"/>
    <w:rsid w:val="00D549DA"/>
    <w:rsid w:val="00D550A9"/>
    <w:rsid w:val="00D61CEE"/>
    <w:rsid w:val="00D6349B"/>
    <w:rsid w:val="00D64A70"/>
    <w:rsid w:val="00D653CD"/>
    <w:rsid w:val="00D66741"/>
    <w:rsid w:val="00D6793B"/>
    <w:rsid w:val="00D67A4F"/>
    <w:rsid w:val="00D67B2C"/>
    <w:rsid w:val="00D718E9"/>
    <w:rsid w:val="00D87DD6"/>
    <w:rsid w:val="00D91994"/>
    <w:rsid w:val="00DA7BDD"/>
    <w:rsid w:val="00DB5839"/>
    <w:rsid w:val="00DE11CF"/>
    <w:rsid w:val="00DE1563"/>
    <w:rsid w:val="00DE71B6"/>
    <w:rsid w:val="00DE71F5"/>
    <w:rsid w:val="00DF4D41"/>
    <w:rsid w:val="00DF5E0A"/>
    <w:rsid w:val="00DF75EE"/>
    <w:rsid w:val="00E04D8A"/>
    <w:rsid w:val="00E12420"/>
    <w:rsid w:val="00E21719"/>
    <w:rsid w:val="00E412D3"/>
    <w:rsid w:val="00E427FF"/>
    <w:rsid w:val="00E42BAD"/>
    <w:rsid w:val="00E45410"/>
    <w:rsid w:val="00E536BB"/>
    <w:rsid w:val="00E536F5"/>
    <w:rsid w:val="00E578E5"/>
    <w:rsid w:val="00E658AB"/>
    <w:rsid w:val="00E721E1"/>
    <w:rsid w:val="00E744EA"/>
    <w:rsid w:val="00E76125"/>
    <w:rsid w:val="00E763EC"/>
    <w:rsid w:val="00E84443"/>
    <w:rsid w:val="00E90020"/>
    <w:rsid w:val="00E92898"/>
    <w:rsid w:val="00E94EF4"/>
    <w:rsid w:val="00EA0919"/>
    <w:rsid w:val="00EA173C"/>
    <w:rsid w:val="00EA2963"/>
    <w:rsid w:val="00EB2B4D"/>
    <w:rsid w:val="00EB6E21"/>
    <w:rsid w:val="00EC138F"/>
    <w:rsid w:val="00EC4010"/>
    <w:rsid w:val="00EC5746"/>
    <w:rsid w:val="00ED1303"/>
    <w:rsid w:val="00ED5520"/>
    <w:rsid w:val="00EE664C"/>
    <w:rsid w:val="00EF7013"/>
    <w:rsid w:val="00F050FE"/>
    <w:rsid w:val="00F07150"/>
    <w:rsid w:val="00F1013A"/>
    <w:rsid w:val="00F219D9"/>
    <w:rsid w:val="00F24073"/>
    <w:rsid w:val="00F2428E"/>
    <w:rsid w:val="00F24C19"/>
    <w:rsid w:val="00F2503F"/>
    <w:rsid w:val="00F326DC"/>
    <w:rsid w:val="00F43B74"/>
    <w:rsid w:val="00F43C94"/>
    <w:rsid w:val="00F550A1"/>
    <w:rsid w:val="00F55FBE"/>
    <w:rsid w:val="00F56068"/>
    <w:rsid w:val="00F62D1F"/>
    <w:rsid w:val="00F6373C"/>
    <w:rsid w:val="00F63AE9"/>
    <w:rsid w:val="00F63B2E"/>
    <w:rsid w:val="00F66032"/>
    <w:rsid w:val="00F730AB"/>
    <w:rsid w:val="00F76C75"/>
    <w:rsid w:val="00F80D05"/>
    <w:rsid w:val="00F828D7"/>
    <w:rsid w:val="00F83742"/>
    <w:rsid w:val="00F83F62"/>
    <w:rsid w:val="00F850F8"/>
    <w:rsid w:val="00F85791"/>
    <w:rsid w:val="00FA0576"/>
    <w:rsid w:val="00FA5814"/>
    <w:rsid w:val="00FB3933"/>
    <w:rsid w:val="00FC4E32"/>
    <w:rsid w:val="00FC7F4B"/>
    <w:rsid w:val="00FD0BA6"/>
    <w:rsid w:val="00FD19FE"/>
    <w:rsid w:val="00FD2373"/>
    <w:rsid w:val="00FD7540"/>
    <w:rsid w:val="00FD764F"/>
    <w:rsid w:val="00FE7645"/>
    <w:rsid w:val="00FF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4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7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9704A"/>
    <w:rPr>
      <w:rFonts w:ascii="Tahoma" w:hAnsi="Tahoma" w:cs="Tahoma"/>
      <w:sz w:val="16"/>
      <w:szCs w:val="16"/>
    </w:rPr>
  </w:style>
  <w:style w:type="paragraph" w:styleId="NormalWeb">
    <w:name w:val="Normal (Web)"/>
    <w:basedOn w:val="Normal"/>
    <w:rsid w:val="00BA2340"/>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uiPriority w:val="99"/>
    <w:rsid w:val="00003F4C"/>
    <w:rPr>
      <w:color w:val="0000FF"/>
      <w:u w:val="single"/>
    </w:rPr>
  </w:style>
  <w:style w:type="paragraph" w:styleId="Footer">
    <w:name w:val="footer"/>
    <w:basedOn w:val="Normal"/>
    <w:link w:val="FooterChar"/>
    <w:uiPriority w:val="99"/>
    <w:rsid w:val="00CF1594"/>
    <w:pPr>
      <w:tabs>
        <w:tab w:val="center" w:pos="4320"/>
        <w:tab w:val="right" w:pos="8640"/>
      </w:tabs>
    </w:pPr>
  </w:style>
  <w:style w:type="character" w:styleId="PageNumber">
    <w:name w:val="page number"/>
    <w:basedOn w:val="DefaultParagraphFont"/>
    <w:rsid w:val="00CF1594"/>
  </w:style>
  <w:style w:type="paragraph" w:styleId="Header">
    <w:name w:val="header"/>
    <w:basedOn w:val="Normal"/>
    <w:rsid w:val="00D45780"/>
    <w:pPr>
      <w:tabs>
        <w:tab w:val="center" w:pos="4320"/>
        <w:tab w:val="right" w:pos="8640"/>
      </w:tabs>
    </w:pPr>
  </w:style>
  <w:style w:type="character" w:styleId="CommentReference">
    <w:name w:val="annotation reference"/>
    <w:basedOn w:val="DefaultParagraphFont"/>
    <w:semiHidden/>
    <w:rsid w:val="00833FE8"/>
    <w:rPr>
      <w:sz w:val="16"/>
      <w:szCs w:val="16"/>
    </w:rPr>
  </w:style>
  <w:style w:type="paragraph" w:styleId="CommentText">
    <w:name w:val="annotation text"/>
    <w:basedOn w:val="Normal"/>
    <w:link w:val="CommentTextChar"/>
    <w:semiHidden/>
    <w:rsid w:val="00833FE8"/>
    <w:rPr>
      <w:sz w:val="20"/>
      <w:szCs w:val="20"/>
    </w:rPr>
  </w:style>
  <w:style w:type="paragraph" w:styleId="CommentSubject">
    <w:name w:val="annotation subject"/>
    <w:basedOn w:val="CommentText"/>
    <w:next w:val="CommentText"/>
    <w:semiHidden/>
    <w:rsid w:val="00833FE8"/>
    <w:rPr>
      <w:b/>
      <w:bCs/>
    </w:rPr>
  </w:style>
  <w:style w:type="character" w:styleId="FollowedHyperlink">
    <w:name w:val="FollowedHyperlink"/>
    <w:basedOn w:val="DefaultParagraphFont"/>
    <w:rsid w:val="00A220BA"/>
    <w:rPr>
      <w:color w:val="800080"/>
      <w:u w:val="single"/>
    </w:rPr>
  </w:style>
  <w:style w:type="paragraph" w:styleId="NoSpacing">
    <w:name w:val="No Spacing"/>
    <w:uiPriority w:val="1"/>
    <w:qFormat/>
    <w:rsid w:val="00D20D28"/>
    <w:rPr>
      <w:sz w:val="24"/>
      <w:szCs w:val="24"/>
    </w:rPr>
  </w:style>
  <w:style w:type="paragraph" w:styleId="ListParagraph">
    <w:name w:val="List Paragraph"/>
    <w:basedOn w:val="Normal"/>
    <w:uiPriority w:val="34"/>
    <w:qFormat/>
    <w:rsid w:val="00C16EDE"/>
    <w:pPr>
      <w:ind w:left="720"/>
    </w:pPr>
  </w:style>
  <w:style w:type="character" w:customStyle="1" w:styleId="CommentTextChar">
    <w:name w:val="Comment Text Char"/>
    <w:basedOn w:val="DefaultParagraphFont"/>
    <w:link w:val="CommentText"/>
    <w:semiHidden/>
    <w:rsid w:val="002432F6"/>
  </w:style>
  <w:style w:type="paragraph" w:customStyle="1" w:styleId="Bullet">
    <w:name w:val="Bullet"/>
    <w:uiPriority w:val="99"/>
    <w:qFormat/>
    <w:rsid w:val="00C66293"/>
    <w:pPr>
      <w:tabs>
        <w:tab w:val="left" w:pos="360"/>
      </w:tabs>
      <w:spacing w:after="180" w:line="276" w:lineRule="auto"/>
      <w:ind w:right="360"/>
      <w:jc w:val="both"/>
    </w:pPr>
    <w:rPr>
      <w:rFonts w:ascii="Calibri" w:hAnsi="Calibri"/>
      <w:sz w:val="24"/>
      <w:szCs w:val="24"/>
      <w:lang w:bidi="en-US"/>
    </w:rPr>
  </w:style>
  <w:style w:type="character" w:customStyle="1" w:styleId="volume">
    <w:name w:val="volume"/>
    <w:basedOn w:val="DefaultParagraphFont"/>
    <w:rsid w:val="00EE664C"/>
  </w:style>
  <w:style w:type="character" w:customStyle="1" w:styleId="page">
    <w:name w:val="page"/>
    <w:basedOn w:val="DefaultParagraphFont"/>
    <w:rsid w:val="00EE664C"/>
  </w:style>
  <w:style w:type="paragraph" w:styleId="EndnoteText">
    <w:name w:val="endnote text"/>
    <w:basedOn w:val="Normal"/>
    <w:link w:val="EndnoteTextChar"/>
    <w:rsid w:val="0097255F"/>
    <w:rPr>
      <w:sz w:val="20"/>
      <w:szCs w:val="20"/>
    </w:rPr>
  </w:style>
  <w:style w:type="character" w:customStyle="1" w:styleId="EndnoteTextChar">
    <w:name w:val="Endnote Text Char"/>
    <w:basedOn w:val="DefaultParagraphFont"/>
    <w:link w:val="EndnoteText"/>
    <w:rsid w:val="0097255F"/>
  </w:style>
  <w:style w:type="character" w:styleId="EndnoteReference">
    <w:name w:val="endnote reference"/>
    <w:basedOn w:val="DefaultParagraphFont"/>
    <w:rsid w:val="0097255F"/>
    <w:rPr>
      <w:vertAlign w:val="superscript"/>
    </w:rPr>
  </w:style>
  <w:style w:type="paragraph" w:styleId="Revision">
    <w:name w:val="Revision"/>
    <w:hidden/>
    <w:uiPriority w:val="99"/>
    <w:semiHidden/>
    <w:rsid w:val="008F7B26"/>
    <w:rPr>
      <w:sz w:val="24"/>
      <w:szCs w:val="24"/>
    </w:rPr>
  </w:style>
  <w:style w:type="character" w:customStyle="1" w:styleId="FooterChar">
    <w:name w:val="Footer Char"/>
    <w:basedOn w:val="DefaultParagraphFont"/>
    <w:link w:val="Footer"/>
    <w:uiPriority w:val="99"/>
    <w:rsid w:val="00CA7AA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4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7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9704A"/>
    <w:rPr>
      <w:rFonts w:ascii="Tahoma" w:hAnsi="Tahoma" w:cs="Tahoma"/>
      <w:sz w:val="16"/>
      <w:szCs w:val="16"/>
    </w:rPr>
  </w:style>
  <w:style w:type="paragraph" w:styleId="NormalWeb">
    <w:name w:val="Normal (Web)"/>
    <w:basedOn w:val="Normal"/>
    <w:rsid w:val="00BA2340"/>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uiPriority w:val="99"/>
    <w:rsid w:val="00003F4C"/>
    <w:rPr>
      <w:color w:val="0000FF"/>
      <w:u w:val="single"/>
    </w:rPr>
  </w:style>
  <w:style w:type="paragraph" w:styleId="Footer">
    <w:name w:val="footer"/>
    <w:basedOn w:val="Normal"/>
    <w:link w:val="FooterChar"/>
    <w:uiPriority w:val="99"/>
    <w:rsid w:val="00CF1594"/>
    <w:pPr>
      <w:tabs>
        <w:tab w:val="center" w:pos="4320"/>
        <w:tab w:val="right" w:pos="8640"/>
      </w:tabs>
    </w:pPr>
  </w:style>
  <w:style w:type="character" w:styleId="PageNumber">
    <w:name w:val="page number"/>
    <w:basedOn w:val="DefaultParagraphFont"/>
    <w:rsid w:val="00CF1594"/>
  </w:style>
  <w:style w:type="paragraph" w:styleId="Header">
    <w:name w:val="header"/>
    <w:basedOn w:val="Normal"/>
    <w:rsid w:val="00D45780"/>
    <w:pPr>
      <w:tabs>
        <w:tab w:val="center" w:pos="4320"/>
        <w:tab w:val="right" w:pos="8640"/>
      </w:tabs>
    </w:pPr>
  </w:style>
  <w:style w:type="character" w:styleId="CommentReference">
    <w:name w:val="annotation reference"/>
    <w:basedOn w:val="DefaultParagraphFont"/>
    <w:semiHidden/>
    <w:rsid w:val="00833FE8"/>
    <w:rPr>
      <w:sz w:val="16"/>
      <w:szCs w:val="16"/>
    </w:rPr>
  </w:style>
  <w:style w:type="paragraph" w:styleId="CommentText">
    <w:name w:val="annotation text"/>
    <w:basedOn w:val="Normal"/>
    <w:link w:val="CommentTextChar"/>
    <w:semiHidden/>
    <w:rsid w:val="00833FE8"/>
    <w:rPr>
      <w:sz w:val="20"/>
      <w:szCs w:val="20"/>
    </w:rPr>
  </w:style>
  <w:style w:type="paragraph" w:styleId="CommentSubject">
    <w:name w:val="annotation subject"/>
    <w:basedOn w:val="CommentText"/>
    <w:next w:val="CommentText"/>
    <w:semiHidden/>
    <w:rsid w:val="00833FE8"/>
    <w:rPr>
      <w:b/>
      <w:bCs/>
    </w:rPr>
  </w:style>
  <w:style w:type="character" w:styleId="FollowedHyperlink">
    <w:name w:val="FollowedHyperlink"/>
    <w:basedOn w:val="DefaultParagraphFont"/>
    <w:rsid w:val="00A220BA"/>
    <w:rPr>
      <w:color w:val="800080"/>
      <w:u w:val="single"/>
    </w:rPr>
  </w:style>
  <w:style w:type="paragraph" w:styleId="NoSpacing">
    <w:name w:val="No Spacing"/>
    <w:uiPriority w:val="1"/>
    <w:qFormat/>
    <w:rsid w:val="00D20D28"/>
    <w:rPr>
      <w:sz w:val="24"/>
      <w:szCs w:val="24"/>
    </w:rPr>
  </w:style>
  <w:style w:type="paragraph" w:styleId="ListParagraph">
    <w:name w:val="List Paragraph"/>
    <w:basedOn w:val="Normal"/>
    <w:uiPriority w:val="34"/>
    <w:qFormat/>
    <w:rsid w:val="00C16EDE"/>
    <w:pPr>
      <w:ind w:left="720"/>
    </w:pPr>
  </w:style>
  <w:style w:type="character" w:customStyle="1" w:styleId="CommentTextChar">
    <w:name w:val="Comment Text Char"/>
    <w:basedOn w:val="DefaultParagraphFont"/>
    <w:link w:val="CommentText"/>
    <w:semiHidden/>
    <w:rsid w:val="002432F6"/>
  </w:style>
  <w:style w:type="paragraph" w:customStyle="1" w:styleId="Bullet">
    <w:name w:val="Bullet"/>
    <w:uiPriority w:val="99"/>
    <w:qFormat/>
    <w:rsid w:val="00C66293"/>
    <w:pPr>
      <w:tabs>
        <w:tab w:val="left" w:pos="360"/>
      </w:tabs>
      <w:spacing w:after="180" w:line="276" w:lineRule="auto"/>
      <w:ind w:right="360"/>
      <w:jc w:val="both"/>
    </w:pPr>
    <w:rPr>
      <w:rFonts w:ascii="Calibri" w:hAnsi="Calibri"/>
      <w:sz w:val="24"/>
      <w:szCs w:val="24"/>
      <w:lang w:bidi="en-US"/>
    </w:rPr>
  </w:style>
  <w:style w:type="character" w:customStyle="1" w:styleId="volume">
    <w:name w:val="volume"/>
    <w:basedOn w:val="DefaultParagraphFont"/>
    <w:rsid w:val="00EE664C"/>
  </w:style>
  <w:style w:type="character" w:customStyle="1" w:styleId="page">
    <w:name w:val="page"/>
    <w:basedOn w:val="DefaultParagraphFont"/>
    <w:rsid w:val="00EE664C"/>
  </w:style>
  <w:style w:type="paragraph" w:styleId="EndnoteText">
    <w:name w:val="endnote text"/>
    <w:basedOn w:val="Normal"/>
    <w:link w:val="EndnoteTextChar"/>
    <w:rsid w:val="0097255F"/>
    <w:rPr>
      <w:sz w:val="20"/>
      <w:szCs w:val="20"/>
    </w:rPr>
  </w:style>
  <w:style w:type="character" w:customStyle="1" w:styleId="EndnoteTextChar">
    <w:name w:val="Endnote Text Char"/>
    <w:basedOn w:val="DefaultParagraphFont"/>
    <w:link w:val="EndnoteText"/>
    <w:rsid w:val="0097255F"/>
  </w:style>
  <w:style w:type="character" w:styleId="EndnoteReference">
    <w:name w:val="endnote reference"/>
    <w:basedOn w:val="DefaultParagraphFont"/>
    <w:rsid w:val="0097255F"/>
    <w:rPr>
      <w:vertAlign w:val="superscript"/>
    </w:rPr>
  </w:style>
  <w:style w:type="paragraph" w:styleId="Revision">
    <w:name w:val="Revision"/>
    <w:hidden/>
    <w:uiPriority w:val="99"/>
    <w:semiHidden/>
    <w:rsid w:val="008F7B26"/>
    <w:rPr>
      <w:sz w:val="24"/>
      <w:szCs w:val="24"/>
    </w:rPr>
  </w:style>
  <w:style w:type="character" w:customStyle="1" w:styleId="FooterChar">
    <w:name w:val="Footer Char"/>
    <w:basedOn w:val="DefaultParagraphFont"/>
    <w:link w:val="Footer"/>
    <w:uiPriority w:val="99"/>
    <w:rsid w:val="00CA7A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3260">
      <w:bodyDiv w:val="1"/>
      <w:marLeft w:val="0"/>
      <w:marRight w:val="0"/>
      <w:marTop w:val="0"/>
      <w:marBottom w:val="0"/>
      <w:divBdr>
        <w:top w:val="none" w:sz="0" w:space="0" w:color="auto"/>
        <w:left w:val="none" w:sz="0" w:space="0" w:color="auto"/>
        <w:bottom w:val="none" w:sz="0" w:space="0" w:color="auto"/>
        <w:right w:val="none" w:sz="0" w:space="0" w:color="auto"/>
      </w:divBdr>
    </w:div>
    <w:div w:id="170461974">
      <w:bodyDiv w:val="1"/>
      <w:marLeft w:val="0"/>
      <w:marRight w:val="0"/>
      <w:marTop w:val="0"/>
      <w:marBottom w:val="0"/>
      <w:divBdr>
        <w:top w:val="none" w:sz="0" w:space="0" w:color="auto"/>
        <w:left w:val="none" w:sz="0" w:space="0" w:color="auto"/>
        <w:bottom w:val="none" w:sz="0" w:space="0" w:color="auto"/>
        <w:right w:val="none" w:sz="0" w:space="0" w:color="auto"/>
      </w:divBdr>
    </w:div>
    <w:div w:id="172960980">
      <w:bodyDiv w:val="1"/>
      <w:marLeft w:val="0"/>
      <w:marRight w:val="0"/>
      <w:marTop w:val="0"/>
      <w:marBottom w:val="0"/>
      <w:divBdr>
        <w:top w:val="none" w:sz="0" w:space="0" w:color="auto"/>
        <w:left w:val="none" w:sz="0" w:space="0" w:color="auto"/>
        <w:bottom w:val="none" w:sz="0" w:space="0" w:color="auto"/>
        <w:right w:val="none" w:sz="0" w:space="0" w:color="auto"/>
      </w:divBdr>
    </w:div>
    <w:div w:id="242836116">
      <w:bodyDiv w:val="1"/>
      <w:marLeft w:val="0"/>
      <w:marRight w:val="0"/>
      <w:marTop w:val="0"/>
      <w:marBottom w:val="0"/>
      <w:divBdr>
        <w:top w:val="none" w:sz="0" w:space="0" w:color="auto"/>
        <w:left w:val="none" w:sz="0" w:space="0" w:color="auto"/>
        <w:bottom w:val="none" w:sz="0" w:space="0" w:color="auto"/>
        <w:right w:val="none" w:sz="0" w:space="0" w:color="auto"/>
      </w:divBdr>
    </w:div>
    <w:div w:id="335154547">
      <w:bodyDiv w:val="1"/>
      <w:marLeft w:val="0"/>
      <w:marRight w:val="0"/>
      <w:marTop w:val="0"/>
      <w:marBottom w:val="0"/>
      <w:divBdr>
        <w:top w:val="none" w:sz="0" w:space="0" w:color="auto"/>
        <w:left w:val="none" w:sz="0" w:space="0" w:color="auto"/>
        <w:bottom w:val="none" w:sz="0" w:space="0" w:color="auto"/>
        <w:right w:val="none" w:sz="0" w:space="0" w:color="auto"/>
      </w:divBdr>
    </w:div>
    <w:div w:id="361444319">
      <w:bodyDiv w:val="1"/>
      <w:marLeft w:val="0"/>
      <w:marRight w:val="0"/>
      <w:marTop w:val="0"/>
      <w:marBottom w:val="0"/>
      <w:divBdr>
        <w:top w:val="none" w:sz="0" w:space="0" w:color="auto"/>
        <w:left w:val="none" w:sz="0" w:space="0" w:color="auto"/>
        <w:bottom w:val="none" w:sz="0" w:space="0" w:color="auto"/>
        <w:right w:val="none" w:sz="0" w:space="0" w:color="auto"/>
      </w:divBdr>
    </w:div>
    <w:div w:id="448359192">
      <w:bodyDiv w:val="1"/>
      <w:marLeft w:val="0"/>
      <w:marRight w:val="0"/>
      <w:marTop w:val="0"/>
      <w:marBottom w:val="0"/>
      <w:divBdr>
        <w:top w:val="none" w:sz="0" w:space="0" w:color="auto"/>
        <w:left w:val="none" w:sz="0" w:space="0" w:color="auto"/>
        <w:bottom w:val="none" w:sz="0" w:space="0" w:color="auto"/>
        <w:right w:val="none" w:sz="0" w:space="0" w:color="auto"/>
      </w:divBdr>
    </w:div>
    <w:div w:id="453207413">
      <w:bodyDiv w:val="1"/>
      <w:marLeft w:val="0"/>
      <w:marRight w:val="0"/>
      <w:marTop w:val="0"/>
      <w:marBottom w:val="0"/>
      <w:divBdr>
        <w:top w:val="none" w:sz="0" w:space="0" w:color="auto"/>
        <w:left w:val="none" w:sz="0" w:space="0" w:color="auto"/>
        <w:bottom w:val="none" w:sz="0" w:space="0" w:color="auto"/>
        <w:right w:val="none" w:sz="0" w:space="0" w:color="auto"/>
      </w:divBdr>
    </w:div>
    <w:div w:id="529072693">
      <w:bodyDiv w:val="1"/>
      <w:marLeft w:val="0"/>
      <w:marRight w:val="0"/>
      <w:marTop w:val="0"/>
      <w:marBottom w:val="0"/>
      <w:divBdr>
        <w:top w:val="none" w:sz="0" w:space="0" w:color="auto"/>
        <w:left w:val="none" w:sz="0" w:space="0" w:color="auto"/>
        <w:bottom w:val="none" w:sz="0" w:space="0" w:color="auto"/>
        <w:right w:val="none" w:sz="0" w:space="0" w:color="auto"/>
      </w:divBdr>
    </w:div>
    <w:div w:id="546255855">
      <w:bodyDiv w:val="1"/>
      <w:marLeft w:val="0"/>
      <w:marRight w:val="0"/>
      <w:marTop w:val="0"/>
      <w:marBottom w:val="0"/>
      <w:divBdr>
        <w:top w:val="none" w:sz="0" w:space="0" w:color="auto"/>
        <w:left w:val="none" w:sz="0" w:space="0" w:color="auto"/>
        <w:bottom w:val="none" w:sz="0" w:space="0" w:color="auto"/>
        <w:right w:val="none" w:sz="0" w:space="0" w:color="auto"/>
      </w:divBdr>
    </w:div>
    <w:div w:id="570651412">
      <w:bodyDiv w:val="1"/>
      <w:marLeft w:val="0"/>
      <w:marRight w:val="0"/>
      <w:marTop w:val="0"/>
      <w:marBottom w:val="0"/>
      <w:divBdr>
        <w:top w:val="none" w:sz="0" w:space="0" w:color="auto"/>
        <w:left w:val="none" w:sz="0" w:space="0" w:color="auto"/>
        <w:bottom w:val="none" w:sz="0" w:space="0" w:color="auto"/>
        <w:right w:val="none" w:sz="0" w:space="0" w:color="auto"/>
      </w:divBdr>
    </w:div>
    <w:div w:id="663435058">
      <w:bodyDiv w:val="1"/>
      <w:marLeft w:val="0"/>
      <w:marRight w:val="0"/>
      <w:marTop w:val="0"/>
      <w:marBottom w:val="0"/>
      <w:divBdr>
        <w:top w:val="none" w:sz="0" w:space="0" w:color="auto"/>
        <w:left w:val="none" w:sz="0" w:space="0" w:color="auto"/>
        <w:bottom w:val="none" w:sz="0" w:space="0" w:color="auto"/>
        <w:right w:val="none" w:sz="0" w:space="0" w:color="auto"/>
      </w:divBdr>
    </w:div>
    <w:div w:id="668213776">
      <w:bodyDiv w:val="1"/>
      <w:marLeft w:val="0"/>
      <w:marRight w:val="0"/>
      <w:marTop w:val="0"/>
      <w:marBottom w:val="0"/>
      <w:divBdr>
        <w:top w:val="none" w:sz="0" w:space="0" w:color="auto"/>
        <w:left w:val="none" w:sz="0" w:space="0" w:color="auto"/>
        <w:bottom w:val="none" w:sz="0" w:space="0" w:color="auto"/>
        <w:right w:val="none" w:sz="0" w:space="0" w:color="auto"/>
      </w:divBdr>
    </w:div>
    <w:div w:id="749543522">
      <w:bodyDiv w:val="1"/>
      <w:marLeft w:val="0"/>
      <w:marRight w:val="0"/>
      <w:marTop w:val="0"/>
      <w:marBottom w:val="0"/>
      <w:divBdr>
        <w:top w:val="none" w:sz="0" w:space="0" w:color="auto"/>
        <w:left w:val="none" w:sz="0" w:space="0" w:color="auto"/>
        <w:bottom w:val="none" w:sz="0" w:space="0" w:color="auto"/>
        <w:right w:val="none" w:sz="0" w:space="0" w:color="auto"/>
      </w:divBdr>
    </w:div>
    <w:div w:id="772944528">
      <w:bodyDiv w:val="1"/>
      <w:marLeft w:val="0"/>
      <w:marRight w:val="0"/>
      <w:marTop w:val="0"/>
      <w:marBottom w:val="0"/>
      <w:divBdr>
        <w:top w:val="none" w:sz="0" w:space="0" w:color="auto"/>
        <w:left w:val="none" w:sz="0" w:space="0" w:color="auto"/>
        <w:bottom w:val="none" w:sz="0" w:space="0" w:color="auto"/>
        <w:right w:val="none" w:sz="0" w:space="0" w:color="auto"/>
      </w:divBdr>
    </w:div>
    <w:div w:id="817915992">
      <w:bodyDiv w:val="1"/>
      <w:marLeft w:val="0"/>
      <w:marRight w:val="0"/>
      <w:marTop w:val="0"/>
      <w:marBottom w:val="0"/>
      <w:divBdr>
        <w:top w:val="none" w:sz="0" w:space="0" w:color="auto"/>
        <w:left w:val="none" w:sz="0" w:space="0" w:color="auto"/>
        <w:bottom w:val="none" w:sz="0" w:space="0" w:color="auto"/>
        <w:right w:val="none" w:sz="0" w:space="0" w:color="auto"/>
      </w:divBdr>
    </w:div>
    <w:div w:id="820535463">
      <w:bodyDiv w:val="1"/>
      <w:marLeft w:val="0"/>
      <w:marRight w:val="0"/>
      <w:marTop w:val="0"/>
      <w:marBottom w:val="0"/>
      <w:divBdr>
        <w:top w:val="none" w:sz="0" w:space="0" w:color="auto"/>
        <w:left w:val="none" w:sz="0" w:space="0" w:color="auto"/>
        <w:bottom w:val="none" w:sz="0" w:space="0" w:color="auto"/>
        <w:right w:val="none" w:sz="0" w:space="0" w:color="auto"/>
      </w:divBdr>
    </w:div>
    <w:div w:id="857431393">
      <w:bodyDiv w:val="1"/>
      <w:marLeft w:val="0"/>
      <w:marRight w:val="0"/>
      <w:marTop w:val="0"/>
      <w:marBottom w:val="0"/>
      <w:divBdr>
        <w:top w:val="none" w:sz="0" w:space="0" w:color="auto"/>
        <w:left w:val="none" w:sz="0" w:space="0" w:color="auto"/>
        <w:bottom w:val="none" w:sz="0" w:space="0" w:color="auto"/>
        <w:right w:val="none" w:sz="0" w:space="0" w:color="auto"/>
      </w:divBdr>
    </w:div>
    <w:div w:id="943422923">
      <w:bodyDiv w:val="1"/>
      <w:marLeft w:val="0"/>
      <w:marRight w:val="0"/>
      <w:marTop w:val="0"/>
      <w:marBottom w:val="0"/>
      <w:divBdr>
        <w:top w:val="none" w:sz="0" w:space="0" w:color="auto"/>
        <w:left w:val="none" w:sz="0" w:space="0" w:color="auto"/>
        <w:bottom w:val="none" w:sz="0" w:space="0" w:color="auto"/>
        <w:right w:val="none" w:sz="0" w:space="0" w:color="auto"/>
      </w:divBdr>
    </w:div>
    <w:div w:id="1030568668">
      <w:bodyDiv w:val="1"/>
      <w:marLeft w:val="0"/>
      <w:marRight w:val="0"/>
      <w:marTop w:val="0"/>
      <w:marBottom w:val="0"/>
      <w:divBdr>
        <w:top w:val="none" w:sz="0" w:space="0" w:color="auto"/>
        <w:left w:val="none" w:sz="0" w:space="0" w:color="auto"/>
        <w:bottom w:val="none" w:sz="0" w:space="0" w:color="auto"/>
        <w:right w:val="none" w:sz="0" w:space="0" w:color="auto"/>
      </w:divBdr>
    </w:div>
    <w:div w:id="1087846878">
      <w:bodyDiv w:val="1"/>
      <w:marLeft w:val="0"/>
      <w:marRight w:val="0"/>
      <w:marTop w:val="0"/>
      <w:marBottom w:val="0"/>
      <w:divBdr>
        <w:top w:val="none" w:sz="0" w:space="0" w:color="auto"/>
        <w:left w:val="none" w:sz="0" w:space="0" w:color="auto"/>
        <w:bottom w:val="none" w:sz="0" w:space="0" w:color="auto"/>
        <w:right w:val="none" w:sz="0" w:space="0" w:color="auto"/>
      </w:divBdr>
    </w:div>
    <w:div w:id="1109738103">
      <w:bodyDiv w:val="1"/>
      <w:marLeft w:val="0"/>
      <w:marRight w:val="0"/>
      <w:marTop w:val="0"/>
      <w:marBottom w:val="0"/>
      <w:divBdr>
        <w:top w:val="none" w:sz="0" w:space="0" w:color="auto"/>
        <w:left w:val="none" w:sz="0" w:space="0" w:color="auto"/>
        <w:bottom w:val="none" w:sz="0" w:space="0" w:color="auto"/>
        <w:right w:val="none" w:sz="0" w:space="0" w:color="auto"/>
      </w:divBdr>
    </w:div>
    <w:div w:id="1139571620">
      <w:bodyDiv w:val="1"/>
      <w:marLeft w:val="0"/>
      <w:marRight w:val="0"/>
      <w:marTop w:val="0"/>
      <w:marBottom w:val="0"/>
      <w:divBdr>
        <w:top w:val="none" w:sz="0" w:space="0" w:color="auto"/>
        <w:left w:val="none" w:sz="0" w:space="0" w:color="auto"/>
        <w:bottom w:val="none" w:sz="0" w:space="0" w:color="auto"/>
        <w:right w:val="none" w:sz="0" w:space="0" w:color="auto"/>
      </w:divBdr>
    </w:div>
    <w:div w:id="1144002569">
      <w:bodyDiv w:val="1"/>
      <w:marLeft w:val="0"/>
      <w:marRight w:val="0"/>
      <w:marTop w:val="0"/>
      <w:marBottom w:val="0"/>
      <w:divBdr>
        <w:top w:val="none" w:sz="0" w:space="0" w:color="auto"/>
        <w:left w:val="none" w:sz="0" w:space="0" w:color="auto"/>
        <w:bottom w:val="none" w:sz="0" w:space="0" w:color="auto"/>
        <w:right w:val="none" w:sz="0" w:space="0" w:color="auto"/>
      </w:divBdr>
    </w:div>
    <w:div w:id="1183205111">
      <w:bodyDiv w:val="1"/>
      <w:marLeft w:val="0"/>
      <w:marRight w:val="0"/>
      <w:marTop w:val="0"/>
      <w:marBottom w:val="0"/>
      <w:divBdr>
        <w:top w:val="none" w:sz="0" w:space="0" w:color="auto"/>
        <w:left w:val="none" w:sz="0" w:space="0" w:color="auto"/>
        <w:bottom w:val="none" w:sz="0" w:space="0" w:color="auto"/>
        <w:right w:val="none" w:sz="0" w:space="0" w:color="auto"/>
      </w:divBdr>
    </w:div>
    <w:div w:id="1185555005">
      <w:bodyDiv w:val="1"/>
      <w:marLeft w:val="0"/>
      <w:marRight w:val="0"/>
      <w:marTop w:val="0"/>
      <w:marBottom w:val="0"/>
      <w:divBdr>
        <w:top w:val="none" w:sz="0" w:space="0" w:color="auto"/>
        <w:left w:val="none" w:sz="0" w:space="0" w:color="auto"/>
        <w:bottom w:val="none" w:sz="0" w:space="0" w:color="auto"/>
        <w:right w:val="none" w:sz="0" w:space="0" w:color="auto"/>
      </w:divBdr>
    </w:div>
    <w:div w:id="1237519740">
      <w:bodyDiv w:val="1"/>
      <w:marLeft w:val="0"/>
      <w:marRight w:val="0"/>
      <w:marTop w:val="0"/>
      <w:marBottom w:val="0"/>
      <w:divBdr>
        <w:top w:val="none" w:sz="0" w:space="0" w:color="auto"/>
        <w:left w:val="none" w:sz="0" w:space="0" w:color="auto"/>
        <w:bottom w:val="none" w:sz="0" w:space="0" w:color="auto"/>
        <w:right w:val="none" w:sz="0" w:space="0" w:color="auto"/>
      </w:divBdr>
    </w:div>
    <w:div w:id="1279990994">
      <w:bodyDiv w:val="1"/>
      <w:marLeft w:val="0"/>
      <w:marRight w:val="0"/>
      <w:marTop w:val="0"/>
      <w:marBottom w:val="0"/>
      <w:divBdr>
        <w:top w:val="none" w:sz="0" w:space="0" w:color="auto"/>
        <w:left w:val="none" w:sz="0" w:space="0" w:color="auto"/>
        <w:bottom w:val="none" w:sz="0" w:space="0" w:color="auto"/>
        <w:right w:val="none" w:sz="0" w:space="0" w:color="auto"/>
      </w:divBdr>
    </w:div>
    <w:div w:id="1312977586">
      <w:bodyDiv w:val="1"/>
      <w:marLeft w:val="0"/>
      <w:marRight w:val="0"/>
      <w:marTop w:val="0"/>
      <w:marBottom w:val="0"/>
      <w:divBdr>
        <w:top w:val="none" w:sz="0" w:space="0" w:color="auto"/>
        <w:left w:val="none" w:sz="0" w:space="0" w:color="auto"/>
        <w:bottom w:val="none" w:sz="0" w:space="0" w:color="auto"/>
        <w:right w:val="none" w:sz="0" w:space="0" w:color="auto"/>
      </w:divBdr>
    </w:div>
    <w:div w:id="1323005889">
      <w:bodyDiv w:val="1"/>
      <w:marLeft w:val="0"/>
      <w:marRight w:val="0"/>
      <w:marTop w:val="0"/>
      <w:marBottom w:val="0"/>
      <w:divBdr>
        <w:top w:val="none" w:sz="0" w:space="0" w:color="auto"/>
        <w:left w:val="none" w:sz="0" w:space="0" w:color="auto"/>
        <w:bottom w:val="none" w:sz="0" w:space="0" w:color="auto"/>
        <w:right w:val="none" w:sz="0" w:space="0" w:color="auto"/>
      </w:divBdr>
    </w:div>
    <w:div w:id="1323505572">
      <w:bodyDiv w:val="1"/>
      <w:marLeft w:val="0"/>
      <w:marRight w:val="0"/>
      <w:marTop w:val="0"/>
      <w:marBottom w:val="0"/>
      <w:divBdr>
        <w:top w:val="none" w:sz="0" w:space="0" w:color="auto"/>
        <w:left w:val="none" w:sz="0" w:space="0" w:color="auto"/>
        <w:bottom w:val="none" w:sz="0" w:space="0" w:color="auto"/>
        <w:right w:val="none" w:sz="0" w:space="0" w:color="auto"/>
      </w:divBdr>
    </w:div>
    <w:div w:id="1330984376">
      <w:bodyDiv w:val="1"/>
      <w:marLeft w:val="0"/>
      <w:marRight w:val="0"/>
      <w:marTop w:val="0"/>
      <w:marBottom w:val="0"/>
      <w:divBdr>
        <w:top w:val="none" w:sz="0" w:space="0" w:color="auto"/>
        <w:left w:val="none" w:sz="0" w:space="0" w:color="auto"/>
        <w:bottom w:val="none" w:sz="0" w:space="0" w:color="auto"/>
        <w:right w:val="none" w:sz="0" w:space="0" w:color="auto"/>
      </w:divBdr>
    </w:div>
    <w:div w:id="1373993895">
      <w:bodyDiv w:val="1"/>
      <w:marLeft w:val="0"/>
      <w:marRight w:val="0"/>
      <w:marTop w:val="0"/>
      <w:marBottom w:val="0"/>
      <w:divBdr>
        <w:top w:val="none" w:sz="0" w:space="0" w:color="auto"/>
        <w:left w:val="none" w:sz="0" w:space="0" w:color="auto"/>
        <w:bottom w:val="none" w:sz="0" w:space="0" w:color="auto"/>
        <w:right w:val="none" w:sz="0" w:space="0" w:color="auto"/>
      </w:divBdr>
    </w:div>
    <w:div w:id="1412002887">
      <w:bodyDiv w:val="1"/>
      <w:marLeft w:val="0"/>
      <w:marRight w:val="0"/>
      <w:marTop w:val="0"/>
      <w:marBottom w:val="0"/>
      <w:divBdr>
        <w:top w:val="none" w:sz="0" w:space="0" w:color="auto"/>
        <w:left w:val="none" w:sz="0" w:space="0" w:color="auto"/>
        <w:bottom w:val="none" w:sz="0" w:space="0" w:color="auto"/>
        <w:right w:val="none" w:sz="0" w:space="0" w:color="auto"/>
      </w:divBdr>
    </w:div>
    <w:div w:id="1476413678">
      <w:bodyDiv w:val="1"/>
      <w:marLeft w:val="0"/>
      <w:marRight w:val="0"/>
      <w:marTop w:val="0"/>
      <w:marBottom w:val="0"/>
      <w:divBdr>
        <w:top w:val="none" w:sz="0" w:space="0" w:color="auto"/>
        <w:left w:val="none" w:sz="0" w:space="0" w:color="auto"/>
        <w:bottom w:val="none" w:sz="0" w:space="0" w:color="auto"/>
        <w:right w:val="none" w:sz="0" w:space="0" w:color="auto"/>
      </w:divBdr>
    </w:div>
    <w:div w:id="1575121420">
      <w:bodyDiv w:val="1"/>
      <w:marLeft w:val="0"/>
      <w:marRight w:val="0"/>
      <w:marTop w:val="0"/>
      <w:marBottom w:val="0"/>
      <w:divBdr>
        <w:top w:val="none" w:sz="0" w:space="0" w:color="auto"/>
        <w:left w:val="none" w:sz="0" w:space="0" w:color="auto"/>
        <w:bottom w:val="none" w:sz="0" w:space="0" w:color="auto"/>
        <w:right w:val="none" w:sz="0" w:space="0" w:color="auto"/>
      </w:divBdr>
    </w:div>
    <w:div w:id="1582329492">
      <w:bodyDiv w:val="1"/>
      <w:marLeft w:val="0"/>
      <w:marRight w:val="0"/>
      <w:marTop w:val="0"/>
      <w:marBottom w:val="0"/>
      <w:divBdr>
        <w:top w:val="none" w:sz="0" w:space="0" w:color="auto"/>
        <w:left w:val="none" w:sz="0" w:space="0" w:color="auto"/>
        <w:bottom w:val="none" w:sz="0" w:space="0" w:color="auto"/>
        <w:right w:val="none" w:sz="0" w:space="0" w:color="auto"/>
      </w:divBdr>
    </w:div>
    <w:div w:id="1642422261">
      <w:bodyDiv w:val="1"/>
      <w:marLeft w:val="0"/>
      <w:marRight w:val="0"/>
      <w:marTop w:val="0"/>
      <w:marBottom w:val="0"/>
      <w:divBdr>
        <w:top w:val="none" w:sz="0" w:space="0" w:color="auto"/>
        <w:left w:val="none" w:sz="0" w:space="0" w:color="auto"/>
        <w:bottom w:val="none" w:sz="0" w:space="0" w:color="auto"/>
        <w:right w:val="none" w:sz="0" w:space="0" w:color="auto"/>
      </w:divBdr>
    </w:div>
    <w:div w:id="1765565218">
      <w:bodyDiv w:val="1"/>
      <w:marLeft w:val="0"/>
      <w:marRight w:val="0"/>
      <w:marTop w:val="0"/>
      <w:marBottom w:val="0"/>
      <w:divBdr>
        <w:top w:val="none" w:sz="0" w:space="0" w:color="auto"/>
        <w:left w:val="none" w:sz="0" w:space="0" w:color="auto"/>
        <w:bottom w:val="none" w:sz="0" w:space="0" w:color="auto"/>
        <w:right w:val="none" w:sz="0" w:space="0" w:color="auto"/>
      </w:divBdr>
    </w:div>
    <w:div w:id="1818455629">
      <w:bodyDiv w:val="1"/>
      <w:marLeft w:val="0"/>
      <w:marRight w:val="0"/>
      <w:marTop w:val="0"/>
      <w:marBottom w:val="0"/>
      <w:divBdr>
        <w:top w:val="none" w:sz="0" w:space="0" w:color="auto"/>
        <w:left w:val="none" w:sz="0" w:space="0" w:color="auto"/>
        <w:bottom w:val="none" w:sz="0" w:space="0" w:color="auto"/>
        <w:right w:val="none" w:sz="0" w:space="0" w:color="auto"/>
      </w:divBdr>
    </w:div>
    <w:div w:id="1846162215">
      <w:bodyDiv w:val="1"/>
      <w:marLeft w:val="0"/>
      <w:marRight w:val="0"/>
      <w:marTop w:val="0"/>
      <w:marBottom w:val="0"/>
      <w:divBdr>
        <w:top w:val="none" w:sz="0" w:space="0" w:color="auto"/>
        <w:left w:val="none" w:sz="0" w:space="0" w:color="auto"/>
        <w:bottom w:val="none" w:sz="0" w:space="0" w:color="auto"/>
        <w:right w:val="none" w:sz="0" w:space="0" w:color="auto"/>
      </w:divBdr>
    </w:div>
    <w:div w:id="1955822241">
      <w:bodyDiv w:val="1"/>
      <w:marLeft w:val="0"/>
      <w:marRight w:val="0"/>
      <w:marTop w:val="0"/>
      <w:marBottom w:val="0"/>
      <w:divBdr>
        <w:top w:val="none" w:sz="0" w:space="0" w:color="auto"/>
        <w:left w:val="none" w:sz="0" w:space="0" w:color="auto"/>
        <w:bottom w:val="none" w:sz="0" w:space="0" w:color="auto"/>
        <w:right w:val="none" w:sz="0" w:space="0" w:color="auto"/>
      </w:divBdr>
    </w:div>
    <w:div w:id="2027978002">
      <w:bodyDiv w:val="1"/>
      <w:marLeft w:val="0"/>
      <w:marRight w:val="0"/>
      <w:marTop w:val="0"/>
      <w:marBottom w:val="0"/>
      <w:divBdr>
        <w:top w:val="none" w:sz="0" w:space="0" w:color="auto"/>
        <w:left w:val="none" w:sz="0" w:space="0" w:color="auto"/>
        <w:bottom w:val="none" w:sz="0" w:space="0" w:color="auto"/>
        <w:right w:val="none" w:sz="0" w:space="0" w:color="auto"/>
      </w:divBdr>
      <w:divsChild>
        <w:div w:id="243345170">
          <w:marLeft w:val="0"/>
          <w:marRight w:val="0"/>
          <w:marTop w:val="0"/>
          <w:marBottom w:val="0"/>
          <w:divBdr>
            <w:top w:val="none" w:sz="0" w:space="0" w:color="auto"/>
            <w:left w:val="none" w:sz="0" w:space="0" w:color="auto"/>
            <w:bottom w:val="none" w:sz="0" w:space="0" w:color="auto"/>
            <w:right w:val="none" w:sz="0" w:space="0" w:color="auto"/>
          </w:divBdr>
          <w:divsChild>
            <w:div w:id="2063089712">
              <w:marLeft w:val="0"/>
              <w:marRight w:val="0"/>
              <w:marTop w:val="0"/>
              <w:marBottom w:val="0"/>
              <w:divBdr>
                <w:top w:val="none" w:sz="0" w:space="0" w:color="auto"/>
                <w:left w:val="single" w:sz="6" w:space="0" w:color="E2E2E2"/>
                <w:bottom w:val="none" w:sz="0" w:space="0" w:color="auto"/>
                <w:right w:val="single" w:sz="6" w:space="0" w:color="E2E2E2"/>
              </w:divBdr>
              <w:divsChild>
                <w:div w:id="1955746972">
                  <w:marLeft w:val="0"/>
                  <w:marRight w:val="0"/>
                  <w:marTop w:val="0"/>
                  <w:marBottom w:val="0"/>
                  <w:divBdr>
                    <w:top w:val="none" w:sz="0" w:space="0" w:color="auto"/>
                    <w:left w:val="none" w:sz="0" w:space="0" w:color="auto"/>
                    <w:bottom w:val="none" w:sz="0" w:space="0" w:color="auto"/>
                    <w:right w:val="none" w:sz="0" w:space="0" w:color="auto"/>
                  </w:divBdr>
                  <w:divsChild>
                    <w:div w:id="7104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5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bls/wages.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prs.fns.usda.gov/Home/Reminder.asp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rant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ael.Lubing@fns.usda.gov" TargetMode="External"/><Relationship Id="rId14" Type="http://schemas.openxmlformats.org/officeDocument/2006/relationships/hyperlink" Target="http://www.fn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A61FE-8069-4188-AF3A-E11B7236E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14</Pages>
  <Words>3614</Words>
  <Characters>20604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24170</CharactersWithSpaces>
  <SharedDoc>false</SharedDoc>
  <HLinks>
    <vt:vector size="48" baseType="variant">
      <vt:variant>
        <vt:i4>4259859</vt:i4>
      </vt:variant>
      <vt:variant>
        <vt:i4>21</vt:i4>
      </vt:variant>
      <vt:variant>
        <vt:i4>0</vt:i4>
      </vt:variant>
      <vt:variant>
        <vt:i4>5</vt:i4>
      </vt:variant>
      <vt:variant>
        <vt:lpwstr>http://www.fns.usda.gov/</vt:lpwstr>
      </vt:variant>
      <vt:variant>
        <vt:lpwstr/>
      </vt:variant>
      <vt:variant>
        <vt:i4>6029391</vt:i4>
      </vt:variant>
      <vt:variant>
        <vt:i4>18</vt:i4>
      </vt:variant>
      <vt:variant>
        <vt:i4>0</vt:i4>
      </vt:variant>
      <vt:variant>
        <vt:i4>5</vt:i4>
      </vt:variant>
      <vt:variant>
        <vt:lpwstr>http://www.bls.gov/bls/wages.htm</vt:lpwstr>
      </vt:variant>
      <vt:variant>
        <vt:lpwstr/>
      </vt:variant>
      <vt:variant>
        <vt:i4>4390936</vt:i4>
      </vt:variant>
      <vt:variant>
        <vt:i4>15</vt:i4>
      </vt:variant>
      <vt:variant>
        <vt:i4>0</vt:i4>
      </vt:variant>
      <vt:variant>
        <vt:i4>5</vt:i4>
      </vt:variant>
      <vt:variant>
        <vt:lpwstr>https://fprs.fns.usda.gov/Home/Reminder.aspx</vt:lpwstr>
      </vt:variant>
      <vt:variant>
        <vt:lpwstr/>
      </vt:variant>
      <vt:variant>
        <vt:i4>3604526</vt:i4>
      </vt:variant>
      <vt:variant>
        <vt:i4>12</vt:i4>
      </vt:variant>
      <vt:variant>
        <vt:i4>0</vt:i4>
      </vt:variant>
      <vt:variant>
        <vt:i4>5</vt:i4>
      </vt:variant>
      <vt:variant>
        <vt:lpwstr>http://www.grants.gov/</vt:lpwstr>
      </vt:variant>
      <vt:variant>
        <vt:lpwstr/>
      </vt:variant>
      <vt:variant>
        <vt:i4>6815751</vt:i4>
      </vt:variant>
      <vt:variant>
        <vt:i4>9</vt:i4>
      </vt:variant>
      <vt:variant>
        <vt:i4>0</vt:i4>
      </vt:variant>
      <vt:variant>
        <vt:i4>5</vt:i4>
      </vt:variant>
      <vt:variant>
        <vt:lpwstr>http://www.whitehouse.gov/omb/grants_forms/</vt:lpwstr>
      </vt:variant>
      <vt:variant>
        <vt:lpwstr/>
      </vt:variant>
      <vt:variant>
        <vt:i4>4390994</vt:i4>
      </vt:variant>
      <vt:variant>
        <vt:i4>6</vt:i4>
      </vt:variant>
      <vt:variant>
        <vt:i4>0</vt:i4>
      </vt:variant>
      <vt:variant>
        <vt:i4>5</vt:i4>
      </vt:variant>
      <vt:variant>
        <vt:lpwstr>http://www.whitehouse.gov/sites/default/files/omb/grants/sflllin.pdf</vt:lpwstr>
      </vt:variant>
      <vt:variant>
        <vt:lpwstr/>
      </vt:variant>
      <vt:variant>
        <vt:i4>7077990</vt:i4>
      </vt:variant>
      <vt:variant>
        <vt:i4>3</vt:i4>
      </vt:variant>
      <vt:variant>
        <vt:i4>0</vt:i4>
      </vt:variant>
      <vt:variant>
        <vt:i4>5</vt:i4>
      </vt:variant>
      <vt:variant>
        <vt:lpwstr>http://www.grants.gov/agencies/aforms_repository_information.jsp</vt:lpwstr>
      </vt:variant>
      <vt:variant>
        <vt:lpwstr/>
      </vt:variant>
      <vt:variant>
        <vt:i4>8061010</vt:i4>
      </vt:variant>
      <vt:variant>
        <vt:i4>0</vt:i4>
      </vt:variant>
      <vt:variant>
        <vt:i4>0</vt:i4>
      </vt:variant>
      <vt:variant>
        <vt:i4>5</vt:i4>
      </vt:variant>
      <vt:variant>
        <vt:lpwstr>mailto:Lael.Lubing@fns.usda.gov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ITD</dc:creator>
  <cp:lastModifiedBy>Lynnette Thomas</cp:lastModifiedBy>
  <cp:revision>6</cp:revision>
  <cp:lastPrinted>2015-10-30T15:27:00Z</cp:lastPrinted>
  <dcterms:created xsi:type="dcterms:W3CDTF">2016-01-28T12:54:00Z</dcterms:created>
  <dcterms:modified xsi:type="dcterms:W3CDTF">2016-01-28T20:09:00Z</dcterms:modified>
</cp:coreProperties>
</file>