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E054D" w14:textId="14C736FF" w:rsidR="00156286" w:rsidRPr="008E0367" w:rsidRDefault="00156286" w:rsidP="00FA7E24">
      <w:pPr>
        <w:pStyle w:val="NoSpacing"/>
        <w:spacing w:line="480" w:lineRule="auto"/>
        <w:rPr>
          <w:rFonts w:ascii="Times New Roman" w:hAnsi="Times New Roman"/>
          <w:b w:val="0"/>
          <w:szCs w:val="24"/>
        </w:rPr>
      </w:pPr>
      <w:bookmarkStart w:id="0" w:name="_GoBack"/>
      <w:bookmarkEnd w:id="0"/>
      <w:r w:rsidRPr="008E0367">
        <w:rPr>
          <w:rFonts w:ascii="Times New Roman" w:hAnsi="Times New Roman"/>
          <w:szCs w:val="24"/>
        </w:rPr>
        <w:t xml:space="preserve">SUPPORTING </w:t>
      </w:r>
      <w:r w:rsidR="00E92355" w:rsidRPr="008E0367">
        <w:rPr>
          <w:rFonts w:ascii="Times New Roman" w:hAnsi="Times New Roman"/>
          <w:szCs w:val="24"/>
        </w:rPr>
        <w:t>STATE</w:t>
      </w:r>
      <w:r w:rsidRPr="008E0367">
        <w:rPr>
          <w:rFonts w:ascii="Times New Roman" w:hAnsi="Times New Roman"/>
          <w:szCs w:val="24"/>
        </w:rPr>
        <w:t xml:space="preserve">MENT </w:t>
      </w:r>
      <w:r w:rsidR="008E0367" w:rsidRPr="008E0367">
        <w:rPr>
          <w:rFonts w:ascii="Times New Roman" w:hAnsi="Times New Roman"/>
          <w:szCs w:val="24"/>
        </w:rPr>
        <w:t xml:space="preserve">- </w:t>
      </w:r>
      <w:r w:rsidRPr="008E0367">
        <w:rPr>
          <w:rFonts w:ascii="Times New Roman" w:hAnsi="Times New Roman"/>
          <w:szCs w:val="24"/>
        </w:rPr>
        <w:t xml:space="preserve">PART B </w:t>
      </w:r>
      <w:r w:rsidR="008E0367" w:rsidRPr="008E0367">
        <w:rPr>
          <w:rFonts w:ascii="Times New Roman" w:hAnsi="Times New Roman"/>
          <w:szCs w:val="24"/>
        </w:rPr>
        <w:t>for</w:t>
      </w:r>
    </w:p>
    <w:p w14:paraId="5AEE40A6" w14:textId="77777777" w:rsidR="00156286" w:rsidRPr="008E0367" w:rsidRDefault="00156286" w:rsidP="00FA7E24">
      <w:pPr>
        <w:pStyle w:val="NoSpacing"/>
        <w:spacing w:line="480" w:lineRule="auto"/>
        <w:rPr>
          <w:rFonts w:ascii="Times New Roman" w:hAnsi="Times New Roman"/>
          <w:b w:val="0"/>
          <w:szCs w:val="24"/>
        </w:rPr>
      </w:pPr>
    </w:p>
    <w:p w14:paraId="7A359A56" w14:textId="4D969E74" w:rsidR="00AA543F" w:rsidRPr="008E0367" w:rsidRDefault="00AA543F" w:rsidP="00FA7E24">
      <w:pPr>
        <w:spacing w:line="480" w:lineRule="auto"/>
        <w:jc w:val="center"/>
        <w:rPr>
          <w:b/>
          <w:szCs w:val="24"/>
        </w:rPr>
      </w:pPr>
      <w:r w:rsidRPr="008E0367">
        <w:rPr>
          <w:b/>
          <w:szCs w:val="24"/>
        </w:rPr>
        <w:t>OMB Control Number 05840-NEW</w:t>
      </w:r>
    </w:p>
    <w:p w14:paraId="23BD4C2F" w14:textId="163E9933" w:rsidR="008E0367" w:rsidRDefault="00156286" w:rsidP="006F021F">
      <w:pPr>
        <w:tabs>
          <w:tab w:val="right" w:pos="9360"/>
        </w:tabs>
        <w:spacing w:line="480" w:lineRule="auto"/>
        <w:jc w:val="center"/>
        <w:rPr>
          <w:b/>
          <w:szCs w:val="24"/>
        </w:rPr>
      </w:pPr>
      <w:commentRangeStart w:id="1"/>
      <w:r w:rsidRPr="008E0367">
        <w:rPr>
          <w:b/>
          <w:szCs w:val="24"/>
        </w:rPr>
        <w:t>Summer Meals Study</w:t>
      </w:r>
      <w:commentRangeEnd w:id="1"/>
      <w:r w:rsidR="00BB01EC">
        <w:rPr>
          <w:rStyle w:val="CommentReference"/>
        </w:rPr>
        <w:commentReference w:id="1"/>
      </w:r>
    </w:p>
    <w:p w14:paraId="7A880667" w14:textId="2CADCB02" w:rsidR="004B63B4" w:rsidRPr="008E0367" w:rsidRDefault="00BF6637" w:rsidP="006F021F">
      <w:pPr>
        <w:tabs>
          <w:tab w:val="right" w:pos="9360"/>
        </w:tabs>
        <w:spacing w:line="480" w:lineRule="auto"/>
        <w:jc w:val="center"/>
        <w:rPr>
          <w:b/>
          <w:szCs w:val="24"/>
        </w:rPr>
      </w:pPr>
      <w:r w:rsidRPr="00FB0BE5">
        <w:rPr>
          <w:b/>
          <w:szCs w:val="24"/>
        </w:rPr>
        <w:t>F</w:t>
      </w:r>
      <w:r w:rsidR="00116343" w:rsidRPr="00FB0BE5">
        <w:rPr>
          <w:b/>
          <w:szCs w:val="24"/>
        </w:rPr>
        <w:t>ebruary 5</w:t>
      </w:r>
      <w:r w:rsidR="004B63B4" w:rsidRPr="00FB0BE5">
        <w:rPr>
          <w:b/>
          <w:szCs w:val="24"/>
        </w:rPr>
        <w:t>, 2018</w:t>
      </w:r>
    </w:p>
    <w:p w14:paraId="6899F2B7" w14:textId="77777777" w:rsidR="008E0367" w:rsidRPr="008E0367" w:rsidRDefault="008E0367" w:rsidP="008E0367">
      <w:pPr>
        <w:tabs>
          <w:tab w:val="right" w:pos="9360"/>
        </w:tabs>
        <w:spacing w:line="480" w:lineRule="auto"/>
        <w:jc w:val="center"/>
        <w:rPr>
          <w:szCs w:val="24"/>
        </w:rPr>
      </w:pPr>
    </w:p>
    <w:p w14:paraId="67CB3422" w14:textId="77777777" w:rsidR="008E0367" w:rsidRPr="008E0367" w:rsidRDefault="008E0367" w:rsidP="008E0367">
      <w:pPr>
        <w:tabs>
          <w:tab w:val="right" w:pos="9360"/>
        </w:tabs>
        <w:spacing w:line="480" w:lineRule="auto"/>
        <w:jc w:val="center"/>
        <w:rPr>
          <w:szCs w:val="24"/>
          <w:lang w:val="es-US"/>
        </w:rPr>
      </w:pPr>
    </w:p>
    <w:p w14:paraId="4D521450" w14:textId="2D450506" w:rsidR="00156286" w:rsidRPr="008E0367" w:rsidRDefault="00156286" w:rsidP="008E0367">
      <w:pPr>
        <w:spacing w:line="480" w:lineRule="auto"/>
        <w:jc w:val="center"/>
        <w:rPr>
          <w:b/>
          <w:szCs w:val="24"/>
        </w:rPr>
      </w:pPr>
      <w:r w:rsidRPr="008E0367">
        <w:rPr>
          <w:szCs w:val="24"/>
        </w:rPr>
        <w:t>Alice Ann Gola</w:t>
      </w:r>
    </w:p>
    <w:p w14:paraId="4BDE80C2" w14:textId="042C5523" w:rsidR="00AA543F" w:rsidRPr="008E0367" w:rsidRDefault="00AA543F" w:rsidP="008E0367">
      <w:pPr>
        <w:pStyle w:val="NoSpacing"/>
        <w:spacing w:line="480" w:lineRule="auto"/>
        <w:rPr>
          <w:rFonts w:ascii="Times New Roman" w:hAnsi="Times New Roman"/>
          <w:b w:val="0"/>
          <w:szCs w:val="24"/>
        </w:rPr>
      </w:pPr>
      <w:r w:rsidRPr="008E0367">
        <w:rPr>
          <w:rFonts w:ascii="Times New Roman" w:hAnsi="Times New Roman"/>
          <w:b w:val="0"/>
          <w:szCs w:val="24"/>
        </w:rPr>
        <w:t>Social Science Research Analyst</w:t>
      </w:r>
    </w:p>
    <w:p w14:paraId="60E220EE" w14:textId="0CD710B4" w:rsidR="00156286" w:rsidRPr="008E0367" w:rsidRDefault="00681372" w:rsidP="008E0367">
      <w:pPr>
        <w:pStyle w:val="NoSpacing"/>
        <w:spacing w:line="480" w:lineRule="auto"/>
        <w:rPr>
          <w:rFonts w:ascii="Times New Roman" w:hAnsi="Times New Roman"/>
          <w:b w:val="0"/>
          <w:szCs w:val="24"/>
        </w:rPr>
      </w:pPr>
      <w:r w:rsidRPr="008E0367">
        <w:rPr>
          <w:rFonts w:ascii="Times New Roman" w:hAnsi="Times New Roman"/>
          <w:b w:val="0"/>
          <w:szCs w:val="24"/>
        </w:rPr>
        <w:t>Office of Policy Support</w:t>
      </w:r>
    </w:p>
    <w:p w14:paraId="5E164724" w14:textId="39959D3E" w:rsidR="00156286" w:rsidRPr="008E0367" w:rsidRDefault="00AA543F" w:rsidP="008E0367">
      <w:pPr>
        <w:pStyle w:val="NoSpacing"/>
        <w:spacing w:line="480" w:lineRule="auto"/>
        <w:rPr>
          <w:rFonts w:ascii="Times New Roman" w:hAnsi="Times New Roman"/>
          <w:b w:val="0"/>
          <w:szCs w:val="24"/>
        </w:rPr>
      </w:pPr>
      <w:r w:rsidRPr="008E0367">
        <w:rPr>
          <w:rFonts w:ascii="Times New Roman" w:hAnsi="Times New Roman"/>
          <w:b w:val="0"/>
          <w:szCs w:val="24"/>
        </w:rPr>
        <w:t xml:space="preserve">USDA, </w:t>
      </w:r>
      <w:r w:rsidR="00156286" w:rsidRPr="008E0367">
        <w:rPr>
          <w:rFonts w:ascii="Times New Roman" w:hAnsi="Times New Roman"/>
          <w:b w:val="0"/>
          <w:szCs w:val="24"/>
        </w:rPr>
        <w:t>Food and Nutrition Service</w:t>
      </w:r>
    </w:p>
    <w:p w14:paraId="17B41383" w14:textId="77777777" w:rsidR="00156286" w:rsidRPr="008E0367" w:rsidRDefault="00156286" w:rsidP="008E0367">
      <w:pPr>
        <w:pStyle w:val="NoSpacing"/>
        <w:spacing w:line="480" w:lineRule="auto"/>
        <w:rPr>
          <w:rFonts w:ascii="Times New Roman" w:hAnsi="Times New Roman"/>
          <w:b w:val="0"/>
          <w:szCs w:val="24"/>
        </w:rPr>
      </w:pPr>
      <w:r w:rsidRPr="008E0367">
        <w:rPr>
          <w:rFonts w:ascii="Times New Roman" w:hAnsi="Times New Roman"/>
          <w:b w:val="0"/>
          <w:szCs w:val="24"/>
        </w:rPr>
        <w:t>3101 Park Center Drive, Room 1014</w:t>
      </w:r>
    </w:p>
    <w:p w14:paraId="725D3D7D" w14:textId="553A75AC" w:rsidR="00156286" w:rsidRDefault="00156286" w:rsidP="008E0367">
      <w:pPr>
        <w:pStyle w:val="NoSpacing"/>
        <w:spacing w:line="480" w:lineRule="auto"/>
        <w:rPr>
          <w:rFonts w:ascii="Times New Roman" w:hAnsi="Times New Roman"/>
          <w:b w:val="0"/>
          <w:szCs w:val="24"/>
        </w:rPr>
      </w:pPr>
      <w:r w:rsidRPr="008E0367">
        <w:rPr>
          <w:rFonts w:ascii="Times New Roman" w:hAnsi="Times New Roman"/>
          <w:b w:val="0"/>
          <w:szCs w:val="24"/>
        </w:rPr>
        <w:t>Alexandria, VA 22302</w:t>
      </w:r>
    </w:p>
    <w:p w14:paraId="14D251F1" w14:textId="77777777" w:rsidR="00300AA8" w:rsidRDefault="00300AA8" w:rsidP="00300AA8">
      <w:pPr>
        <w:pStyle w:val="NoSpacing"/>
        <w:spacing w:line="480" w:lineRule="auto"/>
        <w:rPr>
          <w:rFonts w:ascii="Times New Roman" w:hAnsi="Times New Roman"/>
          <w:szCs w:val="24"/>
        </w:rPr>
      </w:pPr>
    </w:p>
    <w:p w14:paraId="3EC11C4E" w14:textId="77777777" w:rsidR="00300AA8" w:rsidRPr="008E0367" w:rsidRDefault="00300AA8" w:rsidP="008E0367">
      <w:pPr>
        <w:pStyle w:val="NoSpacing"/>
        <w:spacing w:line="480" w:lineRule="auto"/>
        <w:rPr>
          <w:rFonts w:ascii="Times New Roman" w:hAnsi="Times New Roman"/>
          <w:b w:val="0"/>
          <w:szCs w:val="24"/>
        </w:rPr>
      </w:pPr>
    </w:p>
    <w:p w14:paraId="2693916C" w14:textId="77777777" w:rsidR="00447C1E" w:rsidRPr="008E0367" w:rsidRDefault="00447C1E" w:rsidP="0020370D">
      <w:pPr>
        <w:spacing w:line="480" w:lineRule="auto"/>
        <w:jc w:val="center"/>
        <w:rPr>
          <w:szCs w:val="24"/>
        </w:rPr>
      </w:pPr>
    </w:p>
    <w:p w14:paraId="3AC35F9A" w14:textId="77777777" w:rsidR="00156286" w:rsidRPr="008E0367" w:rsidRDefault="00905A5F" w:rsidP="0020370D">
      <w:pPr>
        <w:widowControl/>
        <w:overflowPunct/>
        <w:autoSpaceDE/>
        <w:autoSpaceDN/>
        <w:adjustRightInd/>
        <w:spacing w:line="480" w:lineRule="auto"/>
        <w:textAlignment w:val="auto"/>
        <w:rPr>
          <w:szCs w:val="24"/>
        </w:rPr>
        <w:sectPr w:rsidR="00156286" w:rsidRPr="008E0367" w:rsidSect="00FA7E2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cols w:space="720"/>
          <w:docGrid w:linePitch="326"/>
        </w:sectPr>
      </w:pPr>
      <w:r w:rsidRPr="008E0367">
        <w:rPr>
          <w:szCs w:val="24"/>
        </w:rPr>
        <w:br w:type="page"/>
      </w:r>
    </w:p>
    <w:p w14:paraId="6C07B093" w14:textId="125DC42D" w:rsidR="00A63935" w:rsidRPr="00A63935" w:rsidRDefault="00A63935" w:rsidP="00A63935">
      <w:pPr>
        <w:rPr>
          <w:b/>
          <w:u w:val="single"/>
        </w:rPr>
      </w:pPr>
      <w:r w:rsidRPr="00A63935">
        <w:rPr>
          <w:b/>
          <w:u w:val="single"/>
        </w:rPr>
        <w:lastRenderedPageBreak/>
        <w:t>Table of Contents</w:t>
      </w:r>
    </w:p>
    <w:p w14:paraId="605491BB" w14:textId="77777777" w:rsidR="00A63935" w:rsidRPr="00A63935" w:rsidRDefault="00A63935" w:rsidP="00A63935"/>
    <w:p w14:paraId="4C516697" w14:textId="46000B99" w:rsidR="00FD4FBC" w:rsidRDefault="00A63935">
      <w:pPr>
        <w:pStyle w:val="TOC1"/>
        <w:rPr>
          <w:rFonts w:asciiTheme="minorHAnsi" w:eastAsiaTheme="minorEastAsia" w:hAnsiTheme="minorHAnsi" w:cstheme="minorBidi"/>
          <w:b w:val="0"/>
          <w:bCs w:val="0"/>
          <w:caps w:val="0"/>
          <w:sz w:val="22"/>
          <w:szCs w:val="22"/>
        </w:rPr>
      </w:pPr>
      <w:r w:rsidRPr="00AE718C">
        <w:fldChar w:fldCharType="begin"/>
      </w:r>
      <w:r w:rsidRPr="00AE718C">
        <w:instrText xml:space="preserve"> TOC \o "1-3" \h \z \u </w:instrText>
      </w:r>
      <w:r w:rsidRPr="00AE718C">
        <w:fldChar w:fldCharType="separate"/>
      </w:r>
      <w:hyperlink w:anchor="_Toc505263869" w:history="1">
        <w:r w:rsidR="00FD4FBC" w:rsidRPr="00211E82">
          <w:rPr>
            <w:rStyle w:val="Hyperlink"/>
          </w:rPr>
          <w:t>B.1 Respondent Universe and Sampling Methods</w:t>
        </w:r>
        <w:r w:rsidR="00FD4FBC">
          <w:rPr>
            <w:webHidden/>
          </w:rPr>
          <w:tab/>
        </w:r>
        <w:r w:rsidR="00FD4FBC">
          <w:rPr>
            <w:webHidden/>
          </w:rPr>
          <w:fldChar w:fldCharType="begin"/>
        </w:r>
        <w:r w:rsidR="00FD4FBC">
          <w:rPr>
            <w:webHidden/>
          </w:rPr>
          <w:instrText xml:space="preserve"> PAGEREF _Toc505263869 \h </w:instrText>
        </w:r>
        <w:r w:rsidR="00FD4FBC">
          <w:rPr>
            <w:webHidden/>
          </w:rPr>
        </w:r>
        <w:r w:rsidR="00FD4FBC">
          <w:rPr>
            <w:webHidden/>
          </w:rPr>
          <w:fldChar w:fldCharType="separate"/>
        </w:r>
        <w:r w:rsidR="00FD4FBC">
          <w:rPr>
            <w:webHidden/>
          </w:rPr>
          <w:t>1</w:t>
        </w:r>
        <w:r w:rsidR="00FD4FBC">
          <w:rPr>
            <w:webHidden/>
          </w:rPr>
          <w:fldChar w:fldCharType="end"/>
        </w:r>
      </w:hyperlink>
    </w:p>
    <w:p w14:paraId="69D9913C" w14:textId="220FFF31" w:rsidR="00FD4FBC" w:rsidRDefault="00532FAB">
      <w:pPr>
        <w:pStyle w:val="TOC1"/>
        <w:rPr>
          <w:rFonts w:asciiTheme="minorHAnsi" w:eastAsiaTheme="minorEastAsia" w:hAnsiTheme="minorHAnsi" w:cstheme="minorBidi"/>
          <w:b w:val="0"/>
          <w:bCs w:val="0"/>
          <w:caps w:val="0"/>
          <w:sz w:val="22"/>
          <w:szCs w:val="22"/>
        </w:rPr>
      </w:pPr>
      <w:hyperlink w:anchor="_Toc505263870" w:history="1">
        <w:r w:rsidR="00FD4FBC" w:rsidRPr="00211E82">
          <w:rPr>
            <w:rStyle w:val="Hyperlink"/>
          </w:rPr>
          <w:t>B.2 Procedures for the Collection of Information</w:t>
        </w:r>
        <w:r w:rsidR="00FD4FBC">
          <w:rPr>
            <w:webHidden/>
          </w:rPr>
          <w:tab/>
        </w:r>
        <w:r w:rsidR="00FD4FBC">
          <w:rPr>
            <w:webHidden/>
          </w:rPr>
          <w:fldChar w:fldCharType="begin"/>
        </w:r>
        <w:r w:rsidR="00FD4FBC">
          <w:rPr>
            <w:webHidden/>
          </w:rPr>
          <w:instrText xml:space="preserve"> PAGEREF _Toc505263870 \h </w:instrText>
        </w:r>
        <w:r w:rsidR="00FD4FBC">
          <w:rPr>
            <w:webHidden/>
          </w:rPr>
        </w:r>
        <w:r w:rsidR="00FD4FBC">
          <w:rPr>
            <w:webHidden/>
          </w:rPr>
          <w:fldChar w:fldCharType="separate"/>
        </w:r>
        <w:r w:rsidR="00FD4FBC">
          <w:rPr>
            <w:webHidden/>
          </w:rPr>
          <w:t>10</w:t>
        </w:r>
        <w:r w:rsidR="00FD4FBC">
          <w:rPr>
            <w:webHidden/>
          </w:rPr>
          <w:fldChar w:fldCharType="end"/>
        </w:r>
      </w:hyperlink>
    </w:p>
    <w:p w14:paraId="5AA59797" w14:textId="23CFCE6D" w:rsidR="00FD4FBC" w:rsidRDefault="00532FAB">
      <w:pPr>
        <w:pStyle w:val="TOC1"/>
        <w:rPr>
          <w:rFonts w:asciiTheme="minorHAnsi" w:eastAsiaTheme="minorEastAsia" w:hAnsiTheme="minorHAnsi" w:cstheme="minorBidi"/>
          <w:b w:val="0"/>
          <w:bCs w:val="0"/>
          <w:caps w:val="0"/>
          <w:sz w:val="22"/>
          <w:szCs w:val="22"/>
        </w:rPr>
      </w:pPr>
      <w:hyperlink w:anchor="_Toc505263871" w:history="1">
        <w:r w:rsidR="00FD4FBC" w:rsidRPr="00211E82">
          <w:rPr>
            <w:rStyle w:val="Hyperlink"/>
          </w:rPr>
          <w:t>B.3 Methods to Maximize Response Rates and to Deal With Nonresponse</w:t>
        </w:r>
        <w:r w:rsidR="00FD4FBC">
          <w:rPr>
            <w:webHidden/>
          </w:rPr>
          <w:tab/>
        </w:r>
        <w:r w:rsidR="00FD4FBC">
          <w:rPr>
            <w:webHidden/>
          </w:rPr>
          <w:fldChar w:fldCharType="begin"/>
        </w:r>
        <w:r w:rsidR="00FD4FBC">
          <w:rPr>
            <w:webHidden/>
          </w:rPr>
          <w:instrText xml:space="preserve"> PAGEREF _Toc505263871 \h </w:instrText>
        </w:r>
        <w:r w:rsidR="00FD4FBC">
          <w:rPr>
            <w:webHidden/>
          </w:rPr>
        </w:r>
        <w:r w:rsidR="00FD4FBC">
          <w:rPr>
            <w:webHidden/>
          </w:rPr>
          <w:fldChar w:fldCharType="separate"/>
        </w:r>
        <w:r w:rsidR="00FD4FBC">
          <w:rPr>
            <w:webHidden/>
          </w:rPr>
          <w:t>19</w:t>
        </w:r>
        <w:r w:rsidR="00FD4FBC">
          <w:rPr>
            <w:webHidden/>
          </w:rPr>
          <w:fldChar w:fldCharType="end"/>
        </w:r>
      </w:hyperlink>
    </w:p>
    <w:p w14:paraId="1DB5722B" w14:textId="2621FFE9" w:rsidR="00FD4FBC" w:rsidRDefault="00532FAB">
      <w:pPr>
        <w:pStyle w:val="TOC1"/>
        <w:rPr>
          <w:rFonts w:asciiTheme="minorHAnsi" w:eastAsiaTheme="minorEastAsia" w:hAnsiTheme="minorHAnsi" w:cstheme="minorBidi"/>
          <w:b w:val="0"/>
          <w:bCs w:val="0"/>
          <w:caps w:val="0"/>
          <w:sz w:val="22"/>
          <w:szCs w:val="22"/>
        </w:rPr>
      </w:pPr>
      <w:hyperlink w:anchor="_Toc505263872" w:history="1">
        <w:r w:rsidR="00FD4FBC" w:rsidRPr="00211E82">
          <w:rPr>
            <w:rStyle w:val="Hyperlink"/>
          </w:rPr>
          <w:t>B.4 Test of Procedures or Methods to be Undertaken</w:t>
        </w:r>
        <w:r w:rsidR="00FD4FBC">
          <w:rPr>
            <w:webHidden/>
          </w:rPr>
          <w:tab/>
        </w:r>
        <w:r w:rsidR="00FD4FBC">
          <w:rPr>
            <w:webHidden/>
          </w:rPr>
          <w:fldChar w:fldCharType="begin"/>
        </w:r>
        <w:r w:rsidR="00FD4FBC">
          <w:rPr>
            <w:webHidden/>
          </w:rPr>
          <w:instrText xml:space="preserve"> PAGEREF _Toc505263872 \h </w:instrText>
        </w:r>
        <w:r w:rsidR="00FD4FBC">
          <w:rPr>
            <w:webHidden/>
          </w:rPr>
        </w:r>
        <w:r w:rsidR="00FD4FBC">
          <w:rPr>
            <w:webHidden/>
          </w:rPr>
          <w:fldChar w:fldCharType="separate"/>
        </w:r>
        <w:r w:rsidR="00FD4FBC">
          <w:rPr>
            <w:webHidden/>
          </w:rPr>
          <w:t>21</w:t>
        </w:r>
        <w:r w:rsidR="00FD4FBC">
          <w:rPr>
            <w:webHidden/>
          </w:rPr>
          <w:fldChar w:fldCharType="end"/>
        </w:r>
      </w:hyperlink>
    </w:p>
    <w:p w14:paraId="64A01FB2" w14:textId="77777777" w:rsidR="00FF1634" w:rsidRDefault="00A63935">
      <w:pPr>
        <w:pStyle w:val="TableofFigures"/>
        <w:tabs>
          <w:tab w:val="right" w:leader="dot" w:pos="9350"/>
        </w:tabs>
        <w:rPr>
          <w:sz w:val="20"/>
        </w:rPr>
      </w:pPr>
      <w:r w:rsidRPr="00AE718C">
        <w:rPr>
          <w:sz w:val="20"/>
        </w:rPr>
        <w:fldChar w:fldCharType="end"/>
      </w:r>
    </w:p>
    <w:p w14:paraId="25BE20F3" w14:textId="2BB43EA3" w:rsidR="00FD4FBC" w:rsidRPr="008F2C8F" w:rsidRDefault="00AE718C" w:rsidP="008F2C8F">
      <w:pPr>
        <w:pStyle w:val="TOC1"/>
        <w:rPr>
          <w:rStyle w:val="Hyperlink"/>
        </w:rPr>
      </w:pPr>
      <w:r w:rsidRPr="008F2C8F">
        <w:rPr>
          <w:rStyle w:val="Hyperlink"/>
        </w:rPr>
        <w:fldChar w:fldCharType="begin"/>
      </w:r>
      <w:r w:rsidRPr="008F2C8F">
        <w:rPr>
          <w:rStyle w:val="Hyperlink"/>
        </w:rPr>
        <w:instrText xml:space="preserve"> TOC \h \z \c "Table B1 - " </w:instrText>
      </w:r>
      <w:r w:rsidRPr="008F2C8F">
        <w:rPr>
          <w:rStyle w:val="Hyperlink"/>
        </w:rPr>
        <w:fldChar w:fldCharType="separate"/>
      </w:r>
      <w:hyperlink w:anchor="_Toc505263873" w:history="1">
        <w:r w:rsidR="00FD4FBC" w:rsidRPr="00165998">
          <w:rPr>
            <w:rStyle w:val="Hyperlink"/>
          </w:rPr>
          <w:t>Table B1 - 1. FNS Regions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_Toc505263873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3</w:t>
        </w:r>
        <w:r w:rsidR="00FD4FBC" w:rsidRPr="008F2C8F">
          <w:rPr>
            <w:rStyle w:val="Hyperlink"/>
            <w:webHidden/>
          </w:rPr>
          <w:fldChar w:fldCharType="end"/>
        </w:r>
      </w:hyperlink>
    </w:p>
    <w:p w14:paraId="0A02C0AE" w14:textId="2D33B1E0" w:rsidR="00FD4FBC" w:rsidRPr="008F2C8F" w:rsidRDefault="00532FAB" w:rsidP="008F2C8F">
      <w:pPr>
        <w:pStyle w:val="TOC1"/>
        <w:rPr>
          <w:rStyle w:val="Hyperlink"/>
        </w:rPr>
      </w:pPr>
      <w:hyperlink w:anchor="_Toc505263874" w:history="1">
        <w:r w:rsidR="00FD4FBC" w:rsidRPr="00165998">
          <w:rPr>
            <w:rStyle w:val="Hyperlink"/>
          </w:rPr>
          <w:t>Table B1 - 2. Site Population Size and Sample Allocation by Program Type for Respondent States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_Toc505263874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5</w:t>
        </w:r>
        <w:r w:rsidR="00FD4FBC" w:rsidRPr="008F2C8F">
          <w:rPr>
            <w:rStyle w:val="Hyperlink"/>
            <w:webHidden/>
          </w:rPr>
          <w:fldChar w:fldCharType="end"/>
        </w:r>
      </w:hyperlink>
    </w:p>
    <w:p w14:paraId="26A681BE" w14:textId="1ADD2D99" w:rsidR="00FD4FBC" w:rsidRPr="008F2C8F" w:rsidRDefault="00532FAB" w:rsidP="008F2C8F">
      <w:pPr>
        <w:pStyle w:val="TOC1"/>
        <w:rPr>
          <w:rStyle w:val="Hyperlink"/>
        </w:rPr>
      </w:pPr>
      <w:hyperlink w:anchor="_Toc505263875" w:history="1">
        <w:r w:rsidR="00FD4FBC" w:rsidRPr="00165998">
          <w:rPr>
            <w:rStyle w:val="Hyperlink"/>
          </w:rPr>
          <w:t>Table B1 - 4.  Overall Response Rates for Sponsors and Sites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_Toc505263875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6</w:t>
        </w:r>
        <w:r w:rsidR="00FD4FBC" w:rsidRPr="008F2C8F">
          <w:rPr>
            <w:rStyle w:val="Hyperlink"/>
            <w:webHidden/>
          </w:rPr>
          <w:fldChar w:fldCharType="end"/>
        </w:r>
      </w:hyperlink>
    </w:p>
    <w:p w14:paraId="5CCC2825" w14:textId="0CD5AA91" w:rsidR="00FD4FBC" w:rsidRPr="008F2C8F" w:rsidRDefault="00532FAB" w:rsidP="008F2C8F">
      <w:pPr>
        <w:pStyle w:val="TOC1"/>
        <w:rPr>
          <w:rStyle w:val="Hyperlink"/>
        </w:rPr>
      </w:pPr>
      <w:hyperlink w:anchor="_Toc505263876" w:history="1">
        <w:r w:rsidR="00FD4FBC" w:rsidRPr="00165998">
          <w:rPr>
            <w:rStyle w:val="Hyperlink"/>
          </w:rPr>
          <w:t>Table B1 - 5.  Sampling Stage-level and Overall Response Rates of Caregiver Surveys by Frame and Survey Types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_Toc505263876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8</w:t>
        </w:r>
        <w:r w:rsidR="00FD4FBC" w:rsidRPr="008F2C8F">
          <w:rPr>
            <w:rStyle w:val="Hyperlink"/>
            <w:webHidden/>
          </w:rPr>
          <w:fldChar w:fldCharType="end"/>
        </w:r>
      </w:hyperlink>
    </w:p>
    <w:p w14:paraId="51E81723" w14:textId="45615CF1" w:rsidR="00FD4FBC" w:rsidRPr="008F2C8F" w:rsidRDefault="00AE718C" w:rsidP="008F2C8F">
      <w:pPr>
        <w:pStyle w:val="TOC1"/>
        <w:rPr>
          <w:rStyle w:val="Hyperlink"/>
        </w:rPr>
      </w:pPr>
      <w:r w:rsidRPr="008F2C8F">
        <w:rPr>
          <w:rStyle w:val="Hyperlink"/>
        </w:rPr>
        <w:fldChar w:fldCharType="end"/>
      </w:r>
      <w:r w:rsidRPr="008F2C8F">
        <w:rPr>
          <w:rStyle w:val="Hyperlink"/>
        </w:rPr>
        <w:fldChar w:fldCharType="begin"/>
      </w:r>
      <w:r w:rsidRPr="008F2C8F">
        <w:rPr>
          <w:rStyle w:val="Hyperlink"/>
        </w:rPr>
        <w:instrText xml:space="preserve"> TOC \h \z \c "Table B2 -" </w:instrText>
      </w:r>
      <w:r w:rsidRPr="008F2C8F">
        <w:rPr>
          <w:rStyle w:val="Hyperlink"/>
        </w:rPr>
        <w:fldChar w:fldCharType="separate"/>
      </w:r>
      <w:hyperlink w:anchor="_Toc505263877" w:history="1">
        <w:r w:rsidR="00FD4FBC" w:rsidRPr="002D1A55">
          <w:rPr>
            <w:rStyle w:val="Hyperlink"/>
          </w:rPr>
          <w:t>Table B2 - 1. Study Stratification Groups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_Toc505263877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11</w:t>
        </w:r>
        <w:r w:rsidR="00FD4FBC" w:rsidRPr="008F2C8F">
          <w:rPr>
            <w:rStyle w:val="Hyperlink"/>
            <w:webHidden/>
          </w:rPr>
          <w:fldChar w:fldCharType="end"/>
        </w:r>
      </w:hyperlink>
    </w:p>
    <w:p w14:paraId="4FCC7ECB" w14:textId="37AA0532" w:rsidR="00FD4FBC" w:rsidRPr="008F2C8F" w:rsidRDefault="00532FAB" w:rsidP="008F2C8F">
      <w:pPr>
        <w:pStyle w:val="TOC1"/>
        <w:rPr>
          <w:rStyle w:val="Hyperlink"/>
        </w:rPr>
      </w:pPr>
      <w:hyperlink w:anchor="_Toc505263878" w:history="1">
        <w:r w:rsidR="00FD4FBC" w:rsidRPr="002D1A55">
          <w:rPr>
            <w:rStyle w:val="Hyperlink"/>
          </w:rPr>
          <w:t>Table B2 - 2. Marginal Respondent Sample Sizes of Stratification Defining Variables for Sites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_Toc505263878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12</w:t>
        </w:r>
        <w:r w:rsidR="00FD4FBC" w:rsidRPr="008F2C8F">
          <w:rPr>
            <w:rStyle w:val="Hyperlink"/>
            <w:webHidden/>
          </w:rPr>
          <w:fldChar w:fldCharType="end"/>
        </w:r>
      </w:hyperlink>
    </w:p>
    <w:p w14:paraId="73290CDB" w14:textId="1E79BEB2" w:rsidR="00FD4FBC" w:rsidRPr="008F2C8F" w:rsidRDefault="00532FAB" w:rsidP="008F2C8F">
      <w:pPr>
        <w:pStyle w:val="TOC1"/>
        <w:rPr>
          <w:rStyle w:val="Hyperlink"/>
        </w:rPr>
      </w:pPr>
      <w:hyperlink w:anchor="_Toc505263879" w:history="1">
        <w:r w:rsidR="00FD4FBC" w:rsidRPr="002D1A55">
          <w:rPr>
            <w:rStyle w:val="Hyperlink"/>
          </w:rPr>
          <w:t>Table B2 - 3. Marginal Field Sample Sizes of Stratification Defining Variables for Sites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_Toc505263879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13</w:t>
        </w:r>
        <w:r w:rsidR="00FD4FBC" w:rsidRPr="008F2C8F">
          <w:rPr>
            <w:rStyle w:val="Hyperlink"/>
            <w:webHidden/>
          </w:rPr>
          <w:fldChar w:fldCharType="end"/>
        </w:r>
      </w:hyperlink>
    </w:p>
    <w:p w14:paraId="08DF28F8" w14:textId="64960972" w:rsidR="00FD4FBC" w:rsidRPr="008F2C8F" w:rsidRDefault="00532FAB" w:rsidP="008F2C8F">
      <w:pPr>
        <w:pStyle w:val="TOC1"/>
        <w:rPr>
          <w:rStyle w:val="Hyperlink"/>
        </w:rPr>
      </w:pPr>
      <w:hyperlink w:anchor="_Toc505263880" w:history="1">
        <w:r w:rsidR="00FD4FBC" w:rsidRPr="002D1A55">
          <w:rPr>
            <w:rStyle w:val="Hyperlink"/>
          </w:rPr>
          <w:t xml:space="preserve">Table B2 - 4.  Sample Size Calculations for the Participant and Non-participant Household Surveys from </w:t>
        </w:r>
        <w:r w:rsidR="00FD4FBC" w:rsidRPr="008F2C8F">
          <w:rPr>
            <w:rStyle w:val="Hyperlink"/>
          </w:rPr>
          <w:t>Continuing Sites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_Toc505263880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15</w:t>
        </w:r>
        <w:r w:rsidR="00FD4FBC" w:rsidRPr="008F2C8F">
          <w:rPr>
            <w:rStyle w:val="Hyperlink"/>
            <w:webHidden/>
          </w:rPr>
          <w:fldChar w:fldCharType="end"/>
        </w:r>
      </w:hyperlink>
    </w:p>
    <w:p w14:paraId="74336BDC" w14:textId="726F0B10" w:rsidR="00FD4FBC" w:rsidRPr="008F2C8F" w:rsidRDefault="00532FAB" w:rsidP="008F2C8F">
      <w:pPr>
        <w:pStyle w:val="TOC1"/>
        <w:rPr>
          <w:rStyle w:val="Hyperlink"/>
        </w:rPr>
      </w:pPr>
      <w:hyperlink w:anchor="_Toc505263881" w:history="1">
        <w:r w:rsidR="00FD4FBC" w:rsidRPr="002D1A55">
          <w:rPr>
            <w:rStyle w:val="Hyperlink"/>
          </w:rPr>
          <w:t xml:space="preserve">Table B2 - 5. Sample Size Calculations for the Participant and Non-participant Household Surveys from </w:t>
        </w:r>
        <w:r w:rsidR="00FD4FBC" w:rsidRPr="008F2C8F">
          <w:rPr>
            <w:rStyle w:val="Hyperlink"/>
          </w:rPr>
          <w:t>New Sites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_Toc505263881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16</w:t>
        </w:r>
        <w:r w:rsidR="00FD4FBC" w:rsidRPr="008F2C8F">
          <w:rPr>
            <w:rStyle w:val="Hyperlink"/>
            <w:webHidden/>
          </w:rPr>
          <w:fldChar w:fldCharType="end"/>
        </w:r>
      </w:hyperlink>
    </w:p>
    <w:p w14:paraId="73BDD8D8" w14:textId="0912A388" w:rsidR="00FD4FBC" w:rsidRPr="008F2C8F" w:rsidRDefault="00532FAB" w:rsidP="008F2C8F">
      <w:pPr>
        <w:pStyle w:val="TOC1"/>
        <w:rPr>
          <w:rStyle w:val="Hyperlink"/>
        </w:rPr>
      </w:pPr>
      <w:hyperlink w:anchor="_Toc505263882" w:history="1">
        <w:r w:rsidR="00FD4FBC" w:rsidRPr="002D1A55">
          <w:rPr>
            <w:rStyle w:val="Hyperlink"/>
          </w:rPr>
          <w:t>Table B2 - 6. Precision and Power Analysis for Various Overall and Subgroup Sample Sizes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_Toc505263882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18</w:t>
        </w:r>
        <w:r w:rsidR="00FD4FBC" w:rsidRPr="008F2C8F">
          <w:rPr>
            <w:rStyle w:val="Hyperlink"/>
            <w:webHidden/>
          </w:rPr>
          <w:fldChar w:fldCharType="end"/>
        </w:r>
      </w:hyperlink>
    </w:p>
    <w:p w14:paraId="44AAEE9B" w14:textId="576576A4" w:rsidR="00FD4FBC" w:rsidRPr="008F2C8F" w:rsidRDefault="00AE718C" w:rsidP="008F2C8F">
      <w:pPr>
        <w:pStyle w:val="TOC1"/>
        <w:rPr>
          <w:rStyle w:val="Hyperlink"/>
        </w:rPr>
      </w:pPr>
      <w:r w:rsidRPr="008F2C8F">
        <w:rPr>
          <w:rStyle w:val="Hyperlink"/>
        </w:rPr>
        <w:fldChar w:fldCharType="end"/>
      </w:r>
      <w:r w:rsidRPr="008F2C8F">
        <w:rPr>
          <w:rStyle w:val="Hyperlink"/>
        </w:rPr>
        <w:fldChar w:fldCharType="begin"/>
      </w:r>
      <w:r w:rsidRPr="008F2C8F">
        <w:rPr>
          <w:rStyle w:val="Hyperlink"/>
        </w:rPr>
        <w:instrText xml:space="preserve"> TOC \h \z \c "Table B5 -" </w:instrText>
      </w:r>
      <w:r w:rsidRPr="008F2C8F">
        <w:rPr>
          <w:rStyle w:val="Hyperlink"/>
        </w:rPr>
        <w:fldChar w:fldCharType="separate"/>
      </w:r>
      <w:hyperlink w:anchor="_Toc505263883" w:history="1">
        <w:r w:rsidR="00FD4FBC" w:rsidRPr="00C17A35">
          <w:rPr>
            <w:rStyle w:val="Hyperlink"/>
          </w:rPr>
          <w:t>Table B5 - 1. Individuals Consulted on Data Collection or Analysis</w:t>
        </w:r>
        <w:r w:rsidR="00FD4FBC" w:rsidRPr="008F2C8F">
          <w:rPr>
            <w:rStyle w:val="Hyperlink"/>
            <w:webHidden/>
          </w:rPr>
          <w:tab/>
        </w:r>
        <w:r w:rsidR="00FD4FBC" w:rsidRPr="008F2C8F">
          <w:rPr>
            <w:rStyle w:val="Hyperlink"/>
            <w:webHidden/>
          </w:rPr>
          <w:fldChar w:fldCharType="begin"/>
        </w:r>
        <w:r w:rsidR="00FD4FBC" w:rsidRPr="008F2C8F">
          <w:rPr>
            <w:rStyle w:val="Hyperlink"/>
            <w:webHidden/>
          </w:rPr>
          <w:instrText xml:space="preserve"> PAGEREF _Toc505263883 \h </w:instrText>
        </w:r>
        <w:r w:rsidR="00FD4FBC" w:rsidRPr="008F2C8F">
          <w:rPr>
            <w:rStyle w:val="Hyperlink"/>
            <w:webHidden/>
          </w:rPr>
        </w:r>
        <w:r w:rsidR="00FD4FBC" w:rsidRPr="008F2C8F">
          <w:rPr>
            <w:rStyle w:val="Hyperlink"/>
            <w:webHidden/>
          </w:rPr>
          <w:fldChar w:fldCharType="separate"/>
        </w:r>
        <w:r w:rsidR="00FD4FBC" w:rsidRPr="008F2C8F">
          <w:rPr>
            <w:rStyle w:val="Hyperlink"/>
            <w:webHidden/>
          </w:rPr>
          <w:t>23</w:t>
        </w:r>
        <w:r w:rsidR="00FD4FBC" w:rsidRPr="008F2C8F">
          <w:rPr>
            <w:rStyle w:val="Hyperlink"/>
            <w:webHidden/>
          </w:rPr>
          <w:fldChar w:fldCharType="end"/>
        </w:r>
      </w:hyperlink>
    </w:p>
    <w:p w14:paraId="6DBFA143" w14:textId="08462CD4" w:rsidR="00AE718C" w:rsidRPr="00FF1634" w:rsidRDefault="00AE718C" w:rsidP="008F2C8F">
      <w:pPr>
        <w:pStyle w:val="TOC1"/>
        <w:rPr>
          <w:b w:val="0"/>
          <w:bCs w:val="0"/>
          <w:caps w:val="0"/>
        </w:rPr>
        <w:sectPr w:rsidR="00AE718C" w:rsidRPr="00FF1634" w:rsidSect="00156286">
          <w:headerReference w:type="default" r:id="rId20"/>
          <w:footerReference w:type="default" r:id="rId21"/>
          <w:pgSz w:w="12240" w:h="15840" w:code="1"/>
          <w:pgMar w:top="1440" w:right="1440" w:bottom="1440" w:left="1440" w:header="432" w:footer="720" w:gutter="0"/>
          <w:pgNumType w:fmt="lowerRoman" w:start="1"/>
          <w:cols w:space="720"/>
          <w:docGrid w:linePitch="326"/>
        </w:sectPr>
      </w:pPr>
      <w:r w:rsidRPr="008F2C8F">
        <w:rPr>
          <w:rStyle w:val="Hyperlink"/>
        </w:rPr>
        <w:fldChar w:fldCharType="end"/>
      </w:r>
    </w:p>
    <w:p w14:paraId="7A6D5421" w14:textId="6B5D15B6" w:rsidR="002568E6" w:rsidRPr="008E0367" w:rsidRDefault="002568E6" w:rsidP="0020370D">
      <w:pPr>
        <w:widowControl/>
        <w:overflowPunct/>
        <w:autoSpaceDE/>
        <w:autoSpaceDN/>
        <w:adjustRightInd/>
        <w:spacing w:line="480" w:lineRule="auto"/>
        <w:textAlignment w:val="auto"/>
        <w:rPr>
          <w:szCs w:val="24"/>
        </w:rPr>
      </w:pPr>
    </w:p>
    <w:p w14:paraId="5E8049A0" w14:textId="0B6C7557" w:rsidR="00156286" w:rsidRPr="008E0367" w:rsidRDefault="006F021F" w:rsidP="008E0367">
      <w:pPr>
        <w:pStyle w:val="Heading1"/>
        <w:rPr>
          <w:b w:val="0"/>
          <w:color w:val="324162"/>
          <w:szCs w:val="24"/>
        </w:rPr>
      </w:pPr>
      <w:bookmarkStart w:id="2" w:name="_Toc329341099"/>
      <w:bookmarkStart w:id="3" w:name="_Toc400377718"/>
      <w:bookmarkStart w:id="4" w:name="_Toc409090900"/>
      <w:bookmarkStart w:id="5" w:name="_Toc492882765"/>
      <w:bookmarkStart w:id="6" w:name="_Toc505263869"/>
      <w:commentRangeStart w:id="7"/>
      <w:r w:rsidRPr="008E0367">
        <w:rPr>
          <w:szCs w:val="24"/>
        </w:rPr>
        <w:t>B.1 Respondent</w:t>
      </w:r>
      <w:r w:rsidR="00156286" w:rsidRPr="008E0367">
        <w:rPr>
          <w:szCs w:val="24"/>
        </w:rPr>
        <w:t xml:space="preserve"> Universe and Sampling Methods</w:t>
      </w:r>
      <w:bookmarkEnd w:id="2"/>
      <w:bookmarkEnd w:id="3"/>
      <w:bookmarkEnd w:id="4"/>
      <w:bookmarkEnd w:id="5"/>
      <w:commentRangeEnd w:id="7"/>
      <w:r w:rsidR="00BB01EC">
        <w:rPr>
          <w:rStyle w:val="CommentReference"/>
          <w:b w:val="0"/>
        </w:rPr>
        <w:commentReference w:id="7"/>
      </w:r>
      <w:bookmarkEnd w:id="6"/>
    </w:p>
    <w:p w14:paraId="3AEB7A66" w14:textId="77777777" w:rsidR="008E0367" w:rsidRPr="008E0367" w:rsidRDefault="008E0367" w:rsidP="008E0367">
      <w:pPr>
        <w:keepNext/>
        <w:widowControl/>
        <w:tabs>
          <w:tab w:val="left" w:pos="1152"/>
        </w:tabs>
        <w:overflowPunct/>
        <w:autoSpaceDE/>
        <w:autoSpaceDN/>
        <w:adjustRightInd/>
        <w:ind w:left="1152" w:hanging="1152"/>
        <w:textAlignment w:val="auto"/>
        <w:outlineLvl w:val="1"/>
        <w:rPr>
          <w:b/>
          <w:color w:val="324162"/>
          <w:szCs w:val="24"/>
        </w:rPr>
      </w:pPr>
    </w:p>
    <w:p w14:paraId="6EB3D2E8" w14:textId="79D2828C" w:rsidR="00156286" w:rsidRPr="008E0367" w:rsidRDefault="00156286" w:rsidP="008E0367">
      <w:pPr>
        <w:rPr>
          <w:b/>
          <w:szCs w:val="24"/>
        </w:rPr>
      </w:pPr>
      <w:bookmarkStart w:id="8" w:name="_Toc316652505"/>
      <w:bookmarkStart w:id="9" w:name="_Toc325550963"/>
      <w:bookmarkStart w:id="10" w:name="_Toc400377719"/>
      <w:r w:rsidRPr="008E0367">
        <w:rPr>
          <w:b/>
          <w:szCs w:val="24"/>
        </w:rPr>
        <w:t xml:space="preserve">Describe (including a numerical estimate) the potential respondent universe and any sampling or other respondent selection method to be used. Data on the number of entities (e.g., establishments, </w:t>
      </w:r>
      <w:r w:rsidR="00E92355" w:rsidRPr="008E0367">
        <w:rPr>
          <w:b/>
          <w:szCs w:val="24"/>
        </w:rPr>
        <w:t>State</w:t>
      </w:r>
      <w:r w:rsidRPr="008E0367">
        <w:rPr>
          <w:b/>
          <w:szCs w:val="24"/>
        </w:rPr>
        <w:t xml:space="preserv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8"/>
      <w:bookmarkEnd w:id="9"/>
      <w:bookmarkEnd w:id="10"/>
    </w:p>
    <w:p w14:paraId="2676E7E8" w14:textId="1B2345DC" w:rsidR="00CA5FD8" w:rsidRPr="008E0367" w:rsidRDefault="00CA5FD8" w:rsidP="0020370D">
      <w:pPr>
        <w:tabs>
          <w:tab w:val="left" w:pos="-720"/>
        </w:tabs>
        <w:suppressAutoHyphens/>
        <w:spacing w:line="480" w:lineRule="auto"/>
        <w:rPr>
          <w:szCs w:val="24"/>
        </w:rPr>
      </w:pPr>
    </w:p>
    <w:p w14:paraId="45AEEEF2" w14:textId="77777777" w:rsidR="002D43E7" w:rsidRPr="008E0367" w:rsidRDefault="002D43E7" w:rsidP="0020370D">
      <w:pPr>
        <w:tabs>
          <w:tab w:val="left" w:pos="-720"/>
        </w:tabs>
        <w:suppressAutoHyphens/>
        <w:spacing w:line="480" w:lineRule="auto"/>
        <w:rPr>
          <w:b/>
          <w:color w:val="000000" w:themeColor="text1"/>
          <w:szCs w:val="24"/>
        </w:rPr>
      </w:pPr>
      <w:r w:rsidRPr="008E0367">
        <w:rPr>
          <w:b/>
          <w:color w:val="000000" w:themeColor="text1"/>
          <w:szCs w:val="24"/>
        </w:rPr>
        <w:t>Respondent Universe</w:t>
      </w:r>
    </w:p>
    <w:p w14:paraId="3497A233" w14:textId="13081FD1" w:rsidR="002D43E7" w:rsidRDefault="002D43E7" w:rsidP="00A9436B">
      <w:pPr>
        <w:spacing w:line="480" w:lineRule="auto"/>
        <w:ind w:firstLine="720"/>
        <w:rPr>
          <w:szCs w:val="24"/>
        </w:rPr>
      </w:pPr>
      <w:r w:rsidRPr="008E0367">
        <w:rPr>
          <w:szCs w:val="24"/>
        </w:rPr>
        <w:t xml:space="preserve">The Summer </w:t>
      </w:r>
      <w:r w:rsidR="00047DFA">
        <w:rPr>
          <w:szCs w:val="24"/>
        </w:rPr>
        <w:t>Meals S</w:t>
      </w:r>
      <w:r w:rsidRPr="008E0367">
        <w:rPr>
          <w:szCs w:val="24"/>
        </w:rPr>
        <w:t>tudy</w:t>
      </w:r>
      <w:r w:rsidR="00047DFA">
        <w:rPr>
          <w:szCs w:val="24"/>
        </w:rPr>
        <w:t>—a study of the Summer Food Service Program (SFSP) and Seamless Summer Option (SSO)—</w:t>
      </w:r>
      <w:r w:rsidRPr="008E0367">
        <w:rPr>
          <w:szCs w:val="24"/>
        </w:rPr>
        <w:t>requires</w:t>
      </w:r>
      <w:r w:rsidR="00047DFA">
        <w:rPr>
          <w:szCs w:val="24"/>
        </w:rPr>
        <w:t xml:space="preserve"> </w:t>
      </w:r>
      <w:r w:rsidRPr="008E0367">
        <w:rPr>
          <w:szCs w:val="24"/>
        </w:rPr>
        <w:t>data collection from four sampling units: (1) States; (2) SFSP/SSO sites; (3) SFSP/SSO sponsors; and (4) participant and nonparticipant households in the SFSP/SSO program</w:t>
      </w:r>
      <w:r w:rsidR="00CD46C2">
        <w:rPr>
          <w:szCs w:val="24"/>
        </w:rPr>
        <w:t>s</w:t>
      </w:r>
      <w:r w:rsidRPr="008E0367">
        <w:rPr>
          <w:szCs w:val="24"/>
        </w:rPr>
        <w:t>. To reach these sampling units for data collection, we will use a multi-stage sample design. The first stage involves sampling the 50 States and the District of Columbia</w:t>
      </w:r>
      <w:r w:rsidR="00047DFA">
        <w:rPr>
          <w:szCs w:val="24"/>
        </w:rPr>
        <w:t>—</w:t>
      </w:r>
      <w:r w:rsidRPr="008E0367">
        <w:rPr>
          <w:szCs w:val="24"/>
        </w:rPr>
        <w:t xml:space="preserve">we will refer to these as </w:t>
      </w:r>
      <w:r w:rsidR="00C25E69">
        <w:rPr>
          <w:szCs w:val="24"/>
        </w:rPr>
        <w:t>“</w:t>
      </w:r>
      <w:r w:rsidRPr="008E0367">
        <w:rPr>
          <w:szCs w:val="24"/>
        </w:rPr>
        <w:t>States</w:t>
      </w:r>
      <w:r w:rsidR="00C25E69">
        <w:rPr>
          <w:szCs w:val="24"/>
        </w:rPr>
        <w:t>”</w:t>
      </w:r>
      <w:r w:rsidRPr="008E0367">
        <w:rPr>
          <w:szCs w:val="24"/>
        </w:rPr>
        <w:t xml:space="preserve"> collectively. The second stage involves sampling approved sites and their associated sponsors, and the third stage involves sampling households (participating and non-participating).</w:t>
      </w:r>
    </w:p>
    <w:p w14:paraId="7E060442" w14:textId="3C734D99" w:rsidR="00DA6218" w:rsidRPr="00BE0BAB" w:rsidRDefault="00DA6218" w:rsidP="00DA6218">
      <w:pPr>
        <w:tabs>
          <w:tab w:val="left" w:pos="-720"/>
        </w:tabs>
        <w:suppressAutoHyphens/>
        <w:rPr>
          <w:sz w:val="20"/>
          <w:szCs w:val="24"/>
        </w:rPr>
      </w:pPr>
    </w:p>
    <w:p w14:paraId="6BF79B4D" w14:textId="77777777" w:rsidR="00DA6218" w:rsidRPr="00FA7E24" w:rsidRDefault="00DA6218" w:rsidP="00FA7E24">
      <w:pPr>
        <w:tabs>
          <w:tab w:val="left" w:pos="-720"/>
        </w:tabs>
        <w:suppressAutoHyphens/>
        <w:rPr>
          <w:sz w:val="20"/>
        </w:rPr>
      </w:pPr>
    </w:p>
    <w:p w14:paraId="11C2A7D0" w14:textId="552827FB" w:rsidR="00F951F5" w:rsidRPr="000638DA" w:rsidRDefault="00F951F5" w:rsidP="0020370D">
      <w:pPr>
        <w:tabs>
          <w:tab w:val="left" w:pos="-720"/>
        </w:tabs>
        <w:suppressAutoHyphens/>
        <w:spacing w:line="480" w:lineRule="auto"/>
        <w:rPr>
          <w:color w:val="000000" w:themeColor="text1"/>
          <w:szCs w:val="24"/>
        </w:rPr>
      </w:pPr>
      <w:r w:rsidRPr="000638DA">
        <w:rPr>
          <w:b/>
          <w:color w:val="000000" w:themeColor="text1"/>
          <w:szCs w:val="24"/>
        </w:rPr>
        <w:t xml:space="preserve">Sampling </w:t>
      </w:r>
      <w:r w:rsidR="002D43E7" w:rsidRPr="000638DA">
        <w:rPr>
          <w:b/>
          <w:color w:val="000000" w:themeColor="text1"/>
          <w:szCs w:val="24"/>
        </w:rPr>
        <w:t>Methods</w:t>
      </w:r>
    </w:p>
    <w:p w14:paraId="58F7D936" w14:textId="3E8A38ED" w:rsidR="0014693A" w:rsidRDefault="0014693A" w:rsidP="00A63935">
      <w:pPr>
        <w:rPr>
          <w:b/>
          <w:i/>
        </w:rPr>
      </w:pPr>
      <w:bookmarkStart w:id="11" w:name="_Toc492882809"/>
      <w:r w:rsidRPr="00A63935">
        <w:rPr>
          <w:b/>
          <w:i/>
        </w:rPr>
        <w:t>States</w:t>
      </w:r>
      <w:bookmarkEnd w:id="11"/>
    </w:p>
    <w:p w14:paraId="57B6C419" w14:textId="77777777" w:rsidR="00A63935" w:rsidRPr="00A63935" w:rsidRDefault="00A63935" w:rsidP="00A63935">
      <w:pPr>
        <w:rPr>
          <w:b/>
          <w:i/>
        </w:rPr>
      </w:pPr>
    </w:p>
    <w:p w14:paraId="56F9ECCB" w14:textId="42FCCE8C" w:rsidR="0014693A" w:rsidRPr="00A63935" w:rsidRDefault="0014693A" w:rsidP="00116343">
      <w:pPr>
        <w:spacing w:line="480" w:lineRule="auto"/>
        <w:ind w:firstLine="720"/>
      </w:pPr>
      <w:bookmarkStart w:id="12" w:name="_Toc492882810"/>
      <w:r w:rsidRPr="00A63935">
        <w:t>In order to enroll 20 States</w:t>
      </w:r>
      <w:r w:rsidR="00B3092B">
        <w:rPr>
          <w:rStyle w:val="FootnoteReference"/>
        </w:rPr>
        <w:footnoteReference w:id="2"/>
      </w:r>
      <w:r w:rsidRPr="00A63935">
        <w:t xml:space="preserve"> in the study, with an expected response rate of </w:t>
      </w:r>
      <w:r w:rsidR="005D6A6C" w:rsidRPr="00A63935">
        <w:t>8</w:t>
      </w:r>
      <w:r w:rsidR="005D6A6C">
        <w:t>3</w:t>
      </w:r>
      <w:r w:rsidRPr="00A63935">
        <w:t>%</w:t>
      </w:r>
      <w:r w:rsidR="00B12EA3">
        <w:rPr>
          <w:rStyle w:val="FootnoteReference"/>
        </w:rPr>
        <w:footnoteReference w:id="3"/>
      </w:r>
      <w:r w:rsidRPr="00A63935">
        <w:t>, the study team will use systematic sampling to select an initial sample of 24 States after sorting the State list by FNS region (see</w:t>
      </w:r>
      <w:r w:rsidR="00FD4FBC">
        <w:t xml:space="preserve"> </w:t>
      </w:r>
      <w:r w:rsidR="00F56893" w:rsidRPr="00FD4FBC">
        <w:fldChar w:fldCharType="begin"/>
      </w:r>
      <w:r w:rsidR="00F56893" w:rsidRPr="00FD4FBC">
        <w:instrText xml:space="preserve"> REF _Ref492890581 \h  \* MERGEFORMAT </w:instrText>
      </w:r>
      <w:r w:rsidR="00F56893" w:rsidRPr="00FD4FBC">
        <w:fldChar w:fldCharType="separate"/>
      </w:r>
      <w:r w:rsidR="00FD4FBC" w:rsidRPr="008F2C8F">
        <w:t xml:space="preserve">Table </w:t>
      </w:r>
      <w:r w:rsidR="00FD4FBC" w:rsidRPr="008F2C8F">
        <w:rPr>
          <w:noProof/>
        </w:rPr>
        <w:t>B1</w:t>
      </w:r>
      <w:r w:rsidR="00FD4FBC" w:rsidRPr="008F2C8F">
        <w:t xml:space="preserve"> -</w:t>
      </w:r>
      <w:r w:rsidR="00FD4FBC" w:rsidRPr="008F2C8F">
        <w:rPr>
          <w:noProof/>
        </w:rPr>
        <w:t xml:space="preserve"> </w:t>
      </w:r>
      <w:r w:rsidR="00FD4FBC" w:rsidRPr="008F2C8F">
        <w:t>1</w:t>
      </w:r>
      <w:r w:rsidR="00F56893" w:rsidRPr="00FD4FBC">
        <w:fldChar w:fldCharType="end"/>
      </w:r>
      <w:r w:rsidRPr="00FD4FBC">
        <w:t>)</w:t>
      </w:r>
      <w:r w:rsidRPr="00A63935">
        <w:t xml:space="preserve"> and a measure of size (MOS). To select a sample of sites for the site survey, the number of sites is a better MOS, whereas for the participant household survey, the number of meals served is better. Instead of using one or the other, we will define a new MOS by combining the two. Selecting a systematic sample of States from the sorted list provides a sample evenly spread over the FNS region and the combined MOS. After the State sample has been selected, we will contact them to obtain State-specific lists of SFSP/SSO sponsors and sites, which will be used to develop a sample frame for the selection of SFSP/SSO sites.</w:t>
      </w:r>
      <w:bookmarkEnd w:id="12"/>
    </w:p>
    <w:p w14:paraId="2E071160" w14:textId="77777777" w:rsidR="00E80D25" w:rsidRDefault="00E80D25" w:rsidP="00B760CB">
      <w:pPr>
        <w:pStyle w:val="Caption"/>
        <w:rPr>
          <w:b/>
        </w:rPr>
      </w:pPr>
      <w:bookmarkStart w:id="13" w:name="_Ref492890581"/>
    </w:p>
    <w:p w14:paraId="109AA590" w14:textId="1C4B62EC" w:rsidR="00FF6DE5" w:rsidRPr="00B760CB" w:rsidRDefault="00B760CB" w:rsidP="00B760CB">
      <w:pPr>
        <w:pStyle w:val="Caption"/>
        <w:rPr>
          <w:b/>
          <w:szCs w:val="24"/>
        </w:rPr>
      </w:pPr>
      <w:bookmarkStart w:id="14" w:name="_Toc505263873"/>
      <w:r w:rsidRPr="00B760CB">
        <w:rPr>
          <w:b/>
        </w:rPr>
        <w:t xml:space="preserve">Table B1 - </w:t>
      </w:r>
      <w:r w:rsidR="006B03DC">
        <w:rPr>
          <w:b/>
        </w:rPr>
        <w:fldChar w:fldCharType="begin"/>
      </w:r>
      <w:r w:rsidR="006B03DC">
        <w:rPr>
          <w:b/>
        </w:rPr>
        <w:instrText xml:space="preserve"> SEQ Table_B1_-_ \* ARABIC </w:instrText>
      </w:r>
      <w:r w:rsidR="006B03DC">
        <w:rPr>
          <w:b/>
        </w:rPr>
        <w:fldChar w:fldCharType="separate"/>
      </w:r>
      <w:r w:rsidR="00FD4FBC">
        <w:rPr>
          <w:b/>
          <w:noProof/>
        </w:rPr>
        <w:t>1</w:t>
      </w:r>
      <w:r w:rsidR="006B03DC">
        <w:rPr>
          <w:b/>
        </w:rPr>
        <w:fldChar w:fldCharType="end"/>
      </w:r>
      <w:bookmarkEnd w:id="13"/>
      <w:r>
        <w:rPr>
          <w:b/>
        </w:rPr>
        <w:t>.</w:t>
      </w:r>
      <w:r w:rsidRPr="00B760CB">
        <w:rPr>
          <w:b/>
        </w:rPr>
        <w:t xml:space="preserve"> </w:t>
      </w:r>
      <w:r w:rsidR="00FF6DE5" w:rsidRPr="00B760CB">
        <w:rPr>
          <w:b/>
          <w:szCs w:val="24"/>
        </w:rPr>
        <w:t>FNS Regions</w:t>
      </w:r>
      <w:bookmarkEnd w:id="14"/>
    </w:p>
    <w:tbl>
      <w:tblPr>
        <w:tblStyle w:val="TableGrid"/>
        <w:tblW w:w="5000" w:type="pct"/>
        <w:tblLook w:val="04A0" w:firstRow="1" w:lastRow="0" w:firstColumn="1" w:lastColumn="0" w:noHBand="0" w:noVBand="1"/>
      </w:tblPr>
      <w:tblGrid>
        <w:gridCol w:w="4422"/>
        <w:gridCol w:w="5154"/>
      </w:tblGrid>
      <w:tr w:rsidR="00FF6DE5" w:rsidRPr="00F56893" w14:paraId="73723DE6" w14:textId="77777777" w:rsidTr="00F704C3">
        <w:trPr>
          <w:tblHeader/>
        </w:trPr>
        <w:tc>
          <w:tcPr>
            <w:tcW w:w="2309" w:type="pct"/>
            <w:shd w:val="clear" w:color="auto" w:fill="D9D9D9" w:themeFill="background1" w:themeFillShade="D9"/>
            <w:vAlign w:val="center"/>
          </w:tcPr>
          <w:p w14:paraId="2A2AB078" w14:textId="77777777" w:rsidR="00FF6DE5" w:rsidRPr="00F56893" w:rsidRDefault="00FF6DE5" w:rsidP="00F56893">
            <w:r w:rsidRPr="00F56893">
              <w:t>FNS Region</w:t>
            </w:r>
          </w:p>
        </w:tc>
        <w:tc>
          <w:tcPr>
            <w:tcW w:w="2691" w:type="pct"/>
            <w:shd w:val="clear" w:color="auto" w:fill="D9D9D9" w:themeFill="background1" w:themeFillShade="D9"/>
            <w:vAlign w:val="center"/>
          </w:tcPr>
          <w:p w14:paraId="42C0A477" w14:textId="5C0261E9" w:rsidR="00FF6DE5" w:rsidRPr="00F56893" w:rsidRDefault="00E92355" w:rsidP="00F56893">
            <w:r w:rsidRPr="00F56893">
              <w:t>State</w:t>
            </w:r>
            <w:r w:rsidR="00FF6DE5" w:rsidRPr="00F56893">
              <w:t>s</w:t>
            </w:r>
          </w:p>
        </w:tc>
      </w:tr>
      <w:tr w:rsidR="00FF6DE5" w:rsidRPr="00F56893" w14:paraId="1815DCD6" w14:textId="77777777" w:rsidTr="00F704C3">
        <w:tc>
          <w:tcPr>
            <w:tcW w:w="2309" w:type="pct"/>
            <w:vAlign w:val="center"/>
          </w:tcPr>
          <w:p w14:paraId="00BD8423" w14:textId="77777777" w:rsidR="00FF6DE5" w:rsidRPr="00F56893" w:rsidRDefault="00FF6DE5" w:rsidP="00F56893">
            <w:r w:rsidRPr="00F56893">
              <w:t>Mid-Atlantic Regional Office (MARO)</w:t>
            </w:r>
          </w:p>
        </w:tc>
        <w:tc>
          <w:tcPr>
            <w:tcW w:w="2691" w:type="pct"/>
            <w:vAlign w:val="center"/>
          </w:tcPr>
          <w:p w14:paraId="0182F5A1" w14:textId="73DD0F82" w:rsidR="00FF6DE5" w:rsidRPr="00F56893" w:rsidRDefault="00FF6DE5" w:rsidP="00F56893">
            <w:r w:rsidRPr="00F56893">
              <w:t>Delaware, District of Columbia, Maryland, New Jersey, Pennsylvania, Virginia, West Virginia</w:t>
            </w:r>
          </w:p>
        </w:tc>
      </w:tr>
      <w:tr w:rsidR="00FF6DE5" w:rsidRPr="00F56893" w14:paraId="6EA347A2" w14:textId="77777777" w:rsidTr="00F704C3">
        <w:trPr>
          <w:trHeight w:val="251"/>
        </w:trPr>
        <w:tc>
          <w:tcPr>
            <w:tcW w:w="2309" w:type="pct"/>
            <w:vAlign w:val="center"/>
          </w:tcPr>
          <w:p w14:paraId="19C5B753" w14:textId="77777777" w:rsidR="00FF6DE5" w:rsidRPr="00F56893" w:rsidRDefault="00FF6DE5" w:rsidP="00F56893">
            <w:r w:rsidRPr="00F56893">
              <w:t>Midwest Regional Office (MWRO)</w:t>
            </w:r>
          </w:p>
        </w:tc>
        <w:tc>
          <w:tcPr>
            <w:tcW w:w="2691" w:type="pct"/>
            <w:vAlign w:val="center"/>
          </w:tcPr>
          <w:p w14:paraId="5116B179" w14:textId="77777777" w:rsidR="00FF6DE5" w:rsidRPr="00F56893" w:rsidRDefault="00FF6DE5" w:rsidP="00F56893">
            <w:r w:rsidRPr="00F56893">
              <w:t>Illinois, Indiana, Michigan, Minnesota, Ohio, Wisconsin</w:t>
            </w:r>
          </w:p>
        </w:tc>
      </w:tr>
      <w:tr w:rsidR="00FF6DE5" w:rsidRPr="00F56893" w14:paraId="761EF77E" w14:textId="77777777" w:rsidTr="00F704C3">
        <w:tc>
          <w:tcPr>
            <w:tcW w:w="2309" w:type="pct"/>
            <w:vAlign w:val="center"/>
          </w:tcPr>
          <w:p w14:paraId="08FFFDC1" w14:textId="77777777" w:rsidR="00FF6DE5" w:rsidRPr="00F56893" w:rsidRDefault="00FF6DE5" w:rsidP="00F56893">
            <w:r w:rsidRPr="00F56893">
              <w:t>Mountain Plains Regional Office (MPRO)</w:t>
            </w:r>
          </w:p>
        </w:tc>
        <w:tc>
          <w:tcPr>
            <w:tcW w:w="2691" w:type="pct"/>
            <w:vAlign w:val="center"/>
          </w:tcPr>
          <w:p w14:paraId="5FB677CE" w14:textId="77777777" w:rsidR="00FF6DE5" w:rsidRPr="00F56893" w:rsidRDefault="00FF6DE5" w:rsidP="00F56893">
            <w:r w:rsidRPr="00F56893">
              <w:t>Colorado, Iowa, Kansas, Missouri, Montana, Nebraska, North Dakota, South Dakota, Utah, Wyoming</w:t>
            </w:r>
          </w:p>
        </w:tc>
      </w:tr>
      <w:tr w:rsidR="00FF6DE5" w:rsidRPr="00F56893" w14:paraId="6EF50030" w14:textId="77777777" w:rsidTr="00F704C3">
        <w:tc>
          <w:tcPr>
            <w:tcW w:w="2309" w:type="pct"/>
            <w:vAlign w:val="center"/>
          </w:tcPr>
          <w:p w14:paraId="1D099EED" w14:textId="77777777" w:rsidR="00FF6DE5" w:rsidRPr="00F56893" w:rsidRDefault="00FF6DE5" w:rsidP="00F56893">
            <w:r w:rsidRPr="00F56893">
              <w:t>Northeast Regional Office (NERO)</w:t>
            </w:r>
          </w:p>
        </w:tc>
        <w:tc>
          <w:tcPr>
            <w:tcW w:w="2691" w:type="pct"/>
            <w:vAlign w:val="center"/>
          </w:tcPr>
          <w:p w14:paraId="1522B135" w14:textId="77777777" w:rsidR="00FF6DE5" w:rsidRPr="00F56893" w:rsidRDefault="00FF6DE5" w:rsidP="00F56893">
            <w:r w:rsidRPr="00F56893">
              <w:t>Connecticut, Maine, Massachusetts, New Hampshire, New York, Rhode Island, Vermont</w:t>
            </w:r>
          </w:p>
        </w:tc>
      </w:tr>
      <w:tr w:rsidR="00FF6DE5" w:rsidRPr="00F56893" w14:paraId="5B7C6341" w14:textId="77777777" w:rsidTr="00F704C3">
        <w:tc>
          <w:tcPr>
            <w:tcW w:w="2309" w:type="pct"/>
            <w:vAlign w:val="center"/>
          </w:tcPr>
          <w:p w14:paraId="48152BA5" w14:textId="77777777" w:rsidR="00FF6DE5" w:rsidRPr="00F56893" w:rsidRDefault="00FF6DE5" w:rsidP="00F56893">
            <w:r w:rsidRPr="00F56893">
              <w:t>Southeast Regional Office (SERO)</w:t>
            </w:r>
          </w:p>
        </w:tc>
        <w:tc>
          <w:tcPr>
            <w:tcW w:w="2691" w:type="pct"/>
            <w:vAlign w:val="center"/>
          </w:tcPr>
          <w:p w14:paraId="6F383CAB" w14:textId="77777777" w:rsidR="00FF6DE5" w:rsidRPr="00F56893" w:rsidRDefault="00FF6DE5" w:rsidP="00F56893">
            <w:r w:rsidRPr="00F56893">
              <w:t>Alabama, Florida, Georgia, Kentucky, Mississippi, North Carolina, South Carolina, Tennessee</w:t>
            </w:r>
          </w:p>
        </w:tc>
      </w:tr>
      <w:tr w:rsidR="00FF6DE5" w:rsidRPr="00F56893" w14:paraId="4E201C78" w14:textId="77777777" w:rsidTr="00F704C3">
        <w:tc>
          <w:tcPr>
            <w:tcW w:w="2309" w:type="pct"/>
            <w:vAlign w:val="center"/>
          </w:tcPr>
          <w:p w14:paraId="4DF8AD9F" w14:textId="77777777" w:rsidR="00FF6DE5" w:rsidRPr="00F56893" w:rsidRDefault="00FF6DE5" w:rsidP="00F56893">
            <w:r w:rsidRPr="00F56893">
              <w:t>Southwest Regional Office (SWRO)</w:t>
            </w:r>
          </w:p>
        </w:tc>
        <w:tc>
          <w:tcPr>
            <w:tcW w:w="2691" w:type="pct"/>
            <w:vAlign w:val="center"/>
          </w:tcPr>
          <w:p w14:paraId="58299403" w14:textId="77777777" w:rsidR="00FF6DE5" w:rsidRPr="00F56893" w:rsidRDefault="00FF6DE5" w:rsidP="00F56893">
            <w:r w:rsidRPr="00F56893">
              <w:t>Arkansas, Louisiana, New Mexico, Oklahoma, Texas</w:t>
            </w:r>
          </w:p>
        </w:tc>
      </w:tr>
      <w:tr w:rsidR="00FF6DE5" w:rsidRPr="00F56893" w14:paraId="0219BF7B" w14:textId="77777777" w:rsidTr="00F704C3">
        <w:tc>
          <w:tcPr>
            <w:tcW w:w="2309" w:type="pct"/>
            <w:vAlign w:val="center"/>
          </w:tcPr>
          <w:p w14:paraId="40F0F838" w14:textId="77777777" w:rsidR="00FF6DE5" w:rsidRPr="00F56893" w:rsidRDefault="00FF6DE5" w:rsidP="00F56893">
            <w:r w:rsidRPr="00F56893">
              <w:t>Western Regional Office (WRO)</w:t>
            </w:r>
          </w:p>
        </w:tc>
        <w:tc>
          <w:tcPr>
            <w:tcW w:w="2691" w:type="pct"/>
            <w:vAlign w:val="center"/>
          </w:tcPr>
          <w:p w14:paraId="776F40E6" w14:textId="4C1C0DAD" w:rsidR="00FF6DE5" w:rsidRPr="00F56893" w:rsidRDefault="00FF6DE5" w:rsidP="00F56893">
            <w:r w:rsidRPr="00F56893">
              <w:t>Alaska, Arizona, California, Hawaii, Idaho, Nevada, Oregon, Washington</w:t>
            </w:r>
          </w:p>
        </w:tc>
      </w:tr>
    </w:tbl>
    <w:p w14:paraId="6ED2492F" w14:textId="77777777" w:rsidR="0014693A" w:rsidRPr="008E0367" w:rsidRDefault="0014693A" w:rsidP="0020370D">
      <w:pPr>
        <w:spacing w:line="480" w:lineRule="auto"/>
        <w:rPr>
          <w:b/>
          <w:i/>
          <w:szCs w:val="24"/>
        </w:rPr>
      </w:pPr>
    </w:p>
    <w:p w14:paraId="5A60172E" w14:textId="336618CD" w:rsidR="0014693A" w:rsidRPr="008E0367" w:rsidRDefault="0014693A" w:rsidP="0020370D">
      <w:pPr>
        <w:spacing w:line="480" w:lineRule="auto"/>
        <w:rPr>
          <w:b/>
          <w:i/>
          <w:szCs w:val="24"/>
        </w:rPr>
      </w:pPr>
      <w:r w:rsidRPr="008E0367">
        <w:rPr>
          <w:b/>
          <w:i/>
          <w:szCs w:val="24"/>
        </w:rPr>
        <w:t>Sites and Sponsors</w:t>
      </w:r>
    </w:p>
    <w:p w14:paraId="4D51A864" w14:textId="1058E7E9" w:rsidR="0014693A" w:rsidRPr="008E0367" w:rsidRDefault="007D6970" w:rsidP="00A9436B">
      <w:pPr>
        <w:spacing w:line="480" w:lineRule="auto"/>
        <w:ind w:firstLine="720"/>
        <w:rPr>
          <w:szCs w:val="24"/>
        </w:rPr>
      </w:pPr>
      <w:r>
        <w:rPr>
          <w:szCs w:val="24"/>
        </w:rPr>
        <w:t>The aim of this study is to select a nationally</w:t>
      </w:r>
      <w:r w:rsidR="00CD46C2">
        <w:rPr>
          <w:szCs w:val="24"/>
        </w:rPr>
        <w:t xml:space="preserve"> </w:t>
      </w:r>
      <w:r>
        <w:rPr>
          <w:szCs w:val="24"/>
        </w:rPr>
        <w:t xml:space="preserve">representative sample of summer meals sites operating in the summer of 2018. </w:t>
      </w:r>
      <w:r w:rsidR="0014693A" w:rsidRPr="008E0367">
        <w:rPr>
          <w:szCs w:val="24"/>
        </w:rPr>
        <w:t xml:space="preserve">In order to accommodate the data collection field schedule (see </w:t>
      </w:r>
      <w:r w:rsidR="0014693A" w:rsidRPr="006868DE">
        <w:rPr>
          <w:szCs w:val="24"/>
        </w:rPr>
        <w:t>Table A.16-A</w:t>
      </w:r>
      <w:r w:rsidR="0014693A" w:rsidRPr="008E0367">
        <w:rPr>
          <w:szCs w:val="24"/>
        </w:rPr>
        <w:t xml:space="preserve"> of this Supporting Statement), we will request lists of approved sponsors and sites from States at two points in time. In </w:t>
      </w:r>
      <w:r w:rsidR="006868DE">
        <w:rPr>
          <w:szCs w:val="24"/>
        </w:rPr>
        <w:t>early 2018</w:t>
      </w:r>
      <w:r w:rsidR="0014693A" w:rsidRPr="008E0367">
        <w:rPr>
          <w:szCs w:val="24"/>
        </w:rPr>
        <w:t>, we will request the 2017 list of sponsors and sites, from which the majority of the 2018 site sample will be selected</w:t>
      </w:r>
      <w:r w:rsidR="006868DE">
        <w:rPr>
          <w:szCs w:val="24"/>
        </w:rPr>
        <w:t>.</w:t>
      </w:r>
      <w:r>
        <w:rPr>
          <w:rStyle w:val="FootnoteReference"/>
          <w:szCs w:val="24"/>
        </w:rPr>
        <w:footnoteReference w:id="4"/>
      </w:r>
      <w:r w:rsidR="0014693A" w:rsidRPr="008E0367">
        <w:rPr>
          <w:szCs w:val="24"/>
        </w:rPr>
        <w:t xml:space="preserve"> Then, in June 2018, we will request the lists of new sites approved as of June 1</w:t>
      </w:r>
      <w:r w:rsidR="0014693A" w:rsidRPr="008E0367">
        <w:rPr>
          <w:szCs w:val="24"/>
          <w:vertAlign w:val="superscript"/>
        </w:rPr>
        <w:t>st</w:t>
      </w:r>
      <w:r w:rsidR="0014693A" w:rsidRPr="008E0367">
        <w:rPr>
          <w:szCs w:val="24"/>
        </w:rPr>
        <w:t>. The list of new sites will be incomplete because it will not contain sites approved by State agencies after June 1, 2018; however, because most States require sponsor applications to be submitted in April or May, we expect that the list will cover at least 75 percent of all new sites. Thus, we estimate the total coverage rate of the sample of continuing and new sites to be 91 percent of the 2018 site population.</w:t>
      </w:r>
      <w:r w:rsidR="0014693A" w:rsidRPr="008E0367">
        <w:rPr>
          <w:rStyle w:val="FootnoteReference"/>
          <w:szCs w:val="24"/>
        </w:rPr>
        <w:footnoteReference w:id="5"/>
      </w:r>
      <w:r w:rsidR="0014693A" w:rsidRPr="008E0367">
        <w:rPr>
          <w:szCs w:val="24"/>
        </w:rPr>
        <w:t xml:space="preserve"> </w:t>
      </w:r>
    </w:p>
    <w:p w14:paraId="2B18BA40" w14:textId="4973210D" w:rsidR="00594D99" w:rsidRPr="008E0367" w:rsidRDefault="001E368F" w:rsidP="00A9436B">
      <w:pPr>
        <w:spacing w:line="480" w:lineRule="auto"/>
        <w:ind w:firstLine="720"/>
        <w:rPr>
          <w:szCs w:val="24"/>
        </w:rPr>
      </w:pPr>
      <w:r w:rsidRPr="008E0367">
        <w:rPr>
          <w:szCs w:val="24"/>
        </w:rPr>
        <w:t>T</w:t>
      </w:r>
      <w:r w:rsidR="00D65F4F" w:rsidRPr="008E0367">
        <w:rPr>
          <w:szCs w:val="24"/>
        </w:rPr>
        <w:t xml:space="preserve">he precision requirements </w:t>
      </w:r>
      <w:r w:rsidR="001E39AE" w:rsidRPr="008E0367">
        <w:rPr>
          <w:szCs w:val="24"/>
        </w:rPr>
        <w:t>f</w:t>
      </w:r>
      <w:r w:rsidR="00D65F4F" w:rsidRPr="008E0367">
        <w:rPr>
          <w:szCs w:val="24"/>
        </w:rPr>
        <w:t>or</w:t>
      </w:r>
      <w:r w:rsidR="001E39AE" w:rsidRPr="008E0367">
        <w:rPr>
          <w:szCs w:val="24"/>
        </w:rPr>
        <w:t xml:space="preserve"> the overall </w:t>
      </w:r>
      <w:r w:rsidR="00D65F4F" w:rsidRPr="008E0367">
        <w:rPr>
          <w:szCs w:val="24"/>
        </w:rPr>
        <w:t xml:space="preserve">populations </w:t>
      </w:r>
      <w:r w:rsidR="001E39AE" w:rsidRPr="008E0367">
        <w:rPr>
          <w:szCs w:val="24"/>
        </w:rPr>
        <w:t>and important subgroups</w:t>
      </w:r>
      <w:r w:rsidRPr="008E0367">
        <w:rPr>
          <w:szCs w:val="24"/>
        </w:rPr>
        <w:t xml:space="preserve"> are as follows</w:t>
      </w:r>
      <w:r w:rsidR="00833513" w:rsidRPr="008E0367">
        <w:rPr>
          <w:szCs w:val="24"/>
        </w:rPr>
        <w:t xml:space="preserve">: </w:t>
      </w:r>
      <w:r w:rsidR="001E39AE" w:rsidRPr="008E0367">
        <w:rPr>
          <w:szCs w:val="24"/>
        </w:rPr>
        <w:t>5 percent margin of error</w:t>
      </w:r>
      <w:r w:rsidR="001E39AE" w:rsidRPr="008E0367">
        <w:rPr>
          <w:rStyle w:val="FootnoteReference"/>
          <w:szCs w:val="24"/>
        </w:rPr>
        <w:footnoteReference w:id="6"/>
      </w:r>
      <w:r w:rsidR="001E39AE" w:rsidRPr="008E0367">
        <w:rPr>
          <w:szCs w:val="24"/>
        </w:rPr>
        <w:t xml:space="preserve"> for overall estimates to estimate a population proportion of 50 percent and 10 percent for important subgroups.</w:t>
      </w:r>
      <w:r w:rsidR="001E39AE" w:rsidRPr="008E0367">
        <w:rPr>
          <w:rStyle w:val="FootnoteReference"/>
          <w:szCs w:val="24"/>
        </w:rPr>
        <w:footnoteReference w:id="7"/>
      </w:r>
      <w:r w:rsidR="001E39AE" w:rsidRPr="008E0367">
        <w:rPr>
          <w:szCs w:val="24"/>
        </w:rPr>
        <w:t xml:space="preserve"> Assuming a design effect of 1.5, we </w:t>
      </w:r>
      <w:r w:rsidR="00833513" w:rsidRPr="008E0367">
        <w:rPr>
          <w:szCs w:val="24"/>
        </w:rPr>
        <w:t>require</w:t>
      </w:r>
      <w:r w:rsidR="001E39AE" w:rsidRPr="008E0367">
        <w:rPr>
          <w:szCs w:val="24"/>
        </w:rPr>
        <w:t xml:space="preserve"> a site sample of 150 for each subgroup and 600 for overall SFSP sites</w:t>
      </w:r>
      <w:r w:rsidR="00FF69AA">
        <w:rPr>
          <w:szCs w:val="24"/>
        </w:rPr>
        <w:t xml:space="preserve"> (see </w:t>
      </w:r>
      <w:r w:rsidR="00FF69AA" w:rsidRPr="00A57B23">
        <w:rPr>
          <w:szCs w:val="24"/>
        </w:rPr>
        <w:fldChar w:fldCharType="begin"/>
      </w:r>
      <w:r w:rsidR="00FF69AA" w:rsidRPr="00FF69AA">
        <w:rPr>
          <w:szCs w:val="24"/>
        </w:rPr>
        <w:instrText xml:space="preserve"> REF _Ref492890978 \h </w:instrText>
      </w:r>
      <w:r w:rsidR="00FF69AA" w:rsidRPr="00FA7E24">
        <w:rPr>
          <w:szCs w:val="24"/>
        </w:rPr>
        <w:instrText xml:space="preserve"> \* MERGEFORMAT </w:instrText>
      </w:r>
      <w:r w:rsidR="00FF69AA" w:rsidRPr="00A57B23">
        <w:rPr>
          <w:szCs w:val="24"/>
        </w:rPr>
      </w:r>
      <w:r w:rsidR="00FF69AA" w:rsidRPr="00A57B23">
        <w:rPr>
          <w:szCs w:val="24"/>
        </w:rPr>
        <w:fldChar w:fldCharType="separate"/>
      </w:r>
      <w:r w:rsidR="00FD4FBC" w:rsidRPr="0075166D">
        <w:t xml:space="preserve">Table B2 - </w:t>
      </w:r>
      <w:r w:rsidR="00FD4FBC" w:rsidRPr="0075166D">
        <w:rPr>
          <w:noProof/>
        </w:rPr>
        <w:t>6</w:t>
      </w:r>
      <w:r w:rsidR="00FF69AA" w:rsidRPr="00A57B23">
        <w:rPr>
          <w:szCs w:val="24"/>
        </w:rPr>
        <w:fldChar w:fldCharType="end"/>
      </w:r>
      <w:r w:rsidR="00FF69AA">
        <w:rPr>
          <w:szCs w:val="24"/>
        </w:rPr>
        <w:t>)</w:t>
      </w:r>
      <w:r w:rsidR="001E39AE" w:rsidRPr="008E0367">
        <w:rPr>
          <w:szCs w:val="24"/>
        </w:rPr>
        <w:t xml:space="preserve">. </w:t>
      </w:r>
      <w:r w:rsidR="00594D99" w:rsidRPr="008E0367">
        <w:rPr>
          <w:szCs w:val="24"/>
        </w:rPr>
        <w:t>SFSP is</w:t>
      </w:r>
      <w:r w:rsidR="00CD46C2">
        <w:rPr>
          <w:szCs w:val="24"/>
        </w:rPr>
        <w:t xml:space="preserve"> </w:t>
      </w:r>
      <w:r w:rsidR="00594D99" w:rsidRPr="008E0367">
        <w:rPr>
          <w:szCs w:val="24"/>
        </w:rPr>
        <w:t>considered a primary group of interest, requiring precision at 5 percent</w:t>
      </w:r>
      <w:r w:rsidR="00780D9D" w:rsidRPr="008E0367">
        <w:rPr>
          <w:szCs w:val="24"/>
        </w:rPr>
        <w:t>,</w:t>
      </w:r>
      <w:r w:rsidR="00594D99" w:rsidRPr="008E0367">
        <w:rPr>
          <w:szCs w:val="24"/>
        </w:rPr>
        <w:t xml:space="preserve"> and SSO is considered a subgroup of interest, requiring pre</w:t>
      </w:r>
      <w:r w:rsidR="00F10C83" w:rsidRPr="008E0367">
        <w:rPr>
          <w:szCs w:val="24"/>
        </w:rPr>
        <w:t>c</w:t>
      </w:r>
      <w:r w:rsidR="00594D99" w:rsidRPr="008E0367">
        <w:rPr>
          <w:szCs w:val="24"/>
        </w:rPr>
        <w:t>ision at 10 percent.</w:t>
      </w:r>
    </w:p>
    <w:p w14:paraId="03C96B7E" w14:textId="763D55E6" w:rsidR="0037744B" w:rsidRPr="008E0367" w:rsidRDefault="00594D99" w:rsidP="00A9436B">
      <w:pPr>
        <w:spacing w:line="480" w:lineRule="auto"/>
        <w:ind w:firstLine="720"/>
        <w:rPr>
          <w:szCs w:val="24"/>
        </w:rPr>
      </w:pPr>
      <w:r w:rsidRPr="008E0367">
        <w:rPr>
          <w:szCs w:val="24"/>
        </w:rPr>
        <w:t xml:space="preserve">To select sites, we </w:t>
      </w:r>
      <w:r w:rsidR="008630DE" w:rsidRPr="008E0367">
        <w:rPr>
          <w:szCs w:val="24"/>
        </w:rPr>
        <w:t xml:space="preserve">will first </w:t>
      </w:r>
      <w:r w:rsidRPr="008E0367">
        <w:rPr>
          <w:szCs w:val="24"/>
        </w:rPr>
        <w:t>stratify by the</w:t>
      </w:r>
      <w:r w:rsidR="00AF3E8D" w:rsidRPr="008E0367">
        <w:rPr>
          <w:szCs w:val="24"/>
        </w:rPr>
        <w:t xml:space="preserve"> </w:t>
      </w:r>
      <w:r w:rsidRPr="008E0367">
        <w:rPr>
          <w:szCs w:val="24"/>
        </w:rPr>
        <w:t>sites’</w:t>
      </w:r>
      <w:r w:rsidR="00AF3E8D" w:rsidRPr="008E0367">
        <w:rPr>
          <w:szCs w:val="24"/>
        </w:rPr>
        <w:t xml:space="preserve"> continuing status </w:t>
      </w:r>
      <w:r w:rsidRPr="008E0367">
        <w:rPr>
          <w:szCs w:val="24"/>
        </w:rPr>
        <w:t>(i.e., continuing unit or new)</w:t>
      </w:r>
      <w:r w:rsidR="0037744B" w:rsidRPr="008E0367">
        <w:rPr>
          <w:szCs w:val="24"/>
        </w:rPr>
        <w:t xml:space="preserve">, then by </w:t>
      </w:r>
      <w:r w:rsidRPr="008E0367">
        <w:rPr>
          <w:szCs w:val="24"/>
        </w:rPr>
        <w:t>program type (SFSP vs. SSO). Finally, w</w:t>
      </w:r>
      <w:r w:rsidR="001E39AE" w:rsidRPr="008E0367">
        <w:rPr>
          <w:szCs w:val="24"/>
        </w:rPr>
        <w:t xml:space="preserve">e will </w:t>
      </w:r>
      <w:r w:rsidR="00C764D3">
        <w:rPr>
          <w:szCs w:val="24"/>
        </w:rPr>
        <w:t xml:space="preserve">further </w:t>
      </w:r>
      <w:r w:rsidR="001E39AE" w:rsidRPr="008E0367">
        <w:rPr>
          <w:szCs w:val="24"/>
        </w:rPr>
        <w:t xml:space="preserve">stratify </w:t>
      </w:r>
      <w:r w:rsidR="00C764D3">
        <w:rPr>
          <w:szCs w:val="24"/>
        </w:rPr>
        <w:t xml:space="preserve">only SFSP sites </w:t>
      </w:r>
      <w:r w:rsidR="001E39AE" w:rsidRPr="008E0367">
        <w:rPr>
          <w:szCs w:val="24"/>
        </w:rPr>
        <w:t>by the site type (open vs. closed)</w:t>
      </w:r>
      <w:r w:rsidR="00D65F4F" w:rsidRPr="008E0367">
        <w:rPr>
          <w:szCs w:val="24"/>
        </w:rPr>
        <w:t xml:space="preserve"> and other subgroup defining variables</w:t>
      </w:r>
      <w:r w:rsidR="001E39AE" w:rsidRPr="008E0367">
        <w:rPr>
          <w:szCs w:val="24"/>
        </w:rPr>
        <w:t xml:space="preserve">. The </w:t>
      </w:r>
      <w:r w:rsidR="0037744B" w:rsidRPr="008E0367">
        <w:rPr>
          <w:szCs w:val="24"/>
        </w:rPr>
        <w:t xml:space="preserve">target </w:t>
      </w:r>
      <w:r w:rsidR="001E39AE" w:rsidRPr="008E0367">
        <w:rPr>
          <w:szCs w:val="24"/>
        </w:rPr>
        <w:t xml:space="preserve">site sample size is 750, which is the sum of 600 SFSP sites and 150 SSO sites. </w:t>
      </w:r>
      <w:r w:rsidR="00637645" w:rsidRPr="00637645">
        <w:rPr>
          <w:szCs w:val="24"/>
        </w:rPr>
        <w:fldChar w:fldCharType="begin"/>
      </w:r>
      <w:r w:rsidR="00637645" w:rsidRPr="00637645">
        <w:rPr>
          <w:szCs w:val="24"/>
        </w:rPr>
        <w:instrText xml:space="preserve"> REF _Ref492890684 \h  \* MERGEFORMAT </w:instrText>
      </w:r>
      <w:r w:rsidR="00637645" w:rsidRPr="00637645">
        <w:rPr>
          <w:szCs w:val="24"/>
        </w:rPr>
      </w:r>
      <w:r w:rsidR="00637645" w:rsidRPr="00637645">
        <w:rPr>
          <w:szCs w:val="24"/>
        </w:rPr>
        <w:fldChar w:fldCharType="separate"/>
      </w:r>
      <w:r w:rsidR="00FD4FBC" w:rsidRPr="0075166D">
        <w:t xml:space="preserve">Table B1 - </w:t>
      </w:r>
      <w:r w:rsidR="00FD4FBC" w:rsidRPr="0075166D">
        <w:rPr>
          <w:noProof/>
        </w:rPr>
        <w:t>2</w:t>
      </w:r>
      <w:r w:rsidR="00637645" w:rsidRPr="00637645">
        <w:rPr>
          <w:szCs w:val="24"/>
        </w:rPr>
        <w:fldChar w:fldCharType="end"/>
      </w:r>
      <w:r w:rsidR="00637645" w:rsidRPr="00637645">
        <w:rPr>
          <w:szCs w:val="24"/>
        </w:rPr>
        <w:t xml:space="preserve"> </w:t>
      </w:r>
      <w:r w:rsidR="001E39AE" w:rsidRPr="008E0367">
        <w:rPr>
          <w:szCs w:val="24"/>
        </w:rPr>
        <w:t xml:space="preserve">shows the sample allocation </w:t>
      </w:r>
      <w:r w:rsidR="00D65F4F" w:rsidRPr="008E0367">
        <w:rPr>
          <w:szCs w:val="24"/>
        </w:rPr>
        <w:t xml:space="preserve">for the site sample </w:t>
      </w:r>
      <w:r w:rsidR="003610D2" w:rsidRPr="008E0367">
        <w:rPr>
          <w:szCs w:val="24"/>
        </w:rPr>
        <w:t xml:space="preserve">to the overarching strata defined by the continuing status and the program type </w:t>
      </w:r>
      <w:r w:rsidR="001E39AE" w:rsidRPr="008E0367">
        <w:rPr>
          <w:szCs w:val="24"/>
        </w:rPr>
        <w:t>along with the estimated population size</w:t>
      </w:r>
      <w:r w:rsidR="00A274EC">
        <w:rPr>
          <w:rStyle w:val="FootnoteReference"/>
          <w:szCs w:val="24"/>
        </w:rPr>
        <w:footnoteReference w:id="8"/>
      </w:r>
      <w:r w:rsidR="001E39AE" w:rsidRPr="008E0367">
        <w:rPr>
          <w:szCs w:val="24"/>
        </w:rPr>
        <w:t xml:space="preserve">. </w:t>
      </w:r>
      <w:r w:rsidR="00B75C3A">
        <w:rPr>
          <w:szCs w:val="24"/>
        </w:rPr>
        <w:t>Based on the response rate realized for a survey on the SFSP program</w:t>
      </w:r>
      <w:r w:rsidR="00A274EC">
        <w:rPr>
          <w:rStyle w:val="FootnoteReference"/>
          <w:szCs w:val="24"/>
        </w:rPr>
        <w:footnoteReference w:id="9"/>
      </w:r>
      <w:r w:rsidR="00B75C3A">
        <w:rPr>
          <w:szCs w:val="24"/>
        </w:rPr>
        <w:t xml:space="preserve">, we </w:t>
      </w:r>
      <w:r w:rsidR="00F054DD">
        <w:rPr>
          <w:szCs w:val="24"/>
        </w:rPr>
        <w:t>assume</w:t>
      </w:r>
      <w:r w:rsidR="00B75C3A">
        <w:rPr>
          <w:szCs w:val="24"/>
        </w:rPr>
        <w:t xml:space="preserve"> a 75% response rate</w:t>
      </w:r>
      <w:r w:rsidR="00BF377B" w:rsidRPr="008E0367">
        <w:rPr>
          <w:szCs w:val="24"/>
        </w:rPr>
        <w:t xml:space="preserve"> for</w:t>
      </w:r>
      <w:r w:rsidR="007F3D80">
        <w:rPr>
          <w:szCs w:val="24"/>
        </w:rPr>
        <w:t xml:space="preserve"> both new and continuing</w:t>
      </w:r>
      <w:r w:rsidR="00BF377B" w:rsidRPr="008E0367">
        <w:rPr>
          <w:szCs w:val="24"/>
        </w:rPr>
        <w:t xml:space="preserve"> sites</w:t>
      </w:r>
      <w:r w:rsidR="00B75C3A">
        <w:rPr>
          <w:szCs w:val="24"/>
        </w:rPr>
        <w:t>.</w:t>
      </w:r>
      <w:r w:rsidR="00863154" w:rsidRPr="008E0367">
        <w:rPr>
          <w:szCs w:val="24"/>
        </w:rPr>
        <w:t xml:space="preserve"> </w:t>
      </w:r>
      <w:r w:rsidR="00B75C3A">
        <w:rPr>
          <w:szCs w:val="24"/>
        </w:rPr>
        <w:t xml:space="preserve">However, we </w:t>
      </w:r>
      <w:r w:rsidR="00457964">
        <w:rPr>
          <w:szCs w:val="24"/>
        </w:rPr>
        <w:t>will</w:t>
      </w:r>
      <w:r w:rsidR="00B75C3A">
        <w:rPr>
          <w:szCs w:val="24"/>
        </w:rPr>
        <w:t xml:space="preserve"> contact their sponsors first to secure </w:t>
      </w:r>
      <w:r w:rsidR="00E545A3">
        <w:rPr>
          <w:szCs w:val="24"/>
        </w:rPr>
        <w:t>their current stat</w:t>
      </w:r>
      <w:r w:rsidR="00457964">
        <w:rPr>
          <w:szCs w:val="24"/>
        </w:rPr>
        <w:t>us</w:t>
      </w:r>
      <w:r w:rsidR="00E545A3">
        <w:rPr>
          <w:szCs w:val="24"/>
        </w:rPr>
        <w:t xml:space="preserve"> and expect to lose some sites due to their lack of cooperation. Therefore, we lower the site response rate to 70%.</w:t>
      </w:r>
      <w:r w:rsidR="00863154" w:rsidRPr="008E0367">
        <w:rPr>
          <w:szCs w:val="24"/>
        </w:rPr>
        <w:t xml:space="preserve"> </w:t>
      </w:r>
      <w:r w:rsidR="006837B0">
        <w:rPr>
          <w:szCs w:val="24"/>
        </w:rPr>
        <w:t>The</w:t>
      </w:r>
      <w:r w:rsidR="00E545A3">
        <w:rPr>
          <w:szCs w:val="24"/>
        </w:rPr>
        <w:t>n</w:t>
      </w:r>
      <w:r w:rsidR="006837B0">
        <w:rPr>
          <w:szCs w:val="24"/>
        </w:rPr>
        <w:t>, t</w:t>
      </w:r>
      <w:r w:rsidR="00BF377B" w:rsidRPr="008E0367">
        <w:rPr>
          <w:szCs w:val="24"/>
        </w:rPr>
        <w:t xml:space="preserve">he overall response rate for continuing sites is </w:t>
      </w:r>
      <w:r w:rsidR="00105DA9">
        <w:rPr>
          <w:szCs w:val="24"/>
        </w:rPr>
        <w:t>4</w:t>
      </w:r>
      <w:r w:rsidR="00E545A3">
        <w:rPr>
          <w:szCs w:val="24"/>
        </w:rPr>
        <w:t>5</w:t>
      </w:r>
      <w:r w:rsidR="00105DA9" w:rsidRPr="008E0367">
        <w:rPr>
          <w:szCs w:val="24"/>
        </w:rPr>
        <w:t xml:space="preserve"> </w:t>
      </w:r>
      <w:r w:rsidR="00BF377B" w:rsidRPr="008E0367">
        <w:rPr>
          <w:szCs w:val="24"/>
        </w:rPr>
        <w:t>percent</w:t>
      </w:r>
      <w:r w:rsidR="00831C66" w:rsidRPr="008E0367">
        <w:rPr>
          <w:szCs w:val="24"/>
        </w:rPr>
        <w:t>, which</w:t>
      </w:r>
      <w:r w:rsidR="00BF377B" w:rsidRPr="008E0367">
        <w:rPr>
          <w:szCs w:val="24"/>
        </w:rPr>
        <w:t xml:space="preserve"> </w:t>
      </w:r>
      <w:r w:rsidR="00831C66" w:rsidRPr="008E0367">
        <w:rPr>
          <w:szCs w:val="24"/>
        </w:rPr>
        <w:t xml:space="preserve">accounts for </w:t>
      </w:r>
      <w:r w:rsidR="00BF377B" w:rsidRPr="008E0367">
        <w:rPr>
          <w:szCs w:val="24"/>
        </w:rPr>
        <w:t xml:space="preserve">both the </w:t>
      </w:r>
      <w:r w:rsidR="006837B0">
        <w:rPr>
          <w:szCs w:val="24"/>
        </w:rPr>
        <w:t>percentage of sites expected to continue operating in 2018 (</w:t>
      </w:r>
      <w:r w:rsidR="00D27B6C" w:rsidRPr="008E0367">
        <w:rPr>
          <w:szCs w:val="24"/>
        </w:rPr>
        <w:t>64 percent</w:t>
      </w:r>
      <w:r w:rsidR="006837B0">
        <w:rPr>
          <w:szCs w:val="24"/>
        </w:rPr>
        <w:t>)</w:t>
      </w:r>
      <w:r w:rsidR="00D27B6C" w:rsidRPr="008E0367">
        <w:rPr>
          <w:szCs w:val="24"/>
        </w:rPr>
        <w:t xml:space="preserve"> </w:t>
      </w:r>
      <w:r w:rsidR="00BF377B" w:rsidRPr="00FA7E24">
        <w:rPr>
          <w:i/>
          <w:szCs w:val="24"/>
        </w:rPr>
        <w:t>and</w:t>
      </w:r>
      <w:r w:rsidR="00BF377B" w:rsidRPr="008E0367">
        <w:rPr>
          <w:szCs w:val="24"/>
        </w:rPr>
        <w:t xml:space="preserve"> </w:t>
      </w:r>
      <w:r w:rsidR="00D27B6C" w:rsidRPr="008E0367">
        <w:rPr>
          <w:szCs w:val="24"/>
        </w:rPr>
        <w:t xml:space="preserve">the assumed </w:t>
      </w:r>
      <w:r w:rsidR="00BF377B" w:rsidRPr="008E0367">
        <w:rPr>
          <w:szCs w:val="24"/>
        </w:rPr>
        <w:t>response rate</w:t>
      </w:r>
      <w:r w:rsidR="00D27B6C" w:rsidRPr="008E0367">
        <w:rPr>
          <w:szCs w:val="24"/>
        </w:rPr>
        <w:t xml:space="preserve"> of </w:t>
      </w:r>
      <w:r w:rsidR="007F7847">
        <w:rPr>
          <w:szCs w:val="24"/>
        </w:rPr>
        <w:t>7</w:t>
      </w:r>
      <w:r w:rsidR="00E545A3">
        <w:rPr>
          <w:szCs w:val="24"/>
        </w:rPr>
        <w:t>0</w:t>
      </w:r>
      <w:r w:rsidR="00D27B6C" w:rsidRPr="008E0367">
        <w:rPr>
          <w:szCs w:val="24"/>
        </w:rPr>
        <w:t xml:space="preserve"> percent</w:t>
      </w:r>
      <w:r w:rsidR="00863154" w:rsidRPr="008E0367">
        <w:rPr>
          <w:szCs w:val="24"/>
        </w:rPr>
        <w:t xml:space="preserve">. </w:t>
      </w:r>
    </w:p>
    <w:p w14:paraId="1B1D6912" w14:textId="0C48FABA" w:rsidR="00340A25" w:rsidRPr="008E0367" w:rsidRDefault="00340A25" w:rsidP="00A9436B">
      <w:pPr>
        <w:spacing w:line="480" w:lineRule="auto"/>
        <w:ind w:firstLine="720"/>
        <w:rPr>
          <w:szCs w:val="24"/>
        </w:rPr>
      </w:pPr>
      <w:r w:rsidRPr="008E0367">
        <w:rPr>
          <w:szCs w:val="24"/>
        </w:rPr>
        <w:t xml:space="preserve">To reach the target respondent sample size of 525 continuing sites (assuming an overall response rate of </w:t>
      </w:r>
      <w:r w:rsidR="00105DA9">
        <w:rPr>
          <w:szCs w:val="24"/>
        </w:rPr>
        <w:t>4</w:t>
      </w:r>
      <w:r w:rsidR="00E545A3">
        <w:rPr>
          <w:szCs w:val="24"/>
        </w:rPr>
        <w:t>5</w:t>
      </w:r>
      <w:r w:rsidRPr="008E0367">
        <w:rPr>
          <w:szCs w:val="24"/>
        </w:rPr>
        <w:t>%), we will need an initial sample of 1,</w:t>
      </w:r>
      <w:r w:rsidR="006B4559">
        <w:rPr>
          <w:szCs w:val="24"/>
        </w:rPr>
        <w:t>168</w:t>
      </w:r>
      <w:r w:rsidRPr="008E0367">
        <w:rPr>
          <w:szCs w:val="24"/>
        </w:rPr>
        <w:t xml:space="preserve"> continuing sites. To obtain 225 respondent new sites, we will need an initial sample of </w:t>
      </w:r>
      <w:r w:rsidR="00D54BAD">
        <w:rPr>
          <w:szCs w:val="24"/>
        </w:rPr>
        <w:t>3</w:t>
      </w:r>
      <w:r w:rsidR="008409B7">
        <w:rPr>
          <w:szCs w:val="24"/>
        </w:rPr>
        <w:t>21</w:t>
      </w:r>
      <w:r w:rsidRPr="008E0367">
        <w:rPr>
          <w:szCs w:val="24"/>
        </w:rPr>
        <w:t xml:space="preserve"> new sites, assuming a </w:t>
      </w:r>
      <w:r w:rsidR="007F7847">
        <w:rPr>
          <w:szCs w:val="24"/>
        </w:rPr>
        <w:t>7</w:t>
      </w:r>
      <w:r w:rsidR="00E545A3">
        <w:rPr>
          <w:szCs w:val="24"/>
        </w:rPr>
        <w:t>0</w:t>
      </w:r>
      <w:r w:rsidR="007F7847" w:rsidRPr="008E0367">
        <w:rPr>
          <w:szCs w:val="24"/>
        </w:rPr>
        <w:t xml:space="preserve"> </w:t>
      </w:r>
      <w:r w:rsidRPr="008E0367">
        <w:rPr>
          <w:szCs w:val="24"/>
        </w:rPr>
        <w:t>percent response rate. The total field sample size is then 1,</w:t>
      </w:r>
      <w:r w:rsidR="00E545A3">
        <w:rPr>
          <w:szCs w:val="24"/>
        </w:rPr>
        <w:t>489</w:t>
      </w:r>
      <w:r w:rsidRPr="008E0367">
        <w:rPr>
          <w:szCs w:val="24"/>
        </w:rPr>
        <w:t>.</w:t>
      </w:r>
    </w:p>
    <w:p w14:paraId="67BB87FB" w14:textId="4A9D7BD3" w:rsidR="001E39AE" w:rsidRPr="008E0367" w:rsidRDefault="00B760CB" w:rsidP="00B760CB">
      <w:pPr>
        <w:pStyle w:val="Caption"/>
        <w:rPr>
          <w:b/>
          <w:szCs w:val="24"/>
        </w:rPr>
      </w:pPr>
      <w:bookmarkStart w:id="15" w:name="_Ref492890684"/>
      <w:bookmarkStart w:id="16" w:name="_Ref492891038"/>
      <w:bookmarkStart w:id="17" w:name="_Toc505263874"/>
      <w:r w:rsidRPr="00B760CB">
        <w:rPr>
          <w:b/>
        </w:rPr>
        <w:t xml:space="preserve">Table B1 - </w:t>
      </w:r>
      <w:r w:rsidR="006B03DC">
        <w:rPr>
          <w:b/>
        </w:rPr>
        <w:fldChar w:fldCharType="begin"/>
      </w:r>
      <w:r w:rsidR="006B03DC">
        <w:rPr>
          <w:b/>
        </w:rPr>
        <w:instrText xml:space="preserve"> SEQ Table_B1_-_ \* ARABIC </w:instrText>
      </w:r>
      <w:r w:rsidR="006B03DC">
        <w:rPr>
          <w:b/>
        </w:rPr>
        <w:fldChar w:fldCharType="separate"/>
      </w:r>
      <w:r w:rsidR="00FD4FBC">
        <w:rPr>
          <w:b/>
          <w:noProof/>
        </w:rPr>
        <w:t>2</w:t>
      </w:r>
      <w:r w:rsidR="006B03DC">
        <w:rPr>
          <w:b/>
        </w:rPr>
        <w:fldChar w:fldCharType="end"/>
      </w:r>
      <w:bookmarkEnd w:id="15"/>
      <w:r w:rsidRPr="00B760CB">
        <w:rPr>
          <w:b/>
        </w:rPr>
        <w:t>.</w:t>
      </w:r>
      <w:r>
        <w:t xml:space="preserve"> </w:t>
      </w:r>
      <w:r w:rsidR="001E39AE" w:rsidRPr="008E0367">
        <w:rPr>
          <w:b/>
          <w:szCs w:val="24"/>
        </w:rPr>
        <w:t xml:space="preserve">Site </w:t>
      </w:r>
      <w:r w:rsidR="00F11837" w:rsidRPr="008E0367">
        <w:rPr>
          <w:b/>
          <w:szCs w:val="24"/>
        </w:rPr>
        <w:t xml:space="preserve">Population Size and </w:t>
      </w:r>
      <w:r w:rsidR="001E39AE" w:rsidRPr="008E0367">
        <w:rPr>
          <w:b/>
          <w:szCs w:val="24"/>
        </w:rPr>
        <w:t>Sample Allocation</w:t>
      </w:r>
      <w:r w:rsidR="00F11837" w:rsidRPr="008E0367">
        <w:rPr>
          <w:b/>
          <w:szCs w:val="24"/>
        </w:rPr>
        <w:t xml:space="preserve"> by Program Type</w:t>
      </w:r>
      <w:r w:rsidR="00400361" w:rsidRPr="008E0367">
        <w:rPr>
          <w:b/>
          <w:szCs w:val="24"/>
        </w:rPr>
        <w:t xml:space="preserve"> for Respondent States</w:t>
      </w:r>
      <w:bookmarkEnd w:id="16"/>
      <w:bookmarkEnd w:id="17"/>
    </w:p>
    <w:tbl>
      <w:tblPr>
        <w:tblW w:w="9360" w:type="dxa"/>
        <w:tblLayout w:type="fixed"/>
        <w:tblLook w:val="04A0" w:firstRow="1" w:lastRow="0" w:firstColumn="1" w:lastColumn="0" w:noHBand="0" w:noVBand="1"/>
      </w:tblPr>
      <w:tblGrid>
        <w:gridCol w:w="1170"/>
        <w:gridCol w:w="900"/>
        <w:gridCol w:w="900"/>
        <w:gridCol w:w="900"/>
        <w:gridCol w:w="990"/>
        <w:gridCol w:w="1260"/>
        <w:gridCol w:w="1080"/>
        <w:gridCol w:w="1080"/>
        <w:gridCol w:w="1080"/>
      </w:tblGrid>
      <w:tr w:rsidR="00343DCA" w:rsidRPr="008E0367" w14:paraId="2E0AB8F5" w14:textId="77777777" w:rsidTr="00FA7E24">
        <w:trPr>
          <w:trHeight w:val="213"/>
        </w:trPr>
        <w:tc>
          <w:tcPr>
            <w:tcW w:w="1170" w:type="dxa"/>
            <w:vMerge w:val="restart"/>
            <w:tcBorders>
              <w:top w:val="single" w:sz="4" w:space="0" w:color="auto"/>
              <w:left w:val="nil"/>
              <w:right w:val="nil"/>
            </w:tcBorders>
            <w:shd w:val="clear" w:color="auto" w:fill="B8CCE4" w:themeFill="accent1" w:themeFillTint="66"/>
            <w:noWrap/>
            <w:vAlign w:val="center"/>
            <w:hideMark/>
          </w:tcPr>
          <w:p w14:paraId="205C914F" w14:textId="77777777" w:rsidR="00F73CE0" w:rsidRPr="008E0367" w:rsidRDefault="00F73CE0" w:rsidP="004B3DA3">
            <w:pPr>
              <w:jc w:val="center"/>
              <w:rPr>
                <w:b/>
                <w:color w:val="000000"/>
                <w:szCs w:val="24"/>
                <w:lang w:eastAsia="ko-KR"/>
              </w:rPr>
            </w:pPr>
            <w:r w:rsidRPr="008E0367">
              <w:rPr>
                <w:b/>
                <w:color w:val="000000"/>
                <w:szCs w:val="24"/>
                <w:lang w:eastAsia="ko-KR"/>
              </w:rPr>
              <w:t>Program Type</w:t>
            </w:r>
          </w:p>
        </w:tc>
        <w:tc>
          <w:tcPr>
            <w:tcW w:w="900" w:type="dxa"/>
            <w:vMerge w:val="restart"/>
            <w:tcBorders>
              <w:top w:val="single" w:sz="4" w:space="0" w:color="auto"/>
              <w:left w:val="nil"/>
              <w:right w:val="nil"/>
            </w:tcBorders>
            <w:shd w:val="clear" w:color="auto" w:fill="B8CCE4" w:themeFill="accent1" w:themeFillTint="66"/>
            <w:vAlign w:val="center"/>
          </w:tcPr>
          <w:p w14:paraId="1A3F5779" w14:textId="348EAAF9" w:rsidR="00F73CE0" w:rsidRPr="008E0367" w:rsidRDefault="00F73CE0" w:rsidP="004B3DA3">
            <w:pPr>
              <w:jc w:val="center"/>
              <w:rPr>
                <w:b/>
                <w:color w:val="000000"/>
                <w:szCs w:val="24"/>
                <w:lang w:eastAsia="ko-KR"/>
              </w:rPr>
            </w:pPr>
            <w:r w:rsidRPr="008E0367">
              <w:rPr>
                <w:b/>
                <w:color w:val="000000"/>
                <w:szCs w:val="24"/>
                <w:lang w:eastAsia="ko-KR"/>
              </w:rPr>
              <w:t>Pop Size</w:t>
            </w:r>
          </w:p>
        </w:tc>
        <w:tc>
          <w:tcPr>
            <w:tcW w:w="900" w:type="dxa"/>
            <w:vMerge w:val="restart"/>
            <w:tcBorders>
              <w:top w:val="single" w:sz="4" w:space="0" w:color="auto"/>
              <w:left w:val="nil"/>
              <w:right w:val="nil"/>
            </w:tcBorders>
            <w:shd w:val="clear" w:color="auto" w:fill="B8CCE4" w:themeFill="accent1" w:themeFillTint="66"/>
            <w:vAlign w:val="center"/>
          </w:tcPr>
          <w:p w14:paraId="0B0B7349" w14:textId="26216636" w:rsidR="00F73CE0" w:rsidRPr="008E0367" w:rsidRDefault="00F73CE0" w:rsidP="004B3DA3">
            <w:pPr>
              <w:jc w:val="center"/>
              <w:rPr>
                <w:b/>
                <w:color w:val="000000"/>
                <w:szCs w:val="24"/>
                <w:lang w:eastAsia="ko-KR"/>
              </w:rPr>
            </w:pPr>
            <w:r w:rsidRPr="008E0367">
              <w:rPr>
                <w:b/>
                <w:color w:val="000000"/>
                <w:szCs w:val="24"/>
                <w:lang w:eastAsia="ko-KR"/>
              </w:rPr>
              <w:t>Cont Site</w:t>
            </w:r>
          </w:p>
        </w:tc>
        <w:tc>
          <w:tcPr>
            <w:tcW w:w="900" w:type="dxa"/>
            <w:vMerge w:val="restart"/>
            <w:tcBorders>
              <w:top w:val="single" w:sz="4" w:space="0" w:color="auto"/>
              <w:left w:val="nil"/>
              <w:right w:val="nil"/>
            </w:tcBorders>
            <w:shd w:val="clear" w:color="auto" w:fill="B8CCE4" w:themeFill="accent1" w:themeFillTint="66"/>
            <w:noWrap/>
            <w:vAlign w:val="center"/>
            <w:hideMark/>
          </w:tcPr>
          <w:p w14:paraId="51525F15" w14:textId="3AC5BCB7" w:rsidR="00F73CE0" w:rsidRPr="008E0367" w:rsidRDefault="00F73CE0" w:rsidP="004B3DA3">
            <w:pPr>
              <w:jc w:val="center"/>
              <w:rPr>
                <w:b/>
                <w:color w:val="000000"/>
                <w:szCs w:val="24"/>
                <w:lang w:eastAsia="ko-KR"/>
              </w:rPr>
            </w:pPr>
            <w:r w:rsidRPr="008E0367">
              <w:rPr>
                <w:b/>
                <w:color w:val="000000"/>
                <w:szCs w:val="24"/>
                <w:lang w:eastAsia="ko-KR"/>
              </w:rPr>
              <w:t>New Site</w:t>
            </w:r>
          </w:p>
        </w:tc>
        <w:tc>
          <w:tcPr>
            <w:tcW w:w="990" w:type="dxa"/>
            <w:vMerge w:val="restart"/>
            <w:tcBorders>
              <w:top w:val="single" w:sz="4" w:space="0" w:color="auto"/>
              <w:left w:val="nil"/>
              <w:right w:val="nil"/>
            </w:tcBorders>
            <w:shd w:val="clear" w:color="auto" w:fill="B8CCE4" w:themeFill="accent1" w:themeFillTint="66"/>
            <w:noWrap/>
            <w:vAlign w:val="center"/>
            <w:hideMark/>
          </w:tcPr>
          <w:p w14:paraId="60167EDF" w14:textId="573C9032" w:rsidR="00F73CE0" w:rsidRPr="008E0367" w:rsidRDefault="00F73CE0" w:rsidP="004B3DA3">
            <w:pPr>
              <w:jc w:val="center"/>
              <w:rPr>
                <w:b/>
                <w:color w:val="000000"/>
                <w:szCs w:val="24"/>
                <w:lang w:eastAsia="ko-KR"/>
              </w:rPr>
            </w:pPr>
            <w:r w:rsidRPr="008E0367">
              <w:rPr>
                <w:b/>
                <w:color w:val="000000"/>
                <w:szCs w:val="24"/>
                <w:lang w:eastAsia="ko-KR"/>
              </w:rPr>
              <w:t>Target Sample</w:t>
            </w:r>
          </w:p>
        </w:tc>
        <w:tc>
          <w:tcPr>
            <w:tcW w:w="1260" w:type="dxa"/>
            <w:vMerge w:val="restart"/>
            <w:tcBorders>
              <w:top w:val="single" w:sz="4" w:space="0" w:color="auto"/>
              <w:left w:val="nil"/>
              <w:right w:val="nil"/>
            </w:tcBorders>
            <w:shd w:val="clear" w:color="auto" w:fill="B8CCE4" w:themeFill="accent1" w:themeFillTint="66"/>
            <w:noWrap/>
            <w:vAlign w:val="center"/>
            <w:hideMark/>
          </w:tcPr>
          <w:p w14:paraId="5A0E0D79" w14:textId="1AD12660" w:rsidR="00F73CE0" w:rsidRPr="008E0367" w:rsidRDefault="00F73CE0" w:rsidP="004B3DA3">
            <w:pPr>
              <w:jc w:val="center"/>
              <w:rPr>
                <w:b/>
                <w:color w:val="000000"/>
                <w:szCs w:val="24"/>
                <w:lang w:eastAsia="ko-KR"/>
              </w:rPr>
            </w:pPr>
            <w:r w:rsidRPr="008E0367">
              <w:rPr>
                <w:b/>
                <w:color w:val="000000"/>
                <w:szCs w:val="24"/>
                <w:lang w:eastAsia="ko-KR"/>
              </w:rPr>
              <w:t>Response Rate</w:t>
            </w:r>
            <w:r w:rsidRPr="008E0367">
              <w:rPr>
                <w:b/>
                <w:color w:val="000000"/>
                <w:szCs w:val="24"/>
                <w:vertAlign w:val="superscript"/>
                <w:lang w:eastAsia="ko-KR"/>
              </w:rPr>
              <w:t>1</w:t>
            </w:r>
          </w:p>
        </w:tc>
        <w:tc>
          <w:tcPr>
            <w:tcW w:w="3240" w:type="dxa"/>
            <w:gridSpan w:val="3"/>
            <w:tcBorders>
              <w:top w:val="single" w:sz="4" w:space="0" w:color="auto"/>
              <w:left w:val="nil"/>
              <w:bottom w:val="single" w:sz="4" w:space="0" w:color="auto"/>
              <w:right w:val="nil"/>
            </w:tcBorders>
            <w:shd w:val="clear" w:color="auto" w:fill="B8CCE4" w:themeFill="accent1" w:themeFillTint="66"/>
            <w:vAlign w:val="center"/>
          </w:tcPr>
          <w:p w14:paraId="57247E36" w14:textId="77777777" w:rsidR="00F73CE0" w:rsidRPr="008E0367" w:rsidRDefault="00F73CE0" w:rsidP="004B3DA3">
            <w:pPr>
              <w:jc w:val="center"/>
              <w:rPr>
                <w:b/>
                <w:color w:val="000000"/>
                <w:szCs w:val="24"/>
                <w:lang w:eastAsia="ko-KR"/>
              </w:rPr>
            </w:pPr>
            <w:r w:rsidRPr="008E0367">
              <w:rPr>
                <w:b/>
                <w:color w:val="000000"/>
                <w:szCs w:val="24"/>
                <w:lang w:eastAsia="ko-KR"/>
              </w:rPr>
              <w:t>Field Sample</w:t>
            </w:r>
          </w:p>
        </w:tc>
      </w:tr>
      <w:tr w:rsidR="00343DCA" w:rsidRPr="008E0367" w14:paraId="15839BE2" w14:textId="77777777" w:rsidTr="00FA7E24">
        <w:trPr>
          <w:trHeight w:val="213"/>
        </w:trPr>
        <w:tc>
          <w:tcPr>
            <w:tcW w:w="1170" w:type="dxa"/>
            <w:vMerge/>
            <w:tcBorders>
              <w:left w:val="nil"/>
              <w:bottom w:val="single" w:sz="4" w:space="0" w:color="auto"/>
              <w:right w:val="nil"/>
            </w:tcBorders>
            <w:shd w:val="clear" w:color="auto" w:fill="B8CCE4" w:themeFill="accent1" w:themeFillTint="66"/>
            <w:noWrap/>
            <w:vAlign w:val="center"/>
          </w:tcPr>
          <w:p w14:paraId="0B547C0C" w14:textId="77777777" w:rsidR="00F73CE0" w:rsidRPr="008E0367" w:rsidRDefault="00F73CE0" w:rsidP="004B3DA3">
            <w:pPr>
              <w:jc w:val="center"/>
              <w:rPr>
                <w:b/>
                <w:color w:val="000000"/>
                <w:szCs w:val="24"/>
                <w:lang w:eastAsia="ko-KR"/>
              </w:rPr>
            </w:pPr>
          </w:p>
        </w:tc>
        <w:tc>
          <w:tcPr>
            <w:tcW w:w="900" w:type="dxa"/>
            <w:vMerge/>
            <w:tcBorders>
              <w:left w:val="nil"/>
              <w:bottom w:val="single" w:sz="4" w:space="0" w:color="auto"/>
              <w:right w:val="nil"/>
            </w:tcBorders>
            <w:shd w:val="clear" w:color="auto" w:fill="B8CCE4" w:themeFill="accent1" w:themeFillTint="66"/>
            <w:vAlign w:val="center"/>
          </w:tcPr>
          <w:p w14:paraId="4327A11D" w14:textId="77777777" w:rsidR="00F73CE0" w:rsidRPr="008E0367" w:rsidRDefault="00F73CE0" w:rsidP="004B3DA3">
            <w:pPr>
              <w:jc w:val="center"/>
              <w:rPr>
                <w:b/>
                <w:color w:val="000000"/>
                <w:szCs w:val="24"/>
                <w:lang w:eastAsia="ko-KR"/>
              </w:rPr>
            </w:pPr>
          </w:p>
        </w:tc>
        <w:tc>
          <w:tcPr>
            <w:tcW w:w="900" w:type="dxa"/>
            <w:vMerge/>
            <w:tcBorders>
              <w:left w:val="nil"/>
              <w:bottom w:val="single" w:sz="4" w:space="0" w:color="auto"/>
              <w:right w:val="nil"/>
            </w:tcBorders>
            <w:shd w:val="clear" w:color="auto" w:fill="B8CCE4" w:themeFill="accent1" w:themeFillTint="66"/>
            <w:vAlign w:val="center"/>
          </w:tcPr>
          <w:p w14:paraId="625CBDAF" w14:textId="77777777" w:rsidR="00F73CE0" w:rsidRPr="008E0367" w:rsidRDefault="00F73CE0" w:rsidP="004B3DA3">
            <w:pPr>
              <w:jc w:val="center"/>
              <w:rPr>
                <w:b/>
                <w:color w:val="000000"/>
                <w:szCs w:val="24"/>
                <w:lang w:eastAsia="ko-KR"/>
              </w:rPr>
            </w:pPr>
          </w:p>
        </w:tc>
        <w:tc>
          <w:tcPr>
            <w:tcW w:w="900" w:type="dxa"/>
            <w:vMerge/>
            <w:tcBorders>
              <w:left w:val="nil"/>
              <w:bottom w:val="single" w:sz="4" w:space="0" w:color="auto"/>
              <w:right w:val="nil"/>
            </w:tcBorders>
            <w:shd w:val="clear" w:color="auto" w:fill="B8CCE4" w:themeFill="accent1" w:themeFillTint="66"/>
            <w:noWrap/>
            <w:vAlign w:val="center"/>
          </w:tcPr>
          <w:p w14:paraId="1AE5CED9" w14:textId="77777777" w:rsidR="00F73CE0" w:rsidRPr="008E0367" w:rsidRDefault="00F73CE0" w:rsidP="004B3DA3">
            <w:pPr>
              <w:jc w:val="center"/>
              <w:rPr>
                <w:b/>
                <w:color w:val="000000"/>
                <w:szCs w:val="24"/>
                <w:lang w:eastAsia="ko-KR"/>
              </w:rPr>
            </w:pPr>
          </w:p>
        </w:tc>
        <w:tc>
          <w:tcPr>
            <w:tcW w:w="990" w:type="dxa"/>
            <w:vMerge/>
            <w:tcBorders>
              <w:left w:val="nil"/>
              <w:bottom w:val="single" w:sz="4" w:space="0" w:color="auto"/>
              <w:right w:val="nil"/>
            </w:tcBorders>
            <w:shd w:val="clear" w:color="auto" w:fill="B8CCE4" w:themeFill="accent1" w:themeFillTint="66"/>
            <w:noWrap/>
            <w:vAlign w:val="center"/>
          </w:tcPr>
          <w:p w14:paraId="7D3D205D" w14:textId="77777777" w:rsidR="00F73CE0" w:rsidRPr="008E0367" w:rsidRDefault="00F73CE0" w:rsidP="004B3DA3">
            <w:pPr>
              <w:jc w:val="center"/>
              <w:rPr>
                <w:b/>
                <w:color w:val="000000"/>
                <w:szCs w:val="24"/>
                <w:lang w:eastAsia="ko-KR"/>
              </w:rPr>
            </w:pPr>
          </w:p>
        </w:tc>
        <w:tc>
          <w:tcPr>
            <w:tcW w:w="1260" w:type="dxa"/>
            <w:vMerge/>
            <w:tcBorders>
              <w:left w:val="nil"/>
              <w:bottom w:val="single" w:sz="4" w:space="0" w:color="auto"/>
              <w:right w:val="nil"/>
            </w:tcBorders>
            <w:shd w:val="clear" w:color="auto" w:fill="B8CCE4" w:themeFill="accent1" w:themeFillTint="66"/>
            <w:noWrap/>
            <w:vAlign w:val="center"/>
          </w:tcPr>
          <w:p w14:paraId="2D0F7F34" w14:textId="77777777" w:rsidR="00F73CE0" w:rsidRPr="008E0367" w:rsidRDefault="00F73CE0" w:rsidP="004B3DA3">
            <w:pPr>
              <w:jc w:val="center"/>
              <w:rPr>
                <w:b/>
                <w:color w:val="000000"/>
                <w:szCs w:val="24"/>
                <w:lang w:eastAsia="ko-KR"/>
              </w:rPr>
            </w:pPr>
          </w:p>
        </w:tc>
        <w:tc>
          <w:tcPr>
            <w:tcW w:w="1080" w:type="dxa"/>
            <w:tcBorders>
              <w:top w:val="single" w:sz="4" w:space="0" w:color="auto"/>
              <w:left w:val="nil"/>
              <w:bottom w:val="single" w:sz="4" w:space="0" w:color="auto"/>
              <w:right w:val="nil"/>
            </w:tcBorders>
            <w:shd w:val="clear" w:color="auto" w:fill="B8CCE4" w:themeFill="accent1" w:themeFillTint="66"/>
            <w:vAlign w:val="center"/>
          </w:tcPr>
          <w:p w14:paraId="28D380C1" w14:textId="6D264A84" w:rsidR="00F73CE0" w:rsidRPr="008E0367" w:rsidRDefault="00F73CE0" w:rsidP="004B3DA3">
            <w:pPr>
              <w:jc w:val="center"/>
              <w:rPr>
                <w:b/>
                <w:color w:val="000000"/>
                <w:szCs w:val="24"/>
                <w:lang w:eastAsia="ko-KR"/>
              </w:rPr>
            </w:pPr>
            <w:r w:rsidRPr="008E0367">
              <w:rPr>
                <w:b/>
                <w:color w:val="000000"/>
                <w:szCs w:val="24"/>
                <w:lang w:eastAsia="ko-KR"/>
              </w:rPr>
              <w:t>Cont Site</w:t>
            </w:r>
          </w:p>
        </w:tc>
        <w:tc>
          <w:tcPr>
            <w:tcW w:w="1080" w:type="dxa"/>
            <w:tcBorders>
              <w:top w:val="single" w:sz="4" w:space="0" w:color="auto"/>
              <w:left w:val="nil"/>
              <w:bottom w:val="single" w:sz="4" w:space="0" w:color="auto"/>
              <w:right w:val="nil"/>
            </w:tcBorders>
            <w:shd w:val="clear" w:color="auto" w:fill="B8CCE4" w:themeFill="accent1" w:themeFillTint="66"/>
            <w:vAlign w:val="center"/>
          </w:tcPr>
          <w:p w14:paraId="54FF27FB" w14:textId="24F70AF1" w:rsidR="00F73CE0" w:rsidRPr="008E0367" w:rsidRDefault="00F73CE0" w:rsidP="004B3DA3">
            <w:pPr>
              <w:jc w:val="center"/>
              <w:rPr>
                <w:b/>
                <w:color w:val="000000"/>
                <w:szCs w:val="24"/>
                <w:lang w:eastAsia="ko-KR"/>
              </w:rPr>
            </w:pPr>
            <w:r w:rsidRPr="008E0367">
              <w:rPr>
                <w:b/>
                <w:color w:val="000000"/>
                <w:szCs w:val="24"/>
                <w:lang w:eastAsia="ko-KR"/>
              </w:rPr>
              <w:t>New Site</w:t>
            </w:r>
          </w:p>
        </w:tc>
        <w:tc>
          <w:tcPr>
            <w:tcW w:w="1080" w:type="dxa"/>
            <w:tcBorders>
              <w:top w:val="single" w:sz="4" w:space="0" w:color="auto"/>
              <w:left w:val="nil"/>
              <w:bottom w:val="single" w:sz="4" w:space="0" w:color="auto"/>
              <w:right w:val="nil"/>
            </w:tcBorders>
            <w:shd w:val="clear" w:color="auto" w:fill="B8CCE4" w:themeFill="accent1" w:themeFillTint="66"/>
            <w:vAlign w:val="center"/>
          </w:tcPr>
          <w:p w14:paraId="468FCBA0" w14:textId="7F0C9567" w:rsidR="00F73CE0" w:rsidRPr="008E0367" w:rsidRDefault="00F73CE0" w:rsidP="004B3DA3">
            <w:pPr>
              <w:jc w:val="center"/>
              <w:rPr>
                <w:b/>
                <w:color w:val="000000"/>
                <w:szCs w:val="24"/>
                <w:lang w:eastAsia="ko-KR"/>
              </w:rPr>
            </w:pPr>
            <w:r w:rsidRPr="008E0367">
              <w:rPr>
                <w:b/>
                <w:color w:val="000000"/>
                <w:szCs w:val="24"/>
                <w:lang w:eastAsia="ko-KR"/>
              </w:rPr>
              <w:t>Total</w:t>
            </w:r>
          </w:p>
        </w:tc>
      </w:tr>
      <w:tr w:rsidR="00F73CE0" w:rsidRPr="008E0367" w14:paraId="554F1A77" w14:textId="77777777" w:rsidTr="00F704C3">
        <w:trPr>
          <w:trHeight w:val="300"/>
        </w:trPr>
        <w:tc>
          <w:tcPr>
            <w:tcW w:w="1170" w:type="dxa"/>
            <w:tcBorders>
              <w:top w:val="single" w:sz="4" w:space="0" w:color="auto"/>
              <w:left w:val="nil"/>
              <w:right w:val="nil"/>
            </w:tcBorders>
            <w:shd w:val="clear" w:color="auto" w:fill="auto"/>
            <w:noWrap/>
            <w:vAlign w:val="center"/>
            <w:hideMark/>
          </w:tcPr>
          <w:p w14:paraId="6C665296" w14:textId="77777777" w:rsidR="00F73CE0" w:rsidRPr="008E0367" w:rsidRDefault="00F73CE0" w:rsidP="004B3DA3">
            <w:pPr>
              <w:jc w:val="center"/>
              <w:rPr>
                <w:color w:val="000000"/>
                <w:szCs w:val="24"/>
                <w:lang w:eastAsia="ko-KR"/>
              </w:rPr>
            </w:pPr>
            <w:r w:rsidRPr="008E0367">
              <w:rPr>
                <w:color w:val="000000"/>
                <w:szCs w:val="24"/>
                <w:lang w:eastAsia="ko-KR"/>
              </w:rPr>
              <w:t>SFSP</w:t>
            </w:r>
          </w:p>
        </w:tc>
        <w:tc>
          <w:tcPr>
            <w:tcW w:w="900" w:type="dxa"/>
            <w:tcBorders>
              <w:top w:val="single" w:sz="4" w:space="0" w:color="auto"/>
              <w:left w:val="nil"/>
              <w:bottom w:val="nil"/>
              <w:right w:val="nil"/>
            </w:tcBorders>
            <w:vAlign w:val="center"/>
          </w:tcPr>
          <w:p w14:paraId="2C7B3E8D" w14:textId="3F030DC3" w:rsidR="00F73CE0" w:rsidRPr="008E0367" w:rsidRDefault="00F73CE0" w:rsidP="00104FED">
            <w:pPr>
              <w:jc w:val="right"/>
              <w:rPr>
                <w:color w:val="000000"/>
                <w:szCs w:val="24"/>
              </w:rPr>
            </w:pPr>
            <w:r w:rsidRPr="008E0367">
              <w:rPr>
                <w:color w:val="000000"/>
                <w:szCs w:val="24"/>
              </w:rPr>
              <w:t>47,2</w:t>
            </w:r>
            <w:r w:rsidR="00104FED">
              <w:rPr>
                <w:color w:val="000000"/>
                <w:szCs w:val="24"/>
              </w:rPr>
              <w:t>86</w:t>
            </w:r>
          </w:p>
        </w:tc>
        <w:tc>
          <w:tcPr>
            <w:tcW w:w="900" w:type="dxa"/>
            <w:tcBorders>
              <w:top w:val="single" w:sz="4" w:space="0" w:color="auto"/>
              <w:left w:val="nil"/>
              <w:bottom w:val="nil"/>
              <w:right w:val="nil"/>
            </w:tcBorders>
            <w:vAlign w:val="center"/>
          </w:tcPr>
          <w:p w14:paraId="0F1B7D05" w14:textId="5C00A56F" w:rsidR="00F73CE0" w:rsidRPr="008E0367" w:rsidRDefault="00F73CE0" w:rsidP="004B3DA3">
            <w:pPr>
              <w:jc w:val="right"/>
              <w:rPr>
                <w:color w:val="000000"/>
                <w:szCs w:val="24"/>
              </w:rPr>
            </w:pPr>
            <w:r w:rsidRPr="008E0367">
              <w:rPr>
                <w:color w:val="000000"/>
                <w:szCs w:val="24"/>
                <w:lang w:eastAsia="ko-KR"/>
              </w:rPr>
              <w:t>420</w:t>
            </w:r>
          </w:p>
        </w:tc>
        <w:tc>
          <w:tcPr>
            <w:tcW w:w="900" w:type="dxa"/>
            <w:tcBorders>
              <w:top w:val="single" w:sz="4" w:space="0" w:color="auto"/>
              <w:left w:val="nil"/>
              <w:bottom w:val="nil"/>
              <w:right w:val="nil"/>
            </w:tcBorders>
            <w:shd w:val="clear" w:color="auto" w:fill="auto"/>
            <w:noWrap/>
            <w:vAlign w:val="center"/>
            <w:hideMark/>
          </w:tcPr>
          <w:p w14:paraId="2C97DB78" w14:textId="264478C7" w:rsidR="00F73CE0" w:rsidRPr="008E0367" w:rsidRDefault="00F73CE0" w:rsidP="004B3DA3">
            <w:pPr>
              <w:jc w:val="right"/>
              <w:rPr>
                <w:color w:val="000000"/>
                <w:szCs w:val="24"/>
                <w:lang w:eastAsia="ko-KR"/>
              </w:rPr>
            </w:pPr>
            <w:r w:rsidRPr="008E0367">
              <w:rPr>
                <w:color w:val="000000"/>
                <w:szCs w:val="24"/>
                <w:lang w:eastAsia="ko-KR"/>
              </w:rPr>
              <w:t>180</w:t>
            </w:r>
          </w:p>
        </w:tc>
        <w:tc>
          <w:tcPr>
            <w:tcW w:w="990" w:type="dxa"/>
            <w:tcBorders>
              <w:top w:val="single" w:sz="4" w:space="0" w:color="auto"/>
              <w:left w:val="nil"/>
              <w:bottom w:val="nil"/>
              <w:right w:val="nil"/>
            </w:tcBorders>
            <w:shd w:val="clear" w:color="auto" w:fill="auto"/>
            <w:noWrap/>
            <w:vAlign w:val="center"/>
            <w:hideMark/>
          </w:tcPr>
          <w:p w14:paraId="58CB5C57" w14:textId="6BBA48F5" w:rsidR="00F73CE0" w:rsidRPr="008E0367" w:rsidRDefault="00F73CE0" w:rsidP="004B3DA3">
            <w:pPr>
              <w:jc w:val="right"/>
              <w:rPr>
                <w:color w:val="000000"/>
                <w:szCs w:val="24"/>
                <w:lang w:eastAsia="ko-KR"/>
              </w:rPr>
            </w:pPr>
            <w:r w:rsidRPr="008E0367">
              <w:rPr>
                <w:color w:val="000000"/>
                <w:szCs w:val="24"/>
                <w:lang w:eastAsia="ko-KR"/>
              </w:rPr>
              <w:t>600</w:t>
            </w:r>
          </w:p>
        </w:tc>
        <w:tc>
          <w:tcPr>
            <w:tcW w:w="1260" w:type="dxa"/>
            <w:tcBorders>
              <w:top w:val="single" w:sz="4" w:space="0" w:color="auto"/>
              <w:left w:val="nil"/>
              <w:bottom w:val="nil"/>
              <w:right w:val="nil"/>
            </w:tcBorders>
            <w:shd w:val="clear" w:color="auto" w:fill="auto"/>
            <w:noWrap/>
            <w:vAlign w:val="center"/>
            <w:hideMark/>
          </w:tcPr>
          <w:p w14:paraId="0CA255F7" w14:textId="23817640" w:rsidR="00F73CE0" w:rsidRPr="008E0367" w:rsidRDefault="00F73CE0" w:rsidP="00014773">
            <w:pPr>
              <w:jc w:val="right"/>
              <w:rPr>
                <w:color w:val="000000"/>
                <w:szCs w:val="24"/>
                <w:lang w:eastAsia="ko-KR"/>
              </w:rPr>
            </w:pPr>
            <w:r w:rsidRPr="008E0367">
              <w:rPr>
                <w:color w:val="000000"/>
                <w:szCs w:val="24"/>
                <w:lang w:eastAsia="ko-KR"/>
              </w:rPr>
              <w:t>0.</w:t>
            </w:r>
            <w:r w:rsidR="00C764D3">
              <w:rPr>
                <w:color w:val="000000"/>
                <w:szCs w:val="24"/>
                <w:lang w:eastAsia="ko-KR"/>
              </w:rPr>
              <w:t>4</w:t>
            </w:r>
            <w:r w:rsidR="00E545A3">
              <w:rPr>
                <w:color w:val="000000"/>
                <w:szCs w:val="24"/>
                <w:lang w:eastAsia="ko-KR"/>
              </w:rPr>
              <w:t>5</w:t>
            </w:r>
            <w:r w:rsidRPr="008E0367">
              <w:rPr>
                <w:color w:val="000000"/>
                <w:szCs w:val="24"/>
                <w:lang w:eastAsia="ko-KR"/>
              </w:rPr>
              <w:t>/0.</w:t>
            </w:r>
            <w:r w:rsidR="000C098B">
              <w:rPr>
                <w:color w:val="000000"/>
                <w:szCs w:val="24"/>
                <w:lang w:eastAsia="ko-KR"/>
              </w:rPr>
              <w:t>7</w:t>
            </w:r>
          </w:p>
        </w:tc>
        <w:tc>
          <w:tcPr>
            <w:tcW w:w="1080" w:type="dxa"/>
            <w:tcBorders>
              <w:top w:val="single" w:sz="4" w:space="0" w:color="auto"/>
              <w:left w:val="nil"/>
              <w:bottom w:val="nil"/>
              <w:right w:val="nil"/>
            </w:tcBorders>
            <w:vAlign w:val="center"/>
          </w:tcPr>
          <w:p w14:paraId="048A12C7" w14:textId="4165A935" w:rsidR="00F73CE0" w:rsidRPr="008E0367" w:rsidRDefault="008409B7" w:rsidP="00014773">
            <w:pPr>
              <w:jc w:val="right"/>
              <w:rPr>
                <w:color w:val="000000"/>
                <w:szCs w:val="24"/>
                <w:lang w:eastAsia="ko-KR"/>
              </w:rPr>
            </w:pPr>
            <w:r>
              <w:rPr>
                <w:color w:val="000000"/>
                <w:szCs w:val="24"/>
                <w:lang w:eastAsia="ko-KR"/>
              </w:rPr>
              <w:t>93</w:t>
            </w:r>
            <w:r w:rsidR="00014773">
              <w:rPr>
                <w:color w:val="000000"/>
                <w:szCs w:val="24"/>
                <w:lang w:eastAsia="ko-KR"/>
              </w:rPr>
              <w:t>4</w:t>
            </w:r>
          </w:p>
        </w:tc>
        <w:tc>
          <w:tcPr>
            <w:tcW w:w="1080" w:type="dxa"/>
            <w:tcBorders>
              <w:top w:val="single" w:sz="4" w:space="0" w:color="auto"/>
              <w:left w:val="nil"/>
              <w:bottom w:val="nil"/>
              <w:right w:val="nil"/>
            </w:tcBorders>
            <w:vAlign w:val="center"/>
          </w:tcPr>
          <w:p w14:paraId="4AC8AED6" w14:textId="7419235A" w:rsidR="00F73CE0" w:rsidRPr="008E0367" w:rsidRDefault="000C098B" w:rsidP="00E545A3">
            <w:pPr>
              <w:jc w:val="right"/>
              <w:rPr>
                <w:color w:val="000000"/>
                <w:szCs w:val="24"/>
                <w:lang w:eastAsia="ko-KR"/>
              </w:rPr>
            </w:pPr>
            <w:r>
              <w:rPr>
                <w:color w:val="000000"/>
                <w:szCs w:val="24"/>
                <w:lang w:eastAsia="ko-KR"/>
              </w:rPr>
              <w:t>2</w:t>
            </w:r>
            <w:r w:rsidR="00E545A3">
              <w:rPr>
                <w:color w:val="000000"/>
                <w:szCs w:val="24"/>
                <w:lang w:eastAsia="ko-KR"/>
              </w:rPr>
              <w:t>57</w:t>
            </w:r>
          </w:p>
        </w:tc>
        <w:tc>
          <w:tcPr>
            <w:tcW w:w="1080" w:type="dxa"/>
            <w:tcBorders>
              <w:top w:val="single" w:sz="4" w:space="0" w:color="auto"/>
              <w:left w:val="nil"/>
              <w:bottom w:val="nil"/>
              <w:right w:val="nil"/>
            </w:tcBorders>
            <w:vAlign w:val="center"/>
          </w:tcPr>
          <w:p w14:paraId="0FE813DF" w14:textId="3542B64E" w:rsidR="00F73CE0" w:rsidRPr="008E0367" w:rsidRDefault="00F73CE0" w:rsidP="00E545A3">
            <w:pPr>
              <w:jc w:val="right"/>
              <w:rPr>
                <w:color w:val="000000"/>
                <w:szCs w:val="24"/>
                <w:lang w:eastAsia="ko-KR"/>
              </w:rPr>
            </w:pPr>
            <w:r w:rsidRPr="008E0367">
              <w:rPr>
                <w:color w:val="000000"/>
                <w:szCs w:val="24"/>
                <w:lang w:eastAsia="ko-KR"/>
              </w:rPr>
              <w:t>1,</w:t>
            </w:r>
            <w:r w:rsidR="000C098B">
              <w:rPr>
                <w:color w:val="000000"/>
                <w:szCs w:val="24"/>
                <w:lang w:eastAsia="ko-KR"/>
              </w:rPr>
              <w:t>1</w:t>
            </w:r>
            <w:r w:rsidR="00E545A3">
              <w:rPr>
                <w:color w:val="000000"/>
                <w:szCs w:val="24"/>
                <w:lang w:eastAsia="ko-KR"/>
              </w:rPr>
              <w:t>9</w:t>
            </w:r>
            <w:r w:rsidR="000C098B">
              <w:rPr>
                <w:color w:val="000000"/>
                <w:szCs w:val="24"/>
                <w:lang w:eastAsia="ko-KR"/>
              </w:rPr>
              <w:t>1</w:t>
            </w:r>
          </w:p>
        </w:tc>
      </w:tr>
      <w:tr w:rsidR="00F73CE0" w:rsidRPr="008E0367" w14:paraId="60F966A9" w14:textId="77777777" w:rsidTr="00F704C3">
        <w:trPr>
          <w:trHeight w:val="300"/>
        </w:trPr>
        <w:tc>
          <w:tcPr>
            <w:tcW w:w="1170" w:type="dxa"/>
            <w:tcBorders>
              <w:top w:val="nil"/>
              <w:left w:val="nil"/>
              <w:bottom w:val="single" w:sz="4" w:space="0" w:color="auto"/>
              <w:right w:val="nil"/>
            </w:tcBorders>
            <w:shd w:val="clear" w:color="auto" w:fill="auto"/>
            <w:noWrap/>
            <w:vAlign w:val="center"/>
            <w:hideMark/>
          </w:tcPr>
          <w:p w14:paraId="66E53A90" w14:textId="77777777" w:rsidR="00F73CE0" w:rsidRPr="008E0367" w:rsidRDefault="00F73CE0" w:rsidP="004B3DA3">
            <w:pPr>
              <w:jc w:val="center"/>
              <w:rPr>
                <w:color w:val="000000"/>
                <w:szCs w:val="24"/>
                <w:lang w:eastAsia="ko-KR"/>
              </w:rPr>
            </w:pPr>
            <w:r w:rsidRPr="008E0367">
              <w:rPr>
                <w:color w:val="000000"/>
                <w:szCs w:val="24"/>
                <w:lang w:eastAsia="ko-KR"/>
              </w:rPr>
              <w:t>SSO</w:t>
            </w:r>
          </w:p>
        </w:tc>
        <w:tc>
          <w:tcPr>
            <w:tcW w:w="900" w:type="dxa"/>
            <w:tcBorders>
              <w:top w:val="nil"/>
              <w:left w:val="nil"/>
              <w:bottom w:val="single" w:sz="4" w:space="0" w:color="auto"/>
              <w:right w:val="nil"/>
            </w:tcBorders>
            <w:vAlign w:val="center"/>
          </w:tcPr>
          <w:p w14:paraId="03048C12" w14:textId="5B58A999" w:rsidR="00F73CE0" w:rsidRPr="008E0367" w:rsidRDefault="00104FED" w:rsidP="004B3DA3">
            <w:pPr>
              <w:jc w:val="right"/>
              <w:rPr>
                <w:color w:val="000000"/>
                <w:szCs w:val="24"/>
              </w:rPr>
            </w:pPr>
            <w:r>
              <w:rPr>
                <w:color w:val="000000"/>
                <w:szCs w:val="24"/>
              </w:rPr>
              <w:t>11,574</w:t>
            </w:r>
          </w:p>
        </w:tc>
        <w:tc>
          <w:tcPr>
            <w:tcW w:w="900" w:type="dxa"/>
            <w:tcBorders>
              <w:top w:val="nil"/>
              <w:left w:val="nil"/>
              <w:bottom w:val="single" w:sz="4" w:space="0" w:color="auto"/>
              <w:right w:val="nil"/>
            </w:tcBorders>
            <w:vAlign w:val="center"/>
          </w:tcPr>
          <w:p w14:paraId="607E3546" w14:textId="2D8C6C91" w:rsidR="00F73CE0" w:rsidRPr="008E0367" w:rsidRDefault="00F73CE0" w:rsidP="004B3DA3">
            <w:pPr>
              <w:jc w:val="right"/>
              <w:rPr>
                <w:color w:val="000000"/>
                <w:szCs w:val="24"/>
              </w:rPr>
            </w:pPr>
            <w:r w:rsidRPr="008E0367">
              <w:rPr>
                <w:color w:val="000000"/>
                <w:szCs w:val="24"/>
                <w:lang w:eastAsia="ko-KR"/>
              </w:rPr>
              <w:t>105</w:t>
            </w:r>
          </w:p>
        </w:tc>
        <w:tc>
          <w:tcPr>
            <w:tcW w:w="900" w:type="dxa"/>
            <w:tcBorders>
              <w:top w:val="nil"/>
              <w:left w:val="nil"/>
              <w:bottom w:val="single" w:sz="4" w:space="0" w:color="auto"/>
              <w:right w:val="nil"/>
            </w:tcBorders>
            <w:shd w:val="clear" w:color="auto" w:fill="auto"/>
            <w:noWrap/>
            <w:vAlign w:val="center"/>
            <w:hideMark/>
          </w:tcPr>
          <w:p w14:paraId="64CEBB1C" w14:textId="17D0F5BA" w:rsidR="00F73CE0" w:rsidRPr="008E0367" w:rsidRDefault="00F73CE0" w:rsidP="004B3DA3">
            <w:pPr>
              <w:jc w:val="right"/>
              <w:rPr>
                <w:color w:val="000000"/>
                <w:szCs w:val="24"/>
                <w:lang w:eastAsia="ko-KR"/>
              </w:rPr>
            </w:pPr>
            <w:r w:rsidRPr="008E0367">
              <w:rPr>
                <w:color w:val="000000"/>
                <w:szCs w:val="24"/>
                <w:lang w:eastAsia="ko-KR"/>
              </w:rPr>
              <w:t>45</w:t>
            </w:r>
          </w:p>
        </w:tc>
        <w:tc>
          <w:tcPr>
            <w:tcW w:w="990" w:type="dxa"/>
            <w:tcBorders>
              <w:top w:val="nil"/>
              <w:left w:val="nil"/>
              <w:bottom w:val="single" w:sz="4" w:space="0" w:color="auto"/>
              <w:right w:val="nil"/>
            </w:tcBorders>
            <w:shd w:val="clear" w:color="auto" w:fill="auto"/>
            <w:noWrap/>
            <w:vAlign w:val="center"/>
            <w:hideMark/>
          </w:tcPr>
          <w:p w14:paraId="69ED1B9A" w14:textId="452178E8" w:rsidR="00F73CE0" w:rsidRPr="008E0367" w:rsidRDefault="00F73CE0" w:rsidP="004B3DA3">
            <w:pPr>
              <w:jc w:val="right"/>
              <w:rPr>
                <w:color w:val="000000"/>
                <w:szCs w:val="24"/>
                <w:lang w:eastAsia="ko-KR"/>
              </w:rPr>
            </w:pPr>
            <w:r w:rsidRPr="008E0367">
              <w:rPr>
                <w:color w:val="000000"/>
                <w:szCs w:val="24"/>
                <w:lang w:eastAsia="ko-KR"/>
              </w:rPr>
              <w:t>150</w:t>
            </w:r>
          </w:p>
        </w:tc>
        <w:tc>
          <w:tcPr>
            <w:tcW w:w="1260" w:type="dxa"/>
            <w:tcBorders>
              <w:top w:val="nil"/>
              <w:left w:val="nil"/>
              <w:bottom w:val="single" w:sz="4" w:space="0" w:color="auto"/>
              <w:right w:val="nil"/>
            </w:tcBorders>
            <w:shd w:val="clear" w:color="auto" w:fill="auto"/>
            <w:noWrap/>
            <w:vAlign w:val="center"/>
            <w:hideMark/>
          </w:tcPr>
          <w:p w14:paraId="4848DB81" w14:textId="0C66AD22" w:rsidR="00F73CE0" w:rsidRPr="008E0367" w:rsidRDefault="00F73CE0" w:rsidP="00E545A3">
            <w:pPr>
              <w:jc w:val="right"/>
              <w:rPr>
                <w:color w:val="000000"/>
                <w:szCs w:val="24"/>
                <w:lang w:eastAsia="ko-KR"/>
              </w:rPr>
            </w:pPr>
            <w:r w:rsidRPr="008E0367">
              <w:rPr>
                <w:color w:val="000000"/>
                <w:szCs w:val="24"/>
                <w:lang w:eastAsia="ko-KR"/>
              </w:rPr>
              <w:t>0.</w:t>
            </w:r>
            <w:r w:rsidR="00C764D3">
              <w:rPr>
                <w:color w:val="000000"/>
                <w:szCs w:val="24"/>
                <w:lang w:eastAsia="ko-KR"/>
              </w:rPr>
              <w:t>4</w:t>
            </w:r>
            <w:r w:rsidR="00E545A3">
              <w:rPr>
                <w:color w:val="000000"/>
                <w:szCs w:val="24"/>
                <w:lang w:eastAsia="ko-KR"/>
              </w:rPr>
              <w:t>5</w:t>
            </w:r>
            <w:r w:rsidRPr="008E0367">
              <w:rPr>
                <w:color w:val="000000"/>
                <w:szCs w:val="24"/>
                <w:lang w:eastAsia="ko-KR"/>
              </w:rPr>
              <w:t>/0.</w:t>
            </w:r>
            <w:r w:rsidR="00014773">
              <w:rPr>
                <w:color w:val="000000"/>
                <w:szCs w:val="24"/>
                <w:lang w:eastAsia="ko-KR"/>
              </w:rPr>
              <w:t>7</w:t>
            </w:r>
          </w:p>
        </w:tc>
        <w:tc>
          <w:tcPr>
            <w:tcW w:w="1080" w:type="dxa"/>
            <w:tcBorders>
              <w:top w:val="nil"/>
              <w:left w:val="nil"/>
              <w:bottom w:val="single" w:sz="4" w:space="0" w:color="auto"/>
              <w:right w:val="nil"/>
            </w:tcBorders>
            <w:vAlign w:val="center"/>
          </w:tcPr>
          <w:p w14:paraId="38EFB483" w14:textId="5A0CA055" w:rsidR="00F73CE0" w:rsidRPr="008E0367" w:rsidRDefault="00F73CE0" w:rsidP="008409B7">
            <w:pPr>
              <w:jc w:val="right"/>
              <w:rPr>
                <w:color w:val="000000"/>
                <w:szCs w:val="24"/>
                <w:lang w:eastAsia="ko-KR"/>
              </w:rPr>
            </w:pPr>
            <w:r w:rsidRPr="008E0367">
              <w:rPr>
                <w:color w:val="000000"/>
                <w:szCs w:val="24"/>
                <w:lang w:eastAsia="ko-KR"/>
              </w:rPr>
              <w:t>2</w:t>
            </w:r>
            <w:r w:rsidR="008409B7">
              <w:rPr>
                <w:color w:val="000000"/>
                <w:szCs w:val="24"/>
                <w:lang w:eastAsia="ko-KR"/>
              </w:rPr>
              <w:t>34</w:t>
            </w:r>
          </w:p>
        </w:tc>
        <w:tc>
          <w:tcPr>
            <w:tcW w:w="1080" w:type="dxa"/>
            <w:tcBorders>
              <w:top w:val="nil"/>
              <w:left w:val="nil"/>
              <w:bottom w:val="single" w:sz="4" w:space="0" w:color="auto"/>
              <w:right w:val="nil"/>
            </w:tcBorders>
            <w:vAlign w:val="center"/>
          </w:tcPr>
          <w:p w14:paraId="2E19C7AB" w14:textId="316FB273" w:rsidR="00F73CE0" w:rsidRPr="008E0367" w:rsidRDefault="000C098B" w:rsidP="008409B7">
            <w:pPr>
              <w:jc w:val="right"/>
              <w:rPr>
                <w:color w:val="000000"/>
                <w:szCs w:val="24"/>
                <w:lang w:eastAsia="ko-KR"/>
              </w:rPr>
            </w:pPr>
            <w:r>
              <w:rPr>
                <w:color w:val="000000"/>
                <w:szCs w:val="24"/>
                <w:lang w:eastAsia="ko-KR"/>
              </w:rPr>
              <w:t>6</w:t>
            </w:r>
            <w:r w:rsidR="008409B7">
              <w:rPr>
                <w:color w:val="000000"/>
                <w:szCs w:val="24"/>
                <w:lang w:eastAsia="ko-KR"/>
              </w:rPr>
              <w:t>4</w:t>
            </w:r>
          </w:p>
        </w:tc>
        <w:tc>
          <w:tcPr>
            <w:tcW w:w="1080" w:type="dxa"/>
            <w:tcBorders>
              <w:top w:val="nil"/>
              <w:left w:val="nil"/>
              <w:bottom w:val="single" w:sz="4" w:space="0" w:color="auto"/>
              <w:right w:val="nil"/>
            </w:tcBorders>
            <w:vAlign w:val="center"/>
          </w:tcPr>
          <w:p w14:paraId="2E0DC2DD" w14:textId="251DA9E4" w:rsidR="00F73CE0" w:rsidRPr="008E0367" w:rsidRDefault="000C098B" w:rsidP="008409B7">
            <w:pPr>
              <w:jc w:val="right"/>
              <w:rPr>
                <w:color w:val="000000"/>
                <w:szCs w:val="24"/>
                <w:lang w:eastAsia="ko-KR"/>
              </w:rPr>
            </w:pPr>
            <w:r>
              <w:rPr>
                <w:color w:val="000000"/>
                <w:szCs w:val="24"/>
                <w:lang w:eastAsia="ko-KR"/>
              </w:rPr>
              <w:t>2</w:t>
            </w:r>
            <w:r w:rsidR="008409B7">
              <w:rPr>
                <w:color w:val="000000"/>
                <w:szCs w:val="24"/>
                <w:lang w:eastAsia="ko-KR"/>
              </w:rPr>
              <w:t>98</w:t>
            </w:r>
          </w:p>
        </w:tc>
      </w:tr>
      <w:tr w:rsidR="00F73CE0" w:rsidRPr="008E0367" w14:paraId="16FEC7C3" w14:textId="77777777" w:rsidTr="00F704C3">
        <w:trPr>
          <w:trHeight w:val="300"/>
        </w:trPr>
        <w:tc>
          <w:tcPr>
            <w:tcW w:w="1170" w:type="dxa"/>
            <w:tcBorders>
              <w:top w:val="single" w:sz="4" w:space="0" w:color="auto"/>
              <w:left w:val="nil"/>
              <w:bottom w:val="single" w:sz="4" w:space="0" w:color="auto"/>
              <w:right w:val="nil"/>
            </w:tcBorders>
            <w:shd w:val="clear" w:color="auto" w:fill="auto"/>
            <w:noWrap/>
            <w:vAlign w:val="center"/>
            <w:hideMark/>
          </w:tcPr>
          <w:p w14:paraId="5AE43B15" w14:textId="77777777" w:rsidR="00F73CE0" w:rsidRPr="008E0367" w:rsidRDefault="00F73CE0" w:rsidP="004B3DA3">
            <w:pPr>
              <w:jc w:val="center"/>
              <w:rPr>
                <w:color w:val="000000"/>
                <w:szCs w:val="24"/>
                <w:lang w:eastAsia="ko-KR"/>
              </w:rPr>
            </w:pPr>
            <w:r w:rsidRPr="008E0367">
              <w:rPr>
                <w:color w:val="000000"/>
                <w:szCs w:val="24"/>
                <w:lang w:eastAsia="ko-KR"/>
              </w:rPr>
              <w:t>Total</w:t>
            </w:r>
          </w:p>
        </w:tc>
        <w:tc>
          <w:tcPr>
            <w:tcW w:w="900" w:type="dxa"/>
            <w:tcBorders>
              <w:top w:val="single" w:sz="4" w:space="0" w:color="auto"/>
              <w:left w:val="nil"/>
              <w:bottom w:val="single" w:sz="4" w:space="0" w:color="auto"/>
              <w:right w:val="nil"/>
            </w:tcBorders>
            <w:vAlign w:val="center"/>
          </w:tcPr>
          <w:p w14:paraId="00BB7EBB" w14:textId="7E0B4792" w:rsidR="00F73CE0" w:rsidRPr="008E0367" w:rsidRDefault="00104FED" w:rsidP="004B3DA3">
            <w:pPr>
              <w:jc w:val="right"/>
              <w:rPr>
                <w:color w:val="000000"/>
                <w:szCs w:val="24"/>
              </w:rPr>
            </w:pPr>
            <w:r w:rsidRPr="00AD30DF">
              <w:t>58,860</w:t>
            </w:r>
          </w:p>
        </w:tc>
        <w:tc>
          <w:tcPr>
            <w:tcW w:w="900" w:type="dxa"/>
            <w:tcBorders>
              <w:top w:val="single" w:sz="4" w:space="0" w:color="auto"/>
              <w:left w:val="nil"/>
              <w:bottom w:val="single" w:sz="4" w:space="0" w:color="auto"/>
              <w:right w:val="nil"/>
            </w:tcBorders>
            <w:vAlign w:val="center"/>
          </w:tcPr>
          <w:p w14:paraId="33F98734" w14:textId="1304EE8A" w:rsidR="00F73CE0" w:rsidRPr="008E0367" w:rsidRDefault="00F73CE0" w:rsidP="004B3DA3">
            <w:pPr>
              <w:jc w:val="right"/>
              <w:rPr>
                <w:color w:val="000000"/>
                <w:szCs w:val="24"/>
              </w:rPr>
            </w:pPr>
            <w:r w:rsidRPr="008E0367">
              <w:rPr>
                <w:color w:val="000000"/>
                <w:szCs w:val="24"/>
                <w:lang w:eastAsia="ko-KR"/>
              </w:rPr>
              <w:t>525</w:t>
            </w:r>
          </w:p>
        </w:tc>
        <w:tc>
          <w:tcPr>
            <w:tcW w:w="900" w:type="dxa"/>
            <w:tcBorders>
              <w:top w:val="single" w:sz="4" w:space="0" w:color="auto"/>
              <w:left w:val="nil"/>
              <w:bottom w:val="single" w:sz="4" w:space="0" w:color="auto"/>
              <w:right w:val="nil"/>
            </w:tcBorders>
            <w:shd w:val="clear" w:color="auto" w:fill="auto"/>
            <w:noWrap/>
            <w:vAlign w:val="center"/>
            <w:hideMark/>
          </w:tcPr>
          <w:p w14:paraId="06C4A35F" w14:textId="0EB273AF" w:rsidR="00F73CE0" w:rsidRPr="008E0367" w:rsidRDefault="00F73CE0" w:rsidP="004B3DA3">
            <w:pPr>
              <w:jc w:val="right"/>
              <w:rPr>
                <w:color w:val="000000"/>
                <w:szCs w:val="24"/>
                <w:lang w:eastAsia="ko-KR"/>
              </w:rPr>
            </w:pPr>
            <w:r w:rsidRPr="008E0367">
              <w:rPr>
                <w:color w:val="000000"/>
                <w:szCs w:val="24"/>
                <w:lang w:eastAsia="ko-KR"/>
              </w:rPr>
              <w:t>225</w:t>
            </w:r>
          </w:p>
        </w:tc>
        <w:tc>
          <w:tcPr>
            <w:tcW w:w="990" w:type="dxa"/>
            <w:tcBorders>
              <w:top w:val="single" w:sz="4" w:space="0" w:color="auto"/>
              <w:left w:val="nil"/>
              <w:bottom w:val="single" w:sz="4" w:space="0" w:color="auto"/>
              <w:right w:val="nil"/>
            </w:tcBorders>
            <w:shd w:val="clear" w:color="auto" w:fill="auto"/>
            <w:noWrap/>
            <w:vAlign w:val="center"/>
            <w:hideMark/>
          </w:tcPr>
          <w:p w14:paraId="40BC2B72" w14:textId="56D6F7B6" w:rsidR="00F73CE0" w:rsidRPr="008E0367" w:rsidRDefault="00F73CE0" w:rsidP="004B3DA3">
            <w:pPr>
              <w:jc w:val="right"/>
              <w:rPr>
                <w:color w:val="000000"/>
                <w:szCs w:val="24"/>
                <w:lang w:eastAsia="ko-KR"/>
              </w:rPr>
            </w:pPr>
            <w:r w:rsidRPr="008E0367">
              <w:rPr>
                <w:color w:val="000000"/>
                <w:szCs w:val="24"/>
                <w:lang w:eastAsia="ko-KR"/>
              </w:rPr>
              <w:t>750</w:t>
            </w:r>
          </w:p>
        </w:tc>
        <w:tc>
          <w:tcPr>
            <w:tcW w:w="1260" w:type="dxa"/>
            <w:tcBorders>
              <w:top w:val="single" w:sz="4" w:space="0" w:color="auto"/>
              <w:left w:val="nil"/>
              <w:bottom w:val="single" w:sz="4" w:space="0" w:color="auto"/>
              <w:right w:val="nil"/>
            </w:tcBorders>
            <w:shd w:val="clear" w:color="auto" w:fill="auto"/>
            <w:noWrap/>
            <w:vAlign w:val="center"/>
            <w:hideMark/>
          </w:tcPr>
          <w:p w14:paraId="0DDB91E4" w14:textId="683C8EF5" w:rsidR="00F73CE0" w:rsidRPr="008E0367" w:rsidRDefault="00F73CE0" w:rsidP="00E545A3">
            <w:pPr>
              <w:jc w:val="right"/>
              <w:rPr>
                <w:color w:val="000000"/>
                <w:szCs w:val="24"/>
                <w:lang w:eastAsia="ko-KR"/>
              </w:rPr>
            </w:pPr>
            <w:r w:rsidRPr="008E0367">
              <w:rPr>
                <w:color w:val="000000"/>
                <w:szCs w:val="24"/>
                <w:lang w:eastAsia="ko-KR"/>
              </w:rPr>
              <w:t>0.</w:t>
            </w:r>
            <w:r w:rsidR="00C764D3">
              <w:rPr>
                <w:color w:val="000000"/>
                <w:szCs w:val="24"/>
                <w:lang w:eastAsia="ko-KR"/>
              </w:rPr>
              <w:t>4</w:t>
            </w:r>
            <w:r w:rsidR="00E545A3">
              <w:rPr>
                <w:color w:val="000000"/>
                <w:szCs w:val="24"/>
                <w:lang w:eastAsia="ko-KR"/>
              </w:rPr>
              <w:t>5</w:t>
            </w:r>
            <w:r w:rsidRPr="008E0367">
              <w:rPr>
                <w:color w:val="000000"/>
                <w:szCs w:val="24"/>
                <w:lang w:eastAsia="ko-KR"/>
              </w:rPr>
              <w:t>/0.</w:t>
            </w:r>
            <w:r w:rsidR="00014773">
              <w:rPr>
                <w:color w:val="000000"/>
                <w:szCs w:val="24"/>
                <w:lang w:eastAsia="ko-KR"/>
              </w:rPr>
              <w:t>7</w:t>
            </w:r>
          </w:p>
        </w:tc>
        <w:tc>
          <w:tcPr>
            <w:tcW w:w="1080" w:type="dxa"/>
            <w:tcBorders>
              <w:top w:val="single" w:sz="4" w:space="0" w:color="auto"/>
              <w:left w:val="nil"/>
              <w:bottom w:val="single" w:sz="4" w:space="0" w:color="auto"/>
              <w:right w:val="nil"/>
            </w:tcBorders>
            <w:vAlign w:val="center"/>
          </w:tcPr>
          <w:p w14:paraId="3FEE1483" w14:textId="5871014D" w:rsidR="00F73CE0" w:rsidRPr="008E0367" w:rsidRDefault="00F73CE0" w:rsidP="00014773">
            <w:pPr>
              <w:jc w:val="right"/>
              <w:rPr>
                <w:color w:val="000000"/>
                <w:szCs w:val="24"/>
                <w:lang w:eastAsia="ko-KR"/>
              </w:rPr>
            </w:pPr>
            <w:r w:rsidRPr="008E0367">
              <w:rPr>
                <w:color w:val="000000"/>
                <w:szCs w:val="24"/>
                <w:lang w:eastAsia="ko-KR"/>
              </w:rPr>
              <w:t>1,</w:t>
            </w:r>
            <w:r w:rsidR="00014773">
              <w:rPr>
                <w:color w:val="000000"/>
                <w:szCs w:val="24"/>
                <w:lang w:eastAsia="ko-KR"/>
              </w:rPr>
              <w:t>168</w:t>
            </w:r>
          </w:p>
        </w:tc>
        <w:tc>
          <w:tcPr>
            <w:tcW w:w="1080" w:type="dxa"/>
            <w:tcBorders>
              <w:top w:val="single" w:sz="4" w:space="0" w:color="auto"/>
              <w:left w:val="nil"/>
              <w:bottom w:val="single" w:sz="4" w:space="0" w:color="auto"/>
              <w:right w:val="nil"/>
            </w:tcBorders>
            <w:vAlign w:val="center"/>
          </w:tcPr>
          <w:p w14:paraId="3B788EFA" w14:textId="024BC22A" w:rsidR="00F73CE0" w:rsidRPr="008E0367" w:rsidRDefault="000C098B" w:rsidP="008409B7">
            <w:pPr>
              <w:jc w:val="right"/>
              <w:rPr>
                <w:color w:val="000000"/>
                <w:szCs w:val="24"/>
                <w:lang w:eastAsia="ko-KR"/>
              </w:rPr>
            </w:pPr>
            <w:r>
              <w:rPr>
                <w:color w:val="000000"/>
                <w:szCs w:val="24"/>
                <w:lang w:eastAsia="ko-KR"/>
              </w:rPr>
              <w:t>3</w:t>
            </w:r>
            <w:r w:rsidR="008409B7">
              <w:rPr>
                <w:color w:val="000000"/>
                <w:szCs w:val="24"/>
                <w:lang w:eastAsia="ko-KR"/>
              </w:rPr>
              <w:t>21</w:t>
            </w:r>
          </w:p>
        </w:tc>
        <w:tc>
          <w:tcPr>
            <w:tcW w:w="1080" w:type="dxa"/>
            <w:tcBorders>
              <w:top w:val="single" w:sz="4" w:space="0" w:color="auto"/>
              <w:left w:val="nil"/>
              <w:bottom w:val="single" w:sz="4" w:space="0" w:color="auto"/>
              <w:right w:val="nil"/>
            </w:tcBorders>
            <w:vAlign w:val="center"/>
          </w:tcPr>
          <w:p w14:paraId="1B11DAAC" w14:textId="3CCBF239" w:rsidR="00F73CE0" w:rsidRPr="008E0367" w:rsidRDefault="00F73CE0" w:rsidP="008409B7">
            <w:pPr>
              <w:jc w:val="right"/>
              <w:rPr>
                <w:color w:val="000000"/>
                <w:szCs w:val="24"/>
                <w:lang w:eastAsia="ko-KR"/>
              </w:rPr>
            </w:pPr>
            <w:r w:rsidRPr="008E0367">
              <w:rPr>
                <w:color w:val="000000"/>
                <w:szCs w:val="24"/>
                <w:lang w:eastAsia="ko-KR"/>
              </w:rPr>
              <w:t>1,</w:t>
            </w:r>
            <w:r w:rsidR="008409B7">
              <w:rPr>
                <w:color w:val="000000"/>
                <w:szCs w:val="24"/>
                <w:lang w:eastAsia="ko-KR"/>
              </w:rPr>
              <w:t>489</w:t>
            </w:r>
          </w:p>
        </w:tc>
      </w:tr>
    </w:tbl>
    <w:p w14:paraId="47423E0F" w14:textId="77183A50" w:rsidR="001E39AE" w:rsidRPr="008E0367" w:rsidRDefault="001E39AE" w:rsidP="004B3DA3">
      <w:pPr>
        <w:rPr>
          <w:szCs w:val="24"/>
        </w:rPr>
      </w:pPr>
      <w:r w:rsidRPr="008E0367">
        <w:rPr>
          <w:szCs w:val="24"/>
          <w:vertAlign w:val="superscript"/>
        </w:rPr>
        <w:t>1</w:t>
      </w:r>
      <w:r w:rsidRPr="008E0367">
        <w:rPr>
          <w:szCs w:val="24"/>
        </w:rPr>
        <w:t xml:space="preserve"> The first rate is the eligibility and response combined rate for continuing sites, and the second rate is the response rate for new sites.</w:t>
      </w:r>
    </w:p>
    <w:p w14:paraId="5353A475" w14:textId="77777777" w:rsidR="001E39AE" w:rsidRPr="008E0367" w:rsidRDefault="001E39AE" w:rsidP="0020370D">
      <w:pPr>
        <w:spacing w:line="480" w:lineRule="auto"/>
        <w:rPr>
          <w:szCs w:val="24"/>
        </w:rPr>
      </w:pPr>
    </w:p>
    <w:p w14:paraId="329ECD9E" w14:textId="09D11CF5" w:rsidR="00340A25" w:rsidRPr="008E0367" w:rsidRDefault="00340A25" w:rsidP="00A9436B">
      <w:pPr>
        <w:spacing w:line="480" w:lineRule="auto"/>
        <w:ind w:firstLine="720"/>
        <w:rPr>
          <w:szCs w:val="24"/>
        </w:rPr>
      </w:pPr>
      <w:r w:rsidRPr="008E0367">
        <w:rPr>
          <w:szCs w:val="24"/>
        </w:rPr>
        <w:t xml:space="preserve">We will identify the sponsor sample based on their sponsorship of the </w:t>
      </w:r>
      <w:r w:rsidR="008409B7">
        <w:rPr>
          <w:szCs w:val="24"/>
        </w:rPr>
        <w:t>sampled</w:t>
      </w:r>
      <w:r w:rsidR="008409B7" w:rsidRPr="008E0367">
        <w:rPr>
          <w:szCs w:val="24"/>
        </w:rPr>
        <w:t xml:space="preserve"> </w:t>
      </w:r>
      <w:r w:rsidRPr="008E0367">
        <w:rPr>
          <w:szCs w:val="24"/>
        </w:rPr>
        <w:t>sites. Based on 2017 dat</w:t>
      </w:r>
      <w:r w:rsidR="0037744B" w:rsidRPr="008E0367">
        <w:rPr>
          <w:szCs w:val="24"/>
        </w:rPr>
        <w:t>a from the National Hunger Clearinghouse</w:t>
      </w:r>
      <w:r w:rsidRPr="008E0367">
        <w:rPr>
          <w:rStyle w:val="FootnoteReference"/>
          <w:szCs w:val="24"/>
        </w:rPr>
        <w:footnoteReference w:id="10"/>
      </w:r>
      <w:r w:rsidRPr="008E0367">
        <w:rPr>
          <w:szCs w:val="24"/>
        </w:rPr>
        <w:t xml:space="preserve">, </w:t>
      </w:r>
      <w:r w:rsidR="0037744B" w:rsidRPr="008E0367">
        <w:rPr>
          <w:szCs w:val="24"/>
        </w:rPr>
        <w:t xml:space="preserve">which provides a searchable list of organizations that participate in SFSP and other food assistance programs, </w:t>
      </w:r>
      <w:r w:rsidRPr="008E0367">
        <w:rPr>
          <w:szCs w:val="24"/>
        </w:rPr>
        <w:t xml:space="preserve">we expect about </w:t>
      </w:r>
      <w:r w:rsidR="004112F6">
        <w:rPr>
          <w:szCs w:val="24"/>
        </w:rPr>
        <w:t>580 operational</w:t>
      </w:r>
      <w:r w:rsidR="008D7AAC">
        <w:rPr>
          <w:szCs w:val="24"/>
        </w:rPr>
        <w:t xml:space="preserve"> sponsors that will have a sponsoring relationship with the initial sample of 1,489 sites</w:t>
      </w:r>
      <w:r w:rsidRPr="008E0367">
        <w:rPr>
          <w:szCs w:val="24"/>
        </w:rPr>
        <w:t>.</w:t>
      </w:r>
      <w:r w:rsidR="00C1489D">
        <w:rPr>
          <w:rStyle w:val="FootnoteReference"/>
          <w:szCs w:val="24"/>
        </w:rPr>
        <w:footnoteReference w:id="11"/>
      </w:r>
      <w:r w:rsidRPr="008E0367">
        <w:rPr>
          <w:szCs w:val="24"/>
        </w:rPr>
        <w:t xml:space="preserve"> Assuming a</w:t>
      </w:r>
      <w:r w:rsidR="00054D09">
        <w:rPr>
          <w:szCs w:val="24"/>
        </w:rPr>
        <w:t>n</w:t>
      </w:r>
      <w:r w:rsidRPr="008E0367">
        <w:rPr>
          <w:szCs w:val="24"/>
        </w:rPr>
        <w:t xml:space="preserve"> </w:t>
      </w:r>
      <w:r w:rsidR="00EA0B0B">
        <w:rPr>
          <w:szCs w:val="24"/>
        </w:rPr>
        <w:t>83</w:t>
      </w:r>
      <w:r w:rsidRPr="008E0367">
        <w:rPr>
          <w:szCs w:val="24"/>
        </w:rPr>
        <w:t xml:space="preserve"> percent response rate</w:t>
      </w:r>
      <w:r w:rsidR="00EA0B0B">
        <w:rPr>
          <w:rStyle w:val="FootnoteReference"/>
          <w:szCs w:val="24"/>
        </w:rPr>
        <w:footnoteReference w:id="12"/>
      </w:r>
      <w:r w:rsidRPr="008E0367">
        <w:rPr>
          <w:szCs w:val="24"/>
        </w:rPr>
        <w:t xml:space="preserve">, we expect to have </w:t>
      </w:r>
      <w:r w:rsidR="004112F6">
        <w:rPr>
          <w:szCs w:val="24"/>
        </w:rPr>
        <w:t>481</w:t>
      </w:r>
      <w:r w:rsidR="00C85E21" w:rsidRPr="008E0367">
        <w:rPr>
          <w:szCs w:val="24"/>
        </w:rPr>
        <w:t xml:space="preserve"> </w:t>
      </w:r>
      <w:r w:rsidRPr="008E0367">
        <w:rPr>
          <w:szCs w:val="24"/>
        </w:rPr>
        <w:t>respondent sponsors</w:t>
      </w:r>
      <w:r w:rsidR="00FE2475">
        <w:rPr>
          <w:szCs w:val="24"/>
        </w:rPr>
        <w:t>, of which we expect 8</w:t>
      </w:r>
      <w:r w:rsidR="008D7AAC">
        <w:rPr>
          <w:szCs w:val="24"/>
        </w:rPr>
        <w:t>0 percent of them actually linked to the respondent site sample of 750</w:t>
      </w:r>
      <w:r w:rsidR="004112F6">
        <w:rPr>
          <w:szCs w:val="24"/>
        </w:rPr>
        <w:t xml:space="preserve">, resulting in </w:t>
      </w:r>
      <w:r w:rsidR="00654855">
        <w:rPr>
          <w:szCs w:val="24"/>
        </w:rPr>
        <w:t>385</w:t>
      </w:r>
      <w:r w:rsidR="008D7AAC">
        <w:rPr>
          <w:szCs w:val="24"/>
        </w:rPr>
        <w:t xml:space="preserve"> sponsors for analysis</w:t>
      </w:r>
      <w:r w:rsidRPr="008E0367">
        <w:rPr>
          <w:szCs w:val="24"/>
        </w:rPr>
        <w:t>.</w:t>
      </w:r>
    </w:p>
    <w:p w14:paraId="107A8C5E" w14:textId="11F95D12" w:rsidR="001B3EF8" w:rsidRPr="008E0367" w:rsidRDefault="001B3EF8" w:rsidP="00A9436B">
      <w:pPr>
        <w:spacing w:line="480" w:lineRule="auto"/>
        <w:ind w:firstLine="720"/>
        <w:rPr>
          <w:szCs w:val="24"/>
        </w:rPr>
      </w:pPr>
      <w:r w:rsidRPr="008E0367">
        <w:rPr>
          <w:szCs w:val="24"/>
        </w:rPr>
        <w:t xml:space="preserve">The overall response rates for sites and sponsors are presented </w:t>
      </w:r>
      <w:r w:rsidRPr="00B130FF">
        <w:rPr>
          <w:szCs w:val="24"/>
        </w:rPr>
        <w:t>in</w:t>
      </w:r>
      <w:r w:rsidR="00266727">
        <w:rPr>
          <w:szCs w:val="24"/>
        </w:rPr>
        <w:t xml:space="preserve"> </w:t>
      </w:r>
      <w:r w:rsidR="00266727" w:rsidRPr="00266727">
        <w:rPr>
          <w:szCs w:val="24"/>
        </w:rPr>
        <w:fldChar w:fldCharType="begin"/>
      </w:r>
      <w:r w:rsidR="00266727" w:rsidRPr="00266727">
        <w:rPr>
          <w:szCs w:val="24"/>
        </w:rPr>
        <w:instrText xml:space="preserve"> REF _Ref493487529 \h  \* MERGEFORMAT </w:instrText>
      </w:r>
      <w:r w:rsidR="00266727" w:rsidRPr="00266727">
        <w:rPr>
          <w:szCs w:val="24"/>
        </w:rPr>
      </w:r>
      <w:r w:rsidR="00266727" w:rsidRPr="00266727">
        <w:rPr>
          <w:szCs w:val="24"/>
        </w:rPr>
        <w:fldChar w:fldCharType="separate"/>
      </w:r>
      <w:r w:rsidR="00FD4FBC" w:rsidRPr="0075166D">
        <w:t xml:space="preserve">Table B1 - </w:t>
      </w:r>
      <w:r w:rsidR="00FD4FBC" w:rsidRPr="0075166D">
        <w:rPr>
          <w:noProof/>
        </w:rPr>
        <w:t>3</w:t>
      </w:r>
      <w:r w:rsidR="00266727" w:rsidRPr="00266727">
        <w:rPr>
          <w:szCs w:val="24"/>
        </w:rPr>
        <w:fldChar w:fldCharType="end"/>
      </w:r>
      <w:r w:rsidRPr="008E0367">
        <w:rPr>
          <w:szCs w:val="24"/>
        </w:rPr>
        <w:t>.</w:t>
      </w:r>
      <w:r w:rsidR="00E57CBE" w:rsidRPr="008E0367">
        <w:rPr>
          <w:szCs w:val="24"/>
        </w:rPr>
        <w:t xml:space="preserve"> The site response rate is for eligible sites only. Therefore, it does not include the eligibility rate (64%) of the sample selected from the 2017 frame.</w:t>
      </w:r>
    </w:p>
    <w:p w14:paraId="7FAC2B79" w14:textId="5AD8FAB0" w:rsidR="001B3EF8" w:rsidRPr="008E0367" w:rsidRDefault="00266727" w:rsidP="00266727">
      <w:pPr>
        <w:pStyle w:val="Caption"/>
        <w:rPr>
          <w:szCs w:val="24"/>
        </w:rPr>
      </w:pPr>
      <w:bookmarkStart w:id="18" w:name="_Ref493487529"/>
      <w:bookmarkStart w:id="19" w:name="_Toc505263875"/>
      <w:r w:rsidRPr="00266727">
        <w:rPr>
          <w:b/>
        </w:rPr>
        <w:t xml:space="preserve">Table B1 </w:t>
      </w:r>
      <w:r w:rsidR="006F021F" w:rsidRPr="00266727">
        <w:rPr>
          <w:b/>
        </w:rPr>
        <w:t xml:space="preserve">- </w:t>
      </w:r>
      <w:r w:rsidR="006B03DC">
        <w:rPr>
          <w:b/>
        </w:rPr>
        <w:fldChar w:fldCharType="begin"/>
      </w:r>
      <w:r w:rsidR="006B03DC">
        <w:rPr>
          <w:b/>
        </w:rPr>
        <w:instrText xml:space="preserve"> SEQ Table_B1_-_ \* ARABIC </w:instrText>
      </w:r>
      <w:r w:rsidR="006B03DC">
        <w:rPr>
          <w:b/>
        </w:rPr>
        <w:fldChar w:fldCharType="separate"/>
      </w:r>
      <w:r w:rsidR="00FD4FBC">
        <w:rPr>
          <w:b/>
          <w:noProof/>
        </w:rPr>
        <w:t>3</w:t>
      </w:r>
      <w:r w:rsidR="006B03DC">
        <w:rPr>
          <w:b/>
        </w:rPr>
        <w:fldChar w:fldCharType="end"/>
      </w:r>
      <w:bookmarkEnd w:id="18"/>
      <w:r w:rsidR="001B3EF8" w:rsidRPr="00266727">
        <w:rPr>
          <w:b/>
          <w:szCs w:val="24"/>
        </w:rPr>
        <w:t>.</w:t>
      </w:r>
      <w:r w:rsidR="00B760CB" w:rsidRPr="00266727">
        <w:rPr>
          <w:b/>
          <w:szCs w:val="24"/>
        </w:rPr>
        <w:t xml:space="preserve">  </w:t>
      </w:r>
      <w:r w:rsidR="001B3EF8" w:rsidRPr="00266727">
        <w:rPr>
          <w:b/>
          <w:szCs w:val="24"/>
        </w:rPr>
        <w:t>Overall</w:t>
      </w:r>
      <w:r w:rsidR="001B3EF8" w:rsidRPr="008E0367">
        <w:rPr>
          <w:b/>
          <w:szCs w:val="24"/>
        </w:rPr>
        <w:t xml:space="preserve"> Response Rates for Sponsors and Sites</w:t>
      </w:r>
      <w:bookmarkEnd w:id="19"/>
    </w:p>
    <w:tbl>
      <w:tblPr>
        <w:tblW w:w="9360" w:type="dxa"/>
        <w:tblLayout w:type="fixed"/>
        <w:tblLook w:val="04A0" w:firstRow="1" w:lastRow="0" w:firstColumn="1" w:lastColumn="0" w:noHBand="0" w:noVBand="1"/>
      </w:tblPr>
      <w:tblGrid>
        <w:gridCol w:w="2612"/>
        <w:gridCol w:w="2394"/>
        <w:gridCol w:w="2177"/>
        <w:gridCol w:w="2177"/>
      </w:tblGrid>
      <w:tr w:rsidR="00343DCA" w:rsidRPr="008E0367" w14:paraId="1DCCA953" w14:textId="5837D09F" w:rsidTr="00916C9C">
        <w:trPr>
          <w:trHeight w:val="552"/>
        </w:trPr>
        <w:tc>
          <w:tcPr>
            <w:tcW w:w="2612" w:type="dxa"/>
            <w:vMerge w:val="restart"/>
            <w:tcBorders>
              <w:top w:val="single" w:sz="4" w:space="0" w:color="auto"/>
              <w:left w:val="nil"/>
              <w:right w:val="nil"/>
            </w:tcBorders>
            <w:shd w:val="clear" w:color="auto" w:fill="B8CCE4" w:themeFill="accent1" w:themeFillTint="66"/>
            <w:noWrap/>
            <w:vAlign w:val="center"/>
            <w:hideMark/>
          </w:tcPr>
          <w:p w14:paraId="14C1D165" w14:textId="16A1F155" w:rsidR="001B3EF8" w:rsidRPr="008E0367" w:rsidRDefault="001B3EF8" w:rsidP="003B685F">
            <w:pPr>
              <w:jc w:val="center"/>
              <w:rPr>
                <w:b/>
                <w:color w:val="000000"/>
                <w:szCs w:val="24"/>
                <w:lang w:eastAsia="ko-KR"/>
              </w:rPr>
            </w:pPr>
            <w:r w:rsidRPr="008E0367">
              <w:rPr>
                <w:b/>
                <w:color w:val="000000"/>
                <w:szCs w:val="24"/>
                <w:lang w:eastAsia="ko-KR"/>
              </w:rPr>
              <w:t>Unit Type</w:t>
            </w:r>
          </w:p>
        </w:tc>
        <w:tc>
          <w:tcPr>
            <w:tcW w:w="2394" w:type="dxa"/>
            <w:vMerge w:val="restart"/>
            <w:tcBorders>
              <w:top w:val="single" w:sz="4" w:space="0" w:color="auto"/>
              <w:left w:val="nil"/>
              <w:right w:val="nil"/>
            </w:tcBorders>
            <w:shd w:val="clear" w:color="auto" w:fill="B8CCE4" w:themeFill="accent1" w:themeFillTint="66"/>
            <w:vAlign w:val="center"/>
          </w:tcPr>
          <w:p w14:paraId="6A8AD705" w14:textId="353A96D1" w:rsidR="001B3EF8" w:rsidRPr="008E0367" w:rsidRDefault="001B3EF8" w:rsidP="003B685F">
            <w:pPr>
              <w:jc w:val="center"/>
              <w:rPr>
                <w:b/>
                <w:color w:val="000000"/>
                <w:szCs w:val="24"/>
                <w:lang w:eastAsia="ko-KR"/>
              </w:rPr>
            </w:pPr>
            <w:r w:rsidRPr="008E0367">
              <w:rPr>
                <w:b/>
                <w:color w:val="000000"/>
                <w:szCs w:val="24"/>
                <w:lang w:eastAsia="ko-KR"/>
              </w:rPr>
              <w:t>State Response rate</w:t>
            </w:r>
            <w:r w:rsidR="00E57CBE" w:rsidRPr="008E0367">
              <w:rPr>
                <w:b/>
                <w:color w:val="000000"/>
                <w:szCs w:val="24"/>
                <w:lang w:eastAsia="ko-KR"/>
              </w:rPr>
              <w:t xml:space="preserve"> (%)</w:t>
            </w:r>
          </w:p>
        </w:tc>
        <w:tc>
          <w:tcPr>
            <w:tcW w:w="2177" w:type="dxa"/>
            <w:vMerge w:val="restart"/>
            <w:tcBorders>
              <w:top w:val="single" w:sz="4" w:space="0" w:color="auto"/>
              <w:left w:val="nil"/>
              <w:right w:val="nil"/>
            </w:tcBorders>
            <w:shd w:val="clear" w:color="auto" w:fill="B8CCE4" w:themeFill="accent1" w:themeFillTint="66"/>
            <w:vAlign w:val="center"/>
          </w:tcPr>
          <w:p w14:paraId="6B67D805" w14:textId="5F902535" w:rsidR="001B3EF8" w:rsidRPr="008E0367" w:rsidRDefault="001B3EF8" w:rsidP="003B685F">
            <w:pPr>
              <w:jc w:val="center"/>
              <w:rPr>
                <w:b/>
                <w:color w:val="000000"/>
                <w:szCs w:val="24"/>
                <w:lang w:eastAsia="ko-KR"/>
              </w:rPr>
            </w:pPr>
            <w:r w:rsidRPr="008E0367">
              <w:rPr>
                <w:b/>
                <w:color w:val="000000"/>
                <w:szCs w:val="24"/>
                <w:lang w:eastAsia="ko-KR"/>
              </w:rPr>
              <w:t xml:space="preserve">Within State </w:t>
            </w:r>
            <w:r w:rsidR="00263A91" w:rsidRPr="008E0367">
              <w:rPr>
                <w:b/>
                <w:color w:val="000000"/>
                <w:szCs w:val="24"/>
                <w:lang w:eastAsia="ko-KR"/>
              </w:rPr>
              <w:t xml:space="preserve">Sample </w:t>
            </w:r>
            <w:r w:rsidRPr="008E0367">
              <w:rPr>
                <w:b/>
                <w:color w:val="000000"/>
                <w:szCs w:val="24"/>
                <w:lang w:eastAsia="ko-KR"/>
              </w:rPr>
              <w:t>Response rate</w:t>
            </w:r>
            <w:r w:rsidR="00E57CBE" w:rsidRPr="008E0367">
              <w:rPr>
                <w:b/>
                <w:color w:val="000000"/>
                <w:szCs w:val="24"/>
                <w:lang w:eastAsia="ko-KR"/>
              </w:rPr>
              <w:t xml:space="preserve"> (%)</w:t>
            </w:r>
          </w:p>
        </w:tc>
        <w:tc>
          <w:tcPr>
            <w:tcW w:w="2177" w:type="dxa"/>
            <w:vMerge w:val="restart"/>
            <w:tcBorders>
              <w:top w:val="single" w:sz="4" w:space="0" w:color="auto"/>
              <w:left w:val="nil"/>
              <w:right w:val="nil"/>
            </w:tcBorders>
            <w:shd w:val="clear" w:color="auto" w:fill="B8CCE4" w:themeFill="accent1" w:themeFillTint="66"/>
            <w:noWrap/>
            <w:vAlign w:val="center"/>
            <w:hideMark/>
          </w:tcPr>
          <w:p w14:paraId="09D725AA" w14:textId="12BC2DDA" w:rsidR="001B3EF8" w:rsidRPr="008E0367" w:rsidRDefault="001B3EF8" w:rsidP="003B685F">
            <w:pPr>
              <w:jc w:val="center"/>
              <w:rPr>
                <w:b/>
                <w:color w:val="000000"/>
                <w:szCs w:val="24"/>
                <w:lang w:eastAsia="ko-KR"/>
              </w:rPr>
            </w:pPr>
            <w:r w:rsidRPr="008E0367">
              <w:rPr>
                <w:b/>
                <w:color w:val="000000"/>
                <w:szCs w:val="24"/>
                <w:lang w:eastAsia="ko-KR"/>
              </w:rPr>
              <w:t>Overall Response rate</w:t>
            </w:r>
            <w:r w:rsidR="00E57CBE" w:rsidRPr="008E0367">
              <w:rPr>
                <w:b/>
                <w:color w:val="000000"/>
                <w:szCs w:val="24"/>
                <w:lang w:eastAsia="ko-KR"/>
              </w:rPr>
              <w:t xml:space="preserve"> (%)</w:t>
            </w:r>
          </w:p>
        </w:tc>
      </w:tr>
      <w:tr w:rsidR="00343DCA" w:rsidRPr="008E0367" w14:paraId="5BE530B4" w14:textId="004D2ADF" w:rsidTr="00916C9C">
        <w:trPr>
          <w:trHeight w:val="552"/>
        </w:trPr>
        <w:tc>
          <w:tcPr>
            <w:tcW w:w="2612" w:type="dxa"/>
            <w:vMerge/>
            <w:tcBorders>
              <w:left w:val="nil"/>
              <w:bottom w:val="single" w:sz="4" w:space="0" w:color="auto"/>
              <w:right w:val="nil"/>
            </w:tcBorders>
            <w:shd w:val="clear" w:color="auto" w:fill="B8CCE4" w:themeFill="accent1" w:themeFillTint="66"/>
            <w:noWrap/>
            <w:vAlign w:val="center"/>
          </w:tcPr>
          <w:p w14:paraId="4F88A254" w14:textId="704B4817" w:rsidR="001B3EF8" w:rsidRPr="008E0367" w:rsidRDefault="001B3EF8" w:rsidP="003B685F">
            <w:pPr>
              <w:jc w:val="center"/>
              <w:rPr>
                <w:b/>
                <w:color w:val="000000"/>
                <w:szCs w:val="24"/>
                <w:lang w:eastAsia="ko-KR"/>
              </w:rPr>
            </w:pPr>
          </w:p>
        </w:tc>
        <w:tc>
          <w:tcPr>
            <w:tcW w:w="2394" w:type="dxa"/>
            <w:vMerge/>
            <w:tcBorders>
              <w:left w:val="nil"/>
              <w:bottom w:val="single" w:sz="4" w:space="0" w:color="auto"/>
              <w:right w:val="nil"/>
            </w:tcBorders>
            <w:shd w:val="clear" w:color="auto" w:fill="B8CCE4" w:themeFill="accent1" w:themeFillTint="66"/>
            <w:vAlign w:val="center"/>
          </w:tcPr>
          <w:p w14:paraId="47C84DCD" w14:textId="13197C84" w:rsidR="001B3EF8" w:rsidRPr="008E0367" w:rsidRDefault="001B3EF8" w:rsidP="003B685F">
            <w:pPr>
              <w:jc w:val="center"/>
              <w:rPr>
                <w:b/>
                <w:color w:val="000000"/>
                <w:szCs w:val="24"/>
                <w:lang w:eastAsia="ko-KR"/>
              </w:rPr>
            </w:pPr>
          </w:p>
        </w:tc>
        <w:tc>
          <w:tcPr>
            <w:tcW w:w="2177" w:type="dxa"/>
            <w:vMerge/>
            <w:tcBorders>
              <w:left w:val="nil"/>
              <w:bottom w:val="single" w:sz="4" w:space="0" w:color="auto"/>
              <w:right w:val="nil"/>
            </w:tcBorders>
            <w:shd w:val="clear" w:color="auto" w:fill="B8CCE4" w:themeFill="accent1" w:themeFillTint="66"/>
            <w:vAlign w:val="center"/>
          </w:tcPr>
          <w:p w14:paraId="6A5D90C7" w14:textId="53CA85A1" w:rsidR="001B3EF8" w:rsidRPr="008E0367" w:rsidRDefault="001B3EF8" w:rsidP="003B685F">
            <w:pPr>
              <w:jc w:val="center"/>
              <w:rPr>
                <w:b/>
                <w:color w:val="000000"/>
                <w:szCs w:val="24"/>
                <w:lang w:eastAsia="ko-KR"/>
              </w:rPr>
            </w:pPr>
          </w:p>
        </w:tc>
        <w:tc>
          <w:tcPr>
            <w:tcW w:w="2177" w:type="dxa"/>
            <w:vMerge/>
            <w:tcBorders>
              <w:left w:val="nil"/>
              <w:bottom w:val="single" w:sz="4" w:space="0" w:color="auto"/>
              <w:right w:val="nil"/>
            </w:tcBorders>
            <w:shd w:val="clear" w:color="auto" w:fill="B8CCE4" w:themeFill="accent1" w:themeFillTint="66"/>
            <w:noWrap/>
            <w:vAlign w:val="center"/>
          </w:tcPr>
          <w:p w14:paraId="2288244C" w14:textId="1B755BBD" w:rsidR="001B3EF8" w:rsidRPr="008E0367" w:rsidRDefault="001B3EF8" w:rsidP="003B685F">
            <w:pPr>
              <w:jc w:val="center"/>
              <w:rPr>
                <w:b/>
                <w:color w:val="000000"/>
                <w:szCs w:val="24"/>
                <w:lang w:eastAsia="ko-KR"/>
              </w:rPr>
            </w:pPr>
          </w:p>
        </w:tc>
      </w:tr>
      <w:tr w:rsidR="001B3EF8" w:rsidRPr="008E0367" w14:paraId="548512A7" w14:textId="0EDF419B" w:rsidTr="00F704C3">
        <w:trPr>
          <w:trHeight w:val="300"/>
        </w:trPr>
        <w:tc>
          <w:tcPr>
            <w:tcW w:w="2612" w:type="dxa"/>
            <w:tcBorders>
              <w:top w:val="single" w:sz="4" w:space="0" w:color="auto"/>
              <w:left w:val="nil"/>
              <w:right w:val="nil"/>
            </w:tcBorders>
            <w:shd w:val="clear" w:color="auto" w:fill="auto"/>
            <w:noWrap/>
            <w:vAlign w:val="center"/>
            <w:hideMark/>
          </w:tcPr>
          <w:p w14:paraId="028A52F8" w14:textId="2B724BE2" w:rsidR="001B3EF8" w:rsidRPr="008E0367" w:rsidRDefault="001B3EF8" w:rsidP="00FA7E24">
            <w:pPr>
              <w:rPr>
                <w:color w:val="000000"/>
                <w:szCs w:val="24"/>
                <w:lang w:eastAsia="ko-KR"/>
              </w:rPr>
            </w:pPr>
            <w:r w:rsidRPr="008E0367">
              <w:rPr>
                <w:color w:val="000000"/>
                <w:szCs w:val="24"/>
                <w:lang w:eastAsia="ko-KR"/>
              </w:rPr>
              <w:t>Sponsor</w:t>
            </w:r>
          </w:p>
        </w:tc>
        <w:tc>
          <w:tcPr>
            <w:tcW w:w="2394" w:type="dxa"/>
            <w:tcBorders>
              <w:top w:val="single" w:sz="4" w:space="0" w:color="auto"/>
              <w:left w:val="nil"/>
              <w:bottom w:val="nil"/>
              <w:right w:val="nil"/>
            </w:tcBorders>
            <w:vAlign w:val="center"/>
          </w:tcPr>
          <w:p w14:paraId="0F9DA4F3" w14:textId="5C7DE679" w:rsidR="001B3EF8" w:rsidRPr="008E0367" w:rsidRDefault="00E57CBE" w:rsidP="003B685F">
            <w:pPr>
              <w:jc w:val="center"/>
              <w:rPr>
                <w:color w:val="000000"/>
                <w:szCs w:val="24"/>
              </w:rPr>
            </w:pPr>
            <w:r w:rsidRPr="008E0367">
              <w:rPr>
                <w:color w:val="000000"/>
                <w:szCs w:val="24"/>
              </w:rPr>
              <w:t>83.3</w:t>
            </w:r>
          </w:p>
        </w:tc>
        <w:tc>
          <w:tcPr>
            <w:tcW w:w="2177" w:type="dxa"/>
            <w:tcBorders>
              <w:top w:val="single" w:sz="4" w:space="0" w:color="auto"/>
              <w:left w:val="nil"/>
              <w:bottom w:val="nil"/>
              <w:right w:val="nil"/>
            </w:tcBorders>
            <w:vAlign w:val="center"/>
          </w:tcPr>
          <w:p w14:paraId="2DCDC23E" w14:textId="09280FA5" w:rsidR="001B3EF8" w:rsidRPr="008E0367" w:rsidRDefault="00266727" w:rsidP="003B685F">
            <w:pPr>
              <w:jc w:val="center"/>
              <w:rPr>
                <w:color w:val="000000"/>
                <w:szCs w:val="24"/>
              </w:rPr>
            </w:pPr>
            <w:r>
              <w:rPr>
                <w:color w:val="000000"/>
                <w:szCs w:val="24"/>
                <w:lang w:eastAsia="ko-KR"/>
              </w:rPr>
              <w:t>83.0</w:t>
            </w:r>
          </w:p>
        </w:tc>
        <w:tc>
          <w:tcPr>
            <w:tcW w:w="2177" w:type="dxa"/>
            <w:tcBorders>
              <w:top w:val="single" w:sz="4" w:space="0" w:color="auto"/>
              <w:left w:val="nil"/>
              <w:bottom w:val="nil"/>
              <w:right w:val="nil"/>
            </w:tcBorders>
            <w:shd w:val="clear" w:color="auto" w:fill="auto"/>
            <w:noWrap/>
            <w:vAlign w:val="center"/>
            <w:hideMark/>
          </w:tcPr>
          <w:p w14:paraId="49A18556" w14:textId="60ECE476" w:rsidR="001B3EF8" w:rsidRPr="008E0367" w:rsidRDefault="00266727" w:rsidP="003B685F">
            <w:pPr>
              <w:jc w:val="center"/>
              <w:rPr>
                <w:color w:val="000000"/>
                <w:szCs w:val="24"/>
                <w:lang w:eastAsia="ko-KR"/>
              </w:rPr>
            </w:pPr>
            <w:r>
              <w:rPr>
                <w:color w:val="000000"/>
                <w:szCs w:val="24"/>
                <w:lang w:eastAsia="ko-KR"/>
              </w:rPr>
              <w:t>69.1</w:t>
            </w:r>
          </w:p>
        </w:tc>
      </w:tr>
      <w:tr w:rsidR="001B3EF8" w:rsidRPr="008E0367" w14:paraId="7A855BBC" w14:textId="7A2AB124" w:rsidTr="00F704C3">
        <w:trPr>
          <w:trHeight w:val="300"/>
        </w:trPr>
        <w:tc>
          <w:tcPr>
            <w:tcW w:w="2612" w:type="dxa"/>
            <w:tcBorders>
              <w:top w:val="nil"/>
              <w:left w:val="nil"/>
              <w:bottom w:val="single" w:sz="4" w:space="0" w:color="auto"/>
              <w:right w:val="nil"/>
            </w:tcBorders>
            <w:shd w:val="clear" w:color="auto" w:fill="auto"/>
            <w:noWrap/>
            <w:vAlign w:val="center"/>
            <w:hideMark/>
          </w:tcPr>
          <w:p w14:paraId="1029656A" w14:textId="49B32974" w:rsidR="001B3EF8" w:rsidRPr="008E0367" w:rsidRDefault="00E57CBE" w:rsidP="00FA7E24">
            <w:pPr>
              <w:rPr>
                <w:color w:val="000000"/>
                <w:szCs w:val="24"/>
                <w:lang w:eastAsia="ko-KR"/>
              </w:rPr>
            </w:pPr>
            <w:r w:rsidRPr="008E0367">
              <w:rPr>
                <w:color w:val="000000"/>
                <w:szCs w:val="24"/>
                <w:lang w:eastAsia="ko-KR"/>
              </w:rPr>
              <w:t>Site</w:t>
            </w:r>
          </w:p>
        </w:tc>
        <w:tc>
          <w:tcPr>
            <w:tcW w:w="2394" w:type="dxa"/>
            <w:tcBorders>
              <w:top w:val="nil"/>
              <w:left w:val="nil"/>
              <w:bottom w:val="single" w:sz="4" w:space="0" w:color="auto"/>
              <w:right w:val="nil"/>
            </w:tcBorders>
            <w:vAlign w:val="center"/>
          </w:tcPr>
          <w:p w14:paraId="1F2457B2" w14:textId="2B44D5D7" w:rsidR="001B3EF8" w:rsidRPr="008E0367" w:rsidRDefault="00E57CBE" w:rsidP="003B685F">
            <w:pPr>
              <w:jc w:val="center"/>
              <w:rPr>
                <w:color w:val="000000"/>
                <w:szCs w:val="24"/>
              </w:rPr>
            </w:pPr>
            <w:r w:rsidRPr="008E0367">
              <w:rPr>
                <w:color w:val="000000"/>
                <w:szCs w:val="24"/>
              </w:rPr>
              <w:t>83.3</w:t>
            </w:r>
          </w:p>
        </w:tc>
        <w:tc>
          <w:tcPr>
            <w:tcW w:w="2177" w:type="dxa"/>
            <w:tcBorders>
              <w:top w:val="nil"/>
              <w:left w:val="nil"/>
              <w:bottom w:val="single" w:sz="4" w:space="0" w:color="auto"/>
              <w:right w:val="nil"/>
            </w:tcBorders>
            <w:vAlign w:val="center"/>
          </w:tcPr>
          <w:p w14:paraId="50450661" w14:textId="1CE85218" w:rsidR="001B3EF8" w:rsidRPr="008E0367" w:rsidRDefault="00266727" w:rsidP="003B685F">
            <w:pPr>
              <w:jc w:val="center"/>
              <w:rPr>
                <w:color w:val="000000"/>
                <w:szCs w:val="24"/>
              </w:rPr>
            </w:pPr>
            <w:r>
              <w:rPr>
                <w:color w:val="000000"/>
                <w:szCs w:val="24"/>
                <w:lang w:eastAsia="ko-KR"/>
              </w:rPr>
              <w:t>7</w:t>
            </w:r>
            <w:r w:rsidR="00252E7C">
              <w:rPr>
                <w:color w:val="000000"/>
                <w:szCs w:val="24"/>
                <w:lang w:eastAsia="ko-KR"/>
              </w:rPr>
              <w:t>0</w:t>
            </w:r>
            <w:r w:rsidR="00E57CBE" w:rsidRPr="008E0367">
              <w:rPr>
                <w:color w:val="000000"/>
                <w:szCs w:val="24"/>
                <w:lang w:eastAsia="ko-KR"/>
              </w:rPr>
              <w:t>.0</w:t>
            </w:r>
          </w:p>
        </w:tc>
        <w:tc>
          <w:tcPr>
            <w:tcW w:w="2177" w:type="dxa"/>
            <w:tcBorders>
              <w:top w:val="nil"/>
              <w:left w:val="nil"/>
              <w:bottom w:val="single" w:sz="4" w:space="0" w:color="auto"/>
              <w:right w:val="nil"/>
            </w:tcBorders>
            <w:shd w:val="clear" w:color="auto" w:fill="auto"/>
            <w:noWrap/>
            <w:vAlign w:val="center"/>
            <w:hideMark/>
          </w:tcPr>
          <w:p w14:paraId="0312925B" w14:textId="43F4A2E6" w:rsidR="001B3EF8" w:rsidRPr="008E0367" w:rsidRDefault="00252E7C" w:rsidP="00252E7C">
            <w:pPr>
              <w:jc w:val="center"/>
              <w:rPr>
                <w:color w:val="000000"/>
                <w:szCs w:val="24"/>
                <w:lang w:eastAsia="ko-KR"/>
              </w:rPr>
            </w:pPr>
            <w:r>
              <w:rPr>
                <w:color w:val="000000"/>
                <w:szCs w:val="24"/>
                <w:lang w:eastAsia="ko-KR"/>
              </w:rPr>
              <w:t>58.3</w:t>
            </w:r>
          </w:p>
        </w:tc>
      </w:tr>
    </w:tbl>
    <w:p w14:paraId="57C639DB" w14:textId="77777777" w:rsidR="001B3EF8" w:rsidRPr="008E0367" w:rsidRDefault="001B3EF8" w:rsidP="0020370D">
      <w:pPr>
        <w:spacing w:line="480" w:lineRule="auto"/>
        <w:rPr>
          <w:szCs w:val="24"/>
        </w:rPr>
      </w:pPr>
    </w:p>
    <w:p w14:paraId="082E85C0" w14:textId="7BCDBA0A" w:rsidR="0037744B" w:rsidRPr="008E0367" w:rsidRDefault="0037744B" w:rsidP="0020370D">
      <w:pPr>
        <w:spacing w:line="480" w:lineRule="auto"/>
        <w:rPr>
          <w:b/>
          <w:color w:val="324162"/>
          <w:szCs w:val="24"/>
        </w:rPr>
      </w:pPr>
      <w:r w:rsidRPr="008E0367">
        <w:rPr>
          <w:b/>
          <w:i/>
          <w:szCs w:val="24"/>
        </w:rPr>
        <w:t>Households</w:t>
      </w:r>
    </w:p>
    <w:p w14:paraId="4D147078" w14:textId="57DCBDE5" w:rsidR="00CE7096" w:rsidRPr="008E0367" w:rsidRDefault="001E39AE" w:rsidP="00A9436B">
      <w:pPr>
        <w:spacing w:line="480" w:lineRule="auto"/>
        <w:ind w:firstLine="720"/>
        <w:rPr>
          <w:szCs w:val="24"/>
        </w:rPr>
      </w:pPr>
      <w:r w:rsidRPr="008E0367">
        <w:rPr>
          <w:szCs w:val="24"/>
        </w:rPr>
        <w:t xml:space="preserve">To select participant and nonparticipant </w:t>
      </w:r>
      <w:r w:rsidR="00407736" w:rsidRPr="008E0367">
        <w:rPr>
          <w:szCs w:val="24"/>
        </w:rPr>
        <w:t>household (</w:t>
      </w:r>
      <w:r w:rsidRPr="008E0367">
        <w:rPr>
          <w:szCs w:val="24"/>
        </w:rPr>
        <w:t>caregiver</w:t>
      </w:r>
      <w:r w:rsidR="00407736" w:rsidRPr="008E0367">
        <w:rPr>
          <w:szCs w:val="24"/>
        </w:rPr>
        <w:t>)</w:t>
      </w:r>
      <w:r w:rsidRPr="008E0367">
        <w:rPr>
          <w:szCs w:val="24"/>
        </w:rPr>
        <w:t xml:space="preserve"> samples</w:t>
      </w:r>
      <w:r w:rsidR="00C117EA" w:rsidRPr="008E0367">
        <w:rPr>
          <w:szCs w:val="24"/>
        </w:rPr>
        <w:t xml:space="preserve"> for open sites</w:t>
      </w:r>
      <w:r w:rsidRPr="008E0367">
        <w:rPr>
          <w:szCs w:val="24"/>
        </w:rPr>
        <w:t xml:space="preserve">, we </w:t>
      </w:r>
      <w:r w:rsidR="00475C21" w:rsidRPr="008E0367">
        <w:rPr>
          <w:szCs w:val="24"/>
        </w:rPr>
        <w:t xml:space="preserve">plan to </w:t>
      </w:r>
      <w:r w:rsidRPr="008E0367">
        <w:rPr>
          <w:szCs w:val="24"/>
        </w:rPr>
        <w:t>define the catchment area for each site by drawing a circle around the site with a fixed radius</w:t>
      </w:r>
      <w:r w:rsidR="007873B5" w:rsidRPr="008E0367">
        <w:rPr>
          <w:szCs w:val="24"/>
        </w:rPr>
        <w:t xml:space="preserve"> (1 mile for urban sites and </w:t>
      </w:r>
      <w:r w:rsidR="001F2BE9">
        <w:rPr>
          <w:szCs w:val="24"/>
        </w:rPr>
        <w:t>5</w:t>
      </w:r>
      <w:r w:rsidR="001F2BE9" w:rsidRPr="008E0367">
        <w:rPr>
          <w:szCs w:val="24"/>
        </w:rPr>
        <w:t xml:space="preserve"> </w:t>
      </w:r>
      <w:r w:rsidR="007873B5" w:rsidRPr="008E0367">
        <w:rPr>
          <w:szCs w:val="24"/>
        </w:rPr>
        <w:t>miles for rural si</w:t>
      </w:r>
      <w:r w:rsidR="00266E52" w:rsidRPr="008E0367">
        <w:rPr>
          <w:szCs w:val="24"/>
        </w:rPr>
        <w:t>t</w:t>
      </w:r>
      <w:r w:rsidR="007873B5" w:rsidRPr="008E0367">
        <w:rPr>
          <w:szCs w:val="24"/>
        </w:rPr>
        <w:t>e</w:t>
      </w:r>
      <w:r w:rsidR="00266E52" w:rsidRPr="008E0367">
        <w:rPr>
          <w:szCs w:val="24"/>
        </w:rPr>
        <w:t>s</w:t>
      </w:r>
      <w:r w:rsidR="007873B5" w:rsidRPr="008E0367">
        <w:rPr>
          <w:szCs w:val="24"/>
        </w:rPr>
        <w:t>)</w:t>
      </w:r>
      <w:r w:rsidRPr="008E0367">
        <w:rPr>
          <w:szCs w:val="24"/>
        </w:rPr>
        <w:t>.</w:t>
      </w:r>
      <w:r w:rsidR="00A539A5" w:rsidRPr="008E0367">
        <w:rPr>
          <w:rStyle w:val="FootnoteReference"/>
          <w:szCs w:val="24"/>
        </w:rPr>
        <w:footnoteReference w:id="13"/>
      </w:r>
      <w:r w:rsidRPr="008E0367">
        <w:rPr>
          <w:szCs w:val="24"/>
        </w:rPr>
        <w:t xml:space="preserve"> Then</w:t>
      </w:r>
      <w:r w:rsidR="004F1F20" w:rsidRPr="008E0367">
        <w:rPr>
          <w:szCs w:val="24"/>
        </w:rPr>
        <w:t>,</w:t>
      </w:r>
      <w:r w:rsidRPr="008E0367">
        <w:rPr>
          <w:szCs w:val="24"/>
        </w:rPr>
        <w:t xml:space="preserve"> we will treat all households with children </w:t>
      </w:r>
      <w:r w:rsidR="004F1F20" w:rsidRPr="008E0367">
        <w:rPr>
          <w:szCs w:val="24"/>
        </w:rPr>
        <w:t>ages</w:t>
      </w:r>
      <w:r w:rsidRPr="008E0367">
        <w:rPr>
          <w:szCs w:val="24"/>
        </w:rPr>
        <w:t xml:space="preserve"> 18</w:t>
      </w:r>
      <w:r w:rsidR="004F1F20" w:rsidRPr="008E0367">
        <w:rPr>
          <w:szCs w:val="24"/>
        </w:rPr>
        <w:t xml:space="preserve"> </w:t>
      </w:r>
      <w:r w:rsidR="00263A91" w:rsidRPr="008E0367">
        <w:rPr>
          <w:szCs w:val="24"/>
        </w:rPr>
        <w:t>or</w:t>
      </w:r>
      <w:r w:rsidR="004F1F20" w:rsidRPr="008E0367">
        <w:rPr>
          <w:szCs w:val="24"/>
        </w:rPr>
        <w:t xml:space="preserve"> under</w:t>
      </w:r>
      <w:r w:rsidRPr="008E0367">
        <w:rPr>
          <w:szCs w:val="24"/>
        </w:rPr>
        <w:t xml:space="preserve"> a</w:t>
      </w:r>
      <w:r w:rsidR="00A536D1" w:rsidRPr="008E0367">
        <w:rPr>
          <w:szCs w:val="24"/>
        </w:rPr>
        <w:t>s</w:t>
      </w:r>
      <w:r w:rsidRPr="008E0367">
        <w:rPr>
          <w:szCs w:val="24"/>
        </w:rPr>
        <w:t xml:space="preserve"> eligible for the study. We will use three sources of </w:t>
      </w:r>
      <w:r w:rsidR="00B44FE7" w:rsidRPr="008E0367">
        <w:rPr>
          <w:szCs w:val="24"/>
        </w:rPr>
        <w:t>data to construct the household frame</w:t>
      </w:r>
      <w:r w:rsidRPr="008E0367">
        <w:rPr>
          <w:szCs w:val="24"/>
        </w:rPr>
        <w:t xml:space="preserve">: (1) SNAP households with children </w:t>
      </w:r>
      <w:r w:rsidR="004F1F20" w:rsidRPr="008E0367">
        <w:rPr>
          <w:szCs w:val="24"/>
        </w:rPr>
        <w:t>living</w:t>
      </w:r>
      <w:r w:rsidRPr="008E0367">
        <w:rPr>
          <w:szCs w:val="24"/>
        </w:rPr>
        <w:t xml:space="preserve"> in the site catchment area; (2) Post</w:t>
      </w:r>
      <w:r w:rsidR="001C7B3F" w:rsidRPr="008E0367">
        <w:rPr>
          <w:szCs w:val="24"/>
        </w:rPr>
        <w:t>al</w:t>
      </w:r>
      <w:r w:rsidRPr="008E0367">
        <w:rPr>
          <w:szCs w:val="24"/>
        </w:rPr>
        <w:t xml:space="preserve"> </w:t>
      </w:r>
      <w:r w:rsidR="00407736" w:rsidRPr="008E0367">
        <w:rPr>
          <w:szCs w:val="24"/>
        </w:rPr>
        <w:t xml:space="preserve">residential </w:t>
      </w:r>
      <w:r w:rsidRPr="008E0367">
        <w:rPr>
          <w:szCs w:val="24"/>
        </w:rPr>
        <w:t xml:space="preserve">addresses in the site catchment area; </w:t>
      </w:r>
      <w:r w:rsidR="00243C07" w:rsidRPr="008E0367">
        <w:rPr>
          <w:szCs w:val="24"/>
        </w:rPr>
        <w:t xml:space="preserve">and </w:t>
      </w:r>
      <w:r w:rsidRPr="008E0367">
        <w:rPr>
          <w:szCs w:val="24"/>
        </w:rPr>
        <w:t xml:space="preserve">(3) On-site </w:t>
      </w:r>
      <w:r w:rsidR="00780D9D" w:rsidRPr="008E0367">
        <w:rPr>
          <w:szCs w:val="24"/>
        </w:rPr>
        <w:t xml:space="preserve">(SFSP/SSO) </w:t>
      </w:r>
      <w:r w:rsidRPr="008E0367">
        <w:rPr>
          <w:szCs w:val="24"/>
        </w:rPr>
        <w:t>participant households</w:t>
      </w:r>
      <w:r w:rsidR="003D16EE" w:rsidRPr="008E0367">
        <w:rPr>
          <w:szCs w:val="24"/>
        </w:rPr>
        <w:t xml:space="preserve"> attending the summer meal sites</w:t>
      </w:r>
      <w:r w:rsidRPr="008E0367">
        <w:rPr>
          <w:szCs w:val="24"/>
        </w:rPr>
        <w:t xml:space="preserve">. </w:t>
      </w:r>
      <w:r w:rsidR="00780D9D" w:rsidRPr="008E0367">
        <w:rPr>
          <w:szCs w:val="24"/>
        </w:rPr>
        <w:t xml:space="preserve">SNAP household data </w:t>
      </w:r>
      <w:r w:rsidR="00243C07" w:rsidRPr="008E0367">
        <w:rPr>
          <w:szCs w:val="24"/>
        </w:rPr>
        <w:t xml:space="preserve">allows us to identify low-income households with children in the catchment area; it does not capture those who do not participate in </w:t>
      </w:r>
      <w:r w:rsidRPr="008E0367">
        <w:rPr>
          <w:szCs w:val="24"/>
        </w:rPr>
        <w:t>SNAP</w:t>
      </w:r>
      <w:r w:rsidR="00243C07" w:rsidRPr="008E0367">
        <w:rPr>
          <w:szCs w:val="24"/>
        </w:rPr>
        <w:t>,</w:t>
      </w:r>
      <w:r w:rsidRPr="008E0367">
        <w:rPr>
          <w:szCs w:val="24"/>
        </w:rPr>
        <w:t xml:space="preserve"> but</w:t>
      </w:r>
      <w:r w:rsidR="00243C07" w:rsidRPr="008E0367">
        <w:rPr>
          <w:szCs w:val="24"/>
        </w:rPr>
        <w:t xml:space="preserve"> who are</w:t>
      </w:r>
      <w:r w:rsidRPr="008E0367">
        <w:rPr>
          <w:szCs w:val="24"/>
        </w:rPr>
        <w:t xml:space="preserve"> eligible for SFSP/SSO. The seco</w:t>
      </w:r>
      <w:r w:rsidR="00243C07" w:rsidRPr="008E0367">
        <w:rPr>
          <w:szCs w:val="24"/>
        </w:rPr>
        <w:t>nd source</w:t>
      </w:r>
      <w:r w:rsidR="00475C21" w:rsidRPr="008E0367">
        <w:rPr>
          <w:szCs w:val="24"/>
        </w:rPr>
        <w:t>—</w:t>
      </w:r>
      <w:r w:rsidR="00780D9D" w:rsidRPr="008E0367">
        <w:rPr>
          <w:szCs w:val="24"/>
        </w:rPr>
        <w:t>postal</w:t>
      </w:r>
      <w:r w:rsidR="00475C21" w:rsidRPr="008E0367">
        <w:rPr>
          <w:szCs w:val="24"/>
        </w:rPr>
        <w:t xml:space="preserve"> </w:t>
      </w:r>
      <w:r w:rsidR="00780D9D" w:rsidRPr="008E0367">
        <w:rPr>
          <w:szCs w:val="24"/>
        </w:rPr>
        <w:t>data</w:t>
      </w:r>
      <w:r w:rsidR="00475C21" w:rsidRPr="008E0367">
        <w:rPr>
          <w:szCs w:val="24"/>
        </w:rPr>
        <w:t>—</w:t>
      </w:r>
      <w:r w:rsidR="00243C07" w:rsidRPr="008E0367">
        <w:rPr>
          <w:szCs w:val="24"/>
        </w:rPr>
        <w:t xml:space="preserve">can provide </w:t>
      </w:r>
      <w:r w:rsidRPr="008E0367">
        <w:rPr>
          <w:szCs w:val="24"/>
        </w:rPr>
        <w:t>full coverage</w:t>
      </w:r>
      <w:r w:rsidR="00243C07" w:rsidRPr="008E0367">
        <w:rPr>
          <w:szCs w:val="24"/>
        </w:rPr>
        <w:t>,</w:t>
      </w:r>
      <w:r w:rsidRPr="008E0367">
        <w:rPr>
          <w:szCs w:val="24"/>
        </w:rPr>
        <w:t xml:space="preserve"> but </w:t>
      </w:r>
      <w:r w:rsidR="00243C07" w:rsidRPr="008E0367">
        <w:rPr>
          <w:szCs w:val="24"/>
        </w:rPr>
        <w:t>poses the highest burden on the public and is resource intensive. The third source</w:t>
      </w:r>
      <w:r w:rsidR="00780D9D" w:rsidRPr="008E0367">
        <w:rPr>
          <w:szCs w:val="24"/>
        </w:rPr>
        <w:t>—participants at SFSP/SS</w:t>
      </w:r>
      <w:r w:rsidR="006868DE">
        <w:rPr>
          <w:szCs w:val="24"/>
        </w:rPr>
        <w:t>O</w:t>
      </w:r>
      <w:r w:rsidR="00780D9D" w:rsidRPr="008E0367">
        <w:rPr>
          <w:szCs w:val="24"/>
        </w:rPr>
        <w:t xml:space="preserve"> sites</w:t>
      </w:r>
      <w:r w:rsidR="00475C21" w:rsidRPr="008E0367">
        <w:rPr>
          <w:szCs w:val="24"/>
        </w:rPr>
        <w:t>—</w:t>
      </w:r>
      <w:r w:rsidR="00243C07" w:rsidRPr="008E0367">
        <w:rPr>
          <w:szCs w:val="24"/>
        </w:rPr>
        <w:t xml:space="preserve">is most efficient to capture participants, but is limited in the coverage of </w:t>
      </w:r>
      <w:r w:rsidR="00B44FE7" w:rsidRPr="008E0367">
        <w:rPr>
          <w:szCs w:val="24"/>
        </w:rPr>
        <w:t>participants</w:t>
      </w:r>
      <w:r w:rsidR="00243C07" w:rsidRPr="008E0367">
        <w:rPr>
          <w:szCs w:val="24"/>
        </w:rPr>
        <w:t xml:space="preserve"> and cannot be used to identify nonparticipants. Using these three sources combined, we seek to minimize burden on the public, while maximizing coverage. </w:t>
      </w:r>
    </w:p>
    <w:p w14:paraId="5AAECE54" w14:textId="0E2B2122" w:rsidR="00CE7096" w:rsidRDefault="00CE7096" w:rsidP="00A9436B">
      <w:pPr>
        <w:spacing w:line="480" w:lineRule="auto"/>
        <w:ind w:firstLine="720"/>
        <w:rPr>
          <w:szCs w:val="24"/>
        </w:rPr>
      </w:pPr>
      <w:r w:rsidRPr="008E0367">
        <w:rPr>
          <w:szCs w:val="24"/>
        </w:rPr>
        <w:t xml:space="preserve">For closed sites, we will also use three sources: (1) </w:t>
      </w:r>
      <w:r w:rsidR="00E74565" w:rsidRPr="008E0367">
        <w:rPr>
          <w:szCs w:val="24"/>
        </w:rPr>
        <w:t>E</w:t>
      </w:r>
      <w:r w:rsidRPr="008E0367">
        <w:rPr>
          <w:szCs w:val="24"/>
        </w:rPr>
        <w:t>nrollment list</w:t>
      </w:r>
      <w:r w:rsidR="00266E52" w:rsidRPr="008E0367">
        <w:rPr>
          <w:szCs w:val="24"/>
        </w:rPr>
        <w:t>s</w:t>
      </w:r>
      <w:r w:rsidRPr="008E0367">
        <w:rPr>
          <w:szCs w:val="24"/>
        </w:rPr>
        <w:t>, which provide the full list of participants</w:t>
      </w:r>
      <w:r w:rsidR="00E74565" w:rsidRPr="008E0367">
        <w:rPr>
          <w:szCs w:val="24"/>
        </w:rPr>
        <w:t>; (2) SNAP list</w:t>
      </w:r>
      <w:r w:rsidR="00266E52" w:rsidRPr="008E0367">
        <w:rPr>
          <w:szCs w:val="24"/>
        </w:rPr>
        <w:t>s</w:t>
      </w:r>
      <w:r w:rsidR="00E74565" w:rsidRPr="008E0367">
        <w:rPr>
          <w:szCs w:val="24"/>
        </w:rPr>
        <w:t xml:space="preserve"> </w:t>
      </w:r>
      <w:r w:rsidRPr="008E0367">
        <w:rPr>
          <w:szCs w:val="24"/>
        </w:rPr>
        <w:t xml:space="preserve">deduplicated of the enrolled </w:t>
      </w:r>
      <w:r w:rsidR="00E74565" w:rsidRPr="008E0367">
        <w:rPr>
          <w:szCs w:val="24"/>
        </w:rPr>
        <w:t xml:space="preserve">children </w:t>
      </w:r>
      <w:r w:rsidR="00F968B8" w:rsidRPr="008E0367">
        <w:rPr>
          <w:szCs w:val="24"/>
        </w:rPr>
        <w:t xml:space="preserve">in the closed site </w:t>
      </w:r>
      <w:r w:rsidR="00E74565" w:rsidRPr="008E0367">
        <w:rPr>
          <w:szCs w:val="24"/>
        </w:rPr>
        <w:t xml:space="preserve">to select nonparticipants; (3) Postal residential </w:t>
      </w:r>
      <w:r w:rsidR="00E74565" w:rsidRPr="00B972EC">
        <w:rPr>
          <w:szCs w:val="24"/>
        </w:rPr>
        <w:t>addresses to select nonparticipants</w:t>
      </w:r>
      <w:r w:rsidR="00E74565" w:rsidRPr="00224BA4">
        <w:rPr>
          <w:szCs w:val="24"/>
        </w:rPr>
        <w:t>. Source</w:t>
      </w:r>
      <w:r w:rsidR="00E74565" w:rsidRPr="00845F4D">
        <w:rPr>
          <w:szCs w:val="24"/>
        </w:rPr>
        <w:t xml:space="preserve"> (1) </w:t>
      </w:r>
      <w:r w:rsidR="00E74565" w:rsidRPr="00B3642C">
        <w:rPr>
          <w:szCs w:val="24"/>
        </w:rPr>
        <w:t>do</w:t>
      </w:r>
      <w:r w:rsidR="00F60784" w:rsidRPr="00FA7E24">
        <w:rPr>
          <w:szCs w:val="24"/>
        </w:rPr>
        <w:t>es</w:t>
      </w:r>
      <w:r w:rsidR="00E74565" w:rsidRPr="00224BA4">
        <w:rPr>
          <w:szCs w:val="24"/>
        </w:rPr>
        <w:t xml:space="preserve"> not </w:t>
      </w:r>
      <w:r w:rsidR="005229A3" w:rsidRPr="00224BA4">
        <w:rPr>
          <w:szCs w:val="24"/>
        </w:rPr>
        <w:t>require</w:t>
      </w:r>
      <w:r w:rsidR="00E74565" w:rsidRPr="00224BA4">
        <w:rPr>
          <w:szCs w:val="24"/>
        </w:rPr>
        <w:t xml:space="preserve"> screening,</w:t>
      </w:r>
      <w:r w:rsidRPr="00845F4D">
        <w:rPr>
          <w:szCs w:val="24"/>
        </w:rPr>
        <w:t xml:space="preserve"> whereas </w:t>
      </w:r>
      <w:r w:rsidR="00E74565" w:rsidRPr="00B3642C">
        <w:rPr>
          <w:szCs w:val="24"/>
        </w:rPr>
        <w:t>so</w:t>
      </w:r>
      <w:r w:rsidR="00E74565" w:rsidRPr="00B972EC">
        <w:rPr>
          <w:szCs w:val="24"/>
        </w:rPr>
        <w:t>urce</w:t>
      </w:r>
      <w:r w:rsidR="00F60784" w:rsidRPr="00FA7E24">
        <w:rPr>
          <w:szCs w:val="24"/>
        </w:rPr>
        <w:t>s (2) and</w:t>
      </w:r>
      <w:r w:rsidR="00E74565" w:rsidRPr="00B972EC">
        <w:rPr>
          <w:szCs w:val="24"/>
        </w:rPr>
        <w:t xml:space="preserve"> (3) do </w:t>
      </w:r>
      <w:r w:rsidR="00475C21" w:rsidRPr="00B972EC">
        <w:rPr>
          <w:szCs w:val="24"/>
        </w:rPr>
        <w:t>require</w:t>
      </w:r>
      <w:r w:rsidR="00E74565" w:rsidRPr="00B972EC">
        <w:rPr>
          <w:szCs w:val="24"/>
        </w:rPr>
        <w:t xml:space="preserve"> </w:t>
      </w:r>
      <w:r w:rsidRPr="00B972EC">
        <w:rPr>
          <w:szCs w:val="24"/>
        </w:rPr>
        <w:t>screen</w:t>
      </w:r>
      <w:r w:rsidR="00E74565" w:rsidRPr="00B972EC">
        <w:rPr>
          <w:szCs w:val="24"/>
        </w:rPr>
        <w:t>ing</w:t>
      </w:r>
      <w:r w:rsidRPr="00B972EC">
        <w:rPr>
          <w:szCs w:val="24"/>
        </w:rPr>
        <w:t xml:space="preserve"> for </w:t>
      </w:r>
      <w:r w:rsidR="00F60784" w:rsidRPr="00FA7E24">
        <w:rPr>
          <w:szCs w:val="24"/>
        </w:rPr>
        <w:t xml:space="preserve">eligible </w:t>
      </w:r>
      <w:r w:rsidRPr="00B972EC">
        <w:rPr>
          <w:szCs w:val="24"/>
        </w:rPr>
        <w:t>households with children</w:t>
      </w:r>
      <w:r w:rsidR="00F60784" w:rsidRPr="00FA7E24">
        <w:rPr>
          <w:szCs w:val="24"/>
        </w:rPr>
        <w:t xml:space="preserve"> for closed sites</w:t>
      </w:r>
      <w:r w:rsidRPr="00B972EC">
        <w:rPr>
          <w:szCs w:val="24"/>
        </w:rPr>
        <w:t>.</w:t>
      </w:r>
      <w:r w:rsidR="00A162D9" w:rsidRPr="00B972EC">
        <w:rPr>
          <w:szCs w:val="24"/>
        </w:rPr>
        <w:t xml:space="preserve"> Closed</w:t>
      </w:r>
      <w:r w:rsidR="00A162D9">
        <w:rPr>
          <w:szCs w:val="24"/>
        </w:rPr>
        <w:t xml:space="preserve"> sites are more restrictive for participation </w:t>
      </w:r>
      <w:r w:rsidR="00C25E69">
        <w:rPr>
          <w:szCs w:val="24"/>
        </w:rPr>
        <w:t xml:space="preserve">than open sites </w:t>
      </w:r>
      <w:r w:rsidR="00A162D9">
        <w:rPr>
          <w:szCs w:val="24"/>
        </w:rPr>
        <w:t>(e.g., age restriction for sport camps or gender restriction for gender-specific programs). We assume that 50 percent of households with children are eligible for close</w:t>
      </w:r>
      <w:r w:rsidR="00FE537E">
        <w:rPr>
          <w:szCs w:val="24"/>
        </w:rPr>
        <w:t>d</w:t>
      </w:r>
      <w:r w:rsidR="00A162D9">
        <w:rPr>
          <w:szCs w:val="24"/>
        </w:rPr>
        <w:t xml:space="preserve"> sites. However, it is </w:t>
      </w:r>
      <w:r w:rsidR="00C24B26">
        <w:rPr>
          <w:szCs w:val="24"/>
        </w:rPr>
        <w:t xml:space="preserve">not </w:t>
      </w:r>
      <w:r w:rsidR="00A162D9">
        <w:rPr>
          <w:szCs w:val="24"/>
        </w:rPr>
        <w:t>feasible to screen households from the SNAP and postal frame according to site-specific restrictions</w:t>
      </w:r>
      <w:r w:rsidR="00C24B26">
        <w:rPr>
          <w:szCs w:val="24"/>
        </w:rPr>
        <w:t xml:space="preserve"> but feasible only after the caregiver survey</w:t>
      </w:r>
      <w:r w:rsidR="00506668">
        <w:rPr>
          <w:szCs w:val="24"/>
        </w:rPr>
        <w:t xml:space="preserve"> because we can then determine their eligibility based on the collected survey data</w:t>
      </w:r>
      <w:r w:rsidR="00C24B26">
        <w:rPr>
          <w:szCs w:val="24"/>
        </w:rPr>
        <w:t>.</w:t>
      </w:r>
      <w:r w:rsidR="00506668">
        <w:rPr>
          <w:rStyle w:val="FootnoteReference"/>
          <w:szCs w:val="24"/>
        </w:rPr>
        <w:footnoteReference w:id="14"/>
      </w:r>
      <w:r w:rsidR="00C24B26">
        <w:rPr>
          <w:szCs w:val="24"/>
        </w:rPr>
        <w:t xml:space="preserve"> Therefore, the sample size for the nonparticipant survey for closed sites is doubled.</w:t>
      </w:r>
    </w:p>
    <w:p w14:paraId="24DFC835" w14:textId="710A4F73" w:rsidR="001E39AE" w:rsidRPr="008E0367" w:rsidRDefault="00243C07" w:rsidP="00A9436B">
      <w:pPr>
        <w:spacing w:line="480" w:lineRule="auto"/>
        <w:ind w:firstLine="720"/>
        <w:rPr>
          <w:szCs w:val="24"/>
        </w:rPr>
      </w:pPr>
      <w:r w:rsidRPr="008E0367">
        <w:rPr>
          <w:szCs w:val="24"/>
        </w:rPr>
        <w:t xml:space="preserve">For the selection of </w:t>
      </w:r>
      <w:r w:rsidR="003D16EE" w:rsidRPr="008E0367">
        <w:rPr>
          <w:szCs w:val="24"/>
        </w:rPr>
        <w:t xml:space="preserve">households in the catchment areas of </w:t>
      </w:r>
      <w:r w:rsidRPr="008E0367">
        <w:rPr>
          <w:szCs w:val="24"/>
        </w:rPr>
        <w:t xml:space="preserve">continuing sites, we </w:t>
      </w:r>
      <w:r w:rsidR="00B44FE7" w:rsidRPr="008E0367">
        <w:rPr>
          <w:szCs w:val="24"/>
        </w:rPr>
        <w:t xml:space="preserve">will </w:t>
      </w:r>
      <w:r w:rsidRPr="008E0367">
        <w:rPr>
          <w:szCs w:val="24"/>
        </w:rPr>
        <w:t xml:space="preserve">rely on all three </w:t>
      </w:r>
      <w:r w:rsidR="00B44FE7" w:rsidRPr="008E0367">
        <w:rPr>
          <w:szCs w:val="24"/>
        </w:rPr>
        <w:t>data sources</w:t>
      </w:r>
      <w:r w:rsidR="00A234CF">
        <w:rPr>
          <w:szCs w:val="24"/>
        </w:rPr>
        <w:t xml:space="preserve"> </w:t>
      </w:r>
      <w:r w:rsidR="008C63DF">
        <w:rPr>
          <w:szCs w:val="24"/>
        </w:rPr>
        <w:t>with</w:t>
      </w:r>
      <w:r w:rsidR="00A234CF">
        <w:rPr>
          <w:szCs w:val="24"/>
        </w:rPr>
        <w:t xml:space="preserve"> deduplicat</w:t>
      </w:r>
      <w:r w:rsidR="008C63DF">
        <w:rPr>
          <w:szCs w:val="24"/>
        </w:rPr>
        <w:t>ion of</w:t>
      </w:r>
      <w:r w:rsidR="00A234CF">
        <w:rPr>
          <w:szCs w:val="24"/>
        </w:rPr>
        <w:t xml:space="preserve"> the frame lists before sampling</w:t>
      </w:r>
      <w:r w:rsidRPr="008E0367">
        <w:rPr>
          <w:szCs w:val="24"/>
        </w:rPr>
        <w:t xml:space="preserve">.  </w:t>
      </w:r>
      <w:r w:rsidR="00A234CF">
        <w:rPr>
          <w:szCs w:val="24"/>
        </w:rPr>
        <w:t>However, f</w:t>
      </w:r>
      <w:r w:rsidRPr="008E0367">
        <w:rPr>
          <w:szCs w:val="24"/>
        </w:rPr>
        <w:t xml:space="preserve">or the selection of </w:t>
      </w:r>
      <w:r w:rsidR="003D16EE" w:rsidRPr="008E0367">
        <w:rPr>
          <w:szCs w:val="24"/>
        </w:rPr>
        <w:t xml:space="preserve">households in the catchment areas of the </w:t>
      </w:r>
      <w:r w:rsidRPr="008E0367">
        <w:rPr>
          <w:szCs w:val="24"/>
        </w:rPr>
        <w:t>new sites</w:t>
      </w:r>
      <w:r w:rsidR="00C25E69">
        <w:rPr>
          <w:szCs w:val="24"/>
        </w:rPr>
        <w:t xml:space="preserve"> in 2018</w:t>
      </w:r>
      <w:r w:rsidRPr="008E0367">
        <w:rPr>
          <w:szCs w:val="24"/>
        </w:rPr>
        <w:t>, we will</w:t>
      </w:r>
      <w:r w:rsidR="00A234CF">
        <w:rPr>
          <w:szCs w:val="24"/>
        </w:rPr>
        <w:t xml:space="preserve"> not deduplicate the frames before sampling</w:t>
      </w:r>
      <w:r w:rsidR="00F628DD">
        <w:rPr>
          <w:szCs w:val="24"/>
        </w:rPr>
        <w:t>. To s</w:t>
      </w:r>
      <w:r w:rsidR="00A234CF">
        <w:rPr>
          <w:szCs w:val="24"/>
        </w:rPr>
        <w:t>ave time</w:t>
      </w:r>
      <w:r w:rsidR="0044015C">
        <w:rPr>
          <w:szCs w:val="24"/>
        </w:rPr>
        <w:t xml:space="preserve">, we will deduplicate </w:t>
      </w:r>
      <w:r w:rsidR="00A234CF">
        <w:rPr>
          <w:szCs w:val="24"/>
        </w:rPr>
        <w:t>after sampling</w:t>
      </w:r>
      <w:r w:rsidR="00CD46C2">
        <w:rPr>
          <w:szCs w:val="24"/>
        </w:rPr>
        <w:t xml:space="preserve">. </w:t>
      </w:r>
      <w:r w:rsidR="0044015C">
        <w:rPr>
          <w:szCs w:val="24"/>
        </w:rPr>
        <w:t xml:space="preserve">The reason for this different deduplication procedure </w:t>
      </w:r>
      <w:r w:rsidRPr="008E0367">
        <w:rPr>
          <w:szCs w:val="24"/>
        </w:rPr>
        <w:t xml:space="preserve">is due to the limited time between when </w:t>
      </w:r>
      <w:r w:rsidR="00B44FE7" w:rsidRPr="008E0367">
        <w:rPr>
          <w:szCs w:val="24"/>
        </w:rPr>
        <w:t xml:space="preserve">new </w:t>
      </w:r>
      <w:r w:rsidRPr="008E0367">
        <w:rPr>
          <w:szCs w:val="24"/>
        </w:rPr>
        <w:t>site lists a</w:t>
      </w:r>
      <w:r w:rsidR="000E3AFE" w:rsidRPr="008E0367">
        <w:rPr>
          <w:szCs w:val="24"/>
        </w:rPr>
        <w:t>re received (mid-June 2018) and when we will begin data collection (June – August 2018).</w:t>
      </w:r>
      <w:r w:rsidR="003D16EE" w:rsidRPr="008E0367">
        <w:rPr>
          <w:szCs w:val="24"/>
        </w:rPr>
        <w:t xml:space="preserve"> </w:t>
      </w:r>
      <w:r w:rsidR="008C63DF">
        <w:rPr>
          <w:szCs w:val="24"/>
        </w:rPr>
        <w:t>W</w:t>
      </w:r>
      <w:r w:rsidR="00407736" w:rsidRPr="008E0367">
        <w:rPr>
          <w:szCs w:val="24"/>
        </w:rPr>
        <w:t xml:space="preserve">e </w:t>
      </w:r>
      <w:r w:rsidR="001E39AE" w:rsidRPr="008E0367">
        <w:rPr>
          <w:szCs w:val="24"/>
        </w:rPr>
        <w:t>can use</w:t>
      </w:r>
      <w:r w:rsidR="00407736" w:rsidRPr="008E0367">
        <w:rPr>
          <w:szCs w:val="24"/>
        </w:rPr>
        <w:t xml:space="preserve"> </w:t>
      </w:r>
      <w:r w:rsidR="008C63DF">
        <w:rPr>
          <w:szCs w:val="24"/>
        </w:rPr>
        <w:t>frame-level deduplication</w:t>
      </w:r>
      <w:r w:rsidR="001E39AE" w:rsidRPr="008E0367">
        <w:rPr>
          <w:szCs w:val="24"/>
        </w:rPr>
        <w:t xml:space="preserve"> only for the continuing sites </w:t>
      </w:r>
      <w:r w:rsidR="003D16EE" w:rsidRPr="008E0367">
        <w:rPr>
          <w:szCs w:val="24"/>
        </w:rPr>
        <w:t>since we will be receiving continuing site lists in early 2018</w:t>
      </w:r>
      <w:r w:rsidR="008C63DF">
        <w:rPr>
          <w:szCs w:val="24"/>
        </w:rPr>
        <w:t xml:space="preserve"> and have enough time to </w:t>
      </w:r>
      <w:r w:rsidR="00C25E69">
        <w:rPr>
          <w:szCs w:val="24"/>
        </w:rPr>
        <w:t>complete</w:t>
      </w:r>
      <w:r w:rsidR="008C63DF">
        <w:rPr>
          <w:szCs w:val="24"/>
        </w:rPr>
        <w:t xml:space="preserve"> such </w:t>
      </w:r>
      <w:r w:rsidR="00F628DD">
        <w:rPr>
          <w:szCs w:val="24"/>
        </w:rPr>
        <w:t xml:space="preserve">a </w:t>
      </w:r>
      <w:r w:rsidR="008C63DF">
        <w:rPr>
          <w:szCs w:val="24"/>
        </w:rPr>
        <w:t>time-consuming operation</w:t>
      </w:r>
      <w:r w:rsidR="003D16EE" w:rsidRPr="008E0367">
        <w:rPr>
          <w:szCs w:val="24"/>
        </w:rPr>
        <w:t xml:space="preserve">. However, we will not receive new site lists until </w:t>
      </w:r>
      <w:r w:rsidR="009A3C7B" w:rsidRPr="008E0367">
        <w:rPr>
          <w:szCs w:val="24"/>
        </w:rPr>
        <w:t>mid-June 2018</w:t>
      </w:r>
      <w:r w:rsidR="003D16EE" w:rsidRPr="008E0367">
        <w:rPr>
          <w:szCs w:val="24"/>
        </w:rPr>
        <w:t xml:space="preserve"> and will have a much more </w:t>
      </w:r>
      <w:r w:rsidR="001E39AE" w:rsidRPr="008E0367">
        <w:rPr>
          <w:szCs w:val="24"/>
        </w:rPr>
        <w:t>compressed processing schedule</w:t>
      </w:r>
      <w:r w:rsidR="00407736" w:rsidRPr="008E0367">
        <w:rPr>
          <w:szCs w:val="24"/>
        </w:rPr>
        <w:t xml:space="preserve"> for new sites</w:t>
      </w:r>
      <w:r w:rsidR="001E39AE" w:rsidRPr="008E0367">
        <w:rPr>
          <w:szCs w:val="24"/>
        </w:rPr>
        <w:t xml:space="preserve">. </w:t>
      </w:r>
      <w:r w:rsidR="0044015C">
        <w:rPr>
          <w:szCs w:val="24"/>
        </w:rPr>
        <w:t>T</w:t>
      </w:r>
      <w:r w:rsidR="008C63DF">
        <w:rPr>
          <w:szCs w:val="24"/>
        </w:rPr>
        <w:t>h</w:t>
      </w:r>
      <w:r w:rsidR="0044015C">
        <w:rPr>
          <w:szCs w:val="24"/>
        </w:rPr>
        <w:t xml:space="preserve">e deduplication </w:t>
      </w:r>
      <w:r w:rsidR="008C63DF">
        <w:rPr>
          <w:szCs w:val="24"/>
        </w:rPr>
        <w:t>strategy</w:t>
      </w:r>
      <w:r w:rsidR="0044015C">
        <w:rPr>
          <w:szCs w:val="24"/>
        </w:rPr>
        <w:t xml:space="preserve"> </w:t>
      </w:r>
      <w:r w:rsidR="00C24B26">
        <w:rPr>
          <w:szCs w:val="24"/>
        </w:rPr>
        <w:t xml:space="preserve">after sampling </w:t>
      </w:r>
      <w:r w:rsidR="0044015C">
        <w:rPr>
          <w:szCs w:val="24"/>
        </w:rPr>
        <w:t>for the new sites</w:t>
      </w:r>
      <w:r w:rsidR="008C63DF">
        <w:rPr>
          <w:szCs w:val="24"/>
        </w:rPr>
        <w:t xml:space="preserve"> is less efficient because units in the overlapped frames have multiple chances of</w:t>
      </w:r>
      <w:r w:rsidR="0044015C">
        <w:rPr>
          <w:szCs w:val="24"/>
        </w:rPr>
        <w:t xml:space="preserve"> selection</w:t>
      </w:r>
      <w:r w:rsidR="00C25E69">
        <w:rPr>
          <w:szCs w:val="24"/>
        </w:rPr>
        <w:t xml:space="preserve">. Therefore, the new sites in 2018 </w:t>
      </w:r>
      <w:r w:rsidR="00E80D25">
        <w:rPr>
          <w:szCs w:val="24"/>
        </w:rPr>
        <w:t xml:space="preserve">will </w:t>
      </w:r>
      <w:r w:rsidR="0044015C">
        <w:rPr>
          <w:szCs w:val="24"/>
        </w:rPr>
        <w:t>r</w:t>
      </w:r>
      <w:r w:rsidR="00E80D25">
        <w:rPr>
          <w:szCs w:val="24"/>
        </w:rPr>
        <w:t>equire</w:t>
      </w:r>
      <w:r w:rsidR="0044015C">
        <w:rPr>
          <w:szCs w:val="24"/>
        </w:rPr>
        <w:t xml:space="preserve"> </w:t>
      </w:r>
      <w:r w:rsidR="008C63DF">
        <w:rPr>
          <w:szCs w:val="24"/>
        </w:rPr>
        <w:t xml:space="preserve">a larger </w:t>
      </w:r>
      <w:r w:rsidR="0044015C">
        <w:rPr>
          <w:szCs w:val="24"/>
        </w:rPr>
        <w:t xml:space="preserve">starting </w:t>
      </w:r>
      <w:r w:rsidR="000C03C9">
        <w:rPr>
          <w:szCs w:val="24"/>
        </w:rPr>
        <w:t xml:space="preserve">household </w:t>
      </w:r>
      <w:r w:rsidR="008C63DF">
        <w:rPr>
          <w:szCs w:val="24"/>
        </w:rPr>
        <w:t>sample size</w:t>
      </w:r>
      <w:r w:rsidR="00C25E69">
        <w:rPr>
          <w:szCs w:val="24"/>
        </w:rPr>
        <w:t xml:space="preserve"> than the continuing sites</w:t>
      </w:r>
      <w:r w:rsidR="008C63DF">
        <w:rPr>
          <w:szCs w:val="24"/>
        </w:rPr>
        <w:t>.</w:t>
      </w:r>
    </w:p>
    <w:p w14:paraId="62FC3E75" w14:textId="77777777" w:rsidR="00FD4FBC" w:rsidRPr="008F2C8F" w:rsidRDefault="00FE537E" w:rsidP="008F2C8F">
      <w:pPr>
        <w:spacing w:line="480" w:lineRule="auto"/>
        <w:ind w:firstLine="720"/>
      </w:pPr>
      <w:r>
        <w:rPr>
          <w:szCs w:val="24"/>
        </w:rPr>
        <w:t>Household</w:t>
      </w:r>
      <w:r w:rsidR="00E74565" w:rsidRPr="008E0367">
        <w:rPr>
          <w:szCs w:val="24"/>
        </w:rPr>
        <w:t xml:space="preserve"> response rate</w:t>
      </w:r>
      <w:r w:rsidR="005229A3" w:rsidRPr="008E0367">
        <w:rPr>
          <w:szCs w:val="24"/>
        </w:rPr>
        <w:t>s</w:t>
      </w:r>
      <w:r w:rsidR="00E74565" w:rsidRPr="008E0367">
        <w:rPr>
          <w:szCs w:val="24"/>
        </w:rPr>
        <w:t xml:space="preserve"> </w:t>
      </w:r>
      <w:r w:rsidR="008F453D" w:rsidRPr="008E0367">
        <w:rPr>
          <w:szCs w:val="24"/>
        </w:rPr>
        <w:t xml:space="preserve">largely </w:t>
      </w:r>
      <w:r w:rsidR="00E74565" w:rsidRPr="008E0367">
        <w:rPr>
          <w:szCs w:val="24"/>
        </w:rPr>
        <w:t>depend on frame type (whether screening is needed or not</w:t>
      </w:r>
      <w:r w:rsidR="00A57B23">
        <w:rPr>
          <w:rStyle w:val="FootnoteReference"/>
          <w:szCs w:val="24"/>
        </w:rPr>
        <w:footnoteReference w:id="15"/>
      </w:r>
      <w:r w:rsidR="00E74565" w:rsidRPr="008E0367">
        <w:rPr>
          <w:szCs w:val="24"/>
        </w:rPr>
        <w:t xml:space="preserve">) and the survey type (whether </w:t>
      </w:r>
      <w:r w:rsidR="008F453D" w:rsidRPr="008E0367">
        <w:rPr>
          <w:szCs w:val="24"/>
        </w:rPr>
        <w:t xml:space="preserve">participant or nonparticipant). </w:t>
      </w:r>
      <w:r w:rsidR="00B130FF" w:rsidRPr="00B130FF">
        <w:rPr>
          <w:szCs w:val="24"/>
        </w:rPr>
        <w:fldChar w:fldCharType="begin"/>
      </w:r>
      <w:r w:rsidR="00B130FF" w:rsidRPr="00B130FF">
        <w:rPr>
          <w:szCs w:val="24"/>
        </w:rPr>
        <w:instrText xml:space="preserve"> REF _Ref492891401 \h  \* MERGEFORMAT </w:instrText>
      </w:r>
      <w:r w:rsidR="00B130FF" w:rsidRPr="00B130FF">
        <w:rPr>
          <w:szCs w:val="24"/>
        </w:rPr>
      </w:r>
      <w:r w:rsidR="00B130FF" w:rsidRPr="00B130FF">
        <w:rPr>
          <w:szCs w:val="24"/>
        </w:rPr>
        <w:fldChar w:fldCharType="separate"/>
      </w:r>
    </w:p>
    <w:p w14:paraId="0678B395" w14:textId="236E19F6" w:rsidR="00E14DD0" w:rsidRPr="008E0367" w:rsidRDefault="00FD4FBC" w:rsidP="00F704C3">
      <w:pPr>
        <w:spacing w:line="480" w:lineRule="auto"/>
        <w:ind w:firstLine="720"/>
        <w:rPr>
          <w:szCs w:val="24"/>
        </w:rPr>
      </w:pPr>
      <w:r w:rsidRPr="008F2C8F">
        <w:t>Table B1 -</w:t>
      </w:r>
      <w:r w:rsidRPr="008F2C8F">
        <w:rPr>
          <w:noProof/>
        </w:rPr>
        <w:t xml:space="preserve"> 4</w:t>
      </w:r>
      <w:r w:rsidR="00B130FF" w:rsidRPr="00B130FF">
        <w:rPr>
          <w:szCs w:val="24"/>
        </w:rPr>
        <w:fldChar w:fldCharType="end"/>
      </w:r>
      <w:r w:rsidR="00B130FF" w:rsidRPr="00B130FF">
        <w:rPr>
          <w:szCs w:val="24"/>
        </w:rPr>
        <w:t xml:space="preserve"> </w:t>
      </w:r>
      <w:r w:rsidR="008F453D" w:rsidRPr="008E0367">
        <w:rPr>
          <w:szCs w:val="24"/>
        </w:rPr>
        <w:t xml:space="preserve">presents </w:t>
      </w:r>
      <w:r w:rsidR="00C20311" w:rsidRPr="008E0367">
        <w:rPr>
          <w:szCs w:val="24"/>
        </w:rPr>
        <w:t>sampling stage-</w:t>
      </w:r>
      <w:r w:rsidR="008F453D" w:rsidRPr="008E0367">
        <w:rPr>
          <w:szCs w:val="24"/>
        </w:rPr>
        <w:t>level response rates and overall response rates by these two types.</w:t>
      </w:r>
    </w:p>
    <w:p w14:paraId="6EEE24A2" w14:textId="77777777" w:rsidR="006B03DC" w:rsidRDefault="006B03DC" w:rsidP="00B760CB">
      <w:pPr>
        <w:pStyle w:val="Caption"/>
        <w:rPr>
          <w:b/>
        </w:rPr>
      </w:pPr>
      <w:bookmarkStart w:id="20" w:name="_Ref492891401"/>
    </w:p>
    <w:p w14:paraId="6A5735AC" w14:textId="643E6ADF" w:rsidR="008F453D" w:rsidRPr="008E0367" w:rsidRDefault="006B03DC" w:rsidP="00B63168">
      <w:pPr>
        <w:pStyle w:val="Caption"/>
        <w:rPr>
          <w:szCs w:val="24"/>
        </w:rPr>
      </w:pPr>
      <w:bookmarkStart w:id="21" w:name="_Ref493492577"/>
      <w:bookmarkStart w:id="22" w:name="_Toc505263876"/>
      <w:commentRangeStart w:id="23"/>
      <w:r w:rsidRPr="00266727">
        <w:rPr>
          <w:b/>
        </w:rPr>
        <w:t xml:space="preserve">Table B1 </w:t>
      </w:r>
      <w:r w:rsidR="006F021F" w:rsidRPr="00266727">
        <w:rPr>
          <w:b/>
        </w:rPr>
        <w:t xml:space="preserve">- </w:t>
      </w:r>
      <w:r>
        <w:rPr>
          <w:b/>
        </w:rPr>
        <w:fldChar w:fldCharType="begin"/>
      </w:r>
      <w:r>
        <w:rPr>
          <w:b/>
        </w:rPr>
        <w:instrText xml:space="preserve"> SEQ Table_B1_-_ \* ARABIC </w:instrText>
      </w:r>
      <w:r>
        <w:rPr>
          <w:b/>
        </w:rPr>
        <w:fldChar w:fldCharType="separate"/>
      </w:r>
      <w:r w:rsidR="00FD4FBC">
        <w:rPr>
          <w:b/>
          <w:noProof/>
        </w:rPr>
        <w:t>4</w:t>
      </w:r>
      <w:r>
        <w:rPr>
          <w:b/>
        </w:rPr>
        <w:fldChar w:fldCharType="end"/>
      </w:r>
      <w:bookmarkEnd w:id="20"/>
      <w:bookmarkEnd w:id="21"/>
      <w:r w:rsidR="00B760CB" w:rsidRPr="00B63168">
        <w:rPr>
          <w:b/>
          <w:szCs w:val="24"/>
        </w:rPr>
        <w:t>.</w:t>
      </w:r>
      <w:r w:rsidR="00B760CB" w:rsidRPr="00B760CB">
        <w:rPr>
          <w:b/>
          <w:szCs w:val="24"/>
        </w:rPr>
        <w:t xml:space="preserve">  </w:t>
      </w:r>
      <w:r w:rsidR="00C20311" w:rsidRPr="00B760CB">
        <w:rPr>
          <w:b/>
          <w:szCs w:val="24"/>
        </w:rPr>
        <w:t>Sampling</w:t>
      </w:r>
      <w:r w:rsidR="00C20311" w:rsidRPr="008E0367">
        <w:rPr>
          <w:b/>
          <w:szCs w:val="24"/>
        </w:rPr>
        <w:t xml:space="preserve"> Stage</w:t>
      </w:r>
      <w:r w:rsidR="008F453D" w:rsidRPr="008E0367">
        <w:rPr>
          <w:b/>
          <w:szCs w:val="24"/>
        </w:rPr>
        <w:t>-level and Overall Response Rates of Caregiver Surveys by Frame and Survey Types</w:t>
      </w:r>
      <w:commentRangeEnd w:id="23"/>
      <w:r w:rsidR="001A7AC8">
        <w:rPr>
          <w:rStyle w:val="CommentReference"/>
        </w:rPr>
        <w:commentReference w:id="23"/>
      </w:r>
      <w:bookmarkEnd w:id="22"/>
    </w:p>
    <w:tbl>
      <w:tblPr>
        <w:tblW w:w="9355" w:type="dxa"/>
        <w:tblInd w:w="5" w:type="dxa"/>
        <w:tblLook w:val="04A0" w:firstRow="1" w:lastRow="0" w:firstColumn="1" w:lastColumn="0" w:noHBand="0" w:noVBand="1"/>
      </w:tblPr>
      <w:tblGrid>
        <w:gridCol w:w="1075"/>
        <w:gridCol w:w="1620"/>
        <w:gridCol w:w="1080"/>
        <w:gridCol w:w="1170"/>
        <w:gridCol w:w="1170"/>
        <w:gridCol w:w="1080"/>
        <w:gridCol w:w="1080"/>
        <w:gridCol w:w="1080"/>
      </w:tblGrid>
      <w:tr w:rsidR="00250B15" w:rsidRPr="00250B15" w14:paraId="0F7408CA" w14:textId="77777777" w:rsidTr="008F2C8F">
        <w:trPr>
          <w:trHeight w:val="600"/>
          <w:tblHeader/>
        </w:trPr>
        <w:tc>
          <w:tcPr>
            <w:tcW w:w="1075" w:type="dxa"/>
            <w:tcBorders>
              <w:top w:val="single" w:sz="4" w:space="0" w:color="auto"/>
              <w:left w:val="single" w:sz="2" w:space="0" w:color="auto"/>
              <w:bottom w:val="single" w:sz="4" w:space="0" w:color="auto"/>
              <w:right w:val="single" w:sz="4" w:space="0" w:color="auto"/>
            </w:tcBorders>
            <w:shd w:val="clear" w:color="auto" w:fill="auto"/>
            <w:vAlign w:val="center"/>
            <w:hideMark/>
          </w:tcPr>
          <w:p w14:paraId="01FA3579" w14:textId="77777777"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Frame Type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6E20532" w14:textId="77777777"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Survey Type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EE4FBE" w14:textId="77777777"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Sample Size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C761140" w14:textId="77777777"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Target Completes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80AD4E" w14:textId="1B79DFD4"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Household Response Rate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B852FEC" w14:textId="51B6DCFC"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Site Response Rate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F8C5F7A" w14:textId="008C5D51"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State Response Rate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37B6FE" w14:textId="42FA0577" w:rsidR="00250B15" w:rsidRPr="00250B15" w:rsidRDefault="00250B15" w:rsidP="00250B15">
            <w:pPr>
              <w:widowControl/>
              <w:overflowPunct/>
              <w:autoSpaceDE/>
              <w:autoSpaceDN/>
              <w:adjustRightInd/>
              <w:jc w:val="center"/>
              <w:textAlignment w:val="auto"/>
              <w:rPr>
                <w:b/>
                <w:bCs/>
                <w:color w:val="000000"/>
                <w:sz w:val="20"/>
                <w:lang w:eastAsia="ko-KR"/>
              </w:rPr>
            </w:pPr>
            <w:r w:rsidRPr="00250B15">
              <w:rPr>
                <w:b/>
                <w:bCs/>
                <w:color w:val="000000"/>
                <w:sz w:val="20"/>
                <w:lang w:eastAsia="ko-KR"/>
              </w:rPr>
              <w:t>Overall Response Rate</w:t>
            </w:r>
          </w:p>
        </w:tc>
      </w:tr>
      <w:tr w:rsidR="005F1209" w:rsidRPr="00250B15" w14:paraId="43DB0927" w14:textId="77777777" w:rsidTr="00F704C3">
        <w:trPr>
          <w:trHeight w:val="315"/>
        </w:trPr>
        <w:tc>
          <w:tcPr>
            <w:tcW w:w="9355" w:type="dxa"/>
            <w:gridSpan w:val="8"/>
            <w:tcBorders>
              <w:top w:val="nil"/>
              <w:left w:val="single" w:sz="2" w:space="0" w:color="auto"/>
              <w:bottom w:val="single" w:sz="4" w:space="0" w:color="auto"/>
              <w:right w:val="single" w:sz="4" w:space="0" w:color="auto"/>
            </w:tcBorders>
            <w:shd w:val="clear" w:color="auto" w:fill="auto"/>
            <w:vAlign w:val="center"/>
          </w:tcPr>
          <w:p w14:paraId="35E8ED0E" w14:textId="2CF52221" w:rsidR="005F1209" w:rsidRPr="005F1209" w:rsidRDefault="005F1209" w:rsidP="005F1209">
            <w:pPr>
              <w:widowControl/>
              <w:overflowPunct/>
              <w:autoSpaceDE/>
              <w:autoSpaceDN/>
              <w:adjustRightInd/>
              <w:jc w:val="center"/>
              <w:textAlignment w:val="auto"/>
              <w:rPr>
                <w:i/>
                <w:color w:val="000000"/>
                <w:sz w:val="20"/>
                <w:lang w:eastAsia="ko-KR"/>
              </w:rPr>
            </w:pPr>
            <w:r w:rsidRPr="005F1209">
              <w:rPr>
                <w:i/>
                <w:color w:val="000000"/>
                <w:sz w:val="20"/>
                <w:lang w:eastAsia="ko-KR"/>
              </w:rPr>
              <w:t>SFSP Open and SSO</w:t>
            </w:r>
          </w:p>
        </w:tc>
      </w:tr>
      <w:tr w:rsidR="00250B15" w:rsidRPr="00250B15" w14:paraId="7180FDD0" w14:textId="77777777" w:rsidTr="00F704C3">
        <w:trPr>
          <w:trHeight w:val="315"/>
        </w:trPr>
        <w:tc>
          <w:tcPr>
            <w:tcW w:w="1075" w:type="dxa"/>
            <w:tcBorders>
              <w:top w:val="nil"/>
              <w:left w:val="single" w:sz="2" w:space="0" w:color="auto"/>
              <w:bottom w:val="single" w:sz="4" w:space="0" w:color="auto"/>
              <w:right w:val="single" w:sz="4" w:space="0" w:color="auto"/>
            </w:tcBorders>
            <w:shd w:val="clear" w:color="auto" w:fill="auto"/>
            <w:vAlign w:val="center"/>
            <w:hideMark/>
          </w:tcPr>
          <w:p w14:paraId="21090DA9"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Onsite</w:t>
            </w:r>
          </w:p>
        </w:tc>
        <w:tc>
          <w:tcPr>
            <w:tcW w:w="1620" w:type="dxa"/>
            <w:tcBorders>
              <w:top w:val="nil"/>
              <w:left w:val="nil"/>
              <w:bottom w:val="single" w:sz="4" w:space="0" w:color="auto"/>
              <w:right w:val="single" w:sz="4" w:space="0" w:color="auto"/>
            </w:tcBorders>
            <w:shd w:val="clear" w:color="auto" w:fill="auto"/>
            <w:vAlign w:val="center"/>
            <w:hideMark/>
          </w:tcPr>
          <w:p w14:paraId="735DDE23"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Participant</w:t>
            </w:r>
          </w:p>
        </w:tc>
        <w:tc>
          <w:tcPr>
            <w:tcW w:w="1080" w:type="dxa"/>
            <w:tcBorders>
              <w:top w:val="nil"/>
              <w:left w:val="nil"/>
              <w:bottom w:val="single" w:sz="4" w:space="0" w:color="auto"/>
              <w:right w:val="single" w:sz="4" w:space="0" w:color="auto"/>
            </w:tcBorders>
            <w:shd w:val="clear" w:color="auto" w:fill="auto"/>
            <w:vAlign w:val="center"/>
            <w:hideMark/>
          </w:tcPr>
          <w:p w14:paraId="731FEB6F"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1,833</w:t>
            </w:r>
          </w:p>
        </w:tc>
        <w:tc>
          <w:tcPr>
            <w:tcW w:w="1170" w:type="dxa"/>
            <w:tcBorders>
              <w:top w:val="nil"/>
              <w:left w:val="nil"/>
              <w:bottom w:val="single" w:sz="4" w:space="0" w:color="auto"/>
              <w:right w:val="single" w:sz="4" w:space="0" w:color="auto"/>
            </w:tcBorders>
            <w:shd w:val="clear" w:color="auto" w:fill="auto"/>
            <w:vAlign w:val="center"/>
            <w:hideMark/>
          </w:tcPr>
          <w:p w14:paraId="2A97F1F1"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550</w:t>
            </w:r>
          </w:p>
        </w:tc>
        <w:tc>
          <w:tcPr>
            <w:tcW w:w="1170" w:type="dxa"/>
            <w:tcBorders>
              <w:top w:val="nil"/>
              <w:left w:val="nil"/>
              <w:bottom w:val="single" w:sz="4" w:space="0" w:color="auto"/>
              <w:right w:val="single" w:sz="4" w:space="0" w:color="auto"/>
            </w:tcBorders>
            <w:shd w:val="clear" w:color="auto" w:fill="auto"/>
            <w:vAlign w:val="center"/>
            <w:hideMark/>
          </w:tcPr>
          <w:p w14:paraId="222984B1"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2DD4417C"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42E0FAF4"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4C08325D"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17.5%</w:t>
            </w:r>
          </w:p>
        </w:tc>
      </w:tr>
      <w:tr w:rsidR="00343DCA" w:rsidRPr="00250B15" w14:paraId="27D8D8D1" w14:textId="77777777" w:rsidTr="005F1209">
        <w:trPr>
          <w:trHeight w:val="300"/>
        </w:trPr>
        <w:tc>
          <w:tcPr>
            <w:tcW w:w="1075" w:type="dxa"/>
            <w:vMerge w:val="restart"/>
            <w:tcBorders>
              <w:top w:val="nil"/>
              <w:left w:val="single" w:sz="2" w:space="0" w:color="auto"/>
              <w:right w:val="single" w:sz="4" w:space="0" w:color="auto"/>
            </w:tcBorders>
            <w:shd w:val="clear" w:color="auto" w:fill="auto"/>
            <w:vAlign w:val="center"/>
            <w:hideMark/>
          </w:tcPr>
          <w:p w14:paraId="21B936C8" w14:textId="1EF91967" w:rsidR="005F1209" w:rsidRPr="00250B15" w:rsidRDefault="005F1209" w:rsidP="00250B15">
            <w:pPr>
              <w:rPr>
                <w:color w:val="000000"/>
                <w:sz w:val="20"/>
                <w:lang w:eastAsia="ko-KR"/>
              </w:rPr>
            </w:pPr>
            <w:r w:rsidRPr="00250B15">
              <w:rPr>
                <w:color w:val="000000"/>
                <w:sz w:val="20"/>
                <w:lang w:eastAsia="ko-KR"/>
              </w:rPr>
              <w:t>SNAP</w:t>
            </w:r>
          </w:p>
        </w:tc>
        <w:tc>
          <w:tcPr>
            <w:tcW w:w="1620" w:type="dxa"/>
            <w:tcBorders>
              <w:top w:val="nil"/>
              <w:left w:val="nil"/>
              <w:bottom w:val="single" w:sz="4" w:space="0" w:color="auto"/>
              <w:right w:val="single" w:sz="4" w:space="0" w:color="auto"/>
            </w:tcBorders>
            <w:shd w:val="clear" w:color="auto" w:fill="auto"/>
            <w:vAlign w:val="center"/>
            <w:hideMark/>
          </w:tcPr>
          <w:p w14:paraId="5977591E"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Participant</w:t>
            </w:r>
          </w:p>
        </w:tc>
        <w:tc>
          <w:tcPr>
            <w:tcW w:w="1080" w:type="dxa"/>
            <w:tcBorders>
              <w:top w:val="nil"/>
              <w:left w:val="nil"/>
              <w:bottom w:val="single" w:sz="4" w:space="0" w:color="auto"/>
              <w:right w:val="single" w:sz="4" w:space="0" w:color="auto"/>
            </w:tcBorders>
            <w:shd w:val="clear" w:color="auto" w:fill="auto"/>
            <w:vAlign w:val="center"/>
            <w:hideMark/>
          </w:tcPr>
          <w:p w14:paraId="52A2B228"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6,823</w:t>
            </w:r>
          </w:p>
        </w:tc>
        <w:tc>
          <w:tcPr>
            <w:tcW w:w="1170" w:type="dxa"/>
            <w:tcBorders>
              <w:top w:val="nil"/>
              <w:left w:val="nil"/>
              <w:bottom w:val="single" w:sz="4" w:space="0" w:color="auto"/>
              <w:right w:val="single" w:sz="4" w:space="0" w:color="auto"/>
            </w:tcBorders>
            <w:shd w:val="clear" w:color="auto" w:fill="auto"/>
            <w:vAlign w:val="center"/>
            <w:hideMark/>
          </w:tcPr>
          <w:p w14:paraId="469995B4"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1,100</w:t>
            </w:r>
          </w:p>
        </w:tc>
        <w:tc>
          <w:tcPr>
            <w:tcW w:w="1170" w:type="dxa"/>
            <w:tcBorders>
              <w:top w:val="nil"/>
              <w:left w:val="nil"/>
              <w:bottom w:val="single" w:sz="4" w:space="0" w:color="auto"/>
              <w:right w:val="single" w:sz="4" w:space="0" w:color="auto"/>
            </w:tcBorders>
            <w:shd w:val="clear" w:color="auto" w:fill="auto"/>
            <w:vAlign w:val="center"/>
            <w:hideMark/>
          </w:tcPr>
          <w:p w14:paraId="0D10E6D2"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16.1%</w:t>
            </w:r>
          </w:p>
        </w:tc>
        <w:tc>
          <w:tcPr>
            <w:tcW w:w="1080" w:type="dxa"/>
            <w:tcBorders>
              <w:top w:val="nil"/>
              <w:left w:val="nil"/>
              <w:bottom w:val="single" w:sz="4" w:space="0" w:color="auto"/>
              <w:right w:val="single" w:sz="4" w:space="0" w:color="auto"/>
            </w:tcBorders>
            <w:shd w:val="clear" w:color="auto" w:fill="auto"/>
            <w:noWrap/>
            <w:vAlign w:val="center"/>
            <w:hideMark/>
          </w:tcPr>
          <w:p w14:paraId="5C73C441"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603CD3C5"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18950476"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9.4%</w:t>
            </w:r>
          </w:p>
        </w:tc>
      </w:tr>
      <w:tr w:rsidR="005F1209" w:rsidRPr="00250B15" w14:paraId="488AED5F" w14:textId="77777777" w:rsidTr="00F704C3">
        <w:trPr>
          <w:trHeight w:val="315"/>
        </w:trPr>
        <w:tc>
          <w:tcPr>
            <w:tcW w:w="1075" w:type="dxa"/>
            <w:vMerge/>
            <w:tcBorders>
              <w:left w:val="single" w:sz="2" w:space="0" w:color="auto"/>
              <w:bottom w:val="single" w:sz="4" w:space="0" w:color="auto"/>
              <w:right w:val="single" w:sz="4" w:space="0" w:color="auto"/>
            </w:tcBorders>
            <w:shd w:val="clear" w:color="auto" w:fill="auto"/>
            <w:vAlign w:val="center"/>
            <w:hideMark/>
          </w:tcPr>
          <w:p w14:paraId="100F765D" w14:textId="0B895AFD" w:rsidR="005F1209" w:rsidRPr="00250B15" w:rsidRDefault="005F1209" w:rsidP="00250B15">
            <w:pPr>
              <w:widowControl/>
              <w:overflowPunct/>
              <w:autoSpaceDE/>
              <w:autoSpaceDN/>
              <w:adjustRightInd/>
              <w:textAlignment w:val="auto"/>
              <w:rPr>
                <w:color w:val="000000"/>
                <w:sz w:val="20"/>
                <w:lang w:eastAsia="ko-KR"/>
              </w:rPr>
            </w:pPr>
          </w:p>
        </w:tc>
        <w:tc>
          <w:tcPr>
            <w:tcW w:w="1620" w:type="dxa"/>
            <w:tcBorders>
              <w:top w:val="nil"/>
              <w:left w:val="nil"/>
              <w:bottom w:val="single" w:sz="4" w:space="0" w:color="auto"/>
              <w:right w:val="single" w:sz="4" w:space="0" w:color="auto"/>
            </w:tcBorders>
            <w:shd w:val="clear" w:color="auto" w:fill="auto"/>
            <w:vAlign w:val="center"/>
            <w:hideMark/>
          </w:tcPr>
          <w:p w14:paraId="3C3C8203"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Nonparticipant</w:t>
            </w:r>
          </w:p>
        </w:tc>
        <w:tc>
          <w:tcPr>
            <w:tcW w:w="1080" w:type="dxa"/>
            <w:tcBorders>
              <w:top w:val="nil"/>
              <w:left w:val="nil"/>
              <w:bottom w:val="single" w:sz="4" w:space="0" w:color="auto"/>
              <w:right w:val="single" w:sz="4" w:space="0" w:color="auto"/>
            </w:tcBorders>
            <w:shd w:val="clear" w:color="auto" w:fill="auto"/>
            <w:vAlign w:val="center"/>
            <w:hideMark/>
          </w:tcPr>
          <w:p w14:paraId="785477B7"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12,695</w:t>
            </w:r>
          </w:p>
        </w:tc>
        <w:tc>
          <w:tcPr>
            <w:tcW w:w="1170" w:type="dxa"/>
            <w:tcBorders>
              <w:top w:val="nil"/>
              <w:left w:val="nil"/>
              <w:bottom w:val="single" w:sz="4" w:space="0" w:color="auto"/>
              <w:right w:val="single" w:sz="4" w:space="0" w:color="auto"/>
            </w:tcBorders>
            <w:shd w:val="clear" w:color="auto" w:fill="auto"/>
            <w:vAlign w:val="center"/>
            <w:hideMark/>
          </w:tcPr>
          <w:p w14:paraId="5B81A462"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1,650</w:t>
            </w:r>
          </w:p>
        </w:tc>
        <w:tc>
          <w:tcPr>
            <w:tcW w:w="1170" w:type="dxa"/>
            <w:tcBorders>
              <w:top w:val="nil"/>
              <w:left w:val="nil"/>
              <w:bottom w:val="single" w:sz="4" w:space="0" w:color="auto"/>
              <w:right w:val="single" w:sz="4" w:space="0" w:color="auto"/>
            </w:tcBorders>
            <w:shd w:val="clear" w:color="auto" w:fill="auto"/>
            <w:vAlign w:val="center"/>
            <w:hideMark/>
          </w:tcPr>
          <w:p w14:paraId="178C3C04"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13.0%</w:t>
            </w:r>
          </w:p>
        </w:tc>
        <w:tc>
          <w:tcPr>
            <w:tcW w:w="1080" w:type="dxa"/>
            <w:tcBorders>
              <w:top w:val="nil"/>
              <w:left w:val="nil"/>
              <w:bottom w:val="single" w:sz="4" w:space="0" w:color="auto"/>
              <w:right w:val="single" w:sz="4" w:space="0" w:color="auto"/>
            </w:tcBorders>
            <w:shd w:val="clear" w:color="auto" w:fill="auto"/>
            <w:noWrap/>
            <w:vAlign w:val="center"/>
            <w:hideMark/>
          </w:tcPr>
          <w:p w14:paraId="79E714F4"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311BDAFD"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14ACE99D"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7.6%</w:t>
            </w:r>
          </w:p>
        </w:tc>
      </w:tr>
      <w:tr w:rsidR="00343DCA" w:rsidRPr="00250B15" w14:paraId="55EF0537" w14:textId="77777777" w:rsidTr="005F1209">
        <w:trPr>
          <w:trHeight w:val="300"/>
        </w:trPr>
        <w:tc>
          <w:tcPr>
            <w:tcW w:w="1075" w:type="dxa"/>
            <w:vMerge w:val="restart"/>
            <w:tcBorders>
              <w:top w:val="nil"/>
              <w:left w:val="single" w:sz="2" w:space="0" w:color="auto"/>
              <w:right w:val="single" w:sz="4" w:space="0" w:color="auto"/>
            </w:tcBorders>
            <w:shd w:val="clear" w:color="auto" w:fill="auto"/>
            <w:vAlign w:val="center"/>
            <w:hideMark/>
          </w:tcPr>
          <w:p w14:paraId="54814780" w14:textId="0064982E" w:rsidR="005F1209" w:rsidRPr="00250B15" w:rsidRDefault="005F1209" w:rsidP="00250B15">
            <w:pPr>
              <w:rPr>
                <w:color w:val="000000"/>
                <w:sz w:val="20"/>
                <w:lang w:eastAsia="ko-KR"/>
              </w:rPr>
            </w:pPr>
            <w:r w:rsidRPr="00250B15">
              <w:rPr>
                <w:color w:val="000000"/>
                <w:sz w:val="20"/>
                <w:lang w:eastAsia="ko-KR"/>
              </w:rPr>
              <w:t>Postal</w:t>
            </w:r>
          </w:p>
        </w:tc>
        <w:tc>
          <w:tcPr>
            <w:tcW w:w="1620" w:type="dxa"/>
            <w:tcBorders>
              <w:top w:val="nil"/>
              <w:left w:val="nil"/>
              <w:bottom w:val="single" w:sz="4" w:space="0" w:color="auto"/>
              <w:right w:val="single" w:sz="4" w:space="0" w:color="auto"/>
            </w:tcBorders>
            <w:shd w:val="clear" w:color="auto" w:fill="auto"/>
            <w:vAlign w:val="center"/>
            <w:hideMark/>
          </w:tcPr>
          <w:p w14:paraId="7EA0E6AB"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Participant</w:t>
            </w:r>
          </w:p>
        </w:tc>
        <w:tc>
          <w:tcPr>
            <w:tcW w:w="1080" w:type="dxa"/>
            <w:tcBorders>
              <w:top w:val="nil"/>
              <w:left w:val="nil"/>
              <w:bottom w:val="single" w:sz="4" w:space="0" w:color="auto"/>
              <w:right w:val="single" w:sz="4" w:space="0" w:color="auto"/>
            </w:tcBorders>
            <w:shd w:val="clear" w:color="auto" w:fill="auto"/>
            <w:vAlign w:val="center"/>
            <w:hideMark/>
          </w:tcPr>
          <w:p w14:paraId="7DBE20E8"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3,168</w:t>
            </w:r>
          </w:p>
        </w:tc>
        <w:tc>
          <w:tcPr>
            <w:tcW w:w="1170" w:type="dxa"/>
            <w:tcBorders>
              <w:top w:val="nil"/>
              <w:left w:val="nil"/>
              <w:bottom w:val="single" w:sz="4" w:space="0" w:color="auto"/>
              <w:right w:val="single" w:sz="4" w:space="0" w:color="auto"/>
            </w:tcBorders>
            <w:shd w:val="clear" w:color="auto" w:fill="auto"/>
            <w:vAlign w:val="center"/>
            <w:hideMark/>
          </w:tcPr>
          <w:p w14:paraId="02016EFA"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550</w:t>
            </w:r>
          </w:p>
        </w:tc>
        <w:tc>
          <w:tcPr>
            <w:tcW w:w="1170" w:type="dxa"/>
            <w:tcBorders>
              <w:top w:val="nil"/>
              <w:left w:val="nil"/>
              <w:bottom w:val="single" w:sz="4" w:space="0" w:color="auto"/>
              <w:right w:val="single" w:sz="4" w:space="0" w:color="auto"/>
            </w:tcBorders>
            <w:shd w:val="clear" w:color="auto" w:fill="auto"/>
            <w:vAlign w:val="center"/>
            <w:hideMark/>
          </w:tcPr>
          <w:p w14:paraId="0C0B28B1"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17.4%</w:t>
            </w:r>
          </w:p>
        </w:tc>
        <w:tc>
          <w:tcPr>
            <w:tcW w:w="1080" w:type="dxa"/>
            <w:tcBorders>
              <w:top w:val="nil"/>
              <w:left w:val="nil"/>
              <w:bottom w:val="single" w:sz="4" w:space="0" w:color="auto"/>
              <w:right w:val="single" w:sz="4" w:space="0" w:color="auto"/>
            </w:tcBorders>
            <w:shd w:val="clear" w:color="auto" w:fill="auto"/>
            <w:noWrap/>
            <w:vAlign w:val="center"/>
            <w:hideMark/>
          </w:tcPr>
          <w:p w14:paraId="2324C6CD"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54EB6F4B"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6719701D"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10.1%</w:t>
            </w:r>
          </w:p>
        </w:tc>
      </w:tr>
      <w:tr w:rsidR="005F1209" w:rsidRPr="00250B15" w14:paraId="2064C770" w14:textId="77777777" w:rsidTr="00F704C3">
        <w:trPr>
          <w:trHeight w:val="315"/>
        </w:trPr>
        <w:tc>
          <w:tcPr>
            <w:tcW w:w="1075" w:type="dxa"/>
            <w:vMerge/>
            <w:tcBorders>
              <w:left w:val="single" w:sz="2" w:space="0" w:color="auto"/>
              <w:bottom w:val="single" w:sz="4" w:space="0" w:color="auto"/>
              <w:right w:val="single" w:sz="4" w:space="0" w:color="auto"/>
            </w:tcBorders>
            <w:shd w:val="clear" w:color="auto" w:fill="auto"/>
            <w:vAlign w:val="center"/>
            <w:hideMark/>
          </w:tcPr>
          <w:p w14:paraId="3F0B8168" w14:textId="2934C849" w:rsidR="005F1209" w:rsidRPr="00250B15" w:rsidRDefault="005F1209" w:rsidP="00250B15">
            <w:pPr>
              <w:widowControl/>
              <w:overflowPunct/>
              <w:autoSpaceDE/>
              <w:autoSpaceDN/>
              <w:adjustRightInd/>
              <w:textAlignment w:val="auto"/>
              <w:rPr>
                <w:color w:val="000000"/>
                <w:sz w:val="20"/>
                <w:lang w:eastAsia="ko-KR"/>
              </w:rPr>
            </w:pPr>
          </w:p>
        </w:tc>
        <w:tc>
          <w:tcPr>
            <w:tcW w:w="1620" w:type="dxa"/>
            <w:tcBorders>
              <w:top w:val="nil"/>
              <w:left w:val="nil"/>
              <w:bottom w:val="single" w:sz="4" w:space="0" w:color="auto"/>
              <w:right w:val="single" w:sz="4" w:space="0" w:color="auto"/>
            </w:tcBorders>
            <w:shd w:val="clear" w:color="auto" w:fill="auto"/>
            <w:noWrap/>
            <w:vAlign w:val="center"/>
            <w:hideMark/>
          </w:tcPr>
          <w:p w14:paraId="377055C3"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Nonparticipant</w:t>
            </w:r>
          </w:p>
        </w:tc>
        <w:tc>
          <w:tcPr>
            <w:tcW w:w="1080" w:type="dxa"/>
            <w:tcBorders>
              <w:top w:val="nil"/>
              <w:left w:val="nil"/>
              <w:bottom w:val="single" w:sz="4" w:space="0" w:color="auto"/>
              <w:right w:val="single" w:sz="4" w:space="0" w:color="auto"/>
            </w:tcBorders>
            <w:shd w:val="clear" w:color="auto" w:fill="auto"/>
            <w:vAlign w:val="center"/>
            <w:hideMark/>
          </w:tcPr>
          <w:p w14:paraId="6B96F1A7"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3,931</w:t>
            </w:r>
          </w:p>
        </w:tc>
        <w:tc>
          <w:tcPr>
            <w:tcW w:w="1170" w:type="dxa"/>
            <w:tcBorders>
              <w:top w:val="nil"/>
              <w:left w:val="nil"/>
              <w:bottom w:val="single" w:sz="4" w:space="0" w:color="auto"/>
              <w:right w:val="single" w:sz="4" w:space="0" w:color="auto"/>
            </w:tcBorders>
            <w:shd w:val="clear" w:color="auto" w:fill="auto"/>
            <w:vAlign w:val="center"/>
            <w:hideMark/>
          </w:tcPr>
          <w:p w14:paraId="18C18F61"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550</w:t>
            </w:r>
          </w:p>
        </w:tc>
        <w:tc>
          <w:tcPr>
            <w:tcW w:w="1170" w:type="dxa"/>
            <w:tcBorders>
              <w:top w:val="nil"/>
              <w:left w:val="nil"/>
              <w:bottom w:val="single" w:sz="4" w:space="0" w:color="auto"/>
              <w:right w:val="single" w:sz="4" w:space="0" w:color="auto"/>
            </w:tcBorders>
            <w:shd w:val="clear" w:color="auto" w:fill="auto"/>
            <w:vAlign w:val="center"/>
            <w:hideMark/>
          </w:tcPr>
          <w:p w14:paraId="54A62B84"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14.0%</w:t>
            </w:r>
          </w:p>
        </w:tc>
        <w:tc>
          <w:tcPr>
            <w:tcW w:w="1080" w:type="dxa"/>
            <w:tcBorders>
              <w:top w:val="nil"/>
              <w:left w:val="nil"/>
              <w:bottom w:val="single" w:sz="4" w:space="0" w:color="auto"/>
              <w:right w:val="single" w:sz="4" w:space="0" w:color="auto"/>
            </w:tcBorders>
            <w:shd w:val="clear" w:color="auto" w:fill="auto"/>
            <w:noWrap/>
            <w:vAlign w:val="center"/>
            <w:hideMark/>
          </w:tcPr>
          <w:p w14:paraId="05E05866"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0AABF4AF"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01D696D3"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8.2%</w:t>
            </w:r>
          </w:p>
        </w:tc>
      </w:tr>
      <w:tr w:rsidR="005F1209" w:rsidRPr="00250B15" w14:paraId="0BF46F7E" w14:textId="77777777" w:rsidTr="00F704C3">
        <w:trPr>
          <w:trHeight w:val="300"/>
        </w:trPr>
        <w:tc>
          <w:tcPr>
            <w:tcW w:w="9355" w:type="dxa"/>
            <w:gridSpan w:val="8"/>
            <w:tcBorders>
              <w:top w:val="nil"/>
              <w:left w:val="single" w:sz="2" w:space="0" w:color="auto"/>
              <w:bottom w:val="single" w:sz="4" w:space="0" w:color="auto"/>
              <w:right w:val="single" w:sz="4" w:space="0" w:color="auto"/>
            </w:tcBorders>
            <w:shd w:val="clear" w:color="auto" w:fill="auto"/>
            <w:vAlign w:val="center"/>
          </w:tcPr>
          <w:p w14:paraId="0C0737CD" w14:textId="60F34DDA" w:rsidR="005F1209" w:rsidRPr="005F1209" w:rsidRDefault="005F1209" w:rsidP="005F1209">
            <w:pPr>
              <w:widowControl/>
              <w:overflowPunct/>
              <w:autoSpaceDE/>
              <w:autoSpaceDN/>
              <w:adjustRightInd/>
              <w:jc w:val="center"/>
              <w:textAlignment w:val="auto"/>
              <w:rPr>
                <w:i/>
                <w:color w:val="000000"/>
                <w:sz w:val="20"/>
                <w:lang w:eastAsia="ko-KR"/>
              </w:rPr>
            </w:pPr>
            <w:r w:rsidRPr="005F1209">
              <w:rPr>
                <w:i/>
                <w:color w:val="000000"/>
                <w:sz w:val="20"/>
                <w:lang w:eastAsia="ko-KR"/>
              </w:rPr>
              <w:t>SFSP Closed and SSO</w:t>
            </w:r>
          </w:p>
        </w:tc>
      </w:tr>
      <w:tr w:rsidR="00250B15" w:rsidRPr="00250B15" w14:paraId="76473A97" w14:textId="77777777" w:rsidTr="00F704C3">
        <w:trPr>
          <w:trHeight w:val="300"/>
        </w:trPr>
        <w:tc>
          <w:tcPr>
            <w:tcW w:w="1075" w:type="dxa"/>
            <w:tcBorders>
              <w:top w:val="nil"/>
              <w:left w:val="single" w:sz="2" w:space="0" w:color="auto"/>
              <w:bottom w:val="single" w:sz="4" w:space="0" w:color="auto"/>
              <w:right w:val="single" w:sz="4" w:space="0" w:color="auto"/>
            </w:tcBorders>
            <w:shd w:val="clear" w:color="auto" w:fill="auto"/>
            <w:vAlign w:val="center"/>
            <w:hideMark/>
          </w:tcPr>
          <w:p w14:paraId="285B6F79"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Enrolled</w:t>
            </w:r>
          </w:p>
        </w:tc>
        <w:tc>
          <w:tcPr>
            <w:tcW w:w="1620" w:type="dxa"/>
            <w:tcBorders>
              <w:top w:val="nil"/>
              <w:left w:val="nil"/>
              <w:bottom w:val="single" w:sz="4" w:space="0" w:color="auto"/>
              <w:right w:val="single" w:sz="4" w:space="0" w:color="auto"/>
            </w:tcBorders>
            <w:shd w:val="clear" w:color="auto" w:fill="auto"/>
            <w:vAlign w:val="center"/>
            <w:hideMark/>
          </w:tcPr>
          <w:p w14:paraId="56D03505"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Participant</w:t>
            </w:r>
          </w:p>
        </w:tc>
        <w:tc>
          <w:tcPr>
            <w:tcW w:w="1080" w:type="dxa"/>
            <w:tcBorders>
              <w:top w:val="nil"/>
              <w:left w:val="nil"/>
              <w:bottom w:val="single" w:sz="4" w:space="0" w:color="auto"/>
              <w:right w:val="single" w:sz="4" w:space="0" w:color="auto"/>
            </w:tcBorders>
            <w:shd w:val="clear" w:color="auto" w:fill="auto"/>
            <w:vAlign w:val="center"/>
            <w:hideMark/>
          </w:tcPr>
          <w:p w14:paraId="0C8EE646"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1,600</w:t>
            </w:r>
          </w:p>
        </w:tc>
        <w:tc>
          <w:tcPr>
            <w:tcW w:w="1170" w:type="dxa"/>
            <w:tcBorders>
              <w:top w:val="nil"/>
              <w:left w:val="nil"/>
              <w:bottom w:val="single" w:sz="4" w:space="0" w:color="auto"/>
              <w:right w:val="single" w:sz="4" w:space="0" w:color="auto"/>
            </w:tcBorders>
            <w:shd w:val="clear" w:color="auto" w:fill="auto"/>
            <w:vAlign w:val="center"/>
            <w:hideMark/>
          </w:tcPr>
          <w:p w14:paraId="6124BCA8"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800</w:t>
            </w:r>
          </w:p>
        </w:tc>
        <w:tc>
          <w:tcPr>
            <w:tcW w:w="1170" w:type="dxa"/>
            <w:tcBorders>
              <w:top w:val="nil"/>
              <w:left w:val="nil"/>
              <w:bottom w:val="single" w:sz="4" w:space="0" w:color="auto"/>
              <w:right w:val="single" w:sz="4" w:space="0" w:color="auto"/>
            </w:tcBorders>
            <w:shd w:val="clear" w:color="auto" w:fill="auto"/>
            <w:vAlign w:val="center"/>
            <w:hideMark/>
          </w:tcPr>
          <w:p w14:paraId="59665FD5"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4777504F"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4750D00C"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024A450A"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29.2%</w:t>
            </w:r>
          </w:p>
        </w:tc>
      </w:tr>
      <w:tr w:rsidR="00250B15" w:rsidRPr="00250B15" w14:paraId="339768BA" w14:textId="77777777" w:rsidTr="00F704C3">
        <w:trPr>
          <w:trHeight w:val="300"/>
        </w:trPr>
        <w:tc>
          <w:tcPr>
            <w:tcW w:w="1075" w:type="dxa"/>
            <w:tcBorders>
              <w:top w:val="nil"/>
              <w:left w:val="single" w:sz="2" w:space="0" w:color="auto"/>
              <w:bottom w:val="single" w:sz="4" w:space="0" w:color="auto"/>
              <w:right w:val="single" w:sz="4" w:space="0" w:color="auto"/>
            </w:tcBorders>
            <w:shd w:val="clear" w:color="auto" w:fill="auto"/>
            <w:vAlign w:val="center"/>
            <w:hideMark/>
          </w:tcPr>
          <w:p w14:paraId="790741BE"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SNAP</w:t>
            </w:r>
          </w:p>
        </w:tc>
        <w:tc>
          <w:tcPr>
            <w:tcW w:w="1620" w:type="dxa"/>
            <w:tcBorders>
              <w:top w:val="nil"/>
              <w:left w:val="nil"/>
              <w:bottom w:val="single" w:sz="4" w:space="0" w:color="auto"/>
              <w:right w:val="single" w:sz="4" w:space="0" w:color="auto"/>
            </w:tcBorders>
            <w:shd w:val="clear" w:color="auto" w:fill="auto"/>
            <w:vAlign w:val="center"/>
            <w:hideMark/>
          </w:tcPr>
          <w:p w14:paraId="26721EB2"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Nonparticipant</w:t>
            </w:r>
          </w:p>
        </w:tc>
        <w:tc>
          <w:tcPr>
            <w:tcW w:w="1080" w:type="dxa"/>
            <w:tcBorders>
              <w:top w:val="nil"/>
              <w:left w:val="nil"/>
              <w:bottom w:val="single" w:sz="4" w:space="0" w:color="auto"/>
              <w:right w:val="single" w:sz="4" w:space="0" w:color="auto"/>
            </w:tcBorders>
            <w:shd w:val="clear" w:color="auto" w:fill="auto"/>
            <w:vAlign w:val="center"/>
            <w:hideMark/>
          </w:tcPr>
          <w:p w14:paraId="03105222"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7,480</w:t>
            </w:r>
          </w:p>
        </w:tc>
        <w:tc>
          <w:tcPr>
            <w:tcW w:w="1170" w:type="dxa"/>
            <w:tcBorders>
              <w:top w:val="nil"/>
              <w:left w:val="nil"/>
              <w:bottom w:val="single" w:sz="4" w:space="0" w:color="auto"/>
              <w:right w:val="single" w:sz="4" w:space="0" w:color="auto"/>
            </w:tcBorders>
            <w:shd w:val="clear" w:color="auto" w:fill="auto"/>
            <w:vAlign w:val="center"/>
            <w:hideMark/>
          </w:tcPr>
          <w:p w14:paraId="242B900F"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1,200</w:t>
            </w:r>
          </w:p>
        </w:tc>
        <w:tc>
          <w:tcPr>
            <w:tcW w:w="1170" w:type="dxa"/>
            <w:tcBorders>
              <w:top w:val="nil"/>
              <w:left w:val="nil"/>
              <w:bottom w:val="single" w:sz="4" w:space="0" w:color="auto"/>
              <w:right w:val="single" w:sz="4" w:space="0" w:color="auto"/>
            </w:tcBorders>
            <w:shd w:val="clear" w:color="auto" w:fill="auto"/>
            <w:vAlign w:val="center"/>
            <w:hideMark/>
          </w:tcPr>
          <w:p w14:paraId="364261A6"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16.0%</w:t>
            </w:r>
          </w:p>
        </w:tc>
        <w:tc>
          <w:tcPr>
            <w:tcW w:w="1080" w:type="dxa"/>
            <w:tcBorders>
              <w:top w:val="nil"/>
              <w:left w:val="nil"/>
              <w:bottom w:val="single" w:sz="4" w:space="0" w:color="auto"/>
              <w:right w:val="single" w:sz="4" w:space="0" w:color="auto"/>
            </w:tcBorders>
            <w:shd w:val="clear" w:color="auto" w:fill="auto"/>
            <w:noWrap/>
            <w:vAlign w:val="center"/>
            <w:hideMark/>
          </w:tcPr>
          <w:p w14:paraId="2BA8F1C0"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4" w:space="0" w:color="auto"/>
              <w:right w:val="single" w:sz="4" w:space="0" w:color="auto"/>
            </w:tcBorders>
            <w:shd w:val="clear" w:color="auto" w:fill="auto"/>
            <w:noWrap/>
            <w:vAlign w:val="center"/>
            <w:hideMark/>
          </w:tcPr>
          <w:p w14:paraId="0B4F216E"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4" w:space="0" w:color="auto"/>
              <w:right w:val="single" w:sz="4" w:space="0" w:color="auto"/>
            </w:tcBorders>
            <w:shd w:val="clear" w:color="auto" w:fill="auto"/>
            <w:noWrap/>
            <w:vAlign w:val="center"/>
            <w:hideMark/>
          </w:tcPr>
          <w:p w14:paraId="75C221CB"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9.4%</w:t>
            </w:r>
          </w:p>
        </w:tc>
      </w:tr>
      <w:tr w:rsidR="00250B15" w:rsidRPr="00250B15" w14:paraId="2B067F05" w14:textId="77777777" w:rsidTr="00F704C3">
        <w:trPr>
          <w:trHeight w:val="315"/>
        </w:trPr>
        <w:tc>
          <w:tcPr>
            <w:tcW w:w="1075" w:type="dxa"/>
            <w:tcBorders>
              <w:top w:val="single" w:sz="4" w:space="0" w:color="auto"/>
              <w:left w:val="single" w:sz="2" w:space="0" w:color="auto"/>
              <w:bottom w:val="single" w:sz="12" w:space="0" w:color="auto"/>
              <w:right w:val="single" w:sz="4" w:space="0" w:color="auto"/>
            </w:tcBorders>
            <w:shd w:val="clear" w:color="auto" w:fill="auto"/>
            <w:vAlign w:val="center"/>
            <w:hideMark/>
          </w:tcPr>
          <w:p w14:paraId="61AB1CFE"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Postal</w:t>
            </w:r>
          </w:p>
        </w:tc>
        <w:tc>
          <w:tcPr>
            <w:tcW w:w="1620" w:type="dxa"/>
            <w:tcBorders>
              <w:top w:val="single" w:sz="4" w:space="0" w:color="auto"/>
              <w:left w:val="nil"/>
              <w:bottom w:val="single" w:sz="12" w:space="0" w:color="auto"/>
              <w:right w:val="single" w:sz="4" w:space="0" w:color="auto"/>
            </w:tcBorders>
            <w:shd w:val="clear" w:color="auto" w:fill="auto"/>
            <w:vAlign w:val="center"/>
            <w:hideMark/>
          </w:tcPr>
          <w:p w14:paraId="7C842FBC" w14:textId="77777777" w:rsidR="00250B15" w:rsidRPr="00250B15" w:rsidRDefault="00250B15" w:rsidP="00250B15">
            <w:pPr>
              <w:widowControl/>
              <w:overflowPunct/>
              <w:autoSpaceDE/>
              <w:autoSpaceDN/>
              <w:adjustRightInd/>
              <w:textAlignment w:val="auto"/>
              <w:rPr>
                <w:color w:val="000000"/>
                <w:sz w:val="20"/>
                <w:lang w:eastAsia="ko-KR"/>
              </w:rPr>
            </w:pPr>
            <w:r w:rsidRPr="00250B15">
              <w:rPr>
                <w:color w:val="000000"/>
                <w:sz w:val="20"/>
                <w:lang w:eastAsia="ko-KR"/>
              </w:rPr>
              <w:t>Nonparticipant</w:t>
            </w:r>
          </w:p>
        </w:tc>
        <w:tc>
          <w:tcPr>
            <w:tcW w:w="1080" w:type="dxa"/>
            <w:tcBorders>
              <w:top w:val="single" w:sz="4" w:space="0" w:color="auto"/>
              <w:left w:val="nil"/>
              <w:bottom w:val="single" w:sz="12" w:space="0" w:color="auto"/>
              <w:right w:val="single" w:sz="4" w:space="0" w:color="auto"/>
            </w:tcBorders>
            <w:shd w:val="clear" w:color="auto" w:fill="auto"/>
            <w:vAlign w:val="center"/>
            <w:hideMark/>
          </w:tcPr>
          <w:p w14:paraId="76283BF9"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3,096</w:t>
            </w: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0091C941"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400</w:t>
            </w: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73E27796"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12.9%</w:t>
            </w:r>
          </w:p>
        </w:tc>
        <w:tc>
          <w:tcPr>
            <w:tcW w:w="1080" w:type="dxa"/>
            <w:tcBorders>
              <w:top w:val="single" w:sz="4" w:space="0" w:color="auto"/>
              <w:left w:val="nil"/>
              <w:bottom w:val="single" w:sz="12" w:space="0" w:color="auto"/>
              <w:right w:val="single" w:sz="4" w:space="0" w:color="auto"/>
            </w:tcBorders>
            <w:shd w:val="clear" w:color="auto" w:fill="auto"/>
            <w:noWrap/>
            <w:vAlign w:val="center"/>
            <w:hideMark/>
          </w:tcPr>
          <w:p w14:paraId="52129F71"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single" w:sz="4" w:space="0" w:color="auto"/>
              <w:left w:val="nil"/>
              <w:bottom w:val="single" w:sz="12" w:space="0" w:color="auto"/>
              <w:right w:val="single" w:sz="4" w:space="0" w:color="auto"/>
            </w:tcBorders>
            <w:shd w:val="clear" w:color="auto" w:fill="auto"/>
            <w:noWrap/>
            <w:vAlign w:val="center"/>
            <w:hideMark/>
          </w:tcPr>
          <w:p w14:paraId="2F7B9149"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single" w:sz="4" w:space="0" w:color="auto"/>
              <w:left w:val="nil"/>
              <w:bottom w:val="single" w:sz="12" w:space="0" w:color="auto"/>
              <w:right w:val="single" w:sz="4" w:space="0" w:color="auto"/>
            </w:tcBorders>
            <w:shd w:val="clear" w:color="auto" w:fill="auto"/>
            <w:noWrap/>
            <w:vAlign w:val="center"/>
            <w:hideMark/>
          </w:tcPr>
          <w:p w14:paraId="32817231"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7.5%</w:t>
            </w:r>
          </w:p>
        </w:tc>
      </w:tr>
      <w:tr w:rsidR="00343DCA" w:rsidRPr="00250B15" w14:paraId="72235B58" w14:textId="77777777" w:rsidTr="005F1209">
        <w:trPr>
          <w:trHeight w:val="315"/>
        </w:trPr>
        <w:tc>
          <w:tcPr>
            <w:tcW w:w="1075" w:type="dxa"/>
            <w:vMerge w:val="restart"/>
            <w:tcBorders>
              <w:top w:val="single" w:sz="12" w:space="0" w:color="auto"/>
              <w:left w:val="single" w:sz="2" w:space="0" w:color="auto"/>
              <w:right w:val="single" w:sz="4" w:space="0" w:color="auto"/>
            </w:tcBorders>
            <w:shd w:val="clear" w:color="auto" w:fill="auto"/>
            <w:vAlign w:val="center"/>
          </w:tcPr>
          <w:p w14:paraId="4536D268" w14:textId="2643B817" w:rsidR="005F1209" w:rsidRPr="00250B15" w:rsidRDefault="005F1209" w:rsidP="00250B15">
            <w:pPr>
              <w:widowControl/>
              <w:overflowPunct/>
              <w:autoSpaceDE/>
              <w:autoSpaceDN/>
              <w:adjustRightInd/>
              <w:textAlignment w:val="auto"/>
              <w:rPr>
                <w:color w:val="000000"/>
                <w:sz w:val="20"/>
                <w:lang w:eastAsia="ko-KR"/>
              </w:rPr>
            </w:pPr>
            <w:r>
              <w:rPr>
                <w:color w:val="000000"/>
                <w:sz w:val="20"/>
                <w:lang w:eastAsia="ko-KR"/>
              </w:rPr>
              <w:t>Total</w:t>
            </w:r>
          </w:p>
        </w:tc>
        <w:tc>
          <w:tcPr>
            <w:tcW w:w="1620" w:type="dxa"/>
            <w:tcBorders>
              <w:top w:val="single" w:sz="12" w:space="0" w:color="auto"/>
              <w:left w:val="nil"/>
              <w:bottom w:val="single" w:sz="4" w:space="0" w:color="auto"/>
              <w:right w:val="single" w:sz="4" w:space="0" w:color="auto"/>
            </w:tcBorders>
            <w:shd w:val="clear" w:color="auto" w:fill="auto"/>
            <w:vAlign w:val="center"/>
            <w:hideMark/>
          </w:tcPr>
          <w:p w14:paraId="6332B858"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Participant</w:t>
            </w:r>
          </w:p>
        </w:tc>
        <w:tc>
          <w:tcPr>
            <w:tcW w:w="1080" w:type="dxa"/>
            <w:tcBorders>
              <w:top w:val="single" w:sz="12" w:space="0" w:color="auto"/>
              <w:left w:val="nil"/>
              <w:bottom w:val="single" w:sz="4" w:space="0" w:color="auto"/>
              <w:right w:val="single" w:sz="4" w:space="0" w:color="auto"/>
            </w:tcBorders>
            <w:shd w:val="clear" w:color="auto" w:fill="auto"/>
            <w:vAlign w:val="center"/>
            <w:hideMark/>
          </w:tcPr>
          <w:p w14:paraId="2BD6FCA2"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13,424</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71A6A592"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3,000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212AC043"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22.3%</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001E8550"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DECFFAB"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78190009"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13.0%</w:t>
            </w:r>
          </w:p>
        </w:tc>
      </w:tr>
      <w:tr w:rsidR="005F1209" w:rsidRPr="00250B15" w14:paraId="04D932A3" w14:textId="77777777" w:rsidTr="00F704C3">
        <w:trPr>
          <w:trHeight w:val="300"/>
        </w:trPr>
        <w:tc>
          <w:tcPr>
            <w:tcW w:w="1075" w:type="dxa"/>
            <w:vMerge/>
            <w:tcBorders>
              <w:left w:val="single" w:sz="2" w:space="0" w:color="auto"/>
              <w:bottom w:val="single" w:sz="12" w:space="0" w:color="auto"/>
              <w:right w:val="single" w:sz="4" w:space="0" w:color="auto"/>
            </w:tcBorders>
            <w:shd w:val="clear" w:color="auto" w:fill="auto"/>
            <w:vAlign w:val="center"/>
          </w:tcPr>
          <w:p w14:paraId="6FCB7937" w14:textId="7293E69C" w:rsidR="005F1209" w:rsidRPr="00250B15" w:rsidRDefault="005F1209" w:rsidP="00250B15">
            <w:pPr>
              <w:widowControl/>
              <w:overflowPunct/>
              <w:autoSpaceDE/>
              <w:autoSpaceDN/>
              <w:adjustRightInd/>
              <w:textAlignment w:val="auto"/>
              <w:rPr>
                <w:color w:val="000000"/>
                <w:sz w:val="20"/>
                <w:lang w:eastAsia="ko-KR"/>
              </w:rPr>
            </w:pPr>
          </w:p>
        </w:tc>
        <w:tc>
          <w:tcPr>
            <w:tcW w:w="1620" w:type="dxa"/>
            <w:tcBorders>
              <w:top w:val="nil"/>
              <w:left w:val="nil"/>
              <w:bottom w:val="single" w:sz="12" w:space="0" w:color="auto"/>
              <w:right w:val="single" w:sz="4" w:space="0" w:color="auto"/>
            </w:tcBorders>
            <w:shd w:val="clear" w:color="auto" w:fill="auto"/>
            <w:noWrap/>
            <w:vAlign w:val="center"/>
            <w:hideMark/>
          </w:tcPr>
          <w:p w14:paraId="6BF637E7" w14:textId="77777777" w:rsidR="005F1209" w:rsidRPr="00250B15" w:rsidRDefault="005F1209" w:rsidP="00250B15">
            <w:pPr>
              <w:widowControl/>
              <w:overflowPunct/>
              <w:autoSpaceDE/>
              <w:autoSpaceDN/>
              <w:adjustRightInd/>
              <w:textAlignment w:val="auto"/>
              <w:rPr>
                <w:color w:val="000000"/>
                <w:sz w:val="20"/>
                <w:lang w:eastAsia="ko-KR"/>
              </w:rPr>
            </w:pPr>
            <w:r w:rsidRPr="00250B15">
              <w:rPr>
                <w:color w:val="000000"/>
                <w:sz w:val="20"/>
                <w:lang w:eastAsia="ko-KR"/>
              </w:rPr>
              <w:t>Nonparticipant</w:t>
            </w:r>
          </w:p>
        </w:tc>
        <w:tc>
          <w:tcPr>
            <w:tcW w:w="1080" w:type="dxa"/>
            <w:tcBorders>
              <w:top w:val="nil"/>
              <w:left w:val="nil"/>
              <w:bottom w:val="single" w:sz="12" w:space="0" w:color="auto"/>
              <w:right w:val="single" w:sz="4" w:space="0" w:color="auto"/>
            </w:tcBorders>
            <w:shd w:val="clear" w:color="auto" w:fill="auto"/>
            <w:vAlign w:val="center"/>
            <w:hideMark/>
          </w:tcPr>
          <w:p w14:paraId="5FCB7BBF"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27,202</w:t>
            </w:r>
          </w:p>
        </w:tc>
        <w:tc>
          <w:tcPr>
            <w:tcW w:w="1170" w:type="dxa"/>
            <w:tcBorders>
              <w:top w:val="nil"/>
              <w:left w:val="nil"/>
              <w:bottom w:val="single" w:sz="12" w:space="0" w:color="auto"/>
              <w:right w:val="single" w:sz="4" w:space="0" w:color="auto"/>
            </w:tcBorders>
            <w:shd w:val="clear" w:color="auto" w:fill="auto"/>
            <w:vAlign w:val="center"/>
            <w:hideMark/>
          </w:tcPr>
          <w:p w14:paraId="1C573EB5"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3,800</w:t>
            </w:r>
          </w:p>
        </w:tc>
        <w:tc>
          <w:tcPr>
            <w:tcW w:w="1170" w:type="dxa"/>
            <w:tcBorders>
              <w:top w:val="nil"/>
              <w:left w:val="nil"/>
              <w:bottom w:val="single" w:sz="12" w:space="0" w:color="auto"/>
              <w:right w:val="single" w:sz="4" w:space="0" w:color="auto"/>
            </w:tcBorders>
            <w:shd w:val="clear" w:color="auto" w:fill="auto"/>
            <w:vAlign w:val="center"/>
            <w:hideMark/>
          </w:tcPr>
          <w:p w14:paraId="5A0D63F1"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14.0%</w:t>
            </w:r>
          </w:p>
        </w:tc>
        <w:tc>
          <w:tcPr>
            <w:tcW w:w="1080" w:type="dxa"/>
            <w:tcBorders>
              <w:top w:val="nil"/>
              <w:left w:val="nil"/>
              <w:bottom w:val="single" w:sz="12" w:space="0" w:color="auto"/>
              <w:right w:val="single" w:sz="4" w:space="0" w:color="auto"/>
            </w:tcBorders>
            <w:shd w:val="clear" w:color="auto" w:fill="auto"/>
            <w:noWrap/>
            <w:vAlign w:val="center"/>
            <w:hideMark/>
          </w:tcPr>
          <w:p w14:paraId="4EC00B9C"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nil"/>
              <w:left w:val="nil"/>
              <w:bottom w:val="single" w:sz="12" w:space="0" w:color="auto"/>
              <w:right w:val="single" w:sz="4" w:space="0" w:color="auto"/>
            </w:tcBorders>
            <w:shd w:val="clear" w:color="auto" w:fill="auto"/>
            <w:noWrap/>
            <w:vAlign w:val="center"/>
            <w:hideMark/>
          </w:tcPr>
          <w:p w14:paraId="388A5190"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nil"/>
              <w:left w:val="nil"/>
              <w:bottom w:val="single" w:sz="12" w:space="0" w:color="auto"/>
              <w:right w:val="single" w:sz="4" w:space="0" w:color="auto"/>
            </w:tcBorders>
            <w:shd w:val="clear" w:color="auto" w:fill="auto"/>
            <w:noWrap/>
            <w:vAlign w:val="center"/>
            <w:hideMark/>
          </w:tcPr>
          <w:p w14:paraId="2D67DEC0" w14:textId="77777777" w:rsidR="005F1209" w:rsidRPr="00250B15" w:rsidRDefault="005F1209" w:rsidP="00250B15">
            <w:pPr>
              <w:widowControl/>
              <w:overflowPunct/>
              <w:autoSpaceDE/>
              <w:autoSpaceDN/>
              <w:adjustRightInd/>
              <w:jc w:val="right"/>
              <w:textAlignment w:val="auto"/>
              <w:rPr>
                <w:color w:val="000000"/>
                <w:sz w:val="20"/>
                <w:lang w:eastAsia="ko-KR"/>
              </w:rPr>
            </w:pPr>
            <w:r w:rsidRPr="00250B15">
              <w:rPr>
                <w:color w:val="000000"/>
                <w:sz w:val="20"/>
                <w:lang w:eastAsia="ko-KR"/>
              </w:rPr>
              <w:t>8.1%</w:t>
            </w:r>
          </w:p>
        </w:tc>
      </w:tr>
      <w:tr w:rsidR="00250B15" w:rsidRPr="00250B15" w14:paraId="4B9C5F61" w14:textId="77777777" w:rsidTr="00F704C3">
        <w:trPr>
          <w:trHeight w:val="315"/>
        </w:trPr>
        <w:tc>
          <w:tcPr>
            <w:tcW w:w="1075" w:type="dxa"/>
            <w:tcBorders>
              <w:top w:val="single" w:sz="12" w:space="0" w:color="auto"/>
              <w:left w:val="single" w:sz="2" w:space="0" w:color="auto"/>
              <w:bottom w:val="single" w:sz="4" w:space="0" w:color="auto"/>
              <w:right w:val="single" w:sz="4" w:space="0" w:color="auto"/>
            </w:tcBorders>
            <w:shd w:val="clear" w:color="auto" w:fill="auto"/>
            <w:vAlign w:val="center"/>
          </w:tcPr>
          <w:p w14:paraId="6FDF0518" w14:textId="03265618" w:rsidR="00250B15" w:rsidRPr="00250B15" w:rsidRDefault="005F1209" w:rsidP="00250B15">
            <w:pPr>
              <w:widowControl/>
              <w:overflowPunct/>
              <w:autoSpaceDE/>
              <w:autoSpaceDN/>
              <w:adjustRightInd/>
              <w:textAlignment w:val="auto"/>
              <w:rPr>
                <w:color w:val="000000"/>
                <w:sz w:val="20"/>
                <w:lang w:eastAsia="ko-KR"/>
              </w:rPr>
            </w:pPr>
            <w:r>
              <w:rPr>
                <w:color w:val="000000"/>
                <w:sz w:val="20"/>
                <w:lang w:eastAsia="ko-KR"/>
              </w:rPr>
              <w:t>Overall</w:t>
            </w:r>
          </w:p>
        </w:tc>
        <w:tc>
          <w:tcPr>
            <w:tcW w:w="1620" w:type="dxa"/>
            <w:tcBorders>
              <w:top w:val="single" w:sz="12" w:space="0" w:color="auto"/>
              <w:left w:val="nil"/>
              <w:bottom w:val="single" w:sz="4" w:space="0" w:color="auto"/>
              <w:right w:val="single" w:sz="4" w:space="0" w:color="auto"/>
            </w:tcBorders>
            <w:shd w:val="clear" w:color="auto" w:fill="auto"/>
            <w:vAlign w:val="center"/>
            <w:hideMark/>
          </w:tcPr>
          <w:p w14:paraId="59D34C40" w14:textId="77AECE2F" w:rsidR="00250B15" w:rsidRPr="00250B15" w:rsidRDefault="00250B15" w:rsidP="00250B15">
            <w:pPr>
              <w:widowControl/>
              <w:overflowPunct/>
              <w:autoSpaceDE/>
              <w:autoSpaceDN/>
              <w:adjustRightInd/>
              <w:textAlignment w:val="auto"/>
              <w:rPr>
                <w:color w:val="000000"/>
                <w:sz w:val="20"/>
                <w:lang w:eastAsia="ko-KR"/>
              </w:rPr>
            </w:pP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1A2107B2"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40,626</w:t>
            </w:r>
          </w:p>
        </w:tc>
        <w:tc>
          <w:tcPr>
            <w:tcW w:w="1170" w:type="dxa"/>
            <w:tcBorders>
              <w:top w:val="single" w:sz="12" w:space="0" w:color="auto"/>
              <w:left w:val="nil"/>
              <w:bottom w:val="single" w:sz="4" w:space="0" w:color="auto"/>
              <w:right w:val="single" w:sz="4" w:space="0" w:color="auto"/>
            </w:tcBorders>
            <w:shd w:val="clear" w:color="auto" w:fill="auto"/>
            <w:noWrap/>
            <w:vAlign w:val="center"/>
            <w:hideMark/>
          </w:tcPr>
          <w:p w14:paraId="00310658"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6,800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73CD06CD"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16.7%</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1B8AE674"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70.0%</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AB7BB4B"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83.3%</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5990D34" w14:textId="77777777" w:rsidR="00250B15" w:rsidRPr="00250B15" w:rsidRDefault="00250B15" w:rsidP="00250B15">
            <w:pPr>
              <w:widowControl/>
              <w:overflowPunct/>
              <w:autoSpaceDE/>
              <w:autoSpaceDN/>
              <w:adjustRightInd/>
              <w:jc w:val="right"/>
              <w:textAlignment w:val="auto"/>
              <w:rPr>
                <w:color w:val="000000"/>
                <w:sz w:val="20"/>
                <w:lang w:eastAsia="ko-KR"/>
              </w:rPr>
            </w:pPr>
            <w:r w:rsidRPr="00250B15">
              <w:rPr>
                <w:color w:val="000000"/>
                <w:sz w:val="20"/>
                <w:lang w:eastAsia="ko-KR"/>
              </w:rPr>
              <w:t>9.8%</w:t>
            </w:r>
          </w:p>
        </w:tc>
      </w:tr>
    </w:tbl>
    <w:p w14:paraId="3BDDFAF8" w14:textId="77777777" w:rsidR="00250B15" w:rsidRPr="008E0367" w:rsidRDefault="00250B15" w:rsidP="0020370D">
      <w:pPr>
        <w:spacing w:line="480" w:lineRule="auto"/>
        <w:rPr>
          <w:szCs w:val="24"/>
        </w:rPr>
      </w:pPr>
    </w:p>
    <w:p w14:paraId="15D63766" w14:textId="5F660794" w:rsidR="0040591B" w:rsidRDefault="008F453D" w:rsidP="00A9436B">
      <w:pPr>
        <w:spacing w:line="480" w:lineRule="auto"/>
        <w:ind w:firstLine="720"/>
        <w:rPr>
          <w:szCs w:val="24"/>
        </w:rPr>
      </w:pPr>
      <w:r w:rsidRPr="008E0367">
        <w:rPr>
          <w:szCs w:val="24"/>
        </w:rPr>
        <w:t>The sample size</w:t>
      </w:r>
      <w:r w:rsidR="005229A3" w:rsidRPr="008E0367">
        <w:rPr>
          <w:szCs w:val="24"/>
        </w:rPr>
        <w:t>s</w:t>
      </w:r>
      <w:r w:rsidR="00F968B8" w:rsidRPr="008E0367">
        <w:rPr>
          <w:szCs w:val="24"/>
        </w:rPr>
        <w:t xml:space="preserve"> given </w:t>
      </w:r>
      <w:r w:rsidR="00F968B8" w:rsidRPr="00B63168">
        <w:rPr>
          <w:szCs w:val="24"/>
        </w:rPr>
        <w:t xml:space="preserve">in </w:t>
      </w:r>
      <w:r w:rsidR="006B03DC" w:rsidRPr="00B63168">
        <w:rPr>
          <w:szCs w:val="24"/>
        </w:rPr>
        <w:fldChar w:fldCharType="begin"/>
      </w:r>
      <w:r w:rsidR="006B03DC" w:rsidRPr="00CE3C0C">
        <w:rPr>
          <w:szCs w:val="24"/>
        </w:rPr>
        <w:instrText xml:space="preserve"> REF _Ref493492577 \h </w:instrText>
      </w:r>
      <w:r w:rsidR="006B03DC" w:rsidRPr="00FA7E24">
        <w:rPr>
          <w:szCs w:val="24"/>
        </w:rPr>
        <w:instrText xml:space="preserve"> \* MERGEFORMAT </w:instrText>
      </w:r>
      <w:r w:rsidR="006B03DC" w:rsidRPr="00B63168">
        <w:rPr>
          <w:szCs w:val="24"/>
        </w:rPr>
      </w:r>
      <w:r w:rsidR="006B03DC" w:rsidRPr="00B63168">
        <w:rPr>
          <w:szCs w:val="24"/>
        </w:rPr>
        <w:fldChar w:fldCharType="separate"/>
      </w:r>
      <w:r w:rsidR="00FD4FBC" w:rsidRPr="0075166D">
        <w:t xml:space="preserve">Table B1 - </w:t>
      </w:r>
      <w:r w:rsidR="00FD4FBC" w:rsidRPr="0075166D">
        <w:rPr>
          <w:noProof/>
        </w:rPr>
        <w:t>4</w:t>
      </w:r>
      <w:r w:rsidR="006B03DC" w:rsidRPr="00B63168">
        <w:rPr>
          <w:szCs w:val="24"/>
        </w:rPr>
        <w:fldChar w:fldCharType="end"/>
      </w:r>
      <w:r w:rsidR="006B03DC">
        <w:rPr>
          <w:szCs w:val="24"/>
        </w:rPr>
        <w:t xml:space="preserve"> </w:t>
      </w:r>
      <w:r w:rsidR="005229A3" w:rsidRPr="008E0367">
        <w:rPr>
          <w:szCs w:val="24"/>
        </w:rPr>
        <w:t>are</w:t>
      </w:r>
      <w:r w:rsidRPr="008E0367">
        <w:rPr>
          <w:szCs w:val="24"/>
        </w:rPr>
        <w:t xml:space="preserve"> the </w:t>
      </w:r>
      <w:r w:rsidR="00AA1C62">
        <w:rPr>
          <w:szCs w:val="24"/>
        </w:rPr>
        <w:t>numbers</w:t>
      </w:r>
      <w:r w:rsidR="00AA1C62" w:rsidRPr="008E0367">
        <w:rPr>
          <w:szCs w:val="24"/>
        </w:rPr>
        <w:t xml:space="preserve"> </w:t>
      </w:r>
      <w:r w:rsidR="00C20311" w:rsidRPr="008E0367">
        <w:rPr>
          <w:szCs w:val="24"/>
        </w:rPr>
        <w:t xml:space="preserve">of eligible </w:t>
      </w:r>
      <w:r w:rsidR="008C63DF">
        <w:rPr>
          <w:szCs w:val="24"/>
        </w:rPr>
        <w:t xml:space="preserve">(and subsampled for nonparticipants) </w:t>
      </w:r>
      <w:r w:rsidR="00C20311" w:rsidRPr="008E0367">
        <w:rPr>
          <w:szCs w:val="24"/>
        </w:rPr>
        <w:t>households for participants</w:t>
      </w:r>
      <w:r w:rsidR="00F968B8" w:rsidRPr="008E0367">
        <w:rPr>
          <w:szCs w:val="24"/>
        </w:rPr>
        <w:t xml:space="preserve"> estimated from the screener sample</w:t>
      </w:r>
      <w:r w:rsidR="00C20311" w:rsidRPr="008E0367">
        <w:rPr>
          <w:szCs w:val="24"/>
        </w:rPr>
        <w:t xml:space="preserve">. </w:t>
      </w:r>
      <w:r w:rsidR="00DB7900">
        <w:rPr>
          <w:szCs w:val="24"/>
        </w:rPr>
        <w:t xml:space="preserve">All eligible </w:t>
      </w:r>
      <w:r w:rsidR="00DB7900" w:rsidRPr="00FA7E24">
        <w:rPr>
          <w:i/>
          <w:szCs w:val="24"/>
        </w:rPr>
        <w:t>participants</w:t>
      </w:r>
      <w:r w:rsidR="00DB7900">
        <w:rPr>
          <w:szCs w:val="24"/>
        </w:rPr>
        <w:t xml:space="preserve"> who respond to the screener will be asked to complete a survey. </w:t>
      </w:r>
      <w:commentRangeStart w:id="24"/>
      <w:r w:rsidR="00DB7900">
        <w:rPr>
          <w:szCs w:val="24"/>
        </w:rPr>
        <w:t>However, f</w:t>
      </w:r>
      <w:r w:rsidR="00C20311" w:rsidRPr="008E0367">
        <w:rPr>
          <w:szCs w:val="24"/>
        </w:rPr>
        <w:t xml:space="preserve">or </w:t>
      </w:r>
      <w:r w:rsidR="00C20311" w:rsidRPr="00FA7E24">
        <w:rPr>
          <w:i/>
          <w:szCs w:val="24"/>
        </w:rPr>
        <w:t>nonparticipants</w:t>
      </w:r>
      <w:r w:rsidR="00C20311" w:rsidRPr="008E0367">
        <w:rPr>
          <w:szCs w:val="24"/>
        </w:rPr>
        <w:t xml:space="preserve">, </w:t>
      </w:r>
      <w:r w:rsidR="00DB7900">
        <w:rPr>
          <w:szCs w:val="24"/>
        </w:rPr>
        <w:t>s</w:t>
      </w:r>
      <w:r w:rsidR="00C20311" w:rsidRPr="008E0367">
        <w:rPr>
          <w:szCs w:val="24"/>
        </w:rPr>
        <w:t>ubsampling is necessary because the majority of households in a catchment area are nonparticipants and too many will be screened.</w:t>
      </w:r>
      <w:r w:rsidR="00DB7900">
        <w:rPr>
          <w:szCs w:val="24"/>
        </w:rPr>
        <w:t xml:space="preserve"> Therefore, only a subsample of eligible nonparticipant</w:t>
      </w:r>
      <w:r w:rsidR="00A34E65">
        <w:rPr>
          <w:szCs w:val="24"/>
        </w:rPr>
        <w:t>s</w:t>
      </w:r>
      <w:r w:rsidR="006007D4">
        <w:rPr>
          <w:szCs w:val="24"/>
        </w:rPr>
        <w:t xml:space="preserve"> living in the catchment area of a summer meals site</w:t>
      </w:r>
      <w:r w:rsidR="00DB7900">
        <w:rPr>
          <w:szCs w:val="24"/>
        </w:rPr>
        <w:t xml:space="preserve"> will be invited to complete a survey.</w:t>
      </w:r>
      <w:commentRangeEnd w:id="24"/>
      <w:r w:rsidR="00B9061C">
        <w:rPr>
          <w:rStyle w:val="CommentReference"/>
        </w:rPr>
        <w:commentReference w:id="24"/>
      </w:r>
    </w:p>
    <w:p w14:paraId="1DAE194F" w14:textId="2C302ED7" w:rsidR="0040591B" w:rsidRDefault="0040591B" w:rsidP="00A9436B">
      <w:pPr>
        <w:spacing w:line="480" w:lineRule="auto"/>
        <w:ind w:firstLine="720"/>
        <w:rPr>
          <w:szCs w:val="24"/>
        </w:rPr>
      </w:pPr>
      <w:commentRangeStart w:id="25"/>
      <w:r>
        <w:rPr>
          <w:szCs w:val="24"/>
        </w:rPr>
        <w:t xml:space="preserve">Low response rates for the caregiver surveys are of concern because respondent samples </w:t>
      </w:r>
      <w:r w:rsidR="001164B5">
        <w:rPr>
          <w:szCs w:val="24"/>
        </w:rPr>
        <w:t>with low response rates are more susceptible</w:t>
      </w:r>
      <w:r>
        <w:rPr>
          <w:szCs w:val="24"/>
        </w:rPr>
        <w:t xml:space="preserve"> </w:t>
      </w:r>
      <w:r w:rsidR="001164B5">
        <w:rPr>
          <w:szCs w:val="24"/>
        </w:rPr>
        <w:t xml:space="preserve">to </w:t>
      </w:r>
      <w:r>
        <w:rPr>
          <w:szCs w:val="24"/>
        </w:rPr>
        <w:t xml:space="preserve">produce biased estimates. However, </w:t>
      </w:r>
      <w:r w:rsidR="00D62E53">
        <w:rPr>
          <w:szCs w:val="24"/>
        </w:rPr>
        <w:t>this</w:t>
      </w:r>
      <w:r>
        <w:rPr>
          <w:szCs w:val="24"/>
        </w:rPr>
        <w:t xml:space="preserve"> cannot </w:t>
      </w:r>
      <w:r w:rsidR="00D62E53">
        <w:rPr>
          <w:szCs w:val="24"/>
        </w:rPr>
        <w:t xml:space="preserve">be </w:t>
      </w:r>
      <w:r>
        <w:rPr>
          <w:szCs w:val="24"/>
        </w:rPr>
        <w:t>avoid</w:t>
      </w:r>
      <w:r w:rsidR="00D62E53">
        <w:rPr>
          <w:szCs w:val="24"/>
        </w:rPr>
        <w:t>ed</w:t>
      </w:r>
      <w:r>
        <w:rPr>
          <w:szCs w:val="24"/>
        </w:rPr>
        <w:t xml:space="preserve"> because we have to rely on screening of address-based household samples</w:t>
      </w:r>
      <w:r w:rsidR="00D62E53">
        <w:rPr>
          <w:szCs w:val="24"/>
        </w:rPr>
        <w:t>,</w:t>
      </w:r>
      <w:r>
        <w:rPr>
          <w:szCs w:val="24"/>
        </w:rPr>
        <w:t xml:space="preserve"> and it is very difficult to achieve a high response rate for household screener surveys. </w:t>
      </w:r>
      <w:r w:rsidR="001E5604">
        <w:rPr>
          <w:szCs w:val="24"/>
        </w:rPr>
        <w:t>After the survey data are collected, w</w:t>
      </w:r>
      <w:r w:rsidR="00885D1B">
        <w:rPr>
          <w:szCs w:val="24"/>
        </w:rPr>
        <w:t xml:space="preserve">e will perform nonresponse adjustment weighting to reduce the nonresponse bias and will conduct a nonresponse bias study to assess whether the adjusted sample would produce estimates with negligible bias. </w:t>
      </w:r>
      <w:r w:rsidR="00BB7224">
        <w:rPr>
          <w:szCs w:val="24"/>
        </w:rPr>
        <w:t xml:space="preserve">In this context, we interpret sample “representativeness” as the </w:t>
      </w:r>
      <w:r w:rsidR="00362D59">
        <w:rPr>
          <w:szCs w:val="24"/>
        </w:rPr>
        <w:t>ability of</w:t>
      </w:r>
      <w:r w:rsidR="00BB7224">
        <w:rPr>
          <w:szCs w:val="24"/>
        </w:rPr>
        <w:t xml:space="preserve"> the sample with proper weighting </w:t>
      </w:r>
      <w:r w:rsidR="00362D59">
        <w:rPr>
          <w:szCs w:val="24"/>
        </w:rPr>
        <w:t>to</w:t>
      </w:r>
      <w:r w:rsidR="00BB7224">
        <w:rPr>
          <w:szCs w:val="24"/>
        </w:rPr>
        <w:t xml:space="preserve"> produce unbiased estimates of the population parameters of interest.</w:t>
      </w:r>
      <w:commentRangeEnd w:id="25"/>
      <w:r w:rsidR="004E3911">
        <w:rPr>
          <w:rStyle w:val="CommentReference"/>
        </w:rPr>
        <w:commentReference w:id="25"/>
      </w:r>
    </w:p>
    <w:p w14:paraId="273241E1" w14:textId="6CB7CFC0" w:rsidR="004B63B4" w:rsidRDefault="004B63B4" w:rsidP="004B63B4">
      <w:pPr>
        <w:spacing w:line="480" w:lineRule="auto"/>
        <w:rPr>
          <w:b/>
          <w:i/>
          <w:szCs w:val="24"/>
        </w:rPr>
      </w:pPr>
      <w:r>
        <w:rPr>
          <w:b/>
          <w:i/>
          <w:szCs w:val="24"/>
        </w:rPr>
        <w:t>Qualitative Interviews</w:t>
      </w:r>
    </w:p>
    <w:p w14:paraId="36CC2436" w14:textId="4F81C4F2" w:rsidR="00DC3534" w:rsidRPr="00F704C3" w:rsidRDefault="004B63B4" w:rsidP="00F704C3">
      <w:pPr>
        <w:spacing w:line="480" w:lineRule="auto"/>
        <w:rPr>
          <w:szCs w:val="24"/>
        </w:rPr>
      </w:pPr>
      <w:r>
        <w:rPr>
          <w:szCs w:val="24"/>
        </w:rPr>
        <w:tab/>
      </w:r>
      <w:r w:rsidR="00977274" w:rsidRPr="00977274">
        <w:rPr>
          <w:szCs w:val="24"/>
        </w:rPr>
        <w:t xml:space="preserve">Current sponsors, site supervisors and caregivers may indicate a willingness to participate in the qualitative interviews at the end of their respective </w:t>
      </w:r>
      <w:r w:rsidR="002F5E03">
        <w:rPr>
          <w:szCs w:val="24"/>
        </w:rPr>
        <w:t xml:space="preserve">quantitative </w:t>
      </w:r>
      <w:r w:rsidR="00977274" w:rsidRPr="00977274">
        <w:rPr>
          <w:szCs w:val="24"/>
        </w:rPr>
        <w:t xml:space="preserve">survey instruments. From the list of willing sponsors and site supervisors, we will select respondents for the qualitative interviews to ensure that we include respondents from all types of sponsors (i.e., SFA, government, nonprofit) and sites (open/closed, SSO/SFSP, school/other, etc.). </w:t>
      </w:r>
      <w:r w:rsidR="00EE0AC0">
        <w:rPr>
          <w:szCs w:val="24"/>
        </w:rPr>
        <w:t xml:space="preserve">We will randomly select 38 sponsor-site dyads within the categories of respondents of interest to complete 19 sponsor-site dyad interviews. </w:t>
      </w:r>
      <w:r w:rsidR="00977274" w:rsidRPr="00977274">
        <w:rPr>
          <w:szCs w:val="24"/>
        </w:rPr>
        <w:t>Former sponsors will represent both SFSP and SSO, and different site types, using 2017 and 2018 site and sponsor lists obtained from State agencies. Sponsors that are on the 2017 list but not on the 2018 list will be considered former sponsors.</w:t>
      </w:r>
      <w:r w:rsidR="00EE0AC0">
        <w:rPr>
          <w:szCs w:val="24"/>
        </w:rPr>
        <w:t xml:space="preserve"> We will randomly select 20 former sponsors within the categories of respondents of interest to complete 10 interviews.  </w:t>
      </w:r>
      <w:r w:rsidR="00977274" w:rsidRPr="00977274">
        <w:rPr>
          <w:szCs w:val="24"/>
        </w:rPr>
        <w:t>From the list of interested caregivers, we will select respondents for the qualitative interviews to achieve diversity in the ages of children/teens who participate or are in the household; the types of sites they attend or are closest to their residence (i.e., the sampled site); and levels of satisfaction with the program based on survey results</w:t>
      </w:r>
      <w:r w:rsidR="00977274">
        <w:rPr>
          <w:szCs w:val="24"/>
        </w:rPr>
        <w:t xml:space="preserve">. </w:t>
      </w:r>
      <w:r w:rsidR="00EE0AC0">
        <w:rPr>
          <w:szCs w:val="24"/>
        </w:rPr>
        <w:t>We will randomly select 96 caregivers of participants and nonparticipants (divided evenly) within the categories of respondents of interest to complete 48 interviews (divided evenly).</w:t>
      </w:r>
    </w:p>
    <w:p w14:paraId="20B0B98E" w14:textId="5BCFAA09" w:rsidR="008129D8" w:rsidRPr="008E0367" w:rsidRDefault="006F021F" w:rsidP="00695629">
      <w:pPr>
        <w:pStyle w:val="Heading1"/>
      </w:pPr>
      <w:bookmarkStart w:id="26" w:name="_Toc329341117"/>
      <w:bookmarkStart w:id="27" w:name="_Toc290021782"/>
      <w:bookmarkStart w:id="28" w:name="_Toc287257090"/>
      <w:bookmarkStart w:id="29" w:name="_Toc287257036"/>
      <w:bookmarkStart w:id="30" w:name="_Toc400377724"/>
      <w:bookmarkStart w:id="31" w:name="_Toc409090901"/>
      <w:bookmarkStart w:id="32" w:name="_Toc492882811"/>
      <w:bookmarkStart w:id="33" w:name="_Toc505263870"/>
      <w:r>
        <w:t>B.2 Procedures</w:t>
      </w:r>
      <w:r w:rsidR="008129D8" w:rsidRPr="008E0367">
        <w:t xml:space="preserve"> for the Collection of Information</w:t>
      </w:r>
      <w:bookmarkEnd w:id="26"/>
      <w:bookmarkEnd w:id="27"/>
      <w:bookmarkEnd w:id="28"/>
      <w:bookmarkEnd w:id="29"/>
      <w:bookmarkEnd w:id="30"/>
      <w:bookmarkEnd w:id="31"/>
      <w:bookmarkEnd w:id="32"/>
      <w:bookmarkEnd w:id="33"/>
    </w:p>
    <w:p w14:paraId="36CB4BC9" w14:textId="6157E051" w:rsidR="008129D8" w:rsidRPr="008E0367" w:rsidRDefault="008129D8" w:rsidP="00695629">
      <w:pPr>
        <w:widowControl/>
        <w:tabs>
          <w:tab w:val="left" w:pos="1152"/>
        </w:tabs>
        <w:overflowPunct/>
        <w:autoSpaceDE/>
        <w:autoSpaceDN/>
        <w:adjustRightInd/>
        <w:textAlignment w:val="auto"/>
        <w:rPr>
          <w:b/>
          <w:szCs w:val="24"/>
        </w:rPr>
      </w:pPr>
      <w:bookmarkStart w:id="34" w:name="_Toc400377725"/>
      <w:r w:rsidRPr="008E0367">
        <w:rPr>
          <w:b/>
          <w:szCs w:val="24"/>
        </w:rPr>
        <w:t>Describe the procedures for the collection of information including:</w:t>
      </w:r>
      <w:bookmarkEnd w:id="34"/>
    </w:p>
    <w:p w14:paraId="6B8E24FB" w14:textId="77777777" w:rsidR="008129D8" w:rsidRPr="008E0367" w:rsidRDefault="008129D8" w:rsidP="00695629">
      <w:pPr>
        <w:pStyle w:val="N1-1stBullet"/>
        <w:numPr>
          <w:ilvl w:val="0"/>
          <w:numId w:val="23"/>
        </w:numPr>
        <w:spacing w:after="0" w:line="240" w:lineRule="auto"/>
        <w:rPr>
          <w:rFonts w:ascii="Times New Roman" w:hAnsi="Times New Roman"/>
          <w:b/>
          <w:szCs w:val="24"/>
        </w:rPr>
      </w:pPr>
      <w:bookmarkStart w:id="35" w:name="_Toc325550967"/>
      <w:bookmarkStart w:id="36" w:name="_Toc316652509"/>
      <w:bookmarkStart w:id="37" w:name="_Toc400377726"/>
      <w:r w:rsidRPr="008E0367">
        <w:rPr>
          <w:rFonts w:ascii="Times New Roman" w:hAnsi="Times New Roman"/>
          <w:b/>
          <w:szCs w:val="24"/>
        </w:rPr>
        <w:t>Statistical methodology for stratification and sample selection,</w:t>
      </w:r>
      <w:bookmarkEnd w:id="35"/>
      <w:bookmarkEnd w:id="36"/>
      <w:bookmarkEnd w:id="37"/>
    </w:p>
    <w:p w14:paraId="472D96F0" w14:textId="77777777" w:rsidR="008129D8" w:rsidRPr="008E0367" w:rsidRDefault="008129D8" w:rsidP="00695629">
      <w:pPr>
        <w:pStyle w:val="N1-1stBullet"/>
        <w:numPr>
          <w:ilvl w:val="0"/>
          <w:numId w:val="23"/>
        </w:numPr>
        <w:spacing w:after="0" w:line="240" w:lineRule="auto"/>
        <w:rPr>
          <w:rFonts w:ascii="Times New Roman" w:hAnsi="Times New Roman"/>
          <w:b/>
          <w:szCs w:val="24"/>
        </w:rPr>
      </w:pPr>
      <w:bookmarkStart w:id="38" w:name="_Toc325550968"/>
      <w:bookmarkStart w:id="39" w:name="_Toc316652510"/>
      <w:bookmarkStart w:id="40" w:name="_Toc400377727"/>
      <w:r w:rsidRPr="008E0367">
        <w:rPr>
          <w:rFonts w:ascii="Times New Roman" w:hAnsi="Times New Roman"/>
          <w:b/>
          <w:szCs w:val="24"/>
        </w:rPr>
        <w:t>Estimation procedure,</w:t>
      </w:r>
      <w:bookmarkEnd w:id="38"/>
      <w:bookmarkEnd w:id="39"/>
      <w:bookmarkEnd w:id="40"/>
    </w:p>
    <w:p w14:paraId="3B044270" w14:textId="77777777" w:rsidR="008129D8" w:rsidRPr="008E0367" w:rsidRDefault="008129D8" w:rsidP="00695629">
      <w:pPr>
        <w:pStyle w:val="N1-1stBullet"/>
        <w:numPr>
          <w:ilvl w:val="0"/>
          <w:numId w:val="23"/>
        </w:numPr>
        <w:spacing w:after="0" w:line="240" w:lineRule="auto"/>
        <w:rPr>
          <w:rFonts w:ascii="Times New Roman" w:hAnsi="Times New Roman"/>
          <w:b/>
          <w:szCs w:val="24"/>
        </w:rPr>
      </w:pPr>
      <w:bookmarkStart w:id="41" w:name="_Toc325550969"/>
      <w:bookmarkStart w:id="42" w:name="_Toc316652511"/>
      <w:bookmarkStart w:id="43" w:name="_Toc400377728"/>
      <w:r w:rsidRPr="008E0367">
        <w:rPr>
          <w:rFonts w:ascii="Times New Roman" w:hAnsi="Times New Roman"/>
          <w:b/>
          <w:szCs w:val="24"/>
        </w:rPr>
        <w:t>Degree of accuracy needed for the purpose described in the justification,</w:t>
      </w:r>
      <w:bookmarkEnd w:id="41"/>
      <w:bookmarkEnd w:id="42"/>
      <w:bookmarkEnd w:id="43"/>
    </w:p>
    <w:p w14:paraId="2D75A6F1" w14:textId="77777777" w:rsidR="008129D8" w:rsidRPr="008E0367" w:rsidRDefault="008129D8" w:rsidP="00695629">
      <w:pPr>
        <w:pStyle w:val="N1-1stBullet"/>
        <w:numPr>
          <w:ilvl w:val="0"/>
          <w:numId w:val="23"/>
        </w:numPr>
        <w:spacing w:after="0" w:line="240" w:lineRule="auto"/>
        <w:rPr>
          <w:rFonts w:ascii="Times New Roman" w:hAnsi="Times New Roman"/>
          <w:b/>
          <w:szCs w:val="24"/>
        </w:rPr>
      </w:pPr>
      <w:bookmarkStart w:id="44" w:name="_Toc325550970"/>
      <w:bookmarkStart w:id="45" w:name="_Toc316652512"/>
      <w:bookmarkStart w:id="46" w:name="_Toc400377729"/>
      <w:r w:rsidRPr="008E0367">
        <w:rPr>
          <w:rFonts w:ascii="Times New Roman" w:hAnsi="Times New Roman"/>
          <w:b/>
          <w:szCs w:val="24"/>
        </w:rPr>
        <w:t>Unusual problems requiring specialized sampling procedures, and</w:t>
      </w:r>
      <w:bookmarkEnd w:id="44"/>
      <w:bookmarkEnd w:id="45"/>
      <w:bookmarkEnd w:id="46"/>
    </w:p>
    <w:p w14:paraId="159246BE" w14:textId="77777777" w:rsidR="008129D8" w:rsidRPr="008E0367" w:rsidRDefault="008129D8" w:rsidP="00695629">
      <w:pPr>
        <w:pStyle w:val="N1-1stBullet"/>
        <w:numPr>
          <w:ilvl w:val="0"/>
          <w:numId w:val="23"/>
        </w:numPr>
        <w:spacing w:after="0" w:line="240" w:lineRule="auto"/>
        <w:rPr>
          <w:rFonts w:ascii="Times New Roman" w:hAnsi="Times New Roman"/>
          <w:b/>
          <w:szCs w:val="24"/>
        </w:rPr>
      </w:pPr>
      <w:bookmarkStart w:id="47" w:name="_Toc325550971"/>
      <w:bookmarkStart w:id="48" w:name="_Toc316652513"/>
      <w:bookmarkStart w:id="49" w:name="_Toc400377730"/>
      <w:r w:rsidRPr="008E0367">
        <w:rPr>
          <w:rFonts w:ascii="Times New Roman" w:hAnsi="Times New Roman"/>
          <w:b/>
          <w:szCs w:val="24"/>
        </w:rPr>
        <w:t>Any use of periodic (less frequent than annual) data collection cycles to reduce burden.</w:t>
      </w:r>
      <w:bookmarkEnd w:id="47"/>
      <w:bookmarkEnd w:id="48"/>
      <w:bookmarkEnd w:id="49"/>
    </w:p>
    <w:p w14:paraId="08A5042B" w14:textId="77777777" w:rsidR="00695629" w:rsidRDefault="00695629" w:rsidP="0020370D">
      <w:pPr>
        <w:tabs>
          <w:tab w:val="left" w:pos="-720"/>
        </w:tabs>
        <w:suppressAutoHyphens/>
        <w:spacing w:line="480" w:lineRule="auto"/>
        <w:rPr>
          <w:b/>
          <w:color w:val="324162"/>
          <w:szCs w:val="24"/>
        </w:rPr>
      </w:pPr>
    </w:p>
    <w:p w14:paraId="48DCBF52" w14:textId="1BD655C4" w:rsidR="00C344F0" w:rsidRPr="00695629" w:rsidRDefault="00C344F0" w:rsidP="0020370D">
      <w:pPr>
        <w:tabs>
          <w:tab w:val="left" w:pos="-720"/>
        </w:tabs>
        <w:suppressAutoHyphens/>
        <w:spacing w:line="480" w:lineRule="auto"/>
        <w:rPr>
          <w:color w:val="000000" w:themeColor="text1"/>
          <w:szCs w:val="24"/>
        </w:rPr>
      </w:pPr>
      <w:r w:rsidRPr="00695629">
        <w:rPr>
          <w:b/>
          <w:color w:val="000000" w:themeColor="text1"/>
          <w:szCs w:val="24"/>
        </w:rPr>
        <w:t xml:space="preserve">Stratification and Sample </w:t>
      </w:r>
      <w:r w:rsidR="00CB7011" w:rsidRPr="00695629">
        <w:rPr>
          <w:b/>
          <w:color w:val="000000" w:themeColor="text1"/>
          <w:szCs w:val="24"/>
        </w:rPr>
        <w:t>Selection</w:t>
      </w:r>
    </w:p>
    <w:p w14:paraId="7B338F0D" w14:textId="35517396" w:rsidR="00474B7F" w:rsidRPr="008E0367" w:rsidRDefault="00D979B7" w:rsidP="0020370D">
      <w:pPr>
        <w:tabs>
          <w:tab w:val="left" w:pos="-720"/>
        </w:tabs>
        <w:suppressAutoHyphens/>
        <w:spacing w:line="480" w:lineRule="auto"/>
        <w:rPr>
          <w:szCs w:val="24"/>
        </w:rPr>
      </w:pPr>
      <w:r>
        <w:rPr>
          <w:szCs w:val="24"/>
        </w:rPr>
        <w:tab/>
      </w:r>
      <w:r w:rsidR="006F6AE0" w:rsidRPr="008E0367">
        <w:rPr>
          <w:szCs w:val="24"/>
        </w:rPr>
        <w:t xml:space="preserve">For </w:t>
      </w:r>
      <w:r w:rsidR="00937974" w:rsidRPr="008E0367">
        <w:rPr>
          <w:szCs w:val="24"/>
        </w:rPr>
        <w:t xml:space="preserve">the </w:t>
      </w:r>
      <w:r w:rsidR="006F6AE0" w:rsidRPr="008E0367">
        <w:rPr>
          <w:szCs w:val="24"/>
        </w:rPr>
        <w:t xml:space="preserve">selection of </w:t>
      </w:r>
      <w:r w:rsidR="00E92355" w:rsidRPr="008E0367">
        <w:rPr>
          <w:szCs w:val="24"/>
        </w:rPr>
        <w:t>State</w:t>
      </w:r>
      <w:r w:rsidR="006F6AE0" w:rsidRPr="008E0367">
        <w:rPr>
          <w:szCs w:val="24"/>
        </w:rPr>
        <w:t xml:space="preserve">s, we use implicit stratification by FNS region and combined MOS as we select the sample by the systematic method from the sorted list of </w:t>
      </w:r>
      <w:r w:rsidR="00E92355" w:rsidRPr="008E0367">
        <w:rPr>
          <w:szCs w:val="24"/>
        </w:rPr>
        <w:t>State</w:t>
      </w:r>
      <w:r w:rsidR="006F6AE0" w:rsidRPr="008E0367">
        <w:rPr>
          <w:szCs w:val="24"/>
        </w:rPr>
        <w:t>s by FNS region and combined MOS</w:t>
      </w:r>
      <w:r w:rsidR="008671A1" w:rsidRPr="008E0367">
        <w:rPr>
          <w:szCs w:val="24"/>
        </w:rPr>
        <w:t xml:space="preserve"> (see B.1 discussion)</w:t>
      </w:r>
      <w:r w:rsidR="006F6AE0" w:rsidRPr="008E0367">
        <w:rPr>
          <w:szCs w:val="24"/>
        </w:rPr>
        <w:t xml:space="preserve">. </w:t>
      </w:r>
    </w:p>
    <w:p w14:paraId="6E201EC2" w14:textId="09D62E3B" w:rsidR="00080337" w:rsidRPr="008E0367" w:rsidRDefault="00D979B7" w:rsidP="0020370D">
      <w:pPr>
        <w:tabs>
          <w:tab w:val="left" w:pos="-720"/>
        </w:tabs>
        <w:suppressAutoHyphens/>
        <w:spacing w:line="480" w:lineRule="auto"/>
        <w:rPr>
          <w:szCs w:val="24"/>
        </w:rPr>
      </w:pPr>
      <w:r>
        <w:rPr>
          <w:szCs w:val="24"/>
        </w:rPr>
        <w:tab/>
      </w:r>
      <w:r w:rsidR="00474B7F" w:rsidRPr="008E0367">
        <w:rPr>
          <w:szCs w:val="24"/>
        </w:rPr>
        <w:t>Stratification of sites</w:t>
      </w:r>
      <w:r w:rsidR="00F968B8" w:rsidRPr="008E0367">
        <w:rPr>
          <w:szCs w:val="24"/>
        </w:rPr>
        <w:t xml:space="preserve"> within respondent States</w:t>
      </w:r>
      <w:r w:rsidR="00474B7F" w:rsidRPr="008E0367">
        <w:rPr>
          <w:szCs w:val="24"/>
        </w:rPr>
        <w:t xml:space="preserve"> will be driven by</w:t>
      </w:r>
      <w:r w:rsidR="005D6F77" w:rsidRPr="008E0367">
        <w:rPr>
          <w:szCs w:val="24"/>
        </w:rPr>
        <w:t xml:space="preserve"> two factors: (1) separate sampling of continuing sites and new sites – we call the indicator variable </w:t>
      </w:r>
      <w:r w:rsidR="0037744B" w:rsidRPr="008E0367">
        <w:rPr>
          <w:szCs w:val="24"/>
        </w:rPr>
        <w:t>a site’s “</w:t>
      </w:r>
      <w:r w:rsidR="005D6F77" w:rsidRPr="008E0367">
        <w:rPr>
          <w:szCs w:val="24"/>
        </w:rPr>
        <w:t>continuing status</w:t>
      </w:r>
      <w:r w:rsidR="0037744B" w:rsidRPr="008E0367">
        <w:rPr>
          <w:szCs w:val="24"/>
        </w:rPr>
        <w:t>”</w:t>
      </w:r>
      <w:r w:rsidR="005D6F77" w:rsidRPr="008E0367">
        <w:rPr>
          <w:szCs w:val="24"/>
        </w:rPr>
        <w:t xml:space="preserve"> of whether a site is continuing or new; and</w:t>
      </w:r>
      <w:r w:rsidR="00474B7F" w:rsidRPr="008E0367">
        <w:rPr>
          <w:szCs w:val="24"/>
        </w:rPr>
        <w:t xml:space="preserve"> </w:t>
      </w:r>
      <w:r w:rsidR="005D6F77" w:rsidRPr="008E0367">
        <w:rPr>
          <w:szCs w:val="24"/>
        </w:rPr>
        <w:t xml:space="preserve">(2) </w:t>
      </w:r>
      <w:r w:rsidR="00474B7F" w:rsidRPr="008E0367">
        <w:rPr>
          <w:szCs w:val="24"/>
        </w:rPr>
        <w:t>the precision requirements</w:t>
      </w:r>
      <w:r w:rsidR="005D6F77" w:rsidRPr="008E0367">
        <w:rPr>
          <w:szCs w:val="24"/>
        </w:rPr>
        <w:t xml:space="preserve"> (</w:t>
      </w:r>
      <w:r w:rsidR="00474B7F" w:rsidRPr="008E0367">
        <w:rPr>
          <w:szCs w:val="24"/>
        </w:rPr>
        <w:t>5 percent margin of error for overall estimates and 10 percent margin of error for important subgroups</w:t>
      </w:r>
      <w:r w:rsidR="005D6F77" w:rsidRPr="008E0367">
        <w:rPr>
          <w:szCs w:val="24"/>
        </w:rPr>
        <w:t>)</w:t>
      </w:r>
      <w:r w:rsidR="00474B7F" w:rsidRPr="008E0367">
        <w:rPr>
          <w:szCs w:val="24"/>
        </w:rPr>
        <w:t xml:space="preserve">. </w:t>
      </w:r>
      <w:r w:rsidR="00EE500B" w:rsidRPr="008E0367">
        <w:rPr>
          <w:szCs w:val="24"/>
        </w:rPr>
        <w:t>Assuming</w:t>
      </w:r>
      <w:r w:rsidR="00F57002" w:rsidRPr="008E0367">
        <w:rPr>
          <w:szCs w:val="24"/>
        </w:rPr>
        <w:t xml:space="preserve"> a design effect of 1.5</w:t>
      </w:r>
      <w:r w:rsidR="008671A1" w:rsidRPr="008E0367">
        <w:rPr>
          <w:szCs w:val="24"/>
        </w:rPr>
        <w:t xml:space="preserve"> for the site sample</w:t>
      </w:r>
      <w:r w:rsidR="00F57002" w:rsidRPr="008E0367">
        <w:rPr>
          <w:szCs w:val="24"/>
        </w:rPr>
        <w:t xml:space="preserve">, we will need 150 </w:t>
      </w:r>
      <w:r w:rsidR="0079205F" w:rsidRPr="008E0367">
        <w:rPr>
          <w:szCs w:val="24"/>
        </w:rPr>
        <w:t xml:space="preserve">respondent </w:t>
      </w:r>
      <w:r w:rsidR="00F57002" w:rsidRPr="008E0367">
        <w:rPr>
          <w:szCs w:val="24"/>
        </w:rPr>
        <w:t>sites for subgroups and 600 for overall</w:t>
      </w:r>
      <w:r w:rsidR="0037744B" w:rsidRPr="008E0367">
        <w:rPr>
          <w:szCs w:val="24"/>
        </w:rPr>
        <w:t xml:space="preserve"> SFSP sites</w:t>
      </w:r>
      <w:r w:rsidR="00054D09">
        <w:rPr>
          <w:szCs w:val="24"/>
        </w:rPr>
        <w:t xml:space="preserve"> (see </w:t>
      </w:r>
      <w:r w:rsidR="00054D09" w:rsidRPr="00A57B23">
        <w:rPr>
          <w:szCs w:val="24"/>
        </w:rPr>
        <w:fldChar w:fldCharType="begin"/>
      </w:r>
      <w:r w:rsidR="00054D09" w:rsidRPr="00054D09">
        <w:rPr>
          <w:szCs w:val="24"/>
        </w:rPr>
        <w:instrText xml:space="preserve"> REF _Ref492890978 \h </w:instrText>
      </w:r>
      <w:r w:rsidR="00054D09" w:rsidRPr="00FA7E24">
        <w:rPr>
          <w:szCs w:val="24"/>
        </w:rPr>
        <w:instrText xml:space="preserve"> \* MERGEFORMAT </w:instrText>
      </w:r>
      <w:r w:rsidR="00054D09" w:rsidRPr="00A57B23">
        <w:rPr>
          <w:szCs w:val="24"/>
        </w:rPr>
      </w:r>
      <w:r w:rsidR="00054D09" w:rsidRPr="00A57B23">
        <w:rPr>
          <w:szCs w:val="24"/>
        </w:rPr>
        <w:fldChar w:fldCharType="separate"/>
      </w:r>
      <w:r w:rsidR="00FD4FBC" w:rsidRPr="008F2C8F">
        <w:t xml:space="preserve">Table B2 - </w:t>
      </w:r>
      <w:r w:rsidR="00FD4FBC" w:rsidRPr="008F2C8F">
        <w:rPr>
          <w:noProof/>
        </w:rPr>
        <w:t>6</w:t>
      </w:r>
      <w:r w:rsidR="00054D09" w:rsidRPr="00A57B23">
        <w:rPr>
          <w:szCs w:val="24"/>
        </w:rPr>
        <w:fldChar w:fldCharType="end"/>
      </w:r>
      <w:r w:rsidR="00054D09" w:rsidRPr="00A57B23">
        <w:rPr>
          <w:szCs w:val="24"/>
        </w:rPr>
        <w:t>)</w:t>
      </w:r>
      <w:r w:rsidR="00F57002" w:rsidRPr="008E0367">
        <w:rPr>
          <w:szCs w:val="24"/>
        </w:rPr>
        <w:t xml:space="preserve">. </w:t>
      </w:r>
    </w:p>
    <w:p w14:paraId="50D1526B" w14:textId="49B3DF83" w:rsidR="00080337" w:rsidRPr="008E0367" w:rsidRDefault="00D979B7" w:rsidP="0020370D">
      <w:pPr>
        <w:tabs>
          <w:tab w:val="left" w:pos="-720"/>
        </w:tabs>
        <w:suppressAutoHyphens/>
        <w:spacing w:line="480" w:lineRule="auto"/>
        <w:rPr>
          <w:szCs w:val="24"/>
        </w:rPr>
      </w:pPr>
      <w:r>
        <w:rPr>
          <w:szCs w:val="24"/>
        </w:rPr>
        <w:tab/>
      </w:r>
      <w:r w:rsidR="00080337" w:rsidRPr="008E0367">
        <w:rPr>
          <w:szCs w:val="24"/>
        </w:rPr>
        <w:t>Stratification by the continuing status is automatic because we will develop the sample frames separately and select samples separately. Within each of the continuing and new site frames, w</w:t>
      </w:r>
      <w:r w:rsidR="00474B7F" w:rsidRPr="008E0367">
        <w:rPr>
          <w:szCs w:val="24"/>
        </w:rPr>
        <w:t xml:space="preserve">e will </w:t>
      </w:r>
      <w:r w:rsidR="00080337" w:rsidRPr="008E0367">
        <w:rPr>
          <w:szCs w:val="24"/>
        </w:rPr>
        <w:t xml:space="preserve">first </w:t>
      </w:r>
      <w:r w:rsidR="006F6AE0" w:rsidRPr="008E0367">
        <w:rPr>
          <w:szCs w:val="24"/>
        </w:rPr>
        <w:t xml:space="preserve">stratify the list of sites compiled from the respondent </w:t>
      </w:r>
      <w:r w:rsidR="00E92355" w:rsidRPr="008E0367">
        <w:rPr>
          <w:szCs w:val="24"/>
        </w:rPr>
        <w:t>State</w:t>
      </w:r>
      <w:r w:rsidR="006F6AE0" w:rsidRPr="008E0367">
        <w:rPr>
          <w:szCs w:val="24"/>
        </w:rPr>
        <w:t xml:space="preserve">s </w:t>
      </w:r>
      <w:r w:rsidR="00474B7F" w:rsidRPr="008E0367">
        <w:rPr>
          <w:szCs w:val="24"/>
        </w:rPr>
        <w:t xml:space="preserve">by </w:t>
      </w:r>
      <w:r w:rsidR="006F6AE0" w:rsidRPr="008E0367">
        <w:rPr>
          <w:szCs w:val="24"/>
        </w:rPr>
        <w:t>the program type (SFSP vs. SSO)</w:t>
      </w:r>
      <w:r w:rsidR="002A1131" w:rsidRPr="008E0367">
        <w:rPr>
          <w:szCs w:val="24"/>
        </w:rPr>
        <w:t xml:space="preserve">. </w:t>
      </w:r>
      <w:r w:rsidR="00665599" w:rsidRPr="008E0367">
        <w:rPr>
          <w:szCs w:val="24"/>
        </w:rPr>
        <w:t>The SSO sites as a whole are</w:t>
      </w:r>
      <w:r w:rsidR="00474B7F" w:rsidRPr="008E0367">
        <w:rPr>
          <w:szCs w:val="24"/>
        </w:rPr>
        <w:t xml:space="preserve"> a </w:t>
      </w:r>
      <w:r w:rsidR="00F57002" w:rsidRPr="008E0367">
        <w:rPr>
          <w:szCs w:val="24"/>
        </w:rPr>
        <w:t xml:space="preserve">separate </w:t>
      </w:r>
      <w:r w:rsidR="00474B7F" w:rsidRPr="008E0367">
        <w:rPr>
          <w:szCs w:val="24"/>
        </w:rPr>
        <w:t xml:space="preserve">subgroup </w:t>
      </w:r>
      <w:r w:rsidR="00F57002" w:rsidRPr="008E0367">
        <w:rPr>
          <w:szCs w:val="24"/>
        </w:rPr>
        <w:t>from the SFSP sites, and</w:t>
      </w:r>
      <w:r w:rsidR="0079205F" w:rsidRPr="008E0367">
        <w:rPr>
          <w:szCs w:val="24"/>
        </w:rPr>
        <w:t xml:space="preserve"> we</w:t>
      </w:r>
      <w:r w:rsidR="00F57002" w:rsidRPr="008E0367">
        <w:rPr>
          <w:szCs w:val="24"/>
        </w:rPr>
        <w:t xml:space="preserve"> </w:t>
      </w:r>
      <w:r w:rsidR="00474B7F" w:rsidRPr="008E0367">
        <w:rPr>
          <w:szCs w:val="24"/>
        </w:rPr>
        <w:t xml:space="preserve">will </w:t>
      </w:r>
      <w:r w:rsidR="0079205F" w:rsidRPr="008E0367">
        <w:rPr>
          <w:szCs w:val="24"/>
        </w:rPr>
        <w:t>allocate</w:t>
      </w:r>
      <w:r w:rsidR="00474B7F" w:rsidRPr="008E0367">
        <w:rPr>
          <w:szCs w:val="24"/>
        </w:rPr>
        <w:t xml:space="preserve"> a minimum sample size of </w:t>
      </w:r>
      <w:r w:rsidR="00080337" w:rsidRPr="008E0367">
        <w:rPr>
          <w:szCs w:val="24"/>
        </w:rPr>
        <w:t xml:space="preserve">105 to the continuing </w:t>
      </w:r>
      <w:r w:rsidR="008671A1" w:rsidRPr="008E0367">
        <w:rPr>
          <w:szCs w:val="24"/>
        </w:rPr>
        <w:t xml:space="preserve">SSO </w:t>
      </w:r>
      <w:r w:rsidR="00080337" w:rsidRPr="008E0367">
        <w:rPr>
          <w:szCs w:val="24"/>
        </w:rPr>
        <w:t xml:space="preserve">stratum and 45 to the new </w:t>
      </w:r>
      <w:r w:rsidR="008671A1" w:rsidRPr="008E0367">
        <w:rPr>
          <w:szCs w:val="24"/>
        </w:rPr>
        <w:t xml:space="preserve">SSO </w:t>
      </w:r>
      <w:r w:rsidR="00080337" w:rsidRPr="008E0367">
        <w:rPr>
          <w:szCs w:val="24"/>
        </w:rPr>
        <w:t>stratum</w:t>
      </w:r>
      <w:r w:rsidR="00C25E69">
        <w:rPr>
          <w:szCs w:val="24"/>
        </w:rPr>
        <w:t>,</w:t>
      </w:r>
      <w:r w:rsidR="00104FED">
        <w:rPr>
          <w:szCs w:val="24"/>
        </w:rPr>
        <w:t xml:space="preserve"> based on </w:t>
      </w:r>
      <w:r w:rsidR="00F628DD">
        <w:rPr>
          <w:szCs w:val="24"/>
        </w:rPr>
        <w:t xml:space="preserve">a </w:t>
      </w:r>
      <w:r w:rsidR="00E41AF5">
        <w:rPr>
          <w:szCs w:val="24"/>
        </w:rPr>
        <w:t>split ratio of the site frame between continuing and new sites (7:3)</w:t>
      </w:r>
      <w:r w:rsidR="00080337" w:rsidRPr="008E0367">
        <w:rPr>
          <w:szCs w:val="24"/>
        </w:rPr>
        <w:t xml:space="preserve">, altogether </w:t>
      </w:r>
      <w:r w:rsidR="00474B7F" w:rsidRPr="008E0367">
        <w:rPr>
          <w:szCs w:val="24"/>
        </w:rPr>
        <w:t>150. However, w</w:t>
      </w:r>
      <w:r w:rsidR="002A1131" w:rsidRPr="008E0367">
        <w:rPr>
          <w:szCs w:val="24"/>
        </w:rPr>
        <w:t xml:space="preserve">e </w:t>
      </w:r>
      <w:r w:rsidR="00474B7F" w:rsidRPr="008E0367">
        <w:rPr>
          <w:szCs w:val="24"/>
        </w:rPr>
        <w:t>will</w:t>
      </w:r>
      <w:r w:rsidR="002A1131" w:rsidRPr="008E0367">
        <w:rPr>
          <w:szCs w:val="24"/>
        </w:rPr>
        <w:t xml:space="preserve"> further stratify </w:t>
      </w:r>
      <w:r w:rsidR="006F6AE0" w:rsidRPr="008E0367">
        <w:rPr>
          <w:szCs w:val="24"/>
        </w:rPr>
        <w:t>SFSP sites</w:t>
      </w:r>
      <w:r w:rsidR="002A1131" w:rsidRPr="008E0367">
        <w:rPr>
          <w:szCs w:val="24"/>
        </w:rPr>
        <w:t xml:space="preserve"> </w:t>
      </w:r>
      <w:r w:rsidR="007D62C0" w:rsidRPr="008E0367">
        <w:rPr>
          <w:szCs w:val="24"/>
        </w:rPr>
        <w:t>to ensure adequate sample size</w:t>
      </w:r>
      <w:r w:rsidR="002A1131" w:rsidRPr="008E0367">
        <w:rPr>
          <w:szCs w:val="24"/>
        </w:rPr>
        <w:t>s</w:t>
      </w:r>
      <w:r w:rsidR="00F57002" w:rsidRPr="008E0367">
        <w:rPr>
          <w:szCs w:val="24"/>
        </w:rPr>
        <w:t xml:space="preserve"> </w:t>
      </w:r>
      <w:r w:rsidR="007D62C0" w:rsidRPr="008E0367">
        <w:rPr>
          <w:szCs w:val="24"/>
        </w:rPr>
        <w:t xml:space="preserve">for </w:t>
      </w:r>
      <w:r w:rsidR="002A1131" w:rsidRPr="008E0367">
        <w:rPr>
          <w:szCs w:val="24"/>
        </w:rPr>
        <w:t>important subgroups</w:t>
      </w:r>
      <w:r w:rsidR="00907EC5" w:rsidRPr="008E0367">
        <w:rPr>
          <w:szCs w:val="24"/>
        </w:rPr>
        <w:t xml:space="preserve">, which are defined by </w:t>
      </w:r>
      <w:r w:rsidR="002A1131" w:rsidRPr="008E0367">
        <w:rPr>
          <w:szCs w:val="24"/>
        </w:rPr>
        <w:t>site type (open vs. closed</w:t>
      </w:r>
      <w:r w:rsidR="0079205F" w:rsidRPr="008E0367">
        <w:rPr>
          <w:szCs w:val="24"/>
        </w:rPr>
        <w:t>)</w:t>
      </w:r>
      <w:r w:rsidR="002A1131" w:rsidRPr="008E0367">
        <w:rPr>
          <w:szCs w:val="24"/>
        </w:rPr>
        <w:t xml:space="preserve">, </w:t>
      </w:r>
      <w:r w:rsidR="00907EC5" w:rsidRPr="008E0367">
        <w:rPr>
          <w:szCs w:val="24"/>
        </w:rPr>
        <w:t>site location (urban vs. rural</w:t>
      </w:r>
      <w:r w:rsidR="00C178DE">
        <w:rPr>
          <w:rStyle w:val="FootnoteReference"/>
          <w:szCs w:val="24"/>
        </w:rPr>
        <w:footnoteReference w:id="16"/>
      </w:r>
      <w:r w:rsidR="00907EC5" w:rsidRPr="008E0367">
        <w:rPr>
          <w:szCs w:val="24"/>
        </w:rPr>
        <w:t>)</w:t>
      </w:r>
      <w:r w:rsidR="00CB7011" w:rsidRPr="008E0367">
        <w:rPr>
          <w:szCs w:val="24"/>
        </w:rPr>
        <w:t xml:space="preserve"> determined through geocoding of the site address</w:t>
      </w:r>
      <w:r w:rsidR="002A1131" w:rsidRPr="008E0367">
        <w:rPr>
          <w:szCs w:val="24"/>
        </w:rPr>
        <w:t>,</w:t>
      </w:r>
      <w:r w:rsidR="00907EC5" w:rsidRPr="008E0367">
        <w:rPr>
          <w:szCs w:val="24"/>
        </w:rPr>
        <w:t xml:space="preserve"> </w:t>
      </w:r>
      <w:r w:rsidR="0079205F" w:rsidRPr="008E0367">
        <w:rPr>
          <w:szCs w:val="24"/>
        </w:rPr>
        <w:t xml:space="preserve">and </w:t>
      </w:r>
      <w:r w:rsidR="00665599" w:rsidRPr="008E0367">
        <w:rPr>
          <w:szCs w:val="24"/>
        </w:rPr>
        <w:t>school food authority (</w:t>
      </w:r>
      <w:r w:rsidR="0079205F" w:rsidRPr="008E0367">
        <w:rPr>
          <w:szCs w:val="24"/>
        </w:rPr>
        <w:t>SFA</w:t>
      </w:r>
      <w:r w:rsidR="00665599" w:rsidRPr="008E0367">
        <w:rPr>
          <w:szCs w:val="24"/>
        </w:rPr>
        <w:t>)</w:t>
      </w:r>
      <w:r w:rsidR="0079205F" w:rsidRPr="008E0367">
        <w:rPr>
          <w:szCs w:val="24"/>
        </w:rPr>
        <w:t xml:space="preserve"> status</w:t>
      </w:r>
      <w:r w:rsidR="00907EC5" w:rsidRPr="008E0367">
        <w:rPr>
          <w:szCs w:val="24"/>
        </w:rPr>
        <w:t xml:space="preserve">. </w:t>
      </w:r>
      <w:r w:rsidR="002A1131" w:rsidRPr="008E0367">
        <w:rPr>
          <w:szCs w:val="24"/>
        </w:rPr>
        <w:t>About 45 percent of sites are under SFA</w:t>
      </w:r>
      <w:r w:rsidR="00F628DD">
        <w:rPr>
          <w:szCs w:val="24"/>
        </w:rPr>
        <w:t>s</w:t>
      </w:r>
      <w:r w:rsidR="002A1131" w:rsidRPr="008E0367">
        <w:rPr>
          <w:szCs w:val="24"/>
        </w:rPr>
        <w:t xml:space="preserve">, and thus, </w:t>
      </w:r>
      <w:r w:rsidR="0079205F" w:rsidRPr="008E0367">
        <w:rPr>
          <w:szCs w:val="24"/>
        </w:rPr>
        <w:t xml:space="preserve">we </w:t>
      </w:r>
      <w:r w:rsidR="00665599" w:rsidRPr="008E0367">
        <w:rPr>
          <w:szCs w:val="24"/>
        </w:rPr>
        <w:t>are not</w:t>
      </w:r>
      <w:r w:rsidR="002A1131" w:rsidRPr="008E0367">
        <w:rPr>
          <w:szCs w:val="24"/>
        </w:rPr>
        <w:t xml:space="preserve"> </w:t>
      </w:r>
      <w:r w:rsidR="0079205F" w:rsidRPr="008E0367">
        <w:rPr>
          <w:szCs w:val="24"/>
        </w:rPr>
        <w:t>concern</w:t>
      </w:r>
      <w:r w:rsidR="00665599" w:rsidRPr="008E0367">
        <w:rPr>
          <w:szCs w:val="24"/>
        </w:rPr>
        <w:t>ed</w:t>
      </w:r>
      <w:r w:rsidR="0079205F" w:rsidRPr="008E0367">
        <w:rPr>
          <w:szCs w:val="24"/>
        </w:rPr>
        <w:t xml:space="preserve"> about the sample sizes for the subgroups defined by the SFA status</w:t>
      </w:r>
      <w:r w:rsidR="002A1131" w:rsidRPr="008E0367">
        <w:rPr>
          <w:szCs w:val="24"/>
        </w:rPr>
        <w:t xml:space="preserve"> because any reasonable allocation will ensure the minimum subgroup sample size</w:t>
      </w:r>
      <w:r w:rsidR="0079205F" w:rsidRPr="008E0367">
        <w:rPr>
          <w:szCs w:val="24"/>
        </w:rPr>
        <w:t>s</w:t>
      </w:r>
      <w:r w:rsidR="002A1131" w:rsidRPr="008E0367">
        <w:rPr>
          <w:szCs w:val="24"/>
        </w:rPr>
        <w:t xml:space="preserve"> for </w:t>
      </w:r>
      <w:r w:rsidR="0079205F" w:rsidRPr="008E0367">
        <w:rPr>
          <w:szCs w:val="24"/>
        </w:rPr>
        <w:t>both</w:t>
      </w:r>
      <w:r w:rsidR="002A1131" w:rsidRPr="008E0367">
        <w:rPr>
          <w:szCs w:val="24"/>
        </w:rPr>
        <w:t xml:space="preserve"> subgroups. However, c</w:t>
      </w:r>
      <w:r w:rsidR="00DF2FE8" w:rsidRPr="008E0367">
        <w:rPr>
          <w:szCs w:val="24"/>
        </w:rPr>
        <w:t>losed sites are much less frequent than open sites</w:t>
      </w:r>
      <w:r w:rsidR="00665599" w:rsidRPr="008E0367">
        <w:rPr>
          <w:szCs w:val="24"/>
        </w:rPr>
        <w:t>,</w:t>
      </w:r>
      <w:r w:rsidR="00DF2FE8" w:rsidRPr="008E0367">
        <w:rPr>
          <w:szCs w:val="24"/>
        </w:rPr>
        <w:t xml:space="preserve"> by </w:t>
      </w:r>
      <w:r w:rsidR="00665599" w:rsidRPr="008E0367">
        <w:rPr>
          <w:szCs w:val="24"/>
        </w:rPr>
        <w:t xml:space="preserve">a one to four </w:t>
      </w:r>
      <w:r w:rsidR="00DF2FE8" w:rsidRPr="008E0367">
        <w:rPr>
          <w:szCs w:val="24"/>
        </w:rPr>
        <w:t xml:space="preserve">ratio. Rural sites account </w:t>
      </w:r>
      <w:r w:rsidR="000A36C4" w:rsidRPr="008E0367">
        <w:rPr>
          <w:szCs w:val="24"/>
        </w:rPr>
        <w:t xml:space="preserve">for </w:t>
      </w:r>
      <w:r w:rsidR="00DF2FE8" w:rsidRPr="008E0367">
        <w:rPr>
          <w:szCs w:val="24"/>
        </w:rPr>
        <w:t>only 15 percent</w:t>
      </w:r>
      <w:r w:rsidR="00CB7011" w:rsidRPr="008E0367">
        <w:rPr>
          <w:szCs w:val="24"/>
        </w:rPr>
        <w:t xml:space="preserve"> based on the 201</w:t>
      </w:r>
      <w:r w:rsidR="0026774C" w:rsidRPr="008E0367">
        <w:rPr>
          <w:szCs w:val="24"/>
        </w:rPr>
        <w:t>7</w:t>
      </w:r>
      <w:r w:rsidR="00CB7011" w:rsidRPr="008E0367">
        <w:rPr>
          <w:szCs w:val="24"/>
        </w:rPr>
        <w:t xml:space="preserve"> </w:t>
      </w:r>
      <w:r w:rsidR="0026774C" w:rsidRPr="008E0367">
        <w:rPr>
          <w:szCs w:val="24"/>
        </w:rPr>
        <w:t>National Hunger Clearinghouse data</w:t>
      </w:r>
      <w:r w:rsidR="00DF2FE8" w:rsidRPr="008E0367">
        <w:rPr>
          <w:szCs w:val="24"/>
        </w:rPr>
        <w:t xml:space="preserve">, and we need </w:t>
      </w:r>
      <w:r w:rsidR="002A1131" w:rsidRPr="008E0367">
        <w:rPr>
          <w:szCs w:val="24"/>
        </w:rPr>
        <w:t xml:space="preserve">to </w:t>
      </w:r>
      <w:r w:rsidR="00DF2FE8" w:rsidRPr="008E0367">
        <w:rPr>
          <w:szCs w:val="24"/>
        </w:rPr>
        <w:t>oversample them</w:t>
      </w:r>
      <w:r w:rsidR="00CC1E87" w:rsidRPr="008E0367">
        <w:rPr>
          <w:szCs w:val="24"/>
        </w:rPr>
        <w:t xml:space="preserve"> </w:t>
      </w:r>
      <w:r w:rsidR="005E51F1" w:rsidRPr="008E0367">
        <w:rPr>
          <w:szCs w:val="24"/>
        </w:rPr>
        <w:t>(</w:t>
      </w:r>
      <w:r w:rsidR="00665599" w:rsidRPr="008E0367">
        <w:rPr>
          <w:szCs w:val="24"/>
        </w:rPr>
        <w:t xml:space="preserve">at </w:t>
      </w:r>
      <w:r w:rsidR="00740B5A" w:rsidRPr="008E0367">
        <w:rPr>
          <w:szCs w:val="24"/>
        </w:rPr>
        <w:t xml:space="preserve">least </w:t>
      </w:r>
      <w:r w:rsidR="00CC1E87" w:rsidRPr="008E0367">
        <w:rPr>
          <w:szCs w:val="24"/>
        </w:rPr>
        <w:t>25 percent</w:t>
      </w:r>
      <w:r w:rsidR="00665599" w:rsidRPr="008E0367">
        <w:rPr>
          <w:szCs w:val="24"/>
        </w:rPr>
        <w:t xml:space="preserve"> is required</w:t>
      </w:r>
      <w:r w:rsidR="00CC1E87" w:rsidRPr="008E0367">
        <w:rPr>
          <w:szCs w:val="24"/>
        </w:rPr>
        <w:t xml:space="preserve"> to have 150 minimum sample size without oversampling</w:t>
      </w:r>
      <w:r w:rsidR="005E51F1" w:rsidRPr="008E0367">
        <w:rPr>
          <w:szCs w:val="24"/>
        </w:rPr>
        <w:t>)</w:t>
      </w:r>
      <w:r w:rsidR="00DF2FE8" w:rsidRPr="008E0367">
        <w:rPr>
          <w:szCs w:val="24"/>
        </w:rPr>
        <w:t xml:space="preserve">. </w:t>
      </w:r>
      <w:r w:rsidR="000803CA" w:rsidRPr="008E0367">
        <w:rPr>
          <w:szCs w:val="24"/>
        </w:rPr>
        <w:t xml:space="preserve">Therefore, we will stratify the </w:t>
      </w:r>
      <w:r w:rsidR="00080337" w:rsidRPr="008E0367">
        <w:rPr>
          <w:szCs w:val="24"/>
        </w:rPr>
        <w:t xml:space="preserve">SFSP </w:t>
      </w:r>
      <w:r w:rsidR="000803CA" w:rsidRPr="008E0367">
        <w:rPr>
          <w:szCs w:val="24"/>
        </w:rPr>
        <w:t xml:space="preserve">site frame </w:t>
      </w:r>
      <w:r w:rsidR="00080337" w:rsidRPr="008E0367">
        <w:rPr>
          <w:szCs w:val="24"/>
        </w:rPr>
        <w:t xml:space="preserve">by </w:t>
      </w:r>
      <w:r w:rsidR="00CC1E87" w:rsidRPr="008E0367">
        <w:rPr>
          <w:szCs w:val="24"/>
        </w:rPr>
        <w:t>the two</w:t>
      </w:r>
      <w:r w:rsidR="000803CA" w:rsidRPr="008E0367">
        <w:rPr>
          <w:szCs w:val="24"/>
        </w:rPr>
        <w:t xml:space="preserve"> subgroup</w:t>
      </w:r>
      <w:r w:rsidR="006B4559">
        <w:rPr>
          <w:szCs w:val="24"/>
        </w:rPr>
        <w:t>-</w:t>
      </w:r>
      <w:r w:rsidR="000803CA" w:rsidRPr="008E0367">
        <w:rPr>
          <w:szCs w:val="24"/>
        </w:rPr>
        <w:t>defining variables, site type</w:t>
      </w:r>
      <w:r w:rsidR="00CC1E87" w:rsidRPr="008E0367">
        <w:rPr>
          <w:szCs w:val="24"/>
        </w:rPr>
        <w:t xml:space="preserve"> and</w:t>
      </w:r>
      <w:r w:rsidR="000803CA" w:rsidRPr="008E0367">
        <w:rPr>
          <w:szCs w:val="24"/>
        </w:rPr>
        <w:t xml:space="preserve"> site location. </w:t>
      </w:r>
      <w:r w:rsidR="00E31152" w:rsidRPr="008E0367">
        <w:rPr>
          <w:szCs w:val="24"/>
        </w:rPr>
        <w:t>We depict the entire stratification based on the f</w:t>
      </w:r>
      <w:r w:rsidR="00CC1E87" w:rsidRPr="008E0367">
        <w:rPr>
          <w:szCs w:val="24"/>
        </w:rPr>
        <w:t>our</w:t>
      </w:r>
      <w:r w:rsidR="00E31152" w:rsidRPr="008E0367">
        <w:rPr>
          <w:szCs w:val="24"/>
        </w:rPr>
        <w:t>-dimensional cross-classes in</w:t>
      </w:r>
      <w:r w:rsidR="00B130FF">
        <w:rPr>
          <w:szCs w:val="24"/>
        </w:rPr>
        <w:t xml:space="preserve"> </w:t>
      </w:r>
      <w:r w:rsidR="00B130FF" w:rsidRPr="00B130FF">
        <w:rPr>
          <w:szCs w:val="24"/>
        </w:rPr>
        <w:fldChar w:fldCharType="begin"/>
      </w:r>
      <w:r w:rsidR="00B130FF" w:rsidRPr="00B130FF">
        <w:rPr>
          <w:szCs w:val="24"/>
        </w:rPr>
        <w:instrText xml:space="preserve"> REF _Ref492890817 \h  \* MERGEFORMAT </w:instrText>
      </w:r>
      <w:r w:rsidR="00B130FF" w:rsidRPr="00B130FF">
        <w:rPr>
          <w:szCs w:val="24"/>
        </w:rPr>
      </w:r>
      <w:r w:rsidR="00B130FF" w:rsidRPr="00B130FF">
        <w:rPr>
          <w:szCs w:val="24"/>
        </w:rPr>
        <w:fldChar w:fldCharType="separate"/>
      </w:r>
      <w:r w:rsidR="00FD4FBC" w:rsidRPr="008F2C8F">
        <w:t xml:space="preserve">Table B2 - </w:t>
      </w:r>
      <w:r w:rsidR="00FD4FBC" w:rsidRPr="008F2C8F">
        <w:rPr>
          <w:noProof/>
        </w:rPr>
        <w:t>1</w:t>
      </w:r>
      <w:r w:rsidR="00B130FF" w:rsidRPr="00B130FF">
        <w:rPr>
          <w:szCs w:val="24"/>
        </w:rPr>
        <w:fldChar w:fldCharType="end"/>
      </w:r>
      <w:r w:rsidR="00E31152" w:rsidRPr="008E0367">
        <w:rPr>
          <w:szCs w:val="24"/>
        </w:rPr>
        <w:t>.</w:t>
      </w:r>
    </w:p>
    <w:p w14:paraId="30289B93" w14:textId="2320A725" w:rsidR="005E51F1" w:rsidRPr="008E0367" w:rsidRDefault="00B760CB" w:rsidP="00B760CB">
      <w:pPr>
        <w:pStyle w:val="Caption"/>
        <w:rPr>
          <w:b/>
          <w:szCs w:val="24"/>
        </w:rPr>
      </w:pPr>
      <w:bookmarkStart w:id="50" w:name="_Ref492890817"/>
      <w:bookmarkStart w:id="51" w:name="_Toc505263877"/>
      <w:r w:rsidRPr="00B760CB">
        <w:rPr>
          <w:b/>
        </w:rPr>
        <w:t xml:space="preserve">Table B2 - </w:t>
      </w:r>
      <w:r w:rsidRPr="00B760CB">
        <w:rPr>
          <w:b/>
        </w:rPr>
        <w:fldChar w:fldCharType="begin"/>
      </w:r>
      <w:r w:rsidRPr="00B760CB">
        <w:rPr>
          <w:b/>
        </w:rPr>
        <w:instrText xml:space="preserve"> SEQ Table_B2_- \* ARABIC </w:instrText>
      </w:r>
      <w:r w:rsidRPr="00B760CB">
        <w:rPr>
          <w:b/>
        </w:rPr>
        <w:fldChar w:fldCharType="separate"/>
      </w:r>
      <w:r w:rsidR="00FD4FBC">
        <w:rPr>
          <w:b/>
          <w:noProof/>
        </w:rPr>
        <w:t>1</w:t>
      </w:r>
      <w:r w:rsidRPr="00B760CB">
        <w:rPr>
          <w:b/>
        </w:rPr>
        <w:fldChar w:fldCharType="end"/>
      </w:r>
      <w:bookmarkEnd w:id="50"/>
      <w:r w:rsidR="005E51F1" w:rsidRPr="00B760CB">
        <w:rPr>
          <w:b/>
          <w:szCs w:val="24"/>
        </w:rPr>
        <w:t>. Study</w:t>
      </w:r>
      <w:r w:rsidR="005E51F1" w:rsidRPr="008E0367">
        <w:rPr>
          <w:b/>
          <w:szCs w:val="24"/>
        </w:rPr>
        <w:t xml:space="preserve"> Stratification Groups</w:t>
      </w:r>
      <w:bookmarkEnd w:id="51"/>
    </w:p>
    <w:tbl>
      <w:tblPr>
        <w:tblStyle w:val="TableGrid"/>
        <w:tblW w:w="9350" w:type="dxa"/>
        <w:jc w:val="center"/>
        <w:tblLook w:val="04A0" w:firstRow="1" w:lastRow="0" w:firstColumn="1" w:lastColumn="0" w:noHBand="0" w:noVBand="1"/>
      </w:tblPr>
      <w:tblGrid>
        <w:gridCol w:w="1614"/>
        <w:gridCol w:w="1440"/>
        <w:gridCol w:w="1800"/>
        <w:gridCol w:w="2249"/>
        <w:gridCol w:w="2247"/>
      </w:tblGrid>
      <w:tr w:rsidR="00740B5A" w:rsidRPr="008E0367" w14:paraId="00E2D87A" w14:textId="77777777" w:rsidTr="001E5604">
        <w:trPr>
          <w:trHeight w:val="260"/>
          <w:jc w:val="center"/>
        </w:trPr>
        <w:tc>
          <w:tcPr>
            <w:tcW w:w="1615" w:type="dxa"/>
            <w:vMerge w:val="restart"/>
            <w:shd w:val="clear" w:color="auto" w:fill="B8CCE4" w:themeFill="accent1" w:themeFillTint="66"/>
            <w:vAlign w:val="center"/>
          </w:tcPr>
          <w:p w14:paraId="72F24DB4" w14:textId="0ADDB4EE" w:rsidR="00740B5A" w:rsidRPr="008E0367" w:rsidRDefault="00740B5A" w:rsidP="00F56893">
            <w:pPr>
              <w:tabs>
                <w:tab w:val="left" w:pos="-720"/>
              </w:tabs>
              <w:suppressAutoHyphens/>
              <w:jc w:val="center"/>
              <w:rPr>
                <w:szCs w:val="24"/>
              </w:rPr>
            </w:pPr>
            <w:r w:rsidRPr="008E0367">
              <w:rPr>
                <w:szCs w:val="24"/>
              </w:rPr>
              <w:t>Site Program</w:t>
            </w:r>
          </w:p>
        </w:tc>
        <w:tc>
          <w:tcPr>
            <w:tcW w:w="1440" w:type="dxa"/>
            <w:vMerge w:val="restart"/>
            <w:shd w:val="clear" w:color="auto" w:fill="B8CCE4" w:themeFill="accent1" w:themeFillTint="66"/>
            <w:vAlign w:val="center"/>
          </w:tcPr>
          <w:p w14:paraId="549BE15C" w14:textId="701F56BB" w:rsidR="00740B5A" w:rsidRPr="008E0367" w:rsidRDefault="00740B5A" w:rsidP="00F56893">
            <w:pPr>
              <w:tabs>
                <w:tab w:val="left" w:pos="-720"/>
              </w:tabs>
              <w:suppressAutoHyphens/>
              <w:jc w:val="center"/>
              <w:rPr>
                <w:szCs w:val="24"/>
              </w:rPr>
            </w:pPr>
            <w:r w:rsidRPr="008E0367">
              <w:rPr>
                <w:szCs w:val="24"/>
              </w:rPr>
              <w:t>Site Type</w:t>
            </w:r>
          </w:p>
        </w:tc>
        <w:tc>
          <w:tcPr>
            <w:tcW w:w="1800" w:type="dxa"/>
            <w:vMerge w:val="restart"/>
            <w:shd w:val="clear" w:color="auto" w:fill="B8CCE4" w:themeFill="accent1" w:themeFillTint="66"/>
            <w:vAlign w:val="center"/>
          </w:tcPr>
          <w:p w14:paraId="7B2160B5" w14:textId="70451506" w:rsidR="00740B5A" w:rsidRPr="008E0367" w:rsidRDefault="00740B5A" w:rsidP="00F56893">
            <w:pPr>
              <w:tabs>
                <w:tab w:val="left" w:pos="-720"/>
              </w:tabs>
              <w:suppressAutoHyphens/>
              <w:jc w:val="center"/>
              <w:rPr>
                <w:szCs w:val="24"/>
              </w:rPr>
            </w:pPr>
            <w:r w:rsidRPr="008E0367">
              <w:rPr>
                <w:szCs w:val="24"/>
              </w:rPr>
              <w:t>Site Location</w:t>
            </w:r>
          </w:p>
        </w:tc>
        <w:tc>
          <w:tcPr>
            <w:tcW w:w="4495" w:type="dxa"/>
            <w:gridSpan w:val="2"/>
            <w:shd w:val="clear" w:color="auto" w:fill="B8CCE4" w:themeFill="accent1" w:themeFillTint="66"/>
            <w:vAlign w:val="center"/>
          </w:tcPr>
          <w:p w14:paraId="2DF3E69D" w14:textId="11F413FC" w:rsidR="00740B5A" w:rsidRPr="008E0367" w:rsidRDefault="00740B5A" w:rsidP="00F56893">
            <w:pPr>
              <w:tabs>
                <w:tab w:val="left" w:pos="-720"/>
              </w:tabs>
              <w:suppressAutoHyphens/>
              <w:jc w:val="center"/>
              <w:rPr>
                <w:szCs w:val="24"/>
              </w:rPr>
            </w:pPr>
            <w:r w:rsidRPr="008E0367">
              <w:rPr>
                <w:szCs w:val="24"/>
              </w:rPr>
              <w:t>Continuing Status</w:t>
            </w:r>
          </w:p>
        </w:tc>
      </w:tr>
      <w:tr w:rsidR="00343DCA" w:rsidRPr="008E0367" w14:paraId="50602E56" w14:textId="77777777" w:rsidTr="005E51F1">
        <w:trPr>
          <w:trHeight w:val="251"/>
          <w:jc w:val="center"/>
        </w:trPr>
        <w:tc>
          <w:tcPr>
            <w:tcW w:w="1615" w:type="dxa"/>
            <w:vMerge/>
            <w:shd w:val="clear" w:color="auto" w:fill="B8CCE4" w:themeFill="accent1" w:themeFillTint="66"/>
            <w:vAlign w:val="center"/>
          </w:tcPr>
          <w:p w14:paraId="3722F4F9" w14:textId="77777777" w:rsidR="00740B5A" w:rsidRPr="008E0367" w:rsidRDefault="00740B5A" w:rsidP="00F56893">
            <w:pPr>
              <w:tabs>
                <w:tab w:val="left" w:pos="-720"/>
              </w:tabs>
              <w:suppressAutoHyphens/>
              <w:jc w:val="center"/>
              <w:rPr>
                <w:szCs w:val="24"/>
              </w:rPr>
            </w:pPr>
          </w:p>
        </w:tc>
        <w:tc>
          <w:tcPr>
            <w:tcW w:w="1440" w:type="dxa"/>
            <w:vMerge/>
            <w:shd w:val="clear" w:color="auto" w:fill="B8CCE4" w:themeFill="accent1" w:themeFillTint="66"/>
            <w:vAlign w:val="center"/>
          </w:tcPr>
          <w:p w14:paraId="531CBF29" w14:textId="77777777" w:rsidR="00740B5A" w:rsidRPr="008E0367" w:rsidRDefault="00740B5A" w:rsidP="00F56893">
            <w:pPr>
              <w:tabs>
                <w:tab w:val="left" w:pos="-720"/>
              </w:tabs>
              <w:suppressAutoHyphens/>
              <w:jc w:val="center"/>
              <w:rPr>
                <w:szCs w:val="24"/>
              </w:rPr>
            </w:pPr>
          </w:p>
        </w:tc>
        <w:tc>
          <w:tcPr>
            <w:tcW w:w="1800" w:type="dxa"/>
            <w:vMerge/>
            <w:shd w:val="clear" w:color="auto" w:fill="B8CCE4" w:themeFill="accent1" w:themeFillTint="66"/>
            <w:vAlign w:val="center"/>
          </w:tcPr>
          <w:p w14:paraId="10DE6569" w14:textId="77777777" w:rsidR="00740B5A" w:rsidRPr="008E0367" w:rsidRDefault="00740B5A" w:rsidP="00F56893">
            <w:pPr>
              <w:tabs>
                <w:tab w:val="left" w:pos="-720"/>
              </w:tabs>
              <w:suppressAutoHyphens/>
              <w:jc w:val="center"/>
              <w:rPr>
                <w:szCs w:val="24"/>
              </w:rPr>
            </w:pPr>
          </w:p>
        </w:tc>
        <w:tc>
          <w:tcPr>
            <w:tcW w:w="2250" w:type="dxa"/>
            <w:shd w:val="clear" w:color="auto" w:fill="B8CCE4" w:themeFill="accent1" w:themeFillTint="66"/>
            <w:vAlign w:val="center"/>
          </w:tcPr>
          <w:p w14:paraId="34BB037B" w14:textId="54AAA0CD" w:rsidR="00740B5A" w:rsidRPr="008E0367" w:rsidRDefault="00740B5A" w:rsidP="00F56893">
            <w:pPr>
              <w:tabs>
                <w:tab w:val="left" w:pos="-720"/>
              </w:tabs>
              <w:suppressAutoHyphens/>
              <w:jc w:val="center"/>
              <w:rPr>
                <w:szCs w:val="24"/>
              </w:rPr>
            </w:pPr>
            <w:r w:rsidRPr="008E0367">
              <w:rPr>
                <w:szCs w:val="24"/>
              </w:rPr>
              <w:t>Continuing</w:t>
            </w:r>
          </w:p>
        </w:tc>
        <w:tc>
          <w:tcPr>
            <w:tcW w:w="2245" w:type="dxa"/>
            <w:shd w:val="clear" w:color="auto" w:fill="B8CCE4" w:themeFill="accent1" w:themeFillTint="66"/>
            <w:vAlign w:val="center"/>
          </w:tcPr>
          <w:p w14:paraId="75555A1F" w14:textId="6B075A6F" w:rsidR="00740B5A" w:rsidRPr="008E0367" w:rsidRDefault="00740B5A" w:rsidP="00F56893">
            <w:pPr>
              <w:tabs>
                <w:tab w:val="left" w:pos="-720"/>
              </w:tabs>
              <w:suppressAutoHyphens/>
              <w:jc w:val="center"/>
              <w:rPr>
                <w:szCs w:val="24"/>
              </w:rPr>
            </w:pPr>
            <w:r w:rsidRPr="008E0367">
              <w:rPr>
                <w:szCs w:val="24"/>
              </w:rPr>
              <w:t>New</w:t>
            </w:r>
          </w:p>
        </w:tc>
      </w:tr>
      <w:tr w:rsidR="00740B5A" w:rsidRPr="008E0367" w14:paraId="7D534550" w14:textId="77777777" w:rsidTr="001E5604">
        <w:trPr>
          <w:jc w:val="center"/>
        </w:trPr>
        <w:tc>
          <w:tcPr>
            <w:tcW w:w="1615" w:type="dxa"/>
            <w:vMerge w:val="restart"/>
            <w:vAlign w:val="center"/>
          </w:tcPr>
          <w:p w14:paraId="1CE5A833" w14:textId="48F43524" w:rsidR="00740B5A" w:rsidRPr="008E0367" w:rsidRDefault="00740B5A" w:rsidP="00F56893">
            <w:pPr>
              <w:tabs>
                <w:tab w:val="left" w:pos="-720"/>
              </w:tabs>
              <w:suppressAutoHyphens/>
              <w:jc w:val="center"/>
              <w:rPr>
                <w:szCs w:val="24"/>
              </w:rPr>
            </w:pPr>
            <w:r w:rsidRPr="008E0367">
              <w:rPr>
                <w:szCs w:val="24"/>
              </w:rPr>
              <w:t>SFSP</w:t>
            </w:r>
          </w:p>
        </w:tc>
        <w:tc>
          <w:tcPr>
            <w:tcW w:w="1440" w:type="dxa"/>
            <w:vMerge w:val="restart"/>
            <w:vAlign w:val="center"/>
          </w:tcPr>
          <w:p w14:paraId="3172664C" w14:textId="54596B23" w:rsidR="00740B5A" w:rsidRPr="008E0367" w:rsidRDefault="00740B5A" w:rsidP="00F56893">
            <w:pPr>
              <w:tabs>
                <w:tab w:val="left" w:pos="-720"/>
              </w:tabs>
              <w:suppressAutoHyphens/>
              <w:jc w:val="center"/>
              <w:rPr>
                <w:szCs w:val="24"/>
              </w:rPr>
            </w:pPr>
            <w:r w:rsidRPr="008E0367">
              <w:rPr>
                <w:szCs w:val="24"/>
              </w:rPr>
              <w:t>Open</w:t>
            </w:r>
          </w:p>
        </w:tc>
        <w:tc>
          <w:tcPr>
            <w:tcW w:w="1800" w:type="dxa"/>
            <w:vAlign w:val="center"/>
          </w:tcPr>
          <w:p w14:paraId="0CCB4D2D" w14:textId="3694E1C6" w:rsidR="00740B5A" w:rsidRPr="008E0367" w:rsidRDefault="00740B5A" w:rsidP="00F56893">
            <w:pPr>
              <w:tabs>
                <w:tab w:val="left" w:pos="-720"/>
              </w:tabs>
              <w:suppressAutoHyphens/>
              <w:jc w:val="center"/>
              <w:rPr>
                <w:szCs w:val="24"/>
              </w:rPr>
            </w:pPr>
            <w:r w:rsidRPr="008E0367">
              <w:rPr>
                <w:szCs w:val="24"/>
              </w:rPr>
              <w:t>Urban</w:t>
            </w:r>
          </w:p>
        </w:tc>
        <w:tc>
          <w:tcPr>
            <w:tcW w:w="2250" w:type="dxa"/>
            <w:vAlign w:val="center"/>
          </w:tcPr>
          <w:p w14:paraId="6E5C6979" w14:textId="77777777" w:rsidR="00740B5A" w:rsidRPr="008E0367" w:rsidRDefault="00740B5A" w:rsidP="00F56893">
            <w:pPr>
              <w:tabs>
                <w:tab w:val="left" w:pos="-720"/>
              </w:tabs>
              <w:suppressAutoHyphens/>
              <w:jc w:val="center"/>
              <w:rPr>
                <w:szCs w:val="24"/>
              </w:rPr>
            </w:pPr>
          </w:p>
        </w:tc>
        <w:tc>
          <w:tcPr>
            <w:tcW w:w="2245" w:type="dxa"/>
            <w:vAlign w:val="center"/>
          </w:tcPr>
          <w:p w14:paraId="6A4734A6" w14:textId="77777777" w:rsidR="00740B5A" w:rsidRPr="008E0367" w:rsidRDefault="00740B5A" w:rsidP="00F56893">
            <w:pPr>
              <w:tabs>
                <w:tab w:val="left" w:pos="-720"/>
              </w:tabs>
              <w:suppressAutoHyphens/>
              <w:jc w:val="center"/>
              <w:rPr>
                <w:szCs w:val="24"/>
              </w:rPr>
            </w:pPr>
          </w:p>
        </w:tc>
      </w:tr>
      <w:tr w:rsidR="00740B5A" w:rsidRPr="008E0367" w14:paraId="30BEA4D2" w14:textId="77777777" w:rsidTr="001E5604">
        <w:trPr>
          <w:jc w:val="center"/>
        </w:trPr>
        <w:tc>
          <w:tcPr>
            <w:tcW w:w="1615" w:type="dxa"/>
            <w:vMerge/>
            <w:vAlign w:val="center"/>
          </w:tcPr>
          <w:p w14:paraId="7E971A06" w14:textId="77777777" w:rsidR="00740B5A" w:rsidRPr="008E0367" w:rsidRDefault="00740B5A" w:rsidP="00F56893">
            <w:pPr>
              <w:tabs>
                <w:tab w:val="left" w:pos="-720"/>
              </w:tabs>
              <w:suppressAutoHyphens/>
              <w:jc w:val="center"/>
              <w:rPr>
                <w:szCs w:val="24"/>
              </w:rPr>
            </w:pPr>
          </w:p>
        </w:tc>
        <w:tc>
          <w:tcPr>
            <w:tcW w:w="1440" w:type="dxa"/>
            <w:vMerge/>
            <w:vAlign w:val="center"/>
          </w:tcPr>
          <w:p w14:paraId="05CE6413" w14:textId="77777777" w:rsidR="00740B5A" w:rsidRPr="008E0367" w:rsidRDefault="00740B5A" w:rsidP="00F56893">
            <w:pPr>
              <w:tabs>
                <w:tab w:val="left" w:pos="-720"/>
              </w:tabs>
              <w:suppressAutoHyphens/>
              <w:jc w:val="center"/>
              <w:rPr>
                <w:szCs w:val="24"/>
              </w:rPr>
            </w:pPr>
          </w:p>
        </w:tc>
        <w:tc>
          <w:tcPr>
            <w:tcW w:w="1800" w:type="dxa"/>
            <w:vAlign w:val="center"/>
          </w:tcPr>
          <w:p w14:paraId="59E1E52C" w14:textId="078B0471" w:rsidR="00740B5A" w:rsidRPr="008E0367" w:rsidRDefault="00740B5A" w:rsidP="00F56893">
            <w:pPr>
              <w:tabs>
                <w:tab w:val="left" w:pos="-720"/>
              </w:tabs>
              <w:suppressAutoHyphens/>
              <w:jc w:val="center"/>
              <w:rPr>
                <w:szCs w:val="24"/>
              </w:rPr>
            </w:pPr>
            <w:r w:rsidRPr="008E0367">
              <w:rPr>
                <w:szCs w:val="24"/>
              </w:rPr>
              <w:t>Rural</w:t>
            </w:r>
          </w:p>
        </w:tc>
        <w:tc>
          <w:tcPr>
            <w:tcW w:w="2250" w:type="dxa"/>
            <w:vAlign w:val="center"/>
          </w:tcPr>
          <w:p w14:paraId="4A21B2A2" w14:textId="77777777" w:rsidR="00740B5A" w:rsidRPr="008E0367" w:rsidRDefault="00740B5A" w:rsidP="00F56893">
            <w:pPr>
              <w:tabs>
                <w:tab w:val="left" w:pos="-720"/>
              </w:tabs>
              <w:suppressAutoHyphens/>
              <w:jc w:val="center"/>
              <w:rPr>
                <w:szCs w:val="24"/>
              </w:rPr>
            </w:pPr>
          </w:p>
        </w:tc>
        <w:tc>
          <w:tcPr>
            <w:tcW w:w="2245" w:type="dxa"/>
            <w:vAlign w:val="center"/>
          </w:tcPr>
          <w:p w14:paraId="09CECF0A" w14:textId="77777777" w:rsidR="00740B5A" w:rsidRPr="008E0367" w:rsidRDefault="00740B5A" w:rsidP="00F56893">
            <w:pPr>
              <w:tabs>
                <w:tab w:val="left" w:pos="-720"/>
              </w:tabs>
              <w:suppressAutoHyphens/>
              <w:jc w:val="center"/>
              <w:rPr>
                <w:szCs w:val="24"/>
              </w:rPr>
            </w:pPr>
          </w:p>
        </w:tc>
      </w:tr>
      <w:tr w:rsidR="00740B5A" w:rsidRPr="008E0367" w14:paraId="5CA6D5A6" w14:textId="77777777" w:rsidTr="001E5604">
        <w:trPr>
          <w:jc w:val="center"/>
        </w:trPr>
        <w:tc>
          <w:tcPr>
            <w:tcW w:w="1615" w:type="dxa"/>
            <w:vMerge/>
            <w:vAlign w:val="center"/>
          </w:tcPr>
          <w:p w14:paraId="1CC5CB9B" w14:textId="77777777" w:rsidR="00740B5A" w:rsidRPr="008E0367" w:rsidRDefault="00740B5A" w:rsidP="00F56893">
            <w:pPr>
              <w:tabs>
                <w:tab w:val="left" w:pos="-720"/>
              </w:tabs>
              <w:suppressAutoHyphens/>
              <w:jc w:val="center"/>
              <w:rPr>
                <w:szCs w:val="24"/>
              </w:rPr>
            </w:pPr>
          </w:p>
        </w:tc>
        <w:tc>
          <w:tcPr>
            <w:tcW w:w="1440" w:type="dxa"/>
            <w:vMerge w:val="restart"/>
            <w:vAlign w:val="center"/>
          </w:tcPr>
          <w:p w14:paraId="6B20BF70" w14:textId="78B1AD64" w:rsidR="00740B5A" w:rsidRPr="008E0367" w:rsidRDefault="00740B5A" w:rsidP="00F56893">
            <w:pPr>
              <w:tabs>
                <w:tab w:val="left" w:pos="-720"/>
              </w:tabs>
              <w:suppressAutoHyphens/>
              <w:jc w:val="center"/>
              <w:rPr>
                <w:szCs w:val="24"/>
              </w:rPr>
            </w:pPr>
            <w:r w:rsidRPr="008E0367">
              <w:rPr>
                <w:szCs w:val="24"/>
              </w:rPr>
              <w:t>Closed</w:t>
            </w:r>
          </w:p>
        </w:tc>
        <w:tc>
          <w:tcPr>
            <w:tcW w:w="1800" w:type="dxa"/>
            <w:vAlign w:val="center"/>
          </w:tcPr>
          <w:p w14:paraId="625D2C7D" w14:textId="46ED8FAD" w:rsidR="00740B5A" w:rsidRPr="008E0367" w:rsidRDefault="00740B5A" w:rsidP="00F56893">
            <w:pPr>
              <w:tabs>
                <w:tab w:val="left" w:pos="-720"/>
              </w:tabs>
              <w:suppressAutoHyphens/>
              <w:jc w:val="center"/>
              <w:rPr>
                <w:szCs w:val="24"/>
              </w:rPr>
            </w:pPr>
            <w:r w:rsidRPr="008E0367">
              <w:rPr>
                <w:szCs w:val="24"/>
              </w:rPr>
              <w:t>Urban</w:t>
            </w:r>
          </w:p>
        </w:tc>
        <w:tc>
          <w:tcPr>
            <w:tcW w:w="2250" w:type="dxa"/>
            <w:vAlign w:val="center"/>
          </w:tcPr>
          <w:p w14:paraId="2B809A8B" w14:textId="77777777" w:rsidR="00740B5A" w:rsidRPr="008E0367" w:rsidRDefault="00740B5A" w:rsidP="00F56893">
            <w:pPr>
              <w:tabs>
                <w:tab w:val="left" w:pos="-720"/>
              </w:tabs>
              <w:suppressAutoHyphens/>
              <w:jc w:val="center"/>
              <w:rPr>
                <w:szCs w:val="24"/>
              </w:rPr>
            </w:pPr>
          </w:p>
        </w:tc>
        <w:tc>
          <w:tcPr>
            <w:tcW w:w="2245" w:type="dxa"/>
            <w:vAlign w:val="center"/>
          </w:tcPr>
          <w:p w14:paraId="7FB585E2" w14:textId="77777777" w:rsidR="00740B5A" w:rsidRPr="008E0367" w:rsidRDefault="00740B5A" w:rsidP="00F56893">
            <w:pPr>
              <w:tabs>
                <w:tab w:val="left" w:pos="-720"/>
              </w:tabs>
              <w:suppressAutoHyphens/>
              <w:jc w:val="center"/>
              <w:rPr>
                <w:szCs w:val="24"/>
              </w:rPr>
            </w:pPr>
          </w:p>
        </w:tc>
      </w:tr>
      <w:tr w:rsidR="00740B5A" w:rsidRPr="008E0367" w14:paraId="4F2AFFFB" w14:textId="77777777" w:rsidTr="001E5604">
        <w:trPr>
          <w:jc w:val="center"/>
        </w:trPr>
        <w:tc>
          <w:tcPr>
            <w:tcW w:w="1615" w:type="dxa"/>
            <w:vMerge/>
            <w:vAlign w:val="center"/>
          </w:tcPr>
          <w:p w14:paraId="075F1F7E" w14:textId="77777777" w:rsidR="00740B5A" w:rsidRPr="008E0367" w:rsidRDefault="00740B5A" w:rsidP="00F56893">
            <w:pPr>
              <w:tabs>
                <w:tab w:val="left" w:pos="-720"/>
              </w:tabs>
              <w:suppressAutoHyphens/>
              <w:jc w:val="center"/>
              <w:rPr>
                <w:szCs w:val="24"/>
              </w:rPr>
            </w:pPr>
          </w:p>
        </w:tc>
        <w:tc>
          <w:tcPr>
            <w:tcW w:w="1440" w:type="dxa"/>
            <w:vMerge/>
            <w:vAlign w:val="center"/>
          </w:tcPr>
          <w:p w14:paraId="6747E49C" w14:textId="77777777" w:rsidR="00740B5A" w:rsidRPr="008E0367" w:rsidRDefault="00740B5A" w:rsidP="00F56893">
            <w:pPr>
              <w:tabs>
                <w:tab w:val="left" w:pos="-720"/>
              </w:tabs>
              <w:suppressAutoHyphens/>
              <w:jc w:val="center"/>
              <w:rPr>
                <w:szCs w:val="24"/>
              </w:rPr>
            </w:pPr>
          </w:p>
        </w:tc>
        <w:tc>
          <w:tcPr>
            <w:tcW w:w="1800" w:type="dxa"/>
            <w:vAlign w:val="center"/>
          </w:tcPr>
          <w:p w14:paraId="4C1A2B95" w14:textId="700F0A6C" w:rsidR="00740B5A" w:rsidRPr="008E0367" w:rsidRDefault="00740B5A" w:rsidP="00F56893">
            <w:pPr>
              <w:tabs>
                <w:tab w:val="left" w:pos="-720"/>
              </w:tabs>
              <w:suppressAutoHyphens/>
              <w:jc w:val="center"/>
              <w:rPr>
                <w:szCs w:val="24"/>
              </w:rPr>
            </w:pPr>
            <w:r w:rsidRPr="008E0367">
              <w:rPr>
                <w:szCs w:val="24"/>
              </w:rPr>
              <w:t>Rural</w:t>
            </w:r>
          </w:p>
        </w:tc>
        <w:tc>
          <w:tcPr>
            <w:tcW w:w="2250" w:type="dxa"/>
            <w:vAlign w:val="center"/>
          </w:tcPr>
          <w:p w14:paraId="2306D716" w14:textId="77777777" w:rsidR="00740B5A" w:rsidRPr="008E0367" w:rsidRDefault="00740B5A" w:rsidP="00F56893">
            <w:pPr>
              <w:tabs>
                <w:tab w:val="left" w:pos="-720"/>
              </w:tabs>
              <w:suppressAutoHyphens/>
              <w:jc w:val="center"/>
              <w:rPr>
                <w:szCs w:val="24"/>
              </w:rPr>
            </w:pPr>
          </w:p>
        </w:tc>
        <w:tc>
          <w:tcPr>
            <w:tcW w:w="2245" w:type="dxa"/>
            <w:vAlign w:val="center"/>
          </w:tcPr>
          <w:p w14:paraId="5876264E" w14:textId="77777777" w:rsidR="00740B5A" w:rsidRPr="008E0367" w:rsidRDefault="00740B5A" w:rsidP="00F56893">
            <w:pPr>
              <w:tabs>
                <w:tab w:val="left" w:pos="-720"/>
              </w:tabs>
              <w:suppressAutoHyphens/>
              <w:jc w:val="center"/>
              <w:rPr>
                <w:szCs w:val="24"/>
              </w:rPr>
            </w:pPr>
          </w:p>
        </w:tc>
      </w:tr>
      <w:tr w:rsidR="00740B5A" w:rsidRPr="008E0367" w14:paraId="330BBED3" w14:textId="77777777" w:rsidTr="001E5604">
        <w:trPr>
          <w:jc w:val="center"/>
        </w:trPr>
        <w:tc>
          <w:tcPr>
            <w:tcW w:w="1615" w:type="dxa"/>
            <w:vAlign w:val="center"/>
          </w:tcPr>
          <w:p w14:paraId="3FAB1EF8" w14:textId="3900A913" w:rsidR="00740B5A" w:rsidRPr="008E0367" w:rsidRDefault="00740B5A" w:rsidP="00F56893">
            <w:pPr>
              <w:tabs>
                <w:tab w:val="left" w:pos="-720"/>
              </w:tabs>
              <w:suppressAutoHyphens/>
              <w:jc w:val="center"/>
              <w:rPr>
                <w:szCs w:val="24"/>
              </w:rPr>
            </w:pPr>
            <w:r w:rsidRPr="008E0367">
              <w:rPr>
                <w:szCs w:val="24"/>
              </w:rPr>
              <w:t>SSO</w:t>
            </w:r>
          </w:p>
        </w:tc>
        <w:tc>
          <w:tcPr>
            <w:tcW w:w="1440" w:type="dxa"/>
            <w:vAlign w:val="center"/>
          </w:tcPr>
          <w:p w14:paraId="22CFE151" w14:textId="5D244431" w:rsidR="00740B5A" w:rsidRPr="008E0367" w:rsidRDefault="00740B5A" w:rsidP="00F56893">
            <w:pPr>
              <w:tabs>
                <w:tab w:val="left" w:pos="-720"/>
              </w:tabs>
              <w:suppressAutoHyphens/>
              <w:jc w:val="center"/>
              <w:rPr>
                <w:szCs w:val="24"/>
              </w:rPr>
            </w:pPr>
            <w:r w:rsidRPr="008E0367">
              <w:rPr>
                <w:szCs w:val="24"/>
              </w:rPr>
              <w:t>NA</w:t>
            </w:r>
          </w:p>
        </w:tc>
        <w:tc>
          <w:tcPr>
            <w:tcW w:w="1800" w:type="dxa"/>
            <w:vAlign w:val="center"/>
          </w:tcPr>
          <w:p w14:paraId="1C03B65F" w14:textId="06FCBAD3" w:rsidR="00740B5A" w:rsidRPr="008E0367" w:rsidRDefault="00740B5A" w:rsidP="00F56893">
            <w:pPr>
              <w:tabs>
                <w:tab w:val="left" w:pos="-720"/>
              </w:tabs>
              <w:suppressAutoHyphens/>
              <w:jc w:val="center"/>
              <w:rPr>
                <w:szCs w:val="24"/>
              </w:rPr>
            </w:pPr>
            <w:r w:rsidRPr="008E0367">
              <w:rPr>
                <w:szCs w:val="24"/>
              </w:rPr>
              <w:t>NA</w:t>
            </w:r>
          </w:p>
        </w:tc>
        <w:tc>
          <w:tcPr>
            <w:tcW w:w="2247" w:type="dxa"/>
            <w:vAlign w:val="center"/>
          </w:tcPr>
          <w:p w14:paraId="2DB1CCB6" w14:textId="77777777" w:rsidR="00740B5A" w:rsidRPr="008E0367" w:rsidRDefault="00740B5A" w:rsidP="00F56893">
            <w:pPr>
              <w:tabs>
                <w:tab w:val="left" w:pos="-720"/>
              </w:tabs>
              <w:suppressAutoHyphens/>
              <w:jc w:val="center"/>
              <w:rPr>
                <w:szCs w:val="24"/>
              </w:rPr>
            </w:pPr>
          </w:p>
        </w:tc>
        <w:tc>
          <w:tcPr>
            <w:tcW w:w="2248" w:type="dxa"/>
            <w:vAlign w:val="center"/>
          </w:tcPr>
          <w:p w14:paraId="7BB47DF2" w14:textId="174E30C6" w:rsidR="00740B5A" w:rsidRPr="008E0367" w:rsidRDefault="00740B5A" w:rsidP="00F56893">
            <w:pPr>
              <w:tabs>
                <w:tab w:val="left" w:pos="-720"/>
              </w:tabs>
              <w:suppressAutoHyphens/>
              <w:jc w:val="center"/>
              <w:rPr>
                <w:szCs w:val="24"/>
              </w:rPr>
            </w:pPr>
          </w:p>
        </w:tc>
      </w:tr>
    </w:tbl>
    <w:p w14:paraId="561221E2" w14:textId="77777777" w:rsidR="00FA47D1" w:rsidRDefault="00D979B7" w:rsidP="0020370D">
      <w:pPr>
        <w:tabs>
          <w:tab w:val="left" w:pos="-720"/>
        </w:tabs>
        <w:suppressAutoHyphens/>
        <w:spacing w:line="480" w:lineRule="auto"/>
        <w:rPr>
          <w:szCs w:val="24"/>
        </w:rPr>
      </w:pPr>
      <w:r>
        <w:rPr>
          <w:szCs w:val="24"/>
        </w:rPr>
        <w:tab/>
      </w:r>
    </w:p>
    <w:p w14:paraId="5F56CF26" w14:textId="44A969FC" w:rsidR="003610D2" w:rsidRPr="008E0367" w:rsidRDefault="00FA47D1" w:rsidP="0020370D">
      <w:pPr>
        <w:tabs>
          <w:tab w:val="left" w:pos="-720"/>
        </w:tabs>
        <w:suppressAutoHyphens/>
        <w:spacing w:line="480" w:lineRule="auto"/>
        <w:rPr>
          <w:szCs w:val="24"/>
        </w:rPr>
      </w:pPr>
      <w:r>
        <w:rPr>
          <w:szCs w:val="24"/>
        </w:rPr>
        <w:tab/>
      </w:r>
      <w:r w:rsidR="009E7251" w:rsidRPr="008E0367">
        <w:rPr>
          <w:szCs w:val="24"/>
        </w:rPr>
        <w:t>There are eight</w:t>
      </w:r>
      <w:r w:rsidR="00601333" w:rsidRPr="008E0367">
        <w:rPr>
          <w:szCs w:val="24"/>
        </w:rPr>
        <w:t xml:space="preserve"> stratum cells for SFSP sites </w:t>
      </w:r>
      <w:r w:rsidR="000842DC" w:rsidRPr="008E0367">
        <w:rPr>
          <w:szCs w:val="24"/>
        </w:rPr>
        <w:t xml:space="preserve">(open/closed, urban/rural, continuing/new) </w:t>
      </w:r>
      <w:r w:rsidR="00601333" w:rsidRPr="008E0367">
        <w:rPr>
          <w:szCs w:val="24"/>
        </w:rPr>
        <w:t xml:space="preserve">and </w:t>
      </w:r>
      <w:r w:rsidR="009E7251" w:rsidRPr="008E0367">
        <w:rPr>
          <w:szCs w:val="24"/>
        </w:rPr>
        <w:t>two</w:t>
      </w:r>
      <w:r w:rsidR="00601333" w:rsidRPr="008E0367">
        <w:rPr>
          <w:szCs w:val="24"/>
        </w:rPr>
        <w:t xml:space="preserve"> stratum cells for SSO sites.</w:t>
      </w:r>
      <w:r w:rsidR="00372F45" w:rsidRPr="008E0367">
        <w:rPr>
          <w:szCs w:val="24"/>
        </w:rPr>
        <w:t xml:space="preserve"> We set the marginal sample sizes of the stratification defining variables as </w:t>
      </w:r>
      <w:r w:rsidR="00372F45" w:rsidRPr="00B130FF">
        <w:rPr>
          <w:szCs w:val="24"/>
        </w:rPr>
        <w:t>follows</w:t>
      </w:r>
      <w:r w:rsidR="00F56893" w:rsidRPr="00B130FF">
        <w:rPr>
          <w:szCs w:val="24"/>
        </w:rPr>
        <w:t xml:space="preserve"> (see</w:t>
      </w:r>
      <w:r w:rsidR="00B130FF" w:rsidRPr="00B130FF">
        <w:rPr>
          <w:szCs w:val="24"/>
        </w:rPr>
        <w:t xml:space="preserve"> </w:t>
      </w:r>
      <w:r w:rsidR="00B130FF" w:rsidRPr="00B130FF">
        <w:rPr>
          <w:szCs w:val="24"/>
        </w:rPr>
        <w:fldChar w:fldCharType="begin"/>
      </w:r>
      <w:r w:rsidR="00B130FF" w:rsidRPr="00B130FF">
        <w:rPr>
          <w:szCs w:val="24"/>
        </w:rPr>
        <w:instrText xml:space="preserve"> REF _Ref492890839 \h  \* MERGEFORMAT </w:instrText>
      </w:r>
      <w:r w:rsidR="00B130FF" w:rsidRPr="00B130FF">
        <w:rPr>
          <w:szCs w:val="24"/>
        </w:rPr>
      </w:r>
      <w:r w:rsidR="00B130FF" w:rsidRPr="00B130FF">
        <w:rPr>
          <w:szCs w:val="24"/>
        </w:rPr>
        <w:fldChar w:fldCharType="separate"/>
      </w:r>
      <w:r w:rsidR="00FD4FBC" w:rsidRPr="008F2C8F">
        <w:t xml:space="preserve">Table B2 - </w:t>
      </w:r>
      <w:r w:rsidR="00FD4FBC" w:rsidRPr="008F2C8F">
        <w:rPr>
          <w:noProof/>
        </w:rPr>
        <w:t>2</w:t>
      </w:r>
      <w:r w:rsidR="00B130FF" w:rsidRPr="00B130FF">
        <w:rPr>
          <w:szCs w:val="24"/>
        </w:rPr>
        <w:fldChar w:fldCharType="end"/>
      </w:r>
      <w:r w:rsidR="009E7251" w:rsidRPr="00B130FF">
        <w:rPr>
          <w:szCs w:val="24"/>
        </w:rPr>
        <w:t>)</w:t>
      </w:r>
      <w:r w:rsidR="00372F45" w:rsidRPr="00B130FF">
        <w:rPr>
          <w:szCs w:val="24"/>
        </w:rPr>
        <w:t>:</w:t>
      </w:r>
    </w:p>
    <w:p w14:paraId="7390B0B5" w14:textId="6CC7188A" w:rsidR="00372F45" w:rsidRPr="008E0367" w:rsidRDefault="00B760CB" w:rsidP="00B760CB">
      <w:pPr>
        <w:pStyle w:val="Caption"/>
        <w:rPr>
          <w:b/>
          <w:szCs w:val="24"/>
        </w:rPr>
      </w:pPr>
      <w:bookmarkStart w:id="52" w:name="_Ref492890839"/>
      <w:bookmarkStart w:id="53" w:name="_Toc505263878"/>
      <w:r w:rsidRPr="00B760CB">
        <w:rPr>
          <w:b/>
        </w:rPr>
        <w:t xml:space="preserve">Table B2 - </w:t>
      </w:r>
      <w:r w:rsidRPr="00B760CB">
        <w:rPr>
          <w:b/>
        </w:rPr>
        <w:fldChar w:fldCharType="begin"/>
      </w:r>
      <w:r w:rsidRPr="00B760CB">
        <w:rPr>
          <w:b/>
        </w:rPr>
        <w:instrText xml:space="preserve"> SEQ Table_B2_- \* ARABIC </w:instrText>
      </w:r>
      <w:r w:rsidRPr="00B760CB">
        <w:rPr>
          <w:b/>
        </w:rPr>
        <w:fldChar w:fldCharType="separate"/>
      </w:r>
      <w:r w:rsidR="00FD4FBC">
        <w:rPr>
          <w:b/>
          <w:noProof/>
        </w:rPr>
        <w:t>2</w:t>
      </w:r>
      <w:r w:rsidRPr="00B760CB">
        <w:rPr>
          <w:b/>
        </w:rPr>
        <w:fldChar w:fldCharType="end"/>
      </w:r>
      <w:bookmarkEnd w:id="52"/>
      <w:r w:rsidR="00372F45" w:rsidRPr="00B760CB">
        <w:rPr>
          <w:b/>
          <w:szCs w:val="24"/>
        </w:rPr>
        <w:t>.</w:t>
      </w:r>
      <w:r w:rsidR="00372F45" w:rsidRPr="008E0367">
        <w:rPr>
          <w:b/>
          <w:szCs w:val="24"/>
        </w:rPr>
        <w:t xml:space="preserve"> Marginal </w:t>
      </w:r>
      <w:r w:rsidR="001B257B" w:rsidRPr="008E0367">
        <w:rPr>
          <w:b/>
          <w:szCs w:val="24"/>
        </w:rPr>
        <w:t xml:space="preserve">Respondent </w:t>
      </w:r>
      <w:r w:rsidR="00372F45" w:rsidRPr="008E0367">
        <w:rPr>
          <w:b/>
          <w:szCs w:val="24"/>
        </w:rPr>
        <w:t>Sample Sizes of Stratification Defining Variables for Sites</w:t>
      </w:r>
      <w:bookmarkEnd w:id="53"/>
    </w:p>
    <w:tbl>
      <w:tblPr>
        <w:tblStyle w:val="TableGrid"/>
        <w:tblW w:w="0" w:type="auto"/>
        <w:tblLook w:val="04A0" w:firstRow="1" w:lastRow="0" w:firstColumn="1" w:lastColumn="0" w:noHBand="0" w:noVBand="1"/>
      </w:tblPr>
      <w:tblGrid>
        <w:gridCol w:w="2195"/>
        <w:gridCol w:w="1563"/>
        <w:gridCol w:w="1323"/>
        <w:gridCol w:w="1304"/>
        <w:gridCol w:w="1382"/>
        <w:gridCol w:w="1583"/>
      </w:tblGrid>
      <w:tr w:rsidR="007D4688" w:rsidRPr="008E0367" w14:paraId="784FCF48" w14:textId="77777777" w:rsidTr="001E5604">
        <w:trPr>
          <w:trHeight w:val="232"/>
        </w:trPr>
        <w:tc>
          <w:tcPr>
            <w:tcW w:w="2195" w:type="dxa"/>
            <w:vMerge w:val="restart"/>
            <w:shd w:val="clear" w:color="auto" w:fill="B8CCE4" w:themeFill="accent1" w:themeFillTint="66"/>
            <w:vAlign w:val="center"/>
          </w:tcPr>
          <w:p w14:paraId="27F62D8A" w14:textId="576B6F77" w:rsidR="007D4688" w:rsidRPr="008E0367" w:rsidRDefault="007D4688" w:rsidP="00B130FF">
            <w:pPr>
              <w:tabs>
                <w:tab w:val="left" w:pos="-720"/>
              </w:tabs>
              <w:suppressAutoHyphens/>
              <w:jc w:val="center"/>
              <w:rPr>
                <w:szCs w:val="24"/>
              </w:rPr>
            </w:pPr>
            <w:r w:rsidRPr="008E0367">
              <w:rPr>
                <w:szCs w:val="24"/>
              </w:rPr>
              <w:t>Stratification Variable</w:t>
            </w:r>
          </w:p>
        </w:tc>
        <w:tc>
          <w:tcPr>
            <w:tcW w:w="1563" w:type="dxa"/>
            <w:vMerge w:val="restart"/>
            <w:shd w:val="clear" w:color="auto" w:fill="B8CCE4" w:themeFill="accent1" w:themeFillTint="66"/>
            <w:vAlign w:val="center"/>
          </w:tcPr>
          <w:p w14:paraId="2A3DCBD8" w14:textId="49892531" w:rsidR="007D4688" w:rsidRPr="008E0367" w:rsidRDefault="005413E9" w:rsidP="00B130FF">
            <w:pPr>
              <w:tabs>
                <w:tab w:val="left" w:pos="-720"/>
              </w:tabs>
              <w:suppressAutoHyphens/>
              <w:jc w:val="center"/>
              <w:rPr>
                <w:szCs w:val="24"/>
              </w:rPr>
            </w:pPr>
            <w:r w:rsidRPr="008E0367">
              <w:rPr>
                <w:szCs w:val="24"/>
              </w:rPr>
              <w:t xml:space="preserve">Site </w:t>
            </w:r>
            <w:r w:rsidR="007D4688" w:rsidRPr="008E0367">
              <w:rPr>
                <w:szCs w:val="24"/>
              </w:rPr>
              <w:t>Category</w:t>
            </w:r>
          </w:p>
        </w:tc>
        <w:tc>
          <w:tcPr>
            <w:tcW w:w="4009" w:type="dxa"/>
            <w:gridSpan w:val="3"/>
            <w:shd w:val="clear" w:color="auto" w:fill="B8CCE4" w:themeFill="accent1" w:themeFillTint="66"/>
            <w:vAlign w:val="center"/>
          </w:tcPr>
          <w:p w14:paraId="5B57A615" w14:textId="1FAA24BC" w:rsidR="007D4688" w:rsidRPr="008E0367" w:rsidRDefault="007D4688" w:rsidP="00B130FF">
            <w:pPr>
              <w:tabs>
                <w:tab w:val="left" w:pos="-720"/>
              </w:tabs>
              <w:suppressAutoHyphens/>
              <w:jc w:val="center"/>
              <w:rPr>
                <w:szCs w:val="24"/>
              </w:rPr>
            </w:pPr>
            <w:r w:rsidRPr="008E0367">
              <w:rPr>
                <w:szCs w:val="24"/>
              </w:rPr>
              <w:t>Marginal Sample Size</w:t>
            </w:r>
          </w:p>
        </w:tc>
        <w:tc>
          <w:tcPr>
            <w:tcW w:w="1583" w:type="dxa"/>
            <w:vMerge w:val="restart"/>
            <w:shd w:val="clear" w:color="auto" w:fill="B8CCE4" w:themeFill="accent1" w:themeFillTint="66"/>
            <w:vAlign w:val="center"/>
          </w:tcPr>
          <w:p w14:paraId="6CB86035" w14:textId="0FF8EAE2" w:rsidR="007D4688" w:rsidRPr="008E0367" w:rsidRDefault="007D4688" w:rsidP="00B130FF">
            <w:pPr>
              <w:tabs>
                <w:tab w:val="left" w:pos="-720"/>
              </w:tabs>
              <w:suppressAutoHyphens/>
              <w:jc w:val="center"/>
              <w:rPr>
                <w:szCs w:val="24"/>
              </w:rPr>
            </w:pPr>
            <w:r w:rsidRPr="008E0367">
              <w:rPr>
                <w:szCs w:val="24"/>
              </w:rPr>
              <w:t>Total Sample Size</w:t>
            </w:r>
          </w:p>
        </w:tc>
      </w:tr>
      <w:tr w:rsidR="007D4688" w:rsidRPr="008E0367" w14:paraId="4ED3541E" w14:textId="77777777" w:rsidTr="001E5604">
        <w:trPr>
          <w:trHeight w:val="231"/>
        </w:trPr>
        <w:tc>
          <w:tcPr>
            <w:tcW w:w="2195" w:type="dxa"/>
            <w:vMerge/>
            <w:vAlign w:val="center"/>
          </w:tcPr>
          <w:p w14:paraId="4C0119D7" w14:textId="77777777" w:rsidR="007D4688" w:rsidRPr="008E0367" w:rsidRDefault="007D4688" w:rsidP="00B130FF">
            <w:pPr>
              <w:tabs>
                <w:tab w:val="left" w:pos="-720"/>
              </w:tabs>
              <w:suppressAutoHyphens/>
              <w:jc w:val="center"/>
              <w:rPr>
                <w:szCs w:val="24"/>
              </w:rPr>
            </w:pPr>
          </w:p>
        </w:tc>
        <w:tc>
          <w:tcPr>
            <w:tcW w:w="1563" w:type="dxa"/>
            <w:vMerge/>
            <w:vAlign w:val="center"/>
          </w:tcPr>
          <w:p w14:paraId="61492F09" w14:textId="77777777" w:rsidR="007D4688" w:rsidRPr="008E0367" w:rsidRDefault="007D4688" w:rsidP="00B130FF">
            <w:pPr>
              <w:tabs>
                <w:tab w:val="left" w:pos="-720"/>
              </w:tabs>
              <w:suppressAutoHyphens/>
              <w:jc w:val="center"/>
              <w:rPr>
                <w:szCs w:val="24"/>
              </w:rPr>
            </w:pPr>
          </w:p>
        </w:tc>
        <w:tc>
          <w:tcPr>
            <w:tcW w:w="1323" w:type="dxa"/>
            <w:shd w:val="clear" w:color="auto" w:fill="B8CCE4" w:themeFill="accent1" w:themeFillTint="66"/>
            <w:vAlign w:val="center"/>
          </w:tcPr>
          <w:p w14:paraId="4F9E559E" w14:textId="2C2BA285" w:rsidR="007D4688" w:rsidRPr="008E0367" w:rsidRDefault="007D4688" w:rsidP="00B130FF">
            <w:pPr>
              <w:tabs>
                <w:tab w:val="left" w:pos="-720"/>
              </w:tabs>
              <w:suppressAutoHyphens/>
              <w:jc w:val="center"/>
              <w:rPr>
                <w:szCs w:val="24"/>
              </w:rPr>
            </w:pPr>
            <w:r w:rsidRPr="008E0367">
              <w:rPr>
                <w:szCs w:val="24"/>
              </w:rPr>
              <w:t>Continuing</w:t>
            </w:r>
          </w:p>
        </w:tc>
        <w:tc>
          <w:tcPr>
            <w:tcW w:w="1304" w:type="dxa"/>
            <w:shd w:val="clear" w:color="auto" w:fill="B8CCE4" w:themeFill="accent1" w:themeFillTint="66"/>
          </w:tcPr>
          <w:p w14:paraId="08477714" w14:textId="52B63DEB" w:rsidR="007D4688" w:rsidRPr="008E0367" w:rsidRDefault="007D4688" w:rsidP="00B130FF">
            <w:pPr>
              <w:tabs>
                <w:tab w:val="left" w:pos="-720"/>
              </w:tabs>
              <w:suppressAutoHyphens/>
              <w:jc w:val="center"/>
              <w:rPr>
                <w:szCs w:val="24"/>
              </w:rPr>
            </w:pPr>
            <w:r w:rsidRPr="008E0367">
              <w:rPr>
                <w:szCs w:val="24"/>
              </w:rPr>
              <w:t>New</w:t>
            </w:r>
          </w:p>
        </w:tc>
        <w:tc>
          <w:tcPr>
            <w:tcW w:w="1382" w:type="dxa"/>
            <w:shd w:val="clear" w:color="auto" w:fill="B8CCE4" w:themeFill="accent1" w:themeFillTint="66"/>
          </w:tcPr>
          <w:p w14:paraId="1AE7DB13" w14:textId="7EAB5343" w:rsidR="007D4688" w:rsidRPr="008E0367" w:rsidRDefault="007D4688" w:rsidP="00B130FF">
            <w:pPr>
              <w:tabs>
                <w:tab w:val="left" w:pos="-720"/>
              </w:tabs>
              <w:suppressAutoHyphens/>
              <w:jc w:val="center"/>
              <w:rPr>
                <w:szCs w:val="24"/>
              </w:rPr>
            </w:pPr>
            <w:r w:rsidRPr="008E0367">
              <w:rPr>
                <w:szCs w:val="24"/>
              </w:rPr>
              <w:t>Total</w:t>
            </w:r>
          </w:p>
        </w:tc>
        <w:tc>
          <w:tcPr>
            <w:tcW w:w="1583" w:type="dxa"/>
            <w:vMerge/>
            <w:vAlign w:val="center"/>
          </w:tcPr>
          <w:p w14:paraId="38AFE43A" w14:textId="4C8B667E" w:rsidR="007D4688" w:rsidRPr="008E0367" w:rsidRDefault="007D4688" w:rsidP="00B130FF">
            <w:pPr>
              <w:tabs>
                <w:tab w:val="left" w:pos="-720"/>
              </w:tabs>
              <w:suppressAutoHyphens/>
              <w:jc w:val="center"/>
              <w:rPr>
                <w:szCs w:val="24"/>
              </w:rPr>
            </w:pPr>
          </w:p>
        </w:tc>
      </w:tr>
      <w:tr w:rsidR="007D4688" w:rsidRPr="008E0367" w14:paraId="4C9134F9" w14:textId="77777777" w:rsidTr="001E5604">
        <w:tc>
          <w:tcPr>
            <w:tcW w:w="2195" w:type="dxa"/>
            <w:vMerge w:val="restart"/>
            <w:vAlign w:val="center"/>
          </w:tcPr>
          <w:p w14:paraId="28CFEB14" w14:textId="573D6B73" w:rsidR="007D4688" w:rsidRPr="008E0367" w:rsidRDefault="007D4688" w:rsidP="00B130FF">
            <w:pPr>
              <w:tabs>
                <w:tab w:val="left" w:pos="-720"/>
              </w:tabs>
              <w:suppressAutoHyphens/>
              <w:rPr>
                <w:szCs w:val="24"/>
              </w:rPr>
            </w:pPr>
            <w:r w:rsidRPr="008E0367">
              <w:rPr>
                <w:szCs w:val="24"/>
              </w:rPr>
              <w:t>Site Program</w:t>
            </w:r>
            <w:r w:rsidR="009D3334">
              <w:rPr>
                <w:szCs w:val="24"/>
              </w:rPr>
              <w:t xml:space="preserve"> Type</w:t>
            </w:r>
          </w:p>
        </w:tc>
        <w:tc>
          <w:tcPr>
            <w:tcW w:w="1563" w:type="dxa"/>
            <w:vAlign w:val="center"/>
          </w:tcPr>
          <w:p w14:paraId="4B7A23B9" w14:textId="5A915603" w:rsidR="007D4688" w:rsidRPr="008E0367" w:rsidRDefault="007D4688" w:rsidP="00B130FF">
            <w:pPr>
              <w:tabs>
                <w:tab w:val="left" w:pos="-720"/>
              </w:tabs>
              <w:suppressAutoHyphens/>
              <w:rPr>
                <w:szCs w:val="24"/>
              </w:rPr>
            </w:pPr>
            <w:r w:rsidRPr="008E0367">
              <w:rPr>
                <w:szCs w:val="24"/>
              </w:rPr>
              <w:t>SFSP</w:t>
            </w:r>
          </w:p>
        </w:tc>
        <w:tc>
          <w:tcPr>
            <w:tcW w:w="1323" w:type="dxa"/>
            <w:vAlign w:val="center"/>
          </w:tcPr>
          <w:p w14:paraId="27B958A9" w14:textId="407DE638" w:rsidR="007D4688" w:rsidRPr="008E0367" w:rsidRDefault="007D4688" w:rsidP="00B130FF">
            <w:pPr>
              <w:tabs>
                <w:tab w:val="left" w:pos="-720"/>
              </w:tabs>
              <w:suppressAutoHyphens/>
              <w:jc w:val="center"/>
              <w:rPr>
                <w:szCs w:val="24"/>
              </w:rPr>
            </w:pPr>
            <w:r w:rsidRPr="008E0367">
              <w:rPr>
                <w:szCs w:val="24"/>
              </w:rPr>
              <w:t>420</w:t>
            </w:r>
          </w:p>
        </w:tc>
        <w:tc>
          <w:tcPr>
            <w:tcW w:w="1304" w:type="dxa"/>
          </w:tcPr>
          <w:p w14:paraId="0E120306" w14:textId="7FB11948" w:rsidR="007D4688" w:rsidRPr="008E0367" w:rsidRDefault="007D4688" w:rsidP="00B130FF">
            <w:pPr>
              <w:tabs>
                <w:tab w:val="left" w:pos="-720"/>
              </w:tabs>
              <w:suppressAutoHyphens/>
              <w:jc w:val="center"/>
              <w:rPr>
                <w:szCs w:val="24"/>
              </w:rPr>
            </w:pPr>
            <w:r w:rsidRPr="008E0367">
              <w:rPr>
                <w:szCs w:val="24"/>
              </w:rPr>
              <w:t>180</w:t>
            </w:r>
          </w:p>
        </w:tc>
        <w:tc>
          <w:tcPr>
            <w:tcW w:w="1382" w:type="dxa"/>
            <w:vAlign w:val="center"/>
          </w:tcPr>
          <w:p w14:paraId="70E422AA" w14:textId="680923E5" w:rsidR="007D4688" w:rsidRPr="008E0367" w:rsidRDefault="007D4688" w:rsidP="00B130FF">
            <w:pPr>
              <w:tabs>
                <w:tab w:val="left" w:pos="-720"/>
              </w:tabs>
              <w:suppressAutoHyphens/>
              <w:jc w:val="center"/>
              <w:rPr>
                <w:szCs w:val="24"/>
              </w:rPr>
            </w:pPr>
            <w:r w:rsidRPr="008E0367">
              <w:rPr>
                <w:szCs w:val="24"/>
              </w:rPr>
              <w:t>600</w:t>
            </w:r>
          </w:p>
        </w:tc>
        <w:tc>
          <w:tcPr>
            <w:tcW w:w="1583" w:type="dxa"/>
            <w:vMerge w:val="restart"/>
            <w:vAlign w:val="center"/>
          </w:tcPr>
          <w:p w14:paraId="0C8B06D1" w14:textId="4BCC1F93" w:rsidR="007D4688" w:rsidRPr="008E0367" w:rsidRDefault="007D4688" w:rsidP="00B130FF">
            <w:pPr>
              <w:tabs>
                <w:tab w:val="left" w:pos="-720"/>
              </w:tabs>
              <w:suppressAutoHyphens/>
              <w:jc w:val="center"/>
              <w:rPr>
                <w:szCs w:val="24"/>
              </w:rPr>
            </w:pPr>
            <w:r w:rsidRPr="008E0367">
              <w:rPr>
                <w:szCs w:val="24"/>
              </w:rPr>
              <w:t>750</w:t>
            </w:r>
          </w:p>
        </w:tc>
      </w:tr>
      <w:tr w:rsidR="007D4688" w:rsidRPr="008E0367" w14:paraId="457A802D" w14:textId="77777777" w:rsidTr="001E5604">
        <w:tc>
          <w:tcPr>
            <w:tcW w:w="2195" w:type="dxa"/>
            <w:vMerge/>
            <w:vAlign w:val="center"/>
          </w:tcPr>
          <w:p w14:paraId="79AA255F" w14:textId="77777777" w:rsidR="007D4688" w:rsidRPr="008E0367" w:rsidRDefault="007D4688" w:rsidP="00B130FF">
            <w:pPr>
              <w:tabs>
                <w:tab w:val="left" w:pos="-720"/>
              </w:tabs>
              <w:suppressAutoHyphens/>
              <w:rPr>
                <w:szCs w:val="24"/>
              </w:rPr>
            </w:pPr>
          </w:p>
        </w:tc>
        <w:tc>
          <w:tcPr>
            <w:tcW w:w="1563" w:type="dxa"/>
            <w:vAlign w:val="center"/>
          </w:tcPr>
          <w:p w14:paraId="0F68A374" w14:textId="05F87779" w:rsidR="007D4688" w:rsidRPr="008E0367" w:rsidRDefault="007D4688" w:rsidP="00B130FF">
            <w:pPr>
              <w:tabs>
                <w:tab w:val="left" w:pos="-720"/>
              </w:tabs>
              <w:suppressAutoHyphens/>
              <w:rPr>
                <w:szCs w:val="24"/>
              </w:rPr>
            </w:pPr>
            <w:r w:rsidRPr="008E0367">
              <w:rPr>
                <w:szCs w:val="24"/>
              </w:rPr>
              <w:t>SSO</w:t>
            </w:r>
          </w:p>
        </w:tc>
        <w:tc>
          <w:tcPr>
            <w:tcW w:w="1323" w:type="dxa"/>
            <w:vAlign w:val="center"/>
          </w:tcPr>
          <w:p w14:paraId="3C534905" w14:textId="6FD8D977" w:rsidR="007D4688" w:rsidRPr="008E0367" w:rsidRDefault="007D4688" w:rsidP="00B130FF">
            <w:pPr>
              <w:tabs>
                <w:tab w:val="left" w:pos="-720"/>
              </w:tabs>
              <w:suppressAutoHyphens/>
              <w:jc w:val="center"/>
              <w:rPr>
                <w:szCs w:val="24"/>
              </w:rPr>
            </w:pPr>
            <w:r w:rsidRPr="008E0367">
              <w:rPr>
                <w:szCs w:val="24"/>
              </w:rPr>
              <w:t>105</w:t>
            </w:r>
          </w:p>
        </w:tc>
        <w:tc>
          <w:tcPr>
            <w:tcW w:w="1304" w:type="dxa"/>
          </w:tcPr>
          <w:p w14:paraId="0CCB44CE" w14:textId="28B821D4" w:rsidR="007D4688" w:rsidRPr="008E0367" w:rsidRDefault="007D4688" w:rsidP="00B130FF">
            <w:pPr>
              <w:tabs>
                <w:tab w:val="left" w:pos="-720"/>
              </w:tabs>
              <w:suppressAutoHyphens/>
              <w:jc w:val="center"/>
              <w:rPr>
                <w:szCs w:val="24"/>
              </w:rPr>
            </w:pPr>
            <w:r w:rsidRPr="008E0367">
              <w:rPr>
                <w:szCs w:val="24"/>
              </w:rPr>
              <w:t>45</w:t>
            </w:r>
          </w:p>
        </w:tc>
        <w:tc>
          <w:tcPr>
            <w:tcW w:w="1382" w:type="dxa"/>
            <w:vAlign w:val="center"/>
          </w:tcPr>
          <w:p w14:paraId="1C3217ED" w14:textId="41B2FDC1" w:rsidR="007D4688" w:rsidRPr="008E0367" w:rsidRDefault="007D4688" w:rsidP="00B130FF">
            <w:pPr>
              <w:tabs>
                <w:tab w:val="left" w:pos="-720"/>
              </w:tabs>
              <w:suppressAutoHyphens/>
              <w:jc w:val="center"/>
              <w:rPr>
                <w:szCs w:val="24"/>
              </w:rPr>
            </w:pPr>
            <w:r w:rsidRPr="008E0367">
              <w:rPr>
                <w:szCs w:val="24"/>
              </w:rPr>
              <w:t>150</w:t>
            </w:r>
          </w:p>
        </w:tc>
        <w:tc>
          <w:tcPr>
            <w:tcW w:w="1583" w:type="dxa"/>
            <w:vMerge/>
            <w:vAlign w:val="center"/>
          </w:tcPr>
          <w:p w14:paraId="62252147" w14:textId="7B12D2E8" w:rsidR="007D4688" w:rsidRPr="008E0367" w:rsidRDefault="007D4688" w:rsidP="00B130FF">
            <w:pPr>
              <w:tabs>
                <w:tab w:val="left" w:pos="-720"/>
              </w:tabs>
              <w:suppressAutoHyphens/>
              <w:jc w:val="center"/>
              <w:rPr>
                <w:szCs w:val="24"/>
              </w:rPr>
            </w:pPr>
          </w:p>
        </w:tc>
      </w:tr>
      <w:tr w:rsidR="007D4688" w:rsidRPr="008E0367" w14:paraId="0B79CC10" w14:textId="77777777" w:rsidTr="001E5604">
        <w:tc>
          <w:tcPr>
            <w:tcW w:w="2195" w:type="dxa"/>
            <w:vMerge w:val="restart"/>
            <w:vAlign w:val="center"/>
          </w:tcPr>
          <w:p w14:paraId="079420F5" w14:textId="7B30F09F" w:rsidR="007D4688" w:rsidRPr="008E0367" w:rsidRDefault="007D4688" w:rsidP="00B130FF">
            <w:pPr>
              <w:tabs>
                <w:tab w:val="left" w:pos="-720"/>
              </w:tabs>
              <w:suppressAutoHyphens/>
              <w:rPr>
                <w:szCs w:val="24"/>
              </w:rPr>
            </w:pPr>
            <w:r w:rsidRPr="008E0367">
              <w:rPr>
                <w:szCs w:val="24"/>
              </w:rPr>
              <w:t>SFSP Site Type</w:t>
            </w:r>
          </w:p>
        </w:tc>
        <w:tc>
          <w:tcPr>
            <w:tcW w:w="1563" w:type="dxa"/>
            <w:vAlign w:val="center"/>
          </w:tcPr>
          <w:p w14:paraId="58C10BFA" w14:textId="4736D314" w:rsidR="007D4688" w:rsidRPr="008E0367" w:rsidRDefault="007D4688" w:rsidP="00B130FF">
            <w:pPr>
              <w:tabs>
                <w:tab w:val="left" w:pos="-720"/>
              </w:tabs>
              <w:suppressAutoHyphens/>
              <w:rPr>
                <w:szCs w:val="24"/>
              </w:rPr>
            </w:pPr>
            <w:r w:rsidRPr="008E0367">
              <w:rPr>
                <w:szCs w:val="24"/>
              </w:rPr>
              <w:t>Open</w:t>
            </w:r>
          </w:p>
        </w:tc>
        <w:tc>
          <w:tcPr>
            <w:tcW w:w="1323" w:type="dxa"/>
            <w:vAlign w:val="center"/>
          </w:tcPr>
          <w:p w14:paraId="00F55FC6" w14:textId="6C46B870" w:rsidR="007D4688" w:rsidRPr="008E0367" w:rsidRDefault="007D4688" w:rsidP="00B130FF">
            <w:pPr>
              <w:tabs>
                <w:tab w:val="left" w:pos="-720"/>
              </w:tabs>
              <w:suppressAutoHyphens/>
              <w:jc w:val="center"/>
              <w:rPr>
                <w:szCs w:val="24"/>
              </w:rPr>
            </w:pPr>
            <w:r w:rsidRPr="008E0367">
              <w:rPr>
                <w:szCs w:val="24"/>
              </w:rPr>
              <w:t>280</w:t>
            </w:r>
          </w:p>
        </w:tc>
        <w:tc>
          <w:tcPr>
            <w:tcW w:w="1304" w:type="dxa"/>
          </w:tcPr>
          <w:p w14:paraId="4B737094" w14:textId="4833EB58" w:rsidR="007D4688" w:rsidRPr="008E0367" w:rsidRDefault="007D4688" w:rsidP="00B130FF">
            <w:pPr>
              <w:tabs>
                <w:tab w:val="left" w:pos="-720"/>
              </w:tabs>
              <w:suppressAutoHyphens/>
              <w:jc w:val="center"/>
              <w:rPr>
                <w:szCs w:val="24"/>
              </w:rPr>
            </w:pPr>
            <w:r w:rsidRPr="008E0367">
              <w:rPr>
                <w:szCs w:val="24"/>
              </w:rPr>
              <w:t>120</w:t>
            </w:r>
          </w:p>
        </w:tc>
        <w:tc>
          <w:tcPr>
            <w:tcW w:w="1382" w:type="dxa"/>
            <w:vAlign w:val="center"/>
          </w:tcPr>
          <w:p w14:paraId="6F027653" w14:textId="0ABDAEBB" w:rsidR="007D4688" w:rsidRPr="008E0367" w:rsidRDefault="007D4688" w:rsidP="00B130FF">
            <w:pPr>
              <w:tabs>
                <w:tab w:val="left" w:pos="-720"/>
              </w:tabs>
              <w:suppressAutoHyphens/>
              <w:jc w:val="center"/>
              <w:rPr>
                <w:szCs w:val="24"/>
              </w:rPr>
            </w:pPr>
            <w:r w:rsidRPr="008E0367">
              <w:rPr>
                <w:szCs w:val="24"/>
              </w:rPr>
              <w:t>400</w:t>
            </w:r>
          </w:p>
        </w:tc>
        <w:tc>
          <w:tcPr>
            <w:tcW w:w="1583" w:type="dxa"/>
            <w:vMerge w:val="restart"/>
            <w:vAlign w:val="center"/>
          </w:tcPr>
          <w:p w14:paraId="6067DC42" w14:textId="48CCAC80" w:rsidR="007D4688" w:rsidRPr="008E0367" w:rsidRDefault="007D4688" w:rsidP="00B130FF">
            <w:pPr>
              <w:tabs>
                <w:tab w:val="left" w:pos="-720"/>
              </w:tabs>
              <w:suppressAutoHyphens/>
              <w:jc w:val="center"/>
              <w:rPr>
                <w:szCs w:val="24"/>
              </w:rPr>
            </w:pPr>
            <w:r w:rsidRPr="008E0367">
              <w:rPr>
                <w:szCs w:val="24"/>
              </w:rPr>
              <w:t>600</w:t>
            </w:r>
          </w:p>
        </w:tc>
      </w:tr>
      <w:tr w:rsidR="007D4688" w:rsidRPr="008E0367" w14:paraId="076FCF32" w14:textId="77777777" w:rsidTr="001E5604">
        <w:tc>
          <w:tcPr>
            <w:tcW w:w="2195" w:type="dxa"/>
            <w:vMerge/>
            <w:vAlign w:val="center"/>
          </w:tcPr>
          <w:p w14:paraId="5A9638F5" w14:textId="77777777" w:rsidR="007D4688" w:rsidRPr="008E0367" w:rsidRDefault="007D4688" w:rsidP="00B130FF">
            <w:pPr>
              <w:tabs>
                <w:tab w:val="left" w:pos="-720"/>
              </w:tabs>
              <w:suppressAutoHyphens/>
              <w:rPr>
                <w:szCs w:val="24"/>
              </w:rPr>
            </w:pPr>
          </w:p>
        </w:tc>
        <w:tc>
          <w:tcPr>
            <w:tcW w:w="1563" w:type="dxa"/>
            <w:vAlign w:val="center"/>
          </w:tcPr>
          <w:p w14:paraId="50140338" w14:textId="6AF75A07" w:rsidR="007D4688" w:rsidRPr="008E0367" w:rsidRDefault="007D4688" w:rsidP="00B130FF">
            <w:pPr>
              <w:tabs>
                <w:tab w:val="left" w:pos="-720"/>
              </w:tabs>
              <w:suppressAutoHyphens/>
              <w:rPr>
                <w:szCs w:val="24"/>
              </w:rPr>
            </w:pPr>
            <w:r w:rsidRPr="008E0367">
              <w:rPr>
                <w:szCs w:val="24"/>
              </w:rPr>
              <w:t>Closed</w:t>
            </w:r>
          </w:p>
        </w:tc>
        <w:tc>
          <w:tcPr>
            <w:tcW w:w="1323" w:type="dxa"/>
            <w:vAlign w:val="center"/>
          </w:tcPr>
          <w:p w14:paraId="2ACC4A9F" w14:textId="422E8076" w:rsidR="007D4688" w:rsidRPr="008E0367" w:rsidRDefault="007D4688" w:rsidP="00B130FF">
            <w:pPr>
              <w:tabs>
                <w:tab w:val="left" w:pos="-720"/>
              </w:tabs>
              <w:suppressAutoHyphens/>
              <w:jc w:val="center"/>
              <w:rPr>
                <w:szCs w:val="24"/>
              </w:rPr>
            </w:pPr>
            <w:r w:rsidRPr="008E0367">
              <w:rPr>
                <w:szCs w:val="24"/>
              </w:rPr>
              <w:t>140</w:t>
            </w:r>
          </w:p>
        </w:tc>
        <w:tc>
          <w:tcPr>
            <w:tcW w:w="1304" w:type="dxa"/>
          </w:tcPr>
          <w:p w14:paraId="30998E39" w14:textId="521D0C3A" w:rsidR="007D4688" w:rsidRPr="008E0367" w:rsidRDefault="007D4688" w:rsidP="00B130FF">
            <w:pPr>
              <w:tabs>
                <w:tab w:val="left" w:pos="-720"/>
              </w:tabs>
              <w:suppressAutoHyphens/>
              <w:jc w:val="center"/>
              <w:rPr>
                <w:szCs w:val="24"/>
              </w:rPr>
            </w:pPr>
            <w:r w:rsidRPr="008E0367">
              <w:rPr>
                <w:szCs w:val="24"/>
              </w:rPr>
              <w:t>60</w:t>
            </w:r>
          </w:p>
        </w:tc>
        <w:tc>
          <w:tcPr>
            <w:tcW w:w="1382" w:type="dxa"/>
            <w:vAlign w:val="center"/>
          </w:tcPr>
          <w:p w14:paraId="3CFC56B4" w14:textId="29E4F8B4" w:rsidR="007D4688" w:rsidRPr="008E0367" w:rsidRDefault="007D4688" w:rsidP="00B130FF">
            <w:pPr>
              <w:tabs>
                <w:tab w:val="left" w:pos="-720"/>
              </w:tabs>
              <w:suppressAutoHyphens/>
              <w:jc w:val="center"/>
              <w:rPr>
                <w:szCs w:val="24"/>
              </w:rPr>
            </w:pPr>
            <w:r w:rsidRPr="008E0367">
              <w:rPr>
                <w:szCs w:val="24"/>
              </w:rPr>
              <w:t>200</w:t>
            </w:r>
          </w:p>
        </w:tc>
        <w:tc>
          <w:tcPr>
            <w:tcW w:w="1583" w:type="dxa"/>
            <w:vMerge/>
            <w:vAlign w:val="center"/>
          </w:tcPr>
          <w:p w14:paraId="7A576FFA" w14:textId="4C824776" w:rsidR="007D4688" w:rsidRPr="008E0367" w:rsidRDefault="007D4688" w:rsidP="00B130FF">
            <w:pPr>
              <w:tabs>
                <w:tab w:val="left" w:pos="-720"/>
              </w:tabs>
              <w:suppressAutoHyphens/>
              <w:jc w:val="center"/>
              <w:rPr>
                <w:szCs w:val="24"/>
              </w:rPr>
            </w:pPr>
          </w:p>
        </w:tc>
      </w:tr>
      <w:tr w:rsidR="007D4688" w:rsidRPr="008E0367" w14:paraId="31DA6D1B" w14:textId="77777777" w:rsidTr="001E5604">
        <w:tc>
          <w:tcPr>
            <w:tcW w:w="2195" w:type="dxa"/>
            <w:vMerge w:val="restart"/>
            <w:vAlign w:val="center"/>
          </w:tcPr>
          <w:p w14:paraId="676C70ED" w14:textId="4635ED10" w:rsidR="007D4688" w:rsidRPr="008E0367" w:rsidRDefault="007D4688" w:rsidP="00B130FF">
            <w:pPr>
              <w:tabs>
                <w:tab w:val="left" w:pos="-720"/>
              </w:tabs>
              <w:suppressAutoHyphens/>
              <w:rPr>
                <w:szCs w:val="24"/>
              </w:rPr>
            </w:pPr>
            <w:r w:rsidRPr="008E0367">
              <w:rPr>
                <w:szCs w:val="24"/>
              </w:rPr>
              <w:t>SFSP Site Location</w:t>
            </w:r>
          </w:p>
        </w:tc>
        <w:tc>
          <w:tcPr>
            <w:tcW w:w="1563" w:type="dxa"/>
            <w:vAlign w:val="center"/>
          </w:tcPr>
          <w:p w14:paraId="4635240A" w14:textId="298C250B" w:rsidR="007D4688" w:rsidRPr="008E0367" w:rsidRDefault="007D4688" w:rsidP="00B130FF">
            <w:pPr>
              <w:tabs>
                <w:tab w:val="left" w:pos="-720"/>
              </w:tabs>
              <w:suppressAutoHyphens/>
              <w:rPr>
                <w:szCs w:val="24"/>
              </w:rPr>
            </w:pPr>
            <w:r w:rsidRPr="008E0367">
              <w:rPr>
                <w:szCs w:val="24"/>
              </w:rPr>
              <w:t>Urban</w:t>
            </w:r>
          </w:p>
        </w:tc>
        <w:tc>
          <w:tcPr>
            <w:tcW w:w="1323" w:type="dxa"/>
            <w:vAlign w:val="center"/>
          </w:tcPr>
          <w:p w14:paraId="7FB47BB4" w14:textId="315D9F42" w:rsidR="007D4688" w:rsidRPr="008E0367" w:rsidRDefault="007D4688" w:rsidP="00B130FF">
            <w:pPr>
              <w:tabs>
                <w:tab w:val="left" w:pos="-720"/>
              </w:tabs>
              <w:suppressAutoHyphens/>
              <w:jc w:val="center"/>
              <w:rPr>
                <w:szCs w:val="24"/>
              </w:rPr>
            </w:pPr>
            <w:r w:rsidRPr="008E0367">
              <w:rPr>
                <w:szCs w:val="24"/>
              </w:rPr>
              <w:t>315</w:t>
            </w:r>
          </w:p>
        </w:tc>
        <w:tc>
          <w:tcPr>
            <w:tcW w:w="1304" w:type="dxa"/>
          </w:tcPr>
          <w:p w14:paraId="172B5E46" w14:textId="12C0A1A3" w:rsidR="007D4688" w:rsidRPr="008E0367" w:rsidRDefault="007D4688" w:rsidP="00B130FF">
            <w:pPr>
              <w:tabs>
                <w:tab w:val="left" w:pos="-720"/>
              </w:tabs>
              <w:suppressAutoHyphens/>
              <w:jc w:val="center"/>
              <w:rPr>
                <w:szCs w:val="24"/>
              </w:rPr>
            </w:pPr>
            <w:r w:rsidRPr="008E0367">
              <w:rPr>
                <w:szCs w:val="24"/>
              </w:rPr>
              <w:t>135</w:t>
            </w:r>
          </w:p>
        </w:tc>
        <w:tc>
          <w:tcPr>
            <w:tcW w:w="1382" w:type="dxa"/>
            <w:vAlign w:val="center"/>
          </w:tcPr>
          <w:p w14:paraId="39CA729D" w14:textId="5025D0C8" w:rsidR="007D4688" w:rsidRPr="008E0367" w:rsidRDefault="007D4688" w:rsidP="00B130FF">
            <w:pPr>
              <w:tabs>
                <w:tab w:val="left" w:pos="-720"/>
              </w:tabs>
              <w:suppressAutoHyphens/>
              <w:jc w:val="center"/>
              <w:rPr>
                <w:szCs w:val="24"/>
              </w:rPr>
            </w:pPr>
            <w:r w:rsidRPr="008E0367">
              <w:rPr>
                <w:szCs w:val="24"/>
              </w:rPr>
              <w:t>450</w:t>
            </w:r>
          </w:p>
        </w:tc>
        <w:tc>
          <w:tcPr>
            <w:tcW w:w="1583" w:type="dxa"/>
            <w:vMerge w:val="restart"/>
            <w:vAlign w:val="center"/>
          </w:tcPr>
          <w:p w14:paraId="49FAB40F" w14:textId="37971341" w:rsidR="007D4688" w:rsidRPr="008E0367" w:rsidRDefault="007D4688" w:rsidP="00B130FF">
            <w:pPr>
              <w:tabs>
                <w:tab w:val="left" w:pos="-720"/>
              </w:tabs>
              <w:suppressAutoHyphens/>
              <w:jc w:val="center"/>
              <w:rPr>
                <w:szCs w:val="24"/>
              </w:rPr>
            </w:pPr>
            <w:r w:rsidRPr="008E0367">
              <w:rPr>
                <w:szCs w:val="24"/>
              </w:rPr>
              <w:t>600</w:t>
            </w:r>
          </w:p>
        </w:tc>
      </w:tr>
      <w:tr w:rsidR="007D4688" w:rsidRPr="008E0367" w14:paraId="512FEB70" w14:textId="77777777" w:rsidTr="001E5604">
        <w:tc>
          <w:tcPr>
            <w:tcW w:w="2195" w:type="dxa"/>
            <w:vMerge/>
            <w:vAlign w:val="center"/>
          </w:tcPr>
          <w:p w14:paraId="3AEAF6D9" w14:textId="77777777" w:rsidR="007D4688" w:rsidRPr="008E0367" w:rsidRDefault="007D4688" w:rsidP="00B130FF">
            <w:pPr>
              <w:tabs>
                <w:tab w:val="left" w:pos="-720"/>
              </w:tabs>
              <w:suppressAutoHyphens/>
              <w:rPr>
                <w:szCs w:val="24"/>
              </w:rPr>
            </w:pPr>
          </w:p>
        </w:tc>
        <w:tc>
          <w:tcPr>
            <w:tcW w:w="1563" w:type="dxa"/>
            <w:vAlign w:val="center"/>
          </w:tcPr>
          <w:p w14:paraId="630CBCD2" w14:textId="4100FD30" w:rsidR="007D4688" w:rsidRPr="008E0367" w:rsidRDefault="007D4688" w:rsidP="00B130FF">
            <w:pPr>
              <w:tabs>
                <w:tab w:val="left" w:pos="-720"/>
              </w:tabs>
              <w:suppressAutoHyphens/>
              <w:rPr>
                <w:szCs w:val="24"/>
              </w:rPr>
            </w:pPr>
            <w:r w:rsidRPr="008E0367">
              <w:rPr>
                <w:szCs w:val="24"/>
              </w:rPr>
              <w:t>Rural</w:t>
            </w:r>
          </w:p>
        </w:tc>
        <w:tc>
          <w:tcPr>
            <w:tcW w:w="1323" w:type="dxa"/>
            <w:vAlign w:val="center"/>
          </w:tcPr>
          <w:p w14:paraId="7AB4A3E5" w14:textId="160659BE" w:rsidR="007D4688" w:rsidRPr="008E0367" w:rsidRDefault="007D4688" w:rsidP="00B130FF">
            <w:pPr>
              <w:tabs>
                <w:tab w:val="left" w:pos="-720"/>
              </w:tabs>
              <w:suppressAutoHyphens/>
              <w:jc w:val="center"/>
              <w:rPr>
                <w:szCs w:val="24"/>
              </w:rPr>
            </w:pPr>
            <w:r w:rsidRPr="008E0367">
              <w:rPr>
                <w:szCs w:val="24"/>
              </w:rPr>
              <w:t>105</w:t>
            </w:r>
          </w:p>
        </w:tc>
        <w:tc>
          <w:tcPr>
            <w:tcW w:w="1304" w:type="dxa"/>
          </w:tcPr>
          <w:p w14:paraId="3FA120BE" w14:textId="390130FA" w:rsidR="007D4688" w:rsidRPr="008E0367" w:rsidRDefault="007D4688" w:rsidP="00B130FF">
            <w:pPr>
              <w:tabs>
                <w:tab w:val="left" w:pos="-720"/>
              </w:tabs>
              <w:suppressAutoHyphens/>
              <w:jc w:val="center"/>
              <w:rPr>
                <w:szCs w:val="24"/>
              </w:rPr>
            </w:pPr>
            <w:r w:rsidRPr="008E0367">
              <w:rPr>
                <w:szCs w:val="24"/>
              </w:rPr>
              <w:t>45</w:t>
            </w:r>
          </w:p>
        </w:tc>
        <w:tc>
          <w:tcPr>
            <w:tcW w:w="1382" w:type="dxa"/>
            <w:vAlign w:val="center"/>
          </w:tcPr>
          <w:p w14:paraId="42441F3A" w14:textId="55C755C2" w:rsidR="007D4688" w:rsidRPr="008E0367" w:rsidRDefault="007D4688" w:rsidP="00B130FF">
            <w:pPr>
              <w:tabs>
                <w:tab w:val="left" w:pos="-720"/>
              </w:tabs>
              <w:suppressAutoHyphens/>
              <w:jc w:val="center"/>
              <w:rPr>
                <w:szCs w:val="24"/>
              </w:rPr>
            </w:pPr>
            <w:r w:rsidRPr="008E0367">
              <w:rPr>
                <w:szCs w:val="24"/>
              </w:rPr>
              <w:t>150</w:t>
            </w:r>
          </w:p>
        </w:tc>
        <w:tc>
          <w:tcPr>
            <w:tcW w:w="1583" w:type="dxa"/>
            <w:vMerge/>
            <w:vAlign w:val="center"/>
          </w:tcPr>
          <w:p w14:paraId="7F007FB3" w14:textId="269BCE3F" w:rsidR="007D4688" w:rsidRPr="008E0367" w:rsidRDefault="007D4688" w:rsidP="00B130FF">
            <w:pPr>
              <w:tabs>
                <w:tab w:val="left" w:pos="-720"/>
              </w:tabs>
              <w:suppressAutoHyphens/>
              <w:jc w:val="center"/>
              <w:rPr>
                <w:szCs w:val="24"/>
              </w:rPr>
            </w:pPr>
          </w:p>
        </w:tc>
      </w:tr>
    </w:tbl>
    <w:p w14:paraId="5664458A" w14:textId="77777777" w:rsidR="00845F4D" w:rsidRDefault="00845F4D" w:rsidP="0020370D">
      <w:pPr>
        <w:tabs>
          <w:tab w:val="left" w:pos="-720"/>
        </w:tabs>
        <w:suppressAutoHyphens/>
        <w:spacing w:line="480" w:lineRule="auto"/>
        <w:rPr>
          <w:szCs w:val="24"/>
        </w:rPr>
      </w:pPr>
    </w:p>
    <w:p w14:paraId="2A7334CA" w14:textId="51FF53E4" w:rsidR="00CA5FD8" w:rsidRPr="008E0367" w:rsidRDefault="00D979B7" w:rsidP="0020370D">
      <w:pPr>
        <w:tabs>
          <w:tab w:val="left" w:pos="-720"/>
        </w:tabs>
        <w:suppressAutoHyphens/>
        <w:spacing w:line="480" w:lineRule="auto"/>
        <w:rPr>
          <w:szCs w:val="24"/>
        </w:rPr>
      </w:pPr>
      <w:r>
        <w:rPr>
          <w:szCs w:val="24"/>
        </w:rPr>
        <w:tab/>
      </w:r>
      <w:r w:rsidR="007D4688" w:rsidRPr="008E0367">
        <w:rPr>
          <w:szCs w:val="24"/>
        </w:rPr>
        <w:t xml:space="preserve">For the SSO sites, </w:t>
      </w:r>
      <w:r w:rsidR="00DB013A" w:rsidRPr="008E0367">
        <w:rPr>
          <w:szCs w:val="24"/>
        </w:rPr>
        <w:t xml:space="preserve">we will use </w:t>
      </w:r>
      <w:r w:rsidR="007D4688" w:rsidRPr="008E0367">
        <w:rPr>
          <w:szCs w:val="24"/>
        </w:rPr>
        <w:t xml:space="preserve">the allocated sample sizes shown </w:t>
      </w:r>
      <w:r w:rsidR="007D4688" w:rsidRPr="00B130FF">
        <w:rPr>
          <w:szCs w:val="24"/>
        </w:rPr>
        <w:t>in</w:t>
      </w:r>
      <w:r w:rsidR="00B130FF" w:rsidRPr="00B130FF">
        <w:rPr>
          <w:szCs w:val="24"/>
        </w:rPr>
        <w:t xml:space="preserve"> </w:t>
      </w:r>
      <w:r w:rsidR="00B130FF" w:rsidRPr="00B130FF">
        <w:rPr>
          <w:szCs w:val="24"/>
        </w:rPr>
        <w:fldChar w:fldCharType="begin"/>
      </w:r>
      <w:r w:rsidR="00B130FF" w:rsidRPr="00B130FF">
        <w:rPr>
          <w:szCs w:val="24"/>
        </w:rPr>
        <w:instrText xml:space="preserve"> REF _Ref492890839 \h  \* MERGEFORMAT </w:instrText>
      </w:r>
      <w:r w:rsidR="00B130FF" w:rsidRPr="00B130FF">
        <w:rPr>
          <w:szCs w:val="24"/>
        </w:rPr>
      </w:r>
      <w:r w:rsidR="00B130FF" w:rsidRPr="00B130FF">
        <w:rPr>
          <w:szCs w:val="24"/>
        </w:rPr>
        <w:fldChar w:fldCharType="separate"/>
      </w:r>
      <w:r w:rsidR="00FD4FBC" w:rsidRPr="0075166D">
        <w:t xml:space="preserve">Table B2 - </w:t>
      </w:r>
      <w:r w:rsidR="00FD4FBC" w:rsidRPr="0075166D">
        <w:rPr>
          <w:noProof/>
        </w:rPr>
        <w:t>2</w:t>
      </w:r>
      <w:r w:rsidR="00B130FF" w:rsidRPr="00B130FF">
        <w:rPr>
          <w:szCs w:val="24"/>
        </w:rPr>
        <w:fldChar w:fldCharType="end"/>
      </w:r>
      <w:r w:rsidR="006648D9" w:rsidRPr="00B130FF">
        <w:rPr>
          <w:szCs w:val="24"/>
        </w:rPr>
        <w:t>,</w:t>
      </w:r>
      <w:r w:rsidR="00DB013A" w:rsidRPr="00B130FF">
        <w:rPr>
          <w:szCs w:val="24"/>
        </w:rPr>
        <w:t xml:space="preserve"> but</w:t>
      </w:r>
      <w:r w:rsidR="00DB013A" w:rsidRPr="008E0367">
        <w:rPr>
          <w:szCs w:val="24"/>
        </w:rPr>
        <w:t xml:space="preserve"> </w:t>
      </w:r>
      <w:r w:rsidR="006648D9" w:rsidRPr="008E0367">
        <w:rPr>
          <w:szCs w:val="24"/>
        </w:rPr>
        <w:t xml:space="preserve">for </w:t>
      </w:r>
      <w:r w:rsidR="00DB013A" w:rsidRPr="008E0367">
        <w:rPr>
          <w:szCs w:val="24"/>
        </w:rPr>
        <w:t>SFSP sites, we need to d</w:t>
      </w:r>
      <w:r w:rsidR="00C51479" w:rsidRPr="008E0367">
        <w:rPr>
          <w:szCs w:val="24"/>
        </w:rPr>
        <w:t>etermin</w:t>
      </w:r>
      <w:r w:rsidR="00DB013A" w:rsidRPr="008E0367">
        <w:rPr>
          <w:szCs w:val="24"/>
        </w:rPr>
        <w:t>e</w:t>
      </w:r>
      <w:r w:rsidR="00C51479" w:rsidRPr="008E0367">
        <w:rPr>
          <w:szCs w:val="24"/>
        </w:rPr>
        <w:t xml:space="preserve"> the </w:t>
      </w:r>
      <w:r w:rsidR="00740B5A" w:rsidRPr="008E0367">
        <w:rPr>
          <w:szCs w:val="24"/>
        </w:rPr>
        <w:t xml:space="preserve">sample sizes for </w:t>
      </w:r>
      <w:r w:rsidR="006648D9" w:rsidRPr="008E0367">
        <w:rPr>
          <w:szCs w:val="24"/>
        </w:rPr>
        <w:t>eight</w:t>
      </w:r>
      <w:r w:rsidR="00372F45" w:rsidRPr="008E0367">
        <w:rPr>
          <w:szCs w:val="24"/>
        </w:rPr>
        <w:t xml:space="preserve"> SFSP stratum cells</w:t>
      </w:r>
      <w:r w:rsidR="001B257B" w:rsidRPr="008E0367">
        <w:rPr>
          <w:szCs w:val="24"/>
        </w:rPr>
        <w:t>, for which</w:t>
      </w:r>
      <w:r w:rsidR="006648D9" w:rsidRPr="008E0367">
        <w:rPr>
          <w:szCs w:val="24"/>
        </w:rPr>
        <w:t xml:space="preserve"> w</w:t>
      </w:r>
      <w:r w:rsidR="00C51479" w:rsidRPr="008E0367">
        <w:rPr>
          <w:szCs w:val="24"/>
        </w:rPr>
        <w:t xml:space="preserve">e will use </w:t>
      </w:r>
      <w:r w:rsidR="002A1131" w:rsidRPr="008E0367">
        <w:rPr>
          <w:szCs w:val="24"/>
        </w:rPr>
        <w:t xml:space="preserve">the </w:t>
      </w:r>
      <w:r w:rsidR="00C51479" w:rsidRPr="008E0367">
        <w:rPr>
          <w:szCs w:val="24"/>
        </w:rPr>
        <w:t>raking technique</w:t>
      </w:r>
      <w:r w:rsidR="002A1131" w:rsidRPr="008E0367">
        <w:rPr>
          <w:rStyle w:val="FootnoteReference"/>
          <w:szCs w:val="24"/>
        </w:rPr>
        <w:footnoteReference w:id="17"/>
      </w:r>
      <w:r w:rsidR="00C51479" w:rsidRPr="008E0367">
        <w:rPr>
          <w:szCs w:val="24"/>
        </w:rPr>
        <w:t xml:space="preserve"> to determine the cell sample size</w:t>
      </w:r>
      <w:r w:rsidR="002A1131" w:rsidRPr="008E0367">
        <w:rPr>
          <w:szCs w:val="24"/>
        </w:rPr>
        <w:t>s</w:t>
      </w:r>
      <w:r w:rsidR="00C51479" w:rsidRPr="008E0367">
        <w:rPr>
          <w:szCs w:val="24"/>
        </w:rPr>
        <w:t xml:space="preserve">, while maintaining the </w:t>
      </w:r>
      <w:r w:rsidR="00740B5A" w:rsidRPr="008E0367">
        <w:rPr>
          <w:szCs w:val="24"/>
        </w:rPr>
        <w:t>three</w:t>
      </w:r>
      <w:r w:rsidR="00C51479" w:rsidRPr="008E0367">
        <w:rPr>
          <w:szCs w:val="24"/>
        </w:rPr>
        <w:t>-dimensional marginal cell</w:t>
      </w:r>
      <w:r w:rsidR="004A404A" w:rsidRPr="008E0367">
        <w:rPr>
          <w:szCs w:val="24"/>
        </w:rPr>
        <w:t xml:space="preserve"> </w:t>
      </w:r>
      <w:r w:rsidR="00C51479" w:rsidRPr="008E0367">
        <w:rPr>
          <w:szCs w:val="24"/>
        </w:rPr>
        <w:t>s</w:t>
      </w:r>
      <w:r w:rsidR="004A404A" w:rsidRPr="008E0367">
        <w:rPr>
          <w:szCs w:val="24"/>
        </w:rPr>
        <w:t xml:space="preserve">izes shown </w:t>
      </w:r>
      <w:r w:rsidR="004A404A" w:rsidRPr="00F56893">
        <w:rPr>
          <w:szCs w:val="24"/>
        </w:rPr>
        <w:t>in</w:t>
      </w:r>
      <w:r w:rsidR="00B130FF">
        <w:rPr>
          <w:szCs w:val="24"/>
        </w:rPr>
        <w:t xml:space="preserve"> </w:t>
      </w:r>
      <w:r w:rsidR="00B130FF" w:rsidRPr="00B130FF">
        <w:rPr>
          <w:szCs w:val="24"/>
        </w:rPr>
        <w:fldChar w:fldCharType="begin"/>
      </w:r>
      <w:r w:rsidR="00B130FF" w:rsidRPr="00B130FF">
        <w:rPr>
          <w:szCs w:val="24"/>
        </w:rPr>
        <w:instrText xml:space="preserve"> REF _Ref492890839 \h  \* MERGEFORMAT </w:instrText>
      </w:r>
      <w:r w:rsidR="00B130FF" w:rsidRPr="00B130FF">
        <w:rPr>
          <w:szCs w:val="24"/>
        </w:rPr>
      </w:r>
      <w:r w:rsidR="00B130FF" w:rsidRPr="00B130FF">
        <w:rPr>
          <w:szCs w:val="24"/>
        </w:rPr>
        <w:fldChar w:fldCharType="separate"/>
      </w:r>
      <w:r w:rsidR="00FD4FBC" w:rsidRPr="0075166D">
        <w:t xml:space="preserve">Table B2 - </w:t>
      </w:r>
      <w:r w:rsidR="00FD4FBC" w:rsidRPr="0075166D">
        <w:rPr>
          <w:noProof/>
        </w:rPr>
        <w:t>2</w:t>
      </w:r>
      <w:r w:rsidR="00B130FF" w:rsidRPr="00B130FF">
        <w:rPr>
          <w:szCs w:val="24"/>
        </w:rPr>
        <w:fldChar w:fldCharType="end"/>
      </w:r>
      <w:r w:rsidR="00DB013A" w:rsidRPr="00B130FF">
        <w:rPr>
          <w:szCs w:val="24"/>
        </w:rPr>
        <w:t>, s</w:t>
      </w:r>
      <w:r w:rsidR="00DB013A" w:rsidRPr="008E0367">
        <w:rPr>
          <w:szCs w:val="24"/>
        </w:rPr>
        <w:t>tarting from the proportional allocation</w:t>
      </w:r>
      <w:r w:rsidR="004A404A" w:rsidRPr="008E0367">
        <w:rPr>
          <w:szCs w:val="24"/>
        </w:rPr>
        <w:t>.</w:t>
      </w:r>
      <w:r w:rsidR="00C51479" w:rsidRPr="008E0367">
        <w:rPr>
          <w:szCs w:val="24"/>
        </w:rPr>
        <w:t xml:space="preserve"> </w:t>
      </w:r>
      <w:r w:rsidR="00DB013A" w:rsidRPr="008E0367">
        <w:rPr>
          <w:szCs w:val="24"/>
        </w:rPr>
        <w:t xml:space="preserve">The proportional allocation is optimal in the sense that the entire SFSP sample is an equal probability sample but it does not guarantee the minimum sample sizes for important subgroups. The raking technique will achieve this, while </w:t>
      </w:r>
      <w:r w:rsidR="001B257B" w:rsidRPr="008E0367">
        <w:rPr>
          <w:szCs w:val="24"/>
        </w:rPr>
        <w:t>ensur</w:t>
      </w:r>
      <w:r w:rsidR="00DB013A" w:rsidRPr="008E0367">
        <w:rPr>
          <w:szCs w:val="24"/>
        </w:rPr>
        <w:t>ing the minimal deviation of the sample allocation from the proportional allocation.</w:t>
      </w:r>
    </w:p>
    <w:p w14:paraId="0F00006A" w14:textId="406D65C2" w:rsidR="00F50F35" w:rsidRPr="008E0367" w:rsidRDefault="00D979B7" w:rsidP="0020370D">
      <w:pPr>
        <w:tabs>
          <w:tab w:val="left" w:pos="-720"/>
        </w:tabs>
        <w:suppressAutoHyphens/>
        <w:spacing w:line="480" w:lineRule="auto"/>
        <w:rPr>
          <w:szCs w:val="24"/>
        </w:rPr>
      </w:pPr>
      <w:r>
        <w:rPr>
          <w:szCs w:val="24"/>
        </w:rPr>
        <w:tab/>
      </w:r>
      <w:r w:rsidR="00F57002" w:rsidRPr="008E0367">
        <w:rPr>
          <w:szCs w:val="24"/>
        </w:rPr>
        <w:t>We will then inflate the allocated sample size</w:t>
      </w:r>
      <w:r w:rsidR="00740B5A" w:rsidRPr="008E0367">
        <w:rPr>
          <w:szCs w:val="24"/>
        </w:rPr>
        <w:t>s</w:t>
      </w:r>
      <w:r w:rsidR="00F57002" w:rsidRPr="008E0367">
        <w:rPr>
          <w:szCs w:val="24"/>
        </w:rPr>
        <w:t xml:space="preserve"> by </w:t>
      </w:r>
      <w:r w:rsidR="00D65C2C" w:rsidRPr="008E0367">
        <w:rPr>
          <w:szCs w:val="24"/>
        </w:rPr>
        <w:t xml:space="preserve">the </w:t>
      </w:r>
      <w:r w:rsidR="00DB013A" w:rsidRPr="008E0367">
        <w:rPr>
          <w:szCs w:val="24"/>
        </w:rPr>
        <w:t xml:space="preserve">combined </w:t>
      </w:r>
      <w:r w:rsidR="0063430B" w:rsidRPr="008E0367">
        <w:rPr>
          <w:szCs w:val="24"/>
        </w:rPr>
        <w:t xml:space="preserve">response </w:t>
      </w:r>
      <w:r w:rsidR="00DB013A" w:rsidRPr="008E0367">
        <w:rPr>
          <w:szCs w:val="24"/>
        </w:rPr>
        <w:t>rate o</w:t>
      </w:r>
      <w:r w:rsidR="0063430B" w:rsidRPr="008E0367">
        <w:rPr>
          <w:szCs w:val="24"/>
        </w:rPr>
        <w:t xml:space="preserve">f </w:t>
      </w:r>
      <w:r w:rsidR="00A57B23">
        <w:rPr>
          <w:szCs w:val="24"/>
        </w:rPr>
        <w:t>4</w:t>
      </w:r>
      <w:r w:rsidR="00761014">
        <w:rPr>
          <w:szCs w:val="24"/>
        </w:rPr>
        <w:t>5</w:t>
      </w:r>
      <w:r w:rsidR="00A57B23" w:rsidRPr="008E0367">
        <w:rPr>
          <w:szCs w:val="24"/>
        </w:rPr>
        <w:t xml:space="preserve"> </w:t>
      </w:r>
      <w:r w:rsidR="0063430B" w:rsidRPr="008E0367">
        <w:rPr>
          <w:szCs w:val="24"/>
        </w:rPr>
        <w:t>percent (resulting from 64</w:t>
      </w:r>
      <w:r w:rsidR="006648D9" w:rsidRPr="008E0367">
        <w:rPr>
          <w:szCs w:val="24"/>
        </w:rPr>
        <w:t xml:space="preserve"> percent</w:t>
      </w:r>
      <w:r w:rsidR="00DB013A" w:rsidRPr="008E0367">
        <w:rPr>
          <w:szCs w:val="24"/>
        </w:rPr>
        <w:t xml:space="preserve"> eligibility rate and </w:t>
      </w:r>
      <w:r w:rsidR="00A57B23">
        <w:rPr>
          <w:szCs w:val="24"/>
        </w:rPr>
        <w:t>7</w:t>
      </w:r>
      <w:r w:rsidR="00761014">
        <w:rPr>
          <w:szCs w:val="24"/>
        </w:rPr>
        <w:t>0</w:t>
      </w:r>
      <w:r w:rsidR="00A57B23" w:rsidRPr="008E0367">
        <w:rPr>
          <w:szCs w:val="24"/>
        </w:rPr>
        <w:t xml:space="preserve"> </w:t>
      </w:r>
      <w:r w:rsidR="006648D9" w:rsidRPr="008E0367">
        <w:rPr>
          <w:szCs w:val="24"/>
        </w:rPr>
        <w:t>percent</w:t>
      </w:r>
      <w:r w:rsidR="00DB013A" w:rsidRPr="008E0367">
        <w:rPr>
          <w:szCs w:val="24"/>
        </w:rPr>
        <w:t xml:space="preserve"> </w:t>
      </w:r>
      <w:r w:rsidR="00D65C2C" w:rsidRPr="008E0367">
        <w:rPr>
          <w:szCs w:val="24"/>
        </w:rPr>
        <w:t>response rate</w:t>
      </w:r>
      <w:r w:rsidR="00DB013A" w:rsidRPr="008E0367">
        <w:rPr>
          <w:szCs w:val="24"/>
        </w:rPr>
        <w:t>)</w:t>
      </w:r>
      <w:r w:rsidR="00D65C2C" w:rsidRPr="008E0367">
        <w:rPr>
          <w:szCs w:val="24"/>
        </w:rPr>
        <w:t xml:space="preserve"> </w:t>
      </w:r>
      <w:r w:rsidR="0063430B" w:rsidRPr="008E0367">
        <w:rPr>
          <w:szCs w:val="24"/>
        </w:rPr>
        <w:t xml:space="preserve">for continuing sites </w:t>
      </w:r>
      <w:r w:rsidR="00D65C2C" w:rsidRPr="008E0367">
        <w:rPr>
          <w:szCs w:val="24"/>
        </w:rPr>
        <w:t>and</w:t>
      </w:r>
      <w:r w:rsidR="00F57002" w:rsidRPr="008E0367">
        <w:rPr>
          <w:szCs w:val="24"/>
        </w:rPr>
        <w:t xml:space="preserve"> </w:t>
      </w:r>
      <w:r w:rsidR="0063430B" w:rsidRPr="008E0367">
        <w:rPr>
          <w:szCs w:val="24"/>
        </w:rPr>
        <w:t xml:space="preserve">by the response rate of </w:t>
      </w:r>
      <w:r w:rsidR="00A57B23">
        <w:rPr>
          <w:szCs w:val="24"/>
        </w:rPr>
        <w:t>7</w:t>
      </w:r>
      <w:r w:rsidR="00761014">
        <w:rPr>
          <w:szCs w:val="24"/>
        </w:rPr>
        <w:t>0</w:t>
      </w:r>
      <w:r w:rsidR="00A57B23" w:rsidRPr="008E0367">
        <w:rPr>
          <w:szCs w:val="24"/>
        </w:rPr>
        <w:t xml:space="preserve"> </w:t>
      </w:r>
      <w:r w:rsidR="0063430B" w:rsidRPr="008E0367">
        <w:rPr>
          <w:szCs w:val="24"/>
        </w:rPr>
        <w:t xml:space="preserve">percent for new sites. We </w:t>
      </w:r>
      <w:r w:rsidR="00F57002" w:rsidRPr="008E0367">
        <w:rPr>
          <w:szCs w:val="24"/>
        </w:rPr>
        <w:t xml:space="preserve">will use simple random sampling to select </w:t>
      </w:r>
      <w:r w:rsidR="00D65C2C" w:rsidRPr="008E0367">
        <w:rPr>
          <w:szCs w:val="24"/>
        </w:rPr>
        <w:t xml:space="preserve">the inflated number of </w:t>
      </w:r>
      <w:r w:rsidR="00F57002" w:rsidRPr="008E0367">
        <w:rPr>
          <w:szCs w:val="24"/>
        </w:rPr>
        <w:t>sites from each stratum cell.</w:t>
      </w:r>
      <w:r w:rsidR="00D65C2C" w:rsidRPr="008E0367">
        <w:rPr>
          <w:szCs w:val="24"/>
        </w:rPr>
        <w:t xml:space="preserve"> </w:t>
      </w:r>
      <w:r w:rsidR="00B130FF" w:rsidRPr="00B130FF">
        <w:rPr>
          <w:szCs w:val="24"/>
        </w:rPr>
        <w:fldChar w:fldCharType="begin"/>
      </w:r>
      <w:r w:rsidR="00B130FF" w:rsidRPr="00B130FF">
        <w:rPr>
          <w:szCs w:val="24"/>
        </w:rPr>
        <w:instrText xml:space="preserve"> REF _Ref492890900 \h  \* MERGEFORMAT </w:instrText>
      </w:r>
      <w:r w:rsidR="00B130FF" w:rsidRPr="00B130FF">
        <w:rPr>
          <w:szCs w:val="24"/>
        </w:rPr>
      </w:r>
      <w:r w:rsidR="00B130FF" w:rsidRPr="00B130FF">
        <w:rPr>
          <w:szCs w:val="24"/>
        </w:rPr>
        <w:fldChar w:fldCharType="separate"/>
      </w:r>
      <w:r w:rsidR="00FD4FBC" w:rsidRPr="0075166D">
        <w:t xml:space="preserve">Table B2 - </w:t>
      </w:r>
      <w:r w:rsidR="00FD4FBC" w:rsidRPr="0075166D">
        <w:rPr>
          <w:noProof/>
        </w:rPr>
        <w:t>3</w:t>
      </w:r>
      <w:r w:rsidR="00B130FF" w:rsidRPr="00B130FF">
        <w:rPr>
          <w:szCs w:val="24"/>
        </w:rPr>
        <w:fldChar w:fldCharType="end"/>
      </w:r>
      <w:r w:rsidR="00B130FF" w:rsidRPr="00B130FF">
        <w:rPr>
          <w:szCs w:val="24"/>
        </w:rPr>
        <w:t xml:space="preserve"> </w:t>
      </w:r>
      <w:r w:rsidR="0051214A" w:rsidRPr="008E0367">
        <w:rPr>
          <w:szCs w:val="24"/>
        </w:rPr>
        <w:t>presents the inflated (field) sample sizes.</w:t>
      </w:r>
      <w:r w:rsidR="00B12273" w:rsidRPr="008E0367">
        <w:rPr>
          <w:szCs w:val="24"/>
        </w:rPr>
        <w:t xml:space="preserve"> The total field sample size for the entire survey is 1,</w:t>
      </w:r>
      <w:r w:rsidR="00761014">
        <w:rPr>
          <w:szCs w:val="24"/>
        </w:rPr>
        <w:t>489</w:t>
      </w:r>
      <w:r w:rsidR="00B12273" w:rsidRPr="008E0367">
        <w:rPr>
          <w:szCs w:val="24"/>
        </w:rPr>
        <w:t xml:space="preserve"> sites, and for the SFSP sites is </w:t>
      </w:r>
      <w:commentRangeStart w:id="54"/>
      <w:r w:rsidR="00B12273" w:rsidRPr="008E0367">
        <w:rPr>
          <w:szCs w:val="24"/>
        </w:rPr>
        <w:t>1,</w:t>
      </w:r>
      <w:r w:rsidR="003F6B0F">
        <w:rPr>
          <w:szCs w:val="24"/>
        </w:rPr>
        <w:t>1</w:t>
      </w:r>
      <w:r w:rsidR="00653B46">
        <w:rPr>
          <w:szCs w:val="24"/>
        </w:rPr>
        <w:t>9</w:t>
      </w:r>
      <w:r w:rsidR="003F6B0F">
        <w:rPr>
          <w:szCs w:val="24"/>
        </w:rPr>
        <w:t>1</w:t>
      </w:r>
      <w:commentRangeEnd w:id="54"/>
      <w:r w:rsidR="00F15783">
        <w:rPr>
          <w:rStyle w:val="CommentReference"/>
        </w:rPr>
        <w:commentReference w:id="54"/>
      </w:r>
      <w:r w:rsidR="00B12273" w:rsidRPr="008E0367">
        <w:rPr>
          <w:szCs w:val="24"/>
        </w:rPr>
        <w:t>.</w:t>
      </w:r>
    </w:p>
    <w:p w14:paraId="37647681" w14:textId="3EC2AF96" w:rsidR="0063430B" w:rsidRPr="008E0367" w:rsidRDefault="00B760CB" w:rsidP="00B760CB">
      <w:pPr>
        <w:pStyle w:val="Caption"/>
        <w:rPr>
          <w:b/>
          <w:szCs w:val="24"/>
        </w:rPr>
      </w:pPr>
      <w:bookmarkStart w:id="55" w:name="_Ref492890900"/>
      <w:bookmarkStart w:id="56" w:name="_Toc505263879"/>
      <w:r w:rsidRPr="00B760CB">
        <w:rPr>
          <w:b/>
        </w:rPr>
        <w:t xml:space="preserve">Table B2 - </w:t>
      </w:r>
      <w:r w:rsidRPr="00B760CB">
        <w:rPr>
          <w:b/>
        </w:rPr>
        <w:fldChar w:fldCharType="begin"/>
      </w:r>
      <w:r w:rsidRPr="00B760CB">
        <w:rPr>
          <w:b/>
        </w:rPr>
        <w:instrText xml:space="preserve"> SEQ Table_B2_- \* ARABIC </w:instrText>
      </w:r>
      <w:r w:rsidRPr="00B760CB">
        <w:rPr>
          <w:b/>
        </w:rPr>
        <w:fldChar w:fldCharType="separate"/>
      </w:r>
      <w:r w:rsidR="00FD4FBC">
        <w:rPr>
          <w:b/>
          <w:noProof/>
        </w:rPr>
        <w:t>3</w:t>
      </w:r>
      <w:r w:rsidRPr="00B760CB">
        <w:rPr>
          <w:b/>
        </w:rPr>
        <w:fldChar w:fldCharType="end"/>
      </w:r>
      <w:bookmarkEnd w:id="55"/>
      <w:r w:rsidR="0063430B" w:rsidRPr="00B760CB">
        <w:rPr>
          <w:b/>
          <w:szCs w:val="24"/>
        </w:rPr>
        <w:t>.</w:t>
      </w:r>
      <w:r w:rsidR="0063430B" w:rsidRPr="008E0367">
        <w:rPr>
          <w:b/>
          <w:szCs w:val="24"/>
        </w:rPr>
        <w:t xml:space="preserve"> Marginal </w:t>
      </w:r>
      <w:r w:rsidR="0051214A" w:rsidRPr="008E0367">
        <w:rPr>
          <w:b/>
          <w:szCs w:val="24"/>
        </w:rPr>
        <w:t xml:space="preserve">Field </w:t>
      </w:r>
      <w:r w:rsidR="0063430B" w:rsidRPr="008E0367">
        <w:rPr>
          <w:b/>
          <w:szCs w:val="24"/>
        </w:rPr>
        <w:t>Sample Sizes of Stratification Defining Variables for Sites</w:t>
      </w:r>
      <w:bookmarkEnd w:id="56"/>
    </w:p>
    <w:tbl>
      <w:tblPr>
        <w:tblStyle w:val="TableGrid"/>
        <w:tblW w:w="0" w:type="auto"/>
        <w:tblLook w:val="04A0" w:firstRow="1" w:lastRow="0" w:firstColumn="1" w:lastColumn="0" w:noHBand="0" w:noVBand="1"/>
      </w:tblPr>
      <w:tblGrid>
        <w:gridCol w:w="2195"/>
        <w:gridCol w:w="1563"/>
        <w:gridCol w:w="1323"/>
        <w:gridCol w:w="1304"/>
        <w:gridCol w:w="1382"/>
        <w:gridCol w:w="1583"/>
      </w:tblGrid>
      <w:tr w:rsidR="0063430B" w:rsidRPr="008E0367" w14:paraId="773AC824" w14:textId="77777777" w:rsidTr="0075166D">
        <w:trPr>
          <w:trHeight w:val="232"/>
        </w:trPr>
        <w:tc>
          <w:tcPr>
            <w:tcW w:w="2195" w:type="dxa"/>
            <w:vMerge w:val="restart"/>
            <w:shd w:val="clear" w:color="auto" w:fill="B8CCE4" w:themeFill="accent1" w:themeFillTint="66"/>
            <w:vAlign w:val="center"/>
          </w:tcPr>
          <w:p w14:paraId="24230822" w14:textId="77777777" w:rsidR="0063430B" w:rsidRPr="008E0367" w:rsidRDefault="0063430B" w:rsidP="003B685F">
            <w:pPr>
              <w:tabs>
                <w:tab w:val="left" w:pos="-720"/>
              </w:tabs>
              <w:suppressAutoHyphens/>
              <w:jc w:val="center"/>
              <w:rPr>
                <w:szCs w:val="24"/>
              </w:rPr>
            </w:pPr>
            <w:r w:rsidRPr="008E0367">
              <w:rPr>
                <w:szCs w:val="24"/>
              </w:rPr>
              <w:t>Stratification Variable</w:t>
            </w:r>
          </w:p>
        </w:tc>
        <w:tc>
          <w:tcPr>
            <w:tcW w:w="1563" w:type="dxa"/>
            <w:vMerge w:val="restart"/>
            <w:shd w:val="clear" w:color="auto" w:fill="B8CCE4" w:themeFill="accent1" w:themeFillTint="66"/>
            <w:vAlign w:val="center"/>
          </w:tcPr>
          <w:p w14:paraId="6EFBCEF3" w14:textId="2065ED9E" w:rsidR="0063430B" w:rsidRPr="008E0367" w:rsidRDefault="005413E9" w:rsidP="003B685F">
            <w:pPr>
              <w:tabs>
                <w:tab w:val="left" w:pos="-720"/>
              </w:tabs>
              <w:suppressAutoHyphens/>
              <w:jc w:val="center"/>
              <w:rPr>
                <w:szCs w:val="24"/>
              </w:rPr>
            </w:pPr>
            <w:r w:rsidRPr="008E0367">
              <w:rPr>
                <w:szCs w:val="24"/>
              </w:rPr>
              <w:t xml:space="preserve">Site </w:t>
            </w:r>
            <w:r w:rsidR="0063430B" w:rsidRPr="008E0367">
              <w:rPr>
                <w:szCs w:val="24"/>
              </w:rPr>
              <w:t>Category</w:t>
            </w:r>
          </w:p>
        </w:tc>
        <w:tc>
          <w:tcPr>
            <w:tcW w:w="4009" w:type="dxa"/>
            <w:gridSpan w:val="3"/>
            <w:shd w:val="clear" w:color="auto" w:fill="B8CCE4" w:themeFill="accent1" w:themeFillTint="66"/>
            <w:vAlign w:val="center"/>
          </w:tcPr>
          <w:p w14:paraId="4D3F2EDF" w14:textId="77777777" w:rsidR="0063430B" w:rsidRPr="008E0367" w:rsidRDefault="0063430B" w:rsidP="003B685F">
            <w:pPr>
              <w:tabs>
                <w:tab w:val="left" w:pos="-720"/>
              </w:tabs>
              <w:suppressAutoHyphens/>
              <w:jc w:val="center"/>
              <w:rPr>
                <w:szCs w:val="24"/>
              </w:rPr>
            </w:pPr>
            <w:r w:rsidRPr="008E0367">
              <w:rPr>
                <w:szCs w:val="24"/>
              </w:rPr>
              <w:t>Marginal Sample Size</w:t>
            </w:r>
          </w:p>
        </w:tc>
        <w:tc>
          <w:tcPr>
            <w:tcW w:w="1583" w:type="dxa"/>
            <w:vMerge w:val="restart"/>
            <w:shd w:val="clear" w:color="auto" w:fill="B8CCE4" w:themeFill="accent1" w:themeFillTint="66"/>
            <w:vAlign w:val="center"/>
          </w:tcPr>
          <w:p w14:paraId="0BF5FEC0" w14:textId="77777777" w:rsidR="0063430B" w:rsidRPr="008E0367" w:rsidRDefault="0063430B" w:rsidP="003B685F">
            <w:pPr>
              <w:tabs>
                <w:tab w:val="left" w:pos="-720"/>
              </w:tabs>
              <w:suppressAutoHyphens/>
              <w:jc w:val="center"/>
              <w:rPr>
                <w:szCs w:val="24"/>
              </w:rPr>
            </w:pPr>
            <w:r w:rsidRPr="008E0367">
              <w:rPr>
                <w:szCs w:val="24"/>
              </w:rPr>
              <w:t>Total Sample Size</w:t>
            </w:r>
          </w:p>
        </w:tc>
      </w:tr>
      <w:tr w:rsidR="0063430B" w:rsidRPr="008E0367" w14:paraId="44BAD1CF" w14:textId="77777777" w:rsidTr="0075166D">
        <w:trPr>
          <w:trHeight w:val="231"/>
        </w:trPr>
        <w:tc>
          <w:tcPr>
            <w:tcW w:w="2195" w:type="dxa"/>
            <w:vMerge/>
            <w:vAlign w:val="center"/>
          </w:tcPr>
          <w:p w14:paraId="251CF65B" w14:textId="77777777" w:rsidR="0063430B" w:rsidRPr="008E0367" w:rsidRDefault="0063430B" w:rsidP="003B685F">
            <w:pPr>
              <w:tabs>
                <w:tab w:val="left" w:pos="-720"/>
              </w:tabs>
              <w:suppressAutoHyphens/>
              <w:jc w:val="center"/>
              <w:rPr>
                <w:szCs w:val="24"/>
              </w:rPr>
            </w:pPr>
          </w:p>
        </w:tc>
        <w:tc>
          <w:tcPr>
            <w:tcW w:w="1563" w:type="dxa"/>
            <w:vMerge/>
            <w:vAlign w:val="center"/>
          </w:tcPr>
          <w:p w14:paraId="6323BC7A" w14:textId="77777777" w:rsidR="0063430B" w:rsidRPr="008E0367" w:rsidRDefault="0063430B" w:rsidP="003B685F">
            <w:pPr>
              <w:tabs>
                <w:tab w:val="left" w:pos="-720"/>
              </w:tabs>
              <w:suppressAutoHyphens/>
              <w:jc w:val="center"/>
              <w:rPr>
                <w:szCs w:val="24"/>
              </w:rPr>
            </w:pPr>
          </w:p>
        </w:tc>
        <w:tc>
          <w:tcPr>
            <w:tcW w:w="1323" w:type="dxa"/>
            <w:shd w:val="clear" w:color="auto" w:fill="B8CCE4" w:themeFill="accent1" w:themeFillTint="66"/>
            <w:vAlign w:val="center"/>
          </w:tcPr>
          <w:p w14:paraId="6D026FBB" w14:textId="77777777" w:rsidR="0063430B" w:rsidRPr="008E0367" w:rsidRDefault="0063430B" w:rsidP="003B685F">
            <w:pPr>
              <w:tabs>
                <w:tab w:val="left" w:pos="-720"/>
              </w:tabs>
              <w:suppressAutoHyphens/>
              <w:jc w:val="center"/>
              <w:rPr>
                <w:szCs w:val="24"/>
              </w:rPr>
            </w:pPr>
            <w:r w:rsidRPr="008E0367">
              <w:rPr>
                <w:szCs w:val="24"/>
              </w:rPr>
              <w:t>Continuing</w:t>
            </w:r>
          </w:p>
        </w:tc>
        <w:tc>
          <w:tcPr>
            <w:tcW w:w="1304" w:type="dxa"/>
            <w:shd w:val="clear" w:color="auto" w:fill="B8CCE4" w:themeFill="accent1" w:themeFillTint="66"/>
          </w:tcPr>
          <w:p w14:paraId="118549DB" w14:textId="77777777" w:rsidR="0063430B" w:rsidRPr="008E0367" w:rsidRDefault="0063430B" w:rsidP="003B685F">
            <w:pPr>
              <w:tabs>
                <w:tab w:val="left" w:pos="-720"/>
              </w:tabs>
              <w:suppressAutoHyphens/>
              <w:jc w:val="center"/>
              <w:rPr>
                <w:szCs w:val="24"/>
              </w:rPr>
            </w:pPr>
            <w:r w:rsidRPr="008E0367">
              <w:rPr>
                <w:szCs w:val="24"/>
              </w:rPr>
              <w:t>New</w:t>
            </w:r>
          </w:p>
        </w:tc>
        <w:tc>
          <w:tcPr>
            <w:tcW w:w="1382" w:type="dxa"/>
            <w:shd w:val="clear" w:color="auto" w:fill="B8CCE4" w:themeFill="accent1" w:themeFillTint="66"/>
          </w:tcPr>
          <w:p w14:paraId="416EFFD8" w14:textId="77777777" w:rsidR="0063430B" w:rsidRPr="008E0367" w:rsidRDefault="0063430B" w:rsidP="003B685F">
            <w:pPr>
              <w:tabs>
                <w:tab w:val="left" w:pos="-720"/>
              </w:tabs>
              <w:suppressAutoHyphens/>
              <w:jc w:val="center"/>
              <w:rPr>
                <w:szCs w:val="24"/>
              </w:rPr>
            </w:pPr>
            <w:r w:rsidRPr="008E0367">
              <w:rPr>
                <w:szCs w:val="24"/>
              </w:rPr>
              <w:t>Total</w:t>
            </w:r>
          </w:p>
        </w:tc>
        <w:tc>
          <w:tcPr>
            <w:tcW w:w="1583" w:type="dxa"/>
            <w:vMerge/>
            <w:vAlign w:val="center"/>
          </w:tcPr>
          <w:p w14:paraId="5A59DE87" w14:textId="77777777" w:rsidR="0063430B" w:rsidRPr="008E0367" w:rsidRDefault="0063430B" w:rsidP="003B685F">
            <w:pPr>
              <w:tabs>
                <w:tab w:val="left" w:pos="-720"/>
              </w:tabs>
              <w:suppressAutoHyphens/>
              <w:jc w:val="center"/>
              <w:rPr>
                <w:szCs w:val="24"/>
              </w:rPr>
            </w:pPr>
          </w:p>
        </w:tc>
      </w:tr>
      <w:tr w:rsidR="001B6165" w:rsidRPr="008E0367" w14:paraId="78A9F269" w14:textId="77777777" w:rsidTr="0075166D">
        <w:tc>
          <w:tcPr>
            <w:tcW w:w="2195" w:type="dxa"/>
            <w:vMerge w:val="restart"/>
            <w:vAlign w:val="center"/>
          </w:tcPr>
          <w:p w14:paraId="4E0FDA33" w14:textId="021A3C5C" w:rsidR="001B6165" w:rsidRPr="008E0367" w:rsidRDefault="001B6165" w:rsidP="001B6165">
            <w:pPr>
              <w:tabs>
                <w:tab w:val="left" w:pos="-720"/>
              </w:tabs>
              <w:suppressAutoHyphens/>
              <w:rPr>
                <w:szCs w:val="24"/>
              </w:rPr>
            </w:pPr>
            <w:r w:rsidRPr="008E0367">
              <w:rPr>
                <w:szCs w:val="24"/>
              </w:rPr>
              <w:t>Site Program</w:t>
            </w:r>
            <w:r w:rsidR="009D3334">
              <w:rPr>
                <w:szCs w:val="24"/>
              </w:rPr>
              <w:t xml:space="preserve"> Type</w:t>
            </w:r>
          </w:p>
        </w:tc>
        <w:tc>
          <w:tcPr>
            <w:tcW w:w="1563" w:type="dxa"/>
            <w:vAlign w:val="center"/>
          </w:tcPr>
          <w:p w14:paraId="5132B4DD" w14:textId="77777777" w:rsidR="001B6165" w:rsidRPr="008E0367" w:rsidRDefault="001B6165" w:rsidP="001B6165">
            <w:pPr>
              <w:tabs>
                <w:tab w:val="left" w:pos="-720"/>
              </w:tabs>
              <w:suppressAutoHyphens/>
              <w:rPr>
                <w:szCs w:val="24"/>
              </w:rPr>
            </w:pPr>
            <w:r w:rsidRPr="008E0367">
              <w:rPr>
                <w:szCs w:val="24"/>
              </w:rPr>
              <w:t>SFSP</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21515010" w14:textId="7424440F" w:rsidR="001B6165" w:rsidRPr="008E0367" w:rsidRDefault="001B6165" w:rsidP="001B6165">
            <w:pPr>
              <w:tabs>
                <w:tab w:val="left" w:pos="-720"/>
              </w:tabs>
              <w:suppressAutoHyphens/>
              <w:jc w:val="center"/>
              <w:rPr>
                <w:szCs w:val="24"/>
              </w:rPr>
            </w:pPr>
            <w:r>
              <w:rPr>
                <w:color w:val="000000"/>
              </w:rPr>
              <w:t>934</w:t>
            </w:r>
          </w:p>
        </w:tc>
        <w:tc>
          <w:tcPr>
            <w:tcW w:w="1304" w:type="dxa"/>
            <w:tcBorders>
              <w:top w:val="nil"/>
              <w:left w:val="nil"/>
              <w:bottom w:val="single" w:sz="8" w:space="0" w:color="000000"/>
              <w:right w:val="single" w:sz="8" w:space="0" w:color="000000"/>
            </w:tcBorders>
            <w:shd w:val="clear" w:color="auto" w:fill="auto"/>
            <w:vAlign w:val="center"/>
          </w:tcPr>
          <w:p w14:paraId="47793E1E" w14:textId="6213C951" w:rsidR="001B6165" w:rsidRPr="008E0367" w:rsidRDefault="001B6165" w:rsidP="001B6165">
            <w:pPr>
              <w:tabs>
                <w:tab w:val="left" w:pos="-720"/>
              </w:tabs>
              <w:suppressAutoHyphens/>
              <w:jc w:val="center"/>
              <w:rPr>
                <w:szCs w:val="24"/>
              </w:rPr>
            </w:pPr>
            <w:r>
              <w:rPr>
                <w:color w:val="000000"/>
              </w:rPr>
              <w:t>257</w:t>
            </w:r>
          </w:p>
        </w:tc>
        <w:tc>
          <w:tcPr>
            <w:tcW w:w="1382" w:type="dxa"/>
            <w:tcBorders>
              <w:top w:val="nil"/>
              <w:left w:val="nil"/>
              <w:bottom w:val="single" w:sz="8" w:space="0" w:color="000000"/>
              <w:right w:val="single" w:sz="8" w:space="0" w:color="000000"/>
            </w:tcBorders>
            <w:shd w:val="clear" w:color="auto" w:fill="auto"/>
            <w:vAlign w:val="center"/>
          </w:tcPr>
          <w:p w14:paraId="1150E99B" w14:textId="3C815E0F" w:rsidR="001B6165" w:rsidRPr="008E0367" w:rsidRDefault="001B6165" w:rsidP="001B6165">
            <w:pPr>
              <w:tabs>
                <w:tab w:val="left" w:pos="-720"/>
              </w:tabs>
              <w:suppressAutoHyphens/>
              <w:jc w:val="center"/>
              <w:rPr>
                <w:szCs w:val="24"/>
              </w:rPr>
            </w:pPr>
            <w:r>
              <w:rPr>
                <w:color w:val="000000"/>
              </w:rPr>
              <w:t>1,191</w:t>
            </w:r>
          </w:p>
        </w:tc>
        <w:tc>
          <w:tcPr>
            <w:tcW w:w="1583" w:type="dxa"/>
            <w:vMerge w:val="restart"/>
            <w:vAlign w:val="center"/>
          </w:tcPr>
          <w:p w14:paraId="681E9794" w14:textId="4FB9544B" w:rsidR="001B6165" w:rsidRPr="008E0367" w:rsidRDefault="001B6165" w:rsidP="001B6165">
            <w:pPr>
              <w:tabs>
                <w:tab w:val="left" w:pos="-720"/>
              </w:tabs>
              <w:suppressAutoHyphens/>
              <w:jc w:val="center"/>
              <w:rPr>
                <w:szCs w:val="24"/>
              </w:rPr>
            </w:pPr>
            <w:r w:rsidRPr="008E0367">
              <w:rPr>
                <w:szCs w:val="24"/>
              </w:rPr>
              <w:t>1,</w:t>
            </w:r>
            <w:r>
              <w:rPr>
                <w:szCs w:val="24"/>
              </w:rPr>
              <w:t>489</w:t>
            </w:r>
          </w:p>
        </w:tc>
      </w:tr>
      <w:tr w:rsidR="001B6165" w:rsidRPr="008E0367" w14:paraId="739F62CD" w14:textId="77777777" w:rsidTr="0075166D">
        <w:tc>
          <w:tcPr>
            <w:tcW w:w="2195" w:type="dxa"/>
            <w:vMerge/>
            <w:vAlign w:val="center"/>
          </w:tcPr>
          <w:p w14:paraId="2AC5AAB2" w14:textId="77777777" w:rsidR="001B6165" w:rsidRPr="008E0367" w:rsidRDefault="001B6165" w:rsidP="001B6165">
            <w:pPr>
              <w:tabs>
                <w:tab w:val="left" w:pos="-720"/>
              </w:tabs>
              <w:suppressAutoHyphens/>
              <w:rPr>
                <w:szCs w:val="24"/>
              </w:rPr>
            </w:pPr>
          </w:p>
        </w:tc>
        <w:tc>
          <w:tcPr>
            <w:tcW w:w="1563" w:type="dxa"/>
            <w:vAlign w:val="center"/>
          </w:tcPr>
          <w:p w14:paraId="7C322E93" w14:textId="77777777" w:rsidR="001B6165" w:rsidRPr="008E0367" w:rsidRDefault="001B6165" w:rsidP="001B6165">
            <w:pPr>
              <w:tabs>
                <w:tab w:val="left" w:pos="-720"/>
              </w:tabs>
              <w:suppressAutoHyphens/>
              <w:rPr>
                <w:szCs w:val="24"/>
              </w:rPr>
            </w:pPr>
            <w:r w:rsidRPr="008E0367">
              <w:rPr>
                <w:szCs w:val="24"/>
              </w:rPr>
              <w:t>SSO</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2C31BB49" w14:textId="1CC1982D" w:rsidR="001B6165" w:rsidRPr="008E0367" w:rsidRDefault="001B6165" w:rsidP="001B6165">
            <w:pPr>
              <w:tabs>
                <w:tab w:val="left" w:pos="-720"/>
              </w:tabs>
              <w:suppressAutoHyphens/>
              <w:jc w:val="center"/>
              <w:rPr>
                <w:szCs w:val="24"/>
              </w:rPr>
            </w:pPr>
            <w:r>
              <w:rPr>
                <w:color w:val="000000"/>
              </w:rPr>
              <w:t>234</w:t>
            </w:r>
          </w:p>
        </w:tc>
        <w:tc>
          <w:tcPr>
            <w:tcW w:w="1304" w:type="dxa"/>
            <w:tcBorders>
              <w:top w:val="nil"/>
              <w:left w:val="nil"/>
              <w:bottom w:val="single" w:sz="8" w:space="0" w:color="000000"/>
              <w:right w:val="single" w:sz="8" w:space="0" w:color="000000"/>
            </w:tcBorders>
            <w:shd w:val="clear" w:color="auto" w:fill="auto"/>
            <w:vAlign w:val="center"/>
          </w:tcPr>
          <w:p w14:paraId="0AEA98FE" w14:textId="49F7BEE1" w:rsidR="001B6165" w:rsidRPr="008E0367" w:rsidRDefault="001B6165" w:rsidP="001B6165">
            <w:pPr>
              <w:tabs>
                <w:tab w:val="left" w:pos="-720"/>
              </w:tabs>
              <w:suppressAutoHyphens/>
              <w:jc w:val="center"/>
              <w:rPr>
                <w:szCs w:val="24"/>
              </w:rPr>
            </w:pPr>
            <w:r>
              <w:rPr>
                <w:color w:val="000000"/>
              </w:rPr>
              <w:t>64</w:t>
            </w:r>
          </w:p>
        </w:tc>
        <w:tc>
          <w:tcPr>
            <w:tcW w:w="1382" w:type="dxa"/>
            <w:tcBorders>
              <w:top w:val="nil"/>
              <w:left w:val="nil"/>
              <w:bottom w:val="single" w:sz="8" w:space="0" w:color="000000"/>
              <w:right w:val="single" w:sz="8" w:space="0" w:color="000000"/>
            </w:tcBorders>
            <w:shd w:val="clear" w:color="auto" w:fill="auto"/>
            <w:vAlign w:val="center"/>
          </w:tcPr>
          <w:p w14:paraId="64FC07F6" w14:textId="406290FC" w:rsidR="001B6165" w:rsidRPr="008E0367" w:rsidRDefault="001B6165" w:rsidP="001B6165">
            <w:pPr>
              <w:tabs>
                <w:tab w:val="left" w:pos="-720"/>
              </w:tabs>
              <w:suppressAutoHyphens/>
              <w:jc w:val="center"/>
              <w:rPr>
                <w:szCs w:val="24"/>
              </w:rPr>
            </w:pPr>
            <w:r>
              <w:rPr>
                <w:color w:val="000000"/>
              </w:rPr>
              <w:t>298</w:t>
            </w:r>
          </w:p>
        </w:tc>
        <w:tc>
          <w:tcPr>
            <w:tcW w:w="1583" w:type="dxa"/>
            <w:vMerge/>
            <w:vAlign w:val="center"/>
          </w:tcPr>
          <w:p w14:paraId="33CA5158" w14:textId="77777777" w:rsidR="001B6165" w:rsidRPr="008E0367" w:rsidRDefault="001B6165" w:rsidP="001B6165">
            <w:pPr>
              <w:tabs>
                <w:tab w:val="left" w:pos="-720"/>
              </w:tabs>
              <w:suppressAutoHyphens/>
              <w:jc w:val="center"/>
              <w:rPr>
                <w:szCs w:val="24"/>
              </w:rPr>
            </w:pPr>
          </w:p>
        </w:tc>
      </w:tr>
      <w:tr w:rsidR="001B6165" w:rsidRPr="008E0367" w14:paraId="193BB5D4" w14:textId="77777777" w:rsidTr="0075166D">
        <w:tc>
          <w:tcPr>
            <w:tcW w:w="2195" w:type="dxa"/>
            <w:vMerge w:val="restart"/>
            <w:vAlign w:val="center"/>
          </w:tcPr>
          <w:p w14:paraId="449E3767" w14:textId="77777777" w:rsidR="001B6165" w:rsidRPr="008E0367" w:rsidRDefault="001B6165" w:rsidP="001B6165">
            <w:pPr>
              <w:tabs>
                <w:tab w:val="left" w:pos="-720"/>
              </w:tabs>
              <w:suppressAutoHyphens/>
              <w:rPr>
                <w:szCs w:val="24"/>
              </w:rPr>
            </w:pPr>
            <w:r w:rsidRPr="008E0367">
              <w:rPr>
                <w:szCs w:val="24"/>
              </w:rPr>
              <w:t>SFSP Site Type</w:t>
            </w:r>
          </w:p>
        </w:tc>
        <w:tc>
          <w:tcPr>
            <w:tcW w:w="1563" w:type="dxa"/>
            <w:vAlign w:val="center"/>
          </w:tcPr>
          <w:p w14:paraId="04C037AC" w14:textId="77777777" w:rsidR="001B6165" w:rsidRPr="008E0367" w:rsidRDefault="001B6165" w:rsidP="001B6165">
            <w:pPr>
              <w:tabs>
                <w:tab w:val="left" w:pos="-720"/>
              </w:tabs>
              <w:suppressAutoHyphens/>
              <w:rPr>
                <w:szCs w:val="24"/>
              </w:rPr>
            </w:pPr>
            <w:r w:rsidRPr="008E0367">
              <w:rPr>
                <w:szCs w:val="24"/>
              </w:rPr>
              <w:t>Open</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5D247F60" w14:textId="2060E5D2" w:rsidR="001B6165" w:rsidRPr="008E0367" w:rsidRDefault="001B6165" w:rsidP="001B6165">
            <w:pPr>
              <w:tabs>
                <w:tab w:val="left" w:pos="-720"/>
              </w:tabs>
              <w:suppressAutoHyphens/>
              <w:jc w:val="center"/>
              <w:rPr>
                <w:szCs w:val="24"/>
              </w:rPr>
            </w:pPr>
            <w:r>
              <w:rPr>
                <w:color w:val="000000"/>
              </w:rPr>
              <w:t>623</w:t>
            </w:r>
          </w:p>
        </w:tc>
        <w:tc>
          <w:tcPr>
            <w:tcW w:w="1304" w:type="dxa"/>
            <w:tcBorders>
              <w:top w:val="nil"/>
              <w:left w:val="nil"/>
              <w:bottom w:val="single" w:sz="8" w:space="0" w:color="000000"/>
              <w:right w:val="single" w:sz="8" w:space="0" w:color="000000"/>
            </w:tcBorders>
            <w:shd w:val="clear" w:color="auto" w:fill="auto"/>
            <w:vAlign w:val="center"/>
          </w:tcPr>
          <w:p w14:paraId="5C376110" w14:textId="405D6DB3" w:rsidR="001B6165" w:rsidRPr="008E0367" w:rsidRDefault="001B6165" w:rsidP="001B6165">
            <w:pPr>
              <w:tabs>
                <w:tab w:val="left" w:pos="-720"/>
              </w:tabs>
              <w:suppressAutoHyphens/>
              <w:jc w:val="center"/>
              <w:rPr>
                <w:szCs w:val="24"/>
              </w:rPr>
            </w:pPr>
            <w:r>
              <w:rPr>
                <w:color w:val="000000"/>
              </w:rPr>
              <w:t>171</w:t>
            </w:r>
          </w:p>
        </w:tc>
        <w:tc>
          <w:tcPr>
            <w:tcW w:w="1382" w:type="dxa"/>
            <w:tcBorders>
              <w:top w:val="nil"/>
              <w:left w:val="nil"/>
              <w:bottom w:val="single" w:sz="8" w:space="0" w:color="000000"/>
              <w:right w:val="single" w:sz="8" w:space="0" w:color="000000"/>
            </w:tcBorders>
            <w:shd w:val="clear" w:color="auto" w:fill="auto"/>
            <w:vAlign w:val="center"/>
          </w:tcPr>
          <w:p w14:paraId="53937ED3" w14:textId="5B463FA5" w:rsidR="001B6165" w:rsidRPr="008E0367" w:rsidRDefault="001B6165" w:rsidP="001B6165">
            <w:pPr>
              <w:tabs>
                <w:tab w:val="left" w:pos="-720"/>
              </w:tabs>
              <w:suppressAutoHyphens/>
              <w:jc w:val="center"/>
              <w:rPr>
                <w:szCs w:val="24"/>
              </w:rPr>
            </w:pPr>
            <w:r>
              <w:rPr>
                <w:color w:val="000000"/>
              </w:rPr>
              <w:t>794</w:t>
            </w:r>
          </w:p>
        </w:tc>
        <w:tc>
          <w:tcPr>
            <w:tcW w:w="1583" w:type="dxa"/>
            <w:vMerge w:val="restart"/>
            <w:vAlign w:val="center"/>
          </w:tcPr>
          <w:p w14:paraId="5C754097" w14:textId="1763F942" w:rsidR="001B6165" w:rsidRPr="008E0367" w:rsidRDefault="001B6165" w:rsidP="001B6165">
            <w:pPr>
              <w:tabs>
                <w:tab w:val="left" w:pos="-720"/>
              </w:tabs>
              <w:suppressAutoHyphens/>
              <w:jc w:val="center"/>
              <w:rPr>
                <w:szCs w:val="24"/>
              </w:rPr>
            </w:pPr>
            <w:r w:rsidRPr="008E0367">
              <w:rPr>
                <w:szCs w:val="24"/>
              </w:rPr>
              <w:t>1,</w:t>
            </w:r>
            <w:r>
              <w:rPr>
                <w:szCs w:val="24"/>
              </w:rPr>
              <w:t>191</w:t>
            </w:r>
          </w:p>
        </w:tc>
      </w:tr>
      <w:tr w:rsidR="001B6165" w:rsidRPr="008E0367" w14:paraId="267B63E1" w14:textId="77777777" w:rsidTr="0075166D">
        <w:tc>
          <w:tcPr>
            <w:tcW w:w="2195" w:type="dxa"/>
            <w:vMerge/>
            <w:vAlign w:val="center"/>
          </w:tcPr>
          <w:p w14:paraId="22BB38BF" w14:textId="77777777" w:rsidR="001B6165" w:rsidRPr="008E0367" w:rsidRDefault="001B6165" w:rsidP="001B6165">
            <w:pPr>
              <w:tabs>
                <w:tab w:val="left" w:pos="-720"/>
              </w:tabs>
              <w:suppressAutoHyphens/>
              <w:rPr>
                <w:szCs w:val="24"/>
              </w:rPr>
            </w:pPr>
          </w:p>
        </w:tc>
        <w:tc>
          <w:tcPr>
            <w:tcW w:w="1563" w:type="dxa"/>
            <w:vAlign w:val="center"/>
          </w:tcPr>
          <w:p w14:paraId="037CA9BE" w14:textId="77777777" w:rsidR="001B6165" w:rsidRPr="008E0367" w:rsidRDefault="001B6165" w:rsidP="001B6165">
            <w:pPr>
              <w:tabs>
                <w:tab w:val="left" w:pos="-720"/>
              </w:tabs>
              <w:suppressAutoHyphens/>
              <w:rPr>
                <w:szCs w:val="24"/>
              </w:rPr>
            </w:pPr>
            <w:r w:rsidRPr="008E0367">
              <w:rPr>
                <w:szCs w:val="24"/>
              </w:rPr>
              <w:t>Closed</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608893E5" w14:textId="715E081B" w:rsidR="001B6165" w:rsidRPr="008E0367" w:rsidRDefault="001B6165" w:rsidP="001B6165">
            <w:pPr>
              <w:tabs>
                <w:tab w:val="left" w:pos="-720"/>
              </w:tabs>
              <w:suppressAutoHyphens/>
              <w:jc w:val="center"/>
              <w:rPr>
                <w:szCs w:val="24"/>
              </w:rPr>
            </w:pPr>
            <w:r>
              <w:rPr>
                <w:color w:val="000000"/>
              </w:rPr>
              <w:t>311</w:t>
            </w:r>
          </w:p>
        </w:tc>
        <w:tc>
          <w:tcPr>
            <w:tcW w:w="1304" w:type="dxa"/>
            <w:tcBorders>
              <w:top w:val="nil"/>
              <w:left w:val="nil"/>
              <w:bottom w:val="single" w:sz="8" w:space="0" w:color="000000"/>
              <w:right w:val="single" w:sz="8" w:space="0" w:color="000000"/>
            </w:tcBorders>
            <w:shd w:val="clear" w:color="auto" w:fill="auto"/>
            <w:vAlign w:val="center"/>
          </w:tcPr>
          <w:p w14:paraId="729EA908" w14:textId="3F69D750" w:rsidR="001B6165" w:rsidRPr="008E0367" w:rsidRDefault="001B6165" w:rsidP="001B6165">
            <w:pPr>
              <w:tabs>
                <w:tab w:val="left" w:pos="-720"/>
              </w:tabs>
              <w:suppressAutoHyphens/>
              <w:jc w:val="center"/>
              <w:rPr>
                <w:szCs w:val="24"/>
              </w:rPr>
            </w:pPr>
            <w:r>
              <w:rPr>
                <w:color w:val="000000"/>
              </w:rPr>
              <w:t>86</w:t>
            </w:r>
          </w:p>
        </w:tc>
        <w:tc>
          <w:tcPr>
            <w:tcW w:w="1382" w:type="dxa"/>
            <w:tcBorders>
              <w:top w:val="nil"/>
              <w:left w:val="nil"/>
              <w:bottom w:val="single" w:sz="8" w:space="0" w:color="000000"/>
              <w:right w:val="single" w:sz="8" w:space="0" w:color="000000"/>
            </w:tcBorders>
            <w:shd w:val="clear" w:color="auto" w:fill="auto"/>
            <w:vAlign w:val="center"/>
          </w:tcPr>
          <w:p w14:paraId="4BC786E0" w14:textId="5A75FA4B" w:rsidR="001B6165" w:rsidRPr="008E0367" w:rsidRDefault="001B6165" w:rsidP="001B6165">
            <w:pPr>
              <w:tabs>
                <w:tab w:val="left" w:pos="-720"/>
              </w:tabs>
              <w:suppressAutoHyphens/>
              <w:jc w:val="center"/>
              <w:rPr>
                <w:szCs w:val="24"/>
              </w:rPr>
            </w:pPr>
            <w:r>
              <w:rPr>
                <w:color w:val="000000"/>
              </w:rPr>
              <w:t>397</w:t>
            </w:r>
          </w:p>
        </w:tc>
        <w:tc>
          <w:tcPr>
            <w:tcW w:w="1583" w:type="dxa"/>
            <w:vMerge/>
            <w:vAlign w:val="center"/>
          </w:tcPr>
          <w:p w14:paraId="408E19AA" w14:textId="77777777" w:rsidR="001B6165" w:rsidRPr="008E0367" w:rsidRDefault="001B6165" w:rsidP="001B6165">
            <w:pPr>
              <w:tabs>
                <w:tab w:val="left" w:pos="-720"/>
              </w:tabs>
              <w:suppressAutoHyphens/>
              <w:jc w:val="center"/>
              <w:rPr>
                <w:szCs w:val="24"/>
              </w:rPr>
            </w:pPr>
          </w:p>
        </w:tc>
      </w:tr>
      <w:tr w:rsidR="001B6165" w:rsidRPr="008E0367" w14:paraId="6BFB6ACC" w14:textId="77777777" w:rsidTr="0075166D">
        <w:tc>
          <w:tcPr>
            <w:tcW w:w="2195" w:type="dxa"/>
            <w:vMerge w:val="restart"/>
            <w:vAlign w:val="center"/>
          </w:tcPr>
          <w:p w14:paraId="66B36F66" w14:textId="77777777" w:rsidR="001B6165" w:rsidRPr="008E0367" w:rsidRDefault="001B6165" w:rsidP="001B6165">
            <w:pPr>
              <w:tabs>
                <w:tab w:val="left" w:pos="-720"/>
              </w:tabs>
              <w:suppressAutoHyphens/>
              <w:rPr>
                <w:szCs w:val="24"/>
              </w:rPr>
            </w:pPr>
            <w:r w:rsidRPr="008E0367">
              <w:rPr>
                <w:szCs w:val="24"/>
              </w:rPr>
              <w:t>SFSP Site Location</w:t>
            </w:r>
          </w:p>
        </w:tc>
        <w:tc>
          <w:tcPr>
            <w:tcW w:w="1563" w:type="dxa"/>
            <w:vAlign w:val="center"/>
          </w:tcPr>
          <w:p w14:paraId="0CC592E5" w14:textId="77777777" w:rsidR="001B6165" w:rsidRPr="008E0367" w:rsidRDefault="001B6165" w:rsidP="001B6165">
            <w:pPr>
              <w:tabs>
                <w:tab w:val="left" w:pos="-720"/>
              </w:tabs>
              <w:suppressAutoHyphens/>
              <w:rPr>
                <w:szCs w:val="24"/>
              </w:rPr>
            </w:pPr>
            <w:r w:rsidRPr="008E0367">
              <w:rPr>
                <w:szCs w:val="24"/>
              </w:rPr>
              <w:t>Urban</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12A111D1" w14:textId="7B0FEE1A" w:rsidR="001B6165" w:rsidRPr="008E0367" w:rsidRDefault="001B6165" w:rsidP="001B6165">
            <w:pPr>
              <w:tabs>
                <w:tab w:val="left" w:pos="-720"/>
              </w:tabs>
              <w:suppressAutoHyphens/>
              <w:jc w:val="center"/>
              <w:rPr>
                <w:szCs w:val="24"/>
              </w:rPr>
            </w:pPr>
            <w:r>
              <w:rPr>
                <w:color w:val="000000"/>
              </w:rPr>
              <w:t>700</w:t>
            </w:r>
          </w:p>
        </w:tc>
        <w:tc>
          <w:tcPr>
            <w:tcW w:w="1304" w:type="dxa"/>
            <w:tcBorders>
              <w:top w:val="nil"/>
              <w:left w:val="nil"/>
              <w:bottom w:val="single" w:sz="8" w:space="0" w:color="000000"/>
              <w:right w:val="single" w:sz="8" w:space="0" w:color="000000"/>
            </w:tcBorders>
            <w:shd w:val="clear" w:color="auto" w:fill="auto"/>
            <w:vAlign w:val="center"/>
          </w:tcPr>
          <w:p w14:paraId="4835425C" w14:textId="2D2E5A00" w:rsidR="001B6165" w:rsidRPr="008E0367" w:rsidRDefault="001B6165" w:rsidP="001B6165">
            <w:pPr>
              <w:tabs>
                <w:tab w:val="left" w:pos="-720"/>
              </w:tabs>
              <w:suppressAutoHyphens/>
              <w:jc w:val="center"/>
              <w:rPr>
                <w:szCs w:val="24"/>
              </w:rPr>
            </w:pPr>
            <w:r>
              <w:rPr>
                <w:color w:val="000000"/>
              </w:rPr>
              <w:t>193</w:t>
            </w:r>
          </w:p>
        </w:tc>
        <w:tc>
          <w:tcPr>
            <w:tcW w:w="1382" w:type="dxa"/>
            <w:tcBorders>
              <w:top w:val="nil"/>
              <w:left w:val="nil"/>
              <w:bottom w:val="single" w:sz="8" w:space="0" w:color="000000"/>
              <w:right w:val="single" w:sz="8" w:space="0" w:color="000000"/>
            </w:tcBorders>
            <w:shd w:val="clear" w:color="auto" w:fill="auto"/>
            <w:vAlign w:val="center"/>
          </w:tcPr>
          <w:p w14:paraId="3E3FAF8B" w14:textId="663F83E5" w:rsidR="001B6165" w:rsidRPr="008E0367" w:rsidRDefault="001B6165" w:rsidP="001B6165">
            <w:pPr>
              <w:tabs>
                <w:tab w:val="left" w:pos="-720"/>
              </w:tabs>
              <w:suppressAutoHyphens/>
              <w:jc w:val="center"/>
              <w:rPr>
                <w:szCs w:val="24"/>
              </w:rPr>
            </w:pPr>
            <w:r>
              <w:rPr>
                <w:color w:val="000000"/>
              </w:rPr>
              <w:t>893</w:t>
            </w:r>
          </w:p>
        </w:tc>
        <w:tc>
          <w:tcPr>
            <w:tcW w:w="1583" w:type="dxa"/>
            <w:vMerge w:val="restart"/>
            <w:vAlign w:val="center"/>
          </w:tcPr>
          <w:p w14:paraId="2C3E4575" w14:textId="67383B45" w:rsidR="001B6165" w:rsidRPr="008E0367" w:rsidRDefault="001B6165" w:rsidP="001B6165">
            <w:pPr>
              <w:tabs>
                <w:tab w:val="left" w:pos="-720"/>
              </w:tabs>
              <w:suppressAutoHyphens/>
              <w:jc w:val="center"/>
              <w:rPr>
                <w:szCs w:val="24"/>
              </w:rPr>
            </w:pPr>
            <w:r w:rsidRPr="008E0367">
              <w:rPr>
                <w:szCs w:val="24"/>
              </w:rPr>
              <w:t>1,</w:t>
            </w:r>
            <w:r>
              <w:rPr>
                <w:szCs w:val="24"/>
              </w:rPr>
              <w:t>191</w:t>
            </w:r>
          </w:p>
        </w:tc>
      </w:tr>
      <w:tr w:rsidR="001B6165" w:rsidRPr="008E0367" w14:paraId="2BC66ADF" w14:textId="77777777" w:rsidTr="0075166D">
        <w:tc>
          <w:tcPr>
            <w:tcW w:w="2195" w:type="dxa"/>
            <w:vMerge/>
            <w:vAlign w:val="center"/>
          </w:tcPr>
          <w:p w14:paraId="273D1763" w14:textId="77777777" w:rsidR="001B6165" w:rsidRPr="008E0367" w:rsidRDefault="001B6165" w:rsidP="001B6165">
            <w:pPr>
              <w:tabs>
                <w:tab w:val="left" w:pos="-720"/>
              </w:tabs>
              <w:suppressAutoHyphens/>
              <w:rPr>
                <w:szCs w:val="24"/>
              </w:rPr>
            </w:pPr>
          </w:p>
        </w:tc>
        <w:tc>
          <w:tcPr>
            <w:tcW w:w="1563" w:type="dxa"/>
            <w:vAlign w:val="center"/>
          </w:tcPr>
          <w:p w14:paraId="6DB6ED6E" w14:textId="77777777" w:rsidR="001B6165" w:rsidRPr="008E0367" w:rsidRDefault="001B6165" w:rsidP="001B6165">
            <w:pPr>
              <w:tabs>
                <w:tab w:val="left" w:pos="-720"/>
              </w:tabs>
              <w:suppressAutoHyphens/>
              <w:rPr>
                <w:szCs w:val="24"/>
              </w:rPr>
            </w:pPr>
            <w:r w:rsidRPr="008E0367">
              <w:rPr>
                <w:szCs w:val="24"/>
              </w:rPr>
              <w:t>Rural</w:t>
            </w:r>
          </w:p>
        </w:tc>
        <w:tc>
          <w:tcPr>
            <w:tcW w:w="1323" w:type="dxa"/>
            <w:tcBorders>
              <w:top w:val="nil"/>
              <w:left w:val="single" w:sz="8" w:space="0" w:color="000000"/>
              <w:bottom w:val="single" w:sz="8" w:space="0" w:color="000000"/>
              <w:right w:val="single" w:sz="8" w:space="0" w:color="000000"/>
            </w:tcBorders>
            <w:shd w:val="clear" w:color="auto" w:fill="auto"/>
            <w:vAlign w:val="center"/>
          </w:tcPr>
          <w:p w14:paraId="1DBF8535" w14:textId="7346B94E" w:rsidR="001B6165" w:rsidRPr="008E0367" w:rsidRDefault="001B6165" w:rsidP="001B6165">
            <w:pPr>
              <w:tabs>
                <w:tab w:val="left" w:pos="-720"/>
              </w:tabs>
              <w:suppressAutoHyphens/>
              <w:jc w:val="center"/>
              <w:rPr>
                <w:szCs w:val="24"/>
              </w:rPr>
            </w:pPr>
            <w:r>
              <w:rPr>
                <w:color w:val="000000"/>
              </w:rPr>
              <w:t>234</w:t>
            </w:r>
          </w:p>
        </w:tc>
        <w:tc>
          <w:tcPr>
            <w:tcW w:w="1304" w:type="dxa"/>
            <w:tcBorders>
              <w:top w:val="nil"/>
              <w:left w:val="nil"/>
              <w:bottom w:val="single" w:sz="8" w:space="0" w:color="000000"/>
              <w:right w:val="single" w:sz="8" w:space="0" w:color="000000"/>
            </w:tcBorders>
            <w:shd w:val="clear" w:color="auto" w:fill="auto"/>
            <w:vAlign w:val="center"/>
          </w:tcPr>
          <w:p w14:paraId="5765F9A0" w14:textId="7B3FCD1C" w:rsidR="001B6165" w:rsidRPr="008E0367" w:rsidRDefault="001B6165" w:rsidP="001B6165">
            <w:pPr>
              <w:tabs>
                <w:tab w:val="left" w:pos="-720"/>
              </w:tabs>
              <w:suppressAutoHyphens/>
              <w:jc w:val="center"/>
              <w:rPr>
                <w:szCs w:val="24"/>
              </w:rPr>
            </w:pPr>
            <w:r>
              <w:rPr>
                <w:color w:val="000000"/>
              </w:rPr>
              <w:t>64</w:t>
            </w:r>
          </w:p>
        </w:tc>
        <w:tc>
          <w:tcPr>
            <w:tcW w:w="1382" w:type="dxa"/>
            <w:tcBorders>
              <w:top w:val="nil"/>
              <w:left w:val="nil"/>
              <w:bottom w:val="single" w:sz="8" w:space="0" w:color="000000"/>
              <w:right w:val="single" w:sz="8" w:space="0" w:color="000000"/>
            </w:tcBorders>
            <w:shd w:val="clear" w:color="auto" w:fill="auto"/>
            <w:vAlign w:val="center"/>
          </w:tcPr>
          <w:p w14:paraId="7E2651E1" w14:textId="59AC9B0A" w:rsidR="001B6165" w:rsidRPr="008E0367" w:rsidRDefault="001B6165" w:rsidP="001B6165">
            <w:pPr>
              <w:tabs>
                <w:tab w:val="left" w:pos="-720"/>
              </w:tabs>
              <w:suppressAutoHyphens/>
              <w:jc w:val="center"/>
              <w:rPr>
                <w:szCs w:val="24"/>
              </w:rPr>
            </w:pPr>
            <w:r>
              <w:rPr>
                <w:color w:val="000000"/>
              </w:rPr>
              <w:t>298</w:t>
            </w:r>
          </w:p>
        </w:tc>
        <w:tc>
          <w:tcPr>
            <w:tcW w:w="1583" w:type="dxa"/>
            <w:vMerge/>
            <w:vAlign w:val="center"/>
          </w:tcPr>
          <w:p w14:paraId="1F200E04" w14:textId="77777777" w:rsidR="001B6165" w:rsidRPr="008E0367" w:rsidRDefault="001B6165" w:rsidP="001B6165">
            <w:pPr>
              <w:tabs>
                <w:tab w:val="left" w:pos="-720"/>
              </w:tabs>
              <w:suppressAutoHyphens/>
              <w:jc w:val="center"/>
              <w:rPr>
                <w:szCs w:val="24"/>
              </w:rPr>
            </w:pPr>
          </w:p>
        </w:tc>
      </w:tr>
    </w:tbl>
    <w:p w14:paraId="652A7349" w14:textId="77777777" w:rsidR="00845F4D" w:rsidRDefault="00845F4D" w:rsidP="0020370D">
      <w:pPr>
        <w:tabs>
          <w:tab w:val="left" w:pos="-720"/>
        </w:tabs>
        <w:suppressAutoHyphens/>
        <w:spacing w:line="480" w:lineRule="auto"/>
        <w:rPr>
          <w:szCs w:val="24"/>
        </w:rPr>
      </w:pPr>
    </w:p>
    <w:p w14:paraId="6E3D91B0" w14:textId="3FE5A841" w:rsidR="0051214A" w:rsidRPr="008E0367" w:rsidRDefault="00D979B7" w:rsidP="0020370D">
      <w:pPr>
        <w:tabs>
          <w:tab w:val="left" w:pos="-720"/>
        </w:tabs>
        <w:suppressAutoHyphens/>
        <w:spacing w:line="480" w:lineRule="auto"/>
        <w:rPr>
          <w:szCs w:val="24"/>
        </w:rPr>
      </w:pPr>
      <w:r>
        <w:rPr>
          <w:szCs w:val="24"/>
        </w:rPr>
        <w:tab/>
      </w:r>
      <w:r w:rsidR="0051214A" w:rsidRPr="008E0367">
        <w:rPr>
          <w:szCs w:val="24"/>
        </w:rPr>
        <w:t xml:space="preserve">We will not select a sponsor sample </w:t>
      </w:r>
      <w:r w:rsidR="00B12273" w:rsidRPr="008E0367">
        <w:rPr>
          <w:szCs w:val="24"/>
        </w:rPr>
        <w:t>directly from the sponsor list</w:t>
      </w:r>
      <w:r w:rsidR="00C02DF1" w:rsidRPr="008E0367">
        <w:rPr>
          <w:szCs w:val="24"/>
        </w:rPr>
        <w:t>, but will instead</w:t>
      </w:r>
      <w:r w:rsidR="0051214A" w:rsidRPr="008E0367">
        <w:rPr>
          <w:szCs w:val="24"/>
        </w:rPr>
        <w:t xml:space="preserve"> identify the </w:t>
      </w:r>
      <w:r w:rsidR="00B12273" w:rsidRPr="008E0367">
        <w:rPr>
          <w:szCs w:val="24"/>
        </w:rPr>
        <w:t>sample of sponsors</w:t>
      </w:r>
      <w:r w:rsidR="00C02DF1" w:rsidRPr="008E0367">
        <w:rPr>
          <w:szCs w:val="24"/>
        </w:rPr>
        <w:t xml:space="preserve"> associated with the </w:t>
      </w:r>
      <w:r w:rsidR="005413E9" w:rsidRPr="008E0367">
        <w:rPr>
          <w:szCs w:val="24"/>
        </w:rPr>
        <w:t xml:space="preserve">respondent </w:t>
      </w:r>
      <w:r w:rsidR="00C02DF1" w:rsidRPr="008E0367">
        <w:rPr>
          <w:szCs w:val="24"/>
        </w:rPr>
        <w:t>sites – this is called a</w:t>
      </w:r>
      <w:r w:rsidR="0051214A" w:rsidRPr="008E0367">
        <w:rPr>
          <w:szCs w:val="24"/>
        </w:rPr>
        <w:t xml:space="preserve"> network sample. </w:t>
      </w:r>
      <w:commentRangeStart w:id="57"/>
      <w:r w:rsidR="0051214A" w:rsidRPr="008E0367">
        <w:rPr>
          <w:szCs w:val="24"/>
        </w:rPr>
        <w:t>We expect 5</w:t>
      </w:r>
      <w:r w:rsidR="00654855">
        <w:rPr>
          <w:szCs w:val="24"/>
        </w:rPr>
        <w:t>8</w:t>
      </w:r>
      <w:r w:rsidR="0051214A" w:rsidRPr="008E0367">
        <w:rPr>
          <w:szCs w:val="24"/>
        </w:rPr>
        <w:t xml:space="preserve">0 </w:t>
      </w:r>
      <w:r w:rsidR="00654855">
        <w:rPr>
          <w:szCs w:val="24"/>
        </w:rPr>
        <w:t xml:space="preserve">operational </w:t>
      </w:r>
      <w:r w:rsidR="0051214A" w:rsidRPr="008E0367">
        <w:rPr>
          <w:szCs w:val="24"/>
        </w:rPr>
        <w:t xml:space="preserve">sponsors in the sponsor sample </w:t>
      </w:r>
      <w:r w:rsidR="00654855">
        <w:rPr>
          <w:szCs w:val="24"/>
        </w:rPr>
        <w:t>associated with</w:t>
      </w:r>
      <w:r w:rsidR="0051214A" w:rsidRPr="008E0367">
        <w:rPr>
          <w:szCs w:val="24"/>
        </w:rPr>
        <w:t xml:space="preserve"> the </w:t>
      </w:r>
      <w:r w:rsidR="00654855">
        <w:rPr>
          <w:szCs w:val="24"/>
        </w:rPr>
        <w:t xml:space="preserve">site sample, 83 percent of which will respond, resulting in </w:t>
      </w:r>
      <w:r w:rsidR="00653B46">
        <w:rPr>
          <w:szCs w:val="24"/>
        </w:rPr>
        <w:t>48</w:t>
      </w:r>
      <w:r w:rsidR="00654855">
        <w:rPr>
          <w:szCs w:val="24"/>
        </w:rPr>
        <w:t xml:space="preserve">1 sponsors. </w:t>
      </w:r>
      <w:r w:rsidR="006B4559">
        <w:rPr>
          <w:szCs w:val="24"/>
        </w:rPr>
        <w:t xml:space="preserve">Out </w:t>
      </w:r>
      <w:r w:rsidR="00654855">
        <w:rPr>
          <w:szCs w:val="24"/>
        </w:rPr>
        <w:t>o</w:t>
      </w:r>
      <w:r w:rsidR="006B4559">
        <w:rPr>
          <w:szCs w:val="24"/>
        </w:rPr>
        <w:t>f</w:t>
      </w:r>
      <w:r w:rsidR="00654855">
        <w:rPr>
          <w:szCs w:val="24"/>
        </w:rPr>
        <w:t xml:space="preserve"> these responding sponsors, we expect that 80 percent will be associated with </w:t>
      </w:r>
      <w:r w:rsidR="0051214A" w:rsidRPr="008E0367">
        <w:rPr>
          <w:szCs w:val="24"/>
        </w:rPr>
        <w:t>750 respondent sites.</w:t>
      </w:r>
      <w:r w:rsidR="00A76657" w:rsidRPr="008E0367">
        <w:rPr>
          <w:szCs w:val="24"/>
        </w:rPr>
        <w:t xml:space="preserve"> </w:t>
      </w:r>
      <w:r w:rsidR="00654855">
        <w:rPr>
          <w:szCs w:val="24"/>
        </w:rPr>
        <w:t>The final sample size for linked analysis with the site data is then</w:t>
      </w:r>
      <w:r w:rsidR="00A76657" w:rsidRPr="008E0367">
        <w:rPr>
          <w:szCs w:val="24"/>
        </w:rPr>
        <w:t xml:space="preserve"> </w:t>
      </w:r>
      <w:r w:rsidR="00A57B23">
        <w:rPr>
          <w:szCs w:val="24"/>
        </w:rPr>
        <w:t>3</w:t>
      </w:r>
      <w:r w:rsidR="00654855">
        <w:rPr>
          <w:szCs w:val="24"/>
        </w:rPr>
        <w:t>85</w:t>
      </w:r>
      <w:r w:rsidR="00A57B23" w:rsidRPr="008E0367">
        <w:rPr>
          <w:szCs w:val="24"/>
        </w:rPr>
        <w:t xml:space="preserve"> </w:t>
      </w:r>
      <w:r w:rsidR="00A76657" w:rsidRPr="008E0367">
        <w:rPr>
          <w:szCs w:val="24"/>
        </w:rPr>
        <w:t>respondent</w:t>
      </w:r>
      <w:r w:rsidR="0016344D" w:rsidRPr="008E0367">
        <w:rPr>
          <w:szCs w:val="24"/>
        </w:rPr>
        <w:t xml:space="preserve"> </w:t>
      </w:r>
      <w:r w:rsidR="00A76657" w:rsidRPr="008E0367">
        <w:rPr>
          <w:szCs w:val="24"/>
        </w:rPr>
        <w:t>s</w:t>
      </w:r>
      <w:r w:rsidR="0016344D" w:rsidRPr="008E0367">
        <w:rPr>
          <w:szCs w:val="24"/>
        </w:rPr>
        <w:t>ponsors</w:t>
      </w:r>
      <w:r w:rsidR="00A76657" w:rsidRPr="008E0367">
        <w:rPr>
          <w:szCs w:val="24"/>
        </w:rPr>
        <w:t>.</w:t>
      </w:r>
      <w:commentRangeEnd w:id="57"/>
      <w:r w:rsidR="00F15783">
        <w:rPr>
          <w:rStyle w:val="CommentReference"/>
        </w:rPr>
        <w:commentReference w:id="57"/>
      </w:r>
    </w:p>
    <w:p w14:paraId="05008950" w14:textId="1D2945A0" w:rsidR="00345395" w:rsidRDefault="00D979B7" w:rsidP="0020370D">
      <w:pPr>
        <w:tabs>
          <w:tab w:val="left" w:pos="-720"/>
        </w:tabs>
        <w:suppressAutoHyphens/>
        <w:spacing w:line="480" w:lineRule="auto"/>
        <w:rPr>
          <w:szCs w:val="24"/>
        </w:rPr>
      </w:pPr>
      <w:r>
        <w:rPr>
          <w:szCs w:val="24"/>
        </w:rPr>
        <w:tab/>
      </w:r>
      <w:r w:rsidR="00D65C2C" w:rsidRPr="008E0367">
        <w:rPr>
          <w:szCs w:val="24"/>
        </w:rPr>
        <w:t>To select participants and non-participants, we will use three frame sources, SNAP</w:t>
      </w:r>
      <w:r w:rsidR="00412337" w:rsidRPr="008E0367">
        <w:rPr>
          <w:szCs w:val="24"/>
        </w:rPr>
        <w:t xml:space="preserve"> data, postal addresses, and on</w:t>
      </w:r>
      <w:r w:rsidR="00D65C2C" w:rsidRPr="008E0367">
        <w:rPr>
          <w:szCs w:val="24"/>
        </w:rPr>
        <w:t>site participants. After defining the catchment area for each site, we will prepare the three sources of frame</w:t>
      </w:r>
      <w:r w:rsidR="00907E56">
        <w:rPr>
          <w:szCs w:val="24"/>
        </w:rPr>
        <w:t xml:space="preserve"> with deduplication</w:t>
      </w:r>
      <w:r w:rsidR="003302CB">
        <w:rPr>
          <w:szCs w:val="24"/>
        </w:rPr>
        <w:t xml:space="preserve"> before sampling</w:t>
      </w:r>
      <w:r w:rsidR="00D65C2C" w:rsidRPr="008E0367">
        <w:rPr>
          <w:szCs w:val="24"/>
        </w:rPr>
        <w:t xml:space="preserve"> for continuing sites but </w:t>
      </w:r>
      <w:r w:rsidR="003302CB">
        <w:rPr>
          <w:szCs w:val="24"/>
        </w:rPr>
        <w:t xml:space="preserve">use the multiple frame approach </w:t>
      </w:r>
      <w:r w:rsidR="00D65C2C" w:rsidRPr="008E0367">
        <w:rPr>
          <w:szCs w:val="24"/>
        </w:rPr>
        <w:t>for new sites</w:t>
      </w:r>
      <w:r w:rsidR="003302CB">
        <w:rPr>
          <w:szCs w:val="24"/>
        </w:rPr>
        <w:t xml:space="preserve"> (deduplication will be done after sampling)</w:t>
      </w:r>
      <w:r w:rsidR="00D65C2C" w:rsidRPr="008E0367">
        <w:rPr>
          <w:szCs w:val="24"/>
        </w:rPr>
        <w:t xml:space="preserve">. </w:t>
      </w:r>
      <w:r w:rsidR="0016344D" w:rsidRPr="008E0367">
        <w:rPr>
          <w:szCs w:val="24"/>
        </w:rPr>
        <w:t xml:space="preserve">We will select a simple random sample of designated </w:t>
      </w:r>
      <w:r w:rsidR="00412337" w:rsidRPr="008E0367">
        <w:rPr>
          <w:szCs w:val="24"/>
        </w:rPr>
        <w:t xml:space="preserve">sample </w:t>
      </w:r>
      <w:r w:rsidR="0016344D" w:rsidRPr="008E0367">
        <w:rPr>
          <w:szCs w:val="24"/>
        </w:rPr>
        <w:t xml:space="preserve">size </w:t>
      </w:r>
      <w:r w:rsidR="00412337" w:rsidRPr="008E0367">
        <w:rPr>
          <w:szCs w:val="24"/>
        </w:rPr>
        <w:t xml:space="preserve">for each site as </w:t>
      </w:r>
      <w:r w:rsidR="0016344D" w:rsidRPr="008E0367">
        <w:rPr>
          <w:szCs w:val="24"/>
        </w:rPr>
        <w:t xml:space="preserve">shown </w:t>
      </w:r>
      <w:r w:rsidR="0016344D" w:rsidRPr="00B130FF">
        <w:rPr>
          <w:szCs w:val="24"/>
        </w:rPr>
        <w:t xml:space="preserve">in </w:t>
      </w:r>
      <w:r w:rsidR="00B130FF" w:rsidRPr="00B130FF">
        <w:rPr>
          <w:szCs w:val="24"/>
        </w:rPr>
        <w:fldChar w:fldCharType="begin"/>
      </w:r>
      <w:r w:rsidR="00B130FF" w:rsidRPr="00B130FF">
        <w:rPr>
          <w:szCs w:val="24"/>
        </w:rPr>
        <w:instrText xml:space="preserve"> REF _Ref492890918 \h  \* MERGEFORMAT </w:instrText>
      </w:r>
      <w:r w:rsidR="00B130FF" w:rsidRPr="00B130FF">
        <w:rPr>
          <w:szCs w:val="24"/>
        </w:rPr>
      </w:r>
      <w:r w:rsidR="00B130FF" w:rsidRPr="00B130FF">
        <w:rPr>
          <w:szCs w:val="24"/>
        </w:rPr>
        <w:fldChar w:fldCharType="separate"/>
      </w:r>
      <w:r w:rsidR="00FD4FBC" w:rsidRPr="008F2C8F">
        <w:t xml:space="preserve">Table B2 - </w:t>
      </w:r>
      <w:r w:rsidR="00FD4FBC" w:rsidRPr="008F2C8F">
        <w:rPr>
          <w:noProof/>
        </w:rPr>
        <w:t>4</w:t>
      </w:r>
      <w:r w:rsidR="00B130FF" w:rsidRPr="00B130FF">
        <w:rPr>
          <w:szCs w:val="24"/>
        </w:rPr>
        <w:fldChar w:fldCharType="end"/>
      </w:r>
      <w:r w:rsidR="00B130FF" w:rsidRPr="00B130FF">
        <w:rPr>
          <w:szCs w:val="24"/>
        </w:rPr>
        <w:t xml:space="preserve"> </w:t>
      </w:r>
      <w:r w:rsidR="00151A70">
        <w:rPr>
          <w:szCs w:val="24"/>
        </w:rPr>
        <w:t>(</w:t>
      </w:r>
      <w:r w:rsidR="0016344D" w:rsidRPr="00B130FF">
        <w:rPr>
          <w:szCs w:val="24"/>
        </w:rPr>
        <w:t>continuing sites</w:t>
      </w:r>
      <w:r w:rsidR="00151A70">
        <w:rPr>
          <w:szCs w:val="24"/>
        </w:rPr>
        <w:t>)</w:t>
      </w:r>
      <w:r w:rsidR="0016344D" w:rsidRPr="00B130FF">
        <w:rPr>
          <w:szCs w:val="24"/>
        </w:rPr>
        <w:t xml:space="preserve"> and </w:t>
      </w:r>
      <w:r w:rsidR="00B130FF" w:rsidRPr="00B130FF">
        <w:rPr>
          <w:szCs w:val="24"/>
        </w:rPr>
        <w:fldChar w:fldCharType="begin"/>
      </w:r>
      <w:r w:rsidR="00B130FF" w:rsidRPr="00B130FF">
        <w:rPr>
          <w:szCs w:val="24"/>
        </w:rPr>
        <w:instrText xml:space="preserve"> REF _Ref492890933 \h  \* MERGEFORMAT </w:instrText>
      </w:r>
      <w:r w:rsidR="00B130FF" w:rsidRPr="00B130FF">
        <w:rPr>
          <w:szCs w:val="24"/>
        </w:rPr>
      </w:r>
      <w:r w:rsidR="00B130FF" w:rsidRPr="00B130FF">
        <w:rPr>
          <w:szCs w:val="24"/>
        </w:rPr>
        <w:fldChar w:fldCharType="separate"/>
      </w:r>
      <w:r w:rsidR="00FD4FBC" w:rsidRPr="008F2C8F">
        <w:t xml:space="preserve">Table B2 - </w:t>
      </w:r>
      <w:r w:rsidR="00FD4FBC" w:rsidRPr="008F2C8F">
        <w:rPr>
          <w:noProof/>
        </w:rPr>
        <w:t>5</w:t>
      </w:r>
      <w:r w:rsidR="00B130FF" w:rsidRPr="00B130FF">
        <w:rPr>
          <w:szCs w:val="24"/>
        </w:rPr>
        <w:fldChar w:fldCharType="end"/>
      </w:r>
      <w:r w:rsidR="00B130FF" w:rsidRPr="00B130FF">
        <w:rPr>
          <w:szCs w:val="24"/>
        </w:rPr>
        <w:t xml:space="preserve"> </w:t>
      </w:r>
      <w:r w:rsidR="00151A70">
        <w:rPr>
          <w:szCs w:val="24"/>
        </w:rPr>
        <w:t>(</w:t>
      </w:r>
      <w:r w:rsidR="0016344D" w:rsidRPr="008E0367">
        <w:rPr>
          <w:szCs w:val="24"/>
        </w:rPr>
        <w:t>new sites</w:t>
      </w:r>
      <w:r w:rsidR="00151A70">
        <w:rPr>
          <w:szCs w:val="24"/>
        </w:rPr>
        <w:t xml:space="preserve">) </w:t>
      </w:r>
      <w:r w:rsidR="00412337" w:rsidRPr="008E0367">
        <w:rPr>
          <w:szCs w:val="24"/>
        </w:rPr>
        <w:t>except for the onsite participants</w:t>
      </w:r>
      <w:r w:rsidR="0016344D" w:rsidRPr="008E0367">
        <w:rPr>
          <w:szCs w:val="24"/>
        </w:rPr>
        <w:t>.</w:t>
      </w:r>
      <w:r w:rsidR="00D92B08" w:rsidRPr="008E0367">
        <w:rPr>
          <w:szCs w:val="24"/>
        </w:rPr>
        <w:t xml:space="preserve"> These tables present household sample sizes by program type, site type and frame source.</w:t>
      </w:r>
    </w:p>
    <w:p w14:paraId="10A8D041" w14:textId="5F7028B3" w:rsidR="005D6339" w:rsidRDefault="005D6339" w:rsidP="0020370D">
      <w:pPr>
        <w:tabs>
          <w:tab w:val="left" w:pos="-720"/>
        </w:tabs>
        <w:suppressAutoHyphens/>
        <w:spacing w:line="480" w:lineRule="auto"/>
        <w:rPr>
          <w:szCs w:val="24"/>
        </w:rPr>
      </w:pPr>
      <w:r>
        <w:rPr>
          <w:szCs w:val="24"/>
        </w:rPr>
        <w:tab/>
        <w:t xml:space="preserve">Based on our experience of postal surveys, we assume </w:t>
      </w:r>
      <w:r w:rsidR="0096644C">
        <w:rPr>
          <w:szCs w:val="24"/>
        </w:rPr>
        <w:t xml:space="preserve">a </w:t>
      </w:r>
      <w:r w:rsidR="009F6173">
        <w:rPr>
          <w:szCs w:val="24"/>
        </w:rPr>
        <w:t>2</w:t>
      </w:r>
      <w:r>
        <w:rPr>
          <w:szCs w:val="24"/>
        </w:rPr>
        <w:t xml:space="preserve">0 percent response rate </w:t>
      </w:r>
      <w:r w:rsidR="00BC38B0">
        <w:rPr>
          <w:szCs w:val="24"/>
        </w:rPr>
        <w:t xml:space="preserve">for </w:t>
      </w:r>
      <w:r w:rsidR="00EB34CA">
        <w:rPr>
          <w:szCs w:val="24"/>
        </w:rPr>
        <w:t xml:space="preserve">the household </w:t>
      </w:r>
      <w:r w:rsidR="00BC38B0">
        <w:rPr>
          <w:szCs w:val="24"/>
        </w:rPr>
        <w:t>screen</w:t>
      </w:r>
      <w:r w:rsidR="00EB34CA">
        <w:rPr>
          <w:szCs w:val="24"/>
        </w:rPr>
        <w:t>ers</w:t>
      </w:r>
      <w:r w:rsidR="00BC38B0">
        <w:rPr>
          <w:szCs w:val="24"/>
        </w:rPr>
        <w:t xml:space="preserve">. The percentage of households with children is assumed to be 40 percent based </w:t>
      </w:r>
      <w:r w:rsidR="008F2C8F">
        <w:rPr>
          <w:szCs w:val="24"/>
        </w:rPr>
        <w:t xml:space="preserve">on </w:t>
      </w:r>
      <w:r w:rsidR="0096644C">
        <w:rPr>
          <w:szCs w:val="24"/>
        </w:rPr>
        <w:t>C</w:t>
      </w:r>
      <w:r w:rsidR="00BC38B0">
        <w:rPr>
          <w:szCs w:val="24"/>
        </w:rPr>
        <w:t xml:space="preserve">ensus data. The summer meals participation rate of 15 percent is based on a </w:t>
      </w:r>
      <w:r w:rsidR="00283168">
        <w:rPr>
          <w:szCs w:val="24"/>
        </w:rPr>
        <w:t xml:space="preserve">SFSP </w:t>
      </w:r>
      <w:r w:rsidR="00BC38B0">
        <w:rPr>
          <w:szCs w:val="24"/>
        </w:rPr>
        <w:t>study (</w:t>
      </w:r>
      <w:r w:rsidR="00283168">
        <w:rPr>
          <w:szCs w:val="24"/>
        </w:rPr>
        <w:t>Gordon et al., 2003)</w:t>
      </w:r>
      <w:r w:rsidR="00283168">
        <w:rPr>
          <w:rStyle w:val="FootnoteReference"/>
          <w:szCs w:val="24"/>
        </w:rPr>
        <w:footnoteReference w:id="18"/>
      </w:r>
      <w:r w:rsidR="00BC38B0">
        <w:rPr>
          <w:szCs w:val="24"/>
        </w:rPr>
        <w:t>.</w:t>
      </w:r>
    </w:p>
    <w:p w14:paraId="31E1D0D6" w14:textId="4B82D96F" w:rsidR="00BD258F" w:rsidRPr="008E0367" w:rsidRDefault="00D979B7" w:rsidP="0020370D">
      <w:pPr>
        <w:tabs>
          <w:tab w:val="left" w:pos="-720"/>
        </w:tabs>
        <w:suppressAutoHyphens/>
        <w:spacing w:line="480" w:lineRule="auto"/>
        <w:rPr>
          <w:szCs w:val="24"/>
        </w:rPr>
      </w:pPr>
      <w:r>
        <w:rPr>
          <w:szCs w:val="24"/>
        </w:rPr>
        <w:tab/>
      </w:r>
      <w:r w:rsidR="003302CB">
        <w:rPr>
          <w:szCs w:val="24"/>
        </w:rPr>
        <w:t>When</w:t>
      </w:r>
      <w:r w:rsidR="00BD258F">
        <w:rPr>
          <w:szCs w:val="24"/>
        </w:rPr>
        <w:t xml:space="preserve"> we use the multiple frame approach</w:t>
      </w:r>
      <w:r w:rsidR="003302CB">
        <w:rPr>
          <w:szCs w:val="24"/>
        </w:rPr>
        <w:t xml:space="preserve"> for new sites</w:t>
      </w:r>
      <w:r w:rsidR="00BD258F">
        <w:rPr>
          <w:szCs w:val="24"/>
        </w:rPr>
        <w:t>, units in the overlapped frame have a higher chance of selection than others</w:t>
      </w:r>
      <w:r w:rsidR="003302CB">
        <w:rPr>
          <w:szCs w:val="24"/>
        </w:rPr>
        <w:t>, and this will lower the sampling efficiency</w:t>
      </w:r>
      <w:r w:rsidR="00BD258F">
        <w:rPr>
          <w:szCs w:val="24"/>
        </w:rPr>
        <w:t xml:space="preserve">. </w:t>
      </w:r>
      <w:r w:rsidR="003302CB">
        <w:rPr>
          <w:szCs w:val="24"/>
        </w:rPr>
        <w:t xml:space="preserve">However, </w:t>
      </w:r>
      <w:r w:rsidR="00BD258F">
        <w:rPr>
          <w:szCs w:val="24"/>
        </w:rPr>
        <w:t xml:space="preserve">we </w:t>
      </w:r>
      <w:r w:rsidR="003302CB">
        <w:rPr>
          <w:szCs w:val="24"/>
        </w:rPr>
        <w:t>need to</w:t>
      </w:r>
      <w:r w:rsidR="00BD258F">
        <w:rPr>
          <w:szCs w:val="24"/>
        </w:rPr>
        <w:t xml:space="preserve"> deduplicate the samples, </w:t>
      </w:r>
      <w:r w:rsidR="003302CB">
        <w:rPr>
          <w:szCs w:val="24"/>
        </w:rPr>
        <w:t>and this</w:t>
      </w:r>
      <w:r w:rsidR="00BD258F">
        <w:rPr>
          <w:szCs w:val="24"/>
        </w:rPr>
        <w:t xml:space="preserve"> will cause a reduction of the </w:t>
      </w:r>
      <w:r w:rsidR="001C2BF9">
        <w:rPr>
          <w:szCs w:val="24"/>
        </w:rPr>
        <w:t xml:space="preserve">screener </w:t>
      </w:r>
      <w:r w:rsidR="00BD258F">
        <w:rPr>
          <w:szCs w:val="24"/>
        </w:rPr>
        <w:t>sample</w:t>
      </w:r>
      <w:r w:rsidR="001C2BF9">
        <w:rPr>
          <w:szCs w:val="24"/>
        </w:rPr>
        <w:t xml:space="preserve">s. To make up for this loss, we will inflate the samples to be selected from the SNAP frame by a factor of 1.25 assuming </w:t>
      </w:r>
      <w:r w:rsidR="009A78D6">
        <w:rPr>
          <w:szCs w:val="24"/>
        </w:rPr>
        <w:t xml:space="preserve">a </w:t>
      </w:r>
      <w:r w:rsidR="001C2BF9">
        <w:rPr>
          <w:szCs w:val="24"/>
        </w:rPr>
        <w:t>20 percent overlap</w:t>
      </w:r>
      <w:r w:rsidR="00B40A87">
        <w:rPr>
          <w:szCs w:val="24"/>
        </w:rPr>
        <w:t xml:space="preserve"> in the samples selected</w:t>
      </w:r>
      <w:r w:rsidR="00AB1A5A">
        <w:rPr>
          <w:szCs w:val="24"/>
        </w:rPr>
        <w:t>. (T</w:t>
      </w:r>
      <w:r w:rsidR="009D7AA1">
        <w:rPr>
          <w:szCs w:val="24"/>
        </w:rPr>
        <w:t>he SNAP frame is completely overlapped with the postal frame</w:t>
      </w:r>
      <w:r w:rsidR="00AB1A5A">
        <w:rPr>
          <w:szCs w:val="24"/>
        </w:rPr>
        <w:t>, but the overlap between the two samples will be much smaller. We have generously estimated it to be 20 percent</w:t>
      </w:r>
      <w:r w:rsidR="001C2BF9">
        <w:rPr>
          <w:szCs w:val="24"/>
        </w:rPr>
        <w:t>.</w:t>
      </w:r>
      <w:r w:rsidR="00AB1A5A">
        <w:rPr>
          <w:szCs w:val="24"/>
        </w:rPr>
        <w:t>)</w:t>
      </w:r>
      <w:r w:rsidR="001C2BF9">
        <w:rPr>
          <w:szCs w:val="24"/>
        </w:rPr>
        <w:t xml:space="preserve"> </w:t>
      </w:r>
      <w:r w:rsidR="009D7AA1">
        <w:rPr>
          <w:szCs w:val="24"/>
        </w:rPr>
        <w:t>We</w:t>
      </w:r>
      <w:r w:rsidR="00AF3C42" w:rsidRPr="00AF3C42">
        <w:rPr>
          <w:szCs w:val="24"/>
        </w:rPr>
        <w:t xml:space="preserve"> accomplish</w:t>
      </w:r>
      <w:r w:rsidR="009D7AA1">
        <w:rPr>
          <w:szCs w:val="24"/>
        </w:rPr>
        <w:t xml:space="preserve"> this</w:t>
      </w:r>
      <w:r w:rsidR="00AF3C42" w:rsidRPr="00AF3C42">
        <w:rPr>
          <w:szCs w:val="24"/>
        </w:rPr>
        <w:t xml:space="preserve"> by reducing the SNAP screener response rates by 20 percent. This results in 25% increase in the sam</w:t>
      </w:r>
      <w:r w:rsidR="00B3642C">
        <w:rPr>
          <w:szCs w:val="24"/>
        </w:rPr>
        <w:t>pl</w:t>
      </w:r>
      <w:r w:rsidR="00AF3C42" w:rsidRPr="00AF3C42">
        <w:rPr>
          <w:szCs w:val="24"/>
        </w:rPr>
        <w:t>e size.</w:t>
      </w:r>
    </w:p>
    <w:p w14:paraId="0D89221C" w14:textId="77777777" w:rsidR="0016344D" w:rsidRPr="008E0367" w:rsidRDefault="0016344D" w:rsidP="0020370D">
      <w:pPr>
        <w:tabs>
          <w:tab w:val="left" w:pos="-720"/>
        </w:tabs>
        <w:suppressAutoHyphens/>
        <w:spacing w:line="480" w:lineRule="auto"/>
        <w:rPr>
          <w:szCs w:val="24"/>
        </w:rPr>
      </w:pPr>
    </w:p>
    <w:p w14:paraId="67C617D7" w14:textId="77777777" w:rsidR="00B760CB" w:rsidRDefault="00B760CB" w:rsidP="0020370D">
      <w:pPr>
        <w:tabs>
          <w:tab w:val="left" w:pos="-720"/>
        </w:tabs>
        <w:suppressAutoHyphens/>
        <w:spacing w:line="480" w:lineRule="auto"/>
        <w:rPr>
          <w:szCs w:val="24"/>
        </w:rPr>
        <w:sectPr w:rsidR="00B760CB" w:rsidSect="00156286">
          <w:footerReference w:type="default" r:id="rId22"/>
          <w:pgSz w:w="12240" w:h="15840" w:code="1"/>
          <w:pgMar w:top="1440" w:right="1440" w:bottom="1440" w:left="1440" w:header="432" w:footer="720" w:gutter="0"/>
          <w:pgNumType w:start="1"/>
          <w:cols w:space="720"/>
          <w:docGrid w:linePitch="326"/>
        </w:sectPr>
      </w:pPr>
    </w:p>
    <w:p w14:paraId="56151C27" w14:textId="72A28AC8" w:rsidR="00FE53D2" w:rsidRPr="008E0367" w:rsidRDefault="004B3DA3" w:rsidP="004B3DA3">
      <w:pPr>
        <w:pStyle w:val="Caption"/>
        <w:rPr>
          <w:szCs w:val="24"/>
        </w:rPr>
      </w:pPr>
      <w:bookmarkStart w:id="58" w:name="_Ref492890918"/>
      <w:bookmarkStart w:id="59" w:name="_Toc505263880"/>
      <w:r w:rsidRPr="004B3DA3">
        <w:rPr>
          <w:b/>
        </w:rPr>
        <w:t xml:space="preserve">Table B2 - </w:t>
      </w:r>
      <w:r w:rsidRPr="004B3DA3">
        <w:rPr>
          <w:b/>
        </w:rPr>
        <w:fldChar w:fldCharType="begin"/>
      </w:r>
      <w:r w:rsidRPr="004B3DA3">
        <w:rPr>
          <w:b/>
        </w:rPr>
        <w:instrText xml:space="preserve"> SEQ Table_B2_- \* ARABIC </w:instrText>
      </w:r>
      <w:r w:rsidRPr="004B3DA3">
        <w:rPr>
          <w:b/>
        </w:rPr>
        <w:fldChar w:fldCharType="separate"/>
      </w:r>
      <w:r w:rsidR="00FD4FBC">
        <w:rPr>
          <w:b/>
          <w:noProof/>
        </w:rPr>
        <w:t>4</w:t>
      </w:r>
      <w:r w:rsidRPr="004B3DA3">
        <w:rPr>
          <w:b/>
        </w:rPr>
        <w:fldChar w:fldCharType="end"/>
      </w:r>
      <w:bookmarkEnd w:id="58"/>
      <w:r w:rsidR="00FE53D2" w:rsidRPr="008E0367">
        <w:rPr>
          <w:b/>
          <w:szCs w:val="24"/>
        </w:rPr>
        <w:t xml:space="preserve">. </w:t>
      </w:r>
      <w:r w:rsidR="00B760CB">
        <w:rPr>
          <w:b/>
          <w:szCs w:val="24"/>
        </w:rPr>
        <w:t xml:space="preserve"> </w:t>
      </w:r>
      <w:r w:rsidR="00FE53D2" w:rsidRPr="008E0367">
        <w:rPr>
          <w:b/>
          <w:bCs/>
          <w:color w:val="000000"/>
          <w:szCs w:val="24"/>
        </w:rPr>
        <w:t xml:space="preserve">Sample Size Calculations for the Participant and Non-participant Household Surveys from </w:t>
      </w:r>
      <w:r w:rsidR="00FE53D2" w:rsidRPr="008E0367">
        <w:rPr>
          <w:b/>
          <w:bCs/>
          <w:i/>
          <w:color w:val="000000"/>
          <w:szCs w:val="24"/>
        </w:rPr>
        <w:t>Continuing Sites</w:t>
      </w:r>
      <w:bookmarkEnd w:id="59"/>
    </w:p>
    <w:tbl>
      <w:tblPr>
        <w:tblW w:w="12960" w:type="dxa"/>
        <w:tblLook w:val="04A0" w:firstRow="1" w:lastRow="0" w:firstColumn="1" w:lastColumn="0" w:noHBand="0" w:noVBand="1"/>
      </w:tblPr>
      <w:tblGrid>
        <w:gridCol w:w="1656"/>
        <w:gridCol w:w="1043"/>
        <w:gridCol w:w="967"/>
        <w:gridCol w:w="912"/>
        <w:gridCol w:w="1106"/>
        <w:gridCol w:w="1550"/>
        <w:gridCol w:w="1150"/>
        <w:gridCol w:w="939"/>
        <w:gridCol w:w="1255"/>
        <w:gridCol w:w="1296"/>
        <w:gridCol w:w="1086"/>
      </w:tblGrid>
      <w:tr w:rsidR="00FE53D2" w:rsidRPr="008E0367" w14:paraId="1F76E02E" w14:textId="77777777" w:rsidTr="001E5604">
        <w:trPr>
          <w:trHeight w:val="315"/>
        </w:trPr>
        <w:tc>
          <w:tcPr>
            <w:tcW w:w="10578" w:type="dxa"/>
            <w:gridSpan w:val="9"/>
            <w:tcBorders>
              <w:top w:val="single" w:sz="8" w:space="0" w:color="auto"/>
              <w:left w:val="nil"/>
              <w:bottom w:val="single" w:sz="8" w:space="0" w:color="auto"/>
              <w:right w:val="single" w:sz="8" w:space="0" w:color="000000"/>
            </w:tcBorders>
            <w:shd w:val="clear" w:color="000000" w:fill="AFBED7"/>
            <w:vAlign w:val="center"/>
            <w:hideMark/>
          </w:tcPr>
          <w:p w14:paraId="5E8E2EBD"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Sample size calculation for a single site</w:t>
            </w:r>
          </w:p>
        </w:tc>
        <w:tc>
          <w:tcPr>
            <w:tcW w:w="2382" w:type="dxa"/>
            <w:gridSpan w:val="2"/>
            <w:tcBorders>
              <w:top w:val="single" w:sz="8" w:space="0" w:color="auto"/>
              <w:left w:val="nil"/>
              <w:bottom w:val="single" w:sz="8" w:space="0" w:color="auto"/>
              <w:right w:val="nil"/>
            </w:tcBorders>
            <w:shd w:val="clear" w:color="000000" w:fill="AFBED7"/>
            <w:vAlign w:val="center"/>
            <w:hideMark/>
          </w:tcPr>
          <w:p w14:paraId="0FA3F190"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Total all sites</w:t>
            </w:r>
          </w:p>
        </w:tc>
      </w:tr>
      <w:tr w:rsidR="00343DCA" w:rsidRPr="008E0367" w14:paraId="0C8CFE02" w14:textId="77777777" w:rsidTr="004B3DA3">
        <w:trPr>
          <w:trHeight w:val="1365"/>
        </w:trPr>
        <w:tc>
          <w:tcPr>
            <w:tcW w:w="1656" w:type="dxa"/>
            <w:tcBorders>
              <w:top w:val="nil"/>
              <w:left w:val="nil"/>
              <w:bottom w:val="single" w:sz="8" w:space="0" w:color="auto"/>
              <w:right w:val="nil"/>
            </w:tcBorders>
            <w:shd w:val="clear" w:color="000000" w:fill="AFBED7"/>
            <w:vAlign w:val="center"/>
            <w:hideMark/>
          </w:tcPr>
          <w:p w14:paraId="2E830766"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Group</w:t>
            </w:r>
          </w:p>
        </w:tc>
        <w:tc>
          <w:tcPr>
            <w:tcW w:w="1043" w:type="dxa"/>
            <w:tcBorders>
              <w:top w:val="nil"/>
              <w:left w:val="nil"/>
              <w:bottom w:val="single" w:sz="8" w:space="0" w:color="auto"/>
              <w:right w:val="nil"/>
            </w:tcBorders>
            <w:shd w:val="clear" w:color="000000" w:fill="AFBED7"/>
            <w:vAlign w:val="center"/>
            <w:hideMark/>
          </w:tcPr>
          <w:p w14:paraId="73BFA0DA"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Frame</w:t>
            </w:r>
          </w:p>
        </w:tc>
        <w:tc>
          <w:tcPr>
            <w:tcW w:w="967" w:type="dxa"/>
            <w:tcBorders>
              <w:top w:val="nil"/>
              <w:left w:val="nil"/>
              <w:bottom w:val="single" w:sz="8" w:space="0" w:color="auto"/>
              <w:right w:val="nil"/>
            </w:tcBorders>
            <w:shd w:val="clear" w:color="000000" w:fill="AFBED7"/>
            <w:vAlign w:val="center"/>
            <w:hideMark/>
          </w:tcPr>
          <w:p w14:paraId="198AD25E"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Initial sample size</w:t>
            </w:r>
          </w:p>
        </w:tc>
        <w:tc>
          <w:tcPr>
            <w:tcW w:w="912" w:type="dxa"/>
            <w:tcBorders>
              <w:top w:val="nil"/>
              <w:left w:val="nil"/>
              <w:bottom w:val="single" w:sz="8" w:space="0" w:color="auto"/>
              <w:right w:val="nil"/>
            </w:tcBorders>
            <w:shd w:val="clear" w:color="000000" w:fill="AFBED7"/>
            <w:vAlign w:val="center"/>
            <w:hideMark/>
          </w:tcPr>
          <w:p w14:paraId="7DB52DB2"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Screen RR</w:t>
            </w:r>
          </w:p>
        </w:tc>
        <w:tc>
          <w:tcPr>
            <w:tcW w:w="1106" w:type="dxa"/>
            <w:tcBorders>
              <w:top w:val="nil"/>
              <w:left w:val="nil"/>
              <w:bottom w:val="single" w:sz="8" w:space="0" w:color="auto"/>
              <w:right w:val="nil"/>
            </w:tcBorders>
            <w:shd w:val="clear" w:color="000000" w:fill="AFBED7"/>
            <w:vAlign w:val="center"/>
            <w:hideMark/>
          </w:tcPr>
          <w:p w14:paraId="2AA705CB"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 of HHs with eligible children</w:t>
            </w:r>
          </w:p>
        </w:tc>
        <w:tc>
          <w:tcPr>
            <w:tcW w:w="1550" w:type="dxa"/>
            <w:tcBorders>
              <w:top w:val="nil"/>
              <w:left w:val="nil"/>
              <w:bottom w:val="single" w:sz="8" w:space="0" w:color="auto"/>
              <w:right w:val="nil"/>
            </w:tcBorders>
            <w:shd w:val="clear" w:color="000000" w:fill="AFBED7"/>
            <w:vAlign w:val="center"/>
            <w:hideMark/>
          </w:tcPr>
          <w:p w14:paraId="64960799"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Summer meal participation or non-participation rate</w:t>
            </w:r>
          </w:p>
        </w:tc>
        <w:tc>
          <w:tcPr>
            <w:tcW w:w="1150" w:type="dxa"/>
            <w:tcBorders>
              <w:top w:val="nil"/>
              <w:left w:val="nil"/>
              <w:bottom w:val="single" w:sz="8" w:space="0" w:color="auto"/>
              <w:right w:val="nil"/>
            </w:tcBorders>
            <w:shd w:val="clear" w:color="000000" w:fill="AFBED7"/>
            <w:vAlign w:val="center"/>
            <w:hideMark/>
          </w:tcPr>
          <w:p w14:paraId="6AAE6407"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Sub-sampling rate</w:t>
            </w:r>
          </w:p>
        </w:tc>
        <w:tc>
          <w:tcPr>
            <w:tcW w:w="939" w:type="dxa"/>
            <w:tcBorders>
              <w:top w:val="nil"/>
              <w:left w:val="nil"/>
              <w:bottom w:val="single" w:sz="8" w:space="0" w:color="auto"/>
              <w:right w:val="nil"/>
            </w:tcBorders>
            <w:shd w:val="clear" w:color="000000" w:fill="AFBED7"/>
            <w:vAlign w:val="center"/>
            <w:hideMark/>
          </w:tcPr>
          <w:p w14:paraId="3F404C84"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Survey RR</w:t>
            </w:r>
          </w:p>
        </w:tc>
        <w:tc>
          <w:tcPr>
            <w:tcW w:w="1255" w:type="dxa"/>
            <w:tcBorders>
              <w:top w:val="nil"/>
              <w:left w:val="nil"/>
              <w:bottom w:val="single" w:sz="8" w:space="0" w:color="auto"/>
              <w:right w:val="single" w:sz="8" w:space="0" w:color="auto"/>
            </w:tcBorders>
            <w:shd w:val="clear" w:color="000000" w:fill="AFBED7"/>
            <w:vAlign w:val="center"/>
            <w:hideMark/>
          </w:tcPr>
          <w:p w14:paraId="20C433FB"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Target number of completes</w:t>
            </w:r>
          </w:p>
        </w:tc>
        <w:tc>
          <w:tcPr>
            <w:tcW w:w="1296" w:type="dxa"/>
            <w:tcBorders>
              <w:top w:val="nil"/>
              <w:left w:val="nil"/>
              <w:bottom w:val="single" w:sz="8" w:space="0" w:color="auto"/>
              <w:right w:val="nil"/>
            </w:tcBorders>
            <w:shd w:val="clear" w:color="000000" w:fill="AFBED7"/>
            <w:vAlign w:val="center"/>
            <w:hideMark/>
          </w:tcPr>
          <w:p w14:paraId="220AD75D" w14:textId="77777777"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Completes</w:t>
            </w:r>
          </w:p>
        </w:tc>
        <w:tc>
          <w:tcPr>
            <w:tcW w:w="1086" w:type="dxa"/>
            <w:tcBorders>
              <w:top w:val="nil"/>
              <w:left w:val="nil"/>
              <w:bottom w:val="single" w:sz="8" w:space="0" w:color="auto"/>
              <w:right w:val="nil"/>
            </w:tcBorders>
            <w:shd w:val="clear" w:color="000000" w:fill="AFBED7"/>
            <w:vAlign w:val="center"/>
            <w:hideMark/>
          </w:tcPr>
          <w:p w14:paraId="14F4C096" w14:textId="6BCF8D03" w:rsidR="00FE53D2" w:rsidRPr="008E0367" w:rsidRDefault="00FE53D2" w:rsidP="00B760CB">
            <w:pPr>
              <w:widowControl/>
              <w:overflowPunct/>
              <w:autoSpaceDE/>
              <w:autoSpaceDN/>
              <w:adjustRightInd/>
              <w:jc w:val="center"/>
              <w:textAlignment w:val="auto"/>
              <w:rPr>
                <w:b/>
                <w:bCs/>
                <w:color w:val="000000"/>
                <w:szCs w:val="24"/>
                <w:vertAlign w:val="superscript"/>
                <w:lang w:eastAsia="ko-KR"/>
              </w:rPr>
            </w:pPr>
            <w:r w:rsidRPr="008E0367">
              <w:rPr>
                <w:b/>
                <w:bCs/>
                <w:color w:val="000000"/>
                <w:szCs w:val="24"/>
                <w:lang w:eastAsia="ko-KR"/>
              </w:rPr>
              <w:t>Screens</w:t>
            </w:r>
            <w:r w:rsidRPr="008E0367">
              <w:rPr>
                <w:b/>
                <w:bCs/>
                <w:color w:val="000000"/>
                <w:szCs w:val="24"/>
                <w:vertAlign w:val="superscript"/>
                <w:lang w:eastAsia="ko-KR"/>
              </w:rPr>
              <w:t>3</w:t>
            </w:r>
          </w:p>
        </w:tc>
      </w:tr>
      <w:tr w:rsidR="00FE53D2" w:rsidRPr="008E0367" w14:paraId="4F100132" w14:textId="77777777" w:rsidTr="001E5604">
        <w:trPr>
          <w:trHeight w:val="315"/>
        </w:trPr>
        <w:tc>
          <w:tcPr>
            <w:tcW w:w="12960" w:type="dxa"/>
            <w:gridSpan w:val="11"/>
            <w:tcBorders>
              <w:top w:val="single" w:sz="8" w:space="0" w:color="auto"/>
              <w:left w:val="nil"/>
              <w:bottom w:val="single" w:sz="8" w:space="0" w:color="auto"/>
              <w:right w:val="nil"/>
            </w:tcBorders>
            <w:shd w:val="clear" w:color="000000" w:fill="BFBFBF"/>
            <w:vAlign w:val="center"/>
            <w:hideMark/>
          </w:tcPr>
          <w:p w14:paraId="17F93918" w14:textId="6933DFE9" w:rsidR="00FE53D2" w:rsidRPr="008E0367" w:rsidRDefault="00796BB7" w:rsidP="00B760CB">
            <w:pPr>
              <w:widowControl/>
              <w:overflowPunct/>
              <w:autoSpaceDE/>
              <w:autoSpaceDN/>
              <w:adjustRightInd/>
              <w:jc w:val="center"/>
              <w:textAlignment w:val="auto"/>
              <w:rPr>
                <w:b/>
                <w:bCs/>
                <w:color w:val="000000"/>
                <w:szCs w:val="24"/>
                <w:lang w:eastAsia="ko-KR"/>
              </w:rPr>
            </w:pPr>
            <w:r>
              <w:rPr>
                <w:b/>
                <w:bCs/>
                <w:color w:val="000000"/>
                <w:szCs w:val="24"/>
                <w:lang w:eastAsia="ko-KR"/>
              </w:rPr>
              <w:t xml:space="preserve">SFSP </w:t>
            </w:r>
            <w:r w:rsidR="00FE53D2" w:rsidRPr="008E0367">
              <w:rPr>
                <w:b/>
                <w:bCs/>
                <w:color w:val="000000"/>
                <w:szCs w:val="24"/>
                <w:lang w:eastAsia="ko-KR"/>
              </w:rPr>
              <w:t>Open site (</w:t>
            </w:r>
            <w:r w:rsidR="00EE6685" w:rsidRPr="008E0367">
              <w:rPr>
                <w:b/>
                <w:bCs/>
                <w:color w:val="000000"/>
                <w:szCs w:val="24"/>
                <w:lang w:eastAsia="ko-KR"/>
              </w:rPr>
              <w:t>n=</w:t>
            </w:r>
            <w:r w:rsidR="00FE53D2" w:rsidRPr="008E0367">
              <w:rPr>
                <w:b/>
                <w:bCs/>
                <w:color w:val="000000"/>
                <w:szCs w:val="24"/>
                <w:lang w:eastAsia="ko-KR"/>
              </w:rPr>
              <w:t>280)</w:t>
            </w:r>
          </w:p>
        </w:tc>
      </w:tr>
      <w:tr w:rsidR="00343DCA" w:rsidRPr="008E0367" w14:paraId="5B811FE9"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340AACD6" w14:textId="119E50E7"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Participant</w:t>
            </w:r>
          </w:p>
        </w:tc>
        <w:tc>
          <w:tcPr>
            <w:tcW w:w="1043" w:type="dxa"/>
            <w:tcBorders>
              <w:top w:val="nil"/>
              <w:left w:val="nil"/>
              <w:bottom w:val="single" w:sz="8" w:space="0" w:color="auto"/>
              <w:right w:val="nil"/>
            </w:tcBorders>
            <w:shd w:val="clear" w:color="auto" w:fill="auto"/>
            <w:vAlign w:val="center"/>
            <w:hideMark/>
          </w:tcPr>
          <w:p w14:paraId="18956722" w14:textId="692D8029"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Onsite</w:t>
            </w:r>
          </w:p>
        </w:tc>
        <w:tc>
          <w:tcPr>
            <w:tcW w:w="967" w:type="dxa"/>
            <w:tcBorders>
              <w:top w:val="nil"/>
              <w:left w:val="nil"/>
              <w:bottom w:val="single" w:sz="8" w:space="0" w:color="auto"/>
              <w:right w:val="nil"/>
            </w:tcBorders>
            <w:shd w:val="clear" w:color="auto" w:fill="auto"/>
            <w:vAlign w:val="center"/>
            <w:hideMark/>
          </w:tcPr>
          <w:p w14:paraId="36A25194" w14:textId="1ECBC379" w:rsidR="00D5130A" w:rsidRPr="00D5130A" w:rsidRDefault="006F7772" w:rsidP="00D5130A">
            <w:pPr>
              <w:widowControl/>
              <w:overflowPunct/>
              <w:autoSpaceDE/>
              <w:autoSpaceDN/>
              <w:adjustRightInd/>
              <w:jc w:val="center"/>
              <w:textAlignment w:val="auto"/>
              <w:rPr>
                <w:color w:val="000000"/>
                <w:szCs w:val="24"/>
                <w:lang w:eastAsia="ko-KR"/>
              </w:rPr>
            </w:pPr>
            <w:r>
              <w:rPr>
                <w:color w:val="000000"/>
              </w:rPr>
              <w:t>4</w:t>
            </w:r>
          </w:p>
        </w:tc>
        <w:tc>
          <w:tcPr>
            <w:tcW w:w="912" w:type="dxa"/>
            <w:tcBorders>
              <w:top w:val="nil"/>
              <w:left w:val="nil"/>
              <w:bottom w:val="single" w:sz="8" w:space="0" w:color="auto"/>
              <w:right w:val="nil"/>
            </w:tcBorders>
            <w:shd w:val="clear" w:color="auto" w:fill="auto"/>
            <w:vAlign w:val="center"/>
            <w:hideMark/>
          </w:tcPr>
          <w:p w14:paraId="0C206686" w14:textId="2E42576A" w:rsidR="00D5130A" w:rsidRPr="00D5130A" w:rsidRDefault="00D5130A" w:rsidP="00D5130A">
            <w:pPr>
              <w:rPr>
                <w:szCs w:val="24"/>
                <w:lang w:eastAsia="ko-KR"/>
              </w:rPr>
            </w:pPr>
            <w:r w:rsidRPr="00D5130A">
              <w:t>NA</w:t>
            </w:r>
          </w:p>
        </w:tc>
        <w:tc>
          <w:tcPr>
            <w:tcW w:w="1106" w:type="dxa"/>
            <w:tcBorders>
              <w:top w:val="nil"/>
              <w:left w:val="nil"/>
              <w:bottom w:val="single" w:sz="8" w:space="0" w:color="auto"/>
              <w:right w:val="nil"/>
            </w:tcBorders>
            <w:shd w:val="clear" w:color="auto" w:fill="auto"/>
            <w:vAlign w:val="center"/>
            <w:hideMark/>
          </w:tcPr>
          <w:p w14:paraId="5209C84B" w14:textId="6A0C4DCF"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NA</w:t>
            </w:r>
          </w:p>
        </w:tc>
        <w:tc>
          <w:tcPr>
            <w:tcW w:w="1550" w:type="dxa"/>
            <w:tcBorders>
              <w:top w:val="nil"/>
              <w:left w:val="nil"/>
              <w:bottom w:val="single" w:sz="8" w:space="0" w:color="auto"/>
              <w:right w:val="nil"/>
            </w:tcBorders>
            <w:shd w:val="clear" w:color="auto" w:fill="auto"/>
            <w:vAlign w:val="center"/>
            <w:hideMark/>
          </w:tcPr>
          <w:p w14:paraId="5C55C621" w14:textId="4BBBC539"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1</w:t>
            </w:r>
          </w:p>
        </w:tc>
        <w:tc>
          <w:tcPr>
            <w:tcW w:w="1150" w:type="dxa"/>
            <w:tcBorders>
              <w:top w:val="nil"/>
              <w:left w:val="nil"/>
              <w:bottom w:val="single" w:sz="8" w:space="0" w:color="auto"/>
              <w:right w:val="nil"/>
            </w:tcBorders>
            <w:shd w:val="clear" w:color="auto" w:fill="auto"/>
            <w:vAlign w:val="center"/>
            <w:hideMark/>
          </w:tcPr>
          <w:p w14:paraId="619EB481" w14:textId="30BA8C3D" w:rsidR="00D5130A" w:rsidRPr="00D5130A" w:rsidRDefault="00D5130A" w:rsidP="00D5130A">
            <w:pPr>
              <w:widowControl/>
              <w:overflowPunct/>
              <w:autoSpaceDE/>
              <w:autoSpaceDN/>
              <w:adjustRightInd/>
              <w:jc w:val="right"/>
              <w:textAlignment w:val="auto"/>
              <w:rPr>
                <w:color w:val="000000"/>
                <w:szCs w:val="24"/>
                <w:lang w:eastAsia="ko-KR"/>
              </w:rPr>
            </w:pPr>
            <w:r w:rsidRPr="00D5130A">
              <w:rPr>
                <w:color w:val="000000"/>
              </w:rPr>
              <w:t>1</w:t>
            </w:r>
          </w:p>
        </w:tc>
        <w:tc>
          <w:tcPr>
            <w:tcW w:w="939" w:type="dxa"/>
            <w:tcBorders>
              <w:top w:val="nil"/>
              <w:left w:val="nil"/>
              <w:bottom w:val="single" w:sz="8" w:space="0" w:color="auto"/>
              <w:right w:val="nil"/>
            </w:tcBorders>
            <w:shd w:val="clear" w:color="auto" w:fill="auto"/>
            <w:vAlign w:val="center"/>
            <w:hideMark/>
          </w:tcPr>
          <w:p w14:paraId="207FB4DF" w14:textId="2513895D"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0.3</w:t>
            </w:r>
          </w:p>
        </w:tc>
        <w:tc>
          <w:tcPr>
            <w:tcW w:w="1255" w:type="dxa"/>
            <w:tcBorders>
              <w:top w:val="nil"/>
              <w:left w:val="nil"/>
              <w:bottom w:val="single" w:sz="8" w:space="0" w:color="auto"/>
              <w:right w:val="single" w:sz="8" w:space="0" w:color="auto"/>
            </w:tcBorders>
            <w:shd w:val="clear" w:color="auto" w:fill="auto"/>
            <w:vAlign w:val="center"/>
            <w:hideMark/>
          </w:tcPr>
          <w:p w14:paraId="5E4A9A17" w14:textId="2B93746C"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1</w:t>
            </w:r>
          </w:p>
        </w:tc>
        <w:tc>
          <w:tcPr>
            <w:tcW w:w="1296" w:type="dxa"/>
            <w:tcBorders>
              <w:top w:val="nil"/>
              <w:left w:val="nil"/>
              <w:bottom w:val="single" w:sz="8" w:space="0" w:color="auto"/>
              <w:right w:val="nil"/>
            </w:tcBorders>
            <w:shd w:val="clear" w:color="auto" w:fill="auto"/>
            <w:vAlign w:val="center"/>
            <w:hideMark/>
          </w:tcPr>
          <w:p w14:paraId="6F063E58" w14:textId="6042A74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280</w:t>
            </w:r>
          </w:p>
        </w:tc>
        <w:tc>
          <w:tcPr>
            <w:tcW w:w="1086" w:type="dxa"/>
            <w:tcBorders>
              <w:top w:val="nil"/>
              <w:left w:val="nil"/>
              <w:bottom w:val="single" w:sz="8" w:space="0" w:color="auto"/>
              <w:right w:val="nil"/>
            </w:tcBorders>
            <w:shd w:val="clear" w:color="auto" w:fill="auto"/>
            <w:vAlign w:val="center"/>
            <w:hideMark/>
          </w:tcPr>
          <w:p w14:paraId="5D929593" w14:textId="6AAC4738"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w:t>
            </w:r>
          </w:p>
        </w:tc>
      </w:tr>
      <w:tr w:rsidR="00343DCA" w:rsidRPr="008E0367" w14:paraId="5C27C6B6" w14:textId="77777777" w:rsidTr="004B3DA3">
        <w:trPr>
          <w:trHeight w:val="300"/>
        </w:trPr>
        <w:tc>
          <w:tcPr>
            <w:tcW w:w="1656" w:type="dxa"/>
            <w:tcBorders>
              <w:top w:val="nil"/>
              <w:left w:val="nil"/>
              <w:bottom w:val="nil"/>
              <w:right w:val="nil"/>
            </w:tcBorders>
            <w:shd w:val="clear" w:color="auto" w:fill="auto"/>
            <w:vAlign w:val="center"/>
            <w:hideMark/>
          </w:tcPr>
          <w:p w14:paraId="03B222FC" w14:textId="44457D02"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Participant</w:t>
            </w:r>
          </w:p>
        </w:tc>
        <w:tc>
          <w:tcPr>
            <w:tcW w:w="1043" w:type="dxa"/>
            <w:tcBorders>
              <w:top w:val="nil"/>
              <w:left w:val="nil"/>
              <w:bottom w:val="nil"/>
              <w:right w:val="nil"/>
            </w:tcBorders>
            <w:shd w:val="clear" w:color="auto" w:fill="auto"/>
            <w:vAlign w:val="center"/>
            <w:hideMark/>
          </w:tcPr>
          <w:p w14:paraId="63F4E241" w14:textId="0D37816C"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SNAP</w:t>
            </w:r>
          </w:p>
        </w:tc>
        <w:tc>
          <w:tcPr>
            <w:tcW w:w="967" w:type="dxa"/>
            <w:vMerge w:val="restart"/>
            <w:tcBorders>
              <w:top w:val="nil"/>
              <w:left w:val="nil"/>
              <w:bottom w:val="single" w:sz="8" w:space="0" w:color="000000"/>
              <w:right w:val="nil"/>
            </w:tcBorders>
            <w:shd w:val="clear" w:color="auto" w:fill="auto"/>
            <w:vAlign w:val="center"/>
            <w:hideMark/>
          </w:tcPr>
          <w:p w14:paraId="4498C71B" w14:textId="56544E30"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77</w:t>
            </w:r>
          </w:p>
        </w:tc>
        <w:tc>
          <w:tcPr>
            <w:tcW w:w="912" w:type="dxa"/>
            <w:tcBorders>
              <w:top w:val="nil"/>
              <w:left w:val="nil"/>
              <w:bottom w:val="nil"/>
              <w:right w:val="nil"/>
            </w:tcBorders>
            <w:shd w:val="clear" w:color="auto" w:fill="auto"/>
            <w:vAlign w:val="center"/>
            <w:hideMark/>
          </w:tcPr>
          <w:p w14:paraId="341B3B70" w14:textId="235E2BBE"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0.25</w:t>
            </w:r>
          </w:p>
        </w:tc>
        <w:tc>
          <w:tcPr>
            <w:tcW w:w="1106" w:type="dxa"/>
            <w:tcBorders>
              <w:top w:val="nil"/>
              <w:left w:val="nil"/>
              <w:bottom w:val="nil"/>
              <w:right w:val="nil"/>
            </w:tcBorders>
            <w:shd w:val="clear" w:color="auto" w:fill="auto"/>
            <w:vAlign w:val="center"/>
            <w:hideMark/>
          </w:tcPr>
          <w:p w14:paraId="13C40F5B" w14:textId="77A1A445"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NA</w:t>
            </w:r>
            <w:r w:rsidRPr="00D5130A">
              <w:rPr>
                <w:color w:val="000000"/>
                <w:vertAlign w:val="superscript"/>
              </w:rPr>
              <w:t>1</w:t>
            </w:r>
          </w:p>
        </w:tc>
        <w:tc>
          <w:tcPr>
            <w:tcW w:w="1550" w:type="dxa"/>
            <w:tcBorders>
              <w:top w:val="nil"/>
              <w:left w:val="nil"/>
              <w:bottom w:val="nil"/>
              <w:right w:val="nil"/>
            </w:tcBorders>
            <w:shd w:val="clear" w:color="auto" w:fill="auto"/>
            <w:vAlign w:val="center"/>
            <w:hideMark/>
          </w:tcPr>
          <w:p w14:paraId="638DDD77" w14:textId="07741F18"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0.15</w:t>
            </w:r>
          </w:p>
        </w:tc>
        <w:tc>
          <w:tcPr>
            <w:tcW w:w="1150" w:type="dxa"/>
            <w:tcBorders>
              <w:top w:val="nil"/>
              <w:left w:val="nil"/>
              <w:bottom w:val="nil"/>
              <w:right w:val="nil"/>
            </w:tcBorders>
            <w:shd w:val="clear" w:color="auto" w:fill="auto"/>
            <w:vAlign w:val="center"/>
            <w:hideMark/>
          </w:tcPr>
          <w:p w14:paraId="5475FC0A" w14:textId="143FC158" w:rsidR="00D5130A" w:rsidRPr="00D5130A" w:rsidRDefault="00D5130A" w:rsidP="00D5130A">
            <w:pPr>
              <w:widowControl/>
              <w:overflowPunct/>
              <w:autoSpaceDE/>
              <w:autoSpaceDN/>
              <w:adjustRightInd/>
              <w:jc w:val="right"/>
              <w:textAlignment w:val="auto"/>
              <w:rPr>
                <w:color w:val="000000"/>
                <w:szCs w:val="24"/>
                <w:lang w:eastAsia="ko-KR"/>
              </w:rPr>
            </w:pPr>
            <w:r w:rsidRPr="00D5130A">
              <w:rPr>
                <w:color w:val="000000"/>
              </w:rPr>
              <w:t>1</w:t>
            </w:r>
          </w:p>
        </w:tc>
        <w:tc>
          <w:tcPr>
            <w:tcW w:w="939" w:type="dxa"/>
            <w:tcBorders>
              <w:top w:val="nil"/>
              <w:left w:val="nil"/>
              <w:bottom w:val="nil"/>
              <w:right w:val="nil"/>
            </w:tcBorders>
            <w:shd w:val="clear" w:color="auto" w:fill="auto"/>
            <w:vAlign w:val="center"/>
            <w:hideMark/>
          </w:tcPr>
          <w:p w14:paraId="4D52F55B" w14:textId="42B73C18"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0.7</w:t>
            </w:r>
          </w:p>
        </w:tc>
        <w:tc>
          <w:tcPr>
            <w:tcW w:w="1255" w:type="dxa"/>
            <w:tcBorders>
              <w:top w:val="nil"/>
              <w:left w:val="nil"/>
              <w:bottom w:val="nil"/>
              <w:right w:val="single" w:sz="8" w:space="0" w:color="auto"/>
            </w:tcBorders>
            <w:shd w:val="clear" w:color="auto" w:fill="auto"/>
            <w:vAlign w:val="center"/>
            <w:hideMark/>
          </w:tcPr>
          <w:p w14:paraId="029B8937" w14:textId="4D62CEEF"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2</w:t>
            </w:r>
          </w:p>
        </w:tc>
        <w:tc>
          <w:tcPr>
            <w:tcW w:w="1296" w:type="dxa"/>
            <w:tcBorders>
              <w:top w:val="nil"/>
              <w:left w:val="nil"/>
              <w:bottom w:val="nil"/>
              <w:right w:val="nil"/>
            </w:tcBorders>
            <w:shd w:val="clear" w:color="auto" w:fill="auto"/>
            <w:vAlign w:val="center"/>
            <w:hideMark/>
          </w:tcPr>
          <w:p w14:paraId="23EBBEB3" w14:textId="1A219DCC"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560</w:t>
            </w:r>
          </w:p>
        </w:tc>
        <w:tc>
          <w:tcPr>
            <w:tcW w:w="1086" w:type="dxa"/>
            <w:vMerge w:val="restart"/>
            <w:tcBorders>
              <w:top w:val="nil"/>
              <w:left w:val="nil"/>
              <w:bottom w:val="single" w:sz="8" w:space="0" w:color="000000"/>
              <w:right w:val="nil"/>
            </w:tcBorders>
            <w:shd w:val="clear" w:color="auto" w:fill="auto"/>
            <w:vAlign w:val="center"/>
            <w:hideMark/>
          </w:tcPr>
          <w:p w14:paraId="25FFA9F4" w14:textId="04E1B3EA"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21,560</w:t>
            </w:r>
          </w:p>
        </w:tc>
      </w:tr>
      <w:tr w:rsidR="00343DCA" w:rsidRPr="008E0367" w14:paraId="504C4F4D"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7CFF227C" w14:textId="5FCB1220"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Nonparticipant</w:t>
            </w:r>
          </w:p>
        </w:tc>
        <w:tc>
          <w:tcPr>
            <w:tcW w:w="1043" w:type="dxa"/>
            <w:tcBorders>
              <w:top w:val="nil"/>
              <w:left w:val="nil"/>
              <w:bottom w:val="single" w:sz="8" w:space="0" w:color="auto"/>
              <w:right w:val="nil"/>
            </w:tcBorders>
            <w:shd w:val="clear" w:color="auto" w:fill="auto"/>
            <w:vAlign w:val="center"/>
            <w:hideMark/>
          </w:tcPr>
          <w:p w14:paraId="62DADE3D" w14:textId="2397CDAD"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SNAP</w:t>
            </w:r>
          </w:p>
        </w:tc>
        <w:tc>
          <w:tcPr>
            <w:tcW w:w="967" w:type="dxa"/>
            <w:vMerge/>
            <w:tcBorders>
              <w:top w:val="nil"/>
              <w:left w:val="nil"/>
              <w:bottom w:val="single" w:sz="8" w:space="0" w:color="000000"/>
              <w:right w:val="nil"/>
            </w:tcBorders>
            <w:vAlign w:val="center"/>
            <w:hideMark/>
          </w:tcPr>
          <w:p w14:paraId="018CB948" w14:textId="77777777" w:rsidR="00D5130A" w:rsidRPr="00D5130A" w:rsidRDefault="00D5130A" w:rsidP="00D5130A">
            <w:pPr>
              <w:widowControl/>
              <w:overflowPunct/>
              <w:autoSpaceDE/>
              <w:autoSpaceDN/>
              <w:adjustRightInd/>
              <w:textAlignment w:val="auto"/>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0EACC0F2" w14:textId="2CDA4646"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0.2</w:t>
            </w:r>
          </w:p>
        </w:tc>
        <w:tc>
          <w:tcPr>
            <w:tcW w:w="1106" w:type="dxa"/>
            <w:tcBorders>
              <w:top w:val="nil"/>
              <w:left w:val="nil"/>
              <w:bottom w:val="single" w:sz="8" w:space="0" w:color="auto"/>
              <w:right w:val="nil"/>
            </w:tcBorders>
            <w:shd w:val="clear" w:color="auto" w:fill="auto"/>
            <w:vAlign w:val="center"/>
            <w:hideMark/>
          </w:tcPr>
          <w:p w14:paraId="1472C9D4" w14:textId="7C29AC2C"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NA</w:t>
            </w:r>
            <w:r w:rsidRPr="00D5130A">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12B574B1" w14:textId="6DC9CEF1"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0.85</w:t>
            </w:r>
          </w:p>
        </w:tc>
        <w:tc>
          <w:tcPr>
            <w:tcW w:w="1150" w:type="dxa"/>
            <w:tcBorders>
              <w:top w:val="nil"/>
              <w:left w:val="nil"/>
              <w:bottom w:val="single" w:sz="8" w:space="0" w:color="auto"/>
              <w:right w:val="nil"/>
            </w:tcBorders>
            <w:shd w:val="clear" w:color="auto" w:fill="auto"/>
            <w:vAlign w:val="center"/>
            <w:hideMark/>
          </w:tcPr>
          <w:p w14:paraId="564A5BA4" w14:textId="26A1BE6A" w:rsidR="00D5130A" w:rsidRPr="00D5130A" w:rsidRDefault="00D5130A" w:rsidP="00D5130A">
            <w:pPr>
              <w:widowControl/>
              <w:overflowPunct/>
              <w:autoSpaceDE/>
              <w:autoSpaceDN/>
              <w:adjustRightInd/>
              <w:jc w:val="right"/>
              <w:textAlignment w:val="auto"/>
              <w:rPr>
                <w:color w:val="000000"/>
                <w:szCs w:val="24"/>
                <w:lang w:eastAsia="ko-KR"/>
              </w:rPr>
            </w:pPr>
            <w:r w:rsidRPr="00D5130A">
              <w:rPr>
                <w:color w:val="000000"/>
              </w:rPr>
              <w:t>0.328</w:t>
            </w:r>
          </w:p>
        </w:tc>
        <w:tc>
          <w:tcPr>
            <w:tcW w:w="939" w:type="dxa"/>
            <w:tcBorders>
              <w:top w:val="nil"/>
              <w:left w:val="nil"/>
              <w:bottom w:val="single" w:sz="8" w:space="0" w:color="auto"/>
              <w:right w:val="nil"/>
            </w:tcBorders>
            <w:shd w:val="clear" w:color="auto" w:fill="auto"/>
            <w:vAlign w:val="center"/>
            <w:hideMark/>
          </w:tcPr>
          <w:p w14:paraId="7DAA80A6" w14:textId="35EDC21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11164F34" w14:textId="65CDDD0D"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3</w:t>
            </w:r>
          </w:p>
        </w:tc>
        <w:tc>
          <w:tcPr>
            <w:tcW w:w="1296" w:type="dxa"/>
            <w:tcBorders>
              <w:top w:val="nil"/>
              <w:left w:val="nil"/>
              <w:bottom w:val="single" w:sz="8" w:space="0" w:color="auto"/>
              <w:right w:val="nil"/>
            </w:tcBorders>
            <w:shd w:val="clear" w:color="auto" w:fill="auto"/>
            <w:vAlign w:val="center"/>
            <w:hideMark/>
          </w:tcPr>
          <w:p w14:paraId="1FE92AC6" w14:textId="71E06C99"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840</w:t>
            </w:r>
          </w:p>
        </w:tc>
        <w:tc>
          <w:tcPr>
            <w:tcW w:w="1086" w:type="dxa"/>
            <w:vMerge/>
            <w:tcBorders>
              <w:top w:val="nil"/>
              <w:left w:val="nil"/>
              <w:bottom w:val="single" w:sz="8" w:space="0" w:color="000000"/>
              <w:right w:val="nil"/>
            </w:tcBorders>
            <w:vAlign w:val="center"/>
            <w:hideMark/>
          </w:tcPr>
          <w:p w14:paraId="4F1AC033" w14:textId="77777777" w:rsidR="00D5130A" w:rsidRPr="008E0367" w:rsidRDefault="00D5130A" w:rsidP="00D5130A">
            <w:pPr>
              <w:widowControl/>
              <w:overflowPunct/>
              <w:autoSpaceDE/>
              <w:autoSpaceDN/>
              <w:adjustRightInd/>
              <w:textAlignment w:val="auto"/>
              <w:rPr>
                <w:color w:val="000000"/>
                <w:szCs w:val="24"/>
                <w:lang w:eastAsia="ko-KR"/>
              </w:rPr>
            </w:pPr>
          </w:p>
        </w:tc>
      </w:tr>
      <w:tr w:rsidR="00343DCA" w:rsidRPr="008E0367" w14:paraId="74E39F0E" w14:textId="77777777" w:rsidTr="004B3DA3">
        <w:trPr>
          <w:trHeight w:val="300"/>
        </w:trPr>
        <w:tc>
          <w:tcPr>
            <w:tcW w:w="1656" w:type="dxa"/>
            <w:tcBorders>
              <w:top w:val="nil"/>
              <w:left w:val="nil"/>
              <w:bottom w:val="nil"/>
              <w:right w:val="nil"/>
            </w:tcBorders>
            <w:shd w:val="clear" w:color="auto" w:fill="auto"/>
            <w:vAlign w:val="center"/>
            <w:hideMark/>
          </w:tcPr>
          <w:p w14:paraId="1A8B1098" w14:textId="79C410D9"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Participant</w:t>
            </w:r>
          </w:p>
        </w:tc>
        <w:tc>
          <w:tcPr>
            <w:tcW w:w="1043" w:type="dxa"/>
            <w:tcBorders>
              <w:top w:val="nil"/>
              <w:left w:val="nil"/>
              <w:bottom w:val="nil"/>
              <w:right w:val="nil"/>
            </w:tcBorders>
            <w:shd w:val="clear" w:color="auto" w:fill="auto"/>
            <w:vAlign w:val="center"/>
            <w:hideMark/>
          </w:tcPr>
          <w:p w14:paraId="640865F7" w14:textId="07976620"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Postal</w:t>
            </w:r>
          </w:p>
        </w:tc>
        <w:tc>
          <w:tcPr>
            <w:tcW w:w="967" w:type="dxa"/>
            <w:vMerge w:val="restart"/>
            <w:tcBorders>
              <w:top w:val="nil"/>
              <w:left w:val="nil"/>
              <w:bottom w:val="single" w:sz="8" w:space="0" w:color="000000"/>
              <w:right w:val="nil"/>
            </w:tcBorders>
            <w:shd w:val="clear" w:color="auto" w:fill="auto"/>
            <w:vAlign w:val="center"/>
            <w:hideMark/>
          </w:tcPr>
          <w:p w14:paraId="313CB143" w14:textId="6058E5C5"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96</w:t>
            </w:r>
          </w:p>
        </w:tc>
        <w:tc>
          <w:tcPr>
            <w:tcW w:w="912" w:type="dxa"/>
            <w:tcBorders>
              <w:top w:val="nil"/>
              <w:left w:val="nil"/>
              <w:bottom w:val="nil"/>
              <w:right w:val="nil"/>
            </w:tcBorders>
            <w:shd w:val="clear" w:color="auto" w:fill="auto"/>
            <w:vAlign w:val="center"/>
            <w:hideMark/>
          </w:tcPr>
          <w:p w14:paraId="00692CD6" w14:textId="67BC5D5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0.25</w:t>
            </w:r>
          </w:p>
        </w:tc>
        <w:tc>
          <w:tcPr>
            <w:tcW w:w="1106" w:type="dxa"/>
            <w:tcBorders>
              <w:top w:val="nil"/>
              <w:left w:val="nil"/>
              <w:bottom w:val="nil"/>
              <w:right w:val="nil"/>
            </w:tcBorders>
            <w:shd w:val="clear" w:color="auto" w:fill="auto"/>
            <w:vAlign w:val="center"/>
            <w:hideMark/>
          </w:tcPr>
          <w:p w14:paraId="5DE9CAE2" w14:textId="222F9698"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0.4</w:t>
            </w:r>
          </w:p>
        </w:tc>
        <w:tc>
          <w:tcPr>
            <w:tcW w:w="1550" w:type="dxa"/>
            <w:tcBorders>
              <w:top w:val="nil"/>
              <w:left w:val="nil"/>
              <w:bottom w:val="nil"/>
              <w:right w:val="nil"/>
            </w:tcBorders>
            <w:shd w:val="clear" w:color="auto" w:fill="auto"/>
            <w:vAlign w:val="center"/>
            <w:hideMark/>
          </w:tcPr>
          <w:p w14:paraId="6D192255" w14:textId="1EC5D06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0.15</w:t>
            </w:r>
          </w:p>
        </w:tc>
        <w:tc>
          <w:tcPr>
            <w:tcW w:w="1150" w:type="dxa"/>
            <w:tcBorders>
              <w:top w:val="nil"/>
              <w:left w:val="nil"/>
              <w:bottom w:val="nil"/>
              <w:right w:val="nil"/>
            </w:tcBorders>
            <w:shd w:val="clear" w:color="auto" w:fill="auto"/>
            <w:vAlign w:val="center"/>
            <w:hideMark/>
          </w:tcPr>
          <w:p w14:paraId="7847041F" w14:textId="74599067" w:rsidR="00D5130A" w:rsidRPr="00D5130A" w:rsidRDefault="00D5130A" w:rsidP="00D5130A">
            <w:pPr>
              <w:widowControl/>
              <w:overflowPunct/>
              <w:autoSpaceDE/>
              <w:autoSpaceDN/>
              <w:adjustRightInd/>
              <w:jc w:val="right"/>
              <w:textAlignment w:val="auto"/>
              <w:rPr>
                <w:color w:val="000000"/>
                <w:szCs w:val="24"/>
                <w:lang w:eastAsia="ko-KR"/>
              </w:rPr>
            </w:pPr>
            <w:r w:rsidRPr="00D5130A">
              <w:rPr>
                <w:color w:val="000000"/>
              </w:rPr>
              <w:t>1</w:t>
            </w:r>
          </w:p>
        </w:tc>
        <w:tc>
          <w:tcPr>
            <w:tcW w:w="939" w:type="dxa"/>
            <w:tcBorders>
              <w:top w:val="nil"/>
              <w:left w:val="nil"/>
              <w:bottom w:val="nil"/>
              <w:right w:val="nil"/>
            </w:tcBorders>
            <w:shd w:val="clear" w:color="auto" w:fill="auto"/>
            <w:vAlign w:val="center"/>
            <w:hideMark/>
          </w:tcPr>
          <w:p w14:paraId="5776132B" w14:textId="1330EF91"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0.7</w:t>
            </w:r>
          </w:p>
        </w:tc>
        <w:tc>
          <w:tcPr>
            <w:tcW w:w="1255" w:type="dxa"/>
            <w:tcBorders>
              <w:top w:val="nil"/>
              <w:left w:val="nil"/>
              <w:bottom w:val="nil"/>
              <w:right w:val="single" w:sz="8" w:space="0" w:color="auto"/>
            </w:tcBorders>
            <w:shd w:val="clear" w:color="auto" w:fill="auto"/>
            <w:vAlign w:val="center"/>
            <w:hideMark/>
          </w:tcPr>
          <w:p w14:paraId="67CA46D7" w14:textId="194AFE5D"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1</w:t>
            </w:r>
          </w:p>
        </w:tc>
        <w:tc>
          <w:tcPr>
            <w:tcW w:w="1296" w:type="dxa"/>
            <w:tcBorders>
              <w:top w:val="nil"/>
              <w:left w:val="nil"/>
              <w:bottom w:val="nil"/>
              <w:right w:val="nil"/>
            </w:tcBorders>
            <w:shd w:val="clear" w:color="auto" w:fill="auto"/>
            <w:vAlign w:val="center"/>
            <w:hideMark/>
          </w:tcPr>
          <w:p w14:paraId="560C875D" w14:textId="257708D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280</w:t>
            </w:r>
          </w:p>
        </w:tc>
        <w:tc>
          <w:tcPr>
            <w:tcW w:w="1086" w:type="dxa"/>
            <w:vMerge w:val="restart"/>
            <w:tcBorders>
              <w:top w:val="nil"/>
              <w:left w:val="nil"/>
              <w:bottom w:val="single" w:sz="8" w:space="0" w:color="000000"/>
              <w:right w:val="nil"/>
            </w:tcBorders>
            <w:shd w:val="clear" w:color="auto" w:fill="auto"/>
            <w:vAlign w:val="center"/>
            <w:hideMark/>
          </w:tcPr>
          <w:p w14:paraId="39B1CBC9" w14:textId="13088716"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26,880</w:t>
            </w:r>
          </w:p>
        </w:tc>
      </w:tr>
      <w:tr w:rsidR="00343DCA" w:rsidRPr="008E0367" w14:paraId="2AD63E7C"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5B59CF66" w14:textId="5CA497B2"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Nonparticipant</w:t>
            </w:r>
          </w:p>
        </w:tc>
        <w:tc>
          <w:tcPr>
            <w:tcW w:w="1043" w:type="dxa"/>
            <w:tcBorders>
              <w:top w:val="nil"/>
              <w:left w:val="nil"/>
              <w:bottom w:val="single" w:sz="8" w:space="0" w:color="auto"/>
              <w:right w:val="nil"/>
            </w:tcBorders>
            <w:shd w:val="clear" w:color="auto" w:fill="auto"/>
            <w:vAlign w:val="center"/>
            <w:hideMark/>
          </w:tcPr>
          <w:p w14:paraId="1F766AE0" w14:textId="42264BBD" w:rsidR="00D5130A" w:rsidRPr="00D5130A" w:rsidRDefault="00D5130A" w:rsidP="00D5130A">
            <w:pPr>
              <w:widowControl/>
              <w:overflowPunct/>
              <w:autoSpaceDE/>
              <w:autoSpaceDN/>
              <w:adjustRightInd/>
              <w:textAlignment w:val="auto"/>
              <w:rPr>
                <w:color w:val="000000"/>
                <w:szCs w:val="24"/>
                <w:lang w:eastAsia="ko-KR"/>
              </w:rPr>
            </w:pPr>
            <w:r w:rsidRPr="00D5130A">
              <w:rPr>
                <w:color w:val="000000"/>
              </w:rPr>
              <w:t>Postal</w:t>
            </w:r>
          </w:p>
        </w:tc>
        <w:tc>
          <w:tcPr>
            <w:tcW w:w="967" w:type="dxa"/>
            <w:vMerge/>
            <w:tcBorders>
              <w:top w:val="nil"/>
              <w:left w:val="nil"/>
              <w:bottom w:val="single" w:sz="8" w:space="0" w:color="000000"/>
              <w:right w:val="nil"/>
            </w:tcBorders>
            <w:vAlign w:val="center"/>
            <w:hideMark/>
          </w:tcPr>
          <w:p w14:paraId="1CEEDFA8" w14:textId="77777777" w:rsidR="00D5130A" w:rsidRPr="00D5130A" w:rsidRDefault="00D5130A" w:rsidP="00D5130A">
            <w:pPr>
              <w:widowControl/>
              <w:overflowPunct/>
              <w:autoSpaceDE/>
              <w:autoSpaceDN/>
              <w:adjustRightInd/>
              <w:textAlignment w:val="auto"/>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1306E010" w14:textId="4154906E"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0.2</w:t>
            </w:r>
          </w:p>
        </w:tc>
        <w:tc>
          <w:tcPr>
            <w:tcW w:w="1106" w:type="dxa"/>
            <w:tcBorders>
              <w:top w:val="nil"/>
              <w:left w:val="nil"/>
              <w:bottom w:val="single" w:sz="8" w:space="0" w:color="auto"/>
              <w:right w:val="nil"/>
            </w:tcBorders>
            <w:shd w:val="clear" w:color="auto" w:fill="auto"/>
            <w:vAlign w:val="center"/>
            <w:hideMark/>
          </w:tcPr>
          <w:p w14:paraId="09CE89DA" w14:textId="77AB0C36"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0.4</w:t>
            </w:r>
          </w:p>
        </w:tc>
        <w:tc>
          <w:tcPr>
            <w:tcW w:w="1550" w:type="dxa"/>
            <w:tcBorders>
              <w:top w:val="nil"/>
              <w:left w:val="nil"/>
              <w:bottom w:val="single" w:sz="8" w:space="0" w:color="auto"/>
              <w:right w:val="nil"/>
            </w:tcBorders>
            <w:shd w:val="clear" w:color="auto" w:fill="auto"/>
            <w:vAlign w:val="center"/>
            <w:hideMark/>
          </w:tcPr>
          <w:p w14:paraId="538B20F9" w14:textId="455F45EA"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0.85</w:t>
            </w:r>
          </w:p>
        </w:tc>
        <w:tc>
          <w:tcPr>
            <w:tcW w:w="1150" w:type="dxa"/>
            <w:tcBorders>
              <w:top w:val="nil"/>
              <w:left w:val="nil"/>
              <w:bottom w:val="single" w:sz="8" w:space="0" w:color="auto"/>
              <w:right w:val="nil"/>
            </w:tcBorders>
            <w:shd w:val="clear" w:color="auto" w:fill="auto"/>
            <w:vAlign w:val="center"/>
            <w:hideMark/>
          </w:tcPr>
          <w:p w14:paraId="1B7CD3D1" w14:textId="60ADC9E6" w:rsidR="00D5130A" w:rsidRPr="00D5130A" w:rsidRDefault="00D5130A" w:rsidP="00D5130A">
            <w:pPr>
              <w:widowControl/>
              <w:overflowPunct/>
              <w:autoSpaceDE/>
              <w:autoSpaceDN/>
              <w:adjustRightInd/>
              <w:jc w:val="right"/>
              <w:textAlignment w:val="auto"/>
              <w:rPr>
                <w:color w:val="000000"/>
                <w:szCs w:val="24"/>
                <w:lang w:eastAsia="ko-KR"/>
              </w:rPr>
            </w:pPr>
            <w:r w:rsidRPr="00D5130A">
              <w:rPr>
                <w:color w:val="000000"/>
              </w:rPr>
              <w:t>0.219</w:t>
            </w:r>
          </w:p>
        </w:tc>
        <w:tc>
          <w:tcPr>
            <w:tcW w:w="939" w:type="dxa"/>
            <w:tcBorders>
              <w:top w:val="nil"/>
              <w:left w:val="nil"/>
              <w:bottom w:val="single" w:sz="8" w:space="0" w:color="auto"/>
              <w:right w:val="nil"/>
            </w:tcBorders>
            <w:shd w:val="clear" w:color="auto" w:fill="auto"/>
            <w:vAlign w:val="center"/>
            <w:hideMark/>
          </w:tcPr>
          <w:p w14:paraId="1ED6A6DC" w14:textId="31D907F2"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2BCC06A9" w14:textId="5B769614"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1</w:t>
            </w:r>
          </w:p>
        </w:tc>
        <w:tc>
          <w:tcPr>
            <w:tcW w:w="1296" w:type="dxa"/>
            <w:tcBorders>
              <w:top w:val="nil"/>
              <w:left w:val="nil"/>
              <w:bottom w:val="single" w:sz="8" w:space="0" w:color="auto"/>
              <w:right w:val="nil"/>
            </w:tcBorders>
            <w:shd w:val="clear" w:color="auto" w:fill="auto"/>
            <w:vAlign w:val="center"/>
            <w:hideMark/>
          </w:tcPr>
          <w:p w14:paraId="4D2858D6" w14:textId="13E4D5D3" w:rsidR="00D5130A" w:rsidRPr="00D5130A" w:rsidRDefault="00D5130A" w:rsidP="00D5130A">
            <w:pPr>
              <w:widowControl/>
              <w:overflowPunct/>
              <w:autoSpaceDE/>
              <w:autoSpaceDN/>
              <w:adjustRightInd/>
              <w:jc w:val="center"/>
              <w:textAlignment w:val="auto"/>
              <w:rPr>
                <w:color w:val="000000"/>
                <w:szCs w:val="24"/>
                <w:lang w:eastAsia="ko-KR"/>
              </w:rPr>
            </w:pPr>
            <w:r w:rsidRPr="00D5130A">
              <w:rPr>
                <w:color w:val="000000"/>
              </w:rPr>
              <w:t>280</w:t>
            </w:r>
          </w:p>
        </w:tc>
        <w:tc>
          <w:tcPr>
            <w:tcW w:w="1086" w:type="dxa"/>
            <w:vMerge/>
            <w:tcBorders>
              <w:top w:val="nil"/>
              <w:left w:val="nil"/>
              <w:bottom w:val="single" w:sz="8" w:space="0" w:color="000000"/>
              <w:right w:val="nil"/>
            </w:tcBorders>
            <w:vAlign w:val="center"/>
            <w:hideMark/>
          </w:tcPr>
          <w:p w14:paraId="1FE4E29C" w14:textId="77777777" w:rsidR="00D5130A" w:rsidRPr="008E0367" w:rsidRDefault="00D5130A" w:rsidP="00D5130A">
            <w:pPr>
              <w:widowControl/>
              <w:overflowPunct/>
              <w:autoSpaceDE/>
              <w:autoSpaceDN/>
              <w:adjustRightInd/>
              <w:textAlignment w:val="auto"/>
              <w:rPr>
                <w:color w:val="000000"/>
                <w:szCs w:val="24"/>
                <w:lang w:eastAsia="ko-KR"/>
              </w:rPr>
            </w:pPr>
          </w:p>
        </w:tc>
      </w:tr>
      <w:tr w:rsidR="00FE53D2" w:rsidRPr="008E0367" w14:paraId="2C6102E0" w14:textId="77777777" w:rsidTr="001E5604">
        <w:trPr>
          <w:trHeight w:val="315"/>
        </w:trPr>
        <w:tc>
          <w:tcPr>
            <w:tcW w:w="12960" w:type="dxa"/>
            <w:gridSpan w:val="11"/>
            <w:tcBorders>
              <w:top w:val="nil"/>
              <w:left w:val="nil"/>
              <w:bottom w:val="single" w:sz="8" w:space="0" w:color="auto"/>
              <w:right w:val="nil"/>
            </w:tcBorders>
            <w:shd w:val="clear" w:color="000000" w:fill="BFBFBF"/>
            <w:vAlign w:val="center"/>
            <w:hideMark/>
          </w:tcPr>
          <w:p w14:paraId="7827DD48" w14:textId="750A60ED" w:rsidR="00FE53D2" w:rsidRPr="008E0367" w:rsidRDefault="00796BB7" w:rsidP="00B760CB">
            <w:pPr>
              <w:widowControl/>
              <w:overflowPunct/>
              <w:autoSpaceDE/>
              <w:autoSpaceDN/>
              <w:adjustRightInd/>
              <w:jc w:val="center"/>
              <w:textAlignment w:val="auto"/>
              <w:rPr>
                <w:b/>
                <w:bCs/>
                <w:color w:val="000000"/>
                <w:szCs w:val="24"/>
                <w:lang w:eastAsia="ko-KR"/>
              </w:rPr>
            </w:pPr>
            <w:r>
              <w:rPr>
                <w:b/>
                <w:bCs/>
                <w:color w:val="000000"/>
                <w:szCs w:val="24"/>
                <w:lang w:eastAsia="ko-KR"/>
              </w:rPr>
              <w:t xml:space="preserve">SFSP </w:t>
            </w:r>
            <w:r w:rsidR="00FE53D2" w:rsidRPr="008E0367">
              <w:rPr>
                <w:b/>
                <w:bCs/>
                <w:color w:val="000000"/>
                <w:szCs w:val="24"/>
                <w:lang w:eastAsia="ko-KR"/>
              </w:rPr>
              <w:t>Closed site (</w:t>
            </w:r>
            <w:r w:rsidR="00EE6685" w:rsidRPr="008E0367">
              <w:rPr>
                <w:b/>
                <w:bCs/>
                <w:color w:val="000000"/>
                <w:szCs w:val="24"/>
                <w:lang w:eastAsia="ko-KR"/>
              </w:rPr>
              <w:t>n=</w:t>
            </w:r>
            <w:r w:rsidR="00FE53D2" w:rsidRPr="008E0367">
              <w:rPr>
                <w:b/>
                <w:bCs/>
                <w:color w:val="000000"/>
                <w:szCs w:val="24"/>
                <w:lang w:eastAsia="ko-KR"/>
              </w:rPr>
              <w:t>140)</w:t>
            </w:r>
          </w:p>
        </w:tc>
      </w:tr>
      <w:tr w:rsidR="00343DCA" w:rsidRPr="008E0367" w14:paraId="3BB0A5AF" w14:textId="77777777" w:rsidTr="004B3DA3">
        <w:trPr>
          <w:trHeight w:val="300"/>
        </w:trPr>
        <w:tc>
          <w:tcPr>
            <w:tcW w:w="1656" w:type="dxa"/>
            <w:tcBorders>
              <w:top w:val="nil"/>
              <w:left w:val="nil"/>
              <w:bottom w:val="nil"/>
              <w:right w:val="nil"/>
            </w:tcBorders>
            <w:shd w:val="clear" w:color="auto" w:fill="auto"/>
            <w:vAlign w:val="center"/>
            <w:hideMark/>
          </w:tcPr>
          <w:p w14:paraId="20B81E9F" w14:textId="4A1052CA" w:rsidR="003D45DB" w:rsidRPr="008E0367" w:rsidRDefault="003D45DB" w:rsidP="003D45DB">
            <w:pPr>
              <w:widowControl/>
              <w:overflowPunct/>
              <w:autoSpaceDE/>
              <w:autoSpaceDN/>
              <w:adjustRightInd/>
              <w:textAlignment w:val="auto"/>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527B8C08" w14:textId="449F5FC1" w:rsidR="003D45DB" w:rsidRPr="008E0367" w:rsidRDefault="003D45DB" w:rsidP="003D45DB">
            <w:pPr>
              <w:widowControl/>
              <w:overflowPunct/>
              <w:autoSpaceDE/>
              <w:autoSpaceDN/>
              <w:adjustRightInd/>
              <w:textAlignment w:val="auto"/>
              <w:rPr>
                <w:color w:val="000000"/>
                <w:szCs w:val="24"/>
                <w:lang w:eastAsia="ko-KR"/>
              </w:rPr>
            </w:pPr>
            <w:r>
              <w:rPr>
                <w:color w:val="000000"/>
              </w:rPr>
              <w:t>Enrolled</w:t>
            </w:r>
          </w:p>
        </w:tc>
        <w:tc>
          <w:tcPr>
            <w:tcW w:w="967" w:type="dxa"/>
            <w:tcBorders>
              <w:top w:val="nil"/>
              <w:left w:val="nil"/>
              <w:bottom w:val="nil"/>
              <w:right w:val="nil"/>
            </w:tcBorders>
            <w:shd w:val="clear" w:color="auto" w:fill="auto"/>
            <w:vAlign w:val="center"/>
            <w:hideMark/>
          </w:tcPr>
          <w:p w14:paraId="68B7F9AD" w14:textId="31294B5A"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8</w:t>
            </w:r>
          </w:p>
        </w:tc>
        <w:tc>
          <w:tcPr>
            <w:tcW w:w="912" w:type="dxa"/>
            <w:tcBorders>
              <w:top w:val="nil"/>
              <w:left w:val="nil"/>
              <w:bottom w:val="nil"/>
              <w:right w:val="nil"/>
            </w:tcBorders>
            <w:shd w:val="clear" w:color="auto" w:fill="auto"/>
            <w:vAlign w:val="center"/>
            <w:hideMark/>
          </w:tcPr>
          <w:p w14:paraId="74F25BD4" w14:textId="64F434F4"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2</w:t>
            </w:r>
          </w:p>
        </w:tc>
        <w:tc>
          <w:tcPr>
            <w:tcW w:w="1106" w:type="dxa"/>
            <w:tcBorders>
              <w:top w:val="nil"/>
              <w:left w:val="nil"/>
              <w:bottom w:val="nil"/>
              <w:right w:val="nil"/>
            </w:tcBorders>
            <w:shd w:val="clear" w:color="auto" w:fill="auto"/>
            <w:vAlign w:val="center"/>
            <w:hideMark/>
          </w:tcPr>
          <w:p w14:paraId="10B9C922" w14:textId="07A04EDC"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p>
        </w:tc>
        <w:tc>
          <w:tcPr>
            <w:tcW w:w="1550" w:type="dxa"/>
            <w:tcBorders>
              <w:top w:val="nil"/>
              <w:left w:val="nil"/>
              <w:bottom w:val="nil"/>
              <w:right w:val="nil"/>
            </w:tcBorders>
            <w:shd w:val="clear" w:color="auto" w:fill="auto"/>
            <w:vAlign w:val="center"/>
            <w:hideMark/>
          </w:tcPr>
          <w:p w14:paraId="4265CD3B" w14:textId="2BFDF5B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50" w:type="dxa"/>
            <w:tcBorders>
              <w:top w:val="nil"/>
              <w:left w:val="nil"/>
              <w:bottom w:val="nil"/>
              <w:right w:val="nil"/>
            </w:tcBorders>
            <w:shd w:val="clear" w:color="auto" w:fill="auto"/>
            <w:vAlign w:val="center"/>
            <w:hideMark/>
          </w:tcPr>
          <w:p w14:paraId="567F2CE5" w14:textId="48C80BE7"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67EA2C93" w14:textId="3D7D6D04"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0.5</w:t>
            </w:r>
          </w:p>
        </w:tc>
        <w:tc>
          <w:tcPr>
            <w:tcW w:w="1255" w:type="dxa"/>
            <w:tcBorders>
              <w:top w:val="nil"/>
              <w:left w:val="nil"/>
              <w:bottom w:val="nil"/>
              <w:right w:val="single" w:sz="8" w:space="0" w:color="auto"/>
            </w:tcBorders>
            <w:shd w:val="clear" w:color="auto" w:fill="auto"/>
            <w:vAlign w:val="center"/>
            <w:hideMark/>
          </w:tcPr>
          <w:p w14:paraId="1DBCE603" w14:textId="0FCC12F7"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4</w:t>
            </w:r>
          </w:p>
        </w:tc>
        <w:tc>
          <w:tcPr>
            <w:tcW w:w="1296" w:type="dxa"/>
            <w:tcBorders>
              <w:top w:val="nil"/>
              <w:left w:val="nil"/>
              <w:bottom w:val="nil"/>
              <w:right w:val="nil"/>
            </w:tcBorders>
            <w:shd w:val="clear" w:color="auto" w:fill="auto"/>
            <w:vAlign w:val="center"/>
            <w:hideMark/>
          </w:tcPr>
          <w:p w14:paraId="72D0B610" w14:textId="23003F69"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560</w:t>
            </w:r>
          </w:p>
        </w:tc>
        <w:tc>
          <w:tcPr>
            <w:tcW w:w="1086" w:type="dxa"/>
            <w:tcBorders>
              <w:top w:val="nil"/>
              <w:left w:val="nil"/>
              <w:bottom w:val="nil"/>
              <w:right w:val="nil"/>
            </w:tcBorders>
            <w:shd w:val="clear" w:color="auto" w:fill="auto"/>
            <w:vAlign w:val="center"/>
            <w:hideMark/>
          </w:tcPr>
          <w:p w14:paraId="4BE56DC3" w14:textId="5A1CF31C"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2</w:t>
            </w:r>
          </w:p>
        </w:tc>
      </w:tr>
      <w:tr w:rsidR="00343DCA" w:rsidRPr="008E0367" w14:paraId="639BB586" w14:textId="77777777" w:rsidTr="004B3DA3">
        <w:trPr>
          <w:trHeight w:val="300"/>
        </w:trPr>
        <w:tc>
          <w:tcPr>
            <w:tcW w:w="1656" w:type="dxa"/>
            <w:tcBorders>
              <w:top w:val="nil"/>
              <w:left w:val="nil"/>
              <w:bottom w:val="nil"/>
              <w:right w:val="nil"/>
            </w:tcBorders>
            <w:shd w:val="clear" w:color="auto" w:fill="auto"/>
            <w:vAlign w:val="center"/>
            <w:hideMark/>
          </w:tcPr>
          <w:p w14:paraId="02D10E3C" w14:textId="23A764C5" w:rsidR="003D45DB" w:rsidRPr="008E0367" w:rsidRDefault="003D45DB" w:rsidP="003D45DB">
            <w:pPr>
              <w:widowControl/>
              <w:overflowPunct/>
              <w:autoSpaceDE/>
              <w:autoSpaceDN/>
              <w:adjustRightInd/>
              <w:textAlignment w:val="auto"/>
              <w:rPr>
                <w:color w:val="000000"/>
                <w:szCs w:val="24"/>
                <w:lang w:eastAsia="ko-KR"/>
              </w:rPr>
            </w:pPr>
            <w:r>
              <w:rPr>
                <w:color w:val="000000"/>
              </w:rPr>
              <w:t>Nonparticipant</w:t>
            </w:r>
          </w:p>
        </w:tc>
        <w:tc>
          <w:tcPr>
            <w:tcW w:w="1043" w:type="dxa"/>
            <w:tcBorders>
              <w:top w:val="nil"/>
              <w:left w:val="nil"/>
              <w:bottom w:val="nil"/>
              <w:right w:val="nil"/>
            </w:tcBorders>
            <w:shd w:val="clear" w:color="auto" w:fill="auto"/>
            <w:vAlign w:val="center"/>
            <w:hideMark/>
          </w:tcPr>
          <w:p w14:paraId="291BB73D" w14:textId="67D1AD1C" w:rsidR="003D45DB" w:rsidRPr="008E0367" w:rsidRDefault="003D45DB" w:rsidP="003D45DB">
            <w:pPr>
              <w:widowControl/>
              <w:overflowPunct/>
              <w:autoSpaceDE/>
              <w:autoSpaceDN/>
              <w:adjustRightInd/>
              <w:textAlignment w:val="auto"/>
              <w:rPr>
                <w:color w:val="000000"/>
                <w:szCs w:val="24"/>
                <w:lang w:eastAsia="ko-KR"/>
              </w:rPr>
            </w:pPr>
            <w:r>
              <w:rPr>
                <w:color w:val="000000"/>
              </w:rPr>
              <w:t>SNAP</w:t>
            </w:r>
          </w:p>
        </w:tc>
        <w:tc>
          <w:tcPr>
            <w:tcW w:w="967" w:type="dxa"/>
            <w:tcBorders>
              <w:top w:val="nil"/>
              <w:left w:val="nil"/>
              <w:bottom w:val="nil"/>
              <w:right w:val="nil"/>
            </w:tcBorders>
            <w:shd w:val="clear" w:color="auto" w:fill="auto"/>
            <w:vAlign w:val="center"/>
            <w:hideMark/>
          </w:tcPr>
          <w:p w14:paraId="275175C8" w14:textId="71EAF950"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35</w:t>
            </w:r>
          </w:p>
        </w:tc>
        <w:tc>
          <w:tcPr>
            <w:tcW w:w="912" w:type="dxa"/>
            <w:tcBorders>
              <w:top w:val="nil"/>
              <w:left w:val="nil"/>
              <w:bottom w:val="nil"/>
              <w:right w:val="nil"/>
            </w:tcBorders>
            <w:shd w:val="clear" w:color="auto" w:fill="auto"/>
            <w:vAlign w:val="center"/>
            <w:hideMark/>
          </w:tcPr>
          <w:p w14:paraId="7B20433C" w14:textId="5B1CABAC"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1FC03CE0" w14:textId="72431731" w:rsidR="003D45DB" w:rsidRPr="008E0367" w:rsidRDefault="006F7772"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550" w:type="dxa"/>
            <w:tcBorders>
              <w:top w:val="nil"/>
              <w:left w:val="nil"/>
              <w:bottom w:val="nil"/>
              <w:right w:val="nil"/>
            </w:tcBorders>
            <w:shd w:val="clear" w:color="auto" w:fill="auto"/>
            <w:vAlign w:val="center"/>
            <w:hideMark/>
          </w:tcPr>
          <w:p w14:paraId="2CEC1C64" w14:textId="55FFF6B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50" w:type="dxa"/>
            <w:tcBorders>
              <w:top w:val="nil"/>
              <w:left w:val="nil"/>
              <w:bottom w:val="nil"/>
              <w:right w:val="nil"/>
            </w:tcBorders>
            <w:shd w:val="clear" w:color="auto" w:fill="auto"/>
            <w:vAlign w:val="center"/>
            <w:hideMark/>
          </w:tcPr>
          <w:p w14:paraId="7909F8F3" w14:textId="57A87E7B"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0EA06D34" w14:textId="760910C4"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3B8A1F29" w14:textId="22CAB4FD" w:rsidR="003D45DB" w:rsidRPr="008E0367" w:rsidRDefault="006F7772" w:rsidP="003D45DB">
            <w:pPr>
              <w:widowControl/>
              <w:overflowPunct/>
              <w:autoSpaceDE/>
              <w:autoSpaceDN/>
              <w:adjustRightInd/>
              <w:jc w:val="center"/>
              <w:textAlignment w:val="auto"/>
              <w:rPr>
                <w:color w:val="000000"/>
                <w:szCs w:val="24"/>
                <w:lang w:eastAsia="ko-KR"/>
              </w:rPr>
            </w:pPr>
            <w:r>
              <w:rPr>
                <w:color w:val="000000"/>
                <w:szCs w:val="24"/>
                <w:lang w:eastAsia="ko-KR"/>
              </w:rPr>
              <w:t>6</w:t>
            </w:r>
          </w:p>
        </w:tc>
        <w:tc>
          <w:tcPr>
            <w:tcW w:w="1296" w:type="dxa"/>
            <w:tcBorders>
              <w:top w:val="nil"/>
              <w:left w:val="nil"/>
              <w:bottom w:val="nil"/>
              <w:right w:val="nil"/>
            </w:tcBorders>
            <w:shd w:val="clear" w:color="auto" w:fill="auto"/>
            <w:vAlign w:val="center"/>
            <w:hideMark/>
          </w:tcPr>
          <w:p w14:paraId="3CDA355F" w14:textId="672D36CD" w:rsidR="003D45DB" w:rsidRPr="008E0367" w:rsidRDefault="00E9110E" w:rsidP="00E9110E">
            <w:pPr>
              <w:widowControl/>
              <w:overflowPunct/>
              <w:autoSpaceDE/>
              <w:autoSpaceDN/>
              <w:adjustRightInd/>
              <w:jc w:val="center"/>
              <w:textAlignment w:val="auto"/>
              <w:rPr>
                <w:color w:val="000000"/>
                <w:szCs w:val="24"/>
                <w:lang w:eastAsia="ko-KR"/>
              </w:rPr>
            </w:pPr>
            <w:r>
              <w:rPr>
                <w:color w:val="000000"/>
              </w:rPr>
              <w:t>840</w:t>
            </w:r>
          </w:p>
        </w:tc>
        <w:tc>
          <w:tcPr>
            <w:tcW w:w="1086" w:type="dxa"/>
            <w:tcBorders>
              <w:top w:val="nil"/>
              <w:left w:val="nil"/>
              <w:bottom w:val="nil"/>
              <w:right w:val="nil"/>
            </w:tcBorders>
            <w:shd w:val="clear" w:color="auto" w:fill="auto"/>
            <w:vAlign w:val="center"/>
            <w:hideMark/>
          </w:tcPr>
          <w:p w14:paraId="1A3E504F" w14:textId="0D2A512B"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4,900</w:t>
            </w:r>
          </w:p>
        </w:tc>
      </w:tr>
      <w:tr w:rsidR="00343DCA" w:rsidRPr="008E0367" w14:paraId="24DCBA89"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678FB2D0" w14:textId="2B78A641" w:rsidR="003D45DB" w:rsidRPr="008E0367" w:rsidRDefault="003D45DB" w:rsidP="003D45DB">
            <w:pPr>
              <w:widowControl/>
              <w:overflowPunct/>
              <w:autoSpaceDE/>
              <w:autoSpaceDN/>
              <w:adjustRightInd/>
              <w:textAlignment w:val="auto"/>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0ECBCD4D" w14:textId="4E8ED7F7" w:rsidR="003D45DB" w:rsidRPr="008E0367" w:rsidRDefault="003D45DB" w:rsidP="003D45DB">
            <w:pPr>
              <w:widowControl/>
              <w:overflowPunct/>
              <w:autoSpaceDE/>
              <w:autoSpaceDN/>
              <w:adjustRightInd/>
              <w:textAlignment w:val="auto"/>
              <w:rPr>
                <w:color w:val="000000"/>
                <w:szCs w:val="24"/>
                <w:lang w:eastAsia="ko-KR"/>
              </w:rPr>
            </w:pPr>
            <w:r>
              <w:rPr>
                <w:color w:val="000000"/>
              </w:rPr>
              <w:t>Postal</w:t>
            </w:r>
          </w:p>
        </w:tc>
        <w:tc>
          <w:tcPr>
            <w:tcW w:w="967" w:type="dxa"/>
            <w:tcBorders>
              <w:top w:val="nil"/>
              <w:left w:val="nil"/>
              <w:bottom w:val="single" w:sz="8" w:space="0" w:color="auto"/>
              <w:right w:val="nil"/>
            </w:tcBorders>
            <w:shd w:val="clear" w:color="auto" w:fill="auto"/>
            <w:vAlign w:val="center"/>
            <w:hideMark/>
          </w:tcPr>
          <w:p w14:paraId="3B8FC07D" w14:textId="58FFFC17"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36</w:t>
            </w:r>
          </w:p>
        </w:tc>
        <w:tc>
          <w:tcPr>
            <w:tcW w:w="912" w:type="dxa"/>
            <w:tcBorders>
              <w:top w:val="nil"/>
              <w:left w:val="nil"/>
              <w:bottom w:val="single" w:sz="8" w:space="0" w:color="auto"/>
              <w:right w:val="nil"/>
            </w:tcBorders>
            <w:shd w:val="clear" w:color="auto" w:fill="auto"/>
            <w:vAlign w:val="center"/>
            <w:hideMark/>
          </w:tcPr>
          <w:p w14:paraId="14D85A1F" w14:textId="6F76E4A1"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4B062184" w14:textId="0400476E"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w:t>
            </w:r>
            <w:r w:rsidR="006F7772">
              <w:rPr>
                <w:color w:val="000000"/>
              </w:rPr>
              <w:t>4</w:t>
            </w:r>
          </w:p>
        </w:tc>
        <w:tc>
          <w:tcPr>
            <w:tcW w:w="1550" w:type="dxa"/>
            <w:tcBorders>
              <w:top w:val="nil"/>
              <w:left w:val="nil"/>
              <w:bottom w:val="single" w:sz="8" w:space="0" w:color="auto"/>
              <w:right w:val="nil"/>
            </w:tcBorders>
            <w:shd w:val="clear" w:color="auto" w:fill="auto"/>
            <w:vAlign w:val="center"/>
            <w:hideMark/>
          </w:tcPr>
          <w:p w14:paraId="45409F04" w14:textId="0918863D"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50" w:type="dxa"/>
            <w:tcBorders>
              <w:top w:val="nil"/>
              <w:left w:val="nil"/>
              <w:bottom w:val="single" w:sz="8" w:space="0" w:color="auto"/>
              <w:right w:val="nil"/>
            </w:tcBorders>
            <w:shd w:val="clear" w:color="auto" w:fill="auto"/>
            <w:vAlign w:val="center"/>
            <w:hideMark/>
          </w:tcPr>
          <w:p w14:paraId="5B214307" w14:textId="0CE294C6"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single" w:sz="8" w:space="0" w:color="auto"/>
              <w:right w:val="nil"/>
            </w:tcBorders>
            <w:shd w:val="clear" w:color="auto" w:fill="auto"/>
            <w:vAlign w:val="center"/>
            <w:hideMark/>
          </w:tcPr>
          <w:p w14:paraId="261556EF" w14:textId="6B7235C3"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1BB4DE2D" w14:textId="395B9703" w:rsidR="003D45DB" w:rsidRPr="008E0367" w:rsidRDefault="006F7772" w:rsidP="003D45DB">
            <w:pPr>
              <w:widowControl/>
              <w:overflowPunct/>
              <w:autoSpaceDE/>
              <w:autoSpaceDN/>
              <w:adjustRightInd/>
              <w:jc w:val="center"/>
              <w:textAlignment w:val="auto"/>
              <w:rPr>
                <w:color w:val="000000"/>
                <w:szCs w:val="24"/>
                <w:lang w:eastAsia="ko-KR"/>
              </w:rPr>
            </w:pPr>
            <w:r>
              <w:rPr>
                <w:color w:val="000000"/>
              </w:rPr>
              <w:t>2</w:t>
            </w:r>
          </w:p>
        </w:tc>
        <w:tc>
          <w:tcPr>
            <w:tcW w:w="1296" w:type="dxa"/>
            <w:tcBorders>
              <w:top w:val="nil"/>
              <w:left w:val="nil"/>
              <w:bottom w:val="single" w:sz="8" w:space="0" w:color="auto"/>
              <w:right w:val="nil"/>
            </w:tcBorders>
            <w:shd w:val="clear" w:color="auto" w:fill="auto"/>
            <w:vAlign w:val="center"/>
            <w:hideMark/>
          </w:tcPr>
          <w:p w14:paraId="04BC258A" w14:textId="3253F4BA" w:rsidR="003D45DB" w:rsidRPr="008E0367" w:rsidRDefault="00E9110E" w:rsidP="00E9110E">
            <w:pPr>
              <w:widowControl/>
              <w:overflowPunct/>
              <w:autoSpaceDE/>
              <w:autoSpaceDN/>
              <w:adjustRightInd/>
              <w:jc w:val="center"/>
              <w:textAlignment w:val="auto"/>
              <w:rPr>
                <w:color w:val="000000"/>
                <w:szCs w:val="24"/>
                <w:lang w:eastAsia="ko-KR"/>
              </w:rPr>
            </w:pPr>
            <w:r>
              <w:rPr>
                <w:color w:val="000000"/>
              </w:rPr>
              <w:t>280</w:t>
            </w:r>
          </w:p>
        </w:tc>
        <w:tc>
          <w:tcPr>
            <w:tcW w:w="1086" w:type="dxa"/>
            <w:tcBorders>
              <w:top w:val="nil"/>
              <w:left w:val="nil"/>
              <w:bottom w:val="single" w:sz="8" w:space="0" w:color="auto"/>
              <w:right w:val="nil"/>
            </w:tcBorders>
            <w:shd w:val="clear" w:color="auto" w:fill="auto"/>
            <w:vAlign w:val="center"/>
            <w:hideMark/>
          </w:tcPr>
          <w:p w14:paraId="40F8D3A8" w14:textId="51D4CE2E"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5,040</w:t>
            </w:r>
          </w:p>
        </w:tc>
      </w:tr>
      <w:tr w:rsidR="00FE53D2" w:rsidRPr="008E0367" w14:paraId="14539B7D" w14:textId="77777777" w:rsidTr="001E5604">
        <w:trPr>
          <w:trHeight w:val="315"/>
        </w:trPr>
        <w:tc>
          <w:tcPr>
            <w:tcW w:w="12960" w:type="dxa"/>
            <w:gridSpan w:val="11"/>
            <w:tcBorders>
              <w:top w:val="single" w:sz="8" w:space="0" w:color="auto"/>
              <w:left w:val="nil"/>
              <w:bottom w:val="single" w:sz="8" w:space="0" w:color="auto"/>
              <w:right w:val="nil"/>
            </w:tcBorders>
            <w:shd w:val="clear" w:color="000000" w:fill="BFBFBF"/>
            <w:vAlign w:val="center"/>
            <w:hideMark/>
          </w:tcPr>
          <w:p w14:paraId="42ECDFD4" w14:textId="233FB166" w:rsidR="00FE53D2" w:rsidRPr="008E0367" w:rsidRDefault="00FE53D2" w:rsidP="00B760CB">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SSO site (</w:t>
            </w:r>
            <w:r w:rsidR="00EE6685" w:rsidRPr="008E0367">
              <w:rPr>
                <w:b/>
                <w:bCs/>
                <w:color w:val="000000"/>
                <w:szCs w:val="24"/>
                <w:lang w:eastAsia="ko-KR"/>
              </w:rPr>
              <w:t>n=</w:t>
            </w:r>
            <w:r w:rsidRPr="008E0367">
              <w:rPr>
                <w:b/>
                <w:bCs/>
                <w:color w:val="000000"/>
                <w:szCs w:val="24"/>
                <w:lang w:eastAsia="ko-KR"/>
              </w:rPr>
              <w:t>105)</w:t>
            </w:r>
          </w:p>
        </w:tc>
      </w:tr>
      <w:tr w:rsidR="00343DCA" w:rsidRPr="008E0367" w14:paraId="7B95FAD8"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6680CB39" w14:textId="28B7F483" w:rsidR="00D5130A" w:rsidRPr="008E0367" w:rsidRDefault="00D5130A" w:rsidP="00D5130A">
            <w:pPr>
              <w:widowControl/>
              <w:overflowPunct/>
              <w:autoSpaceDE/>
              <w:autoSpaceDN/>
              <w:adjustRightInd/>
              <w:textAlignment w:val="auto"/>
              <w:rPr>
                <w:color w:val="000000"/>
                <w:szCs w:val="24"/>
                <w:lang w:eastAsia="ko-KR"/>
              </w:rPr>
            </w:pPr>
            <w:r>
              <w:rPr>
                <w:color w:val="000000"/>
              </w:rPr>
              <w:t>Participant</w:t>
            </w:r>
          </w:p>
        </w:tc>
        <w:tc>
          <w:tcPr>
            <w:tcW w:w="1043" w:type="dxa"/>
            <w:tcBorders>
              <w:top w:val="nil"/>
              <w:left w:val="nil"/>
              <w:bottom w:val="single" w:sz="8" w:space="0" w:color="auto"/>
              <w:right w:val="nil"/>
            </w:tcBorders>
            <w:shd w:val="clear" w:color="auto" w:fill="auto"/>
            <w:vAlign w:val="center"/>
            <w:hideMark/>
          </w:tcPr>
          <w:p w14:paraId="7601281D" w14:textId="16CAE9AB" w:rsidR="00D5130A" w:rsidRPr="008E0367" w:rsidRDefault="00D5130A" w:rsidP="00D5130A">
            <w:pPr>
              <w:widowControl/>
              <w:overflowPunct/>
              <w:autoSpaceDE/>
              <w:autoSpaceDN/>
              <w:adjustRightInd/>
              <w:textAlignment w:val="auto"/>
              <w:rPr>
                <w:color w:val="000000"/>
                <w:szCs w:val="24"/>
                <w:lang w:eastAsia="ko-KR"/>
              </w:rPr>
            </w:pPr>
            <w:r>
              <w:rPr>
                <w:color w:val="000000"/>
              </w:rPr>
              <w:t>Onsite</w:t>
            </w:r>
          </w:p>
        </w:tc>
        <w:tc>
          <w:tcPr>
            <w:tcW w:w="967" w:type="dxa"/>
            <w:tcBorders>
              <w:top w:val="nil"/>
              <w:left w:val="nil"/>
              <w:bottom w:val="single" w:sz="8" w:space="0" w:color="auto"/>
              <w:right w:val="nil"/>
            </w:tcBorders>
            <w:shd w:val="clear" w:color="auto" w:fill="auto"/>
            <w:vAlign w:val="center"/>
            <w:hideMark/>
          </w:tcPr>
          <w:p w14:paraId="256CDBA5" w14:textId="52B912CE" w:rsidR="00D5130A" w:rsidRPr="008E0367" w:rsidRDefault="006F7772" w:rsidP="006F7772">
            <w:pPr>
              <w:widowControl/>
              <w:overflowPunct/>
              <w:autoSpaceDE/>
              <w:autoSpaceDN/>
              <w:adjustRightInd/>
              <w:jc w:val="center"/>
              <w:textAlignment w:val="auto"/>
              <w:rPr>
                <w:color w:val="000000"/>
                <w:szCs w:val="24"/>
                <w:lang w:eastAsia="ko-KR"/>
              </w:rPr>
            </w:pPr>
            <w:r>
              <w:rPr>
                <w:color w:val="000000"/>
              </w:rPr>
              <w:t>4</w:t>
            </w:r>
          </w:p>
        </w:tc>
        <w:tc>
          <w:tcPr>
            <w:tcW w:w="912" w:type="dxa"/>
            <w:tcBorders>
              <w:top w:val="nil"/>
              <w:left w:val="nil"/>
              <w:bottom w:val="single" w:sz="8" w:space="0" w:color="auto"/>
              <w:right w:val="nil"/>
            </w:tcBorders>
            <w:shd w:val="clear" w:color="auto" w:fill="auto"/>
            <w:vAlign w:val="center"/>
            <w:hideMark/>
          </w:tcPr>
          <w:p w14:paraId="5C330D33" w14:textId="23E49F9B"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NA</w:t>
            </w:r>
          </w:p>
        </w:tc>
        <w:tc>
          <w:tcPr>
            <w:tcW w:w="1106" w:type="dxa"/>
            <w:tcBorders>
              <w:top w:val="nil"/>
              <w:left w:val="nil"/>
              <w:bottom w:val="single" w:sz="8" w:space="0" w:color="auto"/>
              <w:right w:val="nil"/>
            </w:tcBorders>
            <w:shd w:val="clear" w:color="auto" w:fill="auto"/>
            <w:vAlign w:val="center"/>
            <w:hideMark/>
          </w:tcPr>
          <w:p w14:paraId="2D8E4993" w14:textId="6579658F"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46A96365" w14:textId="36CBDF58"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150" w:type="dxa"/>
            <w:tcBorders>
              <w:top w:val="nil"/>
              <w:left w:val="nil"/>
              <w:bottom w:val="single" w:sz="8" w:space="0" w:color="auto"/>
              <w:right w:val="nil"/>
            </w:tcBorders>
            <w:shd w:val="clear" w:color="auto" w:fill="auto"/>
            <w:vAlign w:val="center"/>
            <w:hideMark/>
          </w:tcPr>
          <w:p w14:paraId="6B56EF1B" w14:textId="3A02C603" w:rsidR="00D5130A" w:rsidRPr="008E0367" w:rsidRDefault="00D5130A" w:rsidP="00D5130A">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single" w:sz="8" w:space="0" w:color="auto"/>
              <w:right w:val="nil"/>
            </w:tcBorders>
            <w:shd w:val="clear" w:color="auto" w:fill="auto"/>
            <w:vAlign w:val="center"/>
            <w:hideMark/>
          </w:tcPr>
          <w:p w14:paraId="011FE1B6" w14:textId="3A01D5A2"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0.3</w:t>
            </w:r>
          </w:p>
        </w:tc>
        <w:tc>
          <w:tcPr>
            <w:tcW w:w="1255" w:type="dxa"/>
            <w:tcBorders>
              <w:top w:val="nil"/>
              <w:left w:val="nil"/>
              <w:bottom w:val="single" w:sz="8" w:space="0" w:color="auto"/>
              <w:right w:val="single" w:sz="8" w:space="0" w:color="auto"/>
            </w:tcBorders>
            <w:shd w:val="clear" w:color="auto" w:fill="auto"/>
            <w:vAlign w:val="center"/>
            <w:hideMark/>
          </w:tcPr>
          <w:p w14:paraId="3F22C32E" w14:textId="4C57267D"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296" w:type="dxa"/>
            <w:tcBorders>
              <w:top w:val="nil"/>
              <w:left w:val="nil"/>
              <w:bottom w:val="single" w:sz="8" w:space="0" w:color="auto"/>
              <w:right w:val="nil"/>
            </w:tcBorders>
            <w:shd w:val="clear" w:color="auto" w:fill="auto"/>
            <w:vAlign w:val="center"/>
            <w:hideMark/>
          </w:tcPr>
          <w:p w14:paraId="33A6A12B" w14:textId="46EEE282"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105</w:t>
            </w:r>
          </w:p>
        </w:tc>
        <w:tc>
          <w:tcPr>
            <w:tcW w:w="1086" w:type="dxa"/>
            <w:tcBorders>
              <w:top w:val="nil"/>
              <w:left w:val="nil"/>
              <w:bottom w:val="single" w:sz="8" w:space="0" w:color="auto"/>
              <w:right w:val="nil"/>
            </w:tcBorders>
            <w:shd w:val="clear" w:color="auto" w:fill="auto"/>
            <w:vAlign w:val="center"/>
            <w:hideMark/>
          </w:tcPr>
          <w:p w14:paraId="1A81AB51" w14:textId="6F9EE7CB"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w:t>
            </w:r>
          </w:p>
        </w:tc>
      </w:tr>
      <w:tr w:rsidR="00343DCA" w:rsidRPr="008E0367" w14:paraId="5620FC75" w14:textId="77777777" w:rsidTr="004B3DA3">
        <w:trPr>
          <w:trHeight w:val="300"/>
        </w:trPr>
        <w:tc>
          <w:tcPr>
            <w:tcW w:w="1656" w:type="dxa"/>
            <w:tcBorders>
              <w:top w:val="nil"/>
              <w:left w:val="nil"/>
              <w:bottom w:val="nil"/>
              <w:right w:val="nil"/>
            </w:tcBorders>
            <w:shd w:val="clear" w:color="auto" w:fill="auto"/>
            <w:vAlign w:val="center"/>
            <w:hideMark/>
          </w:tcPr>
          <w:p w14:paraId="43C5280E" w14:textId="36199D34" w:rsidR="00D5130A" w:rsidRPr="008E0367" w:rsidRDefault="00D5130A" w:rsidP="00D5130A">
            <w:pPr>
              <w:widowControl/>
              <w:overflowPunct/>
              <w:autoSpaceDE/>
              <w:autoSpaceDN/>
              <w:adjustRightInd/>
              <w:textAlignment w:val="auto"/>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7D9E7706" w14:textId="0481F917" w:rsidR="00D5130A" w:rsidRPr="008E0367" w:rsidRDefault="00D5130A" w:rsidP="00D5130A">
            <w:pPr>
              <w:widowControl/>
              <w:overflowPunct/>
              <w:autoSpaceDE/>
              <w:autoSpaceDN/>
              <w:adjustRightInd/>
              <w:textAlignment w:val="auto"/>
              <w:rPr>
                <w:color w:val="000000"/>
                <w:szCs w:val="24"/>
                <w:lang w:eastAsia="ko-KR"/>
              </w:rPr>
            </w:pPr>
            <w:r>
              <w:rPr>
                <w:color w:val="000000"/>
              </w:rPr>
              <w:t>SNAP</w:t>
            </w:r>
          </w:p>
        </w:tc>
        <w:tc>
          <w:tcPr>
            <w:tcW w:w="967" w:type="dxa"/>
            <w:vMerge w:val="restart"/>
            <w:tcBorders>
              <w:top w:val="nil"/>
              <w:left w:val="nil"/>
              <w:bottom w:val="single" w:sz="8" w:space="0" w:color="000000"/>
              <w:right w:val="nil"/>
            </w:tcBorders>
            <w:shd w:val="clear" w:color="auto" w:fill="auto"/>
            <w:vAlign w:val="center"/>
            <w:hideMark/>
          </w:tcPr>
          <w:p w14:paraId="43492E7F" w14:textId="192DA8CA"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77</w:t>
            </w:r>
          </w:p>
        </w:tc>
        <w:tc>
          <w:tcPr>
            <w:tcW w:w="912" w:type="dxa"/>
            <w:tcBorders>
              <w:top w:val="nil"/>
              <w:left w:val="nil"/>
              <w:bottom w:val="nil"/>
              <w:right w:val="nil"/>
            </w:tcBorders>
            <w:shd w:val="clear" w:color="auto" w:fill="auto"/>
            <w:vAlign w:val="center"/>
            <w:hideMark/>
          </w:tcPr>
          <w:p w14:paraId="698987CA" w14:textId="2E945169"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5C2B3F6D" w14:textId="3360B5D1"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550" w:type="dxa"/>
            <w:tcBorders>
              <w:top w:val="nil"/>
              <w:left w:val="nil"/>
              <w:bottom w:val="nil"/>
              <w:right w:val="nil"/>
            </w:tcBorders>
            <w:shd w:val="clear" w:color="auto" w:fill="auto"/>
            <w:vAlign w:val="center"/>
            <w:hideMark/>
          </w:tcPr>
          <w:p w14:paraId="022D19C9" w14:textId="4D16302E"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0.15</w:t>
            </w:r>
          </w:p>
        </w:tc>
        <w:tc>
          <w:tcPr>
            <w:tcW w:w="1150" w:type="dxa"/>
            <w:tcBorders>
              <w:top w:val="nil"/>
              <w:left w:val="nil"/>
              <w:bottom w:val="nil"/>
              <w:right w:val="nil"/>
            </w:tcBorders>
            <w:shd w:val="clear" w:color="auto" w:fill="auto"/>
            <w:vAlign w:val="center"/>
            <w:hideMark/>
          </w:tcPr>
          <w:p w14:paraId="1742D7B0" w14:textId="192C7413" w:rsidR="00D5130A" w:rsidRPr="008E0367" w:rsidRDefault="00D5130A" w:rsidP="00D5130A">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7A594018" w14:textId="6410BCFF"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4CFCE2A9" w14:textId="45E3AD7A"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2</w:t>
            </w:r>
          </w:p>
        </w:tc>
        <w:tc>
          <w:tcPr>
            <w:tcW w:w="1296" w:type="dxa"/>
            <w:tcBorders>
              <w:top w:val="nil"/>
              <w:left w:val="nil"/>
              <w:bottom w:val="nil"/>
              <w:right w:val="nil"/>
            </w:tcBorders>
            <w:shd w:val="clear" w:color="auto" w:fill="auto"/>
            <w:vAlign w:val="center"/>
            <w:hideMark/>
          </w:tcPr>
          <w:p w14:paraId="1C9056AC" w14:textId="1E2F2277"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210</w:t>
            </w:r>
          </w:p>
        </w:tc>
        <w:tc>
          <w:tcPr>
            <w:tcW w:w="1086" w:type="dxa"/>
            <w:vMerge w:val="restart"/>
            <w:tcBorders>
              <w:top w:val="nil"/>
              <w:left w:val="nil"/>
              <w:bottom w:val="single" w:sz="8" w:space="0" w:color="000000"/>
              <w:right w:val="nil"/>
            </w:tcBorders>
            <w:shd w:val="clear" w:color="auto" w:fill="auto"/>
            <w:vAlign w:val="center"/>
            <w:hideMark/>
          </w:tcPr>
          <w:p w14:paraId="6859BFD3" w14:textId="5CE6B044"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8,085</w:t>
            </w:r>
          </w:p>
        </w:tc>
      </w:tr>
      <w:tr w:rsidR="00343DCA" w:rsidRPr="008E0367" w14:paraId="44BC6C2F"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4A82098B" w14:textId="7184DBB7" w:rsidR="00D5130A" w:rsidRPr="008E0367" w:rsidRDefault="00D5130A" w:rsidP="00D5130A">
            <w:pPr>
              <w:widowControl/>
              <w:overflowPunct/>
              <w:autoSpaceDE/>
              <w:autoSpaceDN/>
              <w:adjustRightInd/>
              <w:textAlignment w:val="auto"/>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79B4E8B1" w14:textId="1128A500" w:rsidR="00D5130A" w:rsidRPr="008E0367" w:rsidRDefault="00D5130A" w:rsidP="00D5130A">
            <w:pPr>
              <w:widowControl/>
              <w:overflowPunct/>
              <w:autoSpaceDE/>
              <w:autoSpaceDN/>
              <w:adjustRightInd/>
              <w:textAlignment w:val="auto"/>
              <w:rPr>
                <w:color w:val="000000"/>
                <w:szCs w:val="24"/>
                <w:lang w:eastAsia="ko-KR"/>
              </w:rPr>
            </w:pPr>
            <w:r>
              <w:rPr>
                <w:color w:val="000000"/>
              </w:rPr>
              <w:t>SNAP</w:t>
            </w:r>
          </w:p>
        </w:tc>
        <w:tc>
          <w:tcPr>
            <w:tcW w:w="967" w:type="dxa"/>
            <w:vMerge/>
            <w:tcBorders>
              <w:top w:val="nil"/>
              <w:left w:val="nil"/>
              <w:bottom w:val="single" w:sz="8" w:space="0" w:color="000000"/>
              <w:right w:val="nil"/>
            </w:tcBorders>
            <w:vAlign w:val="center"/>
            <w:hideMark/>
          </w:tcPr>
          <w:p w14:paraId="2C4FCE48" w14:textId="77777777" w:rsidR="00D5130A" w:rsidRPr="008E0367" w:rsidRDefault="00D5130A" w:rsidP="00D5130A">
            <w:pPr>
              <w:widowControl/>
              <w:overflowPunct/>
              <w:autoSpaceDE/>
              <w:autoSpaceDN/>
              <w:adjustRightInd/>
              <w:textAlignment w:val="auto"/>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0CA95CED" w14:textId="6A97E4FE"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585EAF7C" w14:textId="01431244"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437F1B83" w14:textId="4580AB4B"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0.85</w:t>
            </w:r>
          </w:p>
        </w:tc>
        <w:tc>
          <w:tcPr>
            <w:tcW w:w="1150" w:type="dxa"/>
            <w:tcBorders>
              <w:top w:val="nil"/>
              <w:left w:val="nil"/>
              <w:bottom w:val="single" w:sz="8" w:space="0" w:color="auto"/>
              <w:right w:val="nil"/>
            </w:tcBorders>
            <w:shd w:val="clear" w:color="auto" w:fill="auto"/>
            <w:vAlign w:val="center"/>
            <w:hideMark/>
          </w:tcPr>
          <w:p w14:paraId="7E4F46E7" w14:textId="2B478038" w:rsidR="00D5130A" w:rsidRPr="008E0367" w:rsidRDefault="00D5130A" w:rsidP="00D5130A">
            <w:pPr>
              <w:widowControl/>
              <w:overflowPunct/>
              <w:autoSpaceDE/>
              <w:autoSpaceDN/>
              <w:adjustRightInd/>
              <w:jc w:val="right"/>
              <w:textAlignment w:val="auto"/>
              <w:rPr>
                <w:color w:val="000000"/>
                <w:szCs w:val="24"/>
                <w:lang w:eastAsia="ko-KR"/>
              </w:rPr>
            </w:pPr>
            <w:r>
              <w:rPr>
                <w:color w:val="000000"/>
              </w:rPr>
              <w:t>0.328</w:t>
            </w:r>
          </w:p>
        </w:tc>
        <w:tc>
          <w:tcPr>
            <w:tcW w:w="939" w:type="dxa"/>
            <w:tcBorders>
              <w:top w:val="nil"/>
              <w:left w:val="nil"/>
              <w:bottom w:val="single" w:sz="8" w:space="0" w:color="auto"/>
              <w:right w:val="nil"/>
            </w:tcBorders>
            <w:shd w:val="clear" w:color="auto" w:fill="auto"/>
            <w:vAlign w:val="center"/>
            <w:hideMark/>
          </w:tcPr>
          <w:p w14:paraId="426015B6" w14:textId="5B9D7A06"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7B2DC274" w14:textId="332605C3"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3</w:t>
            </w:r>
          </w:p>
        </w:tc>
        <w:tc>
          <w:tcPr>
            <w:tcW w:w="1296" w:type="dxa"/>
            <w:tcBorders>
              <w:top w:val="nil"/>
              <w:left w:val="nil"/>
              <w:bottom w:val="single" w:sz="8" w:space="0" w:color="auto"/>
              <w:right w:val="nil"/>
            </w:tcBorders>
            <w:shd w:val="clear" w:color="auto" w:fill="auto"/>
            <w:vAlign w:val="center"/>
            <w:hideMark/>
          </w:tcPr>
          <w:p w14:paraId="2589C617" w14:textId="2D501FC4"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315</w:t>
            </w:r>
          </w:p>
        </w:tc>
        <w:tc>
          <w:tcPr>
            <w:tcW w:w="1086" w:type="dxa"/>
            <w:vMerge/>
            <w:tcBorders>
              <w:top w:val="nil"/>
              <w:left w:val="nil"/>
              <w:bottom w:val="single" w:sz="8" w:space="0" w:color="000000"/>
              <w:right w:val="nil"/>
            </w:tcBorders>
            <w:vAlign w:val="center"/>
            <w:hideMark/>
          </w:tcPr>
          <w:p w14:paraId="31813434" w14:textId="77777777" w:rsidR="00D5130A" w:rsidRPr="008E0367" w:rsidRDefault="00D5130A" w:rsidP="00D5130A">
            <w:pPr>
              <w:widowControl/>
              <w:overflowPunct/>
              <w:autoSpaceDE/>
              <w:autoSpaceDN/>
              <w:adjustRightInd/>
              <w:textAlignment w:val="auto"/>
              <w:rPr>
                <w:color w:val="000000"/>
                <w:szCs w:val="24"/>
                <w:lang w:eastAsia="ko-KR"/>
              </w:rPr>
            </w:pPr>
          </w:p>
        </w:tc>
      </w:tr>
      <w:tr w:rsidR="00343DCA" w:rsidRPr="008E0367" w14:paraId="5CAAB0A5" w14:textId="77777777" w:rsidTr="004B3DA3">
        <w:trPr>
          <w:trHeight w:val="300"/>
        </w:trPr>
        <w:tc>
          <w:tcPr>
            <w:tcW w:w="1656" w:type="dxa"/>
            <w:tcBorders>
              <w:top w:val="nil"/>
              <w:left w:val="nil"/>
              <w:bottom w:val="nil"/>
              <w:right w:val="nil"/>
            </w:tcBorders>
            <w:shd w:val="clear" w:color="auto" w:fill="auto"/>
            <w:vAlign w:val="center"/>
            <w:hideMark/>
          </w:tcPr>
          <w:p w14:paraId="0B8F10E2" w14:textId="151D37EB" w:rsidR="00D5130A" w:rsidRPr="008E0367" w:rsidRDefault="00D5130A" w:rsidP="00D5130A">
            <w:pPr>
              <w:widowControl/>
              <w:overflowPunct/>
              <w:autoSpaceDE/>
              <w:autoSpaceDN/>
              <w:adjustRightInd/>
              <w:textAlignment w:val="auto"/>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0A875E5C" w14:textId="491B6DA3" w:rsidR="00D5130A" w:rsidRPr="008E0367" w:rsidRDefault="00D5130A" w:rsidP="00D5130A">
            <w:pPr>
              <w:widowControl/>
              <w:overflowPunct/>
              <w:autoSpaceDE/>
              <w:autoSpaceDN/>
              <w:adjustRightInd/>
              <w:textAlignment w:val="auto"/>
              <w:rPr>
                <w:color w:val="000000"/>
                <w:szCs w:val="24"/>
                <w:lang w:eastAsia="ko-KR"/>
              </w:rPr>
            </w:pPr>
            <w:r>
              <w:rPr>
                <w:color w:val="000000"/>
              </w:rPr>
              <w:t>Postal</w:t>
            </w:r>
          </w:p>
        </w:tc>
        <w:tc>
          <w:tcPr>
            <w:tcW w:w="967" w:type="dxa"/>
            <w:vMerge w:val="restart"/>
            <w:tcBorders>
              <w:top w:val="nil"/>
              <w:left w:val="nil"/>
              <w:bottom w:val="single" w:sz="8" w:space="0" w:color="000000"/>
              <w:right w:val="nil"/>
            </w:tcBorders>
            <w:shd w:val="clear" w:color="auto" w:fill="auto"/>
            <w:vAlign w:val="center"/>
            <w:hideMark/>
          </w:tcPr>
          <w:p w14:paraId="063BA201" w14:textId="7C0AE963"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96</w:t>
            </w:r>
          </w:p>
        </w:tc>
        <w:tc>
          <w:tcPr>
            <w:tcW w:w="912" w:type="dxa"/>
            <w:tcBorders>
              <w:top w:val="nil"/>
              <w:left w:val="nil"/>
              <w:bottom w:val="nil"/>
              <w:right w:val="nil"/>
            </w:tcBorders>
            <w:shd w:val="clear" w:color="auto" w:fill="auto"/>
            <w:vAlign w:val="center"/>
            <w:hideMark/>
          </w:tcPr>
          <w:p w14:paraId="38C2A4C7" w14:textId="611C6043"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1E384AC6" w14:textId="2B2481B8"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0.4</w:t>
            </w:r>
          </w:p>
        </w:tc>
        <w:tc>
          <w:tcPr>
            <w:tcW w:w="1550" w:type="dxa"/>
            <w:tcBorders>
              <w:top w:val="nil"/>
              <w:left w:val="nil"/>
              <w:bottom w:val="nil"/>
              <w:right w:val="nil"/>
            </w:tcBorders>
            <w:shd w:val="clear" w:color="auto" w:fill="auto"/>
            <w:vAlign w:val="center"/>
            <w:hideMark/>
          </w:tcPr>
          <w:p w14:paraId="709957A8" w14:textId="0990FE16"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0.15</w:t>
            </w:r>
          </w:p>
        </w:tc>
        <w:tc>
          <w:tcPr>
            <w:tcW w:w="1150" w:type="dxa"/>
            <w:tcBorders>
              <w:top w:val="nil"/>
              <w:left w:val="nil"/>
              <w:bottom w:val="nil"/>
              <w:right w:val="nil"/>
            </w:tcBorders>
            <w:shd w:val="clear" w:color="auto" w:fill="auto"/>
            <w:vAlign w:val="center"/>
            <w:hideMark/>
          </w:tcPr>
          <w:p w14:paraId="45C4BE0B" w14:textId="62EBDE52" w:rsidR="00D5130A" w:rsidRPr="008E0367" w:rsidRDefault="00D5130A" w:rsidP="00D5130A">
            <w:pPr>
              <w:widowControl/>
              <w:overflowPunct/>
              <w:autoSpaceDE/>
              <w:autoSpaceDN/>
              <w:adjustRightInd/>
              <w:jc w:val="right"/>
              <w:textAlignment w:val="auto"/>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27BB8922" w14:textId="212DB908"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6088AEB9" w14:textId="548AF2FD"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296" w:type="dxa"/>
            <w:tcBorders>
              <w:top w:val="nil"/>
              <w:left w:val="nil"/>
              <w:bottom w:val="nil"/>
              <w:right w:val="nil"/>
            </w:tcBorders>
            <w:shd w:val="clear" w:color="auto" w:fill="auto"/>
            <w:vAlign w:val="center"/>
            <w:hideMark/>
          </w:tcPr>
          <w:p w14:paraId="76A3D315" w14:textId="0AB8A021"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105</w:t>
            </w:r>
          </w:p>
        </w:tc>
        <w:tc>
          <w:tcPr>
            <w:tcW w:w="1086" w:type="dxa"/>
            <w:vMerge w:val="restart"/>
            <w:tcBorders>
              <w:top w:val="nil"/>
              <w:left w:val="nil"/>
              <w:bottom w:val="single" w:sz="8" w:space="0" w:color="000000"/>
              <w:right w:val="nil"/>
            </w:tcBorders>
            <w:shd w:val="clear" w:color="auto" w:fill="auto"/>
            <w:vAlign w:val="center"/>
            <w:hideMark/>
          </w:tcPr>
          <w:p w14:paraId="05E5D1B5" w14:textId="2AB619E6"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10,080</w:t>
            </w:r>
          </w:p>
        </w:tc>
      </w:tr>
      <w:tr w:rsidR="00343DCA" w:rsidRPr="008E0367" w14:paraId="0B91BEFE"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1B478402" w14:textId="2222BDF8" w:rsidR="00D5130A" w:rsidRPr="008E0367" w:rsidRDefault="00D5130A" w:rsidP="00D5130A">
            <w:pPr>
              <w:widowControl/>
              <w:overflowPunct/>
              <w:autoSpaceDE/>
              <w:autoSpaceDN/>
              <w:adjustRightInd/>
              <w:textAlignment w:val="auto"/>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21A000F1" w14:textId="5ACBCA77" w:rsidR="00D5130A" w:rsidRPr="008E0367" w:rsidRDefault="00D5130A" w:rsidP="00D5130A">
            <w:pPr>
              <w:widowControl/>
              <w:overflowPunct/>
              <w:autoSpaceDE/>
              <w:autoSpaceDN/>
              <w:adjustRightInd/>
              <w:textAlignment w:val="auto"/>
              <w:rPr>
                <w:color w:val="000000"/>
                <w:szCs w:val="24"/>
                <w:lang w:eastAsia="ko-KR"/>
              </w:rPr>
            </w:pPr>
            <w:r>
              <w:rPr>
                <w:color w:val="000000"/>
              </w:rPr>
              <w:t>Postal</w:t>
            </w:r>
          </w:p>
        </w:tc>
        <w:tc>
          <w:tcPr>
            <w:tcW w:w="967" w:type="dxa"/>
            <w:vMerge/>
            <w:tcBorders>
              <w:top w:val="nil"/>
              <w:left w:val="nil"/>
              <w:bottom w:val="single" w:sz="8" w:space="0" w:color="000000"/>
              <w:right w:val="nil"/>
            </w:tcBorders>
            <w:vAlign w:val="center"/>
            <w:hideMark/>
          </w:tcPr>
          <w:p w14:paraId="1250EA95" w14:textId="77777777" w:rsidR="00D5130A" w:rsidRPr="008E0367" w:rsidRDefault="00D5130A" w:rsidP="00D5130A">
            <w:pPr>
              <w:widowControl/>
              <w:overflowPunct/>
              <w:autoSpaceDE/>
              <w:autoSpaceDN/>
              <w:adjustRightInd/>
              <w:textAlignment w:val="auto"/>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4543FF1D" w14:textId="7A43CF53"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5C9EE316" w14:textId="3922B627"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0.4</w:t>
            </w:r>
          </w:p>
        </w:tc>
        <w:tc>
          <w:tcPr>
            <w:tcW w:w="1550" w:type="dxa"/>
            <w:tcBorders>
              <w:top w:val="nil"/>
              <w:left w:val="nil"/>
              <w:bottom w:val="single" w:sz="8" w:space="0" w:color="auto"/>
              <w:right w:val="nil"/>
            </w:tcBorders>
            <w:shd w:val="clear" w:color="auto" w:fill="auto"/>
            <w:vAlign w:val="center"/>
            <w:hideMark/>
          </w:tcPr>
          <w:p w14:paraId="567A9DE1" w14:textId="7C86DE0B"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0.85</w:t>
            </w:r>
          </w:p>
        </w:tc>
        <w:tc>
          <w:tcPr>
            <w:tcW w:w="1150" w:type="dxa"/>
            <w:tcBorders>
              <w:top w:val="nil"/>
              <w:left w:val="nil"/>
              <w:bottom w:val="single" w:sz="8" w:space="0" w:color="auto"/>
              <w:right w:val="nil"/>
            </w:tcBorders>
            <w:shd w:val="clear" w:color="auto" w:fill="auto"/>
            <w:vAlign w:val="center"/>
            <w:hideMark/>
          </w:tcPr>
          <w:p w14:paraId="3907A73E" w14:textId="15C0F31B" w:rsidR="00D5130A" w:rsidRPr="008E0367" w:rsidRDefault="00D5130A" w:rsidP="00D5130A">
            <w:pPr>
              <w:widowControl/>
              <w:overflowPunct/>
              <w:autoSpaceDE/>
              <w:autoSpaceDN/>
              <w:adjustRightInd/>
              <w:jc w:val="right"/>
              <w:textAlignment w:val="auto"/>
              <w:rPr>
                <w:color w:val="000000"/>
                <w:szCs w:val="24"/>
                <w:lang w:eastAsia="ko-KR"/>
              </w:rPr>
            </w:pPr>
            <w:r>
              <w:rPr>
                <w:color w:val="000000"/>
              </w:rPr>
              <w:t>0.219</w:t>
            </w:r>
          </w:p>
        </w:tc>
        <w:tc>
          <w:tcPr>
            <w:tcW w:w="939" w:type="dxa"/>
            <w:tcBorders>
              <w:top w:val="nil"/>
              <w:left w:val="nil"/>
              <w:bottom w:val="single" w:sz="8" w:space="0" w:color="auto"/>
              <w:right w:val="nil"/>
            </w:tcBorders>
            <w:shd w:val="clear" w:color="auto" w:fill="auto"/>
            <w:vAlign w:val="center"/>
            <w:hideMark/>
          </w:tcPr>
          <w:p w14:paraId="75A7BB94" w14:textId="45AE5F2D"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3ED41699" w14:textId="2E631FE0"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296" w:type="dxa"/>
            <w:tcBorders>
              <w:top w:val="nil"/>
              <w:left w:val="nil"/>
              <w:bottom w:val="single" w:sz="8" w:space="0" w:color="auto"/>
              <w:right w:val="nil"/>
            </w:tcBorders>
            <w:shd w:val="clear" w:color="auto" w:fill="auto"/>
            <w:vAlign w:val="center"/>
            <w:hideMark/>
          </w:tcPr>
          <w:p w14:paraId="6973D2E8" w14:textId="18A17021"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105</w:t>
            </w:r>
          </w:p>
        </w:tc>
        <w:tc>
          <w:tcPr>
            <w:tcW w:w="1086" w:type="dxa"/>
            <w:vMerge/>
            <w:tcBorders>
              <w:top w:val="nil"/>
              <w:left w:val="nil"/>
              <w:bottom w:val="single" w:sz="8" w:space="0" w:color="000000"/>
              <w:right w:val="nil"/>
            </w:tcBorders>
            <w:vAlign w:val="center"/>
            <w:hideMark/>
          </w:tcPr>
          <w:p w14:paraId="1B6EFAA1" w14:textId="77777777" w:rsidR="00D5130A" w:rsidRPr="008E0367" w:rsidRDefault="00D5130A" w:rsidP="00D5130A">
            <w:pPr>
              <w:widowControl/>
              <w:overflowPunct/>
              <w:autoSpaceDE/>
              <w:autoSpaceDN/>
              <w:adjustRightInd/>
              <w:textAlignment w:val="auto"/>
              <w:rPr>
                <w:color w:val="000000"/>
                <w:szCs w:val="24"/>
                <w:lang w:eastAsia="ko-KR"/>
              </w:rPr>
            </w:pPr>
          </w:p>
        </w:tc>
      </w:tr>
      <w:tr w:rsidR="00343DCA" w:rsidRPr="008E0367" w14:paraId="3D757434" w14:textId="77777777" w:rsidTr="004B3DA3">
        <w:trPr>
          <w:trHeight w:val="315"/>
        </w:trPr>
        <w:tc>
          <w:tcPr>
            <w:tcW w:w="1656" w:type="dxa"/>
            <w:tcBorders>
              <w:top w:val="nil"/>
              <w:left w:val="nil"/>
              <w:bottom w:val="single" w:sz="8" w:space="0" w:color="auto"/>
              <w:right w:val="nil"/>
            </w:tcBorders>
            <w:shd w:val="clear" w:color="auto" w:fill="auto"/>
            <w:vAlign w:val="center"/>
            <w:hideMark/>
          </w:tcPr>
          <w:p w14:paraId="7158DB34" w14:textId="296D3A41"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1043" w:type="dxa"/>
            <w:tcBorders>
              <w:top w:val="nil"/>
              <w:left w:val="nil"/>
              <w:bottom w:val="single" w:sz="8" w:space="0" w:color="auto"/>
              <w:right w:val="nil"/>
            </w:tcBorders>
            <w:shd w:val="clear" w:color="auto" w:fill="auto"/>
            <w:vAlign w:val="center"/>
            <w:hideMark/>
          </w:tcPr>
          <w:p w14:paraId="78DE5E49" w14:textId="37F67680"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967" w:type="dxa"/>
            <w:tcBorders>
              <w:top w:val="nil"/>
              <w:left w:val="nil"/>
              <w:bottom w:val="single" w:sz="8" w:space="0" w:color="auto"/>
              <w:right w:val="nil"/>
            </w:tcBorders>
            <w:shd w:val="clear" w:color="auto" w:fill="auto"/>
            <w:vAlign w:val="center"/>
            <w:hideMark/>
          </w:tcPr>
          <w:p w14:paraId="05D4153A" w14:textId="27DDBA26"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912" w:type="dxa"/>
            <w:tcBorders>
              <w:top w:val="nil"/>
              <w:left w:val="nil"/>
              <w:bottom w:val="single" w:sz="8" w:space="0" w:color="auto"/>
              <w:right w:val="nil"/>
            </w:tcBorders>
            <w:shd w:val="clear" w:color="auto" w:fill="auto"/>
            <w:vAlign w:val="center"/>
            <w:hideMark/>
          </w:tcPr>
          <w:p w14:paraId="343F0B8B" w14:textId="73975B05"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1106" w:type="dxa"/>
            <w:tcBorders>
              <w:top w:val="nil"/>
              <w:left w:val="nil"/>
              <w:bottom w:val="single" w:sz="8" w:space="0" w:color="auto"/>
              <w:right w:val="nil"/>
            </w:tcBorders>
            <w:shd w:val="clear" w:color="auto" w:fill="auto"/>
            <w:vAlign w:val="center"/>
            <w:hideMark/>
          </w:tcPr>
          <w:p w14:paraId="71AA932F" w14:textId="5DF3B9FC"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1550" w:type="dxa"/>
            <w:tcBorders>
              <w:top w:val="nil"/>
              <w:left w:val="nil"/>
              <w:bottom w:val="single" w:sz="8" w:space="0" w:color="auto"/>
              <w:right w:val="nil"/>
            </w:tcBorders>
            <w:shd w:val="clear" w:color="auto" w:fill="auto"/>
            <w:vAlign w:val="center"/>
            <w:hideMark/>
          </w:tcPr>
          <w:p w14:paraId="37DD5B0D" w14:textId="3F2D5E8E"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1150" w:type="dxa"/>
            <w:tcBorders>
              <w:top w:val="nil"/>
              <w:left w:val="nil"/>
              <w:bottom w:val="single" w:sz="8" w:space="0" w:color="auto"/>
              <w:right w:val="nil"/>
            </w:tcBorders>
            <w:shd w:val="clear" w:color="auto" w:fill="auto"/>
            <w:vAlign w:val="center"/>
            <w:hideMark/>
          </w:tcPr>
          <w:p w14:paraId="41FAC7A2" w14:textId="3FE16FA0"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939" w:type="dxa"/>
            <w:tcBorders>
              <w:top w:val="nil"/>
              <w:left w:val="nil"/>
              <w:bottom w:val="single" w:sz="8" w:space="0" w:color="auto"/>
              <w:right w:val="nil"/>
            </w:tcBorders>
            <w:shd w:val="clear" w:color="auto" w:fill="auto"/>
            <w:vAlign w:val="center"/>
            <w:hideMark/>
          </w:tcPr>
          <w:p w14:paraId="4CC95762" w14:textId="58FCAAB3" w:rsidR="00D5130A" w:rsidRPr="008E0367" w:rsidRDefault="00D5130A" w:rsidP="00D5130A">
            <w:pPr>
              <w:widowControl/>
              <w:overflowPunct/>
              <w:autoSpaceDE/>
              <w:autoSpaceDN/>
              <w:adjustRightInd/>
              <w:textAlignment w:val="auto"/>
              <w:rPr>
                <w:b/>
                <w:bCs/>
                <w:color w:val="000000"/>
                <w:szCs w:val="24"/>
                <w:lang w:eastAsia="ko-KR"/>
              </w:rPr>
            </w:pPr>
            <w:r>
              <w:rPr>
                <w:b/>
                <w:bCs/>
                <w:color w:val="000000"/>
              </w:rPr>
              <w:t> </w:t>
            </w:r>
          </w:p>
        </w:tc>
        <w:tc>
          <w:tcPr>
            <w:tcW w:w="1255" w:type="dxa"/>
            <w:tcBorders>
              <w:top w:val="nil"/>
              <w:left w:val="nil"/>
              <w:bottom w:val="single" w:sz="8" w:space="0" w:color="auto"/>
              <w:right w:val="single" w:sz="8" w:space="0" w:color="auto"/>
            </w:tcBorders>
            <w:shd w:val="clear" w:color="auto" w:fill="auto"/>
            <w:vAlign w:val="center"/>
            <w:hideMark/>
          </w:tcPr>
          <w:p w14:paraId="632A3A05" w14:textId="1CB7CD28" w:rsidR="00D5130A" w:rsidRPr="008E0367" w:rsidRDefault="00D5130A" w:rsidP="00D5130A">
            <w:pPr>
              <w:widowControl/>
              <w:overflowPunct/>
              <w:autoSpaceDE/>
              <w:autoSpaceDN/>
              <w:adjustRightInd/>
              <w:jc w:val="center"/>
              <w:textAlignment w:val="auto"/>
              <w:rPr>
                <w:b/>
                <w:bCs/>
                <w:color w:val="000000"/>
                <w:szCs w:val="24"/>
                <w:lang w:eastAsia="ko-KR"/>
              </w:rPr>
            </w:pPr>
            <w:r>
              <w:rPr>
                <w:b/>
                <w:bCs/>
                <w:color w:val="000000"/>
              </w:rPr>
              <w:t>Total</w:t>
            </w:r>
          </w:p>
        </w:tc>
        <w:tc>
          <w:tcPr>
            <w:tcW w:w="1296" w:type="dxa"/>
            <w:tcBorders>
              <w:top w:val="nil"/>
              <w:left w:val="nil"/>
              <w:bottom w:val="single" w:sz="8" w:space="0" w:color="auto"/>
              <w:right w:val="nil"/>
            </w:tcBorders>
            <w:shd w:val="clear" w:color="auto" w:fill="auto"/>
            <w:vAlign w:val="center"/>
            <w:hideMark/>
          </w:tcPr>
          <w:p w14:paraId="6600AF7A" w14:textId="0ED733A6" w:rsidR="00D5130A" w:rsidRPr="008E0367" w:rsidRDefault="00D5130A" w:rsidP="00E9110E">
            <w:pPr>
              <w:widowControl/>
              <w:overflowPunct/>
              <w:autoSpaceDE/>
              <w:autoSpaceDN/>
              <w:adjustRightInd/>
              <w:jc w:val="center"/>
              <w:textAlignment w:val="auto"/>
              <w:rPr>
                <w:b/>
                <w:bCs/>
                <w:color w:val="000000"/>
                <w:szCs w:val="24"/>
                <w:lang w:eastAsia="ko-KR"/>
              </w:rPr>
            </w:pPr>
            <w:r>
              <w:rPr>
                <w:b/>
                <w:bCs/>
                <w:color w:val="000000"/>
              </w:rPr>
              <w:t>4,</w:t>
            </w:r>
            <w:r w:rsidR="00E9110E">
              <w:rPr>
                <w:b/>
                <w:bCs/>
                <w:color w:val="000000"/>
              </w:rPr>
              <w:t>76</w:t>
            </w:r>
            <w:r>
              <w:rPr>
                <w:b/>
                <w:bCs/>
                <w:color w:val="000000"/>
              </w:rPr>
              <w:t>0</w:t>
            </w:r>
          </w:p>
        </w:tc>
        <w:tc>
          <w:tcPr>
            <w:tcW w:w="1086" w:type="dxa"/>
            <w:tcBorders>
              <w:top w:val="nil"/>
              <w:left w:val="nil"/>
              <w:bottom w:val="single" w:sz="8" w:space="0" w:color="auto"/>
              <w:right w:val="nil"/>
            </w:tcBorders>
            <w:shd w:val="clear" w:color="auto" w:fill="auto"/>
            <w:vAlign w:val="center"/>
            <w:hideMark/>
          </w:tcPr>
          <w:p w14:paraId="4358B71C" w14:textId="599F7524" w:rsidR="00D5130A" w:rsidRPr="008E0367" w:rsidRDefault="003D45DB" w:rsidP="003D45DB">
            <w:pPr>
              <w:widowControl/>
              <w:overflowPunct/>
              <w:autoSpaceDE/>
              <w:autoSpaceDN/>
              <w:adjustRightInd/>
              <w:jc w:val="center"/>
              <w:textAlignment w:val="auto"/>
              <w:rPr>
                <w:b/>
                <w:bCs/>
                <w:color w:val="000000"/>
                <w:szCs w:val="24"/>
                <w:lang w:eastAsia="ko-KR"/>
              </w:rPr>
            </w:pPr>
            <w:r w:rsidRPr="003D45DB">
              <w:rPr>
                <w:b/>
                <w:bCs/>
                <w:color w:val="000000"/>
              </w:rPr>
              <w:t>76,545</w:t>
            </w:r>
          </w:p>
        </w:tc>
      </w:tr>
    </w:tbl>
    <w:p w14:paraId="2A1B8D41" w14:textId="77777777" w:rsidR="00EE6685" w:rsidRPr="00A9436B" w:rsidRDefault="00EE6685" w:rsidP="004B3DA3">
      <w:pPr>
        <w:rPr>
          <w:sz w:val="20"/>
          <w:szCs w:val="24"/>
        </w:rPr>
      </w:pPr>
      <w:r w:rsidRPr="00A9436B">
        <w:rPr>
          <w:sz w:val="20"/>
          <w:szCs w:val="24"/>
          <w:vertAlign w:val="superscript"/>
        </w:rPr>
        <w:t xml:space="preserve">1 </w:t>
      </w:r>
      <w:r w:rsidRPr="00A9436B">
        <w:rPr>
          <w:sz w:val="20"/>
          <w:szCs w:val="24"/>
        </w:rPr>
        <w:t>Not applicable because the SNAP households have already been screened for children.</w:t>
      </w:r>
    </w:p>
    <w:p w14:paraId="7E06C210" w14:textId="77777777" w:rsidR="00EE6685" w:rsidRPr="00A9436B" w:rsidRDefault="00EE6685" w:rsidP="004B3DA3">
      <w:pPr>
        <w:rPr>
          <w:sz w:val="20"/>
          <w:szCs w:val="24"/>
        </w:rPr>
      </w:pPr>
      <w:r w:rsidRPr="00A9436B">
        <w:rPr>
          <w:sz w:val="20"/>
          <w:szCs w:val="24"/>
          <w:vertAlign w:val="superscript"/>
        </w:rPr>
        <w:t xml:space="preserve">2 </w:t>
      </w:r>
      <w:r w:rsidRPr="00A9436B">
        <w:rPr>
          <w:sz w:val="20"/>
          <w:szCs w:val="24"/>
        </w:rPr>
        <w:t>No need to screen as eligibility and participation are known from the administrative data.</w:t>
      </w:r>
    </w:p>
    <w:p w14:paraId="633AF3A5" w14:textId="37A71EFC" w:rsidR="004B3DA3" w:rsidRPr="00A9436B" w:rsidRDefault="00FE53D2" w:rsidP="004B3DA3">
      <w:pPr>
        <w:rPr>
          <w:sz w:val="20"/>
          <w:szCs w:val="24"/>
        </w:rPr>
        <w:sectPr w:rsidR="004B3DA3" w:rsidRPr="00A9436B" w:rsidSect="00B760CB">
          <w:pgSz w:w="15840" w:h="12240" w:orient="landscape" w:code="1"/>
          <w:pgMar w:top="1440" w:right="1440" w:bottom="1440" w:left="1440" w:header="432" w:footer="720" w:gutter="0"/>
          <w:cols w:space="720"/>
          <w:docGrid w:linePitch="326"/>
        </w:sectPr>
      </w:pPr>
      <w:commentRangeStart w:id="60"/>
      <w:r w:rsidRPr="00A9436B">
        <w:rPr>
          <w:sz w:val="20"/>
          <w:szCs w:val="24"/>
          <w:vertAlign w:val="superscript"/>
        </w:rPr>
        <w:t>3</w:t>
      </w:r>
      <w:r w:rsidR="00B74CE1" w:rsidRPr="00A9436B">
        <w:rPr>
          <w:sz w:val="20"/>
          <w:szCs w:val="24"/>
          <w:vertAlign w:val="superscript"/>
        </w:rPr>
        <w:t xml:space="preserve"> </w:t>
      </w:r>
      <w:r w:rsidR="00B74CE1" w:rsidRPr="00A9436B">
        <w:rPr>
          <w:sz w:val="20"/>
          <w:szCs w:val="24"/>
        </w:rPr>
        <w:t>The screener sample size is obtained by multiplying the initial sample size and the site sample size</w:t>
      </w:r>
      <w:r w:rsidRPr="00A9436B">
        <w:rPr>
          <w:sz w:val="20"/>
          <w:szCs w:val="24"/>
        </w:rPr>
        <w:t xml:space="preserve"> (e</w:t>
      </w:r>
      <w:r w:rsidR="005229A3" w:rsidRPr="00A9436B">
        <w:rPr>
          <w:sz w:val="20"/>
          <w:szCs w:val="24"/>
        </w:rPr>
        <w:t>.</w:t>
      </w:r>
      <w:r w:rsidRPr="00A9436B">
        <w:rPr>
          <w:sz w:val="20"/>
          <w:szCs w:val="24"/>
        </w:rPr>
        <w:t>g</w:t>
      </w:r>
      <w:r w:rsidR="005229A3" w:rsidRPr="00A9436B">
        <w:rPr>
          <w:sz w:val="20"/>
          <w:szCs w:val="24"/>
        </w:rPr>
        <w:t>.</w:t>
      </w:r>
      <w:r w:rsidR="00D5130A" w:rsidRPr="00A9436B">
        <w:rPr>
          <w:sz w:val="20"/>
          <w:szCs w:val="24"/>
        </w:rPr>
        <w:t>, 21,560 = 77</w:t>
      </w:r>
      <w:r w:rsidRPr="00A9436B">
        <w:rPr>
          <w:sz w:val="20"/>
          <w:szCs w:val="24"/>
        </w:rPr>
        <w:t>*280)</w:t>
      </w:r>
      <w:r w:rsidR="00B74CE1" w:rsidRPr="00A9436B">
        <w:rPr>
          <w:sz w:val="20"/>
          <w:szCs w:val="24"/>
        </w:rPr>
        <w:t>.</w:t>
      </w:r>
      <w:commentRangeEnd w:id="60"/>
      <w:r w:rsidR="007B64E9">
        <w:rPr>
          <w:rStyle w:val="CommentReference"/>
        </w:rPr>
        <w:commentReference w:id="60"/>
      </w:r>
    </w:p>
    <w:p w14:paraId="72736252" w14:textId="10384D99" w:rsidR="00EE6685" w:rsidRPr="008E0367" w:rsidRDefault="004B3DA3" w:rsidP="004B3DA3">
      <w:pPr>
        <w:pStyle w:val="Caption"/>
        <w:rPr>
          <w:b/>
          <w:i/>
          <w:szCs w:val="24"/>
        </w:rPr>
      </w:pPr>
      <w:bookmarkStart w:id="61" w:name="_Ref492890933"/>
      <w:bookmarkStart w:id="62" w:name="_Toc505263881"/>
      <w:r w:rsidRPr="004B3DA3">
        <w:rPr>
          <w:b/>
        </w:rPr>
        <w:t xml:space="preserve">Table B2 - </w:t>
      </w:r>
      <w:r w:rsidRPr="004B3DA3">
        <w:rPr>
          <w:b/>
        </w:rPr>
        <w:fldChar w:fldCharType="begin"/>
      </w:r>
      <w:r w:rsidRPr="004B3DA3">
        <w:rPr>
          <w:b/>
        </w:rPr>
        <w:instrText xml:space="preserve"> SEQ Table_B2_- \* ARABIC </w:instrText>
      </w:r>
      <w:r w:rsidRPr="004B3DA3">
        <w:rPr>
          <w:b/>
        </w:rPr>
        <w:fldChar w:fldCharType="separate"/>
      </w:r>
      <w:r w:rsidR="00FD4FBC">
        <w:rPr>
          <w:b/>
          <w:noProof/>
        </w:rPr>
        <w:t>5</w:t>
      </w:r>
      <w:r w:rsidRPr="004B3DA3">
        <w:rPr>
          <w:b/>
        </w:rPr>
        <w:fldChar w:fldCharType="end"/>
      </w:r>
      <w:bookmarkEnd w:id="61"/>
      <w:r w:rsidR="00EE6685" w:rsidRPr="008E0367">
        <w:rPr>
          <w:b/>
          <w:szCs w:val="24"/>
        </w:rPr>
        <w:t xml:space="preserve">. </w:t>
      </w:r>
      <w:r w:rsidR="00EE6685" w:rsidRPr="008E0367">
        <w:rPr>
          <w:b/>
          <w:bCs/>
          <w:color w:val="000000"/>
          <w:szCs w:val="24"/>
        </w:rPr>
        <w:t xml:space="preserve">Sample Size Calculations for the Participant and Non-participant Household Surveys from </w:t>
      </w:r>
      <w:r w:rsidR="00EE6685" w:rsidRPr="008E0367">
        <w:rPr>
          <w:b/>
          <w:bCs/>
          <w:i/>
          <w:color w:val="000000"/>
          <w:szCs w:val="24"/>
        </w:rPr>
        <w:t>New Sites</w:t>
      </w:r>
      <w:bookmarkEnd w:id="62"/>
    </w:p>
    <w:tbl>
      <w:tblPr>
        <w:tblW w:w="13230" w:type="dxa"/>
        <w:tblLayout w:type="fixed"/>
        <w:tblLook w:val="04A0" w:firstRow="1" w:lastRow="0" w:firstColumn="1" w:lastColumn="0" w:noHBand="0" w:noVBand="1"/>
      </w:tblPr>
      <w:tblGrid>
        <w:gridCol w:w="1710"/>
        <w:gridCol w:w="900"/>
        <w:gridCol w:w="990"/>
        <w:gridCol w:w="990"/>
        <w:gridCol w:w="1080"/>
        <w:gridCol w:w="1620"/>
        <w:gridCol w:w="1170"/>
        <w:gridCol w:w="990"/>
        <w:gridCol w:w="1260"/>
        <w:gridCol w:w="1350"/>
        <w:gridCol w:w="1170"/>
      </w:tblGrid>
      <w:tr w:rsidR="00D5130A" w:rsidRPr="008E0367" w14:paraId="3033EB38" w14:textId="77777777" w:rsidTr="001E5604">
        <w:trPr>
          <w:trHeight w:val="315"/>
        </w:trPr>
        <w:tc>
          <w:tcPr>
            <w:tcW w:w="10710" w:type="dxa"/>
            <w:gridSpan w:val="9"/>
            <w:tcBorders>
              <w:top w:val="single" w:sz="8" w:space="0" w:color="auto"/>
              <w:left w:val="nil"/>
              <w:bottom w:val="single" w:sz="8" w:space="0" w:color="auto"/>
              <w:right w:val="single" w:sz="8" w:space="0" w:color="000000"/>
            </w:tcBorders>
            <w:shd w:val="clear" w:color="000000" w:fill="AFBED7"/>
            <w:vAlign w:val="center"/>
            <w:hideMark/>
          </w:tcPr>
          <w:p w14:paraId="20A6C296"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Sample size calculation for a single site</w:t>
            </w:r>
          </w:p>
        </w:tc>
        <w:tc>
          <w:tcPr>
            <w:tcW w:w="2520" w:type="dxa"/>
            <w:gridSpan w:val="2"/>
            <w:tcBorders>
              <w:top w:val="single" w:sz="8" w:space="0" w:color="auto"/>
              <w:left w:val="nil"/>
              <w:bottom w:val="single" w:sz="8" w:space="0" w:color="auto"/>
              <w:right w:val="nil"/>
            </w:tcBorders>
            <w:shd w:val="clear" w:color="000000" w:fill="AFBED7"/>
            <w:vAlign w:val="center"/>
            <w:hideMark/>
          </w:tcPr>
          <w:p w14:paraId="3883B7EE"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Total all sites</w:t>
            </w:r>
          </w:p>
        </w:tc>
      </w:tr>
      <w:tr w:rsidR="00343DCA" w:rsidRPr="008E0367" w14:paraId="470C8354" w14:textId="77777777" w:rsidTr="00AB1A5A">
        <w:trPr>
          <w:trHeight w:val="1365"/>
        </w:trPr>
        <w:tc>
          <w:tcPr>
            <w:tcW w:w="1710" w:type="dxa"/>
            <w:tcBorders>
              <w:top w:val="nil"/>
              <w:left w:val="nil"/>
              <w:bottom w:val="single" w:sz="8" w:space="0" w:color="auto"/>
              <w:right w:val="nil"/>
            </w:tcBorders>
            <w:shd w:val="clear" w:color="000000" w:fill="AFBED7"/>
            <w:vAlign w:val="center"/>
            <w:hideMark/>
          </w:tcPr>
          <w:p w14:paraId="52D3A14E"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Group</w:t>
            </w:r>
          </w:p>
        </w:tc>
        <w:tc>
          <w:tcPr>
            <w:tcW w:w="900" w:type="dxa"/>
            <w:tcBorders>
              <w:top w:val="nil"/>
              <w:left w:val="nil"/>
              <w:bottom w:val="single" w:sz="8" w:space="0" w:color="auto"/>
              <w:right w:val="nil"/>
            </w:tcBorders>
            <w:shd w:val="clear" w:color="000000" w:fill="AFBED7"/>
            <w:vAlign w:val="center"/>
            <w:hideMark/>
          </w:tcPr>
          <w:p w14:paraId="1BDFFEA3"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Frame</w:t>
            </w:r>
          </w:p>
        </w:tc>
        <w:tc>
          <w:tcPr>
            <w:tcW w:w="990" w:type="dxa"/>
            <w:tcBorders>
              <w:top w:val="nil"/>
              <w:left w:val="nil"/>
              <w:bottom w:val="single" w:sz="8" w:space="0" w:color="auto"/>
              <w:right w:val="nil"/>
            </w:tcBorders>
            <w:shd w:val="clear" w:color="000000" w:fill="AFBED7"/>
            <w:vAlign w:val="center"/>
            <w:hideMark/>
          </w:tcPr>
          <w:p w14:paraId="7B3869C2"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Initial sample size</w:t>
            </w:r>
          </w:p>
        </w:tc>
        <w:tc>
          <w:tcPr>
            <w:tcW w:w="990" w:type="dxa"/>
            <w:tcBorders>
              <w:top w:val="nil"/>
              <w:left w:val="nil"/>
              <w:bottom w:val="single" w:sz="8" w:space="0" w:color="auto"/>
              <w:right w:val="nil"/>
            </w:tcBorders>
            <w:shd w:val="clear" w:color="000000" w:fill="AFBED7"/>
            <w:vAlign w:val="center"/>
            <w:hideMark/>
          </w:tcPr>
          <w:p w14:paraId="3E3E40AC" w14:textId="6164122F" w:rsidR="00D5130A" w:rsidRPr="00FA7E24" w:rsidRDefault="00D5130A" w:rsidP="0040087D">
            <w:pPr>
              <w:widowControl/>
              <w:overflowPunct/>
              <w:autoSpaceDE/>
              <w:autoSpaceDN/>
              <w:adjustRightInd/>
              <w:jc w:val="center"/>
              <w:textAlignment w:val="auto"/>
              <w:rPr>
                <w:b/>
                <w:bCs/>
                <w:color w:val="000000"/>
                <w:szCs w:val="24"/>
                <w:vertAlign w:val="superscript"/>
                <w:lang w:eastAsia="ko-KR"/>
              </w:rPr>
            </w:pPr>
            <w:r w:rsidRPr="008E0367">
              <w:rPr>
                <w:b/>
                <w:bCs/>
                <w:color w:val="000000"/>
                <w:szCs w:val="24"/>
                <w:lang w:eastAsia="ko-KR"/>
              </w:rPr>
              <w:t>Screen RR</w:t>
            </w:r>
            <w:r w:rsidR="00697236">
              <w:rPr>
                <w:b/>
                <w:bCs/>
                <w:color w:val="000000"/>
                <w:szCs w:val="24"/>
                <w:vertAlign w:val="superscript"/>
                <w:lang w:eastAsia="ko-KR"/>
              </w:rPr>
              <w:t>3</w:t>
            </w:r>
          </w:p>
        </w:tc>
        <w:tc>
          <w:tcPr>
            <w:tcW w:w="1080" w:type="dxa"/>
            <w:tcBorders>
              <w:top w:val="nil"/>
              <w:left w:val="nil"/>
              <w:bottom w:val="single" w:sz="8" w:space="0" w:color="auto"/>
              <w:right w:val="nil"/>
            </w:tcBorders>
            <w:shd w:val="clear" w:color="000000" w:fill="AFBED7"/>
            <w:vAlign w:val="center"/>
            <w:hideMark/>
          </w:tcPr>
          <w:p w14:paraId="7543D070"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 of HHs with eligible children</w:t>
            </w:r>
          </w:p>
        </w:tc>
        <w:tc>
          <w:tcPr>
            <w:tcW w:w="1620" w:type="dxa"/>
            <w:tcBorders>
              <w:top w:val="nil"/>
              <w:left w:val="nil"/>
              <w:bottom w:val="single" w:sz="8" w:space="0" w:color="auto"/>
              <w:right w:val="nil"/>
            </w:tcBorders>
            <w:shd w:val="clear" w:color="000000" w:fill="AFBED7"/>
            <w:vAlign w:val="center"/>
            <w:hideMark/>
          </w:tcPr>
          <w:p w14:paraId="45A03D3E"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Summer meal participation or non-participation rate</w:t>
            </w:r>
          </w:p>
        </w:tc>
        <w:tc>
          <w:tcPr>
            <w:tcW w:w="1170" w:type="dxa"/>
            <w:tcBorders>
              <w:top w:val="nil"/>
              <w:left w:val="nil"/>
              <w:bottom w:val="single" w:sz="8" w:space="0" w:color="auto"/>
              <w:right w:val="nil"/>
            </w:tcBorders>
            <w:shd w:val="clear" w:color="000000" w:fill="AFBED7"/>
            <w:vAlign w:val="center"/>
            <w:hideMark/>
          </w:tcPr>
          <w:p w14:paraId="2F5A445F"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Sub-sampling rate</w:t>
            </w:r>
          </w:p>
        </w:tc>
        <w:tc>
          <w:tcPr>
            <w:tcW w:w="990" w:type="dxa"/>
            <w:tcBorders>
              <w:top w:val="nil"/>
              <w:left w:val="nil"/>
              <w:bottom w:val="single" w:sz="8" w:space="0" w:color="auto"/>
              <w:right w:val="nil"/>
            </w:tcBorders>
            <w:shd w:val="clear" w:color="000000" w:fill="AFBED7"/>
            <w:vAlign w:val="center"/>
            <w:hideMark/>
          </w:tcPr>
          <w:p w14:paraId="34FDC9FA" w14:textId="7EFA4E57" w:rsidR="00D5130A" w:rsidRPr="00FA7E24" w:rsidRDefault="00D5130A" w:rsidP="0040087D">
            <w:pPr>
              <w:widowControl/>
              <w:overflowPunct/>
              <w:autoSpaceDE/>
              <w:autoSpaceDN/>
              <w:adjustRightInd/>
              <w:jc w:val="center"/>
              <w:textAlignment w:val="auto"/>
              <w:rPr>
                <w:b/>
                <w:bCs/>
                <w:color w:val="000000"/>
                <w:szCs w:val="24"/>
                <w:vertAlign w:val="superscript"/>
                <w:lang w:eastAsia="ko-KR"/>
              </w:rPr>
            </w:pPr>
            <w:r w:rsidRPr="008E0367">
              <w:rPr>
                <w:b/>
                <w:bCs/>
                <w:color w:val="000000"/>
                <w:szCs w:val="24"/>
                <w:lang w:eastAsia="ko-KR"/>
              </w:rPr>
              <w:t>Survey RR</w:t>
            </w:r>
            <w:r w:rsidR="00697236">
              <w:rPr>
                <w:b/>
                <w:bCs/>
                <w:color w:val="000000"/>
                <w:szCs w:val="24"/>
                <w:vertAlign w:val="superscript"/>
                <w:lang w:eastAsia="ko-KR"/>
              </w:rPr>
              <w:t>3</w:t>
            </w:r>
          </w:p>
        </w:tc>
        <w:tc>
          <w:tcPr>
            <w:tcW w:w="1260" w:type="dxa"/>
            <w:tcBorders>
              <w:top w:val="nil"/>
              <w:left w:val="nil"/>
              <w:bottom w:val="single" w:sz="8" w:space="0" w:color="auto"/>
              <w:right w:val="single" w:sz="8" w:space="0" w:color="auto"/>
            </w:tcBorders>
            <w:shd w:val="clear" w:color="000000" w:fill="AFBED7"/>
            <w:vAlign w:val="center"/>
            <w:hideMark/>
          </w:tcPr>
          <w:p w14:paraId="073A5104"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Target number of completes</w:t>
            </w:r>
          </w:p>
        </w:tc>
        <w:tc>
          <w:tcPr>
            <w:tcW w:w="1350" w:type="dxa"/>
            <w:tcBorders>
              <w:top w:val="nil"/>
              <w:left w:val="nil"/>
              <w:bottom w:val="single" w:sz="8" w:space="0" w:color="auto"/>
              <w:right w:val="nil"/>
            </w:tcBorders>
            <w:shd w:val="clear" w:color="000000" w:fill="AFBED7"/>
            <w:vAlign w:val="center"/>
            <w:hideMark/>
          </w:tcPr>
          <w:p w14:paraId="6342CE15" w14:textId="77777777" w:rsidR="00D5130A" w:rsidRPr="008E0367" w:rsidRDefault="00D5130A"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Completes</w:t>
            </w:r>
          </w:p>
        </w:tc>
        <w:tc>
          <w:tcPr>
            <w:tcW w:w="1170" w:type="dxa"/>
            <w:tcBorders>
              <w:top w:val="nil"/>
              <w:left w:val="nil"/>
              <w:bottom w:val="single" w:sz="8" w:space="0" w:color="auto"/>
              <w:right w:val="nil"/>
            </w:tcBorders>
            <w:shd w:val="clear" w:color="000000" w:fill="AFBED7"/>
            <w:vAlign w:val="center"/>
            <w:hideMark/>
          </w:tcPr>
          <w:p w14:paraId="14E8EE59" w14:textId="2C923C28" w:rsidR="00D5130A" w:rsidRPr="008E0367" w:rsidRDefault="00D5130A" w:rsidP="0040087D">
            <w:pPr>
              <w:widowControl/>
              <w:overflowPunct/>
              <w:autoSpaceDE/>
              <w:autoSpaceDN/>
              <w:adjustRightInd/>
              <w:jc w:val="center"/>
              <w:textAlignment w:val="auto"/>
              <w:rPr>
                <w:b/>
                <w:bCs/>
                <w:color w:val="000000"/>
                <w:szCs w:val="24"/>
                <w:vertAlign w:val="superscript"/>
                <w:lang w:eastAsia="ko-KR"/>
              </w:rPr>
            </w:pPr>
            <w:r w:rsidRPr="008E0367">
              <w:rPr>
                <w:b/>
                <w:bCs/>
                <w:color w:val="000000"/>
                <w:szCs w:val="24"/>
                <w:lang w:eastAsia="ko-KR"/>
              </w:rPr>
              <w:t>Screens</w:t>
            </w:r>
            <w:r w:rsidR="00697236">
              <w:rPr>
                <w:b/>
                <w:bCs/>
                <w:color w:val="000000"/>
                <w:szCs w:val="24"/>
                <w:vertAlign w:val="superscript"/>
                <w:lang w:eastAsia="ko-KR"/>
              </w:rPr>
              <w:t>4</w:t>
            </w:r>
          </w:p>
        </w:tc>
      </w:tr>
      <w:tr w:rsidR="00D5130A" w:rsidRPr="008E0367" w14:paraId="7E5F2A42" w14:textId="77777777" w:rsidTr="001E5604">
        <w:trPr>
          <w:trHeight w:val="315"/>
        </w:trPr>
        <w:tc>
          <w:tcPr>
            <w:tcW w:w="13230" w:type="dxa"/>
            <w:gridSpan w:val="11"/>
            <w:tcBorders>
              <w:top w:val="single" w:sz="8" w:space="0" w:color="auto"/>
              <w:left w:val="nil"/>
              <w:bottom w:val="single" w:sz="8" w:space="0" w:color="auto"/>
              <w:right w:val="nil"/>
            </w:tcBorders>
            <w:shd w:val="clear" w:color="000000" w:fill="BFBFBF"/>
            <w:vAlign w:val="center"/>
            <w:hideMark/>
          </w:tcPr>
          <w:p w14:paraId="461713CB" w14:textId="17B27A55" w:rsidR="00D5130A" w:rsidRPr="008E0367" w:rsidRDefault="00796BB7" w:rsidP="00D5130A">
            <w:pPr>
              <w:widowControl/>
              <w:overflowPunct/>
              <w:autoSpaceDE/>
              <w:autoSpaceDN/>
              <w:adjustRightInd/>
              <w:jc w:val="center"/>
              <w:textAlignment w:val="auto"/>
              <w:rPr>
                <w:b/>
                <w:bCs/>
                <w:color w:val="000000"/>
                <w:szCs w:val="24"/>
                <w:lang w:eastAsia="ko-KR"/>
              </w:rPr>
            </w:pPr>
            <w:r>
              <w:rPr>
                <w:b/>
                <w:bCs/>
                <w:color w:val="000000"/>
                <w:szCs w:val="24"/>
                <w:lang w:eastAsia="ko-KR"/>
              </w:rPr>
              <w:t xml:space="preserve">SFSP </w:t>
            </w:r>
            <w:r w:rsidR="00D5130A" w:rsidRPr="008E0367">
              <w:rPr>
                <w:b/>
                <w:bCs/>
                <w:color w:val="000000"/>
                <w:szCs w:val="24"/>
                <w:lang w:eastAsia="ko-KR"/>
              </w:rPr>
              <w:t>Open site (n=</w:t>
            </w:r>
            <w:r w:rsidR="00D5130A">
              <w:rPr>
                <w:b/>
                <w:bCs/>
                <w:color w:val="000000"/>
                <w:szCs w:val="24"/>
                <w:lang w:eastAsia="ko-KR"/>
              </w:rPr>
              <w:t>1</w:t>
            </w:r>
            <w:r w:rsidR="00D5130A" w:rsidRPr="008E0367">
              <w:rPr>
                <w:b/>
                <w:bCs/>
                <w:color w:val="000000"/>
                <w:szCs w:val="24"/>
                <w:lang w:eastAsia="ko-KR"/>
              </w:rPr>
              <w:t>20)</w:t>
            </w:r>
          </w:p>
        </w:tc>
      </w:tr>
      <w:tr w:rsidR="00343DCA" w:rsidRPr="008E0367" w14:paraId="6B78A462"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23E52C2D" w14:textId="494AFEC5" w:rsidR="00D5130A" w:rsidRPr="00D5130A" w:rsidRDefault="00D5130A" w:rsidP="00D5130A">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single" w:sz="8" w:space="0" w:color="auto"/>
              <w:right w:val="nil"/>
            </w:tcBorders>
            <w:shd w:val="clear" w:color="auto" w:fill="auto"/>
            <w:vAlign w:val="center"/>
            <w:hideMark/>
          </w:tcPr>
          <w:p w14:paraId="29DC7A1D" w14:textId="30108C4C" w:rsidR="00D5130A" w:rsidRPr="00D5130A" w:rsidRDefault="00D5130A" w:rsidP="00D5130A">
            <w:pPr>
              <w:widowControl/>
              <w:overflowPunct/>
              <w:autoSpaceDE/>
              <w:autoSpaceDN/>
              <w:adjustRightInd/>
              <w:textAlignment w:val="auto"/>
              <w:rPr>
                <w:color w:val="000000"/>
                <w:szCs w:val="24"/>
                <w:lang w:eastAsia="ko-KR"/>
              </w:rPr>
            </w:pPr>
            <w:r>
              <w:rPr>
                <w:color w:val="000000"/>
              </w:rPr>
              <w:t>Onsite</w:t>
            </w:r>
          </w:p>
        </w:tc>
        <w:tc>
          <w:tcPr>
            <w:tcW w:w="990" w:type="dxa"/>
            <w:tcBorders>
              <w:top w:val="nil"/>
              <w:left w:val="nil"/>
              <w:bottom w:val="single" w:sz="8" w:space="0" w:color="auto"/>
              <w:right w:val="nil"/>
            </w:tcBorders>
            <w:shd w:val="clear" w:color="auto" w:fill="auto"/>
            <w:vAlign w:val="center"/>
            <w:hideMark/>
          </w:tcPr>
          <w:p w14:paraId="0A45741E" w14:textId="150F9CFC" w:rsidR="00D5130A" w:rsidRPr="00D5130A" w:rsidRDefault="006F7772" w:rsidP="006F7772">
            <w:pPr>
              <w:widowControl/>
              <w:overflowPunct/>
              <w:autoSpaceDE/>
              <w:autoSpaceDN/>
              <w:adjustRightInd/>
              <w:jc w:val="center"/>
              <w:textAlignment w:val="auto"/>
              <w:rPr>
                <w:color w:val="000000"/>
                <w:szCs w:val="24"/>
                <w:lang w:eastAsia="ko-KR"/>
              </w:rPr>
            </w:pPr>
            <w:r>
              <w:rPr>
                <w:color w:val="000000"/>
              </w:rPr>
              <w:t>4</w:t>
            </w:r>
          </w:p>
        </w:tc>
        <w:tc>
          <w:tcPr>
            <w:tcW w:w="990" w:type="dxa"/>
            <w:tcBorders>
              <w:top w:val="nil"/>
              <w:left w:val="nil"/>
              <w:bottom w:val="single" w:sz="8" w:space="0" w:color="auto"/>
              <w:right w:val="nil"/>
            </w:tcBorders>
            <w:shd w:val="clear" w:color="auto" w:fill="auto"/>
            <w:vAlign w:val="center"/>
            <w:hideMark/>
          </w:tcPr>
          <w:p w14:paraId="2584649D" w14:textId="04960792" w:rsidR="00D5130A" w:rsidRPr="00D5130A" w:rsidRDefault="00D5130A" w:rsidP="00D5130A">
            <w:pPr>
              <w:rPr>
                <w:szCs w:val="24"/>
                <w:lang w:eastAsia="ko-KR"/>
              </w:rPr>
            </w:pPr>
            <w:r>
              <w:rPr>
                <w:color w:val="000000"/>
              </w:rPr>
              <w:t>NA</w:t>
            </w:r>
          </w:p>
        </w:tc>
        <w:tc>
          <w:tcPr>
            <w:tcW w:w="1080" w:type="dxa"/>
            <w:tcBorders>
              <w:top w:val="nil"/>
              <w:left w:val="nil"/>
              <w:bottom w:val="single" w:sz="8" w:space="0" w:color="auto"/>
              <w:right w:val="nil"/>
            </w:tcBorders>
            <w:shd w:val="clear" w:color="auto" w:fill="auto"/>
            <w:vAlign w:val="center"/>
            <w:hideMark/>
          </w:tcPr>
          <w:p w14:paraId="631499F9" w14:textId="2E5CBF9A" w:rsidR="00D5130A" w:rsidRPr="00D5130A" w:rsidRDefault="00D5130A" w:rsidP="00D5130A">
            <w:pPr>
              <w:widowControl/>
              <w:overflowPunct/>
              <w:autoSpaceDE/>
              <w:autoSpaceDN/>
              <w:adjustRightInd/>
              <w:jc w:val="center"/>
              <w:textAlignment w:val="auto"/>
              <w:rPr>
                <w:color w:val="000000"/>
                <w:szCs w:val="24"/>
                <w:lang w:eastAsia="ko-KR"/>
              </w:rPr>
            </w:pPr>
            <w:r>
              <w:rPr>
                <w:color w:val="000000"/>
              </w:rPr>
              <w:t>NA</w:t>
            </w:r>
          </w:p>
        </w:tc>
        <w:tc>
          <w:tcPr>
            <w:tcW w:w="1620" w:type="dxa"/>
            <w:tcBorders>
              <w:top w:val="nil"/>
              <w:left w:val="nil"/>
              <w:bottom w:val="single" w:sz="8" w:space="0" w:color="auto"/>
              <w:right w:val="nil"/>
            </w:tcBorders>
            <w:shd w:val="clear" w:color="auto" w:fill="auto"/>
            <w:vAlign w:val="center"/>
            <w:hideMark/>
          </w:tcPr>
          <w:p w14:paraId="2863D57A" w14:textId="2A1EC484" w:rsidR="00D5130A" w:rsidRPr="00D5130A"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19017201" w14:textId="514F0F5C" w:rsidR="00D5130A" w:rsidRPr="00D5130A" w:rsidRDefault="00D5130A" w:rsidP="00D5130A">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677F4B2E" w14:textId="4E77D5DF" w:rsidR="00D5130A" w:rsidRPr="00D5130A" w:rsidRDefault="00D5130A" w:rsidP="00D5130A">
            <w:pPr>
              <w:widowControl/>
              <w:overflowPunct/>
              <w:autoSpaceDE/>
              <w:autoSpaceDN/>
              <w:adjustRightInd/>
              <w:jc w:val="center"/>
              <w:textAlignment w:val="auto"/>
              <w:rPr>
                <w:color w:val="000000"/>
                <w:szCs w:val="24"/>
                <w:lang w:eastAsia="ko-KR"/>
              </w:rPr>
            </w:pPr>
            <w:r>
              <w:rPr>
                <w:color w:val="000000"/>
              </w:rPr>
              <w:t>0.3</w:t>
            </w:r>
          </w:p>
        </w:tc>
        <w:tc>
          <w:tcPr>
            <w:tcW w:w="1260" w:type="dxa"/>
            <w:tcBorders>
              <w:top w:val="nil"/>
              <w:left w:val="nil"/>
              <w:bottom w:val="single" w:sz="8" w:space="0" w:color="auto"/>
              <w:right w:val="single" w:sz="8" w:space="0" w:color="auto"/>
            </w:tcBorders>
            <w:shd w:val="clear" w:color="auto" w:fill="auto"/>
            <w:vAlign w:val="center"/>
            <w:hideMark/>
          </w:tcPr>
          <w:p w14:paraId="1974141B" w14:textId="5B960965" w:rsidR="00D5130A" w:rsidRPr="00D5130A" w:rsidRDefault="00D5130A" w:rsidP="00D5130A">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153414F8" w14:textId="0425220B" w:rsidR="00D5130A" w:rsidRPr="00D5130A" w:rsidRDefault="00D5130A" w:rsidP="00D5130A">
            <w:pPr>
              <w:widowControl/>
              <w:overflowPunct/>
              <w:autoSpaceDE/>
              <w:autoSpaceDN/>
              <w:adjustRightInd/>
              <w:jc w:val="center"/>
              <w:textAlignment w:val="auto"/>
              <w:rPr>
                <w:color w:val="000000"/>
                <w:szCs w:val="24"/>
                <w:lang w:eastAsia="ko-KR"/>
              </w:rPr>
            </w:pPr>
            <w:r>
              <w:rPr>
                <w:color w:val="000000"/>
              </w:rPr>
              <w:t>120</w:t>
            </w:r>
          </w:p>
        </w:tc>
        <w:tc>
          <w:tcPr>
            <w:tcW w:w="1170" w:type="dxa"/>
            <w:tcBorders>
              <w:top w:val="nil"/>
              <w:left w:val="nil"/>
              <w:bottom w:val="single" w:sz="8" w:space="0" w:color="auto"/>
              <w:right w:val="nil"/>
            </w:tcBorders>
            <w:shd w:val="clear" w:color="auto" w:fill="auto"/>
            <w:vAlign w:val="center"/>
            <w:hideMark/>
          </w:tcPr>
          <w:p w14:paraId="0A153AAD" w14:textId="16BE38AE" w:rsidR="00D5130A" w:rsidRPr="008E0367" w:rsidRDefault="00D5130A" w:rsidP="00D5130A">
            <w:pPr>
              <w:widowControl/>
              <w:overflowPunct/>
              <w:autoSpaceDE/>
              <w:autoSpaceDN/>
              <w:adjustRightInd/>
              <w:jc w:val="center"/>
              <w:textAlignment w:val="auto"/>
              <w:rPr>
                <w:color w:val="000000"/>
                <w:szCs w:val="24"/>
                <w:lang w:eastAsia="ko-KR"/>
              </w:rPr>
            </w:pPr>
            <w:r>
              <w:rPr>
                <w:color w:val="000000"/>
              </w:rPr>
              <w:t>0</w:t>
            </w:r>
          </w:p>
        </w:tc>
      </w:tr>
      <w:tr w:rsidR="00343DCA" w:rsidRPr="008E0367" w14:paraId="7BAC9B70" w14:textId="77777777" w:rsidTr="00AB1A5A">
        <w:trPr>
          <w:trHeight w:val="300"/>
        </w:trPr>
        <w:tc>
          <w:tcPr>
            <w:tcW w:w="1710" w:type="dxa"/>
            <w:tcBorders>
              <w:top w:val="nil"/>
              <w:left w:val="nil"/>
              <w:bottom w:val="nil"/>
              <w:right w:val="nil"/>
            </w:tcBorders>
            <w:shd w:val="clear" w:color="auto" w:fill="auto"/>
            <w:vAlign w:val="center"/>
            <w:hideMark/>
          </w:tcPr>
          <w:p w14:paraId="0E4743E2" w14:textId="5460AEB0" w:rsidR="0040087D" w:rsidRPr="00D5130A" w:rsidRDefault="0040087D" w:rsidP="0040087D">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5F03E760" w14:textId="3C44E237" w:rsidR="0040087D" w:rsidRPr="00D5130A" w:rsidRDefault="0040087D" w:rsidP="0040087D">
            <w:pPr>
              <w:widowControl/>
              <w:overflowPunct/>
              <w:autoSpaceDE/>
              <w:autoSpaceDN/>
              <w:adjustRightInd/>
              <w:textAlignment w:val="auto"/>
              <w:rPr>
                <w:color w:val="000000"/>
                <w:szCs w:val="24"/>
                <w:lang w:eastAsia="ko-KR"/>
              </w:rPr>
            </w:pPr>
            <w:r>
              <w:rPr>
                <w:color w:val="000000"/>
              </w:rPr>
              <w:t>SNAP</w:t>
            </w:r>
          </w:p>
        </w:tc>
        <w:tc>
          <w:tcPr>
            <w:tcW w:w="990" w:type="dxa"/>
            <w:vMerge w:val="restart"/>
            <w:tcBorders>
              <w:top w:val="nil"/>
              <w:left w:val="nil"/>
              <w:bottom w:val="single" w:sz="8" w:space="0" w:color="000000"/>
              <w:right w:val="nil"/>
            </w:tcBorders>
            <w:shd w:val="clear" w:color="auto" w:fill="auto"/>
            <w:vAlign w:val="center"/>
            <w:hideMark/>
          </w:tcPr>
          <w:p w14:paraId="33D04982" w14:textId="601AA0D8"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58A0CED3" w14:textId="316CD760"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2C2B633F" w14:textId="10C8DD4B"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178B45A0" w14:textId="5ECBE3AF"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54FAC784" w14:textId="1A14306B" w:rsidR="0040087D" w:rsidRPr="00D5130A" w:rsidRDefault="0040087D" w:rsidP="0040087D">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33C4FC3A" w14:textId="6D4E3AE0"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270D1EC7" w14:textId="3CD441E5"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2</w:t>
            </w:r>
          </w:p>
        </w:tc>
        <w:tc>
          <w:tcPr>
            <w:tcW w:w="1350" w:type="dxa"/>
            <w:tcBorders>
              <w:top w:val="nil"/>
              <w:left w:val="nil"/>
              <w:bottom w:val="nil"/>
              <w:right w:val="nil"/>
            </w:tcBorders>
            <w:shd w:val="clear" w:color="auto" w:fill="auto"/>
            <w:vAlign w:val="center"/>
            <w:hideMark/>
          </w:tcPr>
          <w:p w14:paraId="3D628CBD" w14:textId="6F0EC568"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240</w:t>
            </w:r>
          </w:p>
        </w:tc>
        <w:tc>
          <w:tcPr>
            <w:tcW w:w="1170" w:type="dxa"/>
            <w:vMerge w:val="restart"/>
            <w:tcBorders>
              <w:top w:val="single" w:sz="8" w:space="0" w:color="auto"/>
              <w:left w:val="nil"/>
              <w:bottom w:val="single" w:sz="8" w:space="0" w:color="000000"/>
              <w:right w:val="nil"/>
            </w:tcBorders>
            <w:shd w:val="clear" w:color="auto" w:fill="auto"/>
            <w:vAlign w:val="center"/>
            <w:hideMark/>
          </w:tcPr>
          <w:p w14:paraId="08BDFD57" w14:textId="40F377AA"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11,520</w:t>
            </w:r>
          </w:p>
        </w:tc>
      </w:tr>
      <w:tr w:rsidR="00343DCA" w:rsidRPr="008E0367" w14:paraId="1B593F5B"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27D417AB" w14:textId="45833CE6" w:rsidR="0040087D" w:rsidRPr="00D5130A" w:rsidRDefault="0040087D" w:rsidP="0040087D">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0E9CB7E4" w14:textId="3F2F4044" w:rsidR="0040087D" w:rsidRPr="00D5130A" w:rsidRDefault="0040087D" w:rsidP="0040087D">
            <w:pPr>
              <w:widowControl/>
              <w:overflowPunct/>
              <w:autoSpaceDE/>
              <w:autoSpaceDN/>
              <w:adjustRightInd/>
              <w:textAlignment w:val="auto"/>
              <w:rPr>
                <w:color w:val="000000"/>
                <w:szCs w:val="24"/>
                <w:lang w:eastAsia="ko-KR"/>
              </w:rPr>
            </w:pPr>
            <w:r>
              <w:rPr>
                <w:color w:val="000000"/>
              </w:rPr>
              <w:t>SNAP</w:t>
            </w:r>
          </w:p>
        </w:tc>
        <w:tc>
          <w:tcPr>
            <w:tcW w:w="990" w:type="dxa"/>
            <w:vMerge/>
            <w:tcBorders>
              <w:top w:val="nil"/>
              <w:left w:val="nil"/>
              <w:bottom w:val="single" w:sz="8" w:space="0" w:color="000000"/>
              <w:right w:val="nil"/>
            </w:tcBorders>
            <w:vAlign w:val="center"/>
            <w:hideMark/>
          </w:tcPr>
          <w:p w14:paraId="2D476538" w14:textId="77777777" w:rsidR="0040087D" w:rsidRPr="00D5130A" w:rsidRDefault="0040087D" w:rsidP="0040087D">
            <w:pPr>
              <w:widowControl/>
              <w:overflowPunct/>
              <w:autoSpaceDE/>
              <w:autoSpaceDN/>
              <w:adjustRightInd/>
              <w:textAlignment w:val="auto"/>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2702E272" w14:textId="1B4A3433"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0.16</w:t>
            </w:r>
          </w:p>
        </w:tc>
        <w:tc>
          <w:tcPr>
            <w:tcW w:w="1080" w:type="dxa"/>
            <w:tcBorders>
              <w:top w:val="nil"/>
              <w:left w:val="nil"/>
              <w:bottom w:val="single" w:sz="8" w:space="0" w:color="auto"/>
              <w:right w:val="nil"/>
            </w:tcBorders>
            <w:shd w:val="clear" w:color="auto" w:fill="auto"/>
            <w:vAlign w:val="center"/>
            <w:hideMark/>
          </w:tcPr>
          <w:p w14:paraId="34B605BC" w14:textId="78082574"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4606BA5D" w14:textId="555FBD8A"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0B285D0D" w14:textId="2A2A119D" w:rsidR="0040087D" w:rsidRPr="00D5130A" w:rsidRDefault="0040087D" w:rsidP="0040087D">
            <w:pPr>
              <w:widowControl/>
              <w:overflowPunct/>
              <w:autoSpaceDE/>
              <w:autoSpaceDN/>
              <w:adjustRightInd/>
              <w:jc w:val="right"/>
              <w:textAlignment w:val="auto"/>
              <w:rPr>
                <w:color w:val="000000"/>
                <w:szCs w:val="24"/>
                <w:lang w:eastAsia="ko-KR"/>
              </w:rPr>
            </w:pPr>
            <w:r>
              <w:rPr>
                <w:color w:val="000000"/>
              </w:rPr>
              <w:t>0.329</w:t>
            </w:r>
          </w:p>
        </w:tc>
        <w:tc>
          <w:tcPr>
            <w:tcW w:w="990" w:type="dxa"/>
            <w:tcBorders>
              <w:top w:val="nil"/>
              <w:left w:val="nil"/>
              <w:bottom w:val="single" w:sz="8" w:space="0" w:color="auto"/>
              <w:right w:val="nil"/>
            </w:tcBorders>
            <w:shd w:val="clear" w:color="auto" w:fill="auto"/>
            <w:vAlign w:val="center"/>
            <w:hideMark/>
          </w:tcPr>
          <w:p w14:paraId="26867857" w14:textId="33AFF947"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0FC3796D" w14:textId="32023327"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3</w:t>
            </w:r>
          </w:p>
        </w:tc>
        <w:tc>
          <w:tcPr>
            <w:tcW w:w="1350" w:type="dxa"/>
            <w:tcBorders>
              <w:top w:val="nil"/>
              <w:left w:val="nil"/>
              <w:bottom w:val="single" w:sz="8" w:space="0" w:color="auto"/>
              <w:right w:val="nil"/>
            </w:tcBorders>
            <w:shd w:val="clear" w:color="auto" w:fill="auto"/>
            <w:vAlign w:val="center"/>
            <w:hideMark/>
          </w:tcPr>
          <w:p w14:paraId="5915F994" w14:textId="2412C807"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360</w:t>
            </w:r>
          </w:p>
        </w:tc>
        <w:tc>
          <w:tcPr>
            <w:tcW w:w="1170" w:type="dxa"/>
            <w:vMerge/>
            <w:tcBorders>
              <w:top w:val="single" w:sz="8" w:space="0" w:color="auto"/>
              <w:left w:val="nil"/>
              <w:bottom w:val="single" w:sz="8" w:space="0" w:color="000000"/>
              <w:right w:val="nil"/>
            </w:tcBorders>
            <w:vAlign w:val="center"/>
            <w:hideMark/>
          </w:tcPr>
          <w:p w14:paraId="3B147856" w14:textId="77777777" w:rsidR="0040087D" w:rsidRPr="008E0367" w:rsidRDefault="0040087D" w:rsidP="0040087D">
            <w:pPr>
              <w:widowControl/>
              <w:overflowPunct/>
              <w:autoSpaceDE/>
              <w:autoSpaceDN/>
              <w:adjustRightInd/>
              <w:textAlignment w:val="auto"/>
              <w:rPr>
                <w:color w:val="000000"/>
                <w:szCs w:val="24"/>
                <w:lang w:eastAsia="ko-KR"/>
              </w:rPr>
            </w:pPr>
          </w:p>
        </w:tc>
      </w:tr>
      <w:tr w:rsidR="00343DCA" w:rsidRPr="008E0367" w14:paraId="612E3482" w14:textId="77777777" w:rsidTr="00AB1A5A">
        <w:trPr>
          <w:trHeight w:val="300"/>
        </w:trPr>
        <w:tc>
          <w:tcPr>
            <w:tcW w:w="1710" w:type="dxa"/>
            <w:tcBorders>
              <w:top w:val="nil"/>
              <w:left w:val="nil"/>
              <w:bottom w:val="nil"/>
              <w:right w:val="nil"/>
            </w:tcBorders>
            <w:shd w:val="clear" w:color="auto" w:fill="auto"/>
            <w:vAlign w:val="center"/>
            <w:hideMark/>
          </w:tcPr>
          <w:p w14:paraId="49E03DCE" w14:textId="666E641B" w:rsidR="0040087D" w:rsidRPr="00D5130A" w:rsidRDefault="0040087D" w:rsidP="0040087D">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3AAFE712" w14:textId="7B292293" w:rsidR="0040087D" w:rsidRPr="00D5130A" w:rsidRDefault="0040087D" w:rsidP="0040087D">
            <w:pPr>
              <w:widowControl/>
              <w:overflowPunct/>
              <w:autoSpaceDE/>
              <w:autoSpaceDN/>
              <w:adjustRightInd/>
              <w:textAlignment w:val="auto"/>
              <w:rPr>
                <w:color w:val="000000"/>
                <w:szCs w:val="24"/>
                <w:lang w:eastAsia="ko-KR"/>
              </w:rPr>
            </w:pPr>
            <w:r>
              <w:rPr>
                <w:color w:val="000000"/>
              </w:rPr>
              <w:t>Postal</w:t>
            </w:r>
          </w:p>
        </w:tc>
        <w:tc>
          <w:tcPr>
            <w:tcW w:w="990" w:type="dxa"/>
            <w:vMerge w:val="restart"/>
            <w:tcBorders>
              <w:top w:val="nil"/>
              <w:left w:val="nil"/>
              <w:bottom w:val="single" w:sz="8" w:space="0" w:color="000000"/>
              <w:right w:val="nil"/>
            </w:tcBorders>
            <w:shd w:val="clear" w:color="auto" w:fill="auto"/>
            <w:vAlign w:val="center"/>
            <w:hideMark/>
          </w:tcPr>
          <w:p w14:paraId="09407236" w14:textId="1B3BB2D0"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086A3ED6" w14:textId="43606844"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0.25</w:t>
            </w:r>
          </w:p>
        </w:tc>
        <w:tc>
          <w:tcPr>
            <w:tcW w:w="1080" w:type="dxa"/>
            <w:tcBorders>
              <w:top w:val="nil"/>
              <w:left w:val="nil"/>
              <w:bottom w:val="nil"/>
              <w:right w:val="nil"/>
            </w:tcBorders>
            <w:shd w:val="clear" w:color="auto" w:fill="auto"/>
            <w:vAlign w:val="center"/>
            <w:hideMark/>
          </w:tcPr>
          <w:p w14:paraId="6EF95A93" w14:textId="080040FC"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0.4</w:t>
            </w:r>
          </w:p>
        </w:tc>
        <w:tc>
          <w:tcPr>
            <w:tcW w:w="1620" w:type="dxa"/>
            <w:tcBorders>
              <w:top w:val="nil"/>
              <w:left w:val="nil"/>
              <w:bottom w:val="nil"/>
              <w:right w:val="nil"/>
            </w:tcBorders>
            <w:shd w:val="clear" w:color="auto" w:fill="auto"/>
            <w:vAlign w:val="center"/>
            <w:hideMark/>
          </w:tcPr>
          <w:p w14:paraId="6F14BA80" w14:textId="313A35F5"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0943BF82" w14:textId="7FE4F9D9" w:rsidR="0040087D" w:rsidRPr="00D5130A" w:rsidRDefault="0040087D" w:rsidP="0040087D">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07168D36" w14:textId="790087E0"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0733FFD3" w14:textId="03C53ECA"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nil"/>
              <w:right w:val="nil"/>
            </w:tcBorders>
            <w:shd w:val="clear" w:color="auto" w:fill="auto"/>
            <w:vAlign w:val="center"/>
            <w:hideMark/>
          </w:tcPr>
          <w:p w14:paraId="70EA05C2" w14:textId="2F9CC259"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120</w:t>
            </w:r>
          </w:p>
        </w:tc>
        <w:tc>
          <w:tcPr>
            <w:tcW w:w="1170" w:type="dxa"/>
            <w:vMerge w:val="restart"/>
            <w:tcBorders>
              <w:top w:val="nil"/>
              <w:left w:val="nil"/>
              <w:bottom w:val="single" w:sz="8" w:space="0" w:color="000000"/>
              <w:right w:val="nil"/>
            </w:tcBorders>
            <w:shd w:val="clear" w:color="auto" w:fill="auto"/>
            <w:vAlign w:val="center"/>
            <w:hideMark/>
          </w:tcPr>
          <w:p w14:paraId="5CEBE7F3" w14:textId="20CE3993"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11,520</w:t>
            </w:r>
          </w:p>
        </w:tc>
      </w:tr>
      <w:tr w:rsidR="00343DCA" w:rsidRPr="008E0367" w14:paraId="40BF6A48"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44A15A42" w14:textId="2F84287F" w:rsidR="0040087D" w:rsidRPr="00D5130A" w:rsidRDefault="0040087D" w:rsidP="0040087D">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7D10798E" w14:textId="6925113E" w:rsidR="0040087D" w:rsidRPr="00D5130A" w:rsidRDefault="0040087D" w:rsidP="0040087D">
            <w:pPr>
              <w:widowControl/>
              <w:overflowPunct/>
              <w:autoSpaceDE/>
              <w:autoSpaceDN/>
              <w:adjustRightInd/>
              <w:textAlignment w:val="auto"/>
              <w:rPr>
                <w:color w:val="000000"/>
                <w:szCs w:val="24"/>
                <w:lang w:eastAsia="ko-KR"/>
              </w:rPr>
            </w:pPr>
            <w:r>
              <w:rPr>
                <w:color w:val="000000"/>
              </w:rPr>
              <w:t>Postal</w:t>
            </w:r>
          </w:p>
        </w:tc>
        <w:tc>
          <w:tcPr>
            <w:tcW w:w="990" w:type="dxa"/>
            <w:vMerge/>
            <w:tcBorders>
              <w:top w:val="nil"/>
              <w:left w:val="nil"/>
              <w:bottom w:val="single" w:sz="8" w:space="0" w:color="000000"/>
              <w:right w:val="nil"/>
            </w:tcBorders>
            <w:vAlign w:val="center"/>
            <w:hideMark/>
          </w:tcPr>
          <w:p w14:paraId="7C1425C8" w14:textId="77777777" w:rsidR="0040087D" w:rsidRPr="00D5130A" w:rsidRDefault="0040087D" w:rsidP="0040087D">
            <w:pPr>
              <w:widowControl/>
              <w:overflowPunct/>
              <w:autoSpaceDE/>
              <w:autoSpaceDN/>
              <w:adjustRightInd/>
              <w:textAlignment w:val="auto"/>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2BFA6AC2" w14:textId="56C06779"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40DE6D1E" w14:textId="11DE655E"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0.4</w:t>
            </w:r>
          </w:p>
        </w:tc>
        <w:tc>
          <w:tcPr>
            <w:tcW w:w="1620" w:type="dxa"/>
            <w:tcBorders>
              <w:top w:val="nil"/>
              <w:left w:val="nil"/>
              <w:bottom w:val="single" w:sz="8" w:space="0" w:color="auto"/>
              <w:right w:val="nil"/>
            </w:tcBorders>
            <w:shd w:val="clear" w:color="auto" w:fill="auto"/>
            <w:vAlign w:val="center"/>
            <w:hideMark/>
          </w:tcPr>
          <w:p w14:paraId="300CED2B" w14:textId="04C6B10E"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7AF35938" w14:textId="207006E2" w:rsidR="0040087D" w:rsidRPr="00D5130A" w:rsidRDefault="0040087D" w:rsidP="0040087D">
            <w:pPr>
              <w:widowControl/>
              <w:overflowPunct/>
              <w:autoSpaceDE/>
              <w:autoSpaceDN/>
              <w:adjustRightInd/>
              <w:jc w:val="right"/>
              <w:textAlignment w:val="auto"/>
              <w:rPr>
                <w:color w:val="000000"/>
                <w:szCs w:val="24"/>
                <w:lang w:eastAsia="ko-KR"/>
              </w:rPr>
            </w:pPr>
            <w:r>
              <w:rPr>
                <w:color w:val="000000"/>
              </w:rPr>
              <w:t>0.219</w:t>
            </w:r>
          </w:p>
        </w:tc>
        <w:tc>
          <w:tcPr>
            <w:tcW w:w="990" w:type="dxa"/>
            <w:tcBorders>
              <w:top w:val="nil"/>
              <w:left w:val="nil"/>
              <w:bottom w:val="single" w:sz="8" w:space="0" w:color="auto"/>
              <w:right w:val="nil"/>
            </w:tcBorders>
            <w:shd w:val="clear" w:color="auto" w:fill="auto"/>
            <w:vAlign w:val="center"/>
            <w:hideMark/>
          </w:tcPr>
          <w:p w14:paraId="64B2A7F0" w14:textId="0FF868C3"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34E17FEC" w14:textId="39A053ED"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49F5637D" w14:textId="30F2914B" w:rsidR="0040087D" w:rsidRPr="00D5130A" w:rsidRDefault="0040087D" w:rsidP="0040087D">
            <w:pPr>
              <w:widowControl/>
              <w:overflowPunct/>
              <w:autoSpaceDE/>
              <w:autoSpaceDN/>
              <w:adjustRightInd/>
              <w:jc w:val="center"/>
              <w:textAlignment w:val="auto"/>
              <w:rPr>
                <w:color w:val="000000"/>
                <w:szCs w:val="24"/>
                <w:lang w:eastAsia="ko-KR"/>
              </w:rPr>
            </w:pPr>
            <w:r>
              <w:rPr>
                <w:color w:val="000000"/>
              </w:rPr>
              <w:t>120</w:t>
            </w:r>
          </w:p>
        </w:tc>
        <w:tc>
          <w:tcPr>
            <w:tcW w:w="1170" w:type="dxa"/>
            <w:vMerge/>
            <w:tcBorders>
              <w:top w:val="nil"/>
              <w:left w:val="nil"/>
              <w:bottom w:val="single" w:sz="8" w:space="0" w:color="000000"/>
              <w:right w:val="nil"/>
            </w:tcBorders>
            <w:vAlign w:val="center"/>
            <w:hideMark/>
          </w:tcPr>
          <w:p w14:paraId="65F69BAF" w14:textId="77777777" w:rsidR="0040087D" w:rsidRPr="008E0367" w:rsidRDefault="0040087D" w:rsidP="0040087D">
            <w:pPr>
              <w:widowControl/>
              <w:overflowPunct/>
              <w:autoSpaceDE/>
              <w:autoSpaceDN/>
              <w:adjustRightInd/>
              <w:textAlignment w:val="auto"/>
              <w:rPr>
                <w:color w:val="000000"/>
                <w:szCs w:val="24"/>
                <w:lang w:eastAsia="ko-KR"/>
              </w:rPr>
            </w:pPr>
          </w:p>
        </w:tc>
      </w:tr>
      <w:tr w:rsidR="0040087D" w:rsidRPr="008E0367" w14:paraId="31B8829F" w14:textId="77777777" w:rsidTr="001E5604">
        <w:trPr>
          <w:trHeight w:val="315"/>
        </w:trPr>
        <w:tc>
          <w:tcPr>
            <w:tcW w:w="13230" w:type="dxa"/>
            <w:gridSpan w:val="11"/>
            <w:tcBorders>
              <w:top w:val="nil"/>
              <w:left w:val="nil"/>
              <w:bottom w:val="single" w:sz="8" w:space="0" w:color="auto"/>
              <w:right w:val="nil"/>
            </w:tcBorders>
            <w:shd w:val="clear" w:color="000000" w:fill="BFBFBF"/>
            <w:vAlign w:val="center"/>
            <w:hideMark/>
          </w:tcPr>
          <w:p w14:paraId="0A5D209B" w14:textId="523448A9" w:rsidR="0040087D" w:rsidRPr="008E0367" w:rsidRDefault="00796BB7" w:rsidP="0040087D">
            <w:pPr>
              <w:widowControl/>
              <w:overflowPunct/>
              <w:autoSpaceDE/>
              <w:autoSpaceDN/>
              <w:adjustRightInd/>
              <w:jc w:val="center"/>
              <w:textAlignment w:val="auto"/>
              <w:rPr>
                <w:b/>
                <w:bCs/>
                <w:color w:val="000000"/>
                <w:szCs w:val="24"/>
                <w:lang w:eastAsia="ko-KR"/>
              </w:rPr>
            </w:pPr>
            <w:r>
              <w:rPr>
                <w:b/>
                <w:bCs/>
                <w:color w:val="000000"/>
                <w:szCs w:val="24"/>
                <w:lang w:eastAsia="ko-KR"/>
              </w:rPr>
              <w:t xml:space="preserve">SFSP </w:t>
            </w:r>
            <w:r w:rsidR="0040087D" w:rsidRPr="008E0367">
              <w:rPr>
                <w:b/>
                <w:bCs/>
                <w:color w:val="000000"/>
                <w:szCs w:val="24"/>
                <w:lang w:eastAsia="ko-KR"/>
              </w:rPr>
              <w:t>Closed site (n=</w:t>
            </w:r>
            <w:r w:rsidR="0040087D">
              <w:rPr>
                <w:b/>
                <w:bCs/>
                <w:color w:val="000000"/>
                <w:szCs w:val="24"/>
                <w:lang w:eastAsia="ko-KR"/>
              </w:rPr>
              <w:t>6</w:t>
            </w:r>
            <w:r w:rsidR="0040087D" w:rsidRPr="008E0367">
              <w:rPr>
                <w:b/>
                <w:bCs/>
                <w:color w:val="000000"/>
                <w:szCs w:val="24"/>
                <w:lang w:eastAsia="ko-KR"/>
              </w:rPr>
              <w:t>0)</w:t>
            </w:r>
          </w:p>
        </w:tc>
      </w:tr>
      <w:tr w:rsidR="00343DCA" w:rsidRPr="008E0367" w14:paraId="60B37FA1" w14:textId="77777777" w:rsidTr="00AB1A5A">
        <w:trPr>
          <w:trHeight w:val="300"/>
        </w:trPr>
        <w:tc>
          <w:tcPr>
            <w:tcW w:w="1710" w:type="dxa"/>
            <w:tcBorders>
              <w:top w:val="nil"/>
              <w:left w:val="nil"/>
              <w:bottom w:val="nil"/>
              <w:right w:val="nil"/>
            </w:tcBorders>
            <w:shd w:val="clear" w:color="auto" w:fill="auto"/>
            <w:vAlign w:val="center"/>
            <w:hideMark/>
          </w:tcPr>
          <w:p w14:paraId="0E77DCF7" w14:textId="272A3CDE" w:rsidR="003D45DB" w:rsidRPr="008E0367" w:rsidRDefault="003D45DB" w:rsidP="003D45DB">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2764A2FC" w14:textId="1A6DE16C" w:rsidR="003D45DB" w:rsidRPr="008E0367" w:rsidRDefault="003D45DB" w:rsidP="003D45DB">
            <w:pPr>
              <w:widowControl/>
              <w:overflowPunct/>
              <w:autoSpaceDE/>
              <w:autoSpaceDN/>
              <w:adjustRightInd/>
              <w:textAlignment w:val="auto"/>
              <w:rPr>
                <w:color w:val="000000"/>
                <w:szCs w:val="24"/>
                <w:lang w:eastAsia="ko-KR"/>
              </w:rPr>
            </w:pPr>
            <w:r>
              <w:rPr>
                <w:color w:val="000000"/>
              </w:rPr>
              <w:t>Enrolled</w:t>
            </w:r>
          </w:p>
        </w:tc>
        <w:tc>
          <w:tcPr>
            <w:tcW w:w="990" w:type="dxa"/>
            <w:tcBorders>
              <w:top w:val="nil"/>
              <w:left w:val="nil"/>
              <w:bottom w:val="nil"/>
              <w:right w:val="nil"/>
            </w:tcBorders>
            <w:shd w:val="clear" w:color="auto" w:fill="auto"/>
            <w:vAlign w:val="center"/>
            <w:hideMark/>
          </w:tcPr>
          <w:p w14:paraId="5ACD5A50" w14:textId="046DBEBC"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8</w:t>
            </w:r>
          </w:p>
        </w:tc>
        <w:tc>
          <w:tcPr>
            <w:tcW w:w="990" w:type="dxa"/>
            <w:tcBorders>
              <w:top w:val="nil"/>
              <w:left w:val="nil"/>
              <w:bottom w:val="nil"/>
              <w:right w:val="nil"/>
            </w:tcBorders>
            <w:shd w:val="clear" w:color="auto" w:fill="auto"/>
            <w:vAlign w:val="center"/>
            <w:hideMark/>
          </w:tcPr>
          <w:p w14:paraId="130E94D1" w14:textId="4B798F82"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2</w:t>
            </w:r>
          </w:p>
        </w:tc>
        <w:tc>
          <w:tcPr>
            <w:tcW w:w="1080" w:type="dxa"/>
            <w:tcBorders>
              <w:top w:val="nil"/>
              <w:left w:val="nil"/>
              <w:bottom w:val="nil"/>
              <w:right w:val="nil"/>
            </w:tcBorders>
            <w:shd w:val="clear" w:color="auto" w:fill="auto"/>
            <w:vAlign w:val="center"/>
            <w:hideMark/>
          </w:tcPr>
          <w:p w14:paraId="316FE307" w14:textId="11833E1B"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p>
        </w:tc>
        <w:tc>
          <w:tcPr>
            <w:tcW w:w="1620" w:type="dxa"/>
            <w:tcBorders>
              <w:top w:val="nil"/>
              <w:left w:val="nil"/>
              <w:bottom w:val="nil"/>
              <w:right w:val="nil"/>
            </w:tcBorders>
            <w:shd w:val="clear" w:color="auto" w:fill="auto"/>
            <w:vAlign w:val="center"/>
            <w:hideMark/>
          </w:tcPr>
          <w:p w14:paraId="2C6559DD" w14:textId="72F24282"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70" w:type="dxa"/>
            <w:tcBorders>
              <w:top w:val="nil"/>
              <w:left w:val="nil"/>
              <w:bottom w:val="nil"/>
              <w:right w:val="nil"/>
            </w:tcBorders>
            <w:shd w:val="clear" w:color="auto" w:fill="auto"/>
            <w:vAlign w:val="center"/>
            <w:hideMark/>
          </w:tcPr>
          <w:p w14:paraId="4735305A" w14:textId="52EE77FA"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5E8CC7F5" w14:textId="217D8A50"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0.5</w:t>
            </w:r>
          </w:p>
        </w:tc>
        <w:tc>
          <w:tcPr>
            <w:tcW w:w="1260" w:type="dxa"/>
            <w:tcBorders>
              <w:top w:val="nil"/>
              <w:left w:val="nil"/>
              <w:bottom w:val="nil"/>
              <w:right w:val="single" w:sz="8" w:space="0" w:color="auto"/>
            </w:tcBorders>
            <w:shd w:val="clear" w:color="auto" w:fill="auto"/>
            <w:vAlign w:val="center"/>
            <w:hideMark/>
          </w:tcPr>
          <w:p w14:paraId="59DFE4FC" w14:textId="682FE664"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4</w:t>
            </w:r>
          </w:p>
        </w:tc>
        <w:tc>
          <w:tcPr>
            <w:tcW w:w="1350" w:type="dxa"/>
            <w:tcBorders>
              <w:top w:val="nil"/>
              <w:left w:val="nil"/>
              <w:bottom w:val="nil"/>
              <w:right w:val="nil"/>
            </w:tcBorders>
            <w:shd w:val="clear" w:color="auto" w:fill="auto"/>
            <w:vAlign w:val="center"/>
            <w:hideMark/>
          </w:tcPr>
          <w:p w14:paraId="7D606F5C" w14:textId="10A68789"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240</w:t>
            </w:r>
          </w:p>
        </w:tc>
        <w:tc>
          <w:tcPr>
            <w:tcW w:w="1170" w:type="dxa"/>
            <w:tcBorders>
              <w:top w:val="nil"/>
              <w:left w:val="nil"/>
              <w:bottom w:val="nil"/>
              <w:right w:val="nil"/>
            </w:tcBorders>
            <w:shd w:val="clear" w:color="auto" w:fill="auto"/>
            <w:vAlign w:val="center"/>
            <w:hideMark/>
          </w:tcPr>
          <w:p w14:paraId="779D1820" w14:textId="25552E08"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2</w:t>
            </w:r>
          </w:p>
        </w:tc>
      </w:tr>
      <w:tr w:rsidR="00343DCA" w:rsidRPr="008E0367" w14:paraId="26482C7E" w14:textId="77777777" w:rsidTr="00AB1A5A">
        <w:trPr>
          <w:trHeight w:val="300"/>
        </w:trPr>
        <w:tc>
          <w:tcPr>
            <w:tcW w:w="1710" w:type="dxa"/>
            <w:tcBorders>
              <w:top w:val="nil"/>
              <w:left w:val="nil"/>
              <w:bottom w:val="nil"/>
              <w:right w:val="nil"/>
            </w:tcBorders>
            <w:shd w:val="clear" w:color="auto" w:fill="auto"/>
            <w:vAlign w:val="center"/>
            <w:hideMark/>
          </w:tcPr>
          <w:p w14:paraId="61343501" w14:textId="4FD3A825" w:rsidR="003D45DB" w:rsidRPr="008E0367" w:rsidRDefault="003D45DB" w:rsidP="003D45DB">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nil"/>
              <w:right w:val="nil"/>
            </w:tcBorders>
            <w:shd w:val="clear" w:color="auto" w:fill="auto"/>
            <w:vAlign w:val="center"/>
            <w:hideMark/>
          </w:tcPr>
          <w:p w14:paraId="2AE24852" w14:textId="05E678F9" w:rsidR="003D45DB" w:rsidRPr="008E0367" w:rsidRDefault="003D45DB" w:rsidP="003D45DB">
            <w:pPr>
              <w:widowControl/>
              <w:overflowPunct/>
              <w:autoSpaceDE/>
              <w:autoSpaceDN/>
              <w:adjustRightInd/>
              <w:textAlignment w:val="auto"/>
              <w:rPr>
                <w:color w:val="000000"/>
                <w:szCs w:val="24"/>
                <w:lang w:eastAsia="ko-KR"/>
              </w:rPr>
            </w:pPr>
            <w:r>
              <w:rPr>
                <w:color w:val="000000"/>
              </w:rPr>
              <w:t>SNAP</w:t>
            </w:r>
          </w:p>
        </w:tc>
        <w:tc>
          <w:tcPr>
            <w:tcW w:w="990" w:type="dxa"/>
            <w:tcBorders>
              <w:top w:val="nil"/>
              <w:left w:val="nil"/>
              <w:bottom w:val="nil"/>
              <w:right w:val="nil"/>
            </w:tcBorders>
            <w:shd w:val="clear" w:color="auto" w:fill="auto"/>
            <w:vAlign w:val="center"/>
            <w:hideMark/>
          </w:tcPr>
          <w:p w14:paraId="45FD4D47" w14:textId="75BBA0A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43</w:t>
            </w:r>
          </w:p>
        </w:tc>
        <w:tc>
          <w:tcPr>
            <w:tcW w:w="990" w:type="dxa"/>
            <w:tcBorders>
              <w:top w:val="nil"/>
              <w:left w:val="nil"/>
              <w:bottom w:val="nil"/>
              <w:right w:val="nil"/>
            </w:tcBorders>
            <w:shd w:val="clear" w:color="auto" w:fill="auto"/>
            <w:vAlign w:val="center"/>
            <w:hideMark/>
          </w:tcPr>
          <w:p w14:paraId="218A6E51" w14:textId="6DE67DB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56B6E4E1" w14:textId="76C2D360" w:rsidR="003D45DB" w:rsidRPr="008E0367" w:rsidRDefault="006F7772" w:rsidP="003D45DB">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41776235" w14:textId="61BE93AF"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70" w:type="dxa"/>
            <w:tcBorders>
              <w:top w:val="nil"/>
              <w:left w:val="nil"/>
              <w:bottom w:val="nil"/>
              <w:right w:val="nil"/>
            </w:tcBorders>
            <w:shd w:val="clear" w:color="auto" w:fill="auto"/>
            <w:vAlign w:val="center"/>
            <w:hideMark/>
          </w:tcPr>
          <w:p w14:paraId="1BFF5642" w14:textId="67348A12"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2D9CF500" w14:textId="65A1CB2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796FBE5D" w14:textId="4CDC6A49" w:rsidR="003D45DB" w:rsidRPr="008E0367" w:rsidRDefault="006F7772" w:rsidP="006F7772">
            <w:pPr>
              <w:widowControl/>
              <w:overflowPunct/>
              <w:autoSpaceDE/>
              <w:autoSpaceDN/>
              <w:adjustRightInd/>
              <w:jc w:val="center"/>
              <w:textAlignment w:val="auto"/>
              <w:rPr>
                <w:color w:val="000000"/>
                <w:szCs w:val="24"/>
                <w:lang w:eastAsia="ko-KR"/>
              </w:rPr>
            </w:pPr>
            <w:r>
              <w:rPr>
                <w:color w:val="000000"/>
              </w:rPr>
              <w:t>6</w:t>
            </w:r>
          </w:p>
        </w:tc>
        <w:tc>
          <w:tcPr>
            <w:tcW w:w="1350" w:type="dxa"/>
            <w:tcBorders>
              <w:top w:val="nil"/>
              <w:left w:val="nil"/>
              <w:bottom w:val="nil"/>
              <w:right w:val="nil"/>
            </w:tcBorders>
            <w:shd w:val="clear" w:color="auto" w:fill="auto"/>
            <w:vAlign w:val="center"/>
            <w:hideMark/>
          </w:tcPr>
          <w:p w14:paraId="4EE6ECEC" w14:textId="72350958" w:rsidR="003D45DB" w:rsidRPr="008E0367" w:rsidRDefault="00E9110E" w:rsidP="00E9110E">
            <w:pPr>
              <w:widowControl/>
              <w:overflowPunct/>
              <w:autoSpaceDE/>
              <w:autoSpaceDN/>
              <w:adjustRightInd/>
              <w:jc w:val="center"/>
              <w:textAlignment w:val="auto"/>
              <w:rPr>
                <w:color w:val="000000"/>
                <w:szCs w:val="24"/>
                <w:lang w:eastAsia="ko-KR"/>
              </w:rPr>
            </w:pPr>
            <w:r>
              <w:rPr>
                <w:color w:val="000000"/>
              </w:rPr>
              <w:t>360</w:t>
            </w:r>
          </w:p>
        </w:tc>
        <w:tc>
          <w:tcPr>
            <w:tcW w:w="1170" w:type="dxa"/>
            <w:tcBorders>
              <w:top w:val="nil"/>
              <w:left w:val="nil"/>
              <w:bottom w:val="nil"/>
              <w:right w:val="nil"/>
            </w:tcBorders>
            <w:shd w:val="clear" w:color="auto" w:fill="auto"/>
            <w:vAlign w:val="center"/>
            <w:hideMark/>
          </w:tcPr>
          <w:p w14:paraId="0C1BEC62" w14:textId="2C5FC09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2,580</w:t>
            </w:r>
          </w:p>
        </w:tc>
      </w:tr>
      <w:tr w:rsidR="00343DCA" w:rsidRPr="008E0367" w14:paraId="5DE09CDD"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39DF9CCA" w14:textId="706BFCE0" w:rsidR="003D45DB" w:rsidRPr="008E0367" w:rsidRDefault="003D45DB" w:rsidP="003D45DB">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528EC201" w14:textId="79D11B07" w:rsidR="003D45DB" w:rsidRPr="008E0367" w:rsidRDefault="003D45DB" w:rsidP="003D45DB">
            <w:pPr>
              <w:widowControl/>
              <w:overflowPunct/>
              <w:autoSpaceDE/>
              <w:autoSpaceDN/>
              <w:adjustRightInd/>
              <w:textAlignment w:val="auto"/>
              <w:rPr>
                <w:color w:val="000000"/>
                <w:szCs w:val="24"/>
                <w:lang w:eastAsia="ko-KR"/>
              </w:rPr>
            </w:pPr>
            <w:r>
              <w:rPr>
                <w:color w:val="000000"/>
              </w:rPr>
              <w:t>Postal</w:t>
            </w:r>
          </w:p>
        </w:tc>
        <w:tc>
          <w:tcPr>
            <w:tcW w:w="990" w:type="dxa"/>
            <w:tcBorders>
              <w:top w:val="nil"/>
              <w:left w:val="nil"/>
              <w:bottom w:val="single" w:sz="8" w:space="0" w:color="auto"/>
              <w:right w:val="nil"/>
            </w:tcBorders>
            <w:shd w:val="clear" w:color="auto" w:fill="auto"/>
            <w:vAlign w:val="center"/>
            <w:hideMark/>
          </w:tcPr>
          <w:p w14:paraId="49B58B49" w14:textId="6606CCE8"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36</w:t>
            </w:r>
          </w:p>
        </w:tc>
        <w:tc>
          <w:tcPr>
            <w:tcW w:w="990" w:type="dxa"/>
            <w:tcBorders>
              <w:top w:val="nil"/>
              <w:left w:val="nil"/>
              <w:bottom w:val="single" w:sz="8" w:space="0" w:color="auto"/>
              <w:right w:val="nil"/>
            </w:tcBorders>
            <w:shd w:val="clear" w:color="auto" w:fill="auto"/>
            <w:vAlign w:val="center"/>
            <w:hideMark/>
          </w:tcPr>
          <w:p w14:paraId="54AD5113" w14:textId="2DEFD9BE"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180C32C7" w14:textId="28236FF0"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w:t>
            </w:r>
            <w:r w:rsidR="006F7772">
              <w:rPr>
                <w:color w:val="000000"/>
              </w:rPr>
              <w:t>4</w:t>
            </w:r>
          </w:p>
        </w:tc>
        <w:tc>
          <w:tcPr>
            <w:tcW w:w="1620" w:type="dxa"/>
            <w:tcBorders>
              <w:top w:val="nil"/>
              <w:left w:val="nil"/>
              <w:bottom w:val="single" w:sz="8" w:space="0" w:color="auto"/>
              <w:right w:val="nil"/>
            </w:tcBorders>
            <w:shd w:val="clear" w:color="auto" w:fill="auto"/>
            <w:vAlign w:val="center"/>
            <w:hideMark/>
          </w:tcPr>
          <w:p w14:paraId="2704ACD9" w14:textId="509D4BC6"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7967CF47" w14:textId="3D70C0B9" w:rsidR="003D45DB" w:rsidRPr="008E0367" w:rsidRDefault="003D45DB" w:rsidP="003D45DB">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1E87DDD1" w14:textId="299E5239"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5D555AB0" w14:textId="2CAFA1D6" w:rsidR="003D45DB" w:rsidRPr="008E0367" w:rsidRDefault="006F7772" w:rsidP="003D45DB">
            <w:pPr>
              <w:widowControl/>
              <w:overflowPunct/>
              <w:autoSpaceDE/>
              <w:autoSpaceDN/>
              <w:adjustRightInd/>
              <w:jc w:val="center"/>
              <w:textAlignment w:val="auto"/>
              <w:rPr>
                <w:color w:val="000000"/>
                <w:szCs w:val="24"/>
                <w:lang w:eastAsia="ko-KR"/>
              </w:rPr>
            </w:pPr>
            <w:r>
              <w:rPr>
                <w:color w:val="000000"/>
              </w:rPr>
              <w:t>2</w:t>
            </w:r>
          </w:p>
        </w:tc>
        <w:tc>
          <w:tcPr>
            <w:tcW w:w="1350" w:type="dxa"/>
            <w:tcBorders>
              <w:top w:val="nil"/>
              <w:left w:val="nil"/>
              <w:bottom w:val="single" w:sz="8" w:space="0" w:color="auto"/>
              <w:right w:val="nil"/>
            </w:tcBorders>
            <w:shd w:val="clear" w:color="auto" w:fill="auto"/>
            <w:vAlign w:val="center"/>
            <w:hideMark/>
          </w:tcPr>
          <w:p w14:paraId="2E8501E2" w14:textId="29399184" w:rsidR="003D45DB" w:rsidRPr="008E0367" w:rsidRDefault="00E9110E" w:rsidP="00E9110E">
            <w:pPr>
              <w:widowControl/>
              <w:overflowPunct/>
              <w:autoSpaceDE/>
              <w:autoSpaceDN/>
              <w:adjustRightInd/>
              <w:jc w:val="center"/>
              <w:textAlignment w:val="auto"/>
              <w:rPr>
                <w:color w:val="000000"/>
                <w:szCs w:val="24"/>
                <w:lang w:eastAsia="ko-KR"/>
              </w:rPr>
            </w:pPr>
            <w:r>
              <w:rPr>
                <w:color w:val="000000"/>
              </w:rPr>
              <w:t>120</w:t>
            </w:r>
          </w:p>
        </w:tc>
        <w:tc>
          <w:tcPr>
            <w:tcW w:w="1170" w:type="dxa"/>
            <w:tcBorders>
              <w:top w:val="nil"/>
              <w:left w:val="nil"/>
              <w:bottom w:val="single" w:sz="8" w:space="0" w:color="auto"/>
              <w:right w:val="nil"/>
            </w:tcBorders>
            <w:shd w:val="clear" w:color="auto" w:fill="auto"/>
            <w:vAlign w:val="center"/>
            <w:hideMark/>
          </w:tcPr>
          <w:p w14:paraId="3FA5FCD0" w14:textId="35C2C89B" w:rsidR="003D45DB" w:rsidRPr="008E0367" w:rsidRDefault="003D45DB" w:rsidP="003D45DB">
            <w:pPr>
              <w:widowControl/>
              <w:overflowPunct/>
              <w:autoSpaceDE/>
              <w:autoSpaceDN/>
              <w:adjustRightInd/>
              <w:jc w:val="center"/>
              <w:textAlignment w:val="auto"/>
              <w:rPr>
                <w:color w:val="000000"/>
                <w:szCs w:val="24"/>
                <w:lang w:eastAsia="ko-KR"/>
              </w:rPr>
            </w:pPr>
            <w:r>
              <w:rPr>
                <w:color w:val="000000"/>
              </w:rPr>
              <w:t>2,160</w:t>
            </w:r>
          </w:p>
        </w:tc>
      </w:tr>
      <w:tr w:rsidR="0040087D" w:rsidRPr="008E0367" w14:paraId="3D6E0B04" w14:textId="77777777" w:rsidTr="001E5604">
        <w:trPr>
          <w:trHeight w:val="315"/>
        </w:trPr>
        <w:tc>
          <w:tcPr>
            <w:tcW w:w="13230" w:type="dxa"/>
            <w:gridSpan w:val="11"/>
            <w:tcBorders>
              <w:top w:val="single" w:sz="8" w:space="0" w:color="auto"/>
              <w:left w:val="nil"/>
              <w:bottom w:val="single" w:sz="8" w:space="0" w:color="auto"/>
              <w:right w:val="nil"/>
            </w:tcBorders>
            <w:shd w:val="clear" w:color="000000" w:fill="BFBFBF"/>
            <w:vAlign w:val="center"/>
            <w:hideMark/>
          </w:tcPr>
          <w:p w14:paraId="0CEEBA4E" w14:textId="3EE1846C" w:rsidR="0040087D" w:rsidRPr="008E0367" w:rsidRDefault="0040087D" w:rsidP="0040087D">
            <w:pPr>
              <w:widowControl/>
              <w:overflowPunct/>
              <w:autoSpaceDE/>
              <w:autoSpaceDN/>
              <w:adjustRightInd/>
              <w:jc w:val="center"/>
              <w:textAlignment w:val="auto"/>
              <w:rPr>
                <w:b/>
                <w:bCs/>
                <w:color w:val="000000"/>
                <w:szCs w:val="24"/>
                <w:lang w:eastAsia="ko-KR"/>
              </w:rPr>
            </w:pPr>
            <w:r w:rsidRPr="008E0367">
              <w:rPr>
                <w:b/>
                <w:bCs/>
                <w:color w:val="000000"/>
                <w:szCs w:val="24"/>
                <w:lang w:eastAsia="ko-KR"/>
              </w:rPr>
              <w:t>SSO site (n=</w:t>
            </w:r>
            <w:r>
              <w:rPr>
                <w:b/>
                <w:bCs/>
                <w:color w:val="000000"/>
                <w:szCs w:val="24"/>
                <w:lang w:eastAsia="ko-KR"/>
              </w:rPr>
              <w:t>4</w:t>
            </w:r>
            <w:r w:rsidRPr="008E0367">
              <w:rPr>
                <w:b/>
                <w:bCs/>
                <w:color w:val="000000"/>
                <w:szCs w:val="24"/>
                <w:lang w:eastAsia="ko-KR"/>
              </w:rPr>
              <w:t>5)</w:t>
            </w:r>
          </w:p>
        </w:tc>
      </w:tr>
      <w:tr w:rsidR="00343DCA" w:rsidRPr="008E0367" w14:paraId="717AF46E"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41A979A3" w14:textId="140EBE48" w:rsidR="0040087D" w:rsidRPr="008E0367" w:rsidRDefault="0040087D" w:rsidP="0040087D">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single" w:sz="8" w:space="0" w:color="auto"/>
              <w:right w:val="nil"/>
            </w:tcBorders>
            <w:shd w:val="clear" w:color="auto" w:fill="auto"/>
            <w:vAlign w:val="center"/>
            <w:hideMark/>
          </w:tcPr>
          <w:p w14:paraId="1DAC2C3F" w14:textId="51994098" w:rsidR="0040087D" w:rsidRPr="008E0367" w:rsidRDefault="0040087D" w:rsidP="0040087D">
            <w:pPr>
              <w:widowControl/>
              <w:overflowPunct/>
              <w:autoSpaceDE/>
              <w:autoSpaceDN/>
              <w:adjustRightInd/>
              <w:textAlignment w:val="auto"/>
              <w:rPr>
                <w:color w:val="000000"/>
                <w:szCs w:val="24"/>
                <w:lang w:eastAsia="ko-KR"/>
              </w:rPr>
            </w:pPr>
            <w:r>
              <w:rPr>
                <w:color w:val="000000"/>
              </w:rPr>
              <w:t>Onsite</w:t>
            </w:r>
          </w:p>
        </w:tc>
        <w:tc>
          <w:tcPr>
            <w:tcW w:w="990" w:type="dxa"/>
            <w:tcBorders>
              <w:top w:val="nil"/>
              <w:left w:val="nil"/>
              <w:bottom w:val="single" w:sz="8" w:space="0" w:color="auto"/>
              <w:right w:val="nil"/>
            </w:tcBorders>
            <w:shd w:val="clear" w:color="auto" w:fill="auto"/>
            <w:vAlign w:val="center"/>
            <w:hideMark/>
          </w:tcPr>
          <w:p w14:paraId="712A320B" w14:textId="37710300"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3</w:t>
            </w:r>
          </w:p>
        </w:tc>
        <w:tc>
          <w:tcPr>
            <w:tcW w:w="990" w:type="dxa"/>
            <w:tcBorders>
              <w:top w:val="nil"/>
              <w:left w:val="nil"/>
              <w:bottom w:val="single" w:sz="8" w:space="0" w:color="auto"/>
              <w:right w:val="nil"/>
            </w:tcBorders>
            <w:shd w:val="clear" w:color="auto" w:fill="auto"/>
            <w:vAlign w:val="center"/>
            <w:hideMark/>
          </w:tcPr>
          <w:p w14:paraId="7ACEC2EF" w14:textId="09904A56"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NA</w:t>
            </w:r>
          </w:p>
        </w:tc>
        <w:tc>
          <w:tcPr>
            <w:tcW w:w="1080" w:type="dxa"/>
            <w:tcBorders>
              <w:top w:val="nil"/>
              <w:left w:val="nil"/>
              <w:bottom w:val="single" w:sz="8" w:space="0" w:color="auto"/>
              <w:right w:val="nil"/>
            </w:tcBorders>
            <w:shd w:val="clear" w:color="auto" w:fill="auto"/>
            <w:vAlign w:val="center"/>
            <w:hideMark/>
          </w:tcPr>
          <w:p w14:paraId="69193D3D" w14:textId="7D22CDD8"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084F3517" w14:textId="17B55C1A"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61B4645B" w14:textId="0DC23BC8" w:rsidR="0040087D" w:rsidRPr="008E0367" w:rsidRDefault="0040087D" w:rsidP="0040087D">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607AEF51" w14:textId="0527302D"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0.3</w:t>
            </w:r>
          </w:p>
        </w:tc>
        <w:tc>
          <w:tcPr>
            <w:tcW w:w="1260" w:type="dxa"/>
            <w:tcBorders>
              <w:top w:val="nil"/>
              <w:left w:val="nil"/>
              <w:bottom w:val="single" w:sz="8" w:space="0" w:color="auto"/>
              <w:right w:val="single" w:sz="8" w:space="0" w:color="auto"/>
            </w:tcBorders>
            <w:shd w:val="clear" w:color="auto" w:fill="auto"/>
            <w:vAlign w:val="center"/>
            <w:hideMark/>
          </w:tcPr>
          <w:p w14:paraId="673BE4B8" w14:textId="1F791ED8"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7FC24F11" w14:textId="2E15936F"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45</w:t>
            </w:r>
          </w:p>
        </w:tc>
        <w:tc>
          <w:tcPr>
            <w:tcW w:w="1170" w:type="dxa"/>
            <w:tcBorders>
              <w:top w:val="nil"/>
              <w:left w:val="nil"/>
              <w:bottom w:val="single" w:sz="8" w:space="0" w:color="auto"/>
              <w:right w:val="nil"/>
            </w:tcBorders>
            <w:shd w:val="clear" w:color="auto" w:fill="auto"/>
            <w:vAlign w:val="center"/>
            <w:hideMark/>
          </w:tcPr>
          <w:p w14:paraId="5C60326A" w14:textId="1AEE3EDE"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w:t>
            </w:r>
          </w:p>
        </w:tc>
      </w:tr>
      <w:tr w:rsidR="00343DCA" w:rsidRPr="008E0367" w14:paraId="77EDCDE8" w14:textId="77777777" w:rsidTr="00AB1A5A">
        <w:trPr>
          <w:trHeight w:val="300"/>
        </w:trPr>
        <w:tc>
          <w:tcPr>
            <w:tcW w:w="1710" w:type="dxa"/>
            <w:tcBorders>
              <w:top w:val="nil"/>
              <w:left w:val="nil"/>
              <w:bottom w:val="nil"/>
              <w:right w:val="nil"/>
            </w:tcBorders>
            <w:shd w:val="clear" w:color="auto" w:fill="auto"/>
            <w:vAlign w:val="center"/>
            <w:hideMark/>
          </w:tcPr>
          <w:p w14:paraId="15001DB2" w14:textId="3F79F1D5" w:rsidR="0040087D" w:rsidRPr="008E0367" w:rsidRDefault="0040087D" w:rsidP="0040087D">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407FE159" w14:textId="4E3069C5" w:rsidR="0040087D" w:rsidRPr="008E0367" w:rsidRDefault="0040087D" w:rsidP="0040087D">
            <w:pPr>
              <w:widowControl/>
              <w:overflowPunct/>
              <w:autoSpaceDE/>
              <w:autoSpaceDN/>
              <w:adjustRightInd/>
              <w:textAlignment w:val="auto"/>
              <w:rPr>
                <w:color w:val="000000"/>
                <w:szCs w:val="24"/>
                <w:lang w:eastAsia="ko-KR"/>
              </w:rPr>
            </w:pPr>
            <w:r>
              <w:rPr>
                <w:color w:val="000000"/>
              </w:rPr>
              <w:t>SNAP</w:t>
            </w:r>
          </w:p>
        </w:tc>
        <w:tc>
          <w:tcPr>
            <w:tcW w:w="990" w:type="dxa"/>
            <w:vMerge w:val="restart"/>
            <w:tcBorders>
              <w:top w:val="nil"/>
              <w:left w:val="nil"/>
              <w:bottom w:val="single" w:sz="8" w:space="0" w:color="000000"/>
              <w:right w:val="nil"/>
            </w:tcBorders>
            <w:shd w:val="clear" w:color="auto" w:fill="auto"/>
            <w:vAlign w:val="center"/>
            <w:hideMark/>
          </w:tcPr>
          <w:p w14:paraId="04F4E934" w14:textId="3F137992"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42A32983" w14:textId="4B2126C1"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087C5438" w14:textId="000962C7"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24B7A2B7" w14:textId="5BF01BCA"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33EA0D10" w14:textId="7C71E06C" w:rsidR="0040087D" w:rsidRPr="008E0367" w:rsidRDefault="0040087D" w:rsidP="0040087D">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3503FCB3" w14:textId="700AA0AD"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7502295A" w14:textId="6C3AE71C"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2</w:t>
            </w:r>
          </w:p>
        </w:tc>
        <w:tc>
          <w:tcPr>
            <w:tcW w:w="1350" w:type="dxa"/>
            <w:tcBorders>
              <w:top w:val="nil"/>
              <w:left w:val="nil"/>
              <w:bottom w:val="nil"/>
              <w:right w:val="nil"/>
            </w:tcBorders>
            <w:shd w:val="clear" w:color="auto" w:fill="auto"/>
            <w:vAlign w:val="center"/>
            <w:hideMark/>
          </w:tcPr>
          <w:p w14:paraId="6EF96917" w14:textId="4C2F2D74"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90</w:t>
            </w:r>
          </w:p>
        </w:tc>
        <w:tc>
          <w:tcPr>
            <w:tcW w:w="1170" w:type="dxa"/>
            <w:vMerge w:val="restart"/>
            <w:tcBorders>
              <w:top w:val="single" w:sz="8" w:space="0" w:color="auto"/>
              <w:left w:val="nil"/>
              <w:bottom w:val="single" w:sz="8" w:space="0" w:color="000000"/>
              <w:right w:val="nil"/>
            </w:tcBorders>
            <w:shd w:val="clear" w:color="auto" w:fill="auto"/>
            <w:vAlign w:val="center"/>
            <w:hideMark/>
          </w:tcPr>
          <w:p w14:paraId="714179E2" w14:textId="37DC1676"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4,320</w:t>
            </w:r>
          </w:p>
        </w:tc>
      </w:tr>
      <w:tr w:rsidR="00343DCA" w:rsidRPr="008E0367" w14:paraId="43904CCC"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79013264" w14:textId="321E65FD" w:rsidR="0040087D" w:rsidRPr="008E0367" w:rsidRDefault="0040087D" w:rsidP="0040087D">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3DF722EF" w14:textId="2A346459" w:rsidR="0040087D" w:rsidRPr="008E0367" w:rsidRDefault="0040087D" w:rsidP="0040087D">
            <w:pPr>
              <w:widowControl/>
              <w:overflowPunct/>
              <w:autoSpaceDE/>
              <w:autoSpaceDN/>
              <w:adjustRightInd/>
              <w:textAlignment w:val="auto"/>
              <w:rPr>
                <w:color w:val="000000"/>
                <w:szCs w:val="24"/>
                <w:lang w:eastAsia="ko-KR"/>
              </w:rPr>
            </w:pPr>
            <w:r>
              <w:rPr>
                <w:color w:val="000000"/>
              </w:rPr>
              <w:t>SNAP</w:t>
            </w:r>
          </w:p>
        </w:tc>
        <w:tc>
          <w:tcPr>
            <w:tcW w:w="990" w:type="dxa"/>
            <w:vMerge/>
            <w:tcBorders>
              <w:top w:val="nil"/>
              <w:left w:val="nil"/>
              <w:bottom w:val="single" w:sz="8" w:space="0" w:color="000000"/>
              <w:right w:val="nil"/>
            </w:tcBorders>
            <w:vAlign w:val="center"/>
            <w:hideMark/>
          </w:tcPr>
          <w:p w14:paraId="4D04075C" w14:textId="77777777" w:rsidR="0040087D" w:rsidRPr="008E0367" w:rsidRDefault="0040087D" w:rsidP="0040087D">
            <w:pPr>
              <w:widowControl/>
              <w:overflowPunct/>
              <w:autoSpaceDE/>
              <w:autoSpaceDN/>
              <w:adjustRightInd/>
              <w:textAlignment w:val="auto"/>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2E9B3AC6" w14:textId="403AE55C"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0.16</w:t>
            </w:r>
          </w:p>
        </w:tc>
        <w:tc>
          <w:tcPr>
            <w:tcW w:w="1080" w:type="dxa"/>
            <w:tcBorders>
              <w:top w:val="nil"/>
              <w:left w:val="nil"/>
              <w:bottom w:val="single" w:sz="8" w:space="0" w:color="auto"/>
              <w:right w:val="nil"/>
            </w:tcBorders>
            <w:shd w:val="clear" w:color="auto" w:fill="auto"/>
            <w:vAlign w:val="center"/>
            <w:hideMark/>
          </w:tcPr>
          <w:p w14:paraId="142A9C6B" w14:textId="2C140236"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41BF6A38" w14:textId="6B9E6576"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675ACCC5" w14:textId="497A39C6" w:rsidR="0040087D" w:rsidRPr="008E0367" w:rsidRDefault="0040087D" w:rsidP="0040087D">
            <w:pPr>
              <w:widowControl/>
              <w:overflowPunct/>
              <w:autoSpaceDE/>
              <w:autoSpaceDN/>
              <w:adjustRightInd/>
              <w:jc w:val="right"/>
              <w:textAlignment w:val="auto"/>
              <w:rPr>
                <w:color w:val="000000"/>
                <w:szCs w:val="24"/>
                <w:lang w:eastAsia="ko-KR"/>
              </w:rPr>
            </w:pPr>
            <w:r>
              <w:rPr>
                <w:color w:val="000000"/>
              </w:rPr>
              <w:t>0.329</w:t>
            </w:r>
          </w:p>
        </w:tc>
        <w:tc>
          <w:tcPr>
            <w:tcW w:w="990" w:type="dxa"/>
            <w:tcBorders>
              <w:top w:val="nil"/>
              <w:left w:val="nil"/>
              <w:bottom w:val="single" w:sz="8" w:space="0" w:color="auto"/>
              <w:right w:val="nil"/>
            </w:tcBorders>
            <w:shd w:val="clear" w:color="auto" w:fill="auto"/>
            <w:vAlign w:val="center"/>
            <w:hideMark/>
          </w:tcPr>
          <w:p w14:paraId="216E8706" w14:textId="1B023925"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283EA269" w14:textId="07597EB8"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3</w:t>
            </w:r>
          </w:p>
        </w:tc>
        <w:tc>
          <w:tcPr>
            <w:tcW w:w="1350" w:type="dxa"/>
            <w:tcBorders>
              <w:top w:val="nil"/>
              <w:left w:val="nil"/>
              <w:bottom w:val="single" w:sz="8" w:space="0" w:color="auto"/>
              <w:right w:val="nil"/>
            </w:tcBorders>
            <w:shd w:val="clear" w:color="auto" w:fill="auto"/>
            <w:vAlign w:val="center"/>
            <w:hideMark/>
          </w:tcPr>
          <w:p w14:paraId="05E95696" w14:textId="4A12925C"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135</w:t>
            </w:r>
          </w:p>
        </w:tc>
        <w:tc>
          <w:tcPr>
            <w:tcW w:w="1170" w:type="dxa"/>
            <w:vMerge/>
            <w:tcBorders>
              <w:top w:val="single" w:sz="8" w:space="0" w:color="auto"/>
              <w:left w:val="nil"/>
              <w:bottom w:val="single" w:sz="8" w:space="0" w:color="000000"/>
              <w:right w:val="nil"/>
            </w:tcBorders>
            <w:vAlign w:val="center"/>
            <w:hideMark/>
          </w:tcPr>
          <w:p w14:paraId="63AB740F" w14:textId="77777777" w:rsidR="0040087D" w:rsidRPr="008E0367" w:rsidRDefault="0040087D" w:rsidP="0040087D">
            <w:pPr>
              <w:widowControl/>
              <w:overflowPunct/>
              <w:autoSpaceDE/>
              <w:autoSpaceDN/>
              <w:adjustRightInd/>
              <w:textAlignment w:val="auto"/>
              <w:rPr>
                <w:color w:val="000000"/>
                <w:szCs w:val="24"/>
                <w:lang w:eastAsia="ko-KR"/>
              </w:rPr>
            </w:pPr>
          </w:p>
        </w:tc>
      </w:tr>
      <w:tr w:rsidR="00343DCA" w:rsidRPr="008E0367" w14:paraId="72A3A17E" w14:textId="77777777" w:rsidTr="00AB1A5A">
        <w:trPr>
          <w:trHeight w:val="300"/>
        </w:trPr>
        <w:tc>
          <w:tcPr>
            <w:tcW w:w="1710" w:type="dxa"/>
            <w:tcBorders>
              <w:top w:val="nil"/>
              <w:left w:val="nil"/>
              <w:bottom w:val="nil"/>
              <w:right w:val="nil"/>
            </w:tcBorders>
            <w:shd w:val="clear" w:color="auto" w:fill="auto"/>
            <w:vAlign w:val="center"/>
            <w:hideMark/>
          </w:tcPr>
          <w:p w14:paraId="11DF16CA" w14:textId="363D5F07" w:rsidR="0040087D" w:rsidRPr="008E0367" w:rsidRDefault="0040087D" w:rsidP="0040087D">
            <w:pPr>
              <w:widowControl/>
              <w:overflowPunct/>
              <w:autoSpaceDE/>
              <w:autoSpaceDN/>
              <w:adjustRightInd/>
              <w:textAlignment w:val="auto"/>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3679ED58" w14:textId="440C3861" w:rsidR="0040087D" w:rsidRPr="008E0367" w:rsidRDefault="0040087D" w:rsidP="0040087D">
            <w:pPr>
              <w:widowControl/>
              <w:overflowPunct/>
              <w:autoSpaceDE/>
              <w:autoSpaceDN/>
              <w:adjustRightInd/>
              <w:textAlignment w:val="auto"/>
              <w:rPr>
                <w:color w:val="000000"/>
                <w:szCs w:val="24"/>
                <w:lang w:eastAsia="ko-KR"/>
              </w:rPr>
            </w:pPr>
            <w:r>
              <w:rPr>
                <w:color w:val="000000"/>
              </w:rPr>
              <w:t>Postal</w:t>
            </w:r>
          </w:p>
        </w:tc>
        <w:tc>
          <w:tcPr>
            <w:tcW w:w="990" w:type="dxa"/>
            <w:vMerge w:val="restart"/>
            <w:tcBorders>
              <w:top w:val="nil"/>
              <w:left w:val="nil"/>
              <w:bottom w:val="single" w:sz="8" w:space="0" w:color="000000"/>
              <w:right w:val="nil"/>
            </w:tcBorders>
            <w:shd w:val="clear" w:color="auto" w:fill="auto"/>
            <w:vAlign w:val="center"/>
            <w:hideMark/>
          </w:tcPr>
          <w:p w14:paraId="7E931804" w14:textId="3FD2BDDE"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6C0D437E" w14:textId="09E0863D"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0.25</w:t>
            </w:r>
          </w:p>
        </w:tc>
        <w:tc>
          <w:tcPr>
            <w:tcW w:w="1080" w:type="dxa"/>
            <w:tcBorders>
              <w:top w:val="nil"/>
              <w:left w:val="nil"/>
              <w:bottom w:val="nil"/>
              <w:right w:val="nil"/>
            </w:tcBorders>
            <w:shd w:val="clear" w:color="auto" w:fill="auto"/>
            <w:vAlign w:val="center"/>
            <w:hideMark/>
          </w:tcPr>
          <w:p w14:paraId="53E3244B" w14:textId="2F270506"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0.4</w:t>
            </w:r>
          </w:p>
        </w:tc>
        <w:tc>
          <w:tcPr>
            <w:tcW w:w="1620" w:type="dxa"/>
            <w:tcBorders>
              <w:top w:val="nil"/>
              <w:left w:val="nil"/>
              <w:bottom w:val="nil"/>
              <w:right w:val="nil"/>
            </w:tcBorders>
            <w:shd w:val="clear" w:color="auto" w:fill="auto"/>
            <w:vAlign w:val="center"/>
            <w:hideMark/>
          </w:tcPr>
          <w:p w14:paraId="4BF44443" w14:textId="08AC80D2"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74EB9135" w14:textId="3215550D" w:rsidR="0040087D" w:rsidRPr="008E0367" w:rsidRDefault="0040087D" w:rsidP="0040087D">
            <w:pPr>
              <w:widowControl/>
              <w:overflowPunct/>
              <w:autoSpaceDE/>
              <w:autoSpaceDN/>
              <w:adjustRightInd/>
              <w:jc w:val="right"/>
              <w:textAlignment w:val="auto"/>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0C2E9A6A" w14:textId="1B2F2E52"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72E6873B" w14:textId="297A7534"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nil"/>
              <w:right w:val="nil"/>
            </w:tcBorders>
            <w:shd w:val="clear" w:color="auto" w:fill="auto"/>
            <w:vAlign w:val="center"/>
            <w:hideMark/>
          </w:tcPr>
          <w:p w14:paraId="10DEE184" w14:textId="42207B4D"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45</w:t>
            </w:r>
          </w:p>
        </w:tc>
        <w:tc>
          <w:tcPr>
            <w:tcW w:w="1170" w:type="dxa"/>
            <w:vMerge w:val="restart"/>
            <w:tcBorders>
              <w:top w:val="nil"/>
              <w:left w:val="nil"/>
              <w:bottom w:val="single" w:sz="8" w:space="0" w:color="000000"/>
              <w:right w:val="nil"/>
            </w:tcBorders>
            <w:shd w:val="clear" w:color="auto" w:fill="auto"/>
            <w:vAlign w:val="center"/>
            <w:hideMark/>
          </w:tcPr>
          <w:p w14:paraId="517E3AD3" w14:textId="3D9940C5"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4,320</w:t>
            </w:r>
          </w:p>
        </w:tc>
      </w:tr>
      <w:tr w:rsidR="00343DCA" w:rsidRPr="008E0367" w14:paraId="4A215576"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0A774DBF" w14:textId="02FAC3CE" w:rsidR="0040087D" w:rsidRPr="008E0367" w:rsidRDefault="0040087D" w:rsidP="0040087D">
            <w:pPr>
              <w:widowControl/>
              <w:overflowPunct/>
              <w:autoSpaceDE/>
              <w:autoSpaceDN/>
              <w:adjustRightInd/>
              <w:textAlignment w:val="auto"/>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1DEE4C50" w14:textId="67B230E4" w:rsidR="0040087D" w:rsidRPr="008E0367" w:rsidRDefault="0040087D" w:rsidP="0040087D">
            <w:pPr>
              <w:widowControl/>
              <w:overflowPunct/>
              <w:autoSpaceDE/>
              <w:autoSpaceDN/>
              <w:adjustRightInd/>
              <w:textAlignment w:val="auto"/>
              <w:rPr>
                <w:color w:val="000000"/>
                <w:szCs w:val="24"/>
                <w:lang w:eastAsia="ko-KR"/>
              </w:rPr>
            </w:pPr>
            <w:r>
              <w:rPr>
                <w:color w:val="000000"/>
              </w:rPr>
              <w:t>Postal</w:t>
            </w:r>
          </w:p>
        </w:tc>
        <w:tc>
          <w:tcPr>
            <w:tcW w:w="990" w:type="dxa"/>
            <w:vMerge/>
            <w:tcBorders>
              <w:top w:val="nil"/>
              <w:left w:val="nil"/>
              <w:bottom w:val="single" w:sz="8" w:space="0" w:color="000000"/>
              <w:right w:val="nil"/>
            </w:tcBorders>
            <w:vAlign w:val="center"/>
            <w:hideMark/>
          </w:tcPr>
          <w:p w14:paraId="59F26E2E" w14:textId="77777777" w:rsidR="0040087D" w:rsidRPr="008E0367" w:rsidRDefault="0040087D" w:rsidP="0040087D">
            <w:pPr>
              <w:widowControl/>
              <w:overflowPunct/>
              <w:autoSpaceDE/>
              <w:autoSpaceDN/>
              <w:adjustRightInd/>
              <w:textAlignment w:val="auto"/>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4479C1BD" w14:textId="3F7526EC"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0E0A4023" w14:textId="4BC02242"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0.4</w:t>
            </w:r>
          </w:p>
        </w:tc>
        <w:tc>
          <w:tcPr>
            <w:tcW w:w="1620" w:type="dxa"/>
            <w:tcBorders>
              <w:top w:val="nil"/>
              <w:left w:val="nil"/>
              <w:bottom w:val="single" w:sz="8" w:space="0" w:color="auto"/>
              <w:right w:val="nil"/>
            </w:tcBorders>
            <w:shd w:val="clear" w:color="auto" w:fill="auto"/>
            <w:vAlign w:val="center"/>
            <w:hideMark/>
          </w:tcPr>
          <w:p w14:paraId="3A4B3557" w14:textId="03E1998F"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724A0E0A" w14:textId="47573297" w:rsidR="0040087D" w:rsidRPr="008E0367" w:rsidRDefault="0040087D" w:rsidP="0040087D">
            <w:pPr>
              <w:widowControl/>
              <w:overflowPunct/>
              <w:autoSpaceDE/>
              <w:autoSpaceDN/>
              <w:adjustRightInd/>
              <w:jc w:val="right"/>
              <w:textAlignment w:val="auto"/>
              <w:rPr>
                <w:color w:val="000000"/>
                <w:szCs w:val="24"/>
                <w:lang w:eastAsia="ko-KR"/>
              </w:rPr>
            </w:pPr>
            <w:r>
              <w:rPr>
                <w:color w:val="000000"/>
              </w:rPr>
              <w:t>0.219</w:t>
            </w:r>
          </w:p>
        </w:tc>
        <w:tc>
          <w:tcPr>
            <w:tcW w:w="990" w:type="dxa"/>
            <w:tcBorders>
              <w:top w:val="nil"/>
              <w:left w:val="nil"/>
              <w:bottom w:val="single" w:sz="8" w:space="0" w:color="auto"/>
              <w:right w:val="nil"/>
            </w:tcBorders>
            <w:shd w:val="clear" w:color="auto" w:fill="auto"/>
            <w:vAlign w:val="center"/>
            <w:hideMark/>
          </w:tcPr>
          <w:p w14:paraId="1E0981C2" w14:textId="6CD4BA4E"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6DC3A725" w14:textId="62E501A3"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05F03513" w14:textId="7A37F604" w:rsidR="0040087D" w:rsidRPr="008E0367" w:rsidRDefault="0040087D" w:rsidP="0040087D">
            <w:pPr>
              <w:widowControl/>
              <w:overflowPunct/>
              <w:autoSpaceDE/>
              <w:autoSpaceDN/>
              <w:adjustRightInd/>
              <w:jc w:val="center"/>
              <w:textAlignment w:val="auto"/>
              <w:rPr>
                <w:color w:val="000000"/>
                <w:szCs w:val="24"/>
                <w:lang w:eastAsia="ko-KR"/>
              </w:rPr>
            </w:pPr>
            <w:r>
              <w:rPr>
                <w:color w:val="000000"/>
              </w:rPr>
              <w:t>45</w:t>
            </w:r>
          </w:p>
        </w:tc>
        <w:tc>
          <w:tcPr>
            <w:tcW w:w="1170" w:type="dxa"/>
            <w:vMerge/>
            <w:tcBorders>
              <w:top w:val="nil"/>
              <w:left w:val="nil"/>
              <w:bottom w:val="single" w:sz="8" w:space="0" w:color="000000"/>
              <w:right w:val="nil"/>
            </w:tcBorders>
            <w:vAlign w:val="center"/>
            <w:hideMark/>
          </w:tcPr>
          <w:p w14:paraId="6B30CC7A" w14:textId="77777777" w:rsidR="0040087D" w:rsidRPr="008E0367" w:rsidRDefault="0040087D" w:rsidP="0040087D">
            <w:pPr>
              <w:widowControl/>
              <w:overflowPunct/>
              <w:autoSpaceDE/>
              <w:autoSpaceDN/>
              <w:adjustRightInd/>
              <w:textAlignment w:val="auto"/>
              <w:rPr>
                <w:color w:val="000000"/>
                <w:szCs w:val="24"/>
                <w:lang w:eastAsia="ko-KR"/>
              </w:rPr>
            </w:pPr>
          </w:p>
        </w:tc>
      </w:tr>
      <w:tr w:rsidR="00343DCA" w:rsidRPr="008E0367" w14:paraId="70DE461B" w14:textId="77777777" w:rsidTr="00AB1A5A">
        <w:trPr>
          <w:trHeight w:val="315"/>
        </w:trPr>
        <w:tc>
          <w:tcPr>
            <w:tcW w:w="1710" w:type="dxa"/>
            <w:tcBorders>
              <w:top w:val="nil"/>
              <w:left w:val="nil"/>
              <w:bottom w:val="single" w:sz="8" w:space="0" w:color="auto"/>
              <w:right w:val="nil"/>
            </w:tcBorders>
            <w:shd w:val="clear" w:color="auto" w:fill="auto"/>
            <w:vAlign w:val="center"/>
            <w:hideMark/>
          </w:tcPr>
          <w:p w14:paraId="7BD8747E" w14:textId="45380FBF"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900" w:type="dxa"/>
            <w:tcBorders>
              <w:top w:val="nil"/>
              <w:left w:val="nil"/>
              <w:bottom w:val="single" w:sz="8" w:space="0" w:color="auto"/>
              <w:right w:val="nil"/>
            </w:tcBorders>
            <w:shd w:val="clear" w:color="auto" w:fill="auto"/>
            <w:vAlign w:val="center"/>
            <w:hideMark/>
          </w:tcPr>
          <w:p w14:paraId="39FA03CE" w14:textId="0C92717F"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4770BD64" w14:textId="7A13BB54"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4B1E9113" w14:textId="2EF1596B"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1080" w:type="dxa"/>
            <w:tcBorders>
              <w:top w:val="nil"/>
              <w:left w:val="nil"/>
              <w:bottom w:val="single" w:sz="8" w:space="0" w:color="auto"/>
              <w:right w:val="nil"/>
            </w:tcBorders>
            <w:shd w:val="clear" w:color="auto" w:fill="auto"/>
            <w:vAlign w:val="center"/>
            <w:hideMark/>
          </w:tcPr>
          <w:p w14:paraId="6EB06762" w14:textId="2C555619"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1620" w:type="dxa"/>
            <w:tcBorders>
              <w:top w:val="nil"/>
              <w:left w:val="nil"/>
              <w:bottom w:val="single" w:sz="8" w:space="0" w:color="auto"/>
              <w:right w:val="nil"/>
            </w:tcBorders>
            <w:shd w:val="clear" w:color="auto" w:fill="auto"/>
            <w:vAlign w:val="center"/>
            <w:hideMark/>
          </w:tcPr>
          <w:p w14:paraId="007B0082" w14:textId="5C57DAAB"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1170" w:type="dxa"/>
            <w:tcBorders>
              <w:top w:val="nil"/>
              <w:left w:val="nil"/>
              <w:bottom w:val="single" w:sz="8" w:space="0" w:color="auto"/>
              <w:right w:val="nil"/>
            </w:tcBorders>
            <w:shd w:val="clear" w:color="auto" w:fill="auto"/>
            <w:vAlign w:val="center"/>
            <w:hideMark/>
          </w:tcPr>
          <w:p w14:paraId="09CF2FE8" w14:textId="346C273E"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6C6D7EFE" w14:textId="54D4C43C" w:rsidR="0040087D" w:rsidRPr="008E0367" w:rsidRDefault="0040087D" w:rsidP="0040087D">
            <w:pPr>
              <w:widowControl/>
              <w:overflowPunct/>
              <w:autoSpaceDE/>
              <w:autoSpaceDN/>
              <w:adjustRightInd/>
              <w:textAlignment w:val="auto"/>
              <w:rPr>
                <w:b/>
                <w:bCs/>
                <w:color w:val="000000"/>
                <w:szCs w:val="24"/>
                <w:lang w:eastAsia="ko-KR"/>
              </w:rPr>
            </w:pPr>
            <w:r>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3FADC5F4" w14:textId="1C4A37AE" w:rsidR="0040087D" w:rsidRPr="008E0367" w:rsidRDefault="0040087D" w:rsidP="0040087D">
            <w:pPr>
              <w:widowControl/>
              <w:overflowPunct/>
              <w:autoSpaceDE/>
              <w:autoSpaceDN/>
              <w:adjustRightInd/>
              <w:jc w:val="center"/>
              <w:textAlignment w:val="auto"/>
              <w:rPr>
                <w:b/>
                <w:bCs/>
                <w:color w:val="000000"/>
                <w:szCs w:val="24"/>
                <w:lang w:eastAsia="ko-KR"/>
              </w:rPr>
            </w:pPr>
            <w:r>
              <w:rPr>
                <w:b/>
                <w:bCs/>
                <w:color w:val="000000"/>
              </w:rPr>
              <w:t>Total</w:t>
            </w:r>
          </w:p>
        </w:tc>
        <w:tc>
          <w:tcPr>
            <w:tcW w:w="1350" w:type="dxa"/>
            <w:tcBorders>
              <w:top w:val="nil"/>
              <w:left w:val="nil"/>
              <w:bottom w:val="single" w:sz="8" w:space="0" w:color="auto"/>
              <w:right w:val="nil"/>
            </w:tcBorders>
            <w:shd w:val="clear" w:color="auto" w:fill="auto"/>
            <w:vAlign w:val="center"/>
            <w:hideMark/>
          </w:tcPr>
          <w:p w14:paraId="089004A0" w14:textId="71BB85AC" w:rsidR="0040087D" w:rsidRPr="008E0367" w:rsidRDefault="00E9110E" w:rsidP="00E9110E">
            <w:pPr>
              <w:widowControl/>
              <w:overflowPunct/>
              <w:autoSpaceDE/>
              <w:autoSpaceDN/>
              <w:adjustRightInd/>
              <w:jc w:val="center"/>
              <w:textAlignment w:val="auto"/>
              <w:rPr>
                <w:b/>
                <w:bCs/>
                <w:color w:val="000000"/>
                <w:szCs w:val="24"/>
                <w:lang w:eastAsia="ko-KR"/>
              </w:rPr>
            </w:pPr>
            <w:r>
              <w:rPr>
                <w:b/>
                <w:bCs/>
                <w:color w:val="000000"/>
              </w:rPr>
              <w:t>2</w:t>
            </w:r>
            <w:r w:rsidR="0040087D">
              <w:rPr>
                <w:b/>
                <w:bCs/>
                <w:color w:val="000000"/>
              </w:rPr>
              <w:t>,</w:t>
            </w:r>
            <w:r>
              <w:rPr>
                <w:b/>
                <w:bCs/>
                <w:color w:val="000000"/>
              </w:rPr>
              <w:t>04</w:t>
            </w:r>
            <w:r w:rsidR="0040087D">
              <w:rPr>
                <w:b/>
                <w:bCs/>
                <w:color w:val="000000"/>
              </w:rPr>
              <w:t>0</w:t>
            </w:r>
          </w:p>
        </w:tc>
        <w:tc>
          <w:tcPr>
            <w:tcW w:w="1170" w:type="dxa"/>
            <w:tcBorders>
              <w:top w:val="nil"/>
              <w:left w:val="nil"/>
              <w:bottom w:val="single" w:sz="8" w:space="0" w:color="auto"/>
              <w:right w:val="nil"/>
            </w:tcBorders>
            <w:shd w:val="clear" w:color="auto" w:fill="auto"/>
            <w:vAlign w:val="center"/>
            <w:hideMark/>
          </w:tcPr>
          <w:p w14:paraId="180E1F95" w14:textId="3883E69C" w:rsidR="0040087D" w:rsidRPr="008E0367" w:rsidRDefault="003D45DB" w:rsidP="0040087D">
            <w:pPr>
              <w:widowControl/>
              <w:overflowPunct/>
              <w:autoSpaceDE/>
              <w:autoSpaceDN/>
              <w:adjustRightInd/>
              <w:jc w:val="center"/>
              <w:textAlignment w:val="auto"/>
              <w:rPr>
                <w:b/>
                <w:bCs/>
                <w:color w:val="000000"/>
                <w:szCs w:val="24"/>
                <w:lang w:eastAsia="ko-KR"/>
              </w:rPr>
            </w:pPr>
            <w:r w:rsidRPr="003D45DB">
              <w:rPr>
                <w:b/>
                <w:bCs/>
                <w:color w:val="000000"/>
              </w:rPr>
              <w:t>36,420</w:t>
            </w:r>
          </w:p>
        </w:tc>
      </w:tr>
    </w:tbl>
    <w:p w14:paraId="4F33776F" w14:textId="77777777" w:rsidR="00EE6685" w:rsidRPr="00A9436B" w:rsidRDefault="00EE6685" w:rsidP="004B3DA3">
      <w:pPr>
        <w:rPr>
          <w:sz w:val="20"/>
          <w:szCs w:val="24"/>
        </w:rPr>
      </w:pPr>
      <w:r w:rsidRPr="00A9436B">
        <w:rPr>
          <w:sz w:val="20"/>
          <w:szCs w:val="24"/>
          <w:vertAlign w:val="superscript"/>
        </w:rPr>
        <w:t xml:space="preserve">1 </w:t>
      </w:r>
      <w:r w:rsidRPr="00A9436B">
        <w:rPr>
          <w:sz w:val="20"/>
          <w:szCs w:val="24"/>
        </w:rPr>
        <w:t>Not applicable because the SNAP households have already been screened for children.</w:t>
      </w:r>
    </w:p>
    <w:p w14:paraId="0479B97D" w14:textId="77777777" w:rsidR="00EE6685" w:rsidRPr="00A9436B" w:rsidRDefault="00EE6685" w:rsidP="004B3DA3">
      <w:pPr>
        <w:rPr>
          <w:sz w:val="20"/>
          <w:szCs w:val="24"/>
        </w:rPr>
      </w:pPr>
      <w:r w:rsidRPr="00A9436B">
        <w:rPr>
          <w:sz w:val="20"/>
          <w:szCs w:val="24"/>
          <w:vertAlign w:val="superscript"/>
        </w:rPr>
        <w:t xml:space="preserve">2 </w:t>
      </w:r>
      <w:r w:rsidRPr="00A9436B">
        <w:rPr>
          <w:sz w:val="20"/>
          <w:szCs w:val="24"/>
        </w:rPr>
        <w:t>No need to screen as eligibility and participation are known from the administrative data.</w:t>
      </w:r>
    </w:p>
    <w:p w14:paraId="0AFA5261" w14:textId="14EB8AC3" w:rsidR="00697236" w:rsidRPr="00A9436B" w:rsidRDefault="00EE6685" w:rsidP="00697236">
      <w:pPr>
        <w:widowControl/>
        <w:overflowPunct/>
        <w:autoSpaceDE/>
        <w:autoSpaceDN/>
        <w:adjustRightInd/>
        <w:textAlignment w:val="auto"/>
        <w:rPr>
          <w:sz w:val="20"/>
          <w:szCs w:val="24"/>
        </w:rPr>
      </w:pPr>
      <w:r w:rsidRPr="00A9436B">
        <w:rPr>
          <w:sz w:val="20"/>
          <w:szCs w:val="24"/>
          <w:vertAlign w:val="superscript"/>
        </w:rPr>
        <w:t xml:space="preserve">3 </w:t>
      </w:r>
      <w:r w:rsidR="00697236" w:rsidRPr="00A9436B">
        <w:rPr>
          <w:sz w:val="20"/>
          <w:szCs w:val="24"/>
        </w:rPr>
        <w:t>For the SNAP frame, the screener response rate is reduced by 20%.</w:t>
      </w:r>
    </w:p>
    <w:p w14:paraId="13A9F1A5" w14:textId="72EFF8D8" w:rsidR="00345395" w:rsidRPr="00A9436B" w:rsidRDefault="00697236" w:rsidP="004B3DA3">
      <w:pPr>
        <w:widowControl/>
        <w:overflowPunct/>
        <w:autoSpaceDE/>
        <w:autoSpaceDN/>
        <w:adjustRightInd/>
        <w:textAlignment w:val="auto"/>
        <w:rPr>
          <w:sz w:val="20"/>
          <w:szCs w:val="24"/>
        </w:rPr>
      </w:pPr>
      <w:commentRangeStart w:id="63"/>
      <w:r w:rsidRPr="00A9436B">
        <w:rPr>
          <w:sz w:val="20"/>
          <w:szCs w:val="24"/>
          <w:vertAlign w:val="superscript"/>
        </w:rPr>
        <w:t xml:space="preserve">4 </w:t>
      </w:r>
      <w:r w:rsidR="00EE6685" w:rsidRPr="00A9436B">
        <w:rPr>
          <w:sz w:val="20"/>
          <w:szCs w:val="24"/>
        </w:rPr>
        <w:t>The screener sample size is obtained by multiplying the initial sample size and the site sample size (e</w:t>
      </w:r>
      <w:r w:rsidR="00691D76" w:rsidRPr="00A9436B">
        <w:rPr>
          <w:sz w:val="20"/>
          <w:szCs w:val="24"/>
        </w:rPr>
        <w:t>.</w:t>
      </w:r>
      <w:r w:rsidR="00EE6685" w:rsidRPr="00A9436B">
        <w:rPr>
          <w:sz w:val="20"/>
          <w:szCs w:val="24"/>
        </w:rPr>
        <w:t>g</w:t>
      </w:r>
      <w:r w:rsidR="00691D76" w:rsidRPr="00A9436B">
        <w:rPr>
          <w:sz w:val="20"/>
          <w:szCs w:val="24"/>
        </w:rPr>
        <w:t>.</w:t>
      </w:r>
      <w:r w:rsidR="00EE6685" w:rsidRPr="00A9436B">
        <w:rPr>
          <w:sz w:val="20"/>
          <w:szCs w:val="24"/>
        </w:rPr>
        <w:t xml:space="preserve">, </w:t>
      </w:r>
      <w:r w:rsidR="00B63168" w:rsidRPr="00A9436B">
        <w:rPr>
          <w:sz w:val="20"/>
          <w:szCs w:val="24"/>
        </w:rPr>
        <w:t>11,520</w:t>
      </w:r>
      <w:r w:rsidR="00D5130A" w:rsidRPr="00A9436B">
        <w:rPr>
          <w:sz w:val="20"/>
          <w:szCs w:val="24"/>
        </w:rPr>
        <w:t xml:space="preserve"> = </w:t>
      </w:r>
      <w:r w:rsidR="00B63168" w:rsidRPr="00A9436B">
        <w:rPr>
          <w:sz w:val="20"/>
          <w:szCs w:val="24"/>
        </w:rPr>
        <w:t>96</w:t>
      </w:r>
      <w:r w:rsidR="00EE6685" w:rsidRPr="00A9436B">
        <w:rPr>
          <w:sz w:val="20"/>
          <w:szCs w:val="24"/>
        </w:rPr>
        <w:t>*</w:t>
      </w:r>
      <w:r w:rsidR="00691D76" w:rsidRPr="00A9436B">
        <w:rPr>
          <w:sz w:val="20"/>
          <w:szCs w:val="24"/>
        </w:rPr>
        <w:t>120</w:t>
      </w:r>
      <w:r w:rsidR="00EE6685" w:rsidRPr="00A9436B">
        <w:rPr>
          <w:sz w:val="20"/>
          <w:szCs w:val="24"/>
        </w:rPr>
        <w:t>).</w:t>
      </w:r>
      <w:commentRangeEnd w:id="63"/>
      <w:r w:rsidR="00752ED4">
        <w:rPr>
          <w:rStyle w:val="CommentReference"/>
        </w:rPr>
        <w:commentReference w:id="63"/>
      </w:r>
    </w:p>
    <w:p w14:paraId="5FE945FC" w14:textId="77777777" w:rsidR="00345395" w:rsidRPr="008E0367" w:rsidRDefault="00345395" w:rsidP="0020370D">
      <w:pPr>
        <w:spacing w:line="480" w:lineRule="auto"/>
        <w:rPr>
          <w:szCs w:val="24"/>
        </w:rPr>
        <w:sectPr w:rsidR="00345395" w:rsidRPr="008E0367" w:rsidSect="00695629">
          <w:pgSz w:w="15840" w:h="12240" w:orient="landscape" w:code="1"/>
          <w:pgMar w:top="1440" w:right="1440" w:bottom="1440" w:left="1440" w:header="432" w:footer="720" w:gutter="0"/>
          <w:cols w:space="720"/>
          <w:docGrid w:linePitch="326"/>
        </w:sectPr>
      </w:pPr>
    </w:p>
    <w:p w14:paraId="0DB65885" w14:textId="103159D1" w:rsidR="008939A0" w:rsidRPr="00B130FF" w:rsidRDefault="005B7203" w:rsidP="0020370D">
      <w:pPr>
        <w:tabs>
          <w:tab w:val="left" w:pos="-720"/>
        </w:tabs>
        <w:suppressAutoHyphens/>
        <w:spacing w:line="480" w:lineRule="auto"/>
        <w:rPr>
          <w:color w:val="000000" w:themeColor="text1"/>
          <w:szCs w:val="24"/>
        </w:rPr>
      </w:pPr>
      <w:r w:rsidRPr="00B130FF">
        <w:rPr>
          <w:b/>
          <w:color w:val="000000" w:themeColor="text1"/>
          <w:szCs w:val="24"/>
        </w:rPr>
        <w:t>Estimation Procedure</w:t>
      </w:r>
      <w:r w:rsidR="008939A0" w:rsidRPr="00B130FF">
        <w:rPr>
          <w:b/>
          <w:color w:val="000000" w:themeColor="text1"/>
          <w:szCs w:val="24"/>
        </w:rPr>
        <w:t xml:space="preserve"> </w:t>
      </w:r>
    </w:p>
    <w:p w14:paraId="4FC983C1" w14:textId="75DC5F66" w:rsidR="00776426" w:rsidRPr="008E0367" w:rsidRDefault="00D979B7" w:rsidP="0020370D">
      <w:pPr>
        <w:tabs>
          <w:tab w:val="left" w:pos="-720"/>
        </w:tabs>
        <w:suppressAutoHyphens/>
        <w:spacing w:line="480" w:lineRule="auto"/>
        <w:rPr>
          <w:szCs w:val="24"/>
        </w:rPr>
      </w:pPr>
      <w:r>
        <w:rPr>
          <w:szCs w:val="24"/>
        </w:rPr>
        <w:tab/>
      </w:r>
      <w:r w:rsidR="00CC2DD8" w:rsidRPr="008E0367">
        <w:rPr>
          <w:szCs w:val="24"/>
        </w:rPr>
        <w:t>To</w:t>
      </w:r>
      <w:r w:rsidR="00776426" w:rsidRPr="008E0367">
        <w:rPr>
          <w:szCs w:val="24"/>
        </w:rPr>
        <w:t xml:space="preserve"> analyz</w:t>
      </w:r>
      <w:r w:rsidR="00CC2DD8" w:rsidRPr="008E0367">
        <w:rPr>
          <w:szCs w:val="24"/>
        </w:rPr>
        <w:t>e</w:t>
      </w:r>
      <w:r w:rsidR="00776426" w:rsidRPr="008E0367">
        <w:rPr>
          <w:szCs w:val="24"/>
        </w:rPr>
        <w:t xml:space="preserve"> the survey data for </w:t>
      </w:r>
      <w:r w:rsidR="00205F78" w:rsidRPr="008E0367">
        <w:rPr>
          <w:szCs w:val="24"/>
        </w:rPr>
        <w:t>various surveys</w:t>
      </w:r>
      <w:r w:rsidR="00776426" w:rsidRPr="008E0367">
        <w:rPr>
          <w:szCs w:val="24"/>
        </w:rPr>
        <w:t xml:space="preserve">, we will first calculate the appropriate base weight, which is the inverse of the selection probability at </w:t>
      </w:r>
      <w:r w:rsidR="00205F78" w:rsidRPr="008E0367">
        <w:rPr>
          <w:szCs w:val="24"/>
        </w:rPr>
        <w:t xml:space="preserve">the stage of sampling, and then adjust the base weight for nonresponse. We will use the weighting class method for the nonresponse adjustment, where weighting classes will be formed using the response propensity score. We will estimate the response propensity score </w:t>
      </w:r>
      <w:r w:rsidR="00CC2DD8" w:rsidRPr="008E0367">
        <w:rPr>
          <w:szCs w:val="24"/>
        </w:rPr>
        <w:t>using</w:t>
      </w:r>
      <w:r w:rsidR="00205F78" w:rsidRPr="008E0367">
        <w:rPr>
          <w:szCs w:val="24"/>
        </w:rPr>
        <w:t xml:space="preserve"> </w:t>
      </w:r>
      <w:r w:rsidR="0023606F" w:rsidRPr="008E0367">
        <w:rPr>
          <w:szCs w:val="24"/>
        </w:rPr>
        <w:t xml:space="preserve">available </w:t>
      </w:r>
      <w:r w:rsidR="00205F78" w:rsidRPr="008E0367">
        <w:rPr>
          <w:szCs w:val="24"/>
        </w:rPr>
        <w:t>auxiliary variables</w:t>
      </w:r>
      <w:r w:rsidR="00CC2DD8" w:rsidRPr="008E0367">
        <w:rPr>
          <w:szCs w:val="24"/>
        </w:rPr>
        <w:t>, and then</w:t>
      </w:r>
      <w:r w:rsidR="00205F78" w:rsidRPr="008E0367">
        <w:rPr>
          <w:szCs w:val="24"/>
        </w:rPr>
        <w:t xml:space="preserve"> convert the estimated response propensity scores into </w:t>
      </w:r>
      <w:r w:rsidR="008939A0" w:rsidRPr="008E0367">
        <w:rPr>
          <w:szCs w:val="24"/>
        </w:rPr>
        <w:t>an appropriate number of</w:t>
      </w:r>
      <w:r w:rsidR="00205F78" w:rsidRPr="008E0367">
        <w:rPr>
          <w:szCs w:val="24"/>
        </w:rPr>
        <w:t xml:space="preserve"> weighting classes</w:t>
      </w:r>
      <w:r w:rsidR="008939A0" w:rsidRPr="008E0367">
        <w:rPr>
          <w:szCs w:val="24"/>
        </w:rPr>
        <w:t xml:space="preserve"> (mostly 5 to 10 c</w:t>
      </w:r>
      <w:r w:rsidR="00B735B0" w:rsidRPr="008E0367">
        <w:rPr>
          <w:szCs w:val="24"/>
        </w:rPr>
        <w:t>lasses</w:t>
      </w:r>
      <w:r w:rsidR="008939A0" w:rsidRPr="008E0367">
        <w:rPr>
          <w:szCs w:val="24"/>
        </w:rPr>
        <w:t>)</w:t>
      </w:r>
      <w:r w:rsidR="00205F78" w:rsidRPr="008E0367">
        <w:rPr>
          <w:szCs w:val="24"/>
        </w:rPr>
        <w:t xml:space="preserve">. </w:t>
      </w:r>
      <w:r w:rsidR="00B83A31" w:rsidRPr="008E0367">
        <w:rPr>
          <w:szCs w:val="24"/>
        </w:rPr>
        <w:t>The n</w:t>
      </w:r>
      <w:r w:rsidR="008939A0" w:rsidRPr="008E0367">
        <w:rPr>
          <w:szCs w:val="24"/>
        </w:rPr>
        <w:t>o</w:t>
      </w:r>
      <w:r w:rsidR="00B83A31" w:rsidRPr="008E0367">
        <w:rPr>
          <w:szCs w:val="24"/>
        </w:rPr>
        <w:t>nresponse adjusted state weight</w:t>
      </w:r>
      <w:r w:rsidR="008939A0" w:rsidRPr="008E0367">
        <w:rPr>
          <w:szCs w:val="24"/>
        </w:rPr>
        <w:t xml:space="preserve"> </w:t>
      </w:r>
      <w:r w:rsidR="00B83A31" w:rsidRPr="008E0367">
        <w:rPr>
          <w:szCs w:val="24"/>
        </w:rPr>
        <w:t xml:space="preserve">will then be used to calculate the site weight, which will be adjusted for site nonresponse. </w:t>
      </w:r>
      <w:r w:rsidR="00205F78" w:rsidRPr="008E0367">
        <w:rPr>
          <w:szCs w:val="24"/>
        </w:rPr>
        <w:t xml:space="preserve">We will further adjust this nonresponse-adjusted </w:t>
      </w:r>
      <w:r w:rsidR="00B83A31" w:rsidRPr="008E0367">
        <w:rPr>
          <w:szCs w:val="24"/>
        </w:rPr>
        <w:t xml:space="preserve">site </w:t>
      </w:r>
      <w:r w:rsidR="00205F78" w:rsidRPr="008E0367">
        <w:rPr>
          <w:szCs w:val="24"/>
        </w:rPr>
        <w:t xml:space="preserve">weight through post-stratification using the 2018 </w:t>
      </w:r>
      <w:r w:rsidR="00BB4ED6" w:rsidRPr="008E0367">
        <w:rPr>
          <w:szCs w:val="24"/>
        </w:rPr>
        <w:t>SFSP and SSO site lists from States</w:t>
      </w:r>
      <w:r w:rsidR="00205F78" w:rsidRPr="008E0367">
        <w:rPr>
          <w:szCs w:val="24"/>
        </w:rPr>
        <w:t xml:space="preserve"> to first correct under-coverage (by missing about </w:t>
      </w:r>
      <w:r w:rsidR="00B735B0" w:rsidRPr="008E0367">
        <w:rPr>
          <w:szCs w:val="24"/>
        </w:rPr>
        <w:t>9</w:t>
      </w:r>
      <w:r w:rsidR="00205F78" w:rsidRPr="008E0367">
        <w:rPr>
          <w:szCs w:val="24"/>
        </w:rPr>
        <w:t xml:space="preserve"> percent of the site population in the site sample frame) and to enhance the efficiency of analysis. </w:t>
      </w:r>
      <w:r w:rsidR="00B83A31" w:rsidRPr="008E0367">
        <w:rPr>
          <w:szCs w:val="24"/>
        </w:rPr>
        <w:t xml:space="preserve">This post-stratified site weight is </w:t>
      </w:r>
      <w:r w:rsidR="0023606F" w:rsidRPr="008E0367">
        <w:rPr>
          <w:szCs w:val="24"/>
        </w:rPr>
        <w:t xml:space="preserve">then </w:t>
      </w:r>
      <w:r w:rsidR="00B83A31" w:rsidRPr="008E0367">
        <w:rPr>
          <w:szCs w:val="24"/>
        </w:rPr>
        <w:t xml:space="preserve">applied to the sampled participants and nonparticipants for their base weighting and nonresponse adjustment. </w:t>
      </w:r>
      <w:r w:rsidR="009A78D6">
        <w:rPr>
          <w:szCs w:val="24"/>
        </w:rPr>
        <w:t xml:space="preserve">In </w:t>
      </w:r>
      <w:r w:rsidR="0091304F">
        <w:rPr>
          <w:szCs w:val="24"/>
        </w:rPr>
        <w:t>base weighting of caregivers selected from the SNAP frame for new sites</w:t>
      </w:r>
      <w:r w:rsidR="009A78D6">
        <w:rPr>
          <w:szCs w:val="24"/>
        </w:rPr>
        <w:t>, we</w:t>
      </w:r>
      <w:r w:rsidR="0091304F">
        <w:rPr>
          <w:szCs w:val="24"/>
        </w:rPr>
        <w:t xml:space="preserve"> will incorporate the adjustment for multiple chances of selection</w:t>
      </w:r>
      <w:r w:rsidR="009A78D6">
        <w:rPr>
          <w:szCs w:val="24"/>
        </w:rPr>
        <w:t xml:space="preserve"> due to using the multiple frame approach</w:t>
      </w:r>
      <w:r w:rsidR="0091304F">
        <w:rPr>
          <w:szCs w:val="24"/>
        </w:rPr>
        <w:t xml:space="preserve">. </w:t>
      </w:r>
      <w:r w:rsidR="00CC2DD8" w:rsidRPr="008E0367">
        <w:rPr>
          <w:szCs w:val="24"/>
        </w:rPr>
        <w:t>For variance estimation, w</w:t>
      </w:r>
      <w:r w:rsidR="00205F78" w:rsidRPr="008E0367">
        <w:rPr>
          <w:szCs w:val="24"/>
        </w:rPr>
        <w:t xml:space="preserve">e will </w:t>
      </w:r>
      <w:r w:rsidR="00CC2DD8" w:rsidRPr="008E0367">
        <w:rPr>
          <w:szCs w:val="24"/>
        </w:rPr>
        <w:t>use</w:t>
      </w:r>
      <w:r w:rsidR="00205F78" w:rsidRPr="008E0367">
        <w:rPr>
          <w:szCs w:val="24"/>
        </w:rPr>
        <w:t xml:space="preserve"> the jackknife variance estimat</w:t>
      </w:r>
      <w:r w:rsidR="00CC2DD8" w:rsidRPr="008E0367">
        <w:rPr>
          <w:szCs w:val="24"/>
        </w:rPr>
        <w:t>or</w:t>
      </w:r>
      <w:r w:rsidR="000D54C4" w:rsidRPr="008E0367">
        <w:rPr>
          <w:szCs w:val="24"/>
        </w:rPr>
        <w:t xml:space="preserve"> for each survey in the manner that incorporates all weighting adjustments.</w:t>
      </w:r>
    </w:p>
    <w:p w14:paraId="0DD5DA29" w14:textId="4054E014" w:rsidR="000D54C4" w:rsidRPr="008E0367" w:rsidRDefault="00D979B7" w:rsidP="0020370D">
      <w:pPr>
        <w:tabs>
          <w:tab w:val="left" w:pos="-720"/>
        </w:tabs>
        <w:suppressAutoHyphens/>
        <w:spacing w:line="480" w:lineRule="auto"/>
        <w:rPr>
          <w:szCs w:val="24"/>
        </w:rPr>
      </w:pPr>
      <w:r>
        <w:rPr>
          <w:szCs w:val="24"/>
        </w:rPr>
        <w:tab/>
      </w:r>
      <w:r w:rsidR="00EE500B" w:rsidRPr="008E0367">
        <w:rPr>
          <w:szCs w:val="24"/>
        </w:rPr>
        <w:t>For the sponsor survey, we</w:t>
      </w:r>
      <w:r w:rsidR="000D54C4" w:rsidRPr="008E0367">
        <w:rPr>
          <w:szCs w:val="24"/>
        </w:rPr>
        <w:t xml:space="preserve"> </w:t>
      </w:r>
      <w:r w:rsidR="00EE500B" w:rsidRPr="008E0367">
        <w:rPr>
          <w:szCs w:val="24"/>
        </w:rPr>
        <w:t xml:space="preserve">will use </w:t>
      </w:r>
      <w:r w:rsidR="000D54C4" w:rsidRPr="008E0367">
        <w:rPr>
          <w:szCs w:val="24"/>
        </w:rPr>
        <w:t>a special method</w:t>
      </w:r>
      <w:r w:rsidR="00847904" w:rsidRPr="008E0367">
        <w:rPr>
          <w:rStyle w:val="FootnoteReference"/>
          <w:szCs w:val="24"/>
        </w:rPr>
        <w:footnoteReference w:id="19"/>
      </w:r>
      <w:r w:rsidR="000D54C4" w:rsidRPr="008E0367">
        <w:rPr>
          <w:szCs w:val="24"/>
        </w:rPr>
        <w:t xml:space="preserve"> to calculate the base weight </w:t>
      </w:r>
      <w:r w:rsidR="00EE500B" w:rsidRPr="008E0367">
        <w:rPr>
          <w:szCs w:val="24"/>
        </w:rPr>
        <w:t xml:space="preserve">that accounts </w:t>
      </w:r>
      <w:r w:rsidR="008671A1" w:rsidRPr="008E0367">
        <w:rPr>
          <w:szCs w:val="24"/>
        </w:rPr>
        <w:t xml:space="preserve">for </w:t>
      </w:r>
      <w:r w:rsidR="00EE500B" w:rsidRPr="008E0367">
        <w:rPr>
          <w:szCs w:val="24"/>
        </w:rPr>
        <w:t>the multiple chances of select</w:t>
      </w:r>
      <w:r w:rsidR="00CE5CE1" w:rsidRPr="008E0367">
        <w:rPr>
          <w:szCs w:val="24"/>
        </w:rPr>
        <w:t>ion</w:t>
      </w:r>
      <w:r w:rsidR="00EE500B" w:rsidRPr="008E0367">
        <w:rPr>
          <w:szCs w:val="24"/>
        </w:rPr>
        <w:t xml:space="preserve"> due to multiplicity of sites </w:t>
      </w:r>
      <w:r w:rsidR="000D54C4" w:rsidRPr="008E0367">
        <w:rPr>
          <w:szCs w:val="24"/>
        </w:rPr>
        <w:t>because they will be sampled through sites.</w:t>
      </w:r>
    </w:p>
    <w:p w14:paraId="6C91C1B7" w14:textId="1135DF03" w:rsidR="00370836" w:rsidRPr="003B685F" w:rsidRDefault="00370836" w:rsidP="0020370D">
      <w:pPr>
        <w:tabs>
          <w:tab w:val="left" w:pos="-720"/>
        </w:tabs>
        <w:suppressAutoHyphens/>
        <w:spacing w:line="480" w:lineRule="auto"/>
        <w:rPr>
          <w:color w:val="000000" w:themeColor="text1"/>
          <w:szCs w:val="24"/>
        </w:rPr>
      </w:pPr>
      <w:commentRangeStart w:id="64"/>
      <w:r w:rsidRPr="003B685F">
        <w:rPr>
          <w:b/>
          <w:color w:val="000000" w:themeColor="text1"/>
          <w:szCs w:val="24"/>
        </w:rPr>
        <w:t>Degree of Accuracy</w:t>
      </w:r>
      <w:commentRangeEnd w:id="64"/>
      <w:r w:rsidR="00A30D82">
        <w:rPr>
          <w:rStyle w:val="CommentReference"/>
        </w:rPr>
        <w:commentReference w:id="64"/>
      </w:r>
    </w:p>
    <w:p w14:paraId="4B206BCC" w14:textId="71FBCBB4" w:rsidR="003B685F" w:rsidRDefault="00D979B7" w:rsidP="003B685F">
      <w:pPr>
        <w:tabs>
          <w:tab w:val="left" w:pos="-720"/>
        </w:tabs>
        <w:suppressAutoHyphens/>
        <w:spacing w:line="480" w:lineRule="auto"/>
        <w:rPr>
          <w:szCs w:val="24"/>
        </w:rPr>
      </w:pPr>
      <w:r>
        <w:rPr>
          <w:szCs w:val="24"/>
        </w:rPr>
        <w:tab/>
      </w:r>
      <w:r w:rsidR="003B685F" w:rsidRPr="003B685F">
        <w:rPr>
          <w:szCs w:val="24"/>
        </w:rPr>
        <w:fldChar w:fldCharType="begin"/>
      </w:r>
      <w:r w:rsidR="003B685F" w:rsidRPr="003B685F">
        <w:rPr>
          <w:szCs w:val="24"/>
        </w:rPr>
        <w:instrText xml:space="preserve"> REF _Ref492890978 \h  \* MERGEFORMAT </w:instrText>
      </w:r>
      <w:r w:rsidR="003B685F" w:rsidRPr="003B685F">
        <w:rPr>
          <w:szCs w:val="24"/>
        </w:rPr>
      </w:r>
      <w:r w:rsidR="003B685F" w:rsidRPr="003B685F">
        <w:rPr>
          <w:szCs w:val="24"/>
        </w:rPr>
        <w:fldChar w:fldCharType="separate"/>
      </w:r>
      <w:r w:rsidR="00FD4FBC" w:rsidRPr="00532FAB">
        <w:t xml:space="preserve">Table B2 - </w:t>
      </w:r>
      <w:r w:rsidR="00FD4FBC" w:rsidRPr="00532FAB">
        <w:rPr>
          <w:noProof/>
        </w:rPr>
        <w:t>6</w:t>
      </w:r>
      <w:r w:rsidR="003B685F" w:rsidRPr="003B685F">
        <w:rPr>
          <w:szCs w:val="24"/>
        </w:rPr>
        <w:fldChar w:fldCharType="end"/>
      </w:r>
      <w:r w:rsidR="003B685F" w:rsidRPr="003B685F">
        <w:rPr>
          <w:szCs w:val="24"/>
        </w:rPr>
        <w:t xml:space="preserve"> </w:t>
      </w:r>
      <w:r w:rsidR="00BB4ED6" w:rsidRPr="003B685F">
        <w:rPr>
          <w:szCs w:val="24"/>
        </w:rPr>
        <w:t>pr</w:t>
      </w:r>
      <w:r w:rsidR="00BB4ED6" w:rsidRPr="008E0367">
        <w:rPr>
          <w:szCs w:val="24"/>
        </w:rPr>
        <w:t>esents</w:t>
      </w:r>
      <w:r w:rsidR="005478A9" w:rsidRPr="008E0367">
        <w:rPr>
          <w:szCs w:val="24"/>
        </w:rPr>
        <w:t xml:space="preserve"> the expected respondent sample size, precision, and minimum detectable difference (MDD) when comparing two subgroups with assumed design effects (DEFFs).</w:t>
      </w:r>
      <w:r w:rsidR="00DC56C3">
        <w:rPr>
          <w:szCs w:val="24"/>
        </w:rPr>
        <w:t xml:space="preserve"> For example, an MDD of 7.8 percent</w:t>
      </w:r>
      <w:r w:rsidR="00253394">
        <w:rPr>
          <w:szCs w:val="24"/>
        </w:rPr>
        <w:t xml:space="preserve"> for a subgroup with a sample </w:t>
      </w:r>
      <w:r w:rsidR="00DC56C3">
        <w:rPr>
          <w:szCs w:val="24"/>
        </w:rPr>
        <w:t xml:space="preserve">size </w:t>
      </w:r>
      <w:r w:rsidR="00253394">
        <w:rPr>
          <w:szCs w:val="24"/>
        </w:rPr>
        <w:t xml:space="preserve">of </w:t>
      </w:r>
      <w:r w:rsidR="00DC56C3">
        <w:rPr>
          <w:szCs w:val="24"/>
        </w:rPr>
        <w:t xml:space="preserve">3,000 means that if the population proportion of the subgroup is 50 percent and the population proportion of a comparison group of the same </w:t>
      </w:r>
      <w:r w:rsidR="00253394">
        <w:rPr>
          <w:szCs w:val="24"/>
        </w:rPr>
        <w:t xml:space="preserve">sample </w:t>
      </w:r>
      <w:r w:rsidR="00DC56C3">
        <w:rPr>
          <w:szCs w:val="24"/>
        </w:rPr>
        <w:t>size is at least 7.8 percent away from that of the first group</w:t>
      </w:r>
      <w:r w:rsidR="00253394">
        <w:rPr>
          <w:szCs w:val="24"/>
        </w:rPr>
        <w:t xml:space="preserve"> (i.e., 57.8% or 42.2%)</w:t>
      </w:r>
      <w:r w:rsidR="00DC56C3">
        <w:rPr>
          <w:szCs w:val="24"/>
        </w:rPr>
        <w:t xml:space="preserve">, then such difference can be detected with 5 percent type I error and </w:t>
      </w:r>
      <w:r w:rsidR="00B52CD7">
        <w:rPr>
          <w:szCs w:val="24"/>
        </w:rPr>
        <w:t>1</w:t>
      </w:r>
      <w:r w:rsidR="00DC56C3">
        <w:rPr>
          <w:szCs w:val="24"/>
        </w:rPr>
        <w:t>0</w:t>
      </w:r>
      <w:r w:rsidR="00253394">
        <w:rPr>
          <w:szCs w:val="24"/>
        </w:rPr>
        <w:t xml:space="preserve"> percent type II error (i.e.,</w:t>
      </w:r>
      <w:r w:rsidR="00DC56C3">
        <w:rPr>
          <w:szCs w:val="24"/>
        </w:rPr>
        <w:t xml:space="preserve"> </w:t>
      </w:r>
      <w:r w:rsidR="00B52CD7">
        <w:rPr>
          <w:szCs w:val="24"/>
        </w:rPr>
        <w:t>9</w:t>
      </w:r>
      <w:r w:rsidR="00DC56C3">
        <w:rPr>
          <w:szCs w:val="24"/>
        </w:rPr>
        <w:t xml:space="preserve">0 </w:t>
      </w:r>
      <w:r w:rsidR="00253394">
        <w:rPr>
          <w:szCs w:val="24"/>
        </w:rPr>
        <w:t>%</w:t>
      </w:r>
      <w:r w:rsidR="00DC56C3">
        <w:rPr>
          <w:szCs w:val="24"/>
        </w:rPr>
        <w:t xml:space="preserve"> power</w:t>
      </w:r>
      <w:r w:rsidR="00253394">
        <w:rPr>
          <w:szCs w:val="24"/>
        </w:rPr>
        <w:t>) using the survey data provided that the design effect is 3.5.</w:t>
      </w:r>
    </w:p>
    <w:p w14:paraId="1FC9A616" w14:textId="2B3429EF" w:rsidR="005478A9" w:rsidRPr="008E0367" w:rsidRDefault="004B3DA3" w:rsidP="004B3DA3">
      <w:pPr>
        <w:pStyle w:val="Caption"/>
        <w:rPr>
          <w:b/>
          <w:szCs w:val="24"/>
        </w:rPr>
      </w:pPr>
      <w:bookmarkStart w:id="65" w:name="_Ref492890978"/>
      <w:bookmarkStart w:id="66" w:name="_Toc505263882"/>
      <w:r w:rsidRPr="004B3DA3">
        <w:rPr>
          <w:b/>
        </w:rPr>
        <w:t xml:space="preserve">Table B2 - </w:t>
      </w:r>
      <w:r w:rsidRPr="004B3DA3">
        <w:rPr>
          <w:b/>
        </w:rPr>
        <w:fldChar w:fldCharType="begin"/>
      </w:r>
      <w:r w:rsidRPr="004B3DA3">
        <w:rPr>
          <w:b/>
        </w:rPr>
        <w:instrText xml:space="preserve"> SEQ Table_B2_- \* ARABIC </w:instrText>
      </w:r>
      <w:r w:rsidRPr="004B3DA3">
        <w:rPr>
          <w:b/>
        </w:rPr>
        <w:fldChar w:fldCharType="separate"/>
      </w:r>
      <w:r w:rsidR="00FD4FBC">
        <w:rPr>
          <w:b/>
          <w:noProof/>
        </w:rPr>
        <w:t>6</w:t>
      </w:r>
      <w:r w:rsidRPr="004B3DA3">
        <w:rPr>
          <w:b/>
        </w:rPr>
        <w:fldChar w:fldCharType="end"/>
      </w:r>
      <w:bookmarkEnd w:id="65"/>
      <w:r w:rsidR="00BB4ED6" w:rsidRPr="008E0367">
        <w:rPr>
          <w:b/>
          <w:szCs w:val="24"/>
        </w:rPr>
        <w:t>. Precision and Power Analysis for V</w:t>
      </w:r>
      <w:r w:rsidR="005478A9" w:rsidRPr="008E0367">
        <w:rPr>
          <w:b/>
          <w:szCs w:val="24"/>
        </w:rPr>
        <w:t>a</w:t>
      </w:r>
      <w:r w:rsidR="00BB4ED6" w:rsidRPr="008E0367">
        <w:rPr>
          <w:b/>
          <w:szCs w:val="24"/>
        </w:rPr>
        <w:t>rious Overall and Subgroup Sample S</w:t>
      </w:r>
      <w:r w:rsidR="005478A9" w:rsidRPr="008E0367">
        <w:rPr>
          <w:b/>
          <w:szCs w:val="24"/>
        </w:rPr>
        <w:t>izes</w:t>
      </w:r>
      <w:bookmarkEnd w:id="66"/>
      <w:r w:rsidR="005478A9" w:rsidRPr="008E0367">
        <w:rPr>
          <w:b/>
          <w:szCs w:val="24"/>
        </w:rPr>
        <w:t xml:space="preserve"> </w:t>
      </w:r>
    </w:p>
    <w:tbl>
      <w:tblPr>
        <w:tblW w:w="9360" w:type="dxa"/>
        <w:tblLook w:val="04A0" w:firstRow="1" w:lastRow="0" w:firstColumn="1" w:lastColumn="0" w:noHBand="0" w:noVBand="1"/>
      </w:tblPr>
      <w:tblGrid>
        <w:gridCol w:w="2316"/>
        <w:gridCol w:w="2564"/>
        <w:gridCol w:w="1296"/>
        <w:gridCol w:w="960"/>
        <w:gridCol w:w="1168"/>
        <w:gridCol w:w="1056"/>
      </w:tblGrid>
      <w:tr w:rsidR="00343DCA" w:rsidRPr="008E0367" w14:paraId="505A8592" w14:textId="77777777" w:rsidTr="003D45DB">
        <w:tc>
          <w:tcPr>
            <w:tcW w:w="2316" w:type="dxa"/>
            <w:tcBorders>
              <w:top w:val="single" w:sz="8" w:space="0" w:color="000000"/>
              <w:left w:val="nil"/>
              <w:bottom w:val="single" w:sz="8" w:space="0" w:color="000000"/>
              <w:right w:val="nil"/>
            </w:tcBorders>
            <w:shd w:val="clear" w:color="000000" w:fill="AFBED7"/>
            <w:vAlign w:val="center"/>
            <w:hideMark/>
          </w:tcPr>
          <w:p w14:paraId="15F55C4E" w14:textId="77777777" w:rsidR="005478A9" w:rsidRPr="008E0367" w:rsidRDefault="005478A9" w:rsidP="002C7DFF">
            <w:pPr>
              <w:jc w:val="center"/>
              <w:rPr>
                <w:b/>
                <w:bCs/>
                <w:color w:val="000000"/>
                <w:szCs w:val="24"/>
              </w:rPr>
            </w:pPr>
            <w:r w:rsidRPr="008E0367">
              <w:rPr>
                <w:b/>
                <w:bCs/>
                <w:color w:val="000000"/>
                <w:szCs w:val="24"/>
              </w:rPr>
              <w:t>Survey type</w:t>
            </w:r>
          </w:p>
        </w:tc>
        <w:tc>
          <w:tcPr>
            <w:tcW w:w="2564" w:type="dxa"/>
            <w:tcBorders>
              <w:top w:val="single" w:sz="8" w:space="0" w:color="000000"/>
              <w:left w:val="nil"/>
              <w:bottom w:val="single" w:sz="8" w:space="0" w:color="000000"/>
              <w:right w:val="nil"/>
            </w:tcBorders>
            <w:shd w:val="clear" w:color="000000" w:fill="AFBED7"/>
            <w:vAlign w:val="center"/>
            <w:hideMark/>
          </w:tcPr>
          <w:p w14:paraId="00E2ECAA" w14:textId="77777777" w:rsidR="005478A9" w:rsidRPr="008E0367" w:rsidRDefault="005478A9" w:rsidP="002C7DFF">
            <w:pPr>
              <w:jc w:val="center"/>
              <w:rPr>
                <w:b/>
                <w:bCs/>
                <w:color w:val="000000"/>
                <w:szCs w:val="24"/>
              </w:rPr>
            </w:pPr>
            <w:r w:rsidRPr="008E0367">
              <w:rPr>
                <w:b/>
                <w:bCs/>
                <w:color w:val="000000"/>
                <w:szCs w:val="24"/>
              </w:rPr>
              <w:t>Overall/subgroup</w:t>
            </w:r>
          </w:p>
        </w:tc>
        <w:tc>
          <w:tcPr>
            <w:tcW w:w="1296" w:type="dxa"/>
            <w:tcBorders>
              <w:top w:val="single" w:sz="8" w:space="0" w:color="000000"/>
              <w:left w:val="nil"/>
              <w:bottom w:val="single" w:sz="8" w:space="0" w:color="000000"/>
              <w:right w:val="nil"/>
            </w:tcBorders>
            <w:shd w:val="clear" w:color="000000" w:fill="AFBED7"/>
            <w:vAlign w:val="center"/>
            <w:hideMark/>
          </w:tcPr>
          <w:p w14:paraId="1C9DDE72" w14:textId="77777777" w:rsidR="005478A9" w:rsidRPr="008E0367" w:rsidRDefault="005478A9" w:rsidP="002C7DFF">
            <w:pPr>
              <w:jc w:val="center"/>
              <w:rPr>
                <w:b/>
                <w:bCs/>
                <w:color w:val="000000"/>
                <w:szCs w:val="24"/>
              </w:rPr>
            </w:pPr>
            <w:r w:rsidRPr="008E0367">
              <w:rPr>
                <w:b/>
                <w:bCs/>
                <w:color w:val="000000"/>
                <w:szCs w:val="24"/>
              </w:rPr>
              <w:t>Sample size</w:t>
            </w:r>
          </w:p>
        </w:tc>
        <w:tc>
          <w:tcPr>
            <w:tcW w:w="960" w:type="dxa"/>
            <w:tcBorders>
              <w:top w:val="single" w:sz="8" w:space="0" w:color="000000"/>
              <w:left w:val="nil"/>
              <w:bottom w:val="single" w:sz="8" w:space="0" w:color="000000"/>
              <w:right w:val="nil"/>
            </w:tcBorders>
            <w:shd w:val="clear" w:color="000000" w:fill="AFBED7"/>
            <w:vAlign w:val="center"/>
            <w:hideMark/>
          </w:tcPr>
          <w:p w14:paraId="6F6B8717" w14:textId="77777777" w:rsidR="005478A9" w:rsidRPr="008E0367" w:rsidRDefault="005478A9" w:rsidP="002C7DFF">
            <w:pPr>
              <w:jc w:val="center"/>
              <w:rPr>
                <w:b/>
                <w:bCs/>
                <w:color w:val="000000"/>
                <w:szCs w:val="24"/>
              </w:rPr>
            </w:pPr>
            <w:r w:rsidRPr="008E0367">
              <w:rPr>
                <w:b/>
                <w:bCs/>
                <w:color w:val="000000"/>
                <w:szCs w:val="24"/>
              </w:rPr>
              <w:t>DEFF</w:t>
            </w:r>
          </w:p>
        </w:tc>
        <w:tc>
          <w:tcPr>
            <w:tcW w:w="1168" w:type="dxa"/>
            <w:tcBorders>
              <w:top w:val="single" w:sz="8" w:space="0" w:color="000000"/>
              <w:left w:val="nil"/>
              <w:bottom w:val="single" w:sz="8" w:space="0" w:color="000000"/>
              <w:right w:val="nil"/>
            </w:tcBorders>
            <w:shd w:val="clear" w:color="000000" w:fill="AFBED7"/>
            <w:vAlign w:val="center"/>
            <w:hideMark/>
          </w:tcPr>
          <w:p w14:paraId="0B2A743C" w14:textId="77777777" w:rsidR="005478A9" w:rsidRPr="008E0367" w:rsidRDefault="005478A9" w:rsidP="002C7DFF">
            <w:pPr>
              <w:jc w:val="center"/>
              <w:rPr>
                <w:b/>
                <w:bCs/>
                <w:color w:val="000000"/>
                <w:szCs w:val="24"/>
              </w:rPr>
            </w:pPr>
            <w:r w:rsidRPr="008E0367">
              <w:rPr>
                <w:b/>
                <w:bCs/>
                <w:color w:val="000000"/>
                <w:szCs w:val="24"/>
              </w:rPr>
              <w:t>Precision (%)</w:t>
            </w:r>
          </w:p>
        </w:tc>
        <w:tc>
          <w:tcPr>
            <w:tcW w:w="1056" w:type="dxa"/>
            <w:tcBorders>
              <w:top w:val="single" w:sz="8" w:space="0" w:color="000000"/>
              <w:left w:val="nil"/>
              <w:bottom w:val="single" w:sz="8" w:space="0" w:color="000000"/>
              <w:right w:val="nil"/>
            </w:tcBorders>
            <w:shd w:val="clear" w:color="000000" w:fill="AFBED7"/>
            <w:vAlign w:val="center"/>
            <w:hideMark/>
          </w:tcPr>
          <w:p w14:paraId="76B9C8D5" w14:textId="77777777" w:rsidR="005478A9" w:rsidRPr="008E0367" w:rsidRDefault="005478A9" w:rsidP="002C7DFF">
            <w:pPr>
              <w:jc w:val="center"/>
              <w:rPr>
                <w:b/>
                <w:bCs/>
                <w:color w:val="000000"/>
                <w:szCs w:val="24"/>
              </w:rPr>
            </w:pPr>
            <w:r w:rsidRPr="008E0367">
              <w:rPr>
                <w:b/>
                <w:bCs/>
                <w:color w:val="000000"/>
                <w:szCs w:val="24"/>
              </w:rPr>
              <w:t>MDD (%)</w:t>
            </w:r>
          </w:p>
        </w:tc>
      </w:tr>
      <w:tr w:rsidR="006F7772" w:rsidRPr="008E0367" w14:paraId="37F5F302" w14:textId="77777777" w:rsidTr="001E5604">
        <w:tc>
          <w:tcPr>
            <w:tcW w:w="2316" w:type="dxa"/>
            <w:tcBorders>
              <w:top w:val="nil"/>
              <w:left w:val="nil"/>
              <w:bottom w:val="single" w:sz="8" w:space="0" w:color="auto"/>
              <w:right w:val="nil"/>
            </w:tcBorders>
            <w:shd w:val="clear" w:color="auto" w:fill="auto"/>
            <w:vAlign w:val="center"/>
            <w:hideMark/>
          </w:tcPr>
          <w:p w14:paraId="3BC304FC" w14:textId="31F98089" w:rsidR="006F7772" w:rsidRPr="008E0367" w:rsidRDefault="006F7772" w:rsidP="006F7772">
            <w:pPr>
              <w:rPr>
                <w:color w:val="000000"/>
                <w:szCs w:val="24"/>
              </w:rPr>
            </w:pPr>
            <w:r w:rsidRPr="008E0367">
              <w:rPr>
                <w:color w:val="000000"/>
                <w:szCs w:val="24"/>
              </w:rPr>
              <w:t>Caregiver and Child</w:t>
            </w:r>
          </w:p>
        </w:tc>
        <w:tc>
          <w:tcPr>
            <w:tcW w:w="2564" w:type="dxa"/>
            <w:tcBorders>
              <w:top w:val="nil"/>
              <w:left w:val="nil"/>
              <w:bottom w:val="single" w:sz="8" w:space="0" w:color="auto"/>
              <w:right w:val="nil"/>
            </w:tcBorders>
            <w:shd w:val="clear" w:color="auto" w:fill="auto"/>
            <w:vAlign w:val="center"/>
            <w:hideMark/>
          </w:tcPr>
          <w:p w14:paraId="43A3144F" w14:textId="77777777" w:rsidR="006F7772" w:rsidRPr="008E0367" w:rsidRDefault="006F7772" w:rsidP="006F7772">
            <w:pPr>
              <w:rPr>
                <w:color w:val="000000"/>
                <w:szCs w:val="24"/>
              </w:rPr>
            </w:pPr>
            <w:r w:rsidRPr="008E0367">
              <w:rPr>
                <w:color w:val="000000"/>
                <w:szCs w:val="24"/>
              </w:rPr>
              <w:t>Overall with SSO</w:t>
            </w:r>
          </w:p>
        </w:tc>
        <w:tc>
          <w:tcPr>
            <w:tcW w:w="1296" w:type="dxa"/>
            <w:tcBorders>
              <w:top w:val="nil"/>
              <w:left w:val="nil"/>
              <w:bottom w:val="single" w:sz="8" w:space="0" w:color="auto"/>
              <w:right w:val="nil"/>
            </w:tcBorders>
            <w:shd w:val="clear" w:color="auto" w:fill="auto"/>
            <w:vAlign w:val="center"/>
            <w:hideMark/>
          </w:tcPr>
          <w:p w14:paraId="624EEF97" w14:textId="63C2B2E6" w:rsidR="006F7772" w:rsidRPr="009A78D6" w:rsidRDefault="006F7772" w:rsidP="00FB0BE5">
            <w:pPr>
              <w:jc w:val="right"/>
              <w:rPr>
                <w:color w:val="000000"/>
                <w:szCs w:val="24"/>
              </w:rPr>
            </w:pPr>
            <w:r w:rsidRPr="009A78D6">
              <w:rPr>
                <w:color w:val="000000"/>
                <w:szCs w:val="24"/>
              </w:rPr>
              <w:t>6,</w:t>
            </w:r>
            <w:r w:rsidR="00FB0BE5">
              <w:rPr>
                <w:color w:val="000000"/>
                <w:szCs w:val="24"/>
              </w:rPr>
              <w:t>8</w:t>
            </w:r>
            <w:r w:rsidR="00FB0BE5" w:rsidRPr="009A78D6">
              <w:rPr>
                <w:color w:val="000000"/>
                <w:szCs w:val="24"/>
              </w:rPr>
              <w:t>00</w:t>
            </w:r>
          </w:p>
        </w:tc>
        <w:tc>
          <w:tcPr>
            <w:tcW w:w="960" w:type="dxa"/>
            <w:tcBorders>
              <w:top w:val="nil"/>
              <w:left w:val="nil"/>
              <w:bottom w:val="single" w:sz="8" w:space="0" w:color="auto"/>
              <w:right w:val="nil"/>
            </w:tcBorders>
            <w:shd w:val="clear" w:color="auto" w:fill="auto"/>
            <w:vAlign w:val="center"/>
            <w:hideMark/>
          </w:tcPr>
          <w:p w14:paraId="094A6C58" w14:textId="22A675C3" w:rsidR="006F7772" w:rsidRPr="009A78D6" w:rsidRDefault="006F7772" w:rsidP="006F7772">
            <w:pPr>
              <w:jc w:val="center"/>
              <w:rPr>
                <w:color w:val="000000"/>
                <w:szCs w:val="24"/>
              </w:rPr>
            </w:pPr>
            <w:r>
              <w:rPr>
                <w:color w:val="000000"/>
              </w:rPr>
              <w:t>3.5</w:t>
            </w:r>
          </w:p>
        </w:tc>
        <w:tc>
          <w:tcPr>
            <w:tcW w:w="1168" w:type="dxa"/>
            <w:tcBorders>
              <w:top w:val="nil"/>
              <w:left w:val="nil"/>
              <w:bottom w:val="single" w:sz="8" w:space="0" w:color="auto"/>
              <w:right w:val="nil"/>
            </w:tcBorders>
            <w:shd w:val="clear" w:color="auto" w:fill="auto"/>
            <w:vAlign w:val="center"/>
            <w:hideMark/>
          </w:tcPr>
          <w:p w14:paraId="072B2272" w14:textId="3F55FACB" w:rsidR="006F7772" w:rsidRPr="009A78D6" w:rsidRDefault="006F7772" w:rsidP="00FB0BE5">
            <w:pPr>
              <w:jc w:val="center"/>
              <w:rPr>
                <w:color w:val="000000"/>
                <w:szCs w:val="24"/>
              </w:rPr>
            </w:pPr>
            <w:r>
              <w:rPr>
                <w:color w:val="000000"/>
              </w:rPr>
              <w:t>±2.</w:t>
            </w:r>
            <w:r w:rsidR="00FB0BE5">
              <w:rPr>
                <w:color w:val="000000"/>
              </w:rPr>
              <w:t>3</w:t>
            </w:r>
          </w:p>
        </w:tc>
        <w:tc>
          <w:tcPr>
            <w:tcW w:w="1056" w:type="dxa"/>
            <w:tcBorders>
              <w:top w:val="nil"/>
              <w:left w:val="nil"/>
              <w:bottom w:val="single" w:sz="8" w:space="0" w:color="auto"/>
              <w:right w:val="nil"/>
            </w:tcBorders>
            <w:shd w:val="clear" w:color="auto" w:fill="auto"/>
            <w:vAlign w:val="center"/>
            <w:hideMark/>
          </w:tcPr>
          <w:p w14:paraId="1CD524EA" w14:textId="185CF7DB" w:rsidR="006F7772" w:rsidRPr="009A78D6" w:rsidRDefault="006F7772" w:rsidP="006F7772">
            <w:pPr>
              <w:jc w:val="center"/>
              <w:rPr>
                <w:color w:val="000000"/>
                <w:szCs w:val="24"/>
              </w:rPr>
            </w:pPr>
            <w:r>
              <w:rPr>
                <w:color w:val="000000"/>
              </w:rPr>
              <w:t>NA</w:t>
            </w:r>
          </w:p>
        </w:tc>
      </w:tr>
      <w:tr w:rsidR="006F7772" w:rsidRPr="008E0367" w14:paraId="3B3729BA" w14:textId="77777777" w:rsidTr="001E5604">
        <w:tc>
          <w:tcPr>
            <w:tcW w:w="2316" w:type="dxa"/>
            <w:tcBorders>
              <w:top w:val="nil"/>
              <w:left w:val="nil"/>
              <w:bottom w:val="single" w:sz="8" w:space="0" w:color="auto"/>
              <w:right w:val="nil"/>
            </w:tcBorders>
            <w:shd w:val="clear" w:color="auto" w:fill="auto"/>
            <w:vAlign w:val="center"/>
            <w:hideMark/>
          </w:tcPr>
          <w:p w14:paraId="717870EF" w14:textId="77777777" w:rsidR="006F7772" w:rsidRPr="008E0367" w:rsidRDefault="006F7772" w:rsidP="006F7772">
            <w:pPr>
              <w:rPr>
                <w:color w:val="000000"/>
                <w:szCs w:val="24"/>
              </w:rPr>
            </w:pPr>
            <w:r w:rsidRPr="008E0367">
              <w:rPr>
                <w:color w:val="000000"/>
                <w:szCs w:val="24"/>
              </w:rPr>
              <w:t>Caregiver and Child</w:t>
            </w:r>
          </w:p>
        </w:tc>
        <w:tc>
          <w:tcPr>
            <w:tcW w:w="2564" w:type="dxa"/>
            <w:tcBorders>
              <w:top w:val="nil"/>
              <w:left w:val="nil"/>
              <w:bottom w:val="single" w:sz="8" w:space="0" w:color="auto"/>
              <w:right w:val="nil"/>
            </w:tcBorders>
            <w:shd w:val="clear" w:color="auto" w:fill="auto"/>
            <w:vAlign w:val="center"/>
            <w:hideMark/>
          </w:tcPr>
          <w:p w14:paraId="34917F87" w14:textId="77777777" w:rsidR="006F7772" w:rsidRPr="008E0367" w:rsidRDefault="006F7772" w:rsidP="006F7772">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4CD63DE0" w14:textId="419D53AA" w:rsidR="006F7772" w:rsidRPr="009A78D6" w:rsidRDefault="006F7772" w:rsidP="006F7772">
            <w:pPr>
              <w:jc w:val="right"/>
              <w:rPr>
                <w:color w:val="000000"/>
                <w:szCs w:val="24"/>
              </w:rPr>
            </w:pPr>
            <w:r w:rsidRPr="009A78D6">
              <w:rPr>
                <w:color w:val="000000"/>
                <w:szCs w:val="24"/>
              </w:rPr>
              <w:t>3,000</w:t>
            </w:r>
          </w:p>
        </w:tc>
        <w:tc>
          <w:tcPr>
            <w:tcW w:w="960" w:type="dxa"/>
            <w:tcBorders>
              <w:top w:val="nil"/>
              <w:left w:val="nil"/>
              <w:bottom w:val="single" w:sz="8" w:space="0" w:color="auto"/>
              <w:right w:val="nil"/>
            </w:tcBorders>
            <w:shd w:val="clear" w:color="auto" w:fill="auto"/>
            <w:vAlign w:val="center"/>
            <w:hideMark/>
          </w:tcPr>
          <w:p w14:paraId="5210A06D" w14:textId="4B9F890F" w:rsidR="006F7772" w:rsidRPr="009A78D6" w:rsidRDefault="006F7772" w:rsidP="006F7772">
            <w:pPr>
              <w:jc w:val="center"/>
              <w:rPr>
                <w:color w:val="000000"/>
                <w:szCs w:val="24"/>
              </w:rPr>
            </w:pPr>
            <w:r>
              <w:rPr>
                <w:color w:val="000000"/>
              </w:rPr>
              <w:t>3.5</w:t>
            </w:r>
          </w:p>
        </w:tc>
        <w:tc>
          <w:tcPr>
            <w:tcW w:w="1168" w:type="dxa"/>
            <w:tcBorders>
              <w:top w:val="nil"/>
              <w:left w:val="nil"/>
              <w:bottom w:val="single" w:sz="8" w:space="0" w:color="auto"/>
              <w:right w:val="nil"/>
            </w:tcBorders>
            <w:shd w:val="clear" w:color="auto" w:fill="auto"/>
            <w:vAlign w:val="center"/>
            <w:hideMark/>
          </w:tcPr>
          <w:p w14:paraId="62E75E92" w14:textId="4259D84B" w:rsidR="006F7772" w:rsidRPr="009A78D6" w:rsidRDefault="006F7772" w:rsidP="006F7772">
            <w:pPr>
              <w:jc w:val="center"/>
              <w:rPr>
                <w:color w:val="000000"/>
                <w:szCs w:val="24"/>
              </w:rPr>
            </w:pPr>
            <w:r>
              <w:rPr>
                <w:color w:val="000000"/>
              </w:rPr>
              <w:t>±3.4</w:t>
            </w:r>
          </w:p>
        </w:tc>
        <w:tc>
          <w:tcPr>
            <w:tcW w:w="1056" w:type="dxa"/>
            <w:tcBorders>
              <w:top w:val="nil"/>
              <w:left w:val="nil"/>
              <w:bottom w:val="single" w:sz="8" w:space="0" w:color="auto"/>
              <w:right w:val="nil"/>
            </w:tcBorders>
            <w:shd w:val="clear" w:color="auto" w:fill="auto"/>
            <w:vAlign w:val="center"/>
            <w:hideMark/>
          </w:tcPr>
          <w:p w14:paraId="6123F33C" w14:textId="0BCB98E7" w:rsidR="006F7772" w:rsidRPr="009A78D6" w:rsidRDefault="006F7772" w:rsidP="006F7772">
            <w:pPr>
              <w:jc w:val="center"/>
              <w:rPr>
                <w:color w:val="000000"/>
                <w:szCs w:val="24"/>
              </w:rPr>
            </w:pPr>
            <w:r>
              <w:rPr>
                <w:color w:val="000000"/>
              </w:rPr>
              <w:t>7.8</w:t>
            </w:r>
          </w:p>
        </w:tc>
      </w:tr>
      <w:tr w:rsidR="006F7772" w:rsidRPr="008E0367" w14:paraId="0979F666" w14:textId="77777777" w:rsidTr="001E5604">
        <w:tc>
          <w:tcPr>
            <w:tcW w:w="2316" w:type="dxa"/>
            <w:tcBorders>
              <w:top w:val="nil"/>
              <w:left w:val="nil"/>
              <w:bottom w:val="single" w:sz="8" w:space="0" w:color="auto"/>
              <w:right w:val="nil"/>
            </w:tcBorders>
            <w:shd w:val="clear" w:color="auto" w:fill="auto"/>
            <w:vAlign w:val="center"/>
            <w:hideMark/>
          </w:tcPr>
          <w:p w14:paraId="4E4891BF" w14:textId="728A54B7" w:rsidR="006F7772" w:rsidRPr="008E0367" w:rsidRDefault="006F7772" w:rsidP="006F7772">
            <w:pPr>
              <w:rPr>
                <w:color w:val="000000"/>
                <w:szCs w:val="24"/>
              </w:rPr>
            </w:pPr>
            <w:r w:rsidRPr="008E0367">
              <w:rPr>
                <w:color w:val="000000"/>
                <w:szCs w:val="24"/>
              </w:rPr>
              <w:t>Caregiver and Child</w:t>
            </w:r>
          </w:p>
        </w:tc>
        <w:tc>
          <w:tcPr>
            <w:tcW w:w="2564" w:type="dxa"/>
            <w:tcBorders>
              <w:top w:val="nil"/>
              <w:left w:val="nil"/>
              <w:bottom w:val="single" w:sz="8" w:space="0" w:color="auto"/>
              <w:right w:val="nil"/>
            </w:tcBorders>
            <w:shd w:val="clear" w:color="auto" w:fill="auto"/>
            <w:vAlign w:val="center"/>
            <w:hideMark/>
          </w:tcPr>
          <w:p w14:paraId="510C29AC" w14:textId="77777777" w:rsidR="006F7772" w:rsidRPr="008E0367" w:rsidRDefault="006F7772" w:rsidP="006F7772">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5AA78ACB" w14:textId="1CB59FBA" w:rsidR="006F7772" w:rsidRPr="009A78D6" w:rsidRDefault="006F7772" w:rsidP="006F7772">
            <w:pPr>
              <w:jc w:val="right"/>
              <w:rPr>
                <w:color w:val="000000"/>
                <w:szCs w:val="24"/>
              </w:rPr>
            </w:pPr>
            <w:r w:rsidRPr="009A78D6">
              <w:rPr>
                <w:color w:val="000000"/>
                <w:szCs w:val="24"/>
              </w:rPr>
              <w:t>2,000</w:t>
            </w:r>
          </w:p>
        </w:tc>
        <w:tc>
          <w:tcPr>
            <w:tcW w:w="960" w:type="dxa"/>
            <w:tcBorders>
              <w:top w:val="nil"/>
              <w:left w:val="nil"/>
              <w:bottom w:val="single" w:sz="8" w:space="0" w:color="auto"/>
              <w:right w:val="nil"/>
            </w:tcBorders>
            <w:shd w:val="clear" w:color="auto" w:fill="auto"/>
            <w:vAlign w:val="center"/>
            <w:hideMark/>
          </w:tcPr>
          <w:p w14:paraId="68846962" w14:textId="7EBD52D2" w:rsidR="006F7772" w:rsidRPr="009A78D6" w:rsidRDefault="006F7772" w:rsidP="006F7772">
            <w:pPr>
              <w:jc w:val="center"/>
              <w:rPr>
                <w:color w:val="000000"/>
                <w:szCs w:val="24"/>
              </w:rPr>
            </w:pPr>
            <w:r>
              <w:rPr>
                <w:color w:val="000000"/>
              </w:rPr>
              <w:t>3.5</w:t>
            </w:r>
          </w:p>
        </w:tc>
        <w:tc>
          <w:tcPr>
            <w:tcW w:w="1168" w:type="dxa"/>
            <w:tcBorders>
              <w:top w:val="nil"/>
              <w:left w:val="nil"/>
              <w:bottom w:val="single" w:sz="8" w:space="0" w:color="auto"/>
              <w:right w:val="nil"/>
            </w:tcBorders>
            <w:shd w:val="clear" w:color="auto" w:fill="auto"/>
            <w:vAlign w:val="center"/>
            <w:hideMark/>
          </w:tcPr>
          <w:p w14:paraId="3ACBB410" w14:textId="401F4198" w:rsidR="006F7772" w:rsidRPr="009A78D6" w:rsidRDefault="006F7772" w:rsidP="006F7772">
            <w:pPr>
              <w:jc w:val="center"/>
              <w:rPr>
                <w:color w:val="000000"/>
                <w:szCs w:val="24"/>
              </w:rPr>
            </w:pPr>
            <w:r>
              <w:rPr>
                <w:color w:val="000000"/>
              </w:rPr>
              <w:t>±4.2</w:t>
            </w:r>
          </w:p>
        </w:tc>
        <w:tc>
          <w:tcPr>
            <w:tcW w:w="1056" w:type="dxa"/>
            <w:tcBorders>
              <w:top w:val="nil"/>
              <w:left w:val="nil"/>
              <w:bottom w:val="single" w:sz="8" w:space="0" w:color="auto"/>
              <w:right w:val="nil"/>
            </w:tcBorders>
            <w:shd w:val="clear" w:color="auto" w:fill="auto"/>
            <w:vAlign w:val="center"/>
            <w:hideMark/>
          </w:tcPr>
          <w:p w14:paraId="33C78D06" w14:textId="0A242F13" w:rsidR="006F7772" w:rsidRPr="009A78D6" w:rsidRDefault="006F7772" w:rsidP="006F7772">
            <w:pPr>
              <w:jc w:val="center"/>
              <w:rPr>
                <w:color w:val="000000"/>
                <w:szCs w:val="24"/>
              </w:rPr>
            </w:pPr>
            <w:r>
              <w:rPr>
                <w:color w:val="000000"/>
              </w:rPr>
              <w:t>9.5</w:t>
            </w:r>
          </w:p>
        </w:tc>
      </w:tr>
      <w:tr w:rsidR="006F7772" w:rsidRPr="008E0367" w14:paraId="51258182" w14:textId="77777777" w:rsidTr="001E5604">
        <w:tc>
          <w:tcPr>
            <w:tcW w:w="2316" w:type="dxa"/>
            <w:tcBorders>
              <w:top w:val="nil"/>
              <w:left w:val="nil"/>
              <w:bottom w:val="single" w:sz="8" w:space="0" w:color="auto"/>
              <w:right w:val="nil"/>
            </w:tcBorders>
            <w:shd w:val="clear" w:color="auto" w:fill="auto"/>
            <w:vAlign w:val="center"/>
            <w:hideMark/>
          </w:tcPr>
          <w:p w14:paraId="26EE6B04" w14:textId="4C97D10F" w:rsidR="006F7772" w:rsidRPr="008E0367" w:rsidRDefault="006F7772" w:rsidP="006F7772">
            <w:pPr>
              <w:rPr>
                <w:color w:val="000000"/>
                <w:szCs w:val="24"/>
              </w:rPr>
            </w:pPr>
            <w:r w:rsidRPr="008E0367">
              <w:rPr>
                <w:color w:val="000000"/>
                <w:szCs w:val="24"/>
              </w:rPr>
              <w:t>Caregiver and Child</w:t>
            </w:r>
          </w:p>
        </w:tc>
        <w:tc>
          <w:tcPr>
            <w:tcW w:w="2564" w:type="dxa"/>
            <w:tcBorders>
              <w:top w:val="nil"/>
              <w:left w:val="nil"/>
              <w:bottom w:val="single" w:sz="8" w:space="0" w:color="auto"/>
              <w:right w:val="nil"/>
            </w:tcBorders>
            <w:shd w:val="clear" w:color="auto" w:fill="auto"/>
            <w:vAlign w:val="center"/>
            <w:hideMark/>
          </w:tcPr>
          <w:p w14:paraId="238C48A1" w14:textId="77777777" w:rsidR="006F7772" w:rsidRPr="008E0367" w:rsidRDefault="006F7772" w:rsidP="006F7772">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57CB099A" w14:textId="292EB0FD" w:rsidR="006F7772" w:rsidRPr="009A78D6" w:rsidRDefault="006F7772" w:rsidP="006F7772">
            <w:pPr>
              <w:jc w:val="right"/>
              <w:rPr>
                <w:color w:val="000000"/>
                <w:szCs w:val="24"/>
              </w:rPr>
            </w:pPr>
            <w:r w:rsidRPr="009A78D6">
              <w:rPr>
                <w:color w:val="000000"/>
                <w:szCs w:val="24"/>
              </w:rPr>
              <w:t>1,000</w:t>
            </w:r>
          </w:p>
        </w:tc>
        <w:tc>
          <w:tcPr>
            <w:tcW w:w="960" w:type="dxa"/>
            <w:tcBorders>
              <w:top w:val="nil"/>
              <w:left w:val="nil"/>
              <w:bottom w:val="single" w:sz="8" w:space="0" w:color="auto"/>
              <w:right w:val="nil"/>
            </w:tcBorders>
            <w:shd w:val="clear" w:color="auto" w:fill="auto"/>
            <w:vAlign w:val="center"/>
            <w:hideMark/>
          </w:tcPr>
          <w:p w14:paraId="233C2CDE" w14:textId="7F489F84" w:rsidR="006F7772" w:rsidRPr="009A78D6" w:rsidRDefault="006F7772" w:rsidP="006F7772">
            <w:pPr>
              <w:jc w:val="center"/>
              <w:rPr>
                <w:color w:val="000000"/>
                <w:szCs w:val="24"/>
              </w:rPr>
            </w:pPr>
            <w:r>
              <w:rPr>
                <w:color w:val="000000"/>
              </w:rPr>
              <w:t>3.5</w:t>
            </w:r>
          </w:p>
        </w:tc>
        <w:tc>
          <w:tcPr>
            <w:tcW w:w="1168" w:type="dxa"/>
            <w:tcBorders>
              <w:top w:val="nil"/>
              <w:left w:val="nil"/>
              <w:bottom w:val="single" w:sz="8" w:space="0" w:color="auto"/>
              <w:right w:val="nil"/>
            </w:tcBorders>
            <w:shd w:val="clear" w:color="auto" w:fill="auto"/>
            <w:vAlign w:val="center"/>
            <w:hideMark/>
          </w:tcPr>
          <w:p w14:paraId="569204E8" w14:textId="201C8158" w:rsidR="006F7772" w:rsidRPr="009A78D6" w:rsidRDefault="006F7772" w:rsidP="006F7772">
            <w:pPr>
              <w:jc w:val="center"/>
              <w:rPr>
                <w:color w:val="000000"/>
                <w:szCs w:val="24"/>
              </w:rPr>
            </w:pPr>
            <w:r>
              <w:rPr>
                <w:color w:val="000000"/>
              </w:rPr>
              <w:t>±5.9</w:t>
            </w:r>
          </w:p>
        </w:tc>
        <w:tc>
          <w:tcPr>
            <w:tcW w:w="1056" w:type="dxa"/>
            <w:tcBorders>
              <w:top w:val="nil"/>
              <w:left w:val="nil"/>
              <w:bottom w:val="single" w:sz="8" w:space="0" w:color="auto"/>
              <w:right w:val="nil"/>
            </w:tcBorders>
            <w:shd w:val="clear" w:color="auto" w:fill="auto"/>
            <w:vAlign w:val="center"/>
            <w:hideMark/>
          </w:tcPr>
          <w:p w14:paraId="3AD32454" w14:textId="009AC026" w:rsidR="006F7772" w:rsidRPr="009A78D6" w:rsidRDefault="006F7772" w:rsidP="006F7772">
            <w:pPr>
              <w:jc w:val="center"/>
              <w:rPr>
                <w:color w:val="000000"/>
                <w:szCs w:val="24"/>
              </w:rPr>
            </w:pPr>
            <w:r>
              <w:rPr>
                <w:color w:val="000000"/>
              </w:rPr>
              <w:t>13.3</w:t>
            </w:r>
          </w:p>
        </w:tc>
      </w:tr>
      <w:tr w:rsidR="006F7772" w:rsidRPr="008E0367" w14:paraId="320872CB" w14:textId="77777777" w:rsidTr="001E5604">
        <w:tc>
          <w:tcPr>
            <w:tcW w:w="2316" w:type="dxa"/>
            <w:tcBorders>
              <w:top w:val="nil"/>
              <w:left w:val="nil"/>
              <w:bottom w:val="single" w:sz="8" w:space="0" w:color="auto"/>
              <w:right w:val="nil"/>
            </w:tcBorders>
            <w:shd w:val="clear" w:color="auto" w:fill="auto"/>
            <w:vAlign w:val="center"/>
            <w:hideMark/>
          </w:tcPr>
          <w:p w14:paraId="26E62DA6" w14:textId="71769336" w:rsidR="006F7772" w:rsidRPr="008E0367" w:rsidRDefault="006F7772" w:rsidP="006F7772">
            <w:pPr>
              <w:rPr>
                <w:color w:val="000000"/>
                <w:szCs w:val="24"/>
              </w:rPr>
            </w:pPr>
            <w:r w:rsidRPr="008E0367">
              <w:rPr>
                <w:color w:val="000000"/>
                <w:szCs w:val="24"/>
              </w:rPr>
              <w:t>Caregiver and Child</w:t>
            </w:r>
          </w:p>
        </w:tc>
        <w:tc>
          <w:tcPr>
            <w:tcW w:w="2564" w:type="dxa"/>
            <w:tcBorders>
              <w:top w:val="nil"/>
              <w:left w:val="nil"/>
              <w:bottom w:val="single" w:sz="8" w:space="0" w:color="auto"/>
              <w:right w:val="nil"/>
            </w:tcBorders>
            <w:shd w:val="clear" w:color="auto" w:fill="auto"/>
            <w:vAlign w:val="center"/>
            <w:hideMark/>
          </w:tcPr>
          <w:p w14:paraId="6771EF7A" w14:textId="77777777" w:rsidR="006F7772" w:rsidRPr="008E0367" w:rsidRDefault="006F7772" w:rsidP="006F7772">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18FD01AD" w14:textId="4BCA279A" w:rsidR="006F7772" w:rsidRPr="009A78D6" w:rsidRDefault="006F7772" w:rsidP="006F7772">
            <w:pPr>
              <w:jc w:val="right"/>
              <w:rPr>
                <w:color w:val="000000"/>
                <w:szCs w:val="24"/>
              </w:rPr>
            </w:pPr>
            <w:r w:rsidRPr="009A78D6">
              <w:rPr>
                <w:color w:val="000000"/>
                <w:szCs w:val="24"/>
              </w:rPr>
              <w:t>500</w:t>
            </w:r>
          </w:p>
        </w:tc>
        <w:tc>
          <w:tcPr>
            <w:tcW w:w="960" w:type="dxa"/>
            <w:tcBorders>
              <w:top w:val="nil"/>
              <w:left w:val="nil"/>
              <w:bottom w:val="single" w:sz="8" w:space="0" w:color="auto"/>
              <w:right w:val="nil"/>
            </w:tcBorders>
            <w:shd w:val="clear" w:color="auto" w:fill="auto"/>
            <w:vAlign w:val="center"/>
            <w:hideMark/>
          </w:tcPr>
          <w:p w14:paraId="3D3601F8" w14:textId="255E28D2" w:rsidR="006F7772" w:rsidRPr="009A78D6" w:rsidRDefault="006F7772" w:rsidP="006F7772">
            <w:pPr>
              <w:jc w:val="center"/>
              <w:rPr>
                <w:color w:val="000000"/>
                <w:szCs w:val="24"/>
              </w:rPr>
            </w:pPr>
            <w:r>
              <w:rPr>
                <w:color w:val="000000"/>
              </w:rPr>
              <w:t>3.5</w:t>
            </w:r>
          </w:p>
        </w:tc>
        <w:tc>
          <w:tcPr>
            <w:tcW w:w="1168" w:type="dxa"/>
            <w:tcBorders>
              <w:top w:val="nil"/>
              <w:left w:val="nil"/>
              <w:bottom w:val="single" w:sz="8" w:space="0" w:color="auto"/>
              <w:right w:val="nil"/>
            </w:tcBorders>
            <w:shd w:val="clear" w:color="auto" w:fill="auto"/>
            <w:vAlign w:val="center"/>
            <w:hideMark/>
          </w:tcPr>
          <w:p w14:paraId="5BF662CE" w14:textId="2850D87B" w:rsidR="006F7772" w:rsidRPr="009A78D6" w:rsidRDefault="006F7772" w:rsidP="006F7772">
            <w:pPr>
              <w:jc w:val="center"/>
              <w:rPr>
                <w:color w:val="000000"/>
                <w:szCs w:val="24"/>
              </w:rPr>
            </w:pPr>
            <w:r>
              <w:rPr>
                <w:color w:val="000000"/>
              </w:rPr>
              <w:t>±8.4</w:t>
            </w:r>
          </w:p>
        </w:tc>
        <w:tc>
          <w:tcPr>
            <w:tcW w:w="1056" w:type="dxa"/>
            <w:tcBorders>
              <w:top w:val="nil"/>
              <w:left w:val="nil"/>
              <w:bottom w:val="single" w:sz="8" w:space="0" w:color="auto"/>
              <w:right w:val="nil"/>
            </w:tcBorders>
            <w:shd w:val="clear" w:color="auto" w:fill="auto"/>
            <w:vAlign w:val="center"/>
            <w:hideMark/>
          </w:tcPr>
          <w:p w14:paraId="16395F44" w14:textId="408DB881" w:rsidR="006F7772" w:rsidRPr="009A78D6" w:rsidRDefault="006F7772" w:rsidP="006F7772">
            <w:pPr>
              <w:jc w:val="center"/>
              <w:rPr>
                <w:color w:val="000000"/>
                <w:szCs w:val="24"/>
              </w:rPr>
            </w:pPr>
            <w:r>
              <w:rPr>
                <w:color w:val="000000"/>
              </w:rPr>
              <w:t>18.5</w:t>
            </w:r>
          </w:p>
        </w:tc>
      </w:tr>
      <w:tr w:rsidR="005478A9" w:rsidRPr="008E0367" w14:paraId="7741D976" w14:textId="77777777" w:rsidTr="001E5604">
        <w:tc>
          <w:tcPr>
            <w:tcW w:w="2316" w:type="dxa"/>
            <w:tcBorders>
              <w:top w:val="nil"/>
              <w:left w:val="nil"/>
              <w:bottom w:val="single" w:sz="8" w:space="0" w:color="auto"/>
              <w:right w:val="nil"/>
            </w:tcBorders>
            <w:shd w:val="clear" w:color="auto" w:fill="auto"/>
            <w:vAlign w:val="center"/>
            <w:hideMark/>
          </w:tcPr>
          <w:p w14:paraId="0928AD57" w14:textId="77777777" w:rsidR="005478A9" w:rsidRPr="008E0367" w:rsidRDefault="005478A9" w:rsidP="002C7DFF">
            <w:pPr>
              <w:rPr>
                <w:color w:val="000000"/>
                <w:szCs w:val="24"/>
              </w:rPr>
            </w:pPr>
            <w:r w:rsidRPr="008E0367">
              <w:rPr>
                <w:color w:val="000000"/>
                <w:szCs w:val="24"/>
              </w:rPr>
              <w:t>Site</w:t>
            </w:r>
          </w:p>
        </w:tc>
        <w:tc>
          <w:tcPr>
            <w:tcW w:w="2564" w:type="dxa"/>
            <w:tcBorders>
              <w:top w:val="nil"/>
              <w:left w:val="nil"/>
              <w:bottom w:val="single" w:sz="8" w:space="0" w:color="auto"/>
              <w:right w:val="nil"/>
            </w:tcBorders>
            <w:shd w:val="clear" w:color="auto" w:fill="auto"/>
            <w:vAlign w:val="center"/>
            <w:hideMark/>
          </w:tcPr>
          <w:p w14:paraId="788EA30A" w14:textId="77777777" w:rsidR="005478A9" w:rsidRPr="008E0367" w:rsidRDefault="005478A9" w:rsidP="002C7DFF">
            <w:pPr>
              <w:rPr>
                <w:color w:val="000000"/>
                <w:szCs w:val="24"/>
              </w:rPr>
            </w:pPr>
            <w:r w:rsidRPr="008E0367">
              <w:rPr>
                <w:color w:val="000000"/>
                <w:szCs w:val="24"/>
              </w:rPr>
              <w:t>Overall with SSO</w:t>
            </w:r>
          </w:p>
        </w:tc>
        <w:tc>
          <w:tcPr>
            <w:tcW w:w="1296" w:type="dxa"/>
            <w:tcBorders>
              <w:top w:val="nil"/>
              <w:left w:val="nil"/>
              <w:bottom w:val="single" w:sz="8" w:space="0" w:color="auto"/>
              <w:right w:val="nil"/>
            </w:tcBorders>
            <w:shd w:val="clear" w:color="auto" w:fill="auto"/>
            <w:vAlign w:val="center"/>
            <w:hideMark/>
          </w:tcPr>
          <w:p w14:paraId="1311BEEE" w14:textId="77777777" w:rsidR="005478A9" w:rsidRPr="008E0367" w:rsidRDefault="005478A9" w:rsidP="002C7DFF">
            <w:pPr>
              <w:jc w:val="right"/>
              <w:rPr>
                <w:color w:val="000000"/>
                <w:szCs w:val="24"/>
              </w:rPr>
            </w:pPr>
            <w:r w:rsidRPr="008E0367">
              <w:rPr>
                <w:color w:val="000000"/>
                <w:szCs w:val="24"/>
              </w:rPr>
              <w:t>750</w:t>
            </w:r>
          </w:p>
        </w:tc>
        <w:tc>
          <w:tcPr>
            <w:tcW w:w="960" w:type="dxa"/>
            <w:tcBorders>
              <w:top w:val="nil"/>
              <w:left w:val="nil"/>
              <w:bottom w:val="single" w:sz="8" w:space="0" w:color="auto"/>
              <w:right w:val="nil"/>
            </w:tcBorders>
            <w:shd w:val="clear" w:color="auto" w:fill="auto"/>
            <w:vAlign w:val="center"/>
            <w:hideMark/>
          </w:tcPr>
          <w:p w14:paraId="2AD67386" w14:textId="77777777" w:rsidR="005478A9" w:rsidRPr="008E0367" w:rsidRDefault="005478A9" w:rsidP="002C7DFF">
            <w:pPr>
              <w:jc w:val="center"/>
              <w:rPr>
                <w:color w:val="000000"/>
                <w:szCs w:val="24"/>
              </w:rPr>
            </w:pPr>
            <w:r w:rsidRPr="008E0367">
              <w:rPr>
                <w:color w:val="000000"/>
                <w:szCs w:val="24"/>
              </w:rPr>
              <w:t>1.6</w:t>
            </w:r>
          </w:p>
        </w:tc>
        <w:tc>
          <w:tcPr>
            <w:tcW w:w="1168" w:type="dxa"/>
            <w:tcBorders>
              <w:top w:val="nil"/>
              <w:left w:val="nil"/>
              <w:bottom w:val="single" w:sz="8" w:space="0" w:color="auto"/>
              <w:right w:val="nil"/>
            </w:tcBorders>
            <w:shd w:val="clear" w:color="auto" w:fill="auto"/>
            <w:vAlign w:val="center"/>
            <w:hideMark/>
          </w:tcPr>
          <w:p w14:paraId="001AA4F7" w14:textId="77777777" w:rsidR="005478A9" w:rsidRPr="008E0367" w:rsidRDefault="005478A9" w:rsidP="002C7DFF">
            <w:pPr>
              <w:jc w:val="center"/>
              <w:rPr>
                <w:color w:val="000000"/>
                <w:szCs w:val="24"/>
              </w:rPr>
            </w:pPr>
            <w:r w:rsidRPr="008E0367">
              <w:rPr>
                <w:color w:val="000000"/>
                <w:szCs w:val="24"/>
              </w:rPr>
              <w:t>±4.6</w:t>
            </w:r>
          </w:p>
        </w:tc>
        <w:tc>
          <w:tcPr>
            <w:tcW w:w="1056" w:type="dxa"/>
            <w:tcBorders>
              <w:top w:val="nil"/>
              <w:left w:val="nil"/>
              <w:bottom w:val="single" w:sz="8" w:space="0" w:color="auto"/>
              <w:right w:val="nil"/>
            </w:tcBorders>
            <w:shd w:val="clear" w:color="auto" w:fill="auto"/>
            <w:vAlign w:val="center"/>
            <w:hideMark/>
          </w:tcPr>
          <w:p w14:paraId="19373D92" w14:textId="77777777" w:rsidR="005478A9" w:rsidRPr="008E0367" w:rsidRDefault="005478A9" w:rsidP="002C7DFF">
            <w:pPr>
              <w:jc w:val="center"/>
              <w:rPr>
                <w:color w:val="000000"/>
                <w:szCs w:val="24"/>
              </w:rPr>
            </w:pPr>
            <w:r w:rsidRPr="008E0367">
              <w:rPr>
                <w:color w:val="000000"/>
                <w:szCs w:val="24"/>
              </w:rPr>
              <w:t>NA</w:t>
            </w:r>
          </w:p>
        </w:tc>
      </w:tr>
      <w:tr w:rsidR="005478A9" w:rsidRPr="008E0367" w14:paraId="328BE7E5" w14:textId="77777777" w:rsidTr="001E5604">
        <w:tc>
          <w:tcPr>
            <w:tcW w:w="2316" w:type="dxa"/>
            <w:tcBorders>
              <w:top w:val="nil"/>
              <w:left w:val="nil"/>
              <w:bottom w:val="single" w:sz="8" w:space="0" w:color="auto"/>
              <w:right w:val="nil"/>
            </w:tcBorders>
            <w:shd w:val="clear" w:color="auto" w:fill="auto"/>
            <w:vAlign w:val="center"/>
            <w:hideMark/>
          </w:tcPr>
          <w:p w14:paraId="344080C1" w14:textId="77777777" w:rsidR="005478A9" w:rsidRPr="008E0367" w:rsidRDefault="005478A9" w:rsidP="002C7DFF">
            <w:pPr>
              <w:rPr>
                <w:color w:val="000000"/>
                <w:szCs w:val="24"/>
              </w:rPr>
            </w:pPr>
            <w:r w:rsidRPr="008E0367">
              <w:rPr>
                <w:color w:val="000000"/>
                <w:szCs w:val="24"/>
              </w:rPr>
              <w:t>Site</w:t>
            </w:r>
          </w:p>
        </w:tc>
        <w:tc>
          <w:tcPr>
            <w:tcW w:w="2564" w:type="dxa"/>
            <w:tcBorders>
              <w:top w:val="nil"/>
              <w:left w:val="nil"/>
              <w:bottom w:val="single" w:sz="8" w:space="0" w:color="auto"/>
              <w:right w:val="nil"/>
            </w:tcBorders>
            <w:shd w:val="clear" w:color="auto" w:fill="auto"/>
            <w:vAlign w:val="center"/>
            <w:hideMark/>
          </w:tcPr>
          <w:p w14:paraId="299845F4" w14:textId="77777777" w:rsidR="005478A9" w:rsidRPr="008E0367" w:rsidRDefault="005478A9" w:rsidP="002C7DFF">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51C07350" w14:textId="77777777" w:rsidR="005478A9" w:rsidRPr="008E0367" w:rsidRDefault="005478A9" w:rsidP="002C7DFF">
            <w:pPr>
              <w:jc w:val="right"/>
              <w:rPr>
                <w:color w:val="000000"/>
                <w:szCs w:val="24"/>
              </w:rPr>
            </w:pPr>
            <w:r w:rsidRPr="008E0367">
              <w:rPr>
                <w:color w:val="000000"/>
                <w:szCs w:val="24"/>
              </w:rPr>
              <w:t>600</w:t>
            </w:r>
          </w:p>
        </w:tc>
        <w:tc>
          <w:tcPr>
            <w:tcW w:w="960" w:type="dxa"/>
            <w:tcBorders>
              <w:top w:val="nil"/>
              <w:left w:val="nil"/>
              <w:bottom w:val="single" w:sz="8" w:space="0" w:color="auto"/>
              <w:right w:val="nil"/>
            </w:tcBorders>
            <w:shd w:val="clear" w:color="auto" w:fill="auto"/>
            <w:vAlign w:val="center"/>
            <w:hideMark/>
          </w:tcPr>
          <w:p w14:paraId="5F149D73" w14:textId="77777777" w:rsidR="005478A9" w:rsidRPr="008E0367" w:rsidRDefault="005478A9" w:rsidP="002C7DFF">
            <w:pPr>
              <w:jc w:val="center"/>
              <w:rPr>
                <w:color w:val="000000"/>
                <w:szCs w:val="24"/>
              </w:rPr>
            </w:pPr>
            <w:r w:rsidRPr="008E0367">
              <w:rPr>
                <w:color w:val="000000"/>
                <w:szCs w:val="24"/>
              </w:rPr>
              <w:t>1.5</w:t>
            </w:r>
          </w:p>
        </w:tc>
        <w:tc>
          <w:tcPr>
            <w:tcW w:w="1168" w:type="dxa"/>
            <w:tcBorders>
              <w:top w:val="nil"/>
              <w:left w:val="nil"/>
              <w:bottom w:val="single" w:sz="8" w:space="0" w:color="auto"/>
              <w:right w:val="nil"/>
            </w:tcBorders>
            <w:shd w:val="clear" w:color="auto" w:fill="auto"/>
            <w:vAlign w:val="center"/>
            <w:hideMark/>
          </w:tcPr>
          <w:p w14:paraId="34E9395E" w14:textId="77777777" w:rsidR="005478A9" w:rsidRPr="008E0367" w:rsidRDefault="005478A9" w:rsidP="002C7DFF">
            <w:pPr>
              <w:jc w:val="center"/>
              <w:rPr>
                <w:color w:val="000000"/>
                <w:szCs w:val="24"/>
              </w:rPr>
            </w:pPr>
            <w:r w:rsidRPr="008E0367">
              <w:rPr>
                <w:color w:val="000000"/>
                <w:szCs w:val="24"/>
              </w:rPr>
              <w:t>±5.0</w:t>
            </w:r>
          </w:p>
        </w:tc>
        <w:tc>
          <w:tcPr>
            <w:tcW w:w="1056" w:type="dxa"/>
            <w:tcBorders>
              <w:top w:val="nil"/>
              <w:left w:val="nil"/>
              <w:bottom w:val="single" w:sz="8" w:space="0" w:color="auto"/>
              <w:right w:val="nil"/>
            </w:tcBorders>
            <w:shd w:val="clear" w:color="auto" w:fill="auto"/>
            <w:vAlign w:val="center"/>
            <w:hideMark/>
          </w:tcPr>
          <w:p w14:paraId="724A96E6" w14:textId="77777777" w:rsidR="005478A9" w:rsidRPr="008E0367" w:rsidRDefault="005478A9" w:rsidP="002C7DFF">
            <w:pPr>
              <w:jc w:val="center"/>
              <w:rPr>
                <w:color w:val="000000"/>
                <w:szCs w:val="24"/>
              </w:rPr>
            </w:pPr>
            <w:r w:rsidRPr="008E0367">
              <w:rPr>
                <w:color w:val="000000"/>
                <w:szCs w:val="24"/>
              </w:rPr>
              <w:t>NA</w:t>
            </w:r>
          </w:p>
        </w:tc>
      </w:tr>
      <w:tr w:rsidR="005478A9" w:rsidRPr="008E0367" w14:paraId="5B17BE01" w14:textId="77777777" w:rsidTr="001E5604">
        <w:tc>
          <w:tcPr>
            <w:tcW w:w="2316" w:type="dxa"/>
            <w:tcBorders>
              <w:top w:val="nil"/>
              <w:left w:val="nil"/>
              <w:bottom w:val="single" w:sz="8" w:space="0" w:color="auto"/>
              <w:right w:val="nil"/>
            </w:tcBorders>
            <w:shd w:val="clear" w:color="auto" w:fill="auto"/>
            <w:vAlign w:val="center"/>
            <w:hideMark/>
          </w:tcPr>
          <w:p w14:paraId="3C4C1D39" w14:textId="77777777" w:rsidR="005478A9" w:rsidRPr="008E0367" w:rsidRDefault="005478A9" w:rsidP="002C7DFF">
            <w:pPr>
              <w:rPr>
                <w:color w:val="000000"/>
                <w:szCs w:val="24"/>
              </w:rPr>
            </w:pPr>
            <w:r w:rsidRPr="008E0367">
              <w:rPr>
                <w:color w:val="000000"/>
                <w:szCs w:val="24"/>
              </w:rPr>
              <w:t>Site</w:t>
            </w:r>
          </w:p>
        </w:tc>
        <w:tc>
          <w:tcPr>
            <w:tcW w:w="2564" w:type="dxa"/>
            <w:tcBorders>
              <w:top w:val="nil"/>
              <w:left w:val="nil"/>
              <w:bottom w:val="single" w:sz="8" w:space="0" w:color="auto"/>
              <w:right w:val="nil"/>
            </w:tcBorders>
            <w:shd w:val="clear" w:color="auto" w:fill="auto"/>
            <w:vAlign w:val="center"/>
            <w:hideMark/>
          </w:tcPr>
          <w:p w14:paraId="4F09F62A" w14:textId="77777777" w:rsidR="005478A9" w:rsidRPr="008E0367" w:rsidRDefault="005478A9" w:rsidP="002C7DFF">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4C3576A9" w14:textId="77777777" w:rsidR="005478A9" w:rsidRPr="008E0367" w:rsidRDefault="005478A9" w:rsidP="002C7DFF">
            <w:pPr>
              <w:jc w:val="right"/>
              <w:rPr>
                <w:color w:val="000000"/>
                <w:szCs w:val="24"/>
              </w:rPr>
            </w:pPr>
            <w:r w:rsidRPr="008E0367">
              <w:rPr>
                <w:color w:val="000000"/>
                <w:szCs w:val="24"/>
              </w:rPr>
              <w:t>300</w:t>
            </w:r>
          </w:p>
        </w:tc>
        <w:tc>
          <w:tcPr>
            <w:tcW w:w="960" w:type="dxa"/>
            <w:tcBorders>
              <w:top w:val="nil"/>
              <w:left w:val="nil"/>
              <w:bottom w:val="single" w:sz="8" w:space="0" w:color="auto"/>
              <w:right w:val="nil"/>
            </w:tcBorders>
            <w:shd w:val="clear" w:color="auto" w:fill="auto"/>
            <w:vAlign w:val="center"/>
            <w:hideMark/>
          </w:tcPr>
          <w:p w14:paraId="3A15FD39" w14:textId="77777777" w:rsidR="005478A9" w:rsidRPr="008E0367" w:rsidRDefault="005478A9" w:rsidP="002C7DFF">
            <w:pPr>
              <w:jc w:val="center"/>
              <w:rPr>
                <w:color w:val="000000"/>
                <w:szCs w:val="24"/>
              </w:rPr>
            </w:pPr>
            <w:r w:rsidRPr="008E0367">
              <w:rPr>
                <w:color w:val="000000"/>
                <w:szCs w:val="24"/>
              </w:rPr>
              <w:t>1.5</w:t>
            </w:r>
          </w:p>
        </w:tc>
        <w:tc>
          <w:tcPr>
            <w:tcW w:w="1168" w:type="dxa"/>
            <w:tcBorders>
              <w:top w:val="nil"/>
              <w:left w:val="nil"/>
              <w:bottom w:val="single" w:sz="8" w:space="0" w:color="auto"/>
              <w:right w:val="nil"/>
            </w:tcBorders>
            <w:shd w:val="clear" w:color="auto" w:fill="auto"/>
            <w:vAlign w:val="center"/>
            <w:hideMark/>
          </w:tcPr>
          <w:p w14:paraId="78A046A6" w14:textId="77777777" w:rsidR="005478A9" w:rsidRPr="008E0367" w:rsidRDefault="005478A9" w:rsidP="002C7DFF">
            <w:pPr>
              <w:jc w:val="center"/>
              <w:rPr>
                <w:color w:val="000000"/>
                <w:szCs w:val="24"/>
              </w:rPr>
            </w:pPr>
            <w:r w:rsidRPr="008E0367">
              <w:rPr>
                <w:color w:val="000000"/>
                <w:szCs w:val="24"/>
              </w:rPr>
              <w:t>±7.1</w:t>
            </w:r>
          </w:p>
        </w:tc>
        <w:tc>
          <w:tcPr>
            <w:tcW w:w="1056" w:type="dxa"/>
            <w:tcBorders>
              <w:top w:val="nil"/>
              <w:left w:val="nil"/>
              <w:bottom w:val="single" w:sz="8" w:space="0" w:color="auto"/>
              <w:right w:val="nil"/>
            </w:tcBorders>
            <w:shd w:val="clear" w:color="auto" w:fill="auto"/>
            <w:vAlign w:val="center"/>
            <w:hideMark/>
          </w:tcPr>
          <w:p w14:paraId="37C3516E" w14:textId="77777777" w:rsidR="005478A9" w:rsidRPr="008E0367" w:rsidRDefault="005478A9" w:rsidP="002C7DFF">
            <w:pPr>
              <w:jc w:val="center"/>
              <w:rPr>
                <w:color w:val="000000"/>
                <w:szCs w:val="24"/>
              </w:rPr>
            </w:pPr>
            <w:r w:rsidRPr="008E0367">
              <w:rPr>
                <w:color w:val="000000"/>
                <w:szCs w:val="24"/>
              </w:rPr>
              <w:t>15.8</w:t>
            </w:r>
          </w:p>
        </w:tc>
      </w:tr>
      <w:tr w:rsidR="005478A9" w:rsidRPr="008E0367" w14:paraId="1F953026" w14:textId="77777777" w:rsidTr="001E5604">
        <w:tc>
          <w:tcPr>
            <w:tcW w:w="2316" w:type="dxa"/>
            <w:tcBorders>
              <w:top w:val="nil"/>
              <w:left w:val="nil"/>
              <w:bottom w:val="single" w:sz="8" w:space="0" w:color="auto"/>
              <w:right w:val="nil"/>
            </w:tcBorders>
            <w:shd w:val="clear" w:color="auto" w:fill="auto"/>
            <w:vAlign w:val="center"/>
            <w:hideMark/>
          </w:tcPr>
          <w:p w14:paraId="38E10C6C" w14:textId="77777777" w:rsidR="005478A9" w:rsidRPr="008E0367" w:rsidRDefault="005478A9" w:rsidP="002C7DFF">
            <w:pPr>
              <w:rPr>
                <w:color w:val="000000"/>
                <w:szCs w:val="24"/>
              </w:rPr>
            </w:pPr>
            <w:r w:rsidRPr="008E0367">
              <w:rPr>
                <w:color w:val="000000"/>
                <w:szCs w:val="24"/>
              </w:rPr>
              <w:t>Site</w:t>
            </w:r>
          </w:p>
        </w:tc>
        <w:tc>
          <w:tcPr>
            <w:tcW w:w="2564" w:type="dxa"/>
            <w:tcBorders>
              <w:top w:val="nil"/>
              <w:left w:val="nil"/>
              <w:bottom w:val="single" w:sz="8" w:space="0" w:color="auto"/>
              <w:right w:val="nil"/>
            </w:tcBorders>
            <w:shd w:val="clear" w:color="auto" w:fill="auto"/>
            <w:vAlign w:val="center"/>
            <w:hideMark/>
          </w:tcPr>
          <w:p w14:paraId="2CA65FD4" w14:textId="77777777" w:rsidR="005478A9" w:rsidRPr="008E0367" w:rsidRDefault="005478A9" w:rsidP="002C7DFF">
            <w:pPr>
              <w:rPr>
                <w:color w:val="000000"/>
                <w:szCs w:val="24"/>
              </w:rPr>
            </w:pPr>
            <w:r w:rsidRPr="008E0367">
              <w:rPr>
                <w:color w:val="000000"/>
                <w:szCs w:val="24"/>
              </w:rPr>
              <w:t>Subgroup within SFSP</w:t>
            </w:r>
          </w:p>
        </w:tc>
        <w:tc>
          <w:tcPr>
            <w:tcW w:w="1296" w:type="dxa"/>
            <w:tcBorders>
              <w:top w:val="nil"/>
              <w:left w:val="nil"/>
              <w:bottom w:val="single" w:sz="8" w:space="0" w:color="auto"/>
              <w:right w:val="nil"/>
            </w:tcBorders>
            <w:shd w:val="clear" w:color="auto" w:fill="auto"/>
            <w:vAlign w:val="center"/>
            <w:hideMark/>
          </w:tcPr>
          <w:p w14:paraId="05B724A2" w14:textId="77777777" w:rsidR="005478A9" w:rsidRPr="008E0367" w:rsidRDefault="005478A9" w:rsidP="002C7DFF">
            <w:pPr>
              <w:jc w:val="right"/>
              <w:rPr>
                <w:color w:val="000000"/>
                <w:szCs w:val="24"/>
              </w:rPr>
            </w:pPr>
            <w:r w:rsidRPr="008E0367">
              <w:rPr>
                <w:color w:val="000000"/>
                <w:szCs w:val="24"/>
              </w:rPr>
              <w:t>150</w:t>
            </w:r>
          </w:p>
        </w:tc>
        <w:tc>
          <w:tcPr>
            <w:tcW w:w="960" w:type="dxa"/>
            <w:tcBorders>
              <w:top w:val="nil"/>
              <w:left w:val="nil"/>
              <w:bottom w:val="single" w:sz="8" w:space="0" w:color="auto"/>
              <w:right w:val="nil"/>
            </w:tcBorders>
            <w:shd w:val="clear" w:color="auto" w:fill="auto"/>
            <w:vAlign w:val="center"/>
            <w:hideMark/>
          </w:tcPr>
          <w:p w14:paraId="5E04FB72" w14:textId="77777777" w:rsidR="005478A9" w:rsidRPr="008E0367" w:rsidRDefault="005478A9" w:rsidP="002C7DFF">
            <w:pPr>
              <w:jc w:val="center"/>
              <w:rPr>
                <w:color w:val="000000"/>
                <w:szCs w:val="24"/>
              </w:rPr>
            </w:pPr>
            <w:r w:rsidRPr="008E0367">
              <w:rPr>
                <w:color w:val="000000"/>
                <w:szCs w:val="24"/>
              </w:rPr>
              <w:t>1.5</w:t>
            </w:r>
          </w:p>
        </w:tc>
        <w:tc>
          <w:tcPr>
            <w:tcW w:w="1168" w:type="dxa"/>
            <w:tcBorders>
              <w:top w:val="nil"/>
              <w:left w:val="nil"/>
              <w:bottom w:val="single" w:sz="8" w:space="0" w:color="auto"/>
              <w:right w:val="nil"/>
            </w:tcBorders>
            <w:shd w:val="clear" w:color="auto" w:fill="auto"/>
            <w:vAlign w:val="center"/>
            <w:hideMark/>
          </w:tcPr>
          <w:p w14:paraId="002F1EC8" w14:textId="77777777" w:rsidR="005478A9" w:rsidRPr="008E0367" w:rsidRDefault="005478A9" w:rsidP="002C7DFF">
            <w:pPr>
              <w:jc w:val="center"/>
              <w:rPr>
                <w:color w:val="000000"/>
                <w:szCs w:val="24"/>
              </w:rPr>
            </w:pPr>
            <w:r w:rsidRPr="008E0367">
              <w:rPr>
                <w:color w:val="000000"/>
                <w:szCs w:val="24"/>
              </w:rPr>
              <w:t>±10.0</w:t>
            </w:r>
          </w:p>
        </w:tc>
        <w:tc>
          <w:tcPr>
            <w:tcW w:w="1056" w:type="dxa"/>
            <w:tcBorders>
              <w:top w:val="nil"/>
              <w:left w:val="nil"/>
              <w:bottom w:val="single" w:sz="8" w:space="0" w:color="auto"/>
              <w:right w:val="nil"/>
            </w:tcBorders>
            <w:shd w:val="clear" w:color="auto" w:fill="auto"/>
            <w:vAlign w:val="center"/>
            <w:hideMark/>
          </w:tcPr>
          <w:p w14:paraId="2ABC9462" w14:textId="77777777" w:rsidR="005478A9" w:rsidRPr="008E0367" w:rsidRDefault="005478A9" w:rsidP="002C7DFF">
            <w:pPr>
              <w:jc w:val="center"/>
              <w:rPr>
                <w:color w:val="000000"/>
                <w:szCs w:val="24"/>
              </w:rPr>
            </w:pPr>
            <w:r w:rsidRPr="008E0367">
              <w:rPr>
                <w:color w:val="000000"/>
                <w:szCs w:val="24"/>
              </w:rPr>
              <w:t>21.8</w:t>
            </w:r>
          </w:p>
        </w:tc>
      </w:tr>
      <w:tr w:rsidR="005478A9" w:rsidRPr="008E0367" w14:paraId="0380B7AE" w14:textId="77777777" w:rsidTr="001E5604">
        <w:tc>
          <w:tcPr>
            <w:tcW w:w="2316" w:type="dxa"/>
            <w:tcBorders>
              <w:top w:val="nil"/>
              <w:left w:val="nil"/>
              <w:bottom w:val="single" w:sz="8" w:space="0" w:color="auto"/>
              <w:right w:val="nil"/>
            </w:tcBorders>
            <w:shd w:val="clear" w:color="auto" w:fill="auto"/>
            <w:vAlign w:val="center"/>
            <w:hideMark/>
          </w:tcPr>
          <w:p w14:paraId="3964DAAD" w14:textId="77777777" w:rsidR="005478A9" w:rsidRPr="008E0367" w:rsidRDefault="005478A9" w:rsidP="002C7DFF">
            <w:pPr>
              <w:rPr>
                <w:color w:val="000000"/>
                <w:szCs w:val="24"/>
              </w:rPr>
            </w:pPr>
            <w:r w:rsidRPr="008E0367">
              <w:rPr>
                <w:color w:val="000000"/>
                <w:szCs w:val="24"/>
              </w:rPr>
              <w:t>Site</w:t>
            </w:r>
          </w:p>
        </w:tc>
        <w:tc>
          <w:tcPr>
            <w:tcW w:w="2564" w:type="dxa"/>
            <w:tcBorders>
              <w:top w:val="nil"/>
              <w:left w:val="nil"/>
              <w:bottom w:val="single" w:sz="8" w:space="0" w:color="auto"/>
              <w:right w:val="nil"/>
            </w:tcBorders>
            <w:shd w:val="clear" w:color="auto" w:fill="auto"/>
            <w:vAlign w:val="center"/>
            <w:hideMark/>
          </w:tcPr>
          <w:p w14:paraId="6D25F384" w14:textId="77777777" w:rsidR="005478A9" w:rsidRPr="008E0367" w:rsidRDefault="005478A9" w:rsidP="002C7DFF">
            <w:pPr>
              <w:rPr>
                <w:color w:val="000000"/>
                <w:szCs w:val="24"/>
              </w:rPr>
            </w:pPr>
            <w:r w:rsidRPr="008E0367">
              <w:rPr>
                <w:color w:val="000000"/>
                <w:szCs w:val="24"/>
              </w:rPr>
              <w:t>SSO Only</w:t>
            </w:r>
          </w:p>
        </w:tc>
        <w:tc>
          <w:tcPr>
            <w:tcW w:w="1296" w:type="dxa"/>
            <w:tcBorders>
              <w:top w:val="nil"/>
              <w:left w:val="nil"/>
              <w:bottom w:val="single" w:sz="8" w:space="0" w:color="auto"/>
              <w:right w:val="nil"/>
            </w:tcBorders>
            <w:shd w:val="clear" w:color="auto" w:fill="auto"/>
            <w:vAlign w:val="center"/>
            <w:hideMark/>
          </w:tcPr>
          <w:p w14:paraId="63FBF288" w14:textId="77777777" w:rsidR="005478A9" w:rsidRPr="008E0367" w:rsidRDefault="005478A9" w:rsidP="002C7DFF">
            <w:pPr>
              <w:jc w:val="right"/>
              <w:rPr>
                <w:color w:val="000000"/>
                <w:szCs w:val="24"/>
              </w:rPr>
            </w:pPr>
            <w:r w:rsidRPr="008E0367">
              <w:rPr>
                <w:color w:val="000000"/>
                <w:szCs w:val="24"/>
              </w:rPr>
              <w:t>150</w:t>
            </w:r>
          </w:p>
        </w:tc>
        <w:tc>
          <w:tcPr>
            <w:tcW w:w="960" w:type="dxa"/>
            <w:tcBorders>
              <w:top w:val="nil"/>
              <w:left w:val="nil"/>
              <w:bottom w:val="single" w:sz="8" w:space="0" w:color="auto"/>
              <w:right w:val="nil"/>
            </w:tcBorders>
            <w:shd w:val="clear" w:color="auto" w:fill="auto"/>
            <w:vAlign w:val="center"/>
            <w:hideMark/>
          </w:tcPr>
          <w:p w14:paraId="539434AE" w14:textId="77777777" w:rsidR="005478A9" w:rsidRPr="008E0367" w:rsidRDefault="005478A9" w:rsidP="002C7DFF">
            <w:pPr>
              <w:jc w:val="center"/>
              <w:rPr>
                <w:color w:val="000000"/>
                <w:szCs w:val="24"/>
              </w:rPr>
            </w:pPr>
            <w:r w:rsidRPr="008E0367">
              <w:rPr>
                <w:color w:val="000000"/>
                <w:szCs w:val="24"/>
              </w:rPr>
              <w:t>1.4</w:t>
            </w:r>
          </w:p>
        </w:tc>
        <w:tc>
          <w:tcPr>
            <w:tcW w:w="1168" w:type="dxa"/>
            <w:tcBorders>
              <w:top w:val="nil"/>
              <w:left w:val="nil"/>
              <w:bottom w:val="single" w:sz="8" w:space="0" w:color="auto"/>
              <w:right w:val="nil"/>
            </w:tcBorders>
            <w:shd w:val="clear" w:color="auto" w:fill="auto"/>
            <w:vAlign w:val="center"/>
            <w:hideMark/>
          </w:tcPr>
          <w:p w14:paraId="77B5D8EA" w14:textId="77777777" w:rsidR="005478A9" w:rsidRPr="008E0367" w:rsidRDefault="005478A9" w:rsidP="002C7DFF">
            <w:pPr>
              <w:jc w:val="center"/>
              <w:rPr>
                <w:color w:val="000000"/>
                <w:szCs w:val="24"/>
              </w:rPr>
            </w:pPr>
            <w:r w:rsidRPr="008E0367">
              <w:rPr>
                <w:color w:val="000000"/>
                <w:szCs w:val="24"/>
              </w:rPr>
              <w:t>±9.7</w:t>
            </w:r>
          </w:p>
        </w:tc>
        <w:tc>
          <w:tcPr>
            <w:tcW w:w="1056" w:type="dxa"/>
            <w:tcBorders>
              <w:top w:val="nil"/>
              <w:left w:val="nil"/>
              <w:bottom w:val="single" w:sz="8" w:space="0" w:color="auto"/>
              <w:right w:val="nil"/>
            </w:tcBorders>
            <w:shd w:val="clear" w:color="auto" w:fill="auto"/>
            <w:vAlign w:val="center"/>
            <w:hideMark/>
          </w:tcPr>
          <w:p w14:paraId="164F83D1" w14:textId="77777777" w:rsidR="005478A9" w:rsidRPr="008E0367" w:rsidRDefault="005478A9" w:rsidP="002C7DFF">
            <w:pPr>
              <w:jc w:val="center"/>
              <w:rPr>
                <w:color w:val="000000"/>
                <w:szCs w:val="24"/>
              </w:rPr>
            </w:pPr>
            <w:r w:rsidRPr="008E0367">
              <w:rPr>
                <w:color w:val="000000"/>
                <w:szCs w:val="24"/>
              </w:rPr>
              <w:t>NA</w:t>
            </w:r>
          </w:p>
        </w:tc>
      </w:tr>
      <w:tr w:rsidR="005478A9" w:rsidRPr="008E0367" w14:paraId="472B823C" w14:textId="77777777" w:rsidTr="001E5604">
        <w:tc>
          <w:tcPr>
            <w:tcW w:w="2316" w:type="dxa"/>
            <w:tcBorders>
              <w:top w:val="nil"/>
              <w:left w:val="nil"/>
              <w:bottom w:val="single" w:sz="8" w:space="0" w:color="000000"/>
              <w:right w:val="nil"/>
            </w:tcBorders>
            <w:shd w:val="clear" w:color="auto" w:fill="auto"/>
            <w:vAlign w:val="center"/>
            <w:hideMark/>
          </w:tcPr>
          <w:p w14:paraId="7C133E03" w14:textId="77777777" w:rsidR="005478A9" w:rsidRPr="008E0367" w:rsidRDefault="005478A9" w:rsidP="002C7DFF">
            <w:pPr>
              <w:rPr>
                <w:color w:val="000000"/>
                <w:szCs w:val="24"/>
              </w:rPr>
            </w:pPr>
            <w:r w:rsidRPr="008E0367">
              <w:rPr>
                <w:color w:val="000000"/>
                <w:szCs w:val="24"/>
              </w:rPr>
              <w:t>Sponsor</w:t>
            </w:r>
          </w:p>
        </w:tc>
        <w:tc>
          <w:tcPr>
            <w:tcW w:w="2564" w:type="dxa"/>
            <w:tcBorders>
              <w:top w:val="nil"/>
              <w:left w:val="nil"/>
              <w:bottom w:val="single" w:sz="8" w:space="0" w:color="000000"/>
              <w:right w:val="nil"/>
            </w:tcBorders>
            <w:shd w:val="clear" w:color="auto" w:fill="auto"/>
            <w:vAlign w:val="center"/>
            <w:hideMark/>
          </w:tcPr>
          <w:p w14:paraId="093EF4F3" w14:textId="77777777" w:rsidR="005478A9" w:rsidRPr="008E0367" w:rsidRDefault="005478A9" w:rsidP="002C7DFF">
            <w:pPr>
              <w:rPr>
                <w:color w:val="000000"/>
                <w:szCs w:val="24"/>
              </w:rPr>
            </w:pPr>
            <w:r w:rsidRPr="008E0367">
              <w:rPr>
                <w:color w:val="000000"/>
                <w:szCs w:val="24"/>
              </w:rPr>
              <w:t>Overall with SSO</w:t>
            </w:r>
          </w:p>
        </w:tc>
        <w:tc>
          <w:tcPr>
            <w:tcW w:w="1296" w:type="dxa"/>
            <w:tcBorders>
              <w:top w:val="nil"/>
              <w:left w:val="nil"/>
              <w:bottom w:val="single" w:sz="8" w:space="0" w:color="000000"/>
              <w:right w:val="nil"/>
            </w:tcBorders>
            <w:shd w:val="clear" w:color="auto" w:fill="auto"/>
            <w:vAlign w:val="center"/>
            <w:hideMark/>
          </w:tcPr>
          <w:p w14:paraId="4F47CB7E" w14:textId="6CE72885" w:rsidR="005478A9" w:rsidRPr="008E0367" w:rsidRDefault="00FE2475" w:rsidP="00D67F9E">
            <w:pPr>
              <w:jc w:val="right"/>
              <w:rPr>
                <w:color w:val="000000"/>
                <w:szCs w:val="24"/>
              </w:rPr>
            </w:pPr>
            <w:r>
              <w:rPr>
                <w:color w:val="000000"/>
                <w:szCs w:val="24"/>
              </w:rPr>
              <w:t>38</w:t>
            </w:r>
            <w:r w:rsidR="009D7AA1">
              <w:rPr>
                <w:color w:val="000000"/>
                <w:szCs w:val="24"/>
              </w:rPr>
              <w:t>5</w:t>
            </w:r>
          </w:p>
        </w:tc>
        <w:tc>
          <w:tcPr>
            <w:tcW w:w="960" w:type="dxa"/>
            <w:tcBorders>
              <w:top w:val="nil"/>
              <w:left w:val="nil"/>
              <w:bottom w:val="single" w:sz="8" w:space="0" w:color="000000"/>
              <w:right w:val="nil"/>
            </w:tcBorders>
            <w:shd w:val="clear" w:color="auto" w:fill="auto"/>
            <w:vAlign w:val="center"/>
            <w:hideMark/>
          </w:tcPr>
          <w:p w14:paraId="105689FA" w14:textId="7B0A619C" w:rsidR="005478A9" w:rsidRPr="008E0367" w:rsidRDefault="005478A9" w:rsidP="002C7DFF">
            <w:pPr>
              <w:jc w:val="center"/>
              <w:rPr>
                <w:color w:val="000000"/>
                <w:szCs w:val="24"/>
              </w:rPr>
            </w:pPr>
            <w:r w:rsidRPr="008E0367">
              <w:rPr>
                <w:color w:val="000000"/>
                <w:szCs w:val="24"/>
              </w:rPr>
              <w:t>3</w:t>
            </w:r>
          </w:p>
        </w:tc>
        <w:tc>
          <w:tcPr>
            <w:tcW w:w="1168" w:type="dxa"/>
            <w:tcBorders>
              <w:top w:val="nil"/>
              <w:left w:val="nil"/>
              <w:bottom w:val="single" w:sz="8" w:space="0" w:color="000000"/>
              <w:right w:val="nil"/>
            </w:tcBorders>
            <w:shd w:val="clear" w:color="auto" w:fill="auto"/>
            <w:vAlign w:val="center"/>
            <w:hideMark/>
          </w:tcPr>
          <w:p w14:paraId="62F7F032" w14:textId="020964E2" w:rsidR="005478A9" w:rsidRPr="008E0367" w:rsidRDefault="00A76657" w:rsidP="00F44196">
            <w:pPr>
              <w:jc w:val="center"/>
              <w:rPr>
                <w:color w:val="000000"/>
                <w:szCs w:val="24"/>
              </w:rPr>
            </w:pPr>
            <w:r w:rsidRPr="008E0367">
              <w:rPr>
                <w:color w:val="000000"/>
                <w:szCs w:val="24"/>
              </w:rPr>
              <w:t>±</w:t>
            </w:r>
            <w:r w:rsidR="00F44196">
              <w:rPr>
                <w:color w:val="000000"/>
                <w:szCs w:val="24"/>
              </w:rPr>
              <w:t>8.8</w:t>
            </w:r>
          </w:p>
        </w:tc>
        <w:tc>
          <w:tcPr>
            <w:tcW w:w="1056" w:type="dxa"/>
            <w:tcBorders>
              <w:top w:val="nil"/>
              <w:left w:val="nil"/>
              <w:bottom w:val="single" w:sz="8" w:space="0" w:color="000000"/>
              <w:right w:val="nil"/>
            </w:tcBorders>
            <w:shd w:val="clear" w:color="auto" w:fill="auto"/>
            <w:vAlign w:val="center"/>
            <w:hideMark/>
          </w:tcPr>
          <w:p w14:paraId="5CC686BA" w14:textId="77777777" w:rsidR="005478A9" w:rsidRPr="008E0367" w:rsidRDefault="005478A9" w:rsidP="002C7DFF">
            <w:pPr>
              <w:jc w:val="center"/>
              <w:rPr>
                <w:color w:val="000000"/>
                <w:szCs w:val="24"/>
              </w:rPr>
            </w:pPr>
            <w:r w:rsidRPr="008E0367">
              <w:rPr>
                <w:color w:val="000000"/>
                <w:szCs w:val="24"/>
              </w:rPr>
              <w:t>NA</w:t>
            </w:r>
          </w:p>
        </w:tc>
      </w:tr>
      <w:tr w:rsidR="005478A9" w:rsidRPr="008E0367" w14:paraId="197899BC" w14:textId="77777777" w:rsidTr="001E5604">
        <w:tc>
          <w:tcPr>
            <w:tcW w:w="2316" w:type="dxa"/>
            <w:tcBorders>
              <w:top w:val="nil"/>
              <w:left w:val="nil"/>
              <w:bottom w:val="single" w:sz="8" w:space="0" w:color="000000"/>
              <w:right w:val="nil"/>
            </w:tcBorders>
            <w:shd w:val="clear" w:color="auto" w:fill="auto"/>
            <w:vAlign w:val="center"/>
            <w:hideMark/>
          </w:tcPr>
          <w:p w14:paraId="6B300A84" w14:textId="77777777" w:rsidR="005478A9" w:rsidRPr="008E0367" w:rsidRDefault="005478A9" w:rsidP="002C7DFF">
            <w:pPr>
              <w:rPr>
                <w:color w:val="000000"/>
                <w:szCs w:val="24"/>
              </w:rPr>
            </w:pPr>
            <w:r w:rsidRPr="008E0367">
              <w:rPr>
                <w:color w:val="000000"/>
                <w:szCs w:val="24"/>
              </w:rPr>
              <w:t>Sponsor</w:t>
            </w:r>
          </w:p>
        </w:tc>
        <w:tc>
          <w:tcPr>
            <w:tcW w:w="2564" w:type="dxa"/>
            <w:tcBorders>
              <w:top w:val="nil"/>
              <w:left w:val="nil"/>
              <w:bottom w:val="single" w:sz="8" w:space="0" w:color="000000"/>
              <w:right w:val="nil"/>
            </w:tcBorders>
            <w:shd w:val="clear" w:color="auto" w:fill="auto"/>
            <w:vAlign w:val="center"/>
            <w:hideMark/>
          </w:tcPr>
          <w:p w14:paraId="2D10582D" w14:textId="77777777" w:rsidR="005478A9" w:rsidRPr="008E0367" w:rsidRDefault="005478A9" w:rsidP="002C7DFF">
            <w:pPr>
              <w:rPr>
                <w:color w:val="000000"/>
                <w:szCs w:val="24"/>
              </w:rPr>
            </w:pPr>
            <w:r w:rsidRPr="008E0367">
              <w:rPr>
                <w:color w:val="000000"/>
                <w:szCs w:val="24"/>
              </w:rPr>
              <w:t>SFSP Only</w:t>
            </w:r>
          </w:p>
        </w:tc>
        <w:tc>
          <w:tcPr>
            <w:tcW w:w="1296" w:type="dxa"/>
            <w:tcBorders>
              <w:top w:val="nil"/>
              <w:left w:val="nil"/>
              <w:bottom w:val="single" w:sz="8" w:space="0" w:color="000000"/>
              <w:right w:val="nil"/>
            </w:tcBorders>
            <w:shd w:val="clear" w:color="auto" w:fill="auto"/>
            <w:vAlign w:val="center"/>
            <w:hideMark/>
          </w:tcPr>
          <w:p w14:paraId="67137150" w14:textId="09AA463A" w:rsidR="005478A9" w:rsidRPr="008E0367" w:rsidRDefault="00A76657" w:rsidP="009D7AA1">
            <w:pPr>
              <w:jc w:val="right"/>
              <w:rPr>
                <w:color w:val="000000"/>
                <w:szCs w:val="24"/>
              </w:rPr>
            </w:pPr>
            <w:r w:rsidRPr="008E0367">
              <w:rPr>
                <w:color w:val="000000"/>
                <w:szCs w:val="24"/>
              </w:rPr>
              <w:t>3</w:t>
            </w:r>
            <w:r w:rsidR="00FE2475">
              <w:rPr>
                <w:color w:val="000000"/>
                <w:szCs w:val="24"/>
              </w:rPr>
              <w:t>0</w:t>
            </w:r>
            <w:r w:rsidR="009D7AA1">
              <w:rPr>
                <w:color w:val="000000"/>
                <w:szCs w:val="24"/>
              </w:rPr>
              <w:t>8</w:t>
            </w:r>
          </w:p>
        </w:tc>
        <w:tc>
          <w:tcPr>
            <w:tcW w:w="960" w:type="dxa"/>
            <w:tcBorders>
              <w:top w:val="nil"/>
              <w:left w:val="nil"/>
              <w:bottom w:val="single" w:sz="8" w:space="0" w:color="000000"/>
              <w:right w:val="nil"/>
            </w:tcBorders>
            <w:shd w:val="clear" w:color="auto" w:fill="auto"/>
            <w:vAlign w:val="center"/>
            <w:hideMark/>
          </w:tcPr>
          <w:p w14:paraId="6FEF0864" w14:textId="77777777" w:rsidR="005478A9" w:rsidRPr="008E0367" w:rsidRDefault="005478A9" w:rsidP="002C7DFF">
            <w:pPr>
              <w:jc w:val="center"/>
              <w:rPr>
                <w:color w:val="000000"/>
                <w:szCs w:val="24"/>
              </w:rPr>
            </w:pPr>
            <w:r w:rsidRPr="008E0367">
              <w:rPr>
                <w:color w:val="000000"/>
                <w:szCs w:val="24"/>
              </w:rPr>
              <w:t>3</w:t>
            </w:r>
          </w:p>
        </w:tc>
        <w:tc>
          <w:tcPr>
            <w:tcW w:w="1168" w:type="dxa"/>
            <w:tcBorders>
              <w:top w:val="nil"/>
              <w:left w:val="nil"/>
              <w:bottom w:val="single" w:sz="8" w:space="0" w:color="000000"/>
              <w:right w:val="nil"/>
            </w:tcBorders>
            <w:shd w:val="clear" w:color="auto" w:fill="auto"/>
            <w:vAlign w:val="center"/>
            <w:hideMark/>
          </w:tcPr>
          <w:p w14:paraId="4021C79C" w14:textId="6454D671" w:rsidR="005478A9" w:rsidRPr="008E0367" w:rsidRDefault="000E253B" w:rsidP="002C7DFF">
            <w:pPr>
              <w:jc w:val="center"/>
              <w:rPr>
                <w:color w:val="000000"/>
                <w:szCs w:val="24"/>
              </w:rPr>
            </w:pPr>
            <w:r w:rsidRPr="008E0367">
              <w:rPr>
                <w:color w:val="000000"/>
                <w:szCs w:val="24"/>
              </w:rPr>
              <w:t>±9</w:t>
            </w:r>
            <w:r w:rsidR="005478A9" w:rsidRPr="008E0367">
              <w:rPr>
                <w:color w:val="000000"/>
                <w:szCs w:val="24"/>
              </w:rPr>
              <w:t>.</w:t>
            </w:r>
            <w:r w:rsidR="00FE2475">
              <w:rPr>
                <w:color w:val="000000"/>
                <w:szCs w:val="24"/>
              </w:rPr>
              <w:t>9</w:t>
            </w:r>
          </w:p>
        </w:tc>
        <w:tc>
          <w:tcPr>
            <w:tcW w:w="1056" w:type="dxa"/>
            <w:tcBorders>
              <w:top w:val="nil"/>
              <w:left w:val="nil"/>
              <w:bottom w:val="single" w:sz="8" w:space="0" w:color="000000"/>
              <w:right w:val="nil"/>
            </w:tcBorders>
            <w:shd w:val="clear" w:color="auto" w:fill="auto"/>
            <w:vAlign w:val="center"/>
            <w:hideMark/>
          </w:tcPr>
          <w:p w14:paraId="6AF37912" w14:textId="77777777" w:rsidR="005478A9" w:rsidRPr="008E0367" w:rsidRDefault="005478A9" w:rsidP="002C7DFF">
            <w:pPr>
              <w:jc w:val="center"/>
              <w:rPr>
                <w:color w:val="000000"/>
                <w:szCs w:val="24"/>
              </w:rPr>
            </w:pPr>
            <w:r w:rsidRPr="008E0367">
              <w:rPr>
                <w:color w:val="000000"/>
                <w:szCs w:val="24"/>
              </w:rPr>
              <w:t>NA</w:t>
            </w:r>
          </w:p>
        </w:tc>
      </w:tr>
    </w:tbl>
    <w:p w14:paraId="20BCF9A2" w14:textId="6C18D17C" w:rsidR="00CA5FD8" w:rsidRPr="008E0367" w:rsidRDefault="00CA5FD8" w:rsidP="0020370D">
      <w:pPr>
        <w:tabs>
          <w:tab w:val="left" w:pos="-720"/>
        </w:tabs>
        <w:suppressAutoHyphens/>
        <w:spacing w:line="480" w:lineRule="auto"/>
        <w:rPr>
          <w:b/>
          <w:szCs w:val="24"/>
        </w:rPr>
      </w:pPr>
    </w:p>
    <w:p w14:paraId="671D1B7A" w14:textId="77777777" w:rsidR="000457D7" w:rsidRPr="003B685F" w:rsidRDefault="000457D7" w:rsidP="0020370D">
      <w:pPr>
        <w:tabs>
          <w:tab w:val="left" w:pos="-720"/>
        </w:tabs>
        <w:suppressAutoHyphens/>
        <w:spacing w:line="480" w:lineRule="auto"/>
        <w:rPr>
          <w:b/>
          <w:color w:val="000000" w:themeColor="text1"/>
          <w:szCs w:val="24"/>
        </w:rPr>
      </w:pPr>
      <w:r w:rsidRPr="003B685F">
        <w:rPr>
          <w:b/>
          <w:color w:val="000000" w:themeColor="text1"/>
          <w:szCs w:val="24"/>
        </w:rPr>
        <w:t>Unusual Problems Requiring Specialized Sampling Procedures</w:t>
      </w:r>
    </w:p>
    <w:p w14:paraId="2DEC6FE9" w14:textId="6F935477" w:rsidR="000457D7" w:rsidRPr="008E0367" w:rsidRDefault="00D979B7" w:rsidP="0020370D">
      <w:pPr>
        <w:pStyle w:val="L1-FlLSp12"/>
        <w:spacing w:line="480" w:lineRule="auto"/>
        <w:rPr>
          <w:rFonts w:ascii="Times New Roman" w:hAnsi="Times New Roman"/>
          <w:szCs w:val="24"/>
        </w:rPr>
      </w:pPr>
      <w:r>
        <w:rPr>
          <w:rFonts w:ascii="Times New Roman" w:hAnsi="Times New Roman"/>
          <w:szCs w:val="24"/>
        </w:rPr>
        <w:tab/>
      </w:r>
      <w:r w:rsidR="000640D7" w:rsidRPr="008E0367">
        <w:rPr>
          <w:rFonts w:ascii="Times New Roman" w:hAnsi="Times New Roman"/>
          <w:szCs w:val="24"/>
        </w:rPr>
        <w:t>There are no unusual problems that require specialized sampling procedures. As noted in Question 1 of this supporting statement (Part B), the majority of the site sample wi</w:t>
      </w:r>
      <w:r w:rsidR="00CD46C2">
        <w:rPr>
          <w:rFonts w:ascii="Times New Roman" w:hAnsi="Times New Roman"/>
          <w:szCs w:val="24"/>
        </w:rPr>
        <w:t>ll</w:t>
      </w:r>
      <w:r w:rsidR="000640D7" w:rsidRPr="008E0367">
        <w:rPr>
          <w:rFonts w:ascii="Times New Roman" w:hAnsi="Times New Roman"/>
          <w:szCs w:val="24"/>
        </w:rPr>
        <w:t xml:space="preserve"> be drawn from State-provided lists of 2017 approved sites/sponsors. An additional round of sampling will be conducted in June 2018 to ensure that new sites approved as of June 1, 2018</w:t>
      </w:r>
      <w:r w:rsidR="00CD46C2">
        <w:rPr>
          <w:rFonts w:ascii="Times New Roman" w:hAnsi="Times New Roman"/>
          <w:szCs w:val="24"/>
        </w:rPr>
        <w:t>,</w:t>
      </w:r>
      <w:r w:rsidR="000640D7" w:rsidRPr="008E0367">
        <w:rPr>
          <w:rFonts w:ascii="Times New Roman" w:hAnsi="Times New Roman"/>
          <w:szCs w:val="24"/>
        </w:rPr>
        <w:t xml:space="preserve"> are also included.</w:t>
      </w:r>
    </w:p>
    <w:p w14:paraId="7E339838" w14:textId="7A5F2E18" w:rsidR="000457D7" w:rsidRPr="003B685F" w:rsidRDefault="000457D7" w:rsidP="00FA7E24">
      <w:pPr>
        <w:tabs>
          <w:tab w:val="left" w:pos="-720"/>
        </w:tabs>
        <w:suppressAutoHyphens/>
        <w:rPr>
          <w:b/>
          <w:color w:val="000000" w:themeColor="text1"/>
          <w:szCs w:val="24"/>
        </w:rPr>
      </w:pPr>
      <w:bookmarkStart w:id="67" w:name="_Toc400377750"/>
      <w:r w:rsidRPr="003B685F">
        <w:rPr>
          <w:b/>
          <w:color w:val="000000" w:themeColor="text1"/>
          <w:szCs w:val="24"/>
        </w:rPr>
        <w:t>Any Use of Periodic (Less Frequent Than Annual) Data Collection Cycles to Reduce Burden</w:t>
      </w:r>
      <w:bookmarkEnd w:id="67"/>
    </w:p>
    <w:p w14:paraId="2EC81CAB" w14:textId="77777777" w:rsidR="00FA47D1" w:rsidRDefault="00FA47D1" w:rsidP="001E5604">
      <w:pPr>
        <w:pStyle w:val="L1-FlLSp12"/>
        <w:spacing w:line="480" w:lineRule="auto"/>
        <w:rPr>
          <w:rFonts w:ascii="Times New Roman" w:hAnsi="Times New Roman"/>
        </w:rPr>
      </w:pPr>
    </w:p>
    <w:p w14:paraId="07C85667" w14:textId="0208268A" w:rsidR="000640D7" w:rsidRPr="008E0367" w:rsidRDefault="00FA47D1">
      <w:pPr>
        <w:pStyle w:val="NormalSS"/>
        <w:spacing w:after="0" w:line="480" w:lineRule="auto"/>
        <w:ind w:firstLine="0"/>
        <w:rPr>
          <w:rFonts w:ascii="Times New Roman" w:hAnsi="Times New Roman"/>
        </w:rPr>
      </w:pPr>
      <w:r>
        <w:rPr>
          <w:rFonts w:ascii="Times New Roman" w:hAnsi="Times New Roman"/>
        </w:rPr>
        <w:tab/>
      </w:r>
      <w:r w:rsidR="000640D7" w:rsidRPr="008E0367">
        <w:rPr>
          <w:rFonts w:ascii="Times New Roman" w:hAnsi="Times New Roman"/>
        </w:rPr>
        <w:t>This is a one-time study; concern regarding the periodicity of data collection cycles is not applicable.</w:t>
      </w:r>
    </w:p>
    <w:p w14:paraId="1616DEE7" w14:textId="77777777" w:rsidR="00751A43" w:rsidRPr="008E0367" w:rsidRDefault="00751A43" w:rsidP="0020370D">
      <w:pPr>
        <w:tabs>
          <w:tab w:val="left" w:pos="-720"/>
        </w:tabs>
        <w:suppressAutoHyphens/>
        <w:spacing w:line="480" w:lineRule="auto"/>
        <w:rPr>
          <w:b/>
          <w:szCs w:val="24"/>
        </w:rPr>
      </w:pPr>
    </w:p>
    <w:p w14:paraId="1A4EFA41" w14:textId="74A0BB1B" w:rsidR="00377E4A" w:rsidRPr="008E0367" w:rsidRDefault="006F021F" w:rsidP="00F56893">
      <w:pPr>
        <w:pStyle w:val="Heading1"/>
      </w:pPr>
      <w:bookmarkStart w:id="68" w:name="_Toc400377751"/>
      <w:bookmarkStart w:id="69" w:name="_Toc409090905"/>
      <w:bookmarkStart w:id="70" w:name="_Toc492882812"/>
      <w:bookmarkStart w:id="71" w:name="_Toc505263871"/>
      <w:r>
        <w:t>B.3 Methods</w:t>
      </w:r>
      <w:r w:rsidR="00377E4A" w:rsidRPr="008E0367">
        <w:t xml:space="preserve"> to Maximize Response Rates and to Deal With Nonresponse</w:t>
      </w:r>
      <w:bookmarkEnd w:id="68"/>
      <w:bookmarkEnd w:id="69"/>
      <w:bookmarkEnd w:id="70"/>
      <w:bookmarkEnd w:id="71"/>
    </w:p>
    <w:p w14:paraId="54A1CD6D" w14:textId="77777777" w:rsidR="00D979B7" w:rsidRDefault="00D979B7" w:rsidP="00F56893">
      <w:pPr>
        <w:widowControl/>
        <w:tabs>
          <w:tab w:val="left" w:pos="1152"/>
        </w:tabs>
        <w:overflowPunct/>
        <w:autoSpaceDE/>
        <w:autoSpaceDN/>
        <w:adjustRightInd/>
        <w:textAlignment w:val="auto"/>
        <w:rPr>
          <w:b/>
          <w:szCs w:val="24"/>
        </w:rPr>
      </w:pPr>
      <w:bookmarkStart w:id="72" w:name="_Toc400377752"/>
    </w:p>
    <w:p w14:paraId="62E35166" w14:textId="4F17ED19" w:rsidR="00377E4A" w:rsidRPr="008E0367" w:rsidRDefault="00377E4A" w:rsidP="00F56893">
      <w:pPr>
        <w:widowControl/>
        <w:tabs>
          <w:tab w:val="left" w:pos="1152"/>
        </w:tabs>
        <w:overflowPunct/>
        <w:autoSpaceDE/>
        <w:autoSpaceDN/>
        <w:adjustRightInd/>
        <w:textAlignment w:val="auto"/>
        <w:rPr>
          <w:b/>
          <w:szCs w:val="24"/>
        </w:rPr>
      </w:pPr>
      <w:r w:rsidRPr="008E0367">
        <w:rPr>
          <w:b/>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72"/>
    </w:p>
    <w:p w14:paraId="72243000" w14:textId="77777777" w:rsidR="00CA5FD8" w:rsidRPr="008E0367" w:rsidRDefault="00CA5FD8" w:rsidP="0020370D">
      <w:pPr>
        <w:tabs>
          <w:tab w:val="left" w:pos="-720"/>
        </w:tabs>
        <w:suppressAutoHyphens/>
        <w:spacing w:line="480" w:lineRule="auto"/>
        <w:rPr>
          <w:szCs w:val="24"/>
        </w:rPr>
      </w:pPr>
    </w:p>
    <w:p w14:paraId="768525A3" w14:textId="1F0BD2D2" w:rsidR="00562E04" w:rsidRPr="008E0367" w:rsidRDefault="00D979B7" w:rsidP="0020370D">
      <w:pPr>
        <w:tabs>
          <w:tab w:val="left" w:pos="-720"/>
        </w:tabs>
        <w:suppressAutoHyphens/>
        <w:spacing w:line="480" w:lineRule="auto"/>
        <w:rPr>
          <w:szCs w:val="24"/>
        </w:rPr>
      </w:pPr>
      <w:r>
        <w:rPr>
          <w:szCs w:val="24"/>
        </w:rPr>
        <w:tab/>
      </w:r>
      <w:r w:rsidR="0096644C">
        <w:rPr>
          <w:szCs w:val="24"/>
        </w:rPr>
        <w:t>I</w:t>
      </w:r>
      <w:r w:rsidR="000F704B" w:rsidRPr="008E0367">
        <w:rPr>
          <w:szCs w:val="24"/>
        </w:rPr>
        <w:t xml:space="preserve">t is anticipated that </w:t>
      </w:r>
      <w:r w:rsidR="000D7585" w:rsidRPr="008E0367">
        <w:rPr>
          <w:szCs w:val="24"/>
        </w:rPr>
        <w:t>we will achieve</w:t>
      </w:r>
      <w:r w:rsidR="000F704B" w:rsidRPr="008E0367">
        <w:rPr>
          <w:szCs w:val="24"/>
        </w:rPr>
        <w:t xml:space="preserve"> response rate</w:t>
      </w:r>
      <w:r w:rsidR="00A1371F" w:rsidRPr="008E0367">
        <w:rPr>
          <w:szCs w:val="24"/>
        </w:rPr>
        <w:t xml:space="preserve">s of </w:t>
      </w:r>
      <w:r w:rsidR="00B63168">
        <w:rPr>
          <w:szCs w:val="24"/>
        </w:rPr>
        <w:t>83</w:t>
      </w:r>
      <w:r w:rsidR="00A1371F" w:rsidRPr="008E0367">
        <w:rPr>
          <w:szCs w:val="24"/>
        </w:rPr>
        <w:t xml:space="preserve">, </w:t>
      </w:r>
      <w:r w:rsidR="00FE537E">
        <w:rPr>
          <w:szCs w:val="24"/>
        </w:rPr>
        <w:t>70</w:t>
      </w:r>
      <w:r w:rsidR="00B63168" w:rsidRPr="008E0367">
        <w:rPr>
          <w:szCs w:val="24"/>
        </w:rPr>
        <w:t xml:space="preserve"> </w:t>
      </w:r>
      <w:r w:rsidR="00A1371F" w:rsidRPr="008E0367">
        <w:rPr>
          <w:szCs w:val="24"/>
        </w:rPr>
        <w:t xml:space="preserve">and </w:t>
      </w:r>
      <w:r w:rsidR="00B63168" w:rsidRPr="008E0367">
        <w:rPr>
          <w:szCs w:val="24"/>
        </w:rPr>
        <w:t>1</w:t>
      </w:r>
      <w:r w:rsidR="00FE537E">
        <w:rPr>
          <w:szCs w:val="24"/>
        </w:rPr>
        <w:t>7</w:t>
      </w:r>
      <w:r w:rsidR="00B63168" w:rsidRPr="008E0367">
        <w:rPr>
          <w:szCs w:val="24"/>
        </w:rPr>
        <w:t xml:space="preserve"> </w:t>
      </w:r>
      <w:r w:rsidR="0023606F" w:rsidRPr="008E0367">
        <w:rPr>
          <w:szCs w:val="24"/>
        </w:rPr>
        <w:t>percent</w:t>
      </w:r>
      <w:r w:rsidR="000F704B" w:rsidRPr="008E0367">
        <w:rPr>
          <w:szCs w:val="24"/>
        </w:rPr>
        <w:t xml:space="preserve"> from sponsors, sites, and caregivers</w:t>
      </w:r>
      <w:r w:rsidR="00A1371F" w:rsidRPr="008E0367">
        <w:rPr>
          <w:szCs w:val="24"/>
        </w:rPr>
        <w:t>, respectively</w:t>
      </w:r>
      <w:r w:rsidR="00D30438" w:rsidRPr="008E0367">
        <w:rPr>
          <w:szCs w:val="24"/>
        </w:rPr>
        <w:t xml:space="preserve">. </w:t>
      </w:r>
      <w:r w:rsidR="00562E04" w:rsidRPr="008E0367">
        <w:rPr>
          <w:szCs w:val="24"/>
        </w:rPr>
        <w:t xml:space="preserve">These procedures will be used to maximize response rates from </w:t>
      </w:r>
      <w:r w:rsidR="007373F4" w:rsidRPr="008E0367">
        <w:rPr>
          <w:szCs w:val="24"/>
        </w:rPr>
        <w:t>respondents</w:t>
      </w:r>
      <w:r w:rsidR="00562E04" w:rsidRPr="008E0367">
        <w:rPr>
          <w:szCs w:val="24"/>
        </w:rPr>
        <w:t>:</w:t>
      </w:r>
    </w:p>
    <w:p w14:paraId="39AE9CEB" w14:textId="28F7299C" w:rsidR="00562E04" w:rsidRPr="008E0367" w:rsidRDefault="000F704B" w:rsidP="0020370D">
      <w:pPr>
        <w:pStyle w:val="ListParagraph"/>
        <w:numPr>
          <w:ilvl w:val="0"/>
          <w:numId w:val="25"/>
        </w:numPr>
        <w:rPr>
          <w:szCs w:val="24"/>
        </w:rPr>
      </w:pPr>
      <w:r w:rsidRPr="008E0367">
        <w:rPr>
          <w:szCs w:val="24"/>
        </w:rPr>
        <w:t>Send</w:t>
      </w:r>
      <w:r w:rsidR="00562E04" w:rsidRPr="008E0367">
        <w:rPr>
          <w:szCs w:val="24"/>
        </w:rPr>
        <w:t xml:space="preserve"> an introductory letter</w:t>
      </w:r>
      <w:r w:rsidR="00C33A49" w:rsidRPr="008E0367">
        <w:rPr>
          <w:szCs w:val="24"/>
        </w:rPr>
        <w:t xml:space="preserve"> (</w:t>
      </w:r>
      <w:r w:rsidR="006F0249" w:rsidRPr="00FA7E24">
        <w:rPr>
          <w:szCs w:val="24"/>
        </w:rPr>
        <w:t xml:space="preserve">Appendices </w:t>
      </w:r>
      <w:r w:rsidR="008C51BA" w:rsidRPr="00FA7E24">
        <w:rPr>
          <w:szCs w:val="24"/>
        </w:rPr>
        <w:t xml:space="preserve">D1, D2, D7, E1, </w:t>
      </w:r>
      <w:r w:rsidR="00846466" w:rsidRPr="00FA7E24">
        <w:rPr>
          <w:szCs w:val="24"/>
        </w:rPr>
        <w:t xml:space="preserve">G1, </w:t>
      </w:r>
      <w:r w:rsidR="00846466" w:rsidRPr="00846466">
        <w:rPr>
          <w:szCs w:val="24"/>
        </w:rPr>
        <w:t>G3, G5</w:t>
      </w:r>
      <w:r w:rsidR="00C33A49" w:rsidRPr="00846466">
        <w:rPr>
          <w:szCs w:val="24"/>
        </w:rPr>
        <w:t>)</w:t>
      </w:r>
      <w:r w:rsidR="00846466" w:rsidRPr="00846466">
        <w:rPr>
          <w:szCs w:val="24"/>
        </w:rPr>
        <w:t>,</w:t>
      </w:r>
      <w:r w:rsidR="00846466">
        <w:rPr>
          <w:szCs w:val="24"/>
        </w:rPr>
        <w:t xml:space="preserve"> Study Brochure (Appendix D25)</w:t>
      </w:r>
      <w:r w:rsidR="00562E04" w:rsidRPr="008E0367">
        <w:rPr>
          <w:szCs w:val="24"/>
        </w:rPr>
        <w:t xml:space="preserve"> </w:t>
      </w:r>
      <w:r w:rsidR="008C51BA" w:rsidRPr="008E0367">
        <w:rPr>
          <w:szCs w:val="24"/>
        </w:rPr>
        <w:t>and Informational Study Recording for Sponsors and Site</w:t>
      </w:r>
      <w:r w:rsidR="00846466">
        <w:rPr>
          <w:szCs w:val="24"/>
        </w:rPr>
        <w:t xml:space="preserve"> Supervisor</w:t>
      </w:r>
      <w:r w:rsidR="008C51BA" w:rsidRPr="008E0367">
        <w:rPr>
          <w:szCs w:val="24"/>
        </w:rPr>
        <w:t xml:space="preserve">s </w:t>
      </w:r>
      <w:r w:rsidR="008C51BA" w:rsidRPr="00846466">
        <w:rPr>
          <w:szCs w:val="24"/>
        </w:rPr>
        <w:t>(</w:t>
      </w:r>
      <w:r w:rsidR="008C51BA" w:rsidRPr="00FA7E24">
        <w:rPr>
          <w:szCs w:val="24"/>
        </w:rPr>
        <w:t>Appendices D8 and E2</w:t>
      </w:r>
      <w:r w:rsidR="008C51BA" w:rsidRPr="00846466">
        <w:rPr>
          <w:szCs w:val="24"/>
        </w:rPr>
        <w:t xml:space="preserve">) </w:t>
      </w:r>
      <w:r w:rsidR="00562E04" w:rsidRPr="00846466">
        <w:rPr>
          <w:szCs w:val="24"/>
        </w:rPr>
        <w:t>stating</w:t>
      </w:r>
      <w:r w:rsidR="00562E04" w:rsidRPr="008E0367">
        <w:rPr>
          <w:szCs w:val="24"/>
        </w:rPr>
        <w:t xml:space="preserve"> the importance of the study and their participation</w:t>
      </w:r>
      <w:r w:rsidR="0062280A" w:rsidRPr="008E0367">
        <w:rPr>
          <w:szCs w:val="24"/>
        </w:rPr>
        <w:t>;</w:t>
      </w:r>
      <w:r w:rsidR="00562E04" w:rsidRPr="008E0367">
        <w:rPr>
          <w:szCs w:val="24"/>
        </w:rPr>
        <w:t xml:space="preserve"> </w:t>
      </w:r>
    </w:p>
    <w:p w14:paraId="6B33B4CD" w14:textId="4F38D805" w:rsidR="000F704B" w:rsidRPr="008E0367" w:rsidRDefault="000F704B" w:rsidP="0020370D">
      <w:pPr>
        <w:pStyle w:val="ListParagraph"/>
        <w:numPr>
          <w:ilvl w:val="1"/>
          <w:numId w:val="25"/>
        </w:numPr>
        <w:rPr>
          <w:szCs w:val="24"/>
        </w:rPr>
      </w:pPr>
      <w:r w:rsidRPr="008E0367">
        <w:rPr>
          <w:szCs w:val="24"/>
        </w:rPr>
        <w:t>For caregivers only:</w:t>
      </w:r>
    </w:p>
    <w:p w14:paraId="64FD3362" w14:textId="0FCC5A65" w:rsidR="000F704B" w:rsidRPr="008E0367" w:rsidRDefault="000F704B" w:rsidP="0020370D">
      <w:pPr>
        <w:pStyle w:val="ListParagraph"/>
        <w:numPr>
          <w:ilvl w:val="2"/>
          <w:numId w:val="25"/>
        </w:numPr>
        <w:rPr>
          <w:szCs w:val="24"/>
        </w:rPr>
      </w:pPr>
      <w:commentRangeStart w:id="73"/>
      <w:r w:rsidRPr="008E0367">
        <w:rPr>
          <w:szCs w:val="24"/>
        </w:rPr>
        <w:t>I</w:t>
      </w:r>
      <w:r w:rsidR="00562E04" w:rsidRPr="008E0367">
        <w:rPr>
          <w:szCs w:val="24"/>
        </w:rPr>
        <w:t xml:space="preserve">nclude a $2 incentive with the introductory letter and instructions to complete </w:t>
      </w:r>
      <w:r w:rsidR="00846466">
        <w:rPr>
          <w:szCs w:val="24"/>
        </w:rPr>
        <w:t xml:space="preserve">the </w:t>
      </w:r>
      <w:r w:rsidR="004D4768">
        <w:rPr>
          <w:szCs w:val="24"/>
        </w:rPr>
        <w:t>screener.</w:t>
      </w:r>
      <w:commentRangeEnd w:id="73"/>
      <w:r w:rsidR="00A30D82">
        <w:rPr>
          <w:rStyle w:val="CommentReference"/>
          <w:spacing w:val="0"/>
        </w:rPr>
        <w:commentReference w:id="73"/>
      </w:r>
    </w:p>
    <w:p w14:paraId="32674583" w14:textId="0319C56D" w:rsidR="00562E04" w:rsidRPr="008E0367" w:rsidRDefault="000F704B" w:rsidP="0020370D">
      <w:pPr>
        <w:pStyle w:val="ListParagraph"/>
        <w:numPr>
          <w:ilvl w:val="2"/>
          <w:numId w:val="25"/>
        </w:numPr>
        <w:rPr>
          <w:szCs w:val="24"/>
        </w:rPr>
      </w:pPr>
      <w:r w:rsidRPr="008E0367">
        <w:rPr>
          <w:szCs w:val="24"/>
        </w:rPr>
        <w:t>D</w:t>
      </w:r>
      <w:r w:rsidR="00562E04" w:rsidRPr="008E0367">
        <w:rPr>
          <w:szCs w:val="24"/>
        </w:rPr>
        <w:t>iscuss a $</w:t>
      </w:r>
      <w:r w:rsidR="00EA3D81" w:rsidRPr="008E0367">
        <w:rPr>
          <w:szCs w:val="24"/>
        </w:rPr>
        <w:t>1</w:t>
      </w:r>
      <w:r w:rsidR="00562E04" w:rsidRPr="008E0367">
        <w:rPr>
          <w:szCs w:val="24"/>
        </w:rPr>
        <w:t>0 incentive (to be mailed after survey is completed) in the introductory letter.</w:t>
      </w:r>
    </w:p>
    <w:p w14:paraId="1AADE278" w14:textId="79EE1B09" w:rsidR="000F704B" w:rsidRPr="008E0367" w:rsidRDefault="000F704B" w:rsidP="0020370D">
      <w:pPr>
        <w:pStyle w:val="ListParagraph"/>
        <w:numPr>
          <w:ilvl w:val="2"/>
          <w:numId w:val="25"/>
        </w:numPr>
        <w:rPr>
          <w:szCs w:val="24"/>
        </w:rPr>
      </w:pPr>
      <w:r w:rsidRPr="008E0367">
        <w:rPr>
          <w:szCs w:val="24"/>
        </w:rPr>
        <w:t>Provide two primary data collection modes (web or mail).</w:t>
      </w:r>
    </w:p>
    <w:p w14:paraId="0A88511A" w14:textId="41FD9457" w:rsidR="0062280A" w:rsidRPr="00C94515" w:rsidRDefault="007373F4" w:rsidP="0020370D">
      <w:pPr>
        <w:pStyle w:val="ListParagraph"/>
        <w:numPr>
          <w:ilvl w:val="0"/>
          <w:numId w:val="25"/>
        </w:numPr>
        <w:rPr>
          <w:szCs w:val="24"/>
        </w:rPr>
      </w:pPr>
      <w:r w:rsidRPr="008E0367">
        <w:rPr>
          <w:szCs w:val="24"/>
        </w:rPr>
        <w:t xml:space="preserve">Send </w:t>
      </w:r>
      <w:commentRangeStart w:id="74"/>
      <w:r w:rsidR="00562E04" w:rsidRPr="008E0367">
        <w:rPr>
          <w:szCs w:val="24"/>
        </w:rPr>
        <w:t>reminder</w:t>
      </w:r>
      <w:r w:rsidRPr="008E0367">
        <w:rPr>
          <w:szCs w:val="24"/>
        </w:rPr>
        <w:t>s</w:t>
      </w:r>
      <w:r w:rsidR="00407C45" w:rsidRPr="008E0367">
        <w:rPr>
          <w:szCs w:val="24"/>
        </w:rPr>
        <w:t xml:space="preserve"> </w:t>
      </w:r>
      <w:commentRangeEnd w:id="74"/>
      <w:r w:rsidR="00A30D82">
        <w:rPr>
          <w:rStyle w:val="CommentReference"/>
          <w:spacing w:val="0"/>
        </w:rPr>
        <w:commentReference w:id="74"/>
      </w:r>
      <w:r w:rsidR="001E5604">
        <w:rPr>
          <w:szCs w:val="24"/>
        </w:rPr>
        <w:t xml:space="preserve">(postcards and letters) </w:t>
      </w:r>
      <w:r w:rsidR="00407C45" w:rsidRPr="008E0367">
        <w:rPr>
          <w:szCs w:val="24"/>
        </w:rPr>
        <w:t>to</w:t>
      </w:r>
      <w:r w:rsidR="00562E04" w:rsidRPr="008E0367">
        <w:rPr>
          <w:szCs w:val="24"/>
        </w:rPr>
        <w:t xml:space="preserve"> participants who have not completed the survey</w:t>
      </w:r>
      <w:r w:rsidR="00C94515">
        <w:rPr>
          <w:szCs w:val="24"/>
        </w:rPr>
        <w:t>s</w:t>
      </w:r>
      <w:r w:rsidR="006F0249" w:rsidRPr="008E0367">
        <w:rPr>
          <w:szCs w:val="24"/>
        </w:rPr>
        <w:t xml:space="preserve"> (</w:t>
      </w:r>
      <w:r w:rsidR="006F0249" w:rsidRPr="00EA375D">
        <w:rPr>
          <w:szCs w:val="24"/>
        </w:rPr>
        <w:t xml:space="preserve">Appendices </w:t>
      </w:r>
      <w:r w:rsidR="008C51BA" w:rsidRPr="00EA375D">
        <w:rPr>
          <w:szCs w:val="24"/>
        </w:rPr>
        <w:t>D3, D</w:t>
      </w:r>
      <w:r w:rsidR="00846466" w:rsidRPr="00EA375D">
        <w:rPr>
          <w:szCs w:val="24"/>
        </w:rPr>
        <w:t>9</w:t>
      </w:r>
      <w:r w:rsidR="008C51BA" w:rsidRPr="00EA375D">
        <w:rPr>
          <w:szCs w:val="24"/>
        </w:rPr>
        <w:t>, D1</w:t>
      </w:r>
      <w:r w:rsidR="00846466" w:rsidRPr="00EA375D">
        <w:rPr>
          <w:szCs w:val="24"/>
        </w:rPr>
        <w:t>2</w:t>
      </w:r>
      <w:r w:rsidR="008C51BA" w:rsidRPr="00EA375D">
        <w:rPr>
          <w:szCs w:val="24"/>
        </w:rPr>
        <w:t>, E</w:t>
      </w:r>
      <w:r w:rsidR="00846466" w:rsidRPr="00EA375D">
        <w:rPr>
          <w:szCs w:val="24"/>
        </w:rPr>
        <w:t>3</w:t>
      </w:r>
      <w:r w:rsidR="008C51BA" w:rsidRPr="00EA375D">
        <w:rPr>
          <w:szCs w:val="24"/>
        </w:rPr>
        <w:t xml:space="preserve">, </w:t>
      </w:r>
      <w:r w:rsidR="00846466" w:rsidRPr="00EA375D">
        <w:rPr>
          <w:szCs w:val="24"/>
        </w:rPr>
        <w:t>E6, F3, F</w:t>
      </w:r>
      <w:r w:rsidR="008C51BA" w:rsidRPr="00EA375D">
        <w:rPr>
          <w:szCs w:val="24"/>
        </w:rPr>
        <w:t>5</w:t>
      </w:r>
      <w:r w:rsidR="00846466" w:rsidRPr="00C94515">
        <w:rPr>
          <w:szCs w:val="24"/>
        </w:rPr>
        <w:t>, F6, F9</w:t>
      </w:r>
      <w:r w:rsidR="00C94515" w:rsidRPr="00C94515">
        <w:rPr>
          <w:szCs w:val="24"/>
        </w:rPr>
        <w:t>, G4</w:t>
      </w:r>
      <w:r w:rsidR="006F0249" w:rsidRPr="00C94515">
        <w:rPr>
          <w:szCs w:val="24"/>
        </w:rPr>
        <w:t>)</w:t>
      </w:r>
      <w:r w:rsidR="0062280A" w:rsidRPr="00C94515">
        <w:rPr>
          <w:szCs w:val="24"/>
        </w:rPr>
        <w:t>;</w:t>
      </w:r>
      <w:r w:rsidR="00562E04" w:rsidRPr="00C94515">
        <w:rPr>
          <w:szCs w:val="24"/>
        </w:rPr>
        <w:t xml:space="preserve"> </w:t>
      </w:r>
    </w:p>
    <w:p w14:paraId="466C6A7D" w14:textId="136DC76E" w:rsidR="00562E04" w:rsidRPr="00C94515" w:rsidRDefault="000F704B" w:rsidP="0020370D">
      <w:pPr>
        <w:pStyle w:val="ListParagraph"/>
        <w:numPr>
          <w:ilvl w:val="0"/>
          <w:numId w:val="25"/>
        </w:numPr>
        <w:rPr>
          <w:szCs w:val="24"/>
        </w:rPr>
      </w:pPr>
      <w:commentRangeStart w:id="75"/>
      <w:r w:rsidRPr="008E0367">
        <w:rPr>
          <w:szCs w:val="24"/>
        </w:rPr>
        <w:t>F</w:t>
      </w:r>
      <w:r w:rsidR="0062280A" w:rsidRPr="008E0367">
        <w:rPr>
          <w:szCs w:val="24"/>
        </w:rPr>
        <w:t xml:space="preserve">ollow-up with nonresponders via </w:t>
      </w:r>
      <w:commentRangeStart w:id="76"/>
      <w:r w:rsidR="0062280A" w:rsidRPr="008E0367">
        <w:rPr>
          <w:szCs w:val="24"/>
        </w:rPr>
        <w:t>telephone</w:t>
      </w:r>
      <w:r w:rsidR="00562E04" w:rsidRPr="008E0367">
        <w:rPr>
          <w:szCs w:val="24"/>
        </w:rPr>
        <w:t xml:space="preserve"> </w:t>
      </w:r>
      <w:commentRangeEnd w:id="76"/>
      <w:r w:rsidR="00A30D82">
        <w:rPr>
          <w:rStyle w:val="CommentReference"/>
          <w:spacing w:val="0"/>
        </w:rPr>
        <w:commentReference w:id="76"/>
      </w:r>
      <w:r w:rsidR="00562E04" w:rsidRPr="008E0367">
        <w:rPr>
          <w:szCs w:val="24"/>
        </w:rPr>
        <w:t xml:space="preserve">if the response rates are </w:t>
      </w:r>
      <w:r w:rsidR="00562E04" w:rsidRPr="00C94515">
        <w:rPr>
          <w:szCs w:val="24"/>
        </w:rPr>
        <w:t>low</w:t>
      </w:r>
      <w:r w:rsidR="006F0249" w:rsidRPr="00C94515">
        <w:rPr>
          <w:szCs w:val="24"/>
        </w:rPr>
        <w:t xml:space="preserve"> (</w:t>
      </w:r>
      <w:r w:rsidR="006F0249" w:rsidRPr="00EA375D">
        <w:rPr>
          <w:szCs w:val="24"/>
        </w:rPr>
        <w:t xml:space="preserve">Appendices </w:t>
      </w:r>
      <w:r w:rsidR="008C51BA" w:rsidRPr="00EA375D">
        <w:rPr>
          <w:szCs w:val="24"/>
        </w:rPr>
        <w:t>D4, D1</w:t>
      </w:r>
      <w:r w:rsidR="00C94515" w:rsidRPr="00EA375D">
        <w:rPr>
          <w:szCs w:val="24"/>
        </w:rPr>
        <w:t>0, D14</w:t>
      </w:r>
      <w:r w:rsidR="008C51BA" w:rsidRPr="00EA375D">
        <w:rPr>
          <w:szCs w:val="24"/>
        </w:rPr>
        <w:t>,</w:t>
      </w:r>
      <w:r w:rsidR="00C94515" w:rsidRPr="00EA375D">
        <w:rPr>
          <w:szCs w:val="24"/>
        </w:rPr>
        <w:t xml:space="preserve"> E4, E7, F4, F7, F10, G6</w:t>
      </w:r>
      <w:r w:rsidR="006F0249" w:rsidRPr="00EA375D">
        <w:rPr>
          <w:szCs w:val="24"/>
        </w:rPr>
        <w:t>)</w:t>
      </w:r>
      <w:r w:rsidR="006F0249" w:rsidRPr="00C94515">
        <w:rPr>
          <w:szCs w:val="24"/>
        </w:rPr>
        <w:t>;</w:t>
      </w:r>
      <w:commentRangeEnd w:id="75"/>
      <w:r w:rsidR="004E3911">
        <w:rPr>
          <w:rStyle w:val="CommentReference"/>
          <w:spacing w:val="0"/>
        </w:rPr>
        <w:commentReference w:id="75"/>
      </w:r>
    </w:p>
    <w:p w14:paraId="284AE7C7" w14:textId="7EB14CEF" w:rsidR="00562E04" w:rsidRPr="008E0367" w:rsidRDefault="00562E04" w:rsidP="0020370D">
      <w:pPr>
        <w:pStyle w:val="ListParagraph"/>
        <w:numPr>
          <w:ilvl w:val="0"/>
          <w:numId w:val="25"/>
        </w:numPr>
        <w:rPr>
          <w:szCs w:val="24"/>
        </w:rPr>
      </w:pPr>
      <w:r w:rsidRPr="008E0367">
        <w:rPr>
          <w:szCs w:val="24"/>
        </w:rPr>
        <w:t>Make multiple call attempts</w:t>
      </w:r>
      <w:r w:rsidR="000457D7" w:rsidRPr="008E0367">
        <w:rPr>
          <w:szCs w:val="24"/>
        </w:rPr>
        <w:t>—up to six—</w:t>
      </w:r>
      <w:r w:rsidRPr="008E0367">
        <w:rPr>
          <w:szCs w:val="24"/>
        </w:rPr>
        <w:t>to</w:t>
      </w:r>
      <w:r w:rsidR="000457D7" w:rsidRPr="008E0367">
        <w:rPr>
          <w:szCs w:val="24"/>
        </w:rPr>
        <w:t xml:space="preserve"> </w:t>
      </w:r>
      <w:r w:rsidRPr="008E0367">
        <w:rPr>
          <w:szCs w:val="24"/>
        </w:rPr>
        <w:t>a number without reaching someone before considering whether to treat the case as “unable to contact”</w:t>
      </w:r>
      <w:r w:rsidR="00C94515">
        <w:rPr>
          <w:szCs w:val="24"/>
        </w:rPr>
        <w:t>;</w:t>
      </w:r>
    </w:p>
    <w:p w14:paraId="75869B1C" w14:textId="06232EF3" w:rsidR="00562E04" w:rsidRPr="008E0367" w:rsidRDefault="00562E04" w:rsidP="0020370D">
      <w:pPr>
        <w:pStyle w:val="ListParagraph"/>
        <w:numPr>
          <w:ilvl w:val="0"/>
          <w:numId w:val="25"/>
        </w:numPr>
        <w:rPr>
          <w:szCs w:val="24"/>
        </w:rPr>
      </w:pPr>
      <w:r w:rsidRPr="008E0367">
        <w:rPr>
          <w:szCs w:val="24"/>
        </w:rPr>
        <w:t xml:space="preserve">Provide a toll-free number for respondents to call to verify the study’s legitimacy or to ask </w:t>
      </w:r>
      <w:r w:rsidR="00231B94" w:rsidRPr="008E0367">
        <w:rPr>
          <w:szCs w:val="24"/>
        </w:rPr>
        <w:t>other questions about the study; and</w:t>
      </w:r>
    </w:p>
    <w:p w14:paraId="2ABD7B20" w14:textId="512E3A7D" w:rsidR="00562E04" w:rsidRPr="008E0367" w:rsidRDefault="00562E04" w:rsidP="0020370D">
      <w:pPr>
        <w:pStyle w:val="ListParagraph"/>
        <w:numPr>
          <w:ilvl w:val="0"/>
          <w:numId w:val="25"/>
        </w:numPr>
        <w:rPr>
          <w:szCs w:val="24"/>
        </w:rPr>
      </w:pPr>
      <w:r w:rsidRPr="008E0367">
        <w:rPr>
          <w:szCs w:val="24"/>
        </w:rPr>
        <w:t>Implement standardized training for telephone data collectors.</w:t>
      </w:r>
    </w:p>
    <w:p w14:paraId="42A098AF" w14:textId="094942F4" w:rsidR="00562E04" w:rsidRPr="00012AB5" w:rsidRDefault="00562E04" w:rsidP="0020370D">
      <w:pPr>
        <w:tabs>
          <w:tab w:val="left" w:pos="-720"/>
        </w:tabs>
        <w:suppressAutoHyphens/>
        <w:spacing w:line="480" w:lineRule="auto"/>
        <w:rPr>
          <w:szCs w:val="24"/>
        </w:rPr>
      </w:pPr>
      <w:r w:rsidRPr="00012AB5">
        <w:rPr>
          <w:b/>
          <w:szCs w:val="24"/>
        </w:rPr>
        <w:t>Nonresponse Bias Analysis</w:t>
      </w:r>
    </w:p>
    <w:p w14:paraId="7865BBCC" w14:textId="3035B981" w:rsidR="00AF17CF" w:rsidRDefault="00D979B7" w:rsidP="0020370D">
      <w:pPr>
        <w:tabs>
          <w:tab w:val="left" w:pos="-720"/>
        </w:tabs>
        <w:suppressAutoHyphens/>
        <w:spacing w:line="480" w:lineRule="auto"/>
        <w:rPr>
          <w:szCs w:val="24"/>
        </w:rPr>
      </w:pPr>
      <w:r>
        <w:rPr>
          <w:szCs w:val="24"/>
        </w:rPr>
        <w:tab/>
      </w:r>
      <w:r w:rsidR="00562E04" w:rsidRPr="008E0367">
        <w:rPr>
          <w:szCs w:val="24"/>
        </w:rPr>
        <w:t>Although efforts will be made to achieve as high a response rate as practicable with the available resources, nontrivial nonresponse losses are likely to occur</w:t>
      </w:r>
      <w:r w:rsidR="00AF17CF">
        <w:rPr>
          <w:szCs w:val="24"/>
        </w:rPr>
        <w:t>, and</w:t>
      </w:r>
      <w:r w:rsidR="00562E04" w:rsidRPr="008E0367">
        <w:rPr>
          <w:szCs w:val="24"/>
        </w:rPr>
        <w:t xml:space="preserve"> a nonresponse bias analysis will be conducted to assess the impact of nonresponse on the survey estimates and the effectiveness of the weight adjustments to dampen potential nonresponse biases. Nonresponse bias analysis will be performed for variables that are available </w:t>
      </w:r>
      <w:r w:rsidR="00231B94" w:rsidRPr="008E0367">
        <w:rPr>
          <w:szCs w:val="24"/>
        </w:rPr>
        <w:t>for both</w:t>
      </w:r>
      <w:r w:rsidR="00562E04" w:rsidRPr="008E0367">
        <w:rPr>
          <w:szCs w:val="24"/>
        </w:rPr>
        <w:t xml:space="preserve"> re</w:t>
      </w:r>
      <w:r w:rsidR="00231B94" w:rsidRPr="008E0367">
        <w:rPr>
          <w:szCs w:val="24"/>
        </w:rPr>
        <w:t>spondents and non-respondents.</w:t>
      </w:r>
      <w:r w:rsidR="005476A1" w:rsidRPr="008E0367">
        <w:rPr>
          <w:szCs w:val="24"/>
        </w:rPr>
        <w:t xml:space="preserve"> </w:t>
      </w:r>
      <w:r w:rsidR="00AF17CF" w:rsidRPr="008E0367">
        <w:rPr>
          <w:szCs w:val="24"/>
        </w:rPr>
        <w:t>In addition, we will geocode sites, sponsors, and caregiver addresses and merge in community-level data at the census tract-level from the American Community Survey. The merged data will provide community-level information on geography (e.g., urbanicity), demographic characteristics (e.g., percent of households living at or below poverty, percent of households with children), and economic characteristics (e.g., percent of unemployed households).</w:t>
      </w:r>
    </w:p>
    <w:p w14:paraId="09406F05" w14:textId="48053B56" w:rsidR="005476A1" w:rsidRPr="008E0367" w:rsidRDefault="00D979B7" w:rsidP="0020370D">
      <w:pPr>
        <w:tabs>
          <w:tab w:val="left" w:pos="-720"/>
        </w:tabs>
        <w:suppressAutoHyphens/>
        <w:spacing w:line="480" w:lineRule="auto"/>
        <w:rPr>
          <w:szCs w:val="24"/>
        </w:rPr>
      </w:pPr>
      <w:r>
        <w:rPr>
          <w:szCs w:val="24"/>
        </w:rPr>
        <w:tab/>
      </w:r>
      <w:r w:rsidR="005476A1" w:rsidRPr="008E0367">
        <w:rPr>
          <w:szCs w:val="24"/>
        </w:rPr>
        <w:t xml:space="preserve">We will compare responding and nonresponding sponsors, sites, and caregivers on basic characteristics from </w:t>
      </w:r>
      <w:r w:rsidR="001D1DC0" w:rsidRPr="008E0367">
        <w:rPr>
          <w:szCs w:val="24"/>
        </w:rPr>
        <w:t>summer meal</w:t>
      </w:r>
      <w:r w:rsidR="005476A1" w:rsidRPr="008E0367">
        <w:rPr>
          <w:szCs w:val="24"/>
        </w:rPr>
        <w:t xml:space="preserve"> program data</w:t>
      </w:r>
      <w:r w:rsidR="001D1DC0" w:rsidRPr="008E0367">
        <w:rPr>
          <w:szCs w:val="24"/>
        </w:rPr>
        <w:t xml:space="preserve"> provided by </w:t>
      </w:r>
      <w:r w:rsidR="00E92355" w:rsidRPr="008E0367">
        <w:rPr>
          <w:szCs w:val="24"/>
        </w:rPr>
        <w:t>State</w:t>
      </w:r>
      <w:r w:rsidR="001D1DC0" w:rsidRPr="008E0367">
        <w:rPr>
          <w:szCs w:val="24"/>
        </w:rPr>
        <w:t>s</w:t>
      </w:r>
      <w:r w:rsidR="00AF17CF">
        <w:rPr>
          <w:szCs w:val="24"/>
        </w:rPr>
        <w:t xml:space="preserve"> as well as relevant variables from the ACS</w:t>
      </w:r>
      <w:r w:rsidR="005476A1" w:rsidRPr="008E0367">
        <w:rPr>
          <w:szCs w:val="24"/>
        </w:rPr>
        <w:t>. For sponsors, we will examine potential differences in sponsor type, number of sites operated by sponsors, and number of meals served. For sites</w:t>
      </w:r>
      <w:r w:rsidR="001D1DC0" w:rsidRPr="008E0367">
        <w:rPr>
          <w:szCs w:val="24"/>
        </w:rPr>
        <w:t xml:space="preserve"> and caregivers</w:t>
      </w:r>
      <w:r w:rsidR="005476A1" w:rsidRPr="008E0367">
        <w:rPr>
          <w:szCs w:val="24"/>
        </w:rPr>
        <w:t>, we will examine potential differences in site type, length of program operations, types of meals served, number of meals served</w:t>
      </w:r>
      <w:r w:rsidR="00AF17CF">
        <w:rPr>
          <w:szCs w:val="24"/>
        </w:rPr>
        <w:t>, and community-level geographic, demographic, and economic characteristics.</w:t>
      </w:r>
    </w:p>
    <w:p w14:paraId="260E4C04" w14:textId="0EBA6680" w:rsidR="00562E04" w:rsidRPr="008E0367" w:rsidRDefault="00D979B7" w:rsidP="0020370D">
      <w:pPr>
        <w:tabs>
          <w:tab w:val="left" w:pos="-720"/>
        </w:tabs>
        <w:suppressAutoHyphens/>
        <w:spacing w:line="480" w:lineRule="auto"/>
        <w:rPr>
          <w:szCs w:val="24"/>
        </w:rPr>
      </w:pPr>
      <w:r>
        <w:rPr>
          <w:szCs w:val="24"/>
        </w:rPr>
        <w:tab/>
      </w:r>
      <w:r w:rsidR="00562E04" w:rsidRPr="008E0367">
        <w:rPr>
          <w:szCs w:val="24"/>
        </w:rPr>
        <w:t xml:space="preserve">The types of analyses to be conducted to evaluate nonresponse </w:t>
      </w:r>
      <w:r w:rsidR="00AF17CF">
        <w:rPr>
          <w:szCs w:val="24"/>
        </w:rPr>
        <w:t xml:space="preserve">for sponsors, sites, and caregivers </w:t>
      </w:r>
      <w:r w:rsidR="00562E04" w:rsidRPr="008E0367">
        <w:rPr>
          <w:szCs w:val="24"/>
        </w:rPr>
        <w:t>will include:</w:t>
      </w:r>
    </w:p>
    <w:p w14:paraId="37CB514B" w14:textId="627501FC" w:rsidR="00562E04" w:rsidRDefault="00562E04" w:rsidP="0020370D">
      <w:pPr>
        <w:pStyle w:val="ListParagraph"/>
        <w:numPr>
          <w:ilvl w:val="0"/>
          <w:numId w:val="26"/>
        </w:numPr>
        <w:rPr>
          <w:szCs w:val="24"/>
        </w:rPr>
      </w:pPr>
      <w:r w:rsidRPr="008E0367">
        <w:rPr>
          <w:szCs w:val="24"/>
        </w:rPr>
        <w:t>Evaluating</w:t>
      </w:r>
      <w:r w:rsidR="00231B94" w:rsidRPr="008E0367">
        <w:rPr>
          <w:szCs w:val="24"/>
        </w:rPr>
        <w:t xml:space="preserve"> </w:t>
      </w:r>
      <w:r w:rsidR="00854E04" w:rsidRPr="008E0367">
        <w:rPr>
          <w:szCs w:val="24"/>
        </w:rPr>
        <w:t>differences</w:t>
      </w:r>
      <w:r w:rsidRPr="008E0367">
        <w:rPr>
          <w:szCs w:val="24"/>
        </w:rPr>
        <w:t xml:space="preserve"> found between survey respondents </w:t>
      </w:r>
      <w:r w:rsidR="00231B94" w:rsidRPr="008E0367">
        <w:rPr>
          <w:szCs w:val="24"/>
        </w:rPr>
        <w:t xml:space="preserve">and nonrespondents using </w:t>
      </w:r>
      <w:r w:rsidRPr="008E0367">
        <w:rPr>
          <w:szCs w:val="24"/>
        </w:rPr>
        <w:t>data from extant outside sources</w:t>
      </w:r>
      <w:r w:rsidR="00231B94" w:rsidRPr="008E0367">
        <w:rPr>
          <w:szCs w:val="24"/>
        </w:rPr>
        <w:t xml:space="preserve"> (e.g., </w:t>
      </w:r>
      <w:r w:rsidR="00854E04" w:rsidRPr="008E0367">
        <w:rPr>
          <w:szCs w:val="24"/>
        </w:rPr>
        <w:t xml:space="preserve">summer meal program data, </w:t>
      </w:r>
      <w:r w:rsidR="00231B94" w:rsidRPr="008E0367">
        <w:rPr>
          <w:szCs w:val="24"/>
        </w:rPr>
        <w:t>American Community Survey</w:t>
      </w:r>
      <w:r w:rsidR="00AF17CF">
        <w:rPr>
          <w:szCs w:val="24"/>
        </w:rPr>
        <w:t xml:space="preserve"> data</w:t>
      </w:r>
      <w:r w:rsidR="00231B94" w:rsidRPr="008E0367">
        <w:rPr>
          <w:szCs w:val="24"/>
        </w:rPr>
        <w:t>)</w:t>
      </w:r>
      <w:r w:rsidRPr="008E0367">
        <w:rPr>
          <w:szCs w:val="24"/>
        </w:rPr>
        <w:t>;</w:t>
      </w:r>
    </w:p>
    <w:p w14:paraId="64B7440C" w14:textId="3440BD54" w:rsidR="00AF17CF" w:rsidRPr="00AF17CF" w:rsidRDefault="00AF17CF" w:rsidP="00AF17CF">
      <w:pPr>
        <w:pStyle w:val="ListParagraph"/>
        <w:numPr>
          <w:ilvl w:val="0"/>
          <w:numId w:val="26"/>
        </w:numPr>
        <w:rPr>
          <w:szCs w:val="24"/>
        </w:rPr>
      </w:pPr>
      <w:r w:rsidRPr="008E0367">
        <w:rPr>
          <w:szCs w:val="24"/>
        </w:rPr>
        <w:t>Comparing weighted estimates of characteristics available for both respondents and nonrespondents using unadjusted (base) weights versus nonresponse-adjusted weights</w:t>
      </w:r>
      <w:r w:rsidR="005C0BF7">
        <w:rPr>
          <w:szCs w:val="24"/>
        </w:rPr>
        <w:t xml:space="preserve">; </w:t>
      </w:r>
    </w:p>
    <w:p w14:paraId="3E9511BC" w14:textId="0FB18598" w:rsidR="00562E04" w:rsidRPr="008E0367" w:rsidRDefault="00562E04" w:rsidP="0020370D">
      <w:pPr>
        <w:pStyle w:val="ListParagraph"/>
        <w:numPr>
          <w:ilvl w:val="0"/>
          <w:numId w:val="26"/>
        </w:numPr>
        <w:rPr>
          <w:szCs w:val="24"/>
        </w:rPr>
      </w:pPr>
      <w:r w:rsidRPr="008E0367">
        <w:rPr>
          <w:szCs w:val="24"/>
        </w:rPr>
        <w:t xml:space="preserve">Comparing </w:t>
      </w:r>
      <w:r w:rsidR="00AF17CF">
        <w:rPr>
          <w:szCs w:val="24"/>
        </w:rPr>
        <w:t>characteristics of respondents providing</w:t>
      </w:r>
      <w:r w:rsidRPr="008E0367">
        <w:rPr>
          <w:szCs w:val="24"/>
        </w:rPr>
        <w:t xml:space="preserve"> completed </w:t>
      </w:r>
      <w:r w:rsidR="00AF17CF">
        <w:rPr>
          <w:szCs w:val="24"/>
        </w:rPr>
        <w:t xml:space="preserve">data </w:t>
      </w:r>
      <w:r w:rsidRPr="008E0367">
        <w:rPr>
          <w:szCs w:val="24"/>
        </w:rPr>
        <w:t>at different levels of data collection effort (e.g., cases completed with limited follow-up compared to those requiring considerable follow-up)</w:t>
      </w:r>
      <w:r w:rsidR="001E5604">
        <w:rPr>
          <w:szCs w:val="24"/>
        </w:rPr>
        <w:t>.</w:t>
      </w:r>
    </w:p>
    <w:p w14:paraId="759EB16F" w14:textId="4A071AFC" w:rsidR="00377E4A" w:rsidRPr="008E0367" w:rsidRDefault="006F021F" w:rsidP="00F56893">
      <w:pPr>
        <w:pStyle w:val="Heading1"/>
      </w:pPr>
      <w:bookmarkStart w:id="77" w:name="_Toc329341130"/>
      <w:bookmarkStart w:id="78" w:name="_Toc400377755"/>
      <w:bookmarkStart w:id="79" w:name="_Toc409090906"/>
      <w:bookmarkStart w:id="80" w:name="_Toc492882813"/>
      <w:bookmarkStart w:id="81" w:name="_Toc505263872"/>
      <w:r>
        <w:t>B.4 Test</w:t>
      </w:r>
      <w:r w:rsidR="00377E4A" w:rsidRPr="008E0367">
        <w:t xml:space="preserve"> of Procedures or Methods to be Undertaken</w:t>
      </w:r>
      <w:bookmarkEnd w:id="77"/>
      <w:bookmarkEnd w:id="78"/>
      <w:bookmarkEnd w:id="79"/>
      <w:bookmarkEnd w:id="80"/>
      <w:bookmarkEnd w:id="81"/>
    </w:p>
    <w:p w14:paraId="4A4F6761" w14:textId="77777777" w:rsidR="00F56893" w:rsidRDefault="00F56893" w:rsidP="0020370D">
      <w:pPr>
        <w:widowControl/>
        <w:tabs>
          <w:tab w:val="left" w:pos="1152"/>
        </w:tabs>
        <w:overflowPunct/>
        <w:autoSpaceDE/>
        <w:autoSpaceDN/>
        <w:adjustRightInd/>
        <w:spacing w:line="480" w:lineRule="auto"/>
        <w:textAlignment w:val="auto"/>
        <w:rPr>
          <w:b/>
          <w:szCs w:val="24"/>
        </w:rPr>
      </w:pPr>
    </w:p>
    <w:p w14:paraId="6409E4BC" w14:textId="437067EA" w:rsidR="00377E4A" w:rsidRPr="008E0367" w:rsidRDefault="00377E4A" w:rsidP="00F56893">
      <w:pPr>
        <w:widowControl/>
        <w:tabs>
          <w:tab w:val="left" w:pos="1152"/>
        </w:tabs>
        <w:overflowPunct/>
        <w:autoSpaceDE/>
        <w:autoSpaceDN/>
        <w:adjustRightInd/>
        <w:textAlignment w:val="auto"/>
        <w:rPr>
          <w:b/>
          <w:szCs w:val="24"/>
        </w:rPr>
      </w:pPr>
      <w:r w:rsidRPr="008E0367">
        <w:rPr>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238A043" w14:textId="77777777" w:rsidR="00CA5FD8" w:rsidRPr="008E0367" w:rsidRDefault="00CA5FD8" w:rsidP="0020370D">
      <w:pPr>
        <w:tabs>
          <w:tab w:val="left" w:pos="-720"/>
        </w:tabs>
        <w:suppressAutoHyphens/>
        <w:spacing w:line="480" w:lineRule="auto"/>
        <w:rPr>
          <w:szCs w:val="24"/>
        </w:rPr>
      </w:pPr>
    </w:p>
    <w:p w14:paraId="122BD7AD" w14:textId="6AEC6653" w:rsidR="00F704C3" w:rsidRPr="00F704C3" w:rsidRDefault="00D979B7" w:rsidP="00F704C3">
      <w:pPr>
        <w:tabs>
          <w:tab w:val="left" w:pos="-720"/>
        </w:tabs>
        <w:suppressAutoHyphens/>
        <w:spacing w:line="480" w:lineRule="auto"/>
        <w:rPr>
          <w:szCs w:val="24"/>
        </w:rPr>
      </w:pPr>
      <w:r>
        <w:rPr>
          <w:szCs w:val="24"/>
        </w:rPr>
        <w:tab/>
      </w:r>
      <w:r w:rsidR="00551DAE" w:rsidRPr="008E0367">
        <w:rPr>
          <w:szCs w:val="24"/>
        </w:rPr>
        <w:t xml:space="preserve">All data collection instruments </w:t>
      </w:r>
      <w:r w:rsidR="008551DD" w:rsidRPr="008E0367">
        <w:rPr>
          <w:szCs w:val="24"/>
        </w:rPr>
        <w:t xml:space="preserve">were pre-tested under </w:t>
      </w:r>
      <w:r w:rsidR="00FD00C3" w:rsidRPr="008E0367">
        <w:rPr>
          <w:szCs w:val="24"/>
        </w:rPr>
        <w:t xml:space="preserve">FNS Generic Clearance For Pre-Testing, Pilot, And Field Test Studies, </w:t>
      </w:r>
      <w:r w:rsidR="008551DD" w:rsidRPr="008E0367">
        <w:rPr>
          <w:szCs w:val="24"/>
        </w:rPr>
        <w:t>OMB Control Number 0584-0606</w:t>
      </w:r>
      <w:r w:rsidR="00FD00C3" w:rsidRPr="008E0367">
        <w:rPr>
          <w:szCs w:val="24"/>
        </w:rPr>
        <w:t xml:space="preserve"> (expiration 03/31/2019)</w:t>
      </w:r>
      <w:r w:rsidR="008551DD" w:rsidRPr="008E0367">
        <w:rPr>
          <w:szCs w:val="24"/>
        </w:rPr>
        <w:t xml:space="preserve">. Pre-testing </w:t>
      </w:r>
      <w:r w:rsidR="00395746" w:rsidRPr="008E0367">
        <w:rPr>
          <w:szCs w:val="24"/>
        </w:rPr>
        <w:t xml:space="preserve">began </w:t>
      </w:r>
      <w:r w:rsidR="00395746" w:rsidRPr="003F4D87">
        <w:rPr>
          <w:szCs w:val="24"/>
        </w:rPr>
        <w:t xml:space="preserve">on </w:t>
      </w:r>
      <w:r w:rsidR="003F4D87" w:rsidRPr="00FA7E24">
        <w:rPr>
          <w:szCs w:val="24"/>
        </w:rPr>
        <w:t>08</w:t>
      </w:r>
      <w:r w:rsidR="00395746" w:rsidRPr="00FA7E24">
        <w:rPr>
          <w:szCs w:val="24"/>
        </w:rPr>
        <w:t>/</w:t>
      </w:r>
      <w:r w:rsidR="003F4D87" w:rsidRPr="00FA7E24">
        <w:rPr>
          <w:szCs w:val="24"/>
        </w:rPr>
        <w:t>04</w:t>
      </w:r>
      <w:r w:rsidR="00395746" w:rsidRPr="00FA7E24">
        <w:rPr>
          <w:szCs w:val="24"/>
        </w:rPr>
        <w:t>/</w:t>
      </w:r>
      <w:r w:rsidR="003F4D87" w:rsidRPr="003F4D87">
        <w:rPr>
          <w:szCs w:val="24"/>
        </w:rPr>
        <w:t>2017</w:t>
      </w:r>
      <w:r w:rsidR="003F4D87" w:rsidRPr="008E0367">
        <w:rPr>
          <w:szCs w:val="24"/>
        </w:rPr>
        <w:t xml:space="preserve"> </w:t>
      </w:r>
      <w:r w:rsidR="00395746" w:rsidRPr="008E0367">
        <w:rPr>
          <w:szCs w:val="24"/>
        </w:rPr>
        <w:t xml:space="preserve">and </w:t>
      </w:r>
      <w:r w:rsidR="008551DD" w:rsidRPr="008E0367">
        <w:rPr>
          <w:szCs w:val="24"/>
        </w:rPr>
        <w:t xml:space="preserve">was completed on </w:t>
      </w:r>
      <w:r w:rsidR="00B95621">
        <w:rPr>
          <w:szCs w:val="24"/>
        </w:rPr>
        <w:t xml:space="preserve">9/29/17. </w:t>
      </w:r>
      <w:r w:rsidR="00F704C3" w:rsidRPr="00F704C3">
        <w:rPr>
          <w:szCs w:val="24"/>
        </w:rPr>
        <w:t>Specific pretest objectives included identifying problems related to communicating intent or meaning of questions and concepts; determining whether respondents could accurately provide the information requested; and assessing the adequacy of the range of responses. Pretests were conducted with respondents from the target population for each instrument (e.g., sponsors, site supervisors, caregivers of participants, teens, etc</w:t>
      </w:r>
      <w:r w:rsidR="00F704C3">
        <w:rPr>
          <w:szCs w:val="24"/>
        </w:rPr>
        <w:t>.</w:t>
      </w:r>
      <w:r w:rsidR="00F704C3" w:rsidRPr="00F704C3">
        <w:rPr>
          <w:szCs w:val="24"/>
        </w:rPr>
        <w:t xml:space="preserve">). In total, 64 interviews were conducted across 52 respondents. The pretest interview protocols may be found in Appendix H. </w:t>
      </w:r>
    </w:p>
    <w:p w14:paraId="36FDBDA6" w14:textId="77777777" w:rsidR="00F704C3" w:rsidRPr="00F704C3" w:rsidRDefault="00F704C3" w:rsidP="00F704C3">
      <w:pPr>
        <w:tabs>
          <w:tab w:val="left" w:pos="-720"/>
        </w:tabs>
        <w:suppressAutoHyphens/>
        <w:spacing w:line="480" w:lineRule="auto"/>
        <w:rPr>
          <w:szCs w:val="24"/>
        </w:rPr>
      </w:pPr>
      <w:r w:rsidRPr="00F704C3">
        <w:rPr>
          <w:szCs w:val="24"/>
        </w:rPr>
        <w:tab/>
        <w:t xml:space="preserve">Several revisions were made to draft instruments as a result of the pretests, including: </w:t>
      </w:r>
    </w:p>
    <w:p w14:paraId="3F614CD1" w14:textId="19DE0305" w:rsidR="00F704C3" w:rsidRPr="00F704C3" w:rsidRDefault="00F704C3" w:rsidP="001E5604">
      <w:pPr>
        <w:pStyle w:val="ListParagraph"/>
        <w:numPr>
          <w:ilvl w:val="0"/>
          <w:numId w:val="27"/>
        </w:numPr>
        <w:rPr>
          <w:szCs w:val="24"/>
        </w:rPr>
      </w:pPr>
      <w:r w:rsidRPr="00F704C3">
        <w:rPr>
          <w:szCs w:val="24"/>
        </w:rPr>
        <w:t>Adding reference to site address to improve recognition of the sampled site</w:t>
      </w:r>
      <w:r>
        <w:rPr>
          <w:szCs w:val="24"/>
        </w:rPr>
        <w:t>;</w:t>
      </w:r>
    </w:p>
    <w:p w14:paraId="12CCBAA8" w14:textId="346F287D" w:rsidR="00F704C3" w:rsidRPr="00F704C3" w:rsidRDefault="00F704C3" w:rsidP="001E5604">
      <w:pPr>
        <w:pStyle w:val="ListParagraph"/>
        <w:numPr>
          <w:ilvl w:val="0"/>
          <w:numId w:val="27"/>
        </w:numPr>
        <w:rPr>
          <w:szCs w:val="24"/>
        </w:rPr>
      </w:pPr>
      <w:r w:rsidRPr="00F704C3">
        <w:rPr>
          <w:szCs w:val="24"/>
        </w:rPr>
        <w:t>For sponsor and site materials, emphasizing summer meals since some organizations provide year-round meal service</w:t>
      </w:r>
      <w:r>
        <w:rPr>
          <w:szCs w:val="24"/>
        </w:rPr>
        <w:t>;</w:t>
      </w:r>
    </w:p>
    <w:p w14:paraId="53217282" w14:textId="463CB91A" w:rsidR="00F704C3" w:rsidRPr="00F704C3" w:rsidRDefault="00F704C3" w:rsidP="001E5604">
      <w:pPr>
        <w:pStyle w:val="ListParagraph"/>
        <w:numPr>
          <w:ilvl w:val="0"/>
          <w:numId w:val="27"/>
        </w:numPr>
        <w:rPr>
          <w:szCs w:val="24"/>
        </w:rPr>
      </w:pPr>
      <w:r w:rsidRPr="00F704C3">
        <w:rPr>
          <w:szCs w:val="24"/>
        </w:rPr>
        <w:t>Defining summer program in caregiver materials;</w:t>
      </w:r>
    </w:p>
    <w:p w14:paraId="4532B6E6" w14:textId="29073EDA" w:rsidR="00F704C3" w:rsidRPr="00F704C3" w:rsidRDefault="00F704C3" w:rsidP="001E5604">
      <w:pPr>
        <w:pStyle w:val="ListParagraph"/>
        <w:numPr>
          <w:ilvl w:val="0"/>
          <w:numId w:val="27"/>
        </w:numPr>
        <w:rPr>
          <w:szCs w:val="24"/>
        </w:rPr>
      </w:pPr>
      <w:r w:rsidRPr="00F704C3">
        <w:rPr>
          <w:szCs w:val="24"/>
        </w:rPr>
        <w:t>Specifying that menu output from USDA-approved nutrient analysis software is acceptable</w:t>
      </w:r>
      <w:r>
        <w:rPr>
          <w:szCs w:val="24"/>
        </w:rPr>
        <w:t>;</w:t>
      </w:r>
    </w:p>
    <w:p w14:paraId="459F6EF2" w14:textId="793AB00A" w:rsidR="00F704C3" w:rsidRPr="00F704C3" w:rsidRDefault="00F704C3" w:rsidP="001E5604">
      <w:pPr>
        <w:pStyle w:val="ListParagraph"/>
        <w:numPr>
          <w:ilvl w:val="0"/>
          <w:numId w:val="27"/>
        </w:numPr>
        <w:rPr>
          <w:szCs w:val="24"/>
        </w:rPr>
      </w:pPr>
      <w:r w:rsidRPr="00F704C3">
        <w:rPr>
          <w:szCs w:val="24"/>
        </w:rPr>
        <w:t>Simpl</w:t>
      </w:r>
      <w:r>
        <w:rPr>
          <w:szCs w:val="24"/>
        </w:rPr>
        <w:t>if</w:t>
      </w:r>
      <w:r w:rsidRPr="00F704C3">
        <w:rPr>
          <w:szCs w:val="24"/>
        </w:rPr>
        <w:t>ying and standardizing response options, and reducing the number of responses offered in long lists</w:t>
      </w:r>
      <w:r>
        <w:rPr>
          <w:szCs w:val="24"/>
        </w:rPr>
        <w:t>;</w:t>
      </w:r>
    </w:p>
    <w:p w14:paraId="10700824" w14:textId="25343CAE" w:rsidR="00F704C3" w:rsidRPr="00F704C3" w:rsidRDefault="00F704C3" w:rsidP="001E5604">
      <w:pPr>
        <w:pStyle w:val="ListParagraph"/>
        <w:numPr>
          <w:ilvl w:val="0"/>
          <w:numId w:val="27"/>
        </w:numPr>
        <w:rPr>
          <w:szCs w:val="24"/>
        </w:rPr>
      </w:pPr>
      <w:r w:rsidRPr="00F704C3">
        <w:rPr>
          <w:szCs w:val="24"/>
        </w:rPr>
        <w:t>Removing question and response option grids for household and child/teen surveys whenever possible</w:t>
      </w:r>
      <w:r>
        <w:rPr>
          <w:szCs w:val="24"/>
        </w:rPr>
        <w:t>;</w:t>
      </w:r>
    </w:p>
    <w:p w14:paraId="34F518D5" w14:textId="35771127" w:rsidR="00F704C3" w:rsidRPr="00F704C3" w:rsidRDefault="00F704C3" w:rsidP="001E5604">
      <w:pPr>
        <w:pStyle w:val="ListParagraph"/>
        <w:numPr>
          <w:ilvl w:val="0"/>
          <w:numId w:val="27"/>
        </w:numPr>
        <w:rPr>
          <w:szCs w:val="24"/>
        </w:rPr>
      </w:pPr>
      <w:r w:rsidRPr="00F704C3">
        <w:rPr>
          <w:szCs w:val="24"/>
        </w:rPr>
        <w:t>Combining the participant caregiver and nonparticipant caregiver surveys to create a single caregiver survey with common questions for both respondents, and skip instructions for sections relevant only to participant caregivers or nonparticipant caregivers</w:t>
      </w:r>
      <w:r>
        <w:rPr>
          <w:szCs w:val="24"/>
        </w:rPr>
        <w:t>; and</w:t>
      </w:r>
    </w:p>
    <w:p w14:paraId="1B2D242D" w14:textId="77777777" w:rsidR="00F704C3" w:rsidRDefault="00F704C3" w:rsidP="001E5604">
      <w:pPr>
        <w:pStyle w:val="ListParagraph"/>
        <w:rPr>
          <w:szCs w:val="24"/>
        </w:rPr>
      </w:pPr>
      <w:r w:rsidRPr="00F704C3">
        <w:rPr>
          <w:szCs w:val="24"/>
        </w:rPr>
        <w:t>Combining the teen participant and teen nonparticipant surveys into a single teen survey with skip patterns to direct respondents based on their participation status.</w:t>
      </w:r>
    </w:p>
    <w:p w14:paraId="2E4E1330" w14:textId="77777777" w:rsidR="00F704C3" w:rsidRDefault="00F704C3" w:rsidP="001E5604">
      <w:pPr>
        <w:rPr>
          <w:szCs w:val="24"/>
        </w:rPr>
      </w:pPr>
    </w:p>
    <w:p w14:paraId="6D2238E6" w14:textId="01C8F8EF" w:rsidR="00377E4A" w:rsidRPr="001E5604" w:rsidRDefault="006F021F" w:rsidP="001E5604">
      <w:pPr>
        <w:rPr>
          <w:b/>
          <w:szCs w:val="24"/>
        </w:rPr>
      </w:pPr>
      <w:bookmarkStart w:id="82" w:name="_Toc400377756"/>
      <w:bookmarkStart w:id="83" w:name="_Toc409090907"/>
      <w:bookmarkStart w:id="84" w:name="_Toc492882814"/>
      <w:r w:rsidRPr="001E5604">
        <w:rPr>
          <w:b/>
          <w:szCs w:val="24"/>
        </w:rPr>
        <w:t>B.5 Individuals</w:t>
      </w:r>
      <w:r w:rsidR="00377E4A" w:rsidRPr="001E5604">
        <w:rPr>
          <w:b/>
          <w:szCs w:val="24"/>
        </w:rPr>
        <w:t xml:space="preserve"> Consulted on Statistical Aspects and Individuals Collecting and/or Analyzing Data</w:t>
      </w:r>
      <w:bookmarkEnd w:id="82"/>
      <w:bookmarkEnd w:id="83"/>
      <w:bookmarkEnd w:id="84"/>
    </w:p>
    <w:p w14:paraId="71AC28D6" w14:textId="77777777" w:rsidR="00F56893" w:rsidRPr="00F56893" w:rsidRDefault="00F56893" w:rsidP="00F56893"/>
    <w:p w14:paraId="54EDB6E1" w14:textId="77777777" w:rsidR="00377E4A" w:rsidRPr="008E0367" w:rsidRDefault="00377E4A" w:rsidP="00F56893">
      <w:pPr>
        <w:widowControl/>
        <w:tabs>
          <w:tab w:val="left" w:pos="1152"/>
        </w:tabs>
        <w:overflowPunct/>
        <w:autoSpaceDE/>
        <w:autoSpaceDN/>
        <w:adjustRightInd/>
        <w:textAlignment w:val="auto"/>
        <w:rPr>
          <w:b/>
          <w:szCs w:val="24"/>
        </w:rPr>
      </w:pPr>
      <w:r w:rsidRPr="008E0367">
        <w:rPr>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3E8DC229" w14:textId="77777777" w:rsidR="00377E4A" w:rsidRPr="008E0367" w:rsidRDefault="00377E4A" w:rsidP="0020370D">
      <w:pPr>
        <w:widowControl/>
        <w:tabs>
          <w:tab w:val="left" w:pos="1152"/>
        </w:tabs>
        <w:overflowPunct/>
        <w:autoSpaceDE/>
        <w:autoSpaceDN/>
        <w:adjustRightInd/>
        <w:spacing w:line="480" w:lineRule="auto"/>
        <w:textAlignment w:val="auto"/>
        <w:rPr>
          <w:szCs w:val="24"/>
        </w:rPr>
      </w:pPr>
    </w:p>
    <w:p w14:paraId="668AAA6C" w14:textId="31E57E37" w:rsidR="00562E04" w:rsidRPr="008E0367" w:rsidRDefault="00D979B7" w:rsidP="0020370D">
      <w:pPr>
        <w:widowControl/>
        <w:tabs>
          <w:tab w:val="left" w:pos="432"/>
        </w:tabs>
        <w:overflowPunct/>
        <w:autoSpaceDE/>
        <w:autoSpaceDN/>
        <w:adjustRightInd/>
        <w:spacing w:line="480" w:lineRule="auto"/>
        <w:jc w:val="both"/>
        <w:textAlignment w:val="auto"/>
        <w:rPr>
          <w:szCs w:val="24"/>
        </w:rPr>
      </w:pPr>
      <w:r>
        <w:rPr>
          <w:szCs w:val="24"/>
        </w:rPr>
        <w:tab/>
      </w:r>
      <w:r w:rsidR="00F56893" w:rsidRPr="00F56893">
        <w:rPr>
          <w:szCs w:val="24"/>
        </w:rPr>
        <w:fldChar w:fldCharType="begin"/>
      </w:r>
      <w:r w:rsidR="00F56893" w:rsidRPr="00F56893">
        <w:rPr>
          <w:szCs w:val="24"/>
        </w:rPr>
        <w:instrText xml:space="preserve"> REF _Ref492891160 \h  \* MERGEFORMAT </w:instrText>
      </w:r>
      <w:r w:rsidR="00F56893" w:rsidRPr="00F56893">
        <w:rPr>
          <w:szCs w:val="24"/>
        </w:rPr>
      </w:r>
      <w:r w:rsidR="00F56893" w:rsidRPr="00F56893">
        <w:rPr>
          <w:szCs w:val="24"/>
        </w:rPr>
        <w:fldChar w:fldCharType="separate"/>
      </w:r>
      <w:r w:rsidR="00FD4FBC" w:rsidRPr="00532FAB">
        <w:t xml:space="preserve">Table B5 - </w:t>
      </w:r>
      <w:r w:rsidR="00FD4FBC" w:rsidRPr="00532FAB">
        <w:rPr>
          <w:noProof/>
        </w:rPr>
        <w:t>1</w:t>
      </w:r>
      <w:r w:rsidR="00F56893" w:rsidRPr="00F56893">
        <w:rPr>
          <w:szCs w:val="24"/>
        </w:rPr>
        <w:fldChar w:fldCharType="end"/>
      </w:r>
      <w:r w:rsidR="00F56893" w:rsidRPr="00F56893">
        <w:rPr>
          <w:szCs w:val="24"/>
        </w:rPr>
        <w:t xml:space="preserve"> </w:t>
      </w:r>
      <w:r w:rsidR="00562E04" w:rsidRPr="008E0367">
        <w:rPr>
          <w:szCs w:val="24"/>
        </w:rPr>
        <w:t xml:space="preserve">presents a summary of </w:t>
      </w:r>
      <w:r w:rsidR="000640D7" w:rsidRPr="008E0367">
        <w:rPr>
          <w:szCs w:val="24"/>
        </w:rPr>
        <w:t xml:space="preserve">individuals </w:t>
      </w:r>
      <w:r w:rsidR="00562E04" w:rsidRPr="008E0367">
        <w:rPr>
          <w:szCs w:val="24"/>
        </w:rPr>
        <w:t xml:space="preserve">consulted on statistical aspects of the design. </w:t>
      </w:r>
      <w:r w:rsidR="000457D7" w:rsidRPr="008E0367">
        <w:rPr>
          <w:szCs w:val="24"/>
        </w:rPr>
        <w:t xml:space="preserve">Westat staff </w:t>
      </w:r>
      <w:r w:rsidR="00562E04" w:rsidRPr="008E0367">
        <w:rPr>
          <w:szCs w:val="24"/>
        </w:rPr>
        <w:t>will be responsible for the collection and analysis of the study’s data</w:t>
      </w:r>
      <w:r w:rsidR="000640D7" w:rsidRPr="008E0367">
        <w:rPr>
          <w:szCs w:val="24"/>
        </w:rPr>
        <w:t>, in coordination with FNS</w:t>
      </w:r>
      <w:r w:rsidR="00562E04" w:rsidRPr="008E0367">
        <w:rPr>
          <w:szCs w:val="24"/>
        </w:rPr>
        <w:t xml:space="preserve">. </w:t>
      </w:r>
    </w:p>
    <w:p w14:paraId="70B8E85E" w14:textId="4F961286" w:rsidR="00562E04" w:rsidRPr="008E0367" w:rsidRDefault="004B3DA3" w:rsidP="004B3DA3">
      <w:pPr>
        <w:pStyle w:val="Caption"/>
        <w:rPr>
          <w:b/>
          <w:szCs w:val="24"/>
        </w:rPr>
      </w:pPr>
      <w:bookmarkStart w:id="85" w:name="_Ref492891160"/>
      <w:bookmarkStart w:id="86" w:name="_Toc315969104"/>
      <w:bookmarkStart w:id="87" w:name="_Toc316312723"/>
      <w:bookmarkStart w:id="88" w:name="_Toc318292713"/>
      <w:bookmarkStart w:id="89" w:name="_Toc406501323"/>
      <w:bookmarkStart w:id="90" w:name="_Toc505263883"/>
      <w:r w:rsidRPr="004B3DA3">
        <w:rPr>
          <w:b/>
        </w:rPr>
        <w:t xml:space="preserve">Table B5 - </w:t>
      </w:r>
      <w:r w:rsidRPr="004B3DA3">
        <w:rPr>
          <w:b/>
        </w:rPr>
        <w:fldChar w:fldCharType="begin"/>
      </w:r>
      <w:r w:rsidRPr="004B3DA3">
        <w:rPr>
          <w:b/>
        </w:rPr>
        <w:instrText xml:space="preserve"> SEQ Table_B5_- \* ARABIC </w:instrText>
      </w:r>
      <w:r w:rsidRPr="004B3DA3">
        <w:rPr>
          <w:b/>
        </w:rPr>
        <w:fldChar w:fldCharType="separate"/>
      </w:r>
      <w:r w:rsidR="00FD4FBC">
        <w:rPr>
          <w:b/>
          <w:noProof/>
        </w:rPr>
        <w:t>1</w:t>
      </w:r>
      <w:r w:rsidRPr="004B3DA3">
        <w:rPr>
          <w:b/>
        </w:rPr>
        <w:fldChar w:fldCharType="end"/>
      </w:r>
      <w:bookmarkEnd w:id="85"/>
      <w:r w:rsidR="00562E04" w:rsidRPr="008E0367">
        <w:rPr>
          <w:b/>
          <w:szCs w:val="24"/>
        </w:rPr>
        <w:t>. Individuals Consulted on Data Collection or Analysis</w:t>
      </w:r>
      <w:bookmarkEnd w:id="86"/>
      <w:bookmarkEnd w:id="87"/>
      <w:bookmarkEnd w:id="88"/>
      <w:bookmarkEnd w:id="89"/>
      <w:bookmarkEnd w:id="90"/>
    </w:p>
    <w:tbl>
      <w:tblPr>
        <w:tblW w:w="5000" w:type="pct"/>
        <w:jc w:val="center"/>
        <w:tblCellMar>
          <w:left w:w="115" w:type="dxa"/>
          <w:right w:w="115" w:type="dxa"/>
        </w:tblCellMar>
        <w:tblLook w:val="00A0" w:firstRow="1" w:lastRow="0" w:firstColumn="1" w:lastColumn="0" w:noHBand="0" w:noVBand="0"/>
      </w:tblPr>
      <w:tblGrid>
        <w:gridCol w:w="2766"/>
        <w:gridCol w:w="4005"/>
        <w:gridCol w:w="2819"/>
      </w:tblGrid>
      <w:tr w:rsidR="001A6460" w:rsidRPr="008E0367" w14:paraId="20D6B811" w14:textId="77777777" w:rsidTr="001E5604">
        <w:trPr>
          <w:trHeight w:val="331"/>
          <w:tblHeader/>
          <w:jc w:val="center"/>
        </w:trPr>
        <w:tc>
          <w:tcPr>
            <w:tcW w:w="1442" w:type="pct"/>
            <w:tcBorders>
              <w:top w:val="single" w:sz="4" w:space="0" w:color="auto"/>
              <w:bottom w:val="single" w:sz="4" w:space="0" w:color="auto"/>
            </w:tcBorders>
            <w:shd w:val="clear" w:color="auto" w:fill="808080" w:themeFill="background1" w:themeFillShade="80"/>
            <w:vAlign w:val="center"/>
          </w:tcPr>
          <w:p w14:paraId="10A08CC9" w14:textId="3AD65C0A" w:rsidR="004B3DA3" w:rsidRPr="008E0367" w:rsidRDefault="004B3DA3" w:rsidP="00F56893">
            <w:pPr>
              <w:widowControl/>
              <w:overflowPunct/>
              <w:autoSpaceDE/>
              <w:autoSpaceDN/>
              <w:adjustRightInd/>
              <w:textAlignment w:val="auto"/>
              <w:rPr>
                <w:szCs w:val="24"/>
              </w:rPr>
            </w:pPr>
            <w:r>
              <w:rPr>
                <w:szCs w:val="24"/>
              </w:rPr>
              <w:t>Staff</w:t>
            </w:r>
          </w:p>
        </w:tc>
        <w:tc>
          <w:tcPr>
            <w:tcW w:w="2088" w:type="pct"/>
            <w:tcBorders>
              <w:top w:val="single" w:sz="4" w:space="0" w:color="auto"/>
              <w:bottom w:val="single" w:sz="4" w:space="0" w:color="auto"/>
            </w:tcBorders>
            <w:shd w:val="clear" w:color="auto" w:fill="808080" w:themeFill="background1" w:themeFillShade="80"/>
            <w:vAlign w:val="center"/>
          </w:tcPr>
          <w:p w14:paraId="7A45C592" w14:textId="3472C36A" w:rsidR="004B3DA3" w:rsidRPr="008E0367" w:rsidRDefault="004B3DA3" w:rsidP="00F56893">
            <w:pPr>
              <w:widowControl/>
              <w:overflowPunct/>
              <w:autoSpaceDE/>
              <w:autoSpaceDN/>
              <w:adjustRightInd/>
              <w:textAlignment w:val="auto"/>
              <w:rPr>
                <w:szCs w:val="24"/>
              </w:rPr>
            </w:pPr>
            <w:r>
              <w:rPr>
                <w:szCs w:val="24"/>
              </w:rPr>
              <w:t>Title</w:t>
            </w:r>
          </w:p>
        </w:tc>
        <w:tc>
          <w:tcPr>
            <w:tcW w:w="1470" w:type="pct"/>
            <w:tcBorders>
              <w:top w:val="single" w:sz="4" w:space="0" w:color="auto"/>
              <w:bottom w:val="single" w:sz="4" w:space="0" w:color="auto"/>
            </w:tcBorders>
            <w:shd w:val="clear" w:color="auto" w:fill="808080" w:themeFill="background1" w:themeFillShade="80"/>
            <w:vAlign w:val="center"/>
          </w:tcPr>
          <w:p w14:paraId="61B967F9" w14:textId="667C7DA2" w:rsidR="004B3DA3" w:rsidRPr="008E0367" w:rsidRDefault="004B3DA3" w:rsidP="00F56893">
            <w:pPr>
              <w:widowControl/>
              <w:overflowPunct/>
              <w:autoSpaceDE/>
              <w:autoSpaceDN/>
              <w:adjustRightInd/>
              <w:textAlignment w:val="auto"/>
              <w:rPr>
                <w:szCs w:val="24"/>
              </w:rPr>
            </w:pPr>
            <w:r>
              <w:rPr>
                <w:szCs w:val="24"/>
              </w:rPr>
              <w:t>Contact Information (phone or email)</w:t>
            </w:r>
          </w:p>
        </w:tc>
      </w:tr>
      <w:tr w:rsidR="001A6460" w:rsidRPr="008E0367" w14:paraId="4A7EE52E" w14:textId="77777777" w:rsidTr="001E5604">
        <w:trPr>
          <w:trHeight w:val="331"/>
          <w:jc w:val="center"/>
        </w:trPr>
        <w:tc>
          <w:tcPr>
            <w:tcW w:w="1442" w:type="pct"/>
            <w:tcBorders>
              <w:top w:val="single" w:sz="4" w:space="0" w:color="auto"/>
              <w:bottom w:val="single" w:sz="4" w:space="0" w:color="auto"/>
            </w:tcBorders>
            <w:shd w:val="clear" w:color="auto" w:fill="D9D9D9" w:themeFill="background1" w:themeFillShade="D9"/>
            <w:vAlign w:val="center"/>
          </w:tcPr>
          <w:p w14:paraId="67D5E480" w14:textId="7F0FAE3F" w:rsidR="004B3DA3" w:rsidRPr="008E0367" w:rsidRDefault="004B3DA3" w:rsidP="004B3DA3">
            <w:pPr>
              <w:widowControl/>
              <w:overflowPunct/>
              <w:autoSpaceDE/>
              <w:autoSpaceDN/>
              <w:adjustRightInd/>
              <w:textAlignment w:val="auto"/>
              <w:rPr>
                <w:szCs w:val="24"/>
              </w:rPr>
            </w:pPr>
            <w:r>
              <w:rPr>
                <w:szCs w:val="24"/>
              </w:rPr>
              <w:t>Westat (contractor)</w:t>
            </w:r>
          </w:p>
        </w:tc>
        <w:tc>
          <w:tcPr>
            <w:tcW w:w="2088" w:type="pct"/>
            <w:tcBorders>
              <w:top w:val="single" w:sz="4" w:space="0" w:color="auto"/>
              <w:bottom w:val="single" w:sz="4" w:space="0" w:color="auto"/>
            </w:tcBorders>
            <w:shd w:val="clear" w:color="auto" w:fill="D9D9D9" w:themeFill="background1" w:themeFillShade="D9"/>
          </w:tcPr>
          <w:p w14:paraId="13ABF871" w14:textId="77777777" w:rsidR="004B3DA3" w:rsidRPr="008E0367" w:rsidRDefault="004B3DA3" w:rsidP="004B3DA3">
            <w:pPr>
              <w:widowControl/>
              <w:overflowPunct/>
              <w:autoSpaceDE/>
              <w:autoSpaceDN/>
              <w:adjustRightInd/>
              <w:textAlignment w:val="auto"/>
              <w:rPr>
                <w:szCs w:val="24"/>
              </w:rPr>
            </w:pPr>
          </w:p>
        </w:tc>
        <w:tc>
          <w:tcPr>
            <w:tcW w:w="1470" w:type="pct"/>
            <w:tcBorders>
              <w:top w:val="single" w:sz="4" w:space="0" w:color="auto"/>
              <w:bottom w:val="single" w:sz="4" w:space="0" w:color="auto"/>
            </w:tcBorders>
            <w:shd w:val="clear" w:color="auto" w:fill="D9D9D9" w:themeFill="background1" w:themeFillShade="D9"/>
          </w:tcPr>
          <w:p w14:paraId="4766B6C8" w14:textId="77777777" w:rsidR="004B3DA3" w:rsidRPr="008E0367" w:rsidRDefault="004B3DA3" w:rsidP="004B3DA3">
            <w:pPr>
              <w:widowControl/>
              <w:overflowPunct/>
              <w:autoSpaceDE/>
              <w:autoSpaceDN/>
              <w:adjustRightInd/>
              <w:textAlignment w:val="auto"/>
              <w:rPr>
                <w:szCs w:val="24"/>
              </w:rPr>
            </w:pPr>
          </w:p>
        </w:tc>
      </w:tr>
      <w:tr w:rsidR="001A6460" w:rsidRPr="008E0367" w14:paraId="1A498F04" w14:textId="77777777" w:rsidTr="001E5604">
        <w:trPr>
          <w:trHeight w:val="331"/>
          <w:jc w:val="center"/>
        </w:trPr>
        <w:tc>
          <w:tcPr>
            <w:tcW w:w="1442" w:type="pct"/>
            <w:tcBorders>
              <w:top w:val="single" w:sz="4" w:space="0" w:color="auto"/>
              <w:bottom w:val="single" w:sz="4" w:space="0" w:color="auto"/>
            </w:tcBorders>
            <w:vAlign w:val="center"/>
          </w:tcPr>
          <w:p w14:paraId="36AA6A20" w14:textId="7B4AE22F" w:rsidR="00562E04" w:rsidRPr="008E0367" w:rsidRDefault="00562E04" w:rsidP="004B3DA3">
            <w:pPr>
              <w:widowControl/>
              <w:overflowPunct/>
              <w:autoSpaceDE/>
              <w:autoSpaceDN/>
              <w:adjustRightInd/>
              <w:textAlignment w:val="auto"/>
              <w:rPr>
                <w:szCs w:val="24"/>
              </w:rPr>
            </w:pPr>
            <w:r w:rsidRPr="008E0367">
              <w:rPr>
                <w:szCs w:val="24"/>
              </w:rPr>
              <w:t>Hyunshik Lee, Ph.D.</w:t>
            </w:r>
          </w:p>
        </w:tc>
        <w:tc>
          <w:tcPr>
            <w:tcW w:w="2088" w:type="pct"/>
            <w:tcBorders>
              <w:top w:val="single" w:sz="4" w:space="0" w:color="auto"/>
              <w:bottom w:val="single" w:sz="4" w:space="0" w:color="auto"/>
            </w:tcBorders>
          </w:tcPr>
          <w:p w14:paraId="42B624E1" w14:textId="77777777" w:rsidR="00562E04" w:rsidRPr="008E0367" w:rsidRDefault="00562E04" w:rsidP="004B3DA3">
            <w:pPr>
              <w:widowControl/>
              <w:overflowPunct/>
              <w:autoSpaceDE/>
              <w:autoSpaceDN/>
              <w:adjustRightInd/>
              <w:textAlignment w:val="auto"/>
              <w:rPr>
                <w:szCs w:val="24"/>
              </w:rPr>
            </w:pPr>
            <w:r w:rsidRPr="008E0367">
              <w:rPr>
                <w:szCs w:val="24"/>
              </w:rPr>
              <w:t>Senior Statistician</w:t>
            </w:r>
          </w:p>
        </w:tc>
        <w:tc>
          <w:tcPr>
            <w:tcW w:w="1470" w:type="pct"/>
            <w:tcBorders>
              <w:top w:val="single" w:sz="4" w:space="0" w:color="auto"/>
              <w:bottom w:val="single" w:sz="4" w:space="0" w:color="auto"/>
            </w:tcBorders>
          </w:tcPr>
          <w:p w14:paraId="60B1A666" w14:textId="5E5D3A29" w:rsidR="00562E04" w:rsidRPr="008E0367" w:rsidRDefault="00562E04" w:rsidP="004B3DA3">
            <w:pPr>
              <w:widowControl/>
              <w:overflowPunct/>
              <w:autoSpaceDE/>
              <w:autoSpaceDN/>
              <w:adjustRightInd/>
              <w:textAlignment w:val="auto"/>
              <w:rPr>
                <w:szCs w:val="24"/>
              </w:rPr>
            </w:pPr>
            <w:r w:rsidRPr="008E0367">
              <w:rPr>
                <w:szCs w:val="24"/>
              </w:rPr>
              <w:t>301-610-5112</w:t>
            </w:r>
          </w:p>
        </w:tc>
      </w:tr>
      <w:tr w:rsidR="001A6460" w:rsidRPr="008E0367" w14:paraId="58362AA7" w14:textId="77777777" w:rsidTr="001E5604">
        <w:trPr>
          <w:trHeight w:val="331"/>
          <w:jc w:val="center"/>
        </w:trPr>
        <w:tc>
          <w:tcPr>
            <w:tcW w:w="1442" w:type="pct"/>
            <w:tcBorders>
              <w:top w:val="single" w:sz="4" w:space="0" w:color="auto"/>
              <w:bottom w:val="single" w:sz="4" w:space="0" w:color="auto"/>
            </w:tcBorders>
            <w:vAlign w:val="center"/>
          </w:tcPr>
          <w:p w14:paraId="70C0839B" w14:textId="77777777" w:rsidR="00562E04" w:rsidRPr="008E0367" w:rsidRDefault="00562E04" w:rsidP="004B3DA3">
            <w:pPr>
              <w:widowControl/>
              <w:overflowPunct/>
              <w:autoSpaceDE/>
              <w:autoSpaceDN/>
              <w:adjustRightInd/>
              <w:textAlignment w:val="auto"/>
              <w:rPr>
                <w:szCs w:val="24"/>
              </w:rPr>
            </w:pPr>
            <w:r w:rsidRPr="008E0367">
              <w:rPr>
                <w:szCs w:val="24"/>
              </w:rPr>
              <w:t>Laurie May, Ph.D.</w:t>
            </w:r>
          </w:p>
        </w:tc>
        <w:tc>
          <w:tcPr>
            <w:tcW w:w="2088" w:type="pct"/>
            <w:tcBorders>
              <w:top w:val="single" w:sz="4" w:space="0" w:color="auto"/>
              <w:bottom w:val="single" w:sz="4" w:space="0" w:color="auto"/>
            </w:tcBorders>
          </w:tcPr>
          <w:p w14:paraId="2485BC3C" w14:textId="0BEE9541" w:rsidR="00562E04" w:rsidRPr="008E0367" w:rsidRDefault="00562E04" w:rsidP="004B3DA3">
            <w:pPr>
              <w:widowControl/>
              <w:overflowPunct/>
              <w:autoSpaceDE/>
              <w:autoSpaceDN/>
              <w:adjustRightInd/>
              <w:textAlignment w:val="auto"/>
              <w:rPr>
                <w:szCs w:val="24"/>
              </w:rPr>
            </w:pPr>
            <w:r w:rsidRPr="008E0367">
              <w:rPr>
                <w:szCs w:val="24"/>
              </w:rPr>
              <w:t>Vice President</w:t>
            </w:r>
          </w:p>
        </w:tc>
        <w:tc>
          <w:tcPr>
            <w:tcW w:w="1470" w:type="pct"/>
            <w:tcBorders>
              <w:top w:val="single" w:sz="4" w:space="0" w:color="auto"/>
              <w:bottom w:val="single" w:sz="4" w:space="0" w:color="auto"/>
            </w:tcBorders>
          </w:tcPr>
          <w:p w14:paraId="39930511" w14:textId="77777777" w:rsidR="00562E04" w:rsidRPr="008E0367" w:rsidRDefault="00562E04" w:rsidP="004B3DA3">
            <w:pPr>
              <w:widowControl/>
              <w:overflowPunct/>
              <w:autoSpaceDE/>
              <w:autoSpaceDN/>
              <w:adjustRightInd/>
              <w:textAlignment w:val="auto"/>
              <w:rPr>
                <w:szCs w:val="24"/>
              </w:rPr>
            </w:pPr>
            <w:r w:rsidRPr="008E0367">
              <w:rPr>
                <w:szCs w:val="24"/>
              </w:rPr>
              <w:t>301-517-4076</w:t>
            </w:r>
          </w:p>
        </w:tc>
      </w:tr>
      <w:tr w:rsidR="001A6460" w:rsidRPr="008E0367" w14:paraId="718F0514" w14:textId="77777777" w:rsidTr="001E5604">
        <w:trPr>
          <w:trHeight w:val="331"/>
          <w:jc w:val="center"/>
        </w:trPr>
        <w:tc>
          <w:tcPr>
            <w:tcW w:w="1442" w:type="pct"/>
            <w:tcBorders>
              <w:top w:val="single" w:sz="4" w:space="0" w:color="auto"/>
              <w:bottom w:val="single" w:sz="4" w:space="0" w:color="auto"/>
            </w:tcBorders>
            <w:vAlign w:val="center"/>
          </w:tcPr>
          <w:p w14:paraId="310F1B77" w14:textId="5A62CE7A" w:rsidR="00562E04" w:rsidRPr="008E0367" w:rsidRDefault="00562E04" w:rsidP="004B3DA3">
            <w:pPr>
              <w:widowControl/>
              <w:overflowPunct/>
              <w:autoSpaceDE/>
              <w:autoSpaceDN/>
              <w:adjustRightInd/>
              <w:textAlignment w:val="auto"/>
              <w:rPr>
                <w:szCs w:val="24"/>
              </w:rPr>
            </w:pPr>
            <w:r w:rsidRPr="008E0367">
              <w:rPr>
                <w:szCs w:val="24"/>
              </w:rPr>
              <w:t>Tracy Vericker, Ph.D.</w:t>
            </w:r>
          </w:p>
        </w:tc>
        <w:tc>
          <w:tcPr>
            <w:tcW w:w="2088" w:type="pct"/>
            <w:tcBorders>
              <w:top w:val="single" w:sz="4" w:space="0" w:color="auto"/>
              <w:bottom w:val="single" w:sz="4" w:space="0" w:color="auto"/>
            </w:tcBorders>
          </w:tcPr>
          <w:p w14:paraId="2B9D730E" w14:textId="77777777" w:rsidR="00562E04" w:rsidRPr="008E0367" w:rsidRDefault="00562E04" w:rsidP="004B3DA3">
            <w:pPr>
              <w:widowControl/>
              <w:overflowPunct/>
              <w:autoSpaceDE/>
              <w:autoSpaceDN/>
              <w:adjustRightInd/>
              <w:textAlignment w:val="auto"/>
              <w:rPr>
                <w:szCs w:val="24"/>
              </w:rPr>
            </w:pPr>
            <w:r w:rsidRPr="008E0367">
              <w:rPr>
                <w:szCs w:val="24"/>
              </w:rPr>
              <w:t>Senior Study Director</w:t>
            </w:r>
          </w:p>
        </w:tc>
        <w:tc>
          <w:tcPr>
            <w:tcW w:w="1470" w:type="pct"/>
            <w:tcBorders>
              <w:top w:val="single" w:sz="4" w:space="0" w:color="auto"/>
              <w:bottom w:val="single" w:sz="4" w:space="0" w:color="auto"/>
            </w:tcBorders>
          </w:tcPr>
          <w:p w14:paraId="5253BD39" w14:textId="1DE13704" w:rsidR="00562E04" w:rsidRPr="008E0367" w:rsidRDefault="00562E04" w:rsidP="004B3DA3">
            <w:pPr>
              <w:widowControl/>
              <w:overflowPunct/>
              <w:autoSpaceDE/>
              <w:autoSpaceDN/>
              <w:adjustRightInd/>
              <w:textAlignment w:val="auto"/>
              <w:rPr>
                <w:szCs w:val="24"/>
              </w:rPr>
            </w:pPr>
            <w:r w:rsidRPr="008E0367">
              <w:rPr>
                <w:szCs w:val="24"/>
              </w:rPr>
              <w:t>301-251-4242</w:t>
            </w:r>
          </w:p>
        </w:tc>
      </w:tr>
      <w:tr w:rsidR="001A6460" w:rsidRPr="008E0367" w14:paraId="29D2878D" w14:textId="77777777" w:rsidTr="001E5604">
        <w:trPr>
          <w:trHeight w:val="331"/>
          <w:jc w:val="center"/>
        </w:trPr>
        <w:tc>
          <w:tcPr>
            <w:tcW w:w="1442" w:type="pct"/>
            <w:tcBorders>
              <w:top w:val="single" w:sz="4" w:space="0" w:color="auto"/>
              <w:bottom w:val="single" w:sz="4" w:space="0" w:color="auto"/>
            </w:tcBorders>
            <w:vAlign w:val="center"/>
          </w:tcPr>
          <w:p w14:paraId="78ADB10B" w14:textId="7DC6ABE5" w:rsidR="00B972EC" w:rsidRPr="008E0367" w:rsidRDefault="00B972EC" w:rsidP="004B3DA3">
            <w:pPr>
              <w:widowControl/>
              <w:overflowPunct/>
              <w:autoSpaceDE/>
              <w:autoSpaceDN/>
              <w:adjustRightInd/>
              <w:textAlignment w:val="auto"/>
              <w:rPr>
                <w:szCs w:val="24"/>
              </w:rPr>
            </w:pPr>
            <w:r>
              <w:rPr>
                <w:szCs w:val="24"/>
              </w:rPr>
              <w:t>Melissa Rothstein</w:t>
            </w:r>
          </w:p>
        </w:tc>
        <w:tc>
          <w:tcPr>
            <w:tcW w:w="2088" w:type="pct"/>
            <w:tcBorders>
              <w:top w:val="single" w:sz="4" w:space="0" w:color="auto"/>
              <w:bottom w:val="single" w:sz="4" w:space="0" w:color="auto"/>
            </w:tcBorders>
          </w:tcPr>
          <w:p w14:paraId="3A6DE3B0" w14:textId="3CBA0F9E" w:rsidR="00B972EC" w:rsidRPr="008E0367" w:rsidRDefault="00B972EC" w:rsidP="004B3DA3">
            <w:pPr>
              <w:widowControl/>
              <w:overflowPunct/>
              <w:autoSpaceDE/>
              <w:autoSpaceDN/>
              <w:adjustRightInd/>
              <w:textAlignment w:val="auto"/>
              <w:rPr>
                <w:szCs w:val="24"/>
              </w:rPr>
            </w:pPr>
            <w:r>
              <w:rPr>
                <w:szCs w:val="24"/>
              </w:rPr>
              <w:t>Senior Study Director</w:t>
            </w:r>
          </w:p>
        </w:tc>
        <w:tc>
          <w:tcPr>
            <w:tcW w:w="1470" w:type="pct"/>
            <w:tcBorders>
              <w:top w:val="single" w:sz="4" w:space="0" w:color="auto"/>
              <w:bottom w:val="single" w:sz="4" w:space="0" w:color="auto"/>
            </w:tcBorders>
          </w:tcPr>
          <w:p w14:paraId="24C4B7F9" w14:textId="60D343F9" w:rsidR="00B972EC" w:rsidRPr="008E0367" w:rsidRDefault="00B972EC" w:rsidP="004B3DA3">
            <w:pPr>
              <w:widowControl/>
              <w:overflowPunct/>
              <w:autoSpaceDE/>
              <w:autoSpaceDN/>
              <w:adjustRightInd/>
              <w:textAlignment w:val="auto"/>
              <w:rPr>
                <w:szCs w:val="24"/>
              </w:rPr>
            </w:pPr>
            <w:r w:rsidRPr="008E0367">
              <w:rPr>
                <w:szCs w:val="24"/>
              </w:rPr>
              <w:t>301-315-5975</w:t>
            </w:r>
          </w:p>
        </w:tc>
      </w:tr>
      <w:tr w:rsidR="001A6460" w:rsidRPr="008E0367" w14:paraId="5BA4750C" w14:textId="77777777" w:rsidTr="001E5604">
        <w:trPr>
          <w:trHeight w:val="331"/>
          <w:jc w:val="center"/>
        </w:trPr>
        <w:tc>
          <w:tcPr>
            <w:tcW w:w="1442" w:type="pct"/>
            <w:tcBorders>
              <w:top w:val="single" w:sz="4" w:space="0" w:color="auto"/>
              <w:bottom w:val="single" w:sz="4" w:space="0" w:color="auto"/>
            </w:tcBorders>
            <w:vAlign w:val="center"/>
          </w:tcPr>
          <w:p w14:paraId="6D665D01" w14:textId="4557839E" w:rsidR="00562E04" w:rsidRPr="008E0367" w:rsidRDefault="00562E04" w:rsidP="004B3DA3">
            <w:pPr>
              <w:widowControl/>
              <w:overflowPunct/>
              <w:autoSpaceDE/>
              <w:autoSpaceDN/>
              <w:adjustRightInd/>
              <w:textAlignment w:val="auto"/>
              <w:rPr>
                <w:szCs w:val="24"/>
              </w:rPr>
            </w:pPr>
            <w:r w:rsidRPr="008E0367">
              <w:rPr>
                <w:szCs w:val="24"/>
              </w:rPr>
              <w:t>Sujata Dixit-Joshi, Ph.D.</w:t>
            </w:r>
          </w:p>
        </w:tc>
        <w:tc>
          <w:tcPr>
            <w:tcW w:w="2088" w:type="pct"/>
            <w:tcBorders>
              <w:top w:val="single" w:sz="4" w:space="0" w:color="auto"/>
              <w:bottom w:val="single" w:sz="4" w:space="0" w:color="auto"/>
            </w:tcBorders>
          </w:tcPr>
          <w:p w14:paraId="0B0AEF58" w14:textId="39E00604" w:rsidR="00562E04" w:rsidRPr="008E0367" w:rsidRDefault="00562E04" w:rsidP="004B3DA3">
            <w:pPr>
              <w:widowControl/>
              <w:overflowPunct/>
              <w:autoSpaceDE/>
              <w:autoSpaceDN/>
              <w:adjustRightInd/>
              <w:textAlignment w:val="auto"/>
              <w:rPr>
                <w:szCs w:val="24"/>
              </w:rPr>
            </w:pPr>
            <w:r w:rsidRPr="008E0367">
              <w:rPr>
                <w:szCs w:val="24"/>
              </w:rPr>
              <w:t>Senior Study Director</w:t>
            </w:r>
          </w:p>
        </w:tc>
        <w:tc>
          <w:tcPr>
            <w:tcW w:w="1470" w:type="pct"/>
            <w:tcBorders>
              <w:top w:val="single" w:sz="4" w:space="0" w:color="auto"/>
              <w:bottom w:val="single" w:sz="4" w:space="0" w:color="auto"/>
            </w:tcBorders>
          </w:tcPr>
          <w:p w14:paraId="3D8CBFBC" w14:textId="4FD19673" w:rsidR="00562E04" w:rsidRPr="008E0367" w:rsidRDefault="00562E04" w:rsidP="004B3DA3">
            <w:pPr>
              <w:widowControl/>
              <w:overflowPunct/>
              <w:autoSpaceDE/>
              <w:autoSpaceDN/>
              <w:adjustRightInd/>
              <w:textAlignment w:val="auto"/>
              <w:rPr>
                <w:szCs w:val="24"/>
              </w:rPr>
            </w:pPr>
            <w:r w:rsidRPr="008E0367">
              <w:rPr>
                <w:szCs w:val="24"/>
              </w:rPr>
              <w:t>240-314-2442</w:t>
            </w:r>
          </w:p>
        </w:tc>
      </w:tr>
      <w:tr w:rsidR="001A6460" w:rsidRPr="008E0367" w14:paraId="53DCA43A" w14:textId="77777777" w:rsidTr="001E5604">
        <w:trPr>
          <w:trHeight w:val="331"/>
          <w:jc w:val="center"/>
        </w:trPr>
        <w:tc>
          <w:tcPr>
            <w:tcW w:w="1442" w:type="pct"/>
            <w:tcBorders>
              <w:top w:val="single" w:sz="4" w:space="0" w:color="auto"/>
              <w:bottom w:val="single" w:sz="4" w:space="0" w:color="auto"/>
            </w:tcBorders>
            <w:vAlign w:val="center"/>
          </w:tcPr>
          <w:p w14:paraId="48AA9229" w14:textId="0CFD6F30" w:rsidR="00562E04" w:rsidRPr="008E0367" w:rsidRDefault="00562E04" w:rsidP="004B3DA3">
            <w:pPr>
              <w:widowControl/>
              <w:overflowPunct/>
              <w:autoSpaceDE/>
              <w:autoSpaceDN/>
              <w:adjustRightInd/>
              <w:textAlignment w:val="auto"/>
              <w:rPr>
                <w:szCs w:val="24"/>
              </w:rPr>
            </w:pPr>
            <w:r w:rsidRPr="008E0367">
              <w:rPr>
                <w:szCs w:val="24"/>
              </w:rPr>
              <w:t>Thea Zimmerman</w:t>
            </w:r>
          </w:p>
        </w:tc>
        <w:tc>
          <w:tcPr>
            <w:tcW w:w="2088" w:type="pct"/>
            <w:tcBorders>
              <w:top w:val="single" w:sz="4" w:space="0" w:color="auto"/>
              <w:bottom w:val="single" w:sz="4" w:space="0" w:color="auto"/>
            </w:tcBorders>
          </w:tcPr>
          <w:p w14:paraId="52B5FDF1" w14:textId="005CFD7A" w:rsidR="00562E04" w:rsidRPr="008E0367" w:rsidRDefault="00562E04" w:rsidP="004B3DA3">
            <w:pPr>
              <w:widowControl/>
              <w:overflowPunct/>
              <w:autoSpaceDE/>
              <w:autoSpaceDN/>
              <w:adjustRightInd/>
              <w:textAlignment w:val="auto"/>
              <w:rPr>
                <w:szCs w:val="24"/>
              </w:rPr>
            </w:pPr>
            <w:r w:rsidRPr="008E0367">
              <w:rPr>
                <w:szCs w:val="24"/>
              </w:rPr>
              <w:t>Senior Study Director</w:t>
            </w:r>
          </w:p>
        </w:tc>
        <w:tc>
          <w:tcPr>
            <w:tcW w:w="1470" w:type="pct"/>
            <w:tcBorders>
              <w:top w:val="single" w:sz="4" w:space="0" w:color="auto"/>
              <w:bottom w:val="single" w:sz="4" w:space="0" w:color="auto"/>
            </w:tcBorders>
          </w:tcPr>
          <w:p w14:paraId="2ADBF898" w14:textId="0392DD5F" w:rsidR="00562E04" w:rsidRPr="008E0367" w:rsidRDefault="00562E04" w:rsidP="004B3DA3">
            <w:pPr>
              <w:widowControl/>
              <w:overflowPunct/>
              <w:autoSpaceDE/>
              <w:autoSpaceDN/>
              <w:adjustRightInd/>
              <w:textAlignment w:val="auto"/>
              <w:rPr>
                <w:szCs w:val="24"/>
              </w:rPr>
            </w:pPr>
            <w:r w:rsidRPr="008E0367">
              <w:rPr>
                <w:szCs w:val="24"/>
              </w:rPr>
              <w:t>240-314-2413</w:t>
            </w:r>
          </w:p>
        </w:tc>
      </w:tr>
      <w:tr w:rsidR="00562E04" w:rsidRPr="008E0367" w14:paraId="647CB953" w14:textId="77777777" w:rsidTr="001E5604">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14:paraId="5CE1FB90" w14:textId="71FAAC0D" w:rsidR="00562E04" w:rsidRPr="008E0367" w:rsidRDefault="00FD00C3" w:rsidP="004B3DA3">
            <w:pPr>
              <w:widowControl/>
              <w:overflowPunct/>
              <w:autoSpaceDE/>
              <w:autoSpaceDN/>
              <w:adjustRightInd/>
              <w:textAlignment w:val="auto"/>
              <w:rPr>
                <w:szCs w:val="24"/>
                <w:highlight w:val="yellow"/>
              </w:rPr>
            </w:pPr>
            <w:r w:rsidRPr="008E0367">
              <w:rPr>
                <w:szCs w:val="24"/>
              </w:rPr>
              <w:t>Peer Advisory Panel</w:t>
            </w:r>
          </w:p>
        </w:tc>
      </w:tr>
      <w:tr w:rsidR="001A6460" w:rsidRPr="008E0367" w14:paraId="69E79F47" w14:textId="77777777" w:rsidTr="001E5604">
        <w:trPr>
          <w:trHeight w:val="331"/>
          <w:jc w:val="center"/>
        </w:trPr>
        <w:tc>
          <w:tcPr>
            <w:tcW w:w="1442" w:type="pct"/>
            <w:tcBorders>
              <w:top w:val="single" w:sz="4" w:space="0" w:color="auto"/>
              <w:bottom w:val="single" w:sz="4" w:space="0" w:color="auto"/>
            </w:tcBorders>
          </w:tcPr>
          <w:p w14:paraId="1FDE8237" w14:textId="425B0E4A" w:rsidR="00FD00C3" w:rsidRPr="008E0367" w:rsidRDefault="00FD00C3" w:rsidP="004B3DA3">
            <w:pPr>
              <w:widowControl/>
              <w:overflowPunct/>
              <w:autoSpaceDE/>
              <w:autoSpaceDN/>
              <w:adjustRightInd/>
              <w:textAlignment w:val="auto"/>
              <w:rPr>
                <w:szCs w:val="24"/>
                <w:highlight w:val="yellow"/>
              </w:rPr>
            </w:pPr>
            <w:r w:rsidRPr="008E0367">
              <w:rPr>
                <w:szCs w:val="24"/>
              </w:rPr>
              <w:t>Caroline Cooke</w:t>
            </w:r>
          </w:p>
        </w:tc>
        <w:tc>
          <w:tcPr>
            <w:tcW w:w="2088" w:type="pct"/>
            <w:tcBorders>
              <w:top w:val="single" w:sz="4" w:space="0" w:color="auto"/>
              <w:bottom w:val="single" w:sz="4" w:space="0" w:color="auto"/>
            </w:tcBorders>
          </w:tcPr>
          <w:p w14:paraId="36364263" w14:textId="3A401050" w:rsidR="00FD00C3" w:rsidRPr="008E0367" w:rsidRDefault="00FD00C3" w:rsidP="004B3DA3">
            <w:pPr>
              <w:widowControl/>
              <w:overflowPunct/>
              <w:autoSpaceDE/>
              <w:autoSpaceDN/>
              <w:adjustRightInd/>
              <w:textAlignment w:val="auto"/>
              <w:rPr>
                <w:szCs w:val="24"/>
                <w:highlight w:val="yellow"/>
              </w:rPr>
            </w:pPr>
            <w:r w:rsidRPr="008E0367">
              <w:rPr>
                <w:szCs w:val="24"/>
              </w:rPr>
              <w:t>Connecticut Department of Education</w:t>
            </w:r>
          </w:p>
        </w:tc>
        <w:tc>
          <w:tcPr>
            <w:tcW w:w="1470" w:type="pct"/>
            <w:tcBorders>
              <w:top w:val="single" w:sz="4" w:space="0" w:color="auto"/>
              <w:bottom w:val="single" w:sz="4" w:space="0" w:color="auto"/>
            </w:tcBorders>
          </w:tcPr>
          <w:p w14:paraId="5A9D919A" w14:textId="46BEA853" w:rsidR="00FD00C3" w:rsidRPr="008E0367" w:rsidRDefault="00FD00C3" w:rsidP="004B3DA3">
            <w:pPr>
              <w:widowControl/>
              <w:overflowPunct/>
              <w:autoSpaceDE/>
              <w:autoSpaceDN/>
              <w:adjustRightInd/>
              <w:textAlignment w:val="auto"/>
              <w:rPr>
                <w:szCs w:val="24"/>
                <w:highlight w:val="yellow"/>
              </w:rPr>
            </w:pPr>
            <w:r w:rsidRPr="008E0367">
              <w:rPr>
                <w:szCs w:val="24"/>
              </w:rPr>
              <w:t>Caroline.Cooke@CT.gov</w:t>
            </w:r>
          </w:p>
        </w:tc>
      </w:tr>
      <w:tr w:rsidR="001A6460" w:rsidRPr="008E0367" w14:paraId="3472D0CF" w14:textId="77777777" w:rsidTr="001E5604">
        <w:trPr>
          <w:trHeight w:val="331"/>
          <w:jc w:val="center"/>
        </w:trPr>
        <w:tc>
          <w:tcPr>
            <w:tcW w:w="1442" w:type="pct"/>
            <w:tcBorders>
              <w:top w:val="single" w:sz="4" w:space="0" w:color="auto"/>
              <w:bottom w:val="single" w:sz="4" w:space="0" w:color="auto"/>
            </w:tcBorders>
          </w:tcPr>
          <w:p w14:paraId="30929164" w14:textId="1B4C5B23" w:rsidR="00FD00C3" w:rsidRPr="008E0367" w:rsidRDefault="00FD00C3" w:rsidP="004B3DA3">
            <w:pPr>
              <w:widowControl/>
              <w:overflowPunct/>
              <w:autoSpaceDE/>
              <w:autoSpaceDN/>
              <w:adjustRightInd/>
              <w:textAlignment w:val="auto"/>
              <w:rPr>
                <w:szCs w:val="24"/>
                <w:highlight w:val="yellow"/>
              </w:rPr>
            </w:pPr>
            <w:r w:rsidRPr="008E0367">
              <w:rPr>
                <w:szCs w:val="24"/>
              </w:rPr>
              <w:t>Walt May</w:t>
            </w:r>
          </w:p>
        </w:tc>
        <w:tc>
          <w:tcPr>
            <w:tcW w:w="2088" w:type="pct"/>
            <w:tcBorders>
              <w:top w:val="single" w:sz="4" w:space="0" w:color="auto"/>
              <w:bottom w:val="single" w:sz="4" w:space="0" w:color="auto"/>
            </w:tcBorders>
          </w:tcPr>
          <w:p w14:paraId="01E07C34" w14:textId="5B50FF2B" w:rsidR="00FD00C3" w:rsidRPr="008E0367" w:rsidRDefault="00FD00C3" w:rsidP="004B3DA3">
            <w:pPr>
              <w:widowControl/>
              <w:overflowPunct/>
              <w:autoSpaceDE/>
              <w:autoSpaceDN/>
              <w:adjustRightInd/>
              <w:textAlignment w:val="auto"/>
              <w:rPr>
                <w:szCs w:val="24"/>
                <w:highlight w:val="yellow"/>
              </w:rPr>
            </w:pPr>
            <w:r w:rsidRPr="008E0367">
              <w:rPr>
                <w:szCs w:val="24"/>
              </w:rPr>
              <w:t>Utah Food Bank (sponsor)</w:t>
            </w:r>
          </w:p>
        </w:tc>
        <w:tc>
          <w:tcPr>
            <w:tcW w:w="1470" w:type="pct"/>
            <w:tcBorders>
              <w:top w:val="single" w:sz="4" w:space="0" w:color="auto"/>
              <w:bottom w:val="single" w:sz="4" w:space="0" w:color="auto"/>
            </w:tcBorders>
          </w:tcPr>
          <w:p w14:paraId="1C098653" w14:textId="2D9EB67C" w:rsidR="00FD00C3" w:rsidRPr="008E0367" w:rsidRDefault="00FD00C3" w:rsidP="004B3DA3">
            <w:pPr>
              <w:widowControl/>
              <w:overflowPunct/>
              <w:autoSpaceDE/>
              <w:autoSpaceDN/>
              <w:adjustRightInd/>
              <w:textAlignment w:val="auto"/>
              <w:rPr>
                <w:szCs w:val="24"/>
                <w:highlight w:val="yellow"/>
              </w:rPr>
            </w:pPr>
            <w:r w:rsidRPr="008E0367">
              <w:rPr>
                <w:szCs w:val="24"/>
              </w:rPr>
              <w:t>waltm@utahfoodbank.org</w:t>
            </w:r>
          </w:p>
        </w:tc>
      </w:tr>
      <w:tr w:rsidR="001A6460" w:rsidRPr="008E0367" w14:paraId="6AE6267E" w14:textId="77777777" w:rsidTr="001E5604">
        <w:trPr>
          <w:trHeight w:val="331"/>
          <w:jc w:val="center"/>
        </w:trPr>
        <w:tc>
          <w:tcPr>
            <w:tcW w:w="1442" w:type="pct"/>
            <w:tcBorders>
              <w:top w:val="single" w:sz="4" w:space="0" w:color="auto"/>
              <w:bottom w:val="single" w:sz="4" w:space="0" w:color="auto"/>
            </w:tcBorders>
          </w:tcPr>
          <w:p w14:paraId="735ED177" w14:textId="0D717E4D" w:rsidR="00FD00C3" w:rsidRPr="008E0367" w:rsidRDefault="00FD00C3" w:rsidP="004B3DA3">
            <w:pPr>
              <w:widowControl/>
              <w:overflowPunct/>
              <w:autoSpaceDE/>
              <w:autoSpaceDN/>
              <w:adjustRightInd/>
              <w:textAlignment w:val="auto"/>
              <w:rPr>
                <w:szCs w:val="24"/>
                <w:highlight w:val="yellow"/>
              </w:rPr>
            </w:pPr>
            <w:r w:rsidRPr="008E0367">
              <w:rPr>
                <w:szCs w:val="24"/>
              </w:rPr>
              <w:t>Keven Vicknair</w:t>
            </w:r>
          </w:p>
        </w:tc>
        <w:tc>
          <w:tcPr>
            <w:tcW w:w="2088" w:type="pct"/>
            <w:tcBorders>
              <w:top w:val="single" w:sz="4" w:space="0" w:color="auto"/>
              <w:bottom w:val="single" w:sz="4" w:space="0" w:color="auto"/>
            </w:tcBorders>
          </w:tcPr>
          <w:p w14:paraId="1796B22D" w14:textId="56071415" w:rsidR="00FD00C3" w:rsidRPr="008E0367" w:rsidRDefault="00FD00C3" w:rsidP="004B3DA3">
            <w:pPr>
              <w:widowControl/>
              <w:overflowPunct/>
              <w:autoSpaceDE/>
              <w:autoSpaceDN/>
              <w:adjustRightInd/>
              <w:textAlignment w:val="auto"/>
              <w:rPr>
                <w:szCs w:val="24"/>
                <w:highlight w:val="yellow"/>
              </w:rPr>
            </w:pPr>
            <w:r w:rsidRPr="008E0367">
              <w:rPr>
                <w:szCs w:val="24"/>
              </w:rPr>
              <w:t>Equal Heart (TX) (sponsor)</w:t>
            </w:r>
          </w:p>
        </w:tc>
        <w:tc>
          <w:tcPr>
            <w:tcW w:w="1470" w:type="pct"/>
            <w:tcBorders>
              <w:top w:val="single" w:sz="4" w:space="0" w:color="auto"/>
              <w:bottom w:val="single" w:sz="4" w:space="0" w:color="auto"/>
            </w:tcBorders>
          </w:tcPr>
          <w:p w14:paraId="0B3E2A37" w14:textId="2A7A52FB" w:rsidR="00FD00C3" w:rsidRPr="008E0367" w:rsidRDefault="00FD00C3" w:rsidP="004B3DA3">
            <w:pPr>
              <w:widowControl/>
              <w:overflowPunct/>
              <w:autoSpaceDE/>
              <w:autoSpaceDN/>
              <w:adjustRightInd/>
              <w:textAlignment w:val="auto"/>
              <w:rPr>
                <w:szCs w:val="24"/>
                <w:highlight w:val="yellow"/>
              </w:rPr>
            </w:pPr>
            <w:r w:rsidRPr="008E0367">
              <w:rPr>
                <w:szCs w:val="24"/>
              </w:rPr>
              <w:t>keven@equalheart.org</w:t>
            </w:r>
          </w:p>
        </w:tc>
      </w:tr>
      <w:tr w:rsidR="001A6460" w:rsidRPr="008E0367" w14:paraId="4A2823FD" w14:textId="77777777" w:rsidTr="001E5604">
        <w:trPr>
          <w:trHeight w:val="331"/>
          <w:jc w:val="center"/>
        </w:trPr>
        <w:tc>
          <w:tcPr>
            <w:tcW w:w="1442" w:type="pct"/>
            <w:tcBorders>
              <w:top w:val="single" w:sz="4" w:space="0" w:color="auto"/>
              <w:bottom w:val="single" w:sz="4" w:space="0" w:color="auto"/>
            </w:tcBorders>
          </w:tcPr>
          <w:p w14:paraId="73705C77" w14:textId="10E2874A" w:rsidR="004B3DA3" w:rsidRPr="008E0367" w:rsidRDefault="004B3DA3" w:rsidP="004B3DA3">
            <w:pPr>
              <w:widowControl/>
              <w:overflowPunct/>
              <w:autoSpaceDE/>
              <w:autoSpaceDN/>
              <w:adjustRightInd/>
              <w:textAlignment w:val="auto"/>
              <w:rPr>
                <w:szCs w:val="24"/>
              </w:rPr>
            </w:pPr>
            <w:r w:rsidRPr="008E0367">
              <w:rPr>
                <w:szCs w:val="24"/>
              </w:rPr>
              <w:t>Crystal FitzSimons</w:t>
            </w:r>
          </w:p>
        </w:tc>
        <w:tc>
          <w:tcPr>
            <w:tcW w:w="2088" w:type="pct"/>
            <w:tcBorders>
              <w:top w:val="single" w:sz="4" w:space="0" w:color="auto"/>
              <w:bottom w:val="single" w:sz="4" w:space="0" w:color="auto"/>
            </w:tcBorders>
          </w:tcPr>
          <w:p w14:paraId="38983BE4" w14:textId="5D6CDC40" w:rsidR="004B3DA3" w:rsidRPr="008E0367" w:rsidRDefault="004B3DA3" w:rsidP="004B3DA3">
            <w:pPr>
              <w:widowControl/>
              <w:overflowPunct/>
              <w:autoSpaceDE/>
              <w:autoSpaceDN/>
              <w:adjustRightInd/>
              <w:textAlignment w:val="auto"/>
              <w:rPr>
                <w:szCs w:val="24"/>
              </w:rPr>
            </w:pPr>
            <w:r w:rsidRPr="008E0367">
              <w:rPr>
                <w:szCs w:val="24"/>
              </w:rPr>
              <w:t>Food Research and Action Center (FRAC)</w:t>
            </w:r>
          </w:p>
        </w:tc>
        <w:tc>
          <w:tcPr>
            <w:tcW w:w="1470" w:type="pct"/>
            <w:tcBorders>
              <w:top w:val="single" w:sz="4" w:space="0" w:color="auto"/>
              <w:bottom w:val="single" w:sz="4" w:space="0" w:color="auto"/>
            </w:tcBorders>
          </w:tcPr>
          <w:p w14:paraId="433E5AA4" w14:textId="344A7032" w:rsidR="004B3DA3" w:rsidRPr="008E0367" w:rsidRDefault="004B3DA3" w:rsidP="004B3DA3">
            <w:pPr>
              <w:widowControl/>
              <w:overflowPunct/>
              <w:autoSpaceDE/>
              <w:autoSpaceDN/>
              <w:adjustRightInd/>
              <w:textAlignment w:val="auto"/>
              <w:rPr>
                <w:szCs w:val="24"/>
              </w:rPr>
            </w:pPr>
            <w:r w:rsidRPr="008E0367">
              <w:rPr>
                <w:szCs w:val="24"/>
              </w:rPr>
              <w:t>CFitzSimons@frac.org</w:t>
            </w:r>
          </w:p>
        </w:tc>
      </w:tr>
      <w:tr w:rsidR="001A6460" w:rsidRPr="008E0367" w14:paraId="6E009BF6" w14:textId="77777777" w:rsidTr="001E5604">
        <w:trPr>
          <w:trHeight w:val="331"/>
          <w:jc w:val="center"/>
        </w:trPr>
        <w:tc>
          <w:tcPr>
            <w:tcW w:w="1442" w:type="pct"/>
            <w:tcBorders>
              <w:top w:val="single" w:sz="4" w:space="0" w:color="auto"/>
              <w:bottom w:val="single" w:sz="4" w:space="0" w:color="auto"/>
            </w:tcBorders>
            <w:shd w:val="clear" w:color="auto" w:fill="D9D9D9" w:themeFill="background1" w:themeFillShade="D9"/>
          </w:tcPr>
          <w:p w14:paraId="0906927E" w14:textId="57A10A64" w:rsidR="004B3DA3" w:rsidRPr="008E0367" w:rsidRDefault="004B3DA3" w:rsidP="004B3DA3">
            <w:pPr>
              <w:widowControl/>
              <w:overflowPunct/>
              <w:autoSpaceDE/>
              <w:autoSpaceDN/>
              <w:adjustRightInd/>
              <w:textAlignment w:val="auto"/>
              <w:rPr>
                <w:szCs w:val="24"/>
              </w:rPr>
            </w:pPr>
            <w:r>
              <w:rPr>
                <w:szCs w:val="24"/>
              </w:rPr>
              <w:t>FNS Staff</w:t>
            </w:r>
          </w:p>
        </w:tc>
        <w:tc>
          <w:tcPr>
            <w:tcW w:w="2088" w:type="pct"/>
            <w:tcBorders>
              <w:top w:val="single" w:sz="4" w:space="0" w:color="auto"/>
              <w:bottom w:val="single" w:sz="4" w:space="0" w:color="auto"/>
            </w:tcBorders>
            <w:shd w:val="clear" w:color="auto" w:fill="D9D9D9" w:themeFill="background1" w:themeFillShade="D9"/>
          </w:tcPr>
          <w:p w14:paraId="5C2E9881" w14:textId="77777777" w:rsidR="004B3DA3" w:rsidRPr="008E0367" w:rsidRDefault="004B3DA3" w:rsidP="004B3DA3">
            <w:pPr>
              <w:widowControl/>
              <w:overflowPunct/>
              <w:autoSpaceDE/>
              <w:autoSpaceDN/>
              <w:adjustRightInd/>
              <w:textAlignment w:val="auto"/>
              <w:rPr>
                <w:szCs w:val="24"/>
              </w:rPr>
            </w:pPr>
          </w:p>
        </w:tc>
        <w:tc>
          <w:tcPr>
            <w:tcW w:w="1470" w:type="pct"/>
            <w:tcBorders>
              <w:top w:val="single" w:sz="4" w:space="0" w:color="auto"/>
              <w:bottom w:val="single" w:sz="4" w:space="0" w:color="auto"/>
            </w:tcBorders>
            <w:shd w:val="clear" w:color="auto" w:fill="D9D9D9" w:themeFill="background1" w:themeFillShade="D9"/>
          </w:tcPr>
          <w:p w14:paraId="029D7791" w14:textId="77777777" w:rsidR="004B3DA3" w:rsidRPr="008E0367" w:rsidRDefault="004B3DA3" w:rsidP="004B3DA3">
            <w:pPr>
              <w:widowControl/>
              <w:overflowPunct/>
              <w:autoSpaceDE/>
              <w:autoSpaceDN/>
              <w:adjustRightInd/>
              <w:textAlignment w:val="auto"/>
              <w:rPr>
                <w:szCs w:val="24"/>
              </w:rPr>
            </w:pPr>
          </w:p>
        </w:tc>
      </w:tr>
      <w:tr w:rsidR="001A6460" w:rsidRPr="008E0367" w14:paraId="607990A1" w14:textId="77777777" w:rsidTr="001E5604">
        <w:trPr>
          <w:trHeight w:val="331"/>
          <w:jc w:val="center"/>
        </w:trPr>
        <w:tc>
          <w:tcPr>
            <w:tcW w:w="1442" w:type="pct"/>
            <w:tcBorders>
              <w:top w:val="single" w:sz="4" w:space="0" w:color="auto"/>
              <w:bottom w:val="single" w:sz="4" w:space="0" w:color="auto"/>
            </w:tcBorders>
          </w:tcPr>
          <w:p w14:paraId="439458B0" w14:textId="466A2232" w:rsidR="004B3DA3" w:rsidRPr="008E0367" w:rsidRDefault="004B3DA3" w:rsidP="004B3DA3">
            <w:pPr>
              <w:widowControl/>
              <w:overflowPunct/>
              <w:autoSpaceDE/>
              <w:autoSpaceDN/>
              <w:adjustRightInd/>
              <w:textAlignment w:val="auto"/>
              <w:rPr>
                <w:szCs w:val="24"/>
                <w:highlight w:val="yellow"/>
              </w:rPr>
            </w:pPr>
            <w:r>
              <w:rPr>
                <w:szCs w:val="24"/>
              </w:rPr>
              <w:t>Alice Ann Gola</w:t>
            </w:r>
          </w:p>
        </w:tc>
        <w:tc>
          <w:tcPr>
            <w:tcW w:w="2088" w:type="pct"/>
            <w:tcBorders>
              <w:top w:val="single" w:sz="4" w:space="0" w:color="auto"/>
              <w:bottom w:val="single" w:sz="4" w:space="0" w:color="auto"/>
            </w:tcBorders>
          </w:tcPr>
          <w:p w14:paraId="2D1B2B42" w14:textId="5F535CCE" w:rsidR="004B3DA3" w:rsidRPr="008E0367" w:rsidRDefault="004B3DA3" w:rsidP="004B3DA3">
            <w:pPr>
              <w:widowControl/>
              <w:overflowPunct/>
              <w:autoSpaceDE/>
              <w:autoSpaceDN/>
              <w:adjustRightInd/>
              <w:textAlignment w:val="auto"/>
              <w:rPr>
                <w:szCs w:val="24"/>
                <w:highlight w:val="yellow"/>
              </w:rPr>
            </w:pPr>
            <w:r w:rsidRPr="008E0367">
              <w:rPr>
                <w:szCs w:val="24"/>
              </w:rPr>
              <w:t>Social Science Research Analyst</w:t>
            </w:r>
          </w:p>
        </w:tc>
        <w:tc>
          <w:tcPr>
            <w:tcW w:w="1470" w:type="pct"/>
            <w:tcBorders>
              <w:top w:val="single" w:sz="4" w:space="0" w:color="auto"/>
              <w:bottom w:val="single" w:sz="4" w:space="0" w:color="auto"/>
            </w:tcBorders>
          </w:tcPr>
          <w:p w14:paraId="06575C38" w14:textId="38BD7FEC" w:rsidR="004B3DA3" w:rsidRPr="008E0367" w:rsidRDefault="004B3DA3" w:rsidP="004B3DA3">
            <w:pPr>
              <w:widowControl/>
              <w:overflowPunct/>
              <w:autoSpaceDE/>
              <w:autoSpaceDN/>
              <w:adjustRightInd/>
              <w:textAlignment w:val="auto"/>
              <w:rPr>
                <w:szCs w:val="24"/>
                <w:highlight w:val="yellow"/>
              </w:rPr>
            </w:pPr>
            <w:r w:rsidRPr="008E0367">
              <w:rPr>
                <w:szCs w:val="24"/>
              </w:rPr>
              <w:t>703-517-3306</w:t>
            </w:r>
          </w:p>
        </w:tc>
      </w:tr>
      <w:tr w:rsidR="004B3DA3" w:rsidRPr="008E0367" w14:paraId="3B6B4B21" w14:textId="77777777" w:rsidTr="001E5604">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14:paraId="75D65AEE" w14:textId="77777777" w:rsidR="004B3DA3" w:rsidRPr="008E0367" w:rsidRDefault="004B3DA3" w:rsidP="004B3DA3">
            <w:pPr>
              <w:widowControl/>
              <w:overflowPunct/>
              <w:autoSpaceDE/>
              <w:autoSpaceDN/>
              <w:adjustRightInd/>
              <w:textAlignment w:val="auto"/>
              <w:rPr>
                <w:szCs w:val="24"/>
              </w:rPr>
            </w:pPr>
            <w:r w:rsidRPr="008E0367">
              <w:rPr>
                <w:szCs w:val="24"/>
              </w:rPr>
              <w:t>NASS Staff</w:t>
            </w:r>
          </w:p>
        </w:tc>
      </w:tr>
      <w:tr w:rsidR="001A6460" w:rsidRPr="008E0367" w14:paraId="23CACF59" w14:textId="77777777" w:rsidTr="001E5604">
        <w:trPr>
          <w:trHeight w:val="331"/>
          <w:jc w:val="center"/>
        </w:trPr>
        <w:tc>
          <w:tcPr>
            <w:tcW w:w="1442" w:type="pct"/>
            <w:tcBorders>
              <w:top w:val="single" w:sz="4" w:space="0" w:color="auto"/>
              <w:bottom w:val="single" w:sz="4" w:space="0" w:color="auto"/>
            </w:tcBorders>
            <w:shd w:val="clear" w:color="auto" w:fill="auto"/>
          </w:tcPr>
          <w:p w14:paraId="1E2E15C5" w14:textId="61CA356E" w:rsidR="004B3DA3" w:rsidRPr="008E0367" w:rsidRDefault="00C323F0" w:rsidP="004B3DA3">
            <w:pPr>
              <w:widowControl/>
              <w:overflowPunct/>
              <w:autoSpaceDE/>
              <w:autoSpaceDN/>
              <w:adjustRightInd/>
              <w:textAlignment w:val="auto"/>
              <w:rPr>
                <w:szCs w:val="24"/>
              </w:rPr>
            </w:pPr>
            <w:r>
              <w:rPr>
                <w:szCs w:val="24"/>
              </w:rPr>
              <w:t>Edwin And</w:t>
            </w:r>
            <w:r w:rsidRPr="00C323F0">
              <w:rPr>
                <w:szCs w:val="24"/>
              </w:rPr>
              <w:t>erson</w:t>
            </w:r>
            <w:r w:rsidR="004B3DA3" w:rsidRPr="00C323F0">
              <w:rPr>
                <w:szCs w:val="24"/>
              </w:rPr>
              <w:t xml:space="preserve"> </w:t>
            </w:r>
          </w:p>
        </w:tc>
        <w:tc>
          <w:tcPr>
            <w:tcW w:w="2088" w:type="pct"/>
            <w:tcBorders>
              <w:top w:val="single" w:sz="4" w:space="0" w:color="auto"/>
              <w:bottom w:val="single" w:sz="4" w:space="0" w:color="auto"/>
            </w:tcBorders>
          </w:tcPr>
          <w:p w14:paraId="6905E5CE" w14:textId="5AFE7876" w:rsidR="004B3DA3" w:rsidRPr="008E0367" w:rsidDel="00660517" w:rsidRDefault="00F81F95" w:rsidP="00A421D4">
            <w:pPr>
              <w:widowControl/>
              <w:overflowPunct/>
              <w:autoSpaceDE/>
              <w:autoSpaceDN/>
              <w:adjustRightInd/>
              <w:textAlignment w:val="auto"/>
              <w:rPr>
                <w:szCs w:val="24"/>
                <w:highlight w:val="yellow"/>
              </w:rPr>
            </w:pPr>
            <w:r>
              <w:t>Section Head</w:t>
            </w:r>
            <w:r w:rsidR="00A421D4">
              <w:t>, Methodology Branch</w:t>
            </w:r>
          </w:p>
        </w:tc>
        <w:tc>
          <w:tcPr>
            <w:tcW w:w="1470" w:type="pct"/>
            <w:tcBorders>
              <w:top w:val="single" w:sz="4" w:space="0" w:color="auto"/>
              <w:bottom w:val="single" w:sz="4" w:space="0" w:color="auto"/>
            </w:tcBorders>
          </w:tcPr>
          <w:p w14:paraId="224DF55E" w14:textId="554997A2" w:rsidR="004B3DA3" w:rsidRPr="008E0367" w:rsidRDefault="00F81F95" w:rsidP="004B3DA3">
            <w:pPr>
              <w:widowControl/>
              <w:overflowPunct/>
              <w:autoSpaceDE/>
              <w:autoSpaceDN/>
              <w:adjustRightInd/>
              <w:textAlignment w:val="auto"/>
              <w:rPr>
                <w:szCs w:val="24"/>
                <w:highlight w:val="yellow"/>
              </w:rPr>
            </w:pPr>
            <w:r w:rsidRPr="00F81F95">
              <w:rPr>
                <w:szCs w:val="24"/>
              </w:rPr>
              <w:t>202-690-0270</w:t>
            </w:r>
          </w:p>
        </w:tc>
      </w:tr>
    </w:tbl>
    <w:p w14:paraId="0536F1A1" w14:textId="77777777" w:rsidR="00562E04" w:rsidRPr="008E0367" w:rsidRDefault="00562E04" w:rsidP="0020370D">
      <w:pPr>
        <w:widowControl/>
        <w:tabs>
          <w:tab w:val="left" w:pos="1152"/>
        </w:tabs>
        <w:overflowPunct/>
        <w:autoSpaceDE/>
        <w:autoSpaceDN/>
        <w:adjustRightInd/>
        <w:spacing w:line="480" w:lineRule="auto"/>
        <w:textAlignment w:val="auto"/>
        <w:rPr>
          <w:szCs w:val="24"/>
        </w:rPr>
      </w:pPr>
    </w:p>
    <w:sectPr w:rsidR="00562E04" w:rsidRPr="008E0367" w:rsidSect="00CE5CE1">
      <w:footerReference w:type="default" r:id="rId23"/>
      <w:endnotePr>
        <w:numFmt w:val="decimal"/>
      </w:endnotePr>
      <w:pgSz w:w="12240" w:h="15840"/>
      <w:pgMar w:top="1440" w:right="1440" w:bottom="1440" w:left="1440" w:header="144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2018-02-22T15:31:00Z" w:initials="A">
    <w:p w14:paraId="120CAD99" w14:textId="77777777" w:rsidR="005B2336" w:rsidRDefault="005B2336">
      <w:pPr>
        <w:pStyle w:val="CommentText"/>
      </w:pPr>
      <w:r>
        <w:rPr>
          <w:rStyle w:val="CommentReference"/>
        </w:rPr>
        <w:annotationRef/>
      </w:r>
      <w:r>
        <w:t xml:space="preserve">Please insert a date on this page since it’s been updated since November submission. </w:t>
      </w:r>
    </w:p>
  </w:comment>
  <w:comment w:id="7" w:author="Author" w:date="2018-02-22T15:31:00Z" w:initials="A">
    <w:p w14:paraId="5ADE4B44" w14:textId="77777777" w:rsidR="005B2336" w:rsidRPr="00A52967" w:rsidRDefault="005B2336">
      <w:pPr>
        <w:pStyle w:val="CommentText"/>
      </w:pPr>
      <w:r w:rsidRPr="0073578D">
        <w:rPr>
          <w:rStyle w:val="CommentReference"/>
          <w:highlight w:val="yellow"/>
        </w:rPr>
        <w:annotationRef/>
      </w:r>
      <w:r w:rsidRPr="00A52967">
        <w:t xml:space="preserve">I do not see any discussion of how respondents will be selected for the key informant interviews (sponsors, site supervisors, participant caregivers, and nonparticipant caregivers). Supporting Statement A says that individuals will be asked if they want to participate at the end of the preceding survey, but it’s unclear how they will be selected from there. Please clarify. </w:t>
      </w:r>
    </w:p>
    <w:p w14:paraId="1CFA668B" w14:textId="77777777" w:rsidR="005B2336" w:rsidRPr="00974198" w:rsidRDefault="005B2336">
      <w:pPr>
        <w:pStyle w:val="CommentText"/>
        <w:rPr>
          <w:highlight w:val="green"/>
        </w:rPr>
      </w:pPr>
    </w:p>
    <w:p w14:paraId="4D3C991E" w14:textId="2A898B81" w:rsidR="005B2336" w:rsidRDefault="005B2336">
      <w:pPr>
        <w:pStyle w:val="CommentText"/>
      </w:pPr>
      <w:r w:rsidRPr="00A971C1">
        <w:rPr>
          <w:b/>
        </w:rPr>
        <w:t>Response:</w:t>
      </w:r>
      <w:r>
        <w:t xml:space="preserve"> Discussion of sampling procedures used to select qualitative interview respondents has been added to the end of this section. (see track changes on pages 9-10)</w:t>
      </w:r>
    </w:p>
  </w:comment>
  <w:comment w:id="23" w:author="Author" w:date="2018-02-22T15:31:00Z" w:initials="A">
    <w:p w14:paraId="785C926F" w14:textId="77777777" w:rsidR="005B2336" w:rsidRDefault="005B2336">
      <w:pPr>
        <w:pStyle w:val="CommentText"/>
      </w:pPr>
      <w:r>
        <w:rPr>
          <w:rStyle w:val="CommentReference"/>
        </w:rPr>
        <w:annotationRef/>
      </w:r>
      <w:r>
        <w:t>Are the household response rates based on prior experience? Other studies?</w:t>
      </w:r>
    </w:p>
    <w:p w14:paraId="126A97C6" w14:textId="77777777" w:rsidR="005B2336" w:rsidRDefault="005B2336">
      <w:pPr>
        <w:pStyle w:val="CommentText"/>
      </w:pPr>
    </w:p>
    <w:p w14:paraId="1E4D4CB1" w14:textId="18ADA2A3" w:rsidR="005B2336" w:rsidRDefault="005B2336">
      <w:pPr>
        <w:pStyle w:val="CommentText"/>
      </w:pPr>
      <w:r w:rsidRPr="00EB34CA">
        <w:rPr>
          <w:b/>
        </w:rPr>
        <w:t>Response:</w:t>
      </w:r>
      <w:r w:rsidRPr="00EB34CA">
        <w:t xml:space="preserve"> The household response rates are based on prior experience and some speculation. We provide a </w:t>
      </w:r>
      <w:r w:rsidR="00EB34CA">
        <w:t xml:space="preserve">description </w:t>
      </w:r>
      <w:r w:rsidRPr="00EB34CA">
        <w:t xml:space="preserve"> of the assumptions regarding the hou</w:t>
      </w:r>
      <w:r w:rsidR="00EB34CA" w:rsidRPr="00EB34CA">
        <w:t>sehold response rates on page 14</w:t>
      </w:r>
      <w:r w:rsidRPr="00EB34CA">
        <w:t xml:space="preserve">. </w:t>
      </w:r>
    </w:p>
  </w:comment>
  <w:comment w:id="24" w:author="Tracy Vericker" w:date="2018-02-22T15:31:00Z" w:initials="TV">
    <w:p w14:paraId="06CFFA0C" w14:textId="77777777" w:rsidR="005B2336" w:rsidRPr="006007D4" w:rsidRDefault="005B2336" w:rsidP="00B9061C">
      <w:pPr>
        <w:pStyle w:val="CommentText"/>
      </w:pPr>
      <w:r>
        <w:rPr>
          <w:rStyle w:val="CommentReference"/>
        </w:rPr>
        <w:annotationRef/>
      </w:r>
      <w:r w:rsidRPr="008F2C8F">
        <w:rPr>
          <w:b/>
        </w:rPr>
        <w:t>Comment from OMB</w:t>
      </w:r>
      <w:r w:rsidRPr="006007D4">
        <w:t>: Are all nonparticipants eligible to complete the survey? What would the basis for subsampling be? Is FNS going to screen out families that would not be eligible for SFSP?</w:t>
      </w:r>
    </w:p>
    <w:p w14:paraId="14A3E1A0" w14:textId="3AAC1848" w:rsidR="005B2336" w:rsidRPr="006007D4" w:rsidRDefault="005B2336">
      <w:pPr>
        <w:pStyle w:val="CommentText"/>
      </w:pPr>
    </w:p>
    <w:p w14:paraId="772C6608" w14:textId="4E35C713" w:rsidR="005B2336" w:rsidRPr="006007D4" w:rsidRDefault="005B2336">
      <w:pPr>
        <w:pStyle w:val="CommentText"/>
        <w:rPr>
          <w:highlight w:val="green"/>
        </w:rPr>
      </w:pPr>
      <w:r w:rsidRPr="006007D4">
        <w:rPr>
          <w:b/>
        </w:rPr>
        <w:t>Response:</w:t>
      </w:r>
      <w:r w:rsidRPr="006007D4">
        <w:t xml:space="preserve"> No, not all nonparticipants will be eligible to complete the survey.  We will subsample nonparticipants who are eligible from the screener and invite a subsample to take the survey. This subsampling will be done in real time using a sampling algorithm allowing screener respondents to be notified immediately of their eligibility to take the survey In addition, only nonparticipants living in the catchment area of sites are included in the sampling frame.</w:t>
      </w:r>
    </w:p>
  </w:comment>
  <w:comment w:id="25" w:author="Author" w:date="2018-02-22T15:31:00Z" w:initials="A">
    <w:p w14:paraId="6BC5111B" w14:textId="77777777" w:rsidR="005B2336" w:rsidRDefault="005B2336">
      <w:pPr>
        <w:pStyle w:val="CommentText"/>
      </w:pPr>
      <w:r>
        <w:rPr>
          <w:rStyle w:val="CommentReference"/>
        </w:rPr>
        <w:annotationRef/>
      </w:r>
      <w:r>
        <w:t>This will occur after the screener but before the surveys?</w:t>
      </w:r>
    </w:p>
    <w:p w14:paraId="022E1BA5" w14:textId="77777777" w:rsidR="005B2336" w:rsidRDefault="005B2336">
      <w:pPr>
        <w:pStyle w:val="CommentText"/>
      </w:pPr>
    </w:p>
    <w:p w14:paraId="3DE72C88" w14:textId="77777777" w:rsidR="005B2336" w:rsidRDefault="005B2336">
      <w:pPr>
        <w:pStyle w:val="CommentText"/>
      </w:pPr>
      <w:r w:rsidRPr="005B16EA">
        <w:rPr>
          <w:b/>
        </w:rPr>
        <w:t>Response:</w:t>
      </w:r>
      <w:r>
        <w:t xml:space="preserve"> No, the non-response bias analysis and adjustment will occur after the survey.</w:t>
      </w:r>
    </w:p>
  </w:comment>
  <w:comment w:id="54" w:author="Author" w:date="2018-02-22T15:31:00Z" w:initials="A">
    <w:p w14:paraId="00836212" w14:textId="77777777" w:rsidR="005B2336" w:rsidRDefault="005B2336">
      <w:pPr>
        <w:pStyle w:val="CommentText"/>
      </w:pPr>
      <w:r>
        <w:rPr>
          <w:rStyle w:val="CommentReference"/>
        </w:rPr>
        <w:annotationRef/>
      </w:r>
      <w:r>
        <w:t xml:space="preserve">Different from table, which says 1,191. Am I missing something? </w:t>
      </w:r>
    </w:p>
    <w:p w14:paraId="4B560F00" w14:textId="77777777" w:rsidR="005B2336" w:rsidRDefault="005B2336">
      <w:pPr>
        <w:pStyle w:val="CommentText"/>
      </w:pPr>
    </w:p>
    <w:p w14:paraId="3F8A5143" w14:textId="4D2A2763" w:rsidR="005B2336" w:rsidRDefault="005B2336">
      <w:pPr>
        <w:pStyle w:val="CommentText"/>
      </w:pPr>
      <w:r w:rsidRPr="00A6552E">
        <w:rPr>
          <w:b/>
        </w:rPr>
        <w:t>Response:</w:t>
      </w:r>
      <w:r w:rsidRPr="00A6552E">
        <w:t xml:space="preserve"> It is a typo.</w:t>
      </w:r>
      <w:r>
        <w:t xml:space="preserve"> Thank you for pointing this out.</w:t>
      </w:r>
    </w:p>
  </w:comment>
  <w:comment w:id="57" w:author="Author" w:date="2018-02-22T15:31:00Z" w:initials="A">
    <w:p w14:paraId="4780D072" w14:textId="77777777" w:rsidR="005B2336" w:rsidRDefault="005B2336">
      <w:pPr>
        <w:pStyle w:val="CommentText"/>
      </w:pPr>
      <w:r>
        <w:rPr>
          <w:rStyle w:val="CommentReference"/>
        </w:rPr>
        <w:annotationRef/>
      </w:r>
      <w:r>
        <w:t xml:space="preserve">I am unable to follow this and seem to be missing something. 83% of 580 is 481. Then if we assume that 80% of these are associated with the respondent sites, we get the 385 respondent sponsors. I’m not sure where the 551 comes from. </w:t>
      </w:r>
    </w:p>
    <w:p w14:paraId="33C97909" w14:textId="77777777" w:rsidR="005B2336" w:rsidRDefault="005B2336">
      <w:pPr>
        <w:pStyle w:val="CommentText"/>
      </w:pPr>
    </w:p>
    <w:p w14:paraId="53351D05" w14:textId="01C6073D" w:rsidR="005B2336" w:rsidRDefault="005B2336">
      <w:pPr>
        <w:pStyle w:val="CommentText"/>
      </w:pPr>
      <w:r w:rsidRPr="00A6552E">
        <w:rPr>
          <w:b/>
        </w:rPr>
        <w:t>Response:</w:t>
      </w:r>
      <w:r w:rsidRPr="00A6552E">
        <w:t xml:space="preserve"> It is also a typo and should be 481.</w:t>
      </w:r>
    </w:p>
  </w:comment>
  <w:comment w:id="60" w:author="Author" w:date="2018-02-22T15:31:00Z" w:initials="A">
    <w:p w14:paraId="215C7F0B" w14:textId="77777777" w:rsidR="005B2336" w:rsidRDefault="005B2336">
      <w:pPr>
        <w:pStyle w:val="CommentText"/>
      </w:pPr>
      <w:r>
        <w:rPr>
          <w:rStyle w:val="CommentReference"/>
        </w:rPr>
        <w:annotationRef/>
      </w:r>
      <w:r>
        <w:t xml:space="preserve">I’m not following this. The math doesn’t bear out in the table. Can you articulate more clearly? For instance in the SFSP closed site, in the nonparticipant postal sample, 36*280 = 10,080 (double 5,040). </w:t>
      </w:r>
    </w:p>
    <w:p w14:paraId="74828622" w14:textId="77777777" w:rsidR="005B2336" w:rsidRDefault="005B2336">
      <w:pPr>
        <w:pStyle w:val="CommentText"/>
      </w:pPr>
    </w:p>
    <w:p w14:paraId="4E60CEF2" w14:textId="7E8D0342" w:rsidR="005B2336" w:rsidRDefault="005B2336">
      <w:pPr>
        <w:pStyle w:val="CommentText"/>
      </w:pPr>
      <w:r w:rsidRPr="00A6552E">
        <w:rPr>
          <w:b/>
        </w:rPr>
        <w:t>Response:</w:t>
      </w:r>
      <w:r w:rsidRPr="00A6552E">
        <w:t xml:space="preserve"> The number of sites is 140, not 280 for the closed site type. 280 is the number of </w:t>
      </w:r>
      <w:r w:rsidR="00EB34CA">
        <w:t>open sites</w:t>
      </w:r>
    </w:p>
  </w:comment>
  <w:comment w:id="63" w:author="Author" w:date="2018-02-22T15:31:00Z" w:initials="A">
    <w:p w14:paraId="7B2A7BFD" w14:textId="77777777" w:rsidR="005B2336" w:rsidRDefault="005B2336">
      <w:pPr>
        <w:pStyle w:val="CommentText"/>
      </w:pPr>
      <w:r>
        <w:rPr>
          <w:rStyle w:val="CommentReference"/>
        </w:rPr>
        <w:annotationRef/>
      </w:r>
      <w:r>
        <w:t xml:space="preserve">See comment above. </w:t>
      </w:r>
    </w:p>
    <w:p w14:paraId="27E38D20" w14:textId="77777777" w:rsidR="005B2336" w:rsidRDefault="005B2336">
      <w:pPr>
        <w:pStyle w:val="CommentText"/>
      </w:pPr>
    </w:p>
    <w:p w14:paraId="5FA9D3F9" w14:textId="01BB8121" w:rsidR="005B2336" w:rsidRDefault="005B2336">
      <w:pPr>
        <w:pStyle w:val="CommentText"/>
      </w:pPr>
      <w:r w:rsidRPr="00A6552E">
        <w:rPr>
          <w:b/>
        </w:rPr>
        <w:t>Response:</w:t>
      </w:r>
      <w:r w:rsidRPr="00A6552E">
        <w:t xml:space="preserve"> See the response above.</w:t>
      </w:r>
    </w:p>
  </w:comment>
  <w:comment w:id="64" w:author="Author" w:date="2018-02-22T15:31:00Z" w:initials="A">
    <w:p w14:paraId="5AB92A9D" w14:textId="77777777" w:rsidR="005B2336" w:rsidRDefault="005B2336">
      <w:pPr>
        <w:pStyle w:val="CommentText"/>
      </w:pPr>
      <w:r>
        <w:rPr>
          <w:rStyle w:val="CommentReference"/>
        </w:rPr>
        <w:annotationRef/>
      </w:r>
      <w:r>
        <w:t>Note that some of the MDD’s are quite large with smaller sample sizes. Can you contextualize these differences with an example or two of a variable you expect to measure?</w:t>
      </w:r>
    </w:p>
    <w:p w14:paraId="0CA4AF8A" w14:textId="77777777" w:rsidR="005B2336" w:rsidRDefault="005B2336">
      <w:pPr>
        <w:pStyle w:val="CommentText"/>
      </w:pPr>
    </w:p>
    <w:p w14:paraId="24EF0731" w14:textId="367A173E" w:rsidR="005B2336" w:rsidRDefault="005B2336">
      <w:pPr>
        <w:pStyle w:val="CommentText"/>
      </w:pPr>
      <w:r w:rsidRPr="00A6552E">
        <w:rPr>
          <w:b/>
        </w:rPr>
        <w:t>Response:</w:t>
      </w:r>
      <w:r w:rsidRPr="00A6552E">
        <w:t xml:space="preserve"> A sentence is added.</w:t>
      </w:r>
    </w:p>
  </w:comment>
  <w:comment w:id="73" w:author="Author" w:date="2018-02-22T15:31:00Z" w:initials="A">
    <w:p w14:paraId="5C7394EF" w14:textId="77777777" w:rsidR="005B2336" w:rsidRDefault="005B2336">
      <w:pPr>
        <w:pStyle w:val="CommentText"/>
      </w:pPr>
      <w:r>
        <w:rPr>
          <w:rStyle w:val="CommentReference"/>
        </w:rPr>
        <w:annotationRef/>
      </w:r>
      <w:r>
        <w:t xml:space="preserve">So the $2 is going to 112,785 households? </w:t>
      </w:r>
    </w:p>
    <w:p w14:paraId="59257512" w14:textId="77777777" w:rsidR="005B2336" w:rsidRDefault="005B2336">
      <w:pPr>
        <w:pStyle w:val="CommentText"/>
      </w:pPr>
    </w:p>
    <w:p w14:paraId="0D09066A" w14:textId="77777777" w:rsidR="005B2336" w:rsidRDefault="005B2336">
      <w:pPr>
        <w:pStyle w:val="CommentText"/>
      </w:pPr>
      <w:r w:rsidRPr="005B16EA">
        <w:rPr>
          <w:b/>
        </w:rPr>
        <w:t>Response:</w:t>
      </w:r>
      <w:r>
        <w:t xml:space="preserve"> Yes</w:t>
      </w:r>
    </w:p>
  </w:comment>
  <w:comment w:id="74" w:author="Author" w:date="2018-02-22T15:31:00Z" w:initials="A">
    <w:p w14:paraId="0A0823A4" w14:textId="77777777" w:rsidR="005B2336" w:rsidRDefault="005B2336">
      <w:pPr>
        <w:pStyle w:val="CommentText"/>
      </w:pPr>
      <w:r>
        <w:rPr>
          <w:rStyle w:val="CommentReference"/>
        </w:rPr>
        <w:annotationRef/>
      </w:r>
      <w:r>
        <w:t xml:space="preserve">Written? </w:t>
      </w:r>
    </w:p>
    <w:p w14:paraId="754C0492" w14:textId="77777777" w:rsidR="005B2336" w:rsidRDefault="005B2336">
      <w:pPr>
        <w:pStyle w:val="CommentText"/>
      </w:pPr>
    </w:p>
    <w:p w14:paraId="00584583" w14:textId="77777777" w:rsidR="005B2336" w:rsidRDefault="005B2336">
      <w:pPr>
        <w:pStyle w:val="CommentText"/>
      </w:pPr>
      <w:r w:rsidRPr="005B16EA">
        <w:rPr>
          <w:b/>
        </w:rPr>
        <w:t>Response:</w:t>
      </w:r>
      <w:r>
        <w:t xml:space="preserve"> Yes</w:t>
      </w:r>
    </w:p>
  </w:comment>
  <w:comment w:id="76" w:author="Author" w:date="2018-02-22T15:31:00Z" w:initials="A">
    <w:p w14:paraId="2BA04363" w14:textId="77777777" w:rsidR="005B2336" w:rsidRDefault="005B2336">
      <w:pPr>
        <w:pStyle w:val="CommentText"/>
      </w:pPr>
      <w:r>
        <w:rPr>
          <w:rStyle w:val="CommentReference"/>
        </w:rPr>
        <w:annotationRef/>
      </w:r>
      <w:r>
        <w:t>How will you obtain telephone numbers? From screener?</w:t>
      </w:r>
    </w:p>
    <w:p w14:paraId="3E460382" w14:textId="77777777" w:rsidR="005B2336" w:rsidRDefault="005B2336">
      <w:pPr>
        <w:pStyle w:val="CommentText"/>
      </w:pPr>
    </w:p>
    <w:p w14:paraId="1F016433" w14:textId="77777777" w:rsidR="005B2336" w:rsidRDefault="005B2336">
      <w:pPr>
        <w:pStyle w:val="CommentText"/>
      </w:pPr>
      <w:r w:rsidRPr="005B16EA">
        <w:rPr>
          <w:b/>
        </w:rPr>
        <w:t>Response:</w:t>
      </w:r>
      <w:r>
        <w:t xml:space="preserve"> We will have contact information for sponsors and sites from the State lists and/or the Site Operations Survey; we will have caregiver contact information from the SNAP Administrative Data and responses to the screeners.</w:t>
      </w:r>
    </w:p>
  </w:comment>
  <w:comment w:id="75" w:author="Author" w:date="2018-02-22T15:31:00Z" w:initials="A">
    <w:p w14:paraId="758884B3" w14:textId="77777777" w:rsidR="005B2336" w:rsidRPr="00ED02C4" w:rsidRDefault="005B2336">
      <w:pPr>
        <w:pStyle w:val="CommentText"/>
      </w:pPr>
      <w:r w:rsidRPr="005C0BF7">
        <w:rPr>
          <w:rStyle w:val="CommentReference"/>
          <w:highlight w:val="yellow"/>
        </w:rPr>
        <w:annotationRef/>
      </w:r>
      <w:r w:rsidRPr="00ED02C4">
        <w:t>How much would it cost to follow-up by telephone versus offering the post-paid response for survey respondents versus increasing the sample size for the screener / survey?  Please provide total cost estimates for each.  If these calculations can not be completed easily please provide a brief description of the challenges in calculating instead.</w:t>
      </w:r>
    </w:p>
    <w:p w14:paraId="1157BAA5" w14:textId="77777777" w:rsidR="005B2336" w:rsidRPr="00ED02C4" w:rsidRDefault="005B2336">
      <w:pPr>
        <w:pStyle w:val="CommentText"/>
      </w:pPr>
    </w:p>
    <w:p w14:paraId="6DA009E8" w14:textId="53D1295A" w:rsidR="005B2336" w:rsidRDefault="005B2336">
      <w:pPr>
        <w:pStyle w:val="CommentText"/>
      </w:pPr>
      <w:r w:rsidRPr="00ED02C4">
        <w:rPr>
          <w:b/>
        </w:rPr>
        <w:t>Response:</w:t>
      </w:r>
      <w:r w:rsidRPr="00ED02C4">
        <w:t xml:space="preserve"> These are not calculations that can be completed easily.  However, we can say that telephone is not the preferred method of follow-up in in this population, as many people change phone numbers often and/or do not answer the phone (we will also not have phone numbers for all potential respondents). For instance, in a recent survey of SNAP participants, fewer than 2 percent responded by phone; about half responded via paper and half via Web.  Thus, without a post-incentive, we would need to increase the number of screeners mailed to hit the target number of completes. As shown in the tables above, we are mailing 96 screeners (in the Postal group) to achieve 1 survey complete.  The literature suggests that post-survey incentives boost response rates by 5 – 20 percentage points.  Assuming the mid-point, this would suggest that we would need to increase the starting sample by 12.5 percentage points.  While we have not estimated the cost of this option, we can reasonably conclude that this method would cost more than $10 per complete case.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CAD99" w15:done="0"/>
  <w15:commentEx w15:paraId="4D3C991E" w15:done="0"/>
  <w15:commentEx w15:paraId="7E8DB9FA" w15:done="0"/>
  <w15:commentEx w15:paraId="1E4D4CB1" w15:done="0"/>
  <w15:commentEx w15:paraId="772C6608" w15:done="0"/>
  <w15:commentEx w15:paraId="3DE72C88" w15:done="0"/>
  <w15:commentEx w15:paraId="3F8A5143" w15:done="0"/>
  <w15:commentEx w15:paraId="53351D05" w15:done="0"/>
  <w15:commentEx w15:paraId="4E60CEF2" w15:done="0"/>
  <w15:commentEx w15:paraId="5FA9D3F9" w15:done="0"/>
  <w15:commentEx w15:paraId="24EF0731" w15:done="0"/>
  <w15:commentEx w15:paraId="0D09066A" w15:done="0"/>
  <w15:commentEx w15:paraId="00584583" w15:done="0"/>
  <w15:commentEx w15:paraId="1F016433" w15:done="0"/>
  <w15:commentEx w15:paraId="6DA009E8" w15:done="0"/>
  <w15:commentEx w15:paraId="0FB881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439A8" w14:textId="77777777" w:rsidR="005B2336" w:rsidRDefault="005B2336">
      <w:pPr>
        <w:spacing w:line="20" w:lineRule="exact"/>
      </w:pPr>
    </w:p>
  </w:endnote>
  <w:endnote w:type="continuationSeparator" w:id="0">
    <w:p w14:paraId="66609B88" w14:textId="77777777" w:rsidR="005B2336" w:rsidRDefault="005B2336">
      <w:r>
        <w:t xml:space="preserve"> </w:t>
      </w:r>
    </w:p>
  </w:endnote>
  <w:endnote w:type="continuationNotice" w:id="1">
    <w:p w14:paraId="426C33EF" w14:textId="77777777" w:rsidR="005B2336" w:rsidRDefault="005B23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6EE8A" w14:textId="77777777" w:rsidR="005B2336" w:rsidRDefault="005B2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B83E5" w14:textId="556B00A1" w:rsidR="005B2336" w:rsidRPr="001E39AE" w:rsidRDefault="005B2336" w:rsidP="00740B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473486"/>
      <w:docPartObj>
        <w:docPartGallery w:val="Page Numbers (Bottom of Page)"/>
        <w:docPartUnique/>
      </w:docPartObj>
    </w:sdtPr>
    <w:sdtEndPr>
      <w:rPr>
        <w:noProof/>
      </w:rPr>
    </w:sdtEndPr>
    <w:sdtContent>
      <w:p w14:paraId="7514F329" w14:textId="07C7F484" w:rsidR="005B2336" w:rsidRDefault="005B2336">
        <w:pPr>
          <w:pStyle w:val="Footer"/>
          <w:jc w:val="center"/>
        </w:pPr>
        <w:r>
          <w:fldChar w:fldCharType="begin"/>
        </w:r>
        <w:r>
          <w:instrText xml:space="preserve"> PAGE   \* MERGEFORMAT </w:instrText>
        </w:r>
        <w:r>
          <w:fldChar w:fldCharType="separate"/>
        </w:r>
        <w:r w:rsidR="00EB34CA">
          <w:rPr>
            <w:noProof/>
          </w:rPr>
          <w:t>17</w:t>
        </w:r>
        <w:r>
          <w:rPr>
            <w:noProof/>
          </w:rPr>
          <w:fldChar w:fldCharType="end"/>
        </w:r>
      </w:p>
    </w:sdtContent>
  </w:sdt>
  <w:p w14:paraId="33FB280F" w14:textId="77777777" w:rsidR="005B2336" w:rsidRPr="00CE5CE1" w:rsidRDefault="005B2336" w:rsidP="00CE5CE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732508"/>
      <w:docPartObj>
        <w:docPartGallery w:val="Page Numbers (Bottom of Page)"/>
        <w:docPartUnique/>
      </w:docPartObj>
    </w:sdtPr>
    <w:sdtEndPr>
      <w:rPr>
        <w:noProof/>
      </w:rPr>
    </w:sdtEndPr>
    <w:sdtContent>
      <w:p w14:paraId="41E3C372" w14:textId="241D8FCC" w:rsidR="005B2336" w:rsidRPr="001E39AE" w:rsidRDefault="005B2336" w:rsidP="00740B5A">
        <w:pPr>
          <w:pStyle w:val="Footer"/>
          <w:jc w:val="center"/>
        </w:pPr>
        <w:r w:rsidRPr="001E39AE">
          <w:fldChar w:fldCharType="begin"/>
        </w:r>
        <w:r w:rsidRPr="001E39AE">
          <w:instrText xml:space="preserve"> PAGE   \* MERGEFORMAT </w:instrText>
        </w:r>
        <w:r w:rsidRPr="001E39AE">
          <w:fldChar w:fldCharType="separate"/>
        </w:r>
        <w:r w:rsidR="00EB34CA">
          <w:rPr>
            <w:noProof/>
          </w:rPr>
          <w:t>i</w:t>
        </w:r>
        <w:r w:rsidRPr="001E39AE">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04729"/>
      <w:docPartObj>
        <w:docPartGallery w:val="Page Numbers (Bottom of Page)"/>
        <w:docPartUnique/>
      </w:docPartObj>
    </w:sdtPr>
    <w:sdtEndPr>
      <w:rPr>
        <w:rFonts w:ascii="Garamond" w:hAnsi="Garamond"/>
        <w:noProof/>
      </w:rPr>
    </w:sdtEndPr>
    <w:sdtContent>
      <w:p w14:paraId="687DD008" w14:textId="3AE3298B" w:rsidR="005B2336" w:rsidRPr="00377E4A" w:rsidRDefault="005B2336" w:rsidP="00740B5A">
        <w:pPr>
          <w:pStyle w:val="Footer"/>
          <w:jc w:val="center"/>
          <w:rPr>
            <w:rFonts w:ascii="Garamond" w:hAnsi="Garamond"/>
          </w:rPr>
        </w:pPr>
        <w:r w:rsidRPr="00377E4A">
          <w:rPr>
            <w:rFonts w:ascii="Garamond" w:hAnsi="Garamond"/>
          </w:rPr>
          <w:fldChar w:fldCharType="begin"/>
        </w:r>
        <w:r w:rsidRPr="00377E4A">
          <w:rPr>
            <w:rFonts w:ascii="Garamond" w:hAnsi="Garamond"/>
          </w:rPr>
          <w:instrText xml:space="preserve"> PAGE   \* MERGEFORMAT </w:instrText>
        </w:r>
        <w:r w:rsidRPr="00377E4A">
          <w:rPr>
            <w:rFonts w:ascii="Garamond" w:hAnsi="Garamond"/>
          </w:rPr>
          <w:fldChar w:fldCharType="separate"/>
        </w:r>
        <w:r w:rsidR="00EB34CA">
          <w:rPr>
            <w:rFonts w:ascii="Garamond" w:hAnsi="Garamond"/>
            <w:noProof/>
          </w:rPr>
          <w:t>16</w:t>
        </w:r>
        <w:r w:rsidRPr="00377E4A">
          <w:rPr>
            <w:rFonts w:ascii="Garamond" w:hAnsi="Garamond"/>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5664"/>
      <w:docPartObj>
        <w:docPartGallery w:val="Page Numbers (Bottom of Page)"/>
        <w:docPartUnique/>
      </w:docPartObj>
    </w:sdtPr>
    <w:sdtEndPr>
      <w:rPr>
        <w:noProof/>
      </w:rPr>
    </w:sdtEndPr>
    <w:sdtContent>
      <w:p w14:paraId="1A97D7DE" w14:textId="1AA6F37B" w:rsidR="005B2336" w:rsidRPr="001E39AE" w:rsidRDefault="005B2336" w:rsidP="00740B5A">
        <w:pPr>
          <w:pStyle w:val="Footer"/>
          <w:jc w:val="center"/>
        </w:pPr>
        <w:r w:rsidRPr="001E39AE">
          <w:fldChar w:fldCharType="begin"/>
        </w:r>
        <w:r w:rsidRPr="001E39AE">
          <w:instrText xml:space="preserve"> PAGE   \* MERGEFORMAT </w:instrText>
        </w:r>
        <w:r w:rsidRPr="001E39AE">
          <w:fldChar w:fldCharType="separate"/>
        </w:r>
        <w:r w:rsidR="00EB34CA">
          <w:rPr>
            <w:noProof/>
          </w:rPr>
          <w:t>23</w:t>
        </w:r>
        <w:r w:rsidRPr="001E39AE">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4CB0F" w14:textId="77777777" w:rsidR="005B2336" w:rsidRDefault="005B2336">
      <w:r>
        <w:separator/>
      </w:r>
    </w:p>
  </w:footnote>
  <w:footnote w:type="continuationSeparator" w:id="0">
    <w:p w14:paraId="4DC53C3B" w14:textId="77777777" w:rsidR="005B2336" w:rsidRDefault="005B2336">
      <w:r>
        <w:continuationSeparator/>
      </w:r>
    </w:p>
  </w:footnote>
  <w:footnote w:type="continuationNotice" w:id="1">
    <w:p w14:paraId="76988975" w14:textId="77777777" w:rsidR="005B2336" w:rsidRDefault="005B2336"/>
  </w:footnote>
  <w:footnote w:id="2">
    <w:p w14:paraId="6163D7D4" w14:textId="3DE4A63E" w:rsidR="005B2336" w:rsidRPr="00CA030D" w:rsidRDefault="005B2336">
      <w:pPr>
        <w:pStyle w:val="FootnoteText"/>
        <w:rPr>
          <w:sz w:val="20"/>
        </w:rPr>
      </w:pPr>
      <w:r w:rsidRPr="009628F9">
        <w:rPr>
          <w:rStyle w:val="FootnoteReference"/>
          <w:sz w:val="20"/>
        </w:rPr>
        <w:footnoteRef/>
      </w:r>
      <w:r w:rsidRPr="009628F9">
        <w:rPr>
          <w:sz w:val="20"/>
        </w:rPr>
        <w:t xml:space="preserve"> </w:t>
      </w:r>
      <w:r>
        <w:rPr>
          <w:sz w:val="20"/>
        </w:rPr>
        <w:t>T</w:t>
      </w:r>
      <w:r w:rsidRPr="009628F9">
        <w:rPr>
          <w:sz w:val="20"/>
        </w:rPr>
        <w:t>he sample size of 20 States is large enough to achieve representativeness, yet manageable in processing time to accommodate the data collection protocol.</w:t>
      </w:r>
    </w:p>
  </w:footnote>
  <w:footnote w:id="3">
    <w:p w14:paraId="3897CC7D" w14:textId="75BA9164" w:rsidR="005B2336" w:rsidRPr="00FA7E24" w:rsidRDefault="005B2336">
      <w:pPr>
        <w:pStyle w:val="FootnoteText"/>
        <w:rPr>
          <w:sz w:val="20"/>
        </w:rPr>
      </w:pPr>
      <w:r>
        <w:rPr>
          <w:rStyle w:val="FootnoteReference"/>
        </w:rPr>
        <w:footnoteRef/>
      </w:r>
      <w:r>
        <w:t xml:space="preserve"> </w:t>
      </w:r>
      <w:r w:rsidRPr="00FA7E24">
        <w:rPr>
          <w:sz w:val="20"/>
        </w:rPr>
        <w:t>We expect an 8</w:t>
      </w:r>
      <w:r>
        <w:rPr>
          <w:sz w:val="20"/>
        </w:rPr>
        <w:t>3</w:t>
      </w:r>
      <w:r w:rsidRPr="00FA7E24">
        <w:rPr>
          <w:sz w:val="20"/>
        </w:rPr>
        <w:t>% response rate from States based on a similar State</w:t>
      </w:r>
      <w:r>
        <w:rPr>
          <w:sz w:val="20"/>
        </w:rPr>
        <w:t xml:space="preserve"> SNAP caseload</w:t>
      </w:r>
      <w:r w:rsidRPr="00FA7E24">
        <w:rPr>
          <w:sz w:val="20"/>
        </w:rPr>
        <w:t xml:space="preserve"> data request for the Evaluation of Food Insecurity Nutrition Incentives</w:t>
      </w:r>
      <w:r>
        <w:rPr>
          <w:sz w:val="20"/>
        </w:rPr>
        <w:t>, in which</w:t>
      </w:r>
      <w:r w:rsidRPr="00FA7E24">
        <w:rPr>
          <w:sz w:val="20"/>
        </w:rPr>
        <w:t xml:space="preserve"> 26 States were recruited and 22 agreed to participate and provided data</w:t>
      </w:r>
      <w:r>
        <w:rPr>
          <w:sz w:val="20"/>
        </w:rPr>
        <w:t xml:space="preserve">, resulting in an </w:t>
      </w:r>
      <w:r w:rsidRPr="00FA7E24">
        <w:rPr>
          <w:sz w:val="20"/>
        </w:rPr>
        <w:t>85</w:t>
      </w:r>
      <w:r w:rsidRPr="00B12EA3">
        <w:rPr>
          <w:sz w:val="20"/>
        </w:rPr>
        <w:t xml:space="preserve">% </w:t>
      </w:r>
      <w:r w:rsidRPr="00FA7E24">
        <w:rPr>
          <w:sz w:val="20"/>
        </w:rPr>
        <w:t>response rate.</w:t>
      </w:r>
      <w:r>
        <w:rPr>
          <w:sz w:val="20"/>
        </w:rPr>
        <w:t xml:space="preserve"> For this study, we aim to recruit 20 States. An 85 percent response rate would yield an initial sample of 23.5 States. We round up to 24 States, resulting in an 83 percent response rate.</w:t>
      </w:r>
    </w:p>
  </w:footnote>
  <w:footnote w:id="4">
    <w:p w14:paraId="10E219B0" w14:textId="2D0E92DE" w:rsidR="005B2336" w:rsidRPr="007D6970" w:rsidRDefault="005B2336" w:rsidP="007D6970">
      <w:pPr>
        <w:pStyle w:val="FootnoteText"/>
      </w:pPr>
      <w:r w:rsidRPr="00FA7E24">
        <w:rPr>
          <w:rStyle w:val="FootnoteReference"/>
          <w:sz w:val="20"/>
        </w:rPr>
        <w:footnoteRef/>
      </w:r>
      <w:r w:rsidRPr="00FA7E24">
        <w:rPr>
          <w:sz w:val="20"/>
        </w:rPr>
        <w:t xml:space="preserve"> Based on 2015 and 2016 SFSP site lists from Iowa, Michigan</w:t>
      </w:r>
      <w:r>
        <w:rPr>
          <w:sz w:val="20"/>
        </w:rPr>
        <w:t>,</w:t>
      </w:r>
      <w:r w:rsidRPr="00FA7E24">
        <w:rPr>
          <w:sz w:val="20"/>
        </w:rPr>
        <w:t xml:space="preserve"> North Carolina, Pennsylvania, and Texas, we estimate that 64 percent of the total 2018 site population will consist of continuing sites (those that participated in SFSP/SSO in 2017) and the remaining 36 percent will be new sites.</w:t>
      </w:r>
    </w:p>
  </w:footnote>
  <w:footnote w:id="5">
    <w:p w14:paraId="0895F116" w14:textId="0EB38782" w:rsidR="005B2336" w:rsidRPr="00B130FF" w:rsidRDefault="005B2336" w:rsidP="0014693A">
      <w:pPr>
        <w:pStyle w:val="FootnoteText"/>
        <w:rPr>
          <w:sz w:val="20"/>
        </w:rPr>
      </w:pPr>
      <w:r w:rsidRPr="00B130FF">
        <w:rPr>
          <w:rStyle w:val="FootnoteReference"/>
          <w:sz w:val="20"/>
        </w:rPr>
        <w:footnoteRef/>
      </w:r>
      <w:r w:rsidRPr="00B130FF">
        <w:rPr>
          <w:sz w:val="20"/>
        </w:rPr>
        <w:t xml:space="preserve"> We expect that the 2018 site frame consists of 64 percent continuing sites and 36 percent new sites, and that 75 percent of new sites will be included in the new site frame. Therefore, the survey coverage by the continuing and new sites in the frame is expected to be 91 percent (= 64+3</w:t>
      </w:r>
      <w:r>
        <w:rPr>
          <w:sz w:val="20"/>
        </w:rPr>
        <w:t>6</w:t>
      </w:r>
      <w:r w:rsidRPr="00B130FF">
        <w:rPr>
          <w:sz w:val="20"/>
        </w:rPr>
        <w:t>*0.75).</w:t>
      </w:r>
    </w:p>
  </w:footnote>
  <w:footnote w:id="6">
    <w:p w14:paraId="4B597952" w14:textId="54F977C7" w:rsidR="005B2336" w:rsidRPr="00B130FF" w:rsidRDefault="005B2336" w:rsidP="001E39AE">
      <w:pPr>
        <w:pStyle w:val="FootnoteText"/>
        <w:rPr>
          <w:sz w:val="20"/>
        </w:rPr>
      </w:pPr>
      <w:r w:rsidRPr="00B130FF">
        <w:rPr>
          <w:rStyle w:val="FootnoteReference"/>
          <w:sz w:val="20"/>
        </w:rPr>
        <w:footnoteRef/>
      </w:r>
      <w:r w:rsidRPr="00B130FF">
        <w:rPr>
          <w:sz w:val="20"/>
        </w:rPr>
        <w:t xml:space="preserve"> The margin of error is defined as the half-length of the 95 percent confidence interval.</w:t>
      </w:r>
    </w:p>
  </w:footnote>
  <w:footnote w:id="7">
    <w:p w14:paraId="429012DC" w14:textId="66085B1A" w:rsidR="005B2336" w:rsidRPr="00B130FF" w:rsidRDefault="005B2336" w:rsidP="001E39AE">
      <w:pPr>
        <w:pStyle w:val="FootnoteText"/>
        <w:rPr>
          <w:sz w:val="20"/>
        </w:rPr>
      </w:pPr>
      <w:r w:rsidRPr="00B130FF">
        <w:rPr>
          <w:rStyle w:val="FootnoteReference"/>
          <w:sz w:val="20"/>
        </w:rPr>
        <w:footnoteRef/>
      </w:r>
      <w:r w:rsidRPr="00B130FF">
        <w:rPr>
          <w:sz w:val="20"/>
        </w:rPr>
        <w:t xml:space="preserve"> Important subgroups include subgroups defined by site type (open vs. closed), site location (urban vs. rural), SSO status (SSO vs. non-SSO), and School Food Authority (SFA) status (SFA vs. non-SFA).</w:t>
      </w:r>
    </w:p>
  </w:footnote>
  <w:footnote w:id="8">
    <w:p w14:paraId="2469C989" w14:textId="15AE3471" w:rsidR="005B2336" w:rsidRPr="00FA7E24" w:rsidRDefault="005B2336">
      <w:pPr>
        <w:pStyle w:val="FootnoteText"/>
        <w:rPr>
          <w:sz w:val="20"/>
        </w:rPr>
      </w:pPr>
      <w:r>
        <w:rPr>
          <w:rStyle w:val="FootnoteReference"/>
        </w:rPr>
        <w:footnoteRef/>
      </w:r>
      <w:r>
        <w:t xml:space="preserve"> </w:t>
      </w:r>
      <w:r w:rsidRPr="00FA7E24">
        <w:rPr>
          <w:sz w:val="20"/>
        </w:rPr>
        <w:t>The total number of SFSP sites in 2016 was obtained from the FNS National Databank. The number of SSO sites in 2016 was provided in a correspondence from FNS dated May 5, 2017.</w:t>
      </w:r>
    </w:p>
  </w:footnote>
  <w:footnote w:id="9">
    <w:p w14:paraId="03CC3B3F" w14:textId="42A24676" w:rsidR="005B2336" w:rsidRPr="00FA7E24" w:rsidRDefault="005B2336" w:rsidP="00A274EC">
      <w:pPr>
        <w:pStyle w:val="FootnoteText"/>
        <w:rPr>
          <w:sz w:val="20"/>
        </w:rPr>
      </w:pPr>
      <w:r w:rsidRPr="00FA7E24">
        <w:rPr>
          <w:rStyle w:val="FootnoteReference"/>
          <w:sz w:val="20"/>
        </w:rPr>
        <w:footnoteRef/>
      </w:r>
      <w:r w:rsidRPr="00FA7E24">
        <w:rPr>
          <w:sz w:val="20"/>
        </w:rPr>
        <w:t xml:space="preserve"> </w:t>
      </w:r>
      <w:r>
        <w:rPr>
          <w:sz w:val="20"/>
        </w:rPr>
        <w:t>A 75%</w:t>
      </w:r>
      <w:r w:rsidRPr="00FA7E24">
        <w:rPr>
          <w:sz w:val="20"/>
        </w:rPr>
        <w:t xml:space="preserve"> response rate </w:t>
      </w:r>
      <w:r>
        <w:rPr>
          <w:sz w:val="20"/>
        </w:rPr>
        <w:t xml:space="preserve">was </w:t>
      </w:r>
      <w:r w:rsidRPr="00FA7E24">
        <w:rPr>
          <w:sz w:val="20"/>
        </w:rPr>
        <w:t xml:space="preserve">achieved </w:t>
      </w:r>
      <w:r>
        <w:rPr>
          <w:sz w:val="20"/>
        </w:rPr>
        <w:t xml:space="preserve">in </w:t>
      </w:r>
      <w:r w:rsidRPr="00FA7E24">
        <w:rPr>
          <w:i/>
          <w:sz w:val="20"/>
        </w:rPr>
        <w:t>Evaluation of the Summer Food Service Program Participant Characteristics</w:t>
      </w:r>
      <w:r w:rsidRPr="00A274EC">
        <w:rPr>
          <w:sz w:val="20"/>
        </w:rPr>
        <w:t> (OMB Control No. 0584-0595, Expiration Date 08/31/2016)</w:t>
      </w:r>
      <w:r>
        <w:rPr>
          <w:sz w:val="20"/>
        </w:rPr>
        <w:t>.</w:t>
      </w:r>
    </w:p>
  </w:footnote>
  <w:footnote w:id="10">
    <w:p w14:paraId="4EC3DFFE" w14:textId="1C18426F" w:rsidR="005B2336" w:rsidRPr="00B130FF" w:rsidRDefault="005B2336" w:rsidP="00340A25">
      <w:pPr>
        <w:rPr>
          <w:sz w:val="20"/>
        </w:rPr>
      </w:pPr>
      <w:r w:rsidRPr="00B130FF">
        <w:rPr>
          <w:rStyle w:val="FootnoteReference"/>
          <w:sz w:val="20"/>
        </w:rPr>
        <w:footnoteRef/>
      </w:r>
      <w:r>
        <w:rPr>
          <w:sz w:val="20"/>
        </w:rPr>
        <w:t>Accessed on September 11, 2017 from</w:t>
      </w:r>
      <w:r w:rsidRPr="00B130FF">
        <w:rPr>
          <w:sz w:val="20"/>
        </w:rPr>
        <w:t xml:space="preserve"> </w:t>
      </w:r>
      <w:hyperlink r:id="rId1" w:history="1">
        <w:r w:rsidRPr="00B130FF">
          <w:rPr>
            <w:rStyle w:val="Hyperlink"/>
            <w:sz w:val="20"/>
          </w:rPr>
          <w:t>https://www.nhc.fns.usda.gov/nhc/national-hunger-organizations</w:t>
        </w:r>
      </w:hyperlink>
      <w:r>
        <w:rPr>
          <w:rStyle w:val="Hyperlink"/>
          <w:sz w:val="20"/>
        </w:rPr>
        <w:t>.</w:t>
      </w:r>
    </w:p>
  </w:footnote>
  <w:footnote w:id="11">
    <w:p w14:paraId="6FF6F367" w14:textId="18FAC69D" w:rsidR="005B2336" w:rsidRDefault="005B2336">
      <w:pPr>
        <w:pStyle w:val="FootnoteText"/>
      </w:pPr>
      <w:r>
        <w:rPr>
          <w:rStyle w:val="FootnoteReference"/>
        </w:rPr>
        <w:footnoteRef/>
      </w:r>
      <w:r>
        <w:t xml:space="preserve"> </w:t>
      </w:r>
      <w:r w:rsidRPr="00FA7E24">
        <w:rPr>
          <w:sz w:val="20"/>
        </w:rPr>
        <w:t>The number of sponsors linked to the sample</w:t>
      </w:r>
      <w:r>
        <w:rPr>
          <w:sz w:val="20"/>
        </w:rPr>
        <w:t>d</w:t>
      </w:r>
      <w:r w:rsidRPr="00FA7E24">
        <w:rPr>
          <w:sz w:val="20"/>
        </w:rPr>
        <w:t xml:space="preserve"> sites was estimated by running </w:t>
      </w:r>
      <w:r>
        <w:rPr>
          <w:sz w:val="20"/>
        </w:rPr>
        <w:t xml:space="preserve">a </w:t>
      </w:r>
      <w:r w:rsidRPr="00FA7E24">
        <w:rPr>
          <w:sz w:val="20"/>
        </w:rPr>
        <w:t>sampling experiment</w:t>
      </w:r>
      <w:r>
        <w:rPr>
          <w:sz w:val="20"/>
        </w:rPr>
        <w:t xml:space="preserve"> using 2017 data from the National Hunger Clearinghouse</w:t>
      </w:r>
      <w:r w:rsidRPr="00FA7E24">
        <w:rPr>
          <w:sz w:val="20"/>
        </w:rPr>
        <w:t>.</w:t>
      </w:r>
    </w:p>
  </w:footnote>
  <w:footnote w:id="12">
    <w:p w14:paraId="3CFE0B8C" w14:textId="7DD450EE" w:rsidR="005B2336" w:rsidRDefault="005B2336">
      <w:pPr>
        <w:pStyle w:val="FootnoteText"/>
      </w:pPr>
      <w:r>
        <w:rPr>
          <w:rStyle w:val="FootnoteReference"/>
        </w:rPr>
        <w:footnoteRef/>
      </w:r>
      <w:r>
        <w:t xml:space="preserve"> </w:t>
      </w:r>
      <w:r w:rsidRPr="00FA7E24">
        <w:rPr>
          <w:sz w:val="20"/>
        </w:rPr>
        <w:t xml:space="preserve">This assumption is based on the response rate achieved in </w:t>
      </w:r>
      <w:r w:rsidRPr="00FA7E24">
        <w:rPr>
          <w:i/>
          <w:sz w:val="20"/>
        </w:rPr>
        <w:t>Evaluation of the Summer Food Service Program Participant Characteristics</w:t>
      </w:r>
      <w:r w:rsidRPr="00FA7E24">
        <w:rPr>
          <w:sz w:val="20"/>
        </w:rPr>
        <w:t xml:space="preserve"> (OMB Control No. 0584-0595, Expiration Date 08/31/2016).</w:t>
      </w:r>
    </w:p>
  </w:footnote>
  <w:footnote w:id="13">
    <w:p w14:paraId="09F1D7B6" w14:textId="49033F5D" w:rsidR="005B2336" w:rsidRPr="00B130FF" w:rsidRDefault="005B2336">
      <w:pPr>
        <w:pStyle w:val="FootnoteText"/>
        <w:rPr>
          <w:sz w:val="20"/>
        </w:rPr>
      </w:pPr>
      <w:r w:rsidRPr="00B130FF">
        <w:rPr>
          <w:rStyle w:val="FootnoteReference"/>
          <w:sz w:val="20"/>
        </w:rPr>
        <w:footnoteRef/>
      </w:r>
      <w:r w:rsidRPr="00B130FF">
        <w:rPr>
          <w:sz w:val="20"/>
        </w:rPr>
        <w:t xml:space="preserve"> </w:t>
      </w:r>
      <w:r>
        <w:rPr>
          <w:sz w:val="20"/>
        </w:rPr>
        <w:t>T</w:t>
      </w:r>
      <w:r w:rsidRPr="00B130FF">
        <w:rPr>
          <w:sz w:val="20"/>
        </w:rPr>
        <w:t xml:space="preserve">he </w:t>
      </w:r>
      <w:hyperlink r:id="rId2" w:history="1">
        <w:r w:rsidRPr="00B130FF">
          <w:rPr>
            <w:sz w:val="20"/>
          </w:rPr>
          <w:t>USDA Food Access Research Atlas</w:t>
        </w:r>
      </w:hyperlink>
      <w:r w:rsidRPr="00B130FF">
        <w:rPr>
          <w:sz w:val="20"/>
        </w:rPr>
        <w:t xml:space="preserve"> uses 1 mile urban and 10 miles rural to define areas with low food access. </w:t>
      </w:r>
      <w:r>
        <w:rPr>
          <w:sz w:val="20"/>
        </w:rPr>
        <w:t xml:space="preserve">Our investigation indicates the 10 miles creates rural catchment areas that are too large as they are more than seven times larger, on average, than urban catchment areas defined by 1 mile. Moreover, they substantially overlap with urban areas. We will use a 5-mile catchment area for rural sites, which makes rural catchment areas 1.4 times larger than urban ones in terms of the number of households. </w:t>
      </w:r>
    </w:p>
  </w:footnote>
  <w:footnote w:id="14">
    <w:p w14:paraId="77881732" w14:textId="19A0B27B" w:rsidR="005B2336" w:rsidRPr="00506668" w:rsidRDefault="005B2336">
      <w:pPr>
        <w:pStyle w:val="FootnoteText"/>
        <w:rPr>
          <w:sz w:val="20"/>
        </w:rPr>
      </w:pPr>
      <w:r>
        <w:rPr>
          <w:rStyle w:val="FootnoteReference"/>
        </w:rPr>
        <w:footnoteRef/>
      </w:r>
      <w:r>
        <w:t xml:space="preserve"> </w:t>
      </w:r>
      <w:r w:rsidRPr="00506668">
        <w:rPr>
          <w:sz w:val="20"/>
        </w:rPr>
        <w:t xml:space="preserve">An example of a closed site with restriction </w:t>
      </w:r>
      <w:r>
        <w:rPr>
          <w:sz w:val="20"/>
        </w:rPr>
        <w:t>for</w:t>
      </w:r>
      <w:r w:rsidRPr="00506668">
        <w:rPr>
          <w:sz w:val="20"/>
        </w:rPr>
        <w:t xml:space="preserve"> participation is a sports camp, which admits only children </w:t>
      </w:r>
      <w:r>
        <w:rPr>
          <w:sz w:val="20"/>
        </w:rPr>
        <w:t>of</w:t>
      </w:r>
      <w:r w:rsidRPr="00506668">
        <w:rPr>
          <w:sz w:val="20"/>
        </w:rPr>
        <w:t xml:space="preserve"> a certain age group.</w:t>
      </w:r>
    </w:p>
  </w:footnote>
  <w:footnote w:id="15">
    <w:p w14:paraId="503C4724" w14:textId="5C33FFCC" w:rsidR="005B2336" w:rsidRPr="00FA7E24" w:rsidRDefault="005B2336" w:rsidP="00A57B23">
      <w:pPr>
        <w:pStyle w:val="FootnoteText"/>
        <w:rPr>
          <w:sz w:val="20"/>
        </w:rPr>
      </w:pPr>
      <w:r w:rsidRPr="00FA7E24">
        <w:rPr>
          <w:rStyle w:val="FootnoteReference"/>
          <w:sz w:val="20"/>
        </w:rPr>
        <w:footnoteRef/>
      </w:r>
      <w:r w:rsidRPr="00B11FBF">
        <w:rPr>
          <w:sz w:val="20"/>
        </w:rPr>
        <w:t xml:space="preserve"> </w:t>
      </w:r>
      <w:r w:rsidRPr="00FA7E24">
        <w:rPr>
          <w:sz w:val="20"/>
        </w:rPr>
        <w:t>Screening is not necessary for the onsite or enrolled groups.</w:t>
      </w:r>
      <w:r w:rsidRPr="00B11FBF">
        <w:rPr>
          <w:sz w:val="20"/>
        </w:rPr>
        <w:t xml:space="preserve"> In all other groups, screening will be used to determine </w:t>
      </w:r>
      <w:r w:rsidRPr="00FA7E24">
        <w:rPr>
          <w:sz w:val="20"/>
        </w:rPr>
        <w:t xml:space="preserve">the </w:t>
      </w:r>
      <w:r w:rsidRPr="00B11FBF">
        <w:rPr>
          <w:sz w:val="20"/>
        </w:rPr>
        <w:t>eligib</w:t>
      </w:r>
      <w:r>
        <w:rPr>
          <w:sz w:val="20"/>
        </w:rPr>
        <w:t xml:space="preserve">ility </w:t>
      </w:r>
      <w:r w:rsidRPr="00FA7E24">
        <w:rPr>
          <w:sz w:val="20"/>
        </w:rPr>
        <w:t>of households</w:t>
      </w:r>
      <w:r w:rsidRPr="00B972EC">
        <w:rPr>
          <w:sz w:val="20"/>
        </w:rPr>
        <w:t>.</w:t>
      </w:r>
    </w:p>
  </w:footnote>
  <w:footnote w:id="16">
    <w:p w14:paraId="10864391" w14:textId="6197C2B9" w:rsidR="005B2336" w:rsidRPr="00FA7E24" w:rsidRDefault="005B2336">
      <w:pPr>
        <w:pStyle w:val="FootnoteText"/>
        <w:rPr>
          <w:sz w:val="20"/>
        </w:rPr>
      </w:pPr>
      <w:r w:rsidRPr="00FA7E24">
        <w:rPr>
          <w:rStyle w:val="FootnoteReference"/>
          <w:sz w:val="20"/>
        </w:rPr>
        <w:footnoteRef/>
      </w:r>
      <w:r w:rsidRPr="00FA7E24">
        <w:rPr>
          <w:sz w:val="20"/>
        </w:rPr>
        <w:t xml:space="preserve"> We will use the U.S. Census Bureau’s definition of an urban area</w:t>
      </w:r>
      <w:r>
        <w:rPr>
          <w:sz w:val="20"/>
        </w:rPr>
        <w:t>. Census defines an urban area</w:t>
      </w:r>
      <w:r w:rsidRPr="00FA7E24">
        <w:rPr>
          <w:sz w:val="20"/>
        </w:rPr>
        <w:t xml:space="preserve"> as one that has at least 2,500 people.  Rural includes a</w:t>
      </w:r>
      <w:r w:rsidRPr="00C178DE">
        <w:rPr>
          <w:sz w:val="20"/>
        </w:rPr>
        <w:t>ll areas that are not included in</w:t>
      </w:r>
      <w:r w:rsidRPr="00FA7E24">
        <w:rPr>
          <w:sz w:val="20"/>
        </w:rPr>
        <w:t xml:space="preserve"> an urban area.</w:t>
      </w:r>
    </w:p>
  </w:footnote>
  <w:footnote w:id="17">
    <w:p w14:paraId="1EA62CF4" w14:textId="21529966" w:rsidR="005B2336" w:rsidRPr="00B130FF" w:rsidRDefault="005B2336">
      <w:pPr>
        <w:pStyle w:val="FootnoteText"/>
        <w:rPr>
          <w:sz w:val="20"/>
        </w:rPr>
      </w:pPr>
      <w:r w:rsidRPr="00B130FF">
        <w:rPr>
          <w:rStyle w:val="FootnoteReference"/>
          <w:sz w:val="20"/>
        </w:rPr>
        <w:footnoteRef/>
      </w:r>
      <w:r w:rsidRPr="00B130FF">
        <w:rPr>
          <w:sz w:val="20"/>
        </w:rPr>
        <w:t xml:space="preserve"> The raking technique allocates the internal cells by ensuring the predetermined marginal cell sizes for one dimension at a time in iteration. The iteration stops when all dimensional marginal cells have the desired cell sizes.</w:t>
      </w:r>
    </w:p>
  </w:footnote>
  <w:footnote w:id="18">
    <w:p w14:paraId="0F2157F2" w14:textId="4219D55E" w:rsidR="005B2336" w:rsidRDefault="005B2336">
      <w:pPr>
        <w:pStyle w:val="FootnoteText"/>
      </w:pPr>
      <w:r>
        <w:rPr>
          <w:rStyle w:val="FootnoteReference"/>
        </w:rPr>
        <w:footnoteRef/>
      </w:r>
      <w:r>
        <w:t xml:space="preserve"> </w:t>
      </w:r>
      <w:r w:rsidRPr="00A6552E">
        <w:rPr>
          <w:sz w:val="20"/>
        </w:rPr>
        <w:t>Gordon, A., Briefel, R., and Allhouse, J. (2003). Feeding low-income children when school is out – the Summer Food Service program: Executive Summary Food Assistance and Nutrition Research Report No. (FANRR-30).</w:t>
      </w:r>
    </w:p>
  </w:footnote>
  <w:footnote w:id="19">
    <w:p w14:paraId="7F455551" w14:textId="51E91371" w:rsidR="005B2336" w:rsidRPr="00B130FF" w:rsidRDefault="005B2336">
      <w:pPr>
        <w:pStyle w:val="FootnoteText"/>
        <w:rPr>
          <w:sz w:val="20"/>
        </w:rPr>
      </w:pPr>
      <w:r w:rsidRPr="00B130FF">
        <w:rPr>
          <w:rStyle w:val="FootnoteReference"/>
          <w:sz w:val="20"/>
        </w:rPr>
        <w:footnoteRef/>
      </w:r>
      <w:r w:rsidRPr="00B130FF">
        <w:rPr>
          <w:sz w:val="20"/>
        </w:rPr>
        <w:t xml:space="preserve"> The multiplicity-adjusted weight of a sponsor is given by the ratio of the sum of weights of sites associated with the sponsor to the total number of sites under the sponsor.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A5796" w14:textId="77777777" w:rsidR="005B2336" w:rsidRDefault="005B2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A9445" w14:textId="4DCB4804" w:rsidR="005B2336" w:rsidRDefault="005B2336" w:rsidP="00156286">
    <w:pPr>
      <w:pStyle w:val="Header"/>
      <w:tabs>
        <w:tab w:val="clear" w:pos="4320"/>
        <w:tab w:val="clear" w:pos="8640"/>
        <w:tab w:val="left" w:pos="3204"/>
      </w:tabs>
    </w:pPr>
  </w:p>
  <w:p w14:paraId="0A9696CD" w14:textId="12EE042D" w:rsidR="005B2336" w:rsidRDefault="005B2336" w:rsidP="00156286">
    <w:pPr>
      <w:pStyle w:val="Header"/>
      <w:tabs>
        <w:tab w:val="clear" w:pos="4320"/>
        <w:tab w:val="clear" w:pos="8640"/>
        <w:tab w:val="left" w:pos="3204"/>
      </w:tabs>
    </w:pPr>
  </w:p>
  <w:p w14:paraId="5022E1ED" w14:textId="39E484B4" w:rsidR="005B2336" w:rsidRDefault="005B2336" w:rsidP="00156286">
    <w:pPr>
      <w:pStyle w:val="Header"/>
      <w:tabs>
        <w:tab w:val="clear" w:pos="4320"/>
        <w:tab w:val="clear" w:pos="8640"/>
        <w:tab w:val="left" w:pos="3204"/>
      </w:tabs>
    </w:pPr>
  </w:p>
  <w:p w14:paraId="0EC3C788" w14:textId="223B14AB" w:rsidR="005B2336" w:rsidRDefault="005B2336" w:rsidP="00156286">
    <w:pPr>
      <w:pStyle w:val="Header"/>
      <w:tabs>
        <w:tab w:val="clear" w:pos="4320"/>
        <w:tab w:val="clear" w:pos="8640"/>
        <w:tab w:val="left" w:pos="3204"/>
      </w:tabs>
    </w:pPr>
  </w:p>
  <w:p w14:paraId="4F94B7E4" w14:textId="77777777" w:rsidR="005B2336" w:rsidRDefault="005B2336" w:rsidP="00156286">
    <w:pPr>
      <w:pStyle w:val="Header"/>
      <w:tabs>
        <w:tab w:val="clear" w:pos="4320"/>
        <w:tab w:val="clear" w:pos="8640"/>
        <w:tab w:val="left" w:pos="3204"/>
      </w:tabs>
    </w:pPr>
  </w:p>
  <w:p w14:paraId="2F59FEAE" w14:textId="77777777" w:rsidR="005B2336" w:rsidRDefault="005B2336" w:rsidP="00156286">
    <w:pPr>
      <w:pStyle w:val="Header"/>
      <w:tabs>
        <w:tab w:val="clear" w:pos="4320"/>
        <w:tab w:val="clear" w:pos="8640"/>
        <w:tab w:val="left" w:pos="320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35E12" w14:textId="77777777" w:rsidR="005B2336" w:rsidRDefault="005B23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40D38" w14:textId="77777777" w:rsidR="005B2336" w:rsidRDefault="005B2336" w:rsidP="00156286">
    <w:pPr>
      <w:pStyle w:val="Header"/>
      <w:tabs>
        <w:tab w:val="clear" w:pos="4320"/>
        <w:tab w:val="clear" w:pos="8640"/>
        <w:tab w:val="left" w:pos="32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3CD4F6C"/>
    <w:multiLevelType w:val="hybridMultilevel"/>
    <w:tmpl w:val="69F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A12030"/>
    <w:multiLevelType w:val="hybridMultilevel"/>
    <w:tmpl w:val="F58EF4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B118E3"/>
    <w:multiLevelType w:val="hybridMultilevel"/>
    <w:tmpl w:val="CA4C6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E87D10"/>
    <w:multiLevelType w:val="hybridMultilevel"/>
    <w:tmpl w:val="FB768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CA42C0"/>
    <w:multiLevelType w:val="hybridMultilevel"/>
    <w:tmpl w:val="EFC0222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5">
    <w:nsid w:val="7A6D6A36"/>
    <w:multiLevelType w:val="singleLevel"/>
    <w:tmpl w:val="C192771C"/>
    <w:lvl w:ilvl="0">
      <w:start w:val="2"/>
      <w:numFmt w:val="decimal"/>
      <w:pStyle w:val="N1-1stBullet"/>
      <w:lvlText w:val="(%1) "/>
      <w:legacy w:legacy="1" w:legacySpace="0" w:legacyIndent="360"/>
      <w:lvlJc w:val="left"/>
      <w:pPr>
        <w:ind w:left="360" w:hanging="360"/>
      </w:pPr>
      <w:rPr>
        <w:b w:val="0"/>
        <w:i w:val="0"/>
        <w:sz w:val="24"/>
      </w:rPr>
    </w:lvl>
  </w:abstractNum>
  <w:abstractNum w:abstractNumId="26">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FF6509F"/>
    <w:multiLevelType w:val="hybridMultilevel"/>
    <w:tmpl w:val="AC48D5D2"/>
    <w:lvl w:ilvl="0" w:tplc="E692F9FA">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5"/>
  </w:num>
  <w:num w:numId="3">
    <w:abstractNumId w:val="24"/>
  </w:num>
  <w:num w:numId="4">
    <w:abstractNumId w:val="11"/>
  </w:num>
  <w:num w:numId="5">
    <w:abstractNumId w:val="26"/>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5"/>
  </w:num>
  <w:num w:numId="19">
    <w:abstractNumId w:val="10"/>
  </w:num>
  <w:num w:numId="20">
    <w:abstractNumId w:val="21"/>
  </w:num>
  <w:num w:numId="21">
    <w:abstractNumId w:val="19"/>
  </w:num>
  <w:num w:numId="22">
    <w:abstractNumId w:val="17"/>
  </w:num>
  <w:num w:numId="23">
    <w:abstractNumId w:val="22"/>
  </w:num>
  <w:num w:numId="24">
    <w:abstractNumId w:val="25"/>
  </w:num>
  <w:num w:numId="25">
    <w:abstractNumId w:val="16"/>
  </w:num>
  <w:num w:numId="26">
    <w:abstractNumId w:val="18"/>
  </w:num>
  <w:num w:numId="27">
    <w:abstractNumId w:val="14"/>
  </w:num>
  <w:num w:numId="28">
    <w:abstractNumId w:val="27"/>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y Vericker">
    <w15:presenceInfo w15:providerId="AD" w15:userId="S-1-5-21-2083667071-1112689225-1550850067-53762"/>
  </w15:person>
  <w15:person w15:author="Gola, Alice Ann - FNS">
    <w15:presenceInfo w15:providerId="AD" w15:userId="S-1-5-21-2443529608-3098792306-3041422421-629637"/>
  </w15:person>
  <w15:person w15:author="Hyunshik Lee">
    <w15:presenceInfo w15:providerId="AD" w15:userId="S-1-5-21-2083667071-1112689225-1550850067-3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0F4"/>
    <w:rsid w:val="000027BF"/>
    <w:rsid w:val="00003E15"/>
    <w:rsid w:val="00003EA5"/>
    <w:rsid w:val="00005DDC"/>
    <w:rsid w:val="000076A1"/>
    <w:rsid w:val="00007847"/>
    <w:rsid w:val="0000790A"/>
    <w:rsid w:val="00010DE3"/>
    <w:rsid w:val="00010DEC"/>
    <w:rsid w:val="00012AB5"/>
    <w:rsid w:val="000145E1"/>
    <w:rsid w:val="00014773"/>
    <w:rsid w:val="00014B4D"/>
    <w:rsid w:val="00014C79"/>
    <w:rsid w:val="00015FCF"/>
    <w:rsid w:val="000223C1"/>
    <w:rsid w:val="00022592"/>
    <w:rsid w:val="000234FF"/>
    <w:rsid w:val="00023BFF"/>
    <w:rsid w:val="00024D42"/>
    <w:rsid w:val="00027233"/>
    <w:rsid w:val="000311E0"/>
    <w:rsid w:val="00032621"/>
    <w:rsid w:val="000329F0"/>
    <w:rsid w:val="000373C7"/>
    <w:rsid w:val="00040718"/>
    <w:rsid w:val="000417D2"/>
    <w:rsid w:val="00042FEE"/>
    <w:rsid w:val="000431A5"/>
    <w:rsid w:val="0004364B"/>
    <w:rsid w:val="000438E8"/>
    <w:rsid w:val="000447C0"/>
    <w:rsid w:val="0004539F"/>
    <w:rsid w:val="000457D7"/>
    <w:rsid w:val="000460EC"/>
    <w:rsid w:val="0004668E"/>
    <w:rsid w:val="00046800"/>
    <w:rsid w:val="00047338"/>
    <w:rsid w:val="00047DFA"/>
    <w:rsid w:val="000507EA"/>
    <w:rsid w:val="00052C5C"/>
    <w:rsid w:val="00053AB5"/>
    <w:rsid w:val="00054647"/>
    <w:rsid w:val="00054D09"/>
    <w:rsid w:val="00054E5E"/>
    <w:rsid w:val="00056479"/>
    <w:rsid w:val="0006089A"/>
    <w:rsid w:val="00061FC3"/>
    <w:rsid w:val="000621C5"/>
    <w:rsid w:val="00063039"/>
    <w:rsid w:val="00063761"/>
    <w:rsid w:val="00063800"/>
    <w:rsid w:val="000638DA"/>
    <w:rsid w:val="000640D7"/>
    <w:rsid w:val="0006449A"/>
    <w:rsid w:val="00064754"/>
    <w:rsid w:val="000655A0"/>
    <w:rsid w:val="0006609B"/>
    <w:rsid w:val="00070A9C"/>
    <w:rsid w:val="000717C9"/>
    <w:rsid w:val="00071ACF"/>
    <w:rsid w:val="00072177"/>
    <w:rsid w:val="00072C97"/>
    <w:rsid w:val="00073C3E"/>
    <w:rsid w:val="00073F95"/>
    <w:rsid w:val="000750F4"/>
    <w:rsid w:val="00075687"/>
    <w:rsid w:val="00075AFC"/>
    <w:rsid w:val="0007689F"/>
    <w:rsid w:val="00076D3A"/>
    <w:rsid w:val="00077A4A"/>
    <w:rsid w:val="00080337"/>
    <w:rsid w:val="000803CA"/>
    <w:rsid w:val="00080C3F"/>
    <w:rsid w:val="000812F7"/>
    <w:rsid w:val="000814FD"/>
    <w:rsid w:val="000842DC"/>
    <w:rsid w:val="00084B36"/>
    <w:rsid w:val="00084BF8"/>
    <w:rsid w:val="00086831"/>
    <w:rsid w:val="00090155"/>
    <w:rsid w:val="00090C98"/>
    <w:rsid w:val="00091B04"/>
    <w:rsid w:val="000933A3"/>
    <w:rsid w:val="00093427"/>
    <w:rsid w:val="0009567D"/>
    <w:rsid w:val="00095C26"/>
    <w:rsid w:val="000A28C4"/>
    <w:rsid w:val="000A34BE"/>
    <w:rsid w:val="000A36C4"/>
    <w:rsid w:val="000A3781"/>
    <w:rsid w:val="000A4F8D"/>
    <w:rsid w:val="000A7424"/>
    <w:rsid w:val="000B26F3"/>
    <w:rsid w:val="000B49DE"/>
    <w:rsid w:val="000B50C9"/>
    <w:rsid w:val="000B7836"/>
    <w:rsid w:val="000C03C9"/>
    <w:rsid w:val="000C089B"/>
    <w:rsid w:val="000C098B"/>
    <w:rsid w:val="000C10F7"/>
    <w:rsid w:val="000C55A2"/>
    <w:rsid w:val="000C5B0F"/>
    <w:rsid w:val="000D0C93"/>
    <w:rsid w:val="000D17F6"/>
    <w:rsid w:val="000D279A"/>
    <w:rsid w:val="000D54C4"/>
    <w:rsid w:val="000D5750"/>
    <w:rsid w:val="000D6419"/>
    <w:rsid w:val="000D6D74"/>
    <w:rsid w:val="000D724C"/>
    <w:rsid w:val="000D7585"/>
    <w:rsid w:val="000E1CA0"/>
    <w:rsid w:val="000E253B"/>
    <w:rsid w:val="000E2E6E"/>
    <w:rsid w:val="000E3AFE"/>
    <w:rsid w:val="000E3CC6"/>
    <w:rsid w:val="000E4107"/>
    <w:rsid w:val="000E61B9"/>
    <w:rsid w:val="000E6CC9"/>
    <w:rsid w:val="000E7D6D"/>
    <w:rsid w:val="000F0CFF"/>
    <w:rsid w:val="000F1BD4"/>
    <w:rsid w:val="000F24C8"/>
    <w:rsid w:val="000F2BAE"/>
    <w:rsid w:val="000F4EE7"/>
    <w:rsid w:val="000F4EF3"/>
    <w:rsid w:val="000F5E6B"/>
    <w:rsid w:val="000F704B"/>
    <w:rsid w:val="00104FED"/>
    <w:rsid w:val="001052BD"/>
    <w:rsid w:val="00105DA9"/>
    <w:rsid w:val="0010698D"/>
    <w:rsid w:val="00107894"/>
    <w:rsid w:val="00110689"/>
    <w:rsid w:val="00110773"/>
    <w:rsid w:val="00115E73"/>
    <w:rsid w:val="00116343"/>
    <w:rsid w:val="001164B5"/>
    <w:rsid w:val="001170E4"/>
    <w:rsid w:val="00117A58"/>
    <w:rsid w:val="001209FF"/>
    <w:rsid w:val="00120DDB"/>
    <w:rsid w:val="00120E7F"/>
    <w:rsid w:val="00121633"/>
    <w:rsid w:val="001219AB"/>
    <w:rsid w:val="00122007"/>
    <w:rsid w:val="0012249E"/>
    <w:rsid w:val="0012531F"/>
    <w:rsid w:val="00127364"/>
    <w:rsid w:val="00130FB4"/>
    <w:rsid w:val="00132EF8"/>
    <w:rsid w:val="00132F0C"/>
    <w:rsid w:val="0013306C"/>
    <w:rsid w:val="001334EF"/>
    <w:rsid w:val="0013469F"/>
    <w:rsid w:val="001363FB"/>
    <w:rsid w:val="00140218"/>
    <w:rsid w:val="0014222D"/>
    <w:rsid w:val="00142D46"/>
    <w:rsid w:val="00143411"/>
    <w:rsid w:val="0014383A"/>
    <w:rsid w:val="00143852"/>
    <w:rsid w:val="00143B29"/>
    <w:rsid w:val="00145FCB"/>
    <w:rsid w:val="0014693A"/>
    <w:rsid w:val="00151283"/>
    <w:rsid w:val="0015139F"/>
    <w:rsid w:val="00151A70"/>
    <w:rsid w:val="00151DF5"/>
    <w:rsid w:val="00154D85"/>
    <w:rsid w:val="00156286"/>
    <w:rsid w:val="00156839"/>
    <w:rsid w:val="00157282"/>
    <w:rsid w:val="00160DAC"/>
    <w:rsid w:val="001613F6"/>
    <w:rsid w:val="001633D8"/>
    <w:rsid w:val="0016344D"/>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87555"/>
    <w:rsid w:val="001912C2"/>
    <w:rsid w:val="001964E8"/>
    <w:rsid w:val="00196603"/>
    <w:rsid w:val="001A01C9"/>
    <w:rsid w:val="001A0E38"/>
    <w:rsid w:val="001A63AF"/>
    <w:rsid w:val="001A6460"/>
    <w:rsid w:val="001A7AC8"/>
    <w:rsid w:val="001B1E25"/>
    <w:rsid w:val="001B257B"/>
    <w:rsid w:val="001B3D92"/>
    <w:rsid w:val="001B3EF8"/>
    <w:rsid w:val="001B6165"/>
    <w:rsid w:val="001B7724"/>
    <w:rsid w:val="001C1586"/>
    <w:rsid w:val="001C15C7"/>
    <w:rsid w:val="001C1E4E"/>
    <w:rsid w:val="001C256E"/>
    <w:rsid w:val="001C2BF9"/>
    <w:rsid w:val="001C3A4C"/>
    <w:rsid w:val="001C4C39"/>
    <w:rsid w:val="001C5266"/>
    <w:rsid w:val="001C6CBE"/>
    <w:rsid w:val="001C70AF"/>
    <w:rsid w:val="001C7B3F"/>
    <w:rsid w:val="001C7DC9"/>
    <w:rsid w:val="001D0DB3"/>
    <w:rsid w:val="001D1DC0"/>
    <w:rsid w:val="001D1F6E"/>
    <w:rsid w:val="001D2F45"/>
    <w:rsid w:val="001D343E"/>
    <w:rsid w:val="001D4FB0"/>
    <w:rsid w:val="001E22E9"/>
    <w:rsid w:val="001E368F"/>
    <w:rsid w:val="001E39AE"/>
    <w:rsid w:val="001E5604"/>
    <w:rsid w:val="001E5C1F"/>
    <w:rsid w:val="001E5E66"/>
    <w:rsid w:val="001F054A"/>
    <w:rsid w:val="001F2BE9"/>
    <w:rsid w:val="001F3B13"/>
    <w:rsid w:val="001F549E"/>
    <w:rsid w:val="001F6E85"/>
    <w:rsid w:val="001F73D9"/>
    <w:rsid w:val="00201068"/>
    <w:rsid w:val="00201287"/>
    <w:rsid w:val="00201855"/>
    <w:rsid w:val="00202602"/>
    <w:rsid w:val="0020370D"/>
    <w:rsid w:val="00204E6E"/>
    <w:rsid w:val="00205B44"/>
    <w:rsid w:val="00205F78"/>
    <w:rsid w:val="002062CF"/>
    <w:rsid w:val="002075EB"/>
    <w:rsid w:val="00210268"/>
    <w:rsid w:val="00210D68"/>
    <w:rsid w:val="00210FA8"/>
    <w:rsid w:val="00212905"/>
    <w:rsid w:val="00213436"/>
    <w:rsid w:val="002146DA"/>
    <w:rsid w:val="00215CC6"/>
    <w:rsid w:val="00217566"/>
    <w:rsid w:val="00220BEA"/>
    <w:rsid w:val="00222EDC"/>
    <w:rsid w:val="0022443A"/>
    <w:rsid w:val="00224BA4"/>
    <w:rsid w:val="002251B2"/>
    <w:rsid w:val="00226449"/>
    <w:rsid w:val="00231B94"/>
    <w:rsid w:val="00231C61"/>
    <w:rsid w:val="00235EB3"/>
    <w:rsid w:val="0023606F"/>
    <w:rsid w:val="002370B7"/>
    <w:rsid w:val="0023786E"/>
    <w:rsid w:val="00241834"/>
    <w:rsid w:val="00243C07"/>
    <w:rsid w:val="00245150"/>
    <w:rsid w:val="00245CF0"/>
    <w:rsid w:val="00246457"/>
    <w:rsid w:val="002468EE"/>
    <w:rsid w:val="00250B15"/>
    <w:rsid w:val="00250CEF"/>
    <w:rsid w:val="00252CF2"/>
    <w:rsid w:val="00252E7C"/>
    <w:rsid w:val="00253394"/>
    <w:rsid w:val="00253ECC"/>
    <w:rsid w:val="002548C0"/>
    <w:rsid w:val="00255137"/>
    <w:rsid w:val="0025683E"/>
    <w:rsid w:val="002568E6"/>
    <w:rsid w:val="00262817"/>
    <w:rsid w:val="0026333C"/>
    <w:rsid w:val="00263A91"/>
    <w:rsid w:val="002649A9"/>
    <w:rsid w:val="00265623"/>
    <w:rsid w:val="00266727"/>
    <w:rsid w:val="00266E52"/>
    <w:rsid w:val="0026774C"/>
    <w:rsid w:val="00267E64"/>
    <w:rsid w:val="00270D71"/>
    <w:rsid w:val="00272DD6"/>
    <w:rsid w:val="002737E9"/>
    <w:rsid w:val="00275494"/>
    <w:rsid w:val="00275F76"/>
    <w:rsid w:val="0027695F"/>
    <w:rsid w:val="00280945"/>
    <w:rsid w:val="0028250E"/>
    <w:rsid w:val="00283168"/>
    <w:rsid w:val="00283364"/>
    <w:rsid w:val="002833D0"/>
    <w:rsid w:val="002900F6"/>
    <w:rsid w:val="002924D2"/>
    <w:rsid w:val="002954B1"/>
    <w:rsid w:val="002A1131"/>
    <w:rsid w:val="002A1B3D"/>
    <w:rsid w:val="002A27C6"/>
    <w:rsid w:val="002A7390"/>
    <w:rsid w:val="002B0654"/>
    <w:rsid w:val="002B18AF"/>
    <w:rsid w:val="002B46E1"/>
    <w:rsid w:val="002B4F85"/>
    <w:rsid w:val="002B6598"/>
    <w:rsid w:val="002C05AC"/>
    <w:rsid w:val="002C2401"/>
    <w:rsid w:val="002C4936"/>
    <w:rsid w:val="002C6748"/>
    <w:rsid w:val="002C7B26"/>
    <w:rsid w:val="002C7DFF"/>
    <w:rsid w:val="002D0DED"/>
    <w:rsid w:val="002D1E33"/>
    <w:rsid w:val="002D1F80"/>
    <w:rsid w:val="002D43E7"/>
    <w:rsid w:val="002D47CD"/>
    <w:rsid w:val="002E1315"/>
    <w:rsid w:val="002E1A35"/>
    <w:rsid w:val="002E3B1B"/>
    <w:rsid w:val="002E3D8B"/>
    <w:rsid w:val="002E3E5E"/>
    <w:rsid w:val="002E40A9"/>
    <w:rsid w:val="002E6B5E"/>
    <w:rsid w:val="002E7427"/>
    <w:rsid w:val="002F2888"/>
    <w:rsid w:val="002F28FD"/>
    <w:rsid w:val="002F3249"/>
    <w:rsid w:val="002F4036"/>
    <w:rsid w:val="002F5951"/>
    <w:rsid w:val="002F5E03"/>
    <w:rsid w:val="002F68CE"/>
    <w:rsid w:val="002F6D9B"/>
    <w:rsid w:val="00300AA8"/>
    <w:rsid w:val="00304807"/>
    <w:rsid w:val="0030618C"/>
    <w:rsid w:val="00307D2B"/>
    <w:rsid w:val="0031071F"/>
    <w:rsid w:val="003125D7"/>
    <w:rsid w:val="00312A60"/>
    <w:rsid w:val="00313A06"/>
    <w:rsid w:val="003140F4"/>
    <w:rsid w:val="00315029"/>
    <w:rsid w:val="003161B6"/>
    <w:rsid w:val="003164E9"/>
    <w:rsid w:val="00317CD5"/>
    <w:rsid w:val="00317FD8"/>
    <w:rsid w:val="003215CF"/>
    <w:rsid w:val="00324C06"/>
    <w:rsid w:val="00325195"/>
    <w:rsid w:val="0032533B"/>
    <w:rsid w:val="00326F10"/>
    <w:rsid w:val="003302CB"/>
    <w:rsid w:val="0033036B"/>
    <w:rsid w:val="00333190"/>
    <w:rsid w:val="003333DF"/>
    <w:rsid w:val="00334635"/>
    <w:rsid w:val="0033630C"/>
    <w:rsid w:val="0033721D"/>
    <w:rsid w:val="00337C33"/>
    <w:rsid w:val="00340A25"/>
    <w:rsid w:val="00341DA8"/>
    <w:rsid w:val="00341DEE"/>
    <w:rsid w:val="00342170"/>
    <w:rsid w:val="00343967"/>
    <w:rsid w:val="00343DCA"/>
    <w:rsid w:val="0034535B"/>
    <w:rsid w:val="0034537B"/>
    <w:rsid w:val="00345395"/>
    <w:rsid w:val="00350550"/>
    <w:rsid w:val="003521A9"/>
    <w:rsid w:val="00352556"/>
    <w:rsid w:val="00356D92"/>
    <w:rsid w:val="00360B8B"/>
    <w:rsid w:val="003610D2"/>
    <w:rsid w:val="00362D59"/>
    <w:rsid w:val="003637E7"/>
    <w:rsid w:val="0036497A"/>
    <w:rsid w:val="00366BB8"/>
    <w:rsid w:val="00366E7B"/>
    <w:rsid w:val="00370836"/>
    <w:rsid w:val="0037115C"/>
    <w:rsid w:val="00372784"/>
    <w:rsid w:val="00372F45"/>
    <w:rsid w:val="00376E39"/>
    <w:rsid w:val="003770FE"/>
    <w:rsid w:val="0037744B"/>
    <w:rsid w:val="00377E4A"/>
    <w:rsid w:val="00383C0A"/>
    <w:rsid w:val="00385A58"/>
    <w:rsid w:val="00385D01"/>
    <w:rsid w:val="00386068"/>
    <w:rsid w:val="003874A5"/>
    <w:rsid w:val="00393405"/>
    <w:rsid w:val="00395746"/>
    <w:rsid w:val="00395831"/>
    <w:rsid w:val="00396BC0"/>
    <w:rsid w:val="00396E91"/>
    <w:rsid w:val="003A222F"/>
    <w:rsid w:val="003A3599"/>
    <w:rsid w:val="003A4F9D"/>
    <w:rsid w:val="003A556E"/>
    <w:rsid w:val="003A5743"/>
    <w:rsid w:val="003A7703"/>
    <w:rsid w:val="003B0FD0"/>
    <w:rsid w:val="003B10E4"/>
    <w:rsid w:val="003B1199"/>
    <w:rsid w:val="003B1D07"/>
    <w:rsid w:val="003B28E2"/>
    <w:rsid w:val="003B4C92"/>
    <w:rsid w:val="003B6507"/>
    <w:rsid w:val="003B685F"/>
    <w:rsid w:val="003C0A0E"/>
    <w:rsid w:val="003C2346"/>
    <w:rsid w:val="003C3471"/>
    <w:rsid w:val="003C3FCC"/>
    <w:rsid w:val="003C41FC"/>
    <w:rsid w:val="003C5E7D"/>
    <w:rsid w:val="003C646A"/>
    <w:rsid w:val="003C6BDD"/>
    <w:rsid w:val="003C7A8F"/>
    <w:rsid w:val="003D0A72"/>
    <w:rsid w:val="003D16EE"/>
    <w:rsid w:val="003D2FA4"/>
    <w:rsid w:val="003D3135"/>
    <w:rsid w:val="003D45DB"/>
    <w:rsid w:val="003D6927"/>
    <w:rsid w:val="003E0CA9"/>
    <w:rsid w:val="003E0D93"/>
    <w:rsid w:val="003E2F2D"/>
    <w:rsid w:val="003E5AB9"/>
    <w:rsid w:val="003E5C04"/>
    <w:rsid w:val="003E64F6"/>
    <w:rsid w:val="003F4D87"/>
    <w:rsid w:val="003F5923"/>
    <w:rsid w:val="003F6B0F"/>
    <w:rsid w:val="003F7EFD"/>
    <w:rsid w:val="004000FA"/>
    <w:rsid w:val="00400110"/>
    <w:rsid w:val="00400361"/>
    <w:rsid w:val="00400754"/>
    <w:rsid w:val="0040087D"/>
    <w:rsid w:val="00400B67"/>
    <w:rsid w:val="00402D63"/>
    <w:rsid w:val="004033DD"/>
    <w:rsid w:val="004037F9"/>
    <w:rsid w:val="0040495B"/>
    <w:rsid w:val="0040573E"/>
    <w:rsid w:val="0040591B"/>
    <w:rsid w:val="004060BE"/>
    <w:rsid w:val="004061F0"/>
    <w:rsid w:val="00407736"/>
    <w:rsid w:val="00407AEA"/>
    <w:rsid w:val="00407C45"/>
    <w:rsid w:val="0041098C"/>
    <w:rsid w:val="004112F6"/>
    <w:rsid w:val="004113AB"/>
    <w:rsid w:val="00411977"/>
    <w:rsid w:val="00412337"/>
    <w:rsid w:val="004127EA"/>
    <w:rsid w:val="00415AE6"/>
    <w:rsid w:val="00417C54"/>
    <w:rsid w:val="00417F26"/>
    <w:rsid w:val="00422327"/>
    <w:rsid w:val="0043148A"/>
    <w:rsid w:val="00431975"/>
    <w:rsid w:val="00432716"/>
    <w:rsid w:val="0043383F"/>
    <w:rsid w:val="00435AB5"/>
    <w:rsid w:val="00437234"/>
    <w:rsid w:val="00437471"/>
    <w:rsid w:val="0044015C"/>
    <w:rsid w:val="00440392"/>
    <w:rsid w:val="00441C5A"/>
    <w:rsid w:val="00442B73"/>
    <w:rsid w:val="00443A6D"/>
    <w:rsid w:val="004459C6"/>
    <w:rsid w:val="00446314"/>
    <w:rsid w:val="004470D5"/>
    <w:rsid w:val="00447C1E"/>
    <w:rsid w:val="00451A41"/>
    <w:rsid w:val="00451DEC"/>
    <w:rsid w:val="00452E03"/>
    <w:rsid w:val="00455134"/>
    <w:rsid w:val="00457964"/>
    <w:rsid w:val="004600D7"/>
    <w:rsid w:val="00462037"/>
    <w:rsid w:val="0046268E"/>
    <w:rsid w:val="00462B00"/>
    <w:rsid w:val="00462C4E"/>
    <w:rsid w:val="0046423B"/>
    <w:rsid w:val="004708FD"/>
    <w:rsid w:val="004714B1"/>
    <w:rsid w:val="00472A8F"/>
    <w:rsid w:val="00472E23"/>
    <w:rsid w:val="00474A8E"/>
    <w:rsid w:val="00474B7F"/>
    <w:rsid w:val="004752E2"/>
    <w:rsid w:val="0047544E"/>
    <w:rsid w:val="0047561A"/>
    <w:rsid w:val="0047593A"/>
    <w:rsid w:val="00475C21"/>
    <w:rsid w:val="00476676"/>
    <w:rsid w:val="00477E91"/>
    <w:rsid w:val="00483781"/>
    <w:rsid w:val="00483CCC"/>
    <w:rsid w:val="00483F2C"/>
    <w:rsid w:val="0048423D"/>
    <w:rsid w:val="00485CC6"/>
    <w:rsid w:val="00491914"/>
    <w:rsid w:val="00494A82"/>
    <w:rsid w:val="004A2D34"/>
    <w:rsid w:val="004A2F08"/>
    <w:rsid w:val="004A404A"/>
    <w:rsid w:val="004A48CA"/>
    <w:rsid w:val="004A543C"/>
    <w:rsid w:val="004A6286"/>
    <w:rsid w:val="004A6581"/>
    <w:rsid w:val="004B35BA"/>
    <w:rsid w:val="004B3DA3"/>
    <w:rsid w:val="004B46EC"/>
    <w:rsid w:val="004B63B4"/>
    <w:rsid w:val="004C2E49"/>
    <w:rsid w:val="004C50AE"/>
    <w:rsid w:val="004C615B"/>
    <w:rsid w:val="004C69A7"/>
    <w:rsid w:val="004D04AD"/>
    <w:rsid w:val="004D1FDB"/>
    <w:rsid w:val="004D22BD"/>
    <w:rsid w:val="004D3638"/>
    <w:rsid w:val="004D43D3"/>
    <w:rsid w:val="004D4768"/>
    <w:rsid w:val="004D5E86"/>
    <w:rsid w:val="004E11D8"/>
    <w:rsid w:val="004E160F"/>
    <w:rsid w:val="004E3911"/>
    <w:rsid w:val="004E4959"/>
    <w:rsid w:val="004E5D8C"/>
    <w:rsid w:val="004E5F80"/>
    <w:rsid w:val="004E6BFA"/>
    <w:rsid w:val="004E72D3"/>
    <w:rsid w:val="004E7651"/>
    <w:rsid w:val="004E7FD0"/>
    <w:rsid w:val="004F1642"/>
    <w:rsid w:val="004F1F20"/>
    <w:rsid w:val="004F2540"/>
    <w:rsid w:val="004F2F54"/>
    <w:rsid w:val="004F4886"/>
    <w:rsid w:val="004F53C4"/>
    <w:rsid w:val="004F6EDF"/>
    <w:rsid w:val="004F72C7"/>
    <w:rsid w:val="004F77ED"/>
    <w:rsid w:val="0050255B"/>
    <w:rsid w:val="00503920"/>
    <w:rsid w:val="00503F52"/>
    <w:rsid w:val="00505C81"/>
    <w:rsid w:val="00506668"/>
    <w:rsid w:val="00506D32"/>
    <w:rsid w:val="005072CD"/>
    <w:rsid w:val="00510518"/>
    <w:rsid w:val="0051085D"/>
    <w:rsid w:val="00511375"/>
    <w:rsid w:val="00511668"/>
    <w:rsid w:val="00511934"/>
    <w:rsid w:val="0051214A"/>
    <w:rsid w:val="00512C6B"/>
    <w:rsid w:val="00515F7E"/>
    <w:rsid w:val="00520A94"/>
    <w:rsid w:val="005229A3"/>
    <w:rsid w:val="005234BE"/>
    <w:rsid w:val="005266CA"/>
    <w:rsid w:val="00532FAB"/>
    <w:rsid w:val="005358BC"/>
    <w:rsid w:val="005364A3"/>
    <w:rsid w:val="0053713F"/>
    <w:rsid w:val="00540608"/>
    <w:rsid w:val="005406AB"/>
    <w:rsid w:val="005413E9"/>
    <w:rsid w:val="00542038"/>
    <w:rsid w:val="00542051"/>
    <w:rsid w:val="00542C4F"/>
    <w:rsid w:val="0054416E"/>
    <w:rsid w:val="005445BE"/>
    <w:rsid w:val="00545890"/>
    <w:rsid w:val="00546DF6"/>
    <w:rsid w:val="005476A1"/>
    <w:rsid w:val="005478A9"/>
    <w:rsid w:val="00550A3B"/>
    <w:rsid w:val="00550E21"/>
    <w:rsid w:val="0055158F"/>
    <w:rsid w:val="00551DAE"/>
    <w:rsid w:val="005524A2"/>
    <w:rsid w:val="005547E1"/>
    <w:rsid w:val="005601C3"/>
    <w:rsid w:val="00560A01"/>
    <w:rsid w:val="00562E04"/>
    <w:rsid w:val="00563EAF"/>
    <w:rsid w:val="0056518C"/>
    <w:rsid w:val="00565D5B"/>
    <w:rsid w:val="0056618F"/>
    <w:rsid w:val="005674F7"/>
    <w:rsid w:val="00567DE7"/>
    <w:rsid w:val="005721E3"/>
    <w:rsid w:val="00580507"/>
    <w:rsid w:val="00581489"/>
    <w:rsid w:val="00581E48"/>
    <w:rsid w:val="005827E8"/>
    <w:rsid w:val="0058453E"/>
    <w:rsid w:val="00586E71"/>
    <w:rsid w:val="00586F6C"/>
    <w:rsid w:val="005912FB"/>
    <w:rsid w:val="005917B8"/>
    <w:rsid w:val="00591AD7"/>
    <w:rsid w:val="005940EB"/>
    <w:rsid w:val="00594D99"/>
    <w:rsid w:val="0059545A"/>
    <w:rsid w:val="005955C7"/>
    <w:rsid w:val="00596675"/>
    <w:rsid w:val="005967BB"/>
    <w:rsid w:val="005A0C2E"/>
    <w:rsid w:val="005A3F80"/>
    <w:rsid w:val="005A4606"/>
    <w:rsid w:val="005A4F79"/>
    <w:rsid w:val="005A598F"/>
    <w:rsid w:val="005B16EA"/>
    <w:rsid w:val="005B172E"/>
    <w:rsid w:val="005B2336"/>
    <w:rsid w:val="005B2527"/>
    <w:rsid w:val="005B2A87"/>
    <w:rsid w:val="005B7203"/>
    <w:rsid w:val="005C04BB"/>
    <w:rsid w:val="005C0BF7"/>
    <w:rsid w:val="005C286E"/>
    <w:rsid w:val="005C33B4"/>
    <w:rsid w:val="005C423C"/>
    <w:rsid w:val="005C50FC"/>
    <w:rsid w:val="005C54B0"/>
    <w:rsid w:val="005C6321"/>
    <w:rsid w:val="005D021A"/>
    <w:rsid w:val="005D3602"/>
    <w:rsid w:val="005D4603"/>
    <w:rsid w:val="005D532E"/>
    <w:rsid w:val="005D6339"/>
    <w:rsid w:val="005D6A6C"/>
    <w:rsid w:val="005D6F77"/>
    <w:rsid w:val="005D7CF3"/>
    <w:rsid w:val="005E0802"/>
    <w:rsid w:val="005E0A1A"/>
    <w:rsid w:val="005E22A5"/>
    <w:rsid w:val="005E292E"/>
    <w:rsid w:val="005E41FD"/>
    <w:rsid w:val="005E51F1"/>
    <w:rsid w:val="005E6A3C"/>
    <w:rsid w:val="005E7295"/>
    <w:rsid w:val="005F0A77"/>
    <w:rsid w:val="005F1209"/>
    <w:rsid w:val="005F2D36"/>
    <w:rsid w:val="005F31C0"/>
    <w:rsid w:val="005F43D7"/>
    <w:rsid w:val="005F5FFE"/>
    <w:rsid w:val="005F6830"/>
    <w:rsid w:val="005F7C5A"/>
    <w:rsid w:val="006007D4"/>
    <w:rsid w:val="00600B7F"/>
    <w:rsid w:val="00600F05"/>
    <w:rsid w:val="00601333"/>
    <w:rsid w:val="00603FF7"/>
    <w:rsid w:val="00604BE2"/>
    <w:rsid w:val="006059DF"/>
    <w:rsid w:val="0060707B"/>
    <w:rsid w:val="00610700"/>
    <w:rsid w:val="00616358"/>
    <w:rsid w:val="00617729"/>
    <w:rsid w:val="00617B1B"/>
    <w:rsid w:val="0062182F"/>
    <w:rsid w:val="0062241E"/>
    <w:rsid w:val="006226A2"/>
    <w:rsid w:val="0062280A"/>
    <w:rsid w:val="006228E2"/>
    <w:rsid w:val="0062567E"/>
    <w:rsid w:val="00626691"/>
    <w:rsid w:val="0062735B"/>
    <w:rsid w:val="00627971"/>
    <w:rsid w:val="00630C90"/>
    <w:rsid w:val="0063244C"/>
    <w:rsid w:val="0063430B"/>
    <w:rsid w:val="00634425"/>
    <w:rsid w:val="00634E66"/>
    <w:rsid w:val="0063688D"/>
    <w:rsid w:val="00637645"/>
    <w:rsid w:val="00640767"/>
    <w:rsid w:val="00640F7D"/>
    <w:rsid w:val="00641CC0"/>
    <w:rsid w:val="0064229A"/>
    <w:rsid w:val="006469D1"/>
    <w:rsid w:val="00646D41"/>
    <w:rsid w:val="00646DDA"/>
    <w:rsid w:val="0065006B"/>
    <w:rsid w:val="00650EBF"/>
    <w:rsid w:val="00653B46"/>
    <w:rsid w:val="00654855"/>
    <w:rsid w:val="00655D39"/>
    <w:rsid w:val="0065657E"/>
    <w:rsid w:val="0066069C"/>
    <w:rsid w:val="00661AF9"/>
    <w:rsid w:val="00661B51"/>
    <w:rsid w:val="006648D9"/>
    <w:rsid w:val="00664AD0"/>
    <w:rsid w:val="00664C7C"/>
    <w:rsid w:val="0066552B"/>
    <w:rsid w:val="00665599"/>
    <w:rsid w:val="0066583A"/>
    <w:rsid w:val="00665B4D"/>
    <w:rsid w:val="0066688F"/>
    <w:rsid w:val="00666F6E"/>
    <w:rsid w:val="00673CE3"/>
    <w:rsid w:val="00673E6A"/>
    <w:rsid w:val="00675EDB"/>
    <w:rsid w:val="00676E4D"/>
    <w:rsid w:val="00677034"/>
    <w:rsid w:val="0068067E"/>
    <w:rsid w:val="00681372"/>
    <w:rsid w:val="00681C9D"/>
    <w:rsid w:val="00682090"/>
    <w:rsid w:val="0068319C"/>
    <w:rsid w:val="006837B0"/>
    <w:rsid w:val="00685DE9"/>
    <w:rsid w:val="00686481"/>
    <w:rsid w:val="006868DE"/>
    <w:rsid w:val="00686BB3"/>
    <w:rsid w:val="00687C66"/>
    <w:rsid w:val="00691D76"/>
    <w:rsid w:val="006929FB"/>
    <w:rsid w:val="00694161"/>
    <w:rsid w:val="006941E6"/>
    <w:rsid w:val="00694A12"/>
    <w:rsid w:val="00695629"/>
    <w:rsid w:val="00695911"/>
    <w:rsid w:val="0069655D"/>
    <w:rsid w:val="00696634"/>
    <w:rsid w:val="00697236"/>
    <w:rsid w:val="006A131B"/>
    <w:rsid w:val="006A3E01"/>
    <w:rsid w:val="006A6280"/>
    <w:rsid w:val="006A69AD"/>
    <w:rsid w:val="006A7A14"/>
    <w:rsid w:val="006A7F48"/>
    <w:rsid w:val="006B005F"/>
    <w:rsid w:val="006B03DC"/>
    <w:rsid w:val="006B30F5"/>
    <w:rsid w:val="006B3BF8"/>
    <w:rsid w:val="006B4559"/>
    <w:rsid w:val="006B4BFE"/>
    <w:rsid w:val="006C0F33"/>
    <w:rsid w:val="006C2B18"/>
    <w:rsid w:val="006C4942"/>
    <w:rsid w:val="006C4BE5"/>
    <w:rsid w:val="006C5470"/>
    <w:rsid w:val="006C571B"/>
    <w:rsid w:val="006C60D2"/>
    <w:rsid w:val="006C6F61"/>
    <w:rsid w:val="006C7186"/>
    <w:rsid w:val="006D0EAD"/>
    <w:rsid w:val="006D0FF5"/>
    <w:rsid w:val="006D2901"/>
    <w:rsid w:val="006D415E"/>
    <w:rsid w:val="006D4339"/>
    <w:rsid w:val="006D5D1F"/>
    <w:rsid w:val="006D6B2A"/>
    <w:rsid w:val="006D7835"/>
    <w:rsid w:val="006D7F88"/>
    <w:rsid w:val="006E4AC6"/>
    <w:rsid w:val="006E4B7F"/>
    <w:rsid w:val="006E4C14"/>
    <w:rsid w:val="006E5418"/>
    <w:rsid w:val="006E5E54"/>
    <w:rsid w:val="006F021F"/>
    <w:rsid w:val="006F0249"/>
    <w:rsid w:val="006F05C3"/>
    <w:rsid w:val="006F15B1"/>
    <w:rsid w:val="006F174B"/>
    <w:rsid w:val="006F3032"/>
    <w:rsid w:val="006F3089"/>
    <w:rsid w:val="006F346E"/>
    <w:rsid w:val="006F5B38"/>
    <w:rsid w:val="006F6046"/>
    <w:rsid w:val="006F6A9F"/>
    <w:rsid w:val="006F6AE0"/>
    <w:rsid w:val="006F7772"/>
    <w:rsid w:val="00700579"/>
    <w:rsid w:val="00700F3B"/>
    <w:rsid w:val="00701E5A"/>
    <w:rsid w:val="00702225"/>
    <w:rsid w:val="00702822"/>
    <w:rsid w:val="0070367B"/>
    <w:rsid w:val="00707ED6"/>
    <w:rsid w:val="00710CF7"/>
    <w:rsid w:val="0071282D"/>
    <w:rsid w:val="007134B1"/>
    <w:rsid w:val="007135AF"/>
    <w:rsid w:val="00714ABC"/>
    <w:rsid w:val="00717835"/>
    <w:rsid w:val="00720489"/>
    <w:rsid w:val="0072072E"/>
    <w:rsid w:val="00720BC7"/>
    <w:rsid w:val="00721139"/>
    <w:rsid w:val="00722B78"/>
    <w:rsid w:val="00723374"/>
    <w:rsid w:val="007245E8"/>
    <w:rsid w:val="00727CD5"/>
    <w:rsid w:val="00727F3A"/>
    <w:rsid w:val="00730697"/>
    <w:rsid w:val="0073096B"/>
    <w:rsid w:val="007317BC"/>
    <w:rsid w:val="0073357B"/>
    <w:rsid w:val="00733A77"/>
    <w:rsid w:val="00734D74"/>
    <w:rsid w:val="0073578D"/>
    <w:rsid w:val="00736CE0"/>
    <w:rsid w:val="007373F4"/>
    <w:rsid w:val="007377F1"/>
    <w:rsid w:val="00740B5A"/>
    <w:rsid w:val="0074205E"/>
    <w:rsid w:val="00742246"/>
    <w:rsid w:val="00742377"/>
    <w:rsid w:val="00742CC9"/>
    <w:rsid w:val="007439F4"/>
    <w:rsid w:val="00745F3B"/>
    <w:rsid w:val="0074676D"/>
    <w:rsid w:val="007468D9"/>
    <w:rsid w:val="00746993"/>
    <w:rsid w:val="00747267"/>
    <w:rsid w:val="007505B0"/>
    <w:rsid w:val="0075166D"/>
    <w:rsid w:val="00751946"/>
    <w:rsid w:val="00751A43"/>
    <w:rsid w:val="007522EB"/>
    <w:rsid w:val="00752ED4"/>
    <w:rsid w:val="007532C9"/>
    <w:rsid w:val="00754981"/>
    <w:rsid w:val="00754E21"/>
    <w:rsid w:val="00756119"/>
    <w:rsid w:val="00760434"/>
    <w:rsid w:val="00761014"/>
    <w:rsid w:val="00761877"/>
    <w:rsid w:val="00763D19"/>
    <w:rsid w:val="00764AB6"/>
    <w:rsid w:val="007704A9"/>
    <w:rsid w:val="00772867"/>
    <w:rsid w:val="00772B26"/>
    <w:rsid w:val="0077330C"/>
    <w:rsid w:val="00776426"/>
    <w:rsid w:val="00776D16"/>
    <w:rsid w:val="00780D9D"/>
    <w:rsid w:val="00783919"/>
    <w:rsid w:val="00783DA7"/>
    <w:rsid w:val="00784603"/>
    <w:rsid w:val="0078653A"/>
    <w:rsid w:val="007873B5"/>
    <w:rsid w:val="0079205F"/>
    <w:rsid w:val="00792C32"/>
    <w:rsid w:val="00793A2F"/>
    <w:rsid w:val="00794AFB"/>
    <w:rsid w:val="00796BB7"/>
    <w:rsid w:val="00797164"/>
    <w:rsid w:val="007A238A"/>
    <w:rsid w:val="007A293E"/>
    <w:rsid w:val="007A2BBA"/>
    <w:rsid w:val="007A46E6"/>
    <w:rsid w:val="007A5E7D"/>
    <w:rsid w:val="007A7123"/>
    <w:rsid w:val="007B0003"/>
    <w:rsid w:val="007B008F"/>
    <w:rsid w:val="007B13FA"/>
    <w:rsid w:val="007B17C2"/>
    <w:rsid w:val="007B3030"/>
    <w:rsid w:val="007B32AD"/>
    <w:rsid w:val="007B4A75"/>
    <w:rsid w:val="007B64E9"/>
    <w:rsid w:val="007B7EF1"/>
    <w:rsid w:val="007C072C"/>
    <w:rsid w:val="007C0BE8"/>
    <w:rsid w:val="007C0D2F"/>
    <w:rsid w:val="007C0EBF"/>
    <w:rsid w:val="007C11F0"/>
    <w:rsid w:val="007C2127"/>
    <w:rsid w:val="007C308D"/>
    <w:rsid w:val="007C31C5"/>
    <w:rsid w:val="007C44DA"/>
    <w:rsid w:val="007D1FBD"/>
    <w:rsid w:val="007D4688"/>
    <w:rsid w:val="007D46EC"/>
    <w:rsid w:val="007D4A29"/>
    <w:rsid w:val="007D4D5F"/>
    <w:rsid w:val="007D4FE4"/>
    <w:rsid w:val="007D62C0"/>
    <w:rsid w:val="007D6970"/>
    <w:rsid w:val="007D76FB"/>
    <w:rsid w:val="007E0B9B"/>
    <w:rsid w:val="007E3170"/>
    <w:rsid w:val="007E4256"/>
    <w:rsid w:val="007E5364"/>
    <w:rsid w:val="007F2B2C"/>
    <w:rsid w:val="007F3D80"/>
    <w:rsid w:val="007F3EBF"/>
    <w:rsid w:val="007F4402"/>
    <w:rsid w:val="007F7847"/>
    <w:rsid w:val="00800EE9"/>
    <w:rsid w:val="00801786"/>
    <w:rsid w:val="008020BF"/>
    <w:rsid w:val="00803F61"/>
    <w:rsid w:val="008050EE"/>
    <w:rsid w:val="008071C5"/>
    <w:rsid w:val="00810BB3"/>
    <w:rsid w:val="008129D8"/>
    <w:rsid w:val="00812A5A"/>
    <w:rsid w:val="00813EE2"/>
    <w:rsid w:val="00815639"/>
    <w:rsid w:val="00816EB4"/>
    <w:rsid w:val="008203E9"/>
    <w:rsid w:val="0082083D"/>
    <w:rsid w:val="00821AC8"/>
    <w:rsid w:val="008221AA"/>
    <w:rsid w:val="0082448C"/>
    <w:rsid w:val="00826253"/>
    <w:rsid w:val="0082671D"/>
    <w:rsid w:val="00826DD8"/>
    <w:rsid w:val="008270DC"/>
    <w:rsid w:val="00830CE8"/>
    <w:rsid w:val="0083118E"/>
    <w:rsid w:val="00831C66"/>
    <w:rsid w:val="00831EA7"/>
    <w:rsid w:val="00833324"/>
    <w:rsid w:val="00833513"/>
    <w:rsid w:val="00835A63"/>
    <w:rsid w:val="008377B5"/>
    <w:rsid w:val="008409B7"/>
    <w:rsid w:val="00841477"/>
    <w:rsid w:val="00842E02"/>
    <w:rsid w:val="00845F4D"/>
    <w:rsid w:val="00846466"/>
    <w:rsid w:val="00847904"/>
    <w:rsid w:val="008502C2"/>
    <w:rsid w:val="008507EF"/>
    <w:rsid w:val="00850904"/>
    <w:rsid w:val="008525DD"/>
    <w:rsid w:val="00853829"/>
    <w:rsid w:val="00853BF9"/>
    <w:rsid w:val="00854E04"/>
    <w:rsid w:val="008551DD"/>
    <w:rsid w:val="00856AB0"/>
    <w:rsid w:val="00861FED"/>
    <w:rsid w:val="00862A3F"/>
    <w:rsid w:val="008630DE"/>
    <w:rsid w:val="00863154"/>
    <w:rsid w:val="008647F1"/>
    <w:rsid w:val="008648BF"/>
    <w:rsid w:val="008671A1"/>
    <w:rsid w:val="00867C20"/>
    <w:rsid w:val="00870BB1"/>
    <w:rsid w:val="0087187D"/>
    <w:rsid w:val="00871E93"/>
    <w:rsid w:val="00872B95"/>
    <w:rsid w:val="008733D8"/>
    <w:rsid w:val="00873F42"/>
    <w:rsid w:val="008745A8"/>
    <w:rsid w:val="008752F7"/>
    <w:rsid w:val="0088245A"/>
    <w:rsid w:val="008832DB"/>
    <w:rsid w:val="00884B5C"/>
    <w:rsid w:val="0088500E"/>
    <w:rsid w:val="00885D1B"/>
    <w:rsid w:val="0088625B"/>
    <w:rsid w:val="00886AC1"/>
    <w:rsid w:val="008876AB"/>
    <w:rsid w:val="0089139C"/>
    <w:rsid w:val="008915FB"/>
    <w:rsid w:val="008939A0"/>
    <w:rsid w:val="0089577E"/>
    <w:rsid w:val="00895CB0"/>
    <w:rsid w:val="00897DE4"/>
    <w:rsid w:val="008A1A85"/>
    <w:rsid w:val="008A1F39"/>
    <w:rsid w:val="008A2948"/>
    <w:rsid w:val="008A7380"/>
    <w:rsid w:val="008B0819"/>
    <w:rsid w:val="008B0F94"/>
    <w:rsid w:val="008B25E6"/>
    <w:rsid w:val="008B3FDA"/>
    <w:rsid w:val="008B4683"/>
    <w:rsid w:val="008B472E"/>
    <w:rsid w:val="008B57A8"/>
    <w:rsid w:val="008B60DF"/>
    <w:rsid w:val="008C00B4"/>
    <w:rsid w:val="008C0CAA"/>
    <w:rsid w:val="008C1668"/>
    <w:rsid w:val="008C2EB3"/>
    <w:rsid w:val="008C309B"/>
    <w:rsid w:val="008C3FAF"/>
    <w:rsid w:val="008C51BA"/>
    <w:rsid w:val="008C62AD"/>
    <w:rsid w:val="008C63DF"/>
    <w:rsid w:val="008C6BEB"/>
    <w:rsid w:val="008D1717"/>
    <w:rsid w:val="008D174D"/>
    <w:rsid w:val="008D2E1A"/>
    <w:rsid w:val="008D2FF6"/>
    <w:rsid w:val="008D554A"/>
    <w:rsid w:val="008D5DC5"/>
    <w:rsid w:val="008D7AAC"/>
    <w:rsid w:val="008E0367"/>
    <w:rsid w:val="008E2B05"/>
    <w:rsid w:val="008E569D"/>
    <w:rsid w:val="008F0099"/>
    <w:rsid w:val="008F0605"/>
    <w:rsid w:val="008F0A60"/>
    <w:rsid w:val="008F186C"/>
    <w:rsid w:val="008F2C8F"/>
    <w:rsid w:val="008F2DEC"/>
    <w:rsid w:val="008F3F14"/>
    <w:rsid w:val="008F453D"/>
    <w:rsid w:val="0090283C"/>
    <w:rsid w:val="00902E57"/>
    <w:rsid w:val="00903920"/>
    <w:rsid w:val="00904305"/>
    <w:rsid w:val="009049D1"/>
    <w:rsid w:val="00904B63"/>
    <w:rsid w:val="00905A5F"/>
    <w:rsid w:val="009062BF"/>
    <w:rsid w:val="00906F7A"/>
    <w:rsid w:val="00907E56"/>
    <w:rsid w:val="00907EC5"/>
    <w:rsid w:val="00910330"/>
    <w:rsid w:val="00910824"/>
    <w:rsid w:val="009108CE"/>
    <w:rsid w:val="00910CCC"/>
    <w:rsid w:val="0091304F"/>
    <w:rsid w:val="009141DF"/>
    <w:rsid w:val="00916C9C"/>
    <w:rsid w:val="00917120"/>
    <w:rsid w:val="009171A0"/>
    <w:rsid w:val="00917944"/>
    <w:rsid w:val="00920B77"/>
    <w:rsid w:val="00921A94"/>
    <w:rsid w:val="0092248C"/>
    <w:rsid w:val="00922DEC"/>
    <w:rsid w:val="00922FC1"/>
    <w:rsid w:val="009232EE"/>
    <w:rsid w:val="00923F25"/>
    <w:rsid w:val="0092466F"/>
    <w:rsid w:val="00925D56"/>
    <w:rsid w:val="0092640D"/>
    <w:rsid w:val="0092668F"/>
    <w:rsid w:val="00930FCC"/>
    <w:rsid w:val="009361A2"/>
    <w:rsid w:val="00937974"/>
    <w:rsid w:val="009379DE"/>
    <w:rsid w:val="0094179F"/>
    <w:rsid w:val="00941FD4"/>
    <w:rsid w:val="00944853"/>
    <w:rsid w:val="00947DE1"/>
    <w:rsid w:val="009500BC"/>
    <w:rsid w:val="00951610"/>
    <w:rsid w:val="009536A2"/>
    <w:rsid w:val="00954584"/>
    <w:rsid w:val="009562F4"/>
    <w:rsid w:val="00956D8E"/>
    <w:rsid w:val="009575CF"/>
    <w:rsid w:val="00961994"/>
    <w:rsid w:val="009628F9"/>
    <w:rsid w:val="00962F5F"/>
    <w:rsid w:val="009634C6"/>
    <w:rsid w:val="00964E59"/>
    <w:rsid w:val="0096644C"/>
    <w:rsid w:val="009666C0"/>
    <w:rsid w:val="00966860"/>
    <w:rsid w:val="00967F46"/>
    <w:rsid w:val="00971C3A"/>
    <w:rsid w:val="00972641"/>
    <w:rsid w:val="009727E2"/>
    <w:rsid w:val="00973A02"/>
    <w:rsid w:val="00974198"/>
    <w:rsid w:val="00974A06"/>
    <w:rsid w:val="00974B18"/>
    <w:rsid w:val="009751DC"/>
    <w:rsid w:val="00977274"/>
    <w:rsid w:val="00980270"/>
    <w:rsid w:val="00980D53"/>
    <w:rsid w:val="009810FB"/>
    <w:rsid w:val="00981759"/>
    <w:rsid w:val="0098306F"/>
    <w:rsid w:val="00983ECF"/>
    <w:rsid w:val="009846F1"/>
    <w:rsid w:val="00985089"/>
    <w:rsid w:val="009853F5"/>
    <w:rsid w:val="00985454"/>
    <w:rsid w:val="00986A71"/>
    <w:rsid w:val="00986CFB"/>
    <w:rsid w:val="0099057F"/>
    <w:rsid w:val="00990736"/>
    <w:rsid w:val="00991650"/>
    <w:rsid w:val="00991FC3"/>
    <w:rsid w:val="00992CA5"/>
    <w:rsid w:val="00993BC1"/>
    <w:rsid w:val="00994791"/>
    <w:rsid w:val="00994BF3"/>
    <w:rsid w:val="00997530"/>
    <w:rsid w:val="009A28AF"/>
    <w:rsid w:val="009A3A6F"/>
    <w:rsid w:val="009A3AAC"/>
    <w:rsid w:val="009A3C7B"/>
    <w:rsid w:val="009A44D7"/>
    <w:rsid w:val="009A5A09"/>
    <w:rsid w:val="009A6BE0"/>
    <w:rsid w:val="009A6E3B"/>
    <w:rsid w:val="009A78D6"/>
    <w:rsid w:val="009A7BE0"/>
    <w:rsid w:val="009B2E15"/>
    <w:rsid w:val="009B4B0D"/>
    <w:rsid w:val="009B6105"/>
    <w:rsid w:val="009B6326"/>
    <w:rsid w:val="009C0FC6"/>
    <w:rsid w:val="009C1A67"/>
    <w:rsid w:val="009C32A5"/>
    <w:rsid w:val="009C419C"/>
    <w:rsid w:val="009C5170"/>
    <w:rsid w:val="009C5B28"/>
    <w:rsid w:val="009C7411"/>
    <w:rsid w:val="009D2F27"/>
    <w:rsid w:val="009D3334"/>
    <w:rsid w:val="009D5A73"/>
    <w:rsid w:val="009D5B4E"/>
    <w:rsid w:val="009D5C70"/>
    <w:rsid w:val="009D7A98"/>
    <w:rsid w:val="009D7AA1"/>
    <w:rsid w:val="009E07EA"/>
    <w:rsid w:val="009E0DFB"/>
    <w:rsid w:val="009E1059"/>
    <w:rsid w:val="009E120D"/>
    <w:rsid w:val="009E1234"/>
    <w:rsid w:val="009E3311"/>
    <w:rsid w:val="009E6159"/>
    <w:rsid w:val="009E7251"/>
    <w:rsid w:val="009F0360"/>
    <w:rsid w:val="009F0786"/>
    <w:rsid w:val="009F0EAB"/>
    <w:rsid w:val="009F104D"/>
    <w:rsid w:val="009F146E"/>
    <w:rsid w:val="009F14CE"/>
    <w:rsid w:val="009F228E"/>
    <w:rsid w:val="009F54AE"/>
    <w:rsid w:val="009F6173"/>
    <w:rsid w:val="009F65D2"/>
    <w:rsid w:val="009F67CC"/>
    <w:rsid w:val="009F7643"/>
    <w:rsid w:val="009F7E1A"/>
    <w:rsid w:val="00A021C3"/>
    <w:rsid w:val="00A1154D"/>
    <w:rsid w:val="00A12F4D"/>
    <w:rsid w:val="00A1371F"/>
    <w:rsid w:val="00A13F72"/>
    <w:rsid w:val="00A15D98"/>
    <w:rsid w:val="00A160BF"/>
    <w:rsid w:val="00A162D9"/>
    <w:rsid w:val="00A171D3"/>
    <w:rsid w:val="00A17719"/>
    <w:rsid w:val="00A20EFB"/>
    <w:rsid w:val="00A2115F"/>
    <w:rsid w:val="00A224BC"/>
    <w:rsid w:val="00A234CF"/>
    <w:rsid w:val="00A24C1D"/>
    <w:rsid w:val="00A274EC"/>
    <w:rsid w:val="00A27B3A"/>
    <w:rsid w:val="00A308DB"/>
    <w:rsid w:val="00A30D82"/>
    <w:rsid w:val="00A3110D"/>
    <w:rsid w:val="00A31871"/>
    <w:rsid w:val="00A31B2A"/>
    <w:rsid w:val="00A31BF2"/>
    <w:rsid w:val="00A32543"/>
    <w:rsid w:val="00A32FDE"/>
    <w:rsid w:val="00A3317C"/>
    <w:rsid w:val="00A34E65"/>
    <w:rsid w:val="00A37C87"/>
    <w:rsid w:val="00A421D4"/>
    <w:rsid w:val="00A431C7"/>
    <w:rsid w:val="00A439DA"/>
    <w:rsid w:val="00A44347"/>
    <w:rsid w:val="00A44A53"/>
    <w:rsid w:val="00A45DE3"/>
    <w:rsid w:val="00A46CA1"/>
    <w:rsid w:val="00A4799F"/>
    <w:rsid w:val="00A500EE"/>
    <w:rsid w:val="00A51D62"/>
    <w:rsid w:val="00A52967"/>
    <w:rsid w:val="00A536D1"/>
    <w:rsid w:val="00A539A5"/>
    <w:rsid w:val="00A55E93"/>
    <w:rsid w:val="00A56DAE"/>
    <w:rsid w:val="00A57B23"/>
    <w:rsid w:val="00A616E0"/>
    <w:rsid w:val="00A6232F"/>
    <w:rsid w:val="00A63935"/>
    <w:rsid w:val="00A64015"/>
    <w:rsid w:val="00A641B0"/>
    <w:rsid w:val="00A64291"/>
    <w:rsid w:val="00A645C8"/>
    <w:rsid w:val="00A649BB"/>
    <w:rsid w:val="00A6552E"/>
    <w:rsid w:val="00A66DF7"/>
    <w:rsid w:val="00A6703B"/>
    <w:rsid w:val="00A70E02"/>
    <w:rsid w:val="00A7252E"/>
    <w:rsid w:val="00A72CE0"/>
    <w:rsid w:val="00A73197"/>
    <w:rsid w:val="00A73507"/>
    <w:rsid w:val="00A7459E"/>
    <w:rsid w:val="00A75998"/>
    <w:rsid w:val="00A76657"/>
    <w:rsid w:val="00A7688B"/>
    <w:rsid w:val="00A81B52"/>
    <w:rsid w:val="00A82AA1"/>
    <w:rsid w:val="00A82BB4"/>
    <w:rsid w:val="00A83FB0"/>
    <w:rsid w:val="00A84E36"/>
    <w:rsid w:val="00A905F5"/>
    <w:rsid w:val="00A90FA0"/>
    <w:rsid w:val="00A925C9"/>
    <w:rsid w:val="00A92D91"/>
    <w:rsid w:val="00A9436B"/>
    <w:rsid w:val="00A95DB5"/>
    <w:rsid w:val="00A969EB"/>
    <w:rsid w:val="00A96B59"/>
    <w:rsid w:val="00AA1C62"/>
    <w:rsid w:val="00AA543F"/>
    <w:rsid w:val="00AA55D2"/>
    <w:rsid w:val="00AA6AD6"/>
    <w:rsid w:val="00AA6BEE"/>
    <w:rsid w:val="00AB1A5A"/>
    <w:rsid w:val="00AB5F42"/>
    <w:rsid w:val="00AB67B2"/>
    <w:rsid w:val="00AB6B56"/>
    <w:rsid w:val="00AC0DA1"/>
    <w:rsid w:val="00AC1382"/>
    <w:rsid w:val="00AC1CF7"/>
    <w:rsid w:val="00AC2B52"/>
    <w:rsid w:val="00AC3793"/>
    <w:rsid w:val="00AC61A8"/>
    <w:rsid w:val="00AD1B31"/>
    <w:rsid w:val="00AD2642"/>
    <w:rsid w:val="00AD2800"/>
    <w:rsid w:val="00AD4629"/>
    <w:rsid w:val="00AD6ECF"/>
    <w:rsid w:val="00AE0DA1"/>
    <w:rsid w:val="00AE4F48"/>
    <w:rsid w:val="00AE5974"/>
    <w:rsid w:val="00AE6A0B"/>
    <w:rsid w:val="00AE718C"/>
    <w:rsid w:val="00AE7A2F"/>
    <w:rsid w:val="00AF143D"/>
    <w:rsid w:val="00AF17CF"/>
    <w:rsid w:val="00AF32EA"/>
    <w:rsid w:val="00AF3C42"/>
    <w:rsid w:val="00AF3E8D"/>
    <w:rsid w:val="00AF55EF"/>
    <w:rsid w:val="00AF7AC8"/>
    <w:rsid w:val="00B01286"/>
    <w:rsid w:val="00B01769"/>
    <w:rsid w:val="00B01B6B"/>
    <w:rsid w:val="00B06CD9"/>
    <w:rsid w:val="00B11FBF"/>
    <w:rsid w:val="00B12273"/>
    <w:rsid w:val="00B12EA3"/>
    <w:rsid w:val="00B12FBB"/>
    <w:rsid w:val="00B130FF"/>
    <w:rsid w:val="00B150CC"/>
    <w:rsid w:val="00B20E43"/>
    <w:rsid w:val="00B2117C"/>
    <w:rsid w:val="00B22E0E"/>
    <w:rsid w:val="00B303B9"/>
    <w:rsid w:val="00B3092B"/>
    <w:rsid w:val="00B30A20"/>
    <w:rsid w:val="00B335C9"/>
    <w:rsid w:val="00B33FB9"/>
    <w:rsid w:val="00B344A7"/>
    <w:rsid w:val="00B35F66"/>
    <w:rsid w:val="00B3642C"/>
    <w:rsid w:val="00B36D92"/>
    <w:rsid w:val="00B40A87"/>
    <w:rsid w:val="00B40E2C"/>
    <w:rsid w:val="00B410B9"/>
    <w:rsid w:val="00B4117A"/>
    <w:rsid w:val="00B42633"/>
    <w:rsid w:val="00B42A4C"/>
    <w:rsid w:val="00B42E18"/>
    <w:rsid w:val="00B44520"/>
    <w:rsid w:val="00B44FE7"/>
    <w:rsid w:val="00B45036"/>
    <w:rsid w:val="00B46119"/>
    <w:rsid w:val="00B46CF3"/>
    <w:rsid w:val="00B5016E"/>
    <w:rsid w:val="00B501C0"/>
    <w:rsid w:val="00B502BF"/>
    <w:rsid w:val="00B52C79"/>
    <w:rsid w:val="00B52CD7"/>
    <w:rsid w:val="00B534DA"/>
    <w:rsid w:val="00B55CA4"/>
    <w:rsid w:val="00B616CD"/>
    <w:rsid w:val="00B62726"/>
    <w:rsid w:val="00B63168"/>
    <w:rsid w:val="00B6562C"/>
    <w:rsid w:val="00B677F2"/>
    <w:rsid w:val="00B73492"/>
    <w:rsid w:val="00B735B0"/>
    <w:rsid w:val="00B74CE1"/>
    <w:rsid w:val="00B75C3A"/>
    <w:rsid w:val="00B760CB"/>
    <w:rsid w:val="00B77958"/>
    <w:rsid w:val="00B77C3D"/>
    <w:rsid w:val="00B8362B"/>
    <w:rsid w:val="00B83A31"/>
    <w:rsid w:val="00B85D89"/>
    <w:rsid w:val="00B9061C"/>
    <w:rsid w:val="00B92C27"/>
    <w:rsid w:val="00B9315A"/>
    <w:rsid w:val="00B932BE"/>
    <w:rsid w:val="00B9352B"/>
    <w:rsid w:val="00B93A5E"/>
    <w:rsid w:val="00B94086"/>
    <w:rsid w:val="00B942FD"/>
    <w:rsid w:val="00B95621"/>
    <w:rsid w:val="00B95B69"/>
    <w:rsid w:val="00B96662"/>
    <w:rsid w:val="00B972EC"/>
    <w:rsid w:val="00BA0965"/>
    <w:rsid w:val="00BA2E7F"/>
    <w:rsid w:val="00BA368E"/>
    <w:rsid w:val="00BA4BA8"/>
    <w:rsid w:val="00BA6877"/>
    <w:rsid w:val="00BA6E69"/>
    <w:rsid w:val="00BA6F3A"/>
    <w:rsid w:val="00BB01EC"/>
    <w:rsid w:val="00BB1681"/>
    <w:rsid w:val="00BB2608"/>
    <w:rsid w:val="00BB4B24"/>
    <w:rsid w:val="00BB4ED6"/>
    <w:rsid w:val="00BB5124"/>
    <w:rsid w:val="00BB6B52"/>
    <w:rsid w:val="00BB7224"/>
    <w:rsid w:val="00BC1F50"/>
    <w:rsid w:val="00BC207F"/>
    <w:rsid w:val="00BC23B8"/>
    <w:rsid w:val="00BC38B0"/>
    <w:rsid w:val="00BC6081"/>
    <w:rsid w:val="00BC678C"/>
    <w:rsid w:val="00BC6ABA"/>
    <w:rsid w:val="00BD1DD0"/>
    <w:rsid w:val="00BD258F"/>
    <w:rsid w:val="00BD29F1"/>
    <w:rsid w:val="00BD4DF6"/>
    <w:rsid w:val="00BD5404"/>
    <w:rsid w:val="00BD5862"/>
    <w:rsid w:val="00BD63BE"/>
    <w:rsid w:val="00BD6F9A"/>
    <w:rsid w:val="00BE0B08"/>
    <w:rsid w:val="00BE0BAB"/>
    <w:rsid w:val="00BE294C"/>
    <w:rsid w:val="00BE308A"/>
    <w:rsid w:val="00BE4553"/>
    <w:rsid w:val="00BE5423"/>
    <w:rsid w:val="00BE589F"/>
    <w:rsid w:val="00BF0F97"/>
    <w:rsid w:val="00BF2B93"/>
    <w:rsid w:val="00BF2C40"/>
    <w:rsid w:val="00BF2DF4"/>
    <w:rsid w:val="00BF377B"/>
    <w:rsid w:val="00BF4B90"/>
    <w:rsid w:val="00BF6637"/>
    <w:rsid w:val="00BF6674"/>
    <w:rsid w:val="00BF780B"/>
    <w:rsid w:val="00C00128"/>
    <w:rsid w:val="00C0024F"/>
    <w:rsid w:val="00C00D93"/>
    <w:rsid w:val="00C02236"/>
    <w:rsid w:val="00C02C23"/>
    <w:rsid w:val="00C02C6A"/>
    <w:rsid w:val="00C02DF1"/>
    <w:rsid w:val="00C05443"/>
    <w:rsid w:val="00C05589"/>
    <w:rsid w:val="00C075A4"/>
    <w:rsid w:val="00C10D1F"/>
    <w:rsid w:val="00C117EA"/>
    <w:rsid w:val="00C13E67"/>
    <w:rsid w:val="00C1489D"/>
    <w:rsid w:val="00C15742"/>
    <w:rsid w:val="00C15AB7"/>
    <w:rsid w:val="00C16031"/>
    <w:rsid w:val="00C16378"/>
    <w:rsid w:val="00C178DE"/>
    <w:rsid w:val="00C17A13"/>
    <w:rsid w:val="00C20311"/>
    <w:rsid w:val="00C24355"/>
    <w:rsid w:val="00C24B26"/>
    <w:rsid w:val="00C24C23"/>
    <w:rsid w:val="00C25057"/>
    <w:rsid w:val="00C25696"/>
    <w:rsid w:val="00C25E69"/>
    <w:rsid w:val="00C26A7A"/>
    <w:rsid w:val="00C279DD"/>
    <w:rsid w:val="00C27E77"/>
    <w:rsid w:val="00C315EE"/>
    <w:rsid w:val="00C323F0"/>
    <w:rsid w:val="00C32B1D"/>
    <w:rsid w:val="00C32DEF"/>
    <w:rsid w:val="00C333A0"/>
    <w:rsid w:val="00C33A49"/>
    <w:rsid w:val="00C344F0"/>
    <w:rsid w:val="00C34D0E"/>
    <w:rsid w:val="00C351B7"/>
    <w:rsid w:val="00C365BA"/>
    <w:rsid w:val="00C36E90"/>
    <w:rsid w:val="00C37760"/>
    <w:rsid w:val="00C379C4"/>
    <w:rsid w:val="00C408EC"/>
    <w:rsid w:val="00C40BC0"/>
    <w:rsid w:val="00C41E75"/>
    <w:rsid w:val="00C427D6"/>
    <w:rsid w:val="00C45064"/>
    <w:rsid w:val="00C4592B"/>
    <w:rsid w:val="00C51479"/>
    <w:rsid w:val="00C5330F"/>
    <w:rsid w:val="00C548BB"/>
    <w:rsid w:val="00C54A1A"/>
    <w:rsid w:val="00C557D4"/>
    <w:rsid w:val="00C55A6C"/>
    <w:rsid w:val="00C5617B"/>
    <w:rsid w:val="00C56DEE"/>
    <w:rsid w:val="00C6025D"/>
    <w:rsid w:val="00C619D0"/>
    <w:rsid w:val="00C61B37"/>
    <w:rsid w:val="00C64F8D"/>
    <w:rsid w:val="00C7097C"/>
    <w:rsid w:val="00C70AD9"/>
    <w:rsid w:val="00C72374"/>
    <w:rsid w:val="00C764D3"/>
    <w:rsid w:val="00C77545"/>
    <w:rsid w:val="00C77CDA"/>
    <w:rsid w:val="00C81187"/>
    <w:rsid w:val="00C82339"/>
    <w:rsid w:val="00C84D5A"/>
    <w:rsid w:val="00C851FC"/>
    <w:rsid w:val="00C85E21"/>
    <w:rsid w:val="00C860DE"/>
    <w:rsid w:val="00C867FB"/>
    <w:rsid w:val="00C90227"/>
    <w:rsid w:val="00C915DE"/>
    <w:rsid w:val="00C91F2A"/>
    <w:rsid w:val="00C929DD"/>
    <w:rsid w:val="00C933AF"/>
    <w:rsid w:val="00C93698"/>
    <w:rsid w:val="00C94515"/>
    <w:rsid w:val="00CA030D"/>
    <w:rsid w:val="00CA0412"/>
    <w:rsid w:val="00CA0C76"/>
    <w:rsid w:val="00CA1F00"/>
    <w:rsid w:val="00CA2EE6"/>
    <w:rsid w:val="00CA33C7"/>
    <w:rsid w:val="00CA5F04"/>
    <w:rsid w:val="00CA5FD8"/>
    <w:rsid w:val="00CA61A0"/>
    <w:rsid w:val="00CB022F"/>
    <w:rsid w:val="00CB462E"/>
    <w:rsid w:val="00CB4BAA"/>
    <w:rsid w:val="00CB5657"/>
    <w:rsid w:val="00CB7011"/>
    <w:rsid w:val="00CC03DA"/>
    <w:rsid w:val="00CC1E87"/>
    <w:rsid w:val="00CC2DD8"/>
    <w:rsid w:val="00CC3B51"/>
    <w:rsid w:val="00CC400E"/>
    <w:rsid w:val="00CC5EE3"/>
    <w:rsid w:val="00CC6B91"/>
    <w:rsid w:val="00CC78E0"/>
    <w:rsid w:val="00CC7D21"/>
    <w:rsid w:val="00CD11B6"/>
    <w:rsid w:val="00CD46C2"/>
    <w:rsid w:val="00CD4EFE"/>
    <w:rsid w:val="00CE2F33"/>
    <w:rsid w:val="00CE3C0C"/>
    <w:rsid w:val="00CE5CE1"/>
    <w:rsid w:val="00CE5DF7"/>
    <w:rsid w:val="00CE6E93"/>
    <w:rsid w:val="00CE7096"/>
    <w:rsid w:val="00CF0312"/>
    <w:rsid w:val="00CF0BBA"/>
    <w:rsid w:val="00CF198E"/>
    <w:rsid w:val="00CF2F46"/>
    <w:rsid w:val="00CF3028"/>
    <w:rsid w:val="00CF7201"/>
    <w:rsid w:val="00CF7CB1"/>
    <w:rsid w:val="00D0059B"/>
    <w:rsid w:val="00D01018"/>
    <w:rsid w:val="00D03694"/>
    <w:rsid w:val="00D04910"/>
    <w:rsid w:val="00D04B01"/>
    <w:rsid w:val="00D076D5"/>
    <w:rsid w:val="00D100BF"/>
    <w:rsid w:val="00D12812"/>
    <w:rsid w:val="00D13013"/>
    <w:rsid w:val="00D15723"/>
    <w:rsid w:val="00D1715C"/>
    <w:rsid w:val="00D1795D"/>
    <w:rsid w:val="00D17F46"/>
    <w:rsid w:val="00D2213B"/>
    <w:rsid w:val="00D227C2"/>
    <w:rsid w:val="00D245FB"/>
    <w:rsid w:val="00D254A5"/>
    <w:rsid w:val="00D2765D"/>
    <w:rsid w:val="00D27B6C"/>
    <w:rsid w:val="00D30438"/>
    <w:rsid w:val="00D33375"/>
    <w:rsid w:val="00D33CC2"/>
    <w:rsid w:val="00D352D9"/>
    <w:rsid w:val="00D36E89"/>
    <w:rsid w:val="00D373E1"/>
    <w:rsid w:val="00D3753F"/>
    <w:rsid w:val="00D37570"/>
    <w:rsid w:val="00D37A4B"/>
    <w:rsid w:val="00D37DE9"/>
    <w:rsid w:val="00D41FA8"/>
    <w:rsid w:val="00D42417"/>
    <w:rsid w:val="00D4297F"/>
    <w:rsid w:val="00D46D94"/>
    <w:rsid w:val="00D4719E"/>
    <w:rsid w:val="00D5130A"/>
    <w:rsid w:val="00D518BB"/>
    <w:rsid w:val="00D5257C"/>
    <w:rsid w:val="00D528DB"/>
    <w:rsid w:val="00D54BAD"/>
    <w:rsid w:val="00D55B8A"/>
    <w:rsid w:val="00D571DE"/>
    <w:rsid w:val="00D57DE9"/>
    <w:rsid w:val="00D60210"/>
    <w:rsid w:val="00D603FC"/>
    <w:rsid w:val="00D61B62"/>
    <w:rsid w:val="00D62E53"/>
    <w:rsid w:val="00D631CC"/>
    <w:rsid w:val="00D64255"/>
    <w:rsid w:val="00D65C2C"/>
    <w:rsid w:val="00D65F4F"/>
    <w:rsid w:val="00D65FFD"/>
    <w:rsid w:val="00D66261"/>
    <w:rsid w:val="00D66655"/>
    <w:rsid w:val="00D67F9E"/>
    <w:rsid w:val="00D7035E"/>
    <w:rsid w:val="00D704CC"/>
    <w:rsid w:val="00D70875"/>
    <w:rsid w:val="00D713CE"/>
    <w:rsid w:val="00D71DFC"/>
    <w:rsid w:val="00D726F8"/>
    <w:rsid w:val="00D73DE7"/>
    <w:rsid w:val="00D7624B"/>
    <w:rsid w:val="00D76CF7"/>
    <w:rsid w:val="00D77B69"/>
    <w:rsid w:val="00D77F76"/>
    <w:rsid w:val="00D803BD"/>
    <w:rsid w:val="00D815E8"/>
    <w:rsid w:val="00D82746"/>
    <w:rsid w:val="00D82F36"/>
    <w:rsid w:val="00D83489"/>
    <w:rsid w:val="00D84706"/>
    <w:rsid w:val="00D84C83"/>
    <w:rsid w:val="00D854A7"/>
    <w:rsid w:val="00D86A03"/>
    <w:rsid w:val="00D91BC2"/>
    <w:rsid w:val="00D91CDF"/>
    <w:rsid w:val="00D91CEF"/>
    <w:rsid w:val="00D92B08"/>
    <w:rsid w:val="00D93106"/>
    <w:rsid w:val="00D93DB0"/>
    <w:rsid w:val="00D94CD1"/>
    <w:rsid w:val="00D96C21"/>
    <w:rsid w:val="00D979B7"/>
    <w:rsid w:val="00DA0E06"/>
    <w:rsid w:val="00DA40F0"/>
    <w:rsid w:val="00DA5801"/>
    <w:rsid w:val="00DA6090"/>
    <w:rsid w:val="00DA6218"/>
    <w:rsid w:val="00DA6CF2"/>
    <w:rsid w:val="00DB013A"/>
    <w:rsid w:val="00DB4209"/>
    <w:rsid w:val="00DB71BA"/>
    <w:rsid w:val="00DB739F"/>
    <w:rsid w:val="00DB7900"/>
    <w:rsid w:val="00DB7E31"/>
    <w:rsid w:val="00DC1BD4"/>
    <w:rsid w:val="00DC3534"/>
    <w:rsid w:val="00DC3ED1"/>
    <w:rsid w:val="00DC4628"/>
    <w:rsid w:val="00DC56C3"/>
    <w:rsid w:val="00DC6BEA"/>
    <w:rsid w:val="00DD12B3"/>
    <w:rsid w:val="00DD1995"/>
    <w:rsid w:val="00DD1A9F"/>
    <w:rsid w:val="00DD1AF7"/>
    <w:rsid w:val="00DD4661"/>
    <w:rsid w:val="00DD5C89"/>
    <w:rsid w:val="00DD74B8"/>
    <w:rsid w:val="00DD7880"/>
    <w:rsid w:val="00DD7A23"/>
    <w:rsid w:val="00DE13FD"/>
    <w:rsid w:val="00DE1D1B"/>
    <w:rsid w:val="00DE23F4"/>
    <w:rsid w:val="00DE2494"/>
    <w:rsid w:val="00DE283C"/>
    <w:rsid w:val="00DE4085"/>
    <w:rsid w:val="00DE4507"/>
    <w:rsid w:val="00DF0354"/>
    <w:rsid w:val="00DF2C39"/>
    <w:rsid w:val="00DF2F7E"/>
    <w:rsid w:val="00DF2FE8"/>
    <w:rsid w:val="00DF43A9"/>
    <w:rsid w:val="00DF5756"/>
    <w:rsid w:val="00DF57F1"/>
    <w:rsid w:val="00DF70D9"/>
    <w:rsid w:val="00E00927"/>
    <w:rsid w:val="00E02A69"/>
    <w:rsid w:val="00E0371E"/>
    <w:rsid w:val="00E03B56"/>
    <w:rsid w:val="00E06442"/>
    <w:rsid w:val="00E06672"/>
    <w:rsid w:val="00E1019A"/>
    <w:rsid w:val="00E10525"/>
    <w:rsid w:val="00E1095A"/>
    <w:rsid w:val="00E10AB6"/>
    <w:rsid w:val="00E11A38"/>
    <w:rsid w:val="00E13003"/>
    <w:rsid w:val="00E14DD0"/>
    <w:rsid w:val="00E16AF8"/>
    <w:rsid w:val="00E16D1A"/>
    <w:rsid w:val="00E24C4B"/>
    <w:rsid w:val="00E27695"/>
    <w:rsid w:val="00E279C3"/>
    <w:rsid w:val="00E27BE9"/>
    <w:rsid w:val="00E31152"/>
    <w:rsid w:val="00E315C8"/>
    <w:rsid w:val="00E3278B"/>
    <w:rsid w:val="00E34580"/>
    <w:rsid w:val="00E35B7D"/>
    <w:rsid w:val="00E368D6"/>
    <w:rsid w:val="00E36E4B"/>
    <w:rsid w:val="00E37B85"/>
    <w:rsid w:val="00E37CF7"/>
    <w:rsid w:val="00E403BF"/>
    <w:rsid w:val="00E41819"/>
    <w:rsid w:val="00E41939"/>
    <w:rsid w:val="00E41AF5"/>
    <w:rsid w:val="00E4401A"/>
    <w:rsid w:val="00E44AE6"/>
    <w:rsid w:val="00E46F66"/>
    <w:rsid w:val="00E47383"/>
    <w:rsid w:val="00E52126"/>
    <w:rsid w:val="00E534EB"/>
    <w:rsid w:val="00E545A3"/>
    <w:rsid w:val="00E5460E"/>
    <w:rsid w:val="00E546CF"/>
    <w:rsid w:val="00E55327"/>
    <w:rsid w:val="00E563A4"/>
    <w:rsid w:val="00E57A43"/>
    <w:rsid w:val="00E57CBE"/>
    <w:rsid w:val="00E606B2"/>
    <w:rsid w:val="00E63ADA"/>
    <w:rsid w:val="00E63BDA"/>
    <w:rsid w:val="00E674D5"/>
    <w:rsid w:val="00E70ABD"/>
    <w:rsid w:val="00E724EC"/>
    <w:rsid w:val="00E730BC"/>
    <w:rsid w:val="00E74565"/>
    <w:rsid w:val="00E74B25"/>
    <w:rsid w:val="00E757B4"/>
    <w:rsid w:val="00E764FC"/>
    <w:rsid w:val="00E779B7"/>
    <w:rsid w:val="00E77A50"/>
    <w:rsid w:val="00E8084A"/>
    <w:rsid w:val="00E80D25"/>
    <w:rsid w:val="00E810A3"/>
    <w:rsid w:val="00E812B2"/>
    <w:rsid w:val="00E84E10"/>
    <w:rsid w:val="00E871B7"/>
    <w:rsid w:val="00E905D4"/>
    <w:rsid w:val="00E9110E"/>
    <w:rsid w:val="00E91FD4"/>
    <w:rsid w:val="00E92355"/>
    <w:rsid w:val="00E9460F"/>
    <w:rsid w:val="00E948E4"/>
    <w:rsid w:val="00E94D94"/>
    <w:rsid w:val="00E96345"/>
    <w:rsid w:val="00E96E76"/>
    <w:rsid w:val="00E973BF"/>
    <w:rsid w:val="00E97E45"/>
    <w:rsid w:val="00EA0B0B"/>
    <w:rsid w:val="00EA0C3D"/>
    <w:rsid w:val="00EA2E78"/>
    <w:rsid w:val="00EA2F5B"/>
    <w:rsid w:val="00EA369C"/>
    <w:rsid w:val="00EA375D"/>
    <w:rsid w:val="00EA3C99"/>
    <w:rsid w:val="00EA3D81"/>
    <w:rsid w:val="00EA52B6"/>
    <w:rsid w:val="00EA5B71"/>
    <w:rsid w:val="00EA609C"/>
    <w:rsid w:val="00EA755E"/>
    <w:rsid w:val="00EB0163"/>
    <w:rsid w:val="00EB2A7D"/>
    <w:rsid w:val="00EB34CA"/>
    <w:rsid w:val="00EB3649"/>
    <w:rsid w:val="00EB3985"/>
    <w:rsid w:val="00EB4A80"/>
    <w:rsid w:val="00EB6DDA"/>
    <w:rsid w:val="00EB7D33"/>
    <w:rsid w:val="00EC0443"/>
    <w:rsid w:val="00EC17A9"/>
    <w:rsid w:val="00EC1A57"/>
    <w:rsid w:val="00EC1D6A"/>
    <w:rsid w:val="00EC35EA"/>
    <w:rsid w:val="00EC3A74"/>
    <w:rsid w:val="00EC6954"/>
    <w:rsid w:val="00ED02C4"/>
    <w:rsid w:val="00ED28F2"/>
    <w:rsid w:val="00ED3465"/>
    <w:rsid w:val="00ED3E7D"/>
    <w:rsid w:val="00ED5039"/>
    <w:rsid w:val="00EE0069"/>
    <w:rsid w:val="00EE0AC0"/>
    <w:rsid w:val="00EE500B"/>
    <w:rsid w:val="00EE50D2"/>
    <w:rsid w:val="00EE574A"/>
    <w:rsid w:val="00EE59C2"/>
    <w:rsid w:val="00EE6685"/>
    <w:rsid w:val="00EE76C5"/>
    <w:rsid w:val="00EF249A"/>
    <w:rsid w:val="00EF347D"/>
    <w:rsid w:val="00EF3E6A"/>
    <w:rsid w:val="00EF415A"/>
    <w:rsid w:val="00EF46A2"/>
    <w:rsid w:val="00EF5EDE"/>
    <w:rsid w:val="00EF6DC5"/>
    <w:rsid w:val="00F00259"/>
    <w:rsid w:val="00F026D5"/>
    <w:rsid w:val="00F028D8"/>
    <w:rsid w:val="00F02BFD"/>
    <w:rsid w:val="00F05414"/>
    <w:rsid w:val="00F054DD"/>
    <w:rsid w:val="00F05D6B"/>
    <w:rsid w:val="00F06694"/>
    <w:rsid w:val="00F07336"/>
    <w:rsid w:val="00F10753"/>
    <w:rsid w:val="00F10C83"/>
    <w:rsid w:val="00F10FA6"/>
    <w:rsid w:val="00F11837"/>
    <w:rsid w:val="00F15783"/>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196"/>
    <w:rsid w:val="00F443C6"/>
    <w:rsid w:val="00F45742"/>
    <w:rsid w:val="00F507F6"/>
    <w:rsid w:val="00F50F35"/>
    <w:rsid w:val="00F51A73"/>
    <w:rsid w:val="00F54087"/>
    <w:rsid w:val="00F54906"/>
    <w:rsid w:val="00F54EFD"/>
    <w:rsid w:val="00F55F14"/>
    <w:rsid w:val="00F56824"/>
    <w:rsid w:val="00F56893"/>
    <w:rsid w:val="00F57002"/>
    <w:rsid w:val="00F570E0"/>
    <w:rsid w:val="00F60784"/>
    <w:rsid w:val="00F628DD"/>
    <w:rsid w:val="00F62E54"/>
    <w:rsid w:val="00F63DB6"/>
    <w:rsid w:val="00F63FAF"/>
    <w:rsid w:val="00F64EFC"/>
    <w:rsid w:val="00F65818"/>
    <w:rsid w:val="00F67F75"/>
    <w:rsid w:val="00F704C3"/>
    <w:rsid w:val="00F7052B"/>
    <w:rsid w:val="00F73CE0"/>
    <w:rsid w:val="00F757ED"/>
    <w:rsid w:val="00F7632B"/>
    <w:rsid w:val="00F80F6C"/>
    <w:rsid w:val="00F81F95"/>
    <w:rsid w:val="00F8269D"/>
    <w:rsid w:val="00F82BCE"/>
    <w:rsid w:val="00F84248"/>
    <w:rsid w:val="00F854FE"/>
    <w:rsid w:val="00F868A2"/>
    <w:rsid w:val="00F87427"/>
    <w:rsid w:val="00F87937"/>
    <w:rsid w:val="00F8793E"/>
    <w:rsid w:val="00F87F76"/>
    <w:rsid w:val="00F91587"/>
    <w:rsid w:val="00F92F35"/>
    <w:rsid w:val="00F943AD"/>
    <w:rsid w:val="00F951F5"/>
    <w:rsid w:val="00F95373"/>
    <w:rsid w:val="00F960C4"/>
    <w:rsid w:val="00F96207"/>
    <w:rsid w:val="00F968B8"/>
    <w:rsid w:val="00F97372"/>
    <w:rsid w:val="00FA03F2"/>
    <w:rsid w:val="00FA2369"/>
    <w:rsid w:val="00FA37DD"/>
    <w:rsid w:val="00FA47D1"/>
    <w:rsid w:val="00FA49CD"/>
    <w:rsid w:val="00FA5256"/>
    <w:rsid w:val="00FA7E24"/>
    <w:rsid w:val="00FB0BE5"/>
    <w:rsid w:val="00FB41E1"/>
    <w:rsid w:val="00FB6150"/>
    <w:rsid w:val="00FB7807"/>
    <w:rsid w:val="00FB7AB0"/>
    <w:rsid w:val="00FC26B5"/>
    <w:rsid w:val="00FC3E59"/>
    <w:rsid w:val="00FC54F6"/>
    <w:rsid w:val="00FC5505"/>
    <w:rsid w:val="00FC5EF5"/>
    <w:rsid w:val="00FD00C3"/>
    <w:rsid w:val="00FD14C0"/>
    <w:rsid w:val="00FD16CD"/>
    <w:rsid w:val="00FD1B1E"/>
    <w:rsid w:val="00FD48F4"/>
    <w:rsid w:val="00FD4FBC"/>
    <w:rsid w:val="00FD65F1"/>
    <w:rsid w:val="00FD71D3"/>
    <w:rsid w:val="00FE09E0"/>
    <w:rsid w:val="00FE1B20"/>
    <w:rsid w:val="00FE21EF"/>
    <w:rsid w:val="00FE2475"/>
    <w:rsid w:val="00FE37C1"/>
    <w:rsid w:val="00FE4809"/>
    <w:rsid w:val="00FE4AC5"/>
    <w:rsid w:val="00FE537E"/>
    <w:rsid w:val="00FE53D2"/>
    <w:rsid w:val="00FE58C9"/>
    <w:rsid w:val="00FE7D9F"/>
    <w:rsid w:val="00FF1634"/>
    <w:rsid w:val="00FF3B88"/>
    <w:rsid w:val="00FF5B04"/>
    <w:rsid w:val="00FF69AA"/>
    <w:rsid w:val="00FF6DE5"/>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A7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0A"/>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semiHidden/>
    <w:unhideWhenUsed/>
    <w:qFormat/>
    <w:rsid w:val="0015628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aliases w:val="H5-Sec. Head"/>
    <w:basedOn w:val="Heading1"/>
    <w:next w:val="L1-FlLSp12"/>
    <w:link w:val="Heading5Char"/>
    <w:qFormat/>
    <w:rsid w:val="00562E04"/>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1E39AE"/>
    <w:rPr>
      <w:rFonts w:ascii="Courier" w:hAnsi="Courier"/>
      <w:sz w:val="24"/>
    </w:rPr>
  </w:style>
  <w:style w:type="paragraph" w:styleId="NoSpacing">
    <w:name w:val="No Spacing"/>
    <w:link w:val="NoSpacingChar"/>
    <w:uiPriority w:val="1"/>
    <w:qFormat/>
    <w:rsid w:val="00156286"/>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56286"/>
    <w:rPr>
      <w:rFonts w:ascii="Calibri" w:hAnsi="Calibri"/>
      <w:b/>
      <w:sz w:val="24"/>
    </w:rPr>
  </w:style>
  <w:style w:type="paragraph" w:customStyle="1" w:styleId="L1-FlLSp12">
    <w:name w:val="L1-FlL Sp&amp;1/2"/>
    <w:basedOn w:val="Normal"/>
    <w:link w:val="L1-FlLSp12Char"/>
    <w:rsid w:val="00156286"/>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156286"/>
    <w:rPr>
      <w:rFonts w:ascii="Garamond" w:hAnsi="Garamond"/>
      <w:sz w:val="24"/>
    </w:rPr>
  </w:style>
  <w:style w:type="character" w:customStyle="1" w:styleId="Heading3Char">
    <w:name w:val="Heading 3 Char"/>
    <w:basedOn w:val="DefaultParagraphFont"/>
    <w:link w:val="Heading3"/>
    <w:semiHidden/>
    <w:rsid w:val="00156286"/>
    <w:rPr>
      <w:rFonts w:asciiTheme="majorHAnsi" w:eastAsiaTheme="majorEastAsia" w:hAnsiTheme="majorHAnsi" w:cstheme="majorBidi"/>
      <w:color w:val="243F60" w:themeColor="accent1" w:themeShade="7F"/>
      <w:sz w:val="24"/>
      <w:szCs w:val="24"/>
    </w:rPr>
  </w:style>
  <w:style w:type="paragraph" w:customStyle="1" w:styleId="N1-1stBullet">
    <w:name w:val="N1-1st Bullet"/>
    <w:basedOn w:val="Normal"/>
    <w:link w:val="N1-1stBulletChar"/>
    <w:rsid w:val="008129D8"/>
    <w:pPr>
      <w:widowControl/>
      <w:numPr>
        <w:numId w:val="2"/>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8129D8"/>
    <w:rPr>
      <w:rFonts w:ascii="Garamond" w:hAnsi="Garamond"/>
      <w:sz w:val="24"/>
    </w:rPr>
  </w:style>
  <w:style w:type="character" w:customStyle="1" w:styleId="Heading5Char">
    <w:name w:val="Heading 5 Char"/>
    <w:aliases w:val="H5-Sec. Head Char"/>
    <w:basedOn w:val="DefaultParagraphFont"/>
    <w:link w:val="Heading5"/>
    <w:rsid w:val="00562E04"/>
    <w:rPr>
      <w:rFonts w:ascii="Franklin Gothic Medium" w:hAnsi="Franklin Gothic Medium"/>
      <w:b/>
      <w:i/>
      <w:sz w:val="24"/>
    </w:rPr>
  </w:style>
  <w:style w:type="paragraph" w:customStyle="1" w:styleId="NormalSS">
    <w:name w:val="NormalSS"/>
    <w:basedOn w:val="Normal"/>
    <w:qFormat/>
    <w:rsid w:val="000640D7"/>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styleId="TOCHeading">
    <w:name w:val="TOC Heading"/>
    <w:basedOn w:val="Heading1"/>
    <w:next w:val="Normal"/>
    <w:uiPriority w:val="39"/>
    <w:unhideWhenUsed/>
    <w:qFormat/>
    <w:rsid w:val="008E0367"/>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AE718C"/>
  </w:style>
  <w:style w:type="character" w:customStyle="1" w:styleId="CommentTextChar">
    <w:name w:val="Comment Text Char"/>
    <w:basedOn w:val="DefaultParagraphFont"/>
    <w:link w:val="CommentText"/>
    <w:semiHidden/>
    <w:rsid w:val="00B90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0A"/>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semiHidden/>
    <w:unhideWhenUsed/>
    <w:qFormat/>
    <w:rsid w:val="00156286"/>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aliases w:val="H5-Sec. Head"/>
    <w:basedOn w:val="Heading1"/>
    <w:next w:val="L1-FlLSp12"/>
    <w:link w:val="Heading5Char"/>
    <w:qFormat/>
    <w:rsid w:val="00562E04"/>
    <w:pPr>
      <w:keepLines/>
      <w:widowControl/>
      <w:tabs>
        <w:tab w:val="clear" w:pos="4680"/>
        <w:tab w:val="left" w:pos="1152"/>
      </w:tabs>
      <w:suppressAutoHyphens w:val="0"/>
      <w:overflowPunct/>
      <w:autoSpaceDE/>
      <w:autoSpaceDN/>
      <w:adjustRightInd/>
      <w:spacing w:after="360" w:line="360" w:lineRule="atLeast"/>
      <w:ind w:left="1152" w:hanging="1152"/>
      <w:textAlignment w:val="auto"/>
      <w:outlineLvl w:val="4"/>
    </w:pPr>
    <w:rPr>
      <w:rFonts w:ascii="Franklin Gothic Medium" w:hAnsi="Franklin Gothic Medium"/>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rsid w:val="001E39AE"/>
    <w:rPr>
      <w:rFonts w:ascii="Courier" w:hAnsi="Courier"/>
      <w:sz w:val="24"/>
    </w:rPr>
  </w:style>
  <w:style w:type="paragraph" w:styleId="NoSpacing">
    <w:name w:val="No Spacing"/>
    <w:link w:val="NoSpacingChar"/>
    <w:uiPriority w:val="1"/>
    <w:qFormat/>
    <w:rsid w:val="00156286"/>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56286"/>
    <w:rPr>
      <w:rFonts w:ascii="Calibri" w:hAnsi="Calibri"/>
      <w:b/>
      <w:sz w:val="24"/>
    </w:rPr>
  </w:style>
  <w:style w:type="paragraph" w:customStyle="1" w:styleId="L1-FlLSp12">
    <w:name w:val="L1-FlL Sp&amp;1/2"/>
    <w:basedOn w:val="Normal"/>
    <w:link w:val="L1-FlLSp12Char"/>
    <w:rsid w:val="00156286"/>
    <w:pPr>
      <w:widowControl/>
      <w:tabs>
        <w:tab w:val="left" w:pos="1152"/>
      </w:tabs>
      <w:overflowPunct/>
      <w:autoSpaceDE/>
      <w:autoSpaceDN/>
      <w:adjustRightInd/>
      <w:spacing w:line="360" w:lineRule="atLeast"/>
      <w:textAlignment w:val="auto"/>
    </w:pPr>
    <w:rPr>
      <w:rFonts w:ascii="Garamond" w:hAnsi="Garamond"/>
    </w:rPr>
  </w:style>
  <w:style w:type="character" w:customStyle="1" w:styleId="L1-FlLSp12Char">
    <w:name w:val="L1-FlL Sp&amp;1/2 Char"/>
    <w:basedOn w:val="DefaultParagraphFont"/>
    <w:link w:val="L1-FlLSp12"/>
    <w:locked/>
    <w:rsid w:val="00156286"/>
    <w:rPr>
      <w:rFonts w:ascii="Garamond" w:hAnsi="Garamond"/>
      <w:sz w:val="24"/>
    </w:rPr>
  </w:style>
  <w:style w:type="character" w:customStyle="1" w:styleId="Heading3Char">
    <w:name w:val="Heading 3 Char"/>
    <w:basedOn w:val="DefaultParagraphFont"/>
    <w:link w:val="Heading3"/>
    <w:semiHidden/>
    <w:rsid w:val="00156286"/>
    <w:rPr>
      <w:rFonts w:asciiTheme="majorHAnsi" w:eastAsiaTheme="majorEastAsia" w:hAnsiTheme="majorHAnsi" w:cstheme="majorBidi"/>
      <w:color w:val="243F60" w:themeColor="accent1" w:themeShade="7F"/>
      <w:sz w:val="24"/>
      <w:szCs w:val="24"/>
    </w:rPr>
  </w:style>
  <w:style w:type="paragraph" w:customStyle="1" w:styleId="N1-1stBullet">
    <w:name w:val="N1-1st Bullet"/>
    <w:basedOn w:val="Normal"/>
    <w:link w:val="N1-1stBulletChar"/>
    <w:rsid w:val="008129D8"/>
    <w:pPr>
      <w:widowControl/>
      <w:numPr>
        <w:numId w:val="2"/>
      </w:numPr>
      <w:overflowPunct/>
      <w:autoSpaceDE/>
      <w:autoSpaceDN/>
      <w:adjustRightInd/>
      <w:spacing w:after="240" w:line="240" w:lineRule="atLeast"/>
      <w:textAlignment w:val="auto"/>
    </w:pPr>
    <w:rPr>
      <w:rFonts w:ascii="Garamond" w:hAnsi="Garamond"/>
    </w:rPr>
  </w:style>
  <w:style w:type="character" w:customStyle="1" w:styleId="N1-1stBulletChar">
    <w:name w:val="N1-1st Bullet Char"/>
    <w:basedOn w:val="DefaultParagraphFont"/>
    <w:link w:val="N1-1stBullet"/>
    <w:locked/>
    <w:rsid w:val="008129D8"/>
    <w:rPr>
      <w:rFonts w:ascii="Garamond" w:hAnsi="Garamond"/>
      <w:sz w:val="24"/>
    </w:rPr>
  </w:style>
  <w:style w:type="character" w:customStyle="1" w:styleId="Heading5Char">
    <w:name w:val="Heading 5 Char"/>
    <w:aliases w:val="H5-Sec. Head Char"/>
    <w:basedOn w:val="DefaultParagraphFont"/>
    <w:link w:val="Heading5"/>
    <w:rsid w:val="00562E04"/>
    <w:rPr>
      <w:rFonts w:ascii="Franklin Gothic Medium" w:hAnsi="Franklin Gothic Medium"/>
      <w:b/>
      <w:i/>
      <w:sz w:val="24"/>
    </w:rPr>
  </w:style>
  <w:style w:type="paragraph" w:customStyle="1" w:styleId="NormalSS">
    <w:name w:val="NormalSS"/>
    <w:basedOn w:val="Normal"/>
    <w:qFormat/>
    <w:rsid w:val="000640D7"/>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styleId="TOCHeading">
    <w:name w:val="TOC Heading"/>
    <w:basedOn w:val="Heading1"/>
    <w:next w:val="Normal"/>
    <w:uiPriority w:val="39"/>
    <w:unhideWhenUsed/>
    <w:qFormat/>
    <w:rsid w:val="008E0367"/>
    <w:pPr>
      <w:keepLines/>
      <w:widowControl/>
      <w:tabs>
        <w:tab w:val="clear" w:pos="468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AE718C"/>
  </w:style>
  <w:style w:type="character" w:customStyle="1" w:styleId="CommentTextChar">
    <w:name w:val="Comment Text Char"/>
    <w:basedOn w:val="DefaultParagraphFont"/>
    <w:link w:val="CommentText"/>
    <w:semiHidden/>
    <w:rsid w:val="00B9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69157933">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6142494">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91209552">
      <w:bodyDiv w:val="1"/>
      <w:marLeft w:val="0"/>
      <w:marRight w:val="0"/>
      <w:marTop w:val="0"/>
      <w:marBottom w:val="0"/>
      <w:divBdr>
        <w:top w:val="none" w:sz="0" w:space="0" w:color="auto"/>
        <w:left w:val="none" w:sz="0" w:space="0" w:color="auto"/>
        <w:bottom w:val="none" w:sz="0" w:space="0" w:color="auto"/>
        <w:right w:val="none" w:sz="0" w:space="0" w:color="auto"/>
      </w:divBdr>
    </w:div>
    <w:div w:id="65360778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7945158">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1333291">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6596649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04413000">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6955417">
      <w:bodyDiv w:val="1"/>
      <w:marLeft w:val="0"/>
      <w:marRight w:val="0"/>
      <w:marTop w:val="0"/>
      <w:marBottom w:val="0"/>
      <w:divBdr>
        <w:top w:val="none" w:sz="0" w:space="0" w:color="auto"/>
        <w:left w:val="none" w:sz="0" w:space="0" w:color="auto"/>
        <w:bottom w:val="none" w:sz="0" w:space="0" w:color="auto"/>
        <w:right w:val="none" w:sz="0" w:space="0" w:color="auto"/>
      </w:divBdr>
    </w:div>
    <w:div w:id="1974480803">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7925694">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rs.usda.gov/data-products/food-access-research-atlas/" TargetMode="External"/><Relationship Id="rId1" Type="http://schemas.openxmlformats.org/officeDocument/2006/relationships/hyperlink" Target="https://www.nhc.fns.usda.gov/nhc/national-hunger-organiz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AD51-63DE-470B-B40B-797C58A01094}">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9dbcbb5a-2d39-43bd-b6c7-d27f844c7fb7"/>
    <ds:schemaRef ds:uri="http://schemas.microsoft.com/office/2006/metadata/properties"/>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4.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BCD4CB9-ED2F-4016-9EBF-68A5A26E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6034</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40348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2017-11-28T20:20:00Z</cp:lastPrinted>
  <dcterms:created xsi:type="dcterms:W3CDTF">2018-02-22T20:31:00Z</dcterms:created>
  <dcterms:modified xsi:type="dcterms:W3CDTF">2018-02-22T20:31:00Z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