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FC52B2" w14:textId="77777777" w:rsidR="002578CE" w:rsidRDefault="005B71A1" w:rsidP="005B71A1">
      <w:pPr>
        <w:pStyle w:val="NoSpacing"/>
        <w:jc w:val="center"/>
      </w:pPr>
      <w:bookmarkStart w:id="0" w:name="_GoBack"/>
      <w:bookmarkEnd w:id="0"/>
      <w:r>
        <w:rPr>
          <w:b/>
        </w:rPr>
        <w:t>JUSTIFICATION FOR NONMATERIAL/NONSUBSTANTIVE CHANGE</w:t>
      </w:r>
    </w:p>
    <w:p w14:paraId="76FC52B3" w14:textId="77777777" w:rsidR="005B71A1" w:rsidRDefault="005B71A1" w:rsidP="005B71A1">
      <w:pPr>
        <w:pStyle w:val="NoSpacing"/>
        <w:jc w:val="center"/>
        <w:rPr>
          <w:b/>
        </w:rPr>
      </w:pPr>
      <w:r>
        <w:rPr>
          <w:b/>
        </w:rPr>
        <w:t>Requirements for Patent Applications Containing Nucleotide Sequence and Amino Acid Sequence Disclosure</w:t>
      </w:r>
    </w:p>
    <w:p w14:paraId="76FC52B4" w14:textId="77777777" w:rsidR="005B71A1" w:rsidRDefault="005B71A1" w:rsidP="005B71A1">
      <w:pPr>
        <w:pStyle w:val="NoSpacing"/>
        <w:jc w:val="center"/>
      </w:pPr>
      <w:r>
        <w:rPr>
          <w:b/>
        </w:rPr>
        <w:t>OMB Control Number 0651-0024</w:t>
      </w:r>
    </w:p>
    <w:p w14:paraId="76FC52B5" w14:textId="77777777" w:rsidR="005B71A1" w:rsidRDefault="005B71A1" w:rsidP="005B71A1">
      <w:pPr>
        <w:pStyle w:val="NoSpacing"/>
      </w:pPr>
    </w:p>
    <w:p w14:paraId="76FC52B6" w14:textId="77777777" w:rsidR="005B71A1" w:rsidRDefault="005B71A1" w:rsidP="005B71A1">
      <w:pPr>
        <w:pStyle w:val="NoSpacing"/>
        <w:rPr>
          <w:rFonts w:cs="Arial"/>
          <w:u w:val="single"/>
        </w:rPr>
      </w:pPr>
      <w:r>
        <w:rPr>
          <w:rFonts w:cs="Arial"/>
          <w:u w:val="single"/>
        </w:rPr>
        <w:t>Background</w:t>
      </w:r>
    </w:p>
    <w:p w14:paraId="76FC52B7" w14:textId="77777777" w:rsidR="005B71A1" w:rsidRDefault="005B71A1" w:rsidP="005B71A1">
      <w:pPr>
        <w:pStyle w:val="NoSpacing"/>
        <w:jc w:val="both"/>
        <w:rPr>
          <w:rFonts w:cs="Arial"/>
        </w:rPr>
      </w:pPr>
    </w:p>
    <w:p w14:paraId="76FC52B8" w14:textId="77777777" w:rsidR="005B71A1" w:rsidRDefault="005B71A1" w:rsidP="005B71A1">
      <w:pPr>
        <w:pStyle w:val="NoSpacing"/>
        <w:jc w:val="both"/>
        <w:rPr>
          <w:rFonts w:cs="Arial"/>
        </w:rPr>
      </w:pPr>
      <w:r>
        <w:rPr>
          <w:rFonts w:cs="Arial"/>
        </w:rPr>
        <w:t>The United States Patent and Trademark Office (UPSTO) administers the Leahy-Smith America Invents Act (AIA), Section 10, which sets or adjusts patent fees established authorized, or charged under Title 35, United States Code (U.S.C.). Section 10 prescribes that fees may be set or adjusted only to recover the aggregate estimated costs to the Office for processing, activities, services, and materials related to patent. Section 10 authorities also includes flexibility to set individual fees in a way that furthers key policies factors, while taking into account the cost of the respective services.</w:t>
      </w:r>
    </w:p>
    <w:p w14:paraId="76FC52B9" w14:textId="77777777" w:rsidR="005B71A1" w:rsidRDefault="005B71A1" w:rsidP="005B71A1">
      <w:pPr>
        <w:pStyle w:val="NoSpacing"/>
        <w:jc w:val="both"/>
        <w:rPr>
          <w:rFonts w:cs="Arial"/>
        </w:rPr>
      </w:pPr>
    </w:p>
    <w:p w14:paraId="76FC52BA" w14:textId="77777777" w:rsidR="00061E1C" w:rsidRDefault="005B71A1" w:rsidP="005B71A1">
      <w:pPr>
        <w:pStyle w:val="NoSpacing"/>
        <w:jc w:val="both"/>
        <w:rPr>
          <w:rFonts w:cs="Arial"/>
        </w:rPr>
      </w:pPr>
      <w:r>
        <w:rPr>
          <w:rFonts w:cs="Arial"/>
        </w:rPr>
        <w:t xml:space="preserve">The request is to update the fees attached to this collection that are affected by the rulemaking NPRM 0651-AD02, and also to incorporate fees were not counted in pervious approvals. Respondent numbers are also changing due to agency discretion in conjunction with the rule. </w:t>
      </w:r>
    </w:p>
    <w:p w14:paraId="76FC52BB" w14:textId="77777777" w:rsidR="005B71A1" w:rsidRDefault="005B71A1" w:rsidP="005B71A1">
      <w:pPr>
        <w:pStyle w:val="NoSpacing"/>
        <w:jc w:val="both"/>
        <w:rPr>
          <w:rFonts w:cs="Arial"/>
        </w:rPr>
      </w:pPr>
    </w:p>
    <w:p w14:paraId="76FC52BC" w14:textId="2751BAB4" w:rsidR="00EF6965" w:rsidRDefault="00EF6965" w:rsidP="005B71A1">
      <w:pPr>
        <w:pStyle w:val="NoSpacing"/>
        <w:jc w:val="both"/>
        <w:rPr>
          <w:rFonts w:cs="Arial"/>
        </w:rPr>
      </w:pPr>
      <w:r>
        <w:rPr>
          <w:rFonts w:cs="Arial"/>
        </w:rPr>
        <w:t xml:space="preserve">There are two fees being introduced as a result of the </w:t>
      </w:r>
      <w:r w:rsidR="00A4171B">
        <w:rPr>
          <w:rFonts w:cs="Arial"/>
        </w:rPr>
        <w:t>201</w:t>
      </w:r>
      <w:r w:rsidR="00E902D1">
        <w:rPr>
          <w:rFonts w:cs="Arial"/>
        </w:rPr>
        <w:t>7 Patent</w:t>
      </w:r>
      <w:r w:rsidR="00A4171B">
        <w:rPr>
          <w:rFonts w:cs="Arial"/>
        </w:rPr>
        <w:t xml:space="preserve"> </w:t>
      </w:r>
      <w:r>
        <w:rPr>
          <w:rFonts w:cs="Arial"/>
        </w:rPr>
        <w:t xml:space="preserve">Biennial Fee Review. </w:t>
      </w:r>
    </w:p>
    <w:p w14:paraId="76FC52BD" w14:textId="77777777" w:rsidR="00EF6965" w:rsidRDefault="00EF6965" w:rsidP="005B71A1">
      <w:pPr>
        <w:pStyle w:val="NoSpacing"/>
        <w:jc w:val="both"/>
        <w:rPr>
          <w:rFonts w:cs="Arial"/>
        </w:rPr>
      </w:pPr>
    </w:p>
    <w:p w14:paraId="135D471F" w14:textId="7C7E2169" w:rsidR="003E7602" w:rsidRPr="003E7602" w:rsidRDefault="003E7602" w:rsidP="005B71A1">
      <w:pPr>
        <w:pStyle w:val="NoSpacing"/>
        <w:jc w:val="both"/>
        <w:rPr>
          <w:rFonts w:cs="Arial"/>
          <w:b/>
        </w:rPr>
      </w:pPr>
      <w:r>
        <w:rPr>
          <w:rFonts w:cs="Arial"/>
          <w:b/>
        </w:rPr>
        <w:t>Table 1: Total Fee and Respondent Increases</w:t>
      </w:r>
    </w:p>
    <w:tbl>
      <w:tblPr>
        <w:tblStyle w:val="TableGrid"/>
        <w:tblW w:w="0" w:type="auto"/>
        <w:tblLook w:val="04A0" w:firstRow="1" w:lastRow="0" w:firstColumn="1" w:lastColumn="0" w:noHBand="0" w:noVBand="1"/>
      </w:tblPr>
      <w:tblGrid>
        <w:gridCol w:w="468"/>
        <w:gridCol w:w="4680"/>
        <w:gridCol w:w="1530"/>
        <w:gridCol w:w="1440"/>
        <w:gridCol w:w="1458"/>
      </w:tblGrid>
      <w:tr w:rsidR="003E7602" w14:paraId="429C917A" w14:textId="77777777" w:rsidTr="00D435BC">
        <w:tc>
          <w:tcPr>
            <w:tcW w:w="468" w:type="dxa"/>
            <w:vAlign w:val="center"/>
          </w:tcPr>
          <w:p w14:paraId="75090E20" w14:textId="77777777" w:rsidR="003E7602" w:rsidRPr="001179E3" w:rsidRDefault="003E7602" w:rsidP="00D435BC">
            <w:pPr>
              <w:pStyle w:val="NoSpacing"/>
              <w:jc w:val="center"/>
              <w:rPr>
                <w:b/>
              </w:rPr>
            </w:pPr>
            <w:r>
              <w:rPr>
                <w:b/>
              </w:rPr>
              <w:t>IC #</w:t>
            </w:r>
          </w:p>
        </w:tc>
        <w:tc>
          <w:tcPr>
            <w:tcW w:w="4680" w:type="dxa"/>
            <w:vAlign w:val="center"/>
          </w:tcPr>
          <w:p w14:paraId="776FD0E4" w14:textId="77777777" w:rsidR="003E7602" w:rsidRPr="001179E3" w:rsidRDefault="003E7602" w:rsidP="00D435BC">
            <w:pPr>
              <w:pStyle w:val="NoSpacing"/>
              <w:jc w:val="center"/>
              <w:rPr>
                <w:b/>
              </w:rPr>
            </w:pPr>
            <w:r>
              <w:rPr>
                <w:b/>
              </w:rPr>
              <w:t>Item</w:t>
            </w:r>
          </w:p>
        </w:tc>
        <w:tc>
          <w:tcPr>
            <w:tcW w:w="1530" w:type="dxa"/>
            <w:vAlign w:val="center"/>
          </w:tcPr>
          <w:p w14:paraId="17ADB0FE" w14:textId="77777777" w:rsidR="003E7602" w:rsidRPr="001179E3" w:rsidRDefault="003E7602" w:rsidP="00D435BC">
            <w:pPr>
              <w:pStyle w:val="NoSpacing"/>
              <w:jc w:val="center"/>
              <w:rPr>
                <w:b/>
              </w:rPr>
            </w:pPr>
            <w:r>
              <w:rPr>
                <w:b/>
              </w:rPr>
              <w:t>Updated Responses</w:t>
            </w:r>
          </w:p>
        </w:tc>
        <w:tc>
          <w:tcPr>
            <w:tcW w:w="1440" w:type="dxa"/>
            <w:vAlign w:val="center"/>
          </w:tcPr>
          <w:p w14:paraId="7D6BC4FB" w14:textId="77777777" w:rsidR="003E7602" w:rsidRPr="001179E3" w:rsidRDefault="003E7602" w:rsidP="00D435BC">
            <w:pPr>
              <w:pStyle w:val="NoSpacing"/>
              <w:jc w:val="center"/>
              <w:rPr>
                <w:b/>
              </w:rPr>
            </w:pPr>
            <w:r>
              <w:rPr>
                <w:b/>
              </w:rPr>
              <w:t>Updated Fee</w:t>
            </w:r>
          </w:p>
        </w:tc>
        <w:tc>
          <w:tcPr>
            <w:tcW w:w="1458" w:type="dxa"/>
            <w:vAlign w:val="center"/>
          </w:tcPr>
          <w:p w14:paraId="2A70C0AE" w14:textId="77777777" w:rsidR="003E7602" w:rsidRPr="00C17147" w:rsidRDefault="003E7602" w:rsidP="00D435BC">
            <w:pPr>
              <w:pStyle w:val="NoSpacing"/>
              <w:jc w:val="center"/>
              <w:rPr>
                <w:b/>
              </w:rPr>
            </w:pPr>
            <w:r>
              <w:rPr>
                <w:b/>
              </w:rPr>
              <w:t>Updated Non-hour Burden ($)</w:t>
            </w:r>
          </w:p>
        </w:tc>
      </w:tr>
      <w:tr w:rsidR="003E7602" w14:paraId="4FA745AD" w14:textId="77777777" w:rsidTr="00D435BC">
        <w:tc>
          <w:tcPr>
            <w:tcW w:w="468" w:type="dxa"/>
            <w:vAlign w:val="center"/>
          </w:tcPr>
          <w:p w14:paraId="0B85CCFD" w14:textId="77777777" w:rsidR="003E7602" w:rsidRDefault="003E7602" w:rsidP="00D435BC">
            <w:pPr>
              <w:pStyle w:val="NoSpacing"/>
              <w:jc w:val="center"/>
            </w:pPr>
            <w:r>
              <w:t>1</w:t>
            </w:r>
          </w:p>
        </w:tc>
        <w:tc>
          <w:tcPr>
            <w:tcW w:w="4680" w:type="dxa"/>
            <w:vAlign w:val="center"/>
          </w:tcPr>
          <w:p w14:paraId="2715CD52" w14:textId="77777777" w:rsidR="003E7602" w:rsidRDefault="003E7602" w:rsidP="00D435BC">
            <w:pPr>
              <w:pStyle w:val="NoSpacing"/>
            </w:pPr>
            <w:r>
              <w:t>Submissions of sequence listings of 300MB to 800 MB (large entity)</w:t>
            </w:r>
          </w:p>
        </w:tc>
        <w:tc>
          <w:tcPr>
            <w:tcW w:w="1530" w:type="dxa"/>
            <w:vAlign w:val="center"/>
          </w:tcPr>
          <w:p w14:paraId="0A727A3D" w14:textId="77777777" w:rsidR="003E7602" w:rsidRDefault="003E7602" w:rsidP="00D435BC">
            <w:pPr>
              <w:pStyle w:val="NoSpacing"/>
              <w:jc w:val="center"/>
            </w:pPr>
            <w:r>
              <w:t>6</w:t>
            </w:r>
          </w:p>
        </w:tc>
        <w:tc>
          <w:tcPr>
            <w:tcW w:w="1440" w:type="dxa"/>
            <w:vAlign w:val="center"/>
          </w:tcPr>
          <w:p w14:paraId="64C83985" w14:textId="2DA4AAC4" w:rsidR="003E7602" w:rsidRDefault="003E7602" w:rsidP="00D435BC">
            <w:pPr>
              <w:pStyle w:val="NoSpacing"/>
              <w:jc w:val="center"/>
            </w:pPr>
            <w:r>
              <w:t>$1,000</w:t>
            </w:r>
            <w:r w:rsidR="00DD72E0">
              <w:t>.00</w:t>
            </w:r>
          </w:p>
        </w:tc>
        <w:tc>
          <w:tcPr>
            <w:tcW w:w="1458" w:type="dxa"/>
            <w:vAlign w:val="center"/>
          </w:tcPr>
          <w:p w14:paraId="70538878" w14:textId="2F028234" w:rsidR="003E7602" w:rsidRDefault="003E7602" w:rsidP="00D435BC">
            <w:pPr>
              <w:pStyle w:val="NoSpacing"/>
              <w:jc w:val="center"/>
            </w:pPr>
            <w:r>
              <w:t>$6,000</w:t>
            </w:r>
            <w:r w:rsidR="00DD72E0">
              <w:t>.00</w:t>
            </w:r>
          </w:p>
        </w:tc>
      </w:tr>
      <w:tr w:rsidR="003E7602" w14:paraId="5F0E0BFB" w14:textId="77777777" w:rsidTr="00D435BC">
        <w:tc>
          <w:tcPr>
            <w:tcW w:w="468" w:type="dxa"/>
            <w:vAlign w:val="center"/>
          </w:tcPr>
          <w:p w14:paraId="5F28CED8" w14:textId="77777777" w:rsidR="003E7602" w:rsidRDefault="003E7602" w:rsidP="00D435BC">
            <w:pPr>
              <w:pStyle w:val="NoSpacing"/>
              <w:jc w:val="center"/>
            </w:pPr>
            <w:r>
              <w:t>1</w:t>
            </w:r>
          </w:p>
        </w:tc>
        <w:tc>
          <w:tcPr>
            <w:tcW w:w="4680" w:type="dxa"/>
            <w:vAlign w:val="center"/>
          </w:tcPr>
          <w:p w14:paraId="3B941BDF" w14:textId="77777777" w:rsidR="003E7602" w:rsidRDefault="003E7602" w:rsidP="00D435BC">
            <w:pPr>
              <w:pStyle w:val="NoSpacing"/>
            </w:pPr>
            <w:r>
              <w:t>Submissions of sequence listings of 300MB to 800 MB (small entity)</w:t>
            </w:r>
          </w:p>
        </w:tc>
        <w:tc>
          <w:tcPr>
            <w:tcW w:w="1530" w:type="dxa"/>
            <w:vAlign w:val="center"/>
          </w:tcPr>
          <w:p w14:paraId="3BFE06F7" w14:textId="77777777" w:rsidR="003E7602" w:rsidRDefault="003E7602" w:rsidP="00D435BC">
            <w:pPr>
              <w:pStyle w:val="NoSpacing"/>
              <w:jc w:val="center"/>
            </w:pPr>
            <w:r>
              <w:t>2</w:t>
            </w:r>
          </w:p>
        </w:tc>
        <w:tc>
          <w:tcPr>
            <w:tcW w:w="1440" w:type="dxa"/>
            <w:vAlign w:val="center"/>
          </w:tcPr>
          <w:p w14:paraId="1B5DFA1D" w14:textId="2137FC51" w:rsidR="003E7602" w:rsidRDefault="003E7602" w:rsidP="00D435BC">
            <w:pPr>
              <w:pStyle w:val="NoSpacing"/>
              <w:jc w:val="center"/>
            </w:pPr>
            <w:r>
              <w:t>$500</w:t>
            </w:r>
            <w:r w:rsidR="00DD72E0">
              <w:t>.00</w:t>
            </w:r>
          </w:p>
        </w:tc>
        <w:tc>
          <w:tcPr>
            <w:tcW w:w="1458" w:type="dxa"/>
            <w:vAlign w:val="center"/>
          </w:tcPr>
          <w:p w14:paraId="7F50EFD7" w14:textId="0E49E34E" w:rsidR="003E7602" w:rsidRDefault="003E7602" w:rsidP="00D435BC">
            <w:pPr>
              <w:pStyle w:val="NoSpacing"/>
              <w:jc w:val="center"/>
            </w:pPr>
            <w:r>
              <w:t>$1,000</w:t>
            </w:r>
            <w:r w:rsidR="00DD72E0">
              <w:t>.00</w:t>
            </w:r>
          </w:p>
        </w:tc>
      </w:tr>
      <w:tr w:rsidR="003E7602" w14:paraId="0528145B" w14:textId="77777777" w:rsidTr="00D435BC">
        <w:tc>
          <w:tcPr>
            <w:tcW w:w="468" w:type="dxa"/>
            <w:vAlign w:val="center"/>
          </w:tcPr>
          <w:p w14:paraId="38EE8635" w14:textId="77777777" w:rsidR="003E7602" w:rsidRDefault="003E7602" w:rsidP="00D435BC">
            <w:pPr>
              <w:pStyle w:val="NoSpacing"/>
              <w:jc w:val="center"/>
            </w:pPr>
            <w:r>
              <w:t>1</w:t>
            </w:r>
          </w:p>
        </w:tc>
        <w:tc>
          <w:tcPr>
            <w:tcW w:w="4680" w:type="dxa"/>
            <w:vAlign w:val="center"/>
          </w:tcPr>
          <w:p w14:paraId="319F79EB" w14:textId="77777777" w:rsidR="003E7602" w:rsidRDefault="003E7602" w:rsidP="00D435BC">
            <w:pPr>
              <w:pStyle w:val="NoSpacing"/>
            </w:pPr>
            <w:r>
              <w:t>Submissions of sequence listings of 300MB to 800 MB (micro entity)</w:t>
            </w:r>
          </w:p>
        </w:tc>
        <w:tc>
          <w:tcPr>
            <w:tcW w:w="1530" w:type="dxa"/>
            <w:vAlign w:val="center"/>
          </w:tcPr>
          <w:p w14:paraId="4E14FDF8" w14:textId="77777777" w:rsidR="003E7602" w:rsidRDefault="003E7602" w:rsidP="00D435BC">
            <w:pPr>
              <w:pStyle w:val="NoSpacing"/>
              <w:jc w:val="center"/>
            </w:pPr>
            <w:r>
              <w:t>1</w:t>
            </w:r>
          </w:p>
        </w:tc>
        <w:tc>
          <w:tcPr>
            <w:tcW w:w="1440" w:type="dxa"/>
            <w:vAlign w:val="center"/>
          </w:tcPr>
          <w:p w14:paraId="165FE585" w14:textId="7BD78477" w:rsidR="003E7602" w:rsidRDefault="003E7602" w:rsidP="00D435BC">
            <w:pPr>
              <w:pStyle w:val="NoSpacing"/>
              <w:jc w:val="center"/>
            </w:pPr>
            <w:r>
              <w:t>$250</w:t>
            </w:r>
            <w:r w:rsidR="00DD72E0">
              <w:t>.00</w:t>
            </w:r>
          </w:p>
        </w:tc>
        <w:tc>
          <w:tcPr>
            <w:tcW w:w="1458" w:type="dxa"/>
            <w:vAlign w:val="center"/>
          </w:tcPr>
          <w:p w14:paraId="77F4CB4C" w14:textId="43A1D5B7" w:rsidR="003E7602" w:rsidRDefault="003E7602" w:rsidP="00D435BC">
            <w:pPr>
              <w:pStyle w:val="NoSpacing"/>
              <w:jc w:val="center"/>
            </w:pPr>
            <w:r>
              <w:t>$250</w:t>
            </w:r>
            <w:r w:rsidR="00DD72E0">
              <w:t>.00</w:t>
            </w:r>
          </w:p>
        </w:tc>
      </w:tr>
      <w:tr w:rsidR="003E7602" w14:paraId="6BD7B6F7" w14:textId="77777777" w:rsidTr="00D435BC">
        <w:tc>
          <w:tcPr>
            <w:tcW w:w="468" w:type="dxa"/>
            <w:vAlign w:val="center"/>
          </w:tcPr>
          <w:p w14:paraId="6DA19057" w14:textId="77777777" w:rsidR="003E7602" w:rsidRDefault="003E7602" w:rsidP="00D435BC">
            <w:pPr>
              <w:pStyle w:val="NoSpacing"/>
              <w:jc w:val="center"/>
            </w:pPr>
            <w:r>
              <w:t>1</w:t>
            </w:r>
          </w:p>
        </w:tc>
        <w:tc>
          <w:tcPr>
            <w:tcW w:w="4680" w:type="dxa"/>
            <w:vAlign w:val="center"/>
          </w:tcPr>
          <w:p w14:paraId="6A2B5D07" w14:textId="77777777" w:rsidR="003E7602" w:rsidRDefault="003E7602" w:rsidP="00D435BC">
            <w:pPr>
              <w:pStyle w:val="NoSpacing"/>
            </w:pPr>
            <w:r>
              <w:t>Submissions of sequence listings of more than 800 MB (large entity)</w:t>
            </w:r>
          </w:p>
        </w:tc>
        <w:tc>
          <w:tcPr>
            <w:tcW w:w="1530" w:type="dxa"/>
            <w:vAlign w:val="center"/>
          </w:tcPr>
          <w:p w14:paraId="1C9CC676" w14:textId="77777777" w:rsidR="003E7602" w:rsidRDefault="003E7602" w:rsidP="00D435BC">
            <w:pPr>
              <w:pStyle w:val="NoSpacing"/>
              <w:jc w:val="center"/>
            </w:pPr>
            <w:r>
              <w:t>2</w:t>
            </w:r>
          </w:p>
        </w:tc>
        <w:tc>
          <w:tcPr>
            <w:tcW w:w="1440" w:type="dxa"/>
            <w:vAlign w:val="center"/>
          </w:tcPr>
          <w:p w14:paraId="45766C71" w14:textId="1601CFA8" w:rsidR="003E7602" w:rsidRDefault="003E7602" w:rsidP="00D435BC">
            <w:pPr>
              <w:pStyle w:val="NoSpacing"/>
              <w:jc w:val="center"/>
            </w:pPr>
            <w:r>
              <w:t>$10,000</w:t>
            </w:r>
            <w:r w:rsidR="00DD72E0">
              <w:t>.00</w:t>
            </w:r>
          </w:p>
        </w:tc>
        <w:tc>
          <w:tcPr>
            <w:tcW w:w="1458" w:type="dxa"/>
            <w:vAlign w:val="center"/>
          </w:tcPr>
          <w:p w14:paraId="6B2B0124" w14:textId="3290B808" w:rsidR="003E7602" w:rsidRDefault="003E7602" w:rsidP="00D435BC">
            <w:pPr>
              <w:pStyle w:val="NoSpacing"/>
              <w:jc w:val="center"/>
            </w:pPr>
            <w:r>
              <w:t>$20,000</w:t>
            </w:r>
            <w:r w:rsidR="00DD72E0">
              <w:t>.00</w:t>
            </w:r>
          </w:p>
        </w:tc>
      </w:tr>
      <w:tr w:rsidR="003E7602" w14:paraId="3E8B0153" w14:textId="77777777" w:rsidTr="00D435BC">
        <w:tc>
          <w:tcPr>
            <w:tcW w:w="468" w:type="dxa"/>
            <w:vAlign w:val="center"/>
          </w:tcPr>
          <w:p w14:paraId="4D93095B" w14:textId="77777777" w:rsidR="003E7602" w:rsidRDefault="003E7602" w:rsidP="00D435BC">
            <w:pPr>
              <w:pStyle w:val="NoSpacing"/>
              <w:jc w:val="center"/>
            </w:pPr>
            <w:r>
              <w:t>1</w:t>
            </w:r>
          </w:p>
        </w:tc>
        <w:tc>
          <w:tcPr>
            <w:tcW w:w="4680" w:type="dxa"/>
            <w:vAlign w:val="center"/>
          </w:tcPr>
          <w:p w14:paraId="1CDAC9FE" w14:textId="77777777" w:rsidR="003E7602" w:rsidRDefault="003E7602" w:rsidP="00D435BC">
            <w:pPr>
              <w:pStyle w:val="NoSpacing"/>
            </w:pPr>
            <w:r>
              <w:t>Submissions of sequence listings of more than 800 MB (small entity)</w:t>
            </w:r>
          </w:p>
        </w:tc>
        <w:tc>
          <w:tcPr>
            <w:tcW w:w="1530" w:type="dxa"/>
            <w:vAlign w:val="center"/>
          </w:tcPr>
          <w:p w14:paraId="1083D843" w14:textId="77777777" w:rsidR="003E7602" w:rsidRDefault="003E7602" w:rsidP="00D435BC">
            <w:pPr>
              <w:pStyle w:val="NoSpacing"/>
              <w:jc w:val="center"/>
            </w:pPr>
            <w:r>
              <w:t>1</w:t>
            </w:r>
          </w:p>
        </w:tc>
        <w:tc>
          <w:tcPr>
            <w:tcW w:w="1440" w:type="dxa"/>
            <w:vAlign w:val="center"/>
          </w:tcPr>
          <w:p w14:paraId="2D0C44A7" w14:textId="5E880E69" w:rsidR="003E7602" w:rsidRDefault="003E7602" w:rsidP="00D435BC">
            <w:pPr>
              <w:pStyle w:val="NoSpacing"/>
              <w:jc w:val="center"/>
            </w:pPr>
            <w:r>
              <w:t>$5,000</w:t>
            </w:r>
            <w:r w:rsidR="00DD72E0">
              <w:t>.00</w:t>
            </w:r>
          </w:p>
        </w:tc>
        <w:tc>
          <w:tcPr>
            <w:tcW w:w="1458" w:type="dxa"/>
            <w:vAlign w:val="center"/>
          </w:tcPr>
          <w:p w14:paraId="4AB28AFE" w14:textId="74F0C99E" w:rsidR="003E7602" w:rsidRDefault="003E7602" w:rsidP="00D435BC">
            <w:pPr>
              <w:pStyle w:val="NoSpacing"/>
              <w:jc w:val="center"/>
            </w:pPr>
            <w:r>
              <w:t>$5,000</w:t>
            </w:r>
            <w:r w:rsidR="00DD72E0">
              <w:t>.00</w:t>
            </w:r>
          </w:p>
        </w:tc>
      </w:tr>
      <w:tr w:rsidR="003E7602" w14:paraId="6FF00109" w14:textId="77777777" w:rsidTr="00D435BC">
        <w:tc>
          <w:tcPr>
            <w:tcW w:w="468" w:type="dxa"/>
            <w:vAlign w:val="center"/>
          </w:tcPr>
          <w:p w14:paraId="75BE98D4" w14:textId="77777777" w:rsidR="003E7602" w:rsidRDefault="003E7602" w:rsidP="00D435BC">
            <w:pPr>
              <w:pStyle w:val="NoSpacing"/>
              <w:jc w:val="center"/>
            </w:pPr>
            <w:r>
              <w:t>1</w:t>
            </w:r>
          </w:p>
        </w:tc>
        <w:tc>
          <w:tcPr>
            <w:tcW w:w="4680" w:type="dxa"/>
            <w:vAlign w:val="center"/>
          </w:tcPr>
          <w:p w14:paraId="2BF9E864" w14:textId="77777777" w:rsidR="003E7602" w:rsidRDefault="003E7602" w:rsidP="00D435BC">
            <w:pPr>
              <w:pStyle w:val="NoSpacing"/>
            </w:pPr>
            <w:r>
              <w:t>Submissions of sequence listings of more than 800 MB (micro entity)</w:t>
            </w:r>
          </w:p>
        </w:tc>
        <w:tc>
          <w:tcPr>
            <w:tcW w:w="1530" w:type="dxa"/>
            <w:vAlign w:val="center"/>
          </w:tcPr>
          <w:p w14:paraId="2D55030B" w14:textId="77777777" w:rsidR="003E7602" w:rsidRDefault="003E7602" w:rsidP="00D435BC">
            <w:pPr>
              <w:pStyle w:val="NoSpacing"/>
              <w:jc w:val="center"/>
            </w:pPr>
            <w:r>
              <w:t>1</w:t>
            </w:r>
          </w:p>
        </w:tc>
        <w:tc>
          <w:tcPr>
            <w:tcW w:w="1440" w:type="dxa"/>
            <w:vAlign w:val="center"/>
          </w:tcPr>
          <w:p w14:paraId="3162981C" w14:textId="249DBCB2" w:rsidR="003E7602" w:rsidRDefault="003E7602" w:rsidP="00D435BC">
            <w:pPr>
              <w:pStyle w:val="NoSpacing"/>
              <w:jc w:val="center"/>
            </w:pPr>
            <w:r>
              <w:t>$2,500</w:t>
            </w:r>
            <w:r w:rsidR="00DD72E0">
              <w:t>.00</w:t>
            </w:r>
          </w:p>
        </w:tc>
        <w:tc>
          <w:tcPr>
            <w:tcW w:w="1458" w:type="dxa"/>
            <w:vAlign w:val="center"/>
          </w:tcPr>
          <w:p w14:paraId="2E723F38" w14:textId="5473B3E0" w:rsidR="003E7602" w:rsidRDefault="003E7602" w:rsidP="00D435BC">
            <w:pPr>
              <w:pStyle w:val="NoSpacing"/>
              <w:jc w:val="center"/>
            </w:pPr>
            <w:r>
              <w:t>$2,500</w:t>
            </w:r>
            <w:r w:rsidR="00DD72E0">
              <w:t>.00</w:t>
            </w:r>
          </w:p>
        </w:tc>
      </w:tr>
      <w:tr w:rsidR="003E7602" w14:paraId="2B824AF2" w14:textId="77777777" w:rsidTr="00D435BC">
        <w:tc>
          <w:tcPr>
            <w:tcW w:w="468" w:type="dxa"/>
            <w:vAlign w:val="center"/>
          </w:tcPr>
          <w:p w14:paraId="6564B13A" w14:textId="77777777" w:rsidR="003E7602" w:rsidRDefault="003E7602" w:rsidP="00D435BC">
            <w:pPr>
              <w:pStyle w:val="NoSpacing"/>
              <w:jc w:val="center"/>
            </w:pPr>
            <w:r>
              <w:t>1</w:t>
            </w:r>
          </w:p>
        </w:tc>
        <w:tc>
          <w:tcPr>
            <w:tcW w:w="4680" w:type="dxa"/>
            <w:vAlign w:val="center"/>
          </w:tcPr>
          <w:p w14:paraId="62EFDAC1" w14:textId="77777777" w:rsidR="003E7602" w:rsidRDefault="003E7602" w:rsidP="00D435BC">
            <w:pPr>
              <w:pStyle w:val="NoSpacing"/>
            </w:pPr>
            <w:r>
              <w:t>Late Furnishing Fee for Providing a Sequence Listing in Response to an Invitation Under PCT Rule 13ter (large entity)</w:t>
            </w:r>
          </w:p>
        </w:tc>
        <w:tc>
          <w:tcPr>
            <w:tcW w:w="1530" w:type="dxa"/>
            <w:vAlign w:val="center"/>
          </w:tcPr>
          <w:p w14:paraId="26A81267" w14:textId="77777777" w:rsidR="003E7602" w:rsidRDefault="003E7602" w:rsidP="00D435BC">
            <w:pPr>
              <w:pStyle w:val="NoSpacing"/>
              <w:jc w:val="center"/>
            </w:pPr>
            <w:r>
              <w:t>247</w:t>
            </w:r>
          </w:p>
        </w:tc>
        <w:tc>
          <w:tcPr>
            <w:tcW w:w="1440" w:type="dxa"/>
            <w:vAlign w:val="center"/>
          </w:tcPr>
          <w:p w14:paraId="18D6CFAA" w14:textId="525CB761" w:rsidR="003E7602" w:rsidRDefault="003E7602" w:rsidP="00D435BC">
            <w:pPr>
              <w:pStyle w:val="NoSpacing"/>
              <w:jc w:val="center"/>
            </w:pPr>
            <w:r>
              <w:t>$300</w:t>
            </w:r>
            <w:r w:rsidR="00DD72E0">
              <w:t>.00</w:t>
            </w:r>
          </w:p>
        </w:tc>
        <w:tc>
          <w:tcPr>
            <w:tcW w:w="1458" w:type="dxa"/>
            <w:vAlign w:val="center"/>
          </w:tcPr>
          <w:p w14:paraId="03E962DC" w14:textId="75C86D6A" w:rsidR="003E7602" w:rsidRDefault="003E7602" w:rsidP="00D435BC">
            <w:pPr>
              <w:pStyle w:val="NoSpacing"/>
              <w:jc w:val="center"/>
            </w:pPr>
            <w:r>
              <w:t>$74,100</w:t>
            </w:r>
            <w:r w:rsidR="00DD72E0">
              <w:t>.00</w:t>
            </w:r>
          </w:p>
        </w:tc>
      </w:tr>
      <w:tr w:rsidR="003E7602" w14:paraId="2DEC3AA3" w14:textId="77777777" w:rsidTr="00D435BC">
        <w:tc>
          <w:tcPr>
            <w:tcW w:w="468" w:type="dxa"/>
            <w:vAlign w:val="center"/>
          </w:tcPr>
          <w:p w14:paraId="4081E228" w14:textId="77777777" w:rsidR="003E7602" w:rsidRDefault="003E7602" w:rsidP="00D435BC">
            <w:pPr>
              <w:pStyle w:val="NoSpacing"/>
              <w:jc w:val="center"/>
            </w:pPr>
            <w:r>
              <w:t>1</w:t>
            </w:r>
          </w:p>
        </w:tc>
        <w:tc>
          <w:tcPr>
            <w:tcW w:w="4680" w:type="dxa"/>
            <w:vAlign w:val="center"/>
          </w:tcPr>
          <w:p w14:paraId="51CDF3DE" w14:textId="77777777" w:rsidR="003E7602" w:rsidRDefault="003E7602" w:rsidP="00D435BC">
            <w:pPr>
              <w:pStyle w:val="NoSpacing"/>
            </w:pPr>
            <w:r>
              <w:t>Late Furnishing Fee for Providing a Sequence Listing in Response to an Invitation Under PCT Rule 13ter (small entity)</w:t>
            </w:r>
          </w:p>
        </w:tc>
        <w:tc>
          <w:tcPr>
            <w:tcW w:w="1530" w:type="dxa"/>
            <w:vAlign w:val="center"/>
          </w:tcPr>
          <w:p w14:paraId="65117598" w14:textId="77777777" w:rsidR="003E7602" w:rsidRDefault="003E7602" w:rsidP="00D435BC">
            <w:pPr>
              <w:pStyle w:val="NoSpacing"/>
              <w:jc w:val="center"/>
            </w:pPr>
            <w:r>
              <w:t>50</w:t>
            </w:r>
          </w:p>
        </w:tc>
        <w:tc>
          <w:tcPr>
            <w:tcW w:w="1440" w:type="dxa"/>
            <w:vAlign w:val="center"/>
          </w:tcPr>
          <w:p w14:paraId="69D94246" w14:textId="49F3DF5A" w:rsidR="003E7602" w:rsidRDefault="003E7602" w:rsidP="00D435BC">
            <w:pPr>
              <w:pStyle w:val="NoSpacing"/>
              <w:jc w:val="center"/>
            </w:pPr>
            <w:r>
              <w:t>$150</w:t>
            </w:r>
            <w:r w:rsidR="00DD72E0">
              <w:t>.00</w:t>
            </w:r>
          </w:p>
        </w:tc>
        <w:tc>
          <w:tcPr>
            <w:tcW w:w="1458" w:type="dxa"/>
            <w:vAlign w:val="center"/>
          </w:tcPr>
          <w:p w14:paraId="4ED07383" w14:textId="251A81EE" w:rsidR="003E7602" w:rsidRDefault="003E7602" w:rsidP="00D435BC">
            <w:pPr>
              <w:pStyle w:val="NoSpacing"/>
              <w:jc w:val="center"/>
            </w:pPr>
            <w:r>
              <w:t>$7,500</w:t>
            </w:r>
            <w:r w:rsidR="00DD72E0">
              <w:t>.00</w:t>
            </w:r>
          </w:p>
        </w:tc>
      </w:tr>
      <w:tr w:rsidR="003E7602" w14:paraId="4896D4ED" w14:textId="77777777" w:rsidTr="00D435BC">
        <w:tc>
          <w:tcPr>
            <w:tcW w:w="468" w:type="dxa"/>
            <w:vAlign w:val="center"/>
          </w:tcPr>
          <w:p w14:paraId="5A925515" w14:textId="77777777" w:rsidR="003E7602" w:rsidRDefault="003E7602" w:rsidP="00D435BC">
            <w:pPr>
              <w:pStyle w:val="NoSpacing"/>
              <w:jc w:val="center"/>
            </w:pPr>
            <w:r>
              <w:t>1</w:t>
            </w:r>
          </w:p>
        </w:tc>
        <w:tc>
          <w:tcPr>
            <w:tcW w:w="4680" w:type="dxa"/>
            <w:vAlign w:val="center"/>
          </w:tcPr>
          <w:p w14:paraId="3AD6E69D" w14:textId="77777777" w:rsidR="003E7602" w:rsidRDefault="003E7602" w:rsidP="00D435BC">
            <w:pPr>
              <w:pStyle w:val="NoSpacing"/>
            </w:pPr>
            <w:r>
              <w:t>Late Furnishing Fee for Providing a Sequence Listing in Response to an Invitation Under PCT Rule 13ter (micro entity)</w:t>
            </w:r>
          </w:p>
        </w:tc>
        <w:tc>
          <w:tcPr>
            <w:tcW w:w="1530" w:type="dxa"/>
            <w:vAlign w:val="center"/>
          </w:tcPr>
          <w:p w14:paraId="6159E2A9" w14:textId="77777777" w:rsidR="003E7602" w:rsidRDefault="003E7602" w:rsidP="00D435BC">
            <w:pPr>
              <w:pStyle w:val="NoSpacing"/>
              <w:jc w:val="center"/>
            </w:pPr>
            <w:r>
              <w:t>5</w:t>
            </w:r>
          </w:p>
        </w:tc>
        <w:tc>
          <w:tcPr>
            <w:tcW w:w="1440" w:type="dxa"/>
            <w:vAlign w:val="center"/>
          </w:tcPr>
          <w:p w14:paraId="50594E20" w14:textId="2BCC54BE" w:rsidR="003E7602" w:rsidRDefault="003E7602" w:rsidP="00D435BC">
            <w:pPr>
              <w:pStyle w:val="NoSpacing"/>
              <w:jc w:val="center"/>
            </w:pPr>
            <w:r>
              <w:t>$75</w:t>
            </w:r>
            <w:r w:rsidR="00DD72E0">
              <w:t>.00</w:t>
            </w:r>
          </w:p>
        </w:tc>
        <w:tc>
          <w:tcPr>
            <w:tcW w:w="1458" w:type="dxa"/>
            <w:vAlign w:val="center"/>
          </w:tcPr>
          <w:p w14:paraId="0D170E93" w14:textId="04F75C35" w:rsidR="003E7602" w:rsidRDefault="003E7602" w:rsidP="00D435BC">
            <w:pPr>
              <w:pStyle w:val="NoSpacing"/>
              <w:jc w:val="center"/>
            </w:pPr>
            <w:r>
              <w:t>$375</w:t>
            </w:r>
            <w:r w:rsidR="00DD72E0">
              <w:t>.00</w:t>
            </w:r>
          </w:p>
        </w:tc>
      </w:tr>
      <w:tr w:rsidR="003E7602" w14:paraId="138CA66F" w14:textId="77777777" w:rsidTr="00D435BC">
        <w:tc>
          <w:tcPr>
            <w:tcW w:w="468" w:type="dxa"/>
          </w:tcPr>
          <w:p w14:paraId="5D73526D" w14:textId="77777777" w:rsidR="003E7602" w:rsidRPr="00D26274" w:rsidRDefault="003E7602" w:rsidP="00D435BC">
            <w:pPr>
              <w:pStyle w:val="NoSpacing"/>
              <w:rPr>
                <w:b/>
              </w:rPr>
            </w:pPr>
          </w:p>
        </w:tc>
        <w:tc>
          <w:tcPr>
            <w:tcW w:w="4680" w:type="dxa"/>
          </w:tcPr>
          <w:p w14:paraId="2C2E00A2" w14:textId="77777777" w:rsidR="003E7602" w:rsidRPr="00D26274" w:rsidRDefault="003E7602" w:rsidP="00D435BC">
            <w:pPr>
              <w:pStyle w:val="NoSpacing"/>
              <w:rPr>
                <w:b/>
              </w:rPr>
            </w:pPr>
            <w:r>
              <w:rPr>
                <w:b/>
              </w:rPr>
              <w:t>Totals</w:t>
            </w:r>
          </w:p>
        </w:tc>
        <w:tc>
          <w:tcPr>
            <w:tcW w:w="1530" w:type="dxa"/>
            <w:vAlign w:val="center"/>
          </w:tcPr>
          <w:p w14:paraId="7BDB02F1" w14:textId="77777777" w:rsidR="003E7602" w:rsidRPr="00D26274" w:rsidRDefault="003E7602" w:rsidP="00D435BC">
            <w:pPr>
              <w:pStyle w:val="NoSpacing"/>
              <w:jc w:val="center"/>
              <w:rPr>
                <w:b/>
              </w:rPr>
            </w:pPr>
            <w:r>
              <w:rPr>
                <w:b/>
              </w:rPr>
              <w:t>315</w:t>
            </w:r>
          </w:p>
        </w:tc>
        <w:tc>
          <w:tcPr>
            <w:tcW w:w="1440" w:type="dxa"/>
            <w:vAlign w:val="center"/>
          </w:tcPr>
          <w:p w14:paraId="1C0CCB51" w14:textId="77777777" w:rsidR="003E7602" w:rsidRPr="00D26274" w:rsidRDefault="003E7602" w:rsidP="00D435BC">
            <w:pPr>
              <w:pStyle w:val="NoSpacing"/>
              <w:jc w:val="center"/>
              <w:rPr>
                <w:b/>
              </w:rPr>
            </w:pPr>
          </w:p>
        </w:tc>
        <w:tc>
          <w:tcPr>
            <w:tcW w:w="1458" w:type="dxa"/>
            <w:vAlign w:val="center"/>
          </w:tcPr>
          <w:p w14:paraId="31E0AE54" w14:textId="20992171" w:rsidR="003E7602" w:rsidRPr="00D26274" w:rsidRDefault="003E7602" w:rsidP="00D435BC">
            <w:pPr>
              <w:pStyle w:val="NoSpacing"/>
              <w:jc w:val="center"/>
              <w:rPr>
                <w:b/>
              </w:rPr>
            </w:pPr>
            <w:r>
              <w:rPr>
                <w:b/>
              </w:rPr>
              <w:t>$116,725</w:t>
            </w:r>
            <w:r w:rsidR="00DD72E0">
              <w:rPr>
                <w:b/>
              </w:rPr>
              <w:t>.00</w:t>
            </w:r>
          </w:p>
        </w:tc>
      </w:tr>
    </w:tbl>
    <w:p w14:paraId="48E8504C" w14:textId="77777777" w:rsidR="003E7602" w:rsidRDefault="003E7602" w:rsidP="005B71A1">
      <w:pPr>
        <w:pStyle w:val="NoSpacing"/>
        <w:jc w:val="both"/>
        <w:rPr>
          <w:rFonts w:cs="Arial"/>
        </w:rPr>
      </w:pPr>
    </w:p>
    <w:p w14:paraId="76FC52BE" w14:textId="593FC336" w:rsidR="005B71A1" w:rsidRDefault="003E7602" w:rsidP="005B71A1">
      <w:pPr>
        <w:pStyle w:val="NoSpacing"/>
        <w:jc w:val="both"/>
        <w:rPr>
          <w:rFonts w:cs="Arial"/>
        </w:rPr>
      </w:pPr>
      <w:r>
        <w:rPr>
          <w:rFonts w:cs="Arial"/>
          <w:b/>
        </w:rPr>
        <w:lastRenderedPageBreak/>
        <w:t>Table 2: Increases in Fee Amount</w:t>
      </w:r>
    </w:p>
    <w:tbl>
      <w:tblPr>
        <w:tblStyle w:val="TableGrid"/>
        <w:tblW w:w="9563" w:type="dxa"/>
        <w:tblInd w:w="18" w:type="dxa"/>
        <w:tblLayout w:type="fixed"/>
        <w:tblLook w:val="04A0" w:firstRow="1" w:lastRow="0" w:firstColumn="1" w:lastColumn="0" w:noHBand="0" w:noVBand="1"/>
      </w:tblPr>
      <w:tblGrid>
        <w:gridCol w:w="450"/>
        <w:gridCol w:w="3870"/>
        <w:gridCol w:w="1170"/>
        <w:gridCol w:w="2160"/>
        <w:gridCol w:w="1913"/>
      </w:tblGrid>
      <w:tr w:rsidR="00B235C8" w14:paraId="76FC52C4" w14:textId="77777777" w:rsidTr="00406A48">
        <w:tc>
          <w:tcPr>
            <w:tcW w:w="450" w:type="dxa"/>
          </w:tcPr>
          <w:p w14:paraId="76FC52BF" w14:textId="77777777" w:rsidR="00B235C8" w:rsidRPr="005A2703" w:rsidRDefault="00B235C8" w:rsidP="00662B58">
            <w:pPr>
              <w:pStyle w:val="NoSpacing"/>
              <w:jc w:val="center"/>
              <w:rPr>
                <w:b/>
              </w:rPr>
            </w:pPr>
            <w:r>
              <w:rPr>
                <w:b/>
              </w:rPr>
              <w:t>IC #</w:t>
            </w:r>
          </w:p>
        </w:tc>
        <w:tc>
          <w:tcPr>
            <w:tcW w:w="3870" w:type="dxa"/>
          </w:tcPr>
          <w:p w14:paraId="76FC52C0" w14:textId="77777777" w:rsidR="00B235C8" w:rsidRPr="005A2703" w:rsidRDefault="00B235C8" w:rsidP="00662B58">
            <w:pPr>
              <w:pStyle w:val="NoSpacing"/>
              <w:jc w:val="center"/>
              <w:rPr>
                <w:b/>
              </w:rPr>
            </w:pPr>
            <w:r>
              <w:rPr>
                <w:b/>
              </w:rPr>
              <w:t>Item</w:t>
            </w:r>
          </w:p>
        </w:tc>
        <w:tc>
          <w:tcPr>
            <w:tcW w:w="1170" w:type="dxa"/>
          </w:tcPr>
          <w:p w14:paraId="76FC52C1" w14:textId="77777777" w:rsidR="00B235C8" w:rsidRPr="005A2703" w:rsidRDefault="00B235C8" w:rsidP="00662B58">
            <w:pPr>
              <w:pStyle w:val="NoSpacing"/>
              <w:jc w:val="center"/>
              <w:rPr>
                <w:b/>
              </w:rPr>
            </w:pPr>
            <w:r>
              <w:rPr>
                <w:b/>
              </w:rPr>
              <w:t>Current Fee</w:t>
            </w:r>
          </w:p>
        </w:tc>
        <w:tc>
          <w:tcPr>
            <w:tcW w:w="2160" w:type="dxa"/>
          </w:tcPr>
          <w:p w14:paraId="76FC52C2" w14:textId="77777777" w:rsidR="00B235C8" w:rsidRPr="005A2703" w:rsidRDefault="00B235C8" w:rsidP="00662B58">
            <w:pPr>
              <w:pStyle w:val="NoSpacing"/>
              <w:jc w:val="center"/>
              <w:rPr>
                <w:b/>
              </w:rPr>
            </w:pPr>
            <w:r>
              <w:rPr>
                <w:b/>
              </w:rPr>
              <w:t>Proposed Fee</w:t>
            </w:r>
          </w:p>
        </w:tc>
        <w:tc>
          <w:tcPr>
            <w:tcW w:w="1913" w:type="dxa"/>
          </w:tcPr>
          <w:p w14:paraId="76FC52C3" w14:textId="77777777" w:rsidR="00B235C8" w:rsidRPr="005A2703" w:rsidRDefault="00B235C8" w:rsidP="00662B58">
            <w:pPr>
              <w:pStyle w:val="NoSpacing"/>
              <w:jc w:val="center"/>
              <w:rPr>
                <w:b/>
              </w:rPr>
            </w:pPr>
            <w:r>
              <w:rPr>
                <w:b/>
              </w:rPr>
              <w:t>Fee Increase/Decrease</w:t>
            </w:r>
          </w:p>
        </w:tc>
      </w:tr>
      <w:tr w:rsidR="00B235C8" w14:paraId="76FC52CC" w14:textId="77777777" w:rsidTr="00406A48">
        <w:tc>
          <w:tcPr>
            <w:tcW w:w="450" w:type="dxa"/>
            <w:vAlign w:val="center"/>
          </w:tcPr>
          <w:p w14:paraId="76FC52C5" w14:textId="77777777" w:rsidR="00B235C8" w:rsidRDefault="00B235C8" w:rsidP="003307D7">
            <w:pPr>
              <w:pStyle w:val="NoSpacing"/>
              <w:jc w:val="center"/>
            </w:pPr>
            <w:r>
              <w:t>1</w:t>
            </w:r>
          </w:p>
        </w:tc>
        <w:tc>
          <w:tcPr>
            <w:tcW w:w="3870" w:type="dxa"/>
            <w:vAlign w:val="center"/>
          </w:tcPr>
          <w:p w14:paraId="76FC52C6" w14:textId="77777777" w:rsidR="00B235C8" w:rsidRDefault="00B235C8" w:rsidP="003307D7">
            <w:pPr>
              <w:pStyle w:val="NoSpacing"/>
            </w:pPr>
            <w:r w:rsidRPr="0025670F">
              <w:t>Submission of sequence listings of 300MB to 800MB</w:t>
            </w:r>
          </w:p>
        </w:tc>
        <w:tc>
          <w:tcPr>
            <w:tcW w:w="1170" w:type="dxa"/>
            <w:vAlign w:val="center"/>
          </w:tcPr>
          <w:p w14:paraId="76FC52C7" w14:textId="77777777" w:rsidR="00B235C8" w:rsidRDefault="00B235C8" w:rsidP="003307D7">
            <w:pPr>
              <w:pStyle w:val="NoSpacing"/>
              <w:jc w:val="center"/>
            </w:pPr>
            <w:r>
              <w:t>New fee</w:t>
            </w:r>
          </w:p>
        </w:tc>
        <w:tc>
          <w:tcPr>
            <w:tcW w:w="2160" w:type="dxa"/>
            <w:vAlign w:val="center"/>
          </w:tcPr>
          <w:p w14:paraId="76FC52C8" w14:textId="60675155" w:rsidR="00B235C8" w:rsidRDefault="00B235C8" w:rsidP="003307D7">
            <w:pPr>
              <w:pStyle w:val="NoSpacing"/>
              <w:jc w:val="center"/>
            </w:pPr>
            <w:r>
              <w:t xml:space="preserve">$1,000 (large </w:t>
            </w:r>
            <w:r w:rsidR="008815F1">
              <w:t>entity</w:t>
            </w:r>
            <w:r>
              <w:t>)</w:t>
            </w:r>
          </w:p>
          <w:p w14:paraId="76FC52C9" w14:textId="3E5B96EE" w:rsidR="00B235C8" w:rsidRDefault="00B235C8" w:rsidP="003307D7">
            <w:pPr>
              <w:pStyle w:val="NoSpacing"/>
              <w:jc w:val="center"/>
            </w:pPr>
            <w:r>
              <w:t xml:space="preserve">$500 (small </w:t>
            </w:r>
            <w:r w:rsidR="008815F1">
              <w:t>entity</w:t>
            </w:r>
            <w:r>
              <w:t>)</w:t>
            </w:r>
          </w:p>
          <w:p w14:paraId="76FC52CA" w14:textId="2F1EFCD1" w:rsidR="00B235C8" w:rsidRDefault="00B235C8" w:rsidP="003307D7">
            <w:pPr>
              <w:pStyle w:val="NoSpacing"/>
              <w:jc w:val="center"/>
            </w:pPr>
            <w:r>
              <w:t xml:space="preserve">$250 (micro </w:t>
            </w:r>
            <w:r w:rsidR="008815F1">
              <w:t>entity</w:t>
            </w:r>
            <w:r>
              <w:t>)</w:t>
            </w:r>
          </w:p>
        </w:tc>
        <w:tc>
          <w:tcPr>
            <w:tcW w:w="1913" w:type="dxa"/>
            <w:vAlign w:val="center"/>
          </w:tcPr>
          <w:p w14:paraId="76FC52CB" w14:textId="77777777" w:rsidR="00B235C8" w:rsidRDefault="00B235C8" w:rsidP="003307D7">
            <w:pPr>
              <w:pStyle w:val="NoSpacing"/>
              <w:jc w:val="center"/>
            </w:pPr>
            <w:r>
              <w:t>New fee</w:t>
            </w:r>
          </w:p>
        </w:tc>
      </w:tr>
      <w:tr w:rsidR="00B235C8" w14:paraId="76FC52D4" w14:textId="77777777" w:rsidTr="00406A48">
        <w:tc>
          <w:tcPr>
            <w:tcW w:w="450" w:type="dxa"/>
            <w:vAlign w:val="center"/>
          </w:tcPr>
          <w:p w14:paraId="76FC52CD" w14:textId="77777777" w:rsidR="00B235C8" w:rsidRDefault="00B235C8" w:rsidP="003307D7">
            <w:pPr>
              <w:pStyle w:val="NoSpacing"/>
              <w:jc w:val="center"/>
            </w:pPr>
            <w:r>
              <w:t>1</w:t>
            </w:r>
          </w:p>
        </w:tc>
        <w:tc>
          <w:tcPr>
            <w:tcW w:w="3870" w:type="dxa"/>
            <w:vAlign w:val="center"/>
          </w:tcPr>
          <w:p w14:paraId="76FC52CE" w14:textId="77777777" w:rsidR="00B235C8" w:rsidRDefault="00B235C8" w:rsidP="003307D7">
            <w:pPr>
              <w:pStyle w:val="NoSpacing"/>
            </w:pPr>
            <w:r w:rsidRPr="0025670F">
              <w:t>Submission of sequence listings of more than 800MB</w:t>
            </w:r>
          </w:p>
        </w:tc>
        <w:tc>
          <w:tcPr>
            <w:tcW w:w="1170" w:type="dxa"/>
            <w:vAlign w:val="center"/>
          </w:tcPr>
          <w:p w14:paraId="76FC52CF" w14:textId="77777777" w:rsidR="00B235C8" w:rsidRDefault="00B235C8" w:rsidP="003307D7">
            <w:pPr>
              <w:pStyle w:val="NoSpacing"/>
              <w:jc w:val="center"/>
            </w:pPr>
            <w:r>
              <w:t>New fee</w:t>
            </w:r>
          </w:p>
        </w:tc>
        <w:tc>
          <w:tcPr>
            <w:tcW w:w="2160" w:type="dxa"/>
            <w:vAlign w:val="center"/>
          </w:tcPr>
          <w:p w14:paraId="76FC52D0" w14:textId="684E9608" w:rsidR="00B235C8" w:rsidRDefault="00B235C8" w:rsidP="003307D7">
            <w:pPr>
              <w:pStyle w:val="NoSpacing"/>
              <w:jc w:val="center"/>
            </w:pPr>
            <w:r>
              <w:t xml:space="preserve">$10,000 (large </w:t>
            </w:r>
            <w:r w:rsidR="008815F1">
              <w:t>entity</w:t>
            </w:r>
            <w:r>
              <w:t>)</w:t>
            </w:r>
          </w:p>
          <w:p w14:paraId="76FC52D1" w14:textId="5F48D053" w:rsidR="00B235C8" w:rsidRDefault="00B235C8" w:rsidP="003307D7">
            <w:pPr>
              <w:pStyle w:val="NoSpacing"/>
              <w:jc w:val="center"/>
            </w:pPr>
            <w:r>
              <w:t xml:space="preserve">$5,000 (small </w:t>
            </w:r>
            <w:r w:rsidR="008815F1">
              <w:t>entity</w:t>
            </w:r>
            <w:r>
              <w:t>)</w:t>
            </w:r>
          </w:p>
          <w:p w14:paraId="76FC52D2" w14:textId="7929D1F4" w:rsidR="00B235C8" w:rsidRDefault="00B235C8" w:rsidP="003307D7">
            <w:pPr>
              <w:pStyle w:val="NoSpacing"/>
              <w:jc w:val="center"/>
            </w:pPr>
            <w:r>
              <w:t xml:space="preserve">$2,500 (micro </w:t>
            </w:r>
            <w:r w:rsidR="008815F1">
              <w:t>entity</w:t>
            </w:r>
            <w:r>
              <w:t>)</w:t>
            </w:r>
          </w:p>
        </w:tc>
        <w:tc>
          <w:tcPr>
            <w:tcW w:w="1913" w:type="dxa"/>
            <w:vAlign w:val="center"/>
          </w:tcPr>
          <w:p w14:paraId="76FC52D3" w14:textId="77777777" w:rsidR="00B235C8" w:rsidRDefault="00B235C8" w:rsidP="003307D7">
            <w:pPr>
              <w:pStyle w:val="NoSpacing"/>
              <w:jc w:val="center"/>
            </w:pPr>
            <w:r>
              <w:t>New fee</w:t>
            </w:r>
          </w:p>
        </w:tc>
      </w:tr>
      <w:tr w:rsidR="00B235C8" w14:paraId="76FC52DC" w14:textId="77777777" w:rsidTr="00406A48">
        <w:tc>
          <w:tcPr>
            <w:tcW w:w="450" w:type="dxa"/>
            <w:vAlign w:val="center"/>
          </w:tcPr>
          <w:p w14:paraId="76FC52D5" w14:textId="77777777" w:rsidR="00B235C8" w:rsidRDefault="00B235C8" w:rsidP="003307D7">
            <w:pPr>
              <w:pStyle w:val="NoSpacing"/>
              <w:jc w:val="center"/>
            </w:pPr>
            <w:r>
              <w:t>1</w:t>
            </w:r>
          </w:p>
        </w:tc>
        <w:tc>
          <w:tcPr>
            <w:tcW w:w="3870" w:type="dxa"/>
            <w:vAlign w:val="center"/>
          </w:tcPr>
          <w:p w14:paraId="76FC52D6" w14:textId="77777777" w:rsidR="00B235C8" w:rsidRDefault="00B235C8" w:rsidP="003307D7">
            <w:pPr>
              <w:pStyle w:val="NoSpacing"/>
            </w:pPr>
            <w:r w:rsidRPr="0025670F">
              <w:t>Late Furnishing Fee for Providing a Sequence Listing in Response to an Invitation Under PCT Rule 13ter</w:t>
            </w:r>
          </w:p>
        </w:tc>
        <w:tc>
          <w:tcPr>
            <w:tcW w:w="1170" w:type="dxa"/>
            <w:vAlign w:val="center"/>
          </w:tcPr>
          <w:p w14:paraId="76FC52D7" w14:textId="77777777" w:rsidR="00B235C8" w:rsidRDefault="00B235C8" w:rsidP="003307D7">
            <w:pPr>
              <w:pStyle w:val="NoSpacing"/>
              <w:jc w:val="center"/>
            </w:pPr>
            <w:r>
              <w:t>New fee</w:t>
            </w:r>
          </w:p>
        </w:tc>
        <w:tc>
          <w:tcPr>
            <w:tcW w:w="2160" w:type="dxa"/>
            <w:vAlign w:val="center"/>
          </w:tcPr>
          <w:p w14:paraId="76FC52D8" w14:textId="493787A1" w:rsidR="00B235C8" w:rsidRDefault="00B235C8" w:rsidP="003307D7">
            <w:pPr>
              <w:pStyle w:val="NoSpacing"/>
              <w:jc w:val="center"/>
            </w:pPr>
            <w:r>
              <w:t xml:space="preserve">$300 (large </w:t>
            </w:r>
            <w:r w:rsidR="008815F1">
              <w:t>entity</w:t>
            </w:r>
            <w:r>
              <w:t>)</w:t>
            </w:r>
          </w:p>
          <w:p w14:paraId="76FC52D9" w14:textId="2661764A" w:rsidR="00B235C8" w:rsidRDefault="00B235C8" w:rsidP="003307D7">
            <w:pPr>
              <w:pStyle w:val="NoSpacing"/>
              <w:jc w:val="center"/>
            </w:pPr>
            <w:r>
              <w:t xml:space="preserve">$150 (small </w:t>
            </w:r>
            <w:r w:rsidR="008815F1">
              <w:t>entity</w:t>
            </w:r>
            <w:r>
              <w:t>)</w:t>
            </w:r>
          </w:p>
          <w:p w14:paraId="76FC52DA" w14:textId="1C4A587E" w:rsidR="00B235C8" w:rsidRDefault="00B235C8" w:rsidP="003307D7">
            <w:pPr>
              <w:pStyle w:val="NoSpacing"/>
              <w:jc w:val="center"/>
            </w:pPr>
            <w:r>
              <w:t xml:space="preserve">$75 (micro </w:t>
            </w:r>
            <w:r w:rsidR="008815F1">
              <w:t>entity</w:t>
            </w:r>
            <w:r>
              <w:t>)</w:t>
            </w:r>
          </w:p>
        </w:tc>
        <w:tc>
          <w:tcPr>
            <w:tcW w:w="1913" w:type="dxa"/>
            <w:vAlign w:val="center"/>
          </w:tcPr>
          <w:p w14:paraId="76FC52DB" w14:textId="77777777" w:rsidR="00B235C8" w:rsidRDefault="00B235C8" w:rsidP="003307D7">
            <w:pPr>
              <w:pStyle w:val="NoSpacing"/>
              <w:jc w:val="center"/>
            </w:pPr>
            <w:r>
              <w:t>New fee</w:t>
            </w:r>
          </w:p>
        </w:tc>
      </w:tr>
    </w:tbl>
    <w:p w14:paraId="76FC52DD" w14:textId="77777777" w:rsidR="005B71A1" w:rsidRDefault="005B71A1" w:rsidP="005B71A1">
      <w:pPr>
        <w:pStyle w:val="NoSpacing"/>
      </w:pPr>
    </w:p>
    <w:p w14:paraId="76FC52FE" w14:textId="04006E0D" w:rsidR="00B235C8" w:rsidRDefault="00FC4814" w:rsidP="005B71A1">
      <w:pPr>
        <w:pStyle w:val="NoSpacing"/>
        <w:jc w:val="both"/>
        <w:rPr>
          <w:rFonts w:cs="Arial"/>
        </w:rPr>
      </w:pPr>
      <w:r>
        <w:rPr>
          <w:rFonts w:cs="Arial"/>
          <w:b/>
        </w:rPr>
        <w:t>Table 3: Increases in Hourly Burden Respondents</w:t>
      </w:r>
    </w:p>
    <w:tbl>
      <w:tblPr>
        <w:tblStyle w:val="TableGrid"/>
        <w:tblW w:w="0" w:type="auto"/>
        <w:tblLook w:val="04A0" w:firstRow="1" w:lastRow="0" w:firstColumn="1" w:lastColumn="0" w:noHBand="0" w:noVBand="1"/>
      </w:tblPr>
      <w:tblGrid>
        <w:gridCol w:w="468"/>
        <w:gridCol w:w="4680"/>
        <w:gridCol w:w="1530"/>
        <w:gridCol w:w="1440"/>
        <w:gridCol w:w="1458"/>
      </w:tblGrid>
      <w:tr w:rsidR="00FC4814" w14:paraId="5590C029" w14:textId="77777777" w:rsidTr="00FC4814">
        <w:tc>
          <w:tcPr>
            <w:tcW w:w="468" w:type="dxa"/>
            <w:vAlign w:val="center"/>
          </w:tcPr>
          <w:p w14:paraId="2D60EC36" w14:textId="19274294" w:rsidR="00FC4814" w:rsidRPr="00FC4814" w:rsidRDefault="00FC4814" w:rsidP="00FC4814">
            <w:pPr>
              <w:pStyle w:val="NoSpacing"/>
              <w:jc w:val="center"/>
              <w:rPr>
                <w:rFonts w:cs="Arial"/>
                <w:b/>
              </w:rPr>
            </w:pPr>
            <w:r>
              <w:rPr>
                <w:rFonts w:cs="Arial"/>
                <w:b/>
              </w:rPr>
              <w:t>IC #</w:t>
            </w:r>
          </w:p>
        </w:tc>
        <w:tc>
          <w:tcPr>
            <w:tcW w:w="4680" w:type="dxa"/>
            <w:vAlign w:val="center"/>
          </w:tcPr>
          <w:p w14:paraId="7A529853" w14:textId="1231DA32" w:rsidR="00FC4814" w:rsidRPr="00FC4814" w:rsidRDefault="00FC4814" w:rsidP="00FC4814">
            <w:pPr>
              <w:pStyle w:val="NoSpacing"/>
              <w:jc w:val="center"/>
              <w:rPr>
                <w:rFonts w:cs="Arial"/>
                <w:b/>
              </w:rPr>
            </w:pPr>
            <w:r>
              <w:rPr>
                <w:rFonts w:cs="Arial"/>
                <w:b/>
              </w:rPr>
              <w:t>Item</w:t>
            </w:r>
          </w:p>
        </w:tc>
        <w:tc>
          <w:tcPr>
            <w:tcW w:w="1530" w:type="dxa"/>
            <w:vAlign w:val="center"/>
          </w:tcPr>
          <w:p w14:paraId="4DAA97A5" w14:textId="1D8C6D02" w:rsidR="00FC4814" w:rsidRPr="00FC4814" w:rsidRDefault="00FC4814" w:rsidP="00FC4814">
            <w:pPr>
              <w:pStyle w:val="NoSpacing"/>
              <w:jc w:val="center"/>
              <w:rPr>
                <w:rFonts w:cs="Arial"/>
                <w:b/>
              </w:rPr>
            </w:pPr>
            <w:r>
              <w:rPr>
                <w:rFonts w:cs="Arial"/>
                <w:b/>
              </w:rPr>
              <w:t>Current Annual Responses</w:t>
            </w:r>
          </w:p>
        </w:tc>
        <w:tc>
          <w:tcPr>
            <w:tcW w:w="1440" w:type="dxa"/>
            <w:vAlign w:val="center"/>
          </w:tcPr>
          <w:p w14:paraId="24887992" w14:textId="2F3EAC16" w:rsidR="00FC4814" w:rsidRPr="00FC4814" w:rsidRDefault="00FC4814" w:rsidP="00FC4814">
            <w:pPr>
              <w:pStyle w:val="NoSpacing"/>
              <w:jc w:val="center"/>
              <w:rPr>
                <w:rFonts w:cs="Arial"/>
                <w:b/>
              </w:rPr>
            </w:pPr>
            <w:r>
              <w:rPr>
                <w:rFonts w:cs="Arial"/>
                <w:b/>
              </w:rPr>
              <w:t>Proposed Annual Responses</w:t>
            </w:r>
          </w:p>
        </w:tc>
        <w:tc>
          <w:tcPr>
            <w:tcW w:w="1458" w:type="dxa"/>
            <w:vAlign w:val="center"/>
          </w:tcPr>
          <w:p w14:paraId="22ACADB5" w14:textId="125C90FA" w:rsidR="00FC4814" w:rsidRPr="00FC4814" w:rsidRDefault="00FC4814" w:rsidP="00FC4814">
            <w:pPr>
              <w:pStyle w:val="NoSpacing"/>
              <w:jc w:val="center"/>
              <w:rPr>
                <w:rFonts w:cs="Arial"/>
                <w:b/>
              </w:rPr>
            </w:pPr>
            <w:r>
              <w:rPr>
                <w:rFonts w:cs="Arial"/>
                <w:b/>
              </w:rPr>
              <w:t>Increase in Responses</w:t>
            </w:r>
          </w:p>
        </w:tc>
      </w:tr>
      <w:tr w:rsidR="00DD72E0" w14:paraId="751A7317" w14:textId="77777777" w:rsidTr="00FC4814">
        <w:tc>
          <w:tcPr>
            <w:tcW w:w="468" w:type="dxa"/>
            <w:vAlign w:val="center"/>
          </w:tcPr>
          <w:p w14:paraId="2D28C2B5" w14:textId="6157392A" w:rsidR="00DD72E0" w:rsidRDefault="00DD72E0" w:rsidP="00FC4814">
            <w:pPr>
              <w:pStyle w:val="NoSpacing"/>
              <w:jc w:val="center"/>
              <w:rPr>
                <w:rFonts w:cs="Arial"/>
              </w:rPr>
            </w:pPr>
            <w:r>
              <w:t>1</w:t>
            </w:r>
          </w:p>
        </w:tc>
        <w:tc>
          <w:tcPr>
            <w:tcW w:w="4680" w:type="dxa"/>
            <w:vAlign w:val="center"/>
          </w:tcPr>
          <w:p w14:paraId="0FC25D1E" w14:textId="6A38D8E5" w:rsidR="00DD72E0" w:rsidRDefault="00DD72E0" w:rsidP="00FC4814">
            <w:pPr>
              <w:pStyle w:val="NoSpacing"/>
              <w:rPr>
                <w:rFonts w:cs="Arial"/>
              </w:rPr>
            </w:pPr>
            <w:r>
              <w:t>Submissions of sequence listings of 300MB to 800 MB (large entity)</w:t>
            </w:r>
          </w:p>
        </w:tc>
        <w:tc>
          <w:tcPr>
            <w:tcW w:w="1530" w:type="dxa"/>
            <w:vAlign w:val="center"/>
          </w:tcPr>
          <w:p w14:paraId="2E7B06B1" w14:textId="3DB3E2E1" w:rsidR="00DD72E0" w:rsidRDefault="00DD72E0" w:rsidP="00FC4814">
            <w:pPr>
              <w:pStyle w:val="NoSpacing"/>
              <w:jc w:val="center"/>
              <w:rPr>
                <w:rFonts w:cs="Arial"/>
              </w:rPr>
            </w:pPr>
            <w:r>
              <w:rPr>
                <w:rFonts w:cs="Arial"/>
              </w:rPr>
              <w:t>0</w:t>
            </w:r>
          </w:p>
        </w:tc>
        <w:tc>
          <w:tcPr>
            <w:tcW w:w="1440" w:type="dxa"/>
            <w:vAlign w:val="center"/>
          </w:tcPr>
          <w:p w14:paraId="40BC7005" w14:textId="054A1F85" w:rsidR="00DD72E0" w:rsidRDefault="00DD72E0" w:rsidP="00FC4814">
            <w:pPr>
              <w:pStyle w:val="NoSpacing"/>
              <w:jc w:val="center"/>
              <w:rPr>
                <w:rFonts w:cs="Arial"/>
              </w:rPr>
            </w:pPr>
            <w:r>
              <w:t>6</w:t>
            </w:r>
          </w:p>
        </w:tc>
        <w:tc>
          <w:tcPr>
            <w:tcW w:w="1458" w:type="dxa"/>
            <w:vAlign w:val="center"/>
          </w:tcPr>
          <w:p w14:paraId="182240BE" w14:textId="5A695DE8" w:rsidR="00DD72E0" w:rsidRDefault="00DD72E0" w:rsidP="00FC4814">
            <w:pPr>
              <w:pStyle w:val="NoSpacing"/>
              <w:jc w:val="center"/>
              <w:rPr>
                <w:rFonts w:cs="Arial"/>
              </w:rPr>
            </w:pPr>
            <w:r>
              <w:t>6</w:t>
            </w:r>
          </w:p>
        </w:tc>
      </w:tr>
      <w:tr w:rsidR="00DD72E0" w14:paraId="4E735D13" w14:textId="77777777" w:rsidTr="00FC4814">
        <w:tc>
          <w:tcPr>
            <w:tcW w:w="468" w:type="dxa"/>
            <w:vAlign w:val="center"/>
          </w:tcPr>
          <w:p w14:paraId="12BE30CB" w14:textId="21E5C4D3" w:rsidR="00DD72E0" w:rsidRDefault="00DD72E0" w:rsidP="00FC4814">
            <w:pPr>
              <w:pStyle w:val="NoSpacing"/>
              <w:jc w:val="center"/>
              <w:rPr>
                <w:rFonts w:cs="Arial"/>
              </w:rPr>
            </w:pPr>
            <w:r>
              <w:t>1</w:t>
            </w:r>
          </w:p>
        </w:tc>
        <w:tc>
          <w:tcPr>
            <w:tcW w:w="4680" w:type="dxa"/>
            <w:vAlign w:val="center"/>
          </w:tcPr>
          <w:p w14:paraId="2562A3E7" w14:textId="06BCA142" w:rsidR="00DD72E0" w:rsidRDefault="00DD72E0" w:rsidP="00FC4814">
            <w:pPr>
              <w:pStyle w:val="NoSpacing"/>
              <w:rPr>
                <w:rFonts w:cs="Arial"/>
              </w:rPr>
            </w:pPr>
            <w:r>
              <w:t>Submissions of sequence listings of 300MB to 800 MB (small entity)</w:t>
            </w:r>
          </w:p>
        </w:tc>
        <w:tc>
          <w:tcPr>
            <w:tcW w:w="1530" w:type="dxa"/>
            <w:vAlign w:val="center"/>
          </w:tcPr>
          <w:p w14:paraId="5436ABAF" w14:textId="3913A489" w:rsidR="00DD72E0" w:rsidRDefault="00DD72E0" w:rsidP="00FC4814">
            <w:pPr>
              <w:pStyle w:val="NoSpacing"/>
              <w:jc w:val="center"/>
              <w:rPr>
                <w:rFonts w:cs="Arial"/>
              </w:rPr>
            </w:pPr>
            <w:r>
              <w:rPr>
                <w:rFonts w:cs="Arial"/>
              </w:rPr>
              <w:t>0</w:t>
            </w:r>
          </w:p>
        </w:tc>
        <w:tc>
          <w:tcPr>
            <w:tcW w:w="1440" w:type="dxa"/>
            <w:vAlign w:val="center"/>
          </w:tcPr>
          <w:p w14:paraId="50653F73" w14:textId="07A7D2F7" w:rsidR="00DD72E0" w:rsidRDefault="00DD72E0" w:rsidP="00FC4814">
            <w:pPr>
              <w:pStyle w:val="NoSpacing"/>
              <w:jc w:val="center"/>
              <w:rPr>
                <w:rFonts w:cs="Arial"/>
              </w:rPr>
            </w:pPr>
            <w:r>
              <w:t>2</w:t>
            </w:r>
          </w:p>
        </w:tc>
        <w:tc>
          <w:tcPr>
            <w:tcW w:w="1458" w:type="dxa"/>
            <w:vAlign w:val="center"/>
          </w:tcPr>
          <w:p w14:paraId="574007AD" w14:textId="1744731D" w:rsidR="00DD72E0" w:rsidRDefault="00DD72E0" w:rsidP="00FC4814">
            <w:pPr>
              <w:pStyle w:val="NoSpacing"/>
              <w:jc w:val="center"/>
              <w:rPr>
                <w:rFonts w:cs="Arial"/>
              </w:rPr>
            </w:pPr>
            <w:r>
              <w:t>2</w:t>
            </w:r>
          </w:p>
        </w:tc>
      </w:tr>
      <w:tr w:rsidR="00DD72E0" w14:paraId="4C39F9C8" w14:textId="77777777" w:rsidTr="00FC4814">
        <w:tc>
          <w:tcPr>
            <w:tcW w:w="468" w:type="dxa"/>
            <w:vAlign w:val="center"/>
          </w:tcPr>
          <w:p w14:paraId="3AC68AF4" w14:textId="0D8302D9" w:rsidR="00DD72E0" w:rsidRDefault="00DD72E0" w:rsidP="00FC4814">
            <w:pPr>
              <w:pStyle w:val="NoSpacing"/>
              <w:jc w:val="center"/>
              <w:rPr>
                <w:rFonts w:cs="Arial"/>
              </w:rPr>
            </w:pPr>
            <w:r>
              <w:t>1</w:t>
            </w:r>
          </w:p>
        </w:tc>
        <w:tc>
          <w:tcPr>
            <w:tcW w:w="4680" w:type="dxa"/>
            <w:vAlign w:val="center"/>
          </w:tcPr>
          <w:p w14:paraId="6DCD7F71" w14:textId="7610F633" w:rsidR="00DD72E0" w:rsidRDefault="00DD72E0" w:rsidP="00FC4814">
            <w:pPr>
              <w:pStyle w:val="NoSpacing"/>
              <w:rPr>
                <w:rFonts w:cs="Arial"/>
              </w:rPr>
            </w:pPr>
            <w:r>
              <w:t>Submissions of sequence listings of 300MB to 800 MB (micro entity)</w:t>
            </w:r>
          </w:p>
        </w:tc>
        <w:tc>
          <w:tcPr>
            <w:tcW w:w="1530" w:type="dxa"/>
            <w:vAlign w:val="center"/>
          </w:tcPr>
          <w:p w14:paraId="7F9EF2DB" w14:textId="419BEA98" w:rsidR="00DD72E0" w:rsidRDefault="00DD72E0" w:rsidP="00FC4814">
            <w:pPr>
              <w:pStyle w:val="NoSpacing"/>
              <w:jc w:val="center"/>
              <w:rPr>
                <w:rFonts w:cs="Arial"/>
              </w:rPr>
            </w:pPr>
            <w:r>
              <w:rPr>
                <w:rFonts w:cs="Arial"/>
              </w:rPr>
              <w:t>0</w:t>
            </w:r>
          </w:p>
        </w:tc>
        <w:tc>
          <w:tcPr>
            <w:tcW w:w="1440" w:type="dxa"/>
            <w:vAlign w:val="center"/>
          </w:tcPr>
          <w:p w14:paraId="0FD7AF7A" w14:textId="4C54F032" w:rsidR="00DD72E0" w:rsidRDefault="00DD72E0" w:rsidP="00FC4814">
            <w:pPr>
              <w:pStyle w:val="NoSpacing"/>
              <w:jc w:val="center"/>
              <w:rPr>
                <w:rFonts w:cs="Arial"/>
              </w:rPr>
            </w:pPr>
            <w:r>
              <w:t>1</w:t>
            </w:r>
          </w:p>
        </w:tc>
        <w:tc>
          <w:tcPr>
            <w:tcW w:w="1458" w:type="dxa"/>
            <w:vAlign w:val="center"/>
          </w:tcPr>
          <w:p w14:paraId="60738ECB" w14:textId="3800CD3E" w:rsidR="00DD72E0" w:rsidRDefault="00DD72E0" w:rsidP="00FC4814">
            <w:pPr>
              <w:pStyle w:val="NoSpacing"/>
              <w:jc w:val="center"/>
              <w:rPr>
                <w:rFonts w:cs="Arial"/>
              </w:rPr>
            </w:pPr>
            <w:r>
              <w:t>1</w:t>
            </w:r>
          </w:p>
        </w:tc>
      </w:tr>
      <w:tr w:rsidR="00DD72E0" w14:paraId="7E7BD823" w14:textId="77777777" w:rsidTr="00FC4814">
        <w:tc>
          <w:tcPr>
            <w:tcW w:w="468" w:type="dxa"/>
            <w:vAlign w:val="center"/>
          </w:tcPr>
          <w:p w14:paraId="6730470B" w14:textId="03C20BA6" w:rsidR="00DD72E0" w:rsidRDefault="00DD72E0" w:rsidP="00FC4814">
            <w:pPr>
              <w:pStyle w:val="NoSpacing"/>
              <w:jc w:val="center"/>
              <w:rPr>
                <w:rFonts w:cs="Arial"/>
              </w:rPr>
            </w:pPr>
            <w:r>
              <w:t>1</w:t>
            </w:r>
          </w:p>
        </w:tc>
        <w:tc>
          <w:tcPr>
            <w:tcW w:w="4680" w:type="dxa"/>
            <w:vAlign w:val="center"/>
          </w:tcPr>
          <w:p w14:paraId="42226596" w14:textId="4645A25E" w:rsidR="00DD72E0" w:rsidRDefault="00DD72E0" w:rsidP="00FC4814">
            <w:pPr>
              <w:pStyle w:val="NoSpacing"/>
              <w:rPr>
                <w:rFonts w:cs="Arial"/>
              </w:rPr>
            </w:pPr>
            <w:r>
              <w:t>Submissions of sequence listings of more than 800 MB (large entity)</w:t>
            </w:r>
          </w:p>
        </w:tc>
        <w:tc>
          <w:tcPr>
            <w:tcW w:w="1530" w:type="dxa"/>
            <w:vAlign w:val="center"/>
          </w:tcPr>
          <w:p w14:paraId="3C9FF73F" w14:textId="1583A65C" w:rsidR="00DD72E0" w:rsidRDefault="00DD72E0" w:rsidP="00FC4814">
            <w:pPr>
              <w:pStyle w:val="NoSpacing"/>
              <w:jc w:val="center"/>
              <w:rPr>
                <w:rFonts w:cs="Arial"/>
              </w:rPr>
            </w:pPr>
            <w:r>
              <w:rPr>
                <w:rFonts w:cs="Arial"/>
              </w:rPr>
              <w:t>0</w:t>
            </w:r>
          </w:p>
        </w:tc>
        <w:tc>
          <w:tcPr>
            <w:tcW w:w="1440" w:type="dxa"/>
            <w:vAlign w:val="center"/>
          </w:tcPr>
          <w:p w14:paraId="5FDCF7DD" w14:textId="718F9D48" w:rsidR="00DD72E0" w:rsidRDefault="00DD72E0" w:rsidP="00FC4814">
            <w:pPr>
              <w:pStyle w:val="NoSpacing"/>
              <w:jc w:val="center"/>
              <w:rPr>
                <w:rFonts w:cs="Arial"/>
              </w:rPr>
            </w:pPr>
            <w:r>
              <w:t>2</w:t>
            </w:r>
          </w:p>
        </w:tc>
        <w:tc>
          <w:tcPr>
            <w:tcW w:w="1458" w:type="dxa"/>
            <w:vAlign w:val="center"/>
          </w:tcPr>
          <w:p w14:paraId="3B1DBA2B" w14:textId="11CE95B9" w:rsidR="00DD72E0" w:rsidRDefault="00DD72E0" w:rsidP="00FC4814">
            <w:pPr>
              <w:pStyle w:val="NoSpacing"/>
              <w:jc w:val="center"/>
              <w:rPr>
                <w:rFonts w:cs="Arial"/>
              </w:rPr>
            </w:pPr>
            <w:r>
              <w:t>2</w:t>
            </w:r>
          </w:p>
        </w:tc>
      </w:tr>
      <w:tr w:rsidR="00DD72E0" w14:paraId="27556560" w14:textId="77777777" w:rsidTr="00FC4814">
        <w:tc>
          <w:tcPr>
            <w:tcW w:w="468" w:type="dxa"/>
            <w:vAlign w:val="center"/>
          </w:tcPr>
          <w:p w14:paraId="701FB2B8" w14:textId="7872B96D" w:rsidR="00DD72E0" w:rsidRDefault="00DD72E0" w:rsidP="00FC4814">
            <w:pPr>
              <w:pStyle w:val="NoSpacing"/>
              <w:jc w:val="center"/>
              <w:rPr>
                <w:rFonts w:cs="Arial"/>
              </w:rPr>
            </w:pPr>
            <w:r>
              <w:t>1</w:t>
            </w:r>
          </w:p>
        </w:tc>
        <w:tc>
          <w:tcPr>
            <w:tcW w:w="4680" w:type="dxa"/>
            <w:vAlign w:val="center"/>
          </w:tcPr>
          <w:p w14:paraId="0B182E5D" w14:textId="64407D29" w:rsidR="00DD72E0" w:rsidRDefault="00DD72E0" w:rsidP="00FC4814">
            <w:pPr>
              <w:pStyle w:val="NoSpacing"/>
              <w:rPr>
                <w:rFonts w:cs="Arial"/>
              </w:rPr>
            </w:pPr>
            <w:r>
              <w:t>Submissions of sequence listings of more than 800 MB (small entity)</w:t>
            </w:r>
          </w:p>
        </w:tc>
        <w:tc>
          <w:tcPr>
            <w:tcW w:w="1530" w:type="dxa"/>
            <w:vAlign w:val="center"/>
          </w:tcPr>
          <w:p w14:paraId="39B76074" w14:textId="7691C26D" w:rsidR="00DD72E0" w:rsidRDefault="00DD72E0" w:rsidP="00FC4814">
            <w:pPr>
              <w:pStyle w:val="NoSpacing"/>
              <w:jc w:val="center"/>
              <w:rPr>
                <w:rFonts w:cs="Arial"/>
              </w:rPr>
            </w:pPr>
            <w:r>
              <w:rPr>
                <w:rFonts w:cs="Arial"/>
              </w:rPr>
              <w:t>0</w:t>
            </w:r>
          </w:p>
        </w:tc>
        <w:tc>
          <w:tcPr>
            <w:tcW w:w="1440" w:type="dxa"/>
            <w:vAlign w:val="center"/>
          </w:tcPr>
          <w:p w14:paraId="4AFC2499" w14:textId="2D91BB4F" w:rsidR="00DD72E0" w:rsidRDefault="00DD72E0" w:rsidP="00FC4814">
            <w:pPr>
              <w:pStyle w:val="NoSpacing"/>
              <w:jc w:val="center"/>
              <w:rPr>
                <w:rFonts w:cs="Arial"/>
              </w:rPr>
            </w:pPr>
            <w:r>
              <w:t>1</w:t>
            </w:r>
          </w:p>
        </w:tc>
        <w:tc>
          <w:tcPr>
            <w:tcW w:w="1458" w:type="dxa"/>
            <w:vAlign w:val="center"/>
          </w:tcPr>
          <w:p w14:paraId="4614CEFC" w14:textId="3D5297A6" w:rsidR="00DD72E0" w:rsidRDefault="00DD72E0" w:rsidP="00FC4814">
            <w:pPr>
              <w:pStyle w:val="NoSpacing"/>
              <w:jc w:val="center"/>
              <w:rPr>
                <w:rFonts w:cs="Arial"/>
              </w:rPr>
            </w:pPr>
            <w:r>
              <w:t>1</w:t>
            </w:r>
          </w:p>
        </w:tc>
      </w:tr>
      <w:tr w:rsidR="00DD72E0" w14:paraId="5F326007" w14:textId="77777777" w:rsidTr="00FC4814">
        <w:tc>
          <w:tcPr>
            <w:tcW w:w="468" w:type="dxa"/>
            <w:vAlign w:val="center"/>
          </w:tcPr>
          <w:p w14:paraId="121EE6D3" w14:textId="190E83C2" w:rsidR="00DD72E0" w:rsidRDefault="00DD72E0" w:rsidP="00FC4814">
            <w:pPr>
              <w:pStyle w:val="NoSpacing"/>
              <w:jc w:val="center"/>
              <w:rPr>
                <w:rFonts w:cs="Arial"/>
              </w:rPr>
            </w:pPr>
            <w:r>
              <w:t>1</w:t>
            </w:r>
          </w:p>
        </w:tc>
        <w:tc>
          <w:tcPr>
            <w:tcW w:w="4680" w:type="dxa"/>
            <w:vAlign w:val="center"/>
          </w:tcPr>
          <w:p w14:paraId="4689E30D" w14:textId="5CE17899" w:rsidR="00DD72E0" w:rsidRDefault="00DD72E0" w:rsidP="00FC4814">
            <w:pPr>
              <w:pStyle w:val="NoSpacing"/>
              <w:rPr>
                <w:rFonts w:cs="Arial"/>
              </w:rPr>
            </w:pPr>
            <w:r>
              <w:t>Submissions of sequence listings of more than 800 MB (micro entity)</w:t>
            </w:r>
          </w:p>
        </w:tc>
        <w:tc>
          <w:tcPr>
            <w:tcW w:w="1530" w:type="dxa"/>
            <w:vAlign w:val="center"/>
          </w:tcPr>
          <w:p w14:paraId="32D83E9E" w14:textId="50DCD9D7" w:rsidR="00DD72E0" w:rsidRDefault="00DD72E0" w:rsidP="00FC4814">
            <w:pPr>
              <w:pStyle w:val="NoSpacing"/>
              <w:jc w:val="center"/>
              <w:rPr>
                <w:rFonts w:cs="Arial"/>
              </w:rPr>
            </w:pPr>
            <w:r>
              <w:rPr>
                <w:rFonts w:cs="Arial"/>
              </w:rPr>
              <w:t>0</w:t>
            </w:r>
          </w:p>
        </w:tc>
        <w:tc>
          <w:tcPr>
            <w:tcW w:w="1440" w:type="dxa"/>
            <w:vAlign w:val="center"/>
          </w:tcPr>
          <w:p w14:paraId="2CE70585" w14:textId="4ACB8BC2" w:rsidR="00DD72E0" w:rsidRDefault="00DD72E0" w:rsidP="00FC4814">
            <w:pPr>
              <w:pStyle w:val="NoSpacing"/>
              <w:jc w:val="center"/>
              <w:rPr>
                <w:rFonts w:cs="Arial"/>
              </w:rPr>
            </w:pPr>
            <w:r>
              <w:t>1</w:t>
            </w:r>
          </w:p>
        </w:tc>
        <w:tc>
          <w:tcPr>
            <w:tcW w:w="1458" w:type="dxa"/>
            <w:vAlign w:val="center"/>
          </w:tcPr>
          <w:p w14:paraId="35CB9C27" w14:textId="2490930C" w:rsidR="00DD72E0" w:rsidRDefault="00DD72E0" w:rsidP="00FC4814">
            <w:pPr>
              <w:pStyle w:val="NoSpacing"/>
              <w:jc w:val="center"/>
              <w:rPr>
                <w:rFonts w:cs="Arial"/>
              </w:rPr>
            </w:pPr>
            <w:r>
              <w:t>1</w:t>
            </w:r>
          </w:p>
        </w:tc>
      </w:tr>
      <w:tr w:rsidR="00DD72E0" w14:paraId="4E5FDA5A" w14:textId="77777777" w:rsidTr="00FC4814">
        <w:tc>
          <w:tcPr>
            <w:tcW w:w="468" w:type="dxa"/>
            <w:vAlign w:val="center"/>
          </w:tcPr>
          <w:p w14:paraId="2A9AE0E9" w14:textId="50DC7E97" w:rsidR="00DD72E0" w:rsidRDefault="00DD72E0" w:rsidP="00FC4814">
            <w:pPr>
              <w:pStyle w:val="NoSpacing"/>
              <w:jc w:val="center"/>
              <w:rPr>
                <w:rFonts w:cs="Arial"/>
              </w:rPr>
            </w:pPr>
            <w:r>
              <w:t>1</w:t>
            </w:r>
          </w:p>
        </w:tc>
        <w:tc>
          <w:tcPr>
            <w:tcW w:w="4680" w:type="dxa"/>
            <w:vAlign w:val="center"/>
          </w:tcPr>
          <w:p w14:paraId="12B3017F" w14:textId="35F14E1C" w:rsidR="00DD72E0" w:rsidRDefault="00DD72E0" w:rsidP="00FC4814">
            <w:pPr>
              <w:pStyle w:val="NoSpacing"/>
              <w:rPr>
                <w:rFonts w:cs="Arial"/>
              </w:rPr>
            </w:pPr>
            <w:r>
              <w:t>Late Furnishing Fee for Providing a Sequence Listing in Response to an Invitation Under PCT Rule 13ter (large entity)</w:t>
            </w:r>
          </w:p>
        </w:tc>
        <w:tc>
          <w:tcPr>
            <w:tcW w:w="1530" w:type="dxa"/>
            <w:vAlign w:val="center"/>
          </w:tcPr>
          <w:p w14:paraId="784D171C" w14:textId="439DEBE4" w:rsidR="00DD72E0" w:rsidRDefault="00DD72E0" w:rsidP="00FC4814">
            <w:pPr>
              <w:pStyle w:val="NoSpacing"/>
              <w:jc w:val="center"/>
              <w:rPr>
                <w:rFonts w:cs="Arial"/>
              </w:rPr>
            </w:pPr>
            <w:r>
              <w:rPr>
                <w:rFonts w:cs="Arial"/>
              </w:rPr>
              <w:t>0</w:t>
            </w:r>
          </w:p>
        </w:tc>
        <w:tc>
          <w:tcPr>
            <w:tcW w:w="1440" w:type="dxa"/>
            <w:vAlign w:val="center"/>
          </w:tcPr>
          <w:p w14:paraId="407C934B" w14:textId="7DBD64F1" w:rsidR="00DD72E0" w:rsidRDefault="00DD72E0" w:rsidP="00FC4814">
            <w:pPr>
              <w:pStyle w:val="NoSpacing"/>
              <w:jc w:val="center"/>
              <w:rPr>
                <w:rFonts w:cs="Arial"/>
              </w:rPr>
            </w:pPr>
            <w:r>
              <w:t>247</w:t>
            </w:r>
          </w:p>
        </w:tc>
        <w:tc>
          <w:tcPr>
            <w:tcW w:w="1458" w:type="dxa"/>
            <w:vAlign w:val="center"/>
          </w:tcPr>
          <w:p w14:paraId="062B837C" w14:textId="596601BC" w:rsidR="00DD72E0" w:rsidRDefault="00DD72E0" w:rsidP="00FC4814">
            <w:pPr>
              <w:pStyle w:val="NoSpacing"/>
              <w:jc w:val="center"/>
              <w:rPr>
                <w:rFonts w:cs="Arial"/>
              </w:rPr>
            </w:pPr>
            <w:r>
              <w:t>247</w:t>
            </w:r>
          </w:p>
        </w:tc>
      </w:tr>
      <w:tr w:rsidR="00DD72E0" w14:paraId="74D2F1AC" w14:textId="77777777" w:rsidTr="00FC4814">
        <w:tc>
          <w:tcPr>
            <w:tcW w:w="468" w:type="dxa"/>
            <w:vAlign w:val="center"/>
          </w:tcPr>
          <w:p w14:paraId="4E489246" w14:textId="054E4731" w:rsidR="00DD72E0" w:rsidRDefault="00DD72E0" w:rsidP="00FC4814">
            <w:pPr>
              <w:pStyle w:val="NoSpacing"/>
              <w:jc w:val="center"/>
              <w:rPr>
                <w:rFonts w:cs="Arial"/>
              </w:rPr>
            </w:pPr>
            <w:r>
              <w:t>1</w:t>
            </w:r>
          </w:p>
        </w:tc>
        <w:tc>
          <w:tcPr>
            <w:tcW w:w="4680" w:type="dxa"/>
            <w:vAlign w:val="center"/>
          </w:tcPr>
          <w:p w14:paraId="512070A1" w14:textId="270DCD10" w:rsidR="00DD72E0" w:rsidRDefault="00DD72E0" w:rsidP="00FC4814">
            <w:pPr>
              <w:pStyle w:val="NoSpacing"/>
              <w:rPr>
                <w:rFonts w:cs="Arial"/>
              </w:rPr>
            </w:pPr>
            <w:r>
              <w:t>Late Furnishing Fee for Providing a Sequence Listing in Response to an Invitation Under PCT Rule 13ter (small entity)</w:t>
            </w:r>
          </w:p>
        </w:tc>
        <w:tc>
          <w:tcPr>
            <w:tcW w:w="1530" w:type="dxa"/>
            <w:vAlign w:val="center"/>
          </w:tcPr>
          <w:p w14:paraId="648DAB39" w14:textId="1C6F5B0E" w:rsidR="00DD72E0" w:rsidRDefault="00DD72E0" w:rsidP="00FC4814">
            <w:pPr>
              <w:pStyle w:val="NoSpacing"/>
              <w:jc w:val="center"/>
              <w:rPr>
                <w:rFonts w:cs="Arial"/>
              </w:rPr>
            </w:pPr>
            <w:r>
              <w:rPr>
                <w:rFonts w:cs="Arial"/>
              </w:rPr>
              <w:t>0</w:t>
            </w:r>
          </w:p>
        </w:tc>
        <w:tc>
          <w:tcPr>
            <w:tcW w:w="1440" w:type="dxa"/>
            <w:vAlign w:val="center"/>
          </w:tcPr>
          <w:p w14:paraId="29EEA8A3" w14:textId="65D67F17" w:rsidR="00DD72E0" w:rsidRDefault="00DD72E0" w:rsidP="00FC4814">
            <w:pPr>
              <w:pStyle w:val="NoSpacing"/>
              <w:jc w:val="center"/>
              <w:rPr>
                <w:rFonts w:cs="Arial"/>
              </w:rPr>
            </w:pPr>
            <w:r>
              <w:t>50</w:t>
            </w:r>
          </w:p>
        </w:tc>
        <w:tc>
          <w:tcPr>
            <w:tcW w:w="1458" w:type="dxa"/>
            <w:vAlign w:val="center"/>
          </w:tcPr>
          <w:p w14:paraId="43C84384" w14:textId="395D62FD" w:rsidR="00DD72E0" w:rsidRDefault="00DD72E0" w:rsidP="00FC4814">
            <w:pPr>
              <w:pStyle w:val="NoSpacing"/>
              <w:jc w:val="center"/>
              <w:rPr>
                <w:rFonts w:cs="Arial"/>
              </w:rPr>
            </w:pPr>
            <w:r>
              <w:t>50</w:t>
            </w:r>
          </w:p>
        </w:tc>
      </w:tr>
      <w:tr w:rsidR="00DD72E0" w14:paraId="3A83A08C" w14:textId="77777777" w:rsidTr="00FC4814">
        <w:tc>
          <w:tcPr>
            <w:tcW w:w="468" w:type="dxa"/>
            <w:vAlign w:val="center"/>
          </w:tcPr>
          <w:p w14:paraId="5B8E41B4" w14:textId="5780A35F" w:rsidR="00DD72E0" w:rsidRDefault="00DD72E0" w:rsidP="00FC4814">
            <w:pPr>
              <w:pStyle w:val="NoSpacing"/>
              <w:jc w:val="center"/>
              <w:rPr>
                <w:rFonts w:cs="Arial"/>
              </w:rPr>
            </w:pPr>
            <w:r>
              <w:t>1</w:t>
            </w:r>
          </w:p>
        </w:tc>
        <w:tc>
          <w:tcPr>
            <w:tcW w:w="4680" w:type="dxa"/>
            <w:vAlign w:val="center"/>
          </w:tcPr>
          <w:p w14:paraId="7B7B77B8" w14:textId="7D085511" w:rsidR="00DD72E0" w:rsidRDefault="00DD72E0" w:rsidP="00FC4814">
            <w:pPr>
              <w:pStyle w:val="NoSpacing"/>
              <w:rPr>
                <w:rFonts w:cs="Arial"/>
              </w:rPr>
            </w:pPr>
            <w:r>
              <w:t>Late Furnishing Fee for Providing a Sequence Listing in Response to an Invitation Under PCT Rule 13ter (micro entity)</w:t>
            </w:r>
          </w:p>
        </w:tc>
        <w:tc>
          <w:tcPr>
            <w:tcW w:w="1530" w:type="dxa"/>
            <w:vAlign w:val="center"/>
          </w:tcPr>
          <w:p w14:paraId="4AACCC2C" w14:textId="7704D7AA" w:rsidR="00DD72E0" w:rsidRDefault="00DD72E0" w:rsidP="00FC4814">
            <w:pPr>
              <w:pStyle w:val="NoSpacing"/>
              <w:jc w:val="center"/>
              <w:rPr>
                <w:rFonts w:cs="Arial"/>
              </w:rPr>
            </w:pPr>
            <w:r>
              <w:rPr>
                <w:rFonts w:cs="Arial"/>
              </w:rPr>
              <w:t>0</w:t>
            </w:r>
          </w:p>
        </w:tc>
        <w:tc>
          <w:tcPr>
            <w:tcW w:w="1440" w:type="dxa"/>
            <w:vAlign w:val="center"/>
          </w:tcPr>
          <w:p w14:paraId="6221976A" w14:textId="70D673D6" w:rsidR="00DD72E0" w:rsidRDefault="00DD72E0" w:rsidP="00FC4814">
            <w:pPr>
              <w:pStyle w:val="NoSpacing"/>
              <w:jc w:val="center"/>
              <w:rPr>
                <w:rFonts w:cs="Arial"/>
              </w:rPr>
            </w:pPr>
            <w:r>
              <w:t>5</w:t>
            </w:r>
          </w:p>
        </w:tc>
        <w:tc>
          <w:tcPr>
            <w:tcW w:w="1458" w:type="dxa"/>
            <w:vAlign w:val="center"/>
          </w:tcPr>
          <w:p w14:paraId="3DBA98C5" w14:textId="4EAB47A5" w:rsidR="00DD72E0" w:rsidRDefault="00DD72E0" w:rsidP="00FC4814">
            <w:pPr>
              <w:pStyle w:val="NoSpacing"/>
              <w:jc w:val="center"/>
              <w:rPr>
                <w:rFonts w:cs="Arial"/>
              </w:rPr>
            </w:pPr>
            <w:r>
              <w:t>5</w:t>
            </w:r>
          </w:p>
        </w:tc>
      </w:tr>
      <w:tr w:rsidR="00DD72E0" w14:paraId="5B29B807" w14:textId="77777777" w:rsidTr="002970A6">
        <w:tc>
          <w:tcPr>
            <w:tcW w:w="468" w:type="dxa"/>
          </w:tcPr>
          <w:p w14:paraId="66B2F2AC" w14:textId="77777777" w:rsidR="00DD72E0" w:rsidRDefault="00DD72E0" w:rsidP="00FC4814">
            <w:pPr>
              <w:pStyle w:val="NoSpacing"/>
              <w:jc w:val="center"/>
              <w:rPr>
                <w:rFonts w:cs="Arial"/>
              </w:rPr>
            </w:pPr>
          </w:p>
        </w:tc>
        <w:tc>
          <w:tcPr>
            <w:tcW w:w="4680" w:type="dxa"/>
          </w:tcPr>
          <w:p w14:paraId="7A14AC30" w14:textId="43B45A0C" w:rsidR="00DD72E0" w:rsidRDefault="00DD72E0" w:rsidP="00FC4814">
            <w:pPr>
              <w:pStyle w:val="NoSpacing"/>
              <w:rPr>
                <w:rFonts w:cs="Arial"/>
              </w:rPr>
            </w:pPr>
            <w:r>
              <w:rPr>
                <w:b/>
              </w:rPr>
              <w:t>Totals</w:t>
            </w:r>
          </w:p>
        </w:tc>
        <w:tc>
          <w:tcPr>
            <w:tcW w:w="1530" w:type="dxa"/>
            <w:vAlign w:val="center"/>
          </w:tcPr>
          <w:p w14:paraId="061EA95F" w14:textId="01037A9D" w:rsidR="00DD72E0" w:rsidRPr="00DD72E0" w:rsidRDefault="00DD72E0" w:rsidP="00FC4814">
            <w:pPr>
              <w:pStyle w:val="NoSpacing"/>
              <w:jc w:val="center"/>
              <w:rPr>
                <w:rFonts w:cs="Arial"/>
                <w:b/>
              </w:rPr>
            </w:pPr>
            <w:r>
              <w:rPr>
                <w:rFonts w:cs="Arial"/>
                <w:b/>
              </w:rPr>
              <w:t>0</w:t>
            </w:r>
          </w:p>
        </w:tc>
        <w:tc>
          <w:tcPr>
            <w:tcW w:w="1440" w:type="dxa"/>
            <w:vAlign w:val="center"/>
          </w:tcPr>
          <w:p w14:paraId="615465C5" w14:textId="6E26DAD1" w:rsidR="00DD72E0" w:rsidRDefault="00DD72E0" w:rsidP="00FC4814">
            <w:pPr>
              <w:pStyle w:val="NoSpacing"/>
              <w:jc w:val="center"/>
              <w:rPr>
                <w:rFonts w:cs="Arial"/>
              </w:rPr>
            </w:pPr>
            <w:r>
              <w:rPr>
                <w:b/>
              </w:rPr>
              <w:t>315</w:t>
            </w:r>
          </w:p>
        </w:tc>
        <w:tc>
          <w:tcPr>
            <w:tcW w:w="1458" w:type="dxa"/>
            <w:vAlign w:val="center"/>
          </w:tcPr>
          <w:p w14:paraId="7DD1229C" w14:textId="1BE86693" w:rsidR="00DD72E0" w:rsidRDefault="00DD72E0" w:rsidP="00FC4814">
            <w:pPr>
              <w:pStyle w:val="NoSpacing"/>
              <w:jc w:val="center"/>
              <w:rPr>
                <w:rFonts w:cs="Arial"/>
              </w:rPr>
            </w:pPr>
            <w:r>
              <w:rPr>
                <w:b/>
              </w:rPr>
              <w:t>315</w:t>
            </w:r>
          </w:p>
        </w:tc>
      </w:tr>
    </w:tbl>
    <w:p w14:paraId="5D77402A" w14:textId="77777777" w:rsidR="00FC4814" w:rsidRDefault="00FC4814" w:rsidP="005B71A1">
      <w:pPr>
        <w:pStyle w:val="NoSpacing"/>
        <w:jc w:val="both"/>
        <w:rPr>
          <w:rFonts w:cs="Arial"/>
        </w:rPr>
      </w:pPr>
    </w:p>
    <w:p w14:paraId="42E580D2" w14:textId="798BD1E6" w:rsidR="00FC4814" w:rsidRPr="00FC4814" w:rsidRDefault="00FC4814" w:rsidP="005B71A1">
      <w:pPr>
        <w:pStyle w:val="NoSpacing"/>
        <w:jc w:val="both"/>
        <w:rPr>
          <w:rFonts w:cs="Arial"/>
          <w:b/>
        </w:rPr>
      </w:pPr>
      <w:r>
        <w:rPr>
          <w:rFonts w:cs="Arial"/>
          <w:b/>
        </w:rPr>
        <w:t>Table 4: Increases in Non-Hourly Costs (Fees)</w:t>
      </w:r>
    </w:p>
    <w:tbl>
      <w:tblPr>
        <w:tblStyle w:val="TableGrid"/>
        <w:tblW w:w="0" w:type="auto"/>
        <w:tblLook w:val="04A0" w:firstRow="1" w:lastRow="0" w:firstColumn="1" w:lastColumn="0" w:noHBand="0" w:noVBand="1"/>
      </w:tblPr>
      <w:tblGrid>
        <w:gridCol w:w="468"/>
        <w:gridCol w:w="4680"/>
        <w:gridCol w:w="1530"/>
        <w:gridCol w:w="1440"/>
        <w:gridCol w:w="1458"/>
      </w:tblGrid>
      <w:tr w:rsidR="00FC4814" w14:paraId="3749D708" w14:textId="77777777" w:rsidTr="00D435BC">
        <w:tc>
          <w:tcPr>
            <w:tcW w:w="468" w:type="dxa"/>
            <w:vAlign w:val="center"/>
          </w:tcPr>
          <w:p w14:paraId="7EBFED11" w14:textId="04327727" w:rsidR="00FC4814" w:rsidRPr="00FC4814" w:rsidRDefault="00FC4814" w:rsidP="00D435BC">
            <w:pPr>
              <w:pStyle w:val="NoSpacing"/>
              <w:jc w:val="center"/>
              <w:rPr>
                <w:rFonts w:cs="Arial"/>
                <w:b/>
              </w:rPr>
            </w:pPr>
            <w:r>
              <w:rPr>
                <w:rFonts w:cs="Arial"/>
                <w:b/>
              </w:rPr>
              <w:t>IC #</w:t>
            </w:r>
          </w:p>
        </w:tc>
        <w:tc>
          <w:tcPr>
            <w:tcW w:w="4680" w:type="dxa"/>
            <w:vAlign w:val="center"/>
          </w:tcPr>
          <w:p w14:paraId="23F69592" w14:textId="1F11CCB7" w:rsidR="00FC4814" w:rsidRPr="00FC4814" w:rsidRDefault="00FC4814" w:rsidP="00D435BC">
            <w:pPr>
              <w:pStyle w:val="NoSpacing"/>
              <w:jc w:val="center"/>
              <w:rPr>
                <w:rFonts w:cs="Arial"/>
                <w:b/>
              </w:rPr>
            </w:pPr>
            <w:r>
              <w:rPr>
                <w:rFonts w:cs="Arial"/>
                <w:b/>
              </w:rPr>
              <w:t>Item</w:t>
            </w:r>
          </w:p>
        </w:tc>
        <w:tc>
          <w:tcPr>
            <w:tcW w:w="1530" w:type="dxa"/>
            <w:vAlign w:val="center"/>
          </w:tcPr>
          <w:p w14:paraId="45D4C733" w14:textId="08E74F24" w:rsidR="00FC4814" w:rsidRPr="00FC4814" w:rsidRDefault="00FC4814" w:rsidP="00D435BC">
            <w:pPr>
              <w:pStyle w:val="NoSpacing"/>
              <w:jc w:val="center"/>
              <w:rPr>
                <w:rFonts w:cs="Arial"/>
                <w:b/>
              </w:rPr>
            </w:pPr>
            <w:r>
              <w:rPr>
                <w:rFonts w:cs="Arial"/>
                <w:b/>
              </w:rPr>
              <w:t xml:space="preserve">Current Total Burden ($) </w:t>
            </w:r>
          </w:p>
        </w:tc>
        <w:tc>
          <w:tcPr>
            <w:tcW w:w="1440" w:type="dxa"/>
            <w:vAlign w:val="center"/>
          </w:tcPr>
          <w:p w14:paraId="0EEABC1B" w14:textId="0033332F" w:rsidR="00FC4814" w:rsidRPr="00FC4814" w:rsidRDefault="00FC4814" w:rsidP="00D435BC">
            <w:pPr>
              <w:pStyle w:val="NoSpacing"/>
              <w:jc w:val="center"/>
              <w:rPr>
                <w:rFonts w:cs="Arial"/>
                <w:b/>
              </w:rPr>
            </w:pPr>
            <w:r>
              <w:rPr>
                <w:rFonts w:cs="Arial"/>
                <w:b/>
              </w:rPr>
              <w:t>Proposed Total Cost ($)</w:t>
            </w:r>
          </w:p>
        </w:tc>
        <w:tc>
          <w:tcPr>
            <w:tcW w:w="1458" w:type="dxa"/>
            <w:vAlign w:val="center"/>
          </w:tcPr>
          <w:p w14:paraId="5E3F23B6" w14:textId="68317AC9" w:rsidR="00FC4814" w:rsidRPr="00FC4814" w:rsidRDefault="00FC4814" w:rsidP="00D435BC">
            <w:pPr>
              <w:pStyle w:val="NoSpacing"/>
              <w:jc w:val="center"/>
              <w:rPr>
                <w:rFonts w:cs="Arial"/>
                <w:b/>
              </w:rPr>
            </w:pPr>
            <w:r>
              <w:rPr>
                <w:rFonts w:cs="Arial"/>
                <w:b/>
              </w:rPr>
              <w:t>Total Cost Increase</w:t>
            </w:r>
          </w:p>
        </w:tc>
      </w:tr>
      <w:tr w:rsidR="00DD72E0" w14:paraId="750DD653" w14:textId="77777777" w:rsidTr="00D435BC">
        <w:tc>
          <w:tcPr>
            <w:tcW w:w="468" w:type="dxa"/>
            <w:vAlign w:val="center"/>
          </w:tcPr>
          <w:p w14:paraId="26CB268C" w14:textId="1437DD77" w:rsidR="00DD72E0" w:rsidRDefault="00DD72E0" w:rsidP="00D435BC">
            <w:pPr>
              <w:pStyle w:val="NoSpacing"/>
              <w:jc w:val="center"/>
              <w:rPr>
                <w:rFonts w:cs="Arial"/>
              </w:rPr>
            </w:pPr>
            <w:r>
              <w:t>1</w:t>
            </w:r>
          </w:p>
        </w:tc>
        <w:tc>
          <w:tcPr>
            <w:tcW w:w="4680" w:type="dxa"/>
            <w:vAlign w:val="center"/>
          </w:tcPr>
          <w:p w14:paraId="5A929E20" w14:textId="3E37E184" w:rsidR="00DD72E0" w:rsidRDefault="00DD72E0" w:rsidP="00D435BC">
            <w:pPr>
              <w:pStyle w:val="NoSpacing"/>
              <w:rPr>
                <w:rFonts w:cs="Arial"/>
              </w:rPr>
            </w:pPr>
            <w:r>
              <w:t>Submissions of sequence listings of 300MB to 800 MB (large entity)</w:t>
            </w:r>
          </w:p>
        </w:tc>
        <w:tc>
          <w:tcPr>
            <w:tcW w:w="1530" w:type="dxa"/>
            <w:vAlign w:val="center"/>
          </w:tcPr>
          <w:p w14:paraId="45C92697" w14:textId="702657CE" w:rsidR="00DD72E0" w:rsidRDefault="00DD72E0" w:rsidP="00D435BC">
            <w:pPr>
              <w:pStyle w:val="NoSpacing"/>
              <w:jc w:val="center"/>
              <w:rPr>
                <w:rFonts w:cs="Arial"/>
              </w:rPr>
            </w:pPr>
            <w:r>
              <w:rPr>
                <w:rFonts w:cs="Arial"/>
              </w:rPr>
              <w:t>0</w:t>
            </w:r>
          </w:p>
        </w:tc>
        <w:tc>
          <w:tcPr>
            <w:tcW w:w="1440" w:type="dxa"/>
            <w:vAlign w:val="center"/>
          </w:tcPr>
          <w:p w14:paraId="50DA3716" w14:textId="2D1C5FE2" w:rsidR="00DD72E0" w:rsidRDefault="00DD72E0" w:rsidP="00D435BC">
            <w:pPr>
              <w:pStyle w:val="NoSpacing"/>
              <w:jc w:val="center"/>
              <w:rPr>
                <w:rFonts w:cs="Arial"/>
              </w:rPr>
            </w:pPr>
            <w:r>
              <w:t>$6,000.00</w:t>
            </w:r>
          </w:p>
        </w:tc>
        <w:tc>
          <w:tcPr>
            <w:tcW w:w="1458" w:type="dxa"/>
            <w:vAlign w:val="center"/>
          </w:tcPr>
          <w:p w14:paraId="5E8024BA" w14:textId="0A8AB7C3" w:rsidR="00DD72E0" w:rsidRDefault="00DD72E0" w:rsidP="00D435BC">
            <w:pPr>
              <w:pStyle w:val="NoSpacing"/>
              <w:jc w:val="center"/>
              <w:rPr>
                <w:rFonts w:cs="Arial"/>
              </w:rPr>
            </w:pPr>
            <w:r>
              <w:t>$6,000.00</w:t>
            </w:r>
          </w:p>
        </w:tc>
      </w:tr>
      <w:tr w:rsidR="00DD72E0" w14:paraId="71E49165" w14:textId="77777777" w:rsidTr="00D435BC">
        <w:tc>
          <w:tcPr>
            <w:tcW w:w="468" w:type="dxa"/>
            <w:vAlign w:val="center"/>
          </w:tcPr>
          <w:p w14:paraId="2EE4176E" w14:textId="00D36324" w:rsidR="00DD72E0" w:rsidRDefault="00DD72E0" w:rsidP="00D435BC">
            <w:pPr>
              <w:pStyle w:val="NoSpacing"/>
              <w:jc w:val="center"/>
              <w:rPr>
                <w:rFonts w:cs="Arial"/>
              </w:rPr>
            </w:pPr>
            <w:r>
              <w:t>1</w:t>
            </w:r>
          </w:p>
        </w:tc>
        <w:tc>
          <w:tcPr>
            <w:tcW w:w="4680" w:type="dxa"/>
            <w:vAlign w:val="center"/>
          </w:tcPr>
          <w:p w14:paraId="7F639260" w14:textId="488F1BEB" w:rsidR="00DD72E0" w:rsidRDefault="00DD72E0" w:rsidP="00D435BC">
            <w:pPr>
              <w:pStyle w:val="NoSpacing"/>
              <w:rPr>
                <w:rFonts w:cs="Arial"/>
              </w:rPr>
            </w:pPr>
            <w:r>
              <w:t>Submissions of sequence listings of 300MB to 800 MB (small entity)</w:t>
            </w:r>
          </w:p>
        </w:tc>
        <w:tc>
          <w:tcPr>
            <w:tcW w:w="1530" w:type="dxa"/>
            <w:vAlign w:val="center"/>
          </w:tcPr>
          <w:p w14:paraId="29F36EA7" w14:textId="0A037E3D" w:rsidR="00DD72E0" w:rsidRDefault="00DD72E0" w:rsidP="00D435BC">
            <w:pPr>
              <w:pStyle w:val="NoSpacing"/>
              <w:jc w:val="center"/>
              <w:rPr>
                <w:rFonts w:cs="Arial"/>
              </w:rPr>
            </w:pPr>
            <w:r>
              <w:rPr>
                <w:rFonts w:cs="Arial"/>
              </w:rPr>
              <w:t>0</w:t>
            </w:r>
          </w:p>
        </w:tc>
        <w:tc>
          <w:tcPr>
            <w:tcW w:w="1440" w:type="dxa"/>
            <w:vAlign w:val="center"/>
          </w:tcPr>
          <w:p w14:paraId="7AE8C738" w14:textId="2946FB04" w:rsidR="00DD72E0" w:rsidRDefault="00DD72E0" w:rsidP="00D435BC">
            <w:pPr>
              <w:pStyle w:val="NoSpacing"/>
              <w:jc w:val="center"/>
              <w:rPr>
                <w:rFonts w:cs="Arial"/>
              </w:rPr>
            </w:pPr>
            <w:r>
              <w:t>$1,000.00</w:t>
            </w:r>
          </w:p>
        </w:tc>
        <w:tc>
          <w:tcPr>
            <w:tcW w:w="1458" w:type="dxa"/>
            <w:vAlign w:val="center"/>
          </w:tcPr>
          <w:p w14:paraId="4F2FA548" w14:textId="6C071898" w:rsidR="00DD72E0" w:rsidRDefault="00DD72E0" w:rsidP="00D435BC">
            <w:pPr>
              <w:pStyle w:val="NoSpacing"/>
              <w:jc w:val="center"/>
              <w:rPr>
                <w:rFonts w:cs="Arial"/>
              </w:rPr>
            </w:pPr>
            <w:r>
              <w:t>$1,000.00</w:t>
            </w:r>
          </w:p>
        </w:tc>
      </w:tr>
      <w:tr w:rsidR="00DD72E0" w14:paraId="769A4040" w14:textId="77777777" w:rsidTr="00D435BC">
        <w:tc>
          <w:tcPr>
            <w:tcW w:w="468" w:type="dxa"/>
            <w:vAlign w:val="center"/>
          </w:tcPr>
          <w:p w14:paraId="68AAD284" w14:textId="352ED6EC" w:rsidR="00DD72E0" w:rsidRDefault="00DD72E0" w:rsidP="00D435BC">
            <w:pPr>
              <w:pStyle w:val="NoSpacing"/>
              <w:jc w:val="center"/>
              <w:rPr>
                <w:rFonts w:cs="Arial"/>
              </w:rPr>
            </w:pPr>
            <w:r>
              <w:lastRenderedPageBreak/>
              <w:t>1</w:t>
            </w:r>
          </w:p>
        </w:tc>
        <w:tc>
          <w:tcPr>
            <w:tcW w:w="4680" w:type="dxa"/>
            <w:vAlign w:val="center"/>
          </w:tcPr>
          <w:p w14:paraId="7C5AF17C" w14:textId="60F7E4CA" w:rsidR="00DD72E0" w:rsidRDefault="00DD72E0" w:rsidP="00D435BC">
            <w:pPr>
              <w:pStyle w:val="NoSpacing"/>
              <w:rPr>
                <w:rFonts w:cs="Arial"/>
              </w:rPr>
            </w:pPr>
            <w:r>
              <w:t>Submissions of sequence listings of 300MB to 800 MB (micro entity)</w:t>
            </w:r>
          </w:p>
        </w:tc>
        <w:tc>
          <w:tcPr>
            <w:tcW w:w="1530" w:type="dxa"/>
            <w:vAlign w:val="center"/>
          </w:tcPr>
          <w:p w14:paraId="47EF1297" w14:textId="430E9C23" w:rsidR="00DD72E0" w:rsidRDefault="00DD72E0" w:rsidP="00D435BC">
            <w:pPr>
              <w:pStyle w:val="NoSpacing"/>
              <w:jc w:val="center"/>
              <w:rPr>
                <w:rFonts w:cs="Arial"/>
              </w:rPr>
            </w:pPr>
            <w:r>
              <w:rPr>
                <w:rFonts w:cs="Arial"/>
              </w:rPr>
              <w:t>0</w:t>
            </w:r>
          </w:p>
        </w:tc>
        <w:tc>
          <w:tcPr>
            <w:tcW w:w="1440" w:type="dxa"/>
            <w:vAlign w:val="center"/>
          </w:tcPr>
          <w:p w14:paraId="39A8FE1A" w14:textId="021FB40B" w:rsidR="00DD72E0" w:rsidRDefault="00DD72E0" w:rsidP="00D435BC">
            <w:pPr>
              <w:pStyle w:val="NoSpacing"/>
              <w:jc w:val="center"/>
              <w:rPr>
                <w:rFonts w:cs="Arial"/>
              </w:rPr>
            </w:pPr>
            <w:r>
              <w:t>$250.00</w:t>
            </w:r>
          </w:p>
        </w:tc>
        <w:tc>
          <w:tcPr>
            <w:tcW w:w="1458" w:type="dxa"/>
            <w:vAlign w:val="center"/>
          </w:tcPr>
          <w:p w14:paraId="2328FDB8" w14:textId="3B8BB405" w:rsidR="00DD72E0" w:rsidRDefault="00DD72E0" w:rsidP="00D435BC">
            <w:pPr>
              <w:pStyle w:val="NoSpacing"/>
              <w:jc w:val="center"/>
              <w:rPr>
                <w:rFonts w:cs="Arial"/>
              </w:rPr>
            </w:pPr>
            <w:r>
              <w:t>$250.00</w:t>
            </w:r>
          </w:p>
        </w:tc>
      </w:tr>
      <w:tr w:rsidR="00DD72E0" w14:paraId="1D3FEA2A" w14:textId="77777777" w:rsidTr="00D435BC">
        <w:tc>
          <w:tcPr>
            <w:tcW w:w="468" w:type="dxa"/>
            <w:vAlign w:val="center"/>
          </w:tcPr>
          <w:p w14:paraId="169FD13C" w14:textId="2110F70C" w:rsidR="00DD72E0" w:rsidRDefault="00DD72E0" w:rsidP="00D435BC">
            <w:pPr>
              <w:pStyle w:val="NoSpacing"/>
              <w:jc w:val="center"/>
              <w:rPr>
                <w:rFonts w:cs="Arial"/>
              </w:rPr>
            </w:pPr>
            <w:r>
              <w:t>1</w:t>
            </w:r>
          </w:p>
        </w:tc>
        <w:tc>
          <w:tcPr>
            <w:tcW w:w="4680" w:type="dxa"/>
            <w:vAlign w:val="center"/>
          </w:tcPr>
          <w:p w14:paraId="0C2AB98D" w14:textId="22E23CC9" w:rsidR="00DD72E0" w:rsidRDefault="00DD72E0" w:rsidP="00D435BC">
            <w:pPr>
              <w:pStyle w:val="NoSpacing"/>
              <w:rPr>
                <w:rFonts w:cs="Arial"/>
              </w:rPr>
            </w:pPr>
            <w:r>
              <w:t>Submissions of sequence listings of more than 800 MB (large entity)</w:t>
            </w:r>
          </w:p>
        </w:tc>
        <w:tc>
          <w:tcPr>
            <w:tcW w:w="1530" w:type="dxa"/>
            <w:vAlign w:val="center"/>
          </w:tcPr>
          <w:p w14:paraId="5E1D0607" w14:textId="2288CA7A" w:rsidR="00DD72E0" w:rsidRDefault="00DD72E0" w:rsidP="00D435BC">
            <w:pPr>
              <w:pStyle w:val="NoSpacing"/>
              <w:jc w:val="center"/>
              <w:rPr>
                <w:rFonts w:cs="Arial"/>
              </w:rPr>
            </w:pPr>
            <w:r>
              <w:rPr>
                <w:rFonts w:cs="Arial"/>
              </w:rPr>
              <w:t>0</w:t>
            </w:r>
          </w:p>
        </w:tc>
        <w:tc>
          <w:tcPr>
            <w:tcW w:w="1440" w:type="dxa"/>
            <w:vAlign w:val="center"/>
          </w:tcPr>
          <w:p w14:paraId="1A7D100A" w14:textId="70A10DA0" w:rsidR="00DD72E0" w:rsidRDefault="00DD72E0" w:rsidP="00D435BC">
            <w:pPr>
              <w:pStyle w:val="NoSpacing"/>
              <w:jc w:val="center"/>
              <w:rPr>
                <w:rFonts w:cs="Arial"/>
              </w:rPr>
            </w:pPr>
            <w:r>
              <w:t>$20,000.00</w:t>
            </w:r>
          </w:p>
        </w:tc>
        <w:tc>
          <w:tcPr>
            <w:tcW w:w="1458" w:type="dxa"/>
            <w:vAlign w:val="center"/>
          </w:tcPr>
          <w:p w14:paraId="4ADD0CC6" w14:textId="2172A976" w:rsidR="00DD72E0" w:rsidRDefault="00DD72E0" w:rsidP="00D435BC">
            <w:pPr>
              <w:pStyle w:val="NoSpacing"/>
              <w:jc w:val="center"/>
              <w:rPr>
                <w:rFonts w:cs="Arial"/>
              </w:rPr>
            </w:pPr>
            <w:r>
              <w:t>$20,000.00</w:t>
            </w:r>
          </w:p>
        </w:tc>
      </w:tr>
      <w:tr w:rsidR="00DD72E0" w14:paraId="10A671EF" w14:textId="77777777" w:rsidTr="00D435BC">
        <w:tc>
          <w:tcPr>
            <w:tcW w:w="468" w:type="dxa"/>
            <w:vAlign w:val="center"/>
          </w:tcPr>
          <w:p w14:paraId="380705C1" w14:textId="5C42B20D" w:rsidR="00DD72E0" w:rsidRDefault="00DD72E0" w:rsidP="00D435BC">
            <w:pPr>
              <w:pStyle w:val="NoSpacing"/>
              <w:jc w:val="center"/>
              <w:rPr>
                <w:rFonts w:cs="Arial"/>
              </w:rPr>
            </w:pPr>
            <w:r>
              <w:t>1</w:t>
            </w:r>
          </w:p>
        </w:tc>
        <w:tc>
          <w:tcPr>
            <w:tcW w:w="4680" w:type="dxa"/>
            <w:vAlign w:val="center"/>
          </w:tcPr>
          <w:p w14:paraId="0074954F" w14:textId="05B57E0F" w:rsidR="00DD72E0" w:rsidRDefault="00DD72E0" w:rsidP="00D435BC">
            <w:pPr>
              <w:pStyle w:val="NoSpacing"/>
              <w:rPr>
                <w:rFonts w:cs="Arial"/>
              </w:rPr>
            </w:pPr>
            <w:r>
              <w:t>Submissions of sequence listings of more than 800 MB (small entity)</w:t>
            </w:r>
          </w:p>
        </w:tc>
        <w:tc>
          <w:tcPr>
            <w:tcW w:w="1530" w:type="dxa"/>
            <w:vAlign w:val="center"/>
          </w:tcPr>
          <w:p w14:paraId="1390A329" w14:textId="74CC630A" w:rsidR="00DD72E0" w:rsidRDefault="00DD72E0" w:rsidP="00D435BC">
            <w:pPr>
              <w:pStyle w:val="NoSpacing"/>
              <w:jc w:val="center"/>
              <w:rPr>
                <w:rFonts w:cs="Arial"/>
              </w:rPr>
            </w:pPr>
            <w:r>
              <w:rPr>
                <w:rFonts w:cs="Arial"/>
              </w:rPr>
              <w:t>0</w:t>
            </w:r>
          </w:p>
        </w:tc>
        <w:tc>
          <w:tcPr>
            <w:tcW w:w="1440" w:type="dxa"/>
            <w:vAlign w:val="center"/>
          </w:tcPr>
          <w:p w14:paraId="2ED01CDC" w14:textId="7D6B46C7" w:rsidR="00DD72E0" w:rsidRDefault="00DD72E0" w:rsidP="00D435BC">
            <w:pPr>
              <w:pStyle w:val="NoSpacing"/>
              <w:jc w:val="center"/>
              <w:rPr>
                <w:rFonts w:cs="Arial"/>
              </w:rPr>
            </w:pPr>
            <w:r>
              <w:t>$5,000.00</w:t>
            </w:r>
          </w:p>
        </w:tc>
        <w:tc>
          <w:tcPr>
            <w:tcW w:w="1458" w:type="dxa"/>
            <w:vAlign w:val="center"/>
          </w:tcPr>
          <w:p w14:paraId="00EFF569" w14:textId="78A38AD4" w:rsidR="00DD72E0" w:rsidRDefault="00DD72E0" w:rsidP="00D435BC">
            <w:pPr>
              <w:pStyle w:val="NoSpacing"/>
              <w:jc w:val="center"/>
              <w:rPr>
                <w:rFonts w:cs="Arial"/>
              </w:rPr>
            </w:pPr>
            <w:r>
              <w:t>$5,000.00</w:t>
            </w:r>
          </w:p>
        </w:tc>
      </w:tr>
      <w:tr w:rsidR="00DD72E0" w14:paraId="0FD5C762" w14:textId="77777777" w:rsidTr="00D435BC">
        <w:tc>
          <w:tcPr>
            <w:tcW w:w="468" w:type="dxa"/>
            <w:vAlign w:val="center"/>
          </w:tcPr>
          <w:p w14:paraId="5C6DA32C" w14:textId="1EB1B70E" w:rsidR="00DD72E0" w:rsidRDefault="00DD72E0" w:rsidP="00D435BC">
            <w:pPr>
              <w:pStyle w:val="NoSpacing"/>
              <w:jc w:val="center"/>
              <w:rPr>
                <w:rFonts w:cs="Arial"/>
              </w:rPr>
            </w:pPr>
            <w:r>
              <w:t>1</w:t>
            </w:r>
          </w:p>
        </w:tc>
        <w:tc>
          <w:tcPr>
            <w:tcW w:w="4680" w:type="dxa"/>
            <w:vAlign w:val="center"/>
          </w:tcPr>
          <w:p w14:paraId="7519A54D" w14:textId="22C85101" w:rsidR="00DD72E0" w:rsidRDefault="00DD72E0" w:rsidP="00D435BC">
            <w:pPr>
              <w:pStyle w:val="NoSpacing"/>
              <w:rPr>
                <w:rFonts w:cs="Arial"/>
              </w:rPr>
            </w:pPr>
            <w:r>
              <w:t>Submissions of sequence listings of more than 800 MB (micro entity)</w:t>
            </w:r>
          </w:p>
        </w:tc>
        <w:tc>
          <w:tcPr>
            <w:tcW w:w="1530" w:type="dxa"/>
            <w:vAlign w:val="center"/>
          </w:tcPr>
          <w:p w14:paraId="73E75E66" w14:textId="600063BA" w:rsidR="00DD72E0" w:rsidRDefault="00DD72E0" w:rsidP="00D435BC">
            <w:pPr>
              <w:pStyle w:val="NoSpacing"/>
              <w:jc w:val="center"/>
              <w:rPr>
                <w:rFonts w:cs="Arial"/>
              </w:rPr>
            </w:pPr>
            <w:r>
              <w:rPr>
                <w:rFonts w:cs="Arial"/>
              </w:rPr>
              <w:t>0</w:t>
            </w:r>
          </w:p>
        </w:tc>
        <w:tc>
          <w:tcPr>
            <w:tcW w:w="1440" w:type="dxa"/>
            <w:vAlign w:val="center"/>
          </w:tcPr>
          <w:p w14:paraId="0E1D70C2" w14:textId="3ACD995E" w:rsidR="00DD72E0" w:rsidRDefault="00DD72E0" w:rsidP="00D435BC">
            <w:pPr>
              <w:pStyle w:val="NoSpacing"/>
              <w:jc w:val="center"/>
              <w:rPr>
                <w:rFonts w:cs="Arial"/>
              </w:rPr>
            </w:pPr>
            <w:r>
              <w:t>$2,500.00</w:t>
            </w:r>
          </w:p>
        </w:tc>
        <w:tc>
          <w:tcPr>
            <w:tcW w:w="1458" w:type="dxa"/>
            <w:vAlign w:val="center"/>
          </w:tcPr>
          <w:p w14:paraId="1A7B8624" w14:textId="07E9433C" w:rsidR="00DD72E0" w:rsidRDefault="00DD72E0" w:rsidP="00D435BC">
            <w:pPr>
              <w:pStyle w:val="NoSpacing"/>
              <w:jc w:val="center"/>
              <w:rPr>
                <w:rFonts w:cs="Arial"/>
              </w:rPr>
            </w:pPr>
            <w:r>
              <w:t>$2,500.00</w:t>
            </w:r>
          </w:p>
        </w:tc>
      </w:tr>
      <w:tr w:rsidR="00DD72E0" w14:paraId="02B10DD1" w14:textId="77777777" w:rsidTr="00D435BC">
        <w:tc>
          <w:tcPr>
            <w:tcW w:w="468" w:type="dxa"/>
            <w:vAlign w:val="center"/>
          </w:tcPr>
          <w:p w14:paraId="174EA5D7" w14:textId="79D860B0" w:rsidR="00DD72E0" w:rsidRDefault="00DD72E0" w:rsidP="00D435BC">
            <w:pPr>
              <w:pStyle w:val="NoSpacing"/>
              <w:jc w:val="center"/>
              <w:rPr>
                <w:rFonts w:cs="Arial"/>
              </w:rPr>
            </w:pPr>
            <w:r>
              <w:t>1</w:t>
            </w:r>
          </w:p>
        </w:tc>
        <w:tc>
          <w:tcPr>
            <w:tcW w:w="4680" w:type="dxa"/>
            <w:vAlign w:val="center"/>
          </w:tcPr>
          <w:p w14:paraId="3F3CD52A" w14:textId="7D022B28" w:rsidR="00DD72E0" w:rsidRDefault="00DD72E0" w:rsidP="00D435BC">
            <w:pPr>
              <w:pStyle w:val="NoSpacing"/>
              <w:rPr>
                <w:rFonts w:cs="Arial"/>
              </w:rPr>
            </w:pPr>
            <w:r>
              <w:t>Late Furnishing Fee for Providing a Sequence Listing in Response to an Invitation Under PCT Rule 13ter (large entity)</w:t>
            </w:r>
          </w:p>
        </w:tc>
        <w:tc>
          <w:tcPr>
            <w:tcW w:w="1530" w:type="dxa"/>
            <w:vAlign w:val="center"/>
          </w:tcPr>
          <w:p w14:paraId="1BCA7E9B" w14:textId="09FEC265" w:rsidR="00DD72E0" w:rsidRDefault="00DD72E0" w:rsidP="00D435BC">
            <w:pPr>
              <w:pStyle w:val="NoSpacing"/>
              <w:jc w:val="center"/>
              <w:rPr>
                <w:rFonts w:cs="Arial"/>
              </w:rPr>
            </w:pPr>
            <w:r>
              <w:rPr>
                <w:rFonts w:cs="Arial"/>
              </w:rPr>
              <w:t>0</w:t>
            </w:r>
          </w:p>
        </w:tc>
        <w:tc>
          <w:tcPr>
            <w:tcW w:w="1440" w:type="dxa"/>
            <w:vAlign w:val="center"/>
          </w:tcPr>
          <w:p w14:paraId="4267CBB0" w14:textId="0E5960C9" w:rsidR="00DD72E0" w:rsidRDefault="00DD72E0" w:rsidP="00D435BC">
            <w:pPr>
              <w:pStyle w:val="NoSpacing"/>
              <w:jc w:val="center"/>
              <w:rPr>
                <w:rFonts w:cs="Arial"/>
              </w:rPr>
            </w:pPr>
            <w:r>
              <w:t>$74,100.00</w:t>
            </w:r>
          </w:p>
        </w:tc>
        <w:tc>
          <w:tcPr>
            <w:tcW w:w="1458" w:type="dxa"/>
            <w:vAlign w:val="center"/>
          </w:tcPr>
          <w:p w14:paraId="22FDEE70" w14:textId="16E6340F" w:rsidR="00DD72E0" w:rsidRDefault="00DD72E0" w:rsidP="00D435BC">
            <w:pPr>
              <w:pStyle w:val="NoSpacing"/>
              <w:jc w:val="center"/>
              <w:rPr>
                <w:rFonts w:cs="Arial"/>
              </w:rPr>
            </w:pPr>
            <w:r>
              <w:t>$74,100.00</w:t>
            </w:r>
          </w:p>
        </w:tc>
      </w:tr>
      <w:tr w:rsidR="00DD72E0" w14:paraId="591ED576" w14:textId="77777777" w:rsidTr="00D435BC">
        <w:tc>
          <w:tcPr>
            <w:tcW w:w="468" w:type="dxa"/>
            <w:vAlign w:val="center"/>
          </w:tcPr>
          <w:p w14:paraId="5D6BB735" w14:textId="573E9B09" w:rsidR="00DD72E0" w:rsidRDefault="00DD72E0" w:rsidP="00D435BC">
            <w:pPr>
              <w:pStyle w:val="NoSpacing"/>
              <w:jc w:val="center"/>
              <w:rPr>
                <w:rFonts w:cs="Arial"/>
              </w:rPr>
            </w:pPr>
            <w:r>
              <w:t>1</w:t>
            </w:r>
          </w:p>
        </w:tc>
        <w:tc>
          <w:tcPr>
            <w:tcW w:w="4680" w:type="dxa"/>
            <w:vAlign w:val="center"/>
          </w:tcPr>
          <w:p w14:paraId="08605383" w14:textId="17CE8BB4" w:rsidR="00DD72E0" w:rsidRDefault="00DD72E0" w:rsidP="00D435BC">
            <w:pPr>
              <w:pStyle w:val="NoSpacing"/>
              <w:rPr>
                <w:rFonts w:cs="Arial"/>
              </w:rPr>
            </w:pPr>
            <w:r>
              <w:t>Late Furnishing Fee for Providing a Sequence Listing in Response to an Invitation Under PCT Rule 13ter (small entity)</w:t>
            </w:r>
          </w:p>
        </w:tc>
        <w:tc>
          <w:tcPr>
            <w:tcW w:w="1530" w:type="dxa"/>
            <w:vAlign w:val="center"/>
          </w:tcPr>
          <w:p w14:paraId="7270783E" w14:textId="0D745EC8" w:rsidR="00DD72E0" w:rsidRDefault="00DD72E0" w:rsidP="00D435BC">
            <w:pPr>
              <w:pStyle w:val="NoSpacing"/>
              <w:jc w:val="center"/>
              <w:rPr>
                <w:rFonts w:cs="Arial"/>
              </w:rPr>
            </w:pPr>
            <w:r>
              <w:rPr>
                <w:rFonts w:cs="Arial"/>
              </w:rPr>
              <w:t>0</w:t>
            </w:r>
          </w:p>
        </w:tc>
        <w:tc>
          <w:tcPr>
            <w:tcW w:w="1440" w:type="dxa"/>
            <w:vAlign w:val="center"/>
          </w:tcPr>
          <w:p w14:paraId="5FC1D071" w14:textId="367EB172" w:rsidR="00DD72E0" w:rsidRDefault="00DD72E0" w:rsidP="00D435BC">
            <w:pPr>
              <w:pStyle w:val="NoSpacing"/>
              <w:jc w:val="center"/>
              <w:rPr>
                <w:rFonts w:cs="Arial"/>
              </w:rPr>
            </w:pPr>
            <w:r>
              <w:t>$7,500.00</w:t>
            </w:r>
          </w:p>
        </w:tc>
        <w:tc>
          <w:tcPr>
            <w:tcW w:w="1458" w:type="dxa"/>
            <w:vAlign w:val="center"/>
          </w:tcPr>
          <w:p w14:paraId="29666AE0" w14:textId="61F7FBEA" w:rsidR="00DD72E0" w:rsidRDefault="00DD72E0" w:rsidP="00D435BC">
            <w:pPr>
              <w:pStyle w:val="NoSpacing"/>
              <w:jc w:val="center"/>
              <w:rPr>
                <w:rFonts w:cs="Arial"/>
              </w:rPr>
            </w:pPr>
            <w:r>
              <w:t>$7,500.00</w:t>
            </w:r>
          </w:p>
        </w:tc>
      </w:tr>
      <w:tr w:rsidR="00DD72E0" w14:paraId="2975F1A8" w14:textId="77777777" w:rsidTr="00D435BC">
        <w:tc>
          <w:tcPr>
            <w:tcW w:w="468" w:type="dxa"/>
            <w:vAlign w:val="center"/>
          </w:tcPr>
          <w:p w14:paraId="0EEFF1A7" w14:textId="69D22D4A" w:rsidR="00DD72E0" w:rsidRDefault="00DD72E0" w:rsidP="00D435BC">
            <w:pPr>
              <w:pStyle w:val="NoSpacing"/>
              <w:jc w:val="center"/>
              <w:rPr>
                <w:rFonts w:cs="Arial"/>
              </w:rPr>
            </w:pPr>
            <w:r>
              <w:t>1</w:t>
            </w:r>
          </w:p>
        </w:tc>
        <w:tc>
          <w:tcPr>
            <w:tcW w:w="4680" w:type="dxa"/>
            <w:vAlign w:val="center"/>
          </w:tcPr>
          <w:p w14:paraId="261648B8" w14:textId="3F2052DD" w:rsidR="00DD72E0" w:rsidRDefault="00DD72E0" w:rsidP="00D435BC">
            <w:pPr>
              <w:pStyle w:val="NoSpacing"/>
              <w:rPr>
                <w:rFonts w:cs="Arial"/>
              </w:rPr>
            </w:pPr>
            <w:r>
              <w:t>Late Furnishing Fee for Providing a Sequence Listing in Response to an Invitation Under PCT Rule 13ter (micro entity)</w:t>
            </w:r>
          </w:p>
        </w:tc>
        <w:tc>
          <w:tcPr>
            <w:tcW w:w="1530" w:type="dxa"/>
            <w:vAlign w:val="center"/>
          </w:tcPr>
          <w:p w14:paraId="3FF08566" w14:textId="4464DA13" w:rsidR="00DD72E0" w:rsidRDefault="00DD72E0" w:rsidP="00D435BC">
            <w:pPr>
              <w:pStyle w:val="NoSpacing"/>
              <w:jc w:val="center"/>
              <w:rPr>
                <w:rFonts w:cs="Arial"/>
              </w:rPr>
            </w:pPr>
            <w:r>
              <w:rPr>
                <w:rFonts w:cs="Arial"/>
              </w:rPr>
              <w:t>0</w:t>
            </w:r>
          </w:p>
        </w:tc>
        <w:tc>
          <w:tcPr>
            <w:tcW w:w="1440" w:type="dxa"/>
            <w:vAlign w:val="center"/>
          </w:tcPr>
          <w:p w14:paraId="093A69A2" w14:textId="460F6CE0" w:rsidR="00DD72E0" w:rsidRDefault="00DD72E0" w:rsidP="00D435BC">
            <w:pPr>
              <w:pStyle w:val="NoSpacing"/>
              <w:jc w:val="center"/>
              <w:rPr>
                <w:rFonts w:cs="Arial"/>
              </w:rPr>
            </w:pPr>
            <w:r>
              <w:t>$375.00</w:t>
            </w:r>
          </w:p>
        </w:tc>
        <w:tc>
          <w:tcPr>
            <w:tcW w:w="1458" w:type="dxa"/>
            <w:vAlign w:val="center"/>
          </w:tcPr>
          <w:p w14:paraId="20F31B95" w14:textId="61ACD974" w:rsidR="00DD72E0" w:rsidRDefault="00DD72E0" w:rsidP="00D435BC">
            <w:pPr>
              <w:pStyle w:val="NoSpacing"/>
              <w:jc w:val="center"/>
              <w:rPr>
                <w:rFonts w:cs="Arial"/>
              </w:rPr>
            </w:pPr>
            <w:r>
              <w:t>$375.00</w:t>
            </w:r>
          </w:p>
        </w:tc>
      </w:tr>
      <w:tr w:rsidR="00DD72E0" w14:paraId="097CF09C" w14:textId="77777777" w:rsidTr="00764876">
        <w:tc>
          <w:tcPr>
            <w:tcW w:w="468" w:type="dxa"/>
          </w:tcPr>
          <w:p w14:paraId="2CC47B4C" w14:textId="77777777" w:rsidR="00DD72E0" w:rsidRDefault="00DD72E0" w:rsidP="00D435BC">
            <w:pPr>
              <w:pStyle w:val="NoSpacing"/>
              <w:jc w:val="center"/>
              <w:rPr>
                <w:rFonts w:cs="Arial"/>
              </w:rPr>
            </w:pPr>
          </w:p>
        </w:tc>
        <w:tc>
          <w:tcPr>
            <w:tcW w:w="4680" w:type="dxa"/>
          </w:tcPr>
          <w:p w14:paraId="08BACE1B" w14:textId="5617C01A" w:rsidR="00DD72E0" w:rsidRDefault="00DD72E0" w:rsidP="00D435BC">
            <w:pPr>
              <w:pStyle w:val="NoSpacing"/>
              <w:rPr>
                <w:rFonts w:cs="Arial"/>
              </w:rPr>
            </w:pPr>
            <w:r>
              <w:rPr>
                <w:b/>
              </w:rPr>
              <w:t>Totals</w:t>
            </w:r>
          </w:p>
        </w:tc>
        <w:tc>
          <w:tcPr>
            <w:tcW w:w="1530" w:type="dxa"/>
            <w:vAlign w:val="center"/>
          </w:tcPr>
          <w:p w14:paraId="01819DD5" w14:textId="6C0EE650" w:rsidR="00DD72E0" w:rsidRDefault="00DD72E0" w:rsidP="00D435BC">
            <w:pPr>
              <w:pStyle w:val="NoSpacing"/>
              <w:jc w:val="center"/>
              <w:rPr>
                <w:rFonts w:cs="Arial"/>
              </w:rPr>
            </w:pPr>
            <w:r>
              <w:rPr>
                <w:rFonts w:cs="Arial"/>
                <w:b/>
              </w:rPr>
              <w:t>0</w:t>
            </w:r>
          </w:p>
        </w:tc>
        <w:tc>
          <w:tcPr>
            <w:tcW w:w="1440" w:type="dxa"/>
            <w:vAlign w:val="center"/>
          </w:tcPr>
          <w:p w14:paraId="64909472" w14:textId="555B954B" w:rsidR="00DD72E0" w:rsidRDefault="00DD72E0" w:rsidP="00D435BC">
            <w:pPr>
              <w:pStyle w:val="NoSpacing"/>
              <w:jc w:val="center"/>
              <w:rPr>
                <w:rFonts w:cs="Arial"/>
              </w:rPr>
            </w:pPr>
            <w:r>
              <w:rPr>
                <w:b/>
              </w:rPr>
              <w:t>$116,725.00</w:t>
            </w:r>
          </w:p>
        </w:tc>
        <w:tc>
          <w:tcPr>
            <w:tcW w:w="1458" w:type="dxa"/>
            <w:vAlign w:val="center"/>
          </w:tcPr>
          <w:p w14:paraId="199BCFBB" w14:textId="283F8EC6" w:rsidR="00DD72E0" w:rsidRDefault="00DD72E0" w:rsidP="00D435BC">
            <w:pPr>
              <w:pStyle w:val="NoSpacing"/>
              <w:jc w:val="center"/>
              <w:rPr>
                <w:rFonts w:cs="Arial"/>
              </w:rPr>
            </w:pPr>
            <w:r>
              <w:rPr>
                <w:b/>
              </w:rPr>
              <w:t>$116,725.00</w:t>
            </w:r>
          </w:p>
        </w:tc>
      </w:tr>
    </w:tbl>
    <w:p w14:paraId="675F94CB" w14:textId="77777777" w:rsidR="00FC4814" w:rsidRDefault="00FC4814" w:rsidP="005B71A1">
      <w:pPr>
        <w:pStyle w:val="NoSpacing"/>
        <w:jc w:val="both"/>
        <w:rPr>
          <w:rFonts w:cs="Arial"/>
        </w:rPr>
      </w:pPr>
    </w:p>
    <w:p w14:paraId="76FC52FF" w14:textId="77777777" w:rsidR="005B71A1" w:rsidRDefault="005B71A1" w:rsidP="005B71A1">
      <w:pPr>
        <w:pStyle w:val="NoSpacing"/>
        <w:jc w:val="both"/>
        <w:rPr>
          <w:rFonts w:cs="Arial"/>
        </w:rPr>
      </w:pPr>
      <w:r>
        <w:rPr>
          <w:rFonts w:cs="Arial"/>
          <w:u w:val="single"/>
        </w:rPr>
        <w:t>Summary of Changes</w:t>
      </w:r>
    </w:p>
    <w:p w14:paraId="76FC5300" w14:textId="77777777" w:rsidR="005B71A1" w:rsidRDefault="005B71A1" w:rsidP="005B71A1">
      <w:pPr>
        <w:pStyle w:val="NoSpacing"/>
        <w:jc w:val="both"/>
        <w:rPr>
          <w:rFonts w:cs="Arial"/>
        </w:rPr>
      </w:pPr>
    </w:p>
    <w:p w14:paraId="4CA344B3" w14:textId="052ED89C" w:rsidR="00DD72E0" w:rsidRDefault="00DD72E0" w:rsidP="005B71A1">
      <w:pPr>
        <w:pStyle w:val="NoSpacing"/>
        <w:jc w:val="both"/>
        <w:rPr>
          <w:rFonts w:cs="Arial"/>
        </w:rPr>
      </w:pPr>
      <w:r>
        <w:rPr>
          <w:rFonts w:cs="Arial"/>
        </w:rPr>
        <w:t>The addition of 3 fees (broken down into large entities, small entities, and micro entities), 315 respondents, and $116,</w:t>
      </w:r>
      <w:r w:rsidR="008D4062">
        <w:rPr>
          <w:rFonts w:cs="Arial"/>
        </w:rPr>
        <w:t>725</w:t>
      </w:r>
      <w:r>
        <w:rPr>
          <w:rFonts w:cs="Arial"/>
        </w:rPr>
        <w:t xml:space="preserve"> in non-hourly costs to collection 0651-0012 account following the rulemaking action NPRM 0651-AD02.</w:t>
      </w:r>
    </w:p>
    <w:p w14:paraId="2E8F6D88" w14:textId="77777777" w:rsidR="00DD72E0" w:rsidRDefault="00DD72E0" w:rsidP="005B71A1">
      <w:pPr>
        <w:pStyle w:val="NoSpacing"/>
        <w:jc w:val="both"/>
        <w:rPr>
          <w:rFonts w:cs="Arial"/>
        </w:rPr>
      </w:pPr>
    </w:p>
    <w:p w14:paraId="76FC5301" w14:textId="77777777" w:rsidR="005B71A1" w:rsidRPr="00225708" w:rsidRDefault="005B71A1" w:rsidP="005B71A1">
      <w:pPr>
        <w:pStyle w:val="NoSpacing"/>
        <w:jc w:val="both"/>
        <w:rPr>
          <w:rFonts w:cs="Arial"/>
        </w:rPr>
      </w:pPr>
      <w:r>
        <w:rPr>
          <w:rFonts w:cs="Arial"/>
          <w:u w:val="single"/>
        </w:rPr>
        <w:t>Changes in Burden</w:t>
      </w:r>
    </w:p>
    <w:p w14:paraId="76FC5302" w14:textId="77777777" w:rsidR="005B71A1" w:rsidRDefault="005B71A1" w:rsidP="005B71A1">
      <w:pPr>
        <w:pStyle w:val="NoSpacing"/>
      </w:pPr>
    </w:p>
    <w:tbl>
      <w:tblPr>
        <w:tblStyle w:val="TableGrid"/>
        <w:tblW w:w="0" w:type="auto"/>
        <w:tblLook w:val="04A0" w:firstRow="1" w:lastRow="0" w:firstColumn="1" w:lastColumn="0" w:noHBand="0" w:noVBand="1"/>
      </w:tblPr>
      <w:tblGrid>
        <w:gridCol w:w="2394"/>
        <w:gridCol w:w="2394"/>
        <w:gridCol w:w="2394"/>
        <w:gridCol w:w="2394"/>
      </w:tblGrid>
      <w:tr w:rsidR="00DD72E0" w14:paraId="4AE728F5" w14:textId="77777777" w:rsidTr="00DD72E0">
        <w:tc>
          <w:tcPr>
            <w:tcW w:w="2394" w:type="dxa"/>
            <w:vAlign w:val="center"/>
          </w:tcPr>
          <w:p w14:paraId="482882B2" w14:textId="4B7E9B0E" w:rsidR="00DD72E0" w:rsidRPr="00DD72E0" w:rsidRDefault="00DD72E0" w:rsidP="00DD72E0">
            <w:pPr>
              <w:pStyle w:val="NoSpacing"/>
              <w:jc w:val="center"/>
              <w:rPr>
                <w:b/>
              </w:rPr>
            </w:pPr>
            <w:r>
              <w:rPr>
                <w:b/>
              </w:rPr>
              <w:t>Burden Type</w:t>
            </w:r>
          </w:p>
        </w:tc>
        <w:tc>
          <w:tcPr>
            <w:tcW w:w="2394" w:type="dxa"/>
            <w:vAlign w:val="center"/>
          </w:tcPr>
          <w:p w14:paraId="552AC18D" w14:textId="530F45F8" w:rsidR="00DD72E0" w:rsidRPr="00DD72E0" w:rsidRDefault="00DD72E0" w:rsidP="00DD72E0">
            <w:pPr>
              <w:pStyle w:val="NoSpacing"/>
              <w:jc w:val="center"/>
              <w:rPr>
                <w:b/>
              </w:rPr>
            </w:pPr>
            <w:r>
              <w:rPr>
                <w:b/>
              </w:rPr>
              <w:t>Currently Approved</w:t>
            </w:r>
          </w:p>
        </w:tc>
        <w:tc>
          <w:tcPr>
            <w:tcW w:w="2394" w:type="dxa"/>
            <w:vAlign w:val="center"/>
          </w:tcPr>
          <w:p w14:paraId="645024B9" w14:textId="0BFC2BCA" w:rsidR="00DD72E0" w:rsidRPr="00DD72E0" w:rsidRDefault="00DD72E0" w:rsidP="00DD72E0">
            <w:pPr>
              <w:pStyle w:val="NoSpacing"/>
              <w:jc w:val="center"/>
              <w:rPr>
                <w:b/>
              </w:rPr>
            </w:pPr>
            <w:r>
              <w:rPr>
                <w:b/>
              </w:rPr>
              <w:t>Proposed Changes</w:t>
            </w:r>
          </w:p>
        </w:tc>
        <w:tc>
          <w:tcPr>
            <w:tcW w:w="2394" w:type="dxa"/>
            <w:vAlign w:val="center"/>
          </w:tcPr>
          <w:p w14:paraId="719DB9A0" w14:textId="64289F0D" w:rsidR="00DD72E0" w:rsidRPr="00DD72E0" w:rsidRDefault="00DD72E0" w:rsidP="00DD72E0">
            <w:pPr>
              <w:pStyle w:val="NoSpacing"/>
              <w:jc w:val="center"/>
              <w:rPr>
                <w:b/>
              </w:rPr>
            </w:pPr>
            <w:r>
              <w:rPr>
                <w:b/>
              </w:rPr>
              <w:t>New Estimates</w:t>
            </w:r>
          </w:p>
        </w:tc>
      </w:tr>
      <w:tr w:rsidR="008D4062" w14:paraId="7E89ED75" w14:textId="77777777" w:rsidTr="00DD72E0">
        <w:tc>
          <w:tcPr>
            <w:tcW w:w="2394" w:type="dxa"/>
            <w:vAlign w:val="center"/>
          </w:tcPr>
          <w:p w14:paraId="211B2655" w14:textId="205732B2" w:rsidR="008D4062" w:rsidRDefault="008D4062" w:rsidP="00DD72E0">
            <w:pPr>
              <w:pStyle w:val="NoSpacing"/>
            </w:pPr>
            <w:r>
              <w:t>Respondents</w:t>
            </w:r>
          </w:p>
        </w:tc>
        <w:tc>
          <w:tcPr>
            <w:tcW w:w="2394" w:type="dxa"/>
            <w:vAlign w:val="center"/>
          </w:tcPr>
          <w:p w14:paraId="299A50DD" w14:textId="25BC5E59" w:rsidR="008D4062" w:rsidRDefault="002F6E6C" w:rsidP="00DD72E0">
            <w:pPr>
              <w:pStyle w:val="NoSpacing"/>
              <w:jc w:val="right"/>
            </w:pPr>
            <w:r>
              <w:t>27,200</w:t>
            </w:r>
          </w:p>
        </w:tc>
        <w:tc>
          <w:tcPr>
            <w:tcW w:w="2394" w:type="dxa"/>
            <w:vAlign w:val="center"/>
          </w:tcPr>
          <w:p w14:paraId="201CFACA" w14:textId="212BE211" w:rsidR="008D4062" w:rsidRDefault="008D4062" w:rsidP="00DD72E0">
            <w:pPr>
              <w:pStyle w:val="NoSpacing"/>
              <w:jc w:val="right"/>
            </w:pPr>
            <w:r>
              <w:t>315</w:t>
            </w:r>
          </w:p>
        </w:tc>
        <w:tc>
          <w:tcPr>
            <w:tcW w:w="2394" w:type="dxa"/>
            <w:vAlign w:val="center"/>
          </w:tcPr>
          <w:p w14:paraId="12CDDC52" w14:textId="27091570" w:rsidR="008D4062" w:rsidRDefault="002F6E6C" w:rsidP="00DD72E0">
            <w:pPr>
              <w:pStyle w:val="NoSpacing"/>
              <w:jc w:val="right"/>
            </w:pPr>
            <w:r>
              <w:t>27,515</w:t>
            </w:r>
          </w:p>
        </w:tc>
      </w:tr>
      <w:tr w:rsidR="008D4062" w14:paraId="778BDBDD" w14:textId="77777777" w:rsidTr="00DD72E0">
        <w:tc>
          <w:tcPr>
            <w:tcW w:w="2394" w:type="dxa"/>
            <w:vAlign w:val="center"/>
          </w:tcPr>
          <w:p w14:paraId="0C67A023" w14:textId="4C40AB8F" w:rsidR="008D4062" w:rsidRDefault="008D4062" w:rsidP="00DD72E0">
            <w:pPr>
              <w:pStyle w:val="NoSpacing"/>
            </w:pPr>
            <w:r>
              <w:t>Non-hour Costs</w:t>
            </w:r>
          </w:p>
        </w:tc>
        <w:tc>
          <w:tcPr>
            <w:tcW w:w="2394" w:type="dxa"/>
            <w:vAlign w:val="center"/>
          </w:tcPr>
          <w:p w14:paraId="7E77114A" w14:textId="60AA62AE" w:rsidR="008D4062" w:rsidRDefault="002F6E6C" w:rsidP="00DD72E0">
            <w:pPr>
              <w:pStyle w:val="NoSpacing"/>
              <w:jc w:val="right"/>
            </w:pPr>
            <w:r>
              <w:t>$1,815,457.50</w:t>
            </w:r>
          </w:p>
        </w:tc>
        <w:tc>
          <w:tcPr>
            <w:tcW w:w="2394" w:type="dxa"/>
            <w:vAlign w:val="center"/>
          </w:tcPr>
          <w:p w14:paraId="38DF3506" w14:textId="03988C00" w:rsidR="008D4062" w:rsidRDefault="008D4062" w:rsidP="00DD72E0">
            <w:pPr>
              <w:pStyle w:val="NoSpacing"/>
              <w:jc w:val="right"/>
            </w:pPr>
            <w:r>
              <w:t>$116,725</w:t>
            </w:r>
            <w:r w:rsidR="002F6E6C">
              <w:t>.00</w:t>
            </w:r>
          </w:p>
        </w:tc>
        <w:tc>
          <w:tcPr>
            <w:tcW w:w="2394" w:type="dxa"/>
            <w:vAlign w:val="center"/>
          </w:tcPr>
          <w:p w14:paraId="66020BCE" w14:textId="43C851AA" w:rsidR="008D4062" w:rsidRDefault="002F6E6C" w:rsidP="002F6E6C">
            <w:pPr>
              <w:pStyle w:val="NoSpacing"/>
              <w:jc w:val="right"/>
            </w:pPr>
            <w:r>
              <w:t>$1,932,182.50</w:t>
            </w:r>
          </w:p>
        </w:tc>
      </w:tr>
    </w:tbl>
    <w:p w14:paraId="295517E0" w14:textId="77777777" w:rsidR="00DD72E0" w:rsidRDefault="00DD72E0" w:rsidP="005B71A1">
      <w:pPr>
        <w:pStyle w:val="NoSpacing"/>
      </w:pPr>
    </w:p>
    <w:p w14:paraId="76F1C7DD" w14:textId="2CAAD979" w:rsidR="002F6E6C" w:rsidRDefault="002F6E6C" w:rsidP="005B71A1">
      <w:pPr>
        <w:pStyle w:val="NoSpacing"/>
      </w:pPr>
      <w:r>
        <w:t>The 0651-0024 revised total burden is as follows:</w:t>
      </w:r>
    </w:p>
    <w:p w14:paraId="348D52B6" w14:textId="77777777" w:rsidR="002F6E6C" w:rsidRDefault="002F6E6C" w:rsidP="005B71A1">
      <w:pPr>
        <w:pStyle w:val="NoSpacing"/>
      </w:pPr>
    </w:p>
    <w:p w14:paraId="3165CA21" w14:textId="39DF50CA" w:rsidR="002F6E6C" w:rsidRDefault="002F6E6C" w:rsidP="002F6E6C">
      <w:pPr>
        <w:pStyle w:val="NoSpacing"/>
        <w:numPr>
          <w:ilvl w:val="0"/>
          <w:numId w:val="1"/>
        </w:numPr>
      </w:pPr>
      <w:r>
        <w:t>27,515 respondents</w:t>
      </w:r>
    </w:p>
    <w:p w14:paraId="4C4623FC" w14:textId="472B31D8" w:rsidR="002F6E6C" w:rsidRPr="005B71A1" w:rsidRDefault="002F6E6C" w:rsidP="002F6E6C">
      <w:pPr>
        <w:pStyle w:val="NoSpacing"/>
        <w:numPr>
          <w:ilvl w:val="0"/>
          <w:numId w:val="1"/>
        </w:numPr>
      </w:pPr>
      <w:r>
        <w:t>$1,932,182.50 in annual (non-hour) costs</w:t>
      </w:r>
    </w:p>
    <w:sectPr w:rsidR="002F6E6C" w:rsidRPr="005B71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E53D0A"/>
    <w:multiLevelType w:val="hybridMultilevel"/>
    <w:tmpl w:val="D21AF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1A1"/>
    <w:rsid w:val="00061E1C"/>
    <w:rsid w:val="00065ADA"/>
    <w:rsid w:val="002578CE"/>
    <w:rsid w:val="002B2304"/>
    <w:rsid w:val="002F6E6C"/>
    <w:rsid w:val="003307D7"/>
    <w:rsid w:val="003E7602"/>
    <w:rsid w:val="00406A48"/>
    <w:rsid w:val="005B71A1"/>
    <w:rsid w:val="0068508B"/>
    <w:rsid w:val="008815F1"/>
    <w:rsid w:val="008D4062"/>
    <w:rsid w:val="00A4171B"/>
    <w:rsid w:val="00B235C8"/>
    <w:rsid w:val="00DD72E0"/>
    <w:rsid w:val="00E902D1"/>
    <w:rsid w:val="00EF6965"/>
    <w:rsid w:val="00FC4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C5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7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71A1"/>
    <w:pPr>
      <w:spacing w:after="0" w:line="240" w:lineRule="auto"/>
    </w:pPr>
  </w:style>
  <w:style w:type="table" w:styleId="TableGrid">
    <w:name w:val="Table Grid"/>
    <w:basedOn w:val="TableNormal"/>
    <w:uiPriority w:val="59"/>
    <w:rsid w:val="005B7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7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71A1"/>
    <w:pPr>
      <w:spacing w:after="0" w:line="240" w:lineRule="auto"/>
    </w:pPr>
  </w:style>
  <w:style w:type="table" w:styleId="TableGrid">
    <w:name w:val="Table Grid"/>
    <w:basedOn w:val="TableNormal"/>
    <w:uiPriority w:val="59"/>
    <w:rsid w:val="005B7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0" ma:contentTypeDescription="Create a new document." ma:contentTypeScope="" ma:versionID="47b50a2959ea27c530f28f87cc489c8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fcca90b7dc0b01867a5e00f6edc1d93c"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Tamayo, Raul</DisplayName>
        <AccountId>140</AccountId>
        <AccountType/>
      </UserInfo>
    </Owner>
    <Initiation_x0020__x0028_Start_x0029_ xmlns="e85de8a9-5cd3-41fe-a1a0-70bc17107555" xsi:nil="true"/>
    <IC_x0020_Category xmlns="E85DE8A9-5CD3-41FE-A1A0-70BC17107555">Rule Making</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2016</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documentManagement>
</p:properties>
</file>

<file path=customXml/itemProps1.xml><?xml version="1.0" encoding="utf-8"?>
<ds:datastoreItem xmlns:ds="http://schemas.openxmlformats.org/officeDocument/2006/customXml" ds:itemID="{9012E3D0-D824-4388-B032-9A10F7722F5F}">
  <ds:schemaRefs>
    <ds:schemaRef ds:uri="http://schemas.microsoft.com/sharepoint/v3/contenttype/forms"/>
  </ds:schemaRefs>
</ds:datastoreItem>
</file>

<file path=customXml/itemProps2.xml><?xml version="1.0" encoding="utf-8"?>
<ds:datastoreItem xmlns:ds="http://schemas.openxmlformats.org/officeDocument/2006/customXml" ds:itemID="{00353196-7193-4BD8-B1FC-9E381F56F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B9A0B0-4DF3-435F-AD31-A236582220EE}">
  <ds:schemaRefs>
    <ds:schemaRef ds:uri="http://purl.org/dc/terms/"/>
    <ds:schemaRef ds:uri="E85DE8A9-5CD3-41FE-A1A0-70BC17107555"/>
    <ds:schemaRef ds:uri="5dfc53cf-7c17-4489-98ab-5f87c96333b9"/>
    <ds:schemaRef ds:uri="http://www.w3.org/XML/1998/namespace"/>
    <ds:schemaRef ds:uri="http://schemas.microsoft.com/office/2006/documentManagement/types"/>
    <ds:schemaRef ds:uri="5DFC53CF-7C17-4489-98AB-5F87C96333B9"/>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e85de8a9-5cd3-41fe-a1a0-70bc1710755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 (AMBIT)</dc:creator>
  <cp:lastModifiedBy>SYSTEM</cp:lastModifiedBy>
  <cp:revision>2</cp:revision>
  <dcterms:created xsi:type="dcterms:W3CDTF">2017-11-15T15:25:00Z</dcterms:created>
  <dcterms:modified xsi:type="dcterms:W3CDTF">2017-11-15T15:25:00Z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