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4E0" w:rsidRDefault="0004727C" w:rsidP="0004727C">
      <w:pPr>
        <w:pStyle w:val="NoSpacing"/>
        <w:jc w:val="center"/>
        <w:rPr>
          <w:rFonts w:ascii="Arial" w:hAnsi="Arial" w:cs="Arial"/>
          <w:sz w:val="24"/>
        </w:rPr>
      </w:pPr>
      <w:bookmarkStart w:id="0" w:name="_GoBack"/>
      <w:bookmarkEnd w:id="0"/>
      <w:r>
        <w:rPr>
          <w:rFonts w:ascii="Arial" w:hAnsi="Arial" w:cs="Arial"/>
          <w:b/>
          <w:sz w:val="24"/>
        </w:rPr>
        <w:t>JUSTIFICATION FOR NONMATERIAL/NONSUBSTATNIVE CHANGE</w:t>
      </w:r>
    </w:p>
    <w:p w:rsidR="0004727C" w:rsidRDefault="0004727C" w:rsidP="0004727C">
      <w:pPr>
        <w:pStyle w:val="NoSpacing"/>
        <w:jc w:val="center"/>
        <w:rPr>
          <w:rFonts w:ascii="Arial" w:hAnsi="Arial" w:cs="Arial"/>
          <w:b/>
          <w:sz w:val="24"/>
        </w:rPr>
      </w:pPr>
      <w:r>
        <w:rPr>
          <w:rFonts w:ascii="Arial" w:hAnsi="Arial" w:cs="Arial"/>
          <w:b/>
          <w:sz w:val="24"/>
        </w:rPr>
        <w:t>United States Patent and Trademark Office</w:t>
      </w:r>
    </w:p>
    <w:p w:rsidR="0004727C" w:rsidRDefault="0004727C" w:rsidP="0004727C">
      <w:pPr>
        <w:pStyle w:val="NoSpacing"/>
        <w:jc w:val="center"/>
        <w:rPr>
          <w:rFonts w:ascii="Arial" w:hAnsi="Arial" w:cs="Arial"/>
          <w:b/>
          <w:sz w:val="24"/>
        </w:rPr>
      </w:pPr>
      <w:r>
        <w:rPr>
          <w:rFonts w:ascii="Arial" w:hAnsi="Arial" w:cs="Arial"/>
          <w:b/>
          <w:sz w:val="24"/>
        </w:rPr>
        <w:t>Patent Prosecution Highway (PPH) Program</w:t>
      </w:r>
    </w:p>
    <w:p w:rsidR="0004727C" w:rsidRDefault="0004727C" w:rsidP="0004727C">
      <w:pPr>
        <w:pStyle w:val="NoSpacing"/>
        <w:jc w:val="center"/>
        <w:rPr>
          <w:rFonts w:ascii="Arial" w:hAnsi="Arial" w:cs="Arial"/>
          <w:b/>
          <w:sz w:val="24"/>
        </w:rPr>
      </w:pPr>
      <w:r>
        <w:rPr>
          <w:rFonts w:ascii="Arial" w:hAnsi="Arial" w:cs="Arial"/>
          <w:b/>
          <w:sz w:val="24"/>
        </w:rPr>
        <w:t>OMB Control Number 0651-0058</w:t>
      </w:r>
    </w:p>
    <w:p w:rsidR="0004727C" w:rsidRDefault="0004727C" w:rsidP="0004727C">
      <w:pPr>
        <w:pStyle w:val="NoSpacing"/>
        <w:jc w:val="center"/>
        <w:rPr>
          <w:rFonts w:ascii="Arial" w:hAnsi="Arial" w:cs="Arial"/>
          <w:sz w:val="24"/>
        </w:rPr>
      </w:pPr>
      <w:r>
        <w:rPr>
          <w:rFonts w:ascii="Arial" w:hAnsi="Arial" w:cs="Arial"/>
          <w:b/>
          <w:sz w:val="24"/>
        </w:rPr>
        <w:t>(November 2017)</w:t>
      </w:r>
    </w:p>
    <w:p w:rsidR="0004727C" w:rsidRDefault="0004727C" w:rsidP="0004727C">
      <w:pPr>
        <w:pStyle w:val="NoSpacing"/>
        <w:rPr>
          <w:rFonts w:ascii="Arial" w:hAnsi="Arial" w:cs="Arial"/>
          <w:sz w:val="24"/>
        </w:rPr>
      </w:pPr>
    </w:p>
    <w:p w:rsidR="0004727C" w:rsidRDefault="0004727C" w:rsidP="0004727C">
      <w:pPr>
        <w:pStyle w:val="NoSpacing"/>
        <w:jc w:val="both"/>
        <w:rPr>
          <w:rFonts w:ascii="Arial" w:hAnsi="Arial" w:cs="Arial"/>
          <w:sz w:val="24"/>
        </w:rPr>
      </w:pPr>
      <w:r>
        <w:rPr>
          <w:rFonts w:ascii="Arial" w:hAnsi="Arial" w:cs="Arial"/>
          <w:sz w:val="24"/>
        </w:rPr>
        <w:t xml:space="preserve">The United States Patent and Trademark Office (USPTO) </w:t>
      </w:r>
      <w:r w:rsidR="00C04B7F">
        <w:rPr>
          <w:rFonts w:ascii="Arial" w:hAnsi="Arial" w:cs="Arial"/>
          <w:sz w:val="24"/>
        </w:rPr>
        <w:t xml:space="preserve">is submitting this request to update information collection 0651-0058 (Patent Prosecution Highway (PPH) Program). The USPTO is proposing to add a form to this collection for a new participant, the Eurasian Patent Office of the Eurasian Patent Organization (EAPO), in the PPH Program. </w:t>
      </w:r>
    </w:p>
    <w:p w:rsidR="00C04B7F" w:rsidRDefault="00C04B7F" w:rsidP="0004727C">
      <w:pPr>
        <w:pStyle w:val="NoSpacing"/>
        <w:jc w:val="both"/>
        <w:rPr>
          <w:rFonts w:ascii="Arial" w:hAnsi="Arial" w:cs="Arial"/>
          <w:sz w:val="24"/>
        </w:rPr>
      </w:pPr>
    </w:p>
    <w:p w:rsidR="00C04B7F" w:rsidRDefault="00C04B7F" w:rsidP="0004727C">
      <w:pPr>
        <w:pStyle w:val="NoSpacing"/>
        <w:jc w:val="both"/>
        <w:rPr>
          <w:rFonts w:ascii="Arial" w:hAnsi="Arial" w:cs="Arial"/>
          <w:sz w:val="24"/>
        </w:rPr>
      </w:pPr>
      <w:r>
        <w:rPr>
          <w:rFonts w:ascii="Arial" w:hAnsi="Arial" w:cs="Arial"/>
          <w:sz w:val="24"/>
          <w:u w:val="single"/>
        </w:rPr>
        <w:t>Background</w:t>
      </w:r>
    </w:p>
    <w:p w:rsidR="00C04B7F" w:rsidRDefault="00C04B7F" w:rsidP="0004727C">
      <w:pPr>
        <w:pStyle w:val="NoSpacing"/>
        <w:jc w:val="both"/>
        <w:rPr>
          <w:rFonts w:ascii="Arial" w:hAnsi="Arial" w:cs="Arial"/>
          <w:sz w:val="24"/>
        </w:rPr>
      </w:pPr>
    </w:p>
    <w:p w:rsidR="00C04B7F" w:rsidRDefault="00C04B7F" w:rsidP="0004727C">
      <w:pPr>
        <w:pStyle w:val="NoSpacing"/>
        <w:jc w:val="both"/>
        <w:rPr>
          <w:rFonts w:ascii="Arial" w:hAnsi="Arial" w:cs="Arial"/>
          <w:sz w:val="24"/>
        </w:rPr>
      </w:pPr>
      <w:r>
        <w:rPr>
          <w:rFonts w:ascii="Arial" w:hAnsi="Arial" w:cs="Arial"/>
          <w:sz w:val="24"/>
        </w:rPr>
        <w:t>The PPH program allows applicants whose claims are deter</w:t>
      </w:r>
      <w:r w:rsidR="006366E0">
        <w:rPr>
          <w:rFonts w:ascii="Arial" w:hAnsi="Arial" w:cs="Arial"/>
          <w:sz w:val="24"/>
        </w:rPr>
        <w:t xml:space="preserve">mined to be patentable in the office of first filing to have the corresponding application that is filed in the office of second filing be advanced out of turn for examination. At the same time, the PPH program allows the office of second filing to exploit the search and examination results of the office of first filing, which increases examination efficiency and improves patent quality. </w:t>
      </w:r>
    </w:p>
    <w:p w:rsidR="006366E0" w:rsidRDefault="006366E0" w:rsidP="0004727C">
      <w:pPr>
        <w:pStyle w:val="NoSpacing"/>
        <w:jc w:val="both"/>
        <w:rPr>
          <w:rFonts w:ascii="Arial" w:hAnsi="Arial" w:cs="Arial"/>
          <w:sz w:val="24"/>
        </w:rPr>
      </w:pPr>
    </w:p>
    <w:p w:rsidR="006366E0" w:rsidRDefault="006366E0" w:rsidP="0004727C">
      <w:pPr>
        <w:pStyle w:val="NoSpacing"/>
        <w:jc w:val="both"/>
        <w:rPr>
          <w:rFonts w:ascii="Arial" w:hAnsi="Arial" w:cs="Arial"/>
          <w:sz w:val="24"/>
        </w:rPr>
      </w:pPr>
      <w:r>
        <w:rPr>
          <w:rFonts w:ascii="Arial" w:hAnsi="Arial" w:cs="Arial"/>
          <w:sz w:val="24"/>
        </w:rPr>
        <w:t xml:space="preserve">PPH agreements streamline the patent system by allowing patent examiners to avail themselves of the work product from other participating patent offices. </w:t>
      </w:r>
      <w:r w:rsidR="00586CC1">
        <w:rPr>
          <w:rFonts w:ascii="Arial" w:hAnsi="Arial" w:cs="Arial"/>
          <w:sz w:val="24"/>
        </w:rPr>
        <w:t xml:space="preserve">Originally, the PPH program was limited to the utilization of search and examination results of national applications between cross filings under the Paris Convention. The newer PCT-PPH agreements have greatly expanded the potential of the PPH program by permitting participating patent offices to draw upon the positive results of the PCT work product from another participating office. The PCT-PPH pilot program uses international search reports, written opinions, and international preliminary examination reports developed within the framework of the PCT, thereby making the PPH program available to a larger number of applicants. </w:t>
      </w:r>
    </w:p>
    <w:p w:rsidR="00586CC1" w:rsidRDefault="00586CC1" w:rsidP="0004727C">
      <w:pPr>
        <w:pStyle w:val="NoSpacing"/>
        <w:jc w:val="both"/>
        <w:rPr>
          <w:rFonts w:ascii="Arial" w:hAnsi="Arial" w:cs="Arial"/>
          <w:sz w:val="24"/>
        </w:rPr>
      </w:pPr>
    </w:p>
    <w:p w:rsidR="00586CC1" w:rsidRDefault="00586CC1" w:rsidP="0004727C">
      <w:pPr>
        <w:pStyle w:val="NoSpacing"/>
        <w:jc w:val="both"/>
        <w:rPr>
          <w:rFonts w:ascii="Arial" w:hAnsi="Arial" w:cs="Arial"/>
          <w:sz w:val="24"/>
        </w:rPr>
      </w:pPr>
      <w:r>
        <w:rPr>
          <w:rFonts w:ascii="Arial" w:hAnsi="Arial" w:cs="Arial"/>
          <w:sz w:val="24"/>
        </w:rPr>
        <w:t xml:space="preserve">The forms in this collection allow participants to file a request in a corresponding U.S. application and petition to </w:t>
      </w:r>
      <w:r w:rsidR="00AF3804">
        <w:rPr>
          <w:rFonts w:ascii="Arial" w:hAnsi="Arial" w:cs="Arial"/>
          <w:sz w:val="24"/>
        </w:rPr>
        <w:t>mak</w:t>
      </w:r>
      <w:r w:rsidR="009835D5">
        <w:rPr>
          <w:rFonts w:ascii="Arial" w:hAnsi="Arial" w:cs="Arial"/>
          <w:sz w:val="24"/>
        </w:rPr>
        <w:t xml:space="preserve">e the U.S. application special </w:t>
      </w:r>
      <w:r w:rsidR="00AF3804">
        <w:rPr>
          <w:rFonts w:ascii="Arial" w:hAnsi="Arial" w:cs="Arial"/>
          <w:sz w:val="24"/>
        </w:rPr>
        <w:t xml:space="preserve">under the PPH or PCT-PPH program. </w:t>
      </w:r>
      <w:r w:rsidR="009835D5">
        <w:rPr>
          <w:rFonts w:ascii="Arial" w:hAnsi="Arial" w:cs="Arial"/>
          <w:sz w:val="24"/>
        </w:rPr>
        <w:t>The PPH forms collect similar data; however, there is a unique form for each participant.</w:t>
      </w:r>
    </w:p>
    <w:p w:rsidR="009835D5" w:rsidRDefault="009835D5" w:rsidP="0004727C">
      <w:pPr>
        <w:pStyle w:val="NoSpacing"/>
        <w:jc w:val="both"/>
        <w:rPr>
          <w:rFonts w:ascii="Arial" w:hAnsi="Arial" w:cs="Arial"/>
          <w:sz w:val="24"/>
        </w:rPr>
      </w:pPr>
    </w:p>
    <w:p w:rsidR="00D90C9E" w:rsidRDefault="00D90C9E" w:rsidP="0004727C">
      <w:pPr>
        <w:pStyle w:val="NoSpacing"/>
        <w:jc w:val="both"/>
        <w:rPr>
          <w:rFonts w:ascii="Arial" w:hAnsi="Arial" w:cs="Arial"/>
          <w:sz w:val="24"/>
        </w:rPr>
      </w:pPr>
      <w:r>
        <w:rPr>
          <w:rFonts w:ascii="Arial" w:hAnsi="Arial" w:cs="Arial"/>
          <w:sz w:val="24"/>
        </w:rPr>
        <w:t>Following discussions bet</w:t>
      </w:r>
      <w:r w:rsidRPr="00D90C9E">
        <w:rPr>
          <w:rFonts w:ascii="Arial" w:hAnsi="Arial" w:cs="Arial"/>
          <w:sz w:val="24"/>
          <w:szCs w:val="24"/>
        </w:rPr>
        <w:t>ween the USPTO and the Eurasian Patent Office of the Eurasian Patent Organization (EAPO), the USPTO will implement a PPH pilot program with the EAPO. The EAPO is not currently a Global/IP5 PPH participating office and is partnering with the USPTO in the PPH on a bilateral basis only. However, a PPH request submitted in the USPTO based on EAPO work product will be treated under the published Global/IP5 PPH standards as discussed in Section III below.</w:t>
      </w:r>
    </w:p>
    <w:p w:rsidR="009835D5" w:rsidRDefault="009835D5" w:rsidP="0004727C">
      <w:pPr>
        <w:pStyle w:val="NoSpacing"/>
        <w:jc w:val="both"/>
        <w:rPr>
          <w:rFonts w:ascii="Arial" w:hAnsi="Arial" w:cs="Arial"/>
          <w:sz w:val="24"/>
        </w:rPr>
      </w:pPr>
    </w:p>
    <w:p w:rsidR="009835D5" w:rsidRDefault="009835D5" w:rsidP="0004727C">
      <w:pPr>
        <w:pStyle w:val="NoSpacing"/>
        <w:jc w:val="both"/>
        <w:rPr>
          <w:rFonts w:ascii="Arial" w:hAnsi="Arial" w:cs="Arial"/>
          <w:sz w:val="24"/>
        </w:rPr>
      </w:pPr>
      <w:r>
        <w:rPr>
          <w:rFonts w:ascii="Arial" w:hAnsi="Arial" w:cs="Arial"/>
          <w:sz w:val="24"/>
          <w:u w:val="single"/>
        </w:rPr>
        <w:t>Summary of Changes</w:t>
      </w:r>
    </w:p>
    <w:p w:rsidR="009835D5" w:rsidRDefault="009835D5" w:rsidP="0004727C">
      <w:pPr>
        <w:pStyle w:val="NoSpacing"/>
        <w:jc w:val="both"/>
        <w:rPr>
          <w:rFonts w:ascii="Arial" w:hAnsi="Arial" w:cs="Arial"/>
          <w:sz w:val="24"/>
        </w:rPr>
      </w:pPr>
    </w:p>
    <w:p w:rsidR="009835D5" w:rsidRDefault="00D90C9E" w:rsidP="0004727C">
      <w:pPr>
        <w:pStyle w:val="NoSpacing"/>
        <w:jc w:val="both"/>
        <w:rPr>
          <w:rFonts w:ascii="Arial" w:hAnsi="Arial" w:cs="Arial"/>
          <w:sz w:val="24"/>
        </w:rPr>
      </w:pPr>
      <w:r>
        <w:rPr>
          <w:rFonts w:ascii="Arial" w:hAnsi="Arial" w:cs="Arial"/>
          <w:sz w:val="24"/>
        </w:rPr>
        <w:lastRenderedPageBreak/>
        <w:t xml:space="preserve">The USPTO is proposing to add one form to this collection for a new participant in the PPH program: </w:t>
      </w:r>
      <w:r w:rsidR="005914E0">
        <w:rPr>
          <w:rFonts w:ascii="Arial" w:hAnsi="Arial" w:cs="Arial"/>
          <w:sz w:val="24"/>
        </w:rPr>
        <w:t xml:space="preserve">Request for Participation in the PPH Pilot Program between the EAPO and the USPTO (PTO/SB/20EA). </w:t>
      </w:r>
    </w:p>
    <w:p w:rsidR="005914E0" w:rsidRDefault="005914E0" w:rsidP="0004727C">
      <w:pPr>
        <w:pStyle w:val="NoSpacing"/>
        <w:jc w:val="both"/>
        <w:rPr>
          <w:rFonts w:ascii="Arial" w:hAnsi="Arial" w:cs="Arial"/>
          <w:sz w:val="24"/>
        </w:rPr>
      </w:pPr>
    </w:p>
    <w:p w:rsidR="005914E0" w:rsidRDefault="005914E0" w:rsidP="0004727C">
      <w:pPr>
        <w:pStyle w:val="NoSpacing"/>
        <w:jc w:val="both"/>
        <w:rPr>
          <w:rFonts w:ascii="Arial" w:hAnsi="Arial" w:cs="Arial"/>
          <w:sz w:val="24"/>
        </w:rPr>
      </w:pPr>
      <w:r>
        <w:rPr>
          <w:rFonts w:ascii="Arial" w:hAnsi="Arial" w:cs="Arial"/>
          <w:sz w:val="24"/>
        </w:rPr>
        <w:t xml:space="preserve">The form will be available on the PPH area of the USPTO Web site: </w:t>
      </w:r>
    </w:p>
    <w:p w:rsidR="005914E0" w:rsidRDefault="005914E0" w:rsidP="0004727C">
      <w:pPr>
        <w:pStyle w:val="NoSpacing"/>
        <w:jc w:val="both"/>
        <w:rPr>
          <w:rFonts w:ascii="Arial" w:hAnsi="Arial" w:cs="Arial"/>
          <w:sz w:val="24"/>
        </w:rPr>
      </w:pPr>
    </w:p>
    <w:p w:rsidR="005914E0" w:rsidRDefault="005914E0" w:rsidP="0004727C">
      <w:pPr>
        <w:pStyle w:val="NoSpacing"/>
        <w:jc w:val="both"/>
        <w:rPr>
          <w:rFonts w:ascii="Arial" w:hAnsi="Arial" w:cs="Arial"/>
          <w:sz w:val="24"/>
        </w:rPr>
      </w:pPr>
      <w:r>
        <w:rPr>
          <w:rFonts w:ascii="Arial" w:hAnsi="Arial" w:cs="Arial"/>
          <w:sz w:val="24"/>
          <w:u w:val="single"/>
        </w:rPr>
        <w:t>Changes in Burden</w:t>
      </w:r>
    </w:p>
    <w:p w:rsidR="005914E0" w:rsidRDefault="005914E0" w:rsidP="0004727C">
      <w:pPr>
        <w:pStyle w:val="NoSpacing"/>
        <w:jc w:val="both"/>
        <w:rPr>
          <w:rFonts w:ascii="Arial" w:hAnsi="Arial" w:cs="Arial"/>
          <w:sz w:val="24"/>
        </w:rPr>
      </w:pPr>
    </w:p>
    <w:p w:rsidR="005914E0" w:rsidRDefault="005914E0" w:rsidP="0004727C">
      <w:pPr>
        <w:pStyle w:val="NoSpacing"/>
        <w:jc w:val="both"/>
        <w:rPr>
          <w:rFonts w:ascii="Arial" w:hAnsi="Arial" w:cs="Arial"/>
          <w:sz w:val="24"/>
        </w:rPr>
      </w:pPr>
      <w:r>
        <w:rPr>
          <w:rFonts w:ascii="Arial" w:hAnsi="Arial" w:cs="Arial"/>
          <w:sz w:val="24"/>
        </w:rPr>
        <w:t>The addition of the form will result in the following burden changes for this information collection</w:t>
      </w:r>
    </w:p>
    <w:p w:rsidR="005914E0" w:rsidRDefault="005914E0" w:rsidP="0004727C">
      <w:pPr>
        <w:pStyle w:val="NoSpacing"/>
        <w:jc w:val="both"/>
        <w:rPr>
          <w:rFonts w:ascii="Arial" w:hAnsi="Arial" w:cs="Arial"/>
          <w:sz w:val="24"/>
        </w:rPr>
      </w:pPr>
    </w:p>
    <w:tbl>
      <w:tblPr>
        <w:tblStyle w:val="TableGrid"/>
        <w:tblW w:w="0" w:type="auto"/>
        <w:tblLook w:val="04A0" w:firstRow="1" w:lastRow="0" w:firstColumn="1" w:lastColumn="0" w:noHBand="0" w:noVBand="1"/>
      </w:tblPr>
      <w:tblGrid>
        <w:gridCol w:w="2988"/>
        <w:gridCol w:w="2250"/>
        <w:gridCol w:w="2340"/>
        <w:gridCol w:w="1998"/>
      </w:tblGrid>
      <w:tr w:rsidR="005914E0" w:rsidRPr="005914E0" w:rsidTr="005914E0">
        <w:tc>
          <w:tcPr>
            <w:tcW w:w="2988" w:type="dxa"/>
            <w:vAlign w:val="center"/>
          </w:tcPr>
          <w:p w:rsidR="005914E0" w:rsidRPr="005914E0" w:rsidRDefault="005914E0" w:rsidP="005914E0">
            <w:pPr>
              <w:pStyle w:val="NoSpacing"/>
              <w:jc w:val="center"/>
              <w:rPr>
                <w:rFonts w:ascii="Arial" w:hAnsi="Arial" w:cs="Arial"/>
                <w:b/>
                <w:sz w:val="20"/>
                <w:szCs w:val="20"/>
              </w:rPr>
            </w:pPr>
            <w:r w:rsidRPr="005914E0">
              <w:rPr>
                <w:rFonts w:ascii="Arial" w:hAnsi="Arial" w:cs="Arial"/>
                <w:b/>
                <w:sz w:val="20"/>
                <w:szCs w:val="20"/>
              </w:rPr>
              <w:t>Burden Type</w:t>
            </w:r>
          </w:p>
        </w:tc>
        <w:tc>
          <w:tcPr>
            <w:tcW w:w="2250" w:type="dxa"/>
            <w:vAlign w:val="center"/>
          </w:tcPr>
          <w:p w:rsidR="005914E0" w:rsidRPr="005914E0" w:rsidRDefault="005914E0" w:rsidP="005914E0">
            <w:pPr>
              <w:pStyle w:val="NoSpacing"/>
              <w:jc w:val="center"/>
              <w:rPr>
                <w:rFonts w:ascii="Arial" w:hAnsi="Arial" w:cs="Arial"/>
                <w:b/>
                <w:sz w:val="20"/>
                <w:szCs w:val="20"/>
              </w:rPr>
            </w:pPr>
            <w:r w:rsidRPr="005914E0">
              <w:rPr>
                <w:rFonts w:ascii="Arial" w:hAnsi="Arial" w:cs="Arial"/>
                <w:b/>
                <w:sz w:val="20"/>
                <w:szCs w:val="20"/>
              </w:rPr>
              <w:t xml:space="preserve">Currently </w:t>
            </w:r>
            <w:r>
              <w:rPr>
                <w:rFonts w:ascii="Arial" w:hAnsi="Arial" w:cs="Arial"/>
                <w:b/>
                <w:sz w:val="20"/>
                <w:szCs w:val="20"/>
              </w:rPr>
              <w:t>a</w:t>
            </w:r>
            <w:r w:rsidRPr="005914E0">
              <w:rPr>
                <w:rFonts w:ascii="Arial" w:hAnsi="Arial" w:cs="Arial"/>
                <w:b/>
                <w:sz w:val="20"/>
                <w:szCs w:val="20"/>
              </w:rPr>
              <w:t>pproved</w:t>
            </w:r>
          </w:p>
        </w:tc>
        <w:tc>
          <w:tcPr>
            <w:tcW w:w="2340" w:type="dxa"/>
            <w:vAlign w:val="center"/>
          </w:tcPr>
          <w:p w:rsidR="005914E0" w:rsidRPr="005914E0" w:rsidRDefault="005914E0" w:rsidP="005914E0">
            <w:pPr>
              <w:pStyle w:val="NoSpacing"/>
              <w:jc w:val="center"/>
              <w:rPr>
                <w:rFonts w:ascii="Arial" w:hAnsi="Arial" w:cs="Arial"/>
                <w:b/>
                <w:sz w:val="20"/>
                <w:szCs w:val="20"/>
              </w:rPr>
            </w:pPr>
            <w:r>
              <w:rPr>
                <w:rFonts w:ascii="Arial" w:hAnsi="Arial" w:cs="Arial"/>
                <w:b/>
                <w:sz w:val="20"/>
                <w:szCs w:val="20"/>
              </w:rPr>
              <w:t>Proposed change</w:t>
            </w:r>
          </w:p>
        </w:tc>
        <w:tc>
          <w:tcPr>
            <w:tcW w:w="1998" w:type="dxa"/>
            <w:vAlign w:val="center"/>
          </w:tcPr>
          <w:p w:rsidR="005914E0" w:rsidRPr="005914E0" w:rsidRDefault="005914E0" w:rsidP="005914E0">
            <w:pPr>
              <w:pStyle w:val="NoSpacing"/>
              <w:jc w:val="center"/>
              <w:rPr>
                <w:rFonts w:ascii="Arial" w:hAnsi="Arial" w:cs="Arial"/>
                <w:b/>
                <w:sz w:val="20"/>
                <w:szCs w:val="20"/>
              </w:rPr>
            </w:pPr>
            <w:r>
              <w:rPr>
                <w:rFonts w:ascii="Arial" w:hAnsi="Arial" w:cs="Arial"/>
                <w:b/>
                <w:sz w:val="20"/>
                <w:szCs w:val="20"/>
              </w:rPr>
              <w:t>New estimates</w:t>
            </w:r>
          </w:p>
        </w:tc>
      </w:tr>
      <w:tr w:rsidR="005914E0" w:rsidRPr="005914E0" w:rsidTr="005914E0">
        <w:tc>
          <w:tcPr>
            <w:tcW w:w="2988" w:type="dxa"/>
            <w:vAlign w:val="center"/>
          </w:tcPr>
          <w:p w:rsidR="005914E0" w:rsidRPr="005914E0" w:rsidRDefault="005914E0" w:rsidP="005914E0">
            <w:pPr>
              <w:pStyle w:val="NoSpacing"/>
              <w:rPr>
                <w:rFonts w:ascii="Arial" w:hAnsi="Arial" w:cs="Arial"/>
                <w:sz w:val="20"/>
                <w:szCs w:val="20"/>
              </w:rPr>
            </w:pPr>
            <w:r w:rsidRPr="005914E0">
              <w:rPr>
                <w:rFonts w:ascii="Arial" w:hAnsi="Arial" w:cs="Arial"/>
                <w:sz w:val="20"/>
                <w:szCs w:val="20"/>
              </w:rPr>
              <w:t>Responses</w:t>
            </w:r>
          </w:p>
        </w:tc>
        <w:tc>
          <w:tcPr>
            <w:tcW w:w="2250" w:type="dxa"/>
            <w:vAlign w:val="center"/>
          </w:tcPr>
          <w:p w:rsidR="005914E0" w:rsidRPr="005914E0" w:rsidRDefault="004C6809" w:rsidP="00F92C53">
            <w:pPr>
              <w:pStyle w:val="NoSpacing"/>
              <w:jc w:val="right"/>
              <w:rPr>
                <w:rFonts w:ascii="Arial" w:hAnsi="Arial" w:cs="Arial"/>
                <w:sz w:val="20"/>
                <w:szCs w:val="20"/>
              </w:rPr>
            </w:pPr>
            <w:r>
              <w:rPr>
                <w:rFonts w:ascii="Arial" w:hAnsi="Arial" w:cs="Arial"/>
                <w:sz w:val="20"/>
                <w:szCs w:val="20"/>
              </w:rPr>
              <w:t>8,</w:t>
            </w:r>
            <w:r w:rsidR="00F92C53">
              <w:rPr>
                <w:rFonts w:ascii="Arial" w:hAnsi="Arial" w:cs="Arial"/>
                <w:sz w:val="20"/>
                <w:szCs w:val="20"/>
              </w:rPr>
              <w:t>230</w:t>
            </w:r>
          </w:p>
        </w:tc>
        <w:tc>
          <w:tcPr>
            <w:tcW w:w="2340" w:type="dxa"/>
            <w:vAlign w:val="center"/>
          </w:tcPr>
          <w:p w:rsidR="005914E0" w:rsidRPr="005914E0" w:rsidRDefault="005914E0" w:rsidP="005914E0">
            <w:pPr>
              <w:pStyle w:val="NoSpacing"/>
              <w:jc w:val="right"/>
              <w:rPr>
                <w:rFonts w:ascii="Arial" w:hAnsi="Arial" w:cs="Arial"/>
                <w:sz w:val="20"/>
                <w:szCs w:val="20"/>
              </w:rPr>
            </w:pPr>
            <w:r>
              <w:rPr>
                <w:rFonts w:ascii="Arial" w:hAnsi="Arial" w:cs="Arial"/>
                <w:sz w:val="20"/>
                <w:szCs w:val="20"/>
              </w:rPr>
              <w:t>10</w:t>
            </w:r>
          </w:p>
        </w:tc>
        <w:tc>
          <w:tcPr>
            <w:tcW w:w="1998" w:type="dxa"/>
            <w:vAlign w:val="center"/>
          </w:tcPr>
          <w:p w:rsidR="005914E0" w:rsidRPr="005914E0" w:rsidRDefault="004C6809" w:rsidP="00F92C53">
            <w:pPr>
              <w:pStyle w:val="NoSpacing"/>
              <w:jc w:val="right"/>
              <w:rPr>
                <w:rFonts w:ascii="Arial" w:hAnsi="Arial" w:cs="Arial"/>
                <w:sz w:val="20"/>
                <w:szCs w:val="20"/>
              </w:rPr>
            </w:pPr>
            <w:r>
              <w:rPr>
                <w:rFonts w:ascii="Arial" w:hAnsi="Arial" w:cs="Arial"/>
                <w:sz w:val="20"/>
                <w:szCs w:val="20"/>
              </w:rPr>
              <w:t>8,2</w:t>
            </w:r>
            <w:r w:rsidR="00F92C53">
              <w:rPr>
                <w:rFonts w:ascii="Arial" w:hAnsi="Arial" w:cs="Arial"/>
                <w:sz w:val="20"/>
                <w:szCs w:val="20"/>
              </w:rPr>
              <w:t>4</w:t>
            </w:r>
            <w:r>
              <w:rPr>
                <w:rFonts w:ascii="Arial" w:hAnsi="Arial" w:cs="Arial"/>
                <w:sz w:val="20"/>
                <w:szCs w:val="20"/>
              </w:rPr>
              <w:t>0</w:t>
            </w:r>
          </w:p>
        </w:tc>
      </w:tr>
      <w:tr w:rsidR="005914E0" w:rsidRPr="005914E0" w:rsidTr="005914E0">
        <w:tc>
          <w:tcPr>
            <w:tcW w:w="2988" w:type="dxa"/>
            <w:vAlign w:val="center"/>
          </w:tcPr>
          <w:p w:rsidR="005914E0" w:rsidRPr="005914E0" w:rsidRDefault="005914E0" w:rsidP="005914E0">
            <w:pPr>
              <w:pStyle w:val="NoSpacing"/>
              <w:rPr>
                <w:rFonts w:ascii="Arial" w:hAnsi="Arial" w:cs="Arial"/>
                <w:sz w:val="20"/>
                <w:szCs w:val="20"/>
              </w:rPr>
            </w:pPr>
            <w:r w:rsidRPr="005914E0">
              <w:rPr>
                <w:rFonts w:ascii="Arial" w:hAnsi="Arial" w:cs="Arial"/>
                <w:sz w:val="20"/>
                <w:szCs w:val="20"/>
              </w:rPr>
              <w:t>Hours</w:t>
            </w:r>
          </w:p>
        </w:tc>
        <w:tc>
          <w:tcPr>
            <w:tcW w:w="2250" w:type="dxa"/>
            <w:vAlign w:val="center"/>
          </w:tcPr>
          <w:p w:rsidR="005914E0" w:rsidRPr="005914E0" w:rsidRDefault="004C6809" w:rsidP="00F92C53">
            <w:pPr>
              <w:pStyle w:val="NoSpacing"/>
              <w:jc w:val="right"/>
              <w:rPr>
                <w:rFonts w:ascii="Arial" w:hAnsi="Arial" w:cs="Arial"/>
                <w:sz w:val="20"/>
                <w:szCs w:val="20"/>
              </w:rPr>
            </w:pPr>
            <w:r>
              <w:rPr>
                <w:rFonts w:ascii="Arial" w:hAnsi="Arial" w:cs="Arial"/>
                <w:sz w:val="20"/>
                <w:szCs w:val="20"/>
              </w:rPr>
              <w:t>16,4</w:t>
            </w:r>
            <w:r w:rsidR="00F92C53">
              <w:rPr>
                <w:rFonts w:ascii="Arial" w:hAnsi="Arial" w:cs="Arial"/>
                <w:sz w:val="20"/>
                <w:szCs w:val="20"/>
              </w:rPr>
              <w:t>6</w:t>
            </w:r>
            <w:r>
              <w:rPr>
                <w:rFonts w:ascii="Arial" w:hAnsi="Arial" w:cs="Arial"/>
                <w:sz w:val="20"/>
                <w:szCs w:val="20"/>
              </w:rPr>
              <w:t>0</w:t>
            </w:r>
          </w:p>
        </w:tc>
        <w:tc>
          <w:tcPr>
            <w:tcW w:w="2340" w:type="dxa"/>
            <w:vAlign w:val="center"/>
          </w:tcPr>
          <w:p w:rsidR="005914E0" w:rsidRPr="005914E0" w:rsidRDefault="005914E0" w:rsidP="005914E0">
            <w:pPr>
              <w:pStyle w:val="NoSpacing"/>
              <w:jc w:val="right"/>
              <w:rPr>
                <w:rFonts w:ascii="Arial" w:hAnsi="Arial" w:cs="Arial"/>
                <w:sz w:val="20"/>
                <w:szCs w:val="20"/>
              </w:rPr>
            </w:pPr>
            <w:r>
              <w:rPr>
                <w:rFonts w:ascii="Arial" w:hAnsi="Arial" w:cs="Arial"/>
                <w:sz w:val="20"/>
                <w:szCs w:val="20"/>
              </w:rPr>
              <w:t>20</w:t>
            </w:r>
          </w:p>
        </w:tc>
        <w:tc>
          <w:tcPr>
            <w:tcW w:w="1998" w:type="dxa"/>
            <w:vAlign w:val="center"/>
          </w:tcPr>
          <w:p w:rsidR="005914E0" w:rsidRPr="005914E0" w:rsidRDefault="004C6809" w:rsidP="00F92C53">
            <w:pPr>
              <w:pStyle w:val="NoSpacing"/>
              <w:jc w:val="right"/>
              <w:rPr>
                <w:rFonts w:ascii="Arial" w:hAnsi="Arial" w:cs="Arial"/>
                <w:sz w:val="20"/>
                <w:szCs w:val="20"/>
              </w:rPr>
            </w:pPr>
            <w:r>
              <w:rPr>
                <w:rFonts w:ascii="Arial" w:hAnsi="Arial" w:cs="Arial"/>
                <w:sz w:val="20"/>
                <w:szCs w:val="20"/>
              </w:rPr>
              <w:t>16,4</w:t>
            </w:r>
            <w:r w:rsidR="00F92C53">
              <w:rPr>
                <w:rFonts w:ascii="Arial" w:hAnsi="Arial" w:cs="Arial"/>
                <w:sz w:val="20"/>
                <w:szCs w:val="20"/>
              </w:rPr>
              <w:t>8</w:t>
            </w:r>
            <w:r>
              <w:rPr>
                <w:rFonts w:ascii="Arial" w:hAnsi="Arial" w:cs="Arial"/>
                <w:sz w:val="20"/>
                <w:szCs w:val="20"/>
              </w:rPr>
              <w:t>0</w:t>
            </w:r>
          </w:p>
        </w:tc>
      </w:tr>
      <w:tr w:rsidR="005914E0" w:rsidRPr="005914E0" w:rsidTr="005914E0">
        <w:tc>
          <w:tcPr>
            <w:tcW w:w="2988" w:type="dxa"/>
            <w:vAlign w:val="center"/>
          </w:tcPr>
          <w:p w:rsidR="005914E0" w:rsidRPr="005914E0" w:rsidRDefault="005914E0" w:rsidP="005914E0">
            <w:pPr>
              <w:pStyle w:val="NoSpacing"/>
              <w:rPr>
                <w:rFonts w:ascii="Arial" w:hAnsi="Arial" w:cs="Arial"/>
                <w:sz w:val="20"/>
                <w:szCs w:val="20"/>
              </w:rPr>
            </w:pPr>
            <w:r w:rsidRPr="005914E0">
              <w:rPr>
                <w:rFonts w:ascii="Arial" w:hAnsi="Arial" w:cs="Arial"/>
                <w:sz w:val="20"/>
                <w:szCs w:val="20"/>
              </w:rPr>
              <w:t xml:space="preserve">Annual (non-hour Costs) </w:t>
            </w:r>
          </w:p>
        </w:tc>
        <w:tc>
          <w:tcPr>
            <w:tcW w:w="2250" w:type="dxa"/>
            <w:vAlign w:val="center"/>
          </w:tcPr>
          <w:p w:rsidR="005914E0" w:rsidRPr="005914E0" w:rsidRDefault="004C6809" w:rsidP="005914E0">
            <w:pPr>
              <w:pStyle w:val="NoSpacing"/>
              <w:jc w:val="right"/>
              <w:rPr>
                <w:rFonts w:ascii="Arial" w:hAnsi="Arial" w:cs="Arial"/>
                <w:sz w:val="20"/>
                <w:szCs w:val="20"/>
              </w:rPr>
            </w:pPr>
            <w:r>
              <w:rPr>
                <w:rFonts w:ascii="Arial" w:hAnsi="Arial" w:cs="Arial"/>
                <w:sz w:val="20"/>
                <w:szCs w:val="20"/>
              </w:rPr>
              <w:t>$0</w:t>
            </w:r>
          </w:p>
        </w:tc>
        <w:tc>
          <w:tcPr>
            <w:tcW w:w="2340" w:type="dxa"/>
            <w:vAlign w:val="center"/>
          </w:tcPr>
          <w:p w:rsidR="005914E0" w:rsidRPr="005914E0" w:rsidRDefault="004C6809" w:rsidP="005914E0">
            <w:pPr>
              <w:pStyle w:val="NoSpacing"/>
              <w:jc w:val="right"/>
              <w:rPr>
                <w:rFonts w:ascii="Arial" w:hAnsi="Arial" w:cs="Arial"/>
                <w:sz w:val="20"/>
                <w:szCs w:val="20"/>
              </w:rPr>
            </w:pPr>
            <w:r>
              <w:rPr>
                <w:rFonts w:ascii="Arial" w:hAnsi="Arial" w:cs="Arial"/>
                <w:sz w:val="20"/>
                <w:szCs w:val="20"/>
              </w:rPr>
              <w:t>$0</w:t>
            </w:r>
          </w:p>
        </w:tc>
        <w:tc>
          <w:tcPr>
            <w:tcW w:w="1998" w:type="dxa"/>
            <w:vAlign w:val="center"/>
          </w:tcPr>
          <w:p w:rsidR="005914E0" w:rsidRPr="005914E0" w:rsidRDefault="004C6809" w:rsidP="005914E0">
            <w:pPr>
              <w:pStyle w:val="NoSpacing"/>
              <w:jc w:val="right"/>
              <w:rPr>
                <w:rFonts w:ascii="Arial" w:hAnsi="Arial" w:cs="Arial"/>
                <w:sz w:val="20"/>
                <w:szCs w:val="20"/>
              </w:rPr>
            </w:pPr>
            <w:r>
              <w:rPr>
                <w:rFonts w:ascii="Arial" w:hAnsi="Arial" w:cs="Arial"/>
                <w:sz w:val="20"/>
                <w:szCs w:val="20"/>
              </w:rPr>
              <w:t>$0</w:t>
            </w:r>
          </w:p>
        </w:tc>
      </w:tr>
    </w:tbl>
    <w:p w:rsidR="005914E0" w:rsidRDefault="005914E0" w:rsidP="0004727C">
      <w:pPr>
        <w:pStyle w:val="NoSpacing"/>
        <w:jc w:val="both"/>
        <w:rPr>
          <w:rFonts w:ascii="Arial" w:hAnsi="Arial" w:cs="Arial"/>
          <w:sz w:val="24"/>
        </w:rPr>
      </w:pPr>
    </w:p>
    <w:p w:rsidR="004C6809" w:rsidRDefault="004C6809" w:rsidP="0004727C">
      <w:pPr>
        <w:pStyle w:val="NoSpacing"/>
        <w:jc w:val="both"/>
        <w:rPr>
          <w:rFonts w:ascii="Arial" w:hAnsi="Arial" w:cs="Arial"/>
          <w:sz w:val="24"/>
        </w:rPr>
      </w:pPr>
      <w:r>
        <w:rPr>
          <w:rFonts w:ascii="Arial" w:hAnsi="Arial" w:cs="Arial"/>
          <w:sz w:val="24"/>
        </w:rPr>
        <w:t xml:space="preserve">The USPTO estimates that it will receive 10 responses per year for the PPH Eurasia program and that it will take the public approximately 2 hours to prepare and submit the information for each request, for a total of 20 burden hours each year. </w:t>
      </w:r>
      <w:r w:rsidRPr="004C6809">
        <w:rPr>
          <w:rFonts w:ascii="Arial" w:hAnsi="Arial" w:cs="Arial"/>
          <w:b/>
          <w:sz w:val="24"/>
        </w:rPr>
        <w:t xml:space="preserve">Therefore, this collection takes an increase of 10 responses and 20 burden hours as a program change. </w:t>
      </w:r>
    </w:p>
    <w:p w:rsidR="004C6809" w:rsidRDefault="004C6809" w:rsidP="0004727C">
      <w:pPr>
        <w:pStyle w:val="NoSpacing"/>
        <w:jc w:val="both"/>
        <w:rPr>
          <w:rFonts w:ascii="Arial" w:hAnsi="Arial" w:cs="Arial"/>
          <w:sz w:val="24"/>
        </w:rPr>
      </w:pPr>
    </w:p>
    <w:p w:rsidR="00BE16BE" w:rsidRPr="00BE16BE" w:rsidRDefault="004C6809" w:rsidP="00BE16BE">
      <w:pPr>
        <w:pStyle w:val="NoSpacing"/>
        <w:jc w:val="both"/>
        <w:rPr>
          <w:rFonts w:ascii="Arial" w:hAnsi="Arial" w:cs="Arial"/>
          <w:sz w:val="24"/>
          <w:szCs w:val="24"/>
        </w:rPr>
      </w:pPr>
      <w:r w:rsidRPr="00BE16BE">
        <w:rPr>
          <w:rFonts w:ascii="Arial" w:hAnsi="Arial" w:cs="Arial"/>
          <w:sz w:val="24"/>
          <w:szCs w:val="24"/>
        </w:rPr>
        <w:t xml:space="preserve">The USPTO estimates that the respondents to </w:t>
      </w:r>
      <w:r w:rsidR="00BE16BE" w:rsidRPr="00BE16BE">
        <w:rPr>
          <w:rFonts w:ascii="Arial" w:hAnsi="Arial" w:cs="Arial"/>
          <w:sz w:val="24"/>
          <w:szCs w:val="24"/>
        </w:rPr>
        <w:t xml:space="preserve">this collection will be attorneys.  The professional rate for attorneys in private firms is $389 per hour, as published in a report by the 2013 Committee on Economics of Legal Practice of the American Intellectual Property Law Association. </w:t>
      </w:r>
      <w:r w:rsidR="00BE16BE" w:rsidRPr="00BE16BE">
        <w:rPr>
          <w:rFonts w:ascii="Arial" w:hAnsi="Arial" w:cs="Arial"/>
          <w:b/>
          <w:sz w:val="24"/>
          <w:szCs w:val="24"/>
        </w:rPr>
        <w:t>Therefore, respondents will take a total of 20 burden hours to complete at the $389 rate, which will result in $7,780 in respondent cost for this additional form.</w:t>
      </w:r>
    </w:p>
    <w:p w:rsidR="00BE16BE" w:rsidRPr="00BE16BE" w:rsidRDefault="00BE16BE" w:rsidP="00BE16BE">
      <w:pPr>
        <w:pStyle w:val="NoSpacing"/>
        <w:jc w:val="both"/>
        <w:rPr>
          <w:rFonts w:ascii="Arial" w:hAnsi="Arial" w:cs="Arial"/>
          <w:color w:val="0070C0"/>
          <w:sz w:val="24"/>
          <w:szCs w:val="24"/>
        </w:rPr>
      </w:pPr>
    </w:p>
    <w:p w:rsidR="00BE16BE" w:rsidRPr="00BE16BE" w:rsidRDefault="00BE16BE" w:rsidP="00BE16BE">
      <w:pPr>
        <w:pStyle w:val="NoSpacing"/>
        <w:jc w:val="both"/>
        <w:rPr>
          <w:rFonts w:ascii="Arial" w:hAnsi="Arial" w:cs="Arial"/>
          <w:sz w:val="24"/>
          <w:szCs w:val="24"/>
        </w:rPr>
      </w:pPr>
      <w:r w:rsidRPr="00BE16BE">
        <w:rPr>
          <w:rFonts w:ascii="Arial" w:hAnsi="Arial" w:cs="Arial"/>
          <w:sz w:val="24"/>
          <w:szCs w:val="24"/>
        </w:rPr>
        <w:t>This collection does not include any annual (non-hour) costs, and there are no annual (non-hour) costs associated with the proposed changes to this collection.</w:t>
      </w:r>
      <w:r w:rsidRPr="00BE16BE">
        <w:rPr>
          <w:rFonts w:ascii="Arial" w:hAnsi="Arial" w:cs="Arial"/>
          <w:b/>
          <w:sz w:val="24"/>
          <w:szCs w:val="24"/>
        </w:rPr>
        <w:t xml:space="preserve"> </w:t>
      </w:r>
    </w:p>
    <w:p w:rsidR="004C6809" w:rsidRPr="004C6809" w:rsidRDefault="004C6809" w:rsidP="0004727C">
      <w:pPr>
        <w:pStyle w:val="NoSpacing"/>
        <w:jc w:val="both"/>
        <w:rPr>
          <w:rFonts w:ascii="Arial" w:hAnsi="Arial" w:cs="Arial"/>
          <w:sz w:val="24"/>
        </w:rPr>
      </w:pPr>
    </w:p>
    <w:sectPr w:rsidR="004C6809" w:rsidRPr="004C6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7C"/>
    <w:rsid w:val="0004727C"/>
    <w:rsid w:val="001C04E0"/>
    <w:rsid w:val="004C6809"/>
    <w:rsid w:val="00586CC1"/>
    <w:rsid w:val="005914E0"/>
    <w:rsid w:val="006366E0"/>
    <w:rsid w:val="009835D5"/>
    <w:rsid w:val="00AF3804"/>
    <w:rsid w:val="00BE16BE"/>
    <w:rsid w:val="00C04B7F"/>
    <w:rsid w:val="00C31DAE"/>
    <w:rsid w:val="00D90C9E"/>
    <w:rsid w:val="00F9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27C"/>
    <w:pPr>
      <w:spacing w:after="0" w:line="240" w:lineRule="auto"/>
    </w:pPr>
  </w:style>
  <w:style w:type="table" w:styleId="TableGrid">
    <w:name w:val="Table Grid"/>
    <w:basedOn w:val="TableNormal"/>
    <w:uiPriority w:val="59"/>
    <w:rsid w:val="0059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27C"/>
    <w:pPr>
      <w:spacing w:after="0" w:line="240" w:lineRule="auto"/>
    </w:pPr>
  </w:style>
  <w:style w:type="table" w:styleId="TableGrid">
    <w:name w:val="Table Grid"/>
    <w:basedOn w:val="TableNormal"/>
    <w:uiPriority w:val="59"/>
    <w:rsid w:val="0059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2017-11-27T20:43:00Z</dcterms:created>
  <dcterms:modified xsi:type="dcterms:W3CDTF">2017-11-27T20:43:00Z</dcterms:modified>
</cp:coreProperties>
</file>