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BBEB2" w14:textId="77777777" w:rsidR="00BA1A0C" w:rsidRPr="001F3A55" w:rsidRDefault="009B3794" w:rsidP="007E18E8">
      <w:pPr>
        <w:tabs>
          <w:tab w:val="center" w:pos="4680"/>
        </w:tabs>
        <w:jc w:val="center"/>
        <w:rPr>
          <w:b/>
          <w:bCs/>
          <w:sz w:val="32"/>
          <w:szCs w:val="32"/>
        </w:rPr>
      </w:pPr>
      <w:bookmarkStart w:id="0" w:name="_GoBack"/>
      <w:bookmarkEnd w:id="0"/>
      <w:r w:rsidRPr="001F3A55">
        <w:rPr>
          <w:b/>
          <w:bCs/>
          <w:sz w:val="32"/>
          <w:szCs w:val="32"/>
        </w:rPr>
        <w:t xml:space="preserve">Supporting Statement </w:t>
      </w:r>
      <w:r w:rsidR="00BA1A0C" w:rsidRPr="001F3A55">
        <w:rPr>
          <w:b/>
          <w:bCs/>
          <w:sz w:val="32"/>
          <w:szCs w:val="32"/>
        </w:rPr>
        <w:t>A</w:t>
      </w:r>
    </w:p>
    <w:p w14:paraId="370F847D" w14:textId="77777777" w:rsidR="00BA1A0C" w:rsidRPr="009C2CDD" w:rsidRDefault="00BA1A0C" w:rsidP="007E18E8">
      <w:pPr>
        <w:tabs>
          <w:tab w:val="center" w:pos="4680"/>
        </w:tabs>
        <w:jc w:val="center"/>
        <w:rPr>
          <w:b/>
          <w:bCs/>
          <w:sz w:val="24"/>
        </w:rPr>
      </w:pPr>
    </w:p>
    <w:p w14:paraId="695A705F" w14:textId="77777777" w:rsidR="009B3794" w:rsidRPr="001F3A55" w:rsidRDefault="00E204FA" w:rsidP="00813544">
      <w:pPr>
        <w:tabs>
          <w:tab w:val="center" w:pos="4680"/>
        </w:tabs>
        <w:jc w:val="center"/>
        <w:rPr>
          <w:b/>
          <w:bCs/>
          <w:sz w:val="32"/>
          <w:szCs w:val="32"/>
        </w:rPr>
      </w:pPr>
      <w:r w:rsidRPr="001F3A55">
        <w:rPr>
          <w:b/>
          <w:bCs/>
          <w:sz w:val="32"/>
          <w:szCs w:val="32"/>
        </w:rPr>
        <w:t>Be The Match</w:t>
      </w:r>
      <w:r w:rsidRPr="001F3A55">
        <w:rPr>
          <w:b/>
          <w:bCs/>
          <w:sz w:val="32"/>
          <w:szCs w:val="32"/>
          <w:vertAlign w:val="superscript"/>
        </w:rPr>
        <w:t xml:space="preserve">® </w:t>
      </w:r>
      <w:r w:rsidRPr="001F3A55">
        <w:rPr>
          <w:b/>
          <w:bCs/>
          <w:sz w:val="32"/>
          <w:szCs w:val="32"/>
        </w:rPr>
        <w:t xml:space="preserve">Patient </w:t>
      </w:r>
      <w:r w:rsidR="001E6F81">
        <w:rPr>
          <w:b/>
          <w:bCs/>
          <w:sz w:val="32"/>
          <w:szCs w:val="32"/>
        </w:rPr>
        <w:t>Support Center</w:t>
      </w:r>
      <w:r w:rsidRPr="001F3A55">
        <w:rPr>
          <w:b/>
          <w:bCs/>
          <w:sz w:val="32"/>
          <w:szCs w:val="32"/>
        </w:rPr>
        <w:t xml:space="preserve"> Survey</w:t>
      </w:r>
      <w:r w:rsidR="001E6F81">
        <w:rPr>
          <w:b/>
          <w:bCs/>
          <w:sz w:val="32"/>
          <w:szCs w:val="32"/>
        </w:rPr>
        <w:t xml:space="preserve"> </w:t>
      </w:r>
    </w:p>
    <w:p w14:paraId="4D95D8DC" w14:textId="77777777" w:rsidR="00BA1A0C" w:rsidRPr="009C2CDD" w:rsidRDefault="00BA1A0C" w:rsidP="00813544">
      <w:pPr>
        <w:tabs>
          <w:tab w:val="center" w:pos="4680"/>
        </w:tabs>
        <w:jc w:val="center"/>
        <w:rPr>
          <w:b/>
          <w:bCs/>
          <w:sz w:val="24"/>
        </w:rPr>
      </w:pPr>
    </w:p>
    <w:p w14:paraId="08AD3C6D" w14:textId="196621C2" w:rsidR="00BA1A0C" w:rsidRPr="001F3A55" w:rsidRDefault="00BA1A0C" w:rsidP="007E18E8">
      <w:pPr>
        <w:tabs>
          <w:tab w:val="center" w:pos="4680"/>
        </w:tabs>
        <w:jc w:val="center"/>
        <w:rPr>
          <w:b/>
          <w:bCs/>
          <w:sz w:val="32"/>
          <w:szCs w:val="32"/>
        </w:rPr>
      </w:pPr>
      <w:r w:rsidRPr="001F3A55">
        <w:rPr>
          <w:b/>
          <w:bCs/>
          <w:sz w:val="32"/>
          <w:szCs w:val="32"/>
        </w:rPr>
        <w:t>OMB Control No. 09</w:t>
      </w:r>
      <w:r w:rsidR="00E85436">
        <w:rPr>
          <w:b/>
          <w:bCs/>
          <w:sz w:val="32"/>
          <w:szCs w:val="32"/>
        </w:rPr>
        <w:t>06</w:t>
      </w:r>
      <w:r w:rsidR="00291B3A">
        <w:rPr>
          <w:b/>
          <w:bCs/>
          <w:sz w:val="32"/>
          <w:szCs w:val="32"/>
        </w:rPr>
        <w:t xml:space="preserve"> - </w:t>
      </w:r>
      <w:r w:rsidR="001E6F81">
        <w:rPr>
          <w:b/>
          <w:bCs/>
          <w:sz w:val="32"/>
          <w:szCs w:val="32"/>
        </w:rPr>
        <w:t>R</w:t>
      </w:r>
      <w:r w:rsidR="00E85436">
        <w:rPr>
          <w:b/>
          <w:bCs/>
          <w:sz w:val="32"/>
          <w:szCs w:val="32"/>
        </w:rPr>
        <w:t>evision</w:t>
      </w:r>
    </w:p>
    <w:p w14:paraId="78F3E687" w14:textId="77777777" w:rsidR="00BA1A0C" w:rsidRDefault="00BA1A0C" w:rsidP="007E18E8">
      <w:pPr>
        <w:tabs>
          <w:tab w:val="center" w:pos="4680"/>
        </w:tabs>
        <w:jc w:val="center"/>
        <w:rPr>
          <w:b/>
          <w:bCs/>
          <w:sz w:val="24"/>
        </w:rPr>
      </w:pPr>
    </w:p>
    <w:p w14:paraId="3FDFCD71" w14:textId="77777777" w:rsidR="00E423CF" w:rsidRDefault="00E423CF" w:rsidP="007E18E8">
      <w:pPr>
        <w:tabs>
          <w:tab w:val="center" w:pos="4680"/>
        </w:tabs>
        <w:jc w:val="center"/>
        <w:rPr>
          <w:b/>
          <w:bCs/>
          <w:sz w:val="24"/>
        </w:rPr>
      </w:pPr>
    </w:p>
    <w:p w14:paraId="34881C16" w14:textId="77777777" w:rsidR="009B3794" w:rsidRDefault="00DE3A45" w:rsidP="001F3A55">
      <w:pPr>
        <w:rPr>
          <w:b/>
          <w:sz w:val="24"/>
        </w:rPr>
      </w:pPr>
      <w:r w:rsidRPr="00771B86">
        <w:rPr>
          <w:b/>
          <w:sz w:val="24"/>
        </w:rPr>
        <w:t>Terms of Clearance</w:t>
      </w:r>
      <w:r w:rsidR="00BA1A0C" w:rsidRPr="00771B86">
        <w:rPr>
          <w:b/>
          <w:sz w:val="24"/>
        </w:rPr>
        <w:t>:</w:t>
      </w:r>
      <w:r w:rsidR="00BA1A0C" w:rsidRPr="00771B86">
        <w:rPr>
          <w:sz w:val="24"/>
        </w:rPr>
        <w:t xml:space="preserve">  </w:t>
      </w:r>
      <w:r w:rsidRPr="00771B86">
        <w:rPr>
          <w:sz w:val="24"/>
        </w:rPr>
        <w:t>None</w:t>
      </w:r>
      <w:r w:rsidR="00BA1A0C" w:rsidRPr="00771B86">
        <w:rPr>
          <w:sz w:val="24"/>
        </w:rPr>
        <w:t xml:space="preserve"> </w:t>
      </w:r>
    </w:p>
    <w:p w14:paraId="64AA5713" w14:textId="77777777" w:rsidR="001F3A55" w:rsidRPr="00753956" w:rsidRDefault="001F3A55" w:rsidP="001F3A55">
      <w:pPr>
        <w:rPr>
          <w:b/>
          <w:sz w:val="22"/>
          <w:szCs w:val="22"/>
        </w:rPr>
      </w:pPr>
    </w:p>
    <w:p w14:paraId="75DB60FF" w14:textId="77777777" w:rsidR="009B3794" w:rsidRDefault="009B3794" w:rsidP="001F3A55">
      <w:pPr>
        <w:rPr>
          <w:b/>
          <w:bCs/>
          <w:sz w:val="24"/>
        </w:rPr>
      </w:pPr>
      <w:r w:rsidRPr="001F3A55">
        <w:rPr>
          <w:b/>
          <w:bCs/>
          <w:sz w:val="24"/>
        </w:rPr>
        <w:t>A.</w:t>
      </w:r>
      <w:r w:rsidRPr="001F3A55">
        <w:rPr>
          <w:b/>
          <w:bCs/>
          <w:sz w:val="24"/>
        </w:rPr>
        <w:tab/>
        <w:t>Justification</w:t>
      </w:r>
    </w:p>
    <w:p w14:paraId="7C250275" w14:textId="77777777" w:rsidR="001F3A55" w:rsidRPr="00753956" w:rsidRDefault="001F3A55" w:rsidP="001F3A55">
      <w:pPr>
        <w:rPr>
          <w:b/>
          <w:bCs/>
          <w:sz w:val="22"/>
          <w:szCs w:val="22"/>
        </w:rPr>
      </w:pPr>
    </w:p>
    <w:p w14:paraId="32DC2B08" w14:textId="77777777" w:rsidR="009B3794" w:rsidRPr="001F3A55" w:rsidRDefault="009B3794" w:rsidP="001F3A55">
      <w:pPr>
        <w:numPr>
          <w:ilvl w:val="0"/>
          <w:numId w:val="2"/>
        </w:numPr>
        <w:tabs>
          <w:tab w:val="clear" w:pos="1080"/>
          <w:tab w:val="num" w:pos="360"/>
        </w:tabs>
        <w:ind w:left="360"/>
        <w:rPr>
          <w:b/>
          <w:sz w:val="24"/>
        </w:rPr>
      </w:pPr>
      <w:r w:rsidRPr="001F3A55">
        <w:rPr>
          <w:b/>
          <w:sz w:val="24"/>
          <w:u w:val="single"/>
        </w:rPr>
        <w:t>Circumstances Making the Collection of Information Necessary</w:t>
      </w:r>
    </w:p>
    <w:p w14:paraId="436B945E" w14:textId="77777777" w:rsidR="007E18E8" w:rsidRPr="00753956" w:rsidRDefault="007E18E8" w:rsidP="001F3A55">
      <w:pPr>
        <w:pStyle w:val="Heading2"/>
        <w:spacing w:before="0"/>
        <w:rPr>
          <w:rFonts w:ascii="Times New Roman" w:eastAsia="Times New Roman" w:hAnsi="Times New Roman" w:cs="Times New Roman"/>
          <w:b w:val="0"/>
          <w:bCs w:val="0"/>
          <w:color w:val="auto"/>
          <w:sz w:val="22"/>
          <w:szCs w:val="22"/>
        </w:rPr>
      </w:pPr>
    </w:p>
    <w:p w14:paraId="51865B10" w14:textId="2584D23B" w:rsidR="00E85436" w:rsidRDefault="00E204FA" w:rsidP="00E85436">
      <w:pPr>
        <w:tabs>
          <w:tab w:val="left" w:pos="-720"/>
        </w:tabs>
        <w:rPr>
          <w:sz w:val="24"/>
        </w:rPr>
      </w:pPr>
      <w:r w:rsidRPr="001F3A55">
        <w:rPr>
          <w:sz w:val="24"/>
        </w:rPr>
        <w:t xml:space="preserve">This is a request for </w:t>
      </w:r>
      <w:r w:rsidR="00B761CC">
        <w:rPr>
          <w:sz w:val="24"/>
        </w:rPr>
        <w:t>Office of Management and Budget (</w:t>
      </w:r>
      <w:r w:rsidRPr="001F3A55">
        <w:rPr>
          <w:sz w:val="24"/>
        </w:rPr>
        <w:t>OMB</w:t>
      </w:r>
      <w:r w:rsidR="00B761CC">
        <w:rPr>
          <w:sz w:val="24"/>
        </w:rPr>
        <w:t>)</w:t>
      </w:r>
      <w:r w:rsidRPr="001F3A55">
        <w:rPr>
          <w:sz w:val="24"/>
        </w:rPr>
        <w:t xml:space="preserve"> </w:t>
      </w:r>
      <w:r w:rsidR="00E85436">
        <w:rPr>
          <w:sz w:val="24"/>
        </w:rPr>
        <w:t xml:space="preserve">continued </w:t>
      </w:r>
      <w:r w:rsidRPr="001F3A55">
        <w:rPr>
          <w:sz w:val="24"/>
        </w:rPr>
        <w:t xml:space="preserve">approval </w:t>
      </w:r>
      <w:r w:rsidR="00E85436">
        <w:rPr>
          <w:sz w:val="24"/>
        </w:rPr>
        <w:t xml:space="preserve">of </w:t>
      </w:r>
      <w:r w:rsidR="000C4003" w:rsidRPr="000C4003">
        <w:rPr>
          <w:sz w:val="24"/>
        </w:rPr>
        <w:t>Be The Match</w:t>
      </w:r>
      <w:r w:rsidR="000C4003" w:rsidRPr="000C4003">
        <w:rPr>
          <w:sz w:val="24"/>
          <w:vertAlign w:val="superscript"/>
        </w:rPr>
        <w:t>®</w:t>
      </w:r>
      <w:r w:rsidR="000C4003" w:rsidRPr="000C4003">
        <w:rPr>
          <w:sz w:val="24"/>
        </w:rPr>
        <w:t xml:space="preserve"> Patient Support Center</w:t>
      </w:r>
      <w:r w:rsidR="00E85436">
        <w:rPr>
          <w:sz w:val="24"/>
        </w:rPr>
        <w:t xml:space="preserve"> survey.  </w:t>
      </w:r>
      <w:r w:rsidRPr="001F3A55">
        <w:rPr>
          <w:sz w:val="24"/>
        </w:rPr>
        <w:t xml:space="preserve">The C.W. Bill Young Cell Transplantation Program (Program) was established by the Stem Cell Therapeutic and Research Act of 2005 (Public Law 109 - 129) and </w:t>
      </w:r>
      <w:r w:rsidR="00B761CC">
        <w:rPr>
          <w:sz w:val="24"/>
        </w:rPr>
        <w:t xml:space="preserve">was </w:t>
      </w:r>
      <w:r w:rsidRPr="001F3A55">
        <w:rPr>
          <w:sz w:val="24"/>
        </w:rPr>
        <w:t>reautho</w:t>
      </w:r>
      <w:r w:rsidR="005B603B">
        <w:rPr>
          <w:sz w:val="24"/>
        </w:rPr>
        <w:t>rized in 2015 (P.L. 114 - 104).</w:t>
      </w:r>
      <w:r w:rsidR="009C2CDD">
        <w:rPr>
          <w:sz w:val="24"/>
        </w:rPr>
        <w:t xml:space="preserve"> </w:t>
      </w:r>
      <w:r w:rsidR="00B761CC">
        <w:rPr>
          <w:sz w:val="24"/>
        </w:rPr>
        <w:t xml:space="preserve"> </w:t>
      </w:r>
      <w:r w:rsidRPr="001F3A55">
        <w:rPr>
          <w:sz w:val="24"/>
        </w:rPr>
        <w:t xml:space="preserve">The Program’s Office of Patient Advocacy/Single Point of Access is operated by </w:t>
      </w:r>
      <w:r w:rsidR="00E85436">
        <w:rPr>
          <w:sz w:val="24"/>
        </w:rPr>
        <w:t xml:space="preserve">the </w:t>
      </w:r>
      <w:r w:rsidRPr="001F3A55">
        <w:rPr>
          <w:sz w:val="24"/>
        </w:rPr>
        <w:t>National Marrow Donor Program</w:t>
      </w:r>
      <w:r w:rsidR="009C2CDD" w:rsidRPr="009C2CDD">
        <w:rPr>
          <w:b/>
          <w:bCs/>
          <w:sz w:val="24"/>
          <w:vertAlign w:val="superscript"/>
        </w:rPr>
        <w:t>®</w:t>
      </w:r>
      <w:r w:rsidRPr="001F3A55">
        <w:rPr>
          <w:sz w:val="24"/>
        </w:rPr>
        <w:t xml:space="preserve"> (NMDP)/Be The Match</w:t>
      </w:r>
      <w:r w:rsidR="009C2CDD" w:rsidRPr="009C2CDD">
        <w:rPr>
          <w:b/>
          <w:bCs/>
          <w:sz w:val="24"/>
          <w:vertAlign w:val="superscript"/>
        </w:rPr>
        <w:t>®</w:t>
      </w:r>
      <w:r w:rsidRPr="001F3A55">
        <w:rPr>
          <w:sz w:val="24"/>
        </w:rPr>
        <w:t xml:space="preserve">). </w:t>
      </w:r>
      <w:r w:rsidR="00F4753E">
        <w:rPr>
          <w:sz w:val="24"/>
        </w:rPr>
        <w:t xml:space="preserve"> </w:t>
      </w:r>
      <w:r w:rsidRPr="001F3A55">
        <w:rPr>
          <w:sz w:val="24"/>
        </w:rPr>
        <w:t>NMDP/Be The Match</w:t>
      </w:r>
      <w:r w:rsidR="009C2CDD" w:rsidRPr="009C2CDD">
        <w:rPr>
          <w:b/>
          <w:bCs/>
          <w:sz w:val="24"/>
          <w:vertAlign w:val="superscript"/>
        </w:rPr>
        <w:t>®</w:t>
      </w:r>
      <w:r w:rsidRPr="001F3A55">
        <w:rPr>
          <w:sz w:val="24"/>
        </w:rPr>
        <w:t xml:space="preserve"> has explicit requirements to conduct surveys of patient satisfaction</w:t>
      </w:r>
      <w:r w:rsidR="00276C46">
        <w:rPr>
          <w:sz w:val="24"/>
        </w:rPr>
        <w:t>.</w:t>
      </w:r>
      <w:r w:rsidRPr="001F3A55">
        <w:rPr>
          <w:sz w:val="24"/>
        </w:rPr>
        <w:t xml:space="preserve">  </w:t>
      </w:r>
      <w:r w:rsidR="00E85436">
        <w:rPr>
          <w:sz w:val="24"/>
        </w:rPr>
        <w:t>As such, NMDP/Be The Match</w:t>
      </w:r>
      <w:r w:rsidR="00E85436">
        <w:rPr>
          <w:b/>
          <w:bCs/>
          <w:sz w:val="24"/>
          <w:vertAlign w:val="superscript"/>
        </w:rPr>
        <w:t>®</w:t>
      </w:r>
      <w:r w:rsidR="00E85436">
        <w:rPr>
          <w:sz w:val="24"/>
        </w:rPr>
        <w:t xml:space="preserve"> department of Patient and Health Professional Services (PHPS) will elicit feedback from marrow and cord blood transplant patients, caregivers, and family members who have had contact with PHPS for navigation services, educational information, and support.  The survey also includes demographic questions to determine representativeness of findings. </w:t>
      </w:r>
    </w:p>
    <w:p w14:paraId="2A606894" w14:textId="77777777" w:rsidR="00E85436" w:rsidRDefault="00E85436" w:rsidP="00E85436">
      <w:pPr>
        <w:tabs>
          <w:tab w:val="left" w:pos="-720"/>
        </w:tabs>
        <w:rPr>
          <w:sz w:val="24"/>
        </w:rPr>
      </w:pPr>
      <w:r>
        <w:rPr>
          <w:sz w:val="24"/>
        </w:rPr>
        <w:t xml:space="preserve"> </w:t>
      </w:r>
    </w:p>
    <w:p w14:paraId="42E00F11" w14:textId="77777777" w:rsidR="009B3794" w:rsidRPr="001F3A55" w:rsidRDefault="009B3794" w:rsidP="001F3A55">
      <w:pPr>
        <w:numPr>
          <w:ilvl w:val="0"/>
          <w:numId w:val="2"/>
        </w:numPr>
        <w:tabs>
          <w:tab w:val="clear" w:pos="1080"/>
          <w:tab w:val="num" w:pos="360"/>
        </w:tabs>
        <w:ind w:left="360"/>
        <w:rPr>
          <w:b/>
          <w:sz w:val="24"/>
          <w:u w:val="single"/>
        </w:rPr>
      </w:pPr>
      <w:r w:rsidRPr="001F3A55">
        <w:rPr>
          <w:b/>
          <w:sz w:val="24"/>
          <w:u w:val="single"/>
        </w:rPr>
        <w:t>Purpose and Use of Information Collection</w:t>
      </w:r>
    </w:p>
    <w:p w14:paraId="28AEE382" w14:textId="77777777" w:rsidR="007E18E8" w:rsidRDefault="007E18E8" w:rsidP="001F3A55">
      <w:pPr>
        <w:tabs>
          <w:tab w:val="left" w:pos="-720"/>
        </w:tabs>
        <w:rPr>
          <w:sz w:val="24"/>
        </w:rPr>
      </w:pPr>
    </w:p>
    <w:p w14:paraId="585AAE05" w14:textId="64C67483" w:rsidR="00E204FA" w:rsidRPr="001F3A55" w:rsidRDefault="00E204FA" w:rsidP="001F3A55">
      <w:pPr>
        <w:tabs>
          <w:tab w:val="left" w:pos="-720"/>
        </w:tabs>
        <w:rPr>
          <w:sz w:val="24"/>
        </w:rPr>
      </w:pPr>
      <w:r w:rsidRPr="001F3A55">
        <w:rPr>
          <w:sz w:val="24"/>
        </w:rPr>
        <w:t xml:space="preserve">Barriers </w:t>
      </w:r>
      <w:r w:rsidR="00011186">
        <w:rPr>
          <w:sz w:val="24"/>
        </w:rPr>
        <w:t xml:space="preserve">restricting </w:t>
      </w:r>
      <w:r w:rsidRPr="001F3A55">
        <w:rPr>
          <w:sz w:val="24"/>
        </w:rPr>
        <w:t xml:space="preserve">access to transplant-related care and educational information are multi-factorial. </w:t>
      </w:r>
      <w:r w:rsidR="00862396">
        <w:rPr>
          <w:sz w:val="24"/>
        </w:rPr>
        <w:t xml:space="preserve"> </w:t>
      </w:r>
      <w:r w:rsidRPr="001F3A55">
        <w:rPr>
          <w:sz w:val="24"/>
        </w:rPr>
        <w:t xml:space="preserve">Feedback from participants is essential to understand the changing needs for services and information as well as to demonstrate the effectiveness of existing services. </w:t>
      </w:r>
      <w:r w:rsidR="00CD7B79">
        <w:rPr>
          <w:sz w:val="24"/>
        </w:rPr>
        <w:t xml:space="preserve"> </w:t>
      </w:r>
      <w:r w:rsidRPr="001F3A55">
        <w:rPr>
          <w:sz w:val="24"/>
        </w:rPr>
        <w:t xml:space="preserve">The primary use for information gathered through the survey is to determine </w:t>
      </w:r>
      <w:r w:rsidR="006F1492">
        <w:rPr>
          <w:sz w:val="24"/>
        </w:rPr>
        <w:t xml:space="preserve">the </w:t>
      </w:r>
      <w:r w:rsidRPr="001F3A55">
        <w:rPr>
          <w:sz w:val="24"/>
        </w:rPr>
        <w:t xml:space="preserve">helpfulness of participants’ initial contact with the </w:t>
      </w:r>
      <w:r w:rsidR="001E6F81">
        <w:rPr>
          <w:sz w:val="24"/>
        </w:rPr>
        <w:t>Be The Match</w:t>
      </w:r>
      <w:r w:rsidR="000C4003">
        <w:rPr>
          <w:sz w:val="24"/>
        </w:rPr>
        <w:t xml:space="preserve"> Blood and Marrow Transplant (BMT) Navigators </w:t>
      </w:r>
      <w:r w:rsidRPr="001F3A55">
        <w:rPr>
          <w:sz w:val="24"/>
        </w:rPr>
        <w:t xml:space="preserve">and to identify areas for improvement in the delivery of services. </w:t>
      </w:r>
      <w:r w:rsidR="00862396">
        <w:rPr>
          <w:sz w:val="24"/>
        </w:rPr>
        <w:t xml:space="preserve"> </w:t>
      </w:r>
      <w:r w:rsidRPr="001F3A55">
        <w:rPr>
          <w:sz w:val="24"/>
        </w:rPr>
        <w:t xml:space="preserve">The </w:t>
      </w:r>
      <w:r w:rsidR="000C4003">
        <w:rPr>
          <w:sz w:val="24"/>
        </w:rPr>
        <w:t>BMT Navigators</w:t>
      </w:r>
      <w:r w:rsidRPr="001F3A55">
        <w:rPr>
          <w:sz w:val="24"/>
        </w:rPr>
        <w:t xml:space="preserve"> are trained </w:t>
      </w:r>
      <w:r w:rsidR="000C4003">
        <w:rPr>
          <w:sz w:val="24"/>
        </w:rPr>
        <w:t xml:space="preserve">lay or licensed clinical social worker </w:t>
      </w:r>
      <w:r w:rsidRPr="001F3A55">
        <w:rPr>
          <w:sz w:val="24"/>
        </w:rPr>
        <w:t xml:space="preserve">navigators, who respond to requests for information and support. </w:t>
      </w:r>
      <w:r w:rsidR="00B761CC">
        <w:rPr>
          <w:sz w:val="24"/>
        </w:rPr>
        <w:t xml:space="preserve"> </w:t>
      </w:r>
      <w:r w:rsidRPr="001F3A55">
        <w:rPr>
          <w:sz w:val="24"/>
        </w:rPr>
        <w:t xml:space="preserve">Stakeholders (i.e., participants, program managers, </w:t>
      </w:r>
      <w:r w:rsidR="00BE2AFA">
        <w:rPr>
          <w:sz w:val="24"/>
        </w:rPr>
        <w:t>Be The Match</w:t>
      </w:r>
      <w:r w:rsidRPr="001F3A55">
        <w:rPr>
          <w:sz w:val="24"/>
        </w:rPr>
        <w:t xml:space="preserve"> leadership</w:t>
      </w:r>
      <w:r w:rsidR="007D57A3">
        <w:rPr>
          <w:sz w:val="24"/>
        </w:rPr>
        <w:t>,</w:t>
      </w:r>
      <w:r w:rsidRPr="001F3A55">
        <w:rPr>
          <w:sz w:val="24"/>
        </w:rPr>
        <w:t xml:space="preserve"> and HRSA) utilize this evaluation data to share </w:t>
      </w:r>
      <w:r w:rsidR="00892B69">
        <w:rPr>
          <w:sz w:val="24"/>
        </w:rPr>
        <w:t>patients’ experiences</w:t>
      </w:r>
      <w:r w:rsidRPr="001F3A55">
        <w:rPr>
          <w:sz w:val="24"/>
        </w:rPr>
        <w:t xml:space="preserve"> as well as make program (</w:t>
      </w:r>
      <w:r w:rsidR="00B4240F">
        <w:rPr>
          <w:sz w:val="24"/>
        </w:rPr>
        <w:t xml:space="preserve">by </w:t>
      </w:r>
      <w:r w:rsidRPr="001F3A55">
        <w:rPr>
          <w:sz w:val="24"/>
        </w:rPr>
        <w:t>program managers and leadership) and resource allocation (</w:t>
      </w:r>
      <w:r w:rsidR="00B4240F">
        <w:rPr>
          <w:sz w:val="24"/>
        </w:rPr>
        <w:t xml:space="preserve">by </w:t>
      </w:r>
      <w:r w:rsidRPr="001F3A55">
        <w:rPr>
          <w:sz w:val="24"/>
        </w:rPr>
        <w:t xml:space="preserve">HRSA) decisions. </w:t>
      </w:r>
    </w:p>
    <w:p w14:paraId="29D2CDB5" w14:textId="77777777" w:rsidR="00E204FA" w:rsidRPr="001F3A55" w:rsidRDefault="00E204FA" w:rsidP="001F3A55">
      <w:pPr>
        <w:tabs>
          <w:tab w:val="left" w:pos="-720"/>
        </w:tabs>
        <w:rPr>
          <w:sz w:val="24"/>
        </w:rPr>
      </w:pPr>
    </w:p>
    <w:p w14:paraId="172A7512" w14:textId="4F35367F" w:rsidR="00E204FA" w:rsidRPr="001F3A55" w:rsidRDefault="00E204FA" w:rsidP="001F3A55">
      <w:pPr>
        <w:tabs>
          <w:tab w:val="left" w:pos="-720"/>
        </w:tabs>
        <w:rPr>
          <w:sz w:val="24"/>
        </w:rPr>
      </w:pPr>
      <w:r w:rsidRPr="001F3A55">
        <w:rPr>
          <w:sz w:val="24"/>
        </w:rPr>
        <w:t xml:space="preserve">Web- and paper-based surveys will be administered to all </w:t>
      </w:r>
      <w:r w:rsidR="00B82A29">
        <w:rPr>
          <w:sz w:val="24"/>
        </w:rPr>
        <w:t>participants (</w:t>
      </w:r>
      <w:r w:rsidRPr="001F3A55">
        <w:rPr>
          <w:sz w:val="24"/>
        </w:rPr>
        <w:t>patients, caregivers</w:t>
      </w:r>
      <w:r w:rsidR="0054695E">
        <w:rPr>
          <w:sz w:val="24"/>
        </w:rPr>
        <w:t>,</w:t>
      </w:r>
      <w:r w:rsidRPr="001F3A55">
        <w:rPr>
          <w:sz w:val="24"/>
        </w:rPr>
        <w:t xml:space="preserve"> and family members</w:t>
      </w:r>
      <w:r w:rsidR="00B82A29">
        <w:rPr>
          <w:sz w:val="24"/>
        </w:rPr>
        <w:t>)</w:t>
      </w:r>
      <w:r w:rsidRPr="001F3A55">
        <w:rPr>
          <w:sz w:val="24"/>
        </w:rPr>
        <w:t xml:space="preserve"> who contact </w:t>
      </w:r>
      <w:r w:rsidR="00BE2AFA">
        <w:rPr>
          <w:sz w:val="24"/>
        </w:rPr>
        <w:t>the Be The Match Patient Support Center</w:t>
      </w:r>
      <w:r w:rsidR="00325ACF">
        <w:rPr>
          <w:sz w:val="24"/>
        </w:rPr>
        <w:t>.</w:t>
      </w:r>
      <w:r w:rsidRPr="001F3A55">
        <w:rPr>
          <w:sz w:val="24"/>
        </w:rPr>
        <w:t xml:space="preserve"> </w:t>
      </w:r>
      <w:r w:rsidR="00862396">
        <w:rPr>
          <w:sz w:val="24"/>
        </w:rPr>
        <w:t xml:space="preserve"> </w:t>
      </w:r>
      <w:r w:rsidRPr="001F3A55">
        <w:rPr>
          <w:sz w:val="24"/>
        </w:rPr>
        <w:t xml:space="preserve">All participants for whom an email address is known will be invited to complete the survey online. </w:t>
      </w:r>
      <w:r w:rsidR="00B761CC">
        <w:rPr>
          <w:sz w:val="24"/>
        </w:rPr>
        <w:t xml:space="preserve"> </w:t>
      </w:r>
      <w:r w:rsidRPr="001F3A55">
        <w:rPr>
          <w:sz w:val="24"/>
        </w:rPr>
        <w:t>All other participants will be mailed a survey with</w:t>
      </w:r>
      <w:r w:rsidR="0054695E">
        <w:rPr>
          <w:sz w:val="24"/>
        </w:rPr>
        <w:t xml:space="preserve"> a</w:t>
      </w:r>
      <w:r w:rsidRPr="001F3A55">
        <w:rPr>
          <w:sz w:val="24"/>
        </w:rPr>
        <w:t xml:space="preserve"> pre-paid reply envelope. </w:t>
      </w:r>
      <w:r w:rsidR="00862396">
        <w:rPr>
          <w:sz w:val="24"/>
        </w:rPr>
        <w:t xml:space="preserve"> </w:t>
      </w:r>
      <w:r w:rsidRPr="001F3A55">
        <w:rPr>
          <w:sz w:val="24"/>
        </w:rPr>
        <w:t xml:space="preserve">Survey respondents will be notified via email invitation or cover letter and in the survey instructions that participation is voluntary and responses will be kept confidential. </w:t>
      </w:r>
      <w:r w:rsidR="00862396">
        <w:rPr>
          <w:sz w:val="24"/>
        </w:rPr>
        <w:t xml:space="preserve"> </w:t>
      </w:r>
      <w:r w:rsidRPr="001F3A55">
        <w:rPr>
          <w:sz w:val="24"/>
        </w:rPr>
        <w:t xml:space="preserve">A follow-up invitation will be sent within </w:t>
      </w:r>
      <w:r w:rsidR="0054695E">
        <w:rPr>
          <w:sz w:val="24"/>
        </w:rPr>
        <w:t>2</w:t>
      </w:r>
      <w:r w:rsidRPr="001F3A55">
        <w:rPr>
          <w:sz w:val="24"/>
        </w:rPr>
        <w:t xml:space="preserve"> weeks to non-respondents. </w:t>
      </w:r>
    </w:p>
    <w:p w14:paraId="52D9DE9F" w14:textId="77777777" w:rsidR="00E204FA" w:rsidRPr="001F3A55" w:rsidRDefault="00E204FA" w:rsidP="001F3A55">
      <w:pPr>
        <w:tabs>
          <w:tab w:val="left" w:pos="-720"/>
        </w:tabs>
        <w:rPr>
          <w:sz w:val="24"/>
        </w:rPr>
      </w:pPr>
    </w:p>
    <w:p w14:paraId="0B3E649D" w14:textId="48ACC26D" w:rsidR="00E204FA" w:rsidRDefault="00E204FA" w:rsidP="001F3A55">
      <w:pPr>
        <w:tabs>
          <w:tab w:val="left" w:pos="-720"/>
        </w:tabs>
        <w:rPr>
          <w:sz w:val="24"/>
        </w:rPr>
      </w:pPr>
      <w:r w:rsidRPr="001F3A55">
        <w:rPr>
          <w:sz w:val="24"/>
        </w:rPr>
        <w:lastRenderedPageBreak/>
        <w:t>The survey include</w:t>
      </w:r>
      <w:r w:rsidR="00E85436">
        <w:rPr>
          <w:sz w:val="24"/>
        </w:rPr>
        <w:t>s</w:t>
      </w:r>
      <w:r w:rsidRPr="001F3A55">
        <w:rPr>
          <w:sz w:val="24"/>
        </w:rPr>
        <w:t xml:space="preserve"> </w:t>
      </w:r>
      <w:r w:rsidR="0054695E">
        <w:rPr>
          <w:sz w:val="24"/>
        </w:rPr>
        <w:t xml:space="preserve">these </w:t>
      </w:r>
      <w:r w:rsidRPr="001F3A55">
        <w:rPr>
          <w:sz w:val="24"/>
        </w:rPr>
        <w:t xml:space="preserve">items to measure: </w:t>
      </w:r>
      <w:r w:rsidR="009C2CDD">
        <w:rPr>
          <w:sz w:val="24"/>
        </w:rPr>
        <w:t xml:space="preserve"> </w:t>
      </w:r>
      <w:r w:rsidRPr="001F3A55">
        <w:rPr>
          <w:sz w:val="24"/>
        </w:rPr>
        <w:t xml:space="preserve">1) reason for contacting </w:t>
      </w:r>
      <w:r w:rsidR="000C4003">
        <w:rPr>
          <w:sz w:val="24"/>
        </w:rPr>
        <w:t>the Be The Match Patient Support Center</w:t>
      </w:r>
      <w:r w:rsidRPr="001F3A55">
        <w:rPr>
          <w:sz w:val="24"/>
        </w:rPr>
        <w:t xml:space="preserve">; 2) if the </w:t>
      </w:r>
      <w:r w:rsidR="000C4003">
        <w:rPr>
          <w:sz w:val="24"/>
        </w:rPr>
        <w:t>BMT Navigator</w:t>
      </w:r>
      <w:r w:rsidRPr="001F3A55">
        <w:rPr>
          <w:sz w:val="24"/>
        </w:rPr>
        <w:t xml:space="preserve"> was able to answer questions and easy to understand; 3) if the contact he</w:t>
      </w:r>
      <w:r w:rsidR="009C2CDD">
        <w:rPr>
          <w:sz w:val="24"/>
        </w:rPr>
        <w:t>l</w:t>
      </w:r>
      <w:r w:rsidRPr="001F3A55">
        <w:rPr>
          <w:sz w:val="24"/>
        </w:rPr>
        <w:t xml:space="preserve">ped the participant to feel better prepared to discuss transplant with their care team; 4) increase in awareness of available resources; 5) timeliness of response; and 6) overall satisfaction. </w:t>
      </w:r>
      <w:r w:rsidR="00F4753E">
        <w:rPr>
          <w:sz w:val="24"/>
        </w:rPr>
        <w:t xml:space="preserve"> </w:t>
      </w:r>
      <w:r w:rsidRPr="001F3A55">
        <w:rPr>
          <w:sz w:val="24"/>
        </w:rPr>
        <w:t>The survey data will be analyzed quarterly and annually</w:t>
      </w:r>
      <w:r w:rsidR="0054695E">
        <w:rPr>
          <w:sz w:val="24"/>
        </w:rPr>
        <w:t xml:space="preserve"> and</w:t>
      </w:r>
      <w:r w:rsidRPr="001F3A55">
        <w:rPr>
          <w:sz w:val="24"/>
        </w:rPr>
        <w:t xml:space="preserve"> results will be shared with program managers and HRSA. </w:t>
      </w:r>
      <w:r w:rsidR="009C2CDD">
        <w:rPr>
          <w:sz w:val="24"/>
        </w:rPr>
        <w:t xml:space="preserve"> </w:t>
      </w:r>
      <w:r w:rsidRPr="001F3A55">
        <w:rPr>
          <w:sz w:val="24"/>
        </w:rPr>
        <w:t xml:space="preserve">Feedback indicating a need for improvement will be reviewed by program managers biannually and implementation of resulting program changes will be documented. </w:t>
      </w:r>
      <w:r w:rsidR="00F4753E">
        <w:rPr>
          <w:sz w:val="24"/>
        </w:rPr>
        <w:t xml:space="preserve"> </w:t>
      </w:r>
    </w:p>
    <w:p w14:paraId="26ABAB50" w14:textId="5F544E63" w:rsidR="00E85436" w:rsidRDefault="00E85436" w:rsidP="001F3A55">
      <w:pPr>
        <w:tabs>
          <w:tab w:val="left" w:pos="-720"/>
        </w:tabs>
        <w:rPr>
          <w:sz w:val="24"/>
        </w:rPr>
      </w:pPr>
    </w:p>
    <w:p w14:paraId="40501D68" w14:textId="515D2E9F" w:rsidR="00E85436" w:rsidRPr="00E85436" w:rsidRDefault="00E85436" w:rsidP="001F3A55">
      <w:pPr>
        <w:tabs>
          <w:tab w:val="left" w:pos="-720"/>
        </w:tabs>
        <w:rPr>
          <w:i/>
          <w:sz w:val="24"/>
        </w:rPr>
      </w:pPr>
      <w:r w:rsidRPr="00E85436">
        <w:rPr>
          <w:i/>
          <w:sz w:val="24"/>
          <w:highlight w:val="yellow"/>
        </w:rPr>
        <w:t xml:space="preserve">Revisions to the survey are noted in </w:t>
      </w:r>
      <w:r>
        <w:rPr>
          <w:i/>
          <w:sz w:val="24"/>
          <w:highlight w:val="yellow"/>
        </w:rPr>
        <w:t xml:space="preserve">the </w:t>
      </w:r>
      <w:r w:rsidRPr="00E85436">
        <w:rPr>
          <w:i/>
          <w:sz w:val="24"/>
          <w:highlight w:val="yellow"/>
        </w:rPr>
        <w:t>comment fields on the attached instrument.</w:t>
      </w:r>
      <w:r w:rsidRPr="00E85436">
        <w:rPr>
          <w:i/>
          <w:sz w:val="24"/>
        </w:rPr>
        <w:t xml:space="preserve">  </w:t>
      </w:r>
    </w:p>
    <w:p w14:paraId="73A68F42" w14:textId="77777777" w:rsidR="001F3A55" w:rsidRPr="001F3A55" w:rsidRDefault="001F3A55" w:rsidP="001F3A55">
      <w:pPr>
        <w:tabs>
          <w:tab w:val="left" w:pos="-720"/>
        </w:tabs>
        <w:rPr>
          <w:sz w:val="24"/>
        </w:rPr>
      </w:pPr>
    </w:p>
    <w:p w14:paraId="57D2C7F8" w14:textId="77777777" w:rsidR="009B3794" w:rsidRPr="001F3A55" w:rsidRDefault="009B3794" w:rsidP="001F3A55">
      <w:pPr>
        <w:numPr>
          <w:ilvl w:val="0"/>
          <w:numId w:val="2"/>
        </w:numPr>
        <w:tabs>
          <w:tab w:val="clear" w:pos="1080"/>
          <w:tab w:val="num" w:pos="360"/>
        </w:tabs>
        <w:ind w:left="360"/>
        <w:rPr>
          <w:b/>
          <w:sz w:val="24"/>
          <w:u w:val="single"/>
        </w:rPr>
      </w:pPr>
      <w:r w:rsidRPr="001F3A55">
        <w:rPr>
          <w:b/>
          <w:sz w:val="24"/>
          <w:u w:val="single"/>
        </w:rPr>
        <w:t>Use of Improved Information Technology and Burden Reduction</w:t>
      </w:r>
    </w:p>
    <w:p w14:paraId="4C4E4BA3" w14:textId="77777777" w:rsidR="007E18E8" w:rsidRDefault="007E18E8" w:rsidP="001F3A55">
      <w:pPr>
        <w:tabs>
          <w:tab w:val="left" w:pos="-720"/>
        </w:tabs>
        <w:rPr>
          <w:sz w:val="24"/>
        </w:rPr>
      </w:pPr>
    </w:p>
    <w:p w14:paraId="72B87E2F" w14:textId="3D4E215A" w:rsidR="00E204FA" w:rsidRDefault="00E204FA" w:rsidP="001F3A55">
      <w:pPr>
        <w:tabs>
          <w:tab w:val="left" w:pos="-720"/>
        </w:tabs>
        <w:rPr>
          <w:sz w:val="24"/>
        </w:rPr>
      </w:pPr>
      <w:r w:rsidRPr="001F3A55">
        <w:rPr>
          <w:sz w:val="24"/>
        </w:rPr>
        <w:t xml:space="preserve">The web-based survey will be administered via </w:t>
      </w:r>
      <w:r w:rsidR="000C4003" w:rsidRPr="00160D4F">
        <w:rPr>
          <w:sz w:val="24"/>
        </w:rPr>
        <w:t>SNAP</w:t>
      </w:r>
      <w:r w:rsidR="000C4003">
        <w:rPr>
          <w:sz w:val="24"/>
        </w:rPr>
        <w:t xml:space="preserve"> Survey</w:t>
      </w:r>
      <w:r w:rsidRPr="001F3A55">
        <w:rPr>
          <w:sz w:val="24"/>
        </w:rPr>
        <w:t xml:space="preserve"> to reduce respondent burden </w:t>
      </w:r>
      <w:r w:rsidR="000C4003">
        <w:rPr>
          <w:sz w:val="24"/>
        </w:rPr>
        <w:t>(</w:t>
      </w:r>
      <w:r w:rsidRPr="001F3A55">
        <w:rPr>
          <w:sz w:val="24"/>
        </w:rPr>
        <w:t>508 compliant</w:t>
      </w:r>
      <w:r w:rsidR="000C4003">
        <w:rPr>
          <w:sz w:val="24"/>
        </w:rPr>
        <w:t>)</w:t>
      </w:r>
      <w:r w:rsidRPr="001F3A55">
        <w:rPr>
          <w:sz w:val="24"/>
        </w:rPr>
        <w:t xml:space="preserve">. </w:t>
      </w:r>
      <w:r w:rsidR="00862396">
        <w:rPr>
          <w:sz w:val="24"/>
        </w:rPr>
        <w:t xml:space="preserve"> </w:t>
      </w:r>
      <w:r w:rsidRPr="001F3A55">
        <w:rPr>
          <w:sz w:val="24"/>
        </w:rPr>
        <w:t xml:space="preserve">This technology allows reminders </w:t>
      </w:r>
      <w:r w:rsidR="00BE2AFA">
        <w:rPr>
          <w:sz w:val="24"/>
        </w:rPr>
        <w:t xml:space="preserve">to be sent </w:t>
      </w:r>
      <w:r w:rsidRPr="001F3A55">
        <w:rPr>
          <w:sz w:val="24"/>
        </w:rPr>
        <w:t xml:space="preserve">only to non-responders which reduces the number of contacts during the time of decision-making and treatment. </w:t>
      </w:r>
      <w:r w:rsidR="009C2CDD">
        <w:rPr>
          <w:sz w:val="24"/>
        </w:rPr>
        <w:t xml:space="preserve"> </w:t>
      </w:r>
      <w:r w:rsidRPr="001F3A55">
        <w:rPr>
          <w:sz w:val="24"/>
        </w:rPr>
        <w:t xml:space="preserve">For those participants who do not have access to the internet, </w:t>
      </w:r>
      <w:r w:rsidR="000C4003">
        <w:rPr>
          <w:sz w:val="24"/>
        </w:rPr>
        <w:t xml:space="preserve">scannable </w:t>
      </w:r>
      <w:r w:rsidRPr="001F3A55">
        <w:rPr>
          <w:sz w:val="24"/>
        </w:rPr>
        <w:t xml:space="preserve">paper surveys will be administered with self-addressed, pre-paid response envelopes. </w:t>
      </w:r>
    </w:p>
    <w:p w14:paraId="2ACDC657" w14:textId="77777777" w:rsidR="001F3A55" w:rsidRPr="001F3A55" w:rsidRDefault="001F3A55" w:rsidP="001F3A55">
      <w:pPr>
        <w:tabs>
          <w:tab w:val="left" w:pos="-720"/>
        </w:tabs>
        <w:rPr>
          <w:sz w:val="24"/>
        </w:rPr>
      </w:pPr>
    </w:p>
    <w:p w14:paraId="333EB56C" w14:textId="149CB9B7" w:rsidR="009B3794" w:rsidRPr="001F3A55" w:rsidRDefault="009B3794" w:rsidP="001F3A55">
      <w:pPr>
        <w:numPr>
          <w:ilvl w:val="0"/>
          <w:numId w:val="2"/>
        </w:numPr>
        <w:tabs>
          <w:tab w:val="clear" w:pos="1080"/>
          <w:tab w:val="num" w:pos="360"/>
        </w:tabs>
        <w:ind w:left="360"/>
        <w:rPr>
          <w:b/>
          <w:sz w:val="24"/>
        </w:rPr>
      </w:pPr>
      <w:r w:rsidRPr="001F3A55">
        <w:rPr>
          <w:b/>
          <w:sz w:val="24"/>
          <w:u w:val="single"/>
        </w:rPr>
        <w:t>Efforts to Identify Duplication and Use of Similar Information</w:t>
      </w:r>
    </w:p>
    <w:p w14:paraId="07C2C475" w14:textId="77777777" w:rsidR="007E18E8" w:rsidRDefault="007E18E8" w:rsidP="001F3A55">
      <w:pPr>
        <w:tabs>
          <w:tab w:val="left" w:pos="-720"/>
        </w:tabs>
        <w:rPr>
          <w:sz w:val="24"/>
        </w:rPr>
      </w:pPr>
    </w:p>
    <w:p w14:paraId="55F77646" w14:textId="77777777" w:rsidR="00E204FA" w:rsidRDefault="00E204FA" w:rsidP="001F3A55">
      <w:pPr>
        <w:tabs>
          <w:tab w:val="left" w:pos="-720"/>
        </w:tabs>
        <w:rPr>
          <w:sz w:val="24"/>
        </w:rPr>
      </w:pPr>
      <w:r w:rsidRPr="001F3A55">
        <w:rPr>
          <w:sz w:val="24"/>
        </w:rPr>
        <w:t xml:space="preserve">The survey is designed to capture data that will measure the navigation program objectives. </w:t>
      </w:r>
      <w:r w:rsidR="00F4753E">
        <w:rPr>
          <w:sz w:val="24"/>
        </w:rPr>
        <w:t xml:space="preserve"> </w:t>
      </w:r>
      <w:r w:rsidRPr="001F3A55">
        <w:rPr>
          <w:sz w:val="24"/>
        </w:rPr>
        <w:t xml:space="preserve">It has been reviewed carefully to avoid duplication. </w:t>
      </w:r>
      <w:r w:rsidR="009C2CDD">
        <w:rPr>
          <w:sz w:val="24"/>
        </w:rPr>
        <w:t xml:space="preserve"> </w:t>
      </w:r>
      <w:r w:rsidRPr="001F3A55">
        <w:rPr>
          <w:sz w:val="24"/>
        </w:rPr>
        <w:t>None of the questions are present on other evaluation instruments.</w:t>
      </w:r>
      <w:r w:rsidR="009C2CDD">
        <w:rPr>
          <w:sz w:val="24"/>
        </w:rPr>
        <w:t xml:space="preserve"> </w:t>
      </w:r>
      <w:r w:rsidRPr="001F3A55">
        <w:rPr>
          <w:sz w:val="24"/>
        </w:rPr>
        <w:t xml:space="preserve"> The proposed survey is unique to this activity.   </w:t>
      </w:r>
    </w:p>
    <w:p w14:paraId="118136FF" w14:textId="77777777" w:rsidR="001F3A55" w:rsidRDefault="001F3A55" w:rsidP="001F3A55">
      <w:pPr>
        <w:tabs>
          <w:tab w:val="left" w:pos="-720"/>
        </w:tabs>
        <w:rPr>
          <w:sz w:val="24"/>
        </w:rPr>
      </w:pPr>
    </w:p>
    <w:p w14:paraId="252786C4" w14:textId="77777777" w:rsidR="009B3794" w:rsidRPr="001F3A55" w:rsidRDefault="009B3794" w:rsidP="001F3A55">
      <w:pPr>
        <w:numPr>
          <w:ilvl w:val="0"/>
          <w:numId w:val="2"/>
        </w:numPr>
        <w:tabs>
          <w:tab w:val="clear" w:pos="1080"/>
          <w:tab w:val="num" w:pos="360"/>
        </w:tabs>
        <w:ind w:left="360"/>
        <w:rPr>
          <w:color w:val="000000"/>
          <w:sz w:val="24"/>
        </w:rPr>
      </w:pPr>
      <w:r w:rsidRPr="001F3A55">
        <w:rPr>
          <w:b/>
          <w:sz w:val="24"/>
          <w:u w:val="single"/>
        </w:rPr>
        <w:t>Impact on Small Businesses or Other Small Entities</w:t>
      </w:r>
    </w:p>
    <w:p w14:paraId="7869D488" w14:textId="77777777" w:rsidR="007E18E8" w:rsidRDefault="007E18E8" w:rsidP="001F3A55">
      <w:pPr>
        <w:rPr>
          <w:sz w:val="24"/>
        </w:rPr>
      </w:pPr>
    </w:p>
    <w:p w14:paraId="0F0B629D" w14:textId="77777777" w:rsidR="00E204FA" w:rsidRDefault="00E204FA" w:rsidP="001F3A55">
      <w:pPr>
        <w:rPr>
          <w:sz w:val="24"/>
        </w:rPr>
      </w:pPr>
      <w:r w:rsidRPr="001F3A55">
        <w:rPr>
          <w:sz w:val="24"/>
        </w:rPr>
        <w:t>These surveys will not have a significant impact on small businesses or other small entities.</w:t>
      </w:r>
    </w:p>
    <w:p w14:paraId="42D2E898" w14:textId="77777777" w:rsidR="001F3A55" w:rsidRDefault="001F3A55" w:rsidP="001F3A55">
      <w:pPr>
        <w:rPr>
          <w:sz w:val="24"/>
        </w:rPr>
      </w:pPr>
    </w:p>
    <w:p w14:paraId="3031D49B" w14:textId="77777777" w:rsidR="009B3794" w:rsidRPr="001F3A55" w:rsidRDefault="009B3794" w:rsidP="001F3A55">
      <w:pPr>
        <w:numPr>
          <w:ilvl w:val="0"/>
          <w:numId w:val="2"/>
        </w:numPr>
        <w:tabs>
          <w:tab w:val="clear" w:pos="1080"/>
          <w:tab w:val="num" w:pos="360"/>
        </w:tabs>
        <w:ind w:left="360"/>
        <w:rPr>
          <w:b/>
          <w:sz w:val="24"/>
        </w:rPr>
      </w:pPr>
      <w:r w:rsidRPr="001F3A55">
        <w:rPr>
          <w:b/>
          <w:sz w:val="24"/>
          <w:u w:val="single"/>
        </w:rPr>
        <w:t>Consequences of Collecting the Information Less Frequent</w:t>
      </w:r>
      <w:r w:rsidR="001325B2" w:rsidRPr="001F3A55">
        <w:rPr>
          <w:b/>
          <w:sz w:val="24"/>
          <w:u w:val="single"/>
        </w:rPr>
        <w:t>ly</w:t>
      </w:r>
    </w:p>
    <w:p w14:paraId="02B5F96E" w14:textId="77777777" w:rsidR="007E18E8" w:rsidRDefault="007E18E8" w:rsidP="001F3A55">
      <w:pPr>
        <w:widowControl/>
        <w:autoSpaceDE/>
        <w:autoSpaceDN/>
        <w:adjustRightInd/>
        <w:rPr>
          <w:sz w:val="24"/>
        </w:rPr>
      </w:pPr>
    </w:p>
    <w:p w14:paraId="1A2EB081" w14:textId="1748F08F" w:rsidR="009B3794" w:rsidRDefault="001777A5" w:rsidP="001F3A55">
      <w:pPr>
        <w:widowControl/>
        <w:autoSpaceDE/>
        <w:autoSpaceDN/>
        <w:adjustRightInd/>
        <w:rPr>
          <w:b/>
          <w:color w:val="000000"/>
          <w:sz w:val="24"/>
        </w:rPr>
      </w:pPr>
      <w:r w:rsidRPr="001F3A55">
        <w:rPr>
          <w:sz w:val="24"/>
        </w:rPr>
        <w:t xml:space="preserve">This survey is cross-sectional in design. </w:t>
      </w:r>
      <w:r w:rsidR="009C2CDD">
        <w:rPr>
          <w:sz w:val="24"/>
        </w:rPr>
        <w:t xml:space="preserve"> </w:t>
      </w:r>
      <w:r w:rsidR="00B761CC">
        <w:rPr>
          <w:sz w:val="24"/>
        </w:rPr>
        <w:t>T</w:t>
      </w:r>
      <w:r w:rsidR="00B761CC" w:rsidRPr="001F3A55">
        <w:rPr>
          <w:sz w:val="24"/>
        </w:rPr>
        <w:t>o reduce burden</w:t>
      </w:r>
      <w:r w:rsidR="00B761CC">
        <w:rPr>
          <w:sz w:val="24"/>
        </w:rPr>
        <w:t>,</w:t>
      </w:r>
      <w:r w:rsidR="00B761CC" w:rsidRPr="001F3A55">
        <w:rPr>
          <w:sz w:val="24"/>
        </w:rPr>
        <w:t xml:space="preserve"> </w:t>
      </w:r>
      <w:r w:rsidR="00ED2C01">
        <w:rPr>
          <w:sz w:val="24"/>
        </w:rPr>
        <w:t>e</w:t>
      </w:r>
      <w:r w:rsidRPr="001F3A55">
        <w:rPr>
          <w:sz w:val="24"/>
        </w:rPr>
        <w:t>ach patient, caregiver</w:t>
      </w:r>
      <w:r w:rsidR="0054695E">
        <w:rPr>
          <w:sz w:val="24"/>
        </w:rPr>
        <w:t>,</w:t>
      </w:r>
      <w:r w:rsidRPr="001F3A55">
        <w:rPr>
          <w:sz w:val="24"/>
        </w:rPr>
        <w:t xml:space="preserve"> or family member will be administered the survey one</w:t>
      </w:r>
      <w:r w:rsidR="00B761CC">
        <w:rPr>
          <w:sz w:val="24"/>
        </w:rPr>
        <w:t xml:space="preserve"> </w:t>
      </w:r>
      <w:r w:rsidRPr="001F3A55">
        <w:rPr>
          <w:sz w:val="24"/>
        </w:rPr>
        <w:t>time only, even when multiple contacts between PHPS and the participant occur</w:t>
      </w:r>
      <w:r w:rsidR="00ED2C01">
        <w:rPr>
          <w:sz w:val="24"/>
        </w:rPr>
        <w:t>.</w:t>
      </w:r>
      <w:r w:rsidRPr="001F3A55">
        <w:rPr>
          <w:sz w:val="24"/>
        </w:rPr>
        <w:t xml:space="preserve"> </w:t>
      </w:r>
      <w:r w:rsidR="009C2CDD">
        <w:rPr>
          <w:sz w:val="24"/>
        </w:rPr>
        <w:t xml:space="preserve"> </w:t>
      </w:r>
      <w:r w:rsidRPr="001F3A55">
        <w:rPr>
          <w:sz w:val="24"/>
        </w:rPr>
        <w:t xml:space="preserve">If the participant contacts PHPS and the survey was administered 2 or more years previously, PHPS will administer another survey. </w:t>
      </w:r>
      <w:r w:rsidR="009C2CDD">
        <w:rPr>
          <w:sz w:val="24"/>
        </w:rPr>
        <w:t xml:space="preserve"> </w:t>
      </w:r>
      <w:r w:rsidRPr="001F3A55">
        <w:rPr>
          <w:sz w:val="24"/>
        </w:rPr>
        <w:t xml:space="preserve">It is likely that available resources, services, and delivery methods will have changed and new feedback will be important for evaluating the effectiveness of the services. </w:t>
      </w:r>
      <w:r w:rsidR="009C2CDD">
        <w:rPr>
          <w:sz w:val="24"/>
        </w:rPr>
        <w:t xml:space="preserve"> </w:t>
      </w:r>
    </w:p>
    <w:p w14:paraId="0C35F98B" w14:textId="77777777" w:rsidR="001F3A55" w:rsidRPr="001F3A55" w:rsidRDefault="001F3A55" w:rsidP="001F3A55">
      <w:pPr>
        <w:widowControl/>
        <w:autoSpaceDE/>
        <w:autoSpaceDN/>
        <w:adjustRightInd/>
        <w:rPr>
          <w:sz w:val="24"/>
        </w:rPr>
      </w:pPr>
    </w:p>
    <w:p w14:paraId="0DB30837" w14:textId="77777777" w:rsidR="009B3794" w:rsidRPr="001F3A55" w:rsidRDefault="009B3794" w:rsidP="001F3A55">
      <w:pPr>
        <w:numPr>
          <w:ilvl w:val="0"/>
          <w:numId w:val="2"/>
        </w:numPr>
        <w:tabs>
          <w:tab w:val="clear" w:pos="1080"/>
          <w:tab w:val="num" w:pos="360"/>
        </w:tabs>
        <w:ind w:left="360"/>
        <w:rPr>
          <w:b/>
          <w:sz w:val="24"/>
        </w:rPr>
      </w:pPr>
      <w:r w:rsidRPr="001F3A55">
        <w:rPr>
          <w:b/>
          <w:sz w:val="24"/>
          <w:u w:val="single"/>
        </w:rPr>
        <w:t>Special Circumstances Relating to the Guidelines of 5 CFR 1320.5</w:t>
      </w:r>
    </w:p>
    <w:p w14:paraId="284EDABB" w14:textId="77777777" w:rsidR="007E18E8" w:rsidRDefault="007E18E8" w:rsidP="001F3A55">
      <w:pPr>
        <w:widowControl/>
        <w:rPr>
          <w:sz w:val="24"/>
        </w:rPr>
      </w:pPr>
    </w:p>
    <w:p w14:paraId="48A2CDB4" w14:textId="0B554298" w:rsidR="00160D4F" w:rsidRDefault="00627FFD" w:rsidP="001F3A55">
      <w:pPr>
        <w:widowControl/>
        <w:rPr>
          <w:sz w:val="24"/>
        </w:rPr>
      </w:pPr>
      <w:r w:rsidRPr="009C2CDD">
        <w:rPr>
          <w:sz w:val="24"/>
        </w:rPr>
        <w:t>T</w:t>
      </w:r>
      <w:r w:rsidR="009B3794" w:rsidRPr="009C2CDD">
        <w:rPr>
          <w:sz w:val="24"/>
        </w:rPr>
        <w:t xml:space="preserve">he request fully complies with </w:t>
      </w:r>
      <w:r w:rsidR="00ED2C01" w:rsidRPr="00ED2C01">
        <w:rPr>
          <w:sz w:val="24"/>
        </w:rPr>
        <w:t>5 CFR 1320.5</w:t>
      </w:r>
      <w:r w:rsidR="00ED2C01">
        <w:rPr>
          <w:sz w:val="24"/>
        </w:rPr>
        <w:t>.</w:t>
      </w:r>
    </w:p>
    <w:p w14:paraId="60E87465" w14:textId="4B4383BC" w:rsidR="00753956" w:rsidRDefault="00753956" w:rsidP="001F3A55">
      <w:pPr>
        <w:widowControl/>
        <w:rPr>
          <w:sz w:val="24"/>
        </w:rPr>
      </w:pPr>
    </w:p>
    <w:p w14:paraId="7821921E" w14:textId="1B93D413" w:rsidR="00753956" w:rsidRDefault="00753956" w:rsidP="001F3A55">
      <w:pPr>
        <w:widowControl/>
        <w:rPr>
          <w:sz w:val="24"/>
        </w:rPr>
      </w:pPr>
    </w:p>
    <w:p w14:paraId="113BA104" w14:textId="243D4FC3" w:rsidR="00753956" w:rsidRDefault="00753956" w:rsidP="001F3A55">
      <w:pPr>
        <w:widowControl/>
        <w:rPr>
          <w:sz w:val="24"/>
        </w:rPr>
      </w:pPr>
    </w:p>
    <w:p w14:paraId="5F29AEF9" w14:textId="77777777" w:rsidR="00753956" w:rsidRPr="009C2CDD" w:rsidRDefault="00753956" w:rsidP="001F3A55">
      <w:pPr>
        <w:widowControl/>
        <w:rPr>
          <w:sz w:val="24"/>
        </w:rPr>
      </w:pPr>
    </w:p>
    <w:p w14:paraId="0C40B2E2" w14:textId="77777777" w:rsidR="001F3A55" w:rsidRPr="009C2CDD" w:rsidRDefault="001F3A55" w:rsidP="001F3A55">
      <w:pPr>
        <w:widowControl/>
        <w:rPr>
          <w:sz w:val="24"/>
        </w:rPr>
      </w:pPr>
    </w:p>
    <w:p w14:paraId="291B367C" w14:textId="77777777" w:rsidR="009B3794" w:rsidRPr="001F3A55" w:rsidRDefault="009B3794" w:rsidP="001F3A55">
      <w:pPr>
        <w:numPr>
          <w:ilvl w:val="0"/>
          <w:numId w:val="2"/>
        </w:numPr>
        <w:tabs>
          <w:tab w:val="clear" w:pos="1080"/>
          <w:tab w:val="num" w:pos="360"/>
        </w:tabs>
        <w:ind w:left="360"/>
        <w:rPr>
          <w:b/>
          <w:sz w:val="24"/>
        </w:rPr>
      </w:pPr>
      <w:r w:rsidRPr="001F3A55">
        <w:rPr>
          <w:b/>
          <w:iCs/>
          <w:sz w:val="24"/>
          <w:u w:val="single"/>
        </w:rPr>
        <w:t>Comments in Response to the Federal Register</w:t>
      </w:r>
      <w:r w:rsidRPr="001F3A55">
        <w:rPr>
          <w:b/>
          <w:sz w:val="24"/>
          <w:u w:val="single"/>
        </w:rPr>
        <w:t xml:space="preserve"> Notice/Outside Consultation</w:t>
      </w:r>
    </w:p>
    <w:p w14:paraId="1405F73C" w14:textId="77777777" w:rsidR="007E18E8" w:rsidRDefault="007E18E8" w:rsidP="001F3A55">
      <w:pPr>
        <w:rPr>
          <w:b/>
          <w:sz w:val="24"/>
        </w:rPr>
      </w:pPr>
    </w:p>
    <w:p w14:paraId="43EA7783" w14:textId="77777777" w:rsidR="00DE3A45" w:rsidRPr="001F3A55" w:rsidRDefault="00DE3A45" w:rsidP="001F3A55">
      <w:pPr>
        <w:rPr>
          <w:b/>
          <w:sz w:val="24"/>
        </w:rPr>
      </w:pPr>
      <w:r w:rsidRPr="001F3A55">
        <w:rPr>
          <w:b/>
          <w:sz w:val="24"/>
        </w:rPr>
        <w:t>Section 8A:</w:t>
      </w:r>
    </w:p>
    <w:p w14:paraId="14F7B7B5" w14:textId="62EA86CB" w:rsidR="009B3794" w:rsidRPr="00F4753E" w:rsidRDefault="009B3794" w:rsidP="001F3A55">
      <w:pPr>
        <w:rPr>
          <w:sz w:val="24"/>
        </w:rPr>
      </w:pPr>
      <w:r w:rsidRPr="00F4753E">
        <w:rPr>
          <w:sz w:val="24"/>
        </w:rPr>
        <w:t>A 60</w:t>
      </w:r>
      <w:r w:rsidR="00ED2C01">
        <w:rPr>
          <w:sz w:val="24"/>
        </w:rPr>
        <w:t>-</w:t>
      </w:r>
      <w:r w:rsidRPr="00F4753E">
        <w:rPr>
          <w:sz w:val="24"/>
        </w:rPr>
        <w:t xml:space="preserve">day </w:t>
      </w:r>
      <w:r w:rsidRPr="00753956">
        <w:rPr>
          <w:i/>
          <w:sz w:val="24"/>
        </w:rPr>
        <w:t>Federal Register</w:t>
      </w:r>
      <w:r w:rsidRPr="00F4753E">
        <w:rPr>
          <w:sz w:val="24"/>
        </w:rPr>
        <w:t xml:space="preserve"> </w:t>
      </w:r>
      <w:r w:rsidR="00ED2C01">
        <w:rPr>
          <w:sz w:val="24"/>
        </w:rPr>
        <w:t>n</w:t>
      </w:r>
      <w:r w:rsidRPr="00F4753E">
        <w:rPr>
          <w:sz w:val="24"/>
        </w:rPr>
        <w:t xml:space="preserve">otice was published on </w:t>
      </w:r>
      <w:r w:rsidR="001777A5" w:rsidRPr="00F4753E">
        <w:rPr>
          <w:sz w:val="24"/>
        </w:rPr>
        <w:t>August</w:t>
      </w:r>
      <w:r w:rsidRPr="00F4753E">
        <w:rPr>
          <w:sz w:val="24"/>
        </w:rPr>
        <w:t xml:space="preserve"> </w:t>
      </w:r>
      <w:r w:rsidR="009763FE">
        <w:rPr>
          <w:sz w:val="24"/>
        </w:rPr>
        <w:t>8</w:t>
      </w:r>
      <w:r w:rsidRPr="00F4753E">
        <w:rPr>
          <w:sz w:val="24"/>
        </w:rPr>
        <w:t>, 2</w:t>
      </w:r>
      <w:r w:rsidR="00CE5AA9" w:rsidRPr="00F4753E">
        <w:rPr>
          <w:sz w:val="24"/>
        </w:rPr>
        <w:t>0</w:t>
      </w:r>
      <w:r w:rsidR="009763FE">
        <w:rPr>
          <w:sz w:val="24"/>
        </w:rPr>
        <w:t>17</w:t>
      </w:r>
      <w:r w:rsidRPr="00F4753E">
        <w:rPr>
          <w:sz w:val="24"/>
        </w:rPr>
        <w:t xml:space="preserve">, vol. </w:t>
      </w:r>
      <w:r w:rsidR="009763FE">
        <w:rPr>
          <w:sz w:val="24"/>
        </w:rPr>
        <w:t>82</w:t>
      </w:r>
      <w:r w:rsidRPr="00F4753E">
        <w:rPr>
          <w:sz w:val="24"/>
        </w:rPr>
        <w:t>, No.</w:t>
      </w:r>
      <w:r w:rsidR="00CE5AA9" w:rsidRPr="00F4753E">
        <w:rPr>
          <w:sz w:val="24"/>
        </w:rPr>
        <w:t xml:space="preserve"> </w:t>
      </w:r>
      <w:r w:rsidR="009763FE">
        <w:rPr>
          <w:sz w:val="24"/>
        </w:rPr>
        <w:t>151</w:t>
      </w:r>
      <w:r w:rsidRPr="00F4753E">
        <w:rPr>
          <w:sz w:val="24"/>
        </w:rPr>
        <w:t xml:space="preserve">; pp. </w:t>
      </w:r>
      <w:r w:rsidR="009763FE">
        <w:rPr>
          <w:sz w:val="24"/>
        </w:rPr>
        <w:t>37103</w:t>
      </w:r>
      <w:r w:rsidRPr="00F4753E">
        <w:rPr>
          <w:sz w:val="24"/>
        </w:rPr>
        <w:t>-</w:t>
      </w:r>
      <w:r w:rsidR="009763FE">
        <w:rPr>
          <w:sz w:val="24"/>
        </w:rPr>
        <w:t>37104</w:t>
      </w:r>
      <w:r w:rsidRPr="00F4753E">
        <w:rPr>
          <w:sz w:val="24"/>
        </w:rPr>
        <w:t xml:space="preserve">. </w:t>
      </w:r>
      <w:r w:rsidR="009C2CDD" w:rsidRPr="00F4753E">
        <w:rPr>
          <w:sz w:val="24"/>
        </w:rPr>
        <w:t xml:space="preserve"> </w:t>
      </w:r>
      <w:r w:rsidR="007C06D2">
        <w:rPr>
          <w:sz w:val="24"/>
        </w:rPr>
        <w:t xml:space="preserve">No comments were received.  </w:t>
      </w:r>
    </w:p>
    <w:p w14:paraId="7E4F496E" w14:textId="77777777" w:rsidR="00282EB7" w:rsidRPr="001F3A55" w:rsidRDefault="00282EB7" w:rsidP="001F3A55">
      <w:pPr>
        <w:rPr>
          <w:b/>
          <w:sz w:val="24"/>
        </w:rPr>
      </w:pPr>
    </w:p>
    <w:p w14:paraId="42C10762" w14:textId="77777777" w:rsidR="00DE3A45" w:rsidRPr="001F3A55" w:rsidRDefault="00DE3A45" w:rsidP="001F3A55">
      <w:pPr>
        <w:rPr>
          <w:b/>
          <w:sz w:val="24"/>
        </w:rPr>
      </w:pPr>
      <w:r w:rsidRPr="001F3A55">
        <w:rPr>
          <w:b/>
          <w:sz w:val="24"/>
        </w:rPr>
        <w:t>Section 8B:</w:t>
      </w:r>
    </w:p>
    <w:p w14:paraId="02450F59" w14:textId="45925FDF" w:rsidR="001777A5" w:rsidRPr="001F3A55" w:rsidRDefault="001777A5" w:rsidP="001F3A55">
      <w:pPr>
        <w:rPr>
          <w:sz w:val="24"/>
        </w:rPr>
      </w:pPr>
      <w:r w:rsidRPr="001F3A55">
        <w:rPr>
          <w:sz w:val="24"/>
        </w:rPr>
        <w:t>The National Marrow Donor Program/Be The Match</w:t>
      </w:r>
      <w:r w:rsidR="009C2CDD" w:rsidRPr="009C2CDD">
        <w:rPr>
          <w:b/>
          <w:bCs/>
          <w:sz w:val="24"/>
          <w:vertAlign w:val="superscript"/>
        </w:rPr>
        <w:t>®</w:t>
      </w:r>
      <w:r w:rsidRPr="001F3A55">
        <w:rPr>
          <w:sz w:val="24"/>
        </w:rPr>
        <w:t xml:space="preserve"> Patient Services Advisory Group (advisory group the Board of Directors) reviews results of this survey annually. </w:t>
      </w:r>
      <w:r w:rsidR="009C2CDD">
        <w:rPr>
          <w:sz w:val="24"/>
        </w:rPr>
        <w:t xml:space="preserve"> </w:t>
      </w:r>
      <w:r w:rsidRPr="001F3A55">
        <w:rPr>
          <w:sz w:val="24"/>
        </w:rPr>
        <w:t>The advisory group is comprised of blood and marrow transplant survivors, caregivers, health professionals</w:t>
      </w:r>
      <w:r w:rsidR="00BC5A25">
        <w:rPr>
          <w:sz w:val="24"/>
        </w:rPr>
        <w:t>,</w:t>
      </w:r>
      <w:r w:rsidRPr="001F3A55">
        <w:rPr>
          <w:sz w:val="24"/>
        </w:rPr>
        <w:t xml:space="preserve"> and patient advocates</w:t>
      </w:r>
      <w:r w:rsidR="007C06D2">
        <w:rPr>
          <w:sz w:val="24"/>
        </w:rPr>
        <w:t xml:space="preserve">.  </w:t>
      </w:r>
      <w:r w:rsidRPr="001F3A55">
        <w:rPr>
          <w:sz w:val="24"/>
        </w:rPr>
        <w:t xml:space="preserve"> </w:t>
      </w:r>
      <w:r w:rsidR="007F4D94" w:rsidRPr="00160D4F">
        <w:rPr>
          <w:sz w:val="24"/>
        </w:rPr>
        <w:t>No major problems with the instrument or results were identified</w:t>
      </w:r>
      <w:r w:rsidR="007C06D2">
        <w:rPr>
          <w:sz w:val="24"/>
        </w:rPr>
        <w:t>.</w:t>
      </w:r>
      <w:r w:rsidR="007F4D94" w:rsidRPr="00160D4F">
        <w:rPr>
          <w:sz w:val="24"/>
        </w:rPr>
        <w:t xml:space="preserve"> </w:t>
      </w:r>
    </w:p>
    <w:p w14:paraId="2E6A8D85" w14:textId="77777777" w:rsidR="001F3A55" w:rsidRPr="001F3A55" w:rsidRDefault="001F3A55" w:rsidP="001F3A55">
      <w:pPr>
        <w:rPr>
          <w:b/>
          <w:sz w:val="24"/>
        </w:rPr>
      </w:pPr>
    </w:p>
    <w:p w14:paraId="48C3E609" w14:textId="77777777" w:rsidR="009B3794" w:rsidRPr="001F3A55" w:rsidRDefault="009B3794" w:rsidP="001F3A55">
      <w:pPr>
        <w:numPr>
          <w:ilvl w:val="0"/>
          <w:numId w:val="2"/>
        </w:numPr>
        <w:tabs>
          <w:tab w:val="clear" w:pos="1080"/>
          <w:tab w:val="num" w:pos="360"/>
        </w:tabs>
        <w:ind w:left="360"/>
        <w:rPr>
          <w:b/>
          <w:sz w:val="24"/>
        </w:rPr>
      </w:pPr>
      <w:r w:rsidRPr="001F3A55">
        <w:rPr>
          <w:b/>
          <w:sz w:val="24"/>
          <w:u w:val="single"/>
        </w:rPr>
        <w:t>Explanation of any Payment/Gift to Respondents</w:t>
      </w:r>
    </w:p>
    <w:p w14:paraId="1E5CB306" w14:textId="77777777" w:rsidR="007E18E8" w:rsidRDefault="007E18E8" w:rsidP="001F3A55">
      <w:pPr>
        <w:rPr>
          <w:sz w:val="24"/>
        </w:rPr>
      </w:pPr>
    </w:p>
    <w:p w14:paraId="654CB928" w14:textId="77777777" w:rsidR="00935E77" w:rsidRPr="009C2CDD" w:rsidRDefault="00935E77" w:rsidP="001F3A55">
      <w:pPr>
        <w:rPr>
          <w:sz w:val="24"/>
        </w:rPr>
      </w:pPr>
      <w:r w:rsidRPr="009C2CDD">
        <w:rPr>
          <w:sz w:val="24"/>
        </w:rPr>
        <w:t xml:space="preserve">Respondents will not receive </w:t>
      </w:r>
      <w:r w:rsidR="008B04CA" w:rsidRPr="009C2CDD">
        <w:rPr>
          <w:sz w:val="24"/>
        </w:rPr>
        <w:t xml:space="preserve">any </w:t>
      </w:r>
      <w:r w:rsidRPr="009C2CDD">
        <w:rPr>
          <w:sz w:val="24"/>
        </w:rPr>
        <w:t>payment</w:t>
      </w:r>
      <w:r w:rsidR="008B04CA" w:rsidRPr="009C2CDD">
        <w:rPr>
          <w:sz w:val="24"/>
        </w:rPr>
        <w:t>s</w:t>
      </w:r>
      <w:r w:rsidRPr="009C2CDD">
        <w:rPr>
          <w:sz w:val="24"/>
        </w:rPr>
        <w:t xml:space="preserve"> or gifts.</w:t>
      </w:r>
    </w:p>
    <w:p w14:paraId="4B68146A" w14:textId="77777777" w:rsidR="001F3A55" w:rsidRPr="001F3A55" w:rsidRDefault="001F3A55" w:rsidP="001F3A55">
      <w:pPr>
        <w:rPr>
          <w:b/>
          <w:sz w:val="24"/>
        </w:rPr>
      </w:pPr>
    </w:p>
    <w:p w14:paraId="72E3FB06" w14:textId="77777777" w:rsidR="009B3794" w:rsidRPr="001F3A55" w:rsidRDefault="009B3794" w:rsidP="001F3A55">
      <w:pPr>
        <w:numPr>
          <w:ilvl w:val="0"/>
          <w:numId w:val="2"/>
        </w:numPr>
        <w:tabs>
          <w:tab w:val="clear" w:pos="1080"/>
          <w:tab w:val="num" w:pos="360"/>
        </w:tabs>
        <w:ind w:left="360"/>
        <w:rPr>
          <w:b/>
          <w:sz w:val="24"/>
        </w:rPr>
      </w:pPr>
      <w:r w:rsidRPr="001F3A55">
        <w:rPr>
          <w:b/>
          <w:sz w:val="24"/>
          <w:u w:val="single"/>
        </w:rPr>
        <w:t>Assurance of Confidentiality Provided to Respondents</w:t>
      </w:r>
    </w:p>
    <w:p w14:paraId="2F221130" w14:textId="77777777" w:rsidR="007E18E8" w:rsidRDefault="007E18E8" w:rsidP="001F3A55">
      <w:pPr>
        <w:tabs>
          <w:tab w:val="left" w:pos="-720"/>
        </w:tabs>
        <w:rPr>
          <w:sz w:val="24"/>
        </w:rPr>
      </w:pPr>
    </w:p>
    <w:p w14:paraId="48FA2997" w14:textId="323B2DAD" w:rsidR="007F4D94" w:rsidRPr="001F3A55" w:rsidRDefault="007F4D94" w:rsidP="001F3A55">
      <w:pPr>
        <w:tabs>
          <w:tab w:val="left" w:pos="-720"/>
        </w:tabs>
        <w:rPr>
          <w:sz w:val="24"/>
        </w:rPr>
      </w:pPr>
      <w:r w:rsidRPr="001F3A55">
        <w:rPr>
          <w:sz w:val="24"/>
        </w:rPr>
        <w:t>This collection of information will involve names and email and/or mailing address</w:t>
      </w:r>
      <w:r w:rsidR="00ED2C01">
        <w:rPr>
          <w:sz w:val="24"/>
        </w:rPr>
        <w:t>es</w:t>
      </w:r>
      <w:r w:rsidRPr="001F3A55">
        <w:rPr>
          <w:sz w:val="24"/>
        </w:rPr>
        <w:t xml:space="preserve"> for the purpose of administering the survey only and will fully comply with the Privacy Act. </w:t>
      </w:r>
      <w:r w:rsidR="00511904">
        <w:rPr>
          <w:sz w:val="24"/>
        </w:rPr>
        <w:t xml:space="preserve"> </w:t>
      </w:r>
      <w:r w:rsidRPr="001F3A55">
        <w:rPr>
          <w:sz w:val="24"/>
        </w:rPr>
        <w:t>Separate databases are used for participant names and addresses</w:t>
      </w:r>
      <w:r w:rsidR="00ED2C01">
        <w:rPr>
          <w:sz w:val="24"/>
        </w:rPr>
        <w:t xml:space="preserve"> </w:t>
      </w:r>
      <w:r w:rsidR="00F4753E">
        <w:rPr>
          <w:sz w:val="24"/>
        </w:rPr>
        <w:t>and</w:t>
      </w:r>
      <w:r w:rsidRPr="001F3A55">
        <w:rPr>
          <w:sz w:val="24"/>
        </w:rPr>
        <w:t xml:space="preserve"> survey responses. </w:t>
      </w:r>
      <w:r w:rsidR="00ED2C01">
        <w:rPr>
          <w:sz w:val="24"/>
        </w:rPr>
        <w:t xml:space="preserve"> </w:t>
      </w:r>
      <w:r w:rsidRPr="001F3A55">
        <w:rPr>
          <w:sz w:val="24"/>
        </w:rPr>
        <w:t xml:space="preserve">A unique identifier is assigned to each participant for survey response tracking only. </w:t>
      </w:r>
      <w:r w:rsidR="00862396">
        <w:rPr>
          <w:sz w:val="24"/>
        </w:rPr>
        <w:t xml:space="preserve"> </w:t>
      </w:r>
      <w:r w:rsidRPr="001F3A55">
        <w:rPr>
          <w:sz w:val="24"/>
        </w:rPr>
        <w:t xml:space="preserve">The data manager and data analyst do not have cross-linking access to the separate databases. </w:t>
      </w:r>
      <w:r w:rsidR="00862396">
        <w:rPr>
          <w:sz w:val="24"/>
        </w:rPr>
        <w:t xml:space="preserve"> </w:t>
      </w:r>
      <w:r w:rsidRPr="001F3A55">
        <w:rPr>
          <w:sz w:val="24"/>
        </w:rPr>
        <w:t>All staff involved in the administration, analysis</w:t>
      </w:r>
      <w:r w:rsidR="00BC5A25">
        <w:rPr>
          <w:sz w:val="24"/>
        </w:rPr>
        <w:t>,</w:t>
      </w:r>
      <w:r w:rsidRPr="001F3A55">
        <w:rPr>
          <w:sz w:val="24"/>
        </w:rPr>
        <w:t xml:space="preserve"> and reporting of data are </w:t>
      </w:r>
      <w:r w:rsidRPr="00160D4F">
        <w:rPr>
          <w:sz w:val="24"/>
        </w:rPr>
        <w:t>CITI</w:t>
      </w:r>
      <w:r w:rsidR="0002404D" w:rsidRPr="00160D4F">
        <w:rPr>
          <w:sz w:val="24"/>
        </w:rPr>
        <w:t xml:space="preserve"> (Collaborative Institutional Training Initiative)</w:t>
      </w:r>
      <w:r w:rsidRPr="00160D4F">
        <w:rPr>
          <w:sz w:val="24"/>
        </w:rPr>
        <w:t xml:space="preserve"> certified</w:t>
      </w:r>
      <w:r w:rsidR="0002404D" w:rsidRPr="00160D4F">
        <w:rPr>
          <w:sz w:val="24"/>
        </w:rPr>
        <w:t xml:space="preserve"> for human subjects research</w:t>
      </w:r>
      <w:r w:rsidRPr="00160D4F">
        <w:rPr>
          <w:sz w:val="24"/>
        </w:rPr>
        <w:t xml:space="preserve">. </w:t>
      </w:r>
      <w:r w:rsidR="000812E2" w:rsidRPr="00160D4F">
        <w:rPr>
          <w:sz w:val="24"/>
        </w:rPr>
        <w:t xml:space="preserve"> </w:t>
      </w:r>
      <w:r w:rsidRPr="00160D4F">
        <w:rPr>
          <w:sz w:val="24"/>
        </w:rPr>
        <w:t>While this is considered evaluation, not human</w:t>
      </w:r>
      <w:r w:rsidRPr="001F3A55">
        <w:rPr>
          <w:sz w:val="24"/>
        </w:rPr>
        <w:t xml:space="preserve"> subjects research, the NMDP IRB has previously reviewed this procedure for protection of humans and deemed it acceptable. </w:t>
      </w:r>
    </w:p>
    <w:p w14:paraId="7B10DD6C" w14:textId="77777777" w:rsidR="000812E2" w:rsidRDefault="000812E2" w:rsidP="001F3A55">
      <w:pPr>
        <w:tabs>
          <w:tab w:val="left" w:pos="-720"/>
        </w:tabs>
        <w:rPr>
          <w:sz w:val="24"/>
        </w:rPr>
      </w:pPr>
    </w:p>
    <w:p w14:paraId="401A66D0" w14:textId="4EF05A86" w:rsidR="001F3A55" w:rsidRDefault="007F4D94" w:rsidP="001F3A55">
      <w:pPr>
        <w:tabs>
          <w:tab w:val="left" w:pos="-720"/>
        </w:tabs>
        <w:rPr>
          <w:sz w:val="24"/>
        </w:rPr>
      </w:pPr>
      <w:r w:rsidRPr="001F3A55">
        <w:rPr>
          <w:sz w:val="24"/>
        </w:rPr>
        <w:t xml:space="preserve">Participation is fully voluntary and </w:t>
      </w:r>
      <w:r w:rsidRPr="007C06D2">
        <w:rPr>
          <w:sz w:val="24"/>
        </w:rPr>
        <w:t>responses are kept confidential to the extent allowed by law.</w:t>
      </w:r>
      <w:r w:rsidR="00511904">
        <w:rPr>
          <w:sz w:val="24"/>
        </w:rPr>
        <w:t xml:space="preserve"> </w:t>
      </w:r>
      <w:r w:rsidRPr="001F3A55">
        <w:rPr>
          <w:sz w:val="24"/>
        </w:rPr>
        <w:t xml:space="preserve"> Survey responses are not linked to personally identifying information, such as name and email address. </w:t>
      </w:r>
      <w:r w:rsidR="000812E2">
        <w:rPr>
          <w:sz w:val="24"/>
        </w:rPr>
        <w:t xml:space="preserve"> </w:t>
      </w:r>
      <w:r w:rsidRPr="001F3A55">
        <w:rPr>
          <w:sz w:val="24"/>
        </w:rPr>
        <w:t xml:space="preserve">Participants will be assured that their decision whether or not to participate or their responses will not have any effect on their medical care. </w:t>
      </w:r>
      <w:r w:rsidR="00511904">
        <w:rPr>
          <w:sz w:val="24"/>
        </w:rPr>
        <w:t xml:space="preserve"> </w:t>
      </w:r>
      <w:r w:rsidRPr="001F3A55">
        <w:rPr>
          <w:sz w:val="24"/>
        </w:rPr>
        <w:t>Completed surveys are stored electronically on a secure server at NMDP/Be The Match</w:t>
      </w:r>
      <w:r w:rsidR="00511904" w:rsidRPr="009C2CDD">
        <w:rPr>
          <w:b/>
          <w:bCs/>
          <w:sz w:val="24"/>
          <w:vertAlign w:val="superscript"/>
        </w:rPr>
        <w:t>®</w:t>
      </w:r>
      <w:r w:rsidRPr="001F3A55">
        <w:rPr>
          <w:sz w:val="24"/>
        </w:rPr>
        <w:t xml:space="preserve"> for 5 years for trends analyses and</w:t>
      </w:r>
      <w:r w:rsidR="00ED2C01">
        <w:rPr>
          <w:sz w:val="24"/>
        </w:rPr>
        <w:t xml:space="preserve"> are</w:t>
      </w:r>
      <w:r w:rsidRPr="001F3A55">
        <w:rPr>
          <w:sz w:val="24"/>
        </w:rPr>
        <w:t xml:space="preserve"> then destroyed. </w:t>
      </w:r>
    </w:p>
    <w:p w14:paraId="4FE7150D" w14:textId="77777777" w:rsidR="001F3A55" w:rsidRPr="001F3A55" w:rsidRDefault="001F3A55" w:rsidP="001F3A55">
      <w:pPr>
        <w:tabs>
          <w:tab w:val="left" w:pos="-720"/>
        </w:tabs>
        <w:rPr>
          <w:sz w:val="24"/>
        </w:rPr>
      </w:pPr>
    </w:p>
    <w:p w14:paraId="6F1F653E" w14:textId="77777777" w:rsidR="009B3794" w:rsidRPr="001F3A55" w:rsidRDefault="009B3794" w:rsidP="001F3A55">
      <w:pPr>
        <w:numPr>
          <w:ilvl w:val="0"/>
          <w:numId w:val="2"/>
        </w:numPr>
        <w:tabs>
          <w:tab w:val="clear" w:pos="1080"/>
          <w:tab w:val="num" w:pos="360"/>
        </w:tabs>
        <w:ind w:left="360"/>
        <w:rPr>
          <w:b/>
          <w:sz w:val="24"/>
        </w:rPr>
      </w:pPr>
      <w:r w:rsidRPr="001F3A55">
        <w:rPr>
          <w:b/>
          <w:sz w:val="24"/>
          <w:u w:val="single"/>
        </w:rPr>
        <w:t>Justification for Sensitive Questions</w:t>
      </w:r>
    </w:p>
    <w:p w14:paraId="227BED57" w14:textId="77777777" w:rsidR="007E18E8" w:rsidRDefault="007E18E8" w:rsidP="001F3A55">
      <w:pPr>
        <w:tabs>
          <w:tab w:val="left" w:pos="-720"/>
        </w:tabs>
        <w:rPr>
          <w:sz w:val="24"/>
        </w:rPr>
      </w:pPr>
    </w:p>
    <w:p w14:paraId="074CF927" w14:textId="5649A90E" w:rsidR="007F4D94" w:rsidRDefault="007F4D94" w:rsidP="001F3A55">
      <w:pPr>
        <w:tabs>
          <w:tab w:val="left" w:pos="-720"/>
        </w:tabs>
        <w:rPr>
          <w:sz w:val="24"/>
        </w:rPr>
      </w:pPr>
      <w:r w:rsidRPr="001F3A55">
        <w:rPr>
          <w:sz w:val="24"/>
        </w:rPr>
        <w:t xml:space="preserve">The survey includes questions about the respondents’ race and ethnicity. </w:t>
      </w:r>
      <w:r w:rsidR="000812E2">
        <w:rPr>
          <w:sz w:val="24"/>
        </w:rPr>
        <w:t xml:space="preserve"> </w:t>
      </w:r>
      <w:r w:rsidRPr="001F3A55">
        <w:rPr>
          <w:sz w:val="24"/>
        </w:rPr>
        <w:t xml:space="preserve">This data is important for characterizing the population served, describing representativeness of results, and identifying disparities in utilization of PHPS services. </w:t>
      </w:r>
      <w:r w:rsidR="00511904">
        <w:rPr>
          <w:sz w:val="24"/>
        </w:rPr>
        <w:t xml:space="preserve"> </w:t>
      </w:r>
      <w:r w:rsidRPr="001F3A55">
        <w:rPr>
          <w:sz w:val="24"/>
        </w:rPr>
        <w:t xml:space="preserve">The questions are optional and include a “Decline to answer” response option. </w:t>
      </w:r>
      <w:r w:rsidR="000812E2">
        <w:rPr>
          <w:sz w:val="24"/>
        </w:rPr>
        <w:t xml:space="preserve"> </w:t>
      </w:r>
      <w:r w:rsidRPr="001F3A55">
        <w:rPr>
          <w:sz w:val="24"/>
        </w:rPr>
        <w:t xml:space="preserve">No other sensitive items are included in this survey. </w:t>
      </w:r>
    </w:p>
    <w:p w14:paraId="62E75A9F" w14:textId="77777777" w:rsidR="00160D4F" w:rsidRDefault="00160D4F" w:rsidP="001F3A55">
      <w:pPr>
        <w:tabs>
          <w:tab w:val="left" w:pos="-720"/>
        </w:tabs>
        <w:rPr>
          <w:sz w:val="24"/>
        </w:rPr>
      </w:pPr>
    </w:p>
    <w:p w14:paraId="2EFEF8C7" w14:textId="77777777" w:rsidR="001F3A55" w:rsidRPr="001F3A55" w:rsidRDefault="001F3A55" w:rsidP="001F3A55">
      <w:pPr>
        <w:tabs>
          <w:tab w:val="left" w:pos="-720"/>
        </w:tabs>
        <w:rPr>
          <w:sz w:val="24"/>
        </w:rPr>
      </w:pPr>
    </w:p>
    <w:p w14:paraId="069AB932" w14:textId="77777777" w:rsidR="009B3794" w:rsidRPr="001F3A55" w:rsidRDefault="009B3794" w:rsidP="001F3A55">
      <w:pPr>
        <w:numPr>
          <w:ilvl w:val="0"/>
          <w:numId w:val="2"/>
        </w:numPr>
        <w:tabs>
          <w:tab w:val="clear" w:pos="1080"/>
          <w:tab w:val="num" w:pos="360"/>
        </w:tabs>
        <w:ind w:left="360"/>
        <w:rPr>
          <w:sz w:val="24"/>
        </w:rPr>
      </w:pPr>
      <w:r w:rsidRPr="001F3A55">
        <w:rPr>
          <w:b/>
          <w:sz w:val="24"/>
          <w:u w:val="single"/>
        </w:rPr>
        <w:t xml:space="preserve">Estimates of Annualized Hour and Cost Burden  </w:t>
      </w:r>
    </w:p>
    <w:p w14:paraId="78BF70E7" w14:textId="77777777" w:rsidR="007E18E8" w:rsidRDefault="007E18E8" w:rsidP="001F3A55">
      <w:pPr>
        <w:pStyle w:val="NormalSS"/>
        <w:ind w:firstLine="0"/>
        <w:jc w:val="left"/>
        <w:rPr>
          <w:i/>
          <w:iCs/>
          <w:szCs w:val="24"/>
        </w:rPr>
      </w:pPr>
    </w:p>
    <w:p w14:paraId="635B4188" w14:textId="77777777" w:rsidR="007F4D94" w:rsidRPr="001F3A55" w:rsidRDefault="007F4D94" w:rsidP="001F3A55">
      <w:pPr>
        <w:pStyle w:val="NormalSS"/>
        <w:ind w:firstLine="0"/>
        <w:jc w:val="left"/>
        <w:rPr>
          <w:i/>
          <w:iCs/>
          <w:szCs w:val="24"/>
        </w:rPr>
      </w:pPr>
      <w:r w:rsidRPr="001F3A55">
        <w:rPr>
          <w:i/>
          <w:iCs/>
          <w:szCs w:val="24"/>
        </w:rPr>
        <w:t>Respondents:</w:t>
      </w:r>
    </w:p>
    <w:p w14:paraId="3EEDE2BC" w14:textId="55CD38AE" w:rsidR="007F4D94" w:rsidRPr="001F3A55" w:rsidRDefault="007F4D94" w:rsidP="001F3A55">
      <w:pPr>
        <w:pStyle w:val="NormalSS"/>
        <w:ind w:firstLine="0"/>
        <w:jc w:val="left"/>
        <w:rPr>
          <w:szCs w:val="24"/>
        </w:rPr>
      </w:pPr>
      <w:r w:rsidRPr="001F3A55">
        <w:rPr>
          <w:szCs w:val="24"/>
        </w:rPr>
        <w:t>Respondents will include all patients, caregivers</w:t>
      </w:r>
      <w:r w:rsidR="00BC5A25">
        <w:rPr>
          <w:szCs w:val="24"/>
        </w:rPr>
        <w:t>,</w:t>
      </w:r>
      <w:r w:rsidRPr="001F3A55">
        <w:rPr>
          <w:szCs w:val="24"/>
        </w:rPr>
        <w:t xml:space="preserve"> and family members who have contact with </w:t>
      </w:r>
      <w:r w:rsidR="000C4003">
        <w:rPr>
          <w:szCs w:val="24"/>
        </w:rPr>
        <w:t>the Patient Support Center</w:t>
      </w:r>
      <w:r w:rsidRPr="001F3A55">
        <w:rPr>
          <w:szCs w:val="24"/>
        </w:rPr>
        <w:t xml:space="preserve"> via phone or email for </w:t>
      </w:r>
      <w:r w:rsidR="000C4003">
        <w:rPr>
          <w:szCs w:val="24"/>
        </w:rPr>
        <w:t>BMT</w:t>
      </w:r>
      <w:r w:rsidRPr="001F3A55">
        <w:rPr>
          <w:szCs w:val="24"/>
        </w:rPr>
        <w:t xml:space="preserve"> navigation services and support (advocacy). </w:t>
      </w:r>
      <w:r w:rsidR="00511904">
        <w:rPr>
          <w:szCs w:val="24"/>
        </w:rPr>
        <w:t xml:space="preserve"> </w:t>
      </w:r>
      <w:r w:rsidRPr="001F3A55">
        <w:rPr>
          <w:szCs w:val="24"/>
        </w:rPr>
        <w:t xml:space="preserve">The decision to survey all participants was made based on the historically low response rate to this survey due to patients’ frequent transitions in health status as well as </w:t>
      </w:r>
      <w:r w:rsidR="00CF2320">
        <w:rPr>
          <w:szCs w:val="24"/>
        </w:rPr>
        <w:t xml:space="preserve">transfer </w:t>
      </w:r>
      <w:r w:rsidRPr="001F3A55">
        <w:rPr>
          <w:szCs w:val="24"/>
        </w:rPr>
        <w:t>between home and the hospital for initial treatment and care for complications.</w:t>
      </w:r>
    </w:p>
    <w:p w14:paraId="47202874" w14:textId="77777777" w:rsidR="00DC2E5D" w:rsidRPr="001F3A55" w:rsidRDefault="00DC2E5D" w:rsidP="001F3A55">
      <w:pPr>
        <w:pStyle w:val="NormalSS"/>
        <w:ind w:firstLine="0"/>
        <w:jc w:val="left"/>
        <w:rPr>
          <w:szCs w:val="24"/>
        </w:rPr>
      </w:pPr>
    </w:p>
    <w:p w14:paraId="37BCC208" w14:textId="77777777" w:rsidR="00DC2E5D" w:rsidRPr="001F3A55" w:rsidRDefault="00DC2E5D" w:rsidP="001F3A55">
      <w:pPr>
        <w:pStyle w:val="NormalSS"/>
        <w:ind w:firstLine="0"/>
        <w:jc w:val="left"/>
        <w:rPr>
          <w:bCs/>
          <w:szCs w:val="24"/>
        </w:rPr>
      </w:pPr>
      <w:r w:rsidRPr="001F3A55">
        <w:rPr>
          <w:i/>
          <w:szCs w:val="24"/>
        </w:rPr>
        <w:t>Planned frequency of information collection:</w:t>
      </w:r>
    </w:p>
    <w:p w14:paraId="5F6C8937" w14:textId="508D25C1" w:rsidR="00DC2E5D" w:rsidRPr="001F3A55" w:rsidRDefault="00DC2E5D" w:rsidP="001F3A55">
      <w:pPr>
        <w:pStyle w:val="NormalSS"/>
        <w:ind w:firstLine="0"/>
        <w:jc w:val="left"/>
        <w:rPr>
          <w:bCs/>
          <w:szCs w:val="24"/>
        </w:rPr>
      </w:pPr>
      <w:r w:rsidRPr="001F3A55">
        <w:rPr>
          <w:bCs/>
          <w:szCs w:val="24"/>
        </w:rPr>
        <w:t>Participants will receive the survey only one-time in a 2</w:t>
      </w:r>
      <w:r w:rsidR="000812E2">
        <w:rPr>
          <w:bCs/>
          <w:szCs w:val="24"/>
        </w:rPr>
        <w:t>-</w:t>
      </w:r>
      <w:r w:rsidRPr="001F3A55">
        <w:rPr>
          <w:bCs/>
          <w:szCs w:val="24"/>
        </w:rPr>
        <w:t xml:space="preserve">year cycle. </w:t>
      </w:r>
      <w:r w:rsidR="00132CA7">
        <w:rPr>
          <w:bCs/>
          <w:szCs w:val="24"/>
        </w:rPr>
        <w:t xml:space="preserve"> </w:t>
      </w:r>
      <w:r w:rsidRPr="001F3A55">
        <w:rPr>
          <w:bCs/>
          <w:szCs w:val="24"/>
        </w:rPr>
        <w:t xml:space="preserve">If a participant contacts </w:t>
      </w:r>
      <w:r w:rsidR="000C4003">
        <w:rPr>
          <w:bCs/>
          <w:szCs w:val="24"/>
        </w:rPr>
        <w:t>the Patient Support Center</w:t>
      </w:r>
      <w:r w:rsidRPr="001F3A55">
        <w:rPr>
          <w:bCs/>
          <w:szCs w:val="24"/>
        </w:rPr>
        <w:t xml:space="preserve"> 2 or more years after the initial contact, he or she will receive a second survey. </w:t>
      </w:r>
      <w:r w:rsidR="000812E2">
        <w:rPr>
          <w:bCs/>
          <w:szCs w:val="24"/>
        </w:rPr>
        <w:t xml:space="preserve"> </w:t>
      </w:r>
      <w:r w:rsidRPr="001F3A55">
        <w:rPr>
          <w:bCs/>
          <w:szCs w:val="24"/>
        </w:rPr>
        <w:t>This is because we anticipate that the participants’ needs, technology, available services</w:t>
      </w:r>
      <w:r w:rsidR="00BC5A25">
        <w:rPr>
          <w:bCs/>
          <w:szCs w:val="24"/>
        </w:rPr>
        <w:t>,</w:t>
      </w:r>
      <w:r w:rsidRPr="001F3A55">
        <w:rPr>
          <w:bCs/>
          <w:szCs w:val="24"/>
        </w:rPr>
        <w:t xml:space="preserve"> and delivery methods have likely changed during the time lapse. </w:t>
      </w:r>
    </w:p>
    <w:p w14:paraId="61D8FACA" w14:textId="77777777" w:rsidR="007F4D94" w:rsidRPr="001F3A55" w:rsidRDefault="007F4D94" w:rsidP="001F3A55">
      <w:pPr>
        <w:pStyle w:val="NormalSS"/>
        <w:ind w:left="1080" w:firstLine="0"/>
        <w:jc w:val="left"/>
        <w:rPr>
          <w:i/>
          <w:iCs/>
          <w:szCs w:val="24"/>
        </w:rPr>
      </w:pPr>
    </w:p>
    <w:p w14:paraId="5C1A023B" w14:textId="77777777" w:rsidR="007F4D94" w:rsidRPr="001F3A55" w:rsidRDefault="007F4D94" w:rsidP="001F3A55">
      <w:pPr>
        <w:pStyle w:val="NormalSS"/>
        <w:ind w:firstLine="0"/>
        <w:jc w:val="left"/>
        <w:rPr>
          <w:i/>
          <w:iCs/>
          <w:szCs w:val="24"/>
        </w:rPr>
      </w:pPr>
      <w:r w:rsidRPr="001F3A55">
        <w:rPr>
          <w:i/>
          <w:iCs/>
          <w:szCs w:val="24"/>
        </w:rPr>
        <w:t>Annual burden estimates:</w:t>
      </w:r>
    </w:p>
    <w:p w14:paraId="6CD46C05" w14:textId="006B58D1" w:rsidR="007F4D94" w:rsidRDefault="007F4D94" w:rsidP="001F3A55">
      <w:pPr>
        <w:pStyle w:val="NormalSS"/>
        <w:ind w:firstLine="0"/>
        <w:jc w:val="left"/>
        <w:rPr>
          <w:szCs w:val="24"/>
        </w:rPr>
      </w:pPr>
      <w:r w:rsidRPr="001F3A55">
        <w:rPr>
          <w:szCs w:val="24"/>
        </w:rPr>
        <w:t xml:space="preserve">The total respondent burden for the telephone-based customer satisfaction surveys is estimated to be 105 hours. </w:t>
      </w:r>
      <w:r w:rsidR="00F0496C">
        <w:rPr>
          <w:szCs w:val="24"/>
        </w:rPr>
        <w:t xml:space="preserve"> </w:t>
      </w:r>
      <w:r w:rsidR="00ED2C01">
        <w:rPr>
          <w:szCs w:val="24"/>
        </w:rPr>
        <w:t>HRSA</w:t>
      </w:r>
      <w:r w:rsidRPr="001F3A55">
        <w:rPr>
          <w:szCs w:val="24"/>
        </w:rPr>
        <w:t xml:space="preserve"> expect</w:t>
      </w:r>
      <w:r w:rsidR="00ED2C01">
        <w:rPr>
          <w:szCs w:val="24"/>
        </w:rPr>
        <w:t>s</w:t>
      </w:r>
      <w:r w:rsidRPr="001F3A55">
        <w:rPr>
          <w:szCs w:val="24"/>
        </w:rPr>
        <w:t xml:space="preserve"> a total of 420 respondents (33% response rate) to complete the Be The Match</w:t>
      </w:r>
      <w:r w:rsidR="00D34E02" w:rsidRPr="009C2CDD">
        <w:rPr>
          <w:b/>
          <w:bCs/>
          <w:szCs w:val="24"/>
          <w:vertAlign w:val="superscript"/>
        </w:rPr>
        <w:t>®</w:t>
      </w:r>
      <w:r w:rsidRPr="001F3A55">
        <w:rPr>
          <w:szCs w:val="24"/>
        </w:rPr>
        <w:t xml:space="preserve"> Patient </w:t>
      </w:r>
      <w:r w:rsidR="000C4003">
        <w:rPr>
          <w:szCs w:val="24"/>
        </w:rPr>
        <w:t>Support Center</w:t>
      </w:r>
      <w:r w:rsidRPr="001F3A55">
        <w:rPr>
          <w:szCs w:val="24"/>
        </w:rPr>
        <w:t xml:space="preserve"> Survey.  </w:t>
      </w:r>
    </w:p>
    <w:p w14:paraId="2C40ECCF" w14:textId="77777777" w:rsidR="001F3A55" w:rsidRPr="001F3A55" w:rsidRDefault="001F3A55" w:rsidP="001F3A55">
      <w:pPr>
        <w:pStyle w:val="NormalSS"/>
        <w:ind w:firstLine="0"/>
        <w:jc w:val="left"/>
        <w:rPr>
          <w:i/>
          <w:iCs/>
          <w:szCs w:val="24"/>
        </w:rPr>
      </w:pPr>
    </w:p>
    <w:p w14:paraId="51C997BE" w14:textId="77777777" w:rsidR="009B3794" w:rsidRDefault="009B3794" w:rsidP="00D87743">
      <w:pPr>
        <w:widowControl/>
        <w:tabs>
          <w:tab w:val="num" w:pos="630"/>
        </w:tabs>
        <w:rPr>
          <w:b/>
          <w:sz w:val="24"/>
        </w:rPr>
      </w:pPr>
      <w:r w:rsidRPr="001F3A55">
        <w:rPr>
          <w:b/>
          <w:sz w:val="24"/>
        </w:rPr>
        <w:t>12A.</w:t>
      </w:r>
      <w:r w:rsidRPr="001F3A55">
        <w:rPr>
          <w:sz w:val="24"/>
        </w:rPr>
        <w:t xml:space="preserve"> </w:t>
      </w:r>
      <w:r w:rsidRPr="001F3A55">
        <w:rPr>
          <w:b/>
          <w:sz w:val="24"/>
        </w:rPr>
        <w:t>Estimated Annualized Burden Hours</w:t>
      </w:r>
    </w:p>
    <w:p w14:paraId="3DCF25FF" w14:textId="77777777" w:rsidR="00D87743" w:rsidRPr="001F3A55" w:rsidRDefault="00D87743" w:rsidP="00D87743">
      <w:pPr>
        <w:widowControl/>
        <w:tabs>
          <w:tab w:val="num" w:pos="630"/>
        </w:tabs>
        <w:rPr>
          <w:sz w:val="24"/>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977"/>
        <w:gridCol w:w="1698"/>
        <w:gridCol w:w="1571"/>
        <w:gridCol w:w="1270"/>
        <w:gridCol w:w="1330"/>
        <w:gridCol w:w="1048"/>
      </w:tblGrid>
      <w:tr w:rsidR="006121DC" w:rsidRPr="001F3A55" w14:paraId="21C2D7AF" w14:textId="77777777" w:rsidTr="006121DC">
        <w:trPr>
          <w:trHeight w:val="1517"/>
        </w:trPr>
        <w:tc>
          <w:tcPr>
            <w:tcW w:w="1571" w:type="dxa"/>
          </w:tcPr>
          <w:p w14:paraId="4EF17689" w14:textId="77777777" w:rsidR="006121DC" w:rsidRPr="001F3A55" w:rsidRDefault="006121DC" w:rsidP="001F3A55">
            <w:pPr>
              <w:widowControl/>
              <w:tabs>
                <w:tab w:val="num" w:pos="1080"/>
              </w:tabs>
              <w:rPr>
                <w:b/>
                <w:bCs/>
                <w:sz w:val="24"/>
              </w:rPr>
            </w:pPr>
            <w:r w:rsidRPr="001F3A55">
              <w:rPr>
                <w:b/>
                <w:bCs/>
                <w:sz w:val="24"/>
              </w:rPr>
              <w:t>Type of</w:t>
            </w:r>
          </w:p>
          <w:p w14:paraId="205D49E0" w14:textId="77777777" w:rsidR="006121DC" w:rsidRPr="001F3A55" w:rsidRDefault="006121DC" w:rsidP="00D34E02">
            <w:pPr>
              <w:widowControl/>
              <w:tabs>
                <w:tab w:val="num" w:pos="1080"/>
              </w:tabs>
              <w:rPr>
                <w:b/>
                <w:bCs/>
                <w:sz w:val="24"/>
              </w:rPr>
            </w:pPr>
            <w:r w:rsidRPr="001F3A55">
              <w:rPr>
                <w:b/>
                <w:bCs/>
                <w:sz w:val="24"/>
              </w:rPr>
              <w:t>Respondent</w:t>
            </w:r>
          </w:p>
        </w:tc>
        <w:tc>
          <w:tcPr>
            <w:tcW w:w="977" w:type="dxa"/>
          </w:tcPr>
          <w:p w14:paraId="35E7E3A1" w14:textId="77777777" w:rsidR="006121DC" w:rsidRPr="001F3A55" w:rsidRDefault="006121DC" w:rsidP="001F3A55">
            <w:pPr>
              <w:widowControl/>
              <w:tabs>
                <w:tab w:val="num" w:pos="1080"/>
              </w:tabs>
              <w:rPr>
                <w:b/>
                <w:bCs/>
                <w:sz w:val="24"/>
              </w:rPr>
            </w:pPr>
            <w:r w:rsidRPr="001F3A55">
              <w:rPr>
                <w:b/>
                <w:bCs/>
                <w:sz w:val="24"/>
              </w:rPr>
              <w:t>Form</w:t>
            </w:r>
          </w:p>
          <w:p w14:paraId="1C145562" w14:textId="77777777" w:rsidR="006121DC" w:rsidRPr="001F3A55" w:rsidRDefault="006121DC" w:rsidP="00D34E02">
            <w:pPr>
              <w:widowControl/>
              <w:tabs>
                <w:tab w:val="num" w:pos="1080"/>
              </w:tabs>
              <w:rPr>
                <w:b/>
                <w:bCs/>
                <w:sz w:val="24"/>
              </w:rPr>
            </w:pPr>
            <w:r w:rsidRPr="001F3A55">
              <w:rPr>
                <w:b/>
                <w:bCs/>
                <w:sz w:val="24"/>
              </w:rPr>
              <w:t>Name</w:t>
            </w:r>
          </w:p>
        </w:tc>
        <w:tc>
          <w:tcPr>
            <w:tcW w:w="1698" w:type="dxa"/>
          </w:tcPr>
          <w:p w14:paraId="531C456D" w14:textId="77777777" w:rsidR="006121DC" w:rsidRPr="001F3A55" w:rsidRDefault="006121DC" w:rsidP="001F3A55">
            <w:pPr>
              <w:widowControl/>
              <w:tabs>
                <w:tab w:val="num" w:pos="1080"/>
              </w:tabs>
              <w:rPr>
                <w:b/>
                <w:bCs/>
                <w:sz w:val="24"/>
              </w:rPr>
            </w:pPr>
            <w:r w:rsidRPr="001F3A55">
              <w:rPr>
                <w:b/>
                <w:bCs/>
                <w:sz w:val="24"/>
              </w:rPr>
              <w:t>No. of</w:t>
            </w:r>
          </w:p>
          <w:p w14:paraId="7EA0429B" w14:textId="77777777" w:rsidR="006121DC" w:rsidRPr="001F3A55" w:rsidRDefault="006121DC" w:rsidP="001F3A55">
            <w:pPr>
              <w:widowControl/>
              <w:tabs>
                <w:tab w:val="num" w:pos="1080"/>
              </w:tabs>
              <w:rPr>
                <w:b/>
                <w:bCs/>
                <w:sz w:val="24"/>
              </w:rPr>
            </w:pPr>
            <w:r w:rsidRPr="001F3A55">
              <w:rPr>
                <w:b/>
                <w:bCs/>
                <w:sz w:val="24"/>
              </w:rPr>
              <w:t>Respondents</w:t>
            </w:r>
          </w:p>
        </w:tc>
        <w:tc>
          <w:tcPr>
            <w:tcW w:w="1571" w:type="dxa"/>
          </w:tcPr>
          <w:p w14:paraId="6528369B" w14:textId="77777777" w:rsidR="006121DC" w:rsidRPr="001F3A55" w:rsidRDefault="006121DC" w:rsidP="001F3A55">
            <w:pPr>
              <w:widowControl/>
              <w:tabs>
                <w:tab w:val="num" w:pos="1080"/>
              </w:tabs>
              <w:rPr>
                <w:b/>
                <w:bCs/>
                <w:sz w:val="24"/>
              </w:rPr>
            </w:pPr>
            <w:r w:rsidRPr="001F3A55">
              <w:rPr>
                <w:b/>
                <w:bCs/>
                <w:sz w:val="24"/>
              </w:rPr>
              <w:t>No.</w:t>
            </w:r>
          </w:p>
          <w:p w14:paraId="52C3D3B7" w14:textId="77777777" w:rsidR="006121DC" w:rsidRPr="001F3A55" w:rsidRDefault="006121DC" w:rsidP="001F3A55">
            <w:pPr>
              <w:widowControl/>
              <w:tabs>
                <w:tab w:val="num" w:pos="1080"/>
              </w:tabs>
              <w:rPr>
                <w:b/>
                <w:bCs/>
                <w:sz w:val="24"/>
              </w:rPr>
            </w:pPr>
            <w:r w:rsidRPr="001F3A55">
              <w:rPr>
                <w:b/>
                <w:bCs/>
                <w:sz w:val="24"/>
              </w:rPr>
              <w:t>Responses</w:t>
            </w:r>
          </w:p>
          <w:p w14:paraId="3D9DF38A" w14:textId="77777777" w:rsidR="006121DC" w:rsidRPr="001F3A55" w:rsidRDefault="006121DC" w:rsidP="001F3A55">
            <w:pPr>
              <w:widowControl/>
              <w:tabs>
                <w:tab w:val="num" w:pos="1080"/>
              </w:tabs>
              <w:rPr>
                <w:b/>
                <w:bCs/>
                <w:sz w:val="24"/>
              </w:rPr>
            </w:pPr>
            <w:r w:rsidRPr="001F3A55">
              <w:rPr>
                <w:b/>
                <w:bCs/>
                <w:sz w:val="24"/>
              </w:rPr>
              <w:t>per</w:t>
            </w:r>
          </w:p>
          <w:p w14:paraId="6F94C9B9" w14:textId="77777777" w:rsidR="006121DC" w:rsidRPr="001F3A55" w:rsidRDefault="006121DC" w:rsidP="001F3A55">
            <w:pPr>
              <w:widowControl/>
              <w:tabs>
                <w:tab w:val="num" w:pos="1080"/>
              </w:tabs>
              <w:rPr>
                <w:b/>
                <w:bCs/>
                <w:sz w:val="24"/>
              </w:rPr>
            </w:pPr>
            <w:r w:rsidRPr="001F3A55">
              <w:rPr>
                <w:b/>
                <w:bCs/>
                <w:sz w:val="24"/>
              </w:rPr>
              <w:t>Respondent</w:t>
            </w:r>
          </w:p>
        </w:tc>
        <w:tc>
          <w:tcPr>
            <w:tcW w:w="1155" w:type="dxa"/>
          </w:tcPr>
          <w:p w14:paraId="7807A833" w14:textId="7334A992" w:rsidR="006121DC" w:rsidRPr="001F3A55" w:rsidRDefault="006121DC" w:rsidP="001F3A55">
            <w:pPr>
              <w:widowControl/>
              <w:tabs>
                <w:tab w:val="num" w:pos="1080"/>
              </w:tabs>
              <w:rPr>
                <w:b/>
                <w:bCs/>
                <w:sz w:val="24"/>
              </w:rPr>
            </w:pPr>
            <w:r>
              <w:rPr>
                <w:b/>
                <w:bCs/>
                <w:sz w:val="24"/>
              </w:rPr>
              <w:t>Total Responses</w:t>
            </w:r>
          </w:p>
        </w:tc>
        <w:tc>
          <w:tcPr>
            <w:tcW w:w="1330" w:type="dxa"/>
          </w:tcPr>
          <w:p w14:paraId="3A0BC12F" w14:textId="78B94E8E" w:rsidR="006121DC" w:rsidRPr="001F3A55" w:rsidRDefault="006121DC" w:rsidP="001F3A55">
            <w:pPr>
              <w:widowControl/>
              <w:tabs>
                <w:tab w:val="num" w:pos="1080"/>
              </w:tabs>
              <w:rPr>
                <w:b/>
                <w:bCs/>
                <w:sz w:val="24"/>
              </w:rPr>
            </w:pPr>
            <w:r w:rsidRPr="001F3A55">
              <w:rPr>
                <w:b/>
                <w:bCs/>
                <w:sz w:val="24"/>
              </w:rPr>
              <w:t>Average</w:t>
            </w:r>
          </w:p>
          <w:p w14:paraId="6FFEEF07" w14:textId="77777777" w:rsidR="006121DC" w:rsidRPr="001F3A55" w:rsidRDefault="006121DC" w:rsidP="001F3A55">
            <w:pPr>
              <w:widowControl/>
              <w:tabs>
                <w:tab w:val="num" w:pos="1080"/>
              </w:tabs>
              <w:rPr>
                <w:b/>
                <w:bCs/>
                <w:sz w:val="24"/>
              </w:rPr>
            </w:pPr>
            <w:r w:rsidRPr="001F3A55">
              <w:rPr>
                <w:b/>
                <w:bCs/>
                <w:sz w:val="24"/>
              </w:rPr>
              <w:t>Burden per</w:t>
            </w:r>
          </w:p>
          <w:p w14:paraId="2224E046" w14:textId="77777777" w:rsidR="006121DC" w:rsidRPr="001F3A55" w:rsidRDefault="006121DC" w:rsidP="001F3A55">
            <w:pPr>
              <w:widowControl/>
              <w:tabs>
                <w:tab w:val="num" w:pos="1080"/>
              </w:tabs>
              <w:rPr>
                <w:b/>
                <w:bCs/>
                <w:sz w:val="24"/>
              </w:rPr>
            </w:pPr>
            <w:r w:rsidRPr="001F3A55">
              <w:rPr>
                <w:b/>
                <w:bCs/>
                <w:sz w:val="24"/>
              </w:rPr>
              <w:t>Response</w:t>
            </w:r>
          </w:p>
          <w:p w14:paraId="7BBC934D" w14:textId="77777777" w:rsidR="006121DC" w:rsidRPr="001F3A55" w:rsidRDefault="006121DC" w:rsidP="001F3A55">
            <w:pPr>
              <w:widowControl/>
              <w:tabs>
                <w:tab w:val="num" w:pos="1080"/>
              </w:tabs>
              <w:rPr>
                <w:b/>
                <w:bCs/>
                <w:sz w:val="24"/>
              </w:rPr>
            </w:pPr>
            <w:r w:rsidRPr="001F3A55">
              <w:rPr>
                <w:b/>
                <w:bCs/>
                <w:sz w:val="24"/>
              </w:rPr>
              <w:t>(in hours)</w:t>
            </w:r>
          </w:p>
        </w:tc>
        <w:tc>
          <w:tcPr>
            <w:tcW w:w="1048" w:type="dxa"/>
          </w:tcPr>
          <w:p w14:paraId="0C6BE1D1" w14:textId="77777777" w:rsidR="006121DC" w:rsidRPr="001F3A55" w:rsidRDefault="006121DC" w:rsidP="001F3A55">
            <w:pPr>
              <w:widowControl/>
              <w:tabs>
                <w:tab w:val="num" w:pos="1080"/>
              </w:tabs>
              <w:rPr>
                <w:b/>
                <w:bCs/>
                <w:sz w:val="24"/>
              </w:rPr>
            </w:pPr>
            <w:r w:rsidRPr="001F3A55">
              <w:rPr>
                <w:b/>
                <w:bCs/>
                <w:sz w:val="24"/>
              </w:rPr>
              <w:t>Total Burden Hours</w:t>
            </w:r>
          </w:p>
        </w:tc>
      </w:tr>
      <w:tr w:rsidR="006121DC" w:rsidRPr="001F3A55" w14:paraId="30CBBF05" w14:textId="77777777" w:rsidTr="006121DC">
        <w:trPr>
          <w:trHeight w:val="679"/>
        </w:trPr>
        <w:tc>
          <w:tcPr>
            <w:tcW w:w="1571" w:type="dxa"/>
          </w:tcPr>
          <w:p w14:paraId="4AD9165C" w14:textId="77777777" w:rsidR="006121DC" w:rsidRPr="001F3A55" w:rsidRDefault="006121DC" w:rsidP="001F3A55">
            <w:pPr>
              <w:widowControl/>
              <w:tabs>
                <w:tab w:val="num" w:pos="1080"/>
              </w:tabs>
              <w:rPr>
                <w:b/>
                <w:bCs/>
                <w:sz w:val="24"/>
              </w:rPr>
            </w:pPr>
            <w:r w:rsidRPr="001F3A55">
              <w:rPr>
                <w:b/>
                <w:bCs/>
                <w:sz w:val="24"/>
              </w:rPr>
              <w:t>Patients, caregivers and family members</w:t>
            </w:r>
          </w:p>
        </w:tc>
        <w:tc>
          <w:tcPr>
            <w:tcW w:w="977" w:type="dxa"/>
          </w:tcPr>
          <w:p w14:paraId="053BB3B2" w14:textId="77777777" w:rsidR="006121DC" w:rsidRPr="001F3A55" w:rsidRDefault="006121DC" w:rsidP="000C4003">
            <w:pPr>
              <w:widowControl/>
              <w:tabs>
                <w:tab w:val="num" w:pos="1080"/>
              </w:tabs>
              <w:rPr>
                <w:b/>
                <w:bCs/>
                <w:sz w:val="24"/>
              </w:rPr>
            </w:pPr>
            <w:r w:rsidRPr="001F3A55">
              <w:rPr>
                <w:sz w:val="24"/>
              </w:rPr>
              <w:t xml:space="preserve">Patient </w:t>
            </w:r>
            <w:r>
              <w:rPr>
                <w:sz w:val="24"/>
              </w:rPr>
              <w:t>Support Center</w:t>
            </w:r>
            <w:r w:rsidRPr="001F3A55">
              <w:rPr>
                <w:sz w:val="24"/>
              </w:rPr>
              <w:t xml:space="preserve"> Survey</w:t>
            </w:r>
          </w:p>
        </w:tc>
        <w:tc>
          <w:tcPr>
            <w:tcW w:w="1698" w:type="dxa"/>
          </w:tcPr>
          <w:p w14:paraId="5E697932" w14:textId="77777777" w:rsidR="006121DC" w:rsidRPr="001F3A55" w:rsidRDefault="006121DC" w:rsidP="001F3A55">
            <w:pPr>
              <w:widowControl/>
              <w:tabs>
                <w:tab w:val="num" w:pos="1080"/>
              </w:tabs>
              <w:rPr>
                <w:b/>
                <w:bCs/>
                <w:sz w:val="24"/>
              </w:rPr>
            </w:pPr>
            <w:r w:rsidRPr="001F3A55">
              <w:rPr>
                <w:sz w:val="24"/>
              </w:rPr>
              <w:t xml:space="preserve">420 </w:t>
            </w:r>
          </w:p>
        </w:tc>
        <w:tc>
          <w:tcPr>
            <w:tcW w:w="1571" w:type="dxa"/>
          </w:tcPr>
          <w:p w14:paraId="0F5B6296" w14:textId="77777777" w:rsidR="006121DC" w:rsidRPr="001F3A55" w:rsidRDefault="006121DC" w:rsidP="001F3A55">
            <w:pPr>
              <w:widowControl/>
              <w:tabs>
                <w:tab w:val="num" w:pos="1080"/>
              </w:tabs>
              <w:rPr>
                <w:b/>
                <w:bCs/>
                <w:sz w:val="24"/>
              </w:rPr>
            </w:pPr>
            <w:r w:rsidRPr="001F3A55">
              <w:rPr>
                <w:sz w:val="24"/>
              </w:rPr>
              <w:t>1</w:t>
            </w:r>
          </w:p>
        </w:tc>
        <w:tc>
          <w:tcPr>
            <w:tcW w:w="1155" w:type="dxa"/>
          </w:tcPr>
          <w:p w14:paraId="3F44D118" w14:textId="11E62B8D" w:rsidR="006121DC" w:rsidRPr="006121DC" w:rsidRDefault="006121DC" w:rsidP="001F3A55">
            <w:pPr>
              <w:widowControl/>
              <w:tabs>
                <w:tab w:val="num" w:pos="1080"/>
              </w:tabs>
              <w:rPr>
                <w:bCs/>
                <w:sz w:val="24"/>
              </w:rPr>
            </w:pPr>
            <w:r w:rsidRPr="006121DC">
              <w:rPr>
                <w:bCs/>
                <w:sz w:val="24"/>
              </w:rPr>
              <w:t>420</w:t>
            </w:r>
          </w:p>
        </w:tc>
        <w:tc>
          <w:tcPr>
            <w:tcW w:w="1330" w:type="dxa"/>
          </w:tcPr>
          <w:p w14:paraId="3FE1CBCA" w14:textId="58CCAE3A" w:rsidR="006121DC" w:rsidRPr="006121DC" w:rsidRDefault="006121DC" w:rsidP="001F3A55">
            <w:pPr>
              <w:widowControl/>
              <w:tabs>
                <w:tab w:val="num" w:pos="1080"/>
              </w:tabs>
              <w:rPr>
                <w:bCs/>
                <w:sz w:val="24"/>
              </w:rPr>
            </w:pPr>
            <w:r w:rsidRPr="006121DC">
              <w:rPr>
                <w:bCs/>
                <w:sz w:val="24"/>
              </w:rPr>
              <w:t>.25</w:t>
            </w:r>
          </w:p>
        </w:tc>
        <w:tc>
          <w:tcPr>
            <w:tcW w:w="1048" w:type="dxa"/>
          </w:tcPr>
          <w:p w14:paraId="5453E02B" w14:textId="77777777" w:rsidR="006121DC" w:rsidRPr="001F3A55" w:rsidRDefault="006121DC" w:rsidP="001F3A55">
            <w:pPr>
              <w:widowControl/>
              <w:tabs>
                <w:tab w:val="num" w:pos="1080"/>
              </w:tabs>
              <w:rPr>
                <w:b/>
                <w:bCs/>
                <w:sz w:val="24"/>
              </w:rPr>
            </w:pPr>
            <w:r w:rsidRPr="001F3A55">
              <w:rPr>
                <w:sz w:val="24"/>
              </w:rPr>
              <w:t>105</w:t>
            </w:r>
          </w:p>
        </w:tc>
      </w:tr>
      <w:tr w:rsidR="006121DC" w:rsidRPr="001F3A55" w14:paraId="338F329C" w14:textId="77777777" w:rsidTr="006121DC">
        <w:trPr>
          <w:trHeight w:val="320"/>
        </w:trPr>
        <w:tc>
          <w:tcPr>
            <w:tcW w:w="1571" w:type="dxa"/>
          </w:tcPr>
          <w:p w14:paraId="136BDDCA" w14:textId="77777777" w:rsidR="006121DC" w:rsidRPr="001F3A55" w:rsidRDefault="006121DC" w:rsidP="001F3A55">
            <w:pPr>
              <w:widowControl/>
              <w:tabs>
                <w:tab w:val="num" w:pos="1080"/>
              </w:tabs>
              <w:rPr>
                <w:b/>
                <w:bCs/>
                <w:sz w:val="24"/>
              </w:rPr>
            </w:pPr>
            <w:r w:rsidRPr="001F3A55">
              <w:rPr>
                <w:b/>
                <w:bCs/>
                <w:sz w:val="24"/>
              </w:rPr>
              <w:t>Total</w:t>
            </w:r>
          </w:p>
        </w:tc>
        <w:tc>
          <w:tcPr>
            <w:tcW w:w="977" w:type="dxa"/>
          </w:tcPr>
          <w:p w14:paraId="2C283FFD" w14:textId="77777777" w:rsidR="006121DC" w:rsidRPr="001F3A55" w:rsidRDefault="006121DC" w:rsidP="001F3A55">
            <w:pPr>
              <w:widowControl/>
              <w:tabs>
                <w:tab w:val="num" w:pos="1080"/>
              </w:tabs>
              <w:rPr>
                <w:sz w:val="24"/>
              </w:rPr>
            </w:pPr>
          </w:p>
        </w:tc>
        <w:tc>
          <w:tcPr>
            <w:tcW w:w="1698" w:type="dxa"/>
          </w:tcPr>
          <w:p w14:paraId="1F2B89D4" w14:textId="277A20C8" w:rsidR="006121DC" w:rsidRPr="001F3A55" w:rsidRDefault="006121DC" w:rsidP="001F3A55">
            <w:pPr>
              <w:widowControl/>
              <w:tabs>
                <w:tab w:val="num" w:pos="1080"/>
              </w:tabs>
              <w:rPr>
                <w:sz w:val="24"/>
              </w:rPr>
            </w:pPr>
            <w:r>
              <w:rPr>
                <w:sz w:val="24"/>
              </w:rPr>
              <w:t>420</w:t>
            </w:r>
          </w:p>
        </w:tc>
        <w:tc>
          <w:tcPr>
            <w:tcW w:w="1571" w:type="dxa"/>
          </w:tcPr>
          <w:p w14:paraId="64535757" w14:textId="77777777" w:rsidR="006121DC" w:rsidRPr="001F3A55" w:rsidRDefault="006121DC" w:rsidP="001F3A55">
            <w:pPr>
              <w:widowControl/>
              <w:tabs>
                <w:tab w:val="num" w:pos="1080"/>
              </w:tabs>
              <w:rPr>
                <w:sz w:val="24"/>
              </w:rPr>
            </w:pPr>
          </w:p>
        </w:tc>
        <w:tc>
          <w:tcPr>
            <w:tcW w:w="1155" w:type="dxa"/>
          </w:tcPr>
          <w:p w14:paraId="4B7C6133" w14:textId="293DFD2C" w:rsidR="006121DC" w:rsidRPr="001F3A55" w:rsidRDefault="006121DC" w:rsidP="001F3A55">
            <w:pPr>
              <w:widowControl/>
              <w:tabs>
                <w:tab w:val="num" w:pos="1080"/>
              </w:tabs>
              <w:rPr>
                <w:sz w:val="24"/>
              </w:rPr>
            </w:pPr>
            <w:r>
              <w:rPr>
                <w:sz w:val="24"/>
              </w:rPr>
              <w:t>420</w:t>
            </w:r>
          </w:p>
        </w:tc>
        <w:tc>
          <w:tcPr>
            <w:tcW w:w="1330" w:type="dxa"/>
          </w:tcPr>
          <w:p w14:paraId="6C4A8FD3" w14:textId="4E166062" w:rsidR="006121DC" w:rsidRPr="001F3A55" w:rsidRDefault="006121DC" w:rsidP="001F3A55">
            <w:pPr>
              <w:widowControl/>
              <w:tabs>
                <w:tab w:val="num" w:pos="1080"/>
              </w:tabs>
              <w:rPr>
                <w:sz w:val="24"/>
              </w:rPr>
            </w:pPr>
          </w:p>
        </w:tc>
        <w:tc>
          <w:tcPr>
            <w:tcW w:w="1048" w:type="dxa"/>
          </w:tcPr>
          <w:p w14:paraId="037C8F16" w14:textId="77777777" w:rsidR="006121DC" w:rsidRPr="006121DC" w:rsidRDefault="006121DC" w:rsidP="001F3A55">
            <w:pPr>
              <w:widowControl/>
              <w:tabs>
                <w:tab w:val="num" w:pos="1080"/>
              </w:tabs>
              <w:rPr>
                <w:sz w:val="24"/>
              </w:rPr>
            </w:pPr>
            <w:r w:rsidRPr="006121DC">
              <w:rPr>
                <w:bCs/>
                <w:sz w:val="24"/>
              </w:rPr>
              <w:t>105</w:t>
            </w:r>
          </w:p>
          <w:p w14:paraId="5C89F52A" w14:textId="77777777" w:rsidR="006121DC" w:rsidRPr="006121DC" w:rsidRDefault="006121DC" w:rsidP="001F3A55">
            <w:pPr>
              <w:widowControl/>
              <w:tabs>
                <w:tab w:val="num" w:pos="1080"/>
              </w:tabs>
              <w:rPr>
                <w:sz w:val="24"/>
              </w:rPr>
            </w:pPr>
          </w:p>
        </w:tc>
      </w:tr>
    </w:tbl>
    <w:p w14:paraId="17956929" w14:textId="77777777" w:rsidR="009B3794" w:rsidRPr="001F3A55" w:rsidRDefault="009B3794" w:rsidP="001F3A55">
      <w:pPr>
        <w:widowControl/>
        <w:tabs>
          <w:tab w:val="num" w:pos="1080"/>
        </w:tabs>
        <w:rPr>
          <w:b/>
          <w:bCs/>
          <w:sz w:val="24"/>
        </w:rPr>
      </w:pPr>
    </w:p>
    <w:p w14:paraId="59EFFF3E" w14:textId="1468A871" w:rsidR="007F4D94" w:rsidRDefault="007F4D94" w:rsidP="001F3A55">
      <w:pPr>
        <w:widowControl/>
        <w:tabs>
          <w:tab w:val="num" w:pos="990"/>
        </w:tabs>
        <w:ind w:left="270"/>
        <w:rPr>
          <w:bCs/>
          <w:sz w:val="24"/>
        </w:rPr>
      </w:pPr>
      <w:r w:rsidRPr="001F3A55">
        <w:rPr>
          <w:bCs/>
          <w:sz w:val="24"/>
        </w:rPr>
        <w:t xml:space="preserve">The average burden per response is based on findings from a pilot of the survey conducted </w:t>
      </w:r>
      <w:r w:rsidR="006121DC">
        <w:rPr>
          <w:bCs/>
          <w:sz w:val="24"/>
        </w:rPr>
        <w:t xml:space="preserve">in </w:t>
      </w:r>
      <w:r w:rsidRPr="001F3A55">
        <w:rPr>
          <w:bCs/>
          <w:sz w:val="24"/>
        </w:rPr>
        <w:t>2012.</w:t>
      </w:r>
    </w:p>
    <w:p w14:paraId="7B5599A9" w14:textId="13423EBB" w:rsidR="00160D4F" w:rsidRDefault="00160D4F" w:rsidP="001F3A55">
      <w:pPr>
        <w:widowControl/>
        <w:tabs>
          <w:tab w:val="num" w:pos="990"/>
        </w:tabs>
        <w:ind w:left="270"/>
        <w:rPr>
          <w:bCs/>
          <w:sz w:val="24"/>
        </w:rPr>
      </w:pPr>
    </w:p>
    <w:p w14:paraId="6F6D55E3" w14:textId="4E4C9C8E" w:rsidR="00160D4F" w:rsidRDefault="00160D4F" w:rsidP="001F3A55">
      <w:pPr>
        <w:widowControl/>
        <w:tabs>
          <w:tab w:val="num" w:pos="990"/>
        </w:tabs>
        <w:ind w:left="270"/>
        <w:rPr>
          <w:bCs/>
          <w:sz w:val="24"/>
        </w:rPr>
      </w:pPr>
    </w:p>
    <w:p w14:paraId="6C1ECF39" w14:textId="4782EBB8" w:rsidR="00160D4F" w:rsidRDefault="00160D4F" w:rsidP="001F3A55">
      <w:pPr>
        <w:widowControl/>
        <w:tabs>
          <w:tab w:val="num" w:pos="990"/>
        </w:tabs>
        <w:ind w:left="270"/>
        <w:rPr>
          <w:bCs/>
          <w:sz w:val="24"/>
        </w:rPr>
      </w:pPr>
    </w:p>
    <w:p w14:paraId="0499D713" w14:textId="20379026" w:rsidR="00160D4F" w:rsidRDefault="00160D4F" w:rsidP="001F3A55">
      <w:pPr>
        <w:widowControl/>
        <w:tabs>
          <w:tab w:val="num" w:pos="990"/>
        </w:tabs>
        <w:ind w:left="270"/>
        <w:rPr>
          <w:bCs/>
          <w:sz w:val="24"/>
        </w:rPr>
      </w:pPr>
    </w:p>
    <w:p w14:paraId="0EA1D6B4" w14:textId="74966B6B" w:rsidR="00160D4F" w:rsidRDefault="00160D4F" w:rsidP="001F3A55">
      <w:pPr>
        <w:widowControl/>
        <w:tabs>
          <w:tab w:val="num" w:pos="990"/>
        </w:tabs>
        <w:ind w:left="270"/>
        <w:rPr>
          <w:bCs/>
          <w:sz w:val="24"/>
        </w:rPr>
      </w:pPr>
    </w:p>
    <w:p w14:paraId="49A3DDF5" w14:textId="3693B170" w:rsidR="00160D4F" w:rsidRDefault="00160D4F" w:rsidP="001F3A55">
      <w:pPr>
        <w:widowControl/>
        <w:tabs>
          <w:tab w:val="num" w:pos="990"/>
        </w:tabs>
        <w:ind w:left="270"/>
        <w:rPr>
          <w:bCs/>
          <w:sz w:val="24"/>
        </w:rPr>
      </w:pPr>
    </w:p>
    <w:p w14:paraId="5B0ADEE4" w14:textId="77777777" w:rsidR="00160D4F" w:rsidRDefault="00160D4F" w:rsidP="001F3A55">
      <w:pPr>
        <w:widowControl/>
        <w:tabs>
          <w:tab w:val="num" w:pos="990"/>
        </w:tabs>
        <w:ind w:left="270"/>
        <w:rPr>
          <w:bCs/>
          <w:sz w:val="24"/>
        </w:rPr>
      </w:pPr>
    </w:p>
    <w:p w14:paraId="671FD3F3" w14:textId="77777777" w:rsidR="00D34E02" w:rsidRDefault="00D34E02" w:rsidP="001F3A55">
      <w:pPr>
        <w:widowControl/>
        <w:tabs>
          <w:tab w:val="num" w:pos="990"/>
        </w:tabs>
        <w:ind w:left="270"/>
        <w:rPr>
          <w:bCs/>
          <w:sz w:val="24"/>
        </w:rPr>
      </w:pPr>
    </w:p>
    <w:p w14:paraId="76866669" w14:textId="77777777" w:rsidR="00E00978" w:rsidRDefault="00E00978" w:rsidP="001F3A55">
      <w:pPr>
        <w:widowControl/>
        <w:rPr>
          <w:b/>
          <w:sz w:val="24"/>
        </w:rPr>
      </w:pPr>
    </w:p>
    <w:p w14:paraId="4B12F6BB" w14:textId="21C7514B" w:rsidR="009B3794" w:rsidRDefault="009B3794" w:rsidP="001F3A55">
      <w:pPr>
        <w:widowControl/>
        <w:rPr>
          <w:b/>
          <w:sz w:val="24"/>
        </w:rPr>
      </w:pPr>
      <w:r w:rsidRPr="001F3A55">
        <w:rPr>
          <w:b/>
          <w:sz w:val="24"/>
        </w:rPr>
        <w:t>12B</w:t>
      </w:r>
      <w:r w:rsidRPr="001F3A55">
        <w:rPr>
          <w:sz w:val="24"/>
        </w:rPr>
        <w:t xml:space="preserve">. </w:t>
      </w:r>
      <w:r w:rsidRPr="001F3A55">
        <w:rPr>
          <w:b/>
          <w:sz w:val="24"/>
        </w:rPr>
        <w:t>Estimated Annualized Burden Costs</w:t>
      </w:r>
    </w:p>
    <w:p w14:paraId="31903B87" w14:textId="77777777" w:rsidR="00D34E02" w:rsidRPr="001F3A55" w:rsidRDefault="00D34E02" w:rsidP="001F3A55">
      <w:pPr>
        <w:widowControl/>
        <w:rPr>
          <w:b/>
          <w:sz w:val="24"/>
        </w:rPr>
      </w:pP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170"/>
        <w:gridCol w:w="1047"/>
        <w:gridCol w:w="1743"/>
      </w:tblGrid>
      <w:tr w:rsidR="009B3794" w:rsidRPr="001F3A55" w14:paraId="52C081FC" w14:textId="77777777" w:rsidTr="00D34E02">
        <w:trPr>
          <w:trHeight w:val="809"/>
        </w:trPr>
        <w:tc>
          <w:tcPr>
            <w:tcW w:w="2005" w:type="dxa"/>
          </w:tcPr>
          <w:p w14:paraId="05486A7C" w14:textId="77777777" w:rsidR="009B3794" w:rsidRPr="001F3A55" w:rsidRDefault="009B3794" w:rsidP="001F3A55">
            <w:pPr>
              <w:widowControl/>
              <w:rPr>
                <w:b/>
                <w:bCs/>
                <w:sz w:val="24"/>
              </w:rPr>
            </w:pPr>
            <w:r w:rsidRPr="001F3A55">
              <w:rPr>
                <w:b/>
                <w:bCs/>
                <w:sz w:val="24"/>
              </w:rPr>
              <w:t>Type of</w:t>
            </w:r>
          </w:p>
          <w:p w14:paraId="4629D29D" w14:textId="77777777" w:rsidR="009B3794" w:rsidRPr="001F3A55" w:rsidRDefault="009B3794" w:rsidP="001F3A55">
            <w:pPr>
              <w:widowControl/>
              <w:rPr>
                <w:sz w:val="24"/>
              </w:rPr>
            </w:pPr>
            <w:r w:rsidRPr="001F3A55">
              <w:rPr>
                <w:b/>
                <w:bCs/>
                <w:sz w:val="24"/>
              </w:rPr>
              <w:t>Respondent</w:t>
            </w:r>
          </w:p>
          <w:p w14:paraId="4D81BA62" w14:textId="77777777" w:rsidR="009B3794" w:rsidRPr="001F3A55" w:rsidRDefault="009B3794" w:rsidP="001F3A55">
            <w:pPr>
              <w:widowControl/>
              <w:rPr>
                <w:b/>
                <w:bCs/>
                <w:sz w:val="24"/>
              </w:rPr>
            </w:pPr>
          </w:p>
        </w:tc>
        <w:tc>
          <w:tcPr>
            <w:tcW w:w="1170" w:type="dxa"/>
          </w:tcPr>
          <w:p w14:paraId="04D82A48" w14:textId="77777777" w:rsidR="009B3794" w:rsidRPr="001F3A55" w:rsidRDefault="009B3794" w:rsidP="001F3A55">
            <w:pPr>
              <w:widowControl/>
              <w:rPr>
                <w:b/>
                <w:bCs/>
                <w:sz w:val="24"/>
              </w:rPr>
            </w:pPr>
            <w:r w:rsidRPr="001F3A55">
              <w:rPr>
                <w:b/>
                <w:bCs/>
                <w:sz w:val="24"/>
              </w:rPr>
              <w:t>Total Burden</w:t>
            </w:r>
          </w:p>
          <w:p w14:paraId="73DAB61D" w14:textId="77777777" w:rsidR="009B3794" w:rsidRPr="001F3A55" w:rsidRDefault="009B3794" w:rsidP="001F3A55">
            <w:pPr>
              <w:widowControl/>
              <w:rPr>
                <w:b/>
                <w:bCs/>
                <w:sz w:val="24"/>
              </w:rPr>
            </w:pPr>
            <w:r w:rsidRPr="001F3A55">
              <w:rPr>
                <w:b/>
                <w:bCs/>
                <w:sz w:val="24"/>
              </w:rPr>
              <w:t>Hours</w:t>
            </w:r>
          </w:p>
        </w:tc>
        <w:tc>
          <w:tcPr>
            <w:tcW w:w="1047" w:type="dxa"/>
          </w:tcPr>
          <w:p w14:paraId="28896BF3" w14:textId="77777777" w:rsidR="009B3794" w:rsidRPr="001F3A55" w:rsidRDefault="009B3794" w:rsidP="001F3A55">
            <w:pPr>
              <w:widowControl/>
              <w:rPr>
                <w:b/>
                <w:bCs/>
                <w:sz w:val="24"/>
              </w:rPr>
            </w:pPr>
            <w:r w:rsidRPr="001F3A55">
              <w:rPr>
                <w:b/>
                <w:bCs/>
                <w:sz w:val="24"/>
              </w:rPr>
              <w:t>Hourly</w:t>
            </w:r>
          </w:p>
          <w:p w14:paraId="3AFF1508" w14:textId="77777777" w:rsidR="009B3794" w:rsidRPr="001F3A55" w:rsidRDefault="009B3794" w:rsidP="001F3A55">
            <w:pPr>
              <w:widowControl/>
              <w:rPr>
                <w:b/>
                <w:bCs/>
                <w:sz w:val="24"/>
              </w:rPr>
            </w:pPr>
            <w:r w:rsidRPr="001F3A55">
              <w:rPr>
                <w:b/>
                <w:bCs/>
                <w:sz w:val="24"/>
              </w:rPr>
              <w:t>Wage Rate</w:t>
            </w:r>
          </w:p>
        </w:tc>
        <w:tc>
          <w:tcPr>
            <w:tcW w:w="1743" w:type="dxa"/>
          </w:tcPr>
          <w:p w14:paraId="66D69FE2" w14:textId="77777777" w:rsidR="009B3794" w:rsidRPr="001F3A55" w:rsidRDefault="009B3794" w:rsidP="001F3A55">
            <w:pPr>
              <w:widowControl/>
              <w:rPr>
                <w:b/>
                <w:bCs/>
                <w:sz w:val="24"/>
              </w:rPr>
            </w:pPr>
            <w:r w:rsidRPr="001F3A55">
              <w:rPr>
                <w:b/>
                <w:bCs/>
                <w:sz w:val="24"/>
              </w:rPr>
              <w:t>Total Respondent Costs</w:t>
            </w:r>
          </w:p>
        </w:tc>
      </w:tr>
      <w:tr w:rsidR="009B3794" w:rsidRPr="001F3A55" w14:paraId="2A315353" w14:textId="77777777" w:rsidTr="00D34E02">
        <w:tc>
          <w:tcPr>
            <w:tcW w:w="2005" w:type="dxa"/>
          </w:tcPr>
          <w:p w14:paraId="3E477511" w14:textId="77777777" w:rsidR="009B3794" w:rsidRPr="00D34E02" w:rsidRDefault="007F4D94" w:rsidP="001F3A55">
            <w:pPr>
              <w:rPr>
                <w:b/>
                <w:sz w:val="24"/>
              </w:rPr>
            </w:pPr>
            <w:r w:rsidRPr="00D34E02">
              <w:rPr>
                <w:b/>
                <w:sz w:val="24"/>
              </w:rPr>
              <w:t>Patients, caregivers and family members</w:t>
            </w:r>
          </w:p>
        </w:tc>
        <w:tc>
          <w:tcPr>
            <w:tcW w:w="1170" w:type="dxa"/>
          </w:tcPr>
          <w:p w14:paraId="5662E2D1" w14:textId="77777777" w:rsidR="009B3794" w:rsidRPr="001F3A55" w:rsidRDefault="007F4D94" w:rsidP="001F3A55">
            <w:pPr>
              <w:rPr>
                <w:sz w:val="24"/>
              </w:rPr>
            </w:pPr>
            <w:r w:rsidRPr="001F3A55">
              <w:rPr>
                <w:sz w:val="24"/>
              </w:rPr>
              <w:t>105</w:t>
            </w:r>
          </w:p>
        </w:tc>
        <w:tc>
          <w:tcPr>
            <w:tcW w:w="1047" w:type="dxa"/>
          </w:tcPr>
          <w:p w14:paraId="2AA45D5E" w14:textId="77777777" w:rsidR="009B3794" w:rsidRPr="001F3A55" w:rsidRDefault="009B3794" w:rsidP="001F3A55">
            <w:pPr>
              <w:jc w:val="right"/>
              <w:rPr>
                <w:sz w:val="24"/>
              </w:rPr>
            </w:pPr>
            <w:r w:rsidRPr="001F3A55">
              <w:rPr>
                <w:sz w:val="24"/>
              </w:rPr>
              <w:t xml:space="preserve"> $</w:t>
            </w:r>
            <w:r w:rsidR="007F4D94" w:rsidRPr="001F3A55">
              <w:rPr>
                <w:sz w:val="24"/>
              </w:rPr>
              <w:t>22.33</w:t>
            </w:r>
            <w:r w:rsidRPr="001F3A55">
              <w:rPr>
                <w:sz w:val="24"/>
              </w:rPr>
              <w:t xml:space="preserve"> </w:t>
            </w:r>
          </w:p>
        </w:tc>
        <w:tc>
          <w:tcPr>
            <w:tcW w:w="1743" w:type="dxa"/>
          </w:tcPr>
          <w:p w14:paraId="7E9EB922" w14:textId="77777777" w:rsidR="009B3794" w:rsidRPr="001F3A55" w:rsidRDefault="009B3794" w:rsidP="001F3A55">
            <w:pPr>
              <w:jc w:val="right"/>
              <w:rPr>
                <w:sz w:val="24"/>
              </w:rPr>
            </w:pPr>
            <w:r w:rsidRPr="001F3A55">
              <w:rPr>
                <w:sz w:val="24"/>
              </w:rPr>
              <w:t xml:space="preserve"> $</w:t>
            </w:r>
            <w:r w:rsidR="007F4D94" w:rsidRPr="001F3A55">
              <w:rPr>
                <w:sz w:val="24"/>
              </w:rPr>
              <w:t>2,</w:t>
            </w:r>
            <w:r w:rsidRPr="001F3A55">
              <w:rPr>
                <w:sz w:val="24"/>
              </w:rPr>
              <w:t>3</w:t>
            </w:r>
            <w:r w:rsidR="007F4D94" w:rsidRPr="001F3A55">
              <w:rPr>
                <w:sz w:val="24"/>
              </w:rPr>
              <w:t>4</w:t>
            </w:r>
            <w:r w:rsidRPr="001F3A55">
              <w:rPr>
                <w:sz w:val="24"/>
              </w:rPr>
              <w:t>5.00</w:t>
            </w:r>
          </w:p>
        </w:tc>
      </w:tr>
      <w:tr w:rsidR="009B3794" w:rsidRPr="001F3A55" w14:paraId="2D3B2943" w14:textId="77777777" w:rsidTr="00D34E02">
        <w:trPr>
          <w:trHeight w:val="287"/>
        </w:trPr>
        <w:tc>
          <w:tcPr>
            <w:tcW w:w="2005" w:type="dxa"/>
          </w:tcPr>
          <w:p w14:paraId="4156684D" w14:textId="77777777" w:rsidR="009B3794" w:rsidRPr="00D34E02" w:rsidRDefault="009B3794" w:rsidP="001F3A55">
            <w:pPr>
              <w:widowControl/>
              <w:rPr>
                <w:b/>
                <w:sz w:val="24"/>
              </w:rPr>
            </w:pPr>
            <w:r w:rsidRPr="00D34E02">
              <w:rPr>
                <w:b/>
                <w:sz w:val="24"/>
              </w:rPr>
              <w:t>Total</w:t>
            </w:r>
          </w:p>
        </w:tc>
        <w:tc>
          <w:tcPr>
            <w:tcW w:w="1170" w:type="dxa"/>
          </w:tcPr>
          <w:p w14:paraId="2AEC20F3" w14:textId="60468A70" w:rsidR="009B3794" w:rsidRPr="001F3A55" w:rsidRDefault="00E00978" w:rsidP="001F3A55">
            <w:pPr>
              <w:widowControl/>
              <w:rPr>
                <w:sz w:val="24"/>
              </w:rPr>
            </w:pPr>
            <w:r>
              <w:rPr>
                <w:sz w:val="24"/>
              </w:rPr>
              <w:t>105</w:t>
            </w:r>
          </w:p>
        </w:tc>
        <w:tc>
          <w:tcPr>
            <w:tcW w:w="1047" w:type="dxa"/>
          </w:tcPr>
          <w:p w14:paraId="3FB8CEFD" w14:textId="77777777" w:rsidR="009B3794" w:rsidRPr="001F3A55" w:rsidRDefault="009B3794" w:rsidP="001F3A55">
            <w:pPr>
              <w:widowControl/>
              <w:jc w:val="right"/>
              <w:rPr>
                <w:sz w:val="24"/>
              </w:rPr>
            </w:pPr>
          </w:p>
        </w:tc>
        <w:tc>
          <w:tcPr>
            <w:tcW w:w="1743" w:type="dxa"/>
          </w:tcPr>
          <w:p w14:paraId="2FE9890B" w14:textId="77777777" w:rsidR="009B3794" w:rsidRPr="001F3A55" w:rsidRDefault="009B3794" w:rsidP="001F3A55">
            <w:pPr>
              <w:widowControl/>
              <w:jc w:val="right"/>
              <w:rPr>
                <w:sz w:val="24"/>
              </w:rPr>
            </w:pPr>
            <w:r w:rsidRPr="001F3A55">
              <w:rPr>
                <w:sz w:val="24"/>
              </w:rPr>
              <w:t>$</w:t>
            </w:r>
            <w:r w:rsidR="007F4D94" w:rsidRPr="001F3A55">
              <w:rPr>
                <w:sz w:val="24"/>
              </w:rPr>
              <w:t>2,3</w:t>
            </w:r>
            <w:r w:rsidRPr="001F3A55">
              <w:rPr>
                <w:sz w:val="24"/>
              </w:rPr>
              <w:t>45.00</w:t>
            </w:r>
          </w:p>
        </w:tc>
      </w:tr>
    </w:tbl>
    <w:p w14:paraId="51AAC701" w14:textId="77777777" w:rsidR="001F3A55" w:rsidRDefault="001F3A55" w:rsidP="001F3A55">
      <w:pPr>
        <w:ind w:left="360"/>
        <w:rPr>
          <w:sz w:val="24"/>
        </w:rPr>
      </w:pPr>
    </w:p>
    <w:p w14:paraId="1FA15F23" w14:textId="77777777" w:rsidR="001F3A55" w:rsidRPr="001F3A55" w:rsidRDefault="001F3A55" w:rsidP="001F3A55">
      <w:pPr>
        <w:widowControl/>
        <w:ind w:left="270"/>
        <w:rPr>
          <w:sz w:val="24"/>
        </w:rPr>
      </w:pPr>
      <w:r w:rsidRPr="001F3A55">
        <w:rPr>
          <w:sz w:val="24"/>
        </w:rPr>
        <w:t>It is estimated that the annualized burden costs for the Patient Services Survey will be $2,345.</w:t>
      </w:r>
    </w:p>
    <w:p w14:paraId="0CCB792A" w14:textId="77777777" w:rsidR="001F3A55" w:rsidRDefault="001F3A55" w:rsidP="001F3A55">
      <w:pPr>
        <w:ind w:left="360"/>
        <w:rPr>
          <w:sz w:val="24"/>
        </w:rPr>
      </w:pPr>
    </w:p>
    <w:p w14:paraId="66AC46D3" w14:textId="77777777" w:rsidR="002E7D8A" w:rsidRPr="001F3A55" w:rsidRDefault="002E7D8A" w:rsidP="002E7D8A">
      <w:pPr>
        <w:tabs>
          <w:tab w:val="left" w:pos="-720"/>
        </w:tabs>
        <w:ind w:left="270"/>
        <w:rPr>
          <w:sz w:val="24"/>
        </w:rPr>
      </w:pPr>
      <w:r w:rsidRPr="00753956">
        <w:rPr>
          <w:sz w:val="24"/>
        </w:rPr>
        <w:t>*Based on 2016 National Occupation and Wage Statistics (https://www.bls.gov/oes/current/oes_nat.htm)</w:t>
      </w:r>
    </w:p>
    <w:p w14:paraId="503BA98D" w14:textId="77777777" w:rsidR="001F3A55" w:rsidRPr="001F3A55" w:rsidRDefault="001F3A55" w:rsidP="001F3A55">
      <w:pPr>
        <w:ind w:left="360"/>
        <w:rPr>
          <w:sz w:val="24"/>
        </w:rPr>
      </w:pPr>
    </w:p>
    <w:p w14:paraId="1BE46875" w14:textId="77777777" w:rsidR="009B3794" w:rsidRPr="001F3A55" w:rsidRDefault="009B3794" w:rsidP="001F3A55">
      <w:pPr>
        <w:numPr>
          <w:ilvl w:val="0"/>
          <w:numId w:val="2"/>
        </w:numPr>
        <w:tabs>
          <w:tab w:val="clear" w:pos="1080"/>
          <w:tab w:val="num" w:pos="360"/>
        </w:tabs>
        <w:ind w:left="360"/>
        <w:rPr>
          <w:b/>
          <w:sz w:val="24"/>
        </w:rPr>
      </w:pPr>
      <w:r w:rsidRPr="001F3A55">
        <w:rPr>
          <w:b/>
          <w:sz w:val="24"/>
          <w:u w:val="single"/>
        </w:rPr>
        <w:t>Estimates of other Total Annual Cost Burden to Respondents or Recordkeepers/Capital Costs</w:t>
      </w:r>
    </w:p>
    <w:p w14:paraId="24880900" w14:textId="77777777" w:rsidR="007E18E8" w:rsidRDefault="007E18E8" w:rsidP="001F3A55">
      <w:pPr>
        <w:pStyle w:val="BodyTextIndent"/>
        <w:ind w:left="0"/>
        <w:rPr>
          <w:rFonts w:ascii="Times New Roman" w:hAnsi="Times New Roman"/>
        </w:rPr>
      </w:pPr>
    </w:p>
    <w:p w14:paraId="11CE1D32" w14:textId="77777777" w:rsidR="00D11CA3" w:rsidRPr="00CD7B79" w:rsidRDefault="00D11CA3" w:rsidP="001F3A55">
      <w:pPr>
        <w:pStyle w:val="BodyTextIndent"/>
        <w:ind w:left="0"/>
        <w:rPr>
          <w:rFonts w:ascii="Times New Roman" w:hAnsi="Times New Roman"/>
        </w:rPr>
      </w:pPr>
      <w:r w:rsidRPr="00CD7B79">
        <w:rPr>
          <w:rFonts w:ascii="Times New Roman" w:hAnsi="Times New Roman"/>
        </w:rPr>
        <w:t>Other than their time, there is no cost to respondents.</w:t>
      </w:r>
    </w:p>
    <w:p w14:paraId="2B42B2A0" w14:textId="77777777" w:rsidR="001F3A55" w:rsidRPr="00CD7B79" w:rsidRDefault="001F3A55" w:rsidP="001F3A55">
      <w:pPr>
        <w:pStyle w:val="BodyTextIndent"/>
        <w:ind w:left="0"/>
        <w:rPr>
          <w:rFonts w:ascii="Times New Roman" w:hAnsi="Times New Roman"/>
        </w:rPr>
      </w:pPr>
    </w:p>
    <w:p w14:paraId="38CB6517" w14:textId="172A5347" w:rsidR="009B3794" w:rsidRPr="00753956" w:rsidRDefault="009B3794" w:rsidP="001F3A55">
      <w:pPr>
        <w:numPr>
          <w:ilvl w:val="0"/>
          <w:numId w:val="2"/>
        </w:numPr>
        <w:tabs>
          <w:tab w:val="clear" w:pos="1080"/>
          <w:tab w:val="num" w:pos="360"/>
        </w:tabs>
        <w:ind w:left="360"/>
        <w:rPr>
          <w:b/>
          <w:sz w:val="24"/>
        </w:rPr>
      </w:pPr>
      <w:r w:rsidRPr="001F3A55">
        <w:rPr>
          <w:b/>
          <w:sz w:val="24"/>
          <w:u w:val="single"/>
        </w:rPr>
        <w:t>Annualized Cost to Federal Government</w:t>
      </w:r>
    </w:p>
    <w:p w14:paraId="4DC97EA5" w14:textId="77777777" w:rsidR="00E156E7" w:rsidRPr="001F3A55" w:rsidRDefault="00E156E7" w:rsidP="00753956">
      <w:pPr>
        <w:ind w:left="360"/>
        <w:rPr>
          <w:b/>
          <w:sz w:val="24"/>
        </w:rPr>
      </w:pPr>
    </w:p>
    <w:p w14:paraId="78AF9FC5" w14:textId="1FC9CB42" w:rsidR="00E156E7" w:rsidRPr="00753956" w:rsidRDefault="00E156E7" w:rsidP="00E156E7">
      <w:pPr>
        <w:tabs>
          <w:tab w:val="left" w:pos="-720"/>
        </w:tabs>
        <w:rPr>
          <w:sz w:val="24"/>
        </w:rPr>
      </w:pPr>
      <w:r w:rsidRPr="00753956">
        <w:rPr>
          <w:sz w:val="24"/>
        </w:rPr>
        <w:t>The surveys will be administered by P</w:t>
      </w:r>
      <w:r w:rsidR="00DD648E">
        <w:rPr>
          <w:sz w:val="24"/>
        </w:rPr>
        <w:t xml:space="preserve">atient </w:t>
      </w:r>
      <w:r w:rsidRPr="00753956">
        <w:rPr>
          <w:sz w:val="24"/>
        </w:rPr>
        <w:t>H</w:t>
      </w:r>
      <w:r w:rsidR="00DD648E">
        <w:rPr>
          <w:sz w:val="24"/>
        </w:rPr>
        <w:t xml:space="preserve">ealth </w:t>
      </w:r>
      <w:r w:rsidRPr="00753956">
        <w:rPr>
          <w:sz w:val="24"/>
        </w:rPr>
        <w:t>P</w:t>
      </w:r>
      <w:r w:rsidR="00DD648E">
        <w:rPr>
          <w:sz w:val="24"/>
        </w:rPr>
        <w:t xml:space="preserve">rofessional </w:t>
      </w:r>
      <w:r w:rsidRPr="00753956">
        <w:rPr>
          <w:sz w:val="24"/>
        </w:rPr>
        <w:t>S</w:t>
      </w:r>
      <w:r w:rsidR="00DD648E">
        <w:rPr>
          <w:sz w:val="24"/>
        </w:rPr>
        <w:t>ervices’</w:t>
      </w:r>
      <w:r w:rsidRPr="00753956">
        <w:rPr>
          <w:sz w:val="24"/>
        </w:rPr>
        <w:t xml:space="preserve"> staff.  The estimated annual cost to the government is $19,464, which includes effort from:  Evaluation Research Specialist (.20 FTE; $9,364), Patient Support Center Administrative Assistant (.15 FTE; $6,050), Senior Evaluation Specialist (.05 FTE; $4,050).*</w:t>
      </w:r>
    </w:p>
    <w:p w14:paraId="04914840" w14:textId="77777777" w:rsidR="00E156E7" w:rsidRDefault="00E156E7" w:rsidP="00E156E7">
      <w:pPr>
        <w:tabs>
          <w:tab w:val="left" w:pos="-720"/>
        </w:tabs>
        <w:rPr>
          <w:sz w:val="24"/>
          <w:highlight w:val="yellow"/>
        </w:rPr>
      </w:pPr>
    </w:p>
    <w:p w14:paraId="548D6025" w14:textId="77777777" w:rsidR="00E156E7" w:rsidRDefault="00E156E7" w:rsidP="00E156E7">
      <w:pPr>
        <w:tabs>
          <w:tab w:val="left" w:pos="-720"/>
        </w:tabs>
        <w:rPr>
          <w:sz w:val="24"/>
        </w:rPr>
      </w:pPr>
      <w:r w:rsidRPr="00753956">
        <w:rPr>
          <w:sz w:val="24"/>
        </w:rPr>
        <w:t>*Based on 2016 National Occupation and Wage Statistics (https://www.bls.gov/oes/current/oes_nat.htm)</w:t>
      </w:r>
    </w:p>
    <w:p w14:paraId="0C2CA62F" w14:textId="77777777" w:rsidR="00291B3A" w:rsidRPr="001F3A55" w:rsidRDefault="00291B3A" w:rsidP="001F3A55">
      <w:pPr>
        <w:tabs>
          <w:tab w:val="left" w:pos="-720"/>
        </w:tabs>
        <w:rPr>
          <w:sz w:val="24"/>
        </w:rPr>
      </w:pPr>
    </w:p>
    <w:p w14:paraId="27F017CA" w14:textId="77777777" w:rsidR="009B3794" w:rsidRPr="001F3A55" w:rsidRDefault="009B3794" w:rsidP="001F3A55">
      <w:pPr>
        <w:numPr>
          <w:ilvl w:val="0"/>
          <w:numId w:val="2"/>
        </w:numPr>
        <w:tabs>
          <w:tab w:val="clear" w:pos="1080"/>
          <w:tab w:val="num" w:pos="360"/>
        </w:tabs>
        <w:ind w:left="360"/>
        <w:rPr>
          <w:b/>
          <w:sz w:val="24"/>
        </w:rPr>
      </w:pPr>
      <w:r w:rsidRPr="001F3A55">
        <w:rPr>
          <w:b/>
          <w:sz w:val="24"/>
          <w:u w:val="single"/>
        </w:rPr>
        <w:t>Explanation for Program Changes or Adjustments</w:t>
      </w:r>
    </w:p>
    <w:p w14:paraId="40CD7B7F" w14:textId="77777777" w:rsidR="007E18E8" w:rsidRDefault="007E18E8" w:rsidP="001F3A55">
      <w:pPr>
        <w:pStyle w:val="BodyTextIndent"/>
        <w:ind w:left="0"/>
        <w:rPr>
          <w:rFonts w:ascii="Times New Roman" w:hAnsi="Times New Roman"/>
        </w:rPr>
      </w:pPr>
    </w:p>
    <w:p w14:paraId="26078C2F" w14:textId="77777777" w:rsidR="009B3794" w:rsidRDefault="00291B3A" w:rsidP="001F3A55">
      <w:pPr>
        <w:pStyle w:val="BodyTextIndent"/>
        <w:ind w:left="0"/>
        <w:rPr>
          <w:rFonts w:ascii="Times New Roman" w:hAnsi="Times New Roman"/>
        </w:rPr>
      </w:pPr>
      <w:r>
        <w:rPr>
          <w:rFonts w:ascii="Times New Roman" w:hAnsi="Times New Roman"/>
        </w:rPr>
        <w:t>This is a new information request.</w:t>
      </w:r>
    </w:p>
    <w:p w14:paraId="0A99A0C6" w14:textId="77777777" w:rsidR="001F3A55" w:rsidRPr="001F3A55" w:rsidRDefault="001F3A55" w:rsidP="001F3A55">
      <w:pPr>
        <w:pStyle w:val="BodyTextIndent"/>
        <w:ind w:left="0"/>
        <w:rPr>
          <w:rFonts w:ascii="Times New Roman" w:hAnsi="Times New Roman"/>
        </w:rPr>
      </w:pPr>
    </w:p>
    <w:p w14:paraId="42B97A29" w14:textId="77777777" w:rsidR="009B3794" w:rsidRPr="001F3A55" w:rsidRDefault="009B3794" w:rsidP="001F3A55">
      <w:pPr>
        <w:numPr>
          <w:ilvl w:val="0"/>
          <w:numId w:val="2"/>
        </w:numPr>
        <w:tabs>
          <w:tab w:val="clear" w:pos="1080"/>
          <w:tab w:val="num" w:pos="360"/>
        </w:tabs>
        <w:ind w:left="360"/>
        <w:rPr>
          <w:b/>
          <w:sz w:val="24"/>
        </w:rPr>
      </w:pPr>
      <w:r w:rsidRPr="001F3A55">
        <w:rPr>
          <w:b/>
          <w:sz w:val="24"/>
          <w:u w:val="single"/>
        </w:rPr>
        <w:t>Plans for Tabulation</w:t>
      </w:r>
      <w:r w:rsidR="002118B4" w:rsidRPr="001F3A55">
        <w:rPr>
          <w:b/>
          <w:sz w:val="24"/>
          <w:u w:val="single"/>
        </w:rPr>
        <w:t xml:space="preserve">, </w:t>
      </w:r>
      <w:r w:rsidRPr="001F3A55">
        <w:rPr>
          <w:b/>
          <w:sz w:val="24"/>
          <w:u w:val="single"/>
        </w:rPr>
        <w:t>Publication</w:t>
      </w:r>
      <w:r w:rsidR="002118B4" w:rsidRPr="001F3A55">
        <w:rPr>
          <w:b/>
          <w:sz w:val="24"/>
          <w:u w:val="single"/>
        </w:rPr>
        <w:t>,</w:t>
      </w:r>
      <w:r w:rsidRPr="001F3A55">
        <w:rPr>
          <w:b/>
          <w:sz w:val="24"/>
          <w:u w:val="single"/>
        </w:rPr>
        <w:t xml:space="preserve"> and Project Time Schedule</w:t>
      </w:r>
    </w:p>
    <w:p w14:paraId="60905381" w14:textId="77777777" w:rsidR="007E18E8" w:rsidRDefault="007E18E8" w:rsidP="001F3A55">
      <w:pPr>
        <w:pStyle w:val="NormalSS"/>
        <w:ind w:firstLine="0"/>
        <w:jc w:val="left"/>
        <w:rPr>
          <w:szCs w:val="24"/>
        </w:rPr>
      </w:pPr>
    </w:p>
    <w:p w14:paraId="2EBC2FA4" w14:textId="66C42CCD" w:rsidR="00160D4F" w:rsidRDefault="00DC2E5D" w:rsidP="001F3A55">
      <w:pPr>
        <w:pStyle w:val="NormalSS"/>
        <w:ind w:firstLine="0"/>
        <w:jc w:val="left"/>
        <w:rPr>
          <w:szCs w:val="24"/>
        </w:rPr>
      </w:pPr>
      <w:r w:rsidRPr="001F3A55">
        <w:rPr>
          <w:szCs w:val="24"/>
        </w:rPr>
        <w:t xml:space="preserve">Ongoing data collection will utilize Snap Survey software for scannable paper surveys, entered and stored in a secure Excel database, and analyzed using SPSS and/or SAS. </w:t>
      </w:r>
      <w:r w:rsidR="000812E2">
        <w:rPr>
          <w:szCs w:val="24"/>
        </w:rPr>
        <w:t xml:space="preserve"> </w:t>
      </w:r>
      <w:r w:rsidR="00BE2AFA">
        <w:rPr>
          <w:szCs w:val="24"/>
        </w:rPr>
        <w:t>Program</w:t>
      </w:r>
      <w:r w:rsidRPr="001F3A55">
        <w:rPr>
          <w:szCs w:val="24"/>
        </w:rPr>
        <w:t xml:space="preserve"> staff will conduct descriptive analysis and/or modeling of survey data. </w:t>
      </w:r>
      <w:r w:rsidR="00D34E02">
        <w:rPr>
          <w:szCs w:val="24"/>
        </w:rPr>
        <w:t xml:space="preserve"> </w:t>
      </w:r>
      <w:r w:rsidRPr="001F3A55">
        <w:rPr>
          <w:szCs w:val="24"/>
        </w:rPr>
        <w:t xml:space="preserve">Survey results will be reported in aggregate to stakeholders via quarterly and annual research briefs, quarterly report against performance standards, and potentially in relevant peer-reviewed publications. </w:t>
      </w:r>
      <w:r w:rsidR="00F0496C">
        <w:rPr>
          <w:szCs w:val="24"/>
        </w:rPr>
        <w:t xml:space="preserve"> </w:t>
      </w:r>
    </w:p>
    <w:p w14:paraId="0EF7907D" w14:textId="7795C453" w:rsidR="00E00978" w:rsidRDefault="00E00978" w:rsidP="001F3A55">
      <w:pPr>
        <w:pStyle w:val="NormalSS"/>
        <w:ind w:firstLine="0"/>
        <w:jc w:val="left"/>
        <w:rPr>
          <w:szCs w:val="24"/>
        </w:rPr>
      </w:pPr>
    </w:p>
    <w:p w14:paraId="47998D34" w14:textId="77777777" w:rsidR="00E00978" w:rsidRDefault="00E00978" w:rsidP="001F3A55">
      <w:pPr>
        <w:pStyle w:val="NormalSS"/>
        <w:ind w:firstLine="0"/>
        <w:jc w:val="left"/>
        <w:rPr>
          <w:szCs w:val="24"/>
        </w:rPr>
      </w:pPr>
    </w:p>
    <w:p w14:paraId="0B300A71" w14:textId="77777777" w:rsidR="00DC2E5D" w:rsidRPr="001F3A55" w:rsidRDefault="009B3794" w:rsidP="001F3A55">
      <w:pPr>
        <w:pStyle w:val="NormalSS"/>
        <w:ind w:firstLine="0"/>
        <w:jc w:val="left"/>
        <w:rPr>
          <w:b/>
          <w:szCs w:val="24"/>
        </w:rPr>
      </w:pPr>
      <w:r w:rsidRPr="001F3A55">
        <w:rPr>
          <w:szCs w:val="24"/>
        </w:rPr>
        <w:t xml:space="preserve"> </w:t>
      </w:r>
    </w:p>
    <w:p w14:paraId="4D0D46C6" w14:textId="77777777" w:rsidR="009B3794" w:rsidRPr="001F3A55" w:rsidRDefault="009B3794" w:rsidP="001F3A55">
      <w:pPr>
        <w:numPr>
          <w:ilvl w:val="0"/>
          <w:numId w:val="2"/>
        </w:numPr>
        <w:tabs>
          <w:tab w:val="clear" w:pos="1080"/>
          <w:tab w:val="num" w:pos="360"/>
        </w:tabs>
        <w:ind w:left="360"/>
        <w:rPr>
          <w:b/>
          <w:sz w:val="24"/>
        </w:rPr>
      </w:pPr>
      <w:r w:rsidRPr="001F3A55">
        <w:rPr>
          <w:b/>
          <w:sz w:val="24"/>
          <w:u w:val="single"/>
        </w:rPr>
        <w:t>Reason(s) Display of OMB Expiration Date is Inappropriate</w:t>
      </w:r>
    </w:p>
    <w:p w14:paraId="1160FCD7" w14:textId="77777777" w:rsidR="007E18E8" w:rsidRDefault="007E18E8" w:rsidP="001F3A55">
      <w:pPr>
        <w:pStyle w:val="BodyTextIndent"/>
        <w:ind w:left="360"/>
        <w:rPr>
          <w:rFonts w:ascii="Times New Roman" w:hAnsi="Times New Roman"/>
        </w:rPr>
      </w:pPr>
    </w:p>
    <w:p w14:paraId="50D06E97" w14:textId="2DC239B6" w:rsidR="009B3794" w:rsidRPr="00D34E02" w:rsidRDefault="00E00978" w:rsidP="007E18E8">
      <w:pPr>
        <w:pStyle w:val="BodyTextIndent"/>
        <w:ind w:left="0"/>
        <w:rPr>
          <w:rFonts w:ascii="Times New Roman" w:hAnsi="Times New Roman"/>
        </w:rPr>
      </w:pPr>
      <w:r>
        <w:rPr>
          <w:rFonts w:ascii="Times New Roman" w:hAnsi="Times New Roman"/>
        </w:rPr>
        <w:t>The OMB number and e</w:t>
      </w:r>
      <w:r w:rsidR="00D11CA3" w:rsidRPr="00D34E02">
        <w:rPr>
          <w:rFonts w:ascii="Times New Roman" w:hAnsi="Times New Roman"/>
        </w:rPr>
        <w:t>xpiration date will be displayed on every page of every form/instrument.</w:t>
      </w:r>
    </w:p>
    <w:p w14:paraId="672F7051" w14:textId="77777777" w:rsidR="001F3A55" w:rsidRPr="001F3A55" w:rsidRDefault="001F3A55" w:rsidP="001F3A55">
      <w:pPr>
        <w:pStyle w:val="BodyTextIndent"/>
        <w:ind w:left="360"/>
        <w:rPr>
          <w:rFonts w:ascii="Times New Roman" w:hAnsi="Times New Roman"/>
          <w:b/>
        </w:rPr>
      </w:pPr>
    </w:p>
    <w:p w14:paraId="21F4CEFC" w14:textId="77777777" w:rsidR="009B3794" w:rsidRPr="001F3A55" w:rsidRDefault="009B3794" w:rsidP="001F3A55">
      <w:pPr>
        <w:numPr>
          <w:ilvl w:val="0"/>
          <w:numId w:val="2"/>
        </w:numPr>
        <w:tabs>
          <w:tab w:val="clear" w:pos="1080"/>
          <w:tab w:val="num" w:pos="360"/>
        </w:tabs>
        <w:ind w:left="360"/>
        <w:rPr>
          <w:b/>
          <w:sz w:val="24"/>
        </w:rPr>
      </w:pPr>
      <w:r w:rsidRPr="001F3A55">
        <w:rPr>
          <w:b/>
          <w:sz w:val="24"/>
          <w:u w:val="single"/>
        </w:rPr>
        <w:t>Exceptions to Certification for Paperwork Reduction Act Submissions</w:t>
      </w:r>
    </w:p>
    <w:p w14:paraId="47B5612E" w14:textId="77777777" w:rsidR="007E18E8" w:rsidRDefault="007E18E8" w:rsidP="001F3A55">
      <w:pPr>
        <w:pStyle w:val="BodyTextIndent"/>
        <w:ind w:left="360"/>
        <w:rPr>
          <w:rFonts w:ascii="Times New Roman" w:hAnsi="Times New Roman"/>
        </w:rPr>
      </w:pPr>
    </w:p>
    <w:p w14:paraId="145DEE11" w14:textId="77777777" w:rsidR="009B3794" w:rsidRPr="00D34E02" w:rsidRDefault="009B3794" w:rsidP="007E18E8">
      <w:pPr>
        <w:pStyle w:val="BodyTextIndent"/>
        <w:ind w:left="0"/>
        <w:rPr>
          <w:rFonts w:ascii="Times New Roman" w:hAnsi="Times New Roman"/>
        </w:rPr>
      </w:pPr>
      <w:r w:rsidRPr="00D34E02">
        <w:rPr>
          <w:rFonts w:ascii="Times New Roman" w:hAnsi="Times New Roman"/>
        </w:rPr>
        <w:t>There are no exceptions to the certification.</w:t>
      </w:r>
    </w:p>
    <w:sectPr w:rsidR="009B3794" w:rsidRPr="00D34E02" w:rsidSect="00DA59A7">
      <w:footerReference w:type="default" r:id="rId9"/>
      <w:endnotePr>
        <w:numFmt w:val="decimal"/>
      </w:endnotePr>
      <w:type w:val="continuous"/>
      <w:pgSz w:w="12240" w:h="15840"/>
      <w:pgMar w:top="1440" w:right="1440" w:bottom="1440" w:left="1440" w:header="144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E3DF8" w14:textId="77777777" w:rsidR="007E6BE8" w:rsidRDefault="007E6BE8">
      <w:r>
        <w:separator/>
      </w:r>
    </w:p>
  </w:endnote>
  <w:endnote w:type="continuationSeparator" w:id="0">
    <w:p w14:paraId="6FF3BC71" w14:textId="77777777" w:rsidR="007E6BE8" w:rsidRDefault="007E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911012"/>
      <w:docPartObj>
        <w:docPartGallery w:val="Page Numbers (Bottom of Page)"/>
        <w:docPartUnique/>
      </w:docPartObj>
    </w:sdtPr>
    <w:sdtEndPr>
      <w:rPr>
        <w:noProof/>
      </w:rPr>
    </w:sdtEndPr>
    <w:sdtContent>
      <w:p w14:paraId="2AB6537C" w14:textId="75D68F37" w:rsidR="00DA59A7" w:rsidRDefault="00DA59A7">
        <w:pPr>
          <w:pStyle w:val="Footer"/>
          <w:jc w:val="center"/>
        </w:pPr>
        <w:r>
          <w:fldChar w:fldCharType="begin"/>
        </w:r>
        <w:r>
          <w:instrText xml:space="preserve"> PAGE   \* MERGEFORMAT </w:instrText>
        </w:r>
        <w:r>
          <w:fldChar w:fldCharType="separate"/>
        </w:r>
        <w:r w:rsidR="00E37E15">
          <w:rPr>
            <w:noProof/>
          </w:rPr>
          <w:t>2</w:t>
        </w:r>
        <w:r>
          <w:rPr>
            <w:noProof/>
          </w:rPr>
          <w:fldChar w:fldCharType="end"/>
        </w:r>
      </w:p>
    </w:sdtContent>
  </w:sdt>
  <w:p w14:paraId="2FAD755E" w14:textId="77777777" w:rsidR="00D92E1D" w:rsidRDefault="00D92E1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BC8A6" w14:textId="77777777" w:rsidR="007E6BE8" w:rsidRDefault="007E6BE8">
      <w:r>
        <w:separator/>
      </w:r>
    </w:p>
  </w:footnote>
  <w:footnote w:type="continuationSeparator" w:id="0">
    <w:p w14:paraId="5547CAB3" w14:textId="77777777" w:rsidR="007E6BE8" w:rsidRDefault="007E6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6">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7">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6">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3"/>
  </w:num>
  <w:num w:numId="2">
    <w:abstractNumId w:val="22"/>
  </w:num>
  <w:num w:numId="3">
    <w:abstractNumId w:val="14"/>
  </w:num>
  <w:num w:numId="4">
    <w:abstractNumId w:val="39"/>
  </w:num>
  <w:num w:numId="5">
    <w:abstractNumId w:val="42"/>
  </w:num>
  <w:num w:numId="6">
    <w:abstractNumId w:val="9"/>
  </w:num>
  <w:num w:numId="7">
    <w:abstractNumId w:val="35"/>
  </w:num>
  <w:num w:numId="8">
    <w:abstractNumId w:val="17"/>
  </w:num>
  <w:num w:numId="9">
    <w:abstractNumId w:val="26"/>
  </w:num>
  <w:num w:numId="10">
    <w:abstractNumId w:val="19"/>
  </w:num>
  <w:num w:numId="11">
    <w:abstractNumId w:val="8"/>
  </w:num>
  <w:num w:numId="12">
    <w:abstractNumId w:val="25"/>
  </w:num>
  <w:num w:numId="13">
    <w:abstractNumId w:val="20"/>
  </w:num>
  <w:num w:numId="14">
    <w:abstractNumId w:val="23"/>
  </w:num>
  <w:num w:numId="15">
    <w:abstractNumId w:val="7"/>
  </w:num>
  <w:num w:numId="16">
    <w:abstractNumId w:val="0"/>
  </w:num>
  <w:num w:numId="17">
    <w:abstractNumId w:val="1"/>
  </w:num>
  <w:num w:numId="18">
    <w:abstractNumId w:val="15"/>
  </w:num>
  <w:num w:numId="19">
    <w:abstractNumId w:val="34"/>
  </w:num>
  <w:num w:numId="20">
    <w:abstractNumId w:val="32"/>
  </w:num>
  <w:num w:numId="21">
    <w:abstractNumId w:val="18"/>
  </w:num>
  <w:num w:numId="22">
    <w:abstractNumId w:val="38"/>
  </w:num>
  <w:num w:numId="23">
    <w:abstractNumId w:val="30"/>
  </w:num>
  <w:num w:numId="24">
    <w:abstractNumId w:val="31"/>
  </w:num>
  <w:num w:numId="25">
    <w:abstractNumId w:val="41"/>
  </w:num>
  <w:num w:numId="26">
    <w:abstractNumId w:val="37"/>
  </w:num>
  <w:num w:numId="27">
    <w:abstractNumId w:val="3"/>
  </w:num>
  <w:num w:numId="28">
    <w:abstractNumId w:val="16"/>
  </w:num>
  <w:num w:numId="29">
    <w:abstractNumId w:val="40"/>
  </w:num>
  <w:num w:numId="30">
    <w:abstractNumId w:val="36"/>
  </w:num>
  <w:num w:numId="31">
    <w:abstractNumId w:val="33"/>
  </w:num>
  <w:num w:numId="32">
    <w:abstractNumId w:val="10"/>
  </w:num>
  <w:num w:numId="33">
    <w:abstractNumId w:val="2"/>
  </w:num>
  <w:num w:numId="34">
    <w:abstractNumId w:val="27"/>
  </w:num>
  <w:num w:numId="35">
    <w:abstractNumId w:val="12"/>
  </w:num>
  <w:num w:numId="36">
    <w:abstractNumId w:val="11"/>
  </w:num>
  <w:num w:numId="37">
    <w:abstractNumId w:val="13"/>
  </w:num>
  <w:num w:numId="38">
    <w:abstractNumId w:val="4"/>
  </w:num>
  <w:num w:numId="39">
    <w:abstractNumId w:val="29"/>
  </w:num>
  <w:num w:numId="40">
    <w:abstractNumId w:val="6"/>
  </w:num>
  <w:num w:numId="41">
    <w:abstractNumId w:val="28"/>
  </w:num>
  <w:num w:numId="42">
    <w:abstractNumId w:val="24"/>
  </w:num>
  <w:num w:numId="43">
    <w:abstractNumId w:val="5"/>
  </w:num>
  <w:num w:numId="44">
    <w:abstractNumId w:val="21"/>
  </w:num>
  <w:num w:numId="45">
    <w:abstractNumId w:val="22"/>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11186"/>
    <w:rsid w:val="00015505"/>
    <w:rsid w:val="0002404D"/>
    <w:rsid w:val="000359F2"/>
    <w:rsid w:val="00075CFA"/>
    <w:rsid w:val="000812E2"/>
    <w:rsid w:val="000B5B0B"/>
    <w:rsid w:val="000C4003"/>
    <w:rsid w:val="001325B2"/>
    <w:rsid w:val="00132CA7"/>
    <w:rsid w:val="0013448B"/>
    <w:rsid w:val="00160D4F"/>
    <w:rsid w:val="001777A5"/>
    <w:rsid w:val="001920C3"/>
    <w:rsid w:val="001D35A0"/>
    <w:rsid w:val="001D4856"/>
    <w:rsid w:val="001E6F81"/>
    <w:rsid w:val="001F3A55"/>
    <w:rsid w:val="002118B4"/>
    <w:rsid w:val="0024458F"/>
    <w:rsid w:val="002640E7"/>
    <w:rsid w:val="00276C46"/>
    <w:rsid w:val="002811CF"/>
    <w:rsid w:val="00282EB7"/>
    <w:rsid w:val="002830CD"/>
    <w:rsid w:val="00290EBB"/>
    <w:rsid w:val="00291B3A"/>
    <w:rsid w:val="002C3177"/>
    <w:rsid w:val="002E7D8A"/>
    <w:rsid w:val="00306BF3"/>
    <w:rsid w:val="00322313"/>
    <w:rsid w:val="00325ACF"/>
    <w:rsid w:val="00335CED"/>
    <w:rsid w:val="00391E16"/>
    <w:rsid w:val="003A1EE6"/>
    <w:rsid w:val="003C4A98"/>
    <w:rsid w:val="003D23B1"/>
    <w:rsid w:val="00444840"/>
    <w:rsid w:val="00447CF6"/>
    <w:rsid w:val="0045798E"/>
    <w:rsid w:val="00472847"/>
    <w:rsid w:val="00473018"/>
    <w:rsid w:val="004746CA"/>
    <w:rsid w:val="004824DB"/>
    <w:rsid w:val="00490720"/>
    <w:rsid w:val="004E687D"/>
    <w:rsid w:val="004F3619"/>
    <w:rsid w:val="00503BAB"/>
    <w:rsid w:val="00511904"/>
    <w:rsid w:val="00514662"/>
    <w:rsid w:val="0054695E"/>
    <w:rsid w:val="005B603B"/>
    <w:rsid w:val="005D7625"/>
    <w:rsid w:val="005E1765"/>
    <w:rsid w:val="006121DC"/>
    <w:rsid w:val="00624019"/>
    <w:rsid w:val="00627FFD"/>
    <w:rsid w:val="006378E2"/>
    <w:rsid w:val="00641C5F"/>
    <w:rsid w:val="00673D6E"/>
    <w:rsid w:val="00680D76"/>
    <w:rsid w:val="00695524"/>
    <w:rsid w:val="006F1492"/>
    <w:rsid w:val="00710BD0"/>
    <w:rsid w:val="0073114C"/>
    <w:rsid w:val="00735775"/>
    <w:rsid w:val="0074106F"/>
    <w:rsid w:val="00753956"/>
    <w:rsid w:val="00771B86"/>
    <w:rsid w:val="0077229B"/>
    <w:rsid w:val="007769C3"/>
    <w:rsid w:val="0078752C"/>
    <w:rsid w:val="007945DF"/>
    <w:rsid w:val="007C06D2"/>
    <w:rsid w:val="007D18ED"/>
    <w:rsid w:val="007D57A3"/>
    <w:rsid w:val="007E18E8"/>
    <w:rsid w:val="007E6BE8"/>
    <w:rsid w:val="007F047A"/>
    <w:rsid w:val="007F4D94"/>
    <w:rsid w:val="008002AB"/>
    <w:rsid w:val="008020C5"/>
    <w:rsid w:val="00813544"/>
    <w:rsid w:val="0085540D"/>
    <w:rsid w:val="00856240"/>
    <w:rsid w:val="00862396"/>
    <w:rsid w:val="00892B69"/>
    <w:rsid w:val="008B04CA"/>
    <w:rsid w:val="008D2D67"/>
    <w:rsid w:val="008D7DD7"/>
    <w:rsid w:val="008E7385"/>
    <w:rsid w:val="00923812"/>
    <w:rsid w:val="00935E77"/>
    <w:rsid w:val="00937C38"/>
    <w:rsid w:val="009763FE"/>
    <w:rsid w:val="00994D26"/>
    <w:rsid w:val="009A5C5F"/>
    <w:rsid w:val="009B3794"/>
    <w:rsid w:val="009B7E4D"/>
    <w:rsid w:val="009C2CDD"/>
    <w:rsid w:val="009D3229"/>
    <w:rsid w:val="009F52B3"/>
    <w:rsid w:val="009F7AD9"/>
    <w:rsid w:val="00A1688A"/>
    <w:rsid w:val="00A2512A"/>
    <w:rsid w:val="00A45D95"/>
    <w:rsid w:val="00A92CAB"/>
    <w:rsid w:val="00AE0AE3"/>
    <w:rsid w:val="00AE1F1E"/>
    <w:rsid w:val="00AE7154"/>
    <w:rsid w:val="00B077AE"/>
    <w:rsid w:val="00B1439E"/>
    <w:rsid w:val="00B4240F"/>
    <w:rsid w:val="00B574D6"/>
    <w:rsid w:val="00B64903"/>
    <w:rsid w:val="00B655C6"/>
    <w:rsid w:val="00B71722"/>
    <w:rsid w:val="00B761CC"/>
    <w:rsid w:val="00B82A29"/>
    <w:rsid w:val="00B853FD"/>
    <w:rsid w:val="00B9708A"/>
    <w:rsid w:val="00BA1A0C"/>
    <w:rsid w:val="00BA6BC8"/>
    <w:rsid w:val="00BC5A25"/>
    <w:rsid w:val="00BE2AFA"/>
    <w:rsid w:val="00C11623"/>
    <w:rsid w:val="00C16AD1"/>
    <w:rsid w:val="00C45431"/>
    <w:rsid w:val="00C74B86"/>
    <w:rsid w:val="00C761B8"/>
    <w:rsid w:val="00CA3DA6"/>
    <w:rsid w:val="00CC6348"/>
    <w:rsid w:val="00CD36E7"/>
    <w:rsid w:val="00CD7B79"/>
    <w:rsid w:val="00CE5AA9"/>
    <w:rsid w:val="00CF2320"/>
    <w:rsid w:val="00D10791"/>
    <w:rsid w:val="00D11CA3"/>
    <w:rsid w:val="00D34E02"/>
    <w:rsid w:val="00D46313"/>
    <w:rsid w:val="00D46552"/>
    <w:rsid w:val="00D4661E"/>
    <w:rsid w:val="00D56CC2"/>
    <w:rsid w:val="00D74B86"/>
    <w:rsid w:val="00D87743"/>
    <w:rsid w:val="00D92E1D"/>
    <w:rsid w:val="00DA59A7"/>
    <w:rsid w:val="00DC2E5D"/>
    <w:rsid w:val="00DD648E"/>
    <w:rsid w:val="00DE3A45"/>
    <w:rsid w:val="00E00978"/>
    <w:rsid w:val="00E00CEE"/>
    <w:rsid w:val="00E156E7"/>
    <w:rsid w:val="00E203FA"/>
    <w:rsid w:val="00E204FA"/>
    <w:rsid w:val="00E27D6B"/>
    <w:rsid w:val="00E34A1F"/>
    <w:rsid w:val="00E37E15"/>
    <w:rsid w:val="00E423CF"/>
    <w:rsid w:val="00E61F5A"/>
    <w:rsid w:val="00E677FF"/>
    <w:rsid w:val="00E76CA2"/>
    <w:rsid w:val="00E81E9F"/>
    <w:rsid w:val="00E85436"/>
    <w:rsid w:val="00E87554"/>
    <w:rsid w:val="00E962DB"/>
    <w:rsid w:val="00EB76C0"/>
    <w:rsid w:val="00EC38CD"/>
    <w:rsid w:val="00ED18EA"/>
    <w:rsid w:val="00ED2C01"/>
    <w:rsid w:val="00EE529C"/>
    <w:rsid w:val="00EE6530"/>
    <w:rsid w:val="00F0496C"/>
    <w:rsid w:val="00F4221E"/>
    <w:rsid w:val="00F428CD"/>
    <w:rsid w:val="00F4753E"/>
    <w:rsid w:val="00F81105"/>
    <w:rsid w:val="00F90F77"/>
    <w:rsid w:val="00F92B07"/>
    <w:rsid w:val="00FB0D74"/>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C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2">
    <w:name w:val="heading 2"/>
    <w:basedOn w:val="Normal"/>
    <w:next w:val="Normal"/>
    <w:link w:val="Heading2Char"/>
    <w:semiHidden/>
    <w:unhideWhenUsed/>
    <w:qFormat/>
    <w:rsid w:val="00E204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customStyle="1" w:styleId="Heading2Char">
    <w:name w:val="Heading 2 Char"/>
    <w:basedOn w:val="DefaultParagraphFont"/>
    <w:link w:val="Heading2"/>
    <w:semiHidden/>
    <w:rsid w:val="00E204FA"/>
    <w:rPr>
      <w:rFonts w:asciiTheme="majorHAnsi" w:eastAsiaTheme="majorEastAsia" w:hAnsiTheme="majorHAnsi" w:cstheme="majorBidi"/>
      <w:b/>
      <w:bCs/>
      <w:color w:val="4F81BD" w:themeColor="accent1"/>
      <w:sz w:val="26"/>
      <w:szCs w:val="26"/>
    </w:rPr>
  </w:style>
  <w:style w:type="paragraph" w:customStyle="1" w:styleId="NormalSS">
    <w:name w:val="NormalSS"/>
    <w:basedOn w:val="Normal"/>
    <w:rsid w:val="007F4D94"/>
    <w:pPr>
      <w:widowControl/>
      <w:tabs>
        <w:tab w:val="left" w:pos="432"/>
      </w:tabs>
      <w:autoSpaceDE/>
      <w:autoSpaceDN/>
      <w:adjustRightInd/>
      <w:ind w:firstLine="432"/>
      <w:jc w:val="both"/>
    </w:pPr>
    <w:rPr>
      <w:sz w:val="24"/>
      <w:szCs w:val="20"/>
    </w:rPr>
  </w:style>
  <w:style w:type="paragraph" w:styleId="Header">
    <w:name w:val="header"/>
    <w:basedOn w:val="Normal"/>
    <w:link w:val="HeaderChar"/>
    <w:rsid w:val="00DA59A7"/>
    <w:pPr>
      <w:tabs>
        <w:tab w:val="center" w:pos="4680"/>
        <w:tab w:val="right" w:pos="9360"/>
      </w:tabs>
    </w:pPr>
  </w:style>
  <w:style w:type="character" w:customStyle="1" w:styleId="HeaderChar">
    <w:name w:val="Header Char"/>
    <w:basedOn w:val="DefaultParagraphFont"/>
    <w:link w:val="Header"/>
    <w:rsid w:val="00DA59A7"/>
    <w:rPr>
      <w:szCs w:val="24"/>
    </w:rPr>
  </w:style>
  <w:style w:type="paragraph" w:styleId="Footer">
    <w:name w:val="footer"/>
    <w:basedOn w:val="Normal"/>
    <w:link w:val="FooterChar"/>
    <w:uiPriority w:val="99"/>
    <w:rsid w:val="00DA59A7"/>
    <w:pPr>
      <w:tabs>
        <w:tab w:val="center" w:pos="4680"/>
        <w:tab w:val="right" w:pos="9360"/>
      </w:tabs>
    </w:pPr>
  </w:style>
  <w:style w:type="character" w:customStyle="1" w:styleId="FooterChar">
    <w:name w:val="Footer Char"/>
    <w:basedOn w:val="DefaultParagraphFont"/>
    <w:link w:val="Footer"/>
    <w:uiPriority w:val="99"/>
    <w:rsid w:val="00DA59A7"/>
    <w:rPr>
      <w:szCs w:val="24"/>
    </w:rPr>
  </w:style>
  <w:style w:type="character" w:styleId="CommentReference">
    <w:name w:val="annotation reference"/>
    <w:basedOn w:val="DefaultParagraphFont"/>
    <w:rsid w:val="007D57A3"/>
    <w:rPr>
      <w:sz w:val="16"/>
      <w:szCs w:val="16"/>
    </w:rPr>
  </w:style>
  <w:style w:type="paragraph" w:styleId="CommentText">
    <w:name w:val="annotation text"/>
    <w:basedOn w:val="Normal"/>
    <w:link w:val="CommentTextChar"/>
    <w:rsid w:val="007D57A3"/>
    <w:rPr>
      <w:szCs w:val="20"/>
    </w:rPr>
  </w:style>
  <w:style w:type="character" w:customStyle="1" w:styleId="CommentTextChar">
    <w:name w:val="Comment Text Char"/>
    <w:basedOn w:val="DefaultParagraphFont"/>
    <w:link w:val="CommentText"/>
    <w:rsid w:val="007D57A3"/>
  </w:style>
  <w:style w:type="paragraph" w:styleId="CommentSubject">
    <w:name w:val="annotation subject"/>
    <w:basedOn w:val="CommentText"/>
    <w:next w:val="CommentText"/>
    <w:link w:val="CommentSubjectChar"/>
    <w:rsid w:val="007D57A3"/>
    <w:rPr>
      <w:b/>
      <w:bCs/>
    </w:rPr>
  </w:style>
  <w:style w:type="character" w:customStyle="1" w:styleId="CommentSubjectChar">
    <w:name w:val="Comment Subject Char"/>
    <w:basedOn w:val="CommentTextChar"/>
    <w:link w:val="CommentSubject"/>
    <w:rsid w:val="007D57A3"/>
    <w:rPr>
      <w:b/>
      <w:bCs/>
    </w:rPr>
  </w:style>
  <w:style w:type="character" w:styleId="FollowedHyperlink">
    <w:name w:val="FollowedHyperlink"/>
    <w:basedOn w:val="DefaultParagraphFont"/>
    <w:rsid w:val="00291B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2">
    <w:name w:val="heading 2"/>
    <w:basedOn w:val="Normal"/>
    <w:next w:val="Normal"/>
    <w:link w:val="Heading2Char"/>
    <w:semiHidden/>
    <w:unhideWhenUsed/>
    <w:qFormat/>
    <w:rsid w:val="00E204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customStyle="1" w:styleId="Heading2Char">
    <w:name w:val="Heading 2 Char"/>
    <w:basedOn w:val="DefaultParagraphFont"/>
    <w:link w:val="Heading2"/>
    <w:semiHidden/>
    <w:rsid w:val="00E204FA"/>
    <w:rPr>
      <w:rFonts w:asciiTheme="majorHAnsi" w:eastAsiaTheme="majorEastAsia" w:hAnsiTheme="majorHAnsi" w:cstheme="majorBidi"/>
      <w:b/>
      <w:bCs/>
      <w:color w:val="4F81BD" w:themeColor="accent1"/>
      <w:sz w:val="26"/>
      <w:szCs w:val="26"/>
    </w:rPr>
  </w:style>
  <w:style w:type="paragraph" w:customStyle="1" w:styleId="NormalSS">
    <w:name w:val="NormalSS"/>
    <w:basedOn w:val="Normal"/>
    <w:rsid w:val="007F4D94"/>
    <w:pPr>
      <w:widowControl/>
      <w:tabs>
        <w:tab w:val="left" w:pos="432"/>
      </w:tabs>
      <w:autoSpaceDE/>
      <w:autoSpaceDN/>
      <w:adjustRightInd/>
      <w:ind w:firstLine="432"/>
      <w:jc w:val="both"/>
    </w:pPr>
    <w:rPr>
      <w:sz w:val="24"/>
      <w:szCs w:val="20"/>
    </w:rPr>
  </w:style>
  <w:style w:type="paragraph" w:styleId="Header">
    <w:name w:val="header"/>
    <w:basedOn w:val="Normal"/>
    <w:link w:val="HeaderChar"/>
    <w:rsid w:val="00DA59A7"/>
    <w:pPr>
      <w:tabs>
        <w:tab w:val="center" w:pos="4680"/>
        <w:tab w:val="right" w:pos="9360"/>
      </w:tabs>
    </w:pPr>
  </w:style>
  <w:style w:type="character" w:customStyle="1" w:styleId="HeaderChar">
    <w:name w:val="Header Char"/>
    <w:basedOn w:val="DefaultParagraphFont"/>
    <w:link w:val="Header"/>
    <w:rsid w:val="00DA59A7"/>
    <w:rPr>
      <w:szCs w:val="24"/>
    </w:rPr>
  </w:style>
  <w:style w:type="paragraph" w:styleId="Footer">
    <w:name w:val="footer"/>
    <w:basedOn w:val="Normal"/>
    <w:link w:val="FooterChar"/>
    <w:uiPriority w:val="99"/>
    <w:rsid w:val="00DA59A7"/>
    <w:pPr>
      <w:tabs>
        <w:tab w:val="center" w:pos="4680"/>
        <w:tab w:val="right" w:pos="9360"/>
      </w:tabs>
    </w:pPr>
  </w:style>
  <w:style w:type="character" w:customStyle="1" w:styleId="FooterChar">
    <w:name w:val="Footer Char"/>
    <w:basedOn w:val="DefaultParagraphFont"/>
    <w:link w:val="Footer"/>
    <w:uiPriority w:val="99"/>
    <w:rsid w:val="00DA59A7"/>
    <w:rPr>
      <w:szCs w:val="24"/>
    </w:rPr>
  </w:style>
  <w:style w:type="character" w:styleId="CommentReference">
    <w:name w:val="annotation reference"/>
    <w:basedOn w:val="DefaultParagraphFont"/>
    <w:rsid w:val="007D57A3"/>
    <w:rPr>
      <w:sz w:val="16"/>
      <w:szCs w:val="16"/>
    </w:rPr>
  </w:style>
  <w:style w:type="paragraph" w:styleId="CommentText">
    <w:name w:val="annotation text"/>
    <w:basedOn w:val="Normal"/>
    <w:link w:val="CommentTextChar"/>
    <w:rsid w:val="007D57A3"/>
    <w:rPr>
      <w:szCs w:val="20"/>
    </w:rPr>
  </w:style>
  <w:style w:type="character" w:customStyle="1" w:styleId="CommentTextChar">
    <w:name w:val="Comment Text Char"/>
    <w:basedOn w:val="DefaultParagraphFont"/>
    <w:link w:val="CommentText"/>
    <w:rsid w:val="007D57A3"/>
  </w:style>
  <w:style w:type="paragraph" w:styleId="CommentSubject">
    <w:name w:val="annotation subject"/>
    <w:basedOn w:val="CommentText"/>
    <w:next w:val="CommentText"/>
    <w:link w:val="CommentSubjectChar"/>
    <w:rsid w:val="007D57A3"/>
    <w:rPr>
      <w:b/>
      <w:bCs/>
    </w:rPr>
  </w:style>
  <w:style w:type="character" w:customStyle="1" w:styleId="CommentSubjectChar">
    <w:name w:val="Comment Subject Char"/>
    <w:basedOn w:val="CommentTextChar"/>
    <w:link w:val="CommentSubject"/>
    <w:rsid w:val="007D57A3"/>
    <w:rPr>
      <w:b/>
      <w:bCs/>
    </w:rPr>
  </w:style>
  <w:style w:type="character" w:styleId="FollowedHyperlink">
    <w:name w:val="FollowedHyperlink"/>
    <w:basedOn w:val="DefaultParagraphFont"/>
    <w:rsid w:val="00291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52606">
      <w:bodyDiv w:val="1"/>
      <w:marLeft w:val="0"/>
      <w:marRight w:val="0"/>
      <w:marTop w:val="0"/>
      <w:marBottom w:val="0"/>
      <w:divBdr>
        <w:top w:val="none" w:sz="0" w:space="0" w:color="auto"/>
        <w:left w:val="none" w:sz="0" w:space="0" w:color="auto"/>
        <w:bottom w:val="none" w:sz="0" w:space="0" w:color="auto"/>
        <w:right w:val="none" w:sz="0" w:space="0" w:color="auto"/>
      </w:divBdr>
    </w:div>
    <w:div w:id="991371498">
      <w:bodyDiv w:val="1"/>
      <w:marLeft w:val="0"/>
      <w:marRight w:val="0"/>
      <w:marTop w:val="0"/>
      <w:marBottom w:val="0"/>
      <w:divBdr>
        <w:top w:val="none" w:sz="0" w:space="0" w:color="auto"/>
        <w:left w:val="none" w:sz="0" w:space="0" w:color="auto"/>
        <w:bottom w:val="none" w:sz="0" w:space="0" w:color="auto"/>
        <w:right w:val="none" w:sz="0" w:space="0" w:color="auto"/>
      </w:divBdr>
    </w:div>
    <w:div w:id="1197042339">
      <w:bodyDiv w:val="1"/>
      <w:marLeft w:val="0"/>
      <w:marRight w:val="0"/>
      <w:marTop w:val="0"/>
      <w:marBottom w:val="0"/>
      <w:divBdr>
        <w:top w:val="none" w:sz="0" w:space="0" w:color="auto"/>
        <w:left w:val="none" w:sz="0" w:space="0" w:color="auto"/>
        <w:bottom w:val="none" w:sz="0" w:space="0" w:color="auto"/>
        <w:right w:val="none" w:sz="0" w:space="0" w:color="auto"/>
      </w:divBdr>
    </w:div>
    <w:div w:id="15718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C708B-0DA5-4D6E-BC86-70C7366A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11087</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SYSTEM</cp:lastModifiedBy>
  <cp:revision>2</cp:revision>
  <cp:lastPrinted>2014-09-22T14:45:00Z</cp:lastPrinted>
  <dcterms:created xsi:type="dcterms:W3CDTF">2017-11-09T15:59:00Z</dcterms:created>
  <dcterms:modified xsi:type="dcterms:W3CDTF">2017-11-09T15:59:00Z</dcterms:modified>
</cp:coreProperties>
</file>