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ADBA80" w14:textId="0CB79305" w:rsidR="00646808" w:rsidRPr="008238D8" w:rsidRDefault="002334E0" w:rsidP="00100205">
      <w:pPr>
        <w:pStyle w:val="IntenseQuote"/>
        <w:spacing w:line="240" w:lineRule="auto"/>
        <w:ind w:left="0" w:right="0"/>
        <w:rPr>
          <w:rFonts w:ascii="Cambria" w:hAnsi="Cambria"/>
          <w:b w:val="0"/>
          <w:i w:val="0"/>
          <w:sz w:val="24"/>
          <w:szCs w:val="24"/>
        </w:rPr>
      </w:pPr>
      <w:bookmarkStart w:id="0" w:name="_GoBack"/>
      <w:bookmarkEnd w:id="0"/>
      <w:r>
        <w:rPr>
          <w:rFonts w:ascii="Times New Roman" w:eastAsia="Times New Roman" w:hAnsi="Times New Roman"/>
          <w:noProof/>
          <w:sz w:val="6"/>
          <w:szCs w:val="6"/>
        </w:rPr>
        <w:drawing>
          <wp:inline distT="0" distB="0" distL="0" distR="0" wp14:anchorId="0812D70B" wp14:editId="55D08362">
            <wp:extent cx="1883668" cy="606553"/>
            <wp:effectExtent l="0" t="0" r="2540" b="317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HRSA-agency-logo_FINAL-black_tran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83668" cy="606553"/>
                    </a:xfrm>
                    <a:prstGeom prst="rect">
                      <a:avLst/>
                    </a:prstGeom>
                  </pic:spPr>
                </pic:pic>
              </a:graphicData>
            </a:graphic>
          </wp:inline>
        </w:drawing>
      </w:r>
    </w:p>
    <w:p w14:paraId="2ED8885C" w14:textId="77777777" w:rsidR="00646808" w:rsidRDefault="00646808" w:rsidP="00F62F8B">
      <w:pPr>
        <w:spacing w:after="300" w:line="240" w:lineRule="auto"/>
        <w:contextualSpacing/>
      </w:pPr>
    </w:p>
    <w:p w14:paraId="43F3EC51" w14:textId="77777777" w:rsidR="00F62F8B" w:rsidRDefault="00F62F8B" w:rsidP="00F62F8B">
      <w:pPr>
        <w:spacing w:after="300" w:line="240" w:lineRule="auto"/>
        <w:contextualSpacing/>
      </w:pPr>
    </w:p>
    <w:p w14:paraId="7FBDB06B" w14:textId="77777777" w:rsidR="00646808" w:rsidRPr="00C025A0" w:rsidRDefault="00646808" w:rsidP="00F62F8B">
      <w:pPr>
        <w:pStyle w:val="IntenseQuote"/>
        <w:spacing w:before="0" w:after="300" w:line="240" w:lineRule="auto"/>
        <w:ind w:left="0" w:right="0"/>
        <w:contextualSpacing/>
        <w:rPr>
          <w:rFonts w:ascii="Cambria" w:eastAsia="Times New Roman" w:hAnsi="Cambria"/>
          <w:b w:val="0"/>
          <w:i w:val="0"/>
          <w:color w:val="0B5294" w:themeColor="accent1" w:themeShade="BF"/>
          <w:spacing w:val="5"/>
          <w:kern w:val="28"/>
          <w:sz w:val="72"/>
          <w:szCs w:val="72"/>
        </w:rPr>
      </w:pPr>
      <w:r w:rsidRPr="00C025A0">
        <w:rPr>
          <w:rFonts w:ascii="Cambria" w:eastAsia="Times New Roman" w:hAnsi="Cambria"/>
          <w:b w:val="0"/>
          <w:i w:val="0"/>
          <w:color w:val="0B5294" w:themeColor="accent1" w:themeShade="BF"/>
          <w:spacing w:val="5"/>
          <w:kern w:val="28"/>
          <w:sz w:val="72"/>
          <w:szCs w:val="72"/>
        </w:rPr>
        <w:t>TITLE V MATERNAL AND CHILD HEALTH SERVICES BLOCK GRANT TO STATES PROGRAM</w:t>
      </w:r>
    </w:p>
    <w:p w14:paraId="2B2606A3" w14:textId="77777777" w:rsidR="00646808" w:rsidRPr="00C025A0" w:rsidRDefault="00646808" w:rsidP="00CC7F5C">
      <w:pPr>
        <w:pStyle w:val="IntenseQuote"/>
        <w:spacing w:before="0" w:after="300" w:line="240" w:lineRule="auto"/>
        <w:ind w:left="0" w:right="0"/>
        <w:contextualSpacing/>
        <w:rPr>
          <w:rFonts w:ascii="Cambria" w:eastAsia="Times New Roman" w:hAnsi="Cambria"/>
          <w:b w:val="0"/>
          <w:i w:val="0"/>
          <w:color w:val="0B5294" w:themeColor="accent1" w:themeShade="BF"/>
          <w:spacing w:val="5"/>
          <w:kern w:val="28"/>
          <w:sz w:val="36"/>
          <w:szCs w:val="36"/>
        </w:rPr>
      </w:pPr>
    </w:p>
    <w:p w14:paraId="6CD9682A" w14:textId="77777777" w:rsidR="0067269D" w:rsidRPr="00C025A0" w:rsidRDefault="0067269D" w:rsidP="00CC7F5C">
      <w:pPr>
        <w:pStyle w:val="IntenseQuote"/>
        <w:spacing w:before="0" w:after="300" w:line="240" w:lineRule="auto"/>
        <w:ind w:left="0" w:right="0"/>
        <w:contextualSpacing/>
        <w:rPr>
          <w:rFonts w:ascii="Cambria" w:eastAsia="Times New Roman" w:hAnsi="Cambria"/>
          <w:b w:val="0"/>
          <w:i w:val="0"/>
          <w:color w:val="0B5294" w:themeColor="accent1" w:themeShade="BF"/>
          <w:spacing w:val="5"/>
          <w:kern w:val="28"/>
          <w:sz w:val="28"/>
          <w:szCs w:val="28"/>
        </w:rPr>
      </w:pPr>
    </w:p>
    <w:p w14:paraId="6B7E0200" w14:textId="77777777" w:rsidR="00646808" w:rsidRPr="00C025A0" w:rsidRDefault="00646808" w:rsidP="00CC7F5C">
      <w:pPr>
        <w:pStyle w:val="IntenseQuote"/>
        <w:spacing w:before="0" w:after="300" w:line="240" w:lineRule="auto"/>
        <w:ind w:left="0" w:right="0"/>
        <w:contextualSpacing/>
        <w:rPr>
          <w:rFonts w:asciiTheme="majorHAnsi" w:hAnsiTheme="majorHAnsi"/>
          <w:b w:val="0"/>
          <w:i w:val="0"/>
          <w:color w:val="0B5294" w:themeColor="accent1" w:themeShade="BF"/>
          <w:sz w:val="40"/>
          <w:szCs w:val="40"/>
        </w:rPr>
      </w:pPr>
      <w:r w:rsidRPr="00C025A0">
        <w:rPr>
          <w:rFonts w:asciiTheme="majorHAnsi" w:hAnsiTheme="majorHAnsi"/>
          <w:b w:val="0"/>
          <w:i w:val="0"/>
          <w:color w:val="0B5294" w:themeColor="accent1" w:themeShade="BF"/>
          <w:sz w:val="40"/>
          <w:szCs w:val="40"/>
        </w:rPr>
        <w:t>GUIDANCE AND FORMS</w:t>
      </w:r>
    </w:p>
    <w:p w14:paraId="5C1FA5D2" w14:textId="77777777" w:rsidR="00646808" w:rsidRPr="00C025A0" w:rsidRDefault="00646808" w:rsidP="00CC7F5C">
      <w:pPr>
        <w:pStyle w:val="IntenseQuote"/>
        <w:spacing w:before="0" w:after="300" w:line="240" w:lineRule="auto"/>
        <w:ind w:left="0" w:right="0"/>
        <w:contextualSpacing/>
        <w:rPr>
          <w:rFonts w:asciiTheme="majorHAnsi" w:hAnsiTheme="majorHAnsi"/>
          <w:b w:val="0"/>
          <w:i w:val="0"/>
          <w:color w:val="0B5294" w:themeColor="accent1" w:themeShade="BF"/>
          <w:sz w:val="40"/>
          <w:szCs w:val="40"/>
        </w:rPr>
      </w:pPr>
      <w:r w:rsidRPr="00C025A0">
        <w:rPr>
          <w:rFonts w:asciiTheme="majorHAnsi" w:hAnsiTheme="majorHAnsi"/>
          <w:b w:val="0"/>
          <w:i w:val="0"/>
          <w:color w:val="0B5294" w:themeColor="accent1" w:themeShade="BF"/>
          <w:sz w:val="40"/>
          <w:szCs w:val="40"/>
        </w:rPr>
        <w:t>FOR THE</w:t>
      </w:r>
    </w:p>
    <w:p w14:paraId="452951D0" w14:textId="77777777" w:rsidR="00CC7F5C" w:rsidRPr="00C025A0" w:rsidRDefault="00CC7F5C" w:rsidP="00CC7F5C">
      <w:pPr>
        <w:pStyle w:val="IntenseQuote"/>
        <w:spacing w:before="0" w:after="300" w:line="240" w:lineRule="auto"/>
        <w:ind w:left="0" w:right="0"/>
        <w:contextualSpacing/>
        <w:rPr>
          <w:rFonts w:asciiTheme="majorHAnsi" w:hAnsiTheme="majorHAnsi"/>
          <w:b w:val="0"/>
          <w:i w:val="0"/>
          <w:color w:val="0B5294" w:themeColor="accent1" w:themeShade="BF"/>
          <w:sz w:val="40"/>
          <w:szCs w:val="40"/>
        </w:rPr>
      </w:pPr>
      <w:r w:rsidRPr="00C025A0">
        <w:rPr>
          <w:rFonts w:asciiTheme="majorHAnsi" w:hAnsiTheme="majorHAnsi"/>
          <w:b w:val="0"/>
          <w:i w:val="0"/>
          <w:color w:val="0B5294" w:themeColor="accent1" w:themeShade="BF"/>
          <w:sz w:val="40"/>
          <w:szCs w:val="40"/>
        </w:rPr>
        <w:t>TITLE V APPLICATION/ANNUAL REPORT</w:t>
      </w:r>
    </w:p>
    <w:p w14:paraId="5D348150" w14:textId="77777777" w:rsidR="00646808" w:rsidRPr="00C025A0" w:rsidRDefault="00646808" w:rsidP="00CC7F5C">
      <w:pPr>
        <w:pStyle w:val="IntenseQuote"/>
        <w:spacing w:before="0" w:after="300" w:line="240" w:lineRule="auto"/>
        <w:ind w:left="0" w:right="0"/>
        <w:contextualSpacing/>
        <w:rPr>
          <w:rFonts w:asciiTheme="majorHAnsi" w:hAnsiTheme="majorHAnsi"/>
          <w:b w:val="0"/>
          <w:i w:val="0"/>
          <w:color w:val="0B5294" w:themeColor="accent1" w:themeShade="BF"/>
          <w:sz w:val="28"/>
          <w:szCs w:val="28"/>
        </w:rPr>
      </w:pPr>
    </w:p>
    <w:p w14:paraId="4251B15B" w14:textId="77777777" w:rsidR="00646808" w:rsidRPr="00C025A0" w:rsidRDefault="00646808" w:rsidP="00CC7F5C">
      <w:pPr>
        <w:pStyle w:val="IntenseQuote"/>
        <w:spacing w:before="0" w:after="0" w:line="240" w:lineRule="auto"/>
        <w:ind w:left="0" w:right="0"/>
        <w:contextualSpacing/>
        <w:rPr>
          <w:rFonts w:asciiTheme="majorHAnsi" w:hAnsiTheme="majorHAnsi"/>
          <w:i w:val="0"/>
          <w:color w:val="0B5294" w:themeColor="accent1" w:themeShade="BF"/>
          <w:sz w:val="28"/>
          <w:szCs w:val="28"/>
        </w:rPr>
      </w:pPr>
    </w:p>
    <w:p w14:paraId="530DBAFC" w14:textId="77777777" w:rsidR="00646808" w:rsidRPr="00C025A0" w:rsidRDefault="00CC7F5C" w:rsidP="00CC7F5C">
      <w:pPr>
        <w:spacing w:after="0" w:line="240" w:lineRule="auto"/>
        <w:contextualSpacing/>
        <w:rPr>
          <w:color w:val="0B5294" w:themeColor="accent1" w:themeShade="BF"/>
          <w:sz w:val="28"/>
          <w:szCs w:val="28"/>
        </w:rPr>
      </w:pPr>
      <w:r w:rsidRPr="00C025A0">
        <w:rPr>
          <w:b/>
          <w:color w:val="0B5294" w:themeColor="accent1" w:themeShade="BF"/>
          <w:sz w:val="48"/>
          <w:szCs w:val="48"/>
        </w:rPr>
        <w:t>APPENDIX OF SUPPORTING DOCUMENTS</w:t>
      </w:r>
    </w:p>
    <w:p w14:paraId="50CB47F6" w14:textId="77777777" w:rsidR="00CC7F5C" w:rsidRPr="00C025A0" w:rsidRDefault="00CC7F5C" w:rsidP="00CC7F5C">
      <w:pPr>
        <w:spacing w:after="0" w:line="240" w:lineRule="auto"/>
        <w:contextualSpacing/>
        <w:rPr>
          <w:color w:val="0B5294" w:themeColor="accent1" w:themeShade="BF"/>
          <w:sz w:val="28"/>
          <w:szCs w:val="28"/>
        </w:rPr>
      </w:pPr>
    </w:p>
    <w:p w14:paraId="21949038" w14:textId="77777777" w:rsidR="00646808" w:rsidRPr="00C025A0" w:rsidRDefault="00646808" w:rsidP="00CC7F5C">
      <w:pPr>
        <w:pStyle w:val="IntenseQuote"/>
        <w:spacing w:before="0" w:after="0" w:line="240" w:lineRule="auto"/>
        <w:ind w:left="0" w:right="0"/>
        <w:contextualSpacing/>
        <w:rPr>
          <w:b w:val="0"/>
          <w:i w:val="0"/>
          <w:color w:val="0B5294" w:themeColor="accent1" w:themeShade="BF"/>
          <w:sz w:val="24"/>
          <w:szCs w:val="24"/>
        </w:rPr>
      </w:pPr>
      <w:r w:rsidRPr="00C025A0">
        <w:rPr>
          <w:b w:val="0"/>
          <w:i w:val="0"/>
          <w:color w:val="0B5294" w:themeColor="accent1" w:themeShade="BF"/>
          <w:sz w:val="24"/>
          <w:szCs w:val="24"/>
        </w:rPr>
        <w:t>U.S. Department of Health and Human Services</w:t>
      </w:r>
    </w:p>
    <w:p w14:paraId="5B6D84BE" w14:textId="77777777" w:rsidR="00646808" w:rsidRPr="00C025A0" w:rsidRDefault="00646808" w:rsidP="00CC7F5C">
      <w:pPr>
        <w:pStyle w:val="IntenseQuote"/>
        <w:spacing w:before="0" w:after="0" w:line="240" w:lineRule="auto"/>
        <w:ind w:left="0" w:right="0"/>
        <w:contextualSpacing/>
        <w:rPr>
          <w:b w:val="0"/>
          <w:i w:val="0"/>
          <w:color w:val="0B5294" w:themeColor="accent1" w:themeShade="BF"/>
          <w:sz w:val="24"/>
          <w:szCs w:val="24"/>
        </w:rPr>
      </w:pPr>
      <w:r w:rsidRPr="00C025A0">
        <w:rPr>
          <w:b w:val="0"/>
          <w:i w:val="0"/>
          <w:color w:val="0B5294" w:themeColor="accent1" w:themeShade="BF"/>
          <w:sz w:val="24"/>
          <w:szCs w:val="24"/>
        </w:rPr>
        <w:t>Health Resources and Services Administration</w:t>
      </w:r>
    </w:p>
    <w:p w14:paraId="138A430B" w14:textId="77777777" w:rsidR="00646808" w:rsidRPr="00C025A0" w:rsidRDefault="00646808" w:rsidP="00CC7F5C">
      <w:pPr>
        <w:pStyle w:val="IntenseQuote"/>
        <w:spacing w:before="0" w:after="0" w:line="240" w:lineRule="auto"/>
        <w:ind w:left="0" w:right="0"/>
        <w:contextualSpacing/>
        <w:rPr>
          <w:b w:val="0"/>
          <w:i w:val="0"/>
          <w:color w:val="0B5294" w:themeColor="accent1" w:themeShade="BF"/>
          <w:sz w:val="24"/>
          <w:szCs w:val="24"/>
        </w:rPr>
      </w:pPr>
      <w:r w:rsidRPr="00C025A0">
        <w:rPr>
          <w:b w:val="0"/>
          <w:i w:val="0"/>
          <w:color w:val="0B5294" w:themeColor="accent1" w:themeShade="BF"/>
          <w:sz w:val="24"/>
          <w:szCs w:val="24"/>
        </w:rPr>
        <w:t>Maternal and Child Health Bureau</w:t>
      </w:r>
    </w:p>
    <w:p w14:paraId="3A3AC48E" w14:textId="77777777" w:rsidR="00646808" w:rsidRPr="00C025A0" w:rsidRDefault="00646808" w:rsidP="00CC7F5C">
      <w:pPr>
        <w:pStyle w:val="IntenseQuote"/>
        <w:spacing w:before="0" w:after="300" w:line="240" w:lineRule="auto"/>
        <w:ind w:left="0" w:right="0"/>
        <w:contextualSpacing/>
        <w:rPr>
          <w:b w:val="0"/>
          <w:i w:val="0"/>
          <w:color w:val="0B5294" w:themeColor="accent1" w:themeShade="BF"/>
          <w:sz w:val="24"/>
          <w:szCs w:val="24"/>
        </w:rPr>
      </w:pPr>
      <w:r w:rsidRPr="00C025A0">
        <w:rPr>
          <w:b w:val="0"/>
          <w:i w:val="0"/>
          <w:color w:val="0B5294" w:themeColor="accent1" w:themeShade="BF"/>
          <w:sz w:val="24"/>
          <w:szCs w:val="24"/>
        </w:rPr>
        <w:t>Division of State and Community Health</w:t>
      </w:r>
    </w:p>
    <w:p w14:paraId="7B9340F7" w14:textId="77777777" w:rsidR="00646808" w:rsidRPr="00C025A0" w:rsidRDefault="00646808" w:rsidP="00CC7F5C">
      <w:pPr>
        <w:pStyle w:val="IntenseQuote"/>
        <w:spacing w:before="0" w:after="300" w:line="240" w:lineRule="auto"/>
        <w:ind w:left="0" w:right="0"/>
        <w:contextualSpacing/>
        <w:rPr>
          <w:b w:val="0"/>
          <w:i w:val="0"/>
          <w:color w:val="0B5294" w:themeColor="accent1" w:themeShade="BF"/>
          <w:sz w:val="24"/>
          <w:szCs w:val="24"/>
        </w:rPr>
      </w:pPr>
      <w:r w:rsidRPr="00C025A0">
        <w:rPr>
          <w:b w:val="0"/>
          <w:i w:val="0"/>
          <w:color w:val="0B5294" w:themeColor="accent1" w:themeShade="BF"/>
          <w:sz w:val="24"/>
          <w:szCs w:val="24"/>
        </w:rPr>
        <w:t>Room 5C-26</w:t>
      </w:r>
    </w:p>
    <w:p w14:paraId="5B304B93" w14:textId="77777777" w:rsidR="00646808" w:rsidRPr="00C025A0" w:rsidRDefault="00646808" w:rsidP="00CC7F5C">
      <w:pPr>
        <w:pStyle w:val="IntenseQuote"/>
        <w:spacing w:before="0" w:after="300" w:line="240" w:lineRule="auto"/>
        <w:ind w:left="0" w:right="0"/>
        <w:contextualSpacing/>
        <w:rPr>
          <w:b w:val="0"/>
          <w:i w:val="0"/>
          <w:color w:val="0B5294" w:themeColor="accent1" w:themeShade="BF"/>
          <w:sz w:val="24"/>
          <w:szCs w:val="24"/>
        </w:rPr>
      </w:pPr>
      <w:r w:rsidRPr="00C025A0">
        <w:rPr>
          <w:b w:val="0"/>
          <w:i w:val="0"/>
          <w:color w:val="0B5294" w:themeColor="accent1" w:themeShade="BF"/>
          <w:sz w:val="24"/>
          <w:szCs w:val="24"/>
        </w:rPr>
        <w:t>5600 Fishers Lane, Rockville, MD 20857</w:t>
      </w:r>
    </w:p>
    <w:p w14:paraId="66D02C61" w14:textId="77777777" w:rsidR="00646808" w:rsidRPr="00C025A0" w:rsidRDefault="00646808" w:rsidP="00CC7F5C">
      <w:pPr>
        <w:pStyle w:val="IntenseQuote"/>
        <w:spacing w:before="0" w:after="300" w:line="240" w:lineRule="auto"/>
        <w:ind w:left="0" w:right="0"/>
        <w:contextualSpacing/>
        <w:rPr>
          <w:b w:val="0"/>
          <w:i w:val="0"/>
          <w:color w:val="0B5294" w:themeColor="accent1" w:themeShade="BF"/>
          <w:sz w:val="24"/>
          <w:szCs w:val="24"/>
        </w:rPr>
      </w:pPr>
      <w:r w:rsidRPr="00C025A0">
        <w:rPr>
          <w:b w:val="0"/>
          <w:i w:val="0"/>
          <w:color w:val="0B5294" w:themeColor="accent1" w:themeShade="BF"/>
          <w:sz w:val="24"/>
          <w:szCs w:val="24"/>
        </w:rPr>
        <w:t>(Phone 301-443-2204   FAX 301-443-9354)</w:t>
      </w:r>
    </w:p>
    <w:p w14:paraId="5B43673E" w14:textId="77777777" w:rsidR="00646808" w:rsidRDefault="00646808" w:rsidP="00646808">
      <w:pPr>
        <w:pBdr>
          <w:bottom w:val="single" w:sz="8" w:space="4" w:color="4F81BD"/>
        </w:pBdr>
        <w:spacing w:after="300" w:line="240" w:lineRule="auto"/>
        <w:contextualSpacing/>
        <w:rPr>
          <w:rFonts w:ascii="Cambria" w:eastAsia="Times New Roman" w:hAnsi="Cambria"/>
          <w:color w:val="17365D"/>
          <w:spacing w:val="5"/>
          <w:kern w:val="28"/>
          <w:sz w:val="52"/>
          <w:szCs w:val="52"/>
        </w:rPr>
        <w:sectPr w:rsidR="00646808" w:rsidSect="002A30F8">
          <w:headerReference w:type="default" r:id="rId14"/>
          <w:footerReference w:type="default" r:id="rId15"/>
          <w:footerReference w:type="first" r:id="rId16"/>
          <w:pgSz w:w="12240" w:h="15840" w:code="1"/>
          <w:pgMar w:top="1440" w:right="1440" w:bottom="1440" w:left="1440" w:header="720" w:footer="720" w:gutter="0"/>
          <w:cols w:space="720"/>
          <w:titlePg/>
          <w:docGrid w:linePitch="360"/>
        </w:sectPr>
      </w:pPr>
    </w:p>
    <w:p w14:paraId="43DCA5D7" w14:textId="77777777" w:rsidR="00646808" w:rsidRPr="006E3931" w:rsidRDefault="00646808" w:rsidP="000469D9">
      <w:pPr>
        <w:pStyle w:val="IntenseQuote"/>
        <w:ind w:left="0"/>
        <w:rPr>
          <w:rFonts w:asciiTheme="majorHAnsi" w:hAnsiTheme="majorHAnsi"/>
          <w:i w:val="0"/>
          <w:color w:val="0B5294" w:themeColor="accent1" w:themeShade="BF"/>
          <w:sz w:val="52"/>
          <w:szCs w:val="52"/>
        </w:rPr>
      </w:pPr>
      <w:r w:rsidRPr="006E3931">
        <w:rPr>
          <w:rFonts w:asciiTheme="majorHAnsi" w:hAnsiTheme="majorHAnsi"/>
          <w:i w:val="0"/>
          <w:color w:val="0B5294" w:themeColor="accent1" w:themeShade="BF"/>
          <w:sz w:val="52"/>
          <w:szCs w:val="52"/>
        </w:rPr>
        <w:lastRenderedPageBreak/>
        <w:t>TABLE of CONTENTS</w:t>
      </w:r>
    </w:p>
    <w:p w14:paraId="02D30DAA" w14:textId="77777777" w:rsidR="00646808" w:rsidRPr="006C0589" w:rsidRDefault="00646808" w:rsidP="00646808">
      <w:pPr>
        <w:spacing w:after="0" w:line="240" w:lineRule="auto"/>
        <w:rPr>
          <w:rFonts w:ascii="Arial" w:hAnsi="Arial" w:cs="Arial"/>
          <w:sz w:val="26"/>
          <w:szCs w:val="26"/>
        </w:rPr>
      </w:pPr>
    </w:p>
    <w:p w14:paraId="75BFDD17" w14:textId="06A3B142" w:rsidR="00DB77E2" w:rsidRPr="006C0589" w:rsidRDefault="001D387F" w:rsidP="006A2D4C">
      <w:pPr>
        <w:tabs>
          <w:tab w:val="left" w:pos="9000"/>
        </w:tabs>
        <w:ind w:left="1620" w:hanging="1620"/>
        <w:rPr>
          <w:rFonts w:cs="Arial"/>
          <w:sz w:val="26"/>
          <w:szCs w:val="26"/>
        </w:rPr>
      </w:pPr>
      <w:r w:rsidRPr="006C0589">
        <w:rPr>
          <w:rFonts w:cs="Arial"/>
          <w:sz w:val="26"/>
          <w:szCs w:val="26"/>
        </w:rPr>
        <w:t>APPENDIX A</w:t>
      </w:r>
      <w:r w:rsidR="00646808" w:rsidRPr="006C0589">
        <w:rPr>
          <w:rFonts w:cs="Arial"/>
          <w:sz w:val="26"/>
          <w:szCs w:val="26"/>
        </w:rPr>
        <w:t xml:space="preserve">: </w:t>
      </w:r>
      <w:r w:rsidR="00DB77E2" w:rsidRPr="006C0589">
        <w:rPr>
          <w:rFonts w:cs="Arial"/>
          <w:sz w:val="26"/>
          <w:szCs w:val="26"/>
        </w:rPr>
        <w:tab/>
      </w:r>
      <w:r w:rsidR="008B75BC" w:rsidRPr="006C0589">
        <w:rPr>
          <w:rFonts w:cs="Arial"/>
          <w:sz w:val="26"/>
          <w:szCs w:val="26"/>
        </w:rPr>
        <w:t>HISTORY AND ADMINISTRATIVE BACKGROUND</w:t>
      </w:r>
      <w:r w:rsidR="00177805" w:rsidRPr="006C0589">
        <w:rPr>
          <w:rFonts w:cs="Arial"/>
          <w:sz w:val="26"/>
          <w:szCs w:val="26"/>
        </w:rPr>
        <w:t xml:space="preserve"> </w:t>
      </w:r>
      <w:r w:rsidR="00DB77E2" w:rsidRPr="006C0589">
        <w:rPr>
          <w:rFonts w:cs="Arial"/>
          <w:sz w:val="26"/>
          <w:szCs w:val="26"/>
        </w:rPr>
        <w:tab/>
      </w:r>
      <w:r w:rsidR="00DB641A" w:rsidRPr="006C0589">
        <w:rPr>
          <w:rFonts w:cs="Arial"/>
          <w:sz w:val="26"/>
          <w:szCs w:val="26"/>
        </w:rPr>
        <w:t>3</w:t>
      </w:r>
    </w:p>
    <w:p w14:paraId="11DD8450" w14:textId="4E295C26" w:rsidR="009F5E24" w:rsidRPr="006C0589" w:rsidRDefault="009F5E24" w:rsidP="009F5E24">
      <w:pPr>
        <w:tabs>
          <w:tab w:val="left" w:pos="9000"/>
        </w:tabs>
        <w:ind w:left="1627" w:hanging="1627"/>
        <w:rPr>
          <w:rFonts w:asciiTheme="minorHAnsi" w:hAnsiTheme="minorHAnsi" w:cs="Arial"/>
          <w:sz w:val="26"/>
          <w:szCs w:val="26"/>
        </w:rPr>
      </w:pPr>
      <w:r w:rsidRPr="006C0589">
        <w:rPr>
          <w:rFonts w:asciiTheme="minorHAnsi" w:hAnsiTheme="minorHAnsi" w:cs="Arial"/>
          <w:sz w:val="26"/>
          <w:szCs w:val="26"/>
        </w:rPr>
        <w:t xml:space="preserve">APPENDIX </w:t>
      </w:r>
      <w:r>
        <w:rPr>
          <w:rFonts w:asciiTheme="minorHAnsi" w:hAnsiTheme="minorHAnsi" w:cs="Arial"/>
          <w:sz w:val="26"/>
          <w:szCs w:val="26"/>
        </w:rPr>
        <w:t>B</w:t>
      </w:r>
      <w:r w:rsidRPr="006C0589">
        <w:rPr>
          <w:rFonts w:asciiTheme="minorHAnsi" w:hAnsiTheme="minorHAnsi" w:cs="Arial"/>
          <w:sz w:val="26"/>
          <w:szCs w:val="26"/>
        </w:rPr>
        <w:t>:</w:t>
      </w:r>
      <w:r w:rsidRPr="006C0589">
        <w:rPr>
          <w:rFonts w:asciiTheme="minorHAnsi" w:hAnsiTheme="minorHAnsi" w:cs="Arial"/>
          <w:sz w:val="26"/>
          <w:szCs w:val="26"/>
        </w:rPr>
        <w:tab/>
        <w:t>PERFORMANCE MEASURE FRAMEWORK</w:t>
      </w:r>
      <w:r w:rsidRPr="006C0589">
        <w:rPr>
          <w:rFonts w:asciiTheme="minorHAnsi" w:hAnsiTheme="minorHAnsi" w:cs="Arial"/>
          <w:sz w:val="26"/>
          <w:szCs w:val="26"/>
        </w:rPr>
        <w:tab/>
      </w:r>
      <w:r>
        <w:rPr>
          <w:rFonts w:asciiTheme="minorHAnsi" w:hAnsiTheme="minorHAnsi" w:cs="Arial"/>
          <w:sz w:val="26"/>
          <w:szCs w:val="26"/>
        </w:rPr>
        <w:t>7</w:t>
      </w:r>
    </w:p>
    <w:p w14:paraId="7A29B82B" w14:textId="51786A67" w:rsidR="009F5E24" w:rsidRPr="006C0589" w:rsidRDefault="009F5E24" w:rsidP="009F5E24">
      <w:pPr>
        <w:tabs>
          <w:tab w:val="left" w:pos="8910"/>
        </w:tabs>
        <w:spacing w:after="0"/>
        <w:ind w:left="1627" w:hanging="1627"/>
        <w:rPr>
          <w:rFonts w:asciiTheme="minorHAnsi" w:eastAsia="Times New Roman" w:hAnsiTheme="minorHAnsi" w:cs="Arial"/>
          <w:spacing w:val="5"/>
          <w:kern w:val="28"/>
          <w:sz w:val="26"/>
          <w:szCs w:val="26"/>
        </w:rPr>
      </w:pPr>
      <w:r>
        <w:rPr>
          <w:rFonts w:asciiTheme="minorHAnsi" w:hAnsiTheme="minorHAnsi" w:cs="Arial"/>
          <w:sz w:val="26"/>
          <w:szCs w:val="26"/>
        </w:rPr>
        <w:t>APPENDIX C</w:t>
      </w:r>
      <w:r w:rsidRPr="006C0589">
        <w:rPr>
          <w:rFonts w:asciiTheme="minorHAnsi" w:hAnsiTheme="minorHAnsi" w:cs="Arial"/>
          <w:sz w:val="26"/>
          <w:szCs w:val="26"/>
        </w:rPr>
        <w:t>:</w:t>
      </w:r>
      <w:r w:rsidRPr="006C0589">
        <w:rPr>
          <w:rFonts w:asciiTheme="minorHAnsi" w:eastAsia="Times New Roman" w:hAnsiTheme="minorHAnsi"/>
          <w:color w:val="17365D"/>
          <w:spacing w:val="5"/>
          <w:kern w:val="28"/>
          <w:sz w:val="26"/>
          <w:szCs w:val="26"/>
        </w:rPr>
        <w:t xml:space="preserve"> </w:t>
      </w:r>
      <w:r w:rsidRPr="006C0589">
        <w:rPr>
          <w:rFonts w:asciiTheme="minorHAnsi" w:eastAsia="Times New Roman" w:hAnsiTheme="minorHAnsi"/>
          <w:color w:val="17365D"/>
          <w:spacing w:val="5"/>
          <w:kern w:val="28"/>
          <w:sz w:val="26"/>
          <w:szCs w:val="26"/>
        </w:rPr>
        <w:tab/>
      </w:r>
      <w:r w:rsidRPr="006C0589">
        <w:rPr>
          <w:rFonts w:asciiTheme="minorHAnsi" w:eastAsia="Times New Roman" w:hAnsiTheme="minorHAnsi" w:cs="Arial"/>
          <w:spacing w:val="5"/>
          <w:kern w:val="28"/>
          <w:sz w:val="26"/>
          <w:szCs w:val="26"/>
        </w:rPr>
        <w:t xml:space="preserve">DETAIL SHEETS FOR THE NATIONAL OUTCOME </w:t>
      </w:r>
      <w:r w:rsidRPr="006C0589">
        <w:rPr>
          <w:rFonts w:asciiTheme="minorHAnsi" w:eastAsia="Times New Roman" w:hAnsiTheme="minorHAnsi" w:cs="Arial"/>
          <w:spacing w:val="5"/>
          <w:kern w:val="28"/>
          <w:sz w:val="26"/>
          <w:szCs w:val="26"/>
        </w:rPr>
        <w:tab/>
      </w:r>
      <w:r>
        <w:rPr>
          <w:rFonts w:asciiTheme="minorHAnsi" w:eastAsia="Times New Roman" w:hAnsiTheme="minorHAnsi" w:cs="Arial"/>
          <w:spacing w:val="5"/>
          <w:kern w:val="28"/>
          <w:sz w:val="26"/>
          <w:szCs w:val="26"/>
        </w:rPr>
        <w:t>25</w:t>
      </w:r>
    </w:p>
    <w:p w14:paraId="2D8B31EC" w14:textId="77777777" w:rsidR="009F5E24" w:rsidRPr="006C0589" w:rsidRDefault="009F5E24" w:rsidP="009F5E24">
      <w:pPr>
        <w:tabs>
          <w:tab w:val="left" w:pos="8730"/>
        </w:tabs>
        <w:spacing w:after="0"/>
        <w:ind w:left="1627" w:hanging="7"/>
        <w:rPr>
          <w:rFonts w:asciiTheme="minorHAnsi" w:eastAsia="Times New Roman" w:hAnsiTheme="minorHAnsi" w:cs="Arial"/>
          <w:spacing w:val="5"/>
          <w:kern w:val="28"/>
          <w:sz w:val="26"/>
          <w:szCs w:val="26"/>
        </w:rPr>
      </w:pPr>
      <w:r w:rsidRPr="006C0589">
        <w:rPr>
          <w:rFonts w:asciiTheme="minorHAnsi" w:eastAsia="Times New Roman" w:hAnsiTheme="minorHAnsi" w:cs="Arial"/>
          <w:spacing w:val="5"/>
          <w:kern w:val="28"/>
          <w:sz w:val="26"/>
          <w:szCs w:val="26"/>
        </w:rPr>
        <w:t>MEASURES AND NATIONAL PERFORMANCE MEASURES</w:t>
      </w:r>
    </w:p>
    <w:p w14:paraId="5006FE94" w14:textId="77777777" w:rsidR="009F5E24" w:rsidRPr="006C0589" w:rsidRDefault="009F5E24" w:rsidP="009F5E24">
      <w:pPr>
        <w:tabs>
          <w:tab w:val="left" w:pos="8730"/>
        </w:tabs>
        <w:spacing w:after="0"/>
        <w:ind w:left="1627" w:hanging="7"/>
        <w:rPr>
          <w:rFonts w:asciiTheme="minorHAnsi" w:hAnsiTheme="minorHAnsi" w:cs="Arial"/>
          <w:sz w:val="26"/>
          <w:szCs w:val="26"/>
        </w:rPr>
      </w:pPr>
    </w:p>
    <w:p w14:paraId="5C91AD3F" w14:textId="1086BF9D" w:rsidR="00DB77E2" w:rsidRPr="006C0589" w:rsidRDefault="009F5E24" w:rsidP="009F5E24">
      <w:pPr>
        <w:tabs>
          <w:tab w:val="left" w:pos="8910"/>
        </w:tabs>
        <w:spacing w:line="240" w:lineRule="auto"/>
        <w:ind w:left="1627" w:hanging="1627"/>
        <w:rPr>
          <w:rFonts w:asciiTheme="minorHAnsi" w:hAnsiTheme="minorHAnsi" w:cs="Arial"/>
          <w:sz w:val="26"/>
          <w:szCs w:val="26"/>
        </w:rPr>
      </w:pPr>
      <w:r>
        <w:rPr>
          <w:rFonts w:asciiTheme="minorHAnsi" w:hAnsiTheme="minorHAnsi" w:cs="Arial"/>
          <w:sz w:val="26"/>
          <w:szCs w:val="26"/>
        </w:rPr>
        <w:t>APPENDIX D</w:t>
      </w:r>
      <w:r w:rsidR="00DB77E2" w:rsidRPr="006C0589">
        <w:rPr>
          <w:rFonts w:asciiTheme="minorHAnsi" w:hAnsiTheme="minorHAnsi" w:cs="Arial"/>
          <w:sz w:val="26"/>
          <w:szCs w:val="26"/>
        </w:rPr>
        <w:t xml:space="preserve">: </w:t>
      </w:r>
      <w:r w:rsidR="00DB77E2" w:rsidRPr="006C0589">
        <w:rPr>
          <w:rFonts w:asciiTheme="minorHAnsi" w:hAnsiTheme="minorHAnsi" w:cs="Arial"/>
          <w:sz w:val="26"/>
          <w:szCs w:val="26"/>
        </w:rPr>
        <w:tab/>
      </w:r>
      <w:r w:rsidR="00FC54FB" w:rsidRPr="006C0589">
        <w:rPr>
          <w:rFonts w:asciiTheme="minorHAnsi" w:hAnsiTheme="minorHAnsi" w:cs="Arial"/>
          <w:bCs/>
          <w:sz w:val="26"/>
          <w:szCs w:val="26"/>
          <w:lang w:val="en-GB"/>
        </w:rPr>
        <w:t>FAMILY PARTNERSHIP CONTINUUM</w:t>
      </w:r>
      <w:r w:rsidR="009F055E" w:rsidRPr="006C0589">
        <w:rPr>
          <w:rFonts w:asciiTheme="minorHAnsi" w:hAnsiTheme="minorHAnsi" w:cs="Arial"/>
          <w:sz w:val="26"/>
          <w:szCs w:val="26"/>
        </w:rPr>
        <w:tab/>
      </w:r>
      <w:r>
        <w:rPr>
          <w:rFonts w:asciiTheme="minorHAnsi" w:hAnsiTheme="minorHAnsi" w:cs="Arial"/>
          <w:sz w:val="26"/>
          <w:szCs w:val="26"/>
        </w:rPr>
        <w:t>82</w:t>
      </w:r>
    </w:p>
    <w:p w14:paraId="124FA530" w14:textId="79C38100" w:rsidR="009F5E24" w:rsidRPr="006C0589" w:rsidRDefault="009F5E24" w:rsidP="009F5E24">
      <w:pPr>
        <w:tabs>
          <w:tab w:val="left" w:pos="8910"/>
        </w:tabs>
        <w:spacing w:after="0" w:line="240" w:lineRule="auto"/>
        <w:ind w:left="1627" w:hanging="1627"/>
        <w:rPr>
          <w:rFonts w:asciiTheme="minorHAnsi" w:hAnsiTheme="minorHAnsi" w:cs="Arial"/>
          <w:sz w:val="26"/>
          <w:szCs w:val="26"/>
        </w:rPr>
      </w:pPr>
      <w:r>
        <w:rPr>
          <w:rFonts w:asciiTheme="minorHAnsi" w:hAnsiTheme="minorHAnsi" w:cs="Arial"/>
          <w:sz w:val="26"/>
          <w:szCs w:val="26"/>
        </w:rPr>
        <w:t>APPENDIX E</w:t>
      </w:r>
      <w:r w:rsidRPr="006C0589">
        <w:rPr>
          <w:rFonts w:asciiTheme="minorHAnsi" w:hAnsiTheme="minorHAnsi" w:cs="Arial"/>
          <w:sz w:val="26"/>
          <w:szCs w:val="26"/>
        </w:rPr>
        <w:t>:</w:t>
      </w:r>
      <w:r w:rsidRPr="006C0589">
        <w:rPr>
          <w:rFonts w:asciiTheme="minorHAnsi" w:hAnsiTheme="minorHAnsi" w:cs="Arial"/>
          <w:sz w:val="26"/>
          <w:szCs w:val="26"/>
        </w:rPr>
        <w:tab/>
        <w:t>NEED</w:t>
      </w:r>
      <w:r>
        <w:rPr>
          <w:rFonts w:asciiTheme="minorHAnsi" w:hAnsiTheme="minorHAnsi" w:cs="Arial"/>
          <w:sz w:val="26"/>
          <w:szCs w:val="26"/>
        </w:rPr>
        <w:t xml:space="preserve">S ASSESSMENT − BACKGROUND AND </w:t>
      </w:r>
      <w:r>
        <w:rPr>
          <w:rFonts w:asciiTheme="minorHAnsi" w:hAnsiTheme="minorHAnsi" w:cs="Arial"/>
          <w:sz w:val="26"/>
          <w:szCs w:val="26"/>
        </w:rPr>
        <w:tab/>
        <w:t>83</w:t>
      </w:r>
    </w:p>
    <w:p w14:paraId="1480E354" w14:textId="77777777" w:rsidR="009F5E24" w:rsidRPr="006C0589" w:rsidRDefault="009F5E24" w:rsidP="009F5E24">
      <w:pPr>
        <w:tabs>
          <w:tab w:val="left" w:pos="8550"/>
        </w:tabs>
        <w:ind w:left="1627"/>
        <w:rPr>
          <w:rFonts w:asciiTheme="minorHAnsi" w:hAnsiTheme="minorHAnsi" w:cs="Arial"/>
          <w:sz w:val="26"/>
          <w:szCs w:val="26"/>
        </w:rPr>
      </w:pPr>
      <w:r w:rsidRPr="006C0589">
        <w:rPr>
          <w:rFonts w:asciiTheme="minorHAnsi" w:hAnsiTheme="minorHAnsi" w:cs="Arial"/>
          <w:sz w:val="26"/>
          <w:szCs w:val="26"/>
        </w:rPr>
        <w:t>CONCEPTUAL FRAMEWORK</w:t>
      </w:r>
      <w:r w:rsidRPr="006C0589">
        <w:rPr>
          <w:rFonts w:asciiTheme="minorHAnsi" w:hAnsiTheme="minorHAnsi" w:cs="Arial"/>
          <w:sz w:val="26"/>
          <w:szCs w:val="26"/>
        </w:rPr>
        <w:tab/>
      </w:r>
    </w:p>
    <w:p w14:paraId="1356BA35" w14:textId="3CFCE98F" w:rsidR="00BC2608" w:rsidRPr="006C0589" w:rsidRDefault="009F5E24" w:rsidP="009F5E24">
      <w:pPr>
        <w:tabs>
          <w:tab w:val="left" w:pos="8910"/>
        </w:tabs>
        <w:ind w:left="1627" w:hanging="1627"/>
        <w:rPr>
          <w:rFonts w:asciiTheme="minorHAnsi" w:hAnsiTheme="minorHAnsi" w:cs="Arial"/>
          <w:sz w:val="26"/>
          <w:szCs w:val="26"/>
        </w:rPr>
      </w:pPr>
      <w:r>
        <w:rPr>
          <w:rFonts w:asciiTheme="minorHAnsi" w:hAnsiTheme="minorHAnsi" w:cs="Arial"/>
          <w:sz w:val="26"/>
          <w:szCs w:val="26"/>
        </w:rPr>
        <w:t>APPENDIX F</w:t>
      </w:r>
      <w:r w:rsidR="00DB77E2" w:rsidRPr="006C0589">
        <w:rPr>
          <w:rFonts w:asciiTheme="minorHAnsi" w:hAnsiTheme="minorHAnsi" w:cs="Arial"/>
          <w:sz w:val="26"/>
          <w:szCs w:val="26"/>
        </w:rPr>
        <w:t>:</w:t>
      </w:r>
      <w:r w:rsidR="00DB77E2" w:rsidRPr="006C0589">
        <w:rPr>
          <w:rFonts w:asciiTheme="minorHAnsi" w:hAnsiTheme="minorHAnsi" w:cs="Arial"/>
          <w:sz w:val="26"/>
          <w:szCs w:val="26"/>
        </w:rPr>
        <w:tab/>
      </w:r>
      <w:r w:rsidR="007B6C80" w:rsidRPr="006C0589">
        <w:rPr>
          <w:rFonts w:asciiTheme="minorHAnsi" w:hAnsiTheme="minorHAnsi" w:cs="Arial"/>
          <w:sz w:val="26"/>
          <w:szCs w:val="26"/>
        </w:rPr>
        <w:t xml:space="preserve">ASSURANCES AND CERTIFICATIONS </w:t>
      </w:r>
      <w:r w:rsidR="00BC2608" w:rsidRPr="006C0589">
        <w:rPr>
          <w:rFonts w:asciiTheme="minorHAnsi" w:hAnsiTheme="minorHAnsi" w:cs="Arial"/>
          <w:sz w:val="26"/>
          <w:szCs w:val="26"/>
        </w:rPr>
        <w:tab/>
      </w:r>
      <w:r>
        <w:rPr>
          <w:rFonts w:asciiTheme="minorHAnsi" w:hAnsiTheme="minorHAnsi" w:cs="Arial"/>
          <w:sz w:val="26"/>
          <w:szCs w:val="26"/>
        </w:rPr>
        <w:t>8</w:t>
      </w:r>
      <w:r w:rsidR="006A2D4C" w:rsidRPr="006C0589">
        <w:rPr>
          <w:rFonts w:asciiTheme="minorHAnsi" w:hAnsiTheme="minorHAnsi" w:cs="Arial"/>
          <w:sz w:val="26"/>
          <w:szCs w:val="26"/>
        </w:rPr>
        <w:t>8</w:t>
      </w:r>
      <w:r>
        <w:rPr>
          <w:rFonts w:asciiTheme="minorHAnsi" w:hAnsiTheme="minorHAnsi" w:cs="Arial"/>
          <w:sz w:val="26"/>
          <w:szCs w:val="26"/>
        </w:rPr>
        <w:t xml:space="preserve"> </w:t>
      </w:r>
    </w:p>
    <w:p w14:paraId="308CD804" w14:textId="569B9F60" w:rsidR="009F6CF6" w:rsidRPr="006C0589" w:rsidRDefault="001A45B4" w:rsidP="009F6CF6">
      <w:pPr>
        <w:tabs>
          <w:tab w:val="left" w:pos="8910"/>
        </w:tabs>
        <w:spacing w:after="0"/>
        <w:ind w:left="1627" w:hanging="1627"/>
        <w:rPr>
          <w:rFonts w:asciiTheme="minorHAnsi" w:hAnsiTheme="minorHAnsi" w:cs="Arial"/>
          <w:sz w:val="26"/>
          <w:szCs w:val="26"/>
        </w:rPr>
      </w:pPr>
      <w:r w:rsidRPr="006C0589">
        <w:rPr>
          <w:rFonts w:asciiTheme="minorHAnsi" w:hAnsiTheme="minorHAnsi" w:cs="Arial"/>
          <w:sz w:val="26"/>
          <w:szCs w:val="26"/>
        </w:rPr>
        <w:t>APPENDIX G:</w:t>
      </w:r>
      <w:r w:rsidRPr="006C0589">
        <w:rPr>
          <w:rFonts w:asciiTheme="minorHAnsi" w:hAnsiTheme="minorHAnsi" w:cs="Arial"/>
          <w:sz w:val="26"/>
          <w:szCs w:val="26"/>
        </w:rPr>
        <w:tab/>
      </w:r>
      <w:r w:rsidR="00E14CC3" w:rsidRPr="006C0589">
        <w:rPr>
          <w:rFonts w:asciiTheme="minorHAnsi" w:hAnsiTheme="minorHAnsi" w:cs="Arial"/>
          <w:sz w:val="26"/>
          <w:szCs w:val="26"/>
        </w:rPr>
        <w:t xml:space="preserve">REQUIRED </w:t>
      </w:r>
      <w:r w:rsidR="00F27274" w:rsidRPr="006C0589">
        <w:rPr>
          <w:rFonts w:asciiTheme="minorHAnsi" w:hAnsiTheme="minorHAnsi" w:cs="Arial"/>
          <w:sz w:val="26"/>
          <w:szCs w:val="26"/>
        </w:rPr>
        <w:t>APPLICATION/ANNUAL REPORT</w:t>
      </w:r>
      <w:r w:rsidR="00E14CC3" w:rsidRPr="006C0589">
        <w:rPr>
          <w:rFonts w:asciiTheme="minorHAnsi" w:hAnsiTheme="minorHAnsi" w:cs="Arial"/>
          <w:sz w:val="26"/>
          <w:szCs w:val="26"/>
        </w:rPr>
        <w:t xml:space="preserve"> COMPONENTS    </w:t>
      </w:r>
      <w:r w:rsidR="009F055E" w:rsidRPr="006C0589">
        <w:rPr>
          <w:rFonts w:asciiTheme="minorHAnsi" w:hAnsiTheme="minorHAnsi" w:cs="Arial"/>
          <w:sz w:val="26"/>
          <w:szCs w:val="26"/>
        </w:rPr>
        <w:tab/>
      </w:r>
      <w:r w:rsidR="008B75BC" w:rsidRPr="006C0589">
        <w:rPr>
          <w:rFonts w:asciiTheme="minorHAnsi" w:hAnsiTheme="minorHAnsi" w:cs="Arial"/>
          <w:sz w:val="26"/>
          <w:szCs w:val="26"/>
        </w:rPr>
        <w:t>9</w:t>
      </w:r>
      <w:r w:rsidR="00997B60" w:rsidRPr="006C0589">
        <w:rPr>
          <w:rFonts w:asciiTheme="minorHAnsi" w:hAnsiTheme="minorHAnsi" w:cs="Arial"/>
          <w:sz w:val="26"/>
          <w:szCs w:val="26"/>
        </w:rPr>
        <w:t>1</w:t>
      </w:r>
    </w:p>
    <w:p w14:paraId="1315CB1B" w14:textId="77777777" w:rsidR="009F6CF6" w:rsidRPr="006C0589" w:rsidRDefault="00E14CC3" w:rsidP="009F6CF6">
      <w:pPr>
        <w:tabs>
          <w:tab w:val="left" w:pos="8910"/>
        </w:tabs>
        <w:spacing w:after="0"/>
        <w:ind w:left="1627" w:hanging="1627"/>
        <w:rPr>
          <w:rFonts w:asciiTheme="minorHAnsi" w:hAnsiTheme="minorHAnsi" w:cs="Arial"/>
          <w:sz w:val="26"/>
          <w:szCs w:val="26"/>
        </w:rPr>
      </w:pPr>
      <w:r w:rsidRPr="006C0589">
        <w:rPr>
          <w:rFonts w:asciiTheme="minorHAnsi" w:hAnsiTheme="minorHAnsi" w:cs="Arial"/>
          <w:sz w:val="26"/>
          <w:szCs w:val="26"/>
        </w:rPr>
        <w:t xml:space="preserve"> </w:t>
      </w:r>
      <w:r w:rsidR="006E3FD8" w:rsidRPr="006C0589">
        <w:rPr>
          <w:rFonts w:asciiTheme="minorHAnsi" w:hAnsiTheme="minorHAnsi" w:cs="Arial"/>
          <w:sz w:val="26"/>
          <w:szCs w:val="26"/>
        </w:rPr>
        <w:t xml:space="preserve"> </w:t>
      </w:r>
      <w:r w:rsidR="009F6CF6" w:rsidRPr="006C0589">
        <w:rPr>
          <w:rFonts w:asciiTheme="minorHAnsi" w:hAnsiTheme="minorHAnsi" w:cs="Arial"/>
          <w:sz w:val="26"/>
          <w:szCs w:val="26"/>
        </w:rPr>
        <w:tab/>
      </w:r>
      <w:r w:rsidRPr="006C0589">
        <w:rPr>
          <w:rFonts w:asciiTheme="minorHAnsi" w:hAnsiTheme="minorHAnsi" w:cs="Arial"/>
          <w:sz w:val="26"/>
          <w:szCs w:val="26"/>
        </w:rPr>
        <w:t xml:space="preserve"> </w:t>
      </w:r>
      <w:r w:rsidR="009F6CF6" w:rsidRPr="006C0589">
        <w:rPr>
          <w:rFonts w:asciiTheme="minorHAnsi" w:hAnsiTheme="minorHAnsi" w:cs="Arial"/>
          <w:sz w:val="26"/>
          <w:szCs w:val="26"/>
        </w:rPr>
        <w:t xml:space="preserve">AND </w:t>
      </w:r>
      <w:r w:rsidRPr="006C0589">
        <w:rPr>
          <w:rFonts w:asciiTheme="minorHAnsi" w:hAnsiTheme="minorHAnsi" w:cs="Arial"/>
          <w:sz w:val="26"/>
          <w:szCs w:val="26"/>
        </w:rPr>
        <w:t>TIMELINE</w:t>
      </w:r>
    </w:p>
    <w:p w14:paraId="08044BDC" w14:textId="50E24249" w:rsidR="002163D3" w:rsidRPr="006C0589" w:rsidRDefault="002163D3" w:rsidP="009F6CF6">
      <w:pPr>
        <w:tabs>
          <w:tab w:val="left" w:pos="8910"/>
        </w:tabs>
        <w:spacing w:after="0"/>
        <w:ind w:left="1627" w:hanging="1627"/>
        <w:rPr>
          <w:rFonts w:asciiTheme="minorHAnsi" w:hAnsiTheme="minorHAnsi" w:cs="Arial"/>
          <w:sz w:val="26"/>
          <w:szCs w:val="26"/>
        </w:rPr>
      </w:pPr>
      <w:r w:rsidRPr="006C0589">
        <w:rPr>
          <w:rFonts w:asciiTheme="minorHAnsi" w:hAnsiTheme="minorHAnsi" w:cs="Arial"/>
          <w:sz w:val="26"/>
          <w:szCs w:val="26"/>
        </w:rPr>
        <w:tab/>
      </w:r>
    </w:p>
    <w:p w14:paraId="27DEF5F0" w14:textId="5C2E9B46" w:rsidR="00E2659A" w:rsidRDefault="00ED2365" w:rsidP="009F6CF6">
      <w:pPr>
        <w:tabs>
          <w:tab w:val="left" w:pos="8910"/>
        </w:tabs>
        <w:spacing w:after="0"/>
        <w:ind w:left="1627" w:hanging="1627"/>
        <w:rPr>
          <w:rFonts w:ascii="Arial" w:hAnsi="Arial" w:cs="Arial"/>
          <w:sz w:val="24"/>
          <w:szCs w:val="24"/>
        </w:rPr>
      </w:pPr>
      <w:r w:rsidRPr="006C0589">
        <w:rPr>
          <w:rFonts w:asciiTheme="minorHAnsi" w:hAnsiTheme="minorHAnsi" w:cs="Arial"/>
          <w:sz w:val="26"/>
          <w:szCs w:val="26"/>
        </w:rPr>
        <w:t>APPENDIX H:</w:t>
      </w:r>
      <w:r w:rsidR="00BC2608" w:rsidRPr="006C0589">
        <w:rPr>
          <w:rFonts w:asciiTheme="minorHAnsi" w:hAnsiTheme="minorHAnsi" w:cs="Arial"/>
          <w:sz w:val="26"/>
          <w:szCs w:val="26"/>
        </w:rPr>
        <w:tab/>
      </w:r>
      <w:r w:rsidRPr="006C0589">
        <w:rPr>
          <w:rFonts w:asciiTheme="minorHAnsi" w:hAnsiTheme="minorHAnsi" w:cs="Arial"/>
          <w:sz w:val="26"/>
          <w:szCs w:val="26"/>
        </w:rPr>
        <w:t>GLOSSARY</w:t>
      </w:r>
      <w:r w:rsidR="00BC2608" w:rsidRPr="006C0589">
        <w:rPr>
          <w:rFonts w:asciiTheme="minorHAnsi" w:hAnsiTheme="minorHAnsi" w:cs="Arial"/>
          <w:sz w:val="26"/>
          <w:szCs w:val="26"/>
        </w:rPr>
        <w:tab/>
      </w:r>
      <w:r w:rsidR="008B75BC" w:rsidRPr="006C0589">
        <w:rPr>
          <w:rFonts w:asciiTheme="minorHAnsi" w:hAnsiTheme="minorHAnsi" w:cs="Arial"/>
          <w:sz w:val="26"/>
          <w:szCs w:val="26"/>
        </w:rPr>
        <w:t>9</w:t>
      </w:r>
      <w:r w:rsidR="00997B60" w:rsidRPr="006C0589">
        <w:rPr>
          <w:rFonts w:asciiTheme="minorHAnsi" w:hAnsiTheme="minorHAnsi" w:cs="Arial"/>
          <w:sz w:val="26"/>
          <w:szCs w:val="26"/>
        </w:rPr>
        <w:t>4</w:t>
      </w:r>
      <w:r w:rsidR="00B025E5">
        <w:rPr>
          <w:rFonts w:ascii="Arial" w:hAnsi="Arial" w:cs="Arial"/>
          <w:sz w:val="24"/>
          <w:szCs w:val="24"/>
        </w:rPr>
        <w:br w:type="page"/>
      </w:r>
    </w:p>
    <w:p w14:paraId="2F8DC8D0" w14:textId="77777777" w:rsidR="00B025E5" w:rsidRPr="00F14156" w:rsidRDefault="00B025E5" w:rsidP="00AF2CE2">
      <w:pPr>
        <w:pStyle w:val="IntenseQuote"/>
        <w:spacing w:before="0" w:after="0" w:line="240" w:lineRule="auto"/>
        <w:ind w:left="0" w:right="0"/>
        <w:rPr>
          <w:rFonts w:asciiTheme="majorHAnsi" w:hAnsiTheme="majorHAnsi"/>
          <w:b w:val="0"/>
          <w:i w:val="0"/>
          <w:color w:val="0B5294" w:themeColor="accent1" w:themeShade="BF"/>
          <w:sz w:val="48"/>
          <w:szCs w:val="48"/>
        </w:rPr>
      </w:pPr>
      <w:r w:rsidRPr="00F14156">
        <w:rPr>
          <w:rFonts w:asciiTheme="majorHAnsi" w:hAnsiTheme="majorHAnsi"/>
          <w:b w:val="0"/>
          <w:i w:val="0"/>
          <w:color w:val="0B5294" w:themeColor="accent1" w:themeShade="BF"/>
          <w:sz w:val="48"/>
          <w:szCs w:val="48"/>
        </w:rPr>
        <w:lastRenderedPageBreak/>
        <w:t xml:space="preserve">APPENDIX A: </w:t>
      </w:r>
      <w:r w:rsidRPr="00F14156">
        <w:rPr>
          <w:rFonts w:asciiTheme="majorHAnsi" w:hAnsiTheme="majorHAnsi"/>
          <w:b w:val="0"/>
          <w:i w:val="0"/>
          <w:color w:val="0B5294" w:themeColor="accent1" w:themeShade="BF"/>
          <w:sz w:val="26"/>
          <w:szCs w:val="26"/>
        </w:rPr>
        <w:t>HISTORY AND ADMINISTRATIVE BACKGROUND</w:t>
      </w:r>
    </w:p>
    <w:p w14:paraId="6D5D981F" w14:textId="77777777" w:rsidR="00B025E5" w:rsidRPr="00275526" w:rsidRDefault="00B025E5" w:rsidP="00AF2CE2">
      <w:pPr>
        <w:spacing w:after="0" w:line="240" w:lineRule="auto"/>
        <w:rPr>
          <w:rFonts w:ascii="Arial" w:hAnsi="Arial" w:cs="Arial"/>
          <w:color w:val="073763" w:themeColor="accent1" w:themeShade="80"/>
          <w:sz w:val="24"/>
          <w:szCs w:val="24"/>
        </w:rPr>
      </w:pPr>
    </w:p>
    <w:p w14:paraId="3AA1BED2" w14:textId="7A296DA3" w:rsidR="007D4469" w:rsidRPr="00664C39" w:rsidRDefault="007D4469" w:rsidP="00AF2CE2">
      <w:pPr>
        <w:widowControl w:val="0"/>
        <w:autoSpaceDE w:val="0"/>
        <w:autoSpaceDN w:val="0"/>
        <w:adjustRightInd w:val="0"/>
        <w:spacing w:after="0" w:line="240" w:lineRule="auto"/>
        <w:rPr>
          <w:rFonts w:asciiTheme="minorHAnsi" w:eastAsia="Times New Roman" w:hAnsiTheme="minorHAnsi"/>
          <w:sz w:val="24"/>
          <w:szCs w:val="24"/>
        </w:rPr>
      </w:pPr>
      <w:r w:rsidRPr="00664C39">
        <w:rPr>
          <w:rFonts w:asciiTheme="minorHAnsi" w:eastAsia="Times New Roman" w:hAnsiTheme="minorHAnsi"/>
          <w:sz w:val="24"/>
          <w:szCs w:val="24"/>
        </w:rPr>
        <w:t xml:space="preserve">As one of the largest Federal block grant programs, Title V is </w:t>
      </w:r>
      <w:r w:rsidR="00AE2841" w:rsidRPr="00664C39">
        <w:rPr>
          <w:rFonts w:asciiTheme="minorHAnsi" w:eastAsia="Times New Roman" w:hAnsiTheme="minorHAnsi"/>
          <w:sz w:val="24"/>
          <w:szCs w:val="24"/>
        </w:rPr>
        <w:t>a</w:t>
      </w:r>
      <w:r w:rsidRPr="00664C39">
        <w:rPr>
          <w:rFonts w:asciiTheme="minorHAnsi" w:eastAsia="Times New Roman" w:hAnsiTheme="minorHAnsi"/>
          <w:sz w:val="24"/>
          <w:szCs w:val="24"/>
        </w:rPr>
        <w:t xml:space="preserve"> key source of support for promoting and i</w:t>
      </w:r>
      <w:r w:rsidR="00EB219B" w:rsidRPr="00664C39">
        <w:rPr>
          <w:rFonts w:asciiTheme="minorHAnsi" w:eastAsia="Times New Roman" w:hAnsiTheme="minorHAnsi"/>
          <w:sz w:val="24"/>
          <w:szCs w:val="24"/>
        </w:rPr>
        <w:t>mproving the health of all the n</w:t>
      </w:r>
      <w:r w:rsidRPr="00664C39">
        <w:rPr>
          <w:rFonts w:asciiTheme="minorHAnsi" w:eastAsia="Times New Roman" w:hAnsiTheme="minorHAnsi"/>
          <w:sz w:val="24"/>
          <w:szCs w:val="24"/>
        </w:rPr>
        <w:t>ation’s mothers and children.  When Congress passed the Social Security Act in 1935, it contained the initial key landmark legislation which established Title V.  This le</w:t>
      </w:r>
      <w:r w:rsidR="00EB219B" w:rsidRPr="00664C39">
        <w:rPr>
          <w:rFonts w:asciiTheme="minorHAnsi" w:eastAsia="Times New Roman" w:hAnsiTheme="minorHAnsi"/>
          <w:sz w:val="24"/>
          <w:szCs w:val="24"/>
        </w:rPr>
        <w:t>gislation is the origin of the federal g</w:t>
      </w:r>
      <w:r w:rsidRPr="00664C39">
        <w:rPr>
          <w:rFonts w:asciiTheme="minorHAnsi" w:eastAsia="Times New Roman" w:hAnsiTheme="minorHAnsi"/>
          <w:sz w:val="24"/>
          <w:szCs w:val="24"/>
        </w:rPr>
        <w:t>ov</w:t>
      </w:r>
      <w:r w:rsidR="00EB219B" w:rsidRPr="00664C39">
        <w:rPr>
          <w:rFonts w:asciiTheme="minorHAnsi" w:eastAsia="Times New Roman" w:hAnsiTheme="minorHAnsi"/>
          <w:sz w:val="24"/>
          <w:szCs w:val="24"/>
        </w:rPr>
        <w:t>ernment’s pledge of support to s</w:t>
      </w:r>
      <w:r w:rsidRPr="00664C39">
        <w:rPr>
          <w:rFonts w:asciiTheme="minorHAnsi" w:eastAsia="Times New Roman" w:hAnsiTheme="minorHAnsi"/>
          <w:sz w:val="24"/>
          <w:szCs w:val="24"/>
        </w:rPr>
        <w:t>tates and their efforts to extend and improve health and welfare services for mothe</w:t>
      </w:r>
      <w:r w:rsidR="00EB219B" w:rsidRPr="00664C39">
        <w:rPr>
          <w:rFonts w:asciiTheme="minorHAnsi" w:eastAsia="Times New Roman" w:hAnsiTheme="minorHAnsi"/>
          <w:sz w:val="24"/>
          <w:szCs w:val="24"/>
        </w:rPr>
        <w:t>rs and children throughout the n</w:t>
      </w:r>
      <w:r w:rsidRPr="00664C39">
        <w:rPr>
          <w:rFonts w:asciiTheme="minorHAnsi" w:eastAsia="Times New Roman" w:hAnsiTheme="minorHAnsi"/>
          <w:sz w:val="24"/>
          <w:szCs w:val="24"/>
        </w:rPr>
        <w:t xml:space="preserve">ation.  To date, the </w:t>
      </w:r>
      <w:r w:rsidR="00AE2841" w:rsidRPr="00664C39">
        <w:rPr>
          <w:rFonts w:asciiTheme="minorHAnsi" w:eastAsia="Times New Roman" w:hAnsiTheme="minorHAnsi"/>
          <w:sz w:val="24"/>
          <w:szCs w:val="24"/>
        </w:rPr>
        <w:t>Title V federal-s</w:t>
      </w:r>
      <w:r w:rsidRPr="00664C39">
        <w:rPr>
          <w:rFonts w:asciiTheme="minorHAnsi" w:eastAsia="Times New Roman" w:hAnsiTheme="minorHAnsi"/>
          <w:sz w:val="24"/>
          <w:szCs w:val="24"/>
        </w:rPr>
        <w:t>tate partnership continues to provide a dynamic program to improve the health of all mothers and children, including children with special health care needs</w:t>
      </w:r>
      <w:r w:rsidR="00676E51" w:rsidRPr="00664C39">
        <w:rPr>
          <w:rFonts w:asciiTheme="minorHAnsi" w:eastAsia="Times New Roman" w:hAnsiTheme="minorHAnsi"/>
          <w:sz w:val="24"/>
          <w:szCs w:val="24"/>
        </w:rPr>
        <w:t xml:space="preserve"> (CSHCN)</w:t>
      </w:r>
      <w:r w:rsidR="000F4273">
        <w:rPr>
          <w:rFonts w:asciiTheme="minorHAnsi" w:eastAsia="Times New Roman" w:hAnsiTheme="minorHAnsi"/>
          <w:sz w:val="24"/>
          <w:szCs w:val="24"/>
        </w:rPr>
        <w:t>.</w:t>
      </w:r>
      <w:r w:rsidRPr="00664C39">
        <w:rPr>
          <w:rFonts w:asciiTheme="minorHAnsi" w:eastAsia="Times New Roman" w:hAnsiTheme="minorHAnsi"/>
          <w:sz w:val="24"/>
          <w:szCs w:val="24"/>
        </w:rPr>
        <w:t xml:space="preserve"> </w:t>
      </w:r>
    </w:p>
    <w:p w14:paraId="6A2244F2" w14:textId="77777777" w:rsidR="007D4469" w:rsidRPr="00664C39" w:rsidRDefault="007D4469" w:rsidP="007D4469">
      <w:pPr>
        <w:spacing w:after="0" w:line="240" w:lineRule="auto"/>
        <w:rPr>
          <w:rFonts w:asciiTheme="minorHAnsi" w:hAnsiTheme="minorHAnsi" w:cs="Arial"/>
          <w:sz w:val="24"/>
          <w:szCs w:val="24"/>
        </w:rPr>
      </w:pPr>
    </w:p>
    <w:p w14:paraId="3FBBDCC5" w14:textId="77777777" w:rsidR="00E2659A" w:rsidRPr="00664C39" w:rsidRDefault="00E2659A" w:rsidP="007D4469">
      <w:pPr>
        <w:widowControl w:val="0"/>
        <w:numPr>
          <w:ilvl w:val="1"/>
          <w:numId w:val="23"/>
        </w:numPr>
        <w:tabs>
          <w:tab w:val="clear" w:pos="1440"/>
        </w:tabs>
        <w:autoSpaceDE w:val="0"/>
        <w:autoSpaceDN w:val="0"/>
        <w:adjustRightInd w:val="0"/>
        <w:spacing w:after="0" w:line="240" w:lineRule="auto"/>
        <w:ind w:left="360" w:hanging="360"/>
        <w:rPr>
          <w:rFonts w:asciiTheme="minorHAnsi" w:eastAsia="Times New Roman" w:hAnsiTheme="minorHAnsi"/>
          <w:b/>
          <w:bCs/>
          <w:sz w:val="24"/>
          <w:szCs w:val="24"/>
        </w:rPr>
      </w:pPr>
      <w:r w:rsidRPr="00664C39">
        <w:rPr>
          <w:rFonts w:asciiTheme="minorHAnsi" w:eastAsia="Times New Roman" w:hAnsiTheme="minorHAnsi"/>
          <w:b/>
          <w:bCs/>
          <w:sz w:val="24"/>
          <w:szCs w:val="24"/>
        </w:rPr>
        <w:t>The Maternal and Child Health Bureau</w:t>
      </w:r>
    </w:p>
    <w:p w14:paraId="251137C7" w14:textId="77777777" w:rsidR="00E2659A" w:rsidRPr="00664C39" w:rsidRDefault="00E2659A" w:rsidP="00E2659A">
      <w:pPr>
        <w:widowControl w:val="0"/>
        <w:autoSpaceDE w:val="0"/>
        <w:autoSpaceDN w:val="0"/>
        <w:adjustRightInd w:val="0"/>
        <w:spacing w:after="0" w:line="240" w:lineRule="auto"/>
        <w:ind w:left="720"/>
        <w:rPr>
          <w:rFonts w:asciiTheme="minorHAnsi" w:eastAsia="Times New Roman" w:hAnsiTheme="minorHAnsi"/>
          <w:sz w:val="24"/>
          <w:szCs w:val="24"/>
        </w:rPr>
      </w:pPr>
    </w:p>
    <w:p w14:paraId="20958857" w14:textId="6667FDE9" w:rsidR="0074596A" w:rsidRPr="00664C39" w:rsidRDefault="00E2659A" w:rsidP="00E2659A">
      <w:pPr>
        <w:widowControl w:val="0"/>
        <w:autoSpaceDE w:val="0"/>
        <w:autoSpaceDN w:val="0"/>
        <w:adjustRightInd w:val="0"/>
        <w:spacing w:after="0" w:line="240" w:lineRule="auto"/>
        <w:ind w:left="360"/>
        <w:rPr>
          <w:rFonts w:asciiTheme="minorHAnsi" w:eastAsia="Times New Roman" w:hAnsiTheme="minorHAnsi"/>
          <w:sz w:val="24"/>
          <w:szCs w:val="24"/>
        </w:rPr>
      </w:pPr>
      <w:r w:rsidRPr="00664C39">
        <w:rPr>
          <w:rFonts w:asciiTheme="minorHAnsi" w:eastAsia="Times New Roman" w:hAnsiTheme="minorHAnsi"/>
          <w:sz w:val="24"/>
          <w:szCs w:val="24"/>
        </w:rPr>
        <w:t>The Maternal and Child Health Bureau (MCHB) is the principal focus within Health Resources and Services Administration (HRSA) for all Maternal and Child Health (MCH) activities within the Department of Health and Human Services (HHS</w:t>
      </w:r>
      <w:r w:rsidRPr="00503823">
        <w:rPr>
          <w:rFonts w:asciiTheme="minorHAnsi" w:eastAsia="Times New Roman" w:hAnsiTheme="minorHAnsi"/>
          <w:sz w:val="24"/>
          <w:szCs w:val="24"/>
        </w:rPr>
        <w:t>).</w:t>
      </w:r>
      <w:r w:rsidR="00AE2841" w:rsidRPr="00503823">
        <w:rPr>
          <w:rFonts w:asciiTheme="minorHAnsi" w:eastAsia="Times New Roman" w:hAnsiTheme="minorHAnsi"/>
          <w:sz w:val="24"/>
          <w:szCs w:val="24"/>
        </w:rPr>
        <w:t xml:space="preserve">  MCHB’s mission is </w:t>
      </w:r>
      <w:r w:rsidR="000F4273" w:rsidRPr="00503823">
        <w:rPr>
          <w:sz w:val="24"/>
          <w:szCs w:val="24"/>
        </w:rPr>
        <w:t xml:space="preserve">to improve the health of America’s mothers, children and families. </w:t>
      </w:r>
      <w:r w:rsidR="005E6C2A">
        <w:rPr>
          <w:sz w:val="24"/>
          <w:szCs w:val="24"/>
        </w:rPr>
        <w:t xml:space="preserve"> </w:t>
      </w:r>
      <w:r w:rsidR="000F4273" w:rsidRPr="00503823">
        <w:rPr>
          <w:sz w:val="24"/>
          <w:szCs w:val="24"/>
        </w:rPr>
        <w:t xml:space="preserve">We envision an America where all children and families are healthy and thriving. </w:t>
      </w:r>
      <w:r w:rsidR="005E6C2A">
        <w:rPr>
          <w:sz w:val="24"/>
          <w:szCs w:val="24"/>
        </w:rPr>
        <w:t xml:space="preserve"> </w:t>
      </w:r>
      <w:r w:rsidRPr="00503823">
        <w:rPr>
          <w:rFonts w:asciiTheme="minorHAnsi" w:eastAsia="Times New Roman" w:hAnsiTheme="minorHAnsi"/>
          <w:sz w:val="24"/>
          <w:szCs w:val="24"/>
        </w:rPr>
        <w:t xml:space="preserve">To achieve its mission, MCHB directs resources towards a combination of </w:t>
      </w:r>
      <w:r w:rsidR="00AD1EFD" w:rsidRPr="00A67F58">
        <w:rPr>
          <w:rFonts w:asciiTheme="minorHAnsi" w:eastAsia="Times New Roman" w:hAnsiTheme="minorHAnsi"/>
          <w:sz w:val="24"/>
          <w:szCs w:val="24"/>
        </w:rPr>
        <w:t>integrated p</w:t>
      </w:r>
      <w:r w:rsidR="00976E12" w:rsidRPr="00C1405C">
        <w:rPr>
          <w:rFonts w:asciiTheme="minorHAnsi" w:eastAsia="Times New Roman" w:hAnsiTheme="minorHAnsi"/>
          <w:sz w:val="24"/>
          <w:szCs w:val="24"/>
        </w:rPr>
        <w:t xml:space="preserve">ublic health </w:t>
      </w:r>
      <w:r w:rsidRPr="00C1405C">
        <w:rPr>
          <w:rFonts w:asciiTheme="minorHAnsi" w:eastAsia="Times New Roman" w:hAnsiTheme="minorHAnsi"/>
          <w:sz w:val="24"/>
          <w:szCs w:val="24"/>
        </w:rPr>
        <w:t>services</w:t>
      </w:r>
      <w:r w:rsidR="00353F5C" w:rsidRPr="00C1405C">
        <w:rPr>
          <w:rFonts w:asciiTheme="minorHAnsi" w:eastAsia="Times New Roman" w:hAnsiTheme="minorHAnsi"/>
          <w:sz w:val="24"/>
          <w:szCs w:val="24"/>
        </w:rPr>
        <w:t xml:space="preserve"> </w:t>
      </w:r>
      <w:r w:rsidR="00AD1EFD" w:rsidRPr="00C1405C">
        <w:rPr>
          <w:rFonts w:asciiTheme="minorHAnsi" w:eastAsia="Times New Roman" w:hAnsiTheme="minorHAnsi"/>
          <w:sz w:val="24"/>
          <w:szCs w:val="24"/>
        </w:rPr>
        <w:t xml:space="preserve">and </w:t>
      </w:r>
      <w:r w:rsidR="002826F2" w:rsidRPr="00C1405C">
        <w:rPr>
          <w:rFonts w:asciiTheme="minorHAnsi" w:eastAsia="Times New Roman" w:hAnsiTheme="minorHAnsi"/>
          <w:sz w:val="24"/>
          <w:szCs w:val="24"/>
        </w:rPr>
        <w:t xml:space="preserve">coordinated </w:t>
      </w:r>
      <w:r w:rsidR="001E5011" w:rsidRPr="00C1405C">
        <w:rPr>
          <w:rFonts w:asciiTheme="minorHAnsi" w:eastAsia="Times New Roman" w:hAnsiTheme="minorHAnsi"/>
          <w:sz w:val="24"/>
          <w:szCs w:val="24"/>
        </w:rPr>
        <w:t>s</w:t>
      </w:r>
      <w:r w:rsidR="0074596A" w:rsidRPr="00C1405C">
        <w:rPr>
          <w:rFonts w:asciiTheme="minorHAnsi" w:eastAsia="Times New Roman" w:hAnsiTheme="minorHAnsi"/>
          <w:sz w:val="24"/>
          <w:szCs w:val="24"/>
        </w:rPr>
        <w:t xml:space="preserve">ystems </w:t>
      </w:r>
      <w:r w:rsidR="001E5011" w:rsidRPr="00C1405C">
        <w:rPr>
          <w:rFonts w:asciiTheme="minorHAnsi" w:eastAsia="Times New Roman" w:hAnsiTheme="minorHAnsi"/>
          <w:sz w:val="24"/>
          <w:szCs w:val="24"/>
        </w:rPr>
        <w:t xml:space="preserve">of </w:t>
      </w:r>
      <w:r w:rsidR="0074596A" w:rsidRPr="00C1405C">
        <w:rPr>
          <w:rFonts w:asciiTheme="minorHAnsi" w:eastAsia="Times New Roman" w:hAnsiTheme="minorHAnsi"/>
          <w:sz w:val="24"/>
          <w:szCs w:val="24"/>
        </w:rPr>
        <w:t xml:space="preserve">care </w:t>
      </w:r>
      <w:r w:rsidR="00353F5C" w:rsidRPr="00C1405C">
        <w:rPr>
          <w:rFonts w:asciiTheme="minorHAnsi" w:eastAsia="Times New Roman" w:hAnsiTheme="minorHAnsi"/>
          <w:sz w:val="24"/>
          <w:szCs w:val="24"/>
        </w:rPr>
        <w:t xml:space="preserve">for </w:t>
      </w:r>
      <w:r w:rsidR="00676E51" w:rsidRPr="00C1405C">
        <w:rPr>
          <w:rFonts w:asciiTheme="minorHAnsi" w:eastAsia="Times New Roman" w:hAnsiTheme="minorHAnsi"/>
          <w:sz w:val="24"/>
          <w:szCs w:val="24"/>
        </w:rPr>
        <w:t>the MCH population</w:t>
      </w:r>
      <w:r w:rsidRPr="00C1405C">
        <w:rPr>
          <w:rFonts w:asciiTheme="minorHAnsi" w:eastAsia="Times New Roman" w:hAnsiTheme="minorHAnsi"/>
          <w:sz w:val="24"/>
          <w:szCs w:val="24"/>
        </w:rPr>
        <w:t>.</w:t>
      </w:r>
      <w:r w:rsidRPr="00664C39">
        <w:rPr>
          <w:rFonts w:asciiTheme="minorHAnsi" w:eastAsia="Times New Roman" w:hAnsiTheme="minorHAnsi"/>
          <w:sz w:val="24"/>
          <w:szCs w:val="24"/>
        </w:rPr>
        <w:t xml:space="preserve">  </w:t>
      </w:r>
    </w:p>
    <w:p w14:paraId="239C2A2E" w14:textId="77777777" w:rsidR="0074596A" w:rsidRPr="00664C39" w:rsidRDefault="0074596A" w:rsidP="00E2659A">
      <w:pPr>
        <w:widowControl w:val="0"/>
        <w:autoSpaceDE w:val="0"/>
        <w:autoSpaceDN w:val="0"/>
        <w:adjustRightInd w:val="0"/>
        <w:spacing w:after="0" w:line="240" w:lineRule="auto"/>
        <w:ind w:left="360"/>
        <w:rPr>
          <w:rFonts w:asciiTheme="minorHAnsi" w:eastAsia="Times New Roman" w:hAnsiTheme="minorHAnsi"/>
          <w:sz w:val="24"/>
          <w:szCs w:val="24"/>
        </w:rPr>
      </w:pPr>
    </w:p>
    <w:p w14:paraId="390ADF82" w14:textId="1589EA2B" w:rsidR="00E2659A" w:rsidRPr="00664C39" w:rsidRDefault="00E2659A" w:rsidP="00E2659A">
      <w:pPr>
        <w:widowControl w:val="0"/>
        <w:autoSpaceDE w:val="0"/>
        <w:autoSpaceDN w:val="0"/>
        <w:adjustRightInd w:val="0"/>
        <w:spacing w:after="0" w:line="240" w:lineRule="auto"/>
        <w:ind w:left="360"/>
        <w:rPr>
          <w:rFonts w:asciiTheme="minorHAnsi" w:eastAsia="Times New Roman" w:hAnsiTheme="minorHAnsi"/>
          <w:sz w:val="24"/>
          <w:szCs w:val="24"/>
        </w:rPr>
      </w:pPr>
      <w:r w:rsidRPr="00664C39">
        <w:rPr>
          <w:rFonts w:asciiTheme="minorHAnsi" w:eastAsia="Times New Roman" w:hAnsiTheme="minorHAnsi"/>
          <w:sz w:val="24"/>
          <w:szCs w:val="24"/>
        </w:rPr>
        <w:t xml:space="preserve">Within </w:t>
      </w:r>
      <w:r w:rsidR="00353F5C" w:rsidRPr="00664C39">
        <w:rPr>
          <w:rFonts w:asciiTheme="minorHAnsi" w:eastAsia="Times New Roman" w:hAnsiTheme="minorHAnsi"/>
          <w:sz w:val="24"/>
          <w:szCs w:val="24"/>
        </w:rPr>
        <w:t xml:space="preserve">the </w:t>
      </w:r>
      <w:r w:rsidRPr="00664C39">
        <w:rPr>
          <w:rFonts w:asciiTheme="minorHAnsi" w:eastAsia="Times New Roman" w:hAnsiTheme="minorHAnsi"/>
          <w:sz w:val="24"/>
          <w:szCs w:val="24"/>
        </w:rPr>
        <w:t>MCHB</w:t>
      </w:r>
      <w:r w:rsidR="00353F5C" w:rsidRPr="00664C39">
        <w:rPr>
          <w:rFonts w:asciiTheme="minorHAnsi" w:eastAsia="Times New Roman" w:hAnsiTheme="minorHAnsi"/>
          <w:sz w:val="24"/>
          <w:szCs w:val="24"/>
        </w:rPr>
        <w:t>,</w:t>
      </w:r>
      <w:r w:rsidRPr="00664C39">
        <w:rPr>
          <w:rFonts w:asciiTheme="minorHAnsi" w:eastAsia="Times New Roman" w:hAnsiTheme="minorHAnsi"/>
          <w:sz w:val="24"/>
          <w:szCs w:val="24"/>
        </w:rPr>
        <w:t xml:space="preserve"> the Division of State and Community Health (DSCH) has the administrative responsibility for the </w:t>
      </w:r>
      <w:r w:rsidRPr="00DE5BD3">
        <w:rPr>
          <w:rFonts w:asciiTheme="minorHAnsi" w:eastAsia="Times New Roman" w:hAnsiTheme="minorHAnsi"/>
          <w:i/>
          <w:sz w:val="24"/>
          <w:szCs w:val="24"/>
        </w:rPr>
        <w:t xml:space="preserve">Title V MCH </w:t>
      </w:r>
      <w:r w:rsidR="00DE5BD3" w:rsidRPr="00DE5BD3">
        <w:rPr>
          <w:rFonts w:asciiTheme="minorHAnsi" w:eastAsia="Times New Roman" w:hAnsiTheme="minorHAnsi"/>
          <w:i/>
          <w:sz w:val="24"/>
          <w:szCs w:val="24"/>
        </w:rPr>
        <w:t xml:space="preserve">Services </w:t>
      </w:r>
      <w:r w:rsidRPr="00DE5BD3">
        <w:rPr>
          <w:rFonts w:asciiTheme="minorHAnsi" w:eastAsia="Times New Roman" w:hAnsiTheme="minorHAnsi"/>
          <w:i/>
          <w:sz w:val="24"/>
          <w:szCs w:val="24"/>
        </w:rPr>
        <w:t>Block Grant to States Program</w:t>
      </w:r>
      <w:r w:rsidR="00DE5BD3">
        <w:rPr>
          <w:rFonts w:asciiTheme="minorHAnsi" w:eastAsia="Times New Roman" w:hAnsiTheme="minorHAnsi"/>
          <w:sz w:val="24"/>
          <w:szCs w:val="24"/>
        </w:rPr>
        <w:t xml:space="preserve"> (</w:t>
      </w:r>
      <w:r w:rsidR="00DE5BD3" w:rsidRPr="00DE5BD3">
        <w:rPr>
          <w:rFonts w:asciiTheme="minorHAnsi" w:eastAsia="Times New Roman" w:hAnsiTheme="minorHAnsi"/>
          <w:sz w:val="24"/>
          <w:szCs w:val="24"/>
        </w:rPr>
        <w:t>hereafter referred to as the MCH Block Grant</w:t>
      </w:r>
      <w:r w:rsidR="00DE5BD3">
        <w:rPr>
          <w:rFonts w:asciiTheme="minorHAnsi" w:eastAsia="Times New Roman" w:hAnsiTheme="minorHAnsi"/>
          <w:sz w:val="24"/>
          <w:szCs w:val="24"/>
        </w:rPr>
        <w:t>)</w:t>
      </w:r>
      <w:r w:rsidRPr="00664C39">
        <w:rPr>
          <w:rFonts w:asciiTheme="minorHAnsi" w:eastAsia="Times New Roman" w:hAnsiTheme="minorHAnsi"/>
          <w:sz w:val="24"/>
          <w:szCs w:val="24"/>
        </w:rPr>
        <w:t>.  DSCH is committed to being the Bureau’s m</w:t>
      </w:r>
      <w:r w:rsidR="00D843D2" w:rsidRPr="00664C39">
        <w:rPr>
          <w:rFonts w:asciiTheme="minorHAnsi" w:eastAsia="Times New Roman" w:hAnsiTheme="minorHAnsi"/>
          <w:sz w:val="24"/>
          <w:szCs w:val="24"/>
        </w:rPr>
        <w:t>ain line of communication with s</w:t>
      </w:r>
      <w:r w:rsidRPr="00664C39">
        <w:rPr>
          <w:rFonts w:asciiTheme="minorHAnsi" w:eastAsia="Times New Roman" w:hAnsiTheme="minorHAnsi"/>
          <w:sz w:val="24"/>
          <w:szCs w:val="24"/>
        </w:rPr>
        <w:t xml:space="preserve">tates and communities, in order to consult and work closely with both of these groups and others </w:t>
      </w:r>
      <w:r w:rsidR="00075EAF" w:rsidRPr="00664C39">
        <w:rPr>
          <w:rFonts w:asciiTheme="minorHAnsi" w:eastAsia="Times New Roman" w:hAnsiTheme="minorHAnsi"/>
          <w:sz w:val="24"/>
          <w:szCs w:val="24"/>
        </w:rPr>
        <w:t xml:space="preserve">who </w:t>
      </w:r>
      <w:r w:rsidR="002826F2" w:rsidRPr="00664C39">
        <w:rPr>
          <w:rFonts w:asciiTheme="minorHAnsi" w:eastAsia="Times New Roman" w:hAnsiTheme="minorHAnsi"/>
          <w:sz w:val="24"/>
          <w:szCs w:val="24"/>
        </w:rPr>
        <w:t xml:space="preserve">have an </w:t>
      </w:r>
      <w:r w:rsidRPr="00664C39">
        <w:rPr>
          <w:rFonts w:asciiTheme="minorHAnsi" w:eastAsia="Times New Roman" w:hAnsiTheme="minorHAnsi"/>
          <w:sz w:val="24"/>
          <w:szCs w:val="24"/>
        </w:rPr>
        <w:t xml:space="preserve">interest in </w:t>
      </w:r>
      <w:r w:rsidR="002826F2" w:rsidRPr="00664C39">
        <w:rPr>
          <w:rFonts w:asciiTheme="minorHAnsi" w:eastAsia="Times New Roman" w:hAnsiTheme="minorHAnsi"/>
          <w:sz w:val="24"/>
          <w:szCs w:val="24"/>
        </w:rPr>
        <w:t>and contribute to the</w:t>
      </w:r>
      <w:r w:rsidRPr="00664C39">
        <w:rPr>
          <w:rFonts w:asciiTheme="minorHAnsi" w:eastAsia="Times New Roman" w:hAnsiTheme="minorHAnsi"/>
          <w:sz w:val="24"/>
          <w:szCs w:val="24"/>
        </w:rPr>
        <w:t xml:space="preserve"> </w:t>
      </w:r>
      <w:r w:rsidR="00854B4A" w:rsidRPr="00664C39">
        <w:rPr>
          <w:rFonts w:asciiTheme="minorHAnsi" w:eastAsia="Times New Roman" w:hAnsiTheme="minorHAnsi"/>
          <w:sz w:val="24"/>
          <w:szCs w:val="24"/>
        </w:rPr>
        <w:t xml:space="preserve">provision of a </w:t>
      </w:r>
      <w:r w:rsidRPr="00664C39">
        <w:rPr>
          <w:rFonts w:asciiTheme="minorHAnsi" w:eastAsia="Times New Roman" w:hAnsiTheme="minorHAnsi"/>
          <w:sz w:val="24"/>
          <w:szCs w:val="24"/>
        </w:rPr>
        <w:t>wide range of MCH programs</w:t>
      </w:r>
      <w:r w:rsidR="001052D7" w:rsidRPr="00664C39">
        <w:rPr>
          <w:rFonts w:asciiTheme="minorHAnsi" w:eastAsia="Times New Roman" w:hAnsiTheme="minorHAnsi"/>
          <w:sz w:val="24"/>
          <w:szCs w:val="24"/>
        </w:rPr>
        <w:t xml:space="preserve"> </w:t>
      </w:r>
      <w:r w:rsidRPr="00664C39">
        <w:rPr>
          <w:rFonts w:asciiTheme="minorHAnsi" w:eastAsia="Times New Roman" w:hAnsiTheme="minorHAnsi"/>
          <w:sz w:val="24"/>
          <w:szCs w:val="24"/>
        </w:rPr>
        <w:t>and community-based service systems.</w:t>
      </w:r>
    </w:p>
    <w:p w14:paraId="712D4BED" w14:textId="77777777" w:rsidR="00E2659A" w:rsidRPr="00664C39" w:rsidRDefault="00E2659A" w:rsidP="00E2659A">
      <w:pPr>
        <w:widowControl w:val="0"/>
        <w:autoSpaceDE w:val="0"/>
        <w:autoSpaceDN w:val="0"/>
        <w:adjustRightInd w:val="0"/>
        <w:spacing w:after="0" w:line="240" w:lineRule="auto"/>
        <w:ind w:left="720"/>
        <w:rPr>
          <w:rFonts w:asciiTheme="minorHAnsi" w:eastAsia="Times New Roman" w:hAnsiTheme="minorHAnsi"/>
          <w:sz w:val="24"/>
          <w:szCs w:val="24"/>
        </w:rPr>
      </w:pPr>
    </w:p>
    <w:p w14:paraId="71C6AACC" w14:textId="77777777" w:rsidR="00E2659A" w:rsidRPr="00664C39" w:rsidRDefault="00E2659A" w:rsidP="00E2659A">
      <w:pPr>
        <w:widowControl w:val="0"/>
        <w:numPr>
          <w:ilvl w:val="1"/>
          <w:numId w:val="23"/>
        </w:numPr>
        <w:tabs>
          <w:tab w:val="clear" w:pos="1440"/>
        </w:tabs>
        <w:autoSpaceDE w:val="0"/>
        <w:autoSpaceDN w:val="0"/>
        <w:adjustRightInd w:val="0"/>
        <w:spacing w:after="0" w:line="240" w:lineRule="auto"/>
        <w:ind w:left="360" w:hanging="360"/>
        <w:rPr>
          <w:rFonts w:asciiTheme="minorHAnsi" w:eastAsia="Times New Roman" w:hAnsiTheme="minorHAnsi"/>
          <w:b/>
          <w:bCs/>
          <w:sz w:val="24"/>
          <w:szCs w:val="24"/>
        </w:rPr>
      </w:pPr>
      <w:r w:rsidRPr="00664C39">
        <w:rPr>
          <w:rFonts w:asciiTheme="minorHAnsi" w:eastAsia="Times New Roman" w:hAnsiTheme="minorHAnsi"/>
          <w:b/>
          <w:bCs/>
          <w:sz w:val="24"/>
          <w:szCs w:val="24"/>
        </w:rPr>
        <w:t>Maternal and Child Health Services Block Grant (Title V)</w:t>
      </w:r>
    </w:p>
    <w:p w14:paraId="6D933CEE" w14:textId="77777777" w:rsidR="00E2659A" w:rsidRPr="00664C39" w:rsidRDefault="00E2659A" w:rsidP="00E2659A">
      <w:pPr>
        <w:widowControl w:val="0"/>
        <w:autoSpaceDE w:val="0"/>
        <w:autoSpaceDN w:val="0"/>
        <w:adjustRightInd w:val="0"/>
        <w:spacing w:after="0" w:line="240" w:lineRule="auto"/>
        <w:ind w:left="720"/>
        <w:rPr>
          <w:rFonts w:asciiTheme="minorHAnsi" w:eastAsia="Times New Roman" w:hAnsiTheme="minorHAnsi"/>
          <w:sz w:val="24"/>
          <w:szCs w:val="24"/>
        </w:rPr>
      </w:pPr>
    </w:p>
    <w:p w14:paraId="44957B29" w14:textId="64890853" w:rsidR="00166B33" w:rsidRPr="00664C39" w:rsidRDefault="00166B33" w:rsidP="00CA36B6">
      <w:pPr>
        <w:autoSpaceDE w:val="0"/>
        <w:autoSpaceDN w:val="0"/>
        <w:adjustRightInd w:val="0"/>
        <w:spacing w:after="0" w:line="240" w:lineRule="auto"/>
        <w:ind w:left="360"/>
        <w:rPr>
          <w:rFonts w:asciiTheme="minorHAnsi" w:eastAsia="Times New Roman" w:hAnsiTheme="minorHAnsi"/>
          <w:sz w:val="24"/>
          <w:szCs w:val="24"/>
        </w:rPr>
      </w:pPr>
      <w:r w:rsidRPr="00664C39">
        <w:rPr>
          <w:rFonts w:asciiTheme="minorHAnsi" w:eastAsia="Times New Roman" w:hAnsiTheme="minorHAnsi"/>
          <w:sz w:val="24"/>
          <w:szCs w:val="24"/>
        </w:rPr>
        <w:t xml:space="preserve">Under Title V, MCHB administers a Block Grant and competitive Discretionary Grants.  The purpose of the MCH Block Grant is to create federal/state partnerships in 59 states </w:t>
      </w:r>
      <w:r w:rsidR="000F4273">
        <w:rPr>
          <w:rFonts w:asciiTheme="minorHAnsi" w:eastAsia="Times New Roman" w:hAnsiTheme="minorHAnsi"/>
          <w:sz w:val="24"/>
          <w:szCs w:val="24"/>
        </w:rPr>
        <w:t xml:space="preserve">and jurisdictions </w:t>
      </w:r>
      <w:r w:rsidRPr="00664C39">
        <w:rPr>
          <w:rFonts w:asciiTheme="minorHAnsi" w:eastAsia="Times New Roman" w:hAnsiTheme="minorHAnsi"/>
          <w:sz w:val="24"/>
          <w:szCs w:val="24"/>
        </w:rPr>
        <w:t>for developing service systems t</w:t>
      </w:r>
      <w:r w:rsidR="00B40DA1" w:rsidRPr="00664C39">
        <w:rPr>
          <w:rFonts w:asciiTheme="minorHAnsi" w:eastAsia="Times New Roman" w:hAnsiTheme="minorHAnsi"/>
          <w:sz w:val="24"/>
          <w:szCs w:val="24"/>
        </w:rPr>
        <w:t>hat</w:t>
      </w:r>
      <w:r w:rsidRPr="00664C39">
        <w:rPr>
          <w:rFonts w:asciiTheme="minorHAnsi" w:eastAsia="Times New Roman" w:hAnsiTheme="minorHAnsi"/>
          <w:sz w:val="24"/>
          <w:szCs w:val="24"/>
        </w:rPr>
        <w:t xml:space="preserve"> </w:t>
      </w:r>
      <w:r w:rsidR="00B40DA1" w:rsidRPr="00664C39">
        <w:rPr>
          <w:rFonts w:asciiTheme="minorHAnsi" w:eastAsia="Times New Roman" w:hAnsiTheme="minorHAnsi"/>
          <w:sz w:val="24"/>
          <w:szCs w:val="24"/>
        </w:rPr>
        <w:t xml:space="preserve">address </w:t>
      </w:r>
      <w:r w:rsidRPr="00664C39">
        <w:rPr>
          <w:rFonts w:asciiTheme="minorHAnsi" w:eastAsia="Times New Roman" w:hAnsiTheme="minorHAnsi"/>
          <w:sz w:val="24"/>
          <w:szCs w:val="24"/>
        </w:rPr>
        <w:t>MCH challenges</w:t>
      </w:r>
      <w:r w:rsidR="00CA36B6" w:rsidRPr="00664C39">
        <w:rPr>
          <w:rFonts w:asciiTheme="minorHAnsi" w:eastAsia="Times New Roman" w:hAnsiTheme="minorHAnsi"/>
          <w:sz w:val="24"/>
          <w:szCs w:val="24"/>
        </w:rPr>
        <w:t>, such as</w:t>
      </w:r>
      <w:r w:rsidRPr="00664C39">
        <w:rPr>
          <w:rFonts w:asciiTheme="minorHAnsi" w:eastAsia="Times New Roman" w:hAnsiTheme="minorHAnsi"/>
          <w:sz w:val="24"/>
          <w:szCs w:val="24"/>
        </w:rPr>
        <w:t>:</w:t>
      </w:r>
    </w:p>
    <w:p w14:paraId="35A2A1BF" w14:textId="77777777" w:rsidR="00166B33" w:rsidRPr="00664C39" w:rsidRDefault="00166B33" w:rsidP="00CA36B6">
      <w:pPr>
        <w:autoSpaceDE w:val="0"/>
        <w:autoSpaceDN w:val="0"/>
        <w:adjustRightInd w:val="0"/>
        <w:spacing w:after="0" w:line="240" w:lineRule="auto"/>
        <w:ind w:left="360"/>
        <w:rPr>
          <w:rFonts w:asciiTheme="minorHAnsi" w:eastAsia="Times New Roman" w:hAnsiTheme="minorHAnsi"/>
          <w:sz w:val="24"/>
          <w:szCs w:val="24"/>
        </w:rPr>
      </w:pPr>
    </w:p>
    <w:p w14:paraId="3B23EBA9" w14:textId="77777777" w:rsidR="00166B33" w:rsidRPr="00664C39" w:rsidRDefault="00166B33" w:rsidP="00BD4033">
      <w:pPr>
        <w:autoSpaceDE w:val="0"/>
        <w:autoSpaceDN w:val="0"/>
        <w:adjustRightInd w:val="0"/>
        <w:spacing w:after="0" w:line="240" w:lineRule="auto"/>
        <w:ind w:left="720" w:hanging="360"/>
        <w:rPr>
          <w:rFonts w:asciiTheme="minorHAnsi" w:eastAsia="Times New Roman" w:hAnsiTheme="minorHAnsi"/>
          <w:sz w:val="24"/>
          <w:szCs w:val="24"/>
        </w:rPr>
      </w:pPr>
      <w:r w:rsidRPr="00664C39">
        <w:rPr>
          <w:rFonts w:asciiTheme="minorHAnsi" w:eastAsia="Times New Roman" w:hAnsiTheme="minorHAnsi"/>
          <w:sz w:val="24"/>
          <w:szCs w:val="24"/>
        </w:rPr>
        <w:t>•</w:t>
      </w:r>
      <w:r w:rsidRPr="00664C39">
        <w:rPr>
          <w:rFonts w:asciiTheme="minorHAnsi" w:eastAsia="Times New Roman" w:hAnsiTheme="minorHAnsi"/>
          <w:sz w:val="24"/>
          <w:szCs w:val="24"/>
        </w:rPr>
        <w:tab/>
        <w:t>Significantly reducing infant mortality;</w:t>
      </w:r>
    </w:p>
    <w:p w14:paraId="6C575FD4" w14:textId="77777777" w:rsidR="00166B33" w:rsidRPr="00664C39" w:rsidRDefault="00166B33" w:rsidP="00415809">
      <w:pPr>
        <w:autoSpaceDE w:val="0"/>
        <w:autoSpaceDN w:val="0"/>
        <w:adjustRightInd w:val="0"/>
        <w:spacing w:after="0" w:line="240" w:lineRule="auto"/>
        <w:ind w:left="720" w:hanging="360"/>
        <w:rPr>
          <w:rFonts w:asciiTheme="minorHAnsi" w:eastAsia="Times New Roman" w:hAnsiTheme="minorHAnsi"/>
          <w:sz w:val="24"/>
          <w:szCs w:val="24"/>
        </w:rPr>
      </w:pPr>
      <w:r w:rsidRPr="00664C39">
        <w:rPr>
          <w:rFonts w:asciiTheme="minorHAnsi" w:eastAsia="Times New Roman" w:hAnsiTheme="minorHAnsi"/>
          <w:sz w:val="24"/>
          <w:szCs w:val="24"/>
        </w:rPr>
        <w:t>•</w:t>
      </w:r>
      <w:r w:rsidRPr="00664C39">
        <w:rPr>
          <w:rFonts w:asciiTheme="minorHAnsi" w:eastAsia="Times New Roman" w:hAnsiTheme="minorHAnsi"/>
          <w:sz w:val="24"/>
          <w:szCs w:val="24"/>
        </w:rPr>
        <w:tab/>
        <w:t>Providing comprehensive care for all women before, during, and after pregnancy and childbirth;</w:t>
      </w:r>
    </w:p>
    <w:p w14:paraId="0E6B0B19" w14:textId="77777777" w:rsidR="00166B33" w:rsidRPr="00664C39" w:rsidRDefault="00166B33" w:rsidP="00415809">
      <w:pPr>
        <w:autoSpaceDE w:val="0"/>
        <w:autoSpaceDN w:val="0"/>
        <w:adjustRightInd w:val="0"/>
        <w:spacing w:after="0" w:line="240" w:lineRule="auto"/>
        <w:ind w:left="720" w:hanging="360"/>
        <w:rPr>
          <w:rFonts w:asciiTheme="minorHAnsi" w:eastAsia="Times New Roman" w:hAnsiTheme="minorHAnsi"/>
          <w:sz w:val="24"/>
          <w:szCs w:val="24"/>
        </w:rPr>
      </w:pPr>
      <w:r w:rsidRPr="00664C39">
        <w:rPr>
          <w:rFonts w:asciiTheme="minorHAnsi" w:eastAsia="Times New Roman" w:hAnsiTheme="minorHAnsi"/>
          <w:sz w:val="24"/>
          <w:szCs w:val="24"/>
        </w:rPr>
        <w:t>•</w:t>
      </w:r>
      <w:r w:rsidRPr="00664C39">
        <w:rPr>
          <w:rFonts w:asciiTheme="minorHAnsi" w:eastAsia="Times New Roman" w:hAnsiTheme="minorHAnsi"/>
          <w:sz w:val="24"/>
          <w:szCs w:val="24"/>
        </w:rPr>
        <w:tab/>
        <w:t>Providing preventive and primary care services for infants, children, and adolescents;</w:t>
      </w:r>
    </w:p>
    <w:p w14:paraId="7262A7E4" w14:textId="77777777" w:rsidR="00166B33" w:rsidRPr="00664C39" w:rsidRDefault="00166B33" w:rsidP="00D623A6">
      <w:pPr>
        <w:autoSpaceDE w:val="0"/>
        <w:autoSpaceDN w:val="0"/>
        <w:adjustRightInd w:val="0"/>
        <w:spacing w:after="0" w:line="240" w:lineRule="auto"/>
        <w:ind w:left="720" w:hanging="360"/>
        <w:rPr>
          <w:rFonts w:asciiTheme="minorHAnsi" w:eastAsia="Times New Roman" w:hAnsiTheme="minorHAnsi"/>
          <w:sz w:val="24"/>
          <w:szCs w:val="24"/>
        </w:rPr>
      </w:pPr>
      <w:r w:rsidRPr="00664C39">
        <w:rPr>
          <w:rFonts w:asciiTheme="minorHAnsi" w:eastAsia="Times New Roman" w:hAnsiTheme="minorHAnsi"/>
          <w:sz w:val="24"/>
          <w:szCs w:val="24"/>
        </w:rPr>
        <w:t>•</w:t>
      </w:r>
      <w:r w:rsidRPr="00664C39">
        <w:rPr>
          <w:rFonts w:asciiTheme="minorHAnsi" w:eastAsia="Times New Roman" w:hAnsiTheme="minorHAnsi"/>
          <w:sz w:val="24"/>
          <w:szCs w:val="24"/>
        </w:rPr>
        <w:tab/>
        <w:t>Providing comprehensive care for children and adolescents with special health care needs;</w:t>
      </w:r>
    </w:p>
    <w:p w14:paraId="3656250E" w14:textId="77777777" w:rsidR="00166B33" w:rsidRPr="00664C39" w:rsidRDefault="00166B33" w:rsidP="00D623A6">
      <w:pPr>
        <w:autoSpaceDE w:val="0"/>
        <w:autoSpaceDN w:val="0"/>
        <w:adjustRightInd w:val="0"/>
        <w:spacing w:after="0" w:line="240" w:lineRule="auto"/>
        <w:ind w:left="720" w:hanging="360"/>
        <w:rPr>
          <w:rFonts w:asciiTheme="minorHAnsi" w:eastAsia="Times New Roman" w:hAnsiTheme="minorHAnsi"/>
          <w:sz w:val="24"/>
          <w:szCs w:val="24"/>
        </w:rPr>
      </w:pPr>
      <w:r w:rsidRPr="00664C39">
        <w:rPr>
          <w:rFonts w:asciiTheme="minorHAnsi" w:eastAsia="Times New Roman" w:hAnsiTheme="minorHAnsi"/>
          <w:sz w:val="24"/>
          <w:szCs w:val="24"/>
        </w:rPr>
        <w:t>•</w:t>
      </w:r>
      <w:r w:rsidRPr="00664C39">
        <w:rPr>
          <w:rFonts w:asciiTheme="minorHAnsi" w:eastAsia="Times New Roman" w:hAnsiTheme="minorHAnsi"/>
          <w:sz w:val="24"/>
          <w:szCs w:val="24"/>
        </w:rPr>
        <w:tab/>
        <w:t>Immunizing all children;</w:t>
      </w:r>
    </w:p>
    <w:p w14:paraId="0405BDB7" w14:textId="77777777" w:rsidR="00166B33" w:rsidRPr="00664C39" w:rsidRDefault="00166B33" w:rsidP="00D623A6">
      <w:pPr>
        <w:autoSpaceDE w:val="0"/>
        <w:autoSpaceDN w:val="0"/>
        <w:adjustRightInd w:val="0"/>
        <w:spacing w:after="0" w:line="240" w:lineRule="auto"/>
        <w:ind w:left="720" w:hanging="360"/>
        <w:rPr>
          <w:rFonts w:asciiTheme="minorHAnsi" w:eastAsia="Times New Roman" w:hAnsiTheme="minorHAnsi"/>
          <w:sz w:val="24"/>
          <w:szCs w:val="24"/>
        </w:rPr>
      </w:pPr>
      <w:r w:rsidRPr="00664C39">
        <w:rPr>
          <w:rFonts w:asciiTheme="minorHAnsi" w:eastAsia="Times New Roman" w:hAnsiTheme="minorHAnsi"/>
          <w:sz w:val="24"/>
          <w:szCs w:val="24"/>
        </w:rPr>
        <w:t>•</w:t>
      </w:r>
      <w:r w:rsidRPr="00664C39">
        <w:rPr>
          <w:rFonts w:asciiTheme="minorHAnsi" w:eastAsia="Times New Roman" w:hAnsiTheme="minorHAnsi"/>
          <w:sz w:val="24"/>
          <w:szCs w:val="24"/>
        </w:rPr>
        <w:tab/>
        <w:t>Reducing adolescent pregnancy;</w:t>
      </w:r>
    </w:p>
    <w:p w14:paraId="55C24CAA" w14:textId="77777777" w:rsidR="00166B33" w:rsidRPr="00664C39" w:rsidRDefault="00166B33" w:rsidP="00D623A6">
      <w:pPr>
        <w:autoSpaceDE w:val="0"/>
        <w:autoSpaceDN w:val="0"/>
        <w:adjustRightInd w:val="0"/>
        <w:spacing w:after="0" w:line="240" w:lineRule="auto"/>
        <w:ind w:left="720" w:hanging="360"/>
        <w:rPr>
          <w:rFonts w:asciiTheme="minorHAnsi" w:eastAsia="Times New Roman" w:hAnsiTheme="minorHAnsi"/>
          <w:sz w:val="24"/>
          <w:szCs w:val="24"/>
        </w:rPr>
      </w:pPr>
      <w:r w:rsidRPr="00664C39">
        <w:rPr>
          <w:rFonts w:asciiTheme="minorHAnsi" w:eastAsia="Times New Roman" w:hAnsiTheme="minorHAnsi"/>
          <w:sz w:val="24"/>
          <w:szCs w:val="24"/>
        </w:rPr>
        <w:t>•</w:t>
      </w:r>
      <w:r w:rsidRPr="00664C39">
        <w:rPr>
          <w:rFonts w:asciiTheme="minorHAnsi" w:eastAsia="Times New Roman" w:hAnsiTheme="minorHAnsi"/>
          <w:sz w:val="24"/>
          <w:szCs w:val="24"/>
        </w:rPr>
        <w:tab/>
        <w:t>Preventing injury and violence;</w:t>
      </w:r>
    </w:p>
    <w:p w14:paraId="27D7268B" w14:textId="569822A7" w:rsidR="00166B33" w:rsidRDefault="00166B33" w:rsidP="00D623A6">
      <w:pPr>
        <w:autoSpaceDE w:val="0"/>
        <w:autoSpaceDN w:val="0"/>
        <w:adjustRightInd w:val="0"/>
        <w:spacing w:after="0" w:line="240" w:lineRule="auto"/>
        <w:ind w:left="720" w:hanging="360"/>
        <w:rPr>
          <w:rFonts w:asciiTheme="minorHAnsi" w:eastAsia="Times New Roman" w:hAnsiTheme="minorHAnsi"/>
          <w:sz w:val="24"/>
          <w:szCs w:val="24"/>
        </w:rPr>
      </w:pPr>
      <w:r w:rsidRPr="00664C39">
        <w:rPr>
          <w:rFonts w:asciiTheme="minorHAnsi" w:eastAsia="Times New Roman" w:hAnsiTheme="minorHAnsi"/>
          <w:sz w:val="24"/>
          <w:szCs w:val="24"/>
        </w:rPr>
        <w:t>•</w:t>
      </w:r>
      <w:r w:rsidRPr="00664C39">
        <w:rPr>
          <w:rFonts w:asciiTheme="minorHAnsi" w:eastAsia="Times New Roman" w:hAnsiTheme="minorHAnsi"/>
          <w:sz w:val="24"/>
          <w:szCs w:val="24"/>
        </w:rPr>
        <w:tab/>
        <w:t>P</w:t>
      </w:r>
      <w:r w:rsidR="002A005E" w:rsidRPr="00664C39">
        <w:rPr>
          <w:rFonts w:asciiTheme="minorHAnsi" w:eastAsia="Times New Roman" w:hAnsiTheme="minorHAnsi"/>
          <w:sz w:val="24"/>
          <w:szCs w:val="24"/>
        </w:rPr>
        <w:t>utting into community practice n</w:t>
      </w:r>
      <w:r w:rsidRPr="00664C39">
        <w:rPr>
          <w:rFonts w:asciiTheme="minorHAnsi" w:eastAsia="Times New Roman" w:hAnsiTheme="minorHAnsi"/>
          <w:sz w:val="24"/>
          <w:szCs w:val="24"/>
        </w:rPr>
        <w:t>ational standards and guidelines for prenatal care, for healthy and safe childcare, and for the health supervision of infants, children, and adolescents;</w:t>
      </w:r>
    </w:p>
    <w:p w14:paraId="25765782" w14:textId="77777777" w:rsidR="007824CD" w:rsidRPr="00664C39" w:rsidRDefault="007824CD" w:rsidP="00D623A6">
      <w:pPr>
        <w:autoSpaceDE w:val="0"/>
        <w:autoSpaceDN w:val="0"/>
        <w:adjustRightInd w:val="0"/>
        <w:spacing w:after="0" w:line="240" w:lineRule="auto"/>
        <w:ind w:left="720" w:hanging="360"/>
        <w:rPr>
          <w:rFonts w:asciiTheme="minorHAnsi" w:eastAsia="Times New Roman" w:hAnsiTheme="minorHAnsi"/>
          <w:sz w:val="24"/>
          <w:szCs w:val="24"/>
        </w:rPr>
      </w:pPr>
    </w:p>
    <w:p w14:paraId="6D4D561F" w14:textId="77777777" w:rsidR="00166B33" w:rsidRPr="00664C39" w:rsidRDefault="00166B33" w:rsidP="00D623A6">
      <w:pPr>
        <w:autoSpaceDE w:val="0"/>
        <w:autoSpaceDN w:val="0"/>
        <w:adjustRightInd w:val="0"/>
        <w:spacing w:after="0" w:line="240" w:lineRule="auto"/>
        <w:ind w:left="720" w:hanging="360"/>
        <w:rPr>
          <w:rFonts w:asciiTheme="minorHAnsi" w:eastAsia="Times New Roman" w:hAnsiTheme="minorHAnsi"/>
          <w:sz w:val="24"/>
          <w:szCs w:val="24"/>
        </w:rPr>
      </w:pPr>
      <w:r w:rsidRPr="00664C39">
        <w:rPr>
          <w:rFonts w:asciiTheme="minorHAnsi" w:eastAsia="Times New Roman" w:hAnsiTheme="minorHAnsi"/>
          <w:sz w:val="24"/>
          <w:szCs w:val="24"/>
        </w:rPr>
        <w:t>•</w:t>
      </w:r>
      <w:r w:rsidRPr="00664C39">
        <w:rPr>
          <w:rFonts w:asciiTheme="minorHAnsi" w:eastAsia="Times New Roman" w:hAnsiTheme="minorHAnsi"/>
          <w:sz w:val="24"/>
          <w:szCs w:val="24"/>
        </w:rPr>
        <w:tab/>
        <w:t>Assuring access to care for all mothers and children; and</w:t>
      </w:r>
    </w:p>
    <w:p w14:paraId="20F7781A" w14:textId="77777777" w:rsidR="00166B33" w:rsidRPr="00664C39" w:rsidRDefault="00166B33" w:rsidP="00D623A6">
      <w:pPr>
        <w:autoSpaceDE w:val="0"/>
        <w:autoSpaceDN w:val="0"/>
        <w:adjustRightInd w:val="0"/>
        <w:spacing w:after="0" w:line="240" w:lineRule="auto"/>
        <w:ind w:left="720" w:hanging="360"/>
        <w:rPr>
          <w:rFonts w:asciiTheme="minorHAnsi" w:eastAsia="Times New Roman" w:hAnsiTheme="minorHAnsi"/>
          <w:sz w:val="24"/>
          <w:szCs w:val="24"/>
        </w:rPr>
      </w:pPr>
      <w:r w:rsidRPr="00664C39">
        <w:rPr>
          <w:rFonts w:asciiTheme="minorHAnsi" w:eastAsia="Times New Roman" w:hAnsiTheme="minorHAnsi"/>
          <w:sz w:val="24"/>
          <w:szCs w:val="24"/>
        </w:rPr>
        <w:t>•</w:t>
      </w:r>
      <w:r w:rsidRPr="00664C39">
        <w:rPr>
          <w:rFonts w:asciiTheme="minorHAnsi" w:eastAsia="Times New Roman" w:hAnsiTheme="minorHAnsi"/>
          <w:sz w:val="24"/>
          <w:szCs w:val="24"/>
        </w:rPr>
        <w:tab/>
        <w:t>Meeting the nutritional and developmental needs of mothers, children and families.</w:t>
      </w:r>
    </w:p>
    <w:p w14:paraId="50C75243" w14:textId="77777777" w:rsidR="00166B33" w:rsidRPr="00664C39" w:rsidRDefault="00166B33" w:rsidP="00415809">
      <w:pPr>
        <w:autoSpaceDE w:val="0"/>
        <w:autoSpaceDN w:val="0"/>
        <w:adjustRightInd w:val="0"/>
        <w:spacing w:after="0" w:line="240" w:lineRule="auto"/>
        <w:ind w:left="360"/>
        <w:rPr>
          <w:rFonts w:asciiTheme="minorHAnsi" w:eastAsia="Times New Roman" w:hAnsiTheme="minorHAnsi"/>
          <w:sz w:val="24"/>
          <w:szCs w:val="24"/>
        </w:rPr>
      </w:pPr>
    </w:p>
    <w:p w14:paraId="09ABC5DC" w14:textId="77777777" w:rsidR="00B42517" w:rsidRPr="00664C39" w:rsidRDefault="00166B33" w:rsidP="00C666D8">
      <w:pPr>
        <w:autoSpaceDE w:val="0"/>
        <w:autoSpaceDN w:val="0"/>
        <w:adjustRightInd w:val="0"/>
        <w:spacing w:after="0" w:line="240" w:lineRule="auto"/>
        <w:ind w:left="360"/>
        <w:rPr>
          <w:rFonts w:asciiTheme="minorHAnsi" w:eastAsia="Times New Roman" w:hAnsiTheme="minorHAnsi"/>
          <w:sz w:val="24"/>
          <w:szCs w:val="24"/>
        </w:rPr>
      </w:pPr>
      <w:r w:rsidRPr="00664C39">
        <w:rPr>
          <w:rFonts w:asciiTheme="minorHAnsi" w:eastAsia="Times New Roman" w:hAnsiTheme="minorHAnsi"/>
          <w:sz w:val="24"/>
          <w:szCs w:val="24"/>
        </w:rPr>
        <w:t>Under Title V, MCHB also administers two types of Federal Discretionary Grants, Special Projects of Regional and National Significance (SPRANS)</w:t>
      </w:r>
      <w:r w:rsidR="003763F3" w:rsidRPr="00664C39">
        <w:rPr>
          <w:rFonts w:asciiTheme="minorHAnsi" w:eastAsia="Times New Roman" w:hAnsiTheme="minorHAnsi"/>
          <w:sz w:val="24"/>
          <w:szCs w:val="24"/>
        </w:rPr>
        <w:t xml:space="preserve"> and Community Integrated Service Systems (CISS) grants.  </w:t>
      </w:r>
      <w:r w:rsidR="00D623A6" w:rsidRPr="00664C39">
        <w:rPr>
          <w:rFonts w:asciiTheme="minorHAnsi" w:eastAsia="Times New Roman" w:hAnsiTheme="minorHAnsi"/>
          <w:sz w:val="24"/>
          <w:szCs w:val="24"/>
        </w:rPr>
        <w:t xml:space="preserve">SPRANS funds projects (through grants, contracts, and other mechanisms) in research, training, genetic services and newborn screening/follow-up, sickle cell disease, hemophilia, and </w:t>
      </w:r>
      <w:r w:rsidR="00821C2A" w:rsidRPr="00664C39">
        <w:rPr>
          <w:rFonts w:asciiTheme="minorHAnsi" w:eastAsia="Times New Roman" w:hAnsiTheme="minorHAnsi"/>
          <w:sz w:val="24"/>
          <w:szCs w:val="24"/>
        </w:rPr>
        <w:t>MCH</w:t>
      </w:r>
      <w:r w:rsidR="00D623A6" w:rsidRPr="00664C39">
        <w:rPr>
          <w:rFonts w:asciiTheme="minorHAnsi" w:eastAsia="Times New Roman" w:hAnsiTheme="minorHAnsi"/>
          <w:sz w:val="24"/>
          <w:szCs w:val="24"/>
        </w:rPr>
        <w:t xml:space="preserve"> improvement.  CISS projects (through grants, contracts, and other mechanisms) seek to increase the capacity for service delivery at the local level and to foster formation of comprehensive, integrated, community level service systems for mothers and children</w:t>
      </w:r>
      <w:r w:rsidR="001F6AAD" w:rsidRPr="00664C39">
        <w:rPr>
          <w:rFonts w:asciiTheme="minorHAnsi" w:eastAsia="Times New Roman" w:hAnsiTheme="minorHAnsi"/>
          <w:sz w:val="24"/>
          <w:szCs w:val="24"/>
        </w:rPr>
        <w:t>.</w:t>
      </w:r>
    </w:p>
    <w:p w14:paraId="1DD24385" w14:textId="77777777" w:rsidR="00D623A6" w:rsidRPr="00664C39" w:rsidRDefault="00D623A6" w:rsidP="00415809">
      <w:pPr>
        <w:autoSpaceDE w:val="0"/>
        <w:autoSpaceDN w:val="0"/>
        <w:adjustRightInd w:val="0"/>
        <w:spacing w:after="0" w:line="240" w:lineRule="auto"/>
        <w:ind w:left="360"/>
        <w:rPr>
          <w:rFonts w:asciiTheme="minorHAnsi" w:eastAsia="Times New Roman" w:hAnsiTheme="minorHAnsi"/>
          <w:sz w:val="24"/>
          <w:szCs w:val="24"/>
        </w:rPr>
      </w:pPr>
    </w:p>
    <w:p w14:paraId="2674FA71" w14:textId="77777777" w:rsidR="00D77684" w:rsidRPr="00664C39" w:rsidRDefault="00D623A6" w:rsidP="00D77684">
      <w:pPr>
        <w:widowControl w:val="0"/>
        <w:autoSpaceDE w:val="0"/>
        <w:autoSpaceDN w:val="0"/>
        <w:adjustRightInd w:val="0"/>
        <w:spacing w:after="0" w:line="240" w:lineRule="auto"/>
        <w:ind w:left="360"/>
        <w:rPr>
          <w:rFonts w:asciiTheme="minorHAnsi" w:eastAsia="Times New Roman" w:hAnsiTheme="minorHAnsi"/>
          <w:sz w:val="24"/>
          <w:szCs w:val="24"/>
        </w:rPr>
      </w:pPr>
      <w:r w:rsidRPr="00664C39">
        <w:rPr>
          <w:rFonts w:asciiTheme="minorHAnsi" w:eastAsia="Times New Roman" w:hAnsiTheme="minorHAnsi"/>
          <w:sz w:val="24"/>
          <w:szCs w:val="24"/>
        </w:rPr>
        <w:t xml:space="preserve">In addition to SPRANS and CISS grants, the </w:t>
      </w:r>
      <w:r w:rsidR="00D77684" w:rsidRPr="00664C39">
        <w:rPr>
          <w:rFonts w:asciiTheme="minorHAnsi" w:eastAsia="Times New Roman" w:hAnsiTheme="minorHAnsi"/>
          <w:sz w:val="24"/>
          <w:szCs w:val="24"/>
        </w:rPr>
        <w:t>MCHB also administers the following categorical programs:</w:t>
      </w:r>
    </w:p>
    <w:p w14:paraId="70B89292" w14:textId="77777777" w:rsidR="00D623A6" w:rsidRPr="00664C39" w:rsidRDefault="00D623A6" w:rsidP="00D77684">
      <w:pPr>
        <w:widowControl w:val="0"/>
        <w:autoSpaceDE w:val="0"/>
        <w:autoSpaceDN w:val="0"/>
        <w:adjustRightInd w:val="0"/>
        <w:spacing w:after="0" w:line="240" w:lineRule="auto"/>
        <w:ind w:left="360"/>
        <w:rPr>
          <w:rFonts w:asciiTheme="minorHAnsi" w:eastAsia="Times New Roman" w:hAnsiTheme="minorHAnsi"/>
          <w:sz w:val="24"/>
          <w:szCs w:val="24"/>
        </w:rPr>
      </w:pPr>
    </w:p>
    <w:p w14:paraId="73DBDCDA" w14:textId="77777777" w:rsidR="00D77684" w:rsidRPr="00664C39" w:rsidRDefault="00D77684" w:rsidP="00752FD0">
      <w:pPr>
        <w:widowControl w:val="0"/>
        <w:autoSpaceDE w:val="0"/>
        <w:autoSpaceDN w:val="0"/>
        <w:adjustRightInd w:val="0"/>
        <w:spacing w:after="0" w:line="240" w:lineRule="auto"/>
        <w:ind w:left="720" w:hanging="360"/>
        <w:rPr>
          <w:rFonts w:asciiTheme="minorHAnsi" w:eastAsia="Times New Roman" w:hAnsiTheme="minorHAnsi"/>
          <w:sz w:val="24"/>
          <w:szCs w:val="24"/>
        </w:rPr>
      </w:pPr>
      <w:r w:rsidRPr="00664C39">
        <w:rPr>
          <w:rFonts w:asciiTheme="minorHAnsi" w:eastAsia="Times New Roman" w:hAnsiTheme="minorHAnsi"/>
          <w:sz w:val="24"/>
          <w:szCs w:val="24"/>
        </w:rPr>
        <w:t>•</w:t>
      </w:r>
      <w:r w:rsidRPr="00664C39">
        <w:rPr>
          <w:rFonts w:asciiTheme="minorHAnsi" w:eastAsia="Times New Roman" w:hAnsiTheme="minorHAnsi"/>
          <w:sz w:val="24"/>
          <w:szCs w:val="24"/>
        </w:rPr>
        <w:tab/>
        <w:t>Emergency Medical Services for Children;</w:t>
      </w:r>
    </w:p>
    <w:p w14:paraId="2EA27B7E" w14:textId="122F5B2A" w:rsidR="00D77684" w:rsidRPr="00664C39" w:rsidRDefault="00D77684" w:rsidP="00752FD0">
      <w:pPr>
        <w:widowControl w:val="0"/>
        <w:autoSpaceDE w:val="0"/>
        <w:autoSpaceDN w:val="0"/>
        <w:adjustRightInd w:val="0"/>
        <w:spacing w:after="0" w:line="240" w:lineRule="auto"/>
        <w:ind w:left="720" w:hanging="360"/>
        <w:rPr>
          <w:rFonts w:asciiTheme="minorHAnsi" w:eastAsia="Times New Roman" w:hAnsiTheme="minorHAnsi"/>
          <w:sz w:val="24"/>
          <w:szCs w:val="24"/>
        </w:rPr>
      </w:pPr>
      <w:r w:rsidRPr="00664C39">
        <w:rPr>
          <w:rFonts w:asciiTheme="minorHAnsi" w:eastAsia="Times New Roman" w:hAnsiTheme="minorHAnsi"/>
          <w:sz w:val="24"/>
          <w:szCs w:val="24"/>
        </w:rPr>
        <w:t>•</w:t>
      </w:r>
      <w:r w:rsidRPr="00664C39">
        <w:rPr>
          <w:rFonts w:asciiTheme="minorHAnsi" w:eastAsia="Times New Roman" w:hAnsiTheme="minorHAnsi"/>
          <w:sz w:val="24"/>
          <w:szCs w:val="24"/>
        </w:rPr>
        <w:tab/>
      </w:r>
      <w:r w:rsidR="00A7098C" w:rsidRPr="00664C39">
        <w:rPr>
          <w:rFonts w:asciiTheme="minorHAnsi" w:eastAsia="Times New Roman" w:hAnsiTheme="minorHAnsi"/>
          <w:sz w:val="24"/>
          <w:szCs w:val="24"/>
        </w:rPr>
        <w:t>Sickle Cell Disease Treatment Demonstration Program</w:t>
      </w:r>
      <w:r w:rsidRPr="00664C39">
        <w:rPr>
          <w:rFonts w:asciiTheme="minorHAnsi" w:eastAsia="Times New Roman" w:hAnsiTheme="minorHAnsi"/>
          <w:sz w:val="24"/>
          <w:szCs w:val="24"/>
        </w:rPr>
        <w:t>;</w:t>
      </w:r>
    </w:p>
    <w:p w14:paraId="02368191" w14:textId="77777777" w:rsidR="00D77684" w:rsidRPr="00664C39" w:rsidRDefault="00D77684" w:rsidP="00752FD0">
      <w:pPr>
        <w:widowControl w:val="0"/>
        <w:autoSpaceDE w:val="0"/>
        <w:autoSpaceDN w:val="0"/>
        <w:adjustRightInd w:val="0"/>
        <w:spacing w:after="0" w:line="240" w:lineRule="auto"/>
        <w:ind w:left="720" w:hanging="360"/>
        <w:rPr>
          <w:rFonts w:asciiTheme="minorHAnsi" w:eastAsia="Times New Roman" w:hAnsiTheme="minorHAnsi"/>
          <w:sz w:val="24"/>
          <w:szCs w:val="24"/>
        </w:rPr>
      </w:pPr>
      <w:r w:rsidRPr="00664C39">
        <w:rPr>
          <w:rFonts w:asciiTheme="minorHAnsi" w:eastAsia="Times New Roman" w:hAnsiTheme="minorHAnsi"/>
          <w:sz w:val="24"/>
          <w:szCs w:val="24"/>
        </w:rPr>
        <w:t>•</w:t>
      </w:r>
      <w:r w:rsidRPr="00664C39">
        <w:rPr>
          <w:rFonts w:asciiTheme="minorHAnsi" w:eastAsia="Times New Roman" w:hAnsiTheme="minorHAnsi"/>
          <w:sz w:val="24"/>
          <w:szCs w:val="24"/>
        </w:rPr>
        <w:tab/>
        <w:t xml:space="preserve">Healthy Start Initiative; </w:t>
      </w:r>
    </w:p>
    <w:p w14:paraId="49B6CBF3" w14:textId="658365A6" w:rsidR="00827325" w:rsidRPr="00664C39" w:rsidRDefault="00D77684" w:rsidP="00827325">
      <w:pPr>
        <w:widowControl w:val="0"/>
        <w:autoSpaceDE w:val="0"/>
        <w:autoSpaceDN w:val="0"/>
        <w:adjustRightInd w:val="0"/>
        <w:spacing w:after="0" w:line="240" w:lineRule="auto"/>
        <w:ind w:left="720" w:hanging="360"/>
        <w:rPr>
          <w:rFonts w:asciiTheme="minorHAnsi" w:eastAsia="Times New Roman" w:hAnsiTheme="minorHAnsi"/>
          <w:sz w:val="24"/>
          <w:szCs w:val="24"/>
        </w:rPr>
      </w:pPr>
      <w:r w:rsidRPr="00664C39">
        <w:rPr>
          <w:rFonts w:asciiTheme="minorHAnsi" w:eastAsia="Times New Roman" w:hAnsiTheme="minorHAnsi"/>
          <w:sz w:val="24"/>
          <w:szCs w:val="24"/>
        </w:rPr>
        <w:t>•</w:t>
      </w:r>
      <w:r w:rsidRPr="00664C39">
        <w:rPr>
          <w:rFonts w:asciiTheme="minorHAnsi" w:eastAsia="Times New Roman" w:hAnsiTheme="minorHAnsi"/>
          <w:sz w:val="24"/>
          <w:szCs w:val="24"/>
        </w:rPr>
        <w:tab/>
        <w:t>Universal Newborn Hearing Screening</w:t>
      </w:r>
      <w:r w:rsidR="00752FD0" w:rsidRPr="00664C39">
        <w:rPr>
          <w:rFonts w:asciiTheme="minorHAnsi" w:eastAsia="Times New Roman" w:hAnsiTheme="minorHAnsi"/>
          <w:sz w:val="24"/>
          <w:szCs w:val="24"/>
        </w:rPr>
        <w:t>;</w:t>
      </w:r>
    </w:p>
    <w:p w14:paraId="626CC99D" w14:textId="0A16C692" w:rsidR="00827325" w:rsidRPr="00664C39" w:rsidRDefault="00827325" w:rsidP="00827325">
      <w:pPr>
        <w:pStyle w:val="ListParagraph"/>
        <w:widowControl w:val="0"/>
        <w:numPr>
          <w:ilvl w:val="0"/>
          <w:numId w:val="46"/>
        </w:numPr>
        <w:tabs>
          <w:tab w:val="left" w:pos="720"/>
        </w:tabs>
        <w:autoSpaceDE w:val="0"/>
        <w:autoSpaceDN w:val="0"/>
        <w:adjustRightInd w:val="0"/>
        <w:ind w:left="810" w:hanging="450"/>
        <w:rPr>
          <w:rFonts w:asciiTheme="minorHAnsi" w:hAnsiTheme="minorHAnsi"/>
        </w:rPr>
      </w:pPr>
      <w:r w:rsidRPr="00664C39">
        <w:rPr>
          <w:rFonts w:asciiTheme="minorHAnsi" w:hAnsiTheme="minorHAnsi"/>
        </w:rPr>
        <w:t>Heritable Disorder Program</w:t>
      </w:r>
    </w:p>
    <w:p w14:paraId="6111D544" w14:textId="385211C6" w:rsidR="00752FD0" w:rsidRPr="00664C39" w:rsidRDefault="00D77684" w:rsidP="009F6CF6">
      <w:pPr>
        <w:widowControl w:val="0"/>
        <w:autoSpaceDE w:val="0"/>
        <w:autoSpaceDN w:val="0"/>
        <w:adjustRightInd w:val="0"/>
        <w:spacing w:after="0" w:line="240" w:lineRule="auto"/>
        <w:ind w:left="360"/>
        <w:rPr>
          <w:rFonts w:asciiTheme="minorHAnsi" w:eastAsia="Times New Roman" w:hAnsiTheme="minorHAnsi"/>
          <w:sz w:val="24"/>
          <w:szCs w:val="24"/>
        </w:rPr>
      </w:pPr>
      <w:r w:rsidRPr="00664C39">
        <w:rPr>
          <w:rFonts w:asciiTheme="minorHAnsi" w:eastAsia="Times New Roman" w:hAnsiTheme="minorHAnsi"/>
          <w:sz w:val="24"/>
          <w:szCs w:val="24"/>
        </w:rPr>
        <w:t xml:space="preserve"> •</w:t>
      </w:r>
      <w:r w:rsidRPr="00664C39">
        <w:rPr>
          <w:rFonts w:asciiTheme="minorHAnsi" w:eastAsia="Times New Roman" w:hAnsiTheme="minorHAnsi"/>
          <w:sz w:val="24"/>
          <w:szCs w:val="24"/>
        </w:rPr>
        <w:tab/>
        <w:t xml:space="preserve">Autism; </w:t>
      </w:r>
    </w:p>
    <w:p w14:paraId="042F7D4E" w14:textId="6F2E795C" w:rsidR="00D77684" w:rsidRPr="00664C39" w:rsidRDefault="00D77684" w:rsidP="00752FD0">
      <w:pPr>
        <w:widowControl w:val="0"/>
        <w:autoSpaceDE w:val="0"/>
        <w:autoSpaceDN w:val="0"/>
        <w:adjustRightInd w:val="0"/>
        <w:spacing w:after="0" w:line="240" w:lineRule="auto"/>
        <w:ind w:left="720" w:hanging="360"/>
        <w:rPr>
          <w:rFonts w:asciiTheme="minorHAnsi" w:eastAsia="Times New Roman" w:hAnsiTheme="minorHAnsi"/>
          <w:sz w:val="24"/>
          <w:szCs w:val="24"/>
        </w:rPr>
      </w:pPr>
      <w:r w:rsidRPr="00664C39">
        <w:rPr>
          <w:rFonts w:asciiTheme="minorHAnsi" w:eastAsia="Times New Roman" w:hAnsiTheme="minorHAnsi"/>
          <w:sz w:val="24"/>
          <w:szCs w:val="24"/>
        </w:rPr>
        <w:t>•</w:t>
      </w:r>
      <w:r w:rsidRPr="00664C39">
        <w:rPr>
          <w:rFonts w:asciiTheme="minorHAnsi" w:eastAsia="Times New Roman" w:hAnsiTheme="minorHAnsi"/>
          <w:sz w:val="24"/>
          <w:szCs w:val="24"/>
        </w:rPr>
        <w:tab/>
      </w:r>
      <w:r w:rsidR="000F4273">
        <w:rPr>
          <w:rFonts w:asciiTheme="minorHAnsi" w:eastAsia="Times New Roman" w:hAnsiTheme="minorHAnsi"/>
          <w:sz w:val="24"/>
          <w:szCs w:val="24"/>
        </w:rPr>
        <w:t xml:space="preserve">Maternal, Infant, and Early Childhood </w:t>
      </w:r>
      <w:r w:rsidRPr="00664C39">
        <w:rPr>
          <w:rFonts w:asciiTheme="minorHAnsi" w:eastAsia="Times New Roman" w:hAnsiTheme="minorHAnsi"/>
          <w:sz w:val="24"/>
          <w:szCs w:val="24"/>
        </w:rPr>
        <w:t>Home Visiting Program</w:t>
      </w:r>
      <w:r w:rsidR="00827325" w:rsidRPr="00664C39">
        <w:rPr>
          <w:rFonts w:asciiTheme="minorHAnsi" w:eastAsia="Times New Roman" w:hAnsiTheme="minorHAnsi"/>
          <w:sz w:val="24"/>
          <w:szCs w:val="24"/>
        </w:rPr>
        <w:t>; and</w:t>
      </w:r>
    </w:p>
    <w:p w14:paraId="7896466D" w14:textId="0C60671F" w:rsidR="00827325" w:rsidRPr="00664C39" w:rsidRDefault="00827325" w:rsidP="00827325">
      <w:pPr>
        <w:pStyle w:val="ListParagraph"/>
        <w:widowControl w:val="0"/>
        <w:numPr>
          <w:ilvl w:val="0"/>
          <w:numId w:val="46"/>
        </w:numPr>
        <w:autoSpaceDE w:val="0"/>
        <w:autoSpaceDN w:val="0"/>
        <w:adjustRightInd w:val="0"/>
        <w:ind w:left="720"/>
        <w:rPr>
          <w:rFonts w:asciiTheme="minorHAnsi" w:hAnsiTheme="minorHAnsi"/>
        </w:rPr>
      </w:pPr>
      <w:r w:rsidRPr="00664C39">
        <w:rPr>
          <w:rFonts w:asciiTheme="minorHAnsi" w:hAnsiTheme="minorHAnsi"/>
        </w:rPr>
        <w:t xml:space="preserve">Family to </w:t>
      </w:r>
      <w:r w:rsidR="00824AE7" w:rsidRPr="00664C39">
        <w:rPr>
          <w:rFonts w:asciiTheme="minorHAnsi" w:hAnsiTheme="minorHAnsi"/>
        </w:rPr>
        <w:t>F</w:t>
      </w:r>
      <w:r w:rsidRPr="00664C39">
        <w:rPr>
          <w:rFonts w:asciiTheme="minorHAnsi" w:hAnsiTheme="minorHAnsi"/>
        </w:rPr>
        <w:t>amily Health Information Centers</w:t>
      </w:r>
    </w:p>
    <w:p w14:paraId="409FE415" w14:textId="77777777" w:rsidR="00A7098C" w:rsidRPr="00664C39" w:rsidRDefault="00A7098C" w:rsidP="00D77684">
      <w:pPr>
        <w:widowControl w:val="0"/>
        <w:autoSpaceDE w:val="0"/>
        <w:autoSpaceDN w:val="0"/>
        <w:adjustRightInd w:val="0"/>
        <w:spacing w:after="0" w:line="240" w:lineRule="auto"/>
        <w:ind w:left="360"/>
        <w:rPr>
          <w:rFonts w:asciiTheme="minorHAnsi" w:eastAsia="Times New Roman" w:hAnsiTheme="minorHAnsi"/>
          <w:sz w:val="24"/>
          <w:szCs w:val="24"/>
        </w:rPr>
      </w:pPr>
    </w:p>
    <w:p w14:paraId="2C5AA419" w14:textId="7FDF9D3B" w:rsidR="00D77684" w:rsidRPr="00664C39" w:rsidRDefault="001F6AAD" w:rsidP="00D77684">
      <w:pPr>
        <w:widowControl w:val="0"/>
        <w:autoSpaceDE w:val="0"/>
        <w:autoSpaceDN w:val="0"/>
        <w:adjustRightInd w:val="0"/>
        <w:spacing w:after="0" w:line="240" w:lineRule="auto"/>
        <w:ind w:left="360"/>
        <w:rPr>
          <w:rFonts w:asciiTheme="minorHAnsi" w:eastAsia="Times New Roman" w:hAnsiTheme="minorHAnsi"/>
          <w:sz w:val="24"/>
          <w:szCs w:val="24"/>
        </w:rPr>
      </w:pPr>
      <w:r w:rsidRPr="00664C39">
        <w:rPr>
          <w:rFonts w:asciiTheme="minorHAnsi" w:eastAsia="Times New Roman" w:hAnsiTheme="minorHAnsi"/>
          <w:sz w:val="24"/>
          <w:szCs w:val="24"/>
        </w:rPr>
        <w:t xml:space="preserve">In recent years, </w:t>
      </w:r>
      <w:r w:rsidR="00752FD0" w:rsidRPr="00664C39">
        <w:rPr>
          <w:rFonts w:asciiTheme="minorHAnsi" w:eastAsia="Times New Roman" w:hAnsiTheme="minorHAnsi"/>
          <w:sz w:val="24"/>
          <w:szCs w:val="24"/>
        </w:rPr>
        <w:t xml:space="preserve">some </w:t>
      </w:r>
      <w:r w:rsidR="00DC6BA0" w:rsidRPr="00664C39">
        <w:rPr>
          <w:rFonts w:asciiTheme="minorHAnsi" w:eastAsia="Times New Roman" w:hAnsiTheme="minorHAnsi"/>
          <w:sz w:val="24"/>
          <w:szCs w:val="24"/>
        </w:rPr>
        <w:t>s</w:t>
      </w:r>
      <w:r w:rsidR="00D77684" w:rsidRPr="00664C39">
        <w:rPr>
          <w:rFonts w:asciiTheme="minorHAnsi" w:eastAsia="Times New Roman" w:hAnsiTheme="minorHAnsi"/>
          <w:sz w:val="24"/>
          <w:szCs w:val="24"/>
        </w:rPr>
        <w:t>tate</w:t>
      </w:r>
      <w:r w:rsidRPr="00664C39">
        <w:rPr>
          <w:rFonts w:asciiTheme="minorHAnsi" w:eastAsia="Times New Roman" w:hAnsiTheme="minorHAnsi"/>
          <w:sz w:val="24"/>
          <w:szCs w:val="24"/>
        </w:rPr>
        <w:t xml:space="preserve"> Title V</w:t>
      </w:r>
      <w:r w:rsidR="007708B6" w:rsidRPr="00664C39">
        <w:rPr>
          <w:rFonts w:asciiTheme="minorHAnsi" w:eastAsia="Times New Roman" w:hAnsiTheme="minorHAnsi"/>
          <w:sz w:val="24"/>
          <w:szCs w:val="24"/>
        </w:rPr>
        <w:t xml:space="preserve"> </w:t>
      </w:r>
      <w:r w:rsidRPr="00664C39">
        <w:rPr>
          <w:rFonts w:asciiTheme="minorHAnsi" w:eastAsia="Times New Roman" w:hAnsiTheme="minorHAnsi"/>
          <w:sz w:val="24"/>
          <w:szCs w:val="24"/>
        </w:rPr>
        <w:t xml:space="preserve">programs </w:t>
      </w:r>
      <w:r w:rsidR="00D77684" w:rsidRPr="00664C39">
        <w:rPr>
          <w:rFonts w:asciiTheme="minorHAnsi" w:eastAsia="Times New Roman" w:hAnsiTheme="minorHAnsi"/>
          <w:sz w:val="24"/>
          <w:szCs w:val="24"/>
        </w:rPr>
        <w:t>have begun to utilize the life course model as an organizing framework for add</w:t>
      </w:r>
      <w:r w:rsidR="004D737C" w:rsidRPr="00664C39">
        <w:rPr>
          <w:rFonts w:asciiTheme="minorHAnsi" w:eastAsia="Times New Roman" w:hAnsiTheme="minorHAnsi"/>
          <w:sz w:val="24"/>
          <w:szCs w:val="24"/>
        </w:rPr>
        <w:t xml:space="preserve">ressing </w:t>
      </w:r>
      <w:r w:rsidR="007708B6" w:rsidRPr="00664C39">
        <w:rPr>
          <w:rFonts w:asciiTheme="minorHAnsi" w:eastAsia="Times New Roman" w:hAnsiTheme="minorHAnsi"/>
          <w:sz w:val="24"/>
          <w:szCs w:val="24"/>
        </w:rPr>
        <w:t xml:space="preserve">identified </w:t>
      </w:r>
      <w:r w:rsidR="004D737C" w:rsidRPr="00664C39">
        <w:rPr>
          <w:rFonts w:asciiTheme="minorHAnsi" w:eastAsia="Times New Roman" w:hAnsiTheme="minorHAnsi"/>
          <w:sz w:val="24"/>
          <w:szCs w:val="24"/>
        </w:rPr>
        <w:t>MCH needs</w:t>
      </w:r>
      <w:r w:rsidR="00D77684" w:rsidRPr="00664C39">
        <w:rPr>
          <w:rFonts w:asciiTheme="minorHAnsi" w:eastAsia="Times New Roman" w:hAnsiTheme="minorHAnsi"/>
          <w:sz w:val="24"/>
          <w:szCs w:val="24"/>
        </w:rPr>
        <w:t xml:space="preserve">.  The life course approach points to broad social, economic, and environmental factors as underlying contributors to health and social outcomes.  </w:t>
      </w:r>
      <w:r w:rsidR="004D737C" w:rsidRPr="00664C39">
        <w:rPr>
          <w:rFonts w:asciiTheme="minorHAnsi" w:eastAsia="Times New Roman" w:hAnsiTheme="minorHAnsi"/>
          <w:sz w:val="24"/>
          <w:szCs w:val="24"/>
        </w:rPr>
        <w:t xml:space="preserve">This approach </w:t>
      </w:r>
      <w:r w:rsidR="00D77684" w:rsidRPr="00664C39">
        <w:rPr>
          <w:rFonts w:asciiTheme="minorHAnsi" w:eastAsia="Times New Roman" w:hAnsiTheme="minorHAnsi"/>
          <w:sz w:val="24"/>
          <w:szCs w:val="24"/>
        </w:rPr>
        <w:t xml:space="preserve">also focuses on persistent inequalities in </w:t>
      </w:r>
      <w:r w:rsidR="004D737C" w:rsidRPr="00664C39">
        <w:rPr>
          <w:rFonts w:asciiTheme="minorHAnsi" w:eastAsia="Times New Roman" w:hAnsiTheme="minorHAnsi"/>
          <w:sz w:val="24"/>
          <w:szCs w:val="24"/>
        </w:rPr>
        <w:t xml:space="preserve">the </w:t>
      </w:r>
      <w:r w:rsidR="00D77684" w:rsidRPr="00664C39">
        <w:rPr>
          <w:rFonts w:asciiTheme="minorHAnsi" w:eastAsia="Times New Roman" w:hAnsiTheme="minorHAnsi"/>
          <w:sz w:val="24"/>
          <w:szCs w:val="24"/>
        </w:rPr>
        <w:t>health and well-being of individuals</w:t>
      </w:r>
      <w:r w:rsidR="004D737C" w:rsidRPr="00664C39">
        <w:rPr>
          <w:rFonts w:asciiTheme="minorHAnsi" w:eastAsia="Times New Roman" w:hAnsiTheme="minorHAnsi"/>
          <w:sz w:val="24"/>
          <w:szCs w:val="24"/>
        </w:rPr>
        <w:t xml:space="preserve"> and how th</w:t>
      </w:r>
      <w:r w:rsidR="00D77684" w:rsidRPr="00664C39">
        <w:rPr>
          <w:rFonts w:asciiTheme="minorHAnsi" w:eastAsia="Times New Roman" w:hAnsiTheme="minorHAnsi"/>
          <w:sz w:val="24"/>
          <w:szCs w:val="24"/>
        </w:rPr>
        <w:t xml:space="preserve">e interplay of risk and protective factors at critical points of time </w:t>
      </w:r>
      <w:r w:rsidR="007708B6" w:rsidRPr="00664C39">
        <w:rPr>
          <w:rFonts w:asciiTheme="minorHAnsi" w:eastAsia="Times New Roman" w:hAnsiTheme="minorHAnsi"/>
          <w:sz w:val="24"/>
          <w:szCs w:val="24"/>
        </w:rPr>
        <w:t xml:space="preserve">can </w:t>
      </w:r>
      <w:r w:rsidR="00D77684" w:rsidRPr="00664C39">
        <w:rPr>
          <w:rFonts w:asciiTheme="minorHAnsi" w:eastAsia="Times New Roman" w:hAnsiTheme="minorHAnsi"/>
          <w:sz w:val="24"/>
          <w:szCs w:val="24"/>
        </w:rPr>
        <w:t xml:space="preserve">influence </w:t>
      </w:r>
      <w:r w:rsidR="004D737C" w:rsidRPr="00664C39">
        <w:rPr>
          <w:rFonts w:asciiTheme="minorHAnsi" w:eastAsia="Times New Roman" w:hAnsiTheme="minorHAnsi"/>
          <w:sz w:val="24"/>
          <w:szCs w:val="24"/>
        </w:rPr>
        <w:t xml:space="preserve">an individual’s </w:t>
      </w:r>
      <w:r w:rsidR="00D77684" w:rsidRPr="00664C39">
        <w:rPr>
          <w:rFonts w:asciiTheme="minorHAnsi" w:eastAsia="Times New Roman" w:hAnsiTheme="minorHAnsi"/>
          <w:sz w:val="24"/>
          <w:szCs w:val="24"/>
        </w:rPr>
        <w:t xml:space="preserve">health </w:t>
      </w:r>
      <w:r w:rsidR="004D737C" w:rsidRPr="00664C39">
        <w:rPr>
          <w:rFonts w:asciiTheme="minorHAnsi" w:eastAsia="Times New Roman" w:hAnsiTheme="minorHAnsi"/>
          <w:sz w:val="24"/>
          <w:szCs w:val="24"/>
        </w:rPr>
        <w:t xml:space="preserve">across </w:t>
      </w:r>
      <w:r w:rsidR="007708B6" w:rsidRPr="00664C39">
        <w:rPr>
          <w:rFonts w:asciiTheme="minorHAnsi" w:eastAsia="Times New Roman" w:hAnsiTheme="minorHAnsi"/>
          <w:sz w:val="24"/>
          <w:szCs w:val="24"/>
        </w:rPr>
        <w:t>his/her</w:t>
      </w:r>
      <w:r w:rsidR="004D737C" w:rsidRPr="00664C39">
        <w:rPr>
          <w:rFonts w:asciiTheme="minorHAnsi" w:eastAsia="Times New Roman" w:hAnsiTheme="minorHAnsi"/>
          <w:sz w:val="24"/>
          <w:szCs w:val="24"/>
        </w:rPr>
        <w:t xml:space="preserve"> lifespan</w:t>
      </w:r>
      <w:r w:rsidR="007708B6" w:rsidRPr="00664C39">
        <w:rPr>
          <w:rFonts w:asciiTheme="minorHAnsi" w:eastAsia="Times New Roman" w:hAnsiTheme="minorHAnsi"/>
          <w:sz w:val="24"/>
          <w:szCs w:val="24"/>
        </w:rPr>
        <w:t xml:space="preserve"> and potentially across generations</w:t>
      </w:r>
      <w:r w:rsidR="004D737C" w:rsidRPr="00664C39">
        <w:rPr>
          <w:rFonts w:asciiTheme="minorHAnsi" w:eastAsia="Times New Roman" w:hAnsiTheme="minorHAnsi"/>
          <w:sz w:val="24"/>
          <w:szCs w:val="24"/>
        </w:rPr>
        <w:t>.</w:t>
      </w:r>
      <w:r w:rsidR="00D77684" w:rsidRPr="00664C39">
        <w:rPr>
          <w:rFonts w:asciiTheme="minorHAnsi" w:eastAsia="Times New Roman" w:hAnsiTheme="minorHAnsi"/>
          <w:sz w:val="24"/>
          <w:szCs w:val="24"/>
        </w:rPr>
        <w:t xml:space="preserve"> </w:t>
      </w:r>
    </w:p>
    <w:p w14:paraId="2C562D5F" w14:textId="77777777" w:rsidR="00166B33" w:rsidRPr="00664C39" w:rsidRDefault="00166B33" w:rsidP="003763F3">
      <w:pPr>
        <w:widowControl w:val="0"/>
        <w:autoSpaceDE w:val="0"/>
        <w:autoSpaceDN w:val="0"/>
        <w:adjustRightInd w:val="0"/>
        <w:spacing w:after="0" w:line="240" w:lineRule="auto"/>
        <w:rPr>
          <w:rFonts w:asciiTheme="minorHAnsi" w:eastAsia="Times New Roman" w:hAnsiTheme="minorHAnsi"/>
          <w:sz w:val="24"/>
          <w:szCs w:val="24"/>
        </w:rPr>
      </w:pPr>
    </w:p>
    <w:p w14:paraId="01176AA2" w14:textId="2881311D" w:rsidR="00166B33" w:rsidRPr="00664C39" w:rsidRDefault="00D77684" w:rsidP="00A63BF3">
      <w:pPr>
        <w:pStyle w:val="ListParagraph"/>
        <w:widowControl w:val="0"/>
        <w:numPr>
          <w:ilvl w:val="1"/>
          <w:numId w:val="23"/>
        </w:numPr>
        <w:tabs>
          <w:tab w:val="clear" w:pos="1440"/>
        </w:tabs>
        <w:autoSpaceDE w:val="0"/>
        <w:autoSpaceDN w:val="0"/>
        <w:adjustRightInd w:val="0"/>
        <w:ind w:left="360" w:hanging="360"/>
        <w:rPr>
          <w:rFonts w:asciiTheme="minorHAnsi" w:hAnsiTheme="minorHAnsi"/>
          <w:b/>
        </w:rPr>
      </w:pPr>
      <w:r w:rsidRPr="00664C39">
        <w:rPr>
          <w:rFonts w:asciiTheme="minorHAnsi" w:hAnsiTheme="minorHAnsi"/>
        </w:rPr>
        <w:t xml:space="preserve"> </w:t>
      </w:r>
      <w:r w:rsidR="00A63BF3" w:rsidRPr="00664C39">
        <w:rPr>
          <w:rFonts w:asciiTheme="minorHAnsi" w:hAnsiTheme="minorHAnsi"/>
          <w:b/>
        </w:rPr>
        <w:t xml:space="preserve">Maternal and Child Health Block Grant </w:t>
      </w:r>
      <w:r w:rsidR="00253990">
        <w:rPr>
          <w:rFonts w:asciiTheme="minorHAnsi" w:hAnsiTheme="minorHAnsi"/>
          <w:b/>
        </w:rPr>
        <w:t>(State Formula Grants)</w:t>
      </w:r>
    </w:p>
    <w:p w14:paraId="7A628983" w14:textId="77777777" w:rsidR="00A63BF3" w:rsidRPr="00664C39" w:rsidRDefault="00A63BF3" w:rsidP="003763F3">
      <w:pPr>
        <w:pStyle w:val="ListParagraph"/>
        <w:widowControl w:val="0"/>
        <w:autoSpaceDE w:val="0"/>
        <w:autoSpaceDN w:val="0"/>
        <w:adjustRightInd w:val="0"/>
        <w:ind w:left="360"/>
        <w:rPr>
          <w:rFonts w:asciiTheme="minorHAnsi" w:hAnsiTheme="minorHAnsi"/>
        </w:rPr>
      </w:pPr>
    </w:p>
    <w:p w14:paraId="31425D6E" w14:textId="77777777" w:rsidR="00A302A2" w:rsidRPr="00664C39" w:rsidRDefault="00E2659A" w:rsidP="00D874B0">
      <w:pPr>
        <w:widowControl w:val="0"/>
        <w:autoSpaceDE w:val="0"/>
        <w:autoSpaceDN w:val="0"/>
        <w:adjustRightInd w:val="0"/>
        <w:spacing w:after="0" w:line="240" w:lineRule="auto"/>
        <w:ind w:left="360"/>
        <w:rPr>
          <w:rFonts w:asciiTheme="minorHAnsi" w:eastAsia="Times New Roman" w:hAnsiTheme="minorHAnsi"/>
          <w:sz w:val="24"/>
          <w:szCs w:val="24"/>
        </w:rPr>
      </w:pPr>
      <w:r w:rsidRPr="00664C39">
        <w:rPr>
          <w:rFonts w:asciiTheme="minorHAnsi" w:eastAsia="Times New Roman" w:hAnsiTheme="minorHAnsi"/>
          <w:sz w:val="24"/>
          <w:szCs w:val="24"/>
        </w:rPr>
        <w:t>Since its original authorization in 1935, Title V of the Social Security Act has been amended several t</w:t>
      </w:r>
      <w:r w:rsidR="00A302A2" w:rsidRPr="00664C39">
        <w:rPr>
          <w:rFonts w:asciiTheme="minorHAnsi" w:eastAsia="Times New Roman" w:hAnsiTheme="minorHAnsi"/>
          <w:sz w:val="24"/>
          <w:szCs w:val="24"/>
        </w:rPr>
        <w:t>imes to reflect the increasing n</w:t>
      </w:r>
      <w:r w:rsidRPr="00664C39">
        <w:rPr>
          <w:rFonts w:asciiTheme="minorHAnsi" w:eastAsia="Times New Roman" w:hAnsiTheme="minorHAnsi"/>
          <w:sz w:val="24"/>
          <w:szCs w:val="24"/>
        </w:rPr>
        <w:t xml:space="preserve">ational interest in maternal and child health and well-being.  One of the first changes occurred when Title V </w:t>
      </w:r>
      <w:r w:rsidR="00075EAF" w:rsidRPr="00664C39">
        <w:rPr>
          <w:rFonts w:asciiTheme="minorHAnsi" w:eastAsia="Times New Roman" w:hAnsiTheme="minorHAnsi"/>
          <w:sz w:val="24"/>
          <w:szCs w:val="24"/>
        </w:rPr>
        <w:t xml:space="preserve">was </w:t>
      </w:r>
      <w:r w:rsidRPr="00664C39">
        <w:rPr>
          <w:rFonts w:asciiTheme="minorHAnsi" w:eastAsia="Times New Roman" w:hAnsiTheme="minorHAnsi"/>
          <w:sz w:val="24"/>
          <w:szCs w:val="24"/>
        </w:rPr>
        <w:t xml:space="preserve">converted to a block grant program as part of the Omnibus Budget Reconciliation Act (OBRA) of 1981.  This change resulted in the consolidation of seven categorical programs into a single block grant.  These programs included: </w:t>
      </w:r>
    </w:p>
    <w:p w14:paraId="5A07071F" w14:textId="77777777" w:rsidR="00D874B0" w:rsidRPr="00664C39" w:rsidRDefault="00D874B0" w:rsidP="00D874B0">
      <w:pPr>
        <w:widowControl w:val="0"/>
        <w:autoSpaceDE w:val="0"/>
        <w:autoSpaceDN w:val="0"/>
        <w:adjustRightInd w:val="0"/>
        <w:spacing w:after="0" w:line="240" w:lineRule="auto"/>
        <w:ind w:left="360"/>
        <w:rPr>
          <w:rFonts w:asciiTheme="minorHAnsi" w:eastAsia="Times New Roman" w:hAnsiTheme="minorHAnsi"/>
          <w:sz w:val="24"/>
          <w:szCs w:val="24"/>
        </w:rPr>
      </w:pPr>
    </w:p>
    <w:p w14:paraId="24315F62" w14:textId="6EAF5677" w:rsidR="00D874B0" w:rsidRPr="007824CD" w:rsidRDefault="00A302A2" w:rsidP="007824CD">
      <w:pPr>
        <w:pStyle w:val="ListParagraph"/>
        <w:widowControl w:val="0"/>
        <w:numPr>
          <w:ilvl w:val="0"/>
          <w:numId w:val="24"/>
        </w:numPr>
        <w:autoSpaceDE w:val="0"/>
        <w:autoSpaceDN w:val="0"/>
        <w:adjustRightInd w:val="0"/>
        <w:ind w:left="720"/>
        <w:rPr>
          <w:rFonts w:asciiTheme="minorHAnsi" w:hAnsiTheme="minorHAnsi"/>
        </w:rPr>
      </w:pPr>
      <w:r w:rsidRPr="00664C39">
        <w:rPr>
          <w:rFonts w:asciiTheme="minorHAnsi" w:hAnsiTheme="minorHAnsi"/>
        </w:rPr>
        <w:t>Maternal and Child Health and S</w:t>
      </w:r>
      <w:r w:rsidR="00E2659A" w:rsidRPr="00664C39">
        <w:rPr>
          <w:rFonts w:asciiTheme="minorHAnsi" w:hAnsiTheme="minorHAnsi"/>
        </w:rPr>
        <w:t>ervices for Children</w:t>
      </w:r>
      <w:r w:rsidR="00DE5BD3">
        <w:rPr>
          <w:rFonts w:asciiTheme="minorHAnsi" w:hAnsiTheme="minorHAnsi"/>
        </w:rPr>
        <w:t xml:space="preserve"> with Special Health Care Needs</w:t>
      </w:r>
      <w:r w:rsidR="00E2659A" w:rsidRPr="00664C39">
        <w:rPr>
          <w:rFonts w:asciiTheme="minorHAnsi" w:hAnsiTheme="minorHAnsi"/>
        </w:rPr>
        <w:t xml:space="preserve">; </w:t>
      </w:r>
    </w:p>
    <w:p w14:paraId="3EB60AFB" w14:textId="11A274BF" w:rsidR="00722D80" w:rsidRDefault="00A302A2" w:rsidP="007824CD">
      <w:pPr>
        <w:pStyle w:val="ListParagraph"/>
        <w:widowControl w:val="0"/>
        <w:numPr>
          <w:ilvl w:val="0"/>
          <w:numId w:val="24"/>
        </w:numPr>
        <w:autoSpaceDE w:val="0"/>
        <w:autoSpaceDN w:val="0"/>
        <w:adjustRightInd w:val="0"/>
        <w:ind w:left="720"/>
        <w:rPr>
          <w:rFonts w:asciiTheme="minorHAnsi" w:hAnsiTheme="minorHAnsi"/>
        </w:rPr>
      </w:pPr>
      <w:r w:rsidRPr="00664C39">
        <w:rPr>
          <w:rFonts w:asciiTheme="minorHAnsi" w:hAnsiTheme="minorHAnsi"/>
        </w:rPr>
        <w:t>Supplemental S</w:t>
      </w:r>
      <w:r w:rsidR="00E2659A" w:rsidRPr="00664C39">
        <w:rPr>
          <w:rFonts w:asciiTheme="minorHAnsi" w:hAnsiTheme="minorHAnsi"/>
        </w:rPr>
        <w:t xml:space="preserve">ecurity </w:t>
      </w:r>
      <w:r w:rsidRPr="00664C39">
        <w:rPr>
          <w:rFonts w:asciiTheme="minorHAnsi" w:hAnsiTheme="minorHAnsi"/>
        </w:rPr>
        <w:t>I</w:t>
      </w:r>
      <w:r w:rsidR="00E2659A" w:rsidRPr="00664C39">
        <w:rPr>
          <w:rFonts w:asciiTheme="minorHAnsi" w:hAnsiTheme="minorHAnsi"/>
        </w:rPr>
        <w:t>ncome</w:t>
      </w:r>
      <w:r w:rsidR="00DE5BD3">
        <w:rPr>
          <w:rFonts w:asciiTheme="minorHAnsi" w:hAnsiTheme="minorHAnsi"/>
        </w:rPr>
        <w:t xml:space="preserve"> for children with disabilities</w:t>
      </w:r>
      <w:r w:rsidR="00E2659A" w:rsidRPr="00664C39">
        <w:rPr>
          <w:rFonts w:asciiTheme="minorHAnsi" w:hAnsiTheme="minorHAnsi"/>
        </w:rPr>
        <w:t xml:space="preserve">; </w:t>
      </w:r>
    </w:p>
    <w:p w14:paraId="0EAD6E5C" w14:textId="12D2319E" w:rsidR="000C3875" w:rsidRPr="00664C39" w:rsidRDefault="00A302A2" w:rsidP="00075EAF">
      <w:pPr>
        <w:pStyle w:val="ListParagraph"/>
        <w:widowControl w:val="0"/>
        <w:numPr>
          <w:ilvl w:val="0"/>
          <w:numId w:val="24"/>
        </w:numPr>
        <w:autoSpaceDE w:val="0"/>
        <w:autoSpaceDN w:val="0"/>
        <w:adjustRightInd w:val="0"/>
        <w:ind w:left="720"/>
        <w:rPr>
          <w:rFonts w:asciiTheme="minorHAnsi" w:hAnsiTheme="minorHAnsi"/>
        </w:rPr>
      </w:pPr>
      <w:r w:rsidRPr="00664C39">
        <w:rPr>
          <w:rFonts w:asciiTheme="minorHAnsi" w:hAnsiTheme="minorHAnsi"/>
        </w:rPr>
        <w:t xml:space="preserve">Lead-based </w:t>
      </w:r>
      <w:r w:rsidR="000C3875" w:rsidRPr="00664C39">
        <w:rPr>
          <w:rFonts w:asciiTheme="minorHAnsi" w:hAnsiTheme="minorHAnsi"/>
        </w:rPr>
        <w:t>pa</w:t>
      </w:r>
      <w:r w:rsidR="00E2659A" w:rsidRPr="00664C39">
        <w:rPr>
          <w:rFonts w:asciiTheme="minorHAnsi" w:hAnsiTheme="minorHAnsi"/>
        </w:rPr>
        <w:t xml:space="preserve">int </w:t>
      </w:r>
      <w:r w:rsidR="000C3875" w:rsidRPr="00664C39">
        <w:rPr>
          <w:rFonts w:asciiTheme="minorHAnsi" w:hAnsiTheme="minorHAnsi"/>
        </w:rPr>
        <w:t>p</w:t>
      </w:r>
      <w:r w:rsidRPr="00664C39">
        <w:rPr>
          <w:rFonts w:asciiTheme="minorHAnsi" w:hAnsiTheme="minorHAnsi"/>
        </w:rPr>
        <w:t xml:space="preserve">oisoning </w:t>
      </w:r>
      <w:r w:rsidR="000C3875" w:rsidRPr="00664C39">
        <w:rPr>
          <w:rFonts w:asciiTheme="minorHAnsi" w:hAnsiTheme="minorHAnsi"/>
        </w:rPr>
        <w:t>p</w:t>
      </w:r>
      <w:r w:rsidRPr="00664C39">
        <w:rPr>
          <w:rFonts w:asciiTheme="minorHAnsi" w:hAnsiTheme="minorHAnsi"/>
        </w:rPr>
        <w:t xml:space="preserve">revention </w:t>
      </w:r>
      <w:r w:rsidR="000C3875" w:rsidRPr="00664C39">
        <w:rPr>
          <w:rFonts w:asciiTheme="minorHAnsi" w:hAnsiTheme="minorHAnsi"/>
        </w:rPr>
        <w:t>p</w:t>
      </w:r>
      <w:r w:rsidR="00E2659A" w:rsidRPr="00664C39">
        <w:rPr>
          <w:rFonts w:asciiTheme="minorHAnsi" w:hAnsiTheme="minorHAnsi"/>
        </w:rPr>
        <w:t xml:space="preserve">rograms; </w:t>
      </w:r>
    </w:p>
    <w:p w14:paraId="032D8387" w14:textId="320A8898" w:rsidR="000C3875" w:rsidRPr="00664C39" w:rsidRDefault="000C3875" w:rsidP="00D874B0">
      <w:pPr>
        <w:pStyle w:val="ListParagraph"/>
        <w:widowControl w:val="0"/>
        <w:numPr>
          <w:ilvl w:val="0"/>
          <w:numId w:val="24"/>
        </w:numPr>
        <w:autoSpaceDE w:val="0"/>
        <w:autoSpaceDN w:val="0"/>
        <w:adjustRightInd w:val="0"/>
        <w:ind w:left="720"/>
        <w:rPr>
          <w:rFonts w:asciiTheme="minorHAnsi" w:hAnsiTheme="minorHAnsi"/>
        </w:rPr>
      </w:pPr>
      <w:r w:rsidRPr="00664C39">
        <w:rPr>
          <w:rFonts w:asciiTheme="minorHAnsi" w:hAnsiTheme="minorHAnsi"/>
        </w:rPr>
        <w:t>G</w:t>
      </w:r>
      <w:r w:rsidR="00DE5BD3">
        <w:rPr>
          <w:rFonts w:asciiTheme="minorHAnsi" w:hAnsiTheme="minorHAnsi"/>
        </w:rPr>
        <w:t>enetic disease programs</w:t>
      </w:r>
      <w:r w:rsidR="00E2659A" w:rsidRPr="00664C39">
        <w:rPr>
          <w:rFonts w:asciiTheme="minorHAnsi" w:hAnsiTheme="minorHAnsi"/>
        </w:rPr>
        <w:t xml:space="preserve">; </w:t>
      </w:r>
    </w:p>
    <w:p w14:paraId="2C20B08C" w14:textId="69DA2D7E" w:rsidR="000C3875" w:rsidRPr="00664C39" w:rsidRDefault="000C3875" w:rsidP="00D874B0">
      <w:pPr>
        <w:pStyle w:val="ListParagraph"/>
        <w:widowControl w:val="0"/>
        <w:numPr>
          <w:ilvl w:val="0"/>
          <w:numId w:val="24"/>
        </w:numPr>
        <w:autoSpaceDE w:val="0"/>
        <w:autoSpaceDN w:val="0"/>
        <w:adjustRightInd w:val="0"/>
        <w:ind w:left="720"/>
        <w:rPr>
          <w:rFonts w:asciiTheme="minorHAnsi" w:hAnsiTheme="minorHAnsi"/>
        </w:rPr>
      </w:pPr>
      <w:r w:rsidRPr="00664C39">
        <w:rPr>
          <w:rFonts w:asciiTheme="minorHAnsi" w:hAnsiTheme="minorHAnsi"/>
        </w:rPr>
        <w:t>S</w:t>
      </w:r>
      <w:r w:rsidR="00E2659A" w:rsidRPr="00664C39">
        <w:rPr>
          <w:rFonts w:asciiTheme="minorHAnsi" w:hAnsiTheme="minorHAnsi"/>
        </w:rPr>
        <w:t>udden i</w:t>
      </w:r>
      <w:r w:rsidRPr="00664C39">
        <w:rPr>
          <w:rFonts w:asciiTheme="minorHAnsi" w:hAnsiTheme="minorHAnsi"/>
        </w:rPr>
        <w:t>nfant death syndrome programs</w:t>
      </w:r>
      <w:r w:rsidR="00E2659A" w:rsidRPr="00664C39">
        <w:rPr>
          <w:rFonts w:asciiTheme="minorHAnsi" w:hAnsiTheme="minorHAnsi"/>
        </w:rPr>
        <w:t>;</w:t>
      </w:r>
    </w:p>
    <w:p w14:paraId="125B6A0C" w14:textId="0C637263" w:rsidR="00D874B0" w:rsidRPr="00664C39" w:rsidRDefault="000C3875" w:rsidP="00D874B0">
      <w:pPr>
        <w:pStyle w:val="ListParagraph"/>
        <w:widowControl w:val="0"/>
        <w:numPr>
          <w:ilvl w:val="0"/>
          <w:numId w:val="24"/>
        </w:numPr>
        <w:autoSpaceDE w:val="0"/>
        <w:autoSpaceDN w:val="0"/>
        <w:adjustRightInd w:val="0"/>
        <w:ind w:left="720"/>
        <w:rPr>
          <w:rFonts w:asciiTheme="minorHAnsi" w:hAnsiTheme="minorHAnsi"/>
        </w:rPr>
      </w:pPr>
      <w:r w:rsidRPr="00664C39">
        <w:rPr>
          <w:rFonts w:asciiTheme="minorHAnsi" w:hAnsiTheme="minorHAnsi"/>
        </w:rPr>
        <w:t>H</w:t>
      </w:r>
      <w:r w:rsidR="00E2659A" w:rsidRPr="00664C39">
        <w:rPr>
          <w:rFonts w:asciiTheme="minorHAnsi" w:hAnsiTheme="minorHAnsi"/>
        </w:rPr>
        <w:t>emophilia treatment centers; and</w:t>
      </w:r>
    </w:p>
    <w:p w14:paraId="16B7595C" w14:textId="22198FF9" w:rsidR="00E2659A" w:rsidRPr="00664C39" w:rsidRDefault="00E2659A" w:rsidP="00D874B0">
      <w:pPr>
        <w:pStyle w:val="ListParagraph"/>
        <w:widowControl w:val="0"/>
        <w:numPr>
          <w:ilvl w:val="0"/>
          <w:numId w:val="24"/>
        </w:numPr>
        <w:autoSpaceDE w:val="0"/>
        <w:autoSpaceDN w:val="0"/>
        <w:adjustRightInd w:val="0"/>
        <w:ind w:left="720"/>
        <w:rPr>
          <w:rFonts w:asciiTheme="minorHAnsi" w:hAnsiTheme="minorHAnsi"/>
        </w:rPr>
      </w:pPr>
      <w:r w:rsidRPr="00664C39">
        <w:rPr>
          <w:rFonts w:asciiTheme="minorHAnsi" w:hAnsiTheme="minorHAnsi"/>
        </w:rPr>
        <w:t xml:space="preserve"> </w:t>
      </w:r>
      <w:r w:rsidR="000C3875" w:rsidRPr="00664C39">
        <w:rPr>
          <w:rFonts w:asciiTheme="minorHAnsi" w:hAnsiTheme="minorHAnsi"/>
        </w:rPr>
        <w:t>A</w:t>
      </w:r>
      <w:r w:rsidRPr="00664C39">
        <w:rPr>
          <w:rFonts w:asciiTheme="minorHAnsi" w:hAnsiTheme="minorHAnsi"/>
        </w:rPr>
        <w:t>dolescent pregnancy grants.</w:t>
      </w:r>
    </w:p>
    <w:p w14:paraId="12EBE6E1" w14:textId="77777777" w:rsidR="00E2659A" w:rsidRPr="00664C39" w:rsidRDefault="00E2659A" w:rsidP="00D874B0">
      <w:pPr>
        <w:widowControl w:val="0"/>
        <w:autoSpaceDE w:val="0"/>
        <w:autoSpaceDN w:val="0"/>
        <w:adjustRightInd w:val="0"/>
        <w:spacing w:after="0" w:line="240" w:lineRule="auto"/>
        <w:ind w:left="360"/>
        <w:rPr>
          <w:rFonts w:asciiTheme="minorHAnsi" w:eastAsia="Times New Roman" w:hAnsiTheme="minorHAnsi"/>
          <w:sz w:val="24"/>
          <w:szCs w:val="24"/>
        </w:rPr>
      </w:pPr>
    </w:p>
    <w:p w14:paraId="7F051203" w14:textId="77777777" w:rsidR="00DC6BA0" w:rsidRPr="00664C39" w:rsidRDefault="00E2659A" w:rsidP="00C666D8">
      <w:pPr>
        <w:widowControl w:val="0"/>
        <w:autoSpaceDE w:val="0"/>
        <w:autoSpaceDN w:val="0"/>
        <w:adjustRightInd w:val="0"/>
        <w:spacing w:after="0" w:line="240" w:lineRule="auto"/>
        <w:ind w:left="360"/>
        <w:rPr>
          <w:rFonts w:asciiTheme="minorHAnsi" w:eastAsia="Times New Roman" w:hAnsiTheme="minorHAnsi"/>
          <w:sz w:val="24"/>
          <w:szCs w:val="24"/>
        </w:rPr>
      </w:pPr>
      <w:r w:rsidRPr="00664C39">
        <w:rPr>
          <w:rFonts w:asciiTheme="minorHAnsi" w:eastAsia="Times New Roman" w:hAnsiTheme="minorHAnsi"/>
          <w:sz w:val="24"/>
          <w:szCs w:val="24"/>
        </w:rPr>
        <w:t xml:space="preserve">Another significant change </w:t>
      </w:r>
      <w:r w:rsidR="005E2C20" w:rsidRPr="00664C39">
        <w:rPr>
          <w:rFonts w:asciiTheme="minorHAnsi" w:eastAsia="Times New Roman" w:hAnsiTheme="minorHAnsi"/>
          <w:sz w:val="24"/>
          <w:szCs w:val="24"/>
        </w:rPr>
        <w:t xml:space="preserve">in </w:t>
      </w:r>
      <w:r w:rsidR="0032681D" w:rsidRPr="00664C39">
        <w:rPr>
          <w:rFonts w:asciiTheme="minorHAnsi" w:eastAsia="Times New Roman" w:hAnsiTheme="minorHAnsi"/>
          <w:sz w:val="24"/>
          <w:szCs w:val="24"/>
        </w:rPr>
        <w:t xml:space="preserve">the Title V MCH Block Grant </w:t>
      </w:r>
      <w:r w:rsidR="005E2C20" w:rsidRPr="00664C39">
        <w:rPr>
          <w:rFonts w:asciiTheme="minorHAnsi" w:eastAsia="Times New Roman" w:hAnsiTheme="minorHAnsi"/>
          <w:sz w:val="24"/>
          <w:szCs w:val="24"/>
        </w:rPr>
        <w:t xml:space="preserve">came as a result of </w:t>
      </w:r>
      <w:r w:rsidRPr="00664C39">
        <w:rPr>
          <w:rFonts w:asciiTheme="minorHAnsi" w:eastAsia="Times New Roman" w:hAnsiTheme="minorHAnsi"/>
          <w:sz w:val="24"/>
          <w:szCs w:val="24"/>
        </w:rPr>
        <w:t>the Omnibus Budget Reconciliation Act (OBRA) of 1989</w:t>
      </w:r>
      <w:r w:rsidR="00035587" w:rsidRPr="00664C39">
        <w:rPr>
          <w:rFonts w:asciiTheme="minorHAnsi" w:eastAsia="Times New Roman" w:hAnsiTheme="minorHAnsi"/>
          <w:sz w:val="24"/>
          <w:szCs w:val="24"/>
        </w:rPr>
        <w:t>,</w:t>
      </w:r>
      <w:r w:rsidRPr="00664C39">
        <w:rPr>
          <w:rFonts w:asciiTheme="minorHAnsi" w:eastAsia="Times New Roman" w:hAnsiTheme="minorHAnsi"/>
          <w:sz w:val="24"/>
          <w:szCs w:val="24"/>
        </w:rPr>
        <w:t xml:space="preserve"> which specified new requirements for accountability.  The amendments enacted under OBRA introduced stricter requirements for the use of </w:t>
      </w:r>
      <w:r w:rsidR="00035587" w:rsidRPr="00664C39">
        <w:rPr>
          <w:rFonts w:asciiTheme="minorHAnsi" w:eastAsia="Times New Roman" w:hAnsiTheme="minorHAnsi"/>
          <w:sz w:val="24"/>
          <w:szCs w:val="24"/>
        </w:rPr>
        <w:t>f</w:t>
      </w:r>
      <w:r w:rsidRPr="00664C39">
        <w:rPr>
          <w:rFonts w:asciiTheme="minorHAnsi" w:eastAsia="Times New Roman" w:hAnsiTheme="minorHAnsi"/>
          <w:sz w:val="24"/>
          <w:szCs w:val="24"/>
        </w:rPr>
        <w:t xml:space="preserve">ederal funds and </w:t>
      </w:r>
      <w:r w:rsidR="00A302A2" w:rsidRPr="00664C39">
        <w:rPr>
          <w:rFonts w:asciiTheme="minorHAnsi" w:eastAsia="Times New Roman" w:hAnsiTheme="minorHAnsi"/>
          <w:sz w:val="24"/>
          <w:szCs w:val="24"/>
        </w:rPr>
        <w:t>for s</w:t>
      </w:r>
      <w:r w:rsidRPr="00664C39">
        <w:rPr>
          <w:rFonts w:asciiTheme="minorHAnsi" w:eastAsia="Times New Roman" w:hAnsiTheme="minorHAnsi"/>
          <w:sz w:val="24"/>
          <w:szCs w:val="24"/>
        </w:rPr>
        <w:t xml:space="preserve">tate planning and reporting.  Congress sought to balance the flexibility of the block grant with greater accountability, by requiring State Title V programs to report </w:t>
      </w:r>
      <w:r w:rsidR="00AD0B62" w:rsidRPr="00664C39">
        <w:rPr>
          <w:rFonts w:asciiTheme="minorHAnsi" w:eastAsia="Times New Roman" w:hAnsiTheme="minorHAnsi"/>
          <w:sz w:val="24"/>
          <w:szCs w:val="24"/>
        </w:rPr>
        <w:t xml:space="preserve">their </w:t>
      </w:r>
      <w:r w:rsidRPr="00664C39">
        <w:rPr>
          <w:rFonts w:asciiTheme="minorHAnsi" w:eastAsia="Times New Roman" w:hAnsiTheme="minorHAnsi"/>
          <w:sz w:val="24"/>
          <w:szCs w:val="24"/>
        </w:rPr>
        <w:t xml:space="preserve">progress on key MCH indicators and other program information.  Thus, the block grant legislation emphasizes accountability while providing </w:t>
      </w:r>
      <w:r w:rsidR="00035587" w:rsidRPr="00664C39">
        <w:rPr>
          <w:rFonts w:asciiTheme="minorHAnsi" w:eastAsia="Times New Roman" w:hAnsiTheme="minorHAnsi"/>
          <w:sz w:val="24"/>
          <w:szCs w:val="24"/>
        </w:rPr>
        <w:t>s</w:t>
      </w:r>
      <w:r w:rsidRPr="00664C39">
        <w:rPr>
          <w:rFonts w:asciiTheme="minorHAnsi" w:eastAsia="Times New Roman" w:hAnsiTheme="minorHAnsi"/>
          <w:sz w:val="24"/>
          <w:szCs w:val="24"/>
        </w:rPr>
        <w:t xml:space="preserve">tates with appropriate flexibility to respond to </w:t>
      </w:r>
      <w:r w:rsidR="00A9725D" w:rsidRPr="00664C39">
        <w:rPr>
          <w:rFonts w:asciiTheme="minorHAnsi" w:eastAsia="Times New Roman" w:hAnsiTheme="minorHAnsi"/>
          <w:sz w:val="24"/>
          <w:szCs w:val="24"/>
        </w:rPr>
        <w:t xml:space="preserve">state-specific </w:t>
      </w:r>
      <w:r w:rsidRPr="00664C39">
        <w:rPr>
          <w:rFonts w:asciiTheme="minorHAnsi" w:eastAsia="Times New Roman" w:hAnsiTheme="minorHAnsi"/>
          <w:sz w:val="24"/>
          <w:szCs w:val="24"/>
        </w:rPr>
        <w:t>MCH needs</w:t>
      </w:r>
      <w:r w:rsidR="00A9725D" w:rsidRPr="00664C39">
        <w:rPr>
          <w:rFonts w:asciiTheme="minorHAnsi" w:eastAsia="Times New Roman" w:hAnsiTheme="minorHAnsi"/>
          <w:sz w:val="24"/>
          <w:szCs w:val="24"/>
        </w:rPr>
        <w:t xml:space="preserve"> </w:t>
      </w:r>
      <w:r w:rsidRPr="00664C39">
        <w:rPr>
          <w:rFonts w:asciiTheme="minorHAnsi" w:eastAsia="Times New Roman" w:hAnsiTheme="minorHAnsi"/>
          <w:sz w:val="24"/>
          <w:szCs w:val="24"/>
        </w:rPr>
        <w:t>and to develop</w:t>
      </w:r>
      <w:r w:rsidR="00173CE4" w:rsidRPr="00664C39">
        <w:rPr>
          <w:rFonts w:asciiTheme="minorHAnsi" w:eastAsia="Times New Roman" w:hAnsiTheme="minorHAnsi"/>
          <w:sz w:val="24"/>
          <w:szCs w:val="24"/>
        </w:rPr>
        <w:t xml:space="preserve"> targeted</w:t>
      </w:r>
      <w:r w:rsidRPr="00664C39">
        <w:rPr>
          <w:rFonts w:asciiTheme="minorHAnsi" w:eastAsia="Times New Roman" w:hAnsiTheme="minorHAnsi"/>
          <w:sz w:val="24"/>
          <w:szCs w:val="24"/>
        </w:rPr>
        <w:t xml:space="preserve"> </w:t>
      </w:r>
      <w:r w:rsidR="005E2C20" w:rsidRPr="00664C39">
        <w:rPr>
          <w:rFonts w:asciiTheme="minorHAnsi" w:eastAsia="Times New Roman" w:hAnsiTheme="minorHAnsi"/>
          <w:sz w:val="24"/>
          <w:szCs w:val="24"/>
        </w:rPr>
        <w:t xml:space="preserve">interventions and </w:t>
      </w:r>
      <w:r w:rsidRPr="00664C39">
        <w:rPr>
          <w:rFonts w:asciiTheme="minorHAnsi" w:eastAsia="Times New Roman" w:hAnsiTheme="minorHAnsi"/>
          <w:sz w:val="24"/>
          <w:szCs w:val="24"/>
        </w:rPr>
        <w:t>solut</w:t>
      </w:r>
      <w:r w:rsidR="00035587" w:rsidRPr="00664C39">
        <w:rPr>
          <w:rFonts w:asciiTheme="minorHAnsi" w:eastAsia="Times New Roman" w:hAnsiTheme="minorHAnsi"/>
          <w:sz w:val="24"/>
          <w:szCs w:val="24"/>
        </w:rPr>
        <w:t>ions</w:t>
      </w:r>
      <w:r w:rsidR="00A9725D" w:rsidRPr="00664C39">
        <w:rPr>
          <w:rFonts w:asciiTheme="minorHAnsi" w:eastAsia="Times New Roman" w:hAnsiTheme="minorHAnsi"/>
          <w:sz w:val="24"/>
          <w:szCs w:val="24"/>
        </w:rPr>
        <w:t xml:space="preserve"> </w:t>
      </w:r>
      <w:r w:rsidR="00DF70DF" w:rsidRPr="00664C39">
        <w:rPr>
          <w:rFonts w:asciiTheme="minorHAnsi" w:eastAsia="Times New Roman" w:hAnsiTheme="minorHAnsi"/>
          <w:sz w:val="24"/>
          <w:szCs w:val="24"/>
        </w:rPr>
        <w:t xml:space="preserve">for </w:t>
      </w:r>
      <w:r w:rsidR="00A9725D" w:rsidRPr="00664C39">
        <w:rPr>
          <w:rFonts w:asciiTheme="minorHAnsi" w:eastAsia="Times New Roman" w:hAnsiTheme="minorHAnsi"/>
          <w:sz w:val="24"/>
          <w:szCs w:val="24"/>
        </w:rPr>
        <w:t>address</w:t>
      </w:r>
      <w:r w:rsidR="00DF70DF" w:rsidRPr="00664C39">
        <w:rPr>
          <w:rFonts w:asciiTheme="minorHAnsi" w:eastAsia="Times New Roman" w:hAnsiTheme="minorHAnsi"/>
          <w:sz w:val="24"/>
          <w:szCs w:val="24"/>
        </w:rPr>
        <w:t>ing</w:t>
      </w:r>
      <w:r w:rsidR="00A9725D" w:rsidRPr="00664C39">
        <w:rPr>
          <w:rFonts w:asciiTheme="minorHAnsi" w:eastAsia="Times New Roman" w:hAnsiTheme="minorHAnsi"/>
          <w:sz w:val="24"/>
          <w:szCs w:val="24"/>
        </w:rPr>
        <w:t xml:space="preserve"> them</w:t>
      </w:r>
      <w:r w:rsidR="00035587" w:rsidRPr="00664C39">
        <w:rPr>
          <w:rFonts w:asciiTheme="minorHAnsi" w:eastAsia="Times New Roman" w:hAnsiTheme="minorHAnsi"/>
          <w:sz w:val="24"/>
          <w:szCs w:val="24"/>
        </w:rPr>
        <w:t>.  This theme of assisting s</w:t>
      </w:r>
      <w:r w:rsidRPr="00664C39">
        <w:rPr>
          <w:rFonts w:asciiTheme="minorHAnsi" w:eastAsia="Times New Roman" w:hAnsiTheme="minorHAnsi"/>
          <w:sz w:val="24"/>
          <w:szCs w:val="24"/>
        </w:rPr>
        <w:t xml:space="preserve">tates in the design and implementation of MCH programs to meet </w:t>
      </w:r>
      <w:r w:rsidR="000966C2" w:rsidRPr="00664C39">
        <w:rPr>
          <w:rFonts w:asciiTheme="minorHAnsi" w:eastAsia="Times New Roman" w:hAnsiTheme="minorHAnsi"/>
          <w:sz w:val="24"/>
          <w:szCs w:val="24"/>
        </w:rPr>
        <w:t xml:space="preserve">state and </w:t>
      </w:r>
      <w:r w:rsidRPr="00664C39">
        <w:rPr>
          <w:rFonts w:asciiTheme="minorHAnsi" w:eastAsia="Times New Roman" w:hAnsiTheme="minorHAnsi"/>
          <w:sz w:val="24"/>
          <w:szCs w:val="24"/>
        </w:rPr>
        <w:t xml:space="preserve">local needs, while at the same time asking </w:t>
      </w:r>
      <w:r w:rsidR="00035587" w:rsidRPr="00664C39">
        <w:rPr>
          <w:rFonts w:asciiTheme="minorHAnsi" w:eastAsia="Times New Roman" w:hAnsiTheme="minorHAnsi"/>
          <w:sz w:val="24"/>
          <w:szCs w:val="24"/>
        </w:rPr>
        <w:t>them to account for the use of federal/s</w:t>
      </w:r>
      <w:r w:rsidRPr="00664C39">
        <w:rPr>
          <w:rFonts w:asciiTheme="minorHAnsi" w:eastAsia="Times New Roman" w:hAnsiTheme="minorHAnsi"/>
          <w:sz w:val="24"/>
          <w:szCs w:val="24"/>
        </w:rPr>
        <w:t xml:space="preserve">tate </w:t>
      </w:r>
      <w:r w:rsidR="00DF70DF" w:rsidRPr="00664C39">
        <w:rPr>
          <w:rFonts w:asciiTheme="minorHAnsi" w:eastAsia="Times New Roman" w:hAnsiTheme="minorHAnsi"/>
          <w:sz w:val="24"/>
          <w:szCs w:val="24"/>
        </w:rPr>
        <w:t xml:space="preserve">Title V </w:t>
      </w:r>
      <w:r w:rsidRPr="00664C39">
        <w:rPr>
          <w:rFonts w:asciiTheme="minorHAnsi" w:eastAsia="Times New Roman" w:hAnsiTheme="minorHAnsi"/>
          <w:sz w:val="24"/>
          <w:szCs w:val="24"/>
        </w:rPr>
        <w:t xml:space="preserve">funds, was embodied in the requirements contained in </w:t>
      </w:r>
      <w:r w:rsidR="00BD78A7" w:rsidRPr="00664C39">
        <w:rPr>
          <w:rFonts w:asciiTheme="minorHAnsi" w:eastAsia="Times New Roman" w:hAnsiTheme="minorHAnsi"/>
          <w:sz w:val="24"/>
          <w:szCs w:val="24"/>
        </w:rPr>
        <w:t xml:space="preserve">the </w:t>
      </w:r>
      <w:r w:rsidR="000966C2" w:rsidRPr="00664C39">
        <w:rPr>
          <w:rFonts w:asciiTheme="minorHAnsi" w:eastAsia="Times New Roman" w:hAnsiTheme="minorHAnsi"/>
          <w:sz w:val="24"/>
          <w:szCs w:val="24"/>
        </w:rPr>
        <w:t>G</w:t>
      </w:r>
      <w:r w:rsidRPr="00664C39">
        <w:rPr>
          <w:rFonts w:asciiTheme="minorHAnsi" w:eastAsia="Times New Roman" w:hAnsiTheme="minorHAnsi"/>
          <w:sz w:val="24"/>
          <w:szCs w:val="24"/>
        </w:rPr>
        <w:t xml:space="preserve">uidance documents for </w:t>
      </w:r>
      <w:r w:rsidR="00DF70DF" w:rsidRPr="00664C39">
        <w:rPr>
          <w:rFonts w:asciiTheme="minorHAnsi" w:eastAsia="Times New Roman" w:hAnsiTheme="minorHAnsi"/>
          <w:sz w:val="24"/>
          <w:szCs w:val="24"/>
        </w:rPr>
        <w:t xml:space="preserve">the state </w:t>
      </w:r>
      <w:r w:rsidR="000966C2" w:rsidRPr="00664C39">
        <w:rPr>
          <w:rFonts w:asciiTheme="minorHAnsi" w:eastAsia="Times New Roman" w:hAnsiTheme="minorHAnsi"/>
          <w:sz w:val="24"/>
          <w:szCs w:val="24"/>
        </w:rPr>
        <w:t>MCH B</w:t>
      </w:r>
      <w:r w:rsidRPr="00664C39">
        <w:rPr>
          <w:rFonts w:asciiTheme="minorHAnsi" w:eastAsia="Times New Roman" w:hAnsiTheme="minorHAnsi"/>
          <w:sz w:val="24"/>
          <w:szCs w:val="24"/>
        </w:rPr>
        <w:t xml:space="preserve">lock </w:t>
      </w:r>
      <w:r w:rsidR="000966C2" w:rsidRPr="00664C39">
        <w:rPr>
          <w:rFonts w:asciiTheme="minorHAnsi" w:eastAsia="Times New Roman" w:hAnsiTheme="minorHAnsi"/>
          <w:sz w:val="24"/>
          <w:szCs w:val="24"/>
        </w:rPr>
        <w:t>G</w:t>
      </w:r>
      <w:r w:rsidRPr="00664C39">
        <w:rPr>
          <w:rFonts w:asciiTheme="minorHAnsi" w:eastAsia="Times New Roman" w:hAnsiTheme="minorHAnsi"/>
          <w:sz w:val="24"/>
          <w:szCs w:val="24"/>
        </w:rPr>
        <w:t>rant Application</w:t>
      </w:r>
      <w:r w:rsidR="00DF70DF" w:rsidRPr="00664C39">
        <w:rPr>
          <w:rFonts w:asciiTheme="minorHAnsi" w:eastAsia="Times New Roman" w:hAnsiTheme="minorHAnsi"/>
          <w:sz w:val="24"/>
          <w:szCs w:val="24"/>
        </w:rPr>
        <w:t>s</w:t>
      </w:r>
      <w:r w:rsidRPr="00664C39">
        <w:rPr>
          <w:rFonts w:asciiTheme="minorHAnsi" w:eastAsia="Times New Roman" w:hAnsiTheme="minorHAnsi"/>
          <w:sz w:val="24"/>
          <w:szCs w:val="24"/>
        </w:rPr>
        <w:t>/Annual Reports.</w:t>
      </w:r>
    </w:p>
    <w:p w14:paraId="0090F9DA" w14:textId="77777777" w:rsidR="00B42517" w:rsidRPr="00664C39" w:rsidRDefault="00E2659A" w:rsidP="00C666D8">
      <w:pPr>
        <w:widowControl w:val="0"/>
        <w:autoSpaceDE w:val="0"/>
        <w:autoSpaceDN w:val="0"/>
        <w:adjustRightInd w:val="0"/>
        <w:spacing w:after="0" w:line="240" w:lineRule="auto"/>
        <w:ind w:left="360"/>
        <w:rPr>
          <w:rFonts w:asciiTheme="minorHAnsi" w:eastAsia="Times New Roman" w:hAnsiTheme="minorHAnsi"/>
          <w:sz w:val="24"/>
          <w:szCs w:val="24"/>
        </w:rPr>
      </w:pPr>
      <w:r w:rsidRPr="00664C39">
        <w:rPr>
          <w:rFonts w:asciiTheme="minorHAnsi" w:eastAsia="Times New Roman" w:hAnsiTheme="minorHAnsi"/>
          <w:sz w:val="24"/>
          <w:szCs w:val="24"/>
        </w:rPr>
        <w:t xml:space="preserve">  </w:t>
      </w:r>
    </w:p>
    <w:p w14:paraId="54CDBDF1" w14:textId="5BB518B7" w:rsidR="00E2659A" w:rsidRPr="00664C39" w:rsidRDefault="00E2659A" w:rsidP="00E2659A">
      <w:pPr>
        <w:widowControl w:val="0"/>
        <w:autoSpaceDE w:val="0"/>
        <w:autoSpaceDN w:val="0"/>
        <w:adjustRightInd w:val="0"/>
        <w:spacing w:after="0" w:line="240" w:lineRule="auto"/>
        <w:ind w:left="360"/>
        <w:rPr>
          <w:rFonts w:asciiTheme="minorHAnsi" w:eastAsia="Times New Roman" w:hAnsiTheme="minorHAnsi"/>
          <w:sz w:val="24"/>
          <w:szCs w:val="24"/>
        </w:rPr>
      </w:pPr>
      <w:r w:rsidRPr="00664C39">
        <w:rPr>
          <w:rFonts w:asciiTheme="minorHAnsi" w:eastAsia="Times New Roman" w:hAnsiTheme="minorHAnsi"/>
          <w:sz w:val="24"/>
          <w:szCs w:val="24"/>
        </w:rPr>
        <w:t>In 1993 the Government Performance and Results Act (GPRA</w:t>
      </w:r>
      <w:r w:rsidR="00035587" w:rsidRPr="00664C39">
        <w:rPr>
          <w:rFonts w:asciiTheme="minorHAnsi" w:eastAsia="Times New Roman" w:hAnsiTheme="minorHAnsi"/>
          <w:sz w:val="24"/>
          <w:szCs w:val="24"/>
        </w:rPr>
        <w:t>), Public Law 103-62, required f</w:t>
      </w:r>
      <w:r w:rsidRPr="00664C39">
        <w:rPr>
          <w:rFonts w:asciiTheme="minorHAnsi" w:eastAsia="Times New Roman" w:hAnsiTheme="minorHAnsi"/>
          <w:sz w:val="24"/>
          <w:szCs w:val="24"/>
        </w:rPr>
        <w:t>ederal agencies to establish measurable goals that could be reported as part of the budgetary process.  For the first time, funding decisions were linked directly with performance.  Among its purposes, G</w:t>
      </w:r>
      <w:r w:rsidR="002C6F7F">
        <w:rPr>
          <w:rFonts w:asciiTheme="minorHAnsi" w:eastAsia="Times New Roman" w:hAnsiTheme="minorHAnsi"/>
          <w:sz w:val="24"/>
          <w:szCs w:val="24"/>
        </w:rPr>
        <w:t>PRA is intended to “...improve F</w:t>
      </w:r>
      <w:r w:rsidRPr="00664C39">
        <w:rPr>
          <w:rFonts w:asciiTheme="minorHAnsi" w:eastAsia="Times New Roman" w:hAnsiTheme="minorHAnsi"/>
          <w:sz w:val="24"/>
          <w:szCs w:val="24"/>
        </w:rPr>
        <w:t>ederal program effectiveness and public accountability by promoting a new focus on results, service quality, and customer sati</w:t>
      </w:r>
      <w:r w:rsidR="00035587" w:rsidRPr="00664C39">
        <w:rPr>
          <w:rFonts w:asciiTheme="minorHAnsi" w:eastAsia="Times New Roman" w:hAnsiTheme="minorHAnsi"/>
          <w:sz w:val="24"/>
          <w:szCs w:val="24"/>
        </w:rPr>
        <w:t>sfaction.”  GPRA requires each f</w:t>
      </w:r>
      <w:r w:rsidRPr="00664C39">
        <w:rPr>
          <w:rFonts w:asciiTheme="minorHAnsi" w:eastAsia="Times New Roman" w:hAnsiTheme="minorHAnsi"/>
          <w:sz w:val="24"/>
          <w:szCs w:val="24"/>
        </w:rPr>
        <w:t xml:space="preserve">ederal agency to develop comprehensive strategic plans, annual performance plans with measurable goals and objectives, and annual reports on actual performance compared to performance goals.  The MCHB effort to respond to GPRA requirements coincided with other planned improvements to the </w:t>
      </w:r>
      <w:r w:rsidR="005020CE" w:rsidRPr="00664C39">
        <w:rPr>
          <w:rFonts w:asciiTheme="minorHAnsi" w:eastAsia="Times New Roman" w:hAnsiTheme="minorHAnsi"/>
          <w:sz w:val="24"/>
          <w:szCs w:val="24"/>
        </w:rPr>
        <w:t>MCH B</w:t>
      </w:r>
      <w:r w:rsidRPr="00664C39">
        <w:rPr>
          <w:rFonts w:asciiTheme="minorHAnsi" w:eastAsia="Times New Roman" w:hAnsiTheme="minorHAnsi"/>
          <w:sz w:val="24"/>
          <w:szCs w:val="24"/>
        </w:rPr>
        <w:t xml:space="preserve">lock </w:t>
      </w:r>
      <w:r w:rsidR="005020CE" w:rsidRPr="00664C39">
        <w:rPr>
          <w:rFonts w:asciiTheme="minorHAnsi" w:eastAsia="Times New Roman" w:hAnsiTheme="minorHAnsi"/>
          <w:sz w:val="24"/>
          <w:szCs w:val="24"/>
        </w:rPr>
        <w:t>G</w:t>
      </w:r>
      <w:r w:rsidRPr="00664C39">
        <w:rPr>
          <w:rFonts w:asciiTheme="minorHAnsi" w:eastAsia="Times New Roman" w:hAnsiTheme="minorHAnsi"/>
          <w:sz w:val="24"/>
          <w:szCs w:val="24"/>
        </w:rPr>
        <w:t xml:space="preserve">rant </w:t>
      </w:r>
      <w:r w:rsidR="005020CE" w:rsidRPr="00664C39">
        <w:rPr>
          <w:rFonts w:asciiTheme="minorHAnsi" w:eastAsia="Times New Roman" w:hAnsiTheme="minorHAnsi"/>
          <w:sz w:val="24"/>
          <w:szCs w:val="24"/>
        </w:rPr>
        <w:t>G</w:t>
      </w:r>
      <w:r w:rsidRPr="00664C39">
        <w:rPr>
          <w:rFonts w:asciiTheme="minorHAnsi" w:eastAsia="Times New Roman" w:hAnsiTheme="minorHAnsi"/>
          <w:sz w:val="24"/>
          <w:szCs w:val="24"/>
        </w:rPr>
        <w:t xml:space="preserve">uidance.  As a result, the </w:t>
      </w:r>
      <w:r w:rsidR="00031E1E" w:rsidRPr="00664C39">
        <w:rPr>
          <w:rFonts w:asciiTheme="minorHAnsi" w:eastAsia="Times New Roman" w:hAnsiTheme="minorHAnsi"/>
          <w:sz w:val="24"/>
          <w:szCs w:val="24"/>
        </w:rPr>
        <w:t>MCH B</w:t>
      </w:r>
      <w:r w:rsidRPr="00664C39">
        <w:rPr>
          <w:rFonts w:asciiTheme="minorHAnsi" w:eastAsia="Times New Roman" w:hAnsiTheme="minorHAnsi"/>
          <w:sz w:val="24"/>
          <w:szCs w:val="24"/>
        </w:rPr>
        <w:t xml:space="preserve">lock </w:t>
      </w:r>
      <w:r w:rsidR="00031E1E" w:rsidRPr="00664C39">
        <w:rPr>
          <w:rFonts w:asciiTheme="minorHAnsi" w:eastAsia="Times New Roman" w:hAnsiTheme="minorHAnsi"/>
          <w:sz w:val="24"/>
          <w:szCs w:val="24"/>
        </w:rPr>
        <w:t>G</w:t>
      </w:r>
      <w:r w:rsidRPr="00664C39">
        <w:rPr>
          <w:rFonts w:asciiTheme="minorHAnsi" w:eastAsia="Times New Roman" w:hAnsiTheme="minorHAnsi"/>
          <w:sz w:val="24"/>
          <w:szCs w:val="24"/>
        </w:rPr>
        <w:t xml:space="preserve">rant Application/Annual Report and forms contained in the 1997 edition of the </w:t>
      </w:r>
      <w:r w:rsidRPr="00664C39">
        <w:rPr>
          <w:rFonts w:asciiTheme="minorHAnsi" w:eastAsia="Times New Roman" w:hAnsiTheme="minorHAnsi"/>
          <w:i/>
          <w:sz w:val="24"/>
          <w:szCs w:val="24"/>
        </w:rPr>
        <w:t xml:space="preserve">Maternal and Child Health Services Title V Block Grant Program - Guidance and Forms for the Title V Application/Annual Report </w:t>
      </w:r>
      <w:r w:rsidRPr="00664C39">
        <w:rPr>
          <w:rFonts w:asciiTheme="minorHAnsi" w:eastAsia="Times New Roman" w:hAnsiTheme="minorHAnsi"/>
          <w:sz w:val="24"/>
          <w:szCs w:val="24"/>
        </w:rPr>
        <w:t xml:space="preserve">served to ensure that the </w:t>
      </w:r>
      <w:r w:rsidR="00595A0C" w:rsidRPr="00664C39">
        <w:rPr>
          <w:rFonts w:asciiTheme="minorHAnsi" w:eastAsia="Times New Roman" w:hAnsiTheme="minorHAnsi"/>
          <w:sz w:val="24"/>
          <w:szCs w:val="24"/>
        </w:rPr>
        <w:t>s</w:t>
      </w:r>
      <w:r w:rsidRPr="00664C39">
        <w:rPr>
          <w:rFonts w:asciiTheme="minorHAnsi" w:eastAsia="Times New Roman" w:hAnsiTheme="minorHAnsi"/>
          <w:sz w:val="24"/>
          <w:szCs w:val="24"/>
        </w:rPr>
        <w:t xml:space="preserve">tates and jurisdictions could clearly, concisely, and accurately tell their MCH “stories.” </w:t>
      </w:r>
      <w:r w:rsidR="00DC6BA0" w:rsidRPr="00664C39">
        <w:rPr>
          <w:rFonts w:asciiTheme="minorHAnsi" w:eastAsia="Times New Roman" w:hAnsiTheme="minorHAnsi"/>
          <w:sz w:val="24"/>
          <w:szCs w:val="24"/>
        </w:rPr>
        <w:t xml:space="preserve"> </w:t>
      </w:r>
      <w:r w:rsidRPr="00664C39">
        <w:rPr>
          <w:rFonts w:asciiTheme="minorHAnsi" w:eastAsia="Times New Roman" w:hAnsiTheme="minorHAnsi"/>
          <w:sz w:val="24"/>
          <w:szCs w:val="24"/>
        </w:rPr>
        <w:t xml:space="preserve">This Application/Annual Report became the basis by which MCHB met its GPRA </w:t>
      </w:r>
      <w:r w:rsidR="00031E1E" w:rsidRPr="00664C39">
        <w:rPr>
          <w:rFonts w:asciiTheme="minorHAnsi" w:eastAsia="Times New Roman" w:hAnsiTheme="minorHAnsi"/>
          <w:sz w:val="24"/>
          <w:szCs w:val="24"/>
        </w:rPr>
        <w:t xml:space="preserve">reporting requirements for the MCH </w:t>
      </w:r>
      <w:r w:rsidRPr="00664C39">
        <w:rPr>
          <w:rFonts w:asciiTheme="minorHAnsi" w:eastAsia="Times New Roman" w:hAnsiTheme="minorHAnsi"/>
          <w:sz w:val="24"/>
          <w:szCs w:val="24"/>
        </w:rPr>
        <w:t xml:space="preserve">Block Grant to States </w:t>
      </w:r>
      <w:r w:rsidR="008C5B67" w:rsidRPr="00664C39">
        <w:rPr>
          <w:rFonts w:asciiTheme="minorHAnsi" w:eastAsia="Times New Roman" w:hAnsiTheme="minorHAnsi"/>
          <w:sz w:val="24"/>
          <w:szCs w:val="24"/>
        </w:rPr>
        <w:t>P</w:t>
      </w:r>
      <w:r w:rsidRPr="00664C39">
        <w:rPr>
          <w:rFonts w:asciiTheme="minorHAnsi" w:eastAsia="Times New Roman" w:hAnsiTheme="minorHAnsi"/>
          <w:sz w:val="24"/>
          <w:szCs w:val="24"/>
        </w:rPr>
        <w:t>rogram.</w:t>
      </w:r>
    </w:p>
    <w:p w14:paraId="73FCA4A9" w14:textId="77777777" w:rsidR="00F80699" w:rsidRPr="00664C39" w:rsidRDefault="00F80699" w:rsidP="00E2659A">
      <w:pPr>
        <w:widowControl w:val="0"/>
        <w:autoSpaceDE w:val="0"/>
        <w:autoSpaceDN w:val="0"/>
        <w:adjustRightInd w:val="0"/>
        <w:spacing w:after="0" w:line="240" w:lineRule="auto"/>
        <w:ind w:left="360"/>
        <w:rPr>
          <w:rFonts w:asciiTheme="minorHAnsi" w:eastAsia="Times New Roman" w:hAnsiTheme="minorHAnsi"/>
          <w:sz w:val="24"/>
          <w:szCs w:val="24"/>
        </w:rPr>
      </w:pPr>
    </w:p>
    <w:p w14:paraId="3E45D218" w14:textId="44273FBA" w:rsidR="00E2659A" w:rsidRPr="00664C39" w:rsidRDefault="00031E1E" w:rsidP="000E043C">
      <w:pPr>
        <w:widowControl w:val="0"/>
        <w:autoSpaceDE w:val="0"/>
        <w:autoSpaceDN w:val="0"/>
        <w:adjustRightInd w:val="0"/>
        <w:spacing w:after="0" w:line="240" w:lineRule="auto"/>
        <w:ind w:left="360"/>
        <w:rPr>
          <w:rFonts w:asciiTheme="minorHAnsi" w:eastAsia="Times New Roman" w:hAnsiTheme="minorHAnsi" w:cs="Arial"/>
          <w:sz w:val="24"/>
          <w:szCs w:val="24"/>
        </w:rPr>
      </w:pPr>
      <w:r w:rsidRPr="00664C39">
        <w:rPr>
          <w:rFonts w:asciiTheme="minorHAnsi" w:eastAsia="Times New Roman" w:hAnsiTheme="minorHAnsi" w:cs="Arial"/>
          <w:sz w:val="24"/>
          <w:szCs w:val="24"/>
        </w:rPr>
        <w:t>In 1996, the MCHB began a process of programmatic assessments and planning activities aimed at improving th</w:t>
      </w:r>
      <w:r w:rsidR="007C255B" w:rsidRPr="00664C39">
        <w:rPr>
          <w:rFonts w:asciiTheme="minorHAnsi" w:eastAsia="Times New Roman" w:hAnsiTheme="minorHAnsi" w:cs="Arial"/>
          <w:sz w:val="24"/>
          <w:szCs w:val="24"/>
        </w:rPr>
        <w:t>e Title V MCH Block Grant Application/Annual Report G</w:t>
      </w:r>
      <w:r w:rsidRPr="00664C39">
        <w:rPr>
          <w:rFonts w:asciiTheme="minorHAnsi" w:eastAsia="Times New Roman" w:hAnsiTheme="minorHAnsi" w:cs="Arial"/>
          <w:sz w:val="24"/>
          <w:szCs w:val="24"/>
        </w:rPr>
        <w:t>uidance document</w:t>
      </w:r>
      <w:r w:rsidR="007C255B" w:rsidRPr="00664C39">
        <w:rPr>
          <w:rFonts w:asciiTheme="minorHAnsi" w:eastAsia="Times New Roman" w:hAnsiTheme="minorHAnsi" w:cs="Arial"/>
          <w:sz w:val="24"/>
          <w:szCs w:val="24"/>
        </w:rPr>
        <w:t xml:space="preserve"> for states</w:t>
      </w:r>
      <w:r w:rsidRPr="00664C39">
        <w:rPr>
          <w:rFonts w:asciiTheme="minorHAnsi" w:eastAsia="Times New Roman" w:hAnsiTheme="minorHAnsi" w:cs="Arial"/>
          <w:sz w:val="24"/>
          <w:szCs w:val="24"/>
        </w:rPr>
        <w:t>.</w:t>
      </w:r>
      <w:r w:rsidR="007C255B" w:rsidRPr="00664C39">
        <w:rPr>
          <w:rFonts w:asciiTheme="minorHAnsi" w:eastAsia="Times New Roman" w:hAnsiTheme="minorHAnsi" w:cs="Arial"/>
          <w:sz w:val="24"/>
          <w:szCs w:val="24"/>
        </w:rPr>
        <w:t xml:space="preserve">  </w:t>
      </w:r>
      <w:r w:rsidR="00F80699" w:rsidRPr="00664C39">
        <w:rPr>
          <w:rFonts w:asciiTheme="minorHAnsi" w:hAnsiTheme="minorHAnsi" w:cs="Arial"/>
          <w:sz w:val="24"/>
          <w:szCs w:val="24"/>
        </w:rPr>
        <w:t xml:space="preserve">Since </w:t>
      </w:r>
      <w:r w:rsidR="007C255B" w:rsidRPr="00664C39">
        <w:rPr>
          <w:rFonts w:asciiTheme="minorHAnsi" w:hAnsiTheme="minorHAnsi" w:cs="Arial"/>
          <w:sz w:val="24"/>
          <w:szCs w:val="24"/>
        </w:rPr>
        <w:t xml:space="preserve">that time, </w:t>
      </w:r>
      <w:r w:rsidR="00F80699" w:rsidRPr="00664C39">
        <w:rPr>
          <w:rFonts w:asciiTheme="minorHAnsi" w:hAnsiTheme="minorHAnsi" w:cs="Arial"/>
          <w:sz w:val="24"/>
          <w:szCs w:val="24"/>
        </w:rPr>
        <w:t xml:space="preserve">the </w:t>
      </w:r>
      <w:r w:rsidR="00F80699" w:rsidRPr="00664C39">
        <w:rPr>
          <w:rFonts w:asciiTheme="minorHAnsi" w:hAnsiTheme="minorHAnsi" w:cs="Arial"/>
          <w:i/>
          <w:iCs/>
          <w:sz w:val="24"/>
          <w:szCs w:val="24"/>
        </w:rPr>
        <w:t xml:space="preserve">Maternal and Child Health Services Title V Block Grant Program - Guidance and Forms for the Title V Application/Annual Report </w:t>
      </w:r>
      <w:r w:rsidR="00F80699" w:rsidRPr="00664C39">
        <w:rPr>
          <w:rFonts w:asciiTheme="minorHAnsi" w:hAnsiTheme="minorHAnsi" w:cs="Arial"/>
          <w:sz w:val="24"/>
          <w:szCs w:val="24"/>
        </w:rPr>
        <w:t>(Guidance) has been revised</w:t>
      </w:r>
      <w:r w:rsidR="002C6F7F">
        <w:rPr>
          <w:rFonts w:asciiTheme="minorHAnsi" w:hAnsiTheme="minorHAnsi" w:cs="Arial"/>
          <w:sz w:val="24"/>
          <w:szCs w:val="24"/>
        </w:rPr>
        <w:t xml:space="preserve"> seven times</w:t>
      </w:r>
      <w:r w:rsidR="003C6AB8">
        <w:rPr>
          <w:rFonts w:asciiTheme="minorHAnsi" w:hAnsiTheme="minorHAnsi" w:cs="Arial"/>
          <w:sz w:val="24"/>
          <w:szCs w:val="24"/>
        </w:rPr>
        <w:t>.  Updated Guidance documents are submitted to and approv</w:t>
      </w:r>
      <w:r w:rsidR="008363CD">
        <w:rPr>
          <w:rFonts w:asciiTheme="minorHAnsi" w:hAnsiTheme="minorHAnsi" w:cs="Arial"/>
          <w:sz w:val="24"/>
          <w:szCs w:val="24"/>
        </w:rPr>
        <w:t>ed</w:t>
      </w:r>
      <w:r w:rsidR="003C6AB8">
        <w:rPr>
          <w:rFonts w:asciiTheme="minorHAnsi" w:hAnsiTheme="minorHAnsi" w:cs="Arial"/>
          <w:sz w:val="24"/>
          <w:szCs w:val="24"/>
        </w:rPr>
        <w:t xml:space="preserve"> b</w:t>
      </w:r>
      <w:r w:rsidR="00AD12E7">
        <w:rPr>
          <w:rFonts w:asciiTheme="minorHAnsi" w:hAnsiTheme="minorHAnsi" w:cs="Arial"/>
          <w:sz w:val="24"/>
          <w:szCs w:val="24"/>
        </w:rPr>
        <w:t xml:space="preserve">y </w:t>
      </w:r>
      <w:r w:rsidR="00F80699" w:rsidRPr="00664C39">
        <w:rPr>
          <w:rFonts w:asciiTheme="minorHAnsi" w:hAnsiTheme="minorHAnsi" w:cs="Arial"/>
          <w:sz w:val="24"/>
          <w:szCs w:val="24"/>
        </w:rPr>
        <w:t>the Office of Management and Budget (OMB)</w:t>
      </w:r>
      <w:r w:rsidR="003C6AB8">
        <w:rPr>
          <w:rFonts w:asciiTheme="minorHAnsi" w:hAnsiTheme="minorHAnsi" w:cs="Arial"/>
          <w:sz w:val="24"/>
          <w:szCs w:val="24"/>
        </w:rPr>
        <w:t xml:space="preserve"> prior to their release</w:t>
      </w:r>
      <w:r w:rsidR="00F80699" w:rsidRPr="00664C39">
        <w:rPr>
          <w:rFonts w:asciiTheme="minorHAnsi" w:hAnsiTheme="minorHAnsi" w:cs="Arial"/>
          <w:sz w:val="24"/>
          <w:szCs w:val="24"/>
        </w:rPr>
        <w:t>.</w:t>
      </w:r>
      <w:r w:rsidR="003C6AB8">
        <w:rPr>
          <w:rFonts w:asciiTheme="minorHAnsi" w:hAnsiTheme="minorHAnsi" w:cs="Arial"/>
          <w:sz w:val="24"/>
          <w:szCs w:val="24"/>
        </w:rPr>
        <w:t xml:space="preserve">  </w:t>
      </w:r>
      <w:r w:rsidR="00F80699" w:rsidRPr="00664C39">
        <w:rPr>
          <w:rFonts w:asciiTheme="minorHAnsi" w:hAnsiTheme="minorHAnsi" w:cs="Arial"/>
          <w:sz w:val="24"/>
          <w:szCs w:val="24"/>
        </w:rPr>
        <w:t xml:space="preserve">Revisions </w:t>
      </w:r>
      <w:r w:rsidR="00F30846" w:rsidRPr="00664C39">
        <w:rPr>
          <w:rFonts w:asciiTheme="minorHAnsi" w:hAnsiTheme="minorHAnsi" w:cs="Arial"/>
          <w:sz w:val="24"/>
          <w:szCs w:val="24"/>
        </w:rPr>
        <w:t xml:space="preserve">to </w:t>
      </w:r>
      <w:r w:rsidR="00DB0DFA" w:rsidRPr="00664C39">
        <w:rPr>
          <w:rFonts w:asciiTheme="minorHAnsi" w:hAnsiTheme="minorHAnsi" w:cs="Arial"/>
          <w:sz w:val="24"/>
          <w:szCs w:val="24"/>
        </w:rPr>
        <w:t xml:space="preserve">each </w:t>
      </w:r>
      <w:r w:rsidR="00F80699" w:rsidRPr="00664C39">
        <w:rPr>
          <w:rFonts w:asciiTheme="minorHAnsi" w:hAnsiTheme="minorHAnsi" w:cs="Arial"/>
          <w:sz w:val="24"/>
          <w:szCs w:val="24"/>
        </w:rPr>
        <w:t xml:space="preserve">subsequent edition </w:t>
      </w:r>
      <w:r w:rsidR="008363CD">
        <w:rPr>
          <w:rFonts w:asciiTheme="minorHAnsi" w:hAnsiTheme="minorHAnsi" w:cs="Arial"/>
          <w:sz w:val="24"/>
          <w:szCs w:val="24"/>
        </w:rPr>
        <w:t xml:space="preserve">of the Guidance have considered </w:t>
      </w:r>
      <w:r w:rsidR="00FD5D41" w:rsidRPr="00664C39">
        <w:rPr>
          <w:rFonts w:asciiTheme="minorHAnsi" w:hAnsiTheme="minorHAnsi" w:cs="Arial"/>
          <w:sz w:val="24"/>
          <w:szCs w:val="24"/>
        </w:rPr>
        <w:t>chang</w:t>
      </w:r>
      <w:r w:rsidR="00EA1F35" w:rsidRPr="00664C39">
        <w:rPr>
          <w:rFonts w:asciiTheme="minorHAnsi" w:hAnsiTheme="minorHAnsi" w:cs="Arial"/>
          <w:sz w:val="24"/>
          <w:szCs w:val="24"/>
        </w:rPr>
        <w:t xml:space="preserve">es </w:t>
      </w:r>
      <w:r w:rsidR="00F518E2" w:rsidRPr="00664C39">
        <w:rPr>
          <w:rFonts w:asciiTheme="minorHAnsi" w:hAnsiTheme="minorHAnsi" w:cs="Arial"/>
          <w:sz w:val="24"/>
          <w:szCs w:val="24"/>
        </w:rPr>
        <w:t xml:space="preserve">in </w:t>
      </w:r>
      <w:r w:rsidR="007C255B" w:rsidRPr="00664C39">
        <w:rPr>
          <w:rFonts w:asciiTheme="minorHAnsi" w:hAnsiTheme="minorHAnsi" w:cs="Arial"/>
          <w:sz w:val="24"/>
          <w:szCs w:val="24"/>
        </w:rPr>
        <w:t xml:space="preserve">MCH </w:t>
      </w:r>
      <w:r w:rsidR="00F80699" w:rsidRPr="00664C39">
        <w:rPr>
          <w:rFonts w:asciiTheme="minorHAnsi" w:hAnsiTheme="minorHAnsi" w:cs="Arial"/>
          <w:sz w:val="24"/>
          <w:szCs w:val="24"/>
        </w:rPr>
        <w:t>priorities</w:t>
      </w:r>
      <w:r w:rsidR="007C255B" w:rsidRPr="00664C39">
        <w:rPr>
          <w:rFonts w:asciiTheme="minorHAnsi" w:hAnsiTheme="minorHAnsi" w:cs="Arial"/>
          <w:sz w:val="24"/>
          <w:szCs w:val="24"/>
        </w:rPr>
        <w:t xml:space="preserve">, </w:t>
      </w:r>
      <w:r w:rsidR="00526125" w:rsidRPr="00664C39">
        <w:rPr>
          <w:rFonts w:asciiTheme="minorHAnsi" w:hAnsiTheme="minorHAnsi" w:cs="Arial"/>
          <w:sz w:val="24"/>
          <w:szCs w:val="24"/>
        </w:rPr>
        <w:t xml:space="preserve">availability </w:t>
      </w:r>
      <w:r w:rsidR="00F80699" w:rsidRPr="00664C39">
        <w:rPr>
          <w:rFonts w:asciiTheme="minorHAnsi" w:hAnsiTheme="minorHAnsi" w:cs="Arial"/>
          <w:sz w:val="24"/>
          <w:szCs w:val="24"/>
        </w:rPr>
        <w:t>of new national data sources</w:t>
      </w:r>
      <w:r w:rsidR="00853054" w:rsidRPr="00664C39">
        <w:rPr>
          <w:rFonts w:asciiTheme="minorHAnsi" w:hAnsiTheme="minorHAnsi" w:cs="Arial"/>
          <w:sz w:val="24"/>
          <w:szCs w:val="24"/>
        </w:rPr>
        <w:t xml:space="preserve"> </w:t>
      </w:r>
      <w:r w:rsidR="00F80699" w:rsidRPr="00664C39">
        <w:rPr>
          <w:rFonts w:asciiTheme="minorHAnsi" w:hAnsiTheme="minorHAnsi" w:cs="Arial"/>
          <w:sz w:val="24"/>
          <w:szCs w:val="24"/>
        </w:rPr>
        <w:t xml:space="preserve">and </w:t>
      </w:r>
      <w:r w:rsidR="008363CD">
        <w:rPr>
          <w:rFonts w:asciiTheme="minorHAnsi" w:hAnsiTheme="minorHAnsi" w:cs="Arial"/>
          <w:sz w:val="24"/>
          <w:szCs w:val="24"/>
        </w:rPr>
        <w:t xml:space="preserve">opportunities for </w:t>
      </w:r>
      <w:r w:rsidR="00642A5A" w:rsidRPr="00664C39">
        <w:rPr>
          <w:rFonts w:asciiTheme="minorHAnsi" w:hAnsiTheme="minorHAnsi" w:cs="Arial"/>
          <w:sz w:val="24"/>
          <w:szCs w:val="24"/>
        </w:rPr>
        <w:t>refin</w:t>
      </w:r>
      <w:r w:rsidR="008363CD">
        <w:rPr>
          <w:rFonts w:asciiTheme="minorHAnsi" w:hAnsiTheme="minorHAnsi" w:cs="Arial"/>
          <w:sz w:val="24"/>
          <w:szCs w:val="24"/>
        </w:rPr>
        <w:t>ing a</w:t>
      </w:r>
      <w:r w:rsidR="00642A5A" w:rsidRPr="00664C39">
        <w:rPr>
          <w:rFonts w:asciiTheme="minorHAnsi" w:hAnsiTheme="minorHAnsi" w:cs="Arial"/>
          <w:sz w:val="24"/>
          <w:szCs w:val="24"/>
        </w:rPr>
        <w:t>nd streamlin</w:t>
      </w:r>
      <w:r w:rsidR="008363CD">
        <w:rPr>
          <w:rFonts w:asciiTheme="minorHAnsi" w:hAnsiTheme="minorHAnsi" w:cs="Arial"/>
          <w:sz w:val="24"/>
          <w:szCs w:val="24"/>
        </w:rPr>
        <w:t xml:space="preserve">ing </w:t>
      </w:r>
      <w:r w:rsidR="00595A0C" w:rsidRPr="00664C39">
        <w:rPr>
          <w:rFonts w:asciiTheme="minorHAnsi" w:hAnsiTheme="minorHAnsi" w:cs="Arial"/>
          <w:sz w:val="24"/>
          <w:szCs w:val="24"/>
        </w:rPr>
        <w:t>the A</w:t>
      </w:r>
      <w:r w:rsidR="0034434C" w:rsidRPr="00664C39">
        <w:rPr>
          <w:rFonts w:asciiTheme="minorHAnsi" w:hAnsiTheme="minorHAnsi" w:cs="Arial"/>
          <w:sz w:val="24"/>
          <w:szCs w:val="24"/>
        </w:rPr>
        <w:t>pplication/Annual Report preparation and submission process</w:t>
      </w:r>
      <w:r w:rsidR="00853054" w:rsidRPr="00664C39">
        <w:rPr>
          <w:rFonts w:asciiTheme="minorHAnsi" w:hAnsiTheme="minorHAnsi" w:cs="Arial"/>
          <w:sz w:val="24"/>
          <w:szCs w:val="24"/>
        </w:rPr>
        <w:t xml:space="preserve"> </w:t>
      </w:r>
      <w:r w:rsidR="00642A5A" w:rsidRPr="00664C39">
        <w:rPr>
          <w:rFonts w:asciiTheme="minorHAnsi" w:hAnsiTheme="minorHAnsi" w:cs="Arial"/>
          <w:sz w:val="24"/>
          <w:szCs w:val="24"/>
        </w:rPr>
        <w:t xml:space="preserve">for states.  </w:t>
      </w:r>
      <w:r w:rsidR="00050C11" w:rsidRPr="00664C39">
        <w:rPr>
          <w:rFonts w:asciiTheme="minorHAnsi" w:hAnsiTheme="minorHAnsi" w:cs="Arial"/>
          <w:sz w:val="24"/>
          <w:szCs w:val="24"/>
        </w:rPr>
        <w:t>The r</w:t>
      </w:r>
      <w:r w:rsidR="000D586E" w:rsidRPr="00664C39">
        <w:rPr>
          <w:rFonts w:asciiTheme="minorHAnsi" w:hAnsiTheme="minorHAnsi" w:cs="Arial"/>
          <w:sz w:val="24"/>
          <w:szCs w:val="24"/>
        </w:rPr>
        <w:t xml:space="preserve">educed burden </w:t>
      </w:r>
      <w:r w:rsidR="00050C11" w:rsidRPr="00664C39">
        <w:rPr>
          <w:rFonts w:asciiTheme="minorHAnsi" w:hAnsiTheme="minorHAnsi" w:cs="Arial"/>
          <w:sz w:val="24"/>
          <w:szCs w:val="24"/>
        </w:rPr>
        <w:t xml:space="preserve">that </w:t>
      </w:r>
      <w:r w:rsidR="009C4172" w:rsidRPr="00664C39">
        <w:rPr>
          <w:rFonts w:asciiTheme="minorHAnsi" w:hAnsiTheme="minorHAnsi" w:cs="Arial"/>
          <w:sz w:val="24"/>
          <w:szCs w:val="24"/>
        </w:rPr>
        <w:t xml:space="preserve">resulted from </w:t>
      </w:r>
      <w:r w:rsidR="000D586E" w:rsidRPr="00664C39">
        <w:rPr>
          <w:rFonts w:asciiTheme="minorHAnsi" w:hAnsiTheme="minorHAnsi" w:cs="Arial"/>
          <w:sz w:val="24"/>
          <w:szCs w:val="24"/>
        </w:rPr>
        <w:t xml:space="preserve">this latter </w:t>
      </w:r>
      <w:r w:rsidR="001F1641" w:rsidRPr="00664C39">
        <w:rPr>
          <w:rFonts w:asciiTheme="minorHAnsi" w:hAnsiTheme="minorHAnsi" w:cs="Arial"/>
          <w:sz w:val="24"/>
          <w:szCs w:val="24"/>
        </w:rPr>
        <w:t xml:space="preserve">commitment </w:t>
      </w:r>
      <w:r w:rsidR="000D586E" w:rsidRPr="00664C39">
        <w:rPr>
          <w:rFonts w:asciiTheme="minorHAnsi" w:hAnsiTheme="minorHAnsi" w:cs="Arial"/>
          <w:sz w:val="24"/>
          <w:szCs w:val="24"/>
        </w:rPr>
        <w:t xml:space="preserve">was </w:t>
      </w:r>
      <w:r w:rsidR="009C4172" w:rsidRPr="00664C39">
        <w:rPr>
          <w:rFonts w:asciiTheme="minorHAnsi" w:hAnsiTheme="minorHAnsi" w:cs="Arial"/>
          <w:sz w:val="24"/>
          <w:szCs w:val="24"/>
        </w:rPr>
        <w:t xml:space="preserve">largely achieved through </w:t>
      </w:r>
      <w:r w:rsidR="00050C11" w:rsidRPr="00664C39">
        <w:rPr>
          <w:rFonts w:asciiTheme="minorHAnsi" w:hAnsiTheme="minorHAnsi" w:cs="Arial"/>
          <w:sz w:val="24"/>
          <w:szCs w:val="24"/>
        </w:rPr>
        <w:t>e</w:t>
      </w:r>
      <w:r w:rsidR="00642A5A" w:rsidRPr="00664C39">
        <w:rPr>
          <w:rFonts w:asciiTheme="minorHAnsi" w:hAnsiTheme="minorHAnsi" w:cs="Arial"/>
          <w:sz w:val="24"/>
          <w:szCs w:val="24"/>
        </w:rPr>
        <w:t>ff</w:t>
      </w:r>
      <w:r w:rsidR="00F80699" w:rsidRPr="00664C39">
        <w:rPr>
          <w:rFonts w:asciiTheme="minorHAnsi" w:hAnsiTheme="minorHAnsi" w:cs="Arial"/>
          <w:sz w:val="24"/>
          <w:szCs w:val="24"/>
        </w:rPr>
        <w:t>iciencies</w:t>
      </w:r>
      <w:r w:rsidR="009C4172" w:rsidRPr="00664C39">
        <w:rPr>
          <w:rFonts w:asciiTheme="minorHAnsi" w:hAnsiTheme="minorHAnsi" w:cs="Arial"/>
          <w:sz w:val="24"/>
          <w:szCs w:val="24"/>
        </w:rPr>
        <w:t xml:space="preserve"> that were created by t</w:t>
      </w:r>
      <w:r w:rsidR="00F80699" w:rsidRPr="00664C39">
        <w:rPr>
          <w:rFonts w:asciiTheme="minorHAnsi" w:hAnsiTheme="minorHAnsi" w:cs="Arial"/>
          <w:sz w:val="24"/>
          <w:szCs w:val="24"/>
        </w:rPr>
        <w:t>he electronic reporting vehicle</w:t>
      </w:r>
      <w:r w:rsidR="00853054" w:rsidRPr="00664C39">
        <w:rPr>
          <w:rFonts w:asciiTheme="minorHAnsi" w:hAnsiTheme="minorHAnsi" w:cs="Arial"/>
          <w:sz w:val="24"/>
          <w:szCs w:val="24"/>
        </w:rPr>
        <w:t xml:space="preserve"> for the state MCH B</w:t>
      </w:r>
      <w:r w:rsidR="000D586E" w:rsidRPr="00664C39">
        <w:rPr>
          <w:rFonts w:asciiTheme="minorHAnsi" w:hAnsiTheme="minorHAnsi" w:cs="Arial"/>
          <w:sz w:val="24"/>
          <w:szCs w:val="24"/>
        </w:rPr>
        <w:t>lock Grant Applications/Annual R</w:t>
      </w:r>
      <w:r w:rsidR="00853054" w:rsidRPr="00664C39">
        <w:rPr>
          <w:rFonts w:asciiTheme="minorHAnsi" w:hAnsiTheme="minorHAnsi" w:cs="Arial"/>
          <w:sz w:val="24"/>
          <w:szCs w:val="24"/>
        </w:rPr>
        <w:t>eports</w:t>
      </w:r>
      <w:r w:rsidR="00B47554" w:rsidRPr="00664C39">
        <w:rPr>
          <w:rFonts w:asciiTheme="minorHAnsi" w:hAnsiTheme="minorHAnsi" w:cs="Arial"/>
          <w:sz w:val="24"/>
          <w:szCs w:val="24"/>
        </w:rPr>
        <w:t>, specifically the</w:t>
      </w:r>
      <w:r w:rsidR="008363CD">
        <w:rPr>
          <w:rFonts w:asciiTheme="minorHAnsi" w:hAnsiTheme="minorHAnsi" w:cs="Arial"/>
          <w:sz w:val="24"/>
          <w:szCs w:val="24"/>
        </w:rPr>
        <w:t xml:space="preserve"> </w:t>
      </w:r>
      <w:r w:rsidR="00F80699" w:rsidRPr="00664C39">
        <w:rPr>
          <w:rFonts w:asciiTheme="minorHAnsi" w:hAnsiTheme="minorHAnsi" w:cs="Arial"/>
          <w:sz w:val="24"/>
          <w:szCs w:val="24"/>
        </w:rPr>
        <w:t>Title V Information System</w:t>
      </w:r>
      <w:r w:rsidR="00B47554" w:rsidRPr="00664C39">
        <w:rPr>
          <w:rFonts w:asciiTheme="minorHAnsi" w:hAnsiTheme="minorHAnsi" w:cs="Arial"/>
          <w:sz w:val="24"/>
          <w:szCs w:val="24"/>
        </w:rPr>
        <w:t xml:space="preserve"> (TVIS.)</w:t>
      </w:r>
    </w:p>
    <w:p w14:paraId="1799AF60" w14:textId="77777777" w:rsidR="00E2659A" w:rsidRPr="00664C39" w:rsidRDefault="00E2659A" w:rsidP="00E2659A">
      <w:pPr>
        <w:widowControl w:val="0"/>
        <w:autoSpaceDE w:val="0"/>
        <w:autoSpaceDN w:val="0"/>
        <w:adjustRightInd w:val="0"/>
        <w:spacing w:after="0" w:line="240" w:lineRule="auto"/>
        <w:ind w:left="720"/>
        <w:rPr>
          <w:rFonts w:asciiTheme="minorHAnsi" w:eastAsia="Times New Roman" w:hAnsiTheme="minorHAnsi" w:cs="Arial"/>
          <w:sz w:val="24"/>
          <w:szCs w:val="24"/>
        </w:rPr>
      </w:pPr>
    </w:p>
    <w:p w14:paraId="7DE9A261" w14:textId="77777777" w:rsidR="00B62E24" w:rsidRPr="00664C39" w:rsidRDefault="00B62E24" w:rsidP="002A005E">
      <w:pPr>
        <w:pStyle w:val="ListParagraph"/>
        <w:numPr>
          <w:ilvl w:val="0"/>
          <w:numId w:val="29"/>
        </w:numPr>
        <w:ind w:left="360"/>
        <w:rPr>
          <w:rFonts w:asciiTheme="minorHAnsi" w:hAnsiTheme="minorHAnsi" w:cs="Arial"/>
          <w:b/>
        </w:rPr>
      </w:pPr>
      <w:r w:rsidRPr="00664C39">
        <w:rPr>
          <w:rFonts w:asciiTheme="minorHAnsi" w:hAnsiTheme="minorHAnsi" w:cs="Arial"/>
          <w:b/>
        </w:rPr>
        <w:t>Title V Information System</w:t>
      </w:r>
      <w:r w:rsidR="00CF4B6B" w:rsidRPr="00664C39">
        <w:rPr>
          <w:rFonts w:asciiTheme="minorHAnsi" w:hAnsiTheme="minorHAnsi" w:cs="Arial"/>
          <w:b/>
        </w:rPr>
        <w:t xml:space="preserve"> </w:t>
      </w:r>
    </w:p>
    <w:p w14:paraId="07075F66" w14:textId="77777777" w:rsidR="00B62E24" w:rsidRPr="00664C39" w:rsidRDefault="00B62E24" w:rsidP="00B62E24">
      <w:pPr>
        <w:spacing w:after="0" w:line="240" w:lineRule="auto"/>
        <w:rPr>
          <w:rFonts w:asciiTheme="minorHAnsi" w:hAnsiTheme="minorHAnsi" w:cs="Arial"/>
          <w:sz w:val="24"/>
          <w:szCs w:val="24"/>
        </w:rPr>
      </w:pPr>
    </w:p>
    <w:p w14:paraId="40E37EC8" w14:textId="68F4CBEC" w:rsidR="001B157F" w:rsidRPr="00664C39" w:rsidRDefault="001B157F" w:rsidP="00664C39">
      <w:pPr>
        <w:spacing w:after="0" w:line="240" w:lineRule="auto"/>
        <w:ind w:left="360"/>
        <w:rPr>
          <w:rFonts w:asciiTheme="minorHAnsi" w:hAnsiTheme="minorHAnsi" w:cs="Arial"/>
          <w:sz w:val="24"/>
          <w:szCs w:val="24"/>
        </w:rPr>
      </w:pPr>
      <w:r w:rsidRPr="00664C39">
        <w:rPr>
          <w:rFonts w:asciiTheme="minorHAnsi" w:hAnsiTheme="minorHAnsi" w:cs="Arial"/>
          <w:sz w:val="24"/>
          <w:szCs w:val="24"/>
        </w:rPr>
        <w:t>The development of an electronic reporting package in 1996 was a</w:t>
      </w:r>
      <w:r w:rsidR="00E31E2C" w:rsidRPr="00664C39">
        <w:rPr>
          <w:rFonts w:asciiTheme="minorHAnsi" w:hAnsiTheme="minorHAnsi" w:cs="Arial"/>
          <w:sz w:val="24"/>
          <w:szCs w:val="24"/>
        </w:rPr>
        <w:t xml:space="preserve"> </w:t>
      </w:r>
      <w:r w:rsidRPr="00664C39">
        <w:rPr>
          <w:rFonts w:asciiTheme="minorHAnsi" w:hAnsiTheme="minorHAnsi" w:cs="Arial"/>
          <w:sz w:val="24"/>
          <w:szCs w:val="24"/>
        </w:rPr>
        <w:t xml:space="preserve">significant </w:t>
      </w:r>
      <w:r w:rsidR="00CA707A" w:rsidRPr="00664C39">
        <w:rPr>
          <w:rFonts w:asciiTheme="minorHAnsi" w:hAnsiTheme="minorHAnsi" w:cs="Arial"/>
          <w:sz w:val="24"/>
          <w:szCs w:val="24"/>
        </w:rPr>
        <w:t>milestone for</w:t>
      </w:r>
      <w:r w:rsidRPr="00664C39">
        <w:rPr>
          <w:rFonts w:asciiTheme="minorHAnsi" w:hAnsiTheme="minorHAnsi" w:cs="Arial"/>
          <w:sz w:val="24"/>
          <w:szCs w:val="24"/>
        </w:rPr>
        <w:t xml:space="preserve"> the </w:t>
      </w:r>
      <w:r w:rsidR="004B3F77">
        <w:rPr>
          <w:rFonts w:asciiTheme="minorHAnsi" w:hAnsiTheme="minorHAnsi" w:cs="Arial"/>
          <w:sz w:val="24"/>
          <w:szCs w:val="24"/>
        </w:rPr>
        <w:t xml:space="preserve">State MCH </w:t>
      </w:r>
      <w:r w:rsidRPr="00664C39">
        <w:rPr>
          <w:rFonts w:asciiTheme="minorHAnsi" w:hAnsiTheme="minorHAnsi" w:cs="Arial"/>
          <w:sz w:val="24"/>
          <w:szCs w:val="24"/>
        </w:rPr>
        <w:t>Block Grant</w:t>
      </w:r>
      <w:r w:rsidR="004B3F77">
        <w:rPr>
          <w:rFonts w:asciiTheme="minorHAnsi" w:hAnsiTheme="minorHAnsi" w:cs="Arial"/>
          <w:sz w:val="24"/>
          <w:szCs w:val="24"/>
        </w:rPr>
        <w:t>s</w:t>
      </w:r>
      <w:r w:rsidRPr="00664C39">
        <w:rPr>
          <w:rFonts w:asciiTheme="minorHAnsi" w:hAnsiTheme="minorHAnsi" w:cs="Arial"/>
          <w:sz w:val="24"/>
          <w:szCs w:val="24"/>
        </w:rPr>
        <w:t xml:space="preserve">.  Advances in technology </w:t>
      </w:r>
      <w:r w:rsidR="00350DC4" w:rsidRPr="00664C39">
        <w:rPr>
          <w:rFonts w:asciiTheme="minorHAnsi" w:hAnsiTheme="minorHAnsi" w:cs="Arial"/>
          <w:sz w:val="24"/>
          <w:szCs w:val="24"/>
        </w:rPr>
        <w:t xml:space="preserve">allowed for </w:t>
      </w:r>
      <w:r w:rsidRPr="00664C39">
        <w:rPr>
          <w:rFonts w:asciiTheme="minorHAnsi" w:hAnsiTheme="minorHAnsi" w:cs="Arial"/>
          <w:sz w:val="24"/>
          <w:szCs w:val="24"/>
        </w:rPr>
        <w:t xml:space="preserve">the development of an electronic information system </w:t>
      </w:r>
      <w:r w:rsidR="00350DC4" w:rsidRPr="00664C39">
        <w:rPr>
          <w:rFonts w:asciiTheme="minorHAnsi" w:hAnsiTheme="minorHAnsi" w:cs="Arial"/>
          <w:sz w:val="24"/>
          <w:szCs w:val="24"/>
        </w:rPr>
        <w:t xml:space="preserve">(TVIS) </w:t>
      </w:r>
      <w:r w:rsidR="00CA707A" w:rsidRPr="00664C39">
        <w:rPr>
          <w:rFonts w:asciiTheme="minorHAnsi" w:hAnsiTheme="minorHAnsi" w:cs="Arial"/>
          <w:sz w:val="24"/>
          <w:szCs w:val="24"/>
        </w:rPr>
        <w:t xml:space="preserve">within </w:t>
      </w:r>
      <w:r w:rsidR="00BD4F0B" w:rsidRPr="00664C39">
        <w:rPr>
          <w:rFonts w:asciiTheme="minorHAnsi" w:hAnsiTheme="minorHAnsi" w:cs="Arial"/>
          <w:sz w:val="24"/>
          <w:szCs w:val="24"/>
        </w:rPr>
        <w:t xml:space="preserve">the next </w:t>
      </w:r>
      <w:r w:rsidR="00350AA7" w:rsidRPr="00664C39">
        <w:rPr>
          <w:rFonts w:asciiTheme="minorHAnsi" w:hAnsiTheme="minorHAnsi" w:cs="Arial"/>
          <w:sz w:val="24"/>
          <w:szCs w:val="24"/>
        </w:rPr>
        <w:t xml:space="preserve">several </w:t>
      </w:r>
      <w:r w:rsidR="00CA707A" w:rsidRPr="00664C39">
        <w:rPr>
          <w:rFonts w:asciiTheme="minorHAnsi" w:hAnsiTheme="minorHAnsi" w:cs="Arial"/>
          <w:sz w:val="24"/>
          <w:szCs w:val="24"/>
        </w:rPr>
        <w:t xml:space="preserve">years.  The TVIS </w:t>
      </w:r>
      <w:r w:rsidRPr="00664C39">
        <w:rPr>
          <w:rFonts w:asciiTheme="minorHAnsi" w:hAnsiTheme="minorHAnsi" w:cs="Arial"/>
          <w:sz w:val="24"/>
          <w:szCs w:val="24"/>
        </w:rPr>
        <w:t>is designed to capture the performance data and other program and financia</w:t>
      </w:r>
      <w:r w:rsidR="007349A8" w:rsidRPr="00664C39">
        <w:rPr>
          <w:rFonts w:asciiTheme="minorHAnsi" w:hAnsiTheme="minorHAnsi" w:cs="Arial"/>
          <w:sz w:val="24"/>
          <w:szCs w:val="24"/>
        </w:rPr>
        <w:t>l information contained in the s</w:t>
      </w:r>
      <w:r w:rsidRPr="00664C39">
        <w:rPr>
          <w:rFonts w:asciiTheme="minorHAnsi" w:hAnsiTheme="minorHAnsi" w:cs="Arial"/>
          <w:sz w:val="24"/>
          <w:szCs w:val="24"/>
        </w:rPr>
        <w:t xml:space="preserve">tate Applications/Annual Reports.  </w:t>
      </w:r>
      <w:r w:rsidR="00CA707A" w:rsidRPr="00664C39">
        <w:rPr>
          <w:rFonts w:asciiTheme="minorHAnsi" w:hAnsiTheme="minorHAnsi" w:cs="Arial"/>
          <w:sz w:val="24"/>
          <w:szCs w:val="24"/>
        </w:rPr>
        <w:t xml:space="preserve">While descriptive </w:t>
      </w:r>
      <w:r w:rsidRPr="00664C39">
        <w:rPr>
          <w:rFonts w:asciiTheme="minorHAnsi" w:hAnsiTheme="minorHAnsi" w:cs="Arial"/>
          <w:sz w:val="24"/>
          <w:szCs w:val="24"/>
        </w:rPr>
        <w:t xml:space="preserve">information </w:t>
      </w:r>
      <w:r w:rsidR="00CA707A" w:rsidRPr="00664C39">
        <w:rPr>
          <w:rFonts w:asciiTheme="minorHAnsi" w:hAnsiTheme="minorHAnsi" w:cs="Arial"/>
          <w:sz w:val="24"/>
          <w:szCs w:val="24"/>
        </w:rPr>
        <w:t xml:space="preserve">is available </w:t>
      </w:r>
      <w:r w:rsidRPr="00664C39">
        <w:rPr>
          <w:rFonts w:asciiTheme="minorHAnsi" w:hAnsiTheme="minorHAnsi" w:cs="Arial"/>
          <w:sz w:val="24"/>
          <w:szCs w:val="24"/>
        </w:rPr>
        <w:t xml:space="preserve">on state </w:t>
      </w:r>
      <w:r w:rsidR="00CA707A" w:rsidRPr="00664C39">
        <w:rPr>
          <w:rFonts w:asciiTheme="minorHAnsi" w:hAnsiTheme="minorHAnsi" w:cs="Arial"/>
          <w:sz w:val="24"/>
          <w:szCs w:val="24"/>
        </w:rPr>
        <w:t>Title V-</w:t>
      </w:r>
      <w:r w:rsidRPr="00664C39">
        <w:rPr>
          <w:rFonts w:asciiTheme="minorHAnsi" w:hAnsiTheme="minorHAnsi" w:cs="Arial"/>
          <w:sz w:val="24"/>
          <w:szCs w:val="24"/>
        </w:rPr>
        <w:t xml:space="preserve">supported </w:t>
      </w:r>
      <w:r w:rsidR="00CA707A" w:rsidRPr="00664C39">
        <w:rPr>
          <w:rFonts w:asciiTheme="minorHAnsi" w:hAnsiTheme="minorHAnsi" w:cs="Arial"/>
          <w:sz w:val="24"/>
          <w:szCs w:val="24"/>
        </w:rPr>
        <w:t xml:space="preserve">efforts, </w:t>
      </w:r>
      <w:r w:rsidR="00145E66" w:rsidRPr="00664C39">
        <w:rPr>
          <w:rFonts w:asciiTheme="minorHAnsi" w:hAnsiTheme="minorHAnsi" w:cs="Arial"/>
          <w:sz w:val="24"/>
          <w:szCs w:val="24"/>
        </w:rPr>
        <w:t xml:space="preserve">state MCH partnership efforts and </w:t>
      </w:r>
      <w:r w:rsidRPr="00664C39">
        <w:rPr>
          <w:rFonts w:asciiTheme="minorHAnsi" w:hAnsiTheme="minorHAnsi" w:cs="Arial"/>
          <w:sz w:val="24"/>
          <w:szCs w:val="24"/>
        </w:rPr>
        <w:t xml:space="preserve">other </w:t>
      </w:r>
      <w:r w:rsidR="00145E66" w:rsidRPr="00664C39">
        <w:rPr>
          <w:rFonts w:asciiTheme="minorHAnsi" w:hAnsiTheme="minorHAnsi" w:cs="Arial"/>
          <w:sz w:val="24"/>
          <w:szCs w:val="24"/>
        </w:rPr>
        <w:t>program</w:t>
      </w:r>
      <w:r w:rsidR="00350AA7" w:rsidRPr="00664C39">
        <w:rPr>
          <w:rFonts w:asciiTheme="minorHAnsi" w:hAnsiTheme="minorHAnsi" w:cs="Arial"/>
          <w:sz w:val="24"/>
          <w:szCs w:val="24"/>
        </w:rPr>
        <w:t xml:space="preserve">-specific </w:t>
      </w:r>
      <w:r w:rsidR="00145E66" w:rsidRPr="00664C39">
        <w:rPr>
          <w:rFonts w:asciiTheme="minorHAnsi" w:hAnsiTheme="minorHAnsi" w:cs="Arial"/>
          <w:sz w:val="24"/>
          <w:szCs w:val="24"/>
        </w:rPr>
        <w:t xml:space="preserve">initiatives </w:t>
      </w:r>
      <w:r w:rsidR="00AA6453" w:rsidRPr="00664C39">
        <w:rPr>
          <w:rFonts w:asciiTheme="minorHAnsi" w:hAnsiTheme="minorHAnsi" w:cs="Arial"/>
          <w:sz w:val="24"/>
          <w:szCs w:val="24"/>
        </w:rPr>
        <w:t>of the s</w:t>
      </w:r>
      <w:r w:rsidR="00350AA7" w:rsidRPr="00664C39">
        <w:rPr>
          <w:rFonts w:asciiTheme="minorHAnsi" w:hAnsiTheme="minorHAnsi" w:cs="Arial"/>
          <w:sz w:val="24"/>
          <w:szCs w:val="24"/>
        </w:rPr>
        <w:t xml:space="preserve">tate in </w:t>
      </w:r>
      <w:r w:rsidR="00AA6453" w:rsidRPr="00664C39">
        <w:rPr>
          <w:rFonts w:asciiTheme="minorHAnsi" w:hAnsiTheme="minorHAnsi" w:cs="Arial"/>
          <w:sz w:val="24"/>
          <w:szCs w:val="24"/>
        </w:rPr>
        <w:t xml:space="preserve">meeting </w:t>
      </w:r>
      <w:r w:rsidR="00350AA7" w:rsidRPr="00664C39">
        <w:rPr>
          <w:rFonts w:asciiTheme="minorHAnsi" w:hAnsiTheme="minorHAnsi" w:cs="Arial"/>
          <w:sz w:val="24"/>
          <w:szCs w:val="24"/>
        </w:rPr>
        <w:t xml:space="preserve">its </w:t>
      </w:r>
      <w:r w:rsidRPr="00664C39">
        <w:rPr>
          <w:rFonts w:asciiTheme="minorHAnsi" w:hAnsiTheme="minorHAnsi" w:cs="Arial"/>
          <w:sz w:val="24"/>
          <w:szCs w:val="24"/>
        </w:rPr>
        <w:t>MCH needs, TVIS</w:t>
      </w:r>
      <w:r w:rsidR="00E5347D" w:rsidRPr="00664C39">
        <w:rPr>
          <w:rFonts w:asciiTheme="minorHAnsi" w:hAnsiTheme="minorHAnsi" w:cs="Arial"/>
          <w:sz w:val="24"/>
          <w:szCs w:val="24"/>
        </w:rPr>
        <w:t xml:space="preserve"> </w:t>
      </w:r>
      <w:r w:rsidRPr="00664C39">
        <w:rPr>
          <w:rFonts w:asciiTheme="minorHAnsi" w:hAnsiTheme="minorHAnsi" w:cs="Arial"/>
          <w:sz w:val="24"/>
          <w:szCs w:val="24"/>
        </w:rPr>
        <w:t>primar</w:t>
      </w:r>
      <w:r w:rsidR="00E5347D" w:rsidRPr="00664C39">
        <w:rPr>
          <w:rFonts w:asciiTheme="minorHAnsi" w:hAnsiTheme="minorHAnsi" w:cs="Arial"/>
          <w:sz w:val="24"/>
          <w:szCs w:val="24"/>
        </w:rPr>
        <w:t>il</w:t>
      </w:r>
      <w:r w:rsidRPr="00664C39">
        <w:rPr>
          <w:rFonts w:asciiTheme="minorHAnsi" w:hAnsiTheme="minorHAnsi" w:cs="Arial"/>
          <w:sz w:val="24"/>
          <w:szCs w:val="24"/>
        </w:rPr>
        <w:t xml:space="preserve">y </w:t>
      </w:r>
      <w:r w:rsidR="00E5347D" w:rsidRPr="00664C39">
        <w:rPr>
          <w:rFonts w:asciiTheme="minorHAnsi" w:hAnsiTheme="minorHAnsi" w:cs="Arial"/>
          <w:sz w:val="24"/>
          <w:szCs w:val="24"/>
        </w:rPr>
        <w:t xml:space="preserve">serves as </w:t>
      </w:r>
      <w:r w:rsidRPr="00664C39">
        <w:rPr>
          <w:rFonts w:asciiTheme="minorHAnsi" w:hAnsiTheme="minorHAnsi" w:cs="Arial"/>
          <w:sz w:val="24"/>
          <w:szCs w:val="24"/>
        </w:rPr>
        <w:t xml:space="preserve">an online, Web-accessible </w:t>
      </w:r>
      <w:r w:rsidR="00B146B3" w:rsidRPr="00664C39">
        <w:rPr>
          <w:rFonts w:asciiTheme="minorHAnsi" w:hAnsiTheme="minorHAnsi" w:cs="Arial"/>
          <w:sz w:val="24"/>
          <w:szCs w:val="24"/>
        </w:rPr>
        <w:t xml:space="preserve">interface for the submission of the </w:t>
      </w:r>
      <w:r w:rsidRPr="00664C39">
        <w:rPr>
          <w:rFonts w:asciiTheme="minorHAnsi" w:hAnsiTheme="minorHAnsi" w:cs="Arial"/>
          <w:sz w:val="24"/>
          <w:szCs w:val="24"/>
        </w:rPr>
        <w:t xml:space="preserve">59 </w:t>
      </w:r>
      <w:r w:rsidR="00E5347D" w:rsidRPr="00664C39">
        <w:rPr>
          <w:rFonts w:asciiTheme="minorHAnsi" w:hAnsiTheme="minorHAnsi" w:cs="Arial"/>
          <w:sz w:val="24"/>
          <w:szCs w:val="24"/>
        </w:rPr>
        <w:t xml:space="preserve">state and jurisdictional </w:t>
      </w:r>
      <w:r w:rsidRPr="00664C39">
        <w:rPr>
          <w:rFonts w:asciiTheme="minorHAnsi" w:hAnsiTheme="minorHAnsi" w:cs="Arial"/>
          <w:sz w:val="24"/>
          <w:szCs w:val="24"/>
        </w:rPr>
        <w:t xml:space="preserve">Title V </w:t>
      </w:r>
      <w:r w:rsidR="00B146B3" w:rsidRPr="00664C39">
        <w:rPr>
          <w:rFonts w:asciiTheme="minorHAnsi" w:hAnsiTheme="minorHAnsi" w:cs="Arial"/>
          <w:sz w:val="24"/>
          <w:szCs w:val="24"/>
        </w:rPr>
        <w:t xml:space="preserve">MCH </w:t>
      </w:r>
      <w:r w:rsidRPr="00664C39">
        <w:rPr>
          <w:rFonts w:asciiTheme="minorHAnsi" w:hAnsiTheme="minorHAnsi" w:cs="Arial"/>
          <w:sz w:val="24"/>
          <w:szCs w:val="24"/>
        </w:rPr>
        <w:t>Block Grant</w:t>
      </w:r>
      <w:r w:rsidR="00B146B3" w:rsidRPr="00664C39">
        <w:rPr>
          <w:rFonts w:asciiTheme="minorHAnsi" w:hAnsiTheme="minorHAnsi" w:cs="Arial"/>
          <w:sz w:val="24"/>
          <w:szCs w:val="24"/>
        </w:rPr>
        <w:t xml:space="preserve"> </w:t>
      </w:r>
      <w:r w:rsidRPr="00664C39">
        <w:rPr>
          <w:rFonts w:asciiTheme="minorHAnsi" w:hAnsiTheme="minorHAnsi" w:cs="Arial"/>
          <w:sz w:val="24"/>
          <w:szCs w:val="24"/>
        </w:rPr>
        <w:t>Application</w:t>
      </w:r>
      <w:r w:rsidR="00CF4B6B" w:rsidRPr="00664C39">
        <w:rPr>
          <w:rFonts w:asciiTheme="minorHAnsi" w:hAnsiTheme="minorHAnsi" w:cs="Arial"/>
          <w:sz w:val="24"/>
          <w:szCs w:val="24"/>
        </w:rPr>
        <w:t>s</w:t>
      </w:r>
      <w:r w:rsidRPr="00664C39">
        <w:rPr>
          <w:rFonts w:asciiTheme="minorHAnsi" w:hAnsiTheme="minorHAnsi" w:cs="Arial"/>
          <w:sz w:val="24"/>
          <w:szCs w:val="24"/>
        </w:rPr>
        <w:t>/Annual Report</w:t>
      </w:r>
      <w:r w:rsidR="00CF4B6B" w:rsidRPr="00664C39">
        <w:rPr>
          <w:rFonts w:asciiTheme="minorHAnsi" w:hAnsiTheme="minorHAnsi" w:cs="Arial"/>
          <w:sz w:val="24"/>
          <w:szCs w:val="24"/>
        </w:rPr>
        <w:t>s</w:t>
      </w:r>
      <w:r w:rsidR="00350AA7" w:rsidRPr="00664C39">
        <w:rPr>
          <w:rFonts w:asciiTheme="minorHAnsi" w:hAnsiTheme="minorHAnsi" w:cs="Arial"/>
          <w:sz w:val="24"/>
          <w:szCs w:val="24"/>
        </w:rPr>
        <w:t xml:space="preserve"> </w:t>
      </w:r>
      <w:r w:rsidR="00CF4B6B" w:rsidRPr="00664C39">
        <w:rPr>
          <w:rFonts w:asciiTheme="minorHAnsi" w:hAnsiTheme="minorHAnsi" w:cs="Arial"/>
          <w:sz w:val="24"/>
          <w:szCs w:val="24"/>
        </w:rPr>
        <w:t xml:space="preserve">each year </w:t>
      </w:r>
      <w:r w:rsidR="00435228">
        <w:rPr>
          <w:rFonts w:asciiTheme="minorHAnsi" w:hAnsiTheme="minorHAnsi" w:cs="Arial"/>
          <w:sz w:val="24"/>
          <w:szCs w:val="24"/>
        </w:rPr>
        <w:t>by</w:t>
      </w:r>
      <w:r w:rsidR="00350AA7" w:rsidRPr="00664C39">
        <w:rPr>
          <w:rFonts w:asciiTheme="minorHAnsi" w:hAnsiTheme="minorHAnsi" w:cs="Arial"/>
          <w:sz w:val="24"/>
          <w:szCs w:val="24"/>
        </w:rPr>
        <w:t xml:space="preserve"> July 15</w:t>
      </w:r>
      <w:r w:rsidR="00350AA7" w:rsidRPr="00664C39">
        <w:rPr>
          <w:rFonts w:asciiTheme="minorHAnsi" w:hAnsiTheme="minorHAnsi" w:cs="Arial"/>
          <w:sz w:val="24"/>
          <w:szCs w:val="24"/>
          <w:vertAlign w:val="superscript"/>
        </w:rPr>
        <w:t>th</w:t>
      </w:r>
      <w:r w:rsidR="00350AA7" w:rsidRPr="00664C39">
        <w:rPr>
          <w:rFonts w:asciiTheme="minorHAnsi" w:hAnsiTheme="minorHAnsi" w:cs="Arial"/>
          <w:sz w:val="24"/>
          <w:szCs w:val="24"/>
        </w:rPr>
        <w:t>.</w:t>
      </w:r>
      <w:r w:rsidRPr="00664C39">
        <w:rPr>
          <w:rFonts w:asciiTheme="minorHAnsi" w:hAnsiTheme="minorHAnsi" w:cs="Arial"/>
          <w:sz w:val="24"/>
          <w:szCs w:val="24"/>
        </w:rPr>
        <w:t xml:space="preserve">  Developed in conjunction with the program requirements outlined in the Title V MCH Block Grant Application/Annual Report Guidance</w:t>
      </w:r>
      <w:r w:rsidR="00054EE6" w:rsidRPr="00664C39">
        <w:rPr>
          <w:rFonts w:asciiTheme="minorHAnsi" w:hAnsiTheme="minorHAnsi" w:cs="Arial"/>
          <w:sz w:val="24"/>
          <w:szCs w:val="24"/>
        </w:rPr>
        <w:t xml:space="preserve">, the TVIS is </w:t>
      </w:r>
      <w:r w:rsidRPr="00664C39">
        <w:rPr>
          <w:rFonts w:asciiTheme="minorHAnsi" w:hAnsiTheme="minorHAnsi" w:cs="Arial"/>
          <w:sz w:val="24"/>
          <w:szCs w:val="24"/>
        </w:rPr>
        <w:t>available to the public on the World Wide Web at:</w:t>
      </w:r>
      <w:r w:rsidR="00054EE6" w:rsidRPr="00664C39">
        <w:rPr>
          <w:rFonts w:asciiTheme="minorHAnsi" w:hAnsiTheme="minorHAnsi" w:cs="Arial"/>
          <w:sz w:val="24"/>
          <w:szCs w:val="24"/>
        </w:rPr>
        <w:t xml:space="preserve"> </w:t>
      </w:r>
      <w:hyperlink r:id="rId17" w:history="1">
        <w:r w:rsidR="00054EE6" w:rsidRPr="00664C39">
          <w:rPr>
            <w:rStyle w:val="Hyperlink"/>
            <w:rFonts w:asciiTheme="minorHAnsi" w:hAnsiTheme="minorHAnsi" w:cs="Arial"/>
            <w:sz w:val="24"/>
            <w:szCs w:val="24"/>
          </w:rPr>
          <w:t>https://mchdata.hrsa.gov/TVISReports/</w:t>
        </w:r>
      </w:hyperlink>
      <w:r w:rsidR="006E4B69" w:rsidRPr="00664C39">
        <w:rPr>
          <w:rFonts w:asciiTheme="minorHAnsi" w:hAnsiTheme="minorHAnsi" w:cs="Arial"/>
          <w:sz w:val="24"/>
          <w:szCs w:val="24"/>
        </w:rPr>
        <w:t xml:space="preserve">.  Over the years, </w:t>
      </w:r>
      <w:r w:rsidRPr="00664C39">
        <w:rPr>
          <w:rFonts w:asciiTheme="minorHAnsi" w:hAnsiTheme="minorHAnsi" w:cs="Arial"/>
          <w:sz w:val="24"/>
          <w:szCs w:val="24"/>
        </w:rPr>
        <w:t xml:space="preserve">the TVIS has </w:t>
      </w:r>
      <w:r w:rsidR="00862B42" w:rsidRPr="00664C39">
        <w:rPr>
          <w:rFonts w:asciiTheme="minorHAnsi" w:hAnsiTheme="minorHAnsi" w:cs="Arial"/>
          <w:sz w:val="24"/>
          <w:szCs w:val="24"/>
        </w:rPr>
        <w:t xml:space="preserve">increasingly </w:t>
      </w:r>
      <w:r w:rsidRPr="00664C39">
        <w:rPr>
          <w:rFonts w:asciiTheme="minorHAnsi" w:hAnsiTheme="minorHAnsi" w:cs="Arial"/>
          <w:sz w:val="24"/>
          <w:szCs w:val="24"/>
        </w:rPr>
        <w:t>be</w:t>
      </w:r>
      <w:r w:rsidR="00862B42" w:rsidRPr="00664C39">
        <w:rPr>
          <w:rFonts w:asciiTheme="minorHAnsi" w:hAnsiTheme="minorHAnsi" w:cs="Arial"/>
          <w:sz w:val="24"/>
          <w:szCs w:val="24"/>
        </w:rPr>
        <w:t xml:space="preserve">come </w:t>
      </w:r>
      <w:r w:rsidR="006E4B69" w:rsidRPr="00664C39">
        <w:rPr>
          <w:rFonts w:asciiTheme="minorHAnsi" w:hAnsiTheme="minorHAnsi" w:cs="Arial"/>
          <w:sz w:val="24"/>
          <w:szCs w:val="24"/>
        </w:rPr>
        <w:t xml:space="preserve">recognized as a powerful and </w:t>
      </w:r>
      <w:r w:rsidRPr="00664C39">
        <w:rPr>
          <w:rFonts w:asciiTheme="minorHAnsi" w:hAnsiTheme="minorHAnsi" w:cs="Arial"/>
          <w:sz w:val="24"/>
          <w:szCs w:val="24"/>
        </w:rPr>
        <w:t>useful tool for a number of audiences.</w:t>
      </w:r>
      <w:r w:rsidR="006E4B69" w:rsidRPr="00664C39">
        <w:rPr>
          <w:rFonts w:asciiTheme="minorHAnsi" w:hAnsiTheme="minorHAnsi" w:cs="Arial"/>
          <w:sz w:val="24"/>
          <w:szCs w:val="24"/>
        </w:rPr>
        <w:t xml:space="preserve">  </w:t>
      </w:r>
      <w:r w:rsidR="00862B42" w:rsidRPr="00664C39">
        <w:rPr>
          <w:rFonts w:asciiTheme="minorHAnsi" w:hAnsiTheme="minorHAnsi" w:cs="Arial"/>
          <w:sz w:val="24"/>
          <w:szCs w:val="24"/>
        </w:rPr>
        <w:t>T</w:t>
      </w:r>
      <w:r w:rsidR="006E4B69" w:rsidRPr="00664C39">
        <w:rPr>
          <w:rFonts w:asciiTheme="minorHAnsi" w:hAnsiTheme="minorHAnsi" w:cs="Arial"/>
          <w:sz w:val="24"/>
          <w:szCs w:val="24"/>
        </w:rPr>
        <w:t xml:space="preserve">he </w:t>
      </w:r>
      <w:r w:rsidRPr="00664C39">
        <w:rPr>
          <w:rFonts w:asciiTheme="minorHAnsi" w:hAnsiTheme="minorHAnsi" w:cs="Arial"/>
          <w:sz w:val="24"/>
          <w:szCs w:val="24"/>
        </w:rPr>
        <w:t xml:space="preserve">transformational changes </w:t>
      </w:r>
      <w:r w:rsidR="007349A8" w:rsidRPr="00664C39">
        <w:rPr>
          <w:rFonts w:asciiTheme="minorHAnsi" w:hAnsiTheme="minorHAnsi" w:cs="Arial"/>
          <w:sz w:val="24"/>
          <w:szCs w:val="24"/>
        </w:rPr>
        <w:t xml:space="preserve">to </w:t>
      </w:r>
      <w:r w:rsidRPr="00664C39">
        <w:rPr>
          <w:rFonts w:asciiTheme="minorHAnsi" w:hAnsiTheme="minorHAnsi" w:cs="Arial"/>
          <w:sz w:val="24"/>
          <w:szCs w:val="24"/>
        </w:rPr>
        <w:t>the MCH</w:t>
      </w:r>
      <w:r w:rsidR="006E4B69" w:rsidRPr="00664C39">
        <w:rPr>
          <w:rFonts w:asciiTheme="minorHAnsi" w:hAnsiTheme="minorHAnsi" w:cs="Arial"/>
          <w:sz w:val="24"/>
          <w:szCs w:val="24"/>
        </w:rPr>
        <w:t xml:space="preserve"> Block Grant </w:t>
      </w:r>
      <w:r w:rsidR="007349A8" w:rsidRPr="00664C39">
        <w:rPr>
          <w:rFonts w:asciiTheme="minorHAnsi" w:hAnsiTheme="minorHAnsi" w:cs="Arial"/>
          <w:sz w:val="24"/>
          <w:szCs w:val="24"/>
        </w:rPr>
        <w:t xml:space="preserve">outlined in this revised Application/Annual Report Guidance </w:t>
      </w:r>
      <w:r w:rsidRPr="00664C39">
        <w:rPr>
          <w:rFonts w:asciiTheme="minorHAnsi" w:hAnsiTheme="minorHAnsi" w:cs="Arial"/>
          <w:sz w:val="24"/>
          <w:szCs w:val="24"/>
        </w:rPr>
        <w:t>mandate the development of a new data collection and web report system for the TVIS</w:t>
      </w:r>
      <w:r w:rsidR="00951FCA" w:rsidRPr="00664C39">
        <w:rPr>
          <w:rFonts w:asciiTheme="minorHAnsi" w:hAnsiTheme="minorHAnsi" w:cs="Arial"/>
          <w:sz w:val="24"/>
          <w:szCs w:val="24"/>
        </w:rPr>
        <w:t xml:space="preserve">.  HRSA </w:t>
      </w:r>
      <w:r w:rsidR="00141B30" w:rsidRPr="00664C39">
        <w:rPr>
          <w:rFonts w:asciiTheme="minorHAnsi" w:hAnsiTheme="minorHAnsi" w:cs="Arial"/>
          <w:sz w:val="24"/>
          <w:szCs w:val="24"/>
        </w:rPr>
        <w:t xml:space="preserve">is providing funding support for a contract to </w:t>
      </w:r>
      <w:r w:rsidR="00951FCA" w:rsidRPr="00664C39">
        <w:rPr>
          <w:rFonts w:asciiTheme="minorHAnsi" w:hAnsiTheme="minorHAnsi" w:cs="Arial"/>
          <w:sz w:val="24"/>
          <w:szCs w:val="24"/>
        </w:rPr>
        <w:t>develop</w:t>
      </w:r>
      <w:r w:rsidR="00095EAE" w:rsidRPr="00664C39">
        <w:rPr>
          <w:rFonts w:asciiTheme="minorHAnsi" w:hAnsiTheme="minorHAnsi" w:cs="Arial"/>
          <w:sz w:val="24"/>
          <w:szCs w:val="24"/>
        </w:rPr>
        <w:t xml:space="preserve">, </w:t>
      </w:r>
      <w:r w:rsidR="00951FCA" w:rsidRPr="00664C39">
        <w:rPr>
          <w:rFonts w:asciiTheme="minorHAnsi" w:hAnsiTheme="minorHAnsi" w:cs="Arial"/>
          <w:sz w:val="24"/>
          <w:szCs w:val="24"/>
        </w:rPr>
        <w:t>implement</w:t>
      </w:r>
      <w:r w:rsidR="00095EAE" w:rsidRPr="00664C39">
        <w:rPr>
          <w:rFonts w:asciiTheme="minorHAnsi" w:hAnsiTheme="minorHAnsi" w:cs="Arial"/>
          <w:sz w:val="24"/>
          <w:szCs w:val="24"/>
        </w:rPr>
        <w:t xml:space="preserve"> and </w:t>
      </w:r>
      <w:r w:rsidR="002E44B4" w:rsidRPr="00664C39">
        <w:rPr>
          <w:rFonts w:asciiTheme="minorHAnsi" w:hAnsiTheme="minorHAnsi" w:cs="Arial"/>
          <w:sz w:val="24"/>
          <w:szCs w:val="24"/>
        </w:rPr>
        <w:t xml:space="preserve">operate </w:t>
      </w:r>
      <w:r w:rsidR="00141B30" w:rsidRPr="00664C39">
        <w:rPr>
          <w:rFonts w:asciiTheme="minorHAnsi" w:hAnsiTheme="minorHAnsi" w:cs="Arial"/>
          <w:sz w:val="24"/>
          <w:szCs w:val="24"/>
        </w:rPr>
        <w:t>th</w:t>
      </w:r>
      <w:r w:rsidR="00095EAE" w:rsidRPr="00664C39">
        <w:rPr>
          <w:rFonts w:asciiTheme="minorHAnsi" w:hAnsiTheme="minorHAnsi" w:cs="Arial"/>
          <w:sz w:val="24"/>
          <w:szCs w:val="24"/>
        </w:rPr>
        <w:t>is</w:t>
      </w:r>
      <w:r w:rsidR="00141B30" w:rsidRPr="00664C39">
        <w:rPr>
          <w:rFonts w:asciiTheme="minorHAnsi" w:hAnsiTheme="minorHAnsi" w:cs="Arial"/>
          <w:sz w:val="24"/>
          <w:szCs w:val="24"/>
        </w:rPr>
        <w:t xml:space="preserve"> </w:t>
      </w:r>
      <w:r w:rsidR="00951FCA" w:rsidRPr="00664C39">
        <w:rPr>
          <w:rFonts w:asciiTheme="minorHAnsi" w:hAnsiTheme="minorHAnsi" w:cs="Arial"/>
          <w:sz w:val="24"/>
          <w:szCs w:val="24"/>
        </w:rPr>
        <w:t xml:space="preserve">new information system.  </w:t>
      </w:r>
    </w:p>
    <w:p w14:paraId="7283975E" w14:textId="77777777" w:rsidR="001B157F" w:rsidRPr="00664C39" w:rsidRDefault="001B157F" w:rsidP="00B62E24">
      <w:pPr>
        <w:spacing w:after="0" w:line="240" w:lineRule="auto"/>
        <w:rPr>
          <w:rFonts w:asciiTheme="minorHAnsi" w:hAnsiTheme="minorHAnsi" w:cs="Arial"/>
          <w:sz w:val="24"/>
          <w:szCs w:val="24"/>
        </w:rPr>
      </w:pPr>
    </w:p>
    <w:p w14:paraId="3D52F3C0" w14:textId="6E428231" w:rsidR="00B62E24" w:rsidRPr="00664C39" w:rsidRDefault="00B62E24" w:rsidP="00664C39">
      <w:pPr>
        <w:spacing w:after="0" w:line="240" w:lineRule="auto"/>
        <w:ind w:left="360"/>
        <w:rPr>
          <w:rFonts w:asciiTheme="minorHAnsi" w:hAnsiTheme="minorHAnsi" w:cs="Arial"/>
          <w:sz w:val="24"/>
          <w:szCs w:val="24"/>
        </w:rPr>
      </w:pPr>
      <w:r w:rsidRPr="00664C39">
        <w:rPr>
          <w:rFonts w:asciiTheme="minorHAnsi" w:hAnsiTheme="minorHAnsi" w:cs="Arial"/>
          <w:sz w:val="24"/>
          <w:szCs w:val="24"/>
        </w:rPr>
        <w:t>Integrated with HRSA’s grants management system</w:t>
      </w:r>
      <w:r w:rsidR="00CF4B6B" w:rsidRPr="00664C39">
        <w:rPr>
          <w:rFonts w:asciiTheme="minorHAnsi" w:hAnsiTheme="minorHAnsi" w:cs="Arial"/>
          <w:sz w:val="24"/>
          <w:szCs w:val="24"/>
        </w:rPr>
        <w:t xml:space="preserve"> (i.e., the </w:t>
      </w:r>
      <w:r w:rsidRPr="00664C39">
        <w:rPr>
          <w:rFonts w:asciiTheme="minorHAnsi" w:hAnsiTheme="minorHAnsi" w:cs="Arial"/>
          <w:sz w:val="24"/>
          <w:szCs w:val="24"/>
        </w:rPr>
        <w:t>HRSA Electronic Handbooks (EHB),</w:t>
      </w:r>
      <w:r w:rsidR="00CF4B6B" w:rsidRPr="00664C39">
        <w:rPr>
          <w:rFonts w:asciiTheme="minorHAnsi" w:hAnsiTheme="minorHAnsi" w:cs="Arial"/>
          <w:sz w:val="24"/>
          <w:szCs w:val="24"/>
        </w:rPr>
        <w:t>)</w:t>
      </w:r>
      <w:r w:rsidRPr="00664C39">
        <w:rPr>
          <w:rFonts w:asciiTheme="minorHAnsi" w:hAnsiTheme="minorHAnsi" w:cs="Arial"/>
          <w:sz w:val="24"/>
          <w:szCs w:val="24"/>
        </w:rPr>
        <w:t xml:space="preserve"> the T</w:t>
      </w:r>
      <w:r w:rsidR="00CF4B6B" w:rsidRPr="00664C39">
        <w:rPr>
          <w:rFonts w:asciiTheme="minorHAnsi" w:hAnsiTheme="minorHAnsi" w:cs="Arial"/>
          <w:sz w:val="24"/>
          <w:szCs w:val="24"/>
        </w:rPr>
        <w:t xml:space="preserve">VIS </w:t>
      </w:r>
      <w:r w:rsidRPr="00664C39">
        <w:rPr>
          <w:rFonts w:asciiTheme="minorHAnsi" w:hAnsiTheme="minorHAnsi" w:cs="Arial"/>
          <w:sz w:val="24"/>
          <w:szCs w:val="24"/>
        </w:rPr>
        <w:t xml:space="preserve">makes available to the public through </w:t>
      </w:r>
      <w:r w:rsidR="00B146B3" w:rsidRPr="00664C39">
        <w:rPr>
          <w:rFonts w:asciiTheme="minorHAnsi" w:hAnsiTheme="minorHAnsi" w:cs="Arial"/>
          <w:sz w:val="24"/>
          <w:szCs w:val="24"/>
        </w:rPr>
        <w:t xml:space="preserve">its </w:t>
      </w:r>
      <w:r w:rsidRPr="00664C39">
        <w:rPr>
          <w:rFonts w:asciiTheme="minorHAnsi" w:hAnsiTheme="minorHAnsi" w:cs="Arial"/>
          <w:sz w:val="24"/>
          <w:szCs w:val="24"/>
        </w:rPr>
        <w:t xml:space="preserve">web reports the key financial, program, performance, and health indicator data </w:t>
      </w:r>
      <w:r w:rsidR="00850EB7" w:rsidRPr="00664C39">
        <w:rPr>
          <w:rFonts w:asciiTheme="minorHAnsi" w:hAnsiTheme="minorHAnsi" w:cs="Arial"/>
          <w:sz w:val="24"/>
          <w:szCs w:val="24"/>
        </w:rPr>
        <w:t>reported by s</w:t>
      </w:r>
      <w:r w:rsidRPr="00664C39">
        <w:rPr>
          <w:rFonts w:asciiTheme="minorHAnsi" w:hAnsiTheme="minorHAnsi" w:cs="Arial"/>
          <w:sz w:val="24"/>
          <w:szCs w:val="24"/>
        </w:rPr>
        <w:t>tates</w:t>
      </w:r>
      <w:r w:rsidR="00850EB7" w:rsidRPr="00664C39">
        <w:rPr>
          <w:rFonts w:asciiTheme="minorHAnsi" w:hAnsiTheme="minorHAnsi" w:cs="Arial"/>
          <w:sz w:val="24"/>
          <w:szCs w:val="24"/>
        </w:rPr>
        <w:t xml:space="preserve"> in the</w:t>
      </w:r>
      <w:r w:rsidR="00447B80" w:rsidRPr="00664C39">
        <w:rPr>
          <w:rFonts w:asciiTheme="minorHAnsi" w:hAnsiTheme="minorHAnsi" w:cs="Arial"/>
          <w:sz w:val="24"/>
          <w:szCs w:val="24"/>
        </w:rPr>
        <w:t>ir</w:t>
      </w:r>
      <w:r w:rsidR="00850EB7" w:rsidRPr="00664C39">
        <w:rPr>
          <w:rFonts w:asciiTheme="minorHAnsi" w:hAnsiTheme="minorHAnsi" w:cs="Arial"/>
          <w:sz w:val="24"/>
          <w:szCs w:val="24"/>
        </w:rPr>
        <w:t xml:space="preserve"> yearly </w:t>
      </w:r>
      <w:r w:rsidR="00CF4B6B" w:rsidRPr="00664C39">
        <w:rPr>
          <w:rFonts w:asciiTheme="minorHAnsi" w:hAnsiTheme="minorHAnsi" w:cs="Arial"/>
          <w:sz w:val="24"/>
          <w:szCs w:val="24"/>
        </w:rPr>
        <w:t xml:space="preserve">MCH Block Grant </w:t>
      </w:r>
      <w:r w:rsidR="00850EB7" w:rsidRPr="00664C39">
        <w:rPr>
          <w:rFonts w:asciiTheme="minorHAnsi" w:hAnsiTheme="minorHAnsi" w:cs="Arial"/>
          <w:sz w:val="24"/>
          <w:szCs w:val="24"/>
        </w:rPr>
        <w:t>Applications/Annual Reports</w:t>
      </w:r>
      <w:r w:rsidRPr="00664C39">
        <w:rPr>
          <w:rFonts w:asciiTheme="minorHAnsi" w:hAnsiTheme="minorHAnsi" w:cs="Arial"/>
          <w:sz w:val="24"/>
          <w:szCs w:val="24"/>
        </w:rPr>
        <w:t xml:space="preserve">. </w:t>
      </w:r>
      <w:r w:rsidR="00850EB7" w:rsidRPr="00664C39">
        <w:rPr>
          <w:rFonts w:asciiTheme="minorHAnsi" w:hAnsiTheme="minorHAnsi" w:cs="Arial"/>
          <w:sz w:val="24"/>
          <w:szCs w:val="24"/>
        </w:rPr>
        <w:t xml:space="preserve"> Examples of the data </w:t>
      </w:r>
      <w:r w:rsidR="00447B80" w:rsidRPr="00664C39">
        <w:rPr>
          <w:rFonts w:asciiTheme="minorHAnsi" w:hAnsiTheme="minorHAnsi" w:cs="Arial"/>
          <w:sz w:val="24"/>
          <w:szCs w:val="24"/>
        </w:rPr>
        <w:t>that are collected include</w:t>
      </w:r>
      <w:r w:rsidR="000F4273">
        <w:rPr>
          <w:rFonts w:asciiTheme="minorHAnsi" w:hAnsiTheme="minorHAnsi" w:cs="Arial"/>
          <w:sz w:val="24"/>
          <w:szCs w:val="24"/>
        </w:rPr>
        <w:t>:</w:t>
      </w:r>
      <w:r w:rsidR="00850EB7" w:rsidRPr="00664C39">
        <w:rPr>
          <w:rFonts w:asciiTheme="minorHAnsi" w:hAnsiTheme="minorHAnsi" w:cs="Arial"/>
          <w:sz w:val="24"/>
          <w:szCs w:val="24"/>
        </w:rPr>
        <w:t xml:space="preserve"> information on populations served; budget and expenditure breakdowns by source of funding, service and program; program data, such as individuals served and breakdowns of MCH populations</w:t>
      </w:r>
      <w:r w:rsidR="000F4273">
        <w:rPr>
          <w:rFonts w:asciiTheme="minorHAnsi" w:hAnsiTheme="minorHAnsi" w:cs="Arial"/>
          <w:sz w:val="24"/>
          <w:szCs w:val="24"/>
        </w:rPr>
        <w:t>;</w:t>
      </w:r>
      <w:r w:rsidR="000F4273" w:rsidRPr="00664C39">
        <w:rPr>
          <w:rFonts w:asciiTheme="minorHAnsi" w:hAnsiTheme="minorHAnsi" w:cs="Arial"/>
          <w:sz w:val="24"/>
          <w:szCs w:val="24"/>
        </w:rPr>
        <w:t xml:space="preserve"> </w:t>
      </w:r>
      <w:r w:rsidR="00D66565" w:rsidRPr="00664C39">
        <w:rPr>
          <w:rFonts w:asciiTheme="minorHAnsi" w:hAnsiTheme="minorHAnsi" w:cs="Arial"/>
          <w:sz w:val="24"/>
          <w:szCs w:val="24"/>
        </w:rPr>
        <w:t>other state data (OSD</w:t>
      </w:r>
      <w:r w:rsidR="000F4273" w:rsidRPr="00664C39">
        <w:rPr>
          <w:rFonts w:asciiTheme="minorHAnsi" w:hAnsiTheme="minorHAnsi" w:cs="Arial"/>
          <w:sz w:val="24"/>
          <w:szCs w:val="24"/>
        </w:rPr>
        <w:t>)</w:t>
      </w:r>
      <w:r w:rsidR="000F4273">
        <w:rPr>
          <w:rFonts w:asciiTheme="minorHAnsi" w:hAnsiTheme="minorHAnsi" w:cs="Arial"/>
          <w:sz w:val="24"/>
          <w:szCs w:val="24"/>
        </w:rPr>
        <w:t>;</w:t>
      </w:r>
      <w:r w:rsidR="000F4273" w:rsidRPr="00664C39">
        <w:rPr>
          <w:rFonts w:asciiTheme="minorHAnsi" w:hAnsiTheme="minorHAnsi" w:cs="Arial"/>
          <w:sz w:val="24"/>
          <w:szCs w:val="24"/>
        </w:rPr>
        <w:t xml:space="preserve"> </w:t>
      </w:r>
      <w:r w:rsidR="00850EB7" w:rsidRPr="00664C39">
        <w:rPr>
          <w:rFonts w:asciiTheme="minorHAnsi" w:hAnsiTheme="minorHAnsi" w:cs="Arial"/>
          <w:sz w:val="24"/>
          <w:szCs w:val="24"/>
        </w:rPr>
        <w:t xml:space="preserve">and performance and outcome measure data for the national and state measures.  Reporting on performance relative to the national measures is used to assess national progress in key MCH priority areas and to facilitate the Bureau’s annual GPRA </w:t>
      </w:r>
      <w:r w:rsidRPr="00664C39">
        <w:rPr>
          <w:rFonts w:asciiTheme="minorHAnsi" w:hAnsiTheme="minorHAnsi" w:cs="Arial"/>
          <w:sz w:val="24"/>
          <w:szCs w:val="24"/>
        </w:rPr>
        <w:t>reporting</w:t>
      </w:r>
      <w:r w:rsidR="00850EB7" w:rsidRPr="00664C39">
        <w:rPr>
          <w:rFonts w:asciiTheme="minorHAnsi" w:hAnsiTheme="minorHAnsi" w:cs="Arial"/>
          <w:sz w:val="24"/>
          <w:szCs w:val="24"/>
        </w:rPr>
        <w:t>.</w:t>
      </w:r>
      <w:r w:rsidRPr="00664C39">
        <w:rPr>
          <w:rFonts w:asciiTheme="minorHAnsi" w:hAnsiTheme="minorHAnsi" w:cs="Arial"/>
          <w:sz w:val="24"/>
          <w:szCs w:val="24"/>
        </w:rPr>
        <w:t xml:space="preserve">  </w:t>
      </w:r>
    </w:p>
    <w:p w14:paraId="325DD74E" w14:textId="77777777" w:rsidR="00E2659A" w:rsidRPr="00664C39" w:rsidRDefault="00E2659A" w:rsidP="00C666D8">
      <w:pPr>
        <w:widowControl w:val="0"/>
        <w:autoSpaceDE w:val="0"/>
        <w:autoSpaceDN w:val="0"/>
        <w:adjustRightInd w:val="0"/>
        <w:spacing w:after="0" w:line="240" w:lineRule="auto"/>
        <w:rPr>
          <w:rFonts w:asciiTheme="minorHAnsi" w:eastAsia="Times New Roman" w:hAnsiTheme="minorHAnsi"/>
          <w:sz w:val="24"/>
          <w:szCs w:val="24"/>
        </w:rPr>
      </w:pPr>
    </w:p>
    <w:p w14:paraId="55199AE9" w14:textId="77777777" w:rsidR="00E2659A" w:rsidRPr="00664C39" w:rsidRDefault="00E2659A" w:rsidP="00E2659A">
      <w:pPr>
        <w:widowControl w:val="0"/>
        <w:autoSpaceDE w:val="0"/>
        <w:autoSpaceDN w:val="0"/>
        <w:adjustRightInd w:val="0"/>
        <w:spacing w:after="0" w:line="240" w:lineRule="auto"/>
        <w:ind w:left="360"/>
        <w:rPr>
          <w:rFonts w:asciiTheme="minorHAnsi" w:eastAsia="Times New Roman" w:hAnsiTheme="minorHAnsi"/>
          <w:sz w:val="24"/>
          <w:szCs w:val="24"/>
        </w:rPr>
      </w:pPr>
    </w:p>
    <w:p w14:paraId="5258B2BD" w14:textId="77777777" w:rsidR="00E2659A" w:rsidRPr="00664C39" w:rsidRDefault="00E2659A" w:rsidP="00E2659A">
      <w:pPr>
        <w:widowControl w:val="0"/>
        <w:autoSpaceDE w:val="0"/>
        <w:autoSpaceDN w:val="0"/>
        <w:adjustRightInd w:val="0"/>
        <w:spacing w:after="0" w:line="240" w:lineRule="auto"/>
        <w:ind w:left="360"/>
        <w:rPr>
          <w:rFonts w:asciiTheme="minorHAnsi" w:eastAsia="Times New Roman" w:hAnsiTheme="minorHAnsi"/>
          <w:sz w:val="24"/>
          <w:szCs w:val="24"/>
        </w:rPr>
      </w:pPr>
    </w:p>
    <w:p w14:paraId="2FCDCB30" w14:textId="77777777" w:rsidR="00E2659A" w:rsidRPr="00664C39" w:rsidRDefault="00E2659A" w:rsidP="00E2659A">
      <w:pPr>
        <w:widowControl w:val="0"/>
        <w:autoSpaceDE w:val="0"/>
        <w:autoSpaceDN w:val="0"/>
        <w:adjustRightInd w:val="0"/>
        <w:spacing w:after="0" w:line="240" w:lineRule="auto"/>
        <w:ind w:left="360"/>
        <w:rPr>
          <w:rFonts w:asciiTheme="minorHAnsi" w:eastAsia="Times New Roman" w:hAnsiTheme="minorHAnsi"/>
          <w:sz w:val="24"/>
          <w:szCs w:val="24"/>
        </w:rPr>
      </w:pPr>
    </w:p>
    <w:p w14:paraId="60204804" w14:textId="77777777" w:rsidR="00D81F0F" w:rsidRPr="00D41A4E" w:rsidRDefault="00D81F0F" w:rsidP="00EF5270">
      <w:pPr>
        <w:jc w:val="center"/>
        <w:rPr>
          <w:color w:val="000000" w:themeColor="text1"/>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ectPr w:rsidR="00D81F0F" w:rsidRPr="00D41A4E" w:rsidSect="00BA54B7">
          <w:pgSz w:w="12240" w:h="15840"/>
          <w:pgMar w:top="1440" w:right="1152" w:bottom="1440" w:left="1152" w:header="720" w:footer="720" w:gutter="0"/>
          <w:cols w:space="720"/>
          <w:docGrid w:linePitch="360"/>
        </w:sectPr>
      </w:pPr>
    </w:p>
    <w:p w14:paraId="26E07384" w14:textId="4FCFCF7D" w:rsidR="001B44B0" w:rsidRDefault="001B44B0" w:rsidP="00805433">
      <w:pPr>
        <w:spacing w:after="0" w:line="240" w:lineRule="auto"/>
        <w:rPr>
          <w:rFonts w:ascii="Arial" w:eastAsia="Times New Roman" w:hAnsi="Arial"/>
          <w:sz w:val="24"/>
          <w:szCs w:val="24"/>
          <w:u w:val="single"/>
        </w:rPr>
      </w:pPr>
    </w:p>
    <w:tbl>
      <w:tblPr>
        <w:tblpPr w:leftFromText="180" w:rightFromText="180" w:vertAnchor="text" w:horzAnchor="margin" w:tblpY="-329"/>
        <w:tblW w:w="0" w:type="auto"/>
        <w:tblBorders>
          <w:bottom w:val="single" w:sz="8" w:space="0" w:color="0F6FC6" w:themeColor="accent1"/>
        </w:tblBorders>
        <w:tblLook w:val="04A0" w:firstRow="1" w:lastRow="0" w:firstColumn="1" w:lastColumn="0" w:noHBand="0" w:noVBand="1"/>
      </w:tblPr>
      <w:tblGrid>
        <w:gridCol w:w="2988"/>
        <w:gridCol w:w="6228"/>
      </w:tblGrid>
      <w:tr w:rsidR="001B44B0" w:rsidRPr="00D20A8B" w14:paraId="46D50037" w14:textId="77777777" w:rsidTr="001B44B0">
        <w:trPr>
          <w:trHeight w:val="548"/>
        </w:trPr>
        <w:tc>
          <w:tcPr>
            <w:tcW w:w="2988" w:type="dxa"/>
            <w:vAlign w:val="bottom"/>
          </w:tcPr>
          <w:p w14:paraId="34420E8C" w14:textId="59079519" w:rsidR="001B44B0" w:rsidRPr="00F14156" w:rsidRDefault="001B44B0" w:rsidP="001B44B0">
            <w:pPr>
              <w:spacing w:after="120"/>
              <w:contextualSpacing/>
              <w:jc w:val="center"/>
              <w:rPr>
                <w:rFonts w:ascii="Cambria" w:eastAsia="Times New Roman" w:hAnsi="Cambria"/>
                <w:color w:val="0B5294" w:themeColor="accent1" w:themeShade="BF"/>
                <w:sz w:val="48"/>
                <w:szCs w:val="48"/>
              </w:rPr>
            </w:pPr>
            <w:r w:rsidRPr="00F14156">
              <w:rPr>
                <w:rFonts w:ascii="Arial" w:hAnsi="Arial" w:cs="Arial"/>
                <w:color w:val="0B5294" w:themeColor="accent1" w:themeShade="BF"/>
                <w:sz w:val="24"/>
                <w:szCs w:val="24"/>
              </w:rPr>
              <w:br w:type="page"/>
            </w:r>
            <w:r w:rsidRPr="00F14156">
              <w:rPr>
                <w:rFonts w:ascii="Arial" w:hAnsi="Arial" w:cs="Arial"/>
                <w:color w:val="0B5294" w:themeColor="accent1" w:themeShade="BF"/>
                <w:sz w:val="24"/>
                <w:szCs w:val="24"/>
              </w:rPr>
              <w:br w:type="page"/>
            </w:r>
            <w:r w:rsidR="00357E8E">
              <w:rPr>
                <w:rFonts w:ascii="Cambria" w:hAnsi="Cambria"/>
                <w:color w:val="0B5294" w:themeColor="accent1" w:themeShade="BF"/>
                <w:kern w:val="28"/>
                <w:sz w:val="48"/>
                <w:szCs w:val="48"/>
              </w:rPr>
              <w:t>APPENDIX B</w:t>
            </w:r>
            <w:r w:rsidRPr="00F14156">
              <w:rPr>
                <w:rFonts w:ascii="Cambria" w:hAnsi="Cambria"/>
                <w:color w:val="0B5294" w:themeColor="accent1" w:themeShade="BF"/>
                <w:kern w:val="28"/>
                <w:sz w:val="48"/>
                <w:szCs w:val="48"/>
              </w:rPr>
              <w:t>:</w:t>
            </w:r>
          </w:p>
        </w:tc>
        <w:tc>
          <w:tcPr>
            <w:tcW w:w="6228" w:type="dxa"/>
            <w:vAlign w:val="bottom"/>
          </w:tcPr>
          <w:p w14:paraId="6534F051" w14:textId="2A8086AF" w:rsidR="001B44B0" w:rsidRPr="00F14156" w:rsidRDefault="001B44B0" w:rsidP="001B44B0">
            <w:pPr>
              <w:widowControl w:val="0"/>
              <w:autoSpaceDE w:val="0"/>
              <w:autoSpaceDN w:val="0"/>
              <w:adjustRightInd w:val="0"/>
              <w:spacing w:after="0" w:line="240" w:lineRule="auto"/>
              <w:contextualSpacing/>
              <w:rPr>
                <w:rFonts w:ascii="Cambria" w:eastAsia="Times New Roman" w:hAnsi="Cambria"/>
                <w:color w:val="0B5294" w:themeColor="accent1" w:themeShade="BF"/>
                <w:spacing w:val="5"/>
                <w:kern w:val="28"/>
                <w:sz w:val="26"/>
                <w:szCs w:val="26"/>
              </w:rPr>
            </w:pPr>
            <w:r w:rsidRPr="00F14156">
              <w:rPr>
                <w:rFonts w:ascii="Cambria" w:eastAsia="Times New Roman" w:hAnsi="Cambria"/>
                <w:color w:val="0B5294" w:themeColor="accent1" w:themeShade="BF"/>
                <w:spacing w:val="5"/>
                <w:kern w:val="28"/>
                <w:sz w:val="26"/>
                <w:szCs w:val="26"/>
              </w:rPr>
              <w:t>PERFORMANCE MEASURE FRAMEWORK</w:t>
            </w:r>
          </w:p>
          <w:p w14:paraId="3AF43D00" w14:textId="77777777" w:rsidR="001B44B0" w:rsidRPr="00F14156" w:rsidRDefault="001B44B0" w:rsidP="001B44B0">
            <w:pPr>
              <w:widowControl w:val="0"/>
              <w:autoSpaceDE w:val="0"/>
              <w:autoSpaceDN w:val="0"/>
              <w:adjustRightInd w:val="0"/>
              <w:spacing w:after="0" w:line="240" w:lineRule="auto"/>
              <w:ind w:left="-18"/>
              <w:contextualSpacing/>
              <w:rPr>
                <w:rFonts w:ascii="Times New Roman" w:eastAsia="Times New Roman" w:hAnsi="Times New Roman"/>
                <w:color w:val="0B5294" w:themeColor="accent1" w:themeShade="BF"/>
                <w:sz w:val="10"/>
                <w:szCs w:val="10"/>
              </w:rPr>
            </w:pPr>
          </w:p>
        </w:tc>
      </w:tr>
    </w:tbl>
    <w:p w14:paraId="26A3F76C" w14:textId="5BE51839" w:rsidR="00805433" w:rsidRPr="005431D1" w:rsidRDefault="00805433" w:rsidP="00696929">
      <w:pPr>
        <w:spacing w:after="0" w:line="240" w:lineRule="auto"/>
        <w:rPr>
          <w:rFonts w:asciiTheme="minorHAnsi" w:eastAsia="Times New Roman" w:hAnsiTheme="minorHAnsi"/>
          <w:sz w:val="24"/>
          <w:szCs w:val="24"/>
        </w:rPr>
      </w:pPr>
      <w:r w:rsidRPr="005431D1">
        <w:rPr>
          <w:rFonts w:asciiTheme="minorHAnsi" w:eastAsia="Times New Roman" w:hAnsiTheme="minorHAnsi"/>
          <w:sz w:val="24"/>
          <w:szCs w:val="24"/>
          <w:u w:val="single"/>
        </w:rPr>
        <w:t>Overview of the Framework</w:t>
      </w:r>
      <w:r w:rsidRPr="005431D1">
        <w:rPr>
          <w:rFonts w:asciiTheme="minorHAnsi" w:eastAsia="Times New Roman" w:hAnsiTheme="minorHAnsi"/>
          <w:sz w:val="24"/>
          <w:szCs w:val="24"/>
        </w:rPr>
        <w:t xml:space="preserve"> </w:t>
      </w:r>
    </w:p>
    <w:p w14:paraId="559CE5F1" w14:textId="77777777" w:rsidR="00805433" w:rsidRPr="005431D1" w:rsidRDefault="00805433" w:rsidP="00696929">
      <w:pPr>
        <w:spacing w:after="0" w:line="240" w:lineRule="auto"/>
        <w:rPr>
          <w:rFonts w:asciiTheme="minorHAnsi" w:eastAsia="Times New Roman" w:hAnsiTheme="minorHAnsi"/>
          <w:sz w:val="24"/>
          <w:szCs w:val="24"/>
        </w:rPr>
      </w:pPr>
    </w:p>
    <w:p w14:paraId="0E47F736" w14:textId="44FE39D7" w:rsidR="00805433" w:rsidRPr="005431D1" w:rsidRDefault="00805433" w:rsidP="00696929">
      <w:pPr>
        <w:spacing w:after="0" w:line="240" w:lineRule="auto"/>
        <w:rPr>
          <w:rFonts w:asciiTheme="minorHAnsi" w:hAnsiTheme="minorHAnsi" w:cs="Arial"/>
          <w:color w:val="222222"/>
          <w:shd w:val="clear" w:color="auto" w:fill="FFFFFF"/>
        </w:rPr>
      </w:pPr>
      <w:r w:rsidRPr="005431D1">
        <w:rPr>
          <w:rFonts w:asciiTheme="minorHAnsi" w:eastAsia="Times New Roman" w:hAnsiTheme="minorHAnsi"/>
          <w:sz w:val="24"/>
          <w:szCs w:val="24"/>
        </w:rPr>
        <w:t xml:space="preserve">The national performance measure framework is based on a three-tiered performance measure system: National Outcome Measures (NOMs), National Performance Measures (NPMs), and Evidence-based or -informed Strategy Measures (ESMs).  In brief, NOMs are the ultimate health outcomes that Title V is attempting to improve. </w:t>
      </w:r>
      <w:r w:rsidR="005E3E7E">
        <w:rPr>
          <w:rFonts w:asciiTheme="minorHAnsi" w:eastAsia="Times New Roman" w:hAnsiTheme="minorHAnsi"/>
          <w:sz w:val="24"/>
          <w:szCs w:val="24"/>
        </w:rPr>
        <w:t xml:space="preserve"> </w:t>
      </w:r>
      <w:r w:rsidRPr="005431D1">
        <w:rPr>
          <w:rFonts w:asciiTheme="minorHAnsi" w:eastAsia="Times New Roman" w:hAnsiTheme="minorHAnsi"/>
          <w:sz w:val="24"/>
          <w:szCs w:val="24"/>
        </w:rPr>
        <w:t xml:space="preserve">The NPMs are considered to be more directly modifiable by state Title V program efforts, and influence NOMs.  ESMs are developed by states to capture their evidence-based or informed programmatic efforts to affect NPMs and in turn NOMs. </w:t>
      </w:r>
      <w:r w:rsidR="005E3E7E">
        <w:rPr>
          <w:rFonts w:asciiTheme="minorHAnsi" w:eastAsia="Times New Roman" w:hAnsiTheme="minorHAnsi"/>
          <w:sz w:val="24"/>
          <w:szCs w:val="24"/>
        </w:rPr>
        <w:t xml:space="preserve"> </w:t>
      </w:r>
      <w:r w:rsidRPr="005431D1">
        <w:rPr>
          <w:rFonts w:asciiTheme="minorHAnsi" w:eastAsia="Times New Roman" w:hAnsiTheme="minorHAnsi"/>
          <w:sz w:val="24"/>
          <w:szCs w:val="24"/>
        </w:rPr>
        <w:t>The framework is intended to better highlight the impact of Title V investments and provides states with</w:t>
      </w:r>
      <w:r w:rsidR="005431D1">
        <w:rPr>
          <w:rFonts w:asciiTheme="minorHAnsi" w:eastAsia="Times New Roman" w:hAnsiTheme="minorHAnsi"/>
          <w:sz w:val="24"/>
          <w:szCs w:val="24"/>
        </w:rPr>
        <w:t xml:space="preserve"> </w:t>
      </w:r>
      <w:r w:rsidRPr="005431D1">
        <w:rPr>
          <w:rFonts w:asciiTheme="minorHAnsi" w:eastAsia="Times New Roman" w:hAnsiTheme="minorHAnsi"/>
          <w:sz w:val="24"/>
          <w:szCs w:val="24"/>
        </w:rPr>
        <w:t xml:space="preserve">flexibility in selecting NPMs and developing state performance measures </w:t>
      </w:r>
      <w:r w:rsidR="00C1405C">
        <w:rPr>
          <w:rFonts w:asciiTheme="minorHAnsi" w:eastAsia="Times New Roman" w:hAnsiTheme="minorHAnsi"/>
          <w:sz w:val="24"/>
          <w:szCs w:val="24"/>
        </w:rPr>
        <w:t>(SPMs) and ESMs to address the s</w:t>
      </w:r>
      <w:r w:rsidRPr="005431D1">
        <w:rPr>
          <w:rFonts w:asciiTheme="minorHAnsi" w:eastAsia="Times New Roman" w:hAnsiTheme="minorHAnsi"/>
          <w:sz w:val="24"/>
          <w:szCs w:val="24"/>
        </w:rPr>
        <w:t xml:space="preserve">tate’s priority needs. </w:t>
      </w:r>
      <w:r w:rsidR="005E3E7E">
        <w:rPr>
          <w:rFonts w:asciiTheme="minorHAnsi" w:eastAsia="Times New Roman" w:hAnsiTheme="minorHAnsi"/>
          <w:sz w:val="24"/>
          <w:szCs w:val="24"/>
        </w:rPr>
        <w:t xml:space="preserve"> </w:t>
      </w:r>
      <w:r w:rsidRPr="005431D1">
        <w:rPr>
          <w:rFonts w:asciiTheme="minorHAnsi" w:eastAsia="Times New Roman" w:hAnsiTheme="minorHAnsi"/>
          <w:sz w:val="24"/>
          <w:szCs w:val="24"/>
        </w:rPr>
        <w:t>This guidance reduces the minimum number of required NPM selections to five</w:t>
      </w:r>
      <w:r w:rsidR="000F4273">
        <w:rPr>
          <w:rFonts w:asciiTheme="minorHAnsi" w:eastAsia="Times New Roman" w:hAnsiTheme="minorHAnsi"/>
          <w:sz w:val="24"/>
          <w:szCs w:val="24"/>
        </w:rPr>
        <w:t>;</w:t>
      </w:r>
      <w:r w:rsidRPr="005431D1">
        <w:rPr>
          <w:rFonts w:asciiTheme="minorHAnsi" w:eastAsia="Times New Roman" w:hAnsiTheme="minorHAnsi"/>
          <w:sz w:val="24"/>
          <w:szCs w:val="24"/>
        </w:rPr>
        <w:t xml:space="preserve"> at least one in each population domain.  It also increases flexibility for states to select as many NPMs and SPMs as needed to reflect priority needs identified from the five-year needs assessment. </w:t>
      </w:r>
    </w:p>
    <w:p w14:paraId="79E39BF8" w14:textId="77777777" w:rsidR="00805433" w:rsidRPr="005431D1" w:rsidRDefault="00805433" w:rsidP="00696929">
      <w:pPr>
        <w:spacing w:after="0" w:line="240" w:lineRule="auto"/>
        <w:rPr>
          <w:rFonts w:asciiTheme="minorHAnsi" w:hAnsiTheme="minorHAnsi" w:cs="Arial"/>
          <w:color w:val="222222"/>
          <w:shd w:val="clear" w:color="auto" w:fill="FFFFFF"/>
        </w:rPr>
      </w:pPr>
    </w:p>
    <w:p w14:paraId="2BE372A1" w14:textId="77777777" w:rsidR="00805433" w:rsidRPr="005431D1" w:rsidRDefault="00805433" w:rsidP="00805433">
      <w:pPr>
        <w:spacing w:after="0" w:line="259" w:lineRule="auto"/>
        <w:jc w:val="center"/>
        <w:rPr>
          <w:rFonts w:asciiTheme="minorHAnsi" w:hAnsiTheme="minorHAnsi" w:cs="Arial"/>
          <w:color w:val="222222"/>
          <w:sz w:val="28"/>
          <w:shd w:val="clear" w:color="auto" w:fill="FFFFFF"/>
        </w:rPr>
      </w:pPr>
      <w:r w:rsidRPr="005431D1">
        <w:rPr>
          <w:rFonts w:asciiTheme="minorHAnsi" w:hAnsiTheme="minorHAnsi" w:cs="Arial"/>
          <w:color w:val="222222"/>
          <w:sz w:val="28"/>
          <w:shd w:val="clear" w:color="auto" w:fill="FFFFFF"/>
        </w:rPr>
        <w:t>Title V Performance Measure Framework</w:t>
      </w:r>
    </w:p>
    <w:p w14:paraId="4FB155F1" w14:textId="77777777" w:rsidR="00805433" w:rsidRPr="00805433" w:rsidRDefault="00805433" w:rsidP="00805433">
      <w:pPr>
        <w:spacing w:after="0" w:line="240" w:lineRule="auto"/>
        <w:rPr>
          <w:rFonts w:cs="Arial"/>
          <w:shd w:val="clear" w:color="auto" w:fill="FFFFFF"/>
        </w:rPr>
      </w:pPr>
      <w:r w:rsidRPr="00805433">
        <w:rPr>
          <w:rFonts w:cs="Arial"/>
          <w:noProof/>
          <w:shd w:val="clear" w:color="auto" w:fill="FFFFFF"/>
        </w:rPr>
        <w:drawing>
          <wp:inline distT="0" distB="0" distL="0" distR="0" wp14:anchorId="2B637C6E" wp14:editId="6852FD98">
            <wp:extent cx="6126480" cy="1318260"/>
            <wp:effectExtent l="0" t="0" r="7620" b="0"/>
            <wp:docPr id="70" name="Diagram 7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13AD504" w14:textId="77777777" w:rsidR="00805433" w:rsidRPr="00805433" w:rsidRDefault="00805433" w:rsidP="00805433">
      <w:pPr>
        <w:spacing w:after="0" w:line="240" w:lineRule="auto"/>
        <w:jc w:val="center"/>
        <w:rPr>
          <w:rFonts w:cs="Arial"/>
          <w:sz w:val="28"/>
          <w:shd w:val="clear" w:color="auto" w:fill="FFFFFF"/>
        </w:rPr>
      </w:pPr>
      <w:r w:rsidRPr="00805433">
        <w:rPr>
          <w:rFonts w:cs="Arial"/>
          <w:sz w:val="28"/>
          <w:shd w:val="clear" w:color="auto" w:fill="FFFFFF"/>
        </w:rPr>
        <w:t>Evaluation Logic Model</w:t>
      </w:r>
    </w:p>
    <w:p w14:paraId="290AEBD2" w14:textId="77777777" w:rsidR="00805433" w:rsidRPr="00805433" w:rsidRDefault="00805433" w:rsidP="00805433">
      <w:pPr>
        <w:spacing w:after="0" w:line="240" w:lineRule="auto"/>
      </w:pPr>
      <w:r w:rsidRPr="00F14156">
        <w:rPr>
          <w:rFonts w:cs="Arial"/>
          <w:noProof/>
          <w:shd w:val="clear" w:color="auto" w:fill="FFFFFF" w:themeFill="background1"/>
        </w:rPr>
        <w:drawing>
          <wp:inline distT="0" distB="0" distL="0" distR="0" wp14:anchorId="55BDF6CB" wp14:editId="778DFBE3">
            <wp:extent cx="6126480" cy="1149985"/>
            <wp:effectExtent l="0" t="0" r="7620" b="0"/>
            <wp:docPr id="71" name="Diagram 7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2305AA50" w14:textId="77777777" w:rsidR="00805433" w:rsidRPr="00805433" w:rsidRDefault="00805433" w:rsidP="00805433">
      <w:pPr>
        <w:spacing w:after="160" w:line="259" w:lineRule="auto"/>
      </w:pPr>
    </w:p>
    <w:p w14:paraId="3659818B" w14:textId="5E210758" w:rsidR="00805433" w:rsidRPr="005431D1" w:rsidRDefault="00805433" w:rsidP="00805433">
      <w:pPr>
        <w:spacing w:after="0" w:line="240" w:lineRule="auto"/>
        <w:rPr>
          <w:rFonts w:asciiTheme="minorHAnsi" w:eastAsia="Times New Roman" w:hAnsiTheme="minorHAnsi"/>
          <w:sz w:val="24"/>
          <w:szCs w:val="24"/>
        </w:rPr>
      </w:pPr>
      <w:r w:rsidRPr="005431D1">
        <w:rPr>
          <w:rFonts w:asciiTheme="minorHAnsi" w:eastAsia="Times New Roman" w:hAnsiTheme="minorHAnsi"/>
          <w:sz w:val="24"/>
          <w:szCs w:val="24"/>
        </w:rPr>
        <w:t xml:space="preserve">Measures were considered as NOMs, which primarily reflect ultimate or longer-term indicators of population health status or quality systems of care, if they met one or more of the following criteria: it was mandated by the Title V legislation that the data be collected; it was considered a sentinel health marker for women, infants, or children; it was a major focus of either the </w:t>
      </w:r>
      <w:r w:rsidR="005E3E7E">
        <w:rPr>
          <w:rFonts w:asciiTheme="minorHAnsi" w:eastAsia="Times New Roman" w:hAnsiTheme="minorHAnsi"/>
          <w:sz w:val="24"/>
          <w:szCs w:val="24"/>
        </w:rPr>
        <w:t xml:space="preserve">  </w:t>
      </w:r>
      <w:r w:rsidRPr="005431D1">
        <w:rPr>
          <w:rFonts w:asciiTheme="minorHAnsi" w:eastAsia="Times New Roman" w:hAnsiTheme="minorHAnsi"/>
          <w:sz w:val="24"/>
          <w:szCs w:val="24"/>
        </w:rPr>
        <w:t xml:space="preserve">Title V legislation or Title V activities; it was considered an important health condition to monitor because the prevalence was increasing, but the reasons for the increase were unclear; or there was a recognized need to move the MCH field forward in this area, even if there was not yet a consensus on how to measure the construct. </w:t>
      </w:r>
      <w:r w:rsidR="005E3E7E">
        <w:rPr>
          <w:rFonts w:asciiTheme="minorHAnsi" w:eastAsia="Times New Roman" w:hAnsiTheme="minorHAnsi"/>
          <w:sz w:val="24"/>
          <w:szCs w:val="24"/>
        </w:rPr>
        <w:t xml:space="preserve"> </w:t>
      </w:r>
      <w:r w:rsidRPr="005431D1">
        <w:rPr>
          <w:rFonts w:asciiTheme="minorHAnsi" w:eastAsia="Times New Roman" w:hAnsiTheme="minorHAnsi"/>
          <w:sz w:val="24"/>
          <w:szCs w:val="24"/>
        </w:rPr>
        <w:t xml:space="preserve">The latter were considered developmental outcome measures.  A total of 25 NOMs were selected with three new additions in the updated guidance: teen births, postpartum depression, and forgone health care.  </w:t>
      </w:r>
    </w:p>
    <w:p w14:paraId="2CA00055" w14:textId="77777777" w:rsidR="00805433" w:rsidRPr="005431D1" w:rsidRDefault="00805433" w:rsidP="00805433">
      <w:pPr>
        <w:spacing w:after="0" w:line="240" w:lineRule="auto"/>
        <w:rPr>
          <w:rFonts w:asciiTheme="minorHAnsi" w:eastAsia="Times New Roman" w:hAnsiTheme="minorHAnsi"/>
          <w:sz w:val="24"/>
          <w:szCs w:val="24"/>
        </w:rPr>
      </w:pPr>
    </w:p>
    <w:p w14:paraId="22CB7A2E" w14:textId="5A24CA3C" w:rsidR="00805433" w:rsidRPr="005431D1" w:rsidRDefault="00805433" w:rsidP="00805433">
      <w:pPr>
        <w:spacing w:after="0" w:line="240" w:lineRule="auto"/>
        <w:rPr>
          <w:rFonts w:asciiTheme="minorHAnsi" w:eastAsia="Times New Roman" w:hAnsiTheme="minorHAnsi"/>
          <w:sz w:val="24"/>
          <w:szCs w:val="24"/>
        </w:rPr>
      </w:pPr>
      <w:r w:rsidRPr="005431D1">
        <w:rPr>
          <w:rFonts w:asciiTheme="minorHAnsi" w:eastAsia="Times New Roman" w:hAnsiTheme="minorHAnsi"/>
          <w:sz w:val="24"/>
          <w:szCs w:val="24"/>
        </w:rPr>
        <w:t xml:space="preserve">Measures were considered as NPMs, or short/medium term indicators of health behaviors or health care access/quality, if they met one or more of the following criteria: there was a large investment of </w:t>
      </w:r>
      <w:r w:rsidR="00C1405C">
        <w:rPr>
          <w:rFonts w:asciiTheme="minorHAnsi" w:eastAsia="Times New Roman" w:hAnsiTheme="minorHAnsi"/>
          <w:sz w:val="24"/>
          <w:szCs w:val="24"/>
        </w:rPr>
        <w:t>resources as determined by the s</w:t>
      </w:r>
      <w:r w:rsidRPr="005431D1">
        <w:rPr>
          <w:rFonts w:asciiTheme="minorHAnsi" w:eastAsia="Times New Roman" w:hAnsiTheme="minorHAnsi"/>
          <w:sz w:val="24"/>
          <w:szCs w:val="24"/>
        </w:rPr>
        <w:t xml:space="preserve">tate narratives; it was considered modifiable through Title V activities; a state could delineate measurable activities to address the performance measures; significant disparities existed among population groups; research had indicated that the condition or activity had large societal costs; or research had indicated that the promotion of certain behaviors, practices or policies had improved outcomes. </w:t>
      </w:r>
      <w:r w:rsidR="005E3E7E">
        <w:rPr>
          <w:rFonts w:asciiTheme="minorHAnsi" w:eastAsia="Times New Roman" w:hAnsiTheme="minorHAnsi"/>
          <w:sz w:val="24"/>
          <w:szCs w:val="24"/>
        </w:rPr>
        <w:t xml:space="preserve"> </w:t>
      </w:r>
      <w:r w:rsidRPr="005431D1">
        <w:rPr>
          <w:rFonts w:asciiTheme="minorHAnsi" w:eastAsia="Times New Roman" w:hAnsiTheme="minorHAnsi"/>
          <w:sz w:val="24"/>
          <w:szCs w:val="24"/>
        </w:rPr>
        <w:t xml:space="preserve">There also had to be evidence that an NPM was associated with at least one of the NOMs (see Table 2 </w:t>
      </w:r>
      <w:r w:rsidR="00951198">
        <w:rPr>
          <w:rFonts w:asciiTheme="minorHAnsi" w:eastAsia="Times New Roman" w:hAnsiTheme="minorHAnsi"/>
          <w:sz w:val="24"/>
          <w:szCs w:val="24"/>
        </w:rPr>
        <w:t xml:space="preserve">in this Appendix) </w:t>
      </w:r>
      <w:r w:rsidRPr="005431D1">
        <w:rPr>
          <w:rFonts w:asciiTheme="minorHAnsi" w:eastAsia="Times New Roman" w:hAnsiTheme="minorHAnsi"/>
          <w:sz w:val="24"/>
          <w:szCs w:val="24"/>
        </w:rPr>
        <w:t>for evidence-based or informed linkages between NPMs and NOMs).</w:t>
      </w:r>
      <w:r w:rsidR="005E3E7E">
        <w:rPr>
          <w:rFonts w:asciiTheme="minorHAnsi" w:eastAsia="Times New Roman" w:hAnsiTheme="minorHAnsi"/>
          <w:sz w:val="24"/>
          <w:szCs w:val="24"/>
        </w:rPr>
        <w:t xml:space="preserve"> </w:t>
      </w:r>
      <w:r w:rsidRPr="005431D1">
        <w:rPr>
          <w:rFonts w:asciiTheme="minorHAnsi" w:eastAsia="Times New Roman" w:hAnsiTheme="minorHAnsi"/>
          <w:sz w:val="24"/>
          <w:szCs w:val="24"/>
        </w:rPr>
        <w:t xml:space="preserve"> However, it is important to recognize that NOMs </w:t>
      </w:r>
      <w:r w:rsidR="0065727F">
        <w:rPr>
          <w:rFonts w:asciiTheme="minorHAnsi" w:eastAsia="Times New Roman" w:hAnsiTheme="minorHAnsi"/>
          <w:sz w:val="24"/>
          <w:szCs w:val="24"/>
        </w:rPr>
        <w:t xml:space="preserve">are </w:t>
      </w:r>
      <w:r w:rsidRPr="00140C21">
        <w:rPr>
          <w:rFonts w:asciiTheme="minorHAnsi" w:eastAsia="Times New Roman" w:hAnsiTheme="minorHAnsi"/>
          <w:sz w:val="24"/>
          <w:szCs w:val="24"/>
        </w:rPr>
        <w:t xml:space="preserve">multifactorial and </w:t>
      </w:r>
      <w:r w:rsidR="0065727F">
        <w:rPr>
          <w:rFonts w:asciiTheme="minorHAnsi" w:eastAsia="Times New Roman" w:hAnsiTheme="minorHAnsi"/>
          <w:sz w:val="24"/>
          <w:szCs w:val="24"/>
        </w:rPr>
        <w:t>i</w:t>
      </w:r>
      <w:r w:rsidRPr="00140C21">
        <w:rPr>
          <w:rFonts w:asciiTheme="minorHAnsi" w:eastAsia="Times New Roman" w:hAnsiTheme="minorHAnsi"/>
          <w:sz w:val="24"/>
          <w:szCs w:val="24"/>
        </w:rPr>
        <w:t>m</w:t>
      </w:r>
      <w:r w:rsidR="0065727F">
        <w:rPr>
          <w:rFonts w:asciiTheme="minorHAnsi" w:eastAsia="Times New Roman" w:hAnsiTheme="minorHAnsi"/>
          <w:sz w:val="24"/>
          <w:szCs w:val="24"/>
        </w:rPr>
        <w:t>pr</w:t>
      </w:r>
      <w:r w:rsidRPr="00140C21">
        <w:rPr>
          <w:rFonts w:asciiTheme="minorHAnsi" w:eastAsia="Times New Roman" w:hAnsiTheme="minorHAnsi"/>
          <w:sz w:val="24"/>
          <w:szCs w:val="24"/>
        </w:rPr>
        <w:t>ovement</w:t>
      </w:r>
      <w:r w:rsidRPr="005431D1">
        <w:rPr>
          <w:rFonts w:asciiTheme="minorHAnsi" w:eastAsia="Times New Roman" w:hAnsiTheme="minorHAnsi"/>
          <w:sz w:val="24"/>
          <w:szCs w:val="24"/>
        </w:rPr>
        <w:t xml:space="preserve"> in a given NPM may not necessarily result in </w:t>
      </w:r>
      <w:r w:rsidR="0065727F">
        <w:rPr>
          <w:rFonts w:asciiTheme="minorHAnsi" w:eastAsia="Times New Roman" w:hAnsiTheme="minorHAnsi"/>
          <w:sz w:val="24"/>
          <w:szCs w:val="24"/>
        </w:rPr>
        <w:t>i</w:t>
      </w:r>
      <w:r w:rsidRPr="005431D1">
        <w:rPr>
          <w:rFonts w:asciiTheme="minorHAnsi" w:eastAsia="Times New Roman" w:hAnsiTheme="minorHAnsi"/>
          <w:sz w:val="24"/>
          <w:szCs w:val="24"/>
        </w:rPr>
        <w:t>m</w:t>
      </w:r>
      <w:r w:rsidR="0065727F">
        <w:rPr>
          <w:rFonts w:asciiTheme="minorHAnsi" w:eastAsia="Times New Roman" w:hAnsiTheme="minorHAnsi"/>
          <w:sz w:val="24"/>
          <w:szCs w:val="24"/>
        </w:rPr>
        <w:t>pr</w:t>
      </w:r>
      <w:r w:rsidRPr="005431D1">
        <w:rPr>
          <w:rFonts w:asciiTheme="minorHAnsi" w:eastAsia="Times New Roman" w:hAnsiTheme="minorHAnsi"/>
          <w:sz w:val="24"/>
          <w:szCs w:val="24"/>
        </w:rPr>
        <w:t xml:space="preserve">ovement of </w:t>
      </w:r>
      <w:r w:rsidR="0065727F">
        <w:rPr>
          <w:rFonts w:asciiTheme="minorHAnsi" w:eastAsia="Times New Roman" w:hAnsiTheme="minorHAnsi"/>
          <w:sz w:val="24"/>
          <w:szCs w:val="24"/>
        </w:rPr>
        <w:t xml:space="preserve">the </w:t>
      </w:r>
      <w:r w:rsidRPr="005431D1">
        <w:rPr>
          <w:rFonts w:asciiTheme="minorHAnsi" w:eastAsia="Times New Roman" w:hAnsiTheme="minorHAnsi"/>
          <w:sz w:val="24"/>
          <w:szCs w:val="24"/>
        </w:rPr>
        <w:t xml:space="preserve">associated NOM.  Fifteen NPMs were identified for the Title V MCH Services Block Grant.  In this updated guidance, two additional indicators of a safe sleep environment will be tracked for states that select this NPM.  </w:t>
      </w:r>
    </w:p>
    <w:p w14:paraId="731AF187" w14:textId="77777777" w:rsidR="00805433" w:rsidRPr="005431D1" w:rsidRDefault="00805433" w:rsidP="00805433">
      <w:pPr>
        <w:spacing w:after="0" w:line="240" w:lineRule="auto"/>
        <w:rPr>
          <w:rFonts w:asciiTheme="minorHAnsi" w:eastAsia="Times New Roman" w:hAnsiTheme="minorHAnsi"/>
          <w:sz w:val="24"/>
          <w:szCs w:val="24"/>
        </w:rPr>
      </w:pPr>
    </w:p>
    <w:p w14:paraId="6BB0B86F" w14:textId="6DC6A161" w:rsidR="00805433" w:rsidRPr="005431D1" w:rsidRDefault="00805433" w:rsidP="00805433">
      <w:pPr>
        <w:spacing w:after="0" w:line="240" w:lineRule="auto"/>
        <w:rPr>
          <w:rFonts w:asciiTheme="minorHAnsi" w:eastAsia="Times New Roman" w:hAnsiTheme="minorHAnsi"/>
          <w:sz w:val="24"/>
          <w:szCs w:val="24"/>
        </w:rPr>
      </w:pPr>
      <w:r w:rsidRPr="005431D1">
        <w:rPr>
          <w:rFonts w:asciiTheme="minorHAnsi" w:eastAsia="Times New Roman" w:hAnsiTheme="minorHAnsi"/>
          <w:sz w:val="24"/>
          <w:szCs w:val="24"/>
        </w:rPr>
        <w:t>The ESMs are the key to understanding how a State Title V program tracks programmatic investments or inputs designed to impa</w:t>
      </w:r>
      <w:r w:rsidR="002A4C6C">
        <w:rPr>
          <w:rFonts w:asciiTheme="minorHAnsi" w:eastAsia="Times New Roman" w:hAnsiTheme="minorHAnsi"/>
          <w:sz w:val="24"/>
          <w:szCs w:val="24"/>
        </w:rPr>
        <w:t xml:space="preserve">ct the NPMs. </w:t>
      </w:r>
      <w:r w:rsidR="005E3E7E">
        <w:rPr>
          <w:rFonts w:asciiTheme="minorHAnsi" w:eastAsia="Times New Roman" w:hAnsiTheme="minorHAnsi"/>
          <w:sz w:val="24"/>
          <w:szCs w:val="24"/>
        </w:rPr>
        <w:t xml:space="preserve"> </w:t>
      </w:r>
      <w:r w:rsidR="002A4C6C">
        <w:rPr>
          <w:rFonts w:asciiTheme="minorHAnsi" w:eastAsia="Times New Roman" w:hAnsiTheme="minorHAnsi"/>
          <w:sz w:val="24"/>
          <w:szCs w:val="24"/>
        </w:rPr>
        <w:t>In the framework, s</w:t>
      </w:r>
      <w:r w:rsidRPr="005431D1">
        <w:rPr>
          <w:rFonts w:asciiTheme="minorHAnsi" w:eastAsia="Times New Roman" w:hAnsiTheme="minorHAnsi"/>
          <w:sz w:val="24"/>
          <w:szCs w:val="24"/>
        </w:rPr>
        <w:t xml:space="preserve">tates select evidence-based or evidence-informed strategies and activities designed to impact the NPMs; States then create ESMs to </w:t>
      </w:r>
      <w:r w:rsidR="009656E7" w:rsidRPr="005431D1">
        <w:rPr>
          <w:rFonts w:asciiTheme="minorHAnsi" w:eastAsia="Times New Roman" w:hAnsiTheme="minorHAnsi"/>
          <w:sz w:val="24"/>
          <w:szCs w:val="24"/>
        </w:rPr>
        <w:t>track</w:t>
      </w:r>
      <w:r w:rsidRPr="005431D1">
        <w:rPr>
          <w:rFonts w:asciiTheme="minorHAnsi" w:eastAsia="Times New Roman" w:hAnsiTheme="minorHAnsi"/>
          <w:sz w:val="24"/>
          <w:szCs w:val="24"/>
        </w:rPr>
        <w:t xml:space="preserve"> State Title V strategies and inputs contained in the State Action Plan. </w:t>
      </w:r>
      <w:r w:rsidR="005E3E7E">
        <w:rPr>
          <w:rFonts w:asciiTheme="minorHAnsi" w:eastAsia="Times New Roman" w:hAnsiTheme="minorHAnsi"/>
          <w:sz w:val="24"/>
          <w:szCs w:val="24"/>
        </w:rPr>
        <w:t xml:space="preserve"> </w:t>
      </w:r>
      <w:r w:rsidRPr="005431D1">
        <w:rPr>
          <w:rFonts w:asciiTheme="minorHAnsi" w:eastAsia="Times New Roman" w:hAnsiTheme="minorHAnsi"/>
          <w:sz w:val="24"/>
          <w:szCs w:val="24"/>
        </w:rPr>
        <w:t xml:space="preserve">The development of ESMs is guided through an examination of evidenced-based or evidence-informed strategies, and determining what components are practical, meaningful, measurable, and achievable. </w:t>
      </w:r>
      <w:r w:rsidR="005E3E7E">
        <w:rPr>
          <w:rFonts w:asciiTheme="minorHAnsi" w:eastAsia="Times New Roman" w:hAnsiTheme="minorHAnsi"/>
          <w:sz w:val="24"/>
          <w:szCs w:val="24"/>
        </w:rPr>
        <w:t xml:space="preserve"> </w:t>
      </w:r>
      <w:r w:rsidRPr="005431D1">
        <w:rPr>
          <w:rFonts w:asciiTheme="minorHAnsi" w:eastAsia="Times New Roman" w:hAnsiTheme="minorHAnsi"/>
          <w:sz w:val="24"/>
          <w:szCs w:val="24"/>
        </w:rPr>
        <w:t xml:space="preserve">The main criteria for ESMs are being meaningfully related to the selected NPM through scientific evidence or theory and being measurable by the state with improvement achievable in multiple years of the five-year reporting cycle. </w:t>
      </w:r>
      <w:r w:rsidR="005E3E7E">
        <w:rPr>
          <w:rFonts w:asciiTheme="minorHAnsi" w:eastAsia="Times New Roman" w:hAnsiTheme="minorHAnsi"/>
          <w:sz w:val="24"/>
          <w:szCs w:val="24"/>
        </w:rPr>
        <w:t xml:space="preserve"> </w:t>
      </w:r>
      <w:r w:rsidRPr="005431D1">
        <w:rPr>
          <w:rFonts w:asciiTheme="minorHAnsi" w:eastAsia="Times New Roman" w:hAnsiTheme="minorHAnsi"/>
          <w:sz w:val="24"/>
          <w:szCs w:val="24"/>
        </w:rPr>
        <w:t>States can determine the number of ESMs that they will use for addressing the selected NPMs but there is a required minimum of one ESM for each NPM.</w:t>
      </w:r>
      <w:r w:rsidR="005E3E7E">
        <w:rPr>
          <w:rFonts w:asciiTheme="minorHAnsi" w:eastAsia="Times New Roman" w:hAnsiTheme="minorHAnsi"/>
          <w:sz w:val="24"/>
          <w:szCs w:val="24"/>
        </w:rPr>
        <w:t xml:space="preserve"> </w:t>
      </w:r>
      <w:r w:rsidRPr="005431D1">
        <w:rPr>
          <w:rFonts w:asciiTheme="minorHAnsi" w:eastAsia="Times New Roman" w:hAnsiTheme="minorHAnsi"/>
          <w:sz w:val="24"/>
          <w:szCs w:val="24"/>
        </w:rPr>
        <w:t xml:space="preserve"> States may also add, modify, replace, or retire ESMs over the five-year reporting cycle, as new strategies or measurement methods emerge, objectives are achieved without further room for improvement, or the strategy did not produce intended results.</w:t>
      </w:r>
    </w:p>
    <w:p w14:paraId="7AE176EA" w14:textId="77777777" w:rsidR="00805433" w:rsidRPr="005431D1" w:rsidRDefault="00805433" w:rsidP="00805433">
      <w:pPr>
        <w:spacing w:after="0" w:line="240" w:lineRule="auto"/>
        <w:rPr>
          <w:rFonts w:asciiTheme="minorHAnsi" w:eastAsia="Times New Roman" w:hAnsiTheme="minorHAnsi"/>
          <w:sz w:val="24"/>
          <w:szCs w:val="24"/>
        </w:rPr>
      </w:pPr>
    </w:p>
    <w:p w14:paraId="75A065D8" w14:textId="7B663001" w:rsidR="00805433" w:rsidRPr="005431D1" w:rsidRDefault="00805433" w:rsidP="00805433">
      <w:pPr>
        <w:spacing w:after="0" w:line="240" w:lineRule="auto"/>
        <w:rPr>
          <w:rFonts w:asciiTheme="minorHAnsi" w:eastAsia="Times New Roman" w:hAnsiTheme="minorHAnsi"/>
          <w:sz w:val="24"/>
          <w:szCs w:val="24"/>
        </w:rPr>
      </w:pPr>
      <w:r w:rsidRPr="005431D1">
        <w:rPr>
          <w:rFonts w:asciiTheme="minorHAnsi" w:eastAsia="Times New Roman" w:hAnsiTheme="minorHAnsi"/>
          <w:sz w:val="24"/>
          <w:szCs w:val="24"/>
        </w:rPr>
        <w:t>The 15 NPMs address key national MCH priority areas in five MCH population health domains: 1) Women/Maternal Health; 2) Perinatal/Infant Health; 3) Child Health; 4) CSHCN;</w:t>
      </w:r>
      <w:r w:rsidR="00D92B38">
        <w:rPr>
          <w:rFonts w:asciiTheme="minorHAnsi" w:eastAsia="Times New Roman" w:hAnsiTheme="minorHAnsi"/>
          <w:sz w:val="24"/>
          <w:szCs w:val="24"/>
        </w:rPr>
        <w:t xml:space="preserve"> and              </w:t>
      </w:r>
      <w:r w:rsidRPr="005431D1">
        <w:rPr>
          <w:rFonts w:asciiTheme="minorHAnsi" w:eastAsia="Times New Roman" w:hAnsiTheme="minorHAnsi"/>
          <w:sz w:val="24"/>
          <w:szCs w:val="24"/>
        </w:rPr>
        <w:t>5) Adolescent Health.</w:t>
      </w:r>
      <w:r w:rsidR="00D92B38">
        <w:rPr>
          <w:rFonts w:asciiTheme="minorHAnsi" w:eastAsia="Times New Roman" w:hAnsiTheme="minorHAnsi"/>
          <w:sz w:val="24"/>
          <w:szCs w:val="24"/>
        </w:rPr>
        <w:t xml:space="preserve"> </w:t>
      </w:r>
      <w:r w:rsidRPr="005431D1">
        <w:rPr>
          <w:rFonts w:asciiTheme="minorHAnsi" w:eastAsia="Times New Roman" w:hAnsiTheme="minorHAnsi"/>
          <w:sz w:val="24"/>
          <w:szCs w:val="24"/>
        </w:rPr>
        <w:t xml:space="preserve"> The five MCH population health domains are contained within the three legislatively-defined MCH populations [Section 505(a)(1).]</w:t>
      </w:r>
      <w:r w:rsidR="00D92B38">
        <w:rPr>
          <w:rFonts w:asciiTheme="minorHAnsi" w:eastAsia="Times New Roman" w:hAnsiTheme="minorHAnsi"/>
          <w:sz w:val="24"/>
          <w:szCs w:val="24"/>
        </w:rPr>
        <w:t xml:space="preserve">  </w:t>
      </w:r>
      <w:r w:rsidRPr="005431D1">
        <w:rPr>
          <w:rFonts w:asciiTheme="minorHAnsi" w:eastAsia="Times New Roman" w:hAnsiTheme="minorHAnsi"/>
          <w:sz w:val="24"/>
          <w:szCs w:val="24"/>
        </w:rPr>
        <w:t xml:space="preserve">The first two domains are included under “preventive and primary care services for pregnant women, mothers and infants up to age one,” which is the first of the three defined MCH populations. </w:t>
      </w:r>
      <w:r w:rsidR="00D92B38">
        <w:rPr>
          <w:rFonts w:asciiTheme="minorHAnsi" w:eastAsia="Times New Roman" w:hAnsiTheme="minorHAnsi"/>
          <w:sz w:val="24"/>
          <w:szCs w:val="24"/>
        </w:rPr>
        <w:t xml:space="preserve"> </w:t>
      </w:r>
      <w:r w:rsidRPr="005431D1">
        <w:rPr>
          <w:rFonts w:asciiTheme="minorHAnsi" w:eastAsia="Times New Roman" w:hAnsiTheme="minorHAnsi"/>
          <w:sz w:val="24"/>
          <w:szCs w:val="24"/>
        </w:rPr>
        <w:t xml:space="preserve">Child and adolescent health are included in the second defined MCH population, specifically “preventive and primary care services for children.” </w:t>
      </w:r>
      <w:r w:rsidR="00D92B38">
        <w:rPr>
          <w:rFonts w:asciiTheme="minorHAnsi" w:eastAsia="Times New Roman" w:hAnsiTheme="minorHAnsi"/>
          <w:sz w:val="24"/>
          <w:szCs w:val="24"/>
        </w:rPr>
        <w:t xml:space="preserve"> </w:t>
      </w:r>
      <w:r w:rsidRPr="005431D1">
        <w:rPr>
          <w:rFonts w:asciiTheme="minorHAnsi" w:eastAsia="Times New Roman" w:hAnsiTheme="minorHAnsi"/>
          <w:sz w:val="24"/>
          <w:szCs w:val="24"/>
        </w:rPr>
        <w:t xml:space="preserve">Services for CSHCN is the third legislatively-defined MCH population.  </w:t>
      </w:r>
      <w:r w:rsidR="00D92B38">
        <w:rPr>
          <w:rFonts w:asciiTheme="minorHAnsi" w:eastAsia="Times New Roman" w:hAnsiTheme="minorHAnsi"/>
          <w:sz w:val="24"/>
          <w:szCs w:val="24"/>
        </w:rPr>
        <w:t xml:space="preserve">Presented in </w:t>
      </w:r>
      <w:r w:rsidRPr="005431D1">
        <w:rPr>
          <w:rFonts w:asciiTheme="minorHAnsi" w:eastAsia="Times New Roman" w:hAnsiTheme="minorHAnsi"/>
          <w:sz w:val="24"/>
          <w:szCs w:val="24"/>
        </w:rPr>
        <w:t>the table below</w:t>
      </w:r>
      <w:r w:rsidR="00D92B38">
        <w:rPr>
          <w:rFonts w:asciiTheme="minorHAnsi" w:eastAsia="Times New Roman" w:hAnsiTheme="minorHAnsi"/>
          <w:sz w:val="24"/>
          <w:szCs w:val="24"/>
        </w:rPr>
        <w:t xml:space="preserve"> </w:t>
      </w:r>
      <w:r w:rsidRPr="005431D1">
        <w:rPr>
          <w:rFonts w:asciiTheme="minorHAnsi" w:eastAsia="Times New Roman" w:hAnsiTheme="minorHAnsi"/>
          <w:sz w:val="24"/>
          <w:szCs w:val="24"/>
        </w:rPr>
        <w:t>are the 15 NPMs and the corresponding MCH Population domain(s) and applicable subgroup options for ESMs.</w:t>
      </w:r>
    </w:p>
    <w:p w14:paraId="24B4983B" w14:textId="0732616E" w:rsidR="00805433" w:rsidRDefault="00805433" w:rsidP="00805433">
      <w:pPr>
        <w:spacing w:after="0" w:line="240" w:lineRule="auto"/>
        <w:rPr>
          <w:rFonts w:asciiTheme="minorHAnsi" w:eastAsia="Times New Roman" w:hAnsiTheme="minorHAnsi"/>
          <w:sz w:val="24"/>
          <w:szCs w:val="24"/>
        </w:rPr>
      </w:pPr>
    </w:p>
    <w:p w14:paraId="32D060E6" w14:textId="77777777" w:rsidR="005F72F6" w:rsidRPr="005431D1" w:rsidRDefault="005F72F6" w:rsidP="00805433">
      <w:pPr>
        <w:spacing w:after="0" w:line="240" w:lineRule="auto"/>
        <w:rPr>
          <w:rFonts w:asciiTheme="minorHAnsi" w:eastAsia="Times New Roman" w:hAnsiTheme="minorHAnsi"/>
          <w:sz w:val="24"/>
          <w:szCs w:val="24"/>
        </w:rPr>
      </w:pPr>
    </w:p>
    <w:p w14:paraId="0E20CBE1" w14:textId="77777777" w:rsidR="005431D1" w:rsidRDefault="005431D1" w:rsidP="00805433">
      <w:pPr>
        <w:spacing w:after="0" w:line="240" w:lineRule="auto"/>
        <w:rPr>
          <w:rFonts w:asciiTheme="minorHAnsi" w:eastAsia="Times New Roman" w:hAnsiTheme="minorHAnsi"/>
          <w:sz w:val="24"/>
          <w:szCs w:val="24"/>
        </w:rPr>
      </w:pPr>
    </w:p>
    <w:p w14:paraId="7B57A234" w14:textId="2FD80ABD" w:rsidR="00805433" w:rsidRPr="005F72F6" w:rsidRDefault="00805433" w:rsidP="00805433">
      <w:pPr>
        <w:spacing w:after="0" w:line="240" w:lineRule="auto"/>
        <w:rPr>
          <w:rFonts w:asciiTheme="minorHAnsi" w:eastAsia="Times New Roman" w:hAnsiTheme="minorHAnsi"/>
          <w:b/>
          <w:color w:val="0070C0"/>
          <w:sz w:val="24"/>
          <w:szCs w:val="24"/>
        </w:rPr>
      </w:pPr>
      <w:r w:rsidRPr="005F72F6">
        <w:rPr>
          <w:rFonts w:asciiTheme="minorHAnsi" w:eastAsia="Times New Roman" w:hAnsiTheme="minorHAnsi"/>
          <w:b/>
          <w:sz w:val="24"/>
          <w:szCs w:val="24"/>
        </w:rPr>
        <w:t>Table 1. NPMs and MCH Population Domains</w:t>
      </w:r>
    </w:p>
    <w:p w14:paraId="618F519D" w14:textId="2834F246" w:rsidR="00805433" w:rsidRDefault="00805433" w:rsidP="00805433">
      <w:pPr>
        <w:spacing w:after="0" w:line="240" w:lineRule="auto"/>
        <w:rPr>
          <w:rFonts w:ascii="Arial" w:eastAsia="Times New Roman" w:hAnsi="Arial"/>
          <w:sz w:val="24"/>
          <w:szCs w:val="24"/>
        </w:rPr>
      </w:pP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99"/>
        <w:gridCol w:w="3033"/>
        <w:gridCol w:w="2781"/>
      </w:tblGrid>
      <w:tr w:rsidR="00805433" w:rsidRPr="00805433" w14:paraId="0A5F7AF6" w14:textId="77777777" w:rsidTr="00783BA0">
        <w:trPr>
          <w:trHeight w:val="521"/>
          <w:tblHeader/>
        </w:trPr>
        <w:tc>
          <w:tcPr>
            <w:tcW w:w="357" w:type="pct"/>
            <w:tcBorders>
              <w:bottom w:val="single" w:sz="4" w:space="0" w:color="auto"/>
            </w:tcBorders>
            <w:shd w:val="clear" w:color="auto" w:fill="C7E2FA" w:themeFill="accent1" w:themeFillTint="33"/>
          </w:tcPr>
          <w:p w14:paraId="485C3AE5" w14:textId="77777777" w:rsidR="00805433" w:rsidRPr="003C2840" w:rsidRDefault="00805433" w:rsidP="00805433">
            <w:pPr>
              <w:spacing w:after="0" w:line="240" w:lineRule="auto"/>
              <w:ind w:left="24" w:hanging="24"/>
              <w:jc w:val="center"/>
              <w:rPr>
                <w:rFonts w:ascii="Arial" w:hAnsi="Arial" w:cs="Arial"/>
                <w:b/>
                <w:color w:val="0B5294" w:themeColor="accent1" w:themeShade="BF"/>
                <w:sz w:val="20"/>
                <w:szCs w:val="20"/>
              </w:rPr>
            </w:pPr>
            <w:r w:rsidRPr="003C2840">
              <w:rPr>
                <w:rFonts w:ascii="Arial" w:hAnsi="Arial" w:cs="Arial"/>
                <w:b/>
                <w:color w:val="0B5294" w:themeColor="accent1" w:themeShade="BF"/>
                <w:sz w:val="20"/>
                <w:szCs w:val="20"/>
              </w:rPr>
              <w:t>NPM #</w:t>
            </w:r>
          </w:p>
        </w:tc>
        <w:tc>
          <w:tcPr>
            <w:tcW w:w="1580" w:type="pct"/>
            <w:tcBorders>
              <w:bottom w:val="single" w:sz="4" w:space="0" w:color="auto"/>
            </w:tcBorders>
            <w:shd w:val="clear" w:color="auto" w:fill="C7E2FA" w:themeFill="accent1" w:themeFillTint="33"/>
          </w:tcPr>
          <w:p w14:paraId="154C3FCE" w14:textId="77777777" w:rsidR="00805433" w:rsidRPr="003C2840" w:rsidRDefault="00805433" w:rsidP="00805433">
            <w:pPr>
              <w:spacing w:after="0" w:line="240" w:lineRule="auto"/>
              <w:ind w:left="11"/>
              <w:jc w:val="center"/>
              <w:rPr>
                <w:rFonts w:ascii="Arial" w:hAnsi="Arial" w:cs="Arial"/>
                <w:b/>
                <w:color w:val="0B5294" w:themeColor="accent1" w:themeShade="BF"/>
                <w:sz w:val="20"/>
                <w:szCs w:val="20"/>
              </w:rPr>
            </w:pPr>
            <w:r w:rsidRPr="003C2840">
              <w:rPr>
                <w:rFonts w:ascii="Arial" w:hAnsi="Arial" w:cs="Arial"/>
                <w:b/>
                <w:color w:val="0B5294" w:themeColor="accent1" w:themeShade="BF"/>
                <w:sz w:val="20"/>
                <w:szCs w:val="20"/>
              </w:rPr>
              <w:t>National Performance Measures</w:t>
            </w:r>
          </w:p>
        </w:tc>
        <w:tc>
          <w:tcPr>
            <w:tcW w:w="1598" w:type="pct"/>
            <w:tcBorders>
              <w:bottom w:val="single" w:sz="4" w:space="0" w:color="auto"/>
            </w:tcBorders>
            <w:shd w:val="clear" w:color="auto" w:fill="C7E2FA" w:themeFill="accent1" w:themeFillTint="33"/>
          </w:tcPr>
          <w:p w14:paraId="293888CB" w14:textId="77777777" w:rsidR="00805433" w:rsidRPr="003C2840" w:rsidRDefault="00805433" w:rsidP="00805433">
            <w:pPr>
              <w:spacing w:after="0" w:line="240" w:lineRule="auto"/>
              <w:jc w:val="center"/>
              <w:rPr>
                <w:rFonts w:ascii="Arial" w:hAnsi="Arial" w:cs="Arial"/>
                <w:b/>
                <w:color w:val="0B5294" w:themeColor="accent1" w:themeShade="BF"/>
                <w:sz w:val="20"/>
                <w:szCs w:val="20"/>
              </w:rPr>
            </w:pPr>
            <w:r w:rsidRPr="003C2840">
              <w:rPr>
                <w:rFonts w:ascii="Arial" w:hAnsi="Arial" w:cs="Arial"/>
                <w:b/>
                <w:color w:val="0B5294" w:themeColor="accent1" w:themeShade="BF"/>
                <w:sz w:val="20"/>
                <w:szCs w:val="20"/>
              </w:rPr>
              <w:t>MCH Population Domains</w:t>
            </w:r>
          </w:p>
        </w:tc>
        <w:tc>
          <w:tcPr>
            <w:tcW w:w="1465" w:type="pct"/>
            <w:tcBorders>
              <w:bottom w:val="single" w:sz="4" w:space="0" w:color="auto"/>
            </w:tcBorders>
            <w:shd w:val="clear" w:color="auto" w:fill="C7E2FA" w:themeFill="accent1" w:themeFillTint="33"/>
          </w:tcPr>
          <w:p w14:paraId="78E4AE1B" w14:textId="77777777" w:rsidR="00805433" w:rsidRPr="003C2840" w:rsidRDefault="00805433" w:rsidP="00805433">
            <w:pPr>
              <w:spacing w:after="0" w:line="240" w:lineRule="auto"/>
              <w:jc w:val="center"/>
              <w:rPr>
                <w:rFonts w:ascii="Arial" w:hAnsi="Arial" w:cs="Arial"/>
                <w:b/>
                <w:color w:val="0B5294" w:themeColor="accent1" w:themeShade="BF"/>
                <w:sz w:val="20"/>
                <w:szCs w:val="20"/>
              </w:rPr>
            </w:pPr>
            <w:r w:rsidRPr="003C2840">
              <w:rPr>
                <w:rFonts w:ascii="Arial" w:hAnsi="Arial" w:cs="Arial"/>
                <w:b/>
                <w:color w:val="0B5294" w:themeColor="accent1" w:themeShade="BF"/>
                <w:sz w:val="20"/>
                <w:szCs w:val="20"/>
              </w:rPr>
              <w:t xml:space="preserve">ESM Subgroup Options </w:t>
            </w:r>
          </w:p>
          <w:p w14:paraId="77F84441" w14:textId="77777777" w:rsidR="00805433" w:rsidRPr="003C2840" w:rsidRDefault="00805433" w:rsidP="00805433">
            <w:pPr>
              <w:spacing w:after="0" w:line="240" w:lineRule="auto"/>
              <w:jc w:val="center"/>
              <w:rPr>
                <w:rFonts w:ascii="Arial" w:hAnsi="Arial" w:cs="Arial"/>
                <w:b/>
                <w:color w:val="0B5294" w:themeColor="accent1" w:themeShade="BF"/>
                <w:sz w:val="20"/>
                <w:szCs w:val="20"/>
              </w:rPr>
            </w:pPr>
            <w:r w:rsidRPr="003C2840">
              <w:rPr>
                <w:rFonts w:ascii="Arial" w:hAnsi="Arial" w:cs="Arial"/>
                <w:b/>
                <w:color w:val="0B5294" w:themeColor="accent1" w:themeShade="BF"/>
                <w:sz w:val="20"/>
                <w:szCs w:val="20"/>
              </w:rPr>
              <w:t>(if applicable)</w:t>
            </w:r>
          </w:p>
        </w:tc>
      </w:tr>
      <w:tr w:rsidR="00805433" w:rsidRPr="00805433" w14:paraId="03BB6953" w14:textId="77777777" w:rsidTr="00805433">
        <w:trPr>
          <w:trHeight w:val="249"/>
        </w:trPr>
        <w:tc>
          <w:tcPr>
            <w:tcW w:w="357" w:type="pct"/>
            <w:tcBorders>
              <w:top w:val="single" w:sz="4" w:space="0" w:color="auto"/>
            </w:tcBorders>
          </w:tcPr>
          <w:p w14:paraId="0BFCE0E6" w14:textId="77777777" w:rsidR="00805433" w:rsidRPr="00805433" w:rsidRDefault="00805433" w:rsidP="00805433">
            <w:pPr>
              <w:spacing w:after="0" w:line="240" w:lineRule="auto"/>
              <w:jc w:val="center"/>
              <w:rPr>
                <w:rFonts w:ascii="Arial" w:hAnsi="Arial" w:cs="Arial"/>
                <w:sz w:val="20"/>
                <w:szCs w:val="20"/>
              </w:rPr>
            </w:pPr>
            <w:r w:rsidRPr="00805433">
              <w:rPr>
                <w:rFonts w:ascii="Arial" w:hAnsi="Arial" w:cs="Arial"/>
                <w:sz w:val="20"/>
                <w:szCs w:val="20"/>
              </w:rPr>
              <w:t>1</w:t>
            </w:r>
          </w:p>
        </w:tc>
        <w:tc>
          <w:tcPr>
            <w:tcW w:w="1580" w:type="pct"/>
            <w:tcBorders>
              <w:top w:val="single" w:sz="4" w:space="0" w:color="auto"/>
            </w:tcBorders>
          </w:tcPr>
          <w:p w14:paraId="7F4C8D80"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Well-woman visit</w:t>
            </w:r>
          </w:p>
        </w:tc>
        <w:tc>
          <w:tcPr>
            <w:tcW w:w="1598" w:type="pct"/>
            <w:tcBorders>
              <w:top w:val="single" w:sz="4" w:space="0" w:color="auto"/>
            </w:tcBorders>
          </w:tcPr>
          <w:p w14:paraId="36DD5F50"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Women/Maternal Health</w:t>
            </w:r>
          </w:p>
        </w:tc>
        <w:tc>
          <w:tcPr>
            <w:tcW w:w="1465" w:type="pct"/>
            <w:tcBorders>
              <w:top w:val="single" w:sz="4" w:space="0" w:color="auto"/>
            </w:tcBorders>
          </w:tcPr>
          <w:p w14:paraId="659E449F" w14:textId="77777777" w:rsidR="00805433" w:rsidRPr="00805433" w:rsidRDefault="00805433" w:rsidP="00805433">
            <w:pPr>
              <w:spacing w:after="0" w:line="240" w:lineRule="auto"/>
              <w:rPr>
                <w:rFonts w:ascii="Arial" w:hAnsi="Arial" w:cs="Arial"/>
                <w:sz w:val="20"/>
                <w:szCs w:val="20"/>
              </w:rPr>
            </w:pPr>
          </w:p>
        </w:tc>
      </w:tr>
      <w:tr w:rsidR="00805433" w:rsidRPr="00805433" w14:paraId="7F5353EF" w14:textId="77777777" w:rsidTr="00805433">
        <w:trPr>
          <w:trHeight w:val="225"/>
        </w:trPr>
        <w:tc>
          <w:tcPr>
            <w:tcW w:w="357" w:type="pct"/>
          </w:tcPr>
          <w:p w14:paraId="47C4354C" w14:textId="77777777" w:rsidR="00805433" w:rsidRPr="00805433" w:rsidRDefault="00805433" w:rsidP="00805433">
            <w:pPr>
              <w:spacing w:after="0" w:line="240" w:lineRule="auto"/>
              <w:jc w:val="center"/>
              <w:rPr>
                <w:rFonts w:ascii="Arial" w:hAnsi="Arial" w:cs="Arial"/>
                <w:sz w:val="20"/>
                <w:szCs w:val="20"/>
              </w:rPr>
            </w:pPr>
            <w:r w:rsidRPr="00805433">
              <w:rPr>
                <w:rFonts w:ascii="Arial" w:hAnsi="Arial" w:cs="Arial"/>
                <w:sz w:val="20"/>
                <w:szCs w:val="20"/>
              </w:rPr>
              <w:t>2</w:t>
            </w:r>
          </w:p>
        </w:tc>
        <w:tc>
          <w:tcPr>
            <w:tcW w:w="1580" w:type="pct"/>
          </w:tcPr>
          <w:p w14:paraId="4D3D7B87"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 xml:space="preserve">Low-risk cesarean delivery </w:t>
            </w:r>
          </w:p>
        </w:tc>
        <w:tc>
          <w:tcPr>
            <w:tcW w:w="1598" w:type="pct"/>
          </w:tcPr>
          <w:p w14:paraId="4AB8B87E"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Women/Maternal Health</w:t>
            </w:r>
          </w:p>
        </w:tc>
        <w:tc>
          <w:tcPr>
            <w:tcW w:w="1465" w:type="pct"/>
          </w:tcPr>
          <w:p w14:paraId="2B8A9A6F" w14:textId="77777777" w:rsidR="00805433" w:rsidRPr="00805433" w:rsidRDefault="00805433" w:rsidP="00805433">
            <w:pPr>
              <w:spacing w:after="0" w:line="240" w:lineRule="auto"/>
              <w:rPr>
                <w:rFonts w:ascii="Arial" w:hAnsi="Arial" w:cs="Arial"/>
                <w:sz w:val="20"/>
                <w:szCs w:val="20"/>
              </w:rPr>
            </w:pPr>
          </w:p>
        </w:tc>
      </w:tr>
      <w:tr w:rsidR="00805433" w:rsidRPr="00805433" w14:paraId="113C50A3" w14:textId="77777777" w:rsidTr="00805433">
        <w:trPr>
          <w:trHeight w:val="241"/>
        </w:trPr>
        <w:tc>
          <w:tcPr>
            <w:tcW w:w="357" w:type="pct"/>
          </w:tcPr>
          <w:p w14:paraId="3AC80032" w14:textId="77777777" w:rsidR="00805433" w:rsidRPr="00805433" w:rsidRDefault="00805433" w:rsidP="00805433">
            <w:pPr>
              <w:spacing w:after="0" w:line="240" w:lineRule="auto"/>
              <w:jc w:val="center"/>
              <w:rPr>
                <w:rFonts w:ascii="Arial" w:hAnsi="Arial" w:cs="Arial"/>
                <w:sz w:val="20"/>
                <w:szCs w:val="20"/>
              </w:rPr>
            </w:pPr>
            <w:r w:rsidRPr="00805433">
              <w:rPr>
                <w:rFonts w:ascii="Arial" w:hAnsi="Arial" w:cs="Arial"/>
                <w:sz w:val="20"/>
                <w:szCs w:val="20"/>
              </w:rPr>
              <w:t>3</w:t>
            </w:r>
          </w:p>
        </w:tc>
        <w:tc>
          <w:tcPr>
            <w:tcW w:w="1580" w:type="pct"/>
          </w:tcPr>
          <w:p w14:paraId="25BC481F"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Risk-appropriate perinatal care</w:t>
            </w:r>
          </w:p>
        </w:tc>
        <w:tc>
          <w:tcPr>
            <w:tcW w:w="1598" w:type="pct"/>
          </w:tcPr>
          <w:p w14:paraId="43278B74"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Perinatal/Infant Health</w:t>
            </w:r>
          </w:p>
        </w:tc>
        <w:tc>
          <w:tcPr>
            <w:tcW w:w="1465" w:type="pct"/>
          </w:tcPr>
          <w:p w14:paraId="5F1DB1D6" w14:textId="77777777" w:rsidR="00805433" w:rsidRPr="00805433" w:rsidRDefault="00805433" w:rsidP="00805433">
            <w:pPr>
              <w:spacing w:after="0" w:line="240" w:lineRule="auto"/>
              <w:rPr>
                <w:rFonts w:ascii="Arial" w:hAnsi="Arial" w:cs="Arial"/>
                <w:sz w:val="20"/>
                <w:szCs w:val="20"/>
              </w:rPr>
            </w:pPr>
          </w:p>
        </w:tc>
      </w:tr>
      <w:tr w:rsidR="00805433" w:rsidRPr="00805433" w14:paraId="1E29A7EA" w14:textId="77777777" w:rsidTr="00805433">
        <w:trPr>
          <w:trHeight w:val="225"/>
        </w:trPr>
        <w:tc>
          <w:tcPr>
            <w:tcW w:w="357" w:type="pct"/>
          </w:tcPr>
          <w:p w14:paraId="51EE3449" w14:textId="77777777" w:rsidR="00805433" w:rsidRPr="00805433" w:rsidRDefault="00805433" w:rsidP="00805433">
            <w:pPr>
              <w:spacing w:after="0" w:line="240" w:lineRule="auto"/>
              <w:jc w:val="center"/>
              <w:rPr>
                <w:rFonts w:ascii="Arial" w:hAnsi="Arial" w:cs="Arial"/>
                <w:sz w:val="20"/>
                <w:szCs w:val="20"/>
              </w:rPr>
            </w:pPr>
            <w:r w:rsidRPr="00805433">
              <w:rPr>
                <w:rFonts w:ascii="Arial" w:hAnsi="Arial" w:cs="Arial"/>
                <w:sz w:val="20"/>
                <w:szCs w:val="20"/>
              </w:rPr>
              <w:t>4</w:t>
            </w:r>
          </w:p>
        </w:tc>
        <w:tc>
          <w:tcPr>
            <w:tcW w:w="1580" w:type="pct"/>
          </w:tcPr>
          <w:p w14:paraId="3A58C1C4"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 xml:space="preserve">Breastfeeding </w:t>
            </w:r>
          </w:p>
        </w:tc>
        <w:tc>
          <w:tcPr>
            <w:tcW w:w="1598" w:type="pct"/>
          </w:tcPr>
          <w:p w14:paraId="7A0E4F98"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Perinatal/Infant Health</w:t>
            </w:r>
          </w:p>
        </w:tc>
        <w:tc>
          <w:tcPr>
            <w:tcW w:w="1465" w:type="pct"/>
          </w:tcPr>
          <w:p w14:paraId="121080CB" w14:textId="77777777" w:rsidR="00805433" w:rsidRPr="00805433" w:rsidRDefault="00805433" w:rsidP="00805433">
            <w:pPr>
              <w:spacing w:after="0" w:line="240" w:lineRule="auto"/>
              <w:rPr>
                <w:rFonts w:ascii="Arial" w:hAnsi="Arial" w:cs="Arial"/>
                <w:sz w:val="20"/>
                <w:szCs w:val="20"/>
              </w:rPr>
            </w:pPr>
          </w:p>
        </w:tc>
      </w:tr>
      <w:tr w:rsidR="00805433" w:rsidRPr="00805433" w14:paraId="5AE689EC" w14:textId="77777777" w:rsidTr="00805433">
        <w:trPr>
          <w:trHeight w:val="233"/>
        </w:trPr>
        <w:tc>
          <w:tcPr>
            <w:tcW w:w="357" w:type="pct"/>
          </w:tcPr>
          <w:p w14:paraId="3F1B9061" w14:textId="77777777" w:rsidR="00805433" w:rsidRPr="00805433" w:rsidRDefault="00805433" w:rsidP="00805433">
            <w:pPr>
              <w:spacing w:after="0" w:line="240" w:lineRule="auto"/>
              <w:jc w:val="center"/>
              <w:rPr>
                <w:rFonts w:ascii="Arial" w:hAnsi="Arial" w:cs="Arial"/>
                <w:sz w:val="20"/>
                <w:szCs w:val="20"/>
              </w:rPr>
            </w:pPr>
            <w:r w:rsidRPr="00805433">
              <w:rPr>
                <w:rFonts w:ascii="Arial" w:hAnsi="Arial" w:cs="Arial"/>
                <w:sz w:val="20"/>
                <w:szCs w:val="20"/>
              </w:rPr>
              <w:t>5</w:t>
            </w:r>
          </w:p>
        </w:tc>
        <w:tc>
          <w:tcPr>
            <w:tcW w:w="1580" w:type="pct"/>
          </w:tcPr>
          <w:p w14:paraId="1F7EA0F2"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 xml:space="preserve">Safe sleep </w:t>
            </w:r>
          </w:p>
        </w:tc>
        <w:tc>
          <w:tcPr>
            <w:tcW w:w="1598" w:type="pct"/>
          </w:tcPr>
          <w:p w14:paraId="57F1373C"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Perinatal/Infant Health</w:t>
            </w:r>
          </w:p>
        </w:tc>
        <w:tc>
          <w:tcPr>
            <w:tcW w:w="1465" w:type="pct"/>
          </w:tcPr>
          <w:p w14:paraId="5BE0D209" w14:textId="77777777" w:rsidR="00805433" w:rsidRPr="00805433" w:rsidRDefault="00805433" w:rsidP="00805433">
            <w:pPr>
              <w:spacing w:after="0" w:line="240" w:lineRule="auto"/>
              <w:rPr>
                <w:rFonts w:ascii="Arial" w:hAnsi="Arial" w:cs="Arial"/>
                <w:sz w:val="20"/>
                <w:szCs w:val="20"/>
              </w:rPr>
            </w:pPr>
          </w:p>
        </w:tc>
      </w:tr>
      <w:tr w:rsidR="00805433" w:rsidRPr="00805433" w14:paraId="49F7E8CC" w14:textId="77777777" w:rsidTr="00805433">
        <w:trPr>
          <w:trHeight w:val="225"/>
        </w:trPr>
        <w:tc>
          <w:tcPr>
            <w:tcW w:w="357" w:type="pct"/>
          </w:tcPr>
          <w:p w14:paraId="5945F6BA" w14:textId="77777777" w:rsidR="00805433" w:rsidRPr="00805433" w:rsidRDefault="00805433" w:rsidP="00805433">
            <w:pPr>
              <w:spacing w:after="0" w:line="240" w:lineRule="auto"/>
              <w:jc w:val="center"/>
              <w:rPr>
                <w:rFonts w:ascii="Arial" w:hAnsi="Arial" w:cs="Arial"/>
                <w:sz w:val="20"/>
                <w:szCs w:val="20"/>
              </w:rPr>
            </w:pPr>
            <w:r w:rsidRPr="00805433">
              <w:rPr>
                <w:rFonts w:ascii="Arial" w:hAnsi="Arial" w:cs="Arial"/>
                <w:sz w:val="20"/>
                <w:szCs w:val="20"/>
              </w:rPr>
              <w:t>6</w:t>
            </w:r>
          </w:p>
        </w:tc>
        <w:tc>
          <w:tcPr>
            <w:tcW w:w="1580" w:type="pct"/>
          </w:tcPr>
          <w:p w14:paraId="6C172F29"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 xml:space="preserve">Developmental screening </w:t>
            </w:r>
          </w:p>
        </w:tc>
        <w:tc>
          <w:tcPr>
            <w:tcW w:w="1598" w:type="pct"/>
          </w:tcPr>
          <w:p w14:paraId="50791FD2"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Child Health</w:t>
            </w:r>
          </w:p>
        </w:tc>
        <w:tc>
          <w:tcPr>
            <w:tcW w:w="1465" w:type="pct"/>
          </w:tcPr>
          <w:p w14:paraId="51C692BB" w14:textId="77777777" w:rsidR="00805433" w:rsidRPr="00805433" w:rsidRDefault="00805433" w:rsidP="00805433">
            <w:pPr>
              <w:spacing w:after="0" w:line="240" w:lineRule="auto"/>
              <w:rPr>
                <w:rFonts w:ascii="Arial" w:hAnsi="Arial" w:cs="Arial"/>
                <w:sz w:val="20"/>
                <w:szCs w:val="20"/>
              </w:rPr>
            </w:pPr>
          </w:p>
        </w:tc>
      </w:tr>
      <w:tr w:rsidR="00805433" w:rsidRPr="00805433" w14:paraId="359EACA6" w14:textId="77777777" w:rsidTr="00805433">
        <w:trPr>
          <w:trHeight w:val="233"/>
        </w:trPr>
        <w:tc>
          <w:tcPr>
            <w:tcW w:w="357" w:type="pct"/>
          </w:tcPr>
          <w:p w14:paraId="46AAC448" w14:textId="77777777" w:rsidR="00805433" w:rsidRPr="00805433" w:rsidRDefault="00805433" w:rsidP="00805433">
            <w:pPr>
              <w:spacing w:after="0" w:line="240" w:lineRule="auto"/>
              <w:jc w:val="center"/>
              <w:rPr>
                <w:rFonts w:ascii="Arial" w:hAnsi="Arial" w:cs="Arial"/>
                <w:sz w:val="20"/>
                <w:szCs w:val="20"/>
              </w:rPr>
            </w:pPr>
            <w:r w:rsidRPr="00805433">
              <w:rPr>
                <w:rFonts w:ascii="Arial" w:hAnsi="Arial" w:cs="Arial"/>
                <w:sz w:val="20"/>
                <w:szCs w:val="20"/>
              </w:rPr>
              <w:t>7</w:t>
            </w:r>
          </w:p>
        </w:tc>
        <w:tc>
          <w:tcPr>
            <w:tcW w:w="1580" w:type="pct"/>
          </w:tcPr>
          <w:p w14:paraId="2038E6C2"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Injury hospitalization</w:t>
            </w:r>
          </w:p>
        </w:tc>
        <w:tc>
          <w:tcPr>
            <w:tcW w:w="1598" w:type="pct"/>
          </w:tcPr>
          <w:p w14:paraId="41F969D5"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Child Health and/or Adolescent Health</w:t>
            </w:r>
          </w:p>
        </w:tc>
        <w:tc>
          <w:tcPr>
            <w:tcW w:w="1465" w:type="pct"/>
          </w:tcPr>
          <w:p w14:paraId="185DE38D"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Children 0 through 9</w:t>
            </w:r>
          </w:p>
          <w:p w14:paraId="64EF6386"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Adolescents 10 through 19</w:t>
            </w:r>
          </w:p>
          <w:p w14:paraId="4EC9FA93"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All Children 0 through 19</w:t>
            </w:r>
          </w:p>
        </w:tc>
      </w:tr>
      <w:tr w:rsidR="00805433" w:rsidRPr="00805433" w14:paraId="78E19241" w14:textId="77777777" w:rsidTr="00805433">
        <w:trPr>
          <w:trHeight w:val="249"/>
        </w:trPr>
        <w:tc>
          <w:tcPr>
            <w:tcW w:w="357" w:type="pct"/>
          </w:tcPr>
          <w:p w14:paraId="23522E94" w14:textId="77777777" w:rsidR="00805433" w:rsidRPr="00805433" w:rsidRDefault="00805433" w:rsidP="00805433">
            <w:pPr>
              <w:spacing w:after="0" w:line="240" w:lineRule="auto"/>
              <w:jc w:val="center"/>
              <w:rPr>
                <w:rFonts w:ascii="Arial" w:hAnsi="Arial" w:cs="Arial"/>
                <w:sz w:val="20"/>
                <w:szCs w:val="20"/>
              </w:rPr>
            </w:pPr>
            <w:r w:rsidRPr="00805433">
              <w:rPr>
                <w:rFonts w:ascii="Arial" w:hAnsi="Arial" w:cs="Arial"/>
                <w:sz w:val="20"/>
                <w:szCs w:val="20"/>
              </w:rPr>
              <w:t>8</w:t>
            </w:r>
          </w:p>
        </w:tc>
        <w:tc>
          <w:tcPr>
            <w:tcW w:w="1580" w:type="pct"/>
          </w:tcPr>
          <w:p w14:paraId="22D1A82D"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 xml:space="preserve">Physical activity </w:t>
            </w:r>
          </w:p>
        </w:tc>
        <w:tc>
          <w:tcPr>
            <w:tcW w:w="1598" w:type="pct"/>
          </w:tcPr>
          <w:p w14:paraId="602D99F7"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Child Health and/or Adolescent Health</w:t>
            </w:r>
          </w:p>
        </w:tc>
        <w:tc>
          <w:tcPr>
            <w:tcW w:w="1465" w:type="pct"/>
          </w:tcPr>
          <w:p w14:paraId="50788DD8"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Children 6 through 11</w:t>
            </w:r>
          </w:p>
          <w:p w14:paraId="3BE66DA3"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Adolescents 12 through 17</w:t>
            </w:r>
          </w:p>
          <w:p w14:paraId="1208DBB6"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All Children 6 through 17</w:t>
            </w:r>
          </w:p>
        </w:tc>
      </w:tr>
      <w:tr w:rsidR="00805433" w:rsidRPr="00805433" w14:paraId="56544D0B" w14:textId="77777777" w:rsidTr="00805433">
        <w:trPr>
          <w:trHeight w:val="241"/>
        </w:trPr>
        <w:tc>
          <w:tcPr>
            <w:tcW w:w="357" w:type="pct"/>
          </w:tcPr>
          <w:p w14:paraId="00B4D036" w14:textId="77777777" w:rsidR="00805433" w:rsidRPr="00805433" w:rsidRDefault="00805433" w:rsidP="00805433">
            <w:pPr>
              <w:spacing w:after="0" w:line="240" w:lineRule="auto"/>
              <w:jc w:val="center"/>
              <w:rPr>
                <w:rFonts w:ascii="Arial" w:hAnsi="Arial" w:cs="Arial"/>
                <w:sz w:val="20"/>
                <w:szCs w:val="20"/>
              </w:rPr>
            </w:pPr>
            <w:r w:rsidRPr="00805433">
              <w:rPr>
                <w:rFonts w:ascii="Arial" w:hAnsi="Arial" w:cs="Arial"/>
                <w:sz w:val="20"/>
                <w:szCs w:val="20"/>
              </w:rPr>
              <w:t>9</w:t>
            </w:r>
          </w:p>
        </w:tc>
        <w:tc>
          <w:tcPr>
            <w:tcW w:w="1580" w:type="pct"/>
          </w:tcPr>
          <w:p w14:paraId="33A46030"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 xml:space="preserve">Bullying </w:t>
            </w:r>
          </w:p>
        </w:tc>
        <w:tc>
          <w:tcPr>
            <w:tcW w:w="1598" w:type="pct"/>
          </w:tcPr>
          <w:p w14:paraId="440AF099"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Adolescent Health</w:t>
            </w:r>
          </w:p>
        </w:tc>
        <w:tc>
          <w:tcPr>
            <w:tcW w:w="1465" w:type="pct"/>
          </w:tcPr>
          <w:p w14:paraId="72BCF6C8" w14:textId="77777777" w:rsidR="00805433" w:rsidRPr="00805433" w:rsidRDefault="00805433" w:rsidP="00805433">
            <w:pPr>
              <w:spacing w:after="0" w:line="240" w:lineRule="auto"/>
              <w:rPr>
                <w:rFonts w:ascii="Arial" w:hAnsi="Arial" w:cs="Arial"/>
                <w:sz w:val="20"/>
                <w:szCs w:val="20"/>
              </w:rPr>
            </w:pPr>
          </w:p>
        </w:tc>
      </w:tr>
      <w:tr w:rsidR="00805433" w:rsidRPr="00805433" w14:paraId="6EFA85B6" w14:textId="77777777" w:rsidTr="00805433">
        <w:trPr>
          <w:trHeight w:val="241"/>
        </w:trPr>
        <w:tc>
          <w:tcPr>
            <w:tcW w:w="357" w:type="pct"/>
          </w:tcPr>
          <w:p w14:paraId="7B1C7888" w14:textId="77777777" w:rsidR="00805433" w:rsidRPr="00805433" w:rsidRDefault="00805433" w:rsidP="00805433">
            <w:pPr>
              <w:spacing w:after="0" w:line="240" w:lineRule="auto"/>
              <w:jc w:val="center"/>
              <w:rPr>
                <w:rFonts w:ascii="Arial" w:hAnsi="Arial" w:cs="Arial"/>
                <w:sz w:val="20"/>
                <w:szCs w:val="20"/>
              </w:rPr>
            </w:pPr>
            <w:r w:rsidRPr="00805433">
              <w:rPr>
                <w:rFonts w:ascii="Arial" w:hAnsi="Arial" w:cs="Arial"/>
                <w:sz w:val="20"/>
                <w:szCs w:val="20"/>
              </w:rPr>
              <w:t>10</w:t>
            </w:r>
          </w:p>
        </w:tc>
        <w:tc>
          <w:tcPr>
            <w:tcW w:w="1580" w:type="pct"/>
          </w:tcPr>
          <w:p w14:paraId="0E48FBEF"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 xml:space="preserve">Adolescent well-visit </w:t>
            </w:r>
          </w:p>
        </w:tc>
        <w:tc>
          <w:tcPr>
            <w:tcW w:w="1598" w:type="pct"/>
          </w:tcPr>
          <w:p w14:paraId="20F5C37D"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Adolescent Health</w:t>
            </w:r>
          </w:p>
        </w:tc>
        <w:tc>
          <w:tcPr>
            <w:tcW w:w="1465" w:type="pct"/>
          </w:tcPr>
          <w:p w14:paraId="0F5946B7" w14:textId="77777777" w:rsidR="00805433" w:rsidRPr="00805433" w:rsidRDefault="00805433" w:rsidP="00805433">
            <w:pPr>
              <w:spacing w:after="0" w:line="240" w:lineRule="auto"/>
              <w:rPr>
                <w:rFonts w:ascii="Arial" w:hAnsi="Arial" w:cs="Arial"/>
                <w:sz w:val="20"/>
                <w:szCs w:val="20"/>
              </w:rPr>
            </w:pPr>
          </w:p>
        </w:tc>
      </w:tr>
      <w:tr w:rsidR="00805433" w:rsidRPr="00805433" w14:paraId="2F00642F" w14:textId="77777777" w:rsidTr="00805433">
        <w:trPr>
          <w:trHeight w:val="269"/>
        </w:trPr>
        <w:tc>
          <w:tcPr>
            <w:tcW w:w="357" w:type="pct"/>
          </w:tcPr>
          <w:p w14:paraId="1BE88FE7" w14:textId="77777777" w:rsidR="00805433" w:rsidRPr="00805433" w:rsidRDefault="00805433" w:rsidP="00805433">
            <w:pPr>
              <w:spacing w:after="0" w:line="240" w:lineRule="auto"/>
              <w:jc w:val="center"/>
              <w:rPr>
                <w:rFonts w:ascii="Arial" w:hAnsi="Arial" w:cs="Arial"/>
                <w:sz w:val="20"/>
                <w:szCs w:val="20"/>
              </w:rPr>
            </w:pPr>
            <w:r w:rsidRPr="00805433">
              <w:rPr>
                <w:rFonts w:ascii="Arial" w:hAnsi="Arial" w:cs="Arial"/>
                <w:sz w:val="20"/>
                <w:szCs w:val="20"/>
              </w:rPr>
              <w:t>11</w:t>
            </w:r>
          </w:p>
        </w:tc>
        <w:tc>
          <w:tcPr>
            <w:tcW w:w="1580" w:type="pct"/>
          </w:tcPr>
          <w:p w14:paraId="43E56344"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 xml:space="preserve">Medical home </w:t>
            </w:r>
          </w:p>
        </w:tc>
        <w:tc>
          <w:tcPr>
            <w:tcW w:w="1598" w:type="pct"/>
          </w:tcPr>
          <w:p w14:paraId="521DF315"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Children with Special Health Care Needs (CSHCN), Child and Adolescent Health</w:t>
            </w:r>
          </w:p>
        </w:tc>
        <w:tc>
          <w:tcPr>
            <w:tcW w:w="1465" w:type="pct"/>
          </w:tcPr>
          <w:p w14:paraId="62033C20"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CSHCN</w:t>
            </w:r>
          </w:p>
          <w:p w14:paraId="31268D1D"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CSHCN and non-CSHCN</w:t>
            </w:r>
          </w:p>
        </w:tc>
      </w:tr>
      <w:tr w:rsidR="00805433" w:rsidRPr="00805433" w14:paraId="3B3375CB" w14:textId="77777777" w:rsidTr="00805433">
        <w:trPr>
          <w:trHeight w:val="242"/>
        </w:trPr>
        <w:tc>
          <w:tcPr>
            <w:tcW w:w="357" w:type="pct"/>
          </w:tcPr>
          <w:p w14:paraId="3D101FF6" w14:textId="77777777" w:rsidR="00805433" w:rsidRPr="00805433" w:rsidRDefault="00805433" w:rsidP="00805433">
            <w:pPr>
              <w:spacing w:after="0" w:line="240" w:lineRule="auto"/>
              <w:jc w:val="center"/>
              <w:rPr>
                <w:rFonts w:ascii="Arial" w:hAnsi="Arial" w:cs="Arial"/>
                <w:sz w:val="20"/>
                <w:szCs w:val="20"/>
              </w:rPr>
            </w:pPr>
            <w:r w:rsidRPr="00805433">
              <w:rPr>
                <w:rFonts w:ascii="Arial" w:hAnsi="Arial" w:cs="Arial"/>
                <w:sz w:val="20"/>
                <w:szCs w:val="20"/>
              </w:rPr>
              <w:t>12</w:t>
            </w:r>
          </w:p>
        </w:tc>
        <w:tc>
          <w:tcPr>
            <w:tcW w:w="1580" w:type="pct"/>
          </w:tcPr>
          <w:p w14:paraId="2EA705BF"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 xml:space="preserve">Transition </w:t>
            </w:r>
          </w:p>
        </w:tc>
        <w:tc>
          <w:tcPr>
            <w:tcW w:w="1598" w:type="pct"/>
          </w:tcPr>
          <w:p w14:paraId="58944102"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Children with Special Health Care Needs (CSHCN) and Adolescent Health</w:t>
            </w:r>
          </w:p>
        </w:tc>
        <w:tc>
          <w:tcPr>
            <w:tcW w:w="1465" w:type="pct"/>
          </w:tcPr>
          <w:p w14:paraId="4A8ED4A6"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CSHCN</w:t>
            </w:r>
          </w:p>
          <w:p w14:paraId="6480C5DC"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CSHCN and non-CSHCN</w:t>
            </w:r>
          </w:p>
        </w:tc>
      </w:tr>
      <w:tr w:rsidR="00805433" w:rsidRPr="00805433" w14:paraId="21967849" w14:textId="77777777" w:rsidTr="00805433">
        <w:trPr>
          <w:trHeight w:val="233"/>
        </w:trPr>
        <w:tc>
          <w:tcPr>
            <w:tcW w:w="357" w:type="pct"/>
          </w:tcPr>
          <w:p w14:paraId="403AC3AA" w14:textId="77777777" w:rsidR="00805433" w:rsidRPr="00805433" w:rsidRDefault="00805433" w:rsidP="00805433">
            <w:pPr>
              <w:spacing w:after="0" w:line="240" w:lineRule="auto"/>
              <w:jc w:val="center"/>
              <w:rPr>
                <w:rFonts w:ascii="Arial" w:hAnsi="Arial" w:cs="Arial"/>
                <w:sz w:val="20"/>
                <w:szCs w:val="20"/>
              </w:rPr>
            </w:pPr>
            <w:r w:rsidRPr="00805433">
              <w:rPr>
                <w:rFonts w:ascii="Arial" w:hAnsi="Arial" w:cs="Arial"/>
                <w:sz w:val="20"/>
                <w:szCs w:val="20"/>
              </w:rPr>
              <w:t>13</w:t>
            </w:r>
          </w:p>
        </w:tc>
        <w:tc>
          <w:tcPr>
            <w:tcW w:w="1580" w:type="pct"/>
          </w:tcPr>
          <w:p w14:paraId="29711F36"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 xml:space="preserve">Preventive dental visit – Pregnancy </w:t>
            </w:r>
          </w:p>
          <w:p w14:paraId="73C714E9"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Preventive dental visit – Child/Adolescent</w:t>
            </w:r>
          </w:p>
        </w:tc>
        <w:tc>
          <w:tcPr>
            <w:tcW w:w="1598" w:type="pct"/>
          </w:tcPr>
          <w:p w14:paraId="377A149F"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Women/Maternal Health, Child Health, and/or Adolescent Health</w:t>
            </w:r>
          </w:p>
        </w:tc>
        <w:tc>
          <w:tcPr>
            <w:tcW w:w="1465" w:type="pct"/>
          </w:tcPr>
          <w:p w14:paraId="6175F9D7"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Pregnant women</w:t>
            </w:r>
          </w:p>
          <w:p w14:paraId="05FEA465"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Children 0 through 5</w:t>
            </w:r>
          </w:p>
          <w:p w14:paraId="14F570C4"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Children 6 through 11</w:t>
            </w:r>
          </w:p>
          <w:p w14:paraId="26F3B9EA"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Adolescents 12 through 17</w:t>
            </w:r>
          </w:p>
          <w:p w14:paraId="6F300E03"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All Children 0 through 17</w:t>
            </w:r>
          </w:p>
        </w:tc>
      </w:tr>
      <w:tr w:rsidR="00805433" w:rsidRPr="00805433" w14:paraId="61C89F5B" w14:textId="77777777" w:rsidTr="00805433">
        <w:trPr>
          <w:trHeight w:val="197"/>
        </w:trPr>
        <w:tc>
          <w:tcPr>
            <w:tcW w:w="357" w:type="pct"/>
          </w:tcPr>
          <w:p w14:paraId="24915147" w14:textId="77777777" w:rsidR="00805433" w:rsidRPr="00805433" w:rsidRDefault="00805433" w:rsidP="00805433">
            <w:pPr>
              <w:spacing w:after="0" w:line="240" w:lineRule="auto"/>
              <w:jc w:val="center"/>
              <w:rPr>
                <w:rFonts w:ascii="Arial" w:hAnsi="Arial" w:cs="Arial"/>
                <w:sz w:val="20"/>
                <w:szCs w:val="20"/>
              </w:rPr>
            </w:pPr>
            <w:r w:rsidRPr="00805433">
              <w:rPr>
                <w:rFonts w:ascii="Arial" w:hAnsi="Arial" w:cs="Arial"/>
                <w:sz w:val="20"/>
                <w:szCs w:val="20"/>
              </w:rPr>
              <w:t>14</w:t>
            </w:r>
          </w:p>
        </w:tc>
        <w:tc>
          <w:tcPr>
            <w:tcW w:w="1580" w:type="pct"/>
          </w:tcPr>
          <w:p w14:paraId="75E7D294"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Smoking – Pregnancy</w:t>
            </w:r>
          </w:p>
          <w:p w14:paraId="59866409"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 xml:space="preserve">Smoking – Household  </w:t>
            </w:r>
          </w:p>
        </w:tc>
        <w:tc>
          <w:tcPr>
            <w:tcW w:w="1598" w:type="pct"/>
          </w:tcPr>
          <w:p w14:paraId="13B8993F"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Women/Maternal Health, Child Health, and/or Adolescent Health</w:t>
            </w:r>
          </w:p>
        </w:tc>
        <w:tc>
          <w:tcPr>
            <w:tcW w:w="1465" w:type="pct"/>
          </w:tcPr>
          <w:p w14:paraId="2BDBAF8C"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Pregnant women</w:t>
            </w:r>
          </w:p>
          <w:p w14:paraId="25EA6767"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Children 0 through 5</w:t>
            </w:r>
          </w:p>
          <w:p w14:paraId="2C8D9038"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Children 6 through 11</w:t>
            </w:r>
          </w:p>
          <w:p w14:paraId="4DE277DB"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Adolescents 12 through 17</w:t>
            </w:r>
          </w:p>
          <w:p w14:paraId="041CD94A"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All Children 0 through 17</w:t>
            </w:r>
          </w:p>
        </w:tc>
      </w:tr>
      <w:tr w:rsidR="00805433" w:rsidRPr="00805433" w14:paraId="54B1583B" w14:textId="77777777" w:rsidTr="00805433">
        <w:trPr>
          <w:trHeight w:val="251"/>
        </w:trPr>
        <w:tc>
          <w:tcPr>
            <w:tcW w:w="357" w:type="pct"/>
            <w:tcBorders>
              <w:top w:val="single" w:sz="4" w:space="0" w:color="auto"/>
              <w:left w:val="single" w:sz="4" w:space="0" w:color="auto"/>
              <w:bottom w:val="single" w:sz="4" w:space="0" w:color="auto"/>
              <w:right w:val="single" w:sz="4" w:space="0" w:color="auto"/>
            </w:tcBorders>
          </w:tcPr>
          <w:p w14:paraId="68965E17" w14:textId="77777777" w:rsidR="00805433" w:rsidRPr="00805433" w:rsidRDefault="00805433" w:rsidP="00805433">
            <w:pPr>
              <w:spacing w:after="0" w:line="240" w:lineRule="auto"/>
              <w:jc w:val="center"/>
              <w:rPr>
                <w:rFonts w:ascii="Arial" w:hAnsi="Arial" w:cs="Arial"/>
                <w:sz w:val="20"/>
                <w:szCs w:val="20"/>
              </w:rPr>
            </w:pPr>
            <w:r w:rsidRPr="00805433">
              <w:rPr>
                <w:rFonts w:ascii="Arial" w:hAnsi="Arial" w:cs="Arial"/>
                <w:sz w:val="20"/>
                <w:szCs w:val="20"/>
              </w:rPr>
              <w:t>15</w:t>
            </w:r>
          </w:p>
        </w:tc>
        <w:tc>
          <w:tcPr>
            <w:tcW w:w="1580" w:type="pct"/>
            <w:tcBorders>
              <w:top w:val="single" w:sz="4" w:space="0" w:color="auto"/>
              <w:left w:val="single" w:sz="4" w:space="0" w:color="auto"/>
              <w:bottom w:val="single" w:sz="4" w:space="0" w:color="auto"/>
              <w:right w:val="single" w:sz="4" w:space="0" w:color="auto"/>
            </w:tcBorders>
          </w:tcPr>
          <w:p w14:paraId="6BA4981B"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 xml:space="preserve">Adequate insurance </w:t>
            </w:r>
          </w:p>
        </w:tc>
        <w:tc>
          <w:tcPr>
            <w:tcW w:w="1598" w:type="pct"/>
            <w:tcBorders>
              <w:top w:val="single" w:sz="4" w:space="0" w:color="auto"/>
              <w:left w:val="single" w:sz="4" w:space="0" w:color="auto"/>
              <w:bottom w:val="single" w:sz="4" w:space="0" w:color="auto"/>
              <w:right w:val="single" w:sz="4" w:space="0" w:color="auto"/>
            </w:tcBorders>
          </w:tcPr>
          <w:p w14:paraId="246C3866"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Child Health, Adolescent Health, and/or Children with Special Health Care Needs (CSHCN)</w:t>
            </w:r>
          </w:p>
        </w:tc>
        <w:tc>
          <w:tcPr>
            <w:tcW w:w="1465" w:type="pct"/>
            <w:tcBorders>
              <w:top w:val="single" w:sz="4" w:space="0" w:color="auto"/>
              <w:left w:val="single" w:sz="4" w:space="0" w:color="auto"/>
              <w:bottom w:val="single" w:sz="4" w:space="0" w:color="auto"/>
              <w:right w:val="single" w:sz="4" w:space="0" w:color="auto"/>
            </w:tcBorders>
          </w:tcPr>
          <w:p w14:paraId="66BC6CCE"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All Children</w:t>
            </w:r>
          </w:p>
          <w:p w14:paraId="65A70D2D" w14:textId="77777777" w:rsidR="00805433" w:rsidRPr="00805433" w:rsidRDefault="00805433" w:rsidP="00805433">
            <w:pPr>
              <w:spacing w:after="0" w:line="240" w:lineRule="auto"/>
              <w:rPr>
                <w:rFonts w:ascii="Arial" w:hAnsi="Arial" w:cs="Arial"/>
                <w:sz w:val="20"/>
                <w:szCs w:val="20"/>
              </w:rPr>
            </w:pPr>
            <w:r w:rsidRPr="00805433">
              <w:rPr>
                <w:rFonts w:ascii="Arial" w:hAnsi="Arial" w:cs="Arial"/>
                <w:sz w:val="20"/>
                <w:szCs w:val="20"/>
              </w:rPr>
              <w:t>CSHCN</w:t>
            </w:r>
          </w:p>
        </w:tc>
      </w:tr>
    </w:tbl>
    <w:p w14:paraId="123F4039" w14:textId="761A071B" w:rsidR="00805433" w:rsidRDefault="00805433" w:rsidP="00805433">
      <w:pPr>
        <w:spacing w:after="0" w:line="240" w:lineRule="auto"/>
        <w:rPr>
          <w:rFonts w:ascii="Arial" w:eastAsia="Times New Roman" w:hAnsi="Arial"/>
          <w:sz w:val="24"/>
          <w:szCs w:val="24"/>
        </w:rPr>
      </w:pPr>
    </w:p>
    <w:p w14:paraId="0977B195" w14:textId="3D6BC057" w:rsidR="00805433" w:rsidRPr="00A93466" w:rsidRDefault="00805433" w:rsidP="00805433">
      <w:pPr>
        <w:spacing w:after="0" w:line="240" w:lineRule="auto"/>
        <w:rPr>
          <w:rFonts w:asciiTheme="minorHAnsi" w:eastAsia="Times New Roman" w:hAnsiTheme="minorHAnsi"/>
          <w:sz w:val="24"/>
          <w:szCs w:val="24"/>
        </w:rPr>
      </w:pPr>
      <w:r w:rsidRPr="00A93466">
        <w:rPr>
          <w:rFonts w:asciiTheme="minorHAnsi" w:eastAsia="Times New Roman" w:hAnsiTheme="minorHAnsi"/>
          <w:sz w:val="24"/>
          <w:szCs w:val="24"/>
        </w:rPr>
        <w:t xml:space="preserve">The NPMs incorporate two significant concepts: first, Title V is responsible for promoting the health of all mothers and children, which includes an emphasis on CSHCN and their families; and second, the development of life course theory has indicated that there are critical stages, beginning before a child is born and continuing throughout life, which can influence lifelong health and wellbeing (see Table 3 </w:t>
      </w:r>
      <w:r w:rsidR="000C0D77">
        <w:rPr>
          <w:rFonts w:asciiTheme="minorHAnsi" w:eastAsia="Times New Roman" w:hAnsiTheme="minorHAnsi"/>
          <w:sz w:val="24"/>
          <w:szCs w:val="24"/>
        </w:rPr>
        <w:t xml:space="preserve">in this Appendix </w:t>
      </w:r>
      <w:r w:rsidRPr="00A93466">
        <w:rPr>
          <w:rFonts w:asciiTheme="minorHAnsi" w:eastAsia="Times New Roman" w:hAnsiTheme="minorHAnsi"/>
          <w:sz w:val="24"/>
          <w:szCs w:val="24"/>
        </w:rPr>
        <w:t xml:space="preserve">for a crosswalk of NPM/NOMs and AMCHP Lifecourse Indicators).  </w:t>
      </w:r>
    </w:p>
    <w:p w14:paraId="701127DB" w14:textId="77777777" w:rsidR="00A93466" w:rsidRPr="00A93466" w:rsidRDefault="00A93466" w:rsidP="00805433">
      <w:pPr>
        <w:spacing w:after="0" w:line="240" w:lineRule="auto"/>
        <w:rPr>
          <w:rFonts w:asciiTheme="minorHAnsi" w:eastAsia="Times New Roman" w:hAnsiTheme="minorHAnsi"/>
          <w:sz w:val="24"/>
          <w:szCs w:val="24"/>
        </w:rPr>
      </w:pPr>
    </w:p>
    <w:p w14:paraId="39ADC85C" w14:textId="1826F272" w:rsidR="009656E7" w:rsidRPr="00A93466" w:rsidRDefault="00805433" w:rsidP="00805433">
      <w:pPr>
        <w:spacing w:after="0" w:line="240" w:lineRule="auto"/>
        <w:rPr>
          <w:rFonts w:asciiTheme="minorHAnsi" w:eastAsia="Times New Roman" w:hAnsiTheme="minorHAnsi"/>
          <w:sz w:val="24"/>
          <w:szCs w:val="24"/>
        </w:rPr>
      </w:pPr>
      <w:r w:rsidRPr="00A93466">
        <w:rPr>
          <w:rFonts w:asciiTheme="minorHAnsi" w:eastAsia="Times New Roman" w:hAnsiTheme="minorHAnsi"/>
          <w:sz w:val="24"/>
          <w:szCs w:val="24"/>
        </w:rPr>
        <w:t xml:space="preserve">In implementing this framework, states will choose a minimum five out of 15 NPMs for its </w:t>
      </w:r>
      <w:r w:rsidR="00296EF7">
        <w:rPr>
          <w:rFonts w:asciiTheme="minorHAnsi" w:eastAsia="Times New Roman" w:hAnsiTheme="minorHAnsi"/>
          <w:sz w:val="24"/>
          <w:szCs w:val="24"/>
        </w:rPr>
        <w:t xml:space="preserve">   </w:t>
      </w:r>
      <w:r w:rsidRPr="00A93466">
        <w:rPr>
          <w:rFonts w:asciiTheme="minorHAnsi" w:eastAsia="Times New Roman" w:hAnsiTheme="minorHAnsi"/>
          <w:sz w:val="24"/>
          <w:szCs w:val="24"/>
        </w:rPr>
        <w:t xml:space="preserve">Title V program to address during the current five-year needs assessment cycle, at least one in each MCH population domain.  To promote flexibility, each MCH population domain </w:t>
      </w:r>
      <w:r w:rsidR="00296EF7">
        <w:rPr>
          <w:rFonts w:asciiTheme="minorHAnsi" w:eastAsia="Times New Roman" w:hAnsiTheme="minorHAnsi"/>
          <w:sz w:val="24"/>
          <w:szCs w:val="24"/>
        </w:rPr>
        <w:t xml:space="preserve">contains </w:t>
      </w:r>
      <w:r w:rsidRPr="00A93466">
        <w:rPr>
          <w:rFonts w:asciiTheme="minorHAnsi" w:eastAsia="Times New Roman" w:hAnsiTheme="minorHAnsi"/>
          <w:sz w:val="24"/>
          <w:szCs w:val="24"/>
        </w:rPr>
        <w:t xml:space="preserve">at least </w:t>
      </w:r>
      <w:r w:rsidR="00CD0E0F">
        <w:rPr>
          <w:rFonts w:asciiTheme="minorHAnsi" w:eastAsia="Times New Roman" w:hAnsiTheme="minorHAnsi"/>
          <w:sz w:val="24"/>
          <w:szCs w:val="24"/>
        </w:rPr>
        <w:t>three</w:t>
      </w:r>
      <w:r w:rsidR="00CD0E0F" w:rsidRPr="00A93466">
        <w:rPr>
          <w:rFonts w:asciiTheme="minorHAnsi" w:eastAsia="Times New Roman" w:hAnsiTheme="minorHAnsi"/>
          <w:sz w:val="24"/>
          <w:szCs w:val="24"/>
        </w:rPr>
        <w:t xml:space="preserve"> </w:t>
      </w:r>
      <w:r w:rsidRPr="00A93466">
        <w:rPr>
          <w:rFonts w:asciiTheme="minorHAnsi" w:eastAsia="Times New Roman" w:hAnsiTheme="minorHAnsi"/>
          <w:sz w:val="24"/>
          <w:szCs w:val="24"/>
        </w:rPr>
        <w:t>NPM options</w:t>
      </w:r>
      <w:r w:rsidR="00296EF7">
        <w:rPr>
          <w:rFonts w:asciiTheme="minorHAnsi" w:eastAsia="Times New Roman" w:hAnsiTheme="minorHAnsi"/>
          <w:sz w:val="24"/>
          <w:szCs w:val="24"/>
        </w:rPr>
        <w:t xml:space="preserve">.  </w:t>
      </w:r>
      <w:r w:rsidR="00942420" w:rsidRPr="00A93466">
        <w:rPr>
          <w:rFonts w:asciiTheme="minorHAnsi" w:eastAsia="Times New Roman" w:hAnsiTheme="minorHAnsi"/>
          <w:sz w:val="24"/>
          <w:szCs w:val="24"/>
        </w:rPr>
        <w:t>The same measure selected in multiple domains (NPM</w:t>
      </w:r>
      <w:r w:rsidR="00D92B38">
        <w:rPr>
          <w:rFonts w:asciiTheme="minorHAnsi" w:eastAsia="Times New Roman" w:hAnsiTheme="minorHAnsi"/>
          <w:sz w:val="24"/>
          <w:szCs w:val="24"/>
        </w:rPr>
        <w:t xml:space="preserve"> #</w:t>
      </w:r>
      <w:r w:rsidR="00942420" w:rsidRPr="00A93466">
        <w:rPr>
          <w:rFonts w:asciiTheme="minorHAnsi" w:eastAsia="Times New Roman" w:hAnsiTheme="minorHAnsi"/>
          <w:sz w:val="24"/>
          <w:szCs w:val="24"/>
        </w:rPr>
        <w:t>7, NPM</w:t>
      </w:r>
      <w:r w:rsidR="00D92B38">
        <w:rPr>
          <w:rFonts w:asciiTheme="minorHAnsi" w:eastAsia="Times New Roman" w:hAnsiTheme="minorHAnsi"/>
          <w:sz w:val="24"/>
          <w:szCs w:val="24"/>
        </w:rPr>
        <w:t xml:space="preserve"> #</w:t>
      </w:r>
      <w:r w:rsidR="00942420" w:rsidRPr="00A93466">
        <w:rPr>
          <w:rFonts w:asciiTheme="minorHAnsi" w:eastAsia="Times New Roman" w:hAnsiTheme="minorHAnsi"/>
          <w:sz w:val="24"/>
          <w:szCs w:val="24"/>
        </w:rPr>
        <w:t>8, NPM</w:t>
      </w:r>
      <w:r w:rsidR="00D92B38">
        <w:rPr>
          <w:rFonts w:asciiTheme="minorHAnsi" w:eastAsia="Times New Roman" w:hAnsiTheme="minorHAnsi"/>
          <w:sz w:val="24"/>
          <w:szCs w:val="24"/>
        </w:rPr>
        <w:t xml:space="preserve"> #</w:t>
      </w:r>
      <w:r w:rsidR="00942420" w:rsidRPr="00A93466">
        <w:rPr>
          <w:rFonts w:asciiTheme="minorHAnsi" w:eastAsia="Times New Roman" w:hAnsiTheme="minorHAnsi"/>
          <w:sz w:val="24"/>
          <w:szCs w:val="24"/>
        </w:rPr>
        <w:t>11, NPM</w:t>
      </w:r>
      <w:r w:rsidR="00D92B38">
        <w:rPr>
          <w:rFonts w:asciiTheme="minorHAnsi" w:eastAsia="Times New Roman" w:hAnsiTheme="minorHAnsi"/>
          <w:sz w:val="24"/>
          <w:szCs w:val="24"/>
        </w:rPr>
        <w:t xml:space="preserve"> #</w:t>
      </w:r>
      <w:r w:rsidR="00942420" w:rsidRPr="00A93466">
        <w:rPr>
          <w:rFonts w:asciiTheme="minorHAnsi" w:eastAsia="Times New Roman" w:hAnsiTheme="minorHAnsi"/>
          <w:sz w:val="24"/>
          <w:szCs w:val="24"/>
        </w:rPr>
        <w:t>12, NPM</w:t>
      </w:r>
      <w:r w:rsidR="00D92B38">
        <w:rPr>
          <w:rFonts w:asciiTheme="minorHAnsi" w:eastAsia="Times New Roman" w:hAnsiTheme="minorHAnsi"/>
          <w:sz w:val="24"/>
          <w:szCs w:val="24"/>
        </w:rPr>
        <w:t xml:space="preserve"> #</w:t>
      </w:r>
      <w:r w:rsidR="00942420" w:rsidRPr="00A93466">
        <w:rPr>
          <w:rFonts w:asciiTheme="minorHAnsi" w:eastAsia="Times New Roman" w:hAnsiTheme="minorHAnsi"/>
          <w:sz w:val="24"/>
          <w:szCs w:val="24"/>
        </w:rPr>
        <w:t>13, NPM</w:t>
      </w:r>
      <w:r w:rsidR="00D92B38">
        <w:rPr>
          <w:rFonts w:asciiTheme="minorHAnsi" w:eastAsia="Times New Roman" w:hAnsiTheme="minorHAnsi"/>
          <w:sz w:val="24"/>
          <w:szCs w:val="24"/>
        </w:rPr>
        <w:t xml:space="preserve"> #</w:t>
      </w:r>
      <w:r w:rsidR="00942420" w:rsidRPr="00A93466">
        <w:rPr>
          <w:rFonts w:asciiTheme="minorHAnsi" w:eastAsia="Times New Roman" w:hAnsiTheme="minorHAnsi"/>
          <w:sz w:val="24"/>
          <w:szCs w:val="24"/>
        </w:rPr>
        <w:t>14</w:t>
      </w:r>
      <w:r w:rsidR="00D92B38">
        <w:rPr>
          <w:rFonts w:asciiTheme="minorHAnsi" w:eastAsia="Times New Roman" w:hAnsiTheme="minorHAnsi"/>
          <w:sz w:val="24"/>
          <w:szCs w:val="24"/>
        </w:rPr>
        <w:t xml:space="preserve"> and </w:t>
      </w:r>
      <w:r w:rsidR="00942420" w:rsidRPr="00A93466">
        <w:rPr>
          <w:rFonts w:asciiTheme="minorHAnsi" w:eastAsia="Times New Roman" w:hAnsiTheme="minorHAnsi"/>
          <w:sz w:val="24"/>
          <w:szCs w:val="24"/>
        </w:rPr>
        <w:t>NPM</w:t>
      </w:r>
      <w:r w:rsidR="00D92B38">
        <w:rPr>
          <w:rFonts w:asciiTheme="minorHAnsi" w:eastAsia="Times New Roman" w:hAnsiTheme="minorHAnsi"/>
          <w:sz w:val="24"/>
          <w:szCs w:val="24"/>
        </w:rPr>
        <w:t xml:space="preserve"> #</w:t>
      </w:r>
      <w:r w:rsidR="00942420" w:rsidRPr="00A93466">
        <w:rPr>
          <w:rFonts w:asciiTheme="minorHAnsi" w:eastAsia="Times New Roman" w:hAnsiTheme="minorHAnsi"/>
          <w:sz w:val="24"/>
          <w:szCs w:val="24"/>
        </w:rPr>
        <w:t xml:space="preserve">15) will only count once toward the minimum of five.  </w:t>
      </w:r>
      <w:r w:rsidRPr="00A93466">
        <w:rPr>
          <w:rFonts w:asciiTheme="minorHAnsi" w:eastAsia="Times New Roman" w:hAnsiTheme="minorHAnsi"/>
          <w:sz w:val="24"/>
          <w:szCs w:val="24"/>
        </w:rPr>
        <w:t xml:space="preserve">There are no mandatory NPMs and no maximum </w:t>
      </w:r>
      <w:r w:rsidR="00942420">
        <w:rPr>
          <w:rFonts w:asciiTheme="minorHAnsi" w:eastAsia="Times New Roman" w:hAnsiTheme="minorHAnsi"/>
          <w:sz w:val="24"/>
          <w:szCs w:val="24"/>
        </w:rPr>
        <w:t xml:space="preserve">for the </w:t>
      </w:r>
      <w:r w:rsidRPr="00A93466">
        <w:rPr>
          <w:rFonts w:asciiTheme="minorHAnsi" w:eastAsia="Times New Roman" w:hAnsiTheme="minorHAnsi"/>
          <w:sz w:val="24"/>
          <w:szCs w:val="24"/>
        </w:rPr>
        <w:t xml:space="preserve">number of NPMs that a state can select. </w:t>
      </w:r>
      <w:r w:rsidR="00942420">
        <w:rPr>
          <w:rFonts w:asciiTheme="minorHAnsi" w:eastAsia="Times New Roman" w:hAnsiTheme="minorHAnsi"/>
          <w:sz w:val="24"/>
          <w:szCs w:val="24"/>
        </w:rPr>
        <w:t xml:space="preserve"> Thus, a state is not required to make any changes to its current NPM selections and the state may continue to implement the State Action Plan that was established for the current reporting cycle.</w:t>
      </w:r>
    </w:p>
    <w:p w14:paraId="37F744A9" w14:textId="77777777" w:rsidR="009656E7" w:rsidRPr="00A93466" w:rsidRDefault="009656E7" w:rsidP="00805433">
      <w:pPr>
        <w:spacing w:after="0" w:line="240" w:lineRule="auto"/>
        <w:rPr>
          <w:rFonts w:asciiTheme="minorHAnsi" w:eastAsia="Times New Roman" w:hAnsiTheme="minorHAnsi"/>
          <w:sz w:val="24"/>
          <w:szCs w:val="24"/>
        </w:rPr>
      </w:pPr>
    </w:p>
    <w:p w14:paraId="4FE4555A" w14:textId="723A9744" w:rsidR="00805433" w:rsidRPr="00A93466" w:rsidRDefault="00805433" w:rsidP="00805433">
      <w:pPr>
        <w:spacing w:after="0" w:line="240" w:lineRule="auto"/>
        <w:rPr>
          <w:rFonts w:asciiTheme="minorHAnsi" w:eastAsia="Times New Roman" w:hAnsiTheme="minorHAnsi"/>
          <w:sz w:val="24"/>
          <w:szCs w:val="24"/>
        </w:rPr>
      </w:pPr>
      <w:r w:rsidRPr="00A93466">
        <w:rPr>
          <w:rFonts w:asciiTheme="minorHAnsi" w:eastAsia="Times New Roman" w:hAnsiTheme="minorHAnsi"/>
          <w:sz w:val="24"/>
          <w:szCs w:val="24"/>
        </w:rPr>
        <w:t xml:space="preserve">For example, if a state selects </w:t>
      </w:r>
      <w:r w:rsidR="008630ED">
        <w:rPr>
          <w:rFonts w:asciiTheme="minorHAnsi" w:eastAsia="Times New Roman" w:hAnsiTheme="minorHAnsi"/>
          <w:sz w:val="24"/>
          <w:szCs w:val="24"/>
        </w:rPr>
        <w:t xml:space="preserve">a compound measure such as </w:t>
      </w:r>
      <w:r w:rsidRPr="00A93466">
        <w:rPr>
          <w:rFonts w:asciiTheme="minorHAnsi" w:eastAsia="Times New Roman" w:hAnsiTheme="minorHAnsi"/>
          <w:sz w:val="24"/>
          <w:szCs w:val="24"/>
        </w:rPr>
        <w:t xml:space="preserve">NPM </w:t>
      </w:r>
      <w:r w:rsidR="002A5FF1">
        <w:rPr>
          <w:rFonts w:asciiTheme="minorHAnsi" w:eastAsia="Times New Roman" w:hAnsiTheme="minorHAnsi"/>
          <w:sz w:val="24"/>
          <w:szCs w:val="24"/>
        </w:rPr>
        <w:t>#</w:t>
      </w:r>
      <w:r w:rsidRPr="00A93466">
        <w:rPr>
          <w:rFonts w:asciiTheme="minorHAnsi" w:eastAsia="Times New Roman" w:hAnsiTheme="minorHAnsi"/>
          <w:sz w:val="24"/>
          <w:szCs w:val="24"/>
        </w:rPr>
        <w:t>14 in Women/Maternal Health and Child Health, it would only count once towards the minimum of five NPMs, and another measure would need to be selected in either Women/Maternal or Child Health to satisfy the requirement of one measure in each population domain.</w:t>
      </w:r>
      <w:r w:rsidR="002A5FF1">
        <w:rPr>
          <w:rFonts w:asciiTheme="minorHAnsi" w:eastAsia="Times New Roman" w:hAnsiTheme="minorHAnsi"/>
          <w:sz w:val="24"/>
          <w:szCs w:val="24"/>
        </w:rPr>
        <w:t xml:space="preserve">  </w:t>
      </w:r>
      <w:r w:rsidRPr="00A93466">
        <w:rPr>
          <w:rFonts w:asciiTheme="minorHAnsi" w:eastAsia="Times New Roman" w:hAnsiTheme="minorHAnsi"/>
          <w:sz w:val="24"/>
          <w:szCs w:val="24"/>
        </w:rPr>
        <w:t>Injury hospitalization, physical activity, medical home, preventive dental visit, household smoking, and adequate insurance can be selected for either the Child or the Adolescent Health domains</w:t>
      </w:r>
      <w:r w:rsidR="00CD0E0F">
        <w:rPr>
          <w:rFonts w:asciiTheme="minorHAnsi" w:eastAsia="Times New Roman" w:hAnsiTheme="minorHAnsi"/>
          <w:sz w:val="24"/>
          <w:szCs w:val="24"/>
        </w:rPr>
        <w:t>,</w:t>
      </w:r>
      <w:r w:rsidRPr="00A93466">
        <w:rPr>
          <w:rFonts w:asciiTheme="minorHAnsi" w:eastAsia="Times New Roman" w:hAnsiTheme="minorHAnsi"/>
          <w:sz w:val="24"/>
          <w:szCs w:val="24"/>
        </w:rPr>
        <w:t xml:space="preserve"> or both</w:t>
      </w:r>
      <w:r w:rsidR="00CD0E0F">
        <w:rPr>
          <w:rFonts w:asciiTheme="minorHAnsi" w:eastAsia="Times New Roman" w:hAnsiTheme="minorHAnsi"/>
          <w:sz w:val="24"/>
          <w:szCs w:val="24"/>
        </w:rPr>
        <w:t>,</w:t>
      </w:r>
      <w:r w:rsidRPr="00A93466">
        <w:rPr>
          <w:rFonts w:asciiTheme="minorHAnsi" w:eastAsia="Times New Roman" w:hAnsiTheme="minorHAnsi"/>
          <w:sz w:val="24"/>
          <w:szCs w:val="24"/>
        </w:rPr>
        <w:t xml:space="preserve"> because the age ranges span both domains.</w:t>
      </w:r>
      <w:r w:rsidR="002A5FF1">
        <w:rPr>
          <w:rFonts w:asciiTheme="minorHAnsi" w:eastAsia="Times New Roman" w:hAnsiTheme="minorHAnsi"/>
          <w:sz w:val="24"/>
          <w:szCs w:val="24"/>
        </w:rPr>
        <w:t xml:space="preserve">  </w:t>
      </w:r>
      <w:r w:rsidRPr="00A93466">
        <w:rPr>
          <w:rFonts w:asciiTheme="minorHAnsi" w:eastAsia="Times New Roman" w:hAnsiTheme="minorHAnsi"/>
          <w:sz w:val="24"/>
          <w:szCs w:val="24"/>
        </w:rPr>
        <w:t xml:space="preserve">It is recognized that the strategies and accompanying ESMs may be different, depending on the children’s ages, for injury hospitalization, physical activity, preventive dental visit, and household smoking; therefore, these measures have various subgroup options for specifying the focus of ESMs.  Given their particular importance for CSHCN, medical home and transition must include a focus on CSHCN, even if they are selected within the Child and/or Adolescent Health domain.  </w:t>
      </w:r>
    </w:p>
    <w:p w14:paraId="2C922FE0" w14:textId="77777777" w:rsidR="00805433" w:rsidRPr="00A93466" w:rsidRDefault="00805433" w:rsidP="00805433">
      <w:pPr>
        <w:spacing w:after="0" w:line="240" w:lineRule="auto"/>
        <w:rPr>
          <w:rFonts w:asciiTheme="minorHAnsi" w:eastAsia="Times New Roman" w:hAnsiTheme="minorHAnsi"/>
          <w:sz w:val="24"/>
          <w:szCs w:val="24"/>
        </w:rPr>
      </w:pPr>
    </w:p>
    <w:p w14:paraId="05AB4EB1" w14:textId="26181583" w:rsidR="00805433" w:rsidRPr="00A93466" w:rsidRDefault="00805433" w:rsidP="00805433">
      <w:pPr>
        <w:spacing w:after="0" w:line="240" w:lineRule="auto"/>
        <w:rPr>
          <w:rFonts w:asciiTheme="minorHAnsi" w:eastAsia="Times New Roman" w:hAnsiTheme="minorHAnsi"/>
          <w:sz w:val="24"/>
          <w:szCs w:val="24"/>
        </w:rPr>
      </w:pPr>
      <w:r w:rsidRPr="00A93466">
        <w:rPr>
          <w:rFonts w:asciiTheme="minorHAnsi" w:eastAsia="Times New Roman" w:hAnsiTheme="minorHAnsi"/>
          <w:sz w:val="24"/>
          <w:szCs w:val="24"/>
        </w:rPr>
        <w:t xml:space="preserve">When selecting NPMs it is important that the alignment of the NPMs to the state identified priorities is clear.  If the priority does not align with a NPM, the state should develop a state performance measure (SPM).  The minimum of five NPMs allows states flexibility, and ensures that the selected NPMs and chosen SPMs together reflect the state’s identified priority needs. While the SPM is not part of the national performance measurement framework, it is </w:t>
      </w:r>
      <w:r w:rsidR="008630ED">
        <w:rPr>
          <w:rFonts w:asciiTheme="minorHAnsi" w:eastAsia="Times New Roman" w:hAnsiTheme="minorHAnsi"/>
          <w:sz w:val="24"/>
          <w:szCs w:val="24"/>
        </w:rPr>
        <w:t xml:space="preserve">a </w:t>
      </w:r>
      <w:r w:rsidRPr="00A93466">
        <w:rPr>
          <w:rFonts w:asciiTheme="minorHAnsi" w:eastAsia="Times New Roman" w:hAnsiTheme="minorHAnsi"/>
          <w:sz w:val="24"/>
          <w:szCs w:val="24"/>
        </w:rPr>
        <w:t xml:space="preserve">critical component in addressing priorities. </w:t>
      </w:r>
      <w:r w:rsidR="002A5FF1">
        <w:rPr>
          <w:rFonts w:asciiTheme="minorHAnsi" w:eastAsia="Times New Roman" w:hAnsiTheme="minorHAnsi"/>
          <w:sz w:val="24"/>
          <w:szCs w:val="24"/>
        </w:rPr>
        <w:t xml:space="preserve"> </w:t>
      </w:r>
      <w:r w:rsidRPr="00A93466">
        <w:rPr>
          <w:rFonts w:asciiTheme="minorHAnsi" w:eastAsia="Times New Roman" w:hAnsiTheme="minorHAnsi"/>
          <w:sz w:val="24"/>
          <w:szCs w:val="24"/>
        </w:rPr>
        <w:t xml:space="preserve">States can select as many SPMs as they need to address their MCH priority needs.  </w:t>
      </w:r>
    </w:p>
    <w:p w14:paraId="0381AE4E" w14:textId="77777777" w:rsidR="00805433" w:rsidRPr="00A93466" w:rsidRDefault="00805433" w:rsidP="00805433">
      <w:pPr>
        <w:spacing w:after="0" w:line="240" w:lineRule="auto"/>
        <w:rPr>
          <w:rFonts w:asciiTheme="minorHAnsi" w:eastAsia="Times New Roman" w:hAnsiTheme="minorHAnsi"/>
          <w:sz w:val="24"/>
          <w:szCs w:val="24"/>
        </w:rPr>
      </w:pPr>
    </w:p>
    <w:p w14:paraId="1622879E" w14:textId="7D0EFC60" w:rsidR="00DE36C8" w:rsidRPr="00A93466" w:rsidRDefault="00805433" w:rsidP="00805433">
      <w:pPr>
        <w:spacing w:after="0" w:line="240" w:lineRule="auto"/>
        <w:rPr>
          <w:rFonts w:asciiTheme="minorHAnsi" w:eastAsia="Times New Roman" w:hAnsiTheme="minorHAnsi"/>
          <w:sz w:val="24"/>
          <w:szCs w:val="24"/>
        </w:rPr>
      </w:pPr>
      <w:r w:rsidRPr="00A93466">
        <w:rPr>
          <w:rFonts w:asciiTheme="minorHAnsi" w:eastAsia="Times New Roman" w:hAnsiTheme="minorHAnsi"/>
          <w:sz w:val="24"/>
          <w:szCs w:val="24"/>
        </w:rPr>
        <w:t xml:space="preserve">A sixth domain, Cross-Cutting/Systems Building, refers to public health system issues that impact all MCH population groups. </w:t>
      </w:r>
      <w:r w:rsidR="002A5FF1">
        <w:rPr>
          <w:rFonts w:asciiTheme="minorHAnsi" w:eastAsia="Times New Roman" w:hAnsiTheme="minorHAnsi"/>
          <w:sz w:val="24"/>
          <w:szCs w:val="24"/>
        </w:rPr>
        <w:t xml:space="preserve"> </w:t>
      </w:r>
      <w:r w:rsidRPr="00A93466">
        <w:rPr>
          <w:rFonts w:asciiTheme="minorHAnsi" w:eastAsia="Times New Roman" w:hAnsiTheme="minorHAnsi"/>
          <w:sz w:val="24"/>
          <w:szCs w:val="24"/>
        </w:rPr>
        <w:t>This domain does not contain any NPMs but allows states to develop unique SPMs to address priority areas that cut across all population health domains.  Example SPM topics may include but are not limited to:</w:t>
      </w:r>
    </w:p>
    <w:p w14:paraId="17F68C7C" w14:textId="047E1951" w:rsidR="00805433" w:rsidRPr="00A93466" w:rsidRDefault="00805433" w:rsidP="00805433">
      <w:pPr>
        <w:spacing w:after="0" w:line="240" w:lineRule="auto"/>
        <w:rPr>
          <w:rFonts w:asciiTheme="minorHAnsi" w:eastAsia="Times New Roman" w:hAnsiTheme="minorHAnsi"/>
          <w:sz w:val="24"/>
          <w:szCs w:val="24"/>
        </w:rPr>
      </w:pPr>
    </w:p>
    <w:p w14:paraId="68781CA7" w14:textId="629679A4" w:rsidR="00805433" w:rsidRPr="00A93466" w:rsidRDefault="00DE36C8" w:rsidP="00805433">
      <w:pPr>
        <w:numPr>
          <w:ilvl w:val="0"/>
          <w:numId w:val="48"/>
        </w:numPr>
        <w:spacing w:after="0" w:line="240" w:lineRule="auto"/>
        <w:rPr>
          <w:rFonts w:asciiTheme="minorHAnsi" w:eastAsia="Times New Roman" w:hAnsiTheme="minorHAnsi"/>
          <w:sz w:val="24"/>
          <w:szCs w:val="24"/>
        </w:rPr>
      </w:pPr>
      <w:r w:rsidRPr="00A93466">
        <w:rPr>
          <w:rFonts w:asciiTheme="minorHAnsi" w:eastAsia="Times New Roman" w:hAnsiTheme="minorHAnsi"/>
          <w:sz w:val="24"/>
          <w:szCs w:val="24"/>
        </w:rPr>
        <w:t>Family</w:t>
      </w:r>
      <w:r w:rsidR="00E91CB9">
        <w:rPr>
          <w:rFonts w:asciiTheme="minorHAnsi" w:eastAsia="Times New Roman" w:hAnsiTheme="minorHAnsi"/>
          <w:sz w:val="24"/>
          <w:szCs w:val="24"/>
        </w:rPr>
        <w:t xml:space="preserve"> </w:t>
      </w:r>
      <w:r w:rsidRPr="00A93466">
        <w:rPr>
          <w:rFonts w:asciiTheme="minorHAnsi" w:eastAsia="Times New Roman" w:hAnsiTheme="minorHAnsi"/>
          <w:sz w:val="24"/>
          <w:szCs w:val="24"/>
        </w:rPr>
        <w:t>partnership</w:t>
      </w:r>
      <w:r w:rsidR="00E91CB9">
        <w:rPr>
          <w:rFonts w:asciiTheme="minorHAnsi" w:eastAsia="Times New Roman" w:hAnsiTheme="minorHAnsi"/>
          <w:sz w:val="24"/>
          <w:szCs w:val="24"/>
        </w:rPr>
        <w:t xml:space="preserve"> activities acros</w:t>
      </w:r>
      <w:r w:rsidRPr="00A93466">
        <w:rPr>
          <w:rFonts w:asciiTheme="minorHAnsi" w:eastAsia="Times New Roman" w:hAnsiTheme="minorHAnsi"/>
          <w:sz w:val="24"/>
          <w:szCs w:val="24"/>
        </w:rPr>
        <w:t>s</w:t>
      </w:r>
      <w:r w:rsidR="00E91CB9">
        <w:rPr>
          <w:rFonts w:asciiTheme="minorHAnsi" w:eastAsia="Times New Roman" w:hAnsiTheme="minorHAnsi"/>
          <w:sz w:val="24"/>
          <w:szCs w:val="24"/>
        </w:rPr>
        <w:t xml:space="preserve"> all population health domains</w:t>
      </w:r>
      <w:r w:rsidR="00CD0E0F">
        <w:rPr>
          <w:rFonts w:asciiTheme="minorHAnsi" w:eastAsia="Times New Roman" w:hAnsiTheme="minorHAnsi"/>
          <w:sz w:val="24"/>
          <w:szCs w:val="24"/>
        </w:rPr>
        <w:t>;</w:t>
      </w:r>
      <w:r w:rsidR="00805433" w:rsidRPr="00A93466">
        <w:rPr>
          <w:rFonts w:asciiTheme="minorHAnsi" w:eastAsia="Times New Roman" w:hAnsiTheme="minorHAnsi"/>
          <w:sz w:val="24"/>
          <w:szCs w:val="24"/>
        </w:rPr>
        <w:t xml:space="preserve"> </w:t>
      </w:r>
    </w:p>
    <w:p w14:paraId="62F027EE" w14:textId="54C62C47" w:rsidR="00805433" w:rsidRPr="00A93466" w:rsidRDefault="00805433" w:rsidP="00805433">
      <w:pPr>
        <w:numPr>
          <w:ilvl w:val="0"/>
          <w:numId w:val="48"/>
        </w:numPr>
        <w:spacing w:after="0" w:line="240" w:lineRule="auto"/>
        <w:rPr>
          <w:rFonts w:asciiTheme="minorHAnsi" w:eastAsia="Times New Roman" w:hAnsiTheme="minorHAnsi"/>
          <w:sz w:val="24"/>
          <w:szCs w:val="24"/>
        </w:rPr>
      </w:pPr>
      <w:r w:rsidRPr="00A93466">
        <w:rPr>
          <w:rFonts w:asciiTheme="minorHAnsi" w:eastAsia="Times New Roman" w:hAnsiTheme="minorHAnsi"/>
          <w:sz w:val="24"/>
          <w:szCs w:val="24"/>
        </w:rPr>
        <w:t>Social determinants of health</w:t>
      </w:r>
      <w:r w:rsidR="00CD0E0F">
        <w:rPr>
          <w:rFonts w:asciiTheme="minorHAnsi" w:eastAsia="Times New Roman" w:hAnsiTheme="minorHAnsi"/>
          <w:sz w:val="24"/>
          <w:szCs w:val="24"/>
        </w:rPr>
        <w:t>;</w:t>
      </w:r>
    </w:p>
    <w:p w14:paraId="3238B991" w14:textId="6524ABD7" w:rsidR="00805433" w:rsidRPr="00A93466" w:rsidRDefault="00805433" w:rsidP="00805433">
      <w:pPr>
        <w:numPr>
          <w:ilvl w:val="0"/>
          <w:numId w:val="48"/>
        </w:numPr>
        <w:spacing w:after="0" w:line="240" w:lineRule="auto"/>
        <w:rPr>
          <w:rFonts w:asciiTheme="minorHAnsi" w:eastAsia="Times New Roman" w:hAnsiTheme="minorHAnsi"/>
          <w:sz w:val="24"/>
          <w:szCs w:val="24"/>
        </w:rPr>
      </w:pPr>
      <w:r w:rsidRPr="00A93466">
        <w:rPr>
          <w:rFonts w:asciiTheme="minorHAnsi" w:eastAsia="Times New Roman" w:hAnsiTheme="minorHAnsi"/>
          <w:sz w:val="24"/>
          <w:szCs w:val="24"/>
        </w:rPr>
        <w:t>Workforce development</w:t>
      </w:r>
      <w:r w:rsidR="00CD0E0F">
        <w:rPr>
          <w:rFonts w:asciiTheme="minorHAnsi" w:eastAsia="Times New Roman" w:hAnsiTheme="minorHAnsi"/>
          <w:sz w:val="24"/>
          <w:szCs w:val="24"/>
        </w:rPr>
        <w:t>;</w:t>
      </w:r>
      <w:r w:rsidR="00CD0E0F" w:rsidRPr="00A93466">
        <w:rPr>
          <w:rFonts w:asciiTheme="minorHAnsi" w:eastAsia="Times New Roman" w:hAnsiTheme="minorHAnsi"/>
          <w:sz w:val="24"/>
          <w:szCs w:val="24"/>
        </w:rPr>
        <w:t xml:space="preserve"> </w:t>
      </w:r>
      <w:r w:rsidRPr="00A93466">
        <w:rPr>
          <w:rFonts w:asciiTheme="minorHAnsi" w:eastAsia="Times New Roman" w:hAnsiTheme="minorHAnsi"/>
          <w:sz w:val="24"/>
          <w:szCs w:val="24"/>
        </w:rPr>
        <w:t xml:space="preserve">and </w:t>
      </w:r>
    </w:p>
    <w:p w14:paraId="4533BCED" w14:textId="53AA2ED7" w:rsidR="00805433" w:rsidRPr="00A93466" w:rsidRDefault="00805433" w:rsidP="00805433">
      <w:pPr>
        <w:numPr>
          <w:ilvl w:val="0"/>
          <w:numId w:val="48"/>
        </w:numPr>
        <w:spacing w:after="0" w:line="240" w:lineRule="auto"/>
        <w:rPr>
          <w:rFonts w:asciiTheme="minorHAnsi" w:eastAsia="Times New Roman" w:hAnsiTheme="minorHAnsi"/>
          <w:sz w:val="24"/>
          <w:szCs w:val="24"/>
        </w:rPr>
      </w:pPr>
      <w:r w:rsidRPr="00A93466">
        <w:rPr>
          <w:rFonts w:asciiTheme="minorHAnsi" w:eastAsia="Times New Roman" w:hAnsiTheme="minorHAnsi"/>
          <w:sz w:val="24"/>
          <w:szCs w:val="24"/>
        </w:rPr>
        <w:t>Enhancement of data infrastructure</w:t>
      </w:r>
      <w:r w:rsidR="00CD0E0F">
        <w:rPr>
          <w:rFonts w:asciiTheme="minorHAnsi" w:eastAsia="Times New Roman" w:hAnsiTheme="minorHAnsi"/>
          <w:sz w:val="24"/>
          <w:szCs w:val="24"/>
        </w:rPr>
        <w:t>.</w:t>
      </w:r>
    </w:p>
    <w:p w14:paraId="6CE3B459" w14:textId="77777777" w:rsidR="00805433" w:rsidRPr="00A93466" w:rsidRDefault="00805433" w:rsidP="00805433">
      <w:pPr>
        <w:spacing w:after="0" w:line="240" w:lineRule="auto"/>
        <w:rPr>
          <w:rFonts w:asciiTheme="minorHAnsi" w:eastAsia="Times New Roman" w:hAnsiTheme="minorHAnsi"/>
          <w:sz w:val="24"/>
          <w:szCs w:val="24"/>
          <w:u w:val="single"/>
        </w:rPr>
      </w:pPr>
    </w:p>
    <w:p w14:paraId="768ABBE1" w14:textId="77777777" w:rsidR="00805433" w:rsidRPr="00A93466" w:rsidRDefault="00805433" w:rsidP="00805433">
      <w:pPr>
        <w:spacing w:after="0" w:line="240" w:lineRule="auto"/>
        <w:rPr>
          <w:rFonts w:asciiTheme="minorHAnsi" w:eastAsia="Times New Roman" w:hAnsiTheme="minorHAnsi"/>
          <w:b/>
          <w:sz w:val="24"/>
          <w:szCs w:val="24"/>
        </w:rPr>
      </w:pPr>
      <w:r w:rsidRPr="00A93466">
        <w:rPr>
          <w:rFonts w:asciiTheme="minorHAnsi" w:eastAsia="Times New Roman" w:hAnsiTheme="minorHAnsi"/>
          <w:b/>
          <w:sz w:val="24"/>
          <w:szCs w:val="24"/>
          <w:u w:val="single"/>
        </w:rPr>
        <w:t>Implementation of Measurement</w:t>
      </w:r>
      <w:r w:rsidRPr="00A93466">
        <w:rPr>
          <w:rFonts w:asciiTheme="minorHAnsi" w:eastAsia="Times New Roman" w:hAnsiTheme="minorHAnsi"/>
          <w:b/>
          <w:sz w:val="24"/>
          <w:szCs w:val="24"/>
        </w:rPr>
        <w:t xml:space="preserve"> </w:t>
      </w:r>
    </w:p>
    <w:p w14:paraId="3750C554" w14:textId="77777777" w:rsidR="00DE36C8" w:rsidRPr="00A93466" w:rsidRDefault="00DE36C8" w:rsidP="00805433">
      <w:pPr>
        <w:spacing w:after="0" w:line="240" w:lineRule="auto"/>
        <w:rPr>
          <w:rFonts w:asciiTheme="minorHAnsi" w:eastAsia="Times New Roman" w:hAnsiTheme="minorHAnsi"/>
          <w:sz w:val="24"/>
          <w:szCs w:val="24"/>
        </w:rPr>
      </w:pPr>
    </w:p>
    <w:p w14:paraId="4356A930" w14:textId="788F94EA" w:rsidR="00805433" w:rsidRPr="00A93466" w:rsidRDefault="00805433" w:rsidP="00805433">
      <w:pPr>
        <w:spacing w:after="0" w:line="240" w:lineRule="auto"/>
        <w:rPr>
          <w:rFonts w:asciiTheme="minorHAnsi" w:eastAsia="Times New Roman" w:hAnsiTheme="minorHAnsi"/>
          <w:b/>
          <w:sz w:val="24"/>
          <w:szCs w:val="24"/>
        </w:rPr>
      </w:pPr>
      <w:r w:rsidRPr="00A93466">
        <w:rPr>
          <w:rFonts w:asciiTheme="minorHAnsi" w:eastAsia="Times New Roman" w:hAnsiTheme="minorHAnsi"/>
          <w:b/>
          <w:sz w:val="24"/>
          <w:szCs w:val="24"/>
        </w:rPr>
        <w:t>National Outcome Measures</w:t>
      </w:r>
    </w:p>
    <w:p w14:paraId="0DC473F9" w14:textId="77777777" w:rsidR="00DE36C8" w:rsidRPr="00A93466" w:rsidRDefault="00DE36C8" w:rsidP="00805433">
      <w:pPr>
        <w:spacing w:after="0" w:line="240" w:lineRule="auto"/>
        <w:rPr>
          <w:rFonts w:asciiTheme="minorHAnsi" w:eastAsia="Times New Roman" w:hAnsiTheme="minorHAnsi"/>
          <w:sz w:val="24"/>
          <w:szCs w:val="24"/>
        </w:rPr>
      </w:pPr>
    </w:p>
    <w:p w14:paraId="6EA5796A" w14:textId="3382C28E" w:rsidR="00805433" w:rsidRPr="00A93466" w:rsidRDefault="00805433" w:rsidP="00805433">
      <w:pPr>
        <w:spacing w:after="0" w:line="240" w:lineRule="auto"/>
        <w:rPr>
          <w:rFonts w:asciiTheme="minorHAnsi" w:eastAsia="Times New Roman" w:hAnsiTheme="minorHAnsi"/>
          <w:sz w:val="24"/>
          <w:szCs w:val="24"/>
        </w:rPr>
      </w:pPr>
      <w:r w:rsidRPr="00A93466">
        <w:rPr>
          <w:rFonts w:asciiTheme="minorHAnsi" w:eastAsia="Times New Roman" w:hAnsiTheme="minorHAnsi"/>
          <w:sz w:val="24"/>
          <w:szCs w:val="24"/>
        </w:rPr>
        <w:t>NOMs are longer-term and/or legislatively required indicators, many of which may be influenced by NPMs (see Table 2) and are important to monitor and assess as a core function of public health that may stimulate program and policy action.</w:t>
      </w:r>
      <w:r w:rsidR="002A5FF1">
        <w:rPr>
          <w:rFonts w:asciiTheme="minorHAnsi" w:eastAsia="Times New Roman" w:hAnsiTheme="minorHAnsi"/>
          <w:sz w:val="24"/>
          <w:szCs w:val="24"/>
        </w:rPr>
        <w:t xml:space="preserve">  </w:t>
      </w:r>
      <w:r w:rsidRPr="00A93466">
        <w:rPr>
          <w:rFonts w:asciiTheme="minorHAnsi" w:eastAsia="Times New Roman" w:hAnsiTheme="minorHAnsi"/>
          <w:sz w:val="24"/>
          <w:szCs w:val="24"/>
        </w:rPr>
        <w:t>Thus, NOMs should be tracked to understand the MCH population’s health, and are important for the development of the needs assessment and selection of NPMs.</w:t>
      </w:r>
      <w:r w:rsidR="002A5FF1">
        <w:rPr>
          <w:rFonts w:asciiTheme="minorHAnsi" w:eastAsia="Times New Roman" w:hAnsiTheme="minorHAnsi"/>
          <w:sz w:val="24"/>
          <w:szCs w:val="24"/>
        </w:rPr>
        <w:t xml:space="preserve">  </w:t>
      </w:r>
      <w:r w:rsidRPr="00A93466">
        <w:rPr>
          <w:rFonts w:asciiTheme="minorHAnsi" w:eastAsia="Times New Roman" w:hAnsiTheme="minorHAnsi"/>
          <w:sz w:val="24"/>
          <w:szCs w:val="24"/>
        </w:rPr>
        <w:t>Changes in NOM indicators, which may result from improvement in NPMs, can be discussed in the appropriate population domain section of the narrative</w:t>
      </w:r>
      <w:r w:rsidR="00CD0E0F">
        <w:rPr>
          <w:rFonts w:asciiTheme="minorHAnsi" w:eastAsia="Times New Roman" w:hAnsiTheme="minorHAnsi"/>
          <w:sz w:val="24"/>
          <w:szCs w:val="24"/>
        </w:rPr>
        <w:t>,</w:t>
      </w:r>
      <w:r w:rsidRPr="00A93466">
        <w:rPr>
          <w:rFonts w:asciiTheme="minorHAnsi" w:eastAsia="Times New Roman" w:hAnsiTheme="minorHAnsi"/>
          <w:sz w:val="24"/>
          <w:szCs w:val="24"/>
        </w:rPr>
        <w:t xml:space="preserve"> but there is not a reporting requirement for this discussion. </w:t>
      </w:r>
      <w:r w:rsidR="002A5FF1">
        <w:rPr>
          <w:rFonts w:asciiTheme="minorHAnsi" w:eastAsia="Times New Roman" w:hAnsiTheme="minorHAnsi"/>
          <w:sz w:val="24"/>
          <w:szCs w:val="24"/>
        </w:rPr>
        <w:t xml:space="preserve"> </w:t>
      </w:r>
      <w:r w:rsidRPr="00A93466">
        <w:rPr>
          <w:rFonts w:asciiTheme="minorHAnsi" w:eastAsia="Times New Roman" w:hAnsiTheme="minorHAnsi"/>
          <w:sz w:val="24"/>
          <w:szCs w:val="24"/>
        </w:rPr>
        <w:t xml:space="preserve">Data for NOMs will be prepopulated, where possible. States do not provide performance objectives for NOMs. </w:t>
      </w:r>
    </w:p>
    <w:p w14:paraId="0DDE0602" w14:textId="77777777" w:rsidR="00DE36C8" w:rsidRPr="00A93466" w:rsidRDefault="00DE36C8" w:rsidP="00805433">
      <w:pPr>
        <w:spacing w:after="0" w:line="240" w:lineRule="auto"/>
        <w:rPr>
          <w:rFonts w:asciiTheme="minorHAnsi" w:eastAsia="Times New Roman" w:hAnsiTheme="minorHAnsi"/>
          <w:sz w:val="24"/>
          <w:szCs w:val="24"/>
        </w:rPr>
      </w:pPr>
    </w:p>
    <w:p w14:paraId="5D2FD5B0" w14:textId="79034795" w:rsidR="00805433" w:rsidRPr="00A93466" w:rsidRDefault="00805433" w:rsidP="00805433">
      <w:pPr>
        <w:spacing w:after="0" w:line="240" w:lineRule="auto"/>
        <w:rPr>
          <w:rFonts w:asciiTheme="minorHAnsi" w:eastAsia="Times New Roman" w:hAnsiTheme="minorHAnsi"/>
          <w:b/>
          <w:sz w:val="24"/>
          <w:szCs w:val="24"/>
        </w:rPr>
      </w:pPr>
      <w:r w:rsidRPr="00A93466">
        <w:rPr>
          <w:rFonts w:asciiTheme="minorHAnsi" w:eastAsia="Times New Roman" w:hAnsiTheme="minorHAnsi"/>
          <w:b/>
          <w:sz w:val="24"/>
          <w:szCs w:val="24"/>
        </w:rPr>
        <w:t>National Performance Measures</w:t>
      </w:r>
    </w:p>
    <w:p w14:paraId="78011640" w14:textId="77777777" w:rsidR="00DE36C8" w:rsidRPr="00A93466" w:rsidRDefault="00DE36C8" w:rsidP="00805433">
      <w:pPr>
        <w:spacing w:after="0" w:line="240" w:lineRule="auto"/>
        <w:rPr>
          <w:rFonts w:asciiTheme="minorHAnsi" w:eastAsia="Times New Roman" w:hAnsiTheme="minorHAnsi"/>
          <w:sz w:val="24"/>
          <w:szCs w:val="24"/>
        </w:rPr>
      </w:pPr>
    </w:p>
    <w:p w14:paraId="0F259649" w14:textId="5B6093E3" w:rsidR="00805433" w:rsidRPr="00A93466" w:rsidRDefault="00805433" w:rsidP="00805433">
      <w:pPr>
        <w:spacing w:after="0" w:line="240" w:lineRule="auto"/>
        <w:rPr>
          <w:rFonts w:asciiTheme="minorHAnsi" w:eastAsia="Times New Roman" w:hAnsiTheme="minorHAnsi"/>
          <w:sz w:val="24"/>
          <w:szCs w:val="24"/>
        </w:rPr>
      </w:pPr>
      <w:r w:rsidRPr="00A93466">
        <w:rPr>
          <w:rFonts w:asciiTheme="minorHAnsi" w:eastAsia="Times New Roman" w:hAnsiTheme="minorHAnsi"/>
          <w:sz w:val="24"/>
          <w:szCs w:val="24"/>
        </w:rPr>
        <w:t>Once NPMs are selected, a state will track the five NPMs throughout the five-year reporting cycle. States are encouraged not to change the selected NPMs during the five-year reporting cycle.</w:t>
      </w:r>
      <w:r w:rsidR="002A5FF1">
        <w:rPr>
          <w:rFonts w:asciiTheme="minorHAnsi" w:eastAsia="Times New Roman" w:hAnsiTheme="minorHAnsi"/>
          <w:sz w:val="24"/>
          <w:szCs w:val="24"/>
        </w:rPr>
        <w:t xml:space="preserve">  </w:t>
      </w:r>
      <w:r w:rsidRPr="00A93466">
        <w:rPr>
          <w:rFonts w:asciiTheme="minorHAnsi" w:eastAsia="Times New Roman" w:hAnsiTheme="minorHAnsi"/>
          <w:sz w:val="24"/>
          <w:szCs w:val="24"/>
        </w:rPr>
        <w:t>If a state determines that a NPM needs to be changed, clear justification must be provided. In an effort to reduce state burden, annual performance data (indicator/numerator/</w:t>
      </w:r>
      <w:r w:rsidR="00A766B8">
        <w:rPr>
          <w:rFonts w:asciiTheme="minorHAnsi" w:eastAsia="Times New Roman" w:hAnsiTheme="minorHAnsi"/>
          <w:sz w:val="24"/>
          <w:szCs w:val="24"/>
        </w:rPr>
        <w:t xml:space="preserve"> </w:t>
      </w:r>
      <w:r w:rsidRPr="00A93466">
        <w:rPr>
          <w:rFonts w:asciiTheme="minorHAnsi" w:eastAsia="Times New Roman" w:hAnsiTheme="minorHAnsi"/>
          <w:sz w:val="24"/>
          <w:szCs w:val="24"/>
        </w:rPr>
        <w:t>denominator) for the NOMs and the NPMs will be prepopulated by MCHB from national data sources, as available, and provided to the states for their use in preparing the yearly Title V MCH Block Grant Applications/Annual Reports.</w:t>
      </w:r>
      <w:r w:rsidR="00A766B8">
        <w:rPr>
          <w:rFonts w:asciiTheme="minorHAnsi" w:eastAsia="Times New Roman" w:hAnsiTheme="minorHAnsi"/>
          <w:sz w:val="24"/>
          <w:szCs w:val="24"/>
        </w:rPr>
        <w:t xml:space="preserve"> </w:t>
      </w:r>
      <w:r w:rsidRPr="00A93466">
        <w:rPr>
          <w:rFonts w:asciiTheme="minorHAnsi" w:eastAsia="Times New Roman" w:hAnsiTheme="minorHAnsi"/>
          <w:sz w:val="24"/>
          <w:szCs w:val="24"/>
        </w:rPr>
        <w:t xml:space="preserve"> Data will be provided overall by year to facilitate objective-setting and performance monitoring, as well as by various demographic stratifiers (e.g. age, race/ethnicity, education, urban/rural residence) to identify priority populations for targeting strategies and programmatic interventions.  If a state selects a NPM which is not part of the national data source, the state can develop its own detail sheet and report its data for the measure.</w:t>
      </w:r>
      <w:r w:rsidR="00A766B8">
        <w:rPr>
          <w:rFonts w:asciiTheme="minorHAnsi" w:eastAsia="Times New Roman" w:hAnsiTheme="minorHAnsi"/>
          <w:sz w:val="24"/>
          <w:szCs w:val="24"/>
        </w:rPr>
        <w:t xml:space="preserve"> </w:t>
      </w:r>
      <w:r w:rsidRPr="00A93466">
        <w:rPr>
          <w:rFonts w:asciiTheme="minorHAnsi" w:eastAsia="Times New Roman" w:hAnsiTheme="minorHAnsi"/>
          <w:sz w:val="24"/>
          <w:szCs w:val="24"/>
        </w:rPr>
        <w:t xml:space="preserve"> However, the definition and data that are collected must match the definition and measure of the national data source.</w:t>
      </w:r>
    </w:p>
    <w:p w14:paraId="2035D126" w14:textId="77777777" w:rsidR="00DE36C8" w:rsidRPr="00A93466" w:rsidRDefault="00DE36C8" w:rsidP="00805433">
      <w:pPr>
        <w:spacing w:after="0" w:line="240" w:lineRule="auto"/>
        <w:rPr>
          <w:rFonts w:asciiTheme="minorHAnsi" w:eastAsia="Times New Roman" w:hAnsiTheme="minorHAnsi"/>
          <w:sz w:val="24"/>
          <w:szCs w:val="24"/>
        </w:rPr>
      </w:pPr>
    </w:p>
    <w:p w14:paraId="30031DBA" w14:textId="255908F1" w:rsidR="00805433" w:rsidRPr="00A93466" w:rsidRDefault="00805433" w:rsidP="00805433">
      <w:pPr>
        <w:spacing w:after="0" w:line="240" w:lineRule="auto"/>
        <w:rPr>
          <w:rFonts w:asciiTheme="minorHAnsi" w:eastAsia="Times New Roman" w:hAnsiTheme="minorHAnsi"/>
          <w:sz w:val="24"/>
          <w:szCs w:val="24"/>
        </w:rPr>
      </w:pPr>
      <w:r w:rsidRPr="00A93466">
        <w:rPr>
          <w:rFonts w:asciiTheme="minorHAnsi" w:eastAsia="Times New Roman" w:hAnsiTheme="minorHAnsi"/>
          <w:sz w:val="24"/>
          <w:szCs w:val="24"/>
        </w:rPr>
        <w:t xml:space="preserve">In the first reporting year of this </w:t>
      </w:r>
      <w:r w:rsidR="00A766B8">
        <w:rPr>
          <w:rFonts w:asciiTheme="minorHAnsi" w:eastAsia="Times New Roman" w:hAnsiTheme="minorHAnsi"/>
          <w:sz w:val="24"/>
          <w:szCs w:val="24"/>
        </w:rPr>
        <w:t>G</w:t>
      </w:r>
      <w:r w:rsidRPr="00A93466">
        <w:rPr>
          <w:rFonts w:asciiTheme="minorHAnsi" w:eastAsia="Times New Roman" w:hAnsiTheme="minorHAnsi"/>
          <w:sz w:val="24"/>
          <w:szCs w:val="24"/>
        </w:rPr>
        <w:t xml:space="preserve">uidance, a </w:t>
      </w:r>
      <w:r w:rsidR="00CD0E0F">
        <w:rPr>
          <w:rFonts w:asciiTheme="minorHAnsi" w:eastAsia="Times New Roman" w:hAnsiTheme="minorHAnsi"/>
          <w:sz w:val="24"/>
          <w:szCs w:val="24"/>
        </w:rPr>
        <w:t>s</w:t>
      </w:r>
      <w:r w:rsidR="00CD0E0F" w:rsidRPr="00A93466">
        <w:rPr>
          <w:rFonts w:asciiTheme="minorHAnsi" w:eastAsia="Times New Roman" w:hAnsiTheme="minorHAnsi"/>
          <w:sz w:val="24"/>
          <w:szCs w:val="24"/>
        </w:rPr>
        <w:t xml:space="preserve">tate </w:t>
      </w:r>
      <w:r w:rsidRPr="00A93466">
        <w:rPr>
          <w:rFonts w:asciiTheme="minorHAnsi" w:eastAsia="Times New Roman" w:hAnsiTheme="minorHAnsi"/>
          <w:sz w:val="24"/>
          <w:szCs w:val="24"/>
        </w:rPr>
        <w:t>will select a minimum of five NPMs to complete the current five-year needs assessment cycle ending in FY</w:t>
      </w:r>
      <w:r w:rsidR="00A766B8">
        <w:rPr>
          <w:rFonts w:asciiTheme="minorHAnsi" w:eastAsia="Times New Roman" w:hAnsiTheme="minorHAnsi"/>
          <w:sz w:val="24"/>
          <w:szCs w:val="24"/>
        </w:rPr>
        <w:t xml:space="preserve"> </w:t>
      </w:r>
      <w:r w:rsidRPr="00A93466">
        <w:rPr>
          <w:rFonts w:asciiTheme="minorHAnsi" w:eastAsia="Times New Roman" w:hAnsiTheme="minorHAnsi"/>
          <w:sz w:val="24"/>
          <w:szCs w:val="24"/>
        </w:rPr>
        <w:t xml:space="preserve">2020.  States will continue using </w:t>
      </w:r>
      <w:r w:rsidR="00CD0E0F">
        <w:rPr>
          <w:rFonts w:asciiTheme="minorHAnsi" w:eastAsia="Times New Roman" w:hAnsiTheme="minorHAnsi"/>
          <w:sz w:val="24"/>
          <w:szCs w:val="24"/>
        </w:rPr>
        <w:t>the</w:t>
      </w:r>
      <w:r w:rsidR="00CD0E0F" w:rsidRPr="00A93466">
        <w:rPr>
          <w:rFonts w:asciiTheme="minorHAnsi" w:eastAsia="Times New Roman" w:hAnsiTheme="minorHAnsi"/>
          <w:sz w:val="24"/>
          <w:szCs w:val="24"/>
        </w:rPr>
        <w:t xml:space="preserve"> </w:t>
      </w:r>
      <w:r w:rsidRPr="00A93466">
        <w:rPr>
          <w:rFonts w:asciiTheme="minorHAnsi" w:eastAsia="Times New Roman" w:hAnsiTheme="minorHAnsi"/>
          <w:sz w:val="24"/>
          <w:szCs w:val="24"/>
        </w:rPr>
        <w:t>determined performance objectives from the previous guidance until FY</w:t>
      </w:r>
      <w:r w:rsidR="00296759">
        <w:rPr>
          <w:rFonts w:asciiTheme="minorHAnsi" w:eastAsia="Times New Roman" w:hAnsiTheme="minorHAnsi"/>
          <w:sz w:val="24"/>
          <w:szCs w:val="24"/>
        </w:rPr>
        <w:t xml:space="preserve"> </w:t>
      </w:r>
      <w:r w:rsidRPr="00A93466">
        <w:rPr>
          <w:rFonts w:asciiTheme="minorHAnsi" w:eastAsia="Times New Roman" w:hAnsiTheme="minorHAnsi"/>
          <w:sz w:val="24"/>
          <w:szCs w:val="24"/>
        </w:rPr>
        <w:t>2020. Performance objectives for future years can be changed for individual NPMs based on ongoing needs assessment efforts and performance monitoring.</w:t>
      </w:r>
    </w:p>
    <w:p w14:paraId="58188A9F" w14:textId="77777777" w:rsidR="00DE36C8" w:rsidRPr="00A93466" w:rsidRDefault="00DE36C8" w:rsidP="00805433">
      <w:pPr>
        <w:spacing w:after="0" w:line="240" w:lineRule="auto"/>
        <w:rPr>
          <w:rFonts w:asciiTheme="minorHAnsi" w:eastAsia="Times New Roman" w:hAnsiTheme="minorHAnsi"/>
          <w:sz w:val="24"/>
          <w:szCs w:val="24"/>
        </w:rPr>
      </w:pPr>
    </w:p>
    <w:p w14:paraId="02982CAF" w14:textId="7655E3FE" w:rsidR="00805433" w:rsidRPr="00A93466" w:rsidRDefault="00805433" w:rsidP="00805433">
      <w:pPr>
        <w:spacing w:after="0" w:line="240" w:lineRule="auto"/>
        <w:rPr>
          <w:rFonts w:asciiTheme="minorHAnsi" w:eastAsia="Times New Roman" w:hAnsiTheme="minorHAnsi"/>
          <w:b/>
          <w:sz w:val="24"/>
          <w:szCs w:val="24"/>
        </w:rPr>
      </w:pPr>
      <w:r w:rsidRPr="00A93466">
        <w:rPr>
          <w:rFonts w:asciiTheme="minorHAnsi" w:eastAsia="Times New Roman" w:hAnsiTheme="minorHAnsi"/>
          <w:b/>
          <w:sz w:val="24"/>
          <w:szCs w:val="24"/>
        </w:rPr>
        <w:t>Other Guidelines for NPMs</w:t>
      </w:r>
    </w:p>
    <w:p w14:paraId="24814188" w14:textId="77777777" w:rsidR="00DE36C8" w:rsidRPr="00A93466" w:rsidRDefault="00DE36C8" w:rsidP="00805433">
      <w:pPr>
        <w:spacing w:after="0" w:line="240" w:lineRule="auto"/>
        <w:rPr>
          <w:rFonts w:asciiTheme="minorHAnsi" w:eastAsia="Times New Roman" w:hAnsiTheme="minorHAnsi"/>
          <w:sz w:val="24"/>
          <w:szCs w:val="24"/>
        </w:rPr>
      </w:pPr>
    </w:p>
    <w:p w14:paraId="22F6ED53" w14:textId="1A2FF382" w:rsidR="00805433" w:rsidRPr="00A93466" w:rsidRDefault="00805433" w:rsidP="00805433">
      <w:pPr>
        <w:spacing w:after="0" w:line="240" w:lineRule="auto"/>
        <w:rPr>
          <w:rFonts w:asciiTheme="minorHAnsi" w:eastAsia="Times New Roman" w:hAnsiTheme="minorHAnsi"/>
          <w:sz w:val="24"/>
          <w:szCs w:val="24"/>
        </w:rPr>
      </w:pPr>
      <w:r w:rsidRPr="00A93466">
        <w:rPr>
          <w:rFonts w:asciiTheme="minorHAnsi" w:eastAsia="Times New Roman" w:hAnsiTheme="minorHAnsi"/>
          <w:sz w:val="24"/>
          <w:szCs w:val="24"/>
        </w:rPr>
        <w:t>Use of Provisional Data: States may, but are not required to, include more timely provis</w:t>
      </w:r>
      <w:r w:rsidR="009656E7" w:rsidRPr="00A93466">
        <w:rPr>
          <w:rFonts w:asciiTheme="minorHAnsi" w:eastAsia="Times New Roman" w:hAnsiTheme="minorHAnsi"/>
          <w:sz w:val="24"/>
          <w:szCs w:val="24"/>
        </w:rPr>
        <w:t xml:space="preserve">ional data if they choose. </w:t>
      </w:r>
      <w:r w:rsidR="00A766B8">
        <w:rPr>
          <w:rFonts w:asciiTheme="minorHAnsi" w:eastAsia="Times New Roman" w:hAnsiTheme="minorHAnsi"/>
          <w:sz w:val="24"/>
          <w:szCs w:val="24"/>
        </w:rPr>
        <w:t xml:space="preserve"> </w:t>
      </w:r>
      <w:r w:rsidR="009656E7" w:rsidRPr="00A93466">
        <w:rPr>
          <w:rFonts w:asciiTheme="minorHAnsi" w:eastAsia="Times New Roman" w:hAnsiTheme="minorHAnsi"/>
          <w:sz w:val="24"/>
          <w:szCs w:val="24"/>
        </w:rPr>
        <w:t xml:space="preserve">Providing this data </w:t>
      </w:r>
      <w:r w:rsidRPr="00A93466">
        <w:rPr>
          <w:rFonts w:asciiTheme="minorHAnsi" w:eastAsia="Times New Roman" w:hAnsiTheme="minorHAnsi"/>
          <w:sz w:val="24"/>
          <w:szCs w:val="24"/>
        </w:rPr>
        <w:t>will not replace the prepopulated final data provided for the measures.</w:t>
      </w:r>
    </w:p>
    <w:p w14:paraId="1A65CAF9" w14:textId="77777777" w:rsidR="00DE36C8" w:rsidRPr="00A93466" w:rsidRDefault="00DE36C8" w:rsidP="00805433">
      <w:pPr>
        <w:spacing w:after="0" w:line="240" w:lineRule="auto"/>
        <w:rPr>
          <w:rFonts w:asciiTheme="minorHAnsi" w:eastAsia="Times New Roman" w:hAnsiTheme="minorHAnsi"/>
          <w:sz w:val="24"/>
          <w:szCs w:val="24"/>
        </w:rPr>
      </w:pPr>
    </w:p>
    <w:p w14:paraId="75FB4206" w14:textId="1B80CB8D" w:rsidR="00805433" w:rsidRPr="00A93466" w:rsidRDefault="00805433" w:rsidP="00805433">
      <w:pPr>
        <w:spacing w:after="0" w:line="240" w:lineRule="auto"/>
        <w:rPr>
          <w:rFonts w:asciiTheme="minorHAnsi" w:eastAsia="Times New Roman" w:hAnsiTheme="minorHAnsi"/>
          <w:sz w:val="24"/>
          <w:szCs w:val="24"/>
        </w:rPr>
      </w:pPr>
      <w:r w:rsidRPr="00A93466">
        <w:rPr>
          <w:rFonts w:asciiTheme="minorHAnsi" w:eastAsia="Times New Roman" w:hAnsiTheme="minorHAnsi"/>
          <w:sz w:val="24"/>
          <w:szCs w:val="24"/>
        </w:rPr>
        <w:t>Lacking a National Data Source: States can choose a measure if they do not have the data source noted on the detail sheet, as long as they provide the indicator, numerator and denominator data as defined on the detail sheet.</w:t>
      </w:r>
      <w:r w:rsidR="00A766B8">
        <w:rPr>
          <w:rFonts w:asciiTheme="minorHAnsi" w:eastAsia="Times New Roman" w:hAnsiTheme="minorHAnsi"/>
          <w:sz w:val="24"/>
          <w:szCs w:val="24"/>
        </w:rPr>
        <w:t xml:space="preserve"> </w:t>
      </w:r>
      <w:r w:rsidRPr="00A93466">
        <w:rPr>
          <w:rFonts w:asciiTheme="minorHAnsi" w:eastAsia="Times New Roman" w:hAnsiTheme="minorHAnsi"/>
          <w:sz w:val="24"/>
          <w:szCs w:val="24"/>
        </w:rPr>
        <w:t xml:space="preserve"> For </w:t>
      </w:r>
      <w:r w:rsidR="00296759">
        <w:rPr>
          <w:rFonts w:asciiTheme="minorHAnsi" w:hAnsiTheme="minorHAnsi" w:cs="Arial"/>
          <w:noProof/>
          <w:sz w:val="24"/>
          <w:szCs w:val="24"/>
        </w:rPr>
        <w:t>Pregnancy Risk Assessment Monitoring System (</w:t>
      </w:r>
      <w:r w:rsidRPr="00A93466">
        <w:rPr>
          <w:rFonts w:asciiTheme="minorHAnsi" w:eastAsia="Times New Roman" w:hAnsiTheme="minorHAnsi"/>
          <w:sz w:val="24"/>
          <w:szCs w:val="24"/>
        </w:rPr>
        <w:t>PRAMS</w:t>
      </w:r>
      <w:r w:rsidR="00296759">
        <w:rPr>
          <w:rFonts w:asciiTheme="minorHAnsi" w:eastAsia="Times New Roman" w:hAnsiTheme="minorHAnsi"/>
          <w:sz w:val="24"/>
          <w:szCs w:val="24"/>
        </w:rPr>
        <w:t>)</w:t>
      </w:r>
      <w:r w:rsidRPr="00A93466">
        <w:rPr>
          <w:rFonts w:asciiTheme="minorHAnsi" w:eastAsia="Times New Roman" w:hAnsiTheme="minorHAnsi"/>
          <w:sz w:val="24"/>
          <w:szCs w:val="24"/>
        </w:rPr>
        <w:t xml:space="preserve">, </w:t>
      </w:r>
      <w:r w:rsidR="00CD0E0F">
        <w:rPr>
          <w:rFonts w:asciiTheme="minorHAnsi" w:eastAsia="Times New Roman" w:hAnsiTheme="minorHAnsi"/>
          <w:sz w:val="24"/>
          <w:szCs w:val="24"/>
        </w:rPr>
        <w:t>s</w:t>
      </w:r>
      <w:r w:rsidR="00CD0E0F" w:rsidRPr="00A93466">
        <w:rPr>
          <w:rFonts w:asciiTheme="minorHAnsi" w:eastAsia="Times New Roman" w:hAnsiTheme="minorHAnsi"/>
          <w:sz w:val="24"/>
          <w:szCs w:val="24"/>
        </w:rPr>
        <w:t xml:space="preserve">tates </w:t>
      </w:r>
      <w:r w:rsidRPr="00A93466">
        <w:rPr>
          <w:rFonts w:asciiTheme="minorHAnsi" w:eastAsia="Times New Roman" w:hAnsiTheme="minorHAnsi"/>
          <w:sz w:val="24"/>
          <w:szCs w:val="24"/>
        </w:rPr>
        <w:t xml:space="preserve">will be able to submit their PRAMS or PRAMS-like data to TVIS following the same definition for a given measure if CDC cannot furnish it. </w:t>
      </w:r>
      <w:r w:rsidR="00A766B8">
        <w:rPr>
          <w:rFonts w:asciiTheme="minorHAnsi" w:eastAsia="Times New Roman" w:hAnsiTheme="minorHAnsi"/>
          <w:sz w:val="24"/>
          <w:szCs w:val="24"/>
        </w:rPr>
        <w:t xml:space="preserve"> </w:t>
      </w:r>
      <w:r w:rsidRPr="00A93466">
        <w:rPr>
          <w:rFonts w:asciiTheme="minorHAnsi" w:eastAsia="Times New Roman" w:hAnsiTheme="minorHAnsi"/>
          <w:sz w:val="24"/>
          <w:szCs w:val="24"/>
        </w:rPr>
        <w:t xml:space="preserve">The same situation may apply to other data sources; for example, not all states with hospital discharge data furnish it to AHRQ. </w:t>
      </w:r>
      <w:r w:rsidR="00A766B8">
        <w:rPr>
          <w:rFonts w:asciiTheme="minorHAnsi" w:eastAsia="Times New Roman" w:hAnsiTheme="minorHAnsi"/>
          <w:sz w:val="24"/>
          <w:szCs w:val="24"/>
        </w:rPr>
        <w:t xml:space="preserve"> </w:t>
      </w:r>
      <w:r w:rsidRPr="00A93466">
        <w:rPr>
          <w:rFonts w:asciiTheme="minorHAnsi" w:eastAsia="Times New Roman" w:hAnsiTheme="minorHAnsi"/>
          <w:sz w:val="24"/>
          <w:szCs w:val="24"/>
        </w:rPr>
        <w:t xml:space="preserve">If a state provides its own data from a different source, this should be annotated in a field note. </w:t>
      </w:r>
    </w:p>
    <w:p w14:paraId="73A52C59" w14:textId="77777777" w:rsidR="00DE36C8" w:rsidRPr="00A93466" w:rsidRDefault="00DE36C8" w:rsidP="00805433">
      <w:pPr>
        <w:spacing w:after="0" w:line="240" w:lineRule="auto"/>
        <w:rPr>
          <w:rFonts w:asciiTheme="minorHAnsi" w:eastAsia="Times New Roman" w:hAnsiTheme="minorHAnsi"/>
          <w:sz w:val="24"/>
          <w:szCs w:val="24"/>
        </w:rPr>
      </w:pPr>
    </w:p>
    <w:p w14:paraId="4320CBDA" w14:textId="1154FE6A" w:rsidR="00805433" w:rsidRPr="00A93466" w:rsidRDefault="00805433" w:rsidP="00805433">
      <w:pPr>
        <w:spacing w:after="0" w:line="240" w:lineRule="auto"/>
        <w:rPr>
          <w:rFonts w:asciiTheme="minorHAnsi" w:eastAsia="Times New Roman" w:hAnsiTheme="minorHAnsi"/>
          <w:sz w:val="24"/>
          <w:szCs w:val="24"/>
        </w:rPr>
      </w:pPr>
      <w:r w:rsidRPr="00A93466">
        <w:rPr>
          <w:rFonts w:asciiTheme="minorHAnsi" w:eastAsia="Times New Roman" w:hAnsiTheme="minorHAnsi"/>
          <w:sz w:val="24"/>
          <w:szCs w:val="24"/>
        </w:rPr>
        <w:t>Integrated Measures (NPM</w:t>
      </w:r>
      <w:r w:rsidR="00A766B8">
        <w:rPr>
          <w:rFonts w:asciiTheme="minorHAnsi" w:eastAsia="Times New Roman" w:hAnsiTheme="minorHAnsi"/>
          <w:sz w:val="24"/>
          <w:szCs w:val="24"/>
        </w:rPr>
        <w:t xml:space="preserve"> #</w:t>
      </w:r>
      <w:r w:rsidRPr="00A93466">
        <w:rPr>
          <w:rFonts w:asciiTheme="minorHAnsi" w:eastAsia="Times New Roman" w:hAnsiTheme="minorHAnsi"/>
          <w:sz w:val="24"/>
          <w:szCs w:val="24"/>
        </w:rPr>
        <w:t>13 and NPM</w:t>
      </w:r>
      <w:r w:rsidR="00A766B8">
        <w:rPr>
          <w:rFonts w:asciiTheme="minorHAnsi" w:eastAsia="Times New Roman" w:hAnsiTheme="minorHAnsi"/>
          <w:sz w:val="24"/>
          <w:szCs w:val="24"/>
        </w:rPr>
        <w:t xml:space="preserve"> #</w:t>
      </w:r>
      <w:r w:rsidRPr="00A93466">
        <w:rPr>
          <w:rFonts w:asciiTheme="minorHAnsi" w:eastAsia="Times New Roman" w:hAnsiTheme="minorHAnsi"/>
          <w:sz w:val="24"/>
          <w:szCs w:val="24"/>
        </w:rPr>
        <w:t>14): The integrated measures of preventive dental visit and smoking have two distinct measures, one in pregnancy and one for children/adolescents.  States may select these NPMs for one or more of the following MCH population domains: Women/Maternal Health</w:t>
      </w:r>
      <w:r w:rsidR="00CD0E0F">
        <w:rPr>
          <w:rFonts w:asciiTheme="minorHAnsi" w:eastAsia="Times New Roman" w:hAnsiTheme="minorHAnsi"/>
          <w:sz w:val="24"/>
          <w:szCs w:val="24"/>
        </w:rPr>
        <w:t>;</w:t>
      </w:r>
      <w:r w:rsidR="00CD0E0F" w:rsidRPr="00A93466">
        <w:rPr>
          <w:rFonts w:asciiTheme="minorHAnsi" w:eastAsia="Times New Roman" w:hAnsiTheme="minorHAnsi"/>
          <w:sz w:val="24"/>
          <w:szCs w:val="24"/>
        </w:rPr>
        <w:t xml:space="preserve"> </w:t>
      </w:r>
      <w:r w:rsidRPr="00A93466">
        <w:rPr>
          <w:rFonts w:asciiTheme="minorHAnsi" w:eastAsia="Times New Roman" w:hAnsiTheme="minorHAnsi"/>
          <w:sz w:val="24"/>
          <w:szCs w:val="24"/>
        </w:rPr>
        <w:t>Child Health</w:t>
      </w:r>
      <w:r w:rsidR="00CD0E0F">
        <w:rPr>
          <w:rFonts w:asciiTheme="minorHAnsi" w:eastAsia="Times New Roman" w:hAnsiTheme="minorHAnsi"/>
          <w:sz w:val="24"/>
          <w:szCs w:val="24"/>
        </w:rPr>
        <w:t>;</w:t>
      </w:r>
      <w:r w:rsidR="00CD0E0F" w:rsidRPr="00A93466">
        <w:rPr>
          <w:rFonts w:asciiTheme="minorHAnsi" w:eastAsia="Times New Roman" w:hAnsiTheme="minorHAnsi"/>
          <w:sz w:val="24"/>
          <w:szCs w:val="24"/>
        </w:rPr>
        <w:t xml:space="preserve"> </w:t>
      </w:r>
      <w:r w:rsidRPr="00A93466">
        <w:rPr>
          <w:rFonts w:asciiTheme="minorHAnsi" w:eastAsia="Times New Roman" w:hAnsiTheme="minorHAnsi"/>
          <w:sz w:val="24"/>
          <w:szCs w:val="24"/>
        </w:rPr>
        <w:t>Adolescent Health.</w:t>
      </w:r>
      <w:r w:rsidR="00A766B8">
        <w:rPr>
          <w:rFonts w:asciiTheme="minorHAnsi" w:eastAsia="Times New Roman" w:hAnsiTheme="minorHAnsi"/>
          <w:sz w:val="24"/>
          <w:szCs w:val="24"/>
        </w:rPr>
        <w:t xml:space="preserve">  </w:t>
      </w:r>
      <w:r w:rsidRPr="00A93466">
        <w:rPr>
          <w:rFonts w:asciiTheme="minorHAnsi" w:eastAsia="Times New Roman" w:hAnsiTheme="minorHAnsi"/>
          <w:sz w:val="24"/>
          <w:szCs w:val="24"/>
        </w:rPr>
        <w:t>If a state selects one of these NPMs for Women/Maternal Health (</w:t>
      </w:r>
      <w:r w:rsidR="00A766B8">
        <w:rPr>
          <w:rFonts w:asciiTheme="minorHAnsi" w:eastAsia="Times New Roman" w:hAnsiTheme="minorHAnsi"/>
          <w:sz w:val="24"/>
          <w:szCs w:val="24"/>
        </w:rPr>
        <w:t>#</w:t>
      </w:r>
      <w:r w:rsidRPr="00A93466">
        <w:rPr>
          <w:rFonts w:asciiTheme="minorHAnsi" w:eastAsia="Times New Roman" w:hAnsiTheme="minorHAnsi"/>
          <w:sz w:val="24"/>
          <w:szCs w:val="24"/>
        </w:rPr>
        <w:t>13</w:t>
      </w:r>
      <w:r w:rsidR="005E6C2A">
        <w:rPr>
          <w:rFonts w:asciiTheme="minorHAnsi" w:eastAsia="Times New Roman" w:hAnsiTheme="minorHAnsi"/>
          <w:sz w:val="24"/>
          <w:szCs w:val="24"/>
        </w:rPr>
        <w:t>.1</w:t>
      </w:r>
      <w:r w:rsidR="008A4C2E">
        <w:rPr>
          <w:rFonts w:asciiTheme="minorHAnsi" w:eastAsia="Times New Roman" w:hAnsiTheme="minorHAnsi"/>
          <w:sz w:val="24"/>
          <w:szCs w:val="24"/>
        </w:rPr>
        <w:t xml:space="preserve"> and NPM </w:t>
      </w:r>
      <w:r w:rsidR="00A766B8">
        <w:rPr>
          <w:rFonts w:asciiTheme="minorHAnsi" w:eastAsia="Times New Roman" w:hAnsiTheme="minorHAnsi"/>
          <w:sz w:val="24"/>
          <w:szCs w:val="24"/>
        </w:rPr>
        <w:t>#</w:t>
      </w:r>
      <w:r w:rsidRPr="00A93466">
        <w:rPr>
          <w:rFonts w:asciiTheme="minorHAnsi" w:eastAsia="Times New Roman" w:hAnsiTheme="minorHAnsi"/>
          <w:sz w:val="24"/>
          <w:szCs w:val="24"/>
        </w:rPr>
        <w:t>14</w:t>
      </w:r>
      <w:r w:rsidR="005E6C2A">
        <w:rPr>
          <w:rFonts w:asciiTheme="minorHAnsi" w:eastAsia="Times New Roman" w:hAnsiTheme="minorHAnsi"/>
          <w:sz w:val="24"/>
          <w:szCs w:val="24"/>
        </w:rPr>
        <w:t>.1</w:t>
      </w:r>
      <w:r w:rsidRPr="00A93466">
        <w:rPr>
          <w:rFonts w:asciiTheme="minorHAnsi" w:eastAsia="Times New Roman" w:hAnsiTheme="minorHAnsi"/>
          <w:sz w:val="24"/>
          <w:szCs w:val="24"/>
        </w:rPr>
        <w:t>) and also for Child and/or Adolescent Health (</w:t>
      </w:r>
      <w:r w:rsidR="008A4C2E">
        <w:rPr>
          <w:rFonts w:asciiTheme="minorHAnsi" w:eastAsia="Times New Roman" w:hAnsiTheme="minorHAnsi"/>
          <w:sz w:val="24"/>
          <w:szCs w:val="24"/>
        </w:rPr>
        <w:t xml:space="preserve">NPM </w:t>
      </w:r>
      <w:r w:rsidR="00A766B8">
        <w:rPr>
          <w:rFonts w:asciiTheme="minorHAnsi" w:eastAsia="Times New Roman" w:hAnsiTheme="minorHAnsi"/>
          <w:sz w:val="24"/>
          <w:szCs w:val="24"/>
        </w:rPr>
        <w:t>#</w:t>
      </w:r>
      <w:r w:rsidRPr="00A93466">
        <w:rPr>
          <w:rFonts w:asciiTheme="minorHAnsi" w:eastAsia="Times New Roman" w:hAnsiTheme="minorHAnsi"/>
          <w:sz w:val="24"/>
          <w:szCs w:val="24"/>
        </w:rPr>
        <w:t>13</w:t>
      </w:r>
      <w:r w:rsidR="005E6C2A">
        <w:rPr>
          <w:rFonts w:asciiTheme="minorHAnsi" w:eastAsia="Times New Roman" w:hAnsiTheme="minorHAnsi"/>
          <w:sz w:val="24"/>
          <w:szCs w:val="24"/>
        </w:rPr>
        <w:t>.1</w:t>
      </w:r>
      <w:r w:rsidR="008A4C2E">
        <w:rPr>
          <w:rFonts w:asciiTheme="minorHAnsi" w:eastAsia="Times New Roman" w:hAnsiTheme="minorHAnsi"/>
          <w:sz w:val="24"/>
          <w:szCs w:val="24"/>
        </w:rPr>
        <w:t xml:space="preserve"> and NPM </w:t>
      </w:r>
      <w:r w:rsidR="00A766B8">
        <w:rPr>
          <w:rFonts w:asciiTheme="minorHAnsi" w:eastAsia="Times New Roman" w:hAnsiTheme="minorHAnsi"/>
          <w:sz w:val="24"/>
          <w:szCs w:val="24"/>
        </w:rPr>
        <w:t>#</w:t>
      </w:r>
      <w:r w:rsidRPr="00A93466">
        <w:rPr>
          <w:rFonts w:asciiTheme="minorHAnsi" w:eastAsia="Times New Roman" w:hAnsiTheme="minorHAnsi"/>
          <w:sz w:val="24"/>
          <w:szCs w:val="24"/>
        </w:rPr>
        <w:t>14</w:t>
      </w:r>
      <w:r w:rsidR="005E6C2A">
        <w:rPr>
          <w:rFonts w:asciiTheme="minorHAnsi" w:eastAsia="Times New Roman" w:hAnsiTheme="minorHAnsi"/>
          <w:sz w:val="24"/>
          <w:szCs w:val="24"/>
        </w:rPr>
        <w:t>.1</w:t>
      </w:r>
      <w:r w:rsidRPr="00A93466">
        <w:rPr>
          <w:rFonts w:asciiTheme="minorHAnsi" w:eastAsia="Times New Roman" w:hAnsiTheme="minorHAnsi"/>
          <w:sz w:val="24"/>
          <w:szCs w:val="24"/>
        </w:rPr>
        <w:t xml:space="preserve">), </w:t>
      </w:r>
      <w:r w:rsidR="00CD0E0F">
        <w:rPr>
          <w:rFonts w:asciiTheme="minorHAnsi" w:eastAsia="Times New Roman" w:hAnsiTheme="minorHAnsi"/>
          <w:sz w:val="24"/>
          <w:szCs w:val="24"/>
        </w:rPr>
        <w:t>s</w:t>
      </w:r>
      <w:r w:rsidR="00CD0E0F" w:rsidRPr="00A93466">
        <w:rPr>
          <w:rFonts w:asciiTheme="minorHAnsi" w:eastAsia="Times New Roman" w:hAnsiTheme="minorHAnsi"/>
          <w:sz w:val="24"/>
          <w:szCs w:val="24"/>
        </w:rPr>
        <w:t xml:space="preserve">tates </w:t>
      </w:r>
      <w:r w:rsidRPr="00A93466">
        <w:rPr>
          <w:rFonts w:asciiTheme="minorHAnsi" w:eastAsia="Times New Roman" w:hAnsiTheme="minorHAnsi"/>
          <w:sz w:val="24"/>
          <w:szCs w:val="24"/>
        </w:rPr>
        <w:t>will be expected to develop multiple ESMs, at least one for each measure.</w:t>
      </w:r>
    </w:p>
    <w:p w14:paraId="64CF77E4" w14:textId="77777777" w:rsidR="00DE36C8" w:rsidRPr="00A93466" w:rsidRDefault="00DE36C8" w:rsidP="00805433">
      <w:pPr>
        <w:spacing w:after="0" w:line="240" w:lineRule="auto"/>
        <w:rPr>
          <w:rFonts w:asciiTheme="minorHAnsi" w:eastAsia="Times New Roman" w:hAnsiTheme="minorHAnsi"/>
          <w:sz w:val="24"/>
          <w:szCs w:val="24"/>
        </w:rPr>
      </w:pPr>
    </w:p>
    <w:p w14:paraId="5C3944C8" w14:textId="17DBC2DE" w:rsidR="00805433" w:rsidRPr="00A93466" w:rsidRDefault="00805433" w:rsidP="00805433">
      <w:pPr>
        <w:spacing w:after="0" w:line="240" w:lineRule="auto"/>
        <w:rPr>
          <w:rFonts w:asciiTheme="minorHAnsi" w:eastAsia="Times New Roman" w:hAnsiTheme="minorHAnsi"/>
          <w:b/>
          <w:sz w:val="24"/>
          <w:szCs w:val="24"/>
        </w:rPr>
      </w:pPr>
      <w:r w:rsidRPr="00A93466">
        <w:rPr>
          <w:rFonts w:asciiTheme="minorHAnsi" w:eastAsia="Times New Roman" w:hAnsiTheme="minorHAnsi"/>
          <w:b/>
          <w:sz w:val="24"/>
          <w:szCs w:val="24"/>
        </w:rPr>
        <w:t>Evidence-based or -informed Strategy Measures</w:t>
      </w:r>
    </w:p>
    <w:p w14:paraId="2827526D" w14:textId="77777777" w:rsidR="00DE36C8" w:rsidRPr="00A93466" w:rsidRDefault="00DE36C8" w:rsidP="00805433">
      <w:pPr>
        <w:spacing w:after="0" w:line="240" w:lineRule="auto"/>
        <w:rPr>
          <w:rFonts w:asciiTheme="minorHAnsi" w:eastAsia="Times New Roman" w:hAnsiTheme="minorHAnsi"/>
          <w:sz w:val="24"/>
          <w:szCs w:val="24"/>
        </w:rPr>
      </w:pPr>
    </w:p>
    <w:p w14:paraId="1C109DA7" w14:textId="55341D26" w:rsidR="00805433" w:rsidRPr="00A93466" w:rsidRDefault="00805433" w:rsidP="00805433">
      <w:pPr>
        <w:spacing w:after="0" w:line="240" w:lineRule="auto"/>
        <w:rPr>
          <w:rFonts w:asciiTheme="minorHAnsi" w:eastAsia="Times New Roman" w:hAnsiTheme="minorHAnsi"/>
          <w:sz w:val="24"/>
          <w:szCs w:val="24"/>
        </w:rPr>
      </w:pPr>
      <w:r w:rsidRPr="00A93466">
        <w:rPr>
          <w:rFonts w:asciiTheme="minorHAnsi" w:eastAsia="Times New Roman" w:hAnsiTheme="minorHAnsi"/>
          <w:sz w:val="24"/>
          <w:szCs w:val="24"/>
        </w:rPr>
        <w:t xml:space="preserve">Developed by the </w:t>
      </w:r>
      <w:r w:rsidR="00CD0E0F">
        <w:rPr>
          <w:rFonts w:asciiTheme="minorHAnsi" w:eastAsia="Times New Roman" w:hAnsiTheme="minorHAnsi"/>
          <w:sz w:val="24"/>
          <w:szCs w:val="24"/>
        </w:rPr>
        <w:t>s</w:t>
      </w:r>
      <w:r w:rsidR="00CD0E0F" w:rsidRPr="00A93466">
        <w:rPr>
          <w:rFonts w:asciiTheme="minorHAnsi" w:eastAsia="Times New Roman" w:hAnsiTheme="minorHAnsi"/>
          <w:sz w:val="24"/>
          <w:szCs w:val="24"/>
        </w:rPr>
        <w:t>tate</w:t>
      </w:r>
      <w:r w:rsidRPr="00A93466">
        <w:rPr>
          <w:rFonts w:asciiTheme="minorHAnsi" w:eastAsia="Times New Roman" w:hAnsiTheme="minorHAnsi"/>
          <w:sz w:val="24"/>
          <w:szCs w:val="24"/>
        </w:rPr>
        <w:t xml:space="preserve">, ESMs are measures that quantify and assess the outputs of State </w:t>
      </w:r>
      <w:r w:rsidR="00696929">
        <w:rPr>
          <w:rFonts w:asciiTheme="minorHAnsi" w:eastAsia="Times New Roman" w:hAnsiTheme="minorHAnsi"/>
          <w:sz w:val="24"/>
          <w:szCs w:val="24"/>
        </w:rPr>
        <w:t xml:space="preserve">    </w:t>
      </w:r>
      <w:r w:rsidRPr="00A93466">
        <w:rPr>
          <w:rFonts w:asciiTheme="minorHAnsi" w:eastAsia="Times New Roman" w:hAnsiTheme="minorHAnsi"/>
          <w:sz w:val="24"/>
          <w:szCs w:val="24"/>
        </w:rPr>
        <w:t xml:space="preserve">Title V strategies and inputs identified in the State Action Plan. </w:t>
      </w:r>
      <w:r w:rsidR="00A766B8">
        <w:rPr>
          <w:rFonts w:asciiTheme="minorHAnsi" w:eastAsia="Times New Roman" w:hAnsiTheme="minorHAnsi"/>
          <w:sz w:val="24"/>
          <w:szCs w:val="24"/>
        </w:rPr>
        <w:t xml:space="preserve"> </w:t>
      </w:r>
      <w:r w:rsidRPr="00A93466">
        <w:rPr>
          <w:rFonts w:asciiTheme="minorHAnsi" w:eastAsia="Times New Roman" w:hAnsiTheme="minorHAnsi"/>
          <w:sz w:val="24"/>
          <w:szCs w:val="24"/>
        </w:rPr>
        <w:t xml:space="preserve">The development of ESMs is guided through an examination of evidenced-based or evidence-informed strategies, and determining </w:t>
      </w:r>
      <w:r w:rsidR="00582368">
        <w:rPr>
          <w:rFonts w:asciiTheme="minorHAnsi" w:eastAsia="Times New Roman" w:hAnsiTheme="minorHAnsi"/>
          <w:sz w:val="24"/>
          <w:szCs w:val="24"/>
        </w:rPr>
        <w:t>which</w:t>
      </w:r>
      <w:r w:rsidR="00A67F58">
        <w:rPr>
          <w:rFonts w:asciiTheme="minorHAnsi" w:eastAsia="Times New Roman" w:hAnsiTheme="minorHAnsi"/>
          <w:sz w:val="24"/>
          <w:szCs w:val="24"/>
        </w:rPr>
        <w:t xml:space="preserve"> </w:t>
      </w:r>
      <w:r w:rsidRPr="00A93466">
        <w:rPr>
          <w:rFonts w:asciiTheme="minorHAnsi" w:eastAsia="Times New Roman" w:hAnsiTheme="minorHAnsi"/>
          <w:sz w:val="24"/>
          <w:szCs w:val="24"/>
        </w:rPr>
        <w:t>components are meaningful, measurable, and achievable.</w:t>
      </w:r>
      <w:r w:rsidR="00A766B8">
        <w:rPr>
          <w:rFonts w:asciiTheme="minorHAnsi" w:eastAsia="Times New Roman" w:hAnsiTheme="minorHAnsi"/>
          <w:sz w:val="24"/>
          <w:szCs w:val="24"/>
        </w:rPr>
        <w:t xml:space="preserve"> </w:t>
      </w:r>
      <w:r w:rsidRPr="00A93466">
        <w:rPr>
          <w:rFonts w:asciiTheme="minorHAnsi" w:eastAsia="Times New Roman" w:hAnsiTheme="minorHAnsi"/>
          <w:sz w:val="24"/>
          <w:szCs w:val="24"/>
        </w:rPr>
        <w:t xml:space="preserve"> The main criteria for ESMs </w:t>
      </w:r>
      <w:r w:rsidR="00A67F58">
        <w:rPr>
          <w:rFonts w:asciiTheme="minorHAnsi" w:eastAsia="Times New Roman" w:hAnsiTheme="minorHAnsi"/>
          <w:sz w:val="24"/>
          <w:szCs w:val="24"/>
        </w:rPr>
        <w:t xml:space="preserve">is that they </w:t>
      </w:r>
      <w:r w:rsidRPr="00A93466">
        <w:rPr>
          <w:rFonts w:asciiTheme="minorHAnsi" w:eastAsia="Times New Roman" w:hAnsiTheme="minorHAnsi"/>
          <w:sz w:val="24"/>
          <w:szCs w:val="24"/>
        </w:rPr>
        <w:t>are meaningfully related to the selected NPM through scientific evidence or theory</w:t>
      </w:r>
      <w:r w:rsidR="00A67F58">
        <w:rPr>
          <w:rFonts w:asciiTheme="minorHAnsi" w:eastAsia="Times New Roman" w:hAnsiTheme="minorHAnsi"/>
          <w:sz w:val="24"/>
          <w:szCs w:val="24"/>
        </w:rPr>
        <w:t>,</w:t>
      </w:r>
      <w:r w:rsidRPr="00A93466">
        <w:rPr>
          <w:rFonts w:asciiTheme="minorHAnsi" w:eastAsia="Times New Roman" w:hAnsiTheme="minorHAnsi"/>
          <w:sz w:val="24"/>
          <w:szCs w:val="24"/>
        </w:rPr>
        <w:t xml:space="preserve"> and </w:t>
      </w:r>
      <w:r w:rsidR="00A67F58">
        <w:rPr>
          <w:rFonts w:asciiTheme="minorHAnsi" w:eastAsia="Times New Roman" w:hAnsiTheme="minorHAnsi"/>
          <w:sz w:val="24"/>
          <w:szCs w:val="24"/>
        </w:rPr>
        <w:t xml:space="preserve">they are </w:t>
      </w:r>
      <w:r w:rsidRPr="00A93466">
        <w:rPr>
          <w:rFonts w:asciiTheme="minorHAnsi" w:eastAsia="Times New Roman" w:hAnsiTheme="minorHAnsi"/>
          <w:sz w:val="24"/>
          <w:szCs w:val="24"/>
        </w:rPr>
        <w:t>measurable by the state with improvement achievable in multiple years or throughout the five-year reporting cycle.  Most issues in MCH are multifactorial</w:t>
      </w:r>
      <w:r w:rsidR="00582368">
        <w:rPr>
          <w:rFonts w:asciiTheme="minorHAnsi" w:eastAsia="Times New Roman" w:hAnsiTheme="minorHAnsi"/>
          <w:sz w:val="24"/>
          <w:szCs w:val="24"/>
        </w:rPr>
        <w:t>;</w:t>
      </w:r>
      <w:r w:rsidR="00582368" w:rsidRPr="00A93466">
        <w:rPr>
          <w:rFonts w:asciiTheme="minorHAnsi" w:eastAsia="Times New Roman" w:hAnsiTheme="minorHAnsi"/>
          <w:sz w:val="24"/>
          <w:szCs w:val="24"/>
        </w:rPr>
        <w:t xml:space="preserve"> </w:t>
      </w:r>
      <w:r w:rsidRPr="00A93466">
        <w:rPr>
          <w:rFonts w:asciiTheme="minorHAnsi" w:eastAsia="Times New Roman" w:hAnsiTheme="minorHAnsi"/>
          <w:sz w:val="24"/>
          <w:szCs w:val="24"/>
        </w:rPr>
        <w:t xml:space="preserve">therefore, states are strongly encouraged to develop multiple strategies, each with a related ESM, to impact a selected NPM. </w:t>
      </w:r>
      <w:r w:rsidR="00A766B8">
        <w:rPr>
          <w:rFonts w:asciiTheme="minorHAnsi" w:eastAsia="Times New Roman" w:hAnsiTheme="minorHAnsi"/>
          <w:sz w:val="24"/>
          <w:szCs w:val="24"/>
        </w:rPr>
        <w:t xml:space="preserve"> </w:t>
      </w:r>
      <w:r w:rsidRPr="00A93466">
        <w:rPr>
          <w:rFonts w:asciiTheme="minorHAnsi" w:eastAsia="Times New Roman" w:hAnsiTheme="minorHAnsi"/>
          <w:sz w:val="24"/>
          <w:szCs w:val="24"/>
        </w:rPr>
        <w:t xml:space="preserve">Given that ESMs capture state programmatic efforts, it is recommended that states develop corresponding ESMs for strategies in which they are investing the most activity and/or funding.  However, states are only required to have at least one active ESM for each of the NPMs selected. </w:t>
      </w:r>
    </w:p>
    <w:p w14:paraId="0ED0C046" w14:textId="77777777" w:rsidR="00DE36C8" w:rsidRPr="00A93466" w:rsidRDefault="00DE36C8" w:rsidP="00805433">
      <w:pPr>
        <w:spacing w:after="0" w:line="240" w:lineRule="auto"/>
        <w:rPr>
          <w:rFonts w:asciiTheme="minorHAnsi" w:eastAsia="Times New Roman" w:hAnsiTheme="minorHAnsi"/>
          <w:sz w:val="24"/>
          <w:szCs w:val="24"/>
        </w:rPr>
      </w:pPr>
    </w:p>
    <w:p w14:paraId="447CBFD9" w14:textId="42D3755A" w:rsidR="00805433" w:rsidRPr="00A93466" w:rsidRDefault="00805433" w:rsidP="00805433">
      <w:pPr>
        <w:spacing w:after="0" w:line="240" w:lineRule="auto"/>
        <w:rPr>
          <w:rFonts w:asciiTheme="minorHAnsi" w:eastAsia="Times New Roman" w:hAnsiTheme="minorHAnsi" w:cs="Arial"/>
          <w:sz w:val="24"/>
          <w:szCs w:val="24"/>
        </w:rPr>
      </w:pPr>
      <w:r w:rsidRPr="00A93466">
        <w:rPr>
          <w:rFonts w:asciiTheme="minorHAnsi" w:eastAsia="Times New Roman" w:hAnsiTheme="minorHAnsi"/>
          <w:sz w:val="24"/>
          <w:szCs w:val="24"/>
        </w:rPr>
        <w:t xml:space="preserve">The key for selecting an effective strategy to impact an NPM is identifying evidence-based or –informed practices.  </w:t>
      </w:r>
      <w:r w:rsidR="007306A8">
        <w:rPr>
          <w:rFonts w:asciiTheme="minorHAnsi" w:eastAsia="Times New Roman" w:hAnsiTheme="minorHAnsi"/>
          <w:sz w:val="24"/>
          <w:szCs w:val="24"/>
        </w:rPr>
        <w:t xml:space="preserve">Since the initiation of the MCH Block Grant transformation in 2015, </w:t>
      </w:r>
      <w:r w:rsidR="002E0272">
        <w:rPr>
          <w:rFonts w:asciiTheme="minorHAnsi" w:eastAsia="Times New Roman" w:hAnsiTheme="minorHAnsi"/>
          <w:sz w:val="24"/>
          <w:szCs w:val="24"/>
        </w:rPr>
        <w:t xml:space="preserve">MCHB </w:t>
      </w:r>
      <w:r w:rsidR="007306A8">
        <w:rPr>
          <w:rFonts w:asciiTheme="minorHAnsi" w:eastAsia="Times New Roman" w:hAnsiTheme="minorHAnsi"/>
          <w:sz w:val="24"/>
          <w:szCs w:val="24"/>
        </w:rPr>
        <w:t xml:space="preserve">has </w:t>
      </w:r>
      <w:r w:rsidR="002E0272">
        <w:rPr>
          <w:rFonts w:asciiTheme="minorHAnsi" w:eastAsia="Times New Roman" w:hAnsiTheme="minorHAnsi"/>
          <w:sz w:val="24"/>
          <w:szCs w:val="24"/>
        </w:rPr>
        <w:t>support</w:t>
      </w:r>
      <w:r w:rsidR="007306A8">
        <w:rPr>
          <w:rFonts w:asciiTheme="minorHAnsi" w:eastAsia="Times New Roman" w:hAnsiTheme="minorHAnsi"/>
          <w:sz w:val="24"/>
          <w:szCs w:val="24"/>
        </w:rPr>
        <w:t>ed</w:t>
      </w:r>
      <w:r w:rsidR="002E0272">
        <w:rPr>
          <w:rFonts w:asciiTheme="minorHAnsi" w:eastAsia="Times New Roman" w:hAnsiTheme="minorHAnsi"/>
          <w:sz w:val="24"/>
          <w:szCs w:val="24"/>
        </w:rPr>
        <w:t xml:space="preserve"> a variety of </w:t>
      </w:r>
      <w:r w:rsidR="007306A8">
        <w:rPr>
          <w:rFonts w:asciiTheme="minorHAnsi" w:eastAsia="Times New Roman" w:hAnsiTheme="minorHAnsi"/>
          <w:sz w:val="24"/>
          <w:szCs w:val="24"/>
        </w:rPr>
        <w:t xml:space="preserve">technical assistance </w:t>
      </w:r>
      <w:r w:rsidR="002E0272">
        <w:rPr>
          <w:rFonts w:asciiTheme="minorHAnsi" w:eastAsia="Times New Roman" w:hAnsiTheme="minorHAnsi"/>
          <w:sz w:val="24"/>
          <w:szCs w:val="24"/>
        </w:rPr>
        <w:t xml:space="preserve">efforts to support States in the identification and implementation of </w:t>
      </w:r>
      <w:r w:rsidR="007306A8">
        <w:rPr>
          <w:rFonts w:asciiTheme="minorHAnsi" w:eastAsia="Times New Roman" w:hAnsiTheme="minorHAnsi"/>
          <w:sz w:val="24"/>
          <w:szCs w:val="24"/>
        </w:rPr>
        <w:t>evidence-based or -</w:t>
      </w:r>
      <w:r w:rsidR="00931658" w:rsidRPr="00A93466">
        <w:rPr>
          <w:rFonts w:asciiTheme="minorHAnsi" w:eastAsia="Times New Roman" w:hAnsiTheme="minorHAnsi"/>
          <w:sz w:val="24"/>
          <w:szCs w:val="24"/>
        </w:rPr>
        <w:t xml:space="preserve">informed </w:t>
      </w:r>
      <w:r w:rsidR="00931658">
        <w:rPr>
          <w:rFonts w:asciiTheme="minorHAnsi" w:eastAsia="Times New Roman" w:hAnsiTheme="minorHAnsi"/>
          <w:sz w:val="24"/>
          <w:szCs w:val="24"/>
        </w:rPr>
        <w:t>MCH program strategies and measures</w:t>
      </w:r>
      <w:r w:rsidR="007306A8">
        <w:rPr>
          <w:rFonts w:asciiTheme="minorHAnsi" w:eastAsia="Times New Roman" w:hAnsiTheme="minorHAnsi"/>
          <w:sz w:val="24"/>
          <w:szCs w:val="24"/>
        </w:rPr>
        <w:t xml:space="preserve">.  For example, MCHB funded the </w:t>
      </w:r>
      <w:r w:rsidRPr="00A93466">
        <w:rPr>
          <w:rFonts w:asciiTheme="minorHAnsi" w:eastAsia="Times New Roman" w:hAnsiTheme="minorHAnsi"/>
          <w:sz w:val="24"/>
          <w:szCs w:val="24"/>
        </w:rPr>
        <w:t xml:space="preserve">Strengthen </w:t>
      </w:r>
      <w:r w:rsidRPr="006B41DF">
        <w:rPr>
          <w:rFonts w:asciiTheme="minorHAnsi" w:eastAsia="Times New Roman" w:hAnsiTheme="minorHAnsi"/>
          <w:sz w:val="24"/>
          <w:szCs w:val="24"/>
        </w:rPr>
        <w:t>the Evidence Base for MCH Programs initiative at The Johns Hopkins University</w:t>
      </w:r>
      <w:r w:rsidR="00931658" w:rsidRPr="006B41DF">
        <w:rPr>
          <w:rFonts w:asciiTheme="minorHAnsi" w:eastAsia="Times New Roman" w:hAnsiTheme="minorHAnsi"/>
          <w:sz w:val="24"/>
          <w:szCs w:val="24"/>
        </w:rPr>
        <w:t xml:space="preserve"> (</w:t>
      </w:r>
      <w:hyperlink r:id="rId28" w:history="1">
        <w:r w:rsidR="002E0272" w:rsidRPr="00BD6AA6">
          <w:rPr>
            <w:rStyle w:val="Hyperlink"/>
            <w:rFonts w:asciiTheme="minorHAnsi" w:eastAsia="Times New Roman" w:hAnsiTheme="minorHAnsi"/>
            <w:sz w:val="24"/>
            <w:szCs w:val="24"/>
          </w:rPr>
          <w:t>http://semch.org/about.html</w:t>
        </w:r>
      </w:hyperlink>
      <w:r w:rsidR="002E0272">
        <w:rPr>
          <w:rFonts w:asciiTheme="minorHAnsi" w:eastAsia="Times New Roman" w:hAnsiTheme="minorHAnsi"/>
          <w:sz w:val="24"/>
          <w:szCs w:val="24"/>
        </w:rPr>
        <w:t>)</w:t>
      </w:r>
      <w:r w:rsidR="007306A8">
        <w:rPr>
          <w:rFonts w:asciiTheme="minorHAnsi" w:eastAsia="Times New Roman" w:hAnsiTheme="minorHAnsi"/>
          <w:sz w:val="24"/>
          <w:szCs w:val="24"/>
        </w:rPr>
        <w:t xml:space="preserve">.  </w:t>
      </w:r>
      <w:r w:rsidR="009B5C37">
        <w:rPr>
          <w:rFonts w:asciiTheme="minorHAnsi" w:eastAsia="Times New Roman" w:hAnsiTheme="minorHAnsi"/>
          <w:sz w:val="24"/>
          <w:szCs w:val="24"/>
        </w:rPr>
        <w:t xml:space="preserve">This partnership initiative </w:t>
      </w:r>
      <w:r w:rsidRPr="006B41DF">
        <w:rPr>
          <w:rFonts w:asciiTheme="minorHAnsi" w:eastAsia="Times New Roman" w:hAnsiTheme="minorHAnsi"/>
          <w:sz w:val="24"/>
          <w:szCs w:val="24"/>
        </w:rPr>
        <w:t>promotes an “evidence-informed” approach</w:t>
      </w:r>
      <w:r w:rsidR="009B5C37">
        <w:rPr>
          <w:rFonts w:asciiTheme="minorHAnsi" w:eastAsia="Times New Roman" w:hAnsiTheme="minorHAnsi"/>
          <w:sz w:val="24"/>
          <w:szCs w:val="24"/>
        </w:rPr>
        <w:t>, which th</w:t>
      </w:r>
      <w:r w:rsidRPr="006B41DF">
        <w:rPr>
          <w:rFonts w:asciiTheme="minorHAnsi" w:eastAsia="Times New Roman" w:hAnsiTheme="minorHAnsi"/>
          <w:sz w:val="24"/>
          <w:szCs w:val="24"/>
        </w:rPr>
        <w:t xml:space="preserve">e McMaster group </w:t>
      </w:r>
      <w:r w:rsidR="00CB7BD6">
        <w:rPr>
          <w:rFonts w:asciiTheme="minorHAnsi" w:eastAsia="Times New Roman" w:hAnsiTheme="minorHAnsi"/>
          <w:sz w:val="24"/>
          <w:szCs w:val="24"/>
        </w:rPr>
        <w:t xml:space="preserve">defines </w:t>
      </w:r>
      <w:r w:rsidRPr="006B41DF">
        <w:rPr>
          <w:rFonts w:asciiTheme="minorHAnsi" w:eastAsia="Times New Roman" w:hAnsiTheme="minorHAnsi"/>
          <w:sz w:val="24"/>
          <w:szCs w:val="24"/>
        </w:rPr>
        <w:t>as “the purposeful and systematic use of the best available evidence to inform the</w:t>
      </w:r>
      <w:r w:rsidRPr="00A93466">
        <w:rPr>
          <w:rFonts w:asciiTheme="minorHAnsi" w:eastAsia="Times New Roman" w:hAnsiTheme="minorHAnsi"/>
          <w:sz w:val="24"/>
          <w:szCs w:val="24"/>
        </w:rPr>
        <w:t xml:space="preserve"> assessment of various options and related decision making in practice, program development, and policy making.”</w:t>
      </w:r>
      <w:r w:rsidR="009656E7" w:rsidRPr="00A93466">
        <w:rPr>
          <w:rStyle w:val="FootnoteReference"/>
          <w:rFonts w:asciiTheme="minorHAnsi" w:eastAsia="Times New Roman" w:hAnsiTheme="minorHAnsi"/>
          <w:sz w:val="24"/>
          <w:szCs w:val="24"/>
        </w:rPr>
        <w:footnoteReference w:id="1"/>
      </w:r>
      <w:r w:rsidR="009656E7" w:rsidRPr="00A93466">
        <w:rPr>
          <w:rFonts w:asciiTheme="minorHAnsi" w:eastAsia="Times New Roman" w:hAnsiTheme="minorHAnsi"/>
          <w:sz w:val="24"/>
          <w:szCs w:val="24"/>
        </w:rPr>
        <w:t xml:space="preserve">  </w:t>
      </w:r>
      <w:r w:rsidRPr="00A93466">
        <w:rPr>
          <w:rFonts w:asciiTheme="minorHAnsi" w:eastAsia="Times New Roman" w:hAnsiTheme="minorHAnsi"/>
          <w:sz w:val="24"/>
          <w:szCs w:val="24"/>
        </w:rPr>
        <w:t xml:space="preserve">Consistent with this approach, the initiative has developed a </w:t>
      </w:r>
      <w:r w:rsidRPr="0065727F">
        <w:rPr>
          <w:rFonts w:asciiTheme="minorHAnsi" w:eastAsia="Times New Roman" w:hAnsiTheme="minorHAnsi"/>
          <w:sz w:val="24"/>
          <w:szCs w:val="24"/>
        </w:rPr>
        <w:t>continuum of evidence</w:t>
      </w:r>
      <w:r w:rsidRPr="00A93466">
        <w:rPr>
          <w:rFonts w:asciiTheme="minorHAnsi" w:eastAsia="Times New Roman" w:hAnsiTheme="minorHAnsi"/>
          <w:sz w:val="24"/>
          <w:szCs w:val="24"/>
        </w:rPr>
        <w:t xml:space="preserve"> model that helps states to use the best available MCH science while also encouraging innovation in evidence-informed programming (http://www.semch.org/rating-the-evidence.html).  </w:t>
      </w:r>
      <w:r w:rsidR="009656E7" w:rsidRPr="00A93466">
        <w:rPr>
          <w:rFonts w:asciiTheme="minorHAnsi" w:hAnsiTheme="minorHAnsi" w:cs="Arial"/>
          <w:sz w:val="24"/>
          <w:szCs w:val="24"/>
        </w:rPr>
        <w:t xml:space="preserve">Evidence-based strategies are generally those that have either moderate evidence or are scientifically rigorous, while evidence-informed are those that have emerging evidence or are based on expert opinion.  </w:t>
      </w:r>
      <w:r w:rsidR="00582368">
        <w:rPr>
          <w:rFonts w:asciiTheme="minorHAnsi" w:hAnsiTheme="minorHAnsi" w:cs="Arial"/>
          <w:sz w:val="24"/>
          <w:szCs w:val="24"/>
        </w:rPr>
        <w:t>“</w:t>
      </w:r>
      <w:r w:rsidR="009656E7" w:rsidRPr="00A93466">
        <w:rPr>
          <w:rFonts w:asciiTheme="minorHAnsi" w:hAnsiTheme="minorHAnsi" w:cs="Arial"/>
          <w:sz w:val="24"/>
          <w:szCs w:val="24"/>
        </w:rPr>
        <w:t>Evidence-informed</w:t>
      </w:r>
      <w:r w:rsidR="00582368">
        <w:rPr>
          <w:rFonts w:asciiTheme="minorHAnsi" w:hAnsiTheme="minorHAnsi" w:cs="Arial"/>
          <w:sz w:val="24"/>
          <w:szCs w:val="24"/>
        </w:rPr>
        <w:t>”</w:t>
      </w:r>
      <w:r w:rsidR="009656E7" w:rsidRPr="00A93466">
        <w:rPr>
          <w:rFonts w:asciiTheme="minorHAnsi" w:hAnsiTheme="minorHAnsi" w:cs="Arial"/>
          <w:sz w:val="24"/>
          <w:szCs w:val="24"/>
        </w:rPr>
        <w:t xml:space="preserve"> is meant to convey that there is information suggesting that a certain strategy could be effective in addressing a NPM.  These are strategies that have not yet been rigorously tested or evaluated but that incorporate a theoretical model from other effective public health practices or apply a novel approach grounded in scientific theory.</w:t>
      </w:r>
    </w:p>
    <w:p w14:paraId="00D8B9CF" w14:textId="07E23DB4" w:rsidR="00805433" w:rsidRPr="00A93466" w:rsidRDefault="00805433" w:rsidP="00805433">
      <w:pPr>
        <w:spacing w:after="0" w:line="240" w:lineRule="auto"/>
        <w:rPr>
          <w:rFonts w:asciiTheme="minorHAnsi" w:eastAsia="Times New Roman" w:hAnsiTheme="minorHAnsi"/>
          <w:sz w:val="24"/>
          <w:szCs w:val="24"/>
        </w:rPr>
      </w:pPr>
      <w:r w:rsidRPr="00A93466">
        <w:rPr>
          <w:rFonts w:asciiTheme="minorHAnsi" w:eastAsia="Times New Roman" w:hAnsiTheme="minorHAnsi"/>
          <w:sz w:val="24"/>
          <w:szCs w:val="24"/>
        </w:rPr>
        <w:t xml:space="preserve">This continuum and its rationale is shown in the </w:t>
      </w:r>
      <w:r w:rsidR="00A67F58">
        <w:rPr>
          <w:rFonts w:asciiTheme="minorHAnsi" w:eastAsia="Times New Roman" w:hAnsiTheme="minorHAnsi"/>
          <w:sz w:val="24"/>
          <w:szCs w:val="24"/>
        </w:rPr>
        <w:t xml:space="preserve">following </w:t>
      </w:r>
      <w:r w:rsidRPr="00A93466">
        <w:rPr>
          <w:rFonts w:asciiTheme="minorHAnsi" w:eastAsia="Times New Roman" w:hAnsiTheme="minorHAnsi"/>
          <w:sz w:val="24"/>
          <w:szCs w:val="24"/>
        </w:rPr>
        <w:t>figure.</w:t>
      </w:r>
    </w:p>
    <w:p w14:paraId="74DD0D1C" w14:textId="48B3B232" w:rsidR="00DE36C8" w:rsidRPr="005E3E7E" w:rsidRDefault="00DE36C8" w:rsidP="00805433">
      <w:pPr>
        <w:spacing w:after="0" w:line="240" w:lineRule="auto"/>
        <w:rPr>
          <w:rFonts w:asciiTheme="minorHAnsi" w:eastAsia="Times New Roman" w:hAnsiTheme="minorHAnsi"/>
          <w:sz w:val="24"/>
          <w:szCs w:val="24"/>
        </w:rPr>
      </w:pPr>
    </w:p>
    <w:p w14:paraId="155CE2BD" w14:textId="77777777" w:rsidR="00805433" w:rsidRPr="00A93466" w:rsidRDefault="00805433" w:rsidP="00805433">
      <w:pPr>
        <w:spacing w:after="0" w:line="240" w:lineRule="auto"/>
        <w:rPr>
          <w:rFonts w:asciiTheme="minorHAnsi" w:eastAsia="Times New Roman" w:hAnsiTheme="minorHAnsi"/>
          <w:b/>
          <w:sz w:val="24"/>
          <w:szCs w:val="24"/>
        </w:rPr>
      </w:pPr>
      <w:r w:rsidRPr="00A93466">
        <w:rPr>
          <w:rFonts w:asciiTheme="minorHAnsi" w:eastAsia="Times New Roman" w:hAnsiTheme="minorHAnsi"/>
          <w:b/>
          <w:sz w:val="24"/>
          <w:szCs w:val="24"/>
        </w:rPr>
        <w:t>The Evidence Continuum </w:t>
      </w:r>
    </w:p>
    <w:p w14:paraId="5F8F93DD" w14:textId="1F240D84" w:rsidR="00805433" w:rsidRPr="005E3E7E" w:rsidRDefault="005E3E7E" w:rsidP="005E3E7E">
      <w:pPr>
        <w:spacing w:after="0" w:line="240" w:lineRule="auto"/>
        <w:jc w:val="center"/>
        <w:rPr>
          <w:rFonts w:asciiTheme="minorHAnsi" w:eastAsia="Times New Roman" w:hAnsiTheme="minorHAnsi"/>
        </w:rPr>
      </w:pPr>
      <w:r>
        <w:rPr>
          <w:noProof/>
        </w:rPr>
        <w:drawing>
          <wp:inline distT="0" distB="0" distL="0" distR="0" wp14:anchorId="45273208" wp14:editId="0BB735C6">
            <wp:extent cx="4716780" cy="1463675"/>
            <wp:effectExtent l="0" t="0" r="0" b="3175"/>
            <wp:docPr id="312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1"/>
                    <pic:cNvPicPr>
                      <a:picLocks noChangeAspect="1"/>
                    </pic:cNvPicPr>
                  </pic:nvPicPr>
                  <pic:blipFill>
                    <a:blip r:embed="rId29"/>
                    <a:stretch>
                      <a:fillRect/>
                    </a:stretch>
                  </pic:blipFill>
                  <pic:spPr>
                    <a:xfrm>
                      <a:off x="0" y="0"/>
                      <a:ext cx="4765928" cy="1478926"/>
                    </a:xfrm>
                    <a:prstGeom prst="rect">
                      <a:avLst/>
                    </a:prstGeom>
                  </pic:spPr>
                </pic:pic>
              </a:graphicData>
            </a:graphic>
          </wp:inline>
        </w:drawing>
      </w:r>
    </w:p>
    <w:p w14:paraId="4DDC3930" w14:textId="2AF35857" w:rsidR="00805433" w:rsidRPr="005E3E7E" w:rsidRDefault="00805433" w:rsidP="00805433">
      <w:pPr>
        <w:spacing w:after="0" w:line="240" w:lineRule="auto"/>
        <w:rPr>
          <w:rFonts w:asciiTheme="minorHAnsi" w:eastAsia="Times New Roman" w:hAnsiTheme="minorHAnsi"/>
          <w:sz w:val="24"/>
          <w:szCs w:val="24"/>
        </w:rPr>
      </w:pPr>
    </w:p>
    <w:p w14:paraId="0A85CAD9" w14:textId="77777777" w:rsidR="00DE36C8" w:rsidRPr="00A93466" w:rsidRDefault="00DE36C8" w:rsidP="00DE36C8">
      <w:pPr>
        <w:spacing w:after="0" w:line="240" w:lineRule="auto"/>
        <w:rPr>
          <w:rFonts w:eastAsia="Times New Roman"/>
          <w:sz w:val="24"/>
          <w:szCs w:val="24"/>
        </w:rPr>
      </w:pPr>
      <w:r w:rsidRPr="00A93466">
        <w:rPr>
          <w:rFonts w:eastAsia="Times New Roman"/>
          <w:sz w:val="24"/>
          <w:szCs w:val="24"/>
        </w:rPr>
        <w:t xml:space="preserve">For each category of evidence noted above, the table below provides a descriptive statement and criteria. </w:t>
      </w:r>
    </w:p>
    <w:p w14:paraId="3AC1D4A4" w14:textId="77777777" w:rsidR="00DE36C8" w:rsidRPr="006624F0" w:rsidRDefault="00DE36C8" w:rsidP="00DE36C8">
      <w:pPr>
        <w:spacing w:after="0" w:line="240" w:lineRule="auto"/>
        <w:rPr>
          <w:rFonts w:eastAsia="Times New Roman"/>
          <w:sz w:val="16"/>
          <w:szCs w:val="16"/>
        </w:rPr>
      </w:pPr>
    </w:p>
    <w:p w14:paraId="5490DB12" w14:textId="58A6301A" w:rsidR="00805433" w:rsidRPr="00A766B8" w:rsidRDefault="00DE36C8" w:rsidP="00DE36C8">
      <w:pPr>
        <w:spacing w:after="0" w:line="240" w:lineRule="auto"/>
        <w:jc w:val="center"/>
        <w:rPr>
          <w:rFonts w:eastAsia="Times New Roman"/>
          <w:b/>
          <w:sz w:val="24"/>
          <w:szCs w:val="24"/>
        </w:rPr>
      </w:pPr>
      <w:r w:rsidRPr="00A766B8">
        <w:rPr>
          <w:rFonts w:eastAsia="Times New Roman"/>
          <w:b/>
          <w:sz w:val="24"/>
          <w:szCs w:val="24"/>
        </w:rPr>
        <w:t>Evidence Ratings (Adapted from RWJ </w:t>
      </w:r>
      <w:r w:rsidRPr="00A766B8">
        <w:rPr>
          <w:rFonts w:eastAsia="Times New Roman"/>
          <w:b/>
          <w:i/>
          <w:iCs/>
          <w:sz w:val="24"/>
          <w:szCs w:val="24"/>
        </w:rPr>
        <w:t>What Works for Health</w:t>
      </w:r>
      <w:r w:rsidRPr="00A766B8">
        <w:rPr>
          <w:rFonts w:eastAsia="Times New Roman"/>
          <w:b/>
          <w:sz w:val="24"/>
          <w:szCs w:val="24"/>
        </w:rPr>
        <w:t>)</w:t>
      </w:r>
      <w:r w:rsidR="009656E7" w:rsidRPr="00A766B8">
        <w:rPr>
          <w:rStyle w:val="FootnoteReference"/>
          <w:rFonts w:eastAsia="Times New Roman"/>
          <w:b/>
          <w:sz w:val="24"/>
          <w:szCs w:val="24"/>
        </w:rPr>
        <w:footnoteReference w:id="2"/>
      </w:r>
    </w:p>
    <w:p w14:paraId="28FE2000" w14:textId="04884B59" w:rsidR="00805433" w:rsidRPr="00942420" w:rsidRDefault="00805433" w:rsidP="00805433">
      <w:pPr>
        <w:spacing w:after="0" w:line="240" w:lineRule="auto"/>
        <w:rPr>
          <w:rFonts w:ascii="Arial" w:eastAsia="Times New Roman" w:hAnsi="Arial"/>
          <w:sz w:val="10"/>
          <w:szCs w:val="10"/>
        </w:rPr>
      </w:pPr>
    </w:p>
    <w:tbl>
      <w:tblPr>
        <w:tblStyle w:val="TableGrid"/>
        <w:tblW w:w="10116" w:type="dxa"/>
        <w:tblLook w:val="04A0" w:firstRow="1" w:lastRow="0" w:firstColumn="1" w:lastColumn="0" w:noHBand="0" w:noVBand="1"/>
      </w:tblPr>
      <w:tblGrid>
        <w:gridCol w:w="2429"/>
        <w:gridCol w:w="7687"/>
      </w:tblGrid>
      <w:tr w:rsidR="00D331F4" w14:paraId="66BBBEF8" w14:textId="77777777" w:rsidTr="00D331F4">
        <w:trPr>
          <w:trHeight w:val="533"/>
        </w:trPr>
        <w:tc>
          <w:tcPr>
            <w:tcW w:w="2429" w:type="dxa"/>
            <w:shd w:val="clear" w:color="auto" w:fill="C7E2FA" w:themeFill="accent1" w:themeFillTint="33"/>
          </w:tcPr>
          <w:p w14:paraId="6F549D18" w14:textId="77777777" w:rsidR="00D331F4" w:rsidRPr="00D331F4" w:rsidRDefault="00D331F4" w:rsidP="00357E8E">
            <w:pPr>
              <w:rPr>
                <w:b/>
                <w:color w:val="0B5294" w:themeColor="accent1" w:themeShade="BF"/>
                <w:sz w:val="24"/>
                <w:szCs w:val="24"/>
              </w:rPr>
            </w:pPr>
            <w:r w:rsidRPr="00D331F4">
              <w:rPr>
                <w:b/>
                <w:color w:val="0B5294" w:themeColor="accent1" w:themeShade="BF"/>
                <w:sz w:val="24"/>
                <w:szCs w:val="24"/>
              </w:rPr>
              <w:t>Rating</w:t>
            </w:r>
          </w:p>
        </w:tc>
        <w:tc>
          <w:tcPr>
            <w:tcW w:w="7687" w:type="dxa"/>
            <w:shd w:val="clear" w:color="auto" w:fill="C7E2FA" w:themeFill="accent1" w:themeFillTint="33"/>
          </w:tcPr>
          <w:p w14:paraId="1C1B84A0" w14:textId="77777777" w:rsidR="00D331F4" w:rsidRPr="00D331F4" w:rsidRDefault="00D331F4" w:rsidP="00357E8E">
            <w:pPr>
              <w:rPr>
                <w:b/>
                <w:color w:val="0B5294" w:themeColor="accent1" w:themeShade="BF"/>
                <w:sz w:val="24"/>
                <w:szCs w:val="24"/>
              </w:rPr>
            </w:pPr>
            <w:r w:rsidRPr="00D331F4">
              <w:rPr>
                <w:b/>
                <w:color w:val="0B5294" w:themeColor="accent1" w:themeShade="BF"/>
                <w:sz w:val="24"/>
                <w:szCs w:val="24"/>
              </w:rPr>
              <w:t>Explanation</w:t>
            </w:r>
          </w:p>
        </w:tc>
      </w:tr>
      <w:tr w:rsidR="00D331F4" w14:paraId="64E08317" w14:textId="77777777" w:rsidTr="00D331F4">
        <w:trPr>
          <w:trHeight w:val="568"/>
        </w:trPr>
        <w:tc>
          <w:tcPr>
            <w:tcW w:w="2429" w:type="dxa"/>
          </w:tcPr>
          <w:p w14:paraId="4B9A2FEC" w14:textId="77777777" w:rsidR="00D331F4" w:rsidRPr="00C70952" w:rsidRDefault="00D331F4" w:rsidP="00D331F4">
            <w:pPr>
              <w:spacing w:after="0"/>
              <w:rPr>
                <w:sz w:val="21"/>
                <w:szCs w:val="21"/>
              </w:rPr>
            </w:pPr>
            <w:r w:rsidRPr="00C70952">
              <w:rPr>
                <w:sz w:val="21"/>
                <w:szCs w:val="21"/>
              </w:rPr>
              <w:t>Scientifically Rigorous</w:t>
            </w:r>
          </w:p>
        </w:tc>
        <w:tc>
          <w:tcPr>
            <w:tcW w:w="7687" w:type="dxa"/>
          </w:tcPr>
          <w:p w14:paraId="752D45ED" w14:textId="77777777" w:rsidR="00D331F4" w:rsidRPr="00C70952" w:rsidRDefault="00D331F4" w:rsidP="00D331F4">
            <w:pPr>
              <w:spacing w:after="0"/>
              <w:rPr>
                <w:sz w:val="21"/>
                <w:szCs w:val="21"/>
              </w:rPr>
            </w:pPr>
            <w:r w:rsidRPr="00C70952">
              <w:rPr>
                <w:sz w:val="21"/>
                <w:szCs w:val="21"/>
              </w:rPr>
              <w:t>Strategies with this rating are most likely to make a difference.  These strategies have been tested in many robust studies with consistently positive results.</w:t>
            </w:r>
          </w:p>
        </w:tc>
      </w:tr>
      <w:tr w:rsidR="00D331F4" w14:paraId="4C3B2CD5" w14:textId="77777777" w:rsidTr="00D331F4">
        <w:trPr>
          <w:trHeight w:val="913"/>
        </w:trPr>
        <w:tc>
          <w:tcPr>
            <w:tcW w:w="2429" w:type="dxa"/>
          </w:tcPr>
          <w:p w14:paraId="1411FC13" w14:textId="77777777" w:rsidR="00D331F4" w:rsidRPr="00C70952" w:rsidRDefault="00D331F4" w:rsidP="00D331F4">
            <w:pPr>
              <w:spacing w:after="0"/>
              <w:rPr>
                <w:sz w:val="21"/>
                <w:szCs w:val="21"/>
              </w:rPr>
            </w:pPr>
            <w:r w:rsidRPr="00C70952">
              <w:rPr>
                <w:sz w:val="21"/>
                <w:szCs w:val="21"/>
              </w:rPr>
              <w:t>Moderate Evidence</w:t>
            </w:r>
          </w:p>
        </w:tc>
        <w:tc>
          <w:tcPr>
            <w:tcW w:w="7687" w:type="dxa"/>
          </w:tcPr>
          <w:p w14:paraId="11001BE7" w14:textId="77777777" w:rsidR="00D331F4" w:rsidRPr="00C70952" w:rsidRDefault="00D331F4" w:rsidP="00D331F4">
            <w:pPr>
              <w:spacing w:after="0"/>
              <w:rPr>
                <w:sz w:val="21"/>
                <w:szCs w:val="21"/>
              </w:rPr>
            </w:pPr>
            <w:r w:rsidRPr="00C70952">
              <w:rPr>
                <w:sz w:val="21"/>
                <w:szCs w:val="21"/>
              </w:rPr>
              <w:t>Strategies with this rating are likely to work, but further research is needed to confirm effects.  These strategies have been tested more than once and results trend positive overall.</w:t>
            </w:r>
          </w:p>
        </w:tc>
      </w:tr>
      <w:tr w:rsidR="00D331F4" w14:paraId="175EC73C" w14:textId="77777777" w:rsidTr="00D331F4">
        <w:trPr>
          <w:trHeight w:val="1079"/>
        </w:trPr>
        <w:tc>
          <w:tcPr>
            <w:tcW w:w="2429" w:type="dxa"/>
          </w:tcPr>
          <w:p w14:paraId="1533BEE6" w14:textId="77777777" w:rsidR="00D331F4" w:rsidRPr="00C70952" w:rsidRDefault="00D331F4" w:rsidP="00D331F4">
            <w:pPr>
              <w:spacing w:after="0"/>
              <w:rPr>
                <w:sz w:val="21"/>
                <w:szCs w:val="21"/>
              </w:rPr>
            </w:pPr>
            <w:r w:rsidRPr="00C70952">
              <w:rPr>
                <w:sz w:val="21"/>
                <w:szCs w:val="21"/>
              </w:rPr>
              <w:t>Expert Opinion</w:t>
            </w:r>
          </w:p>
        </w:tc>
        <w:tc>
          <w:tcPr>
            <w:tcW w:w="7687" w:type="dxa"/>
          </w:tcPr>
          <w:p w14:paraId="7D2F3705" w14:textId="77777777" w:rsidR="00D331F4" w:rsidRPr="00C70952" w:rsidRDefault="00D331F4" w:rsidP="00D331F4">
            <w:pPr>
              <w:spacing w:after="0"/>
              <w:rPr>
                <w:sz w:val="21"/>
                <w:szCs w:val="21"/>
              </w:rPr>
            </w:pPr>
            <w:r w:rsidRPr="00C70952">
              <w:rPr>
                <w:sz w:val="21"/>
                <w:szCs w:val="21"/>
              </w:rPr>
              <w:t>Strategies with this rating are recommended by credible, impartial experts and are consistent with accepted theoretical frameworks.  However, the strategies have limited research documenting effects; further research, often with stronger designs, is needed to confirm effects.</w:t>
            </w:r>
          </w:p>
        </w:tc>
      </w:tr>
      <w:tr w:rsidR="00D331F4" w14:paraId="2465AF88" w14:textId="77777777" w:rsidTr="00D331F4">
        <w:trPr>
          <w:trHeight w:val="557"/>
        </w:trPr>
        <w:tc>
          <w:tcPr>
            <w:tcW w:w="2429" w:type="dxa"/>
          </w:tcPr>
          <w:p w14:paraId="2A0E0B8F" w14:textId="77777777" w:rsidR="00D331F4" w:rsidRPr="00C70952" w:rsidRDefault="00D331F4" w:rsidP="00D331F4">
            <w:pPr>
              <w:spacing w:after="0"/>
              <w:rPr>
                <w:sz w:val="21"/>
                <w:szCs w:val="21"/>
              </w:rPr>
            </w:pPr>
            <w:r w:rsidRPr="00C70952">
              <w:rPr>
                <w:sz w:val="21"/>
                <w:szCs w:val="21"/>
              </w:rPr>
              <w:t>Emerging Evidence</w:t>
            </w:r>
          </w:p>
        </w:tc>
        <w:tc>
          <w:tcPr>
            <w:tcW w:w="7687" w:type="dxa"/>
          </w:tcPr>
          <w:p w14:paraId="77DE40B7" w14:textId="77777777" w:rsidR="00D331F4" w:rsidRPr="00C70952" w:rsidRDefault="00D331F4" w:rsidP="00D331F4">
            <w:pPr>
              <w:spacing w:after="0"/>
              <w:rPr>
                <w:sz w:val="21"/>
                <w:szCs w:val="21"/>
              </w:rPr>
            </w:pPr>
            <w:r w:rsidRPr="00C70952">
              <w:rPr>
                <w:sz w:val="21"/>
                <w:szCs w:val="21"/>
              </w:rPr>
              <w:t>Strategies with this rating have limited research documenting effects.  These strategies need further research, often with stronger designs, to confirm effects.</w:t>
            </w:r>
          </w:p>
        </w:tc>
      </w:tr>
      <w:tr w:rsidR="00D331F4" w14:paraId="6EE9A49D" w14:textId="77777777" w:rsidTr="00D331F4">
        <w:trPr>
          <w:trHeight w:val="616"/>
        </w:trPr>
        <w:tc>
          <w:tcPr>
            <w:tcW w:w="2429" w:type="dxa"/>
          </w:tcPr>
          <w:p w14:paraId="6C0BC267" w14:textId="77777777" w:rsidR="00D331F4" w:rsidRPr="00C70952" w:rsidRDefault="00D331F4" w:rsidP="00D331F4">
            <w:pPr>
              <w:spacing w:after="0"/>
              <w:rPr>
                <w:sz w:val="21"/>
                <w:szCs w:val="21"/>
              </w:rPr>
            </w:pPr>
            <w:r w:rsidRPr="00C70952">
              <w:rPr>
                <w:sz w:val="21"/>
                <w:szCs w:val="21"/>
              </w:rPr>
              <w:t>Mixed Evidence</w:t>
            </w:r>
          </w:p>
        </w:tc>
        <w:tc>
          <w:tcPr>
            <w:tcW w:w="7687" w:type="dxa"/>
          </w:tcPr>
          <w:p w14:paraId="1A2DECFF" w14:textId="77777777" w:rsidR="00D331F4" w:rsidRPr="00C70952" w:rsidRDefault="00D331F4" w:rsidP="00D331F4">
            <w:pPr>
              <w:spacing w:after="0"/>
              <w:rPr>
                <w:sz w:val="21"/>
                <w:szCs w:val="21"/>
              </w:rPr>
            </w:pPr>
            <w:r w:rsidRPr="00C70952">
              <w:rPr>
                <w:sz w:val="21"/>
                <w:szCs w:val="21"/>
              </w:rPr>
              <w:t>Strategies with this rating have been tested more than once and results are inconsistent or trend negative; further research is needed to confirm effects.</w:t>
            </w:r>
          </w:p>
        </w:tc>
      </w:tr>
      <w:tr w:rsidR="00D331F4" w14:paraId="0E7A9DDB" w14:textId="77777777" w:rsidTr="00D331F4">
        <w:trPr>
          <w:trHeight w:val="913"/>
        </w:trPr>
        <w:tc>
          <w:tcPr>
            <w:tcW w:w="2429" w:type="dxa"/>
          </w:tcPr>
          <w:p w14:paraId="145CFACC" w14:textId="77777777" w:rsidR="00D331F4" w:rsidRPr="00C70952" w:rsidRDefault="00D331F4" w:rsidP="00D331F4">
            <w:pPr>
              <w:spacing w:after="0"/>
              <w:rPr>
                <w:sz w:val="21"/>
                <w:szCs w:val="21"/>
              </w:rPr>
            </w:pPr>
            <w:r w:rsidRPr="00C70952">
              <w:rPr>
                <w:sz w:val="21"/>
                <w:szCs w:val="21"/>
              </w:rPr>
              <w:t>Evidence Against</w:t>
            </w:r>
          </w:p>
        </w:tc>
        <w:tc>
          <w:tcPr>
            <w:tcW w:w="7687" w:type="dxa"/>
          </w:tcPr>
          <w:p w14:paraId="4E0E1CFB" w14:textId="77777777" w:rsidR="00D331F4" w:rsidRPr="00C70952" w:rsidRDefault="00D331F4" w:rsidP="00D331F4">
            <w:pPr>
              <w:spacing w:after="0"/>
              <w:rPr>
                <w:sz w:val="21"/>
                <w:szCs w:val="21"/>
              </w:rPr>
            </w:pPr>
            <w:r w:rsidRPr="00C70952">
              <w:rPr>
                <w:sz w:val="21"/>
                <w:szCs w:val="21"/>
              </w:rPr>
              <w:t>Strategies with this rating are not good investments.  These strategies have been tested in many robust studies, are not effective and sometimes produce harmful results.</w:t>
            </w:r>
          </w:p>
        </w:tc>
      </w:tr>
    </w:tbl>
    <w:p w14:paraId="7BBF517F" w14:textId="103D3AF8" w:rsidR="00805433" w:rsidRPr="00805433" w:rsidRDefault="00805433" w:rsidP="00DE36C8">
      <w:pPr>
        <w:spacing w:after="0" w:line="240" w:lineRule="auto"/>
        <w:jc w:val="center"/>
        <w:rPr>
          <w:rFonts w:ascii="Arial" w:eastAsia="Times New Roman" w:hAnsi="Arial"/>
          <w:sz w:val="24"/>
          <w:szCs w:val="24"/>
        </w:rPr>
      </w:pPr>
    </w:p>
    <w:p w14:paraId="5D8DA3CB" w14:textId="3CE12B6B" w:rsidR="00DE36C8" w:rsidRPr="00A93466" w:rsidRDefault="00DE36C8" w:rsidP="00DE36C8">
      <w:pPr>
        <w:spacing w:after="0" w:line="240" w:lineRule="auto"/>
        <w:rPr>
          <w:rFonts w:asciiTheme="minorHAnsi" w:hAnsiTheme="minorHAnsi" w:cs="Arial"/>
          <w:sz w:val="24"/>
          <w:szCs w:val="24"/>
        </w:rPr>
      </w:pPr>
      <w:r w:rsidRPr="00A93466">
        <w:rPr>
          <w:rFonts w:asciiTheme="minorHAnsi" w:hAnsiTheme="minorHAnsi" w:cs="Arial"/>
          <w:sz w:val="24"/>
          <w:szCs w:val="24"/>
        </w:rPr>
        <w:t>Beyond scientific evidence of effectiveness, additional considerations of reach, feasibility, sustainability, and transferability should be considered in terms of likely impact.  It is important to note that there may be a need for states to adapt strategies based on differences in populations and settings, available resources</w:t>
      </w:r>
      <w:r w:rsidR="0031671F">
        <w:rPr>
          <w:rFonts w:asciiTheme="minorHAnsi" w:hAnsiTheme="minorHAnsi" w:cs="Arial"/>
          <w:sz w:val="24"/>
          <w:szCs w:val="24"/>
        </w:rPr>
        <w:t xml:space="preserve"> and other considerations.</w:t>
      </w:r>
      <w:r w:rsidRPr="00A93466">
        <w:rPr>
          <w:rFonts w:asciiTheme="minorHAnsi" w:hAnsiTheme="minorHAnsi" w:cs="Arial"/>
          <w:sz w:val="24"/>
          <w:szCs w:val="24"/>
        </w:rPr>
        <w:t xml:space="preserve">  </w:t>
      </w:r>
    </w:p>
    <w:p w14:paraId="6E101EAB" w14:textId="0933669E" w:rsidR="00DE36C8" w:rsidRPr="00A93466" w:rsidRDefault="00DE36C8" w:rsidP="00DE36C8">
      <w:pPr>
        <w:spacing w:after="0" w:line="240" w:lineRule="auto"/>
        <w:rPr>
          <w:rFonts w:asciiTheme="minorHAnsi" w:hAnsiTheme="minorHAnsi" w:cs="Arial"/>
          <w:sz w:val="24"/>
          <w:szCs w:val="24"/>
        </w:rPr>
      </w:pPr>
      <w:r w:rsidRPr="00A93466">
        <w:rPr>
          <w:rFonts w:asciiTheme="minorHAnsi" w:hAnsiTheme="minorHAnsi" w:cs="Arial"/>
          <w:sz w:val="24"/>
          <w:szCs w:val="24"/>
        </w:rPr>
        <w:t xml:space="preserve">The checklist below may be helpful in identifying a meaningful strategy and operationalizing the output as a measure.  A given strategy should be based </w:t>
      </w:r>
      <w:r w:rsidR="00582368">
        <w:rPr>
          <w:rFonts w:asciiTheme="minorHAnsi" w:hAnsiTheme="minorHAnsi" w:cs="Arial"/>
          <w:sz w:val="24"/>
          <w:szCs w:val="24"/>
        </w:rPr>
        <w:t>on</w:t>
      </w:r>
      <w:r w:rsidR="0065727F">
        <w:rPr>
          <w:rFonts w:asciiTheme="minorHAnsi" w:hAnsiTheme="minorHAnsi" w:cs="Arial"/>
          <w:sz w:val="24"/>
          <w:szCs w:val="24"/>
        </w:rPr>
        <w:t>,</w:t>
      </w:r>
      <w:r w:rsidR="00582368">
        <w:rPr>
          <w:rFonts w:asciiTheme="minorHAnsi" w:hAnsiTheme="minorHAnsi" w:cs="Arial"/>
          <w:sz w:val="24"/>
          <w:szCs w:val="24"/>
        </w:rPr>
        <w:t xml:space="preserve"> </w:t>
      </w:r>
      <w:r w:rsidRPr="00A93466">
        <w:rPr>
          <w:rFonts w:asciiTheme="minorHAnsi" w:hAnsiTheme="minorHAnsi" w:cs="Arial"/>
          <w:sz w:val="24"/>
          <w:szCs w:val="24"/>
        </w:rPr>
        <w:t>or informed by</w:t>
      </w:r>
      <w:r w:rsidR="0065727F">
        <w:rPr>
          <w:rFonts w:asciiTheme="minorHAnsi" w:hAnsiTheme="minorHAnsi" w:cs="Arial"/>
          <w:sz w:val="24"/>
          <w:szCs w:val="24"/>
        </w:rPr>
        <w:t>,</w:t>
      </w:r>
      <w:r w:rsidRPr="00A93466">
        <w:rPr>
          <w:rFonts w:asciiTheme="minorHAnsi" w:hAnsiTheme="minorHAnsi" w:cs="Arial"/>
          <w:sz w:val="24"/>
          <w:szCs w:val="24"/>
        </w:rPr>
        <w:t xml:space="preserve"> evidence of effective practice in direct relation to improving the NPM</w:t>
      </w:r>
      <w:r w:rsidR="0065727F">
        <w:rPr>
          <w:rFonts w:asciiTheme="minorHAnsi" w:hAnsiTheme="minorHAnsi" w:cs="Arial"/>
          <w:sz w:val="24"/>
          <w:szCs w:val="24"/>
        </w:rPr>
        <w:t xml:space="preserve"> rather than a strategy that has an indirect relationship</w:t>
      </w:r>
      <w:r w:rsidRPr="00A93466">
        <w:rPr>
          <w:rFonts w:asciiTheme="minorHAnsi" w:hAnsiTheme="minorHAnsi" w:cs="Arial"/>
          <w:sz w:val="24"/>
          <w:szCs w:val="24"/>
        </w:rPr>
        <w:t xml:space="preserve">.  An example of an indirect relation are efforts to improve the content or quality of well-woman or adolescent visits as a strategy for improving access or utilization.  While the ESMs may be either directly or indirectly related to the NPM, states/jurisdictions are encouraged to select at least one ESM that directly corresponds to the selected NPM.  The strategy should be relevant to state priorities and tailored or adapted for contextual settings and population groups where applicable.  It is similarly critical for the strategy to be feasible for the state to implement within the five-year cycle and involve stakeholder input or buy-in from partners who may </w:t>
      </w:r>
      <w:r w:rsidR="00582368">
        <w:rPr>
          <w:rFonts w:asciiTheme="minorHAnsi" w:hAnsiTheme="minorHAnsi" w:cs="Arial"/>
          <w:sz w:val="24"/>
          <w:szCs w:val="24"/>
        </w:rPr>
        <w:t xml:space="preserve">be </w:t>
      </w:r>
      <w:r w:rsidRPr="00A93466">
        <w:rPr>
          <w:rFonts w:asciiTheme="minorHAnsi" w:hAnsiTheme="minorHAnsi" w:cs="Arial"/>
          <w:sz w:val="24"/>
          <w:szCs w:val="24"/>
        </w:rPr>
        <w:t>instrumental in successfully executing the strategy or tracking output.  The strategy should also have potential for improvement (i.e. not already or nearly accomplished).</w:t>
      </w:r>
    </w:p>
    <w:p w14:paraId="74E6D5F4" w14:textId="77777777" w:rsidR="009656E7" w:rsidRDefault="009656E7" w:rsidP="00DE36C8">
      <w:pPr>
        <w:spacing w:after="0" w:line="240" w:lineRule="auto"/>
        <w:rPr>
          <w:rFonts w:ascii="Arial" w:hAnsi="Arial" w:cs="Arial"/>
          <w:sz w:val="24"/>
          <w:szCs w:val="24"/>
        </w:rPr>
      </w:pPr>
    </w:p>
    <w:tbl>
      <w:tblPr>
        <w:tblStyle w:val="TableGrid4"/>
        <w:tblW w:w="0" w:type="auto"/>
        <w:tblLook w:val="04A0" w:firstRow="1" w:lastRow="0" w:firstColumn="1" w:lastColumn="0" w:noHBand="0" w:noVBand="1"/>
      </w:tblPr>
      <w:tblGrid>
        <w:gridCol w:w="7105"/>
        <w:gridCol w:w="2245"/>
      </w:tblGrid>
      <w:tr w:rsidR="00DE36C8" w:rsidRPr="00DE36C8" w14:paraId="20780C4B" w14:textId="77777777" w:rsidTr="00F14156">
        <w:tc>
          <w:tcPr>
            <w:tcW w:w="7105" w:type="dxa"/>
            <w:shd w:val="clear" w:color="auto" w:fill="C7E2FA" w:themeFill="accent1" w:themeFillTint="33"/>
          </w:tcPr>
          <w:p w14:paraId="595596CA" w14:textId="77777777" w:rsidR="00DE36C8" w:rsidRPr="00C70952" w:rsidRDefault="00DE36C8" w:rsidP="00DE36C8">
            <w:pPr>
              <w:spacing w:after="0" w:line="240" w:lineRule="auto"/>
              <w:rPr>
                <w:b/>
                <w:color w:val="0B5294" w:themeColor="accent1" w:themeShade="BF"/>
                <w:sz w:val="24"/>
                <w:szCs w:val="24"/>
              </w:rPr>
            </w:pPr>
            <w:r w:rsidRPr="00C70952">
              <w:rPr>
                <w:b/>
                <w:color w:val="0B5294" w:themeColor="accent1" w:themeShade="BF"/>
                <w:sz w:val="24"/>
                <w:szCs w:val="24"/>
              </w:rPr>
              <w:t>ESM Checklist</w:t>
            </w:r>
          </w:p>
        </w:tc>
        <w:tc>
          <w:tcPr>
            <w:tcW w:w="2245" w:type="dxa"/>
            <w:shd w:val="clear" w:color="auto" w:fill="C7E2FA" w:themeFill="accent1" w:themeFillTint="33"/>
          </w:tcPr>
          <w:p w14:paraId="4386ABC2" w14:textId="77777777" w:rsidR="00DE36C8" w:rsidRPr="00C70952" w:rsidRDefault="00DE36C8" w:rsidP="00DE36C8">
            <w:pPr>
              <w:spacing w:after="0" w:line="240" w:lineRule="auto"/>
              <w:jc w:val="center"/>
              <w:rPr>
                <w:b/>
                <w:color w:val="0B5294" w:themeColor="accent1" w:themeShade="BF"/>
                <w:sz w:val="24"/>
                <w:szCs w:val="24"/>
              </w:rPr>
            </w:pPr>
            <w:r w:rsidRPr="00C70952">
              <w:rPr>
                <w:b/>
                <w:color w:val="0B5294" w:themeColor="accent1" w:themeShade="BF"/>
                <w:sz w:val="24"/>
                <w:szCs w:val="24"/>
              </w:rPr>
              <w:t>Check if Answer is Yes</w:t>
            </w:r>
          </w:p>
        </w:tc>
      </w:tr>
      <w:tr w:rsidR="00DE36C8" w:rsidRPr="00DE36C8" w14:paraId="0BFFCED2" w14:textId="77777777" w:rsidTr="00A93466">
        <w:tc>
          <w:tcPr>
            <w:tcW w:w="7105" w:type="dxa"/>
            <w:shd w:val="clear" w:color="auto" w:fill="auto"/>
          </w:tcPr>
          <w:p w14:paraId="387C526B" w14:textId="77777777" w:rsidR="00DE36C8" w:rsidRPr="00DE36C8" w:rsidRDefault="00DE36C8" w:rsidP="00DE36C8">
            <w:pPr>
              <w:spacing w:after="0" w:line="240" w:lineRule="auto"/>
              <w:rPr>
                <w:b/>
              </w:rPr>
            </w:pPr>
            <w:r w:rsidRPr="00DE36C8">
              <w:rPr>
                <w:b/>
              </w:rPr>
              <w:t>1: The strategy is meaningful</w:t>
            </w:r>
          </w:p>
        </w:tc>
        <w:tc>
          <w:tcPr>
            <w:tcW w:w="2245" w:type="dxa"/>
            <w:shd w:val="clear" w:color="auto" w:fill="auto"/>
          </w:tcPr>
          <w:p w14:paraId="14729D0E" w14:textId="77777777" w:rsidR="00DE36C8" w:rsidRPr="00DE36C8" w:rsidRDefault="00DE36C8" w:rsidP="00DE36C8">
            <w:pPr>
              <w:spacing w:after="0" w:line="240" w:lineRule="auto"/>
              <w:jc w:val="center"/>
            </w:pPr>
          </w:p>
        </w:tc>
      </w:tr>
      <w:tr w:rsidR="00DE36C8" w:rsidRPr="00DE36C8" w14:paraId="0DE0B53E" w14:textId="77777777" w:rsidTr="0006278C">
        <w:tc>
          <w:tcPr>
            <w:tcW w:w="7105" w:type="dxa"/>
          </w:tcPr>
          <w:p w14:paraId="6FAE129F" w14:textId="77777777" w:rsidR="00DE36C8" w:rsidRPr="00DE36C8" w:rsidRDefault="00DE36C8" w:rsidP="00DE36C8">
            <w:pPr>
              <w:spacing w:after="0" w:line="240" w:lineRule="auto"/>
              <w:ind w:left="330"/>
            </w:pPr>
            <w:r w:rsidRPr="00DE36C8">
              <w:t xml:space="preserve">The strategy is evidence-based/informed in direct relation to the NPM </w:t>
            </w:r>
          </w:p>
        </w:tc>
        <w:tc>
          <w:tcPr>
            <w:tcW w:w="2245" w:type="dxa"/>
          </w:tcPr>
          <w:p w14:paraId="040D50C8" w14:textId="77777777" w:rsidR="00DE36C8" w:rsidRPr="00DE36C8" w:rsidRDefault="00DE36C8" w:rsidP="00DE36C8">
            <w:pPr>
              <w:spacing w:after="0" w:line="240" w:lineRule="auto"/>
              <w:jc w:val="center"/>
            </w:pPr>
            <w:r w:rsidRPr="00DE36C8">
              <w:rPr>
                <w:sz w:val="32"/>
                <w:szCs w:val="32"/>
              </w:rPr>
              <w:t>□</w:t>
            </w:r>
          </w:p>
        </w:tc>
      </w:tr>
      <w:tr w:rsidR="00DE36C8" w:rsidRPr="00DE36C8" w14:paraId="2724A59D" w14:textId="77777777" w:rsidTr="0006278C">
        <w:tc>
          <w:tcPr>
            <w:tcW w:w="7105" w:type="dxa"/>
          </w:tcPr>
          <w:p w14:paraId="0095C1ED" w14:textId="77777777" w:rsidR="00DE36C8" w:rsidRPr="00DE36C8" w:rsidRDefault="00DE36C8" w:rsidP="00DE36C8">
            <w:pPr>
              <w:spacing w:after="0" w:line="240" w:lineRule="auto"/>
              <w:ind w:left="330"/>
            </w:pPr>
            <w:r w:rsidRPr="00DE36C8">
              <w:t>The strategy is relevant to state priorities and context</w:t>
            </w:r>
          </w:p>
        </w:tc>
        <w:tc>
          <w:tcPr>
            <w:tcW w:w="2245" w:type="dxa"/>
          </w:tcPr>
          <w:p w14:paraId="0C3D4FA2" w14:textId="77777777" w:rsidR="00DE36C8" w:rsidRPr="00DE36C8" w:rsidRDefault="00DE36C8" w:rsidP="00DE36C8">
            <w:pPr>
              <w:spacing w:after="0" w:line="240" w:lineRule="auto"/>
              <w:jc w:val="center"/>
            </w:pPr>
            <w:r w:rsidRPr="00DE36C8">
              <w:rPr>
                <w:sz w:val="32"/>
                <w:szCs w:val="32"/>
              </w:rPr>
              <w:t>□</w:t>
            </w:r>
          </w:p>
        </w:tc>
      </w:tr>
      <w:tr w:rsidR="00DE36C8" w:rsidRPr="00DE36C8" w14:paraId="590E7789" w14:textId="77777777" w:rsidTr="0006278C">
        <w:tc>
          <w:tcPr>
            <w:tcW w:w="7105" w:type="dxa"/>
          </w:tcPr>
          <w:p w14:paraId="43F23A02" w14:textId="77777777" w:rsidR="00DE36C8" w:rsidRPr="00DE36C8" w:rsidRDefault="00DE36C8" w:rsidP="00DE36C8">
            <w:pPr>
              <w:spacing w:after="0" w:line="240" w:lineRule="auto"/>
              <w:ind w:left="330"/>
            </w:pPr>
            <w:r w:rsidRPr="00DE36C8">
              <w:t xml:space="preserve">The strategy is feasible and involved stakeholder input or buy-in </w:t>
            </w:r>
          </w:p>
        </w:tc>
        <w:tc>
          <w:tcPr>
            <w:tcW w:w="2245" w:type="dxa"/>
          </w:tcPr>
          <w:p w14:paraId="3EA8493D" w14:textId="77777777" w:rsidR="00DE36C8" w:rsidRPr="00DE36C8" w:rsidRDefault="00DE36C8" w:rsidP="00DE36C8">
            <w:pPr>
              <w:spacing w:after="0" w:line="240" w:lineRule="auto"/>
              <w:jc w:val="center"/>
            </w:pPr>
            <w:r w:rsidRPr="00DE36C8">
              <w:rPr>
                <w:sz w:val="32"/>
                <w:szCs w:val="32"/>
              </w:rPr>
              <w:t>□</w:t>
            </w:r>
          </w:p>
        </w:tc>
      </w:tr>
      <w:tr w:rsidR="00DE36C8" w:rsidRPr="00DE36C8" w14:paraId="6A31DB93" w14:textId="77777777" w:rsidTr="0006278C">
        <w:tc>
          <w:tcPr>
            <w:tcW w:w="7105" w:type="dxa"/>
          </w:tcPr>
          <w:p w14:paraId="1B0C9C76" w14:textId="77777777" w:rsidR="00DE36C8" w:rsidRPr="00DE36C8" w:rsidRDefault="00DE36C8" w:rsidP="00DE36C8">
            <w:pPr>
              <w:spacing w:after="0" w:line="240" w:lineRule="auto"/>
              <w:ind w:left="330"/>
            </w:pPr>
            <w:r w:rsidRPr="00DE36C8">
              <w:t>The strategy has potential for improvement</w:t>
            </w:r>
          </w:p>
        </w:tc>
        <w:tc>
          <w:tcPr>
            <w:tcW w:w="2245" w:type="dxa"/>
          </w:tcPr>
          <w:p w14:paraId="4DDB1E9A" w14:textId="77777777" w:rsidR="00DE36C8" w:rsidRPr="00DE36C8" w:rsidRDefault="00DE36C8" w:rsidP="00DE36C8">
            <w:pPr>
              <w:spacing w:after="0" w:line="240" w:lineRule="auto"/>
              <w:jc w:val="center"/>
              <w:rPr>
                <w:sz w:val="32"/>
                <w:szCs w:val="32"/>
              </w:rPr>
            </w:pPr>
            <w:r w:rsidRPr="00DE36C8">
              <w:rPr>
                <w:sz w:val="32"/>
                <w:szCs w:val="32"/>
              </w:rPr>
              <w:t>□</w:t>
            </w:r>
          </w:p>
        </w:tc>
      </w:tr>
      <w:tr w:rsidR="00DE36C8" w:rsidRPr="00DE36C8" w14:paraId="2846FB9E" w14:textId="77777777" w:rsidTr="00A93466">
        <w:tc>
          <w:tcPr>
            <w:tcW w:w="7105" w:type="dxa"/>
            <w:shd w:val="clear" w:color="auto" w:fill="auto"/>
          </w:tcPr>
          <w:p w14:paraId="15C18A3F" w14:textId="77777777" w:rsidR="00DE36C8" w:rsidRPr="00DE36C8" w:rsidRDefault="00DE36C8" w:rsidP="00DE36C8">
            <w:pPr>
              <w:spacing w:after="0" w:line="240" w:lineRule="auto"/>
              <w:rPr>
                <w:b/>
              </w:rPr>
            </w:pPr>
            <w:r w:rsidRPr="00DE36C8">
              <w:rPr>
                <w:b/>
              </w:rPr>
              <w:t>2: The strategy output is measurable as an ESM</w:t>
            </w:r>
          </w:p>
        </w:tc>
        <w:tc>
          <w:tcPr>
            <w:tcW w:w="2245" w:type="dxa"/>
            <w:shd w:val="clear" w:color="auto" w:fill="auto"/>
          </w:tcPr>
          <w:p w14:paraId="3CE13F52" w14:textId="77777777" w:rsidR="00DE36C8" w:rsidRPr="00DE36C8" w:rsidRDefault="00DE36C8" w:rsidP="00DE36C8">
            <w:pPr>
              <w:spacing w:after="0" w:line="240" w:lineRule="auto"/>
              <w:jc w:val="center"/>
            </w:pPr>
          </w:p>
        </w:tc>
      </w:tr>
      <w:tr w:rsidR="00DE36C8" w:rsidRPr="00DE36C8" w14:paraId="3A9F16F0" w14:textId="77777777" w:rsidTr="0006278C">
        <w:tc>
          <w:tcPr>
            <w:tcW w:w="7105" w:type="dxa"/>
          </w:tcPr>
          <w:p w14:paraId="462F932C" w14:textId="77777777" w:rsidR="00DE36C8" w:rsidRPr="00DE36C8" w:rsidRDefault="00DE36C8" w:rsidP="00DE36C8">
            <w:pPr>
              <w:spacing w:after="0" w:line="240" w:lineRule="auto"/>
              <w:ind w:left="330"/>
            </w:pPr>
            <w:r w:rsidRPr="00DE36C8">
              <w:t xml:space="preserve">The ESM is a number, %, rate, count, yes/no* </w:t>
            </w:r>
            <w:r w:rsidRPr="00DE36C8">
              <w:tab/>
            </w:r>
          </w:p>
        </w:tc>
        <w:tc>
          <w:tcPr>
            <w:tcW w:w="2245" w:type="dxa"/>
          </w:tcPr>
          <w:p w14:paraId="2A2DD05C" w14:textId="77777777" w:rsidR="00DE36C8" w:rsidRPr="00DE36C8" w:rsidRDefault="00DE36C8" w:rsidP="00DE36C8">
            <w:pPr>
              <w:spacing w:after="0" w:line="240" w:lineRule="auto"/>
              <w:jc w:val="center"/>
            </w:pPr>
            <w:r w:rsidRPr="00DE36C8">
              <w:rPr>
                <w:sz w:val="32"/>
                <w:szCs w:val="32"/>
              </w:rPr>
              <w:t>□</w:t>
            </w:r>
          </w:p>
        </w:tc>
      </w:tr>
      <w:tr w:rsidR="00DE36C8" w:rsidRPr="00DE36C8" w14:paraId="60E02743" w14:textId="77777777" w:rsidTr="0006278C">
        <w:tc>
          <w:tcPr>
            <w:tcW w:w="7105" w:type="dxa"/>
          </w:tcPr>
          <w:p w14:paraId="043FD3E7" w14:textId="77777777" w:rsidR="00DE36C8" w:rsidRPr="00DE36C8" w:rsidRDefault="00DE36C8" w:rsidP="00DE36C8">
            <w:pPr>
              <w:spacing w:after="0" w:line="240" w:lineRule="auto"/>
              <w:ind w:left="330"/>
            </w:pPr>
            <w:r w:rsidRPr="00DE36C8">
              <w:t xml:space="preserve">The ESM is well-defined and specific </w:t>
            </w:r>
          </w:p>
        </w:tc>
        <w:tc>
          <w:tcPr>
            <w:tcW w:w="2245" w:type="dxa"/>
          </w:tcPr>
          <w:p w14:paraId="1FB0E8D0" w14:textId="77777777" w:rsidR="00DE36C8" w:rsidRPr="00DE36C8" w:rsidRDefault="00DE36C8" w:rsidP="00DE36C8">
            <w:pPr>
              <w:spacing w:after="0" w:line="240" w:lineRule="auto"/>
              <w:jc w:val="center"/>
            </w:pPr>
            <w:r w:rsidRPr="00DE36C8">
              <w:rPr>
                <w:sz w:val="32"/>
                <w:szCs w:val="32"/>
              </w:rPr>
              <w:t>□</w:t>
            </w:r>
          </w:p>
        </w:tc>
      </w:tr>
      <w:tr w:rsidR="00DE36C8" w:rsidRPr="00DE36C8" w14:paraId="0830BF68" w14:textId="77777777" w:rsidTr="0006278C">
        <w:tc>
          <w:tcPr>
            <w:tcW w:w="7105" w:type="dxa"/>
          </w:tcPr>
          <w:p w14:paraId="124F1BEB" w14:textId="77777777" w:rsidR="00DE36C8" w:rsidRPr="00DE36C8" w:rsidRDefault="00DE36C8" w:rsidP="00DE36C8">
            <w:pPr>
              <w:spacing w:after="0" w:line="240" w:lineRule="auto"/>
              <w:ind w:left="330"/>
            </w:pPr>
            <w:r w:rsidRPr="00DE36C8">
              <w:t>Data are available to measure and track the ESM over time</w:t>
            </w:r>
          </w:p>
        </w:tc>
        <w:tc>
          <w:tcPr>
            <w:tcW w:w="2245" w:type="dxa"/>
          </w:tcPr>
          <w:p w14:paraId="7FEED365" w14:textId="77777777" w:rsidR="00DE36C8" w:rsidRPr="00DE36C8" w:rsidRDefault="00DE36C8" w:rsidP="00DE36C8">
            <w:pPr>
              <w:spacing w:after="0" w:line="240" w:lineRule="auto"/>
              <w:jc w:val="center"/>
            </w:pPr>
            <w:r w:rsidRPr="00DE36C8">
              <w:rPr>
                <w:sz w:val="32"/>
                <w:szCs w:val="32"/>
              </w:rPr>
              <w:t>□</w:t>
            </w:r>
          </w:p>
        </w:tc>
      </w:tr>
      <w:tr w:rsidR="00DE36C8" w:rsidRPr="00DE36C8" w14:paraId="6125A293" w14:textId="77777777" w:rsidTr="0006278C">
        <w:tc>
          <w:tcPr>
            <w:tcW w:w="7105" w:type="dxa"/>
          </w:tcPr>
          <w:p w14:paraId="512BBA0B" w14:textId="77777777" w:rsidR="00DE36C8" w:rsidRPr="00DE36C8" w:rsidRDefault="00DE36C8" w:rsidP="00DE36C8">
            <w:pPr>
              <w:spacing w:after="0" w:line="240" w:lineRule="auto"/>
              <w:ind w:left="330"/>
            </w:pPr>
            <w:r w:rsidRPr="00DE36C8">
              <w:t>The ESM can show incremental change over time</w:t>
            </w:r>
          </w:p>
        </w:tc>
        <w:tc>
          <w:tcPr>
            <w:tcW w:w="2245" w:type="dxa"/>
          </w:tcPr>
          <w:p w14:paraId="158D19DB" w14:textId="77777777" w:rsidR="00DE36C8" w:rsidRPr="00DE36C8" w:rsidRDefault="00DE36C8" w:rsidP="00DE36C8">
            <w:pPr>
              <w:spacing w:after="0" w:line="240" w:lineRule="auto"/>
              <w:jc w:val="center"/>
            </w:pPr>
            <w:r w:rsidRPr="00DE36C8">
              <w:rPr>
                <w:sz w:val="32"/>
                <w:szCs w:val="32"/>
              </w:rPr>
              <w:t>□</w:t>
            </w:r>
          </w:p>
        </w:tc>
      </w:tr>
      <w:tr w:rsidR="00DE36C8" w:rsidRPr="00DE36C8" w14:paraId="75A6FCF7" w14:textId="77777777" w:rsidTr="00A93466">
        <w:tc>
          <w:tcPr>
            <w:tcW w:w="7105" w:type="dxa"/>
            <w:shd w:val="clear" w:color="auto" w:fill="auto"/>
          </w:tcPr>
          <w:p w14:paraId="7BDACE32" w14:textId="77777777" w:rsidR="00DE36C8" w:rsidRPr="00DE36C8" w:rsidRDefault="00DE36C8" w:rsidP="00DE36C8">
            <w:pPr>
              <w:spacing w:after="0" w:line="240" w:lineRule="auto"/>
              <w:rPr>
                <w:b/>
              </w:rPr>
            </w:pPr>
            <w:r w:rsidRPr="00DE36C8">
              <w:rPr>
                <w:b/>
              </w:rPr>
              <w:t>3: Improvement in the ESM is achievable</w:t>
            </w:r>
          </w:p>
        </w:tc>
        <w:tc>
          <w:tcPr>
            <w:tcW w:w="2245" w:type="dxa"/>
            <w:shd w:val="clear" w:color="auto" w:fill="auto"/>
          </w:tcPr>
          <w:p w14:paraId="14254A7B" w14:textId="77777777" w:rsidR="00DE36C8" w:rsidRPr="00DE36C8" w:rsidRDefault="00DE36C8" w:rsidP="00DE36C8">
            <w:pPr>
              <w:spacing w:after="0" w:line="240" w:lineRule="auto"/>
              <w:jc w:val="center"/>
            </w:pPr>
          </w:p>
        </w:tc>
      </w:tr>
      <w:tr w:rsidR="00DE36C8" w:rsidRPr="00DE36C8" w14:paraId="3AE304AD" w14:textId="77777777" w:rsidTr="0006278C">
        <w:tc>
          <w:tcPr>
            <w:tcW w:w="7105" w:type="dxa"/>
          </w:tcPr>
          <w:p w14:paraId="224376FC" w14:textId="77777777" w:rsidR="00DE36C8" w:rsidRPr="00DE36C8" w:rsidRDefault="00DE36C8" w:rsidP="00DE36C8">
            <w:pPr>
              <w:spacing w:after="0" w:line="240" w:lineRule="auto"/>
              <w:ind w:left="330"/>
            </w:pPr>
            <w:r w:rsidRPr="00DE36C8">
              <w:t>Improvement attainable over multiple assessments</w:t>
            </w:r>
          </w:p>
        </w:tc>
        <w:tc>
          <w:tcPr>
            <w:tcW w:w="2245" w:type="dxa"/>
          </w:tcPr>
          <w:p w14:paraId="113860B7" w14:textId="77777777" w:rsidR="00DE36C8" w:rsidRPr="00DE36C8" w:rsidRDefault="00DE36C8" w:rsidP="00DE36C8">
            <w:pPr>
              <w:spacing w:after="0" w:line="240" w:lineRule="auto"/>
              <w:jc w:val="center"/>
            </w:pPr>
            <w:r w:rsidRPr="00DE36C8">
              <w:rPr>
                <w:sz w:val="32"/>
                <w:szCs w:val="32"/>
              </w:rPr>
              <w:t>□</w:t>
            </w:r>
          </w:p>
        </w:tc>
      </w:tr>
      <w:tr w:rsidR="00DE36C8" w:rsidRPr="00DE36C8" w14:paraId="174A602A" w14:textId="77777777" w:rsidTr="0006278C">
        <w:tc>
          <w:tcPr>
            <w:tcW w:w="7105" w:type="dxa"/>
          </w:tcPr>
          <w:p w14:paraId="32374388" w14:textId="77777777" w:rsidR="00DE36C8" w:rsidRPr="00DE36C8" w:rsidRDefault="00DE36C8" w:rsidP="00DE36C8">
            <w:pPr>
              <w:spacing w:after="0" w:line="240" w:lineRule="auto"/>
              <w:ind w:left="330"/>
            </w:pPr>
            <w:r w:rsidRPr="00DE36C8">
              <w:t xml:space="preserve">Sensitive to change within a defined time period </w:t>
            </w:r>
          </w:p>
        </w:tc>
        <w:tc>
          <w:tcPr>
            <w:tcW w:w="2245" w:type="dxa"/>
          </w:tcPr>
          <w:p w14:paraId="0D26745A" w14:textId="77777777" w:rsidR="00DE36C8" w:rsidRPr="00DE36C8" w:rsidRDefault="00DE36C8" w:rsidP="00DE36C8">
            <w:pPr>
              <w:spacing w:after="0" w:line="240" w:lineRule="auto"/>
              <w:jc w:val="center"/>
            </w:pPr>
            <w:r w:rsidRPr="00DE36C8">
              <w:rPr>
                <w:sz w:val="32"/>
                <w:szCs w:val="32"/>
              </w:rPr>
              <w:t>□</w:t>
            </w:r>
          </w:p>
        </w:tc>
      </w:tr>
    </w:tbl>
    <w:p w14:paraId="663113F6" w14:textId="77777777" w:rsidR="00DE36C8" w:rsidRPr="004A525F" w:rsidRDefault="00DE36C8" w:rsidP="00DE36C8">
      <w:pPr>
        <w:spacing w:after="0" w:line="240" w:lineRule="auto"/>
        <w:rPr>
          <w:rFonts w:asciiTheme="minorHAnsi" w:hAnsiTheme="minorHAnsi" w:cs="Arial"/>
          <w:sz w:val="20"/>
          <w:szCs w:val="20"/>
        </w:rPr>
      </w:pPr>
      <w:r w:rsidRPr="004A525F">
        <w:rPr>
          <w:rFonts w:asciiTheme="minorHAnsi" w:hAnsiTheme="minorHAnsi" w:cs="Arial"/>
          <w:sz w:val="20"/>
          <w:szCs w:val="20"/>
        </w:rPr>
        <w:t>*Quantitative measures are recommended over qualitative yes/no measures to quantify strategy outputs and show improvement over time in relation to the NPM.</w:t>
      </w:r>
    </w:p>
    <w:p w14:paraId="5299835A" w14:textId="7AA8F9AC" w:rsidR="00DE36C8" w:rsidRDefault="00DE36C8" w:rsidP="00D07D83">
      <w:pPr>
        <w:spacing w:after="0" w:line="240" w:lineRule="auto"/>
        <w:rPr>
          <w:rFonts w:ascii="Arial" w:hAnsi="Arial" w:cs="Arial"/>
          <w:sz w:val="24"/>
          <w:szCs w:val="24"/>
        </w:rPr>
      </w:pPr>
    </w:p>
    <w:p w14:paraId="7B03DE62" w14:textId="14FBCEE5" w:rsidR="00DE36C8" w:rsidRPr="00A93466" w:rsidRDefault="00DE36C8" w:rsidP="00DE36C8">
      <w:pPr>
        <w:spacing w:after="0" w:line="240" w:lineRule="auto"/>
        <w:rPr>
          <w:rFonts w:asciiTheme="minorHAnsi" w:hAnsiTheme="minorHAnsi" w:cs="Arial"/>
          <w:sz w:val="24"/>
          <w:szCs w:val="24"/>
        </w:rPr>
      </w:pPr>
      <w:r w:rsidRPr="00A93466">
        <w:rPr>
          <w:rFonts w:asciiTheme="minorHAnsi" w:hAnsiTheme="minorHAnsi" w:cs="Arial"/>
          <w:sz w:val="24"/>
          <w:szCs w:val="24"/>
        </w:rPr>
        <w:t xml:space="preserve">Once the state identifies a strategy it intends to use, the state will develop and operationalize the outputs of this strategy as a measure or ESM. </w:t>
      </w:r>
      <w:r w:rsidR="004A525F">
        <w:rPr>
          <w:rFonts w:asciiTheme="minorHAnsi" w:hAnsiTheme="minorHAnsi" w:cs="Arial"/>
          <w:sz w:val="24"/>
          <w:szCs w:val="24"/>
        </w:rPr>
        <w:t xml:space="preserve"> </w:t>
      </w:r>
      <w:r w:rsidRPr="00A93466">
        <w:rPr>
          <w:rFonts w:asciiTheme="minorHAnsi" w:hAnsiTheme="minorHAnsi" w:cs="Arial"/>
          <w:sz w:val="24"/>
          <w:szCs w:val="24"/>
        </w:rPr>
        <w:t xml:space="preserve">Given that ESMs are intended to measure progress over time, they should be quantifiable (e.g., number, percent, rate, count), </w:t>
      </w:r>
      <w:r w:rsidR="004A525F">
        <w:rPr>
          <w:rFonts w:asciiTheme="minorHAnsi" w:hAnsiTheme="minorHAnsi" w:cs="Arial"/>
          <w:sz w:val="24"/>
          <w:szCs w:val="24"/>
        </w:rPr>
        <w:t xml:space="preserve">             </w:t>
      </w:r>
      <w:r w:rsidRPr="00A93466">
        <w:rPr>
          <w:rFonts w:asciiTheme="minorHAnsi" w:hAnsiTheme="minorHAnsi" w:cs="Arial"/>
          <w:sz w:val="24"/>
          <w:szCs w:val="24"/>
        </w:rPr>
        <w:t>well-defined and specific (i.e., specifically defined indicator, numerator, and denominator), and there should be data available to measure and track the ESM with incremental change over time.  The setting of improvement objectives marks the final phase of ESM development and offers an important check that improvement in the ESM is expected and attainable over multiple assessments within a reasonable time period.  Objectives should reflect an improvement goal over multiple years of the five-year reporting cycle rather than a static objective over time.  Sample strategies, measures, and objectives for NPM</w:t>
      </w:r>
      <w:r w:rsidR="004A525F">
        <w:rPr>
          <w:rFonts w:asciiTheme="minorHAnsi" w:hAnsiTheme="minorHAnsi" w:cs="Arial"/>
          <w:sz w:val="24"/>
          <w:szCs w:val="24"/>
        </w:rPr>
        <w:t xml:space="preserve"> #</w:t>
      </w:r>
      <w:r w:rsidRPr="00A93466">
        <w:rPr>
          <w:rFonts w:asciiTheme="minorHAnsi" w:hAnsiTheme="minorHAnsi" w:cs="Arial"/>
          <w:sz w:val="24"/>
          <w:szCs w:val="24"/>
        </w:rPr>
        <w:t>5 are provided within the publication by Kogan et al (2015).</w:t>
      </w:r>
      <w:r w:rsidRPr="00A93466">
        <w:rPr>
          <w:rStyle w:val="FootnoteReference"/>
          <w:rFonts w:asciiTheme="minorHAnsi" w:hAnsiTheme="minorHAnsi" w:cs="Arial"/>
          <w:sz w:val="24"/>
          <w:szCs w:val="24"/>
        </w:rPr>
        <w:footnoteReference w:id="3"/>
      </w:r>
      <w:r w:rsidRPr="00A93466">
        <w:rPr>
          <w:rFonts w:asciiTheme="minorHAnsi" w:hAnsiTheme="minorHAnsi" w:cs="Arial"/>
          <w:sz w:val="24"/>
          <w:szCs w:val="24"/>
        </w:rPr>
        <w:t xml:space="preserve">  </w:t>
      </w:r>
    </w:p>
    <w:p w14:paraId="1ED85518" w14:textId="77777777" w:rsidR="00DE36C8" w:rsidRPr="00A93466" w:rsidRDefault="00DE36C8" w:rsidP="00DE36C8">
      <w:pPr>
        <w:spacing w:after="0" w:line="240" w:lineRule="auto"/>
        <w:rPr>
          <w:rFonts w:asciiTheme="minorHAnsi" w:hAnsiTheme="minorHAnsi" w:cs="Arial"/>
          <w:sz w:val="24"/>
          <w:szCs w:val="24"/>
        </w:rPr>
      </w:pPr>
    </w:p>
    <w:p w14:paraId="5E774C5D" w14:textId="652A324B" w:rsidR="00DE36C8" w:rsidRPr="00A93466" w:rsidRDefault="00DE36C8" w:rsidP="00DE36C8">
      <w:pPr>
        <w:spacing w:after="0" w:line="240" w:lineRule="auto"/>
        <w:rPr>
          <w:rFonts w:asciiTheme="minorHAnsi" w:hAnsiTheme="minorHAnsi" w:cs="Arial"/>
          <w:sz w:val="24"/>
          <w:szCs w:val="24"/>
        </w:rPr>
      </w:pPr>
      <w:r w:rsidRPr="00A93466">
        <w:rPr>
          <w:rFonts w:asciiTheme="minorHAnsi" w:hAnsiTheme="minorHAnsi" w:cs="Arial"/>
          <w:sz w:val="24"/>
          <w:szCs w:val="24"/>
        </w:rPr>
        <w:t>While yes/no measures are acceptable, quantitative measures are preferred to capture greater detail on strategy outputs and show more than a single improvement over time.  A yes/no indicator tends to either capture a single activity toward a broader strategy that is achieved in one year and lacks future opportunity for improvement over multiple assessments or a very broad policy change that may not show progress for many years.  In both cases, multi-year improvement in the ESM is not attainable due to a yes/no specification.  Ideally, there should be annual and incremental improvements shown over time in an ESM that can be examined in relation to changes in the corresponding NPM.</w:t>
      </w:r>
    </w:p>
    <w:p w14:paraId="2E8DE598" w14:textId="77777777" w:rsidR="00DE36C8" w:rsidRPr="00A93466" w:rsidRDefault="00DE36C8" w:rsidP="00DE36C8">
      <w:pPr>
        <w:spacing w:after="0" w:line="240" w:lineRule="auto"/>
        <w:rPr>
          <w:rFonts w:asciiTheme="minorHAnsi" w:hAnsiTheme="minorHAnsi" w:cs="Arial"/>
          <w:sz w:val="24"/>
          <w:szCs w:val="24"/>
        </w:rPr>
      </w:pPr>
    </w:p>
    <w:p w14:paraId="21B961E1" w14:textId="7039629F" w:rsidR="00DE36C8" w:rsidRPr="00A93466" w:rsidRDefault="00DE36C8" w:rsidP="00DE36C8">
      <w:pPr>
        <w:spacing w:after="0" w:line="240" w:lineRule="auto"/>
        <w:rPr>
          <w:rFonts w:asciiTheme="minorHAnsi" w:hAnsiTheme="minorHAnsi" w:cs="Arial"/>
          <w:sz w:val="24"/>
          <w:szCs w:val="24"/>
        </w:rPr>
      </w:pPr>
      <w:r w:rsidRPr="00A93466">
        <w:rPr>
          <w:rFonts w:asciiTheme="minorHAnsi" w:hAnsiTheme="minorHAnsi" w:cs="Arial"/>
          <w:sz w:val="24"/>
          <w:szCs w:val="24"/>
        </w:rPr>
        <w:t xml:space="preserve">For example, a state may select an evidence-informed strategy of improving provider training on a particular topic.  This could be broken down into smaller activities, such as identifying or developing a training curriculum and then administering or promoting the training, but these activities are part of a broader strategy that could be tracked consistently over time with an indicator of the </w:t>
      </w:r>
      <w:r w:rsidR="009656E7" w:rsidRPr="00A93466">
        <w:rPr>
          <w:rFonts w:asciiTheme="minorHAnsi" w:hAnsiTheme="minorHAnsi" w:cs="Arial"/>
          <w:sz w:val="24"/>
          <w:szCs w:val="24"/>
        </w:rPr>
        <w:t>number</w:t>
      </w:r>
      <w:r w:rsidRPr="00A93466">
        <w:rPr>
          <w:rFonts w:asciiTheme="minorHAnsi" w:hAnsiTheme="minorHAnsi" w:cs="Arial"/>
          <w:sz w:val="24"/>
          <w:szCs w:val="24"/>
        </w:rPr>
        <w:t xml:space="preserve"> or </w:t>
      </w:r>
      <w:r w:rsidR="009656E7" w:rsidRPr="00A93466">
        <w:rPr>
          <w:rFonts w:asciiTheme="minorHAnsi" w:hAnsiTheme="minorHAnsi" w:cs="Arial"/>
          <w:sz w:val="24"/>
          <w:szCs w:val="24"/>
        </w:rPr>
        <w:t xml:space="preserve">percentage </w:t>
      </w:r>
      <w:r w:rsidRPr="00A93466">
        <w:rPr>
          <w:rFonts w:asciiTheme="minorHAnsi" w:hAnsiTheme="minorHAnsi" w:cs="Arial"/>
          <w:sz w:val="24"/>
          <w:szCs w:val="24"/>
        </w:rPr>
        <w:t>of providers who received training.  Activities may be discussed in the narrative section to provide context to any ESM.  To further strengthen incremental improvement potential, the ESM could reference the receipt of training within the past 3 to 5 years since the number trained in a given year may not increase over time and lack an appropriate improvement objective.</w:t>
      </w:r>
    </w:p>
    <w:p w14:paraId="6AD2AF55" w14:textId="77777777" w:rsidR="00DE36C8" w:rsidRPr="00A93466" w:rsidRDefault="00DE36C8" w:rsidP="00DE36C8">
      <w:pPr>
        <w:spacing w:after="0" w:line="240" w:lineRule="auto"/>
        <w:rPr>
          <w:rFonts w:asciiTheme="minorHAnsi" w:hAnsiTheme="minorHAnsi" w:cs="Arial"/>
          <w:sz w:val="24"/>
          <w:szCs w:val="24"/>
        </w:rPr>
      </w:pPr>
    </w:p>
    <w:p w14:paraId="5FECC343" w14:textId="22A690F6" w:rsidR="00DE36C8" w:rsidRPr="00A93466" w:rsidRDefault="00DE36C8" w:rsidP="00DE36C8">
      <w:pPr>
        <w:spacing w:after="0" w:line="240" w:lineRule="auto"/>
        <w:rPr>
          <w:rFonts w:asciiTheme="minorHAnsi" w:hAnsiTheme="minorHAnsi" w:cs="Arial"/>
          <w:sz w:val="24"/>
          <w:szCs w:val="24"/>
        </w:rPr>
      </w:pPr>
      <w:r w:rsidRPr="00A93466">
        <w:rPr>
          <w:rFonts w:asciiTheme="minorHAnsi" w:hAnsiTheme="minorHAnsi" w:cs="Arial"/>
          <w:sz w:val="24"/>
          <w:szCs w:val="24"/>
        </w:rPr>
        <w:t xml:space="preserve">Another example involves a strategy of implementing a policy or program.  Similar to the example above, a yes/no measure lacks potential to show improvement over multiple assessments and, in this case, progress may or may not be achievable in a reasonable </w:t>
      </w:r>
      <w:r w:rsidR="008630ED">
        <w:rPr>
          <w:rFonts w:asciiTheme="minorHAnsi" w:hAnsiTheme="minorHAnsi" w:cs="Arial"/>
          <w:sz w:val="24"/>
          <w:szCs w:val="24"/>
        </w:rPr>
        <w:t>period</w:t>
      </w:r>
      <w:r w:rsidRPr="00A93466">
        <w:rPr>
          <w:rFonts w:asciiTheme="minorHAnsi" w:hAnsiTheme="minorHAnsi" w:cs="Arial"/>
          <w:sz w:val="24"/>
          <w:szCs w:val="24"/>
        </w:rPr>
        <w:t xml:space="preserve">.  When a yes/no option is being considered, it is best to identify and track fidelity to the policy/program goal through a quantitative measure with potential for incremental improvement through additional activities or to assure intended results after implementation.  For example, a strategy for a policy change to increase Medicaid eligibility may not be achievable for many years but the goal of the strategy to improve Medicaid enrollment (#/% enrolled) could be directly assessed and show progress over multiple years through additional activities, such as outreach and enrollment, both before and after a Medicaid policy or procedural change. </w:t>
      </w:r>
    </w:p>
    <w:p w14:paraId="2E30B37F" w14:textId="40B3B63E" w:rsidR="00DE36C8" w:rsidRDefault="00DE36C8" w:rsidP="00DE36C8">
      <w:pPr>
        <w:spacing w:after="0" w:line="240" w:lineRule="auto"/>
        <w:rPr>
          <w:rFonts w:asciiTheme="minorHAnsi" w:hAnsiTheme="minorHAnsi" w:cs="Arial"/>
          <w:sz w:val="24"/>
          <w:szCs w:val="24"/>
        </w:rPr>
      </w:pPr>
    </w:p>
    <w:p w14:paraId="190BC8F8" w14:textId="1705FBA1" w:rsidR="00DE36C8" w:rsidRPr="00A93466" w:rsidRDefault="00AA0B70" w:rsidP="00DE36C8">
      <w:pPr>
        <w:spacing w:after="0" w:line="240" w:lineRule="auto"/>
        <w:rPr>
          <w:rFonts w:asciiTheme="minorHAnsi" w:hAnsiTheme="minorHAnsi" w:cs="Arial"/>
          <w:sz w:val="24"/>
          <w:szCs w:val="24"/>
        </w:rPr>
      </w:pPr>
      <w:r>
        <w:rPr>
          <w:rFonts w:asciiTheme="minorHAnsi" w:hAnsiTheme="minorHAnsi" w:cs="Arial"/>
          <w:sz w:val="24"/>
          <w:szCs w:val="24"/>
        </w:rPr>
        <w:t>S</w:t>
      </w:r>
      <w:r w:rsidRPr="00A93466">
        <w:rPr>
          <w:rFonts w:asciiTheme="minorHAnsi" w:hAnsiTheme="minorHAnsi" w:cs="Arial"/>
          <w:sz w:val="24"/>
          <w:szCs w:val="24"/>
        </w:rPr>
        <w:t xml:space="preserve">tates have provided strong examples of well-defined and well-written ESMs, which </w:t>
      </w:r>
      <w:r w:rsidR="00DE36C8" w:rsidRPr="00A93466">
        <w:rPr>
          <w:rFonts w:asciiTheme="minorHAnsi" w:hAnsiTheme="minorHAnsi" w:cs="Arial"/>
          <w:sz w:val="24"/>
          <w:szCs w:val="24"/>
        </w:rPr>
        <w:t xml:space="preserve">demonstrate that states have examined the evidence-base for a strategy, determined the appropriate way to measure the strategy, and developed improvement objectives. </w:t>
      </w:r>
    </w:p>
    <w:p w14:paraId="54ECA841" w14:textId="77777777" w:rsidR="00DE36C8" w:rsidRPr="00A93466" w:rsidRDefault="00DE36C8" w:rsidP="00DE36C8">
      <w:pPr>
        <w:spacing w:after="0" w:line="240" w:lineRule="auto"/>
        <w:rPr>
          <w:rFonts w:asciiTheme="minorHAnsi" w:hAnsiTheme="minorHAnsi" w:cs="Arial"/>
          <w:sz w:val="24"/>
          <w:szCs w:val="24"/>
        </w:rPr>
      </w:pPr>
    </w:p>
    <w:p w14:paraId="74298D95" w14:textId="36526D1B" w:rsidR="00DE36C8" w:rsidRPr="00A93466" w:rsidRDefault="00DE36C8" w:rsidP="00DE36C8">
      <w:pPr>
        <w:spacing w:after="0" w:line="240" w:lineRule="auto"/>
        <w:rPr>
          <w:rFonts w:asciiTheme="minorHAnsi" w:hAnsiTheme="minorHAnsi" w:cs="Arial"/>
          <w:sz w:val="24"/>
          <w:szCs w:val="24"/>
        </w:rPr>
      </w:pPr>
      <w:r w:rsidRPr="00A93466">
        <w:rPr>
          <w:rFonts w:asciiTheme="minorHAnsi" w:hAnsiTheme="minorHAnsi" w:cs="Arial"/>
          <w:sz w:val="24"/>
          <w:szCs w:val="24"/>
        </w:rPr>
        <w:t xml:space="preserve">For the annual reports covered under this </w:t>
      </w:r>
      <w:r w:rsidR="005E3E7E">
        <w:rPr>
          <w:rFonts w:asciiTheme="minorHAnsi" w:hAnsiTheme="minorHAnsi" w:cs="Arial"/>
          <w:sz w:val="24"/>
          <w:szCs w:val="24"/>
        </w:rPr>
        <w:t>G</w:t>
      </w:r>
      <w:r w:rsidRPr="00A93466">
        <w:rPr>
          <w:rFonts w:asciiTheme="minorHAnsi" w:hAnsiTheme="minorHAnsi" w:cs="Arial"/>
          <w:sz w:val="24"/>
          <w:szCs w:val="24"/>
        </w:rPr>
        <w:t xml:space="preserve">uidance, as new ESMs are introduced, </w:t>
      </w:r>
      <w:r w:rsidR="00582368">
        <w:rPr>
          <w:rFonts w:asciiTheme="minorHAnsi" w:hAnsiTheme="minorHAnsi" w:cs="Arial"/>
          <w:sz w:val="24"/>
          <w:szCs w:val="24"/>
        </w:rPr>
        <w:t>s</w:t>
      </w:r>
      <w:r w:rsidR="00582368" w:rsidRPr="00A93466">
        <w:rPr>
          <w:rFonts w:asciiTheme="minorHAnsi" w:hAnsiTheme="minorHAnsi" w:cs="Arial"/>
          <w:sz w:val="24"/>
          <w:szCs w:val="24"/>
        </w:rPr>
        <w:t xml:space="preserve">tates </w:t>
      </w:r>
      <w:r w:rsidRPr="00A93466">
        <w:rPr>
          <w:rFonts w:asciiTheme="minorHAnsi" w:hAnsiTheme="minorHAnsi" w:cs="Arial"/>
          <w:sz w:val="24"/>
          <w:szCs w:val="24"/>
        </w:rPr>
        <w:t>will develop a detail sheet for each ESM, which they will submit as part of their Application/Annual Report.</w:t>
      </w:r>
      <w:r w:rsidR="005E3E7E">
        <w:rPr>
          <w:rFonts w:asciiTheme="minorHAnsi" w:hAnsiTheme="minorHAnsi" w:cs="Arial"/>
          <w:sz w:val="24"/>
          <w:szCs w:val="24"/>
        </w:rPr>
        <w:t xml:space="preserve"> </w:t>
      </w:r>
      <w:r w:rsidRPr="00A93466">
        <w:rPr>
          <w:rFonts w:asciiTheme="minorHAnsi" w:hAnsiTheme="minorHAnsi" w:cs="Arial"/>
          <w:sz w:val="24"/>
          <w:szCs w:val="24"/>
        </w:rPr>
        <w:t xml:space="preserve"> On the detail sheet, states will define the: (1) measures; (2) goal; (3) indicator, numerator, and denominator; (4) data source; and (5) significance. </w:t>
      </w:r>
      <w:r w:rsidR="005E3E7E">
        <w:rPr>
          <w:rFonts w:asciiTheme="minorHAnsi" w:hAnsiTheme="minorHAnsi" w:cs="Arial"/>
          <w:sz w:val="24"/>
          <w:szCs w:val="24"/>
        </w:rPr>
        <w:t xml:space="preserve"> </w:t>
      </w:r>
      <w:r w:rsidRPr="00A93466">
        <w:rPr>
          <w:rFonts w:asciiTheme="minorHAnsi" w:hAnsiTheme="minorHAnsi" w:cs="Arial"/>
          <w:sz w:val="24"/>
          <w:szCs w:val="24"/>
        </w:rPr>
        <w:t>States will track performance for the ESMs that were established for this five-year needs assessment cycle.</w:t>
      </w:r>
      <w:r w:rsidR="004A525F">
        <w:rPr>
          <w:rFonts w:asciiTheme="minorHAnsi" w:hAnsiTheme="minorHAnsi" w:cs="Arial"/>
          <w:sz w:val="24"/>
          <w:szCs w:val="24"/>
        </w:rPr>
        <w:t xml:space="preserve"> </w:t>
      </w:r>
      <w:r w:rsidRPr="00A93466">
        <w:rPr>
          <w:rFonts w:asciiTheme="minorHAnsi" w:hAnsiTheme="minorHAnsi" w:cs="Arial"/>
          <w:sz w:val="24"/>
          <w:szCs w:val="24"/>
        </w:rPr>
        <w:t xml:space="preserve"> States will determine performance objectives for each of</w:t>
      </w:r>
      <w:r w:rsidR="005E3E7E">
        <w:rPr>
          <w:rFonts w:asciiTheme="minorHAnsi" w:hAnsiTheme="minorHAnsi" w:cs="Arial"/>
          <w:sz w:val="24"/>
          <w:szCs w:val="24"/>
        </w:rPr>
        <w:t xml:space="preserve"> the ESMs for application years            </w:t>
      </w:r>
      <w:r w:rsidRPr="00A93466">
        <w:rPr>
          <w:rFonts w:asciiTheme="minorHAnsi" w:hAnsiTheme="minorHAnsi" w:cs="Arial"/>
          <w:sz w:val="24"/>
          <w:szCs w:val="24"/>
        </w:rPr>
        <w:t>FY</w:t>
      </w:r>
      <w:r w:rsidR="005E3E7E">
        <w:rPr>
          <w:rFonts w:asciiTheme="minorHAnsi" w:hAnsiTheme="minorHAnsi" w:cs="Arial"/>
          <w:sz w:val="24"/>
          <w:szCs w:val="24"/>
        </w:rPr>
        <w:t xml:space="preserve"> </w:t>
      </w:r>
      <w:r w:rsidRPr="00A93466">
        <w:rPr>
          <w:rFonts w:asciiTheme="minorHAnsi" w:hAnsiTheme="minorHAnsi" w:cs="Arial"/>
          <w:sz w:val="24"/>
          <w:szCs w:val="24"/>
        </w:rPr>
        <w:t>2019</w:t>
      </w:r>
      <w:r w:rsidR="005E3E7E">
        <w:rPr>
          <w:rFonts w:asciiTheme="minorHAnsi" w:hAnsiTheme="minorHAnsi" w:cs="Arial"/>
          <w:sz w:val="24"/>
          <w:szCs w:val="24"/>
        </w:rPr>
        <w:t xml:space="preserve"> </w:t>
      </w:r>
      <w:r w:rsidRPr="00A93466">
        <w:rPr>
          <w:rFonts w:asciiTheme="minorHAnsi" w:hAnsiTheme="minorHAnsi" w:cs="Arial"/>
          <w:sz w:val="24"/>
          <w:szCs w:val="24"/>
        </w:rPr>
        <w:t>-</w:t>
      </w:r>
      <w:r w:rsidR="005E3E7E">
        <w:rPr>
          <w:rFonts w:asciiTheme="minorHAnsi" w:hAnsiTheme="minorHAnsi" w:cs="Arial"/>
          <w:sz w:val="24"/>
          <w:szCs w:val="24"/>
        </w:rPr>
        <w:t xml:space="preserve"> </w:t>
      </w:r>
      <w:r w:rsidRPr="00A93466">
        <w:rPr>
          <w:rFonts w:asciiTheme="minorHAnsi" w:hAnsiTheme="minorHAnsi" w:cs="Arial"/>
          <w:sz w:val="24"/>
          <w:szCs w:val="24"/>
        </w:rPr>
        <w:t xml:space="preserve">FY 2020. </w:t>
      </w:r>
      <w:r w:rsidR="004A525F">
        <w:rPr>
          <w:rFonts w:asciiTheme="minorHAnsi" w:hAnsiTheme="minorHAnsi" w:cs="Arial"/>
          <w:sz w:val="24"/>
          <w:szCs w:val="24"/>
        </w:rPr>
        <w:t xml:space="preserve"> </w:t>
      </w:r>
      <w:r w:rsidRPr="00A93466">
        <w:rPr>
          <w:rFonts w:asciiTheme="minorHAnsi" w:hAnsiTheme="minorHAnsi" w:cs="Arial"/>
          <w:sz w:val="24"/>
          <w:szCs w:val="24"/>
        </w:rPr>
        <w:t>These objectives can be revised, as needed, for future reporting years.</w:t>
      </w:r>
      <w:r w:rsidR="004A525F">
        <w:rPr>
          <w:rFonts w:asciiTheme="minorHAnsi" w:hAnsiTheme="minorHAnsi" w:cs="Arial"/>
          <w:sz w:val="24"/>
          <w:szCs w:val="24"/>
        </w:rPr>
        <w:t xml:space="preserve">  </w:t>
      </w:r>
      <w:r w:rsidRPr="00A93466">
        <w:rPr>
          <w:rFonts w:asciiTheme="minorHAnsi" w:hAnsiTheme="minorHAnsi" w:cs="Arial"/>
          <w:sz w:val="24"/>
          <w:szCs w:val="24"/>
        </w:rPr>
        <w:t>Data for the ESMs (i.e., numerator/denominator) will be entered annually by the state.</w:t>
      </w:r>
      <w:r w:rsidR="004A525F">
        <w:rPr>
          <w:rFonts w:asciiTheme="minorHAnsi" w:hAnsiTheme="minorHAnsi" w:cs="Arial"/>
          <w:sz w:val="24"/>
          <w:szCs w:val="24"/>
        </w:rPr>
        <w:t xml:space="preserve">  </w:t>
      </w:r>
      <w:r w:rsidRPr="00A93466">
        <w:rPr>
          <w:rFonts w:asciiTheme="minorHAnsi" w:hAnsiTheme="minorHAnsi" w:cs="Arial"/>
          <w:sz w:val="24"/>
          <w:szCs w:val="24"/>
        </w:rPr>
        <w:t xml:space="preserve">During the five-year reporting cycle, ESMs may be added, modified, replaced, or retired, as new strategies or measurement methods emerge, objectives are achieved without further room for improvement, or the strategy did not produce intended results. </w:t>
      </w:r>
    </w:p>
    <w:p w14:paraId="2C609091" w14:textId="77777777" w:rsidR="00DE36C8" w:rsidRPr="00A93466" w:rsidRDefault="00DE36C8" w:rsidP="0098445A">
      <w:pPr>
        <w:spacing w:after="0" w:line="240" w:lineRule="auto"/>
        <w:rPr>
          <w:rFonts w:asciiTheme="minorHAnsi" w:hAnsiTheme="minorHAnsi" w:cs="Arial"/>
          <w:sz w:val="24"/>
          <w:szCs w:val="24"/>
        </w:rPr>
      </w:pPr>
    </w:p>
    <w:p w14:paraId="75BCBCF6" w14:textId="41CC0F8C" w:rsidR="0098445A" w:rsidRPr="0098445A" w:rsidRDefault="00DE36C8" w:rsidP="0098445A">
      <w:pPr>
        <w:spacing w:after="0" w:line="240" w:lineRule="auto"/>
        <w:rPr>
          <w:rFonts w:asciiTheme="minorHAnsi" w:hAnsiTheme="minorHAnsi" w:cs="Arial"/>
          <w:sz w:val="24"/>
          <w:szCs w:val="24"/>
        </w:rPr>
      </w:pPr>
      <w:r w:rsidRPr="00A93466">
        <w:rPr>
          <w:rFonts w:asciiTheme="minorHAnsi" w:hAnsiTheme="minorHAnsi" w:cs="Arial"/>
          <w:sz w:val="24"/>
          <w:szCs w:val="24"/>
        </w:rPr>
        <w:t>States should work closely with family</w:t>
      </w:r>
      <w:r w:rsidR="004A525F">
        <w:rPr>
          <w:rFonts w:asciiTheme="minorHAnsi" w:hAnsiTheme="minorHAnsi" w:cs="Arial"/>
          <w:sz w:val="24"/>
          <w:szCs w:val="24"/>
        </w:rPr>
        <w:t xml:space="preserve"> </w:t>
      </w:r>
      <w:r w:rsidRPr="00A93466">
        <w:rPr>
          <w:rFonts w:asciiTheme="minorHAnsi" w:hAnsiTheme="minorHAnsi" w:cs="Arial"/>
          <w:sz w:val="24"/>
          <w:szCs w:val="24"/>
        </w:rPr>
        <w:t>partnerships as they revise/develop the ESMs for their selected NPMs.</w:t>
      </w:r>
      <w:r w:rsidR="00E75E4A">
        <w:rPr>
          <w:rFonts w:asciiTheme="minorHAnsi" w:hAnsiTheme="minorHAnsi" w:cs="Arial"/>
          <w:sz w:val="24"/>
          <w:szCs w:val="24"/>
        </w:rPr>
        <w:t xml:space="preserve"> </w:t>
      </w:r>
      <w:r w:rsidRPr="00A93466">
        <w:rPr>
          <w:rFonts w:asciiTheme="minorHAnsi" w:hAnsiTheme="minorHAnsi" w:cs="Arial"/>
          <w:sz w:val="24"/>
          <w:szCs w:val="24"/>
        </w:rPr>
        <w:t xml:space="preserve"> </w:t>
      </w:r>
      <w:r w:rsidR="00DD2DF5" w:rsidRPr="00DD2DF5">
        <w:rPr>
          <w:rFonts w:asciiTheme="minorHAnsi" w:hAnsiTheme="minorHAnsi" w:cs="Arial"/>
          <w:sz w:val="24"/>
          <w:szCs w:val="24"/>
        </w:rPr>
        <w:t>For purposes of the MCH Block Grant, family partnership is defined as patients, families, their representatives, and health professionals working in active partnership at various levels across the health care system</w:t>
      </w:r>
      <w:r w:rsidR="00E75E4A">
        <w:rPr>
          <w:rFonts w:asciiTheme="minorHAnsi" w:hAnsiTheme="minorHAnsi" w:cs="Arial"/>
          <w:sz w:val="24"/>
          <w:szCs w:val="24"/>
        </w:rPr>
        <w:t xml:space="preserve"> - d</w:t>
      </w:r>
      <w:r w:rsidR="00DD2DF5" w:rsidRPr="00DD2DF5">
        <w:rPr>
          <w:rFonts w:asciiTheme="minorHAnsi" w:hAnsiTheme="minorHAnsi" w:cs="Arial"/>
          <w:sz w:val="24"/>
          <w:szCs w:val="24"/>
        </w:rPr>
        <w:t>irect care, organizational design</w:t>
      </w:r>
      <w:r w:rsidR="00E75E4A">
        <w:rPr>
          <w:rFonts w:asciiTheme="minorHAnsi" w:hAnsiTheme="minorHAnsi" w:cs="Arial"/>
          <w:sz w:val="24"/>
          <w:szCs w:val="24"/>
        </w:rPr>
        <w:t xml:space="preserve">, </w:t>
      </w:r>
      <w:r w:rsidR="00DD2DF5" w:rsidRPr="00DD2DF5">
        <w:rPr>
          <w:rFonts w:asciiTheme="minorHAnsi" w:hAnsiTheme="minorHAnsi" w:cs="Arial"/>
          <w:sz w:val="24"/>
          <w:szCs w:val="24"/>
        </w:rPr>
        <w:t>governance and policy making</w:t>
      </w:r>
      <w:r w:rsidR="00E75E4A">
        <w:rPr>
          <w:rFonts w:asciiTheme="minorHAnsi" w:hAnsiTheme="minorHAnsi" w:cs="Arial"/>
          <w:sz w:val="24"/>
          <w:szCs w:val="24"/>
        </w:rPr>
        <w:t xml:space="preserve"> - t</w:t>
      </w:r>
      <w:r w:rsidR="00DD2DF5" w:rsidRPr="00DD2DF5">
        <w:rPr>
          <w:rFonts w:asciiTheme="minorHAnsi" w:hAnsiTheme="minorHAnsi" w:cs="Arial"/>
          <w:sz w:val="24"/>
          <w:szCs w:val="24"/>
        </w:rPr>
        <w:t xml:space="preserve">o improve health and health care. </w:t>
      </w:r>
      <w:r w:rsidR="00DD2DF5">
        <w:rPr>
          <w:rFonts w:asciiTheme="minorHAnsi" w:hAnsiTheme="minorHAnsi" w:cs="Arial"/>
          <w:sz w:val="24"/>
          <w:szCs w:val="24"/>
        </w:rPr>
        <w:t xml:space="preserve"> </w:t>
      </w:r>
      <w:r w:rsidR="00DD2DF5" w:rsidRPr="00DD2DF5">
        <w:rPr>
          <w:rFonts w:asciiTheme="minorHAnsi" w:hAnsiTheme="minorHAnsi" w:cs="Arial"/>
          <w:sz w:val="24"/>
          <w:szCs w:val="24"/>
        </w:rPr>
        <w:t>This partnership is accomplished through the intentional practice of working with families for the ultimate goal of positive outcomes in all areas through the life course.</w:t>
      </w:r>
      <w:r w:rsidR="0098445A" w:rsidRPr="00E75E4A">
        <w:rPr>
          <w:rFonts w:asciiTheme="minorHAnsi" w:hAnsiTheme="minorHAnsi" w:cs="Arial"/>
          <w:sz w:val="24"/>
          <w:szCs w:val="24"/>
          <w:vertAlign w:val="superscript"/>
        </w:rPr>
        <w:footnoteReference w:id="4"/>
      </w:r>
      <w:r w:rsidR="0098445A" w:rsidRPr="0098445A" w:rsidDel="00877A3A">
        <w:rPr>
          <w:rFonts w:asciiTheme="minorHAnsi" w:hAnsiTheme="minorHAnsi" w:cs="Arial"/>
          <w:sz w:val="24"/>
          <w:szCs w:val="24"/>
        </w:rPr>
        <w:t xml:space="preserve"> </w:t>
      </w:r>
      <w:r w:rsidR="0098445A" w:rsidRPr="0098445A">
        <w:rPr>
          <w:rFonts w:asciiTheme="minorHAnsi" w:hAnsiTheme="minorHAnsi" w:cs="Arial"/>
          <w:sz w:val="24"/>
          <w:szCs w:val="24"/>
        </w:rPr>
        <w:t xml:space="preserve"> Relevant resources include, but are not limited to, the </w:t>
      </w:r>
      <w:r w:rsidR="0098445A" w:rsidRPr="0098445A">
        <w:rPr>
          <w:rFonts w:asciiTheme="minorHAnsi" w:hAnsiTheme="minorHAnsi" w:cs="Arial"/>
          <w:i/>
          <w:sz w:val="24"/>
          <w:szCs w:val="24"/>
        </w:rPr>
        <w:t>National Consensus Standards for Systems of Care for Children and Youth with Special Health Care Needs</w:t>
      </w:r>
      <w:r w:rsidR="0098445A" w:rsidRPr="0098445A">
        <w:rPr>
          <w:rFonts w:asciiTheme="minorHAnsi" w:hAnsiTheme="minorHAnsi" w:cs="Arial"/>
          <w:sz w:val="24"/>
          <w:szCs w:val="24"/>
        </w:rPr>
        <w:t>, authored by the Association of Maternal and Child Health Programs (AMCHP, 2014)</w:t>
      </w:r>
      <w:r w:rsidR="0016521C">
        <w:rPr>
          <w:rFonts w:asciiTheme="minorHAnsi" w:hAnsiTheme="minorHAnsi" w:cs="Arial"/>
          <w:sz w:val="24"/>
          <w:szCs w:val="24"/>
        </w:rPr>
        <w:t xml:space="preserve"> and available at: </w:t>
      </w:r>
      <w:hyperlink r:id="rId30" w:history="1">
        <w:r w:rsidR="0016521C" w:rsidRPr="0016521C">
          <w:rPr>
            <w:rStyle w:val="Hyperlink"/>
            <w:rFonts w:asciiTheme="minorHAnsi" w:hAnsiTheme="minorHAnsi" w:cs="Arial"/>
            <w:sz w:val="24"/>
            <w:szCs w:val="24"/>
          </w:rPr>
          <w:t>http://www.lpfch.org/sites/default/files/field/publications/developing_structure_and_process_-_white_paper_and_standards.pdf</w:t>
        </w:r>
      </w:hyperlink>
      <w:r w:rsidR="0098445A" w:rsidRPr="0098445A">
        <w:rPr>
          <w:rFonts w:asciiTheme="minorHAnsi" w:hAnsiTheme="minorHAnsi" w:cs="Arial"/>
          <w:sz w:val="24"/>
          <w:szCs w:val="24"/>
        </w:rPr>
        <w:t xml:space="preserve">; a series of reports and case studies entitled, </w:t>
      </w:r>
      <w:r w:rsidR="0098445A" w:rsidRPr="0098445A">
        <w:rPr>
          <w:rFonts w:asciiTheme="minorHAnsi" w:hAnsiTheme="minorHAnsi" w:cs="Arial"/>
          <w:i/>
          <w:iCs/>
          <w:sz w:val="24"/>
          <w:szCs w:val="24"/>
        </w:rPr>
        <w:t>Sustaining and Diversifying Family Engagement in Title V MCH and CYSHCN Programs</w:t>
      </w:r>
      <w:r w:rsidR="0098445A" w:rsidRPr="0098445A">
        <w:rPr>
          <w:rFonts w:asciiTheme="minorHAnsi" w:hAnsiTheme="minorHAnsi" w:cs="Arial"/>
          <w:sz w:val="24"/>
          <w:szCs w:val="24"/>
        </w:rPr>
        <w:t xml:space="preserve"> (AMCHP, 2016); and other resources that are available through </w:t>
      </w:r>
      <w:r w:rsidR="0098445A" w:rsidRPr="0098445A">
        <w:rPr>
          <w:rFonts w:asciiTheme="minorHAnsi" w:hAnsiTheme="minorHAnsi" w:cs="Arial"/>
          <w:i/>
          <w:sz w:val="24"/>
          <w:szCs w:val="24"/>
        </w:rPr>
        <w:t>Family</w:t>
      </w:r>
      <w:r w:rsidR="00DD2DF5">
        <w:rPr>
          <w:rFonts w:asciiTheme="minorHAnsi" w:hAnsiTheme="minorHAnsi" w:cs="Arial"/>
          <w:i/>
          <w:sz w:val="24"/>
          <w:szCs w:val="24"/>
        </w:rPr>
        <w:t xml:space="preserve"> Voices.  </w:t>
      </w:r>
      <w:r w:rsidR="0098445A" w:rsidRPr="0098445A">
        <w:rPr>
          <w:rFonts w:asciiTheme="minorHAnsi" w:hAnsiTheme="minorHAnsi" w:cs="Arial"/>
          <w:sz w:val="24"/>
          <w:szCs w:val="24"/>
        </w:rPr>
        <w:t xml:space="preserve"> </w:t>
      </w:r>
    </w:p>
    <w:p w14:paraId="44F7A33B" w14:textId="2ECFD21F" w:rsidR="009C515F" w:rsidRPr="00AA0B70" w:rsidRDefault="009C515F" w:rsidP="009C515F">
      <w:pPr>
        <w:spacing w:after="0" w:line="240" w:lineRule="auto"/>
      </w:pPr>
    </w:p>
    <w:p w14:paraId="4B6778E2" w14:textId="0A960909" w:rsidR="00DE36C8" w:rsidRPr="00A93466" w:rsidRDefault="00DE36C8" w:rsidP="00DE36C8">
      <w:pPr>
        <w:spacing w:after="0" w:line="240" w:lineRule="auto"/>
        <w:rPr>
          <w:rFonts w:asciiTheme="minorHAnsi" w:hAnsiTheme="minorHAnsi" w:cs="Arial"/>
          <w:b/>
          <w:sz w:val="24"/>
          <w:szCs w:val="24"/>
        </w:rPr>
      </w:pPr>
      <w:r w:rsidRPr="00A93466">
        <w:rPr>
          <w:rFonts w:asciiTheme="minorHAnsi" w:hAnsiTheme="minorHAnsi" w:cs="Arial"/>
          <w:b/>
          <w:sz w:val="24"/>
          <w:szCs w:val="24"/>
        </w:rPr>
        <w:t>Working with the Measures States Currently Have</w:t>
      </w:r>
    </w:p>
    <w:p w14:paraId="004FC7EA" w14:textId="77777777" w:rsidR="00DE36C8" w:rsidRPr="00A93466" w:rsidRDefault="00DE36C8" w:rsidP="00DE36C8">
      <w:pPr>
        <w:spacing w:after="0" w:line="240" w:lineRule="auto"/>
        <w:rPr>
          <w:rFonts w:asciiTheme="minorHAnsi" w:hAnsiTheme="minorHAnsi" w:cs="Arial"/>
          <w:sz w:val="24"/>
          <w:szCs w:val="24"/>
        </w:rPr>
      </w:pPr>
    </w:p>
    <w:p w14:paraId="5B954D18" w14:textId="4189FE9F" w:rsidR="00DE36C8" w:rsidRDefault="00DE36C8" w:rsidP="00DE36C8">
      <w:pPr>
        <w:spacing w:after="0" w:line="240" w:lineRule="auto"/>
        <w:rPr>
          <w:rFonts w:asciiTheme="minorHAnsi" w:hAnsiTheme="minorHAnsi" w:cs="Arial"/>
          <w:sz w:val="24"/>
          <w:szCs w:val="24"/>
        </w:rPr>
      </w:pPr>
      <w:r w:rsidRPr="00A93466">
        <w:rPr>
          <w:rFonts w:asciiTheme="minorHAnsi" w:hAnsiTheme="minorHAnsi" w:cs="Arial"/>
          <w:sz w:val="24"/>
          <w:szCs w:val="24"/>
        </w:rPr>
        <w:t xml:space="preserve">As noted, this </w:t>
      </w:r>
      <w:r w:rsidR="00E75E4A">
        <w:rPr>
          <w:rFonts w:asciiTheme="minorHAnsi" w:hAnsiTheme="minorHAnsi" w:cs="Arial"/>
          <w:sz w:val="24"/>
          <w:szCs w:val="24"/>
        </w:rPr>
        <w:t>G</w:t>
      </w:r>
      <w:r w:rsidRPr="00A93466">
        <w:rPr>
          <w:rFonts w:asciiTheme="minorHAnsi" w:hAnsiTheme="minorHAnsi" w:cs="Arial"/>
          <w:sz w:val="24"/>
          <w:szCs w:val="24"/>
        </w:rPr>
        <w:t>uidance reduces the minimum number of required NPM selections to five, with at least one in each population domain.</w:t>
      </w:r>
      <w:r w:rsidR="006D6FE8">
        <w:rPr>
          <w:rFonts w:asciiTheme="minorHAnsi" w:hAnsiTheme="minorHAnsi" w:cs="Arial"/>
          <w:sz w:val="24"/>
          <w:szCs w:val="24"/>
        </w:rPr>
        <w:t xml:space="preserve"> </w:t>
      </w:r>
      <w:r w:rsidRPr="00A93466">
        <w:rPr>
          <w:rFonts w:asciiTheme="minorHAnsi" w:hAnsiTheme="minorHAnsi" w:cs="Arial"/>
          <w:sz w:val="24"/>
          <w:szCs w:val="24"/>
        </w:rPr>
        <w:t xml:space="preserve"> States have the option to continue using measures selected in the previous guidance</w:t>
      </w:r>
      <w:r w:rsidR="00CB5429">
        <w:rPr>
          <w:rFonts w:asciiTheme="minorHAnsi" w:hAnsiTheme="minorHAnsi" w:cs="Arial"/>
          <w:sz w:val="24"/>
          <w:szCs w:val="24"/>
        </w:rPr>
        <w:t xml:space="preserve">, provided the </w:t>
      </w:r>
      <w:r w:rsidRPr="00A93466">
        <w:rPr>
          <w:rFonts w:asciiTheme="minorHAnsi" w:hAnsiTheme="minorHAnsi" w:cs="Arial"/>
          <w:sz w:val="24"/>
          <w:szCs w:val="24"/>
        </w:rPr>
        <w:t>NPMs selected in multiple domains</w:t>
      </w:r>
      <w:r w:rsidR="00CB5429">
        <w:rPr>
          <w:rFonts w:asciiTheme="minorHAnsi" w:hAnsiTheme="minorHAnsi" w:cs="Arial"/>
          <w:sz w:val="24"/>
          <w:szCs w:val="24"/>
        </w:rPr>
        <w:t xml:space="preserve"> </w:t>
      </w:r>
      <w:r w:rsidRPr="00A93466">
        <w:rPr>
          <w:rFonts w:asciiTheme="minorHAnsi" w:hAnsiTheme="minorHAnsi" w:cs="Arial"/>
          <w:sz w:val="24"/>
          <w:szCs w:val="24"/>
        </w:rPr>
        <w:t xml:space="preserve">(NPM </w:t>
      </w:r>
      <w:r w:rsidR="00E75E4A">
        <w:rPr>
          <w:rFonts w:asciiTheme="minorHAnsi" w:hAnsiTheme="minorHAnsi" w:cs="Arial"/>
          <w:sz w:val="24"/>
          <w:szCs w:val="24"/>
        </w:rPr>
        <w:t>#</w:t>
      </w:r>
      <w:r w:rsidRPr="00A93466">
        <w:rPr>
          <w:rFonts w:asciiTheme="minorHAnsi" w:hAnsiTheme="minorHAnsi" w:cs="Arial"/>
          <w:sz w:val="24"/>
          <w:szCs w:val="24"/>
        </w:rPr>
        <w:t xml:space="preserve">7, </w:t>
      </w:r>
      <w:r w:rsidR="008A4C2E">
        <w:rPr>
          <w:rFonts w:asciiTheme="minorHAnsi" w:hAnsiTheme="minorHAnsi" w:cs="Arial"/>
          <w:sz w:val="24"/>
          <w:szCs w:val="24"/>
        </w:rPr>
        <w:t xml:space="preserve">NPM </w:t>
      </w:r>
      <w:r w:rsidR="00E75E4A">
        <w:rPr>
          <w:rFonts w:asciiTheme="minorHAnsi" w:hAnsiTheme="minorHAnsi" w:cs="Arial"/>
          <w:sz w:val="24"/>
          <w:szCs w:val="24"/>
        </w:rPr>
        <w:t>#</w:t>
      </w:r>
      <w:r w:rsidRPr="00A93466">
        <w:rPr>
          <w:rFonts w:asciiTheme="minorHAnsi" w:hAnsiTheme="minorHAnsi" w:cs="Arial"/>
          <w:sz w:val="24"/>
          <w:szCs w:val="24"/>
        </w:rPr>
        <w:t xml:space="preserve">8, </w:t>
      </w:r>
      <w:r w:rsidR="008A4C2E">
        <w:rPr>
          <w:rFonts w:asciiTheme="minorHAnsi" w:hAnsiTheme="minorHAnsi" w:cs="Arial"/>
          <w:sz w:val="24"/>
          <w:szCs w:val="24"/>
        </w:rPr>
        <w:t xml:space="preserve">NPM </w:t>
      </w:r>
      <w:r w:rsidR="00E75E4A">
        <w:rPr>
          <w:rFonts w:asciiTheme="minorHAnsi" w:hAnsiTheme="minorHAnsi" w:cs="Arial"/>
          <w:sz w:val="24"/>
          <w:szCs w:val="24"/>
        </w:rPr>
        <w:t>#</w:t>
      </w:r>
      <w:r w:rsidRPr="00A93466">
        <w:rPr>
          <w:rFonts w:asciiTheme="minorHAnsi" w:hAnsiTheme="minorHAnsi" w:cs="Arial"/>
          <w:sz w:val="24"/>
          <w:szCs w:val="24"/>
        </w:rPr>
        <w:t xml:space="preserve">11, </w:t>
      </w:r>
      <w:r w:rsidR="008A4C2E">
        <w:rPr>
          <w:rFonts w:asciiTheme="minorHAnsi" w:hAnsiTheme="minorHAnsi" w:cs="Arial"/>
          <w:sz w:val="24"/>
          <w:szCs w:val="24"/>
        </w:rPr>
        <w:t xml:space="preserve">NPM </w:t>
      </w:r>
      <w:r w:rsidR="00E75E4A">
        <w:rPr>
          <w:rFonts w:asciiTheme="minorHAnsi" w:hAnsiTheme="minorHAnsi" w:cs="Arial"/>
          <w:sz w:val="24"/>
          <w:szCs w:val="24"/>
        </w:rPr>
        <w:t>#</w:t>
      </w:r>
      <w:r w:rsidRPr="00A93466">
        <w:rPr>
          <w:rFonts w:asciiTheme="minorHAnsi" w:hAnsiTheme="minorHAnsi" w:cs="Arial"/>
          <w:sz w:val="24"/>
          <w:szCs w:val="24"/>
        </w:rPr>
        <w:t xml:space="preserve">12, </w:t>
      </w:r>
      <w:r w:rsidR="008A4C2E">
        <w:rPr>
          <w:rFonts w:asciiTheme="minorHAnsi" w:hAnsiTheme="minorHAnsi" w:cs="Arial"/>
          <w:sz w:val="24"/>
          <w:szCs w:val="24"/>
        </w:rPr>
        <w:t xml:space="preserve">NPM </w:t>
      </w:r>
      <w:r w:rsidR="00E75E4A">
        <w:rPr>
          <w:rFonts w:asciiTheme="minorHAnsi" w:hAnsiTheme="minorHAnsi" w:cs="Arial"/>
          <w:sz w:val="24"/>
          <w:szCs w:val="24"/>
        </w:rPr>
        <w:t>#</w:t>
      </w:r>
      <w:r w:rsidRPr="00A93466">
        <w:rPr>
          <w:rFonts w:asciiTheme="minorHAnsi" w:hAnsiTheme="minorHAnsi" w:cs="Arial"/>
          <w:sz w:val="24"/>
          <w:szCs w:val="24"/>
        </w:rPr>
        <w:t xml:space="preserve">13, </w:t>
      </w:r>
      <w:r w:rsidR="008A4C2E">
        <w:rPr>
          <w:rFonts w:asciiTheme="minorHAnsi" w:hAnsiTheme="minorHAnsi" w:cs="Arial"/>
          <w:sz w:val="24"/>
          <w:szCs w:val="24"/>
        </w:rPr>
        <w:t xml:space="preserve">NPM </w:t>
      </w:r>
      <w:r w:rsidR="00E75E4A">
        <w:rPr>
          <w:rFonts w:asciiTheme="minorHAnsi" w:hAnsiTheme="minorHAnsi" w:cs="Arial"/>
          <w:sz w:val="24"/>
          <w:szCs w:val="24"/>
        </w:rPr>
        <w:t>#</w:t>
      </w:r>
      <w:r w:rsidRPr="00A93466">
        <w:rPr>
          <w:rFonts w:asciiTheme="minorHAnsi" w:hAnsiTheme="minorHAnsi" w:cs="Arial"/>
          <w:sz w:val="24"/>
          <w:szCs w:val="24"/>
        </w:rPr>
        <w:t>14</w:t>
      </w:r>
      <w:r w:rsidR="00E75E4A">
        <w:rPr>
          <w:rFonts w:asciiTheme="minorHAnsi" w:hAnsiTheme="minorHAnsi" w:cs="Arial"/>
          <w:sz w:val="24"/>
          <w:szCs w:val="24"/>
        </w:rPr>
        <w:t xml:space="preserve"> and </w:t>
      </w:r>
      <w:r w:rsidR="008A4C2E">
        <w:rPr>
          <w:rFonts w:asciiTheme="minorHAnsi" w:hAnsiTheme="minorHAnsi" w:cs="Arial"/>
          <w:sz w:val="24"/>
          <w:szCs w:val="24"/>
        </w:rPr>
        <w:t xml:space="preserve">NPM </w:t>
      </w:r>
      <w:r w:rsidR="00E75E4A">
        <w:rPr>
          <w:rFonts w:asciiTheme="minorHAnsi" w:hAnsiTheme="minorHAnsi" w:cs="Arial"/>
          <w:sz w:val="24"/>
          <w:szCs w:val="24"/>
        </w:rPr>
        <w:t>#</w:t>
      </w:r>
      <w:r w:rsidRPr="00A93466">
        <w:rPr>
          <w:rFonts w:asciiTheme="minorHAnsi" w:hAnsiTheme="minorHAnsi" w:cs="Arial"/>
          <w:sz w:val="24"/>
          <w:szCs w:val="24"/>
        </w:rPr>
        <w:t>15) only count once toward the minimum of five.  With a reduced number of NPMs</w:t>
      </w:r>
      <w:r w:rsidR="00CB5429">
        <w:rPr>
          <w:rFonts w:asciiTheme="minorHAnsi" w:hAnsiTheme="minorHAnsi" w:cs="Arial"/>
          <w:sz w:val="24"/>
          <w:szCs w:val="24"/>
        </w:rPr>
        <w:t>,</w:t>
      </w:r>
      <w:r w:rsidRPr="00A93466">
        <w:rPr>
          <w:rFonts w:asciiTheme="minorHAnsi" w:hAnsiTheme="minorHAnsi" w:cs="Arial"/>
          <w:sz w:val="24"/>
          <w:szCs w:val="24"/>
        </w:rPr>
        <w:t xml:space="preserve"> states have increased flexibility and may choose to retire up to three NPMs (out of the eight</w:t>
      </w:r>
      <w:r w:rsidR="00E75E4A">
        <w:rPr>
          <w:rFonts w:asciiTheme="minorHAnsi" w:hAnsiTheme="minorHAnsi" w:cs="Arial"/>
          <w:sz w:val="24"/>
          <w:szCs w:val="24"/>
        </w:rPr>
        <w:t xml:space="preserve"> selected NPMs</w:t>
      </w:r>
      <w:r w:rsidRPr="00A93466">
        <w:rPr>
          <w:rFonts w:asciiTheme="minorHAnsi" w:hAnsiTheme="minorHAnsi" w:cs="Arial"/>
          <w:sz w:val="24"/>
          <w:szCs w:val="24"/>
        </w:rPr>
        <w:t xml:space="preserve">) from the previous </w:t>
      </w:r>
      <w:r w:rsidR="00E75E4A">
        <w:rPr>
          <w:rFonts w:asciiTheme="minorHAnsi" w:hAnsiTheme="minorHAnsi" w:cs="Arial"/>
          <w:sz w:val="24"/>
          <w:szCs w:val="24"/>
        </w:rPr>
        <w:t>G</w:t>
      </w:r>
      <w:r w:rsidRPr="00A93466">
        <w:rPr>
          <w:rFonts w:asciiTheme="minorHAnsi" w:hAnsiTheme="minorHAnsi" w:cs="Arial"/>
          <w:sz w:val="24"/>
          <w:szCs w:val="24"/>
        </w:rPr>
        <w:t>uidance to better address the state’s priorities.  If retiring measures</w:t>
      </w:r>
      <w:r w:rsidR="00FF0791">
        <w:rPr>
          <w:rFonts w:asciiTheme="minorHAnsi" w:hAnsiTheme="minorHAnsi" w:cs="Arial"/>
          <w:sz w:val="24"/>
          <w:szCs w:val="24"/>
        </w:rPr>
        <w:t>,</w:t>
      </w:r>
      <w:r w:rsidRPr="00A93466">
        <w:rPr>
          <w:rFonts w:asciiTheme="minorHAnsi" w:hAnsiTheme="minorHAnsi" w:cs="Arial"/>
          <w:sz w:val="24"/>
          <w:szCs w:val="24"/>
        </w:rPr>
        <w:t xml:space="preserve"> the state </w:t>
      </w:r>
      <w:r w:rsidR="009656E7" w:rsidRPr="00A93466">
        <w:rPr>
          <w:rFonts w:asciiTheme="minorHAnsi" w:hAnsiTheme="minorHAnsi" w:cs="Arial"/>
          <w:sz w:val="24"/>
          <w:szCs w:val="24"/>
        </w:rPr>
        <w:t>should</w:t>
      </w:r>
      <w:r w:rsidRPr="00A93466">
        <w:rPr>
          <w:rFonts w:asciiTheme="minorHAnsi" w:hAnsiTheme="minorHAnsi" w:cs="Arial"/>
          <w:sz w:val="24"/>
          <w:szCs w:val="24"/>
        </w:rPr>
        <w:t xml:space="preserve"> provide reasoning in their FY</w:t>
      </w:r>
      <w:r w:rsidR="006719C1">
        <w:rPr>
          <w:rFonts w:asciiTheme="minorHAnsi" w:hAnsiTheme="minorHAnsi" w:cs="Arial"/>
          <w:sz w:val="24"/>
          <w:szCs w:val="24"/>
        </w:rPr>
        <w:t xml:space="preserve"> </w:t>
      </w:r>
      <w:r w:rsidRPr="00A93466">
        <w:rPr>
          <w:rFonts w:asciiTheme="minorHAnsi" w:hAnsiTheme="minorHAnsi" w:cs="Arial"/>
          <w:sz w:val="24"/>
          <w:szCs w:val="24"/>
        </w:rPr>
        <w:t xml:space="preserve">2019 application for the retired measure.  </w:t>
      </w:r>
    </w:p>
    <w:p w14:paraId="2A8CE634" w14:textId="0A6164D4" w:rsidR="00E75E4A" w:rsidRDefault="00E75E4A" w:rsidP="00DE36C8">
      <w:pPr>
        <w:spacing w:after="0" w:line="240" w:lineRule="auto"/>
        <w:rPr>
          <w:rFonts w:asciiTheme="minorHAnsi" w:hAnsiTheme="minorHAnsi" w:cs="Arial"/>
          <w:sz w:val="24"/>
          <w:szCs w:val="24"/>
        </w:rPr>
      </w:pPr>
    </w:p>
    <w:p w14:paraId="75708640" w14:textId="55A395AB" w:rsidR="00DE36C8" w:rsidRPr="00A93466" w:rsidRDefault="00DE36C8" w:rsidP="00DE36C8">
      <w:pPr>
        <w:spacing w:after="0" w:line="240" w:lineRule="auto"/>
        <w:rPr>
          <w:rFonts w:asciiTheme="minorHAnsi" w:hAnsiTheme="minorHAnsi" w:cs="Arial"/>
          <w:b/>
          <w:sz w:val="24"/>
          <w:szCs w:val="24"/>
        </w:rPr>
      </w:pPr>
      <w:r w:rsidRPr="00A93466">
        <w:rPr>
          <w:rFonts w:asciiTheme="minorHAnsi" w:hAnsiTheme="minorHAnsi" w:cs="Arial"/>
          <w:b/>
          <w:sz w:val="24"/>
          <w:szCs w:val="24"/>
        </w:rPr>
        <w:t xml:space="preserve">Selecting New Measures </w:t>
      </w:r>
    </w:p>
    <w:p w14:paraId="64C2D3F1" w14:textId="77777777" w:rsidR="00DE36C8" w:rsidRPr="00A93466" w:rsidRDefault="00DE36C8" w:rsidP="00DE36C8">
      <w:pPr>
        <w:spacing w:after="0" w:line="240" w:lineRule="auto"/>
        <w:rPr>
          <w:rFonts w:asciiTheme="minorHAnsi" w:hAnsiTheme="minorHAnsi" w:cs="Arial"/>
          <w:sz w:val="24"/>
          <w:szCs w:val="24"/>
        </w:rPr>
      </w:pPr>
    </w:p>
    <w:p w14:paraId="78DB2B99" w14:textId="4DFEF397" w:rsidR="00DE36C8" w:rsidRPr="00A93466" w:rsidRDefault="00DE36C8" w:rsidP="00DE36C8">
      <w:pPr>
        <w:spacing w:after="0" w:line="240" w:lineRule="auto"/>
        <w:rPr>
          <w:rFonts w:asciiTheme="minorHAnsi" w:hAnsiTheme="minorHAnsi" w:cs="Arial"/>
          <w:sz w:val="24"/>
          <w:szCs w:val="24"/>
        </w:rPr>
      </w:pPr>
      <w:r w:rsidRPr="00A93466">
        <w:rPr>
          <w:rFonts w:asciiTheme="minorHAnsi" w:hAnsiTheme="minorHAnsi" w:cs="Arial"/>
          <w:sz w:val="24"/>
          <w:szCs w:val="24"/>
        </w:rPr>
        <w:t xml:space="preserve">The reduced number of NPMs allows states more flexibility in developing SPMs that align with the state’s priorities. </w:t>
      </w:r>
      <w:r w:rsidR="006D6FE8">
        <w:rPr>
          <w:rFonts w:asciiTheme="minorHAnsi" w:hAnsiTheme="minorHAnsi" w:cs="Arial"/>
          <w:sz w:val="24"/>
          <w:szCs w:val="24"/>
        </w:rPr>
        <w:t xml:space="preserve"> </w:t>
      </w:r>
      <w:r w:rsidRPr="00A93466">
        <w:rPr>
          <w:rFonts w:asciiTheme="minorHAnsi" w:hAnsiTheme="minorHAnsi" w:cs="Arial"/>
          <w:sz w:val="24"/>
          <w:szCs w:val="24"/>
        </w:rPr>
        <w:t xml:space="preserve">States also have the opportunity to develop SPMs that will specifically </w:t>
      </w:r>
      <w:r w:rsidR="005123EA">
        <w:rPr>
          <w:rFonts w:asciiTheme="minorHAnsi" w:hAnsiTheme="minorHAnsi" w:cs="Arial"/>
          <w:sz w:val="24"/>
          <w:szCs w:val="24"/>
        </w:rPr>
        <w:t>im</w:t>
      </w:r>
      <w:r w:rsidRPr="00A93466">
        <w:rPr>
          <w:rFonts w:asciiTheme="minorHAnsi" w:hAnsiTheme="minorHAnsi" w:cs="Arial"/>
          <w:sz w:val="24"/>
          <w:szCs w:val="24"/>
        </w:rPr>
        <w:t>pact infrastructure through the Cross-cutting/Systems Building domain to improve the areas impacting multiple population domains like family partnership and data infrastructure</w:t>
      </w:r>
      <w:r w:rsidR="00FA40D7">
        <w:rPr>
          <w:rFonts w:asciiTheme="minorHAnsi" w:hAnsiTheme="minorHAnsi" w:cs="Arial"/>
          <w:sz w:val="24"/>
          <w:szCs w:val="24"/>
        </w:rPr>
        <w:t>.</w:t>
      </w:r>
    </w:p>
    <w:p w14:paraId="2C780407" w14:textId="77777777" w:rsidR="00DE36C8" w:rsidRPr="00A93466" w:rsidRDefault="00DE36C8" w:rsidP="00DE36C8">
      <w:pPr>
        <w:spacing w:after="0" w:line="240" w:lineRule="auto"/>
        <w:rPr>
          <w:rFonts w:asciiTheme="minorHAnsi" w:hAnsiTheme="minorHAnsi" w:cs="Arial"/>
          <w:sz w:val="24"/>
          <w:szCs w:val="24"/>
        </w:rPr>
      </w:pPr>
    </w:p>
    <w:p w14:paraId="0B249195" w14:textId="665265C4" w:rsidR="00DE36C8" w:rsidRPr="00A93466" w:rsidRDefault="00DE36C8" w:rsidP="00DE36C8">
      <w:pPr>
        <w:spacing w:after="0" w:line="240" w:lineRule="auto"/>
        <w:rPr>
          <w:rFonts w:asciiTheme="minorHAnsi" w:hAnsiTheme="minorHAnsi" w:cs="Arial"/>
          <w:sz w:val="24"/>
          <w:szCs w:val="24"/>
        </w:rPr>
      </w:pPr>
      <w:r w:rsidRPr="00A93466">
        <w:rPr>
          <w:rFonts w:asciiTheme="minorHAnsi" w:hAnsiTheme="minorHAnsi" w:cs="Arial"/>
          <w:sz w:val="24"/>
          <w:szCs w:val="24"/>
        </w:rPr>
        <w:t xml:space="preserve">When selecting new measures it is important that the following checklist </w:t>
      </w:r>
      <w:r w:rsidR="00FF0791">
        <w:rPr>
          <w:rFonts w:asciiTheme="minorHAnsi" w:hAnsiTheme="minorHAnsi" w:cs="Arial"/>
          <w:sz w:val="24"/>
          <w:szCs w:val="24"/>
        </w:rPr>
        <w:t xml:space="preserve">items </w:t>
      </w:r>
      <w:r w:rsidRPr="00A93466">
        <w:rPr>
          <w:rFonts w:asciiTheme="minorHAnsi" w:hAnsiTheme="minorHAnsi" w:cs="Arial"/>
          <w:sz w:val="24"/>
          <w:szCs w:val="24"/>
        </w:rPr>
        <w:t xml:space="preserve">have been satisfied. </w:t>
      </w:r>
    </w:p>
    <w:p w14:paraId="3F7F443B" w14:textId="529D070B" w:rsidR="00DE36C8" w:rsidRDefault="00DE36C8" w:rsidP="00D07D83">
      <w:pPr>
        <w:spacing w:after="0" w:line="240" w:lineRule="auto"/>
        <w:rPr>
          <w:rFonts w:ascii="Arial" w:hAnsi="Arial" w:cs="Arial"/>
          <w:sz w:val="24"/>
          <w:szCs w:val="24"/>
        </w:rPr>
      </w:pPr>
    </w:p>
    <w:tbl>
      <w:tblPr>
        <w:tblStyle w:val="TableGrid5"/>
        <w:tblW w:w="0" w:type="auto"/>
        <w:tblLook w:val="04A0" w:firstRow="1" w:lastRow="0" w:firstColumn="1" w:lastColumn="0" w:noHBand="0" w:noVBand="1"/>
      </w:tblPr>
      <w:tblGrid>
        <w:gridCol w:w="7105"/>
        <w:gridCol w:w="2245"/>
      </w:tblGrid>
      <w:tr w:rsidR="0006278C" w:rsidRPr="0006278C" w14:paraId="54FDD88A" w14:textId="77777777" w:rsidTr="00A964D2">
        <w:trPr>
          <w:trHeight w:val="593"/>
        </w:trPr>
        <w:tc>
          <w:tcPr>
            <w:tcW w:w="7105" w:type="dxa"/>
            <w:shd w:val="clear" w:color="auto" w:fill="C7E2FA" w:themeFill="accent1" w:themeFillTint="33"/>
          </w:tcPr>
          <w:p w14:paraId="1B9713CE" w14:textId="77777777" w:rsidR="0006278C" w:rsidRPr="003C2840" w:rsidRDefault="0006278C" w:rsidP="0006278C">
            <w:pPr>
              <w:spacing w:after="0" w:line="240" w:lineRule="auto"/>
              <w:rPr>
                <w:b/>
                <w:color w:val="0B5294" w:themeColor="accent1" w:themeShade="BF"/>
                <w:sz w:val="28"/>
                <w:szCs w:val="28"/>
              </w:rPr>
            </w:pPr>
            <w:r w:rsidRPr="003C2840">
              <w:rPr>
                <w:b/>
                <w:color w:val="0B5294" w:themeColor="accent1" w:themeShade="BF"/>
                <w:sz w:val="28"/>
                <w:szCs w:val="28"/>
              </w:rPr>
              <w:t>Measure Checklist</w:t>
            </w:r>
          </w:p>
        </w:tc>
        <w:tc>
          <w:tcPr>
            <w:tcW w:w="2245" w:type="dxa"/>
            <w:shd w:val="clear" w:color="auto" w:fill="C7E2FA" w:themeFill="accent1" w:themeFillTint="33"/>
          </w:tcPr>
          <w:p w14:paraId="0DDF9257" w14:textId="77777777" w:rsidR="0006278C" w:rsidRPr="003C2840" w:rsidRDefault="0006278C" w:rsidP="0006278C">
            <w:pPr>
              <w:spacing w:after="0" w:line="240" w:lineRule="auto"/>
              <w:jc w:val="center"/>
              <w:rPr>
                <w:b/>
                <w:color w:val="0B5294" w:themeColor="accent1" w:themeShade="BF"/>
                <w:sz w:val="28"/>
                <w:szCs w:val="28"/>
              </w:rPr>
            </w:pPr>
            <w:r w:rsidRPr="003C2840">
              <w:rPr>
                <w:b/>
                <w:color w:val="0B5294" w:themeColor="accent1" w:themeShade="BF"/>
                <w:sz w:val="28"/>
                <w:szCs w:val="28"/>
              </w:rPr>
              <w:t>Check if Answer is Yes</w:t>
            </w:r>
          </w:p>
        </w:tc>
      </w:tr>
      <w:tr w:rsidR="0006278C" w:rsidRPr="0006278C" w14:paraId="556E8641" w14:textId="77777777" w:rsidTr="00A964D2">
        <w:tc>
          <w:tcPr>
            <w:tcW w:w="7105" w:type="dxa"/>
          </w:tcPr>
          <w:p w14:paraId="2969042B" w14:textId="77777777" w:rsidR="0006278C" w:rsidRPr="0006278C" w:rsidRDefault="0006278C" w:rsidP="0006278C">
            <w:pPr>
              <w:spacing w:after="0" w:line="240" w:lineRule="auto"/>
              <w:ind w:left="330"/>
            </w:pPr>
            <w:r w:rsidRPr="0006278C">
              <w:t xml:space="preserve">A minimum of 5 NPMs is selected </w:t>
            </w:r>
          </w:p>
        </w:tc>
        <w:tc>
          <w:tcPr>
            <w:tcW w:w="2245" w:type="dxa"/>
          </w:tcPr>
          <w:p w14:paraId="3CD1BDE3" w14:textId="77777777" w:rsidR="0006278C" w:rsidRPr="0006278C" w:rsidRDefault="0006278C" w:rsidP="0006278C">
            <w:pPr>
              <w:spacing w:after="0" w:line="240" w:lineRule="auto"/>
              <w:jc w:val="center"/>
            </w:pPr>
            <w:r w:rsidRPr="0006278C">
              <w:rPr>
                <w:sz w:val="32"/>
                <w:szCs w:val="32"/>
              </w:rPr>
              <w:t>□</w:t>
            </w:r>
          </w:p>
        </w:tc>
      </w:tr>
      <w:tr w:rsidR="0006278C" w:rsidRPr="0006278C" w14:paraId="6F7E9744" w14:textId="77777777" w:rsidTr="00A964D2">
        <w:tc>
          <w:tcPr>
            <w:tcW w:w="7105" w:type="dxa"/>
          </w:tcPr>
          <w:p w14:paraId="0C214ED2" w14:textId="77777777" w:rsidR="0006278C" w:rsidRPr="0006278C" w:rsidRDefault="0006278C" w:rsidP="0006278C">
            <w:pPr>
              <w:spacing w:after="0" w:line="240" w:lineRule="auto"/>
              <w:ind w:left="330"/>
            </w:pPr>
            <w:r w:rsidRPr="0006278C">
              <w:t>There is at least one NPM selected for each population health domain</w:t>
            </w:r>
          </w:p>
          <w:p w14:paraId="74D994A5" w14:textId="77777777" w:rsidR="0006278C" w:rsidRPr="0006278C" w:rsidRDefault="0006278C" w:rsidP="0006278C">
            <w:pPr>
              <w:spacing w:after="0" w:line="240" w:lineRule="auto"/>
              <w:ind w:left="330"/>
            </w:pPr>
          </w:p>
          <w:p w14:paraId="5A286D49" w14:textId="68B76C34" w:rsidR="0006278C" w:rsidRPr="0006278C" w:rsidRDefault="0006278C" w:rsidP="0006278C">
            <w:pPr>
              <w:spacing w:after="0" w:line="240" w:lineRule="auto"/>
              <w:ind w:left="330"/>
              <w:rPr>
                <w:i/>
              </w:rPr>
            </w:pPr>
            <w:r w:rsidRPr="0006278C">
              <w:rPr>
                <w:i/>
              </w:rPr>
              <w:t xml:space="preserve">*NPM </w:t>
            </w:r>
            <w:r w:rsidR="005E6C2A">
              <w:rPr>
                <w:i/>
              </w:rPr>
              <w:t>#</w:t>
            </w:r>
            <w:r w:rsidRPr="0006278C">
              <w:rPr>
                <w:i/>
              </w:rPr>
              <w:t xml:space="preserve">7, </w:t>
            </w:r>
            <w:r w:rsidR="005E6C2A">
              <w:rPr>
                <w:i/>
              </w:rPr>
              <w:t>#</w:t>
            </w:r>
            <w:r w:rsidRPr="0006278C">
              <w:rPr>
                <w:i/>
              </w:rPr>
              <w:t xml:space="preserve">8, </w:t>
            </w:r>
            <w:r w:rsidR="005E6C2A">
              <w:rPr>
                <w:i/>
              </w:rPr>
              <w:t>#</w:t>
            </w:r>
            <w:r w:rsidRPr="0006278C">
              <w:rPr>
                <w:i/>
              </w:rPr>
              <w:t xml:space="preserve">11, </w:t>
            </w:r>
            <w:r w:rsidR="005E6C2A">
              <w:rPr>
                <w:i/>
              </w:rPr>
              <w:t>#</w:t>
            </w:r>
            <w:r w:rsidRPr="0006278C">
              <w:rPr>
                <w:i/>
              </w:rPr>
              <w:t xml:space="preserve">12, </w:t>
            </w:r>
            <w:r w:rsidR="005E6C2A">
              <w:rPr>
                <w:i/>
              </w:rPr>
              <w:t>#</w:t>
            </w:r>
            <w:r w:rsidRPr="0006278C">
              <w:rPr>
                <w:i/>
              </w:rPr>
              <w:t xml:space="preserve">13, </w:t>
            </w:r>
            <w:r w:rsidR="005E6C2A">
              <w:rPr>
                <w:i/>
              </w:rPr>
              <w:t>#</w:t>
            </w:r>
            <w:r w:rsidRPr="0006278C">
              <w:rPr>
                <w:i/>
              </w:rPr>
              <w:t xml:space="preserve">14, </w:t>
            </w:r>
            <w:r w:rsidR="005E6C2A">
              <w:rPr>
                <w:i/>
              </w:rPr>
              <w:t>#</w:t>
            </w:r>
            <w:r w:rsidRPr="0006278C">
              <w:rPr>
                <w:i/>
              </w:rPr>
              <w:t>15 selected in multiple domains count once toward the minimum of five</w:t>
            </w:r>
          </w:p>
        </w:tc>
        <w:tc>
          <w:tcPr>
            <w:tcW w:w="2245" w:type="dxa"/>
          </w:tcPr>
          <w:p w14:paraId="5BF5605C" w14:textId="77777777" w:rsidR="0006278C" w:rsidRPr="0006278C" w:rsidRDefault="0006278C" w:rsidP="0006278C">
            <w:pPr>
              <w:spacing w:after="0" w:line="240" w:lineRule="auto"/>
              <w:jc w:val="center"/>
            </w:pPr>
            <w:r w:rsidRPr="0006278C">
              <w:rPr>
                <w:sz w:val="32"/>
                <w:szCs w:val="32"/>
              </w:rPr>
              <w:t>□</w:t>
            </w:r>
          </w:p>
        </w:tc>
      </w:tr>
      <w:tr w:rsidR="0006278C" w:rsidRPr="0006278C" w14:paraId="1F05A9EC" w14:textId="77777777" w:rsidTr="00A964D2">
        <w:tc>
          <w:tcPr>
            <w:tcW w:w="7105" w:type="dxa"/>
          </w:tcPr>
          <w:p w14:paraId="667DF07B" w14:textId="77777777" w:rsidR="0006278C" w:rsidRPr="0006278C" w:rsidRDefault="0006278C" w:rsidP="0006278C">
            <w:pPr>
              <w:spacing w:after="0" w:line="240" w:lineRule="auto"/>
              <w:ind w:left="330"/>
            </w:pPr>
            <w:r w:rsidRPr="0006278C">
              <w:t>There is a NPM/SPM for each state priority</w:t>
            </w:r>
          </w:p>
        </w:tc>
        <w:tc>
          <w:tcPr>
            <w:tcW w:w="2245" w:type="dxa"/>
          </w:tcPr>
          <w:p w14:paraId="087F845D" w14:textId="77777777" w:rsidR="0006278C" w:rsidRPr="0006278C" w:rsidRDefault="0006278C" w:rsidP="0006278C">
            <w:pPr>
              <w:spacing w:after="0" w:line="240" w:lineRule="auto"/>
              <w:jc w:val="center"/>
            </w:pPr>
            <w:r w:rsidRPr="0006278C">
              <w:rPr>
                <w:sz w:val="32"/>
                <w:szCs w:val="32"/>
              </w:rPr>
              <w:t>□</w:t>
            </w:r>
          </w:p>
        </w:tc>
      </w:tr>
      <w:tr w:rsidR="0006278C" w:rsidRPr="0006278C" w14:paraId="54E88A66" w14:textId="77777777" w:rsidTr="00A964D2">
        <w:tc>
          <w:tcPr>
            <w:tcW w:w="7105" w:type="dxa"/>
          </w:tcPr>
          <w:p w14:paraId="375476CF" w14:textId="77777777" w:rsidR="0006278C" w:rsidRPr="0006278C" w:rsidRDefault="0006278C" w:rsidP="0006278C">
            <w:pPr>
              <w:spacing w:after="0" w:line="240" w:lineRule="auto"/>
              <w:ind w:left="330"/>
            </w:pPr>
            <w:r w:rsidRPr="0006278C">
              <w:t xml:space="preserve">All selected NPMs/SPMs have clear alignment with the state priorities </w:t>
            </w:r>
          </w:p>
        </w:tc>
        <w:tc>
          <w:tcPr>
            <w:tcW w:w="2245" w:type="dxa"/>
          </w:tcPr>
          <w:p w14:paraId="3E5EC641" w14:textId="77777777" w:rsidR="0006278C" w:rsidRPr="0006278C" w:rsidRDefault="0006278C" w:rsidP="0006278C">
            <w:pPr>
              <w:spacing w:after="0" w:line="240" w:lineRule="auto"/>
              <w:jc w:val="center"/>
              <w:rPr>
                <w:sz w:val="32"/>
                <w:szCs w:val="32"/>
              </w:rPr>
            </w:pPr>
            <w:r w:rsidRPr="0006278C">
              <w:rPr>
                <w:sz w:val="32"/>
                <w:szCs w:val="32"/>
              </w:rPr>
              <w:t>□</w:t>
            </w:r>
          </w:p>
        </w:tc>
      </w:tr>
    </w:tbl>
    <w:p w14:paraId="6D2411A7" w14:textId="42DE041A" w:rsidR="00DE36C8" w:rsidRDefault="00DE36C8" w:rsidP="00D07D83">
      <w:pPr>
        <w:spacing w:after="0" w:line="240" w:lineRule="auto"/>
        <w:rPr>
          <w:rFonts w:ascii="Arial" w:hAnsi="Arial" w:cs="Arial"/>
          <w:sz w:val="24"/>
          <w:szCs w:val="24"/>
        </w:rPr>
      </w:pPr>
    </w:p>
    <w:p w14:paraId="57118A4C" w14:textId="77777777" w:rsidR="0006278C" w:rsidRPr="00A93466" w:rsidRDefault="0006278C" w:rsidP="0006278C">
      <w:pPr>
        <w:spacing w:after="0" w:line="240" w:lineRule="auto"/>
        <w:rPr>
          <w:rFonts w:asciiTheme="minorHAnsi" w:hAnsiTheme="minorHAnsi" w:cs="Arial"/>
          <w:b/>
          <w:sz w:val="24"/>
          <w:szCs w:val="24"/>
        </w:rPr>
      </w:pPr>
      <w:r w:rsidRPr="00A93466">
        <w:rPr>
          <w:rFonts w:asciiTheme="minorHAnsi" w:hAnsiTheme="minorHAnsi" w:cs="Arial"/>
          <w:b/>
          <w:sz w:val="24"/>
          <w:szCs w:val="24"/>
        </w:rPr>
        <w:t xml:space="preserve">State Performance and Outcome Measures </w:t>
      </w:r>
    </w:p>
    <w:p w14:paraId="11CFF3A0" w14:textId="77777777" w:rsidR="0006278C" w:rsidRPr="00A93466" w:rsidRDefault="0006278C" w:rsidP="0006278C">
      <w:pPr>
        <w:spacing w:after="0" w:line="240" w:lineRule="auto"/>
        <w:rPr>
          <w:rFonts w:asciiTheme="minorHAnsi" w:hAnsiTheme="minorHAnsi" w:cs="Arial"/>
          <w:sz w:val="24"/>
          <w:szCs w:val="24"/>
        </w:rPr>
      </w:pPr>
    </w:p>
    <w:p w14:paraId="56F36B36" w14:textId="2C4D69AD" w:rsidR="0006278C" w:rsidRPr="00A93466" w:rsidRDefault="0006278C" w:rsidP="0006278C">
      <w:pPr>
        <w:spacing w:after="0" w:line="240" w:lineRule="auto"/>
        <w:rPr>
          <w:rFonts w:asciiTheme="minorHAnsi" w:hAnsiTheme="minorHAnsi" w:cs="Arial"/>
          <w:sz w:val="24"/>
          <w:szCs w:val="24"/>
        </w:rPr>
      </w:pPr>
      <w:r w:rsidRPr="00A93466">
        <w:rPr>
          <w:rFonts w:asciiTheme="minorHAnsi" w:hAnsiTheme="minorHAnsi" w:cs="Arial"/>
          <w:sz w:val="24"/>
          <w:szCs w:val="24"/>
        </w:rPr>
        <w:t>To address state priorities not addressed by the National Performance Measures, the State Performance Measures (SPMs) can be developed.</w:t>
      </w:r>
      <w:r w:rsidR="006D6FE8">
        <w:rPr>
          <w:rFonts w:asciiTheme="minorHAnsi" w:hAnsiTheme="minorHAnsi" w:cs="Arial"/>
          <w:sz w:val="24"/>
          <w:szCs w:val="24"/>
        </w:rPr>
        <w:t xml:space="preserve">  T</w:t>
      </w:r>
      <w:r w:rsidRPr="00A93466">
        <w:rPr>
          <w:rFonts w:asciiTheme="minorHAnsi" w:hAnsiTheme="minorHAnsi" w:cs="Arial"/>
          <w:sz w:val="24"/>
          <w:szCs w:val="24"/>
        </w:rPr>
        <w:t xml:space="preserve">here is no minimum or maximum number of SPMs required. </w:t>
      </w:r>
      <w:r w:rsidR="006D6FE8">
        <w:rPr>
          <w:rFonts w:asciiTheme="minorHAnsi" w:hAnsiTheme="minorHAnsi" w:cs="Arial"/>
          <w:sz w:val="24"/>
          <w:szCs w:val="24"/>
        </w:rPr>
        <w:t xml:space="preserve"> </w:t>
      </w:r>
      <w:r w:rsidRPr="00A93466">
        <w:rPr>
          <w:rFonts w:asciiTheme="minorHAnsi" w:hAnsiTheme="minorHAnsi" w:cs="Arial"/>
          <w:sz w:val="24"/>
          <w:szCs w:val="24"/>
        </w:rPr>
        <w:t>As mentioned earlier</w:t>
      </w:r>
      <w:r w:rsidR="00FA40D7">
        <w:rPr>
          <w:rFonts w:asciiTheme="minorHAnsi" w:hAnsiTheme="minorHAnsi" w:cs="Arial"/>
          <w:sz w:val="24"/>
          <w:szCs w:val="24"/>
        </w:rPr>
        <w:t>,</w:t>
      </w:r>
      <w:r w:rsidRPr="00A93466">
        <w:rPr>
          <w:rFonts w:asciiTheme="minorHAnsi" w:hAnsiTheme="minorHAnsi" w:cs="Arial"/>
          <w:sz w:val="24"/>
          <w:szCs w:val="24"/>
        </w:rPr>
        <w:t xml:space="preserve"> the combination of NPMs with state</w:t>
      </w:r>
      <w:r w:rsidR="00FA40D7">
        <w:rPr>
          <w:rFonts w:asciiTheme="minorHAnsi" w:hAnsiTheme="minorHAnsi" w:cs="Arial"/>
          <w:sz w:val="24"/>
          <w:szCs w:val="24"/>
        </w:rPr>
        <w:t>-</w:t>
      </w:r>
      <w:r w:rsidRPr="00A93466">
        <w:rPr>
          <w:rFonts w:asciiTheme="minorHAnsi" w:hAnsiTheme="minorHAnsi" w:cs="Arial"/>
          <w:sz w:val="24"/>
          <w:szCs w:val="24"/>
        </w:rPr>
        <w:t xml:space="preserve">developed SPMs allows the state flexibility to reflect its priority needs from the most recent </w:t>
      </w:r>
      <w:r w:rsidR="006D6FE8">
        <w:rPr>
          <w:rFonts w:asciiTheme="minorHAnsi" w:hAnsiTheme="minorHAnsi" w:cs="Arial"/>
          <w:sz w:val="24"/>
          <w:szCs w:val="24"/>
        </w:rPr>
        <w:t>F</w:t>
      </w:r>
      <w:r w:rsidRPr="00A93466">
        <w:rPr>
          <w:rFonts w:asciiTheme="minorHAnsi" w:hAnsiTheme="minorHAnsi" w:cs="Arial"/>
          <w:sz w:val="24"/>
          <w:szCs w:val="24"/>
        </w:rPr>
        <w:t>ive-</w:t>
      </w:r>
      <w:r w:rsidR="006D6FE8">
        <w:rPr>
          <w:rFonts w:asciiTheme="minorHAnsi" w:hAnsiTheme="minorHAnsi" w:cs="Arial"/>
          <w:sz w:val="24"/>
          <w:szCs w:val="24"/>
        </w:rPr>
        <w:t>Year Needs A</w:t>
      </w:r>
      <w:r w:rsidRPr="00A93466">
        <w:rPr>
          <w:rFonts w:asciiTheme="minorHAnsi" w:hAnsiTheme="minorHAnsi" w:cs="Arial"/>
          <w:sz w:val="24"/>
          <w:szCs w:val="24"/>
        </w:rPr>
        <w:t>ssessment.</w:t>
      </w:r>
      <w:r w:rsidR="006D6FE8">
        <w:rPr>
          <w:rFonts w:asciiTheme="minorHAnsi" w:hAnsiTheme="minorHAnsi" w:cs="Arial"/>
          <w:sz w:val="24"/>
          <w:szCs w:val="24"/>
        </w:rPr>
        <w:t xml:space="preserve">  </w:t>
      </w:r>
      <w:r w:rsidRPr="00A93466">
        <w:rPr>
          <w:rFonts w:asciiTheme="minorHAnsi" w:hAnsiTheme="minorHAnsi" w:cs="Arial"/>
          <w:sz w:val="24"/>
          <w:szCs w:val="24"/>
        </w:rPr>
        <w:t>For the developed SPMs</w:t>
      </w:r>
      <w:r w:rsidR="00FA40D7">
        <w:rPr>
          <w:rFonts w:asciiTheme="minorHAnsi" w:hAnsiTheme="minorHAnsi" w:cs="Arial"/>
          <w:sz w:val="24"/>
          <w:szCs w:val="24"/>
        </w:rPr>
        <w:t>,</w:t>
      </w:r>
      <w:r w:rsidRPr="00A93466">
        <w:rPr>
          <w:rFonts w:asciiTheme="minorHAnsi" w:hAnsiTheme="minorHAnsi" w:cs="Arial"/>
          <w:sz w:val="24"/>
          <w:szCs w:val="24"/>
        </w:rPr>
        <w:t xml:space="preserve"> states will continue with the performance objectives for five years </w:t>
      </w:r>
      <w:r w:rsidR="00FA40D7">
        <w:rPr>
          <w:rFonts w:asciiTheme="minorHAnsi" w:hAnsiTheme="minorHAnsi" w:cs="Arial"/>
          <w:sz w:val="24"/>
          <w:szCs w:val="24"/>
        </w:rPr>
        <w:t>(</w:t>
      </w:r>
      <w:r w:rsidRPr="00A93466">
        <w:rPr>
          <w:rFonts w:asciiTheme="minorHAnsi" w:hAnsiTheme="minorHAnsi" w:cs="Arial"/>
          <w:sz w:val="24"/>
          <w:szCs w:val="24"/>
        </w:rPr>
        <w:t>FY 2018-FY 2022</w:t>
      </w:r>
      <w:r w:rsidR="00FA40D7">
        <w:rPr>
          <w:rFonts w:asciiTheme="minorHAnsi" w:hAnsiTheme="minorHAnsi" w:cs="Arial"/>
          <w:sz w:val="24"/>
          <w:szCs w:val="24"/>
        </w:rPr>
        <w:t>)</w:t>
      </w:r>
      <w:r w:rsidRPr="00A93466">
        <w:rPr>
          <w:rFonts w:asciiTheme="minorHAnsi" w:hAnsiTheme="minorHAnsi" w:cs="Arial"/>
          <w:sz w:val="24"/>
          <w:szCs w:val="24"/>
        </w:rPr>
        <w:t xml:space="preserve"> for each of the measures.</w:t>
      </w:r>
      <w:r w:rsidR="006D6FE8">
        <w:rPr>
          <w:rFonts w:asciiTheme="minorHAnsi" w:hAnsiTheme="minorHAnsi" w:cs="Arial"/>
          <w:sz w:val="24"/>
          <w:szCs w:val="24"/>
        </w:rPr>
        <w:t xml:space="preserve"> </w:t>
      </w:r>
      <w:r w:rsidRPr="00A93466">
        <w:rPr>
          <w:rFonts w:asciiTheme="minorHAnsi" w:hAnsiTheme="minorHAnsi" w:cs="Arial"/>
          <w:sz w:val="24"/>
          <w:szCs w:val="24"/>
        </w:rPr>
        <w:t xml:space="preserve"> States may revise their SPM objectives in future years’ Applications/Annual Reports. </w:t>
      </w:r>
      <w:r w:rsidR="006D6FE8">
        <w:rPr>
          <w:rFonts w:asciiTheme="minorHAnsi" w:hAnsiTheme="minorHAnsi" w:cs="Arial"/>
          <w:sz w:val="24"/>
          <w:szCs w:val="24"/>
        </w:rPr>
        <w:t xml:space="preserve"> </w:t>
      </w:r>
      <w:r w:rsidRPr="00A93466">
        <w:rPr>
          <w:rFonts w:asciiTheme="minorHAnsi" w:hAnsiTheme="minorHAnsi" w:cs="Arial"/>
          <w:sz w:val="24"/>
          <w:szCs w:val="24"/>
        </w:rPr>
        <w:t>The development of the SPMs coincides with the selection of NPMs and the development of the state ESMs.</w:t>
      </w:r>
    </w:p>
    <w:p w14:paraId="5338E698" w14:textId="77777777" w:rsidR="0006278C" w:rsidRPr="00A93466" w:rsidRDefault="0006278C" w:rsidP="0006278C">
      <w:pPr>
        <w:spacing w:after="0" w:line="240" w:lineRule="auto"/>
        <w:rPr>
          <w:rFonts w:asciiTheme="minorHAnsi" w:hAnsiTheme="minorHAnsi" w:cs="Arial"/>
          <w:sz w:val="24"/>
          <w:szCs w:val="24"/>
        </w:rPr>
      </w:pPr>
    </w:p>
    <w:p w14:paraId="5364DC25" w14:textId="0F886A26" w:rsidR="0006278C" w:rsidRPr="00A93466" w:rsidRDefault="0006278C" w:rsidP="0006278C">
      <w:pPr>
        <w:spacing w:after="0" w:line="240" w:lineRule="auto"/>
        <w:rPr>
          <w:rFonts w:asciiTheme="minorHAnsi" w:hAnsiTheme="minorHAnsi" w:cs="Arial"/>
          <w:sz w:val="24"/>
          <w:szCs w:val="24"/>
        </w:rPr>
      </w:pPr>
      <w:r w:rsidRPr="00A93466">
        <w:rPr>
          <w:rFonts w:asciiTheme="minorHAnsi" w:hAnsiTheme="minorHAnsi" w:cs="Arial"/>
          <w:sz w:val="24"/>
          <w:szCs w:val="24"/>
        </w:rPr>
        <w:t xml:space="preserve">States will also develop detail sheets on these measures, which will define the: (1) measure; </w:t>
      </w:r>
      <w:r w:rsidR="00CB5429">
        <w:rPr>
          <w:rFonts w:asciiTheme="minorHAnsi" w:hAnsiTheme="minorHAnsi" w:cs="Arial"/>
          <w:sz w:val="24"/>
          <w:szCs w:val="24"/>
        </w:rPr>
        <w:t xml:space="preserve">  </w:t>
      </w:r>
      <w:r w:rsidRPr="00A93466">
        <w:rPr>
          <w:rFonts w:asciiTheme="minorHAnsi" w:hAnsiTheme="minorHAnsi" w:cs="Arial"/>
          <w:sz w:val="24"/>
          <w:szCs w:val="24"/>
        </w:rPr>
        <w:t xml:space="preserve">(2) goal; (3) indicator, numerator, and denominator; (4) data source; and (5) significance. </w:t>
      </w:r>
      <w:r w:rsidR="006D6FE8">
        <w:rPr>
          <w:rFonts w:asciiTheme="minorHAnsi" w:hAnsiTheme="minorHAnsi" w:cs="Arial"/>
          <w:sz w:val="24"/>
          <w:szCs w:val="24"/>
        </w:rPr>
        <w:t xml:space="preserve"> </w:t>
      </w:r>
      <w:r w:rsidRPr="00A93466">
        <w:rPr>
          <w:rFonts w:asciiTheme="minorHAnsi" w:hAnsiTheme="minorHAnsi" w:cs="Arial"/>
          <w:sz w:val="24"/>
          <w:szCs w:val="24"/>
        </w:rPr>
        <w:t xml:space="preserve">States will track their developed SPMs throughout the five-year reporting cycle. </w:t>
      </w:r>
      <w:r w:rsidR="006D6FE8">
        <w:rPr>
          <w:rFonts w:asciiTheme="minorHAnsi" w:hAnsiTheme="minorHAnsi" w:cs="Arial"/>
          <w:sz w:val="24"/>
          <w:szCs w:val="24"/>
        </w:rPr>
        <w:t xml:space="preserve"> </w:t>
      </w:r>
      <w:r w:rsidRPr="00A93466">
        <w:rPr>
          <w:rFonts w:asciiTheme="minorHAnsi" w:hAnsiTheme="minorHAnsi" w:cs="Arial"/>
          <w:sz w:val="24"/>
          <w:szCs w:val="24"/>
        </w:rPr>
        <w:t xml:space="preserve">Data for the SPMs (i.e., indicator/numerator/denominator) will be entered annually by the state. </w:t>
      </w:r>
      <w:r w:rsidR="006D6FE8">
        <w:rPr>
          <w:rFonts w:asciiTheme="minorHAnsi" w:hAnsiTheme="minorHAnsi" w:cs="Arial"/>
          <w:sz w:val="24"/>
          <w:szCs w:val="24"/>
        </w:rPr>
        <w:t xml:space="preserve"> </w:t>
      </w:r>
      <w:r w:rsidRPr="00A93466">
        <w:rPr>
          <w:rFonts w:asciiTheme="minorHAnsi" w:hAnsiTheme="minorHAnsi" w:cs="Arial"/>
          <w:sz w:val="24"/>
          <w:szCs w:val="24"/>
        </w:rPr>
        <w:t xml:space="preserve">A state can retire a SPM during the five-year reporting cycle and replace it with another SPM based on its MCH priority needs. </w:t>
      </w:r>
      <w:r w:rsidR="006D6FE8">
        <w:rPr>
          <w:rFonts w:asciiTheme="minorHAnsi" w:hAnsiTheme="minorHAnsi" w:cs="Arial"/>
          <w:sz w:val="24"/>
          <w:szCs w:val="24"/>
        </w:rPr>
        <w:t xml:space="preserve"> </w:t>
      </w:r>
      <w:r w:rsidRPr="00A93466">
        <w:rPr>
          <w:rFonts w:asciiTheme="minorHAnsi" w:hAnsiTheme="minorHAnsi" w:cs="Arial"/>
          <w:sz w:val="24"/>
          <w:szCs w:val="24"/>
        </w:rPr>
        <w:t>States are not required to develop ESMs for SPMs.</w:t>
      </w:r>
    </w:p>
    <w:p w14:paraId="5B36D455" w14:textId="77777777" w:rsidR="0006278C" w:rsidRPr="00A93466" w:rsidRDefault="0006278C" w:rsidP="0006278C">
      <w:pPr>
        <w:spacing w:after="0" w:line="240" w:lineRule="auto"/>
        <w:rPr>
          <w:rFonts w:asciiTheme="minorHAnsi" w:hAnsiTheme="minorHAnsi" w:cs="Arial"/>
          <w:sz w:val="24"/>
          <w:szCs w:val="24"/>
        </w:rPr>
      </w:pPr>
    </w:p>
    <w:p w14:paraId="5F5E5600" w14:textId="046C51D2" w:rsidR="0006278C" w:rsidRDefault="0006278C" w:rsidP="0006278C">
      <w:pPr>
        <w:spacing w:after="0" w:line="240" w:lineRule="auto"/>
        <w:rPr>
          <w:rFonts w:asciiTheme="minorHAnsi" w:hAnsiTheme="minorHAnsi" w:cs="Arial"/>
          <w:sz w:val="24"/>
          <w:szCs w:val="24"/>
        </w:rPr>
      </w:pPr>
      <w:r w:rsidRPr="00A93466">
        <w:rPr>
          <w:rFonts w:asciiTheme="minorHAnsi" w:hAnsiTheme="minorHAnsi" w:cs="Arial"/>
          <w:sz w:val="24"/>
          <w:szCs w:val="24"/>
        </w:rPr>
        <w:t xml:space="preserve">A state may also develop (but is not required to develop) one or more State Outcome Measures (SOMs) based on its MCH priorities, as determined by the findings of the Five-Year Needs Assessment, provided that none of the NOMs address the same priority area for the state. </w:t>
      </w:r>
      <w:r w:rsidR="006D6FE8">
        <w:rPr>
          <w:rFonts w:asciiTheme="minorHAnsi" w:hAnsiTheme="minorHAnsi" w:cs="Arial"/>
          <w:sz w:val="24"/>
          <w:szCs w:val="24"/>
        </w:rPr>
        <w:t xml:space="preserve"> </w:t>
      </w:r>
      <w:r w:rsidRPr="00A93466">
        <w:rPr>
          <w:rFonts w:asciiTheme="minorHAnsi" w:hAnsiTheme="minorHAnsi" w:cs="Arial"/>
          <w:sz w:val="24"/>
          <w:szCs w:val="24"/>
        </w:rPr>
        <w:t xml:space="preserve">A SOM should be linked with a performance measure to show the impact of performance on the intended outcome. </w:t>
      </w:r>
      <w:r w:rsidR="006D6FE8">
        <w:rPr>
          <w:rFonts w:asciiTheme="minorHAnsi" w:hAnsiTheme="minorHAnsi" w:cs="Arial"/>
          <w:sz w:val="24"/>
          <w:szCs w:val="24"/>
        </w:rPr>
        <w:t xml:space="preserve"> </w:t>
      </w:r>
      <w:r w:rsidRPr="00A93466">
        <w:rPr>
          <w:rFonts w:asciiTheme="minorHAnsi" w:hAnsiTheme="minorHAnsi" w:cs="Arial"/>
          <w:sz w:val="24"/>
          <w:szCs w:val="24"/>
        </w:rPr>
        <w:t>States will track the SOMs during the five-year reporting cycle and the SOM can be retired if the state chooses.  Data for the SOMs (i.e., indicator/numerator/ denominator) will be entered annually by the state.</w:t>
      </w:r>
    </w:p>
    <w:p w14:paraId="139D8EE5" w14:textId="6CF55BC9" w:rsidR="00A67F58" w:rsidRDefault="00A67F58" w:rsidP="0006278C">
      <w:pPr>
        <w:spacing w:after="0" w:line="240" w:lineRule="auto"/>
        <w:rPr>
          <w:rFonts w:asciiTheme="minorHAnsi" w:hAnsiTheme="minorHAnsi" w:cs="Arial"/>
          <w:sz w:val="24"/>
          <w:szCs w:val="24"/>
        </w:rPr>
      </w:pPr>
    </w:p>
    <w:p w14:paraId="1BCF1D11" w14:textId="77777777" w:rsidR="00C70952" w:rsidRDefault="00C70952" w:rsidP="0006278C">
      <w:pPr>
        <w:spacing w:after="0" w:line="240" w:lineRule="auto"/>
        <w:rPr>
          <w:rFonts w:asciiTheme="minorHAnsi" w:hAnsiTheme="minorHAnsi" w:cs="Arial"/>
          <w:sz w:val="24"/>
          <w:szCs w:val="24"/>
        </w:rPr>
      </w:pPr>
    </w:p>
    <w:p w14:paraId="6AEB2ACD" w14:textId="77777777" w:rsidR="0006278C" w:rsidRPr="00A93466" w:rsidRDefault="0006278C" w:rsidP="0006278C">
      <w:pPr>
        <w:spacing w:after="0" w:line="240" w:lineRule="auto"/>
        <w:rPr>
          <w:rFonts w:asciiTheme="minorHAnsi" w:hAnsiTheme="minorHAnsi" w:cs="Arial"/>
          <w:sz w:val="24"/>
          <w:szCs w:val="24"/>
        </w:rPr>
      </w:pPr>
      <w:r w:rsidRPr="00A93466">
        <w:rPr>
          <w:rFonts w:asciiTheme="minorHAnsi" w:hAnsiTheme="minorHAnsi" w:cs="Arial"/>
          <w:b/>
          <w:sz w:val="24"/>
          <w:szCs w:val="24"/>
        </w:rPr>
        <w:t>Table 2.</w:t>
      </w:r>
      <w:r w:rsidRPr="00A93466">
        <w:rPr>
          <w:rFonts w:asciiTheme="minorHAnsi" w:hAnsiTheme="minorHAnsi" w:cs="Arial"/>
          <w:sz w:val="24"/>
          <w:szCs w:val="24"/>
        </w:rPr>
        <w:t xml:space="preserve"> </w:t>
      </w:r>
      <w:r w:rsidRPr="00A93466">
        <w:rPr>
          <w:rFonts w:asciiTheme="minorHAnsi" w:hAnsiTheme="minorHAnsi" w:cs="Arial"/>
          <w:b/>
          <w:sz w:val="24"/>
          <w:szCs w:val="24"/>
        </w:rPr>
        <w:t>Evidence-based/informed National Performance and Outcome Measure Linkages*</w:t>
      </w:r>
    </w:p>
    <w:tbl>
      <w:tblPr>
        <w:tblStyle w:val="TableGrid21"/>
        <w:tblW w:w="10255" w:type="dxa"/>
        <w:tblLayout w:type="fixed"/>
        <w:tblLook w:val="04A0" w:firstRow="1" w:lastRow="0" w:firstColumn="1" w:lastColumn="0" w:noHBand="0" w:noVBand="1"/>
      </w:tblPr>
      <w:tblGrid>
        <w:gridCol w:w="567"/>
        <w:gridCol w:w="2194"/>
        <w:gridCol w:w="429"/>
        <w:gridCol w:w="619"/>
        <w:gridCol w:w="619"/>
        <w:gridCol w:w="449"/>
        <w:gridCol w:w="338"/>
        <w:gridCol w:w="540"/>
        <w:gridCol w:w="540"/>
        <w:gridCol w:w="450"/>
        <w:gridCol w:w="360"/>
        <w:gridCol w:w="636"/>
        <w:gridCol w:w="491"/>
        <w:gridCol w:w="493"/>
        <w:gridCol w:w="540"/>
        <w:gridCol w:w="450"/>
        <w:gridCol w:w="540"/>
      </w:tblGrid>
      <w:tr w:rsidR="0006278C" w:rsidRPr="0006278C" w14:paraId="2ECB7BBC" w14:textId="77777777" w:rsidTr="00864968">
        <w:tc>
          <w:tcPr>
            <w:tcW w:w="2761" w:type="dxa"/>
            <w:gridSpan w:val="2"/>
            <w:vMerge w:val="restart"/>
            <w:shd w:val="clear" w:color="auto" w:fill="C7E2FA" w:themeFill="accent1" w:themeFillTint="33"/>
            <w:vAlign w:val="center"/>
          </w:tcPr>
          <w:p w14:paraId="51C20EF2" w14:textId="77777777" w:rsidR="0006278C" w:rsidRPr="003C2840" w:rsidRDefault="0006278C" w:rsidP="0006278C">
            <w:pPr>
              <w:spacing w:after="0" w:line="240" w:lineRule="auto"/>
              <w:jc w:val="center"/>
              <w:rPr>
                <w:rFonts w:ascii="Arial" w:hAnsi="Arial" w:cs="Arial"/>
                <w:b/>
                <w:color w:val="0B5294" w:themeColor="accent1" w:themeShade="BF"/>
                <w:sz w:val="18"/>
                <w:szCs w:val="18"/>
              </w:rPr>
            </w:pPr>
            <w:r w:rsidRPr="003C2840">
              <w:rPr>
                <w:rFonts w:ascii="Arial" w:hAnsi="Arial" w:cs="Arial"/>
                <w:b/>
                <w:color w:val="0B5294" w:themeColor="accent1" w:themeShade="BF"/>
                <w:sz w:val="18"/>
                <w:szCs w:val="18"/>
              </w:rPr>
              <w:t>National Outcome Measure</w:t>
            </w:r>
          </w:p>
        </w:tc>
        <w:tc>
          <w:tcPr>
            <w:tcW w:w="7494" w:type="dxa"/>
            <w:gridSpan w:val="15"/>
            <w:shd w:val="clear" w:color="auto" w:fill="C7E2FA" w:themeFill="accent1" w:themeFillTint="33"/>
          </w:tcPr>
          <w:p w14:paraId="1CC43900" w14:textId="77777777" w:rsidR="0006278C" w:rsidRPr="003C2840" w:rsidRDefault="0006278C" w:rsidP="0006278C">
            <w:pPr>
              <w:spacing w:after="0" w:line="240" w:lineRule="auto"/>
              <w:jc w:val="center"/>
              <w:rPr>
                <w:rFonts w:ascii="Arial" w:hAnsi="Arial" w:cs="Arial"/>
                <w:b/>
                <w:color w:val="0B5294" w:themeColor="accent1" w:themeShade="BF"/>
                <w:sz w:val="18"/>
                <w:szCs w:val="18"/>
              </w:rPr>
            </w:pPr>
            <w:r w:rsidRPr="003C2840">
              <w:rPr>
                <w:rFonts w:ascii="Arial" w:hAnsi="Arial" w:cs="Arial"/>
                <w:b/>
                <w:color w:val="0B5294" w:themeColor="accent1" w:themeShade="BF"/>
                <w:sz w:val="18"/>
                <w:szCs w:val="18"/>
              </w:rPr>
              <w:t>National Performance Measure</w:t>
            </w:r>
          </w:p>
        </w:tc>
      </w:tr>
      <w:tr w:rsidR="00864968" w:rsidRPr="0006278C" w14:paraId="699DB65D" w14:textId="77777777" w:rsidTr="00864968">
        <w:tc>
          <w:tcPr>
            <w:tcW w:w="2761" w:type="dxa"/>
            <w:gridSpan w:val="2"/>
            <w:vMerge/>
            <w:shd w:val="clear" w:color="auto" w:fill="C7E2FA" w:themeFill="accent1" w:themeFillTint="33"/>
          </w:tcPr>
          <w:p w14:paraId="4F56A0C1" w14:textId="77777777" w:rsidR="0006278C" w:rsidRPr="003C2840" w:rsidRDefault="0006278C" w:rsidP="0006278C">
            <w:pPr>
              <w:spacing w:after="0" w:line="240" w:lineRule="auto"/>
              <w:rPr>
                <w:rFonts w:ascii="Arial" w:hAnsi="Arial" w:cs="Arial"/>
                <w:b/>
                <w:color w:val="0B5294" w:themeColor="accent1" w:themeShade="BF"/>
                <w:sz w:val="18"/>
                <w:szCs w:val="18"/>
              </w:rPr>
            </w:pPr>
          </w:p>
        </w:tc>
        <w:tc>
          <w:tcPr>
            <w:tcW w:w="429" w:type="dxa"/>
            <w:shd w:val="clear" w:color="auto" w:fill="C7E2FA" w:themeFill="accent1" w:themeFillTint="33"/>
          </w:tcPr>
          <w:p w14:paraId="4961F490" w14:textId="77777777" w:rsidR="0006278C" w:rsidRPr="003C2840" w:rsidRDefault="0006278C" w:rsidP="0006278C">
            <w:pPr>
              <w:spacing w:after="0" w:line="240" w:lineRule="auto"/>
              <w:jc w:val="center"/>
              <w:rPr>
                <w:rFonts w:ascii="Arial" w:hAnsi="Arial" w:cs="Arial"/>
                <w:b/>
                <w:color w:val="0B5294" w:themeColor="accent1" w:themeShade="BF"/>
                <w:sz w:val="18"/>
                <w:szCs w:val="18"/>
              </w:rPr>
            </w:pPr>
            <w:r w:rsidRPr="003C2840">
              <w:rPr>
                <w:rFonts w:ascii="Arial" w:hAnsi="Arial" w:cs="Arial"/>
                <w:b/>
                <w:color w:val="0B5294" w:themeColor="accent1" w:themeShade="BF"/>
                <w:sz w:val="18"/>
                <w:szCs w:val="18"/>
              </w:rPr>
              <w:t>1</w:t>
            </w:r>
          </w:p>
        </w:tc>
        <w:tc>
          <w:tcPr>
            <w:tcW w:w="619" w:type="dxa"/>
            <w:shd w:val="clear" w:color="auto" w:fill="C7E2FA" w:themeFill="accent1" w:themeFillTint="33"/>
          </w:tcPr>
          <w:p w14:paraId="4DF01A18" w14:textId="77777777" w:rsidR="0006278C" w:rsidRPr="003C2840" w:rsidRDefault="0006278C" w:rsidP="0006278C">
            <w:pPr>
              <w:spacing w:after="0" w:line="240" w:lineRule="auto"/>
              <w:jc w:val="center"/>
              <w:rPr>
                <w:rFonts w:ascii="Arial" w:hAnsi="Arial" w:cs="Arial"/>
                <w:b/>
                <w:color w:val="0B5294" w:themeColor="accent1" w:themeShade="BF"/>
                <w:sz w:val="18"/>
                <w:szCs w:val="18"/>
              </w:rPr>
            </w:pPr>
            <w:r w:rsidRPr="003C2840">
              <w:rPr>
                <w:rFonts w:ascii="Arial" w:hAnsi="Arial" w:cs="Arial"/>
                <w:b/>
                <w:color w:val="0B5294" w:themeColor="accent1" w:themeShade="BF"/>
                <w:sz w:val="18"/>
                <w:szCs w:val="18"/>
              </w:rPr>
              <w:t>2</w:t>
            </w:r>
          </w:p>
        </w:tc>
        <w:tc>
          <w:tcPr>
            <w:tcW w:w="619" w:type="dxa"/>
            <w:shd w:val="clear" w:color="auto" w:fill="C7E2FA" w:themeFill="accent1" w:themeFillTint="33"/>
          </w:tcPr>
          <w:p w14:paraId="0F25E622" w14:textId="77777777" w:rsidR="0006278C" w:rsidRPr="003C2840" w:rsidRDefault="0006278C" w:rsidP="0006278C">
            <w:pPr>
              <w:spacing w:after="0" w:line="240" w:lineRule="auto"/>
              <w:jc w:val="center"/>
              <w:rPr>
                <w:rFonts w:ascii="Arial" w:hAnsi="Arial" w:cs="Arial"/>
                <w:b/>
                <w:color w:val="0B5294" w:themeColor="accent1" w:themeShade="BF"/>
                <w:sz w:val="18"/>
                <w:szCs w:val="18"/>
              </w:rPr>
            </w:pPr>
            <w:r w:rsidRPr="003C2840">
              <w:rPr>
                <w:rFonts w:ascii="Arial" w:hAnsi="Arial" w:cs="Arial"/>
                <w:b/>
                <w:color w:val="0B5294" w:themeColor="accent1" w:themeShade="BF"/>
                <w:sz w:val="18"/>
                <w:szCs w:val="18"/>
              </w:rPr>
              <w:t>3</w:t>
            </w:r>
          </w:p>
        </w:tc>
        <w:tc>
          <w:tcPr>
            <w:tcW w:w="449" w:type="dxa"/>
            <w:shd w:val="clear" w:color="auto" w:fill="C7E2FA" w:themeFill="accent1" w:themeFillTint="33"/>
          </w:tcPr>
          <w:p w14:paraId="3BFA70E8" w14:textId="77777777" w:rsidR="0006278C" w:rsidRPr="003C2840" w:rsidRDefault="0006278C" w:rsidP="0006278C">
            <w:pPr>
              <w:spacing w:after="0" w:line="240" w:lineRule="auto"/>
              <w:jc w:val="center"/>
              <w:rPr>
                <w:rFonts w:ascii="Arial" w:hAnsi="Arial" w:cs="Arial"/>
                <w:b/>
                <w:color w:val="0B5294" w:themeColor="accent1" w:themeShade="BF"/>
                <w:sz w:val="18"/>
                <w:szCs w:val="18"/>
              </w:rPr>
            </w:pPr>
            <w:r w:rsidRPr="003C2840">
              <w:rPr>
                <w:rFonts w:ascii="Arial" w:hAnsi="Arial" w:cs="Arial"/>
                <w:b/>
                <w:color w:val="0B5294" w:themeColor="accent1" w:themeShade="BF"/>
                <w:sz w:val="18"/>
                <w:szCs w:val="18"/>
              </w:rPr>
              <w:t>4</w:t>
            </w:r>
          </w:p>
        </w:tc>
        <w:tc>
          <w:tcPr>
            <w:tcW w:w="338" w:type="dxa"/>
            <w:shd w:val="clear" w:color="auto" w:fill="C7E2FA" w:themeFill="accent1" w:themeFillTint="33"/>
          </w:tcPr>
          <w:p w14:paraId="11CA43DC" w14:textId="77777777" w:rsidR="0006278C" w:rsidRPr="003C2840" w:rsidRDefault="0006278C" w:rsidP="0006278C">
            <w:pPr>
              <w:spacing w:after="0" w:line="240" w:lineRule="auto"/>
              <w:jc w:val="center"/>
              <w:rPr>
                <w:rFonts w:ascii="Arial" w:hAnsi="Arial" w:cs="Arial"/>
                <w:b/>
                <w:color w:val="0B5294" w:themeColor="accent1" w:themeShade="BF"/>
                <w:sz w:val="18"/>
                <w:szCs w:val="18"/>
              </w:rPr>
            </w:pPr>
            <w:r w:rsidRPr="003C2840">
              <w:rPr>
                <w:rFonts w:ascii="Arial" w:hAnsi="Arial" w:cs="Arial"/>
                <w:b/>
                <w:color w:val="0B5294" w:themeColor="accent1" w:themeShade="BF"/>
                <w:sz w:val="18"/>
                <w:szCs w:val="18"/>
              </w:rPr>
              <w:t>5</w:t>
            </w:r>
          </w:p>
        </w:tc>
        <w:tc>
          <w:tcPr>
            <w:tcW w:w="540" w:type="dxa"/>
            <w:shd w:val="clear" w:color="auto" w:fill="C7E2FA" w:themeFill="accent1" w:themeFillTint="33"/>
          </w:tcPr>
          <w:p w14:paraId="1799FEA7" w14:textId="77777777" w:rsidR="0006278C" w:rsidRPr="003C2840" w:rsidRDefault="0006278C" w:rsidP="0006278C">
            <w:pPr>
              <w:spacing w:after="0" w:line="240" w:lineRule="auto"/>
              <w:jc w:val="center"/>
              <w:rPr>
                <w:rFonts w:ascii="Arial" w:hAnsi="Arial" w:cs="Arial"/>
                <w:b/>
                <w:color w:val="0B5294" w:themeColor="accent1" w:themeShade="BF"/>
                <w:sz w:val="18"/>
                <w:szCs w:val="18"/>
              </w:rPr>
            </w:pPr>
            <w:r w:rsidRPr="003C2840">
              <w:rPr>
                <w:rFonts w:ascii="Arial" w:hAnsi="Arial" w:cs="Arial"/>
                <w:b/>
                <w:color w:val="0B5294" w:themeColor="accent1" w:themeShade="BF"/>
                <w:sz w:val="18"/>
                <w:szCs w:val="18"/>
              </w:rPr>
              <w:t>6</w:t>
            </w:r>
          </w:p>
        </w:tc>
        <w:tc>
          <w:tcPr>
            <w:tcW w:w="540" w:type="dxa"/>
            <w:shd w:val="clear" w:color="auto" w:fill="C7E2FA" w:themeFill="accent1" w:themeFillTint="33"/>
          </w:tcPr>
          <w:p w14:paraId="09CB1B32" w14:textId="77777777" w:rsidR="0006278C" w:rsidRPr="003C2840" w:rsidRDefault="0006278C" w:rsidP="0006278C">
            <w:pPr>
              <w:spacing w:after="0" w:line="240" w:lineRule="auto"/>
              <w:jc w:val="center"/>
              <w:rPr>
                <w:rFonts w:ascii="Arial" w:hAnsi="Arial" w:cs="Arial"/>
                <w:b/>
                <w:color w:val="0B5294" w:themeColor="accent1" w:themeShade="BF"/>
                <w:sz w:val="18"/>
                <w:szCs w:val="18"/>
              </w:rPr>
            </w:pPr>
            <w:r w:rsidRPr="003C2840">
              <w:rPr>
                <w:rFonts w:ascii="Arial" w:hAnsi="Arial" w:cs="Arial"/>
                <w:b/>
                <w:color w:val="0B5294" w:themeColor="accent1" w:themeShade="BF"/>
                <w:sz w:val="18"/>
                <w:szCs w:val="18"/>
              </w:rPr>
              <w:t>7</w:t>
            </w:r>
          </w:p>
        </w:tc>
        <w:tc>
          <w:tcPr>
            <w:tcW w:w="450" w:type="dxa"/>
            <w:shd w:val="clear" w:color="auto" w:fill="C7E2FA" w:themeFill="accent1" w:themeFillTint="33"/>
          </w:tcPr>
          <w:p w14:paraId="4FDF0E6D" w14:textId="77777777" w:rsidR="0006278C" w:rsidRPr="003C2840" w:rsidRDefault="0006278C" w:rsidP="0006278C">
            <w:pPr>
              <w:spacing w:after="0" w:line="240" w:lineRule="auto"/>
              <w:jc w:val="center"/>
              <w:rPr>
                <w:rFonts w:ascii="Arial" w:hAnsi="Arial" w:cs="Arial"/>
                <w:b/>
                <w:color w:val="0B5294" w:themeColor="accent1" w:themeShade="BF"/>
                <w:sz w:val="18"/>
                <w:szCs w:val="18"/>
              </w:rPr>
            </w:pPr>
            <w:r w:rsidRPr="003C2840">
              <w:rPr>
                <w:rFonts w:ascii="Arial" w:hAnsi="Arial" w:cs="Arial"/>
                <w:b/>
                <w:color w:val="0B5294" w:themeColor="accent1" w:themeShade="BF"/>
                <w:sz w:val="18"/>
                <w:szCs w:val="18"/>
              </w:rPr>
              <w:t>8</w:t>
            </w:r>
          </w:p>
        </w:tc>
        <w:tc>
          <w:tcPr>
            <w:tcW w:w="360" w:type="dxa"/>
            <w:shd w:val="clear" w:color="auto" w:fill="C7E2FA" w:themeFill="accent1" w:themeFillTint="33"/>
          </w:tcPr>
          <w:p w14:paraId="3B394D74" w14:textId="77777777" w:rsidR="0006278C" w:rsidRPr="003C2840" w:rsidRDefault="0006278C" w:rsidP="0006278C">
            <w:pPr>
              <w:spacing w:after="0" w:line="240" w:lineRule="auto"/>
              <w:jc w:val="center"/>
              <w:rPr>
                <w:rFonts w:ascii="Arial" w:hAnsi="Arial" w:cs="Arial"/>
                <w:b/>
                <w:color w:val="0B5294" w:themeColor="accent1" w:themeShade="BF"/>
                <w:sz w:val="18"/>
                <w:szCs w:val="18"/>
              </w:rPr>
            </w:pPr>
            <w:r w:rsidRPr="003C2840">
              <w:rPr>
                <w:rFonts w:ascii="Arial" w:hAnsi="Arial" w:cs="Arial"/>
                <w:b/>
                <w:color w:val="0B5294" w:themeColor="accent1" w:themeShade="BF"/>
                <w:sz w:val="18"/>
                <w:szCs w:val="18"/>
              </w:rPr>
              <w:t>9</w:t>
            </w:r>
          </w:p>
        </w:tc>
        <w:tc>
          <w:tcPr>
            <w:tcW w:w="636" w:type="dxa"/>
            <w:shd w:val="clear" w:color="auto" w:fill="C7E2FA" w:themeFill="accent1" w:themeFillTint="33"/>
          </w:tcPr>
          <w:p w14:paraId="205D3D86" w14:textId="77777777" w:rsidR="0006278C" w:rsidRPr="003C2840" w:rsidRDefault="0006278C" w:rsidP="0006278C">
            <w:pPr>
              <w:spacing w:after="0" w:line="240" w:lineRule="auto"/>
              <w:jc w:val="center"/>
              <w:rPr>
                <w:rFonts w:ascii="Arial" w:hAnsi="Arial" w:cs="Arial"/>
                <w:b/>
                <w:color w:val="0B5294" w:themeColor="accent1" w:themeShade="BF"/>
                <w:sz w:val="18"/>
                <w:szCs w:val="18"/>
              </w:rPr>
            </w:pPr>
            <w:r w:rsidRPr="003C2840">
              <w:rPr>
                <w:rFonts w:ascii="Arial" w:hAnsi="Arial" w:cs="Arial"/>
                <w:b/>
                <w:color w:val="0B5294" w:themeColor="accent1" w:themeShade="BF"/>
                <w:sz w:val="18"/>
                <w:szCs w:val="18"/>
              </w:rPr>
              <w:t>10</w:t>
            </w:r>
          </w:p>
        </w:tc>
        <w:tc>
          <w:tcPr>
            <w:tcW w:w="491" w:type="dxa"/>
            <w:shd w:val="clear" w:color="auto" w:fill="C7E2FA" w:themeFill="accent1" w:themeFillTint="33"/>
          </w:tcPr>
          <w:p w14:paraId="340E041D" w14:textId="77777777" w:rsidR="0006278C" w:rsidRPr="003C2840" w:rsidRDefault="0006278C" w:rsidP="0006278C">
            <w:pPr>
              <w:spacing w:after="0" w:line="240" w:lineRule="auto"/>
              <w:jc w:val="center"/>
              <w:rPr>
                <w:rFonts w:ascii="Arial" w:hAnsi="Arial" w:cs="Arial"/>
                <w:b/>
                <w:color w:val="0B5294" w:themeColor="accent1" w:themeShade="BF"/>
                <w:sz w:val="18"/>
                <w:szCs w:val="18"/>
              </w:rPr>
            </w:pPr>
            <w:r w:rsidRPr="003C2840">
              <w:rPr>
                <w:rFonts w:ascii="Arial" w:hAnsi="Arial" w:cs="Arial"/>
                <w:b/>
                <w:color w:val="0B5294" w:themeColor="accent1" w:themeShade="BF"/>
                <w:sz w:val="18"/>
                <w:szCs w:val="18"/>
              </w:rPr>
              <w:t>11</w:t>
            </w:r>
          </w:p>
        </w:tc>
        <w:tc>
          <w:tcPr>
            <w:tcW w:w="493" w:type="dxa"/>
            <w:shd w:val="clear" w:color="auto" w:fill="C7E2FA" w:themeFill="accent1" w:themeFillTint="33"/>
          </w:tcPr>
          <w:p w14:paraId="18C09C7D" w14:textId="77777777" w:rsidR="0006278C" w:rsidRPr="003C2840" w:rsidRDefault="0006278C" w:rsidP="0006278C">
            <w:pPr>
              <w:spacing w:after="0" w:line="240" w:lineRule="auto"/>
              <w:jc w:val="center"/>
              <w:rPr>
                <w:rFonts w:ascii="Arial" w:hAnsi="Arial" w:cs="Arial"/>
                <w:b/>
                <w:color w:val="0B5294" w:themeColor="accent1" w:themeShade="BF"/>
                <w:sz w:val="18"/>
                <w:szCs w:val="18"/>
              </w:rPr>
            </w:pPr>
            <w:r w:rsidRPr="003C2840">
              <w:rPr>
                <w:rFonts w:ascii="Arial" w:hAnsi="Arial" w:cs="Arial"/>
                <w:b/>
                <w:color w:val="0B5294" w:themeColor="accent1" w:themeShade="BF"/>
                <w:sz w:val="18"/>
                <w:szCs w:val="18"/>
              </w:rPr>
              <w:t>12</w:t>
            </w:r>
          </w:p>
        </w:tc>
        <w:tc>
          <w:tcPr>
            <w:tcW w:w="540" w:type="dxa"/>
            <w:shd w:val="clear" w:color="auto" w:fill="C7E2FA" w:themeFill="accent1" w:themeFillTint="33"/>
          </w:tcPr>
          <w:p w14:paraId="3040139E" w14:textId="77777777" w:rsidR="0006278C" w:rsidRPr="003C2840" w:rsidRDefault="0006278C" w:rsidP="0006278C">
            <w:pPr>
              <w:spacing w:after="0" w:line="240" w:lineRule="auto"/>
              <w:jc w:val="center"/>
              <w:rPr>
                <w:rFonts w:ascii="Arial" w:hAnsi="Arial" w:cs="Arial"/>
                <w:b/>
                <w:color w:val="0B5294" w:themeColor="accent1" w:themeShade="BF"/>
                <w:sz w:val="18"/>
                <w:szCs w:val="18"/>
              </w:rPr>
            </w:pPr>
            <w:r w:rsidRPr="003C2840">
              <w:rPr>
                <w:rFonts w:ascii="Arial" w:hAnsi="Arial" w:cs="Arial"/>
                <w:b/>
                <w:color w:val="0B5294" w:themeColor="accent1" w:themeShade="BF"/>
                <w:sz w:val="18"/>
                <w:szCs w:val="18"/>
              </w:rPr>
              <w:t>13</w:t>
            </w:r>
          </w:p>
        </w:tc>
        <w:tc>
          <w:tcPr>
            <w:tcW w:w="450" w:type="dxa"/>
            <w:shd w:val="clear" w:color="auto" w:fill="C7E2FA" w:themeFill="accent1" w:themeFillTint="33"/>
          </w:tcPr>
          <w:p w14:paraId="253D74AF" w14:textId="77777777" w:rsidR="0006278C" w:rsidRPr="003C2840" w:rsidRDefault="0006278C" w:rsidP="0006278C">
            <w:pPr>
              <w:spacing w:after="0" w:line="240" w:lineRule="auto"/>
              <w:jc w:val="center"/>
              <w:rPr>
                <w:rFonts w:ascii="Arial" w:hAnsi="Arial" w:cs="Arial"/>
                <w:b/>
                <w:color w:val="0B5294" w:themeColor="accent1" w:themeShade="BF"/>
                <w:sz w:val="18"/>
                <w:szCs w:val="18"/>
              </w:rPr>
            </w:pPr>
            <w:r w:rsidRPr="003C2840">
              <w:rPr>
                <w:rFonts w:ascii="Arial" w:hAnsi="Arial" w:cs="Arial"/>
                <w:b/>
                <w:color w:val="0B5294" w:themeColor="accent1" w:themeShade="BF"/>
                <w:sz w:val="18"/>
                <w:szCs w:val="18"/>
              </w:rPr>
              <w:t>14</w:t>
            </w:r>
          </w:p>
        </w:tc>
        <w:tc>
          <w:tcPr>
            <w:tcW w:w="540" w:type="dxa"/>
            <w:shd w:val="clear" w:color="auto" w:fill="C7E2FA" w:themeFill="accent1" w:themeFillTint="33"/>
          </w:tcPr>
          <w:p w14:paraId="41B220B6" w14:textId="77777777" w:rsidR="0006278C" w:rsidRPr="003C2840" w:rsidRDefault="0006278C" w:rsidP="0006278C">
            <w:pPr>
              <w:spacing w:after="0" w:line="240" w:lineRule="auto"/>
              <w:jc w:val="center"/>
              <w:rPr>
                <w:rFonts w:ascii="Arial" w:hAnsi="Arial" w:cs="Arial"/>
                <w:b/>
                <w:color w:val="0B5294" w:themeColor="accent1" w:themeShade="BF"/>
                <w:sz w:val="18"/>
                <w:szCs w:val="18"/>
              </w:rPr>
            </w:pPr>
            <w:r w:rsidRPr="003C2840">
              <w:rPr>
                <w:rFonts w:ascii="Arial" w:hAnsi="Arial" w:cs="Arial"/>
                <w:b/>
                <w:color w:val="0B5294" w:themeColor="accent1" w:themeShade="BF"/>
                <w:sz w:val="18"/>
                <w:szCs w:val="18"/>
              </w:rPr>
              <w:t>15</w:t>
            </w:r>
          </w:p>
        </w:tc>
      </w:tr>
      <w:tr w:rsidR="00864968" w:rsidRPr="0006278C" w14:paraId="185D5003" w14:textId="77777777" w:rsidTr="00864968">
        <w:trPr>
          <w:cantSplit/>
          <w:trHeight w:val="1700"/>
        </w:trPr>
        <w:tc>
          <w:tcPr>
            <w:tcW w:w="567" w:type="dxa"/>
            <w:shd w:val="clear" w:color="auto" w:fill="C7E2FA" w:themeFill="accent1" w:themeFillTint="33"/>
            <w:vAlign w:val="bottom"/>
          </w:tcPr>
          <w:p w14:paraId="6269FC3A" w14:textId="77777777" w:rsidR="0006278C" w:rsidRPr="00A93466" w:rsidRDefault="0006278C" w:rsidP="0006278C">
            <w:pPr>
              <w:spacing w:after="120" w:line="240" w:lineRule="auto"/>
              <w:jc w:val="center"/>
              <w:rPr>
                <w:rFonts w:ascii="Arial" w:hAnsi="Arial" w:cs="Arial"/>
                <w:b/>
                <w:color w:val="0070C0"/>
                <w:sz w:val="18"/>
                <w:szCs w:val="18"/>
              </w:rPr>
            </w:pPr>
            <w:r w:rsidRPr="008F03DC">
              <w:rPr>
                <w:rFonts w:ascii="Arial" w:hAnsi="Arial" w:cs="Arial"/>
                <w:b/>
                <w:color w:val="0B5294" w:themeColor="accent1" w:themeShade="BF"/>
                <w:sz w:val="18"/>
                <w:szCs w:val="18"/>
              </w:rPr>
              <w:t>#</w:t>
            </w:r>
          </w:p>
        </w:tc>
        <w:tc>
          <w:tcPr>
            <w:tcW w:w="2194" w:type="dxa"/>
            <w:shd w:val="clear" w:color="auto" w:fill="C7E2FA" w:themeFill="accent1" w:themeFillTint="33"/>
            <w:vAlign w:val="bottom"/>
          </w:tcPr>
          <w:p w14:paraId="16FE333C" w14:textId="77777777" w:rsidR="0006278C" w:rsidRPr="003C2840" w:rsidRDefault="0006278C" w:rsidP="0006278C">
            <w:pPr>
              <w:spacing w:after="120" w:line="240" w:lineRule="auto"/>
              <w:rPr>
                <w:rFonts w:ascii="Arial" w:hAnsi="Arial" w:cs="Arial"/>
                <w:b/>
                <w:color w:val="0B5294" w:themeColor="accent1" w:themeShade="BF"/>
                <w:sz w:val="18"/>
                <w:szCs w:val="18"/>
              </w:rPr>
            </w:pPr>
            <w:r w:rsidRPr="003C2840">
              <w:rPr>
                <w:rFonts w:ascii="Arial" w:hAnsi="Arial" w:cs="Arial"/>
                <w:b/>
                <w:color w:val="0B5294" w:themeColor="accent1" w:themeShade="BF"/>
                <w:sz w:val="18"/>
                <w:szCs w:val="18"/>
              </w:rPr>
              <w:t>Short Title</w:t>
            </w:r>
          </w:p>
        </w:tc>
        <w:tc>
          <w:tcPr>
            <w:tcW w:w="429" w:type="dxa"/>
            <w:shd w:val="clear" w:color="auto" w:fill="C7E2FA" w:themeFill="accent1" w:themeFillTint="33"/>
            <w:textDirection w:val="btLr"/>
          </w:tcPr>
          <w:p w14:paraId="3100496F" w14:textId="77777777" w:rsidR="0006278C" w:rsidRPr="003C2840" w:rsidRDefault="0006278C" w:rsidP="0006278C">
            <w:pPr>
              <w:spacing w:after="0" w:line="240" w:lineRule="auto"/>
              <w:ind w:left="113" w:right="113"/>
              <w:rPr>
                <w:rFonts w:ascii="Arial" w:hAnsi="Arial" w:cs="Arial"/>
                <w:color w:val="0B5294" w:themeColor="accent1" w:themeShade="BF"/>
                <w:sz w:val="18"/>
                <w:szCs w:val="18"/>
              </w:rPr>
            </w:pPr>
            <w:r w:rsidRPr="003C2840">
              <w:rPr>
                <w:rFonts w:ascii="Arial" w:hAnsi="Arial" w:cs="Arial"/>
                <w:color w:val="0B5294" w:themeColor="accent1" w:themeShade="BF"/>
                <w:sz w:val="18"/>
                <w:szCs w:val="18"/>
              </w:rPr>
              <w:t>Well-woman visit</w:t>
            </w:r>
          </w:p>
        </w:tc>
        <w:tc>
          <w:tcPr>
            <w:tcW w:w="619" w:type="dxa"/>
            <w:shd w:val="clear" w:color="auto" w:fill="C7E2FA" w:themeFill="accent1" w:themeFillTint="33"/>
            <w:textDirection w:val="btLr"/>
          </w:tcPr>
          <w:p w14:paraId="730DE97C" w14:textId="77777777" w:rsidR="0006278C" w:rsidRPr="003C2840" w:rsidRDefault="0006278C" w:rsidP="0006278C">
            <w:pPr>
              <w:spacing w:after="0" w:line="240" w:lineRule="auto"/>
              <w:ind w:left="113" w:right="113"/>
              <w:rPr>
                <w:rFonts w:ascii="Arial" w:hAnsi="Arial" w:cs="Arial"/>
                <w:color w:val="0B5294" w:themeColor="accent1" w:themeShade="BF"/>
                <w:sz w:val="18"/>
                <w:szCs w:val="18"/>
              </w:rPr>
            </w:pPr>
            <w:r w:rsidRPr="003C2840">
              <w:rPr>
                <w:rFonts w:ascii="Arial" w:hAnsi="Arial" w:cs="Arial"/>
                <w:color w:val="0B5294" w:themeColor="accent1" w:themeShade="BF"/>
                <w:sz w:val="18"/>
                <w:szCs w:val="18"/>
              </w:rPr>
              <w:t>Low-risk cesarean delivery</w:t>
            </w:r>
          </w:p>
        </w:tc>
        <w:tc>
          <w:tcPr>
            <w:tcW w:w="619" w:type="dxa"/>
            <w:shd w:val="clear" w:color="auto" w:fill="C7E2FA" w:themeFill="accent1" w:themeFillTint="33"/>
            <w:textDirection w:val="btLr"/>
          </w:tcPr>
          <w:p w14:paraId="77C322CB" w14:textId="77777777" w:rsidR="0006278C" w:rsidRPr="003C2840" w:rsidRDefault="0006278C" w:rsidP="0006278C">
            <w:pPr>
              <w:spacing w:after="0" w:line="240" w:lineRule="auto"/>
              <w:ind w:left="113" w:right="113"/>
              <w:rPr>
                <w:rFonts w:ascii="Arial" w:hAnsi="Arial" w:cs="Arial"/>
                <w:color w:val="0B5294" w:themeColor="accent1" w:themeShade="BF"/>
                <w:sz w:val="18"/>
                <w:szCs w:val="18"/>
              </w:rPr>
            </w:pPr>
            <w:r w:rsidRPr="003C2840">
              <w:rPr>
                <w:rFonts w:ascii="Arial" w:hAnsi="Arial" w:cs="Arial"/>
                <w:color w:val="0B5294" w:themeColor="accent1" w:themeShade="BF"/>
                <w:sz w:val="18"/>
                <w:szCs w:val="18"/>
              </w:rPr>
              <w:t>Risk-appropriate perinatal care</w:t>
            </w:r>
          </w:p>
        </w:tc>
        <w:tc>
          <w:tcPr>
            <w:tcW w:w="449" w:type="dxa"/>
            <w:shd w:val="clear" w:color="auto" w:fill="C7E2FA" w:themeFill="accent1" w:themeFillTint="33"/>
            <w:textDirection w:val="btLr"/>
          </w:tcPr>
          <w:p w14:paraId="141AC38E" w14:textId="77777777" w:rsidR="0006278C" w:rsidRPr="003C2840" w:rsidRDefault="0006278C" w:rsidP="0006278C">
            <w:pPr>
              <w:spacing w:after="0" w:line="240" w:lineRule="auto"/>
              <w:ind w:left="113" w:right="113"/>
              <w:rPr>
                <w:rFonts w:ascii="Arial" w:hAnsi="Arial" w:cs="Arial"/>
                <w:color w:val="0B5294" w:themeColor="accent1" w:themeShade="BF"/>
                <w:sz w:val="18"/>
                <w:szCs w:val="18"/>
              </w:rPr>
            </w:pPr>
            <w:r w:rsidRPr="003C2840">
              <w:rPr>
                <w:rFonts w:ascii="Arial" w:hAnsi="Arial" w:cs="Arial"/>
                <w:color w:val="0B5294" w:themeColor="accent1" w:themeShade="BF"/>
                <w:sz w:val="18"/>
                <w:szCs w:val="18"/>
              </w:rPr>
              <w:t>Breastfeeding</w:t>
            </w:r>
          </w:p>
        </w:tc>
        <w:tc>
          <w:tcPr>
            <w:tcW w:w="338" w:type="dxa"/>
            <w:shd w:val="clear" w:color="auto" w:fill="C7E2FA" w:themeFill="accent1" w:themeFillTint="33"/>
            <w:textDirection w:val="btLr"/>
          </w:tcPr>
          <w:p w14:paraId="61CCD129" w14:textId="77777777" w:rsidR="0006278C" w:rsidRPr="003C2840" w:rsidRDefault="0006278C" w:rsidP="0006278C">
            <w:pPr>
              <w:spacing w:after="0" w:line="240" w:lineRule="auto"/>
              <w:ind w:left="113" w:right="113"/>
              <w:rPr>
                <w:rFonts w:ascii="Arial" w:hAnsi="Arial" w:cs="Arial"/>
                <w:color w:val="0B5294" w:themeColor="accent1" w:themeShade="BF"/>
                <w:sz w:val="18"/>
                <w:szCs w:val="18"/>
              </w:rPr>
            </w:pPr>
            <w:r w:rsidRPr="003C2840">
              <w:rPr>
                <w:rFonts w:ascii="Arial" w:hAnsi="Arial" w:cs="Arial"/>
                <w:color w:val="0B5294" w:themeColor="accent1" w:themeShade="BF"/>
                <w:sz w:val="18"/>
                <w:szCs w:val="18"/>
              </w:rPr>
              <w:t>Safe sleep</w:t>
            </w:r>
          </w:p>
        </w:tc>
        <w:tc>
          <w:tcPr>
            <w:tcW w:w="540" w:type="dxa"/>
            <w:shd w:val="clear" w:color="auto" w:fill="C7E2FA" w:themeFill="accent1" w:themeFillTint="33"/>
            <w:textDirection w:val="btLr"/>
          </w:tcPr>
          <w:p w14:paraId="0981030A" w14:textId="1A0D4C01" w:rsidR="0006278C" w:rsidRPr="003C2840" w:rsidRDefault="008F03DC" w:rsidP="0006278C">
            <w:pPr>
              <w:spacing w:after="0" w:line="240" w:lineRule="auto"/>
              <w:ind w:left="113" w:right="113"/>
              <w:rPr>
                <w:rFonts w:ascii="Arial" w:hAnsi="Arial" w:cs="Arial"/>
                <w:color w:val="0B5294" w:themeColor="accent1" w:themeShade="BF"/>
                <w:sz w:val="18"/>
                <w:szCs w:val="18"/>
              </w:rPr>
            </w:pPr>
            <w:r>
              <w:rPr>
                <w:rFonts w:ascii="Arial" w:hAnsi="Arial" w:cs="Arial"/>
                <w:color w:val="0B5294" w:themeColor="accent1" w:themeShade="BF"/>
                <w:sz w:val="18"/>
                <w:szCs w:val="18"/>
              </w:rPr>
              <w:t>Develop</w:t>
            </w:r>
            <w:r w:rsidR="0006278C" w:rsidRPr="003C2840">
              <w:rPr>
                <w:rFonts w:ascii="Arial" w:hAnsi="Arial" w:cs="Arial"/>
                <w:color w:val="0B5294" w:themeColor="accent1" w:themeShade="BF"/>
                <w:sz w:val="18"/>
                <w:szCs w:val="18"/>
              </w:rPr>
              <w:t>mental screening</w:t>
            </w:r>
          </w:p>
        </w:tc>
        <w:tc>
          <w:tcPr>
            <w:tcW w:w="540" w:type="dxa"/>
            <w:shd w:val="clear" w:color="auto" w:fill="C7E2FA" w:themeFill="accent1" w:themeFillTint="33"/>
            <w:textDirection w:val="btLr"/>
          </w:tcPr>
          <w:p w14:paraId="355E54C0" w14:textId="77777777" w:rsidR="0006278C" w:rsidRPr="003C2840" w:rsidRDefault="0006278C" w:rsidP="0006278C">
            <w:pPr>
              <w:spacing w:after="0" w:line="240" w:lineRule="auto"/>
              <w:ind w:left="113" w:right="113"/>
              <w:rPr>
                <w:rFonts w:ascii="Arial" w:hAnsi="Arial" w:cs="Arial"/>
                <w:color w:val="0B5294" w:themeColor="accent1" w:themeShade="BF"/>
                <w:sz w:val="18"/>
                <w:szCs w:val="18"/>
              </w:rPr>
            </w:pPr>
            <w:r w:rsidRPr="003C2840">
              <w:rPr>
                <w:rFonts w:ascii="Arial" w:hAnsi="Arial" w:cs="Arial"/>
                <w:color w:val="0B5294" w:themeColor="accent1" w:themeShade="BF"/>
                <w:sz w:val="18"/>
                <w:szCs w:val="18"/>
              </w:rPr>
              <w:t>Injury hospitalization</w:t>
            </w:r>
          </w:p>
        </w:tc>
        <w:tc>
          <w:tcPr>
            <w:tcW w:w="450" w:type="dxa"/>
            <w:shd w:val="clear" w:color="auto" w:fill="C7E2FA" w:themeFill="accent1" w:themeFillTint="33"/>
            <w:textDirection w:val="btLr"/>
          </w:tcPr>
          <w:p w14:paraId="7EE6137A" w14:textId="77777777" w:rsidR="0006278C" w:rsidRPr="003C2840" w:rsidRDefault="0006278C" w:rsidP="0006278C">
            <w:pPr>
              <w:spacing w:after="0" w:line="240" w:lineRule="auto"/>
              <w:ind w:left="113" w:right="113"/>
              <w:rPr>
                <w:rFonts w:ascii="Arial" w:hAnsi="Arial" w:cs="Arial"/>
                <w:color w:val="0B5294" w:themeColor="accent1" w:themeShade="BF"/>
                <w:sz w:val="18"/>
                <w:szCs w:val="18"/>
              </w:rPr>
            </w:pPr>
            <w:r w:rsidRPr="003C2840">
              <w:rPr>
                <w:rFonts w:ascii="Arial" w:hAnsi="Arial" w:cs="Arial"/>
                <w:color w:val="0B5294" w:themeColor="accent1" w:themeShade="BF"/>
                <w:sz w:val="18"/>
                <w:szCs w:val="18"/>
              </w:rPr>
              <w:t>Physical activity</w:t>
            </w:r>
          </w:p>
        </w:tc>
        <w:tc>
          <w:tcPr>
            <w:tcW w:w="360" w:type="dxa"/>
            <w:shd w:val="clear" w:color="auto" w:fill="C7E2FA" w:themeFill="accent1" w:themeFillTint="33"/>
            <w:textDirection w:val="btLr"/>
          </w:tcPr>
          <w:p w14:paraId="5B862555" w14:textId="77777777" w:rsidR="0006278C" w:rsidRPr="003C2840" w:rsidRDefault="0006278C" w:rsidP="0006278C">
            <w:pPr>
              <w:spacing w:after="0" w:line="240" w:lineRule="auto"/>
              <w:ind w:left="113" w:right="113"/>
              <w:rPr>
                <w:rFonts w:ascii="Arial" w:hAnsi="Arial" w:cs="Arial"/>
                <w:color w:val="0B5294" w:themeColor="accent1" w:themeShade="BF"/>
                <w:sz w:val="18"/>
                <w:szCs w:val="18"/>
              </w:rPr>
            </w:pPr>
            <w:r w:rsidRPr="003C2840">
              <w:rPr>
                <w:rFonts w:ascii="Arial" w:hAnsi="Arial" w:cs="Arial"/>
                <w:color w:val="0B5294" w:themeColor="accent1" w:themeShade="BF"/>
                <w:sz w:val="18"/>
                <w:szCs w:val="18"/>
              </w:rPr>
              <w:t>Bullying</w:t>
            </w:r>
          </w:p>
        </w:tc>
        <w:tc>
          <w:tcPr>
            <w:tcW w:w="636" w:type="dxa"/>
            <w:shd w:val="clear" w:color="auto" w:fill="C7E2FA" w:themeFill="accent1" w:themeFillTint="33"/>
            <w:textDirection w:val="btLr"/>
          </w:tcPr>
          <w:p w14:paraId="44530B04" w14:textId="55FC3180" w:rsidR="0006278C" w:rsidRPr="003C2840" w:rsidRDefault="0006278C" w:rsidP="0006278C">
            <w:pPr>
              <w:spacing w:after="0" w:line="240" w:lineRule="auto"/>
              <w:ind w:left="113" w:right="113"/>
              <w:rPr>
                <w:rFonts w:ascii="Arial" w:hAnsi="Arial" w:cs="Arial"/>
                <w:color w:val="0B5294" w:themeColor="accent1" w:themeShade="BF"/>
                <w:sz w:val="18"/>
                <w:szCs w:val="18"/>
              </w:rPr>
            </w:pPr>
            <w:r w:rsidRPr="003C2840">
              <w:rPr>
                <w:rFonts w:ascii="Arial" w:hAnsi="Arial" w:cs="Arial"/>
                <w:color w:val="0B5294" w:themeColor="accent1" w:themeShade="BF"/>
                <w:sz w:val="18"/>
                <w:szCs w:val="18"/>
              </w:rPr>
              <w:t xml:space="preserve">Adolescent </w:t>
            </w:r>
            <w:r w:rsidR="008F03DC">
              <w:rPr>
                <w:rFonts w:ascii="Arial" w:hAnsi="Arial" w:cs="Arial"/>
                <w:color w:val="0B5294" w:themeColor="accent1" w:themeShade="BF"/>
                <w:sz w:val="18"/>
                <w:szCs w:val="18"/>
              </w:rPr>
              <w:t xml:space="preserve">     </w:t>
            </w:r>
            <w:r w:rsidRPr="003C2840">
              <w:rPr>
                <w:rFonts w:ascii="Arial" w:hAnsi="Arial" w:cs="Arial"/>
                <w:color w:val="0B5294" w:themeColor="accent1" w:themeShade="BF"/>
                <w:sz w:val="18"/>
                <w:szCs w:val="18"/>
              </w:rPr>
              <w:t>well-visit</w:t>
            </w:r>
          </w:p>
        </w:tc>
        <w:tc>
          <w:tcPr>
            <w:tcW w:w="491" w:type="dxa"/>
            <w:shd w:val="clear" w:color="auto" w:fill="C7E2FA" w:themeFill="accent1" w:themeFillTint="33"/>
            <w:textDirection w:val="btLr"/>
          </w:tcPr>
          <w:p w14:paraId="40DA69D3" w14:textId="77777777" w:rsidR="0006278C" w:rsidRPr="003C2840" w:rsidRDefault="0006278C" w:rsidP="0006278C">
            <w:pPr>
              <w:spacing w:after="0" w:line="240" w:lineRule="auto"/>
              <w:ind w:left="113" w:right="113"/>
              <w:rPr>
                <w:rFonts w:ascii="Arial" w:hAnsi="Arial" w:cs="Arial"/>
                <w:color w:val="0B5294" w:themeColor="accent1" w:themeShade="BF"/>
                <w:sz w:val="18"/>
                <w:szCs w:val="18"/>
              </w:rPr>
            </w:pPr>
            <w:r w:rsidRPr="003C2840">
              <w:rPr>
                <w:rFonts w:ascii="Arial" w:hAnsi="Arial" w:cs="Arial"/>
                <w:color w:val="0B5294" w:themeColor="accent1" w:themeShade="BF"/>
                <w:sz w:val="18"/>
                <w:szCs w:val="18"/>
              </w:rPr>
              <w:t>Medical home</w:t>
            </w:r>
          </w:p>
        </w:tc>
        <w:tc>
          <w:tcPr>
            <w:tcW w:w="493" w:type="dxa"/>
            <w:shd w:val="clear" w:color="auto" w:fill="C7E2FA" w:themeFill="accent1" w:themeFillTint="33"/>
            <w:textDirection w:val="btLr"/>
          </w:tcPr>
          <w:p w14:paraId="161AA789" w14:textId="77777777" w:rsidR="0006278C" w:rsidRPr="003C2840" w:rsidRDefault="0006278C" w:rsidP="0006278C">
            <w:pPr>
              <w:spacing w:after="0" w:line="240" w:lineRule="auto"/>
              <w:ind w:left="113" w:right="113"/>
              <w:rPr>
                <w:rFonts w:ascii="Arial" w:hAnsi="Arial" w:cs="Arial"/>
                <w:color w:val="0B5294" w:themeColor="accent1" w:themeShade="BF"/>
                <w:sz w:val="18"/>
                <w:szCs w:val="18"/>
              </w:rPr>
            </w:pPr>
            <w:r w:rsidRPr="003C2840">
              <w:rPr>
                <w:rFonts w:ascii="Arial" w:hAnsi="Arial" w:cs="Arial"/>
                <w:color w:val="0B5294" w:themeColor="accent1" w:themeShade="BF"/>
                <w:sz w:val="18"/>
                <w:szCs w:val="18"/>
              </w:rPr>
              <w:t>Transition</w:t>
            </w:r>
          </w:p>
        </w:tc>
        <w:tc>
          <w:tcPr>
            <w:tcW w:w="540" w:type="dxa"/>
            <w:shd w:val="clear" w:color="auto" w:fill="C7E2FA" w:themeFill="accent1" w:themeFillTint="33"/>
            <w:textDirection w:val="btLr"/>
          </w:tcPr>
          <w:p w14:paraId="1799EB1E" w14:textId="77777777" w:rsidR="0006278C" w:rsidRPr="003C2840" w:rsidRDefault="0006278C" w:rsidP="0006278C">
            <w:pPr>
              <w:spacing w:after="0" w:line="240" w:lineRule="auto"/>
              <w:ind w:left="113" w:right="113"/>
              <w:rPr>
                <w:rFonts w:ascii="Arial" w:hAnsi="Arial" w:cs="Arial"/>
                <w:color w:val="0B5294" w:themeColor="accent1" w:themeShade="BF"/>
                <w:sz w:val="18"/>
                <w:szCs w:val="18"/>
              </w:rPr>
            </w:pPr>
            <w:r w:rsidRPr="003C2840">
              <w:rPr>
                <w:rFonts w:ascii="Arial" w:hAnsi="Arial" w:cs="Arial"/>
                <w:color w:val="0B5294" w:themeColor="accent1" w:themeShade="BF"/>
                <w:sz w:val="18"/>
                <w:szCs w:val="18"/>
              </w:rPr>
              <w:t>Preventive dental visit</w:t>
            </w:r>
          </w:p>
        </w:tc>
        <w:tc>
          <w:tcPr>
            <w:tcW w:w="450" w:type="dxa"/>
            <w:shd w:val="clear" w:color="auto" w:fill="C7E2FA" w:themeFill="accent1" w:themeFillTint="33"/>
            <w:textDirection w:val="btLr"/>
          </w:tcPr>
          <w:p w14:paraId="06DDA828" w14:textId="77777777" w:rsidR="0006278C" w:rsidRPr="003C2840" w:rsidRDefault="0006278C" w:rsidP="0006278C">
            <w:pPr>
              <w:spacing w:after="0" w:line="240" w:lineRule="auto"/>
              <w:ind w:left="113" w:right="113"/>
              <w:rPr>
                <w:rFonts w:ascii="Arial" w:hAnsi="Arial" w:cs="Arial"/>
                <w:color w:val="0B5294" w:themeColor="accent1" w:themeShade="BF"/>
                <w:sz w:val="18"/>
                <w:szCs w:val="18"/>
              </w:rPr>
            </w:pPr>
            <w:r w:rsidRPr="003C2840">
              <w:rPr>
                <w:rFonts w:ascii="Arial" w:hAnsi="Arial" w:cs="Arial"/>
                <w:color w:val="0B5294" w:themeColor="accent1" w:themeShade="BF"/>
                <w:sz w:val="18"/>
                <w:szCs w:val="18"/>
              </w:rPr>
              <w:t>Smoking</w:t>
            </w:r>
          </w:p>
        </w:tc>
        <w:tc>
          <w:tcPr>
            <w:tcW w:w="540" w:type="dxa"/>
            <w:shd w:val="clear" w:color="auto" w:fill="C7E2FA" w:themeFill="accent1" w:themeFillTint="33"/>
            <w:textDirection w:val="btLr"/>
          </w:tcPr>
          <w:p w14:paraId="0088BA3C" w14:textId="77777777" w:rsidR="0006278C" w:rsidRPr="003C2840" w:rsidRDefault="0006278C" w:rsidP="0006278C">
            <w:pPr>
              <w:spacing w:after="0" w:line="240" w:lineRule="auto"/>
              <w:ind w:left="113" w:right="113"/>
              <w:rPr>
                <w:rFonts w:ascii="Arial" w:hAnsi="Arial" w:cs="Arial"/>
                <w:color w:val="0B5294" w:themeColor="accent1" w:themeShade="BF"/>
                <w:sz w:val="18"/>
                <w:szCs w:val="18"/>
              </w:rPr>
            </w:pPr>
            <w:r w:rsidRPr="003C2840">
              <w:rPr>
                <w:rFonts w:ascii="Arial" w:hAnsi="Arial" w:cs="Arial"/>
                <w:color w:val="0B5294" w:themeColor="accent1" w:themeShade="BF"/>
                <w:sz w:val="18"/>
                <w:szCs w:val="18"/>
              </w:rPr>
              <w:t>Adequate insurance</w:t>
            </w:r>
          </w:p>
        </w:tc>
      </w:tr>
      <w:tr w:rsidR="00864968" w:rsidRPr="0006278C" w14:paraId="46D21BD0" w14:textId="77777777" w:rsidTr="00864968">
        <w:tc>
          <w:tcPr>
            <w:tcW w:w="567" w:type="dxa"/>
          </w:tcPr>
          <w:p w14:paraId="4ED3501E" w14:textId="70497E64" w:rsidR="0006278C" w:rsidRPr="0006278C" w:rsidRDefault="004304E6" w:rsidP="004304E6">
            <w:pPr>
              <w:spacing w:after="0" w:line="240" w:lineRule="auto"/>
              <w:rPr>
                <w:rFonts w:ascii="Arial" w:hAnsi="Arial" w:cs="Arial"/>
                <w:sz w:val="18"/>
              </w:rPr>
            </w:pPr>
            <w:r>
              <w:rPr>
                <w:rFonts w:ascii="Arial" w:hAnsi="Arial" w:cs="Arial"/>
                <w:sz w:val="18"/>
              </w:rPr>
              <w:t xml:space="preserve"> </w:t>
            </w:r>
            <w:r w:rsidR="0006278C" w:rsidRPr="0006278C">
              <w:rPr>
                <w:rFonts w:ascii="Arial" w:hAnsi="Arial" w:cs="Arial"/>
                <w:sz w:val="18"/>
              </w:rPr>
              <w:t>1</w:t>
            </w:r>
          </w:p>
        </w:tc>
        <w:tc>
          <w:tcPr>
            <w:tcW w:w="2194" w:type="dxa"/>
          </w:tcPr>
          <w:p w14:paraId="1BB569C0" w14:textId="77777777" w:rsidR="0006278C" w:rsidRPr="0006278C" w:rsidRDefault="0006278C" w:rsidP="0006278C">
            <w:pPr>
              <w:spacing w:after="0" w:line="240" w:lineRule="auto"/>
              <w:rPr>
                <w:rFonts w:ascii="Arial" w:hAnsi="Arial" w:cs="Arial"/>
                <w:sz w:val="18"/>
              </w:rPr>
            </w:pPr>
            <w:r w:rsidRPr="0006278C">
              <w:rPr>
                <w:rFonts w:ascii="Arial" w:hAnsi="Arial" w:cs="Arial"/>
                <w:sz w:val="18"/>
              </w:rPr>
              <w:t>Early prenatal care</w:t>
            </w:r>
          </w:p>
        </w:tc>
        <w:tc>
          <w:tcPr>
            <w:tcW w:w="429" w:type="dxa"/>
          </w:tcPr>
          <w:p w14:paraId="19A6BAA0" w14:textId="77777777" w:rsidR="0006278C" w:rsidRPr="0006278C" w:rsidRDefault="0006278C" w:rsidP="0006278C">
            <w:pPr>
              <w:spacing w:after="0" w:line="240" w:lineRule="auto"/>
              <w:jc w:val="center"/>
              <w:rPr>
                <w:rFonts w:ascii="Arial" w:hAnsi="Arial" w:cs="Arial"/>
                <w:sz w:val="18"/>
              </w:rPr>
            </w:pPr>
          </w:p>
        </w:tc>
        <w:tc>
          <w:tcPr>
            <w:tcW w:w="619" w:type="dxa"/>
          </w:tcPr>
          <w:p w14:paraId="2C5257BB" w14:textId="77777777" w:rsidR="0006278C" w:rsidRPr="0006278C" w:rsidRDefault="0006278C" w:rsidP="0006278C">
            <w:pPr>
              <w:spacing w:after="0" w:line="240" w:lineRule="auto"/>
              <w:jc w:val="center"/>
              <w:rPr>
                <w:rFonts w:ascii="Arial" w:hAnsi="Arial" w:cs="Arial"/>
                <w:sz w:val="18"/>
              </w:rPr>
            </w:pPr>
          </w:p>
        </w:tc>
        <w:tc>
          <w:tcPr>
            <w:tcW w:w="619" w:type="dxa"/>
          </w:tcPr>
          <w:p w14:paraId="6DFC5EF9" w14:textId="77777777" w:rsidR="0006278C" w:rsidRPr="0006278C" w:rsidRDefault="0006278C" w:rsidP="0006278C">
            <w:pPr>
              <w:spacing w:after="0" w:line="240" w:lineRule="auto"/>
              <w:jc w:val="center"/>
              <w:rPr>
                <w:rFonts w:ascii="Arial" w:hAnsi="Arial" w:cs="Arial"/>
                <w:sz w:val="18"/>
              </w:rPr>
            </w:pPr>
          </w:p>
        </w:tc>
        <w:tc>
          <w:tcPr>
            <w:tcW w:w="449" w:type="dxa"/>
          </w:tcPr>
          <w:p w14:paraId="05D45F96" w14:textId="77777777" w:rsidR="0006278C" w:rsidRPr="0006278C" w:rsidRDefault="0006278C" w:rsidP="0006278C">
            <w:pPr>
              <w:spacing w:after="0" w:line="240" w:lineRule="auto"/>
              <w:jc w:val="center"/>
              <w:rPr>
                <w:rFonts w:ascii="Arial" w:hAnsi="Arial" w:cs="Arial"/>
                <w:sz w:val="18"/>
              </w:rPr>
            </w:pPr>
          </w:p>
        </w:tc>
        <w:tc>
          <w:tcPr>
            <w:tcW w:w="338" w:type="dxa"/>
          </w:tcPr>
          <w:p w14:paraId="3F63AAF9" w14:textId="77777777" w:rsidR="0006278C" w:rsidRPr="0006278C" w:rsidRDefault="0006278C" w:rsidP="0006278C">
            <w:pPr>
              <w:spacing w:after="0" w:line="240" w:lineRule="auto"/>
              <w:jc w:val="center"/>
              <w:rPr>
                <w:rFonts w:ascii="Arial" w:hAnsi="Arial" w:cs="Arial"/>
                <w:sz w:val="18"/>
              </w:rPr>
            </w:pPr>
          </w:p>
        </w:tc>
        <w:tc>
          <w:tcPr>
            <w:tcW w:w="540" w:type="dxa"/>
          </w:tcPr>
          <w:p w14:paraId="6DA2F61C" w14:textId="77777777" w:rsidR="0006278C" w:rsidRPr="0006278C" w:rsidRDefault="0006278C" w:rsidP="0006278C">
            <w:pPr>
              <w:spacing w:after="0" w:line="240" w:lineRule="auto"/>
              <w:jc w:val="center"/>
              <w:rPr>
                <w:rFonts w:ascii="Arial" w:hAnsi="Arial" w:cs="Arial"/>
                <w:sz w:val="18"/>
              </w:rPr>
            </w:pPr>
          </w:p>
        </w:tc>
        <w:tc>
          <w:tcPr>
            <w:tcW w:w="540" w:type="dxa"/>
          </w:tcPr>
          <w:p w14:paraId="1FC88058" w14:textId="77777777" w:rsidR="0006278C" w:rsidRPr="0006278C" w:rsidRDefault="0006278C" w:rsidP="0006278C">
            <w:pPr>
              <w:spacing w:after="0" w:line="240" w:lineRule="auto"/>
              <w:jc w:val="center"/>
              <w:rPr>
                <w:rFonts w:ascii="Arial" w:hAnsi="Arial" w:cs="Arial"/>
                <w:sz w:val="18"/>
              </w:rPr>
            </w:pPr>
          </w:p>
        </w:tc>
        <w:tc>
          <w:tcPr>
            <w:tcW w:w="450" w:type="dxa"/>
          </w:tcPr>
          <w:p w14:paraId="69F0604C" w14:textId="77777777" w:rsidR="0006278C" w:rsidRPr="0006278C" w:rsidRDefault="0006278C" w:rsidP="0006278C">
            <w:pPr>
              <w:spacing w:after="0" w:line="240" w:lineRule="auto"/>
              <w:jc w:val="center"/>
              <w:rPr>
                <w:rFonts w:ascii="Arial" w:hAnsi="Arial" w:cs="Arial"/>
                <w:sz w:val="18"/>
              </w:rPr>
            </w:pPr>
          </w:p>
        </w:tc>
        <w:tc>
          <w:tcPr>
            <w:tcW w:w="360" w:type="dxa"/>
          </w:tcPr>
          <w:p w14:paraId="45AB2384" w14:textId="77777777" w:rsidR="0006278C" w:rsidRPr="0006278C" w:rsidRDefault="0006278C" w:rsidP="0006278C">
            <w:pPr>
              <w:spacing w:after="0" w:line="240" w:lineRule="auto"/>
              <w:jc w:val="center"/>
              <w:rPr>
                <w:rFonts w:ascii="Arial" w:hAnsi="Arial" w:cs="Arial"/>
                <w:sz w:val="18"/>
              </w:rPr>
            </w:pPr>
          </w:p>
        </w:tc>
        <w:tc>
          <w:tcPr>
            <w:tcW w:w="636" w:type="dxa"/>
          </w:tcPr>
          <w:p w14:paraId="517E6BF9" w14:textId="77777777" w:rsidR="0006278C" w:rsidRPr="0006278C" w:rsidRDefault="0006278C" w:rsidP="0006278C">
            <w:pPr>
              <w:spacing w:after="0" w:line="240" w:lineRule="auto"/>
              <w:jc w:val="center"/>
              <w:rPr>
                <w:rFonts w:ascii="Arial" w:hAnsi="Arial" w:cs="Arial"/>
                <w:sz w:val="18"/>
              </w:rPr>
            </w:pPr>
          </w:p>
        </w:tc>
        <w:tc>
          <w:tcPr>
            <w:tcW w:w="491" w:type="dxa"/>
          </w:tcPr>
          <w:p w14:paraId="7A01144F" w14:textId="77777777" w:rsidR="0006278C" w:rsidRPr="0006278C" w:rsidRDefault="0006278C" w:rsidP="0006278C">
            <w:pPr>
              <w:spacing w:after="0" w:line="240" w:lineRule="auto"/>
              <w:jc w:val="center"/>
              <w:rPr>
                <w:rFonts w:ascii="Arial" w:hAnsi="Arial" w:cs="Arial"/>
                <w:sz w:val="18"/>
              </w:rPr>
            </w:pPr>
          </w:p>
        </w:tc>
        <w:tc>
          <w:tcPr>
            <w:tcW w:w="493" w:type="dxa"/>
          </w:tcPr>
          <w:p w14:paraId="16750746" w14:textId="77777777" w:rsidR="0006278C" w:rsidRPr="0006278C" w:rsidRDefault="0006278C" w:rsidP="0006278C">
            <w:pPr>
              <w:spacing w:after="0" w:line="240" w:lineRule="auto"/>
              <w:jc w:val="center"/>
              <w:rPr>
                <w:rFonts w:ascii="Arial" w:hAnsi="Arial" w:cs="Arial"/>
                <w:sz w:val="18"/>
              </w:rPr>
            </w:pPr>
          </w:p>
        </w:tc>
        <w:tc>
          <w:tcPr>
            <w:tcW w:w="540" w:type="dxa"/>
          </w:tcPr>
          <w:p w14:paraId="22A4C38D" w14:textId="77777777" w:rsidR="0006278C" w:rsidRPr="0006278C" w:rsidRDefault="0006278C" w:rsidP="0006278C">
            <w:pPr>
              <w:spacing w:after="0" w:line="240" w:lineRule="auto"/>
              <w:jc w:val="center"/>
              <w:rPr>
                <w:rFonts w:ascii="Arial" w:hAnsi="Arial" w:cs="Arial"/>
                <w:sz w:val="18"/>
              </w:rPr>
            </w:pPr>
          </w:p>
        </w:tc>
        <w:tc>
          <w:tcPr>
            <w:tcW w:w="450" w:type="dxa"/>
          </w:tcPr>
          <w:p w14:paraId="25EEB7C4" w14:textId="77777777" w:rsidR="0006278C" w:rsidRPr="0006278C" w:rsidRDefault="0006278C" w:rsidP="0006278C">
            <w:pPr>
              <w:spacing w:after="0" w:line="240" w:lineRule="auto"/>
              <w:jc w:val="center"/>
              <w:rPr>
                <w:rFonts w:ascii="Arial" w:hAnsi="Arial" w:cs="Arial"/>
                <w:sz w:val="18"/>
              </w:rPr>
            </w:pPr>
          </w:p>
        </w:tc>
        <w:tc>
          <w:tcPr>
            <w:tcW w:w="540" w:type="dxa"/>
          </w:tcPr>
          <w:p w14:paraId="520C8EE0" w14:textId="77777777" w:rsidR="0006278C" w:rsidRPr="0006278C" w:rsidRDefault="0006278C" w:rsidP="0006278C">
            <w:pPr>
              <w:spacing w:after="0" w:line="240" w:lineRule="auto"/>
              <w:jc w:val="center"/>
              <w:rPr>
                <w:rFonts w:ascii="Arial" w:hAnsi="Arial" w:cs="Arial"/>
                <w:sz w:val="18"/>
              </w:rPr>
            </w:pPr>
          </w:p>
        </w:tc>
      </w:tr>
      <w:tr w:rsidR="00864968" w:rsidRPr="0006278C" w14:paraId="7AAFDD4E" w14:textId="77777777" w:rsidTr="00864968">
        <w:tc>
          <w:tcPr>
            <w:tcW w:w="567" w:type="dxa"/>
          </w:tcPr>
          <w:p w14:paraId="0581DEBF" w14:textId="639EE1E7" w:rsidR="0006278C" w:rsidRPr="0006278C" w:rsidRDefault="004304E6" w:rsidP="004304E6">
            <w:pPr>
              <w:spacing w:after="0" w:line="240" w:lineRule="auto"/>
              <w:rPr>
                <w:rFonts w:ascii="Arial" w:hAnsi="Arial" w:cs="Arial"/>
                <w:sz w:val="18"/>
              </w:rPr>
            </w:pPr>
            <w:r>
              <w:rPr>
                <w:rFonts w:ascii="Arial" w:hAnsi="Arial" w:cs="Arial"/>
                <w:sz w:val="18"/>
              </w:rPr>
              <w:t xml:space="preserve"> </w:t>
            </w:r>
            <w:r w:rsidR="0006278C" w:rsidRPr="0006278C">
              <w:rPr>
                <w:rFonts w:ascii="Arial" w:hAnsi="Arial" w:cs="Arial"/>
                <w:sz w:val="18"/>
              </w:rPr>
              <w:t>2</w:t>
            </w:r>
          </w:p>
        </w:tc>
        <w:tc>
          <w:tcPr>
            <w:tcW w:w="2194" w:type="dxa"/>
          </w:tcPr>
          <w:p w14:paraId="624AF33E" w14:textId="77777777" w:rsidR="0006278C" w:rsidRPr="0006278C" w:rsidRDefault="0006278C" w:rsidP="0006278C">
            <w:pPr>
              <w:spacing w:after="0" w:line="240" w:lineRule="auto"/>
              <w:rPr>
                <w:rFonts w:ascii="Arial" w:hAnsi="Arial" w:cs="Arial"/>
                <w:sz w:val="18"/>
              </w:rPr>
            </w:pPr>
            <w:r w:rsidRPr="0006278C">
              <w:rPr>
                <w:rFonts w:ascii="Arial" w:hAnsi="Arial" w:cs="Arial"/>
                <w:sz w:val="18"/>
              </w:rPr>
              <w:t>Severe maternal morbidity</w:t>
            </w:r>
          </w:p>
        </w:tc>
        <w:tc>
          <w:tcPr>
            <w:tcW w:w="429" w:type="dxa"/>
          </w:tcPr>
          <w:p w14:paraId="706271A7"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619" w:type="dxa"/>
          </w:tcPr>
          <w:p w14:paraId="0BAF1599"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619" w:type="dxa"/>
          </w:tcPr>
          <w:p w14:paraId="56DC40DC" w14:textId="77777777" w:rsidR="0006278C" w:rsidRPr="0006278C" w:rsidRDefault="0006278C" w:rsidP="0006278C">
            <w:pPr>
              <w:spacing w:after="0" w:line="240" w:lineRule="auto"/>
              <w:jc w:val="center"/>
              <w:rPr>
                <w:rFonts w:ascii="Arial" w:hAnsi="Arial" w:cs="Arial"/>
                <w:sz w:val="18"/>
              </w:rPr>
            </w:pPr>
          </w:p>
        </w:tc>
        <w:tc>
          <w:tcPr>
            <w:tcW w:w="449" w:type="dxa"/>
          </w:tcPr>
          <w:p w14:paraId="5AB10D30" w14:textId="77777777" w:rsidR="0006278C" w:rsidRPr="0006278C" w:rsidRDefault="0006278C" w:rsidP="0006278C">
            <w:pPr>
              <w:spacing w:after="0" w:line="240" w:lineRule="auto"/>
              <w:jc w:val="center"/>
              <w:rPr>
                <w:rFonts w:ascii="Arial" w:hAnsi="Arial" w:cs="Arial"/>
                <w:sz w:val="18"/>
              </w:rPr>
            </w:pPr>
          </w:p>
        </w:tc>
        <w:tc>
          <w:tcPr>
            <w:tcW w:w="338" w:type="dxa"/>
          </w:tcPr>
          <w:p w14:paraId="5553DF66" w14:textId="77777777" w:rsidR="0006278C" w:rsidRPr="0006278C" w:rsidRDefault="0006278C" w:rsidP="0006278C">
            <w:pPr>
              <w:spacing w:after="0" w:line="240" w:lineRule="auto"/>
              <w:jc w:val="center"/>
              <w:rPr>
                <w:rFonts w:ascii="Arial" w:hAnsi="Arial" w:cs="Arial"/>
                <w:sz w:val="18"/>
              </w:rPr>
            </w:pPr>
          </w:p>
        </w:tc>
        <w:tc>
          <w:tcPr>
            <w:tcW w:w="540" w:type="dxa"/>
          </w:tcPr>
          <w:p w14:paraId="0DAE3AA7" w14:textId="77777777" w:rsidR="0006278C" w:rsidRPr="0006278C" w:rsidRDefault="0006278C" w:rsidP="0006278C">
            <w:pPr>
              <w:spacing w:after="0" w:line="240" w:lineRule="auto"/>
              <w:jc w:val="center"/>
              <w:rPr>
                <w:rFonts w:ascii="Arial" w:hAnsi="Arial" w:cs="Arial"/>
                <w:sz w:val="18"/>
              </w:rPr>
            </w:pPr>
          </w:p>
        </w:tc>
        <w:tc>
          <w:tcPr>
            <w:tcW w:w="540" w:type="dxa"/>
          </w:tcPr>
          <w:p w14:paraId="700CD00A" w14:textId="77777777" w:rsidR="0006278C" w:rsidRPr="0006278C" w:rsidRDefault="0006278C" w:rsidP="0006278C">
            <w:pPr>
              <w:spacing w:after="0" w:line="240" w:lineRule="auto"/>
              <w:jc w:val="center"/>
              <w:rPr>
                <w:rFonts w:ascii="Arial" w:hAnsi="Arial" w:cs="Arial"/>
                <w:sz w:val="18"/>
              </w:rPr>
            </w:pPr>
          </w:p>
        </w:tc>
        <w:tc>
          <w:tcPr>
            <w:tcW w:w="450" w:type="dxa"/>
          </w:tcPr>
          <w:p w14:paraId="3695F264" w14:textId="77777777" w:rsidR="0006278C" w:rsidRPr="0006278C" w:rsidRDefault="0006278C" w:rsidP="0006278C">
            <w:pPr>
              <w:spacing w:after="0" w:line="240" w:lineRule="auto"/>
              <w:jc w:val="center"/>
              <w:rPr>
                <w:rFonts w:ascii="Arial" w:hAnsi="Arial" w:cs="Arial"/>
                <w:sz w:val="18"/>
              </w:rPr>
            </w:pPr>
          </w:p>
        </w:tc>
        <w:tc>
          <w:tcPr>
            <w:tcW w:w="360" w:type="dxa"/>
          </w:tcPr>
          <w:p w14:paraId="3180A964" w14:textId="77777777" w:rsidR="0006278C" w:rsidRPr="0006278C" w:rsidRDefault="0006278C" w:rsidP="0006278C">
            <w:pPr>
              <w:spacing w:after="0" w:line="240" w:lineRule="auto"/>
              <w:jc w:val="center"/>
              <w:rPr>
                <w:rFonts w:ascii="Arial" w:hAnsi="Arial" w:cs="Arial"/>
                <w:sz w:val="18"/>
              </w:rPr>
            </w:pPr>
          </w:p>
        </w:tc>
        <w:tc>
          <w:tcPr>
            <w:tcW w:w="636" w:type="dxa"/>
          </w:tcPr>
          <w:p w14:paraId="2FEF2A9C" w14:textId="77777777" w:rsidR="0006278C" w:rsidRPr="0006278C" w:rsidRDefault="0006278C" w:rsidP="0006278C">
            <w:pPr>
              <w:spacing w:after="0" w:line="240" w:lineRule="auto"/>
              <w:jc w:val="center"/>
              <w:rPr>
                <w:rFonts w:ascii="Arial" w:hAnsi="Arial" w:cs="Arial"/>
                <w:sz w:val="18"/>
              </w:rPr>
            </w:pPr>
          </w:p>
        </w:tc>
        <w:tc>
          <w:tcPr>
            <w:tcW w:w="491" w:type="dxa"/>
          </w:tcPr>
          <w:p w14:paraId="05426EE1" w14:textId="77777777" w:rsidR="0006278C" w:rsidRPr="0006278C" w:rsidRDefault="0006278C" w:rsidP="0006278C">
            <w:pPr>
              <w:spacing w:after="0" w:line="240" w:lineRule="auto"/>
              <w:jc w:val="center"/>
              <w:rPr>
                <w:rFonts w:ascii="Arial" w:hAnsi="Arial" w:cs="Arial"/>
                <w:sz w:val="18"/>
              </w:rPr>
            </w:pPr>
          </w:p>
        </w:tc>
        <w:tc>
          <w:tcPr>
            <w:tcW w:w="493" w:type="dxa"/>
          </w:tcPr>
          <w:p w14:paraId="60A456CC" w14:textId="77777777" w:rsidR="0006278C" w:rsidRPr="0006278C" w:rsidRDefault="0006278C" w:rsidP="0006278C">
            <w:pPr>
              <w:spacing w:after="0" w:line="240" w:lineRule="auto"/>
              <w:jc w:val="center"/>
              <w:rPr>
                <w:rFonts w:ascii="Arial" w:hAnsi="Arial" w:cs="Arial"/>
                <w:sz w:val="18"/>
              </w:rPr>
            </w:pPr>
          </w:p>
        </w:tc>
        <w:tc>
          <w:tcPr>
            <w:tcW w:w="540" w:type="dxa"/>
          </w:tcPr>
          <w:p w14:paraId="1BA2BEA2" w14:textId="77777777" w:rsidR="0006278C" w:rsidRPr="0006278C" w:rsidRDefault="0006278C" w:rsidP="0006278C">
            <w:pPr>
              <w:spacing w:after="0" w:line="240" w:lineRule="auto"/>
              <w:jc w:val="center"/>
              <w:rPr>
                <w:rFonts w:ascii="Arial" w:hAnsi="Arial" w:cs="Arial"/>
                <w:sz w:val="18"/>
              </w:rPr>
            </w:pPr>
          </w:p>
        </w:tc>
        <w:tc>
          <w:tcPr>
            <w:tcW w:w="450" w:type="dxa"/>
          </w:tcPr>
          <w:p w14:paraId="4D77FD41"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540" w:type="dxa"/>
          </w:tcPr>
          <w:p w14:paraId="0F3B8D7E" w14:textId="77777777" w:rsidR="0006278C" w:rsidRPr="0006278C" w:rsidRDefault="0006278C" w:rsidP="0006278C">
            <w:pPr>
              <w:spacing w:after="0" w:line="240" w:lineRule="auto"/>
              <w:jc w:val="center"/>
              <w:rPr>
                <w:rFonts w:ascii="Arial" w:hAnsi="Arial" w:cs="Arial"/>
                <w:sz w:val="18"/>
              </w:rPr>
            </w:pPr>
          </w:p>
        </w:tc>
      </w:tr>
      <w:tr w:rsidR="00864968" w:rsidRPr="0006278C" w14:paraId="18539D95" w14:textId="77777777" w:rsidTr="00864968">
        <w:tc>
          <w:tcPr>
            <w:tcW w:w="567" w:type="dxa"/>
          </w:tcPr>
          <w:p w14:paraId="47CA04ED" w14:textId="5D7BCBA3" w:rsidR="0006278C" w:rsidRPr="0006278C" w:rsidRDefault="004304E6" w:rsidP="004304E6">
            <w:pPr>
              <w:spacing w:after="0" w:line="240" w:lineRule="auto"/>
              <w:rPr>
                <w:rFonts w:ascii="Arial" w:hAnsi="Arial" w:cs="Arial"/>
                <w:sz w:val="18"/>
              </w:rPr>
            </w:pPr>
            <w:r>
              <w:rPr>
                <w:rFonts w:ascii="Arial" w:hAnsi="Arial" w:cs="Arial"/>
                <w:sz w:val="18"/>
              </w:rPr>
              <w:t xml:space="preserve"> </w:t>
            </w:r>
            <w:r w:rsidR="0006278C" w:rsidRPr="0006278C">
              <w:rPr>
                <w:rFonts w:ascii="Arial" w:hAnsi="Arial" w:cs="Arial"/>
                <w:sz w:val="18"/>
              </w:rPr>
              <w:t>3</w:t>
            </w:r>
          </w:p>
        </w:tc>
        <w:tc>
          <w:tcPr>
            <w:tcW w:w="2194" w:type="dxa"/>
          </w:tcPr>
          <w:p w14:paraId="2C2BE139" w14:textId="77777777" w:rsidR="0006278C" w:rsidRPr="0006278C" w:rsidRDefault="0006278C" w:rsidP="0006278C">
            <w:pPr>
              <w:spacing w:after="0" w:line="240" w:lineRule="auto"/>
              <w:rPr>
                <w:rFonts w:ascii="Arial" w:hAnsi="Arial" w:cs="Arial"/>
                <w:sz w:val="18"/>
              </w:rPr>
            </w:pPr>
            <w:r w:rsidRPr="0006278C">
              <w:rPr>
                <w:rFonts w:ascii="Arial" w:hAnsi="Arial" w:cs="Arial"/>
                <w:sz w:val="18"/>
              </w:rPr>
              <w:t>Maternal mortality</w:t>
            </w:r>
          </w:p>
        </w:tc>
        <w:tc>
          <w:tcPr>
            <w:tcW w:w="429" w:type="dxa"/>
          </w:tcPr>
          <w:p w14:paraId="2A6C1B7A"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619" w:type="dxa"/>
          </w:tcPr>
          <w:p w14:paraId="1066F403"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619" w:type="dxa"/>
          </w:tcPr>
          <w:p w14:paraId="58ABBEA7" w14:textId="77777777" w:rsidR="0006278C" w:rsidRPr="0006278C" w:rsidRDefault="0006278C" w:rsidP="0006278C">
            <w:pPr>
              <w:spacing w:after="0" w:line="240" w:lineRule="auto"/>
              <w:jc w:val="center"/>
              <w:rPr>
                <w:rFonts w:ascii="Arial" w:hAnsi="Arial" w:cs="Arial"/>
                <w:sz w:val="18"/>
              </w:rPr>
            </w:pPr>
          </w:p>
        </w:tc>
        <w:tc>
          <w:tcPr>
            <w:tcW w:w="449" w:type="dxa"/>
          </w:tcPr>
          <w:p w14:paraId="4FBDE2E9" w14:textId="77777777" w:rsidR="0006278C" w:rsidRPr="0006278C" w:rsidRDefault="0006278C" w:rsidP="0006278C">
            <w:pPr>
              <w:spacing w:after="0" w:line="240" w:lineRule="auto"/>
              <w:jc w:val="center"/>
              <w:rPr>
                <w:rFonts w:ascii="Arial" w:hAnsi="Arial" w:cs="Arial"/>
                <w:sz w:val="18"/>
              </w:rPr>
            </w:pPr>
          </w:p>
        </w:tc>
        <w:tc>
          <w:tcPr>
            <w:tcW w:w="338" w:type="dxa"/>
          </w:tcPr>
          <w:p w14:paraId="42B6E11B" w14:textId="77777777" w:rsidR="0006278C" w:rsidRPr="0006278C" w:rsidRDefault="0006278C" w:rsidP="0006278C">
            <w:pPr>
              <w:spacing w:after="0" w:line="240" w:lineRule="auto"/>
              <w:jc w:val="center"/>
              <w:rPr>
                <w:rFonts w:ascii="Arial" w:hAnsi="Arial" w:cs="Arial"/>
                <w:sz w:val="18"/>
              </w:rPr>
            </w:pPr>
          </w:p>
        </w:tc>
        <w:tc>
          <w:tcPr>
            <w:tcW w:w="540" w:type="dxa"/>
          </w:tcPr>
          <w:p w14:paraId="7CE6A830" w14:textId="77777777" w:rsidR="0006278C" w:rsidRPr="0006278C" w:rsidRDefault="0006278C" w:rsidP="0006278C">
            <w:pPr>
              <w:spacing w:after="0" w:line="240" w:lineRule="auto"/>
              <w:jc w:val="center"/>
              <w:rPr>
                <w:rFonts w:ascii="Arial" w:hAnsi="Arial" w:cs="Arial"/>
                <w:sz w:val="18"/>
              </w:rPr>
            </w:pPr>
          </w:p>
        </w:tc>
        <w:tc>
          <w:tcPr>
            <w:tcW w:w="540" w:type="dxa"/>
          </w:tcPr>
          <w:p w14:paraId="37CF4268" w14:textId="77777777" w:rsidR="0006278C" w:rsidRPr="0006278C" w:rsidRDefault="0006278C" w:rsidP="0006278C">
            <w:pPr>
              <w:spacing w:after="0" w:line="240" w:lineRule="auto"/>
              <w:jc w:val="center"/>
              <w:rPr>
                <w:rFonts w:ascii="Arial" w:hAnsi="Arial" w:cs="Arial"/>
                <w:sz w:val="18"/>
              </w:rPr>
            </w:pPr>
          </w:p>
        </w:tc>
        <w:tc>
          <w:tcPr>
            <w:tcW w:w="450" w:type="dxa"/>
          </w:tcPr>
          <w:p w14:paraId="25336B1F" w14:textId="77777777" w:rsidR="0006278C" w:rsidRPr="0006278C" w:rsidRDefault="0006278C" w:rsidP="0006278C">
            <w:pPr>
              <w:spacing w:after="0" w:line="240" w:lineRule="auto"/>
              <w:jc w:val="center"/>
              <w:rPr>
                <w:rFonts w:ascii="Arial" w:hAnsi="Arial" w:cs="Arial"/>
                <w:sz w:val="18"/>
              </w:rPr>
            </w:pPr>
          </w:p>
        </w:tc>
        <w:tc>
          <w:tcPr>
            <w:tcW w:w="360" w:type="dxa"/>
          </w:tcPr>
          <w:p w14:paraId="40A147D9" w14:textId="77777777" w:rsidR="0006278C" w:rsidRPr="0006278C" w:rsidRDefault="0006278C" w:rsidP="0006278C">
            <w:pPr>
              <w:spacing w:after="0" w:line="240" w:lineRule="auto"/>
              <w:jc w:val="center"/>
              <w:rPr>
                <w:rFonts w:ascii="Arial" w:hAnsi="Arial" w:cs="Arial"/>
                <w:sz w:val="18"/>
              </w:rPr>
            </w:pPr>
          </w:p>
        </w:tc>
        <w:tc>
          <w:tcPr>
            <w:tcW w:w="636" w:type="dxa"/>
          </w:tcPr>
          <w:p w14:paraId="064E2388" w14:textId="77777777" w:rsidR="0006278C" w:rsidRPr="0006278C" w:rsidRDefault="0006278C" w:rsidP="0006278C">
            <w:pPr>
              <w:spacing w:after="0" w:line="240" w:lineRule="auto"/>
              <w:jc w:val="center"/>
              <w:rPr>
                <w:rFonts w:ascii="Arial" w:hAnsi="Arial" w:cs="Arial"/>
                <w:sz w:val="18"/>
              </w:rPr>
            </w:pPr>
          </w:p>
        </w:tc>
        <w:tc>
          <w:tcPr>
            <w:tcW w:w="491" w:type="dxa"/>
          </w:tcPr>
          <w:p w14:paraId="7EB5C7C2" w14:textId="77777777" w:rsidR="0006278C" w:rsidRPr="0006278C" w:rsidRDefault="0006278C" w:rsidP="0006278C">
            <w:pPr>
              <w:spacing w:after="0" w:line="240" w:lineRule="auto"/>
              <w:jc w:val="center"/>
              <w:rPr>
                <w:rFonts w:ascii="Arial" w:hAnsi="Arial" w:cs="Arial"/>
                <w:sz w:val="18"/>
              </w:rPr>
            </w:pPr>
          </w:p>
        </w:tc>
        <w:tc>
          <w:tcPr>
            <w:tcW w:w="493" w:type="dxa"/>
          </w:tcPr>
          <w:p w14:paraId="1EBD55E4" w14:textId="77777777" w:rsidR="0006278C" w:rsidRPr="0006278C" w:rsidRDefault="0006278C" w:rsidP="0006278C">
            <w:pPr>
              <w:spacing w:after="0" w:line="240" w:lineRule="auto"/>
              <w:jc w:val="center"/>
              <w:rPr>
                <w:rFonts w:ascii="Arial" w:hAnsi="Arial" w:cs="Arial"/>
                <w:sz w:val="18"/>
              </w:rPr>
            </w:pPr>
          </w:p>
        </w:tc>
        <w:tc>
          <w:tcPr>
            <w:tcW w:w="540" w:type="dxa"/>
          </w:tcPr>
          <w:p w14:paraId="6094BB68" w14:textId="77777777" w:rsidR="0006278C" w:rsidRPr="0006278C" w:rsidRDefault="0006278C" w:rsidP="0006278C">
            <w:pPr>
              <w:spacing w:after="0" w:line="240" w:lineRule="auto"/>
              <w:jc w:val="center"/>
              <w:rPr>
                <w:rFonts w:ascii="Arial" w:hAnsi="Arial" w:cs="Arial"/>
                <w:sz w:val="18"/>
              </w:rPr>
            </w:pPr>
          </w:p>
        </w:tc>
        <w:tc>
          <w:tcPr>
            <w:tcW w:w="450" w:type="dxa"/>
          </w:tcPr>
          <w:p w14:paraId="44E66BBC"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540" w:type="dxa"/>
          </w:tcPr>
          <w:p w14:paraId="56BFD4CD" w14:textId="77777777" w:rsidR="0006278C" w:rsidRPr="0006278C" w:rsidRDefault="0006278C" w:rsidP="0006278C">
            <w:pPr>
              <w:spacing w:after="0" w:line="240" w:lineRule="auto"/>
              <w:jc w:val="center"/>
              <w:rPr>
                <w:rFonts w:ascii="Arial" w:hAnsi="Arial" w:cs="Arial"/>
                <w:sz w:val="18"/>
              </w:rPr>
            </w:pPr>
          </w:p>
        </w:tc>
      </w:tr>
      <w:tr w:rsidR="00864968" w:rsidRPr="0006278C" w14:paraId="2BD968BD" w14:textId="77777777" w:rsidTr="00864968">
        <w:tc>
          <w:tcPr>
            <w:tcW w:w="567" w:type="dxa"/>
          </w:tcPr>
          <w:p w14:paraId="5AD12030" w14:textId="6DFE1806" w:rsidR="0006278C" w:rsidRPr="0006278C" w:rsidRDefault="004304E6" w:rsidP="004304E6">
            <w:pPr>
              <w:spacing w:after="0" w:line="240" w:lineRule="auto"/>
              <w:rPr>
                <w:rFonts w:ascii="Arial" w:hAnsi="Arial" w:cs="Arial"/>
                <w:sz w:val="18"/>
              </w:rPr>
            </w:pPr>
            <w:r>
              <w:rPr>
                <w:rFonts w:ascii="Arial" w:hAnsi="Arial" w:cs="Arial"/>
                <w:sz w:val="18"/>
              </w:rPr>
              <w:t xml:space="preserve"> </w:t>
            </w:r>
            <w:r w:rsidR="0006278C" w:rsidRPr="0006278C">
              <w:rPr>
                <w:rFonts w:ascii="Arial" w:hAnsi="Arial" w:cs="Arial"/>
                <w:sz w:val="18"/>
              </w:rPr>
              <w:t>4</w:t>
            </w:r>
          </w:p>
        </w:tc>
        <w:tc>
          <w:tcPr>
            <w:tcW w:w="2194" w:type="dxa"/>
          </w:tcPr>
          <w:p w14:paraId="23CCC115" w14:textId="77777777" w:rsidR="0006278C" w:rsidRPr="0006278C" w:rsidRDefault="0006278C" w:rsidP="0006278C">
            <w:pPr>
              <w:spacing w:after="0" w:line="240" w:lineRule="auto"/>
              <w:rPr>
                <w:rFonts w:ascii="Arial" w:hAnsi="Arial" w:cs="Arial"/>
                <w:sz w:val="18"/>
              </w:rPr>
            </w:pPr>
            <w:r w:rsidRPr="0006278C">
              <w:rPr>
                <w:rFonts w:ascii="Arial" w:hAnsi="Arial" w:cs="Arial"/>
                <w:sz w:val="18"/>
              </w:rPr>
              <w:t>Low birth weight</w:t>
            </w:r>
          </w:p>
        </w:tc>
        <w:tc>
          <w:tcPr>
            <w:tcW w:w="429" w:type="dxa"/>
          </w:tcPr>
          <w:p w14:paraId="01180ED6"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619" w:type="dxa"/>
          </w:tcPr>
          <w:p w14:paraId="12FDD0CE" w14:textId="77777777" w:rsidR="0006278C" w:rsidRPr="0006278C" w:rsidRDefault="0006278C" w:rsidP="0006278C">
            <w:pPr>
              <w:spacing w:after="0" w:line="240" w:lineRule="auto"/>
              <w:jc w:val="center"/>
              <w:rPr>
                <w:rFonts w:ascii="Arial" w:hAnsi="Arial" w:cs="Arial"/>
                <w:sz w:val="18"/>
              </w:rPr>
            </w:pPr>
          </w:p>
        </w:tc>
        <w:tc>
          <w:tcPr>
            <w:tcW w:w="619" w:type="dxa"/>
          </w:tcPr>
          <w:p w14:paraId="2E4036FF" w14:textId="77777777" w:rsidR="0006278C" w:rsidRPr="0006278C" w:rsidRDefault="0006278C" w:rsidP="0006278C">
            <w:pPr>
              <w:spacing w:after="0" w:line="240" w:lineRule="auto"/>
              <w:jc w:val="center"/>
              <w:rPr>
                <w:rFonts w:ascii="Arial" w:hAnsi="Arial" w:cs="Arial"/>
                <w:sz w:val="18"/>
              </w:rPr>
            </w:pPr>
          </w:p>
        </w:tc>
        <w:tc>
          <w:tcPr>
            <w:tcW w:w="449" w:type="dxa"/>
          </w:tcPr>
          <w:p w14:paraId="708A908A" w14:textId="77777777" w:rsidR="0006278C" w:rsidRPr="0006278C" w:rsidRDefault="0006278C" w:rsidP="0006278C">
            <w:pPr>
              <w:spacing w:after="0" w:line="240" w:lineRule="auto"/>
              <w:jc w:val="center"/>
              <w:rPr>
                <w:rFonts w:ascii="Arial" w:hAnsi="Arial" w:cs="Arial"/>
                <w:sz w:val="18"/>
              </w:rPr>
            </w:pPr>
          </w:p>
        </w:tc>
        <w:tc>
          <w:tcPr>
            <w:tcW w:w="338" w:type="dxa"/>
          </w:tcPr>
          <w:p w14:paraId="0ED7F3A9" w14:textId="77777777" w:rsidR="0006278C" w:rsidRPr="0006278C" w:rsidRDefault="0006278C" w:rsidP="0006278C">
            <w:pPr>
              <w:spacing w:after="0" w:line="240" w:lineRule="auto"/>
              <w:jc w:val="center"/>
              <w:rPr>
                <w:rFonts w:ascii="Arial" w:hAnsi="Arial" w:cs="Arial"/>
                <w:sz w:val="18"/>
              </w:rPr>
            </w:pPr>
          </w:p>
        </w:tc>
        <w:tc>
          <w:tcPr>
            <w:tcW w:w="540" w:type="dxa"/>
          </w:tcPr>
          <w:p w14:paraId="0DAB5D75" w14:textId="77777777" w:rsidR="0006278C" w:rsidRPr="0006278C" w:rsidRDefault="0006278C" w:rsidP="0006278C">
            <w:pPr>
              <w:spacing w:after="0" w:line="240" w:lineRule="auto"/>
              <w:jc w:val="center"/>
              <w:rPr>
                <w:rFonts w:ascii="Arial" w:hAnsi="Arial" w:cs="Arial"/>
                <w:sz w:val="18"/>
              </w:rPr>
            </w:pPr>
          </w:p>
        </w:tc>
        <w:tc>
          <w:tcPr>
            <w:tcW w:w="540" w:type="dxa"/>
          </w:tcPr>
          <w:p w14:paraId="022D1ACA" w14:textId="77777777" w:rsidR="0006278C" w:rsidRPr="0006278C" w:rsidRDefault="0006278C" w:rsidP="0006278C">
            <w:pPr>
              <w:spacing w:after="0" w:line="240" w:lineRule="auto"/>
              <w:jc w:val="center"/>
              <w:rPr>
                <w:rFonts w:ascii="Arial" w:hAnsi="Arial" w:cs="Arial"/>
                <w:sz w:val="18"/>
              </w:rPr>
            </w:pPr>
          </w:p>
        </w:tc>
        <w:tc>
          <w:tcPr>
            <w:tcW w:w="450" w:type="dxa"/>
          </w:tcPr>
          <w:p w14:paraId="17695D39" w14:textId="77777777" w:rsidR="0006278C" w:rsidRPr="0006278C" w:rsidRDefault="0006278C" w:rsidP="0006278C">
            <w:pPr>
              <w:spacing w:after="0" w:line="240" w:lineRule="auto"/>
              <w:jc w:val="center"/>
              <w:rPr>
                <w:rFonts w:ascii="Arial" w:hAnsi="Arial" w:cs="Arial"/>
                <w:sz w:val="18"/>
              </w:rPr>
            </w:pPr>
          </w:p>
        </w:tc>
        <w:tc>
          <w:tcPr>
            <w:tcW w:w="360" w:type="dxa"/>
          </w:tcPr>
          <w:p w14:paraId="402A2322" w14:textId="77777777" w:rsidR="0006278C" w:rsidRPr="0006278C" w:rsidRDefault="0006278C" w:rsidP="0006278C">
            <w:pPr>
              <w:spacing w:after="0" w:line="240" w:lineRule="auto"/>
              <w:jc w:val="center"/>
              <w:rPr>
                <w:rFonts w:ascii="Arial" w:hAnsi="Arial" w:cs="Arial"/>
                <w:sz w:val="18"/>
              </w:rPr>
            </w:pPr>
          </w:p>
        </w:tc>
        <w:tc>
          <w:tcPr>
            <w:tcW w:w="636" w:type="dxa"/>
          </w:tcPr>
          <w:p w14:paraId="2B92AE83" w14:textId="77777777" w:rsidR="0006278C" w:rsidRPr="0006278C" w:rsidRDefault="0006278C" w:rsidP="0006278C">
            <w:pPr>
              <w:spacing w:after="0" w:line="240" w:lineRule="auto"/>
              <w:jc w:val="center"/>
              <w:rPr>
                <w:rFonts w:ascii="Arial" w:hAnsi="Arial" w:cs="Arial"/>
                <w:sz w:val="18"/>
              </w:rPr>
            </w:pPr>
          </w:p>
        </w:tc>
        <w:tc>
          <w:tcPr>
            <w:tcW w:w="491" w:type="dxa"/>
          </w:tcPr>
          <w:p w14:paraId="353DA54B" w14:textId="77777777" w:rsidR="0006278C" w:rsidRPr="0006278C" w:rsidRDefault="0006278C" w:rsidP="0006278C">
            <w:pPr>
              <w:spacing w:after="0" w:line="240" w:lineRule="auto"/>
              <w:jc w:val="center"/>
              <w:rPr>
                <w:rFonts w:ascii="Arial" w:hAnsi="Arial" w:cs="Arial"/>
                <w:sz w:val="18"/>
              </w:rPr>
            </w:pPr>
          </w:p>
        </w:tc>
        <w:tc>
          <w:tcPr>
            <w:tcW w:w="493" w:type="dxa"/>
          </w:tcPr>
          <w:p w14:paraId="18FAEF96" w14:textId="77777777" w:rsidR="0006278C" w:rsidRPr="0006278C" w:rsidRDefault="0006278C" w:rsidP="0006278C">
            <w:pPr>
              <w:spacing w:after="0" w:line="240" w:lineRule="auto"/>
              <w:jc w:val="center"/>
              <w:rPr>
                <w:rFonts w:ascii="Arial" w:hAnsi="Arial" w:cs="Arial"/>
                <w:sz w:val="18"/>
              </w:rPr>
            </w:pPr>
          </w:p>
        </w:tc>
        <w:tc>
          <w:tcPr>
            <w:tcW w:w="540" w:type="dxa"/>
          </w:tcPr>
          <w:p w14:paraId="6DC60FF3" w14:textId="77777777" w:rsidR="0006278C" w:rsidRPr="0006278C" w:rsidRDefault="0006278C" w:rsidP="0006278C">
            <w:pPr>
              <w:spacing w:after="0" w:line="240" w:lineRule="auto"/>
              <w:jc w:val="center"/>
              <w:rPr>
                <w:rFonts w:ascii="Arial" w:hAnsi="Arial" w:cs="Arial"/>
                <w:sz w:val="18"/>
              </w:rPr>
            </w:pPr>
          </w:p>
        </w:tc>
        <w:tc>
          <w:tcPr>
            <w:tcW w:w="450" w:type="dxa"/>
          </w:tcPr>
          <w:p w14:paraId="625EE1E6"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540" w:type="dxa"/>
          </w:tcPr>
          <w:p w14:paraId="6D0D21DF" w14:textId="77777777" w:rsidR="0006278C" w:rsidRPr="0006278C" w:rsidRDefault="0006278C" w:rsidP="0006278C">
            <w:pPr>
              <w:spacing w:after="0" w:line="240" w:lineRule="auto"/>
              <w:jc w:val="center"/>
              <w:rPr>
                <w:rFonts w:ascii="Arial" w:hAnsi="Arial" w:cs="Arial"/>
                <w:sz w:val="18"/>
              </w:rPr>
            </w:pPr>
          </w:p>
        </w:tc>
      </w:tr>
      <w:tr w:rsidR="00864968" w:rsidRPr="0006278C" w14:paraId="25005D32" w14:textId="77777777" w:rsidTr="00864968">
        <w:tc>
          <w:tcPr>
            <w:tcW w:w="567" w:type="dxa"/>
          </w:tcPr>
          <w:p w14:paraId="4E93F6E5" w14:textId="64DDA79E" w:rsidR="0006278C" w:rsidRPr="0006278C" w:rsidRDefault="004304E6" w:rsidP="004304E6">
            <w:pPr>
              <w:spacing w:after="0" w:line="240" w:lineRule="auto"/>
              <w:rPr>
                <w:rFonts w:ascii="Arial" w:hAnsi="Arial" w:cs="Arial"/>
                <w:sz w:val="18"/>
              </w:rPr>
            </w:pPr>
            <w:r>
              <w:rPr>
                <w:rFonts w:ascii="Arial" w:hAnsi="Arial" w:cs="Arial"/>
                <w:sz w:val="18"/>
              </w:rPr>
              <w:t xml:space="preserve"> </w:t>
            </w:r>
            <w:r w:rsidR="0006278C" w:rsidRPr="0006278C">
              <w:rPr>
                <w:rFonts w:ascii="Arial" w:hAnsi="Arial" w:cs="Arial"/>
                <w:sz w:val="18"/>
              </w:rPr>
              <w:t>5</w:t>
            </w:r>
          </w:p>
        </w:tc>
        <w:tc>
          <w:tcPr>
            <w:tcW w:w="2194" w:type="dxa"/>
          </w:tcPr>
          <w:p w14:paraId="1D73A009" w14:textId="77777777" w:rsidR="0006278C" w:rsidRPr="0006278C" w:rsidRDefault="0006278C" w:rsidP="0006278C">
            <w:pPr>
              <w:spacing w:after="0" w:line="240" w:lineRule="auto"/>
              <w:rPr>
                <w:rFonts w:ascii="Arial" w:hAnsi="Arial" w:cs="Arial"/>
                <w:sz w:val="18"/>
              </w:rPr>
            </w:pPr>
            <w:r w:rsidRPr="0006278C">
              <w:rPr>
                <w:rFonts w:ascii="Arial" w:hAnsi="Arial" w:cs="Arial"/>
                <w:sz w:val="18"/>
              </w:rPr>
              <w:t>Preterm birth</w:t>
            </w:r>
          </w:p>
        </w:tc>
        <w:tc>
          <w:tcPr>
            <w:tcW w:w="429" w:type="dxa"/>
          </w:tcPr>
          <w:p w14:paraId="77CF41DF"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619" w:type="dxa"/>
          </w:tcPr>
          <w:p w14:paraId="651F0896" w14:textId="77777777" w:rsidR="0006278C" w:rsidRPr="0006278C" w:rsidRDefault="0006278C" w:rsidP="0006278C">
            <w:pPr>
              <w:spacing w:after="0" w:line="240" w:lineRule="auto"/>
              <w:jc w:val="center"/>
              <w:rPr>
                <w:rFonts w:ascii="Arial" w:hAnsi="Arial" w:cs="Arial"/>
                <w:sz w:val="18"/>
              </w:rPr>
            </w:pPr>
          </w:p>
        </w:tc>
        <w:tc>
          <w:tcPr>
            <w:tcW w:w="619" w:type="dxa"/>
          </w:tcPr>
          <w:p w14:paraId="72995701" w14:textId="77777777" w:rsidR="0006278C" w:rsidRPr="0006278C" w:rsidRDefault="0006278C" w:rsidP="0006278C">
            <w:pPr>
              <w:spacing w:after="0" w:line="240" w:lineRule="auto"/>
              <w:jc w:val="center"/>
              <w:rPr>
                <w:rFonts w:ascii="Arial" w:hAnsi="Arial" w:cs="Arial"/>
                <w:sz w:val="18"/>
              </w:rPr>
            </w:pPr>
          </w:p>
        </w:tc>
        <w:tc>
          <w:tcPr>
            <w:tcW w:w="449" w:type="dxa"/>
          </w:tcPr>
          <w:p w14:paraId="7FABAC82" w14:textId="77777777" w:rsidR="0006278C" w:rsidRPr="0006278C" w:rsidRDefault="0006278C" w:rsidP="0006278C">
            <w:pPr>
              <w:spacing w:after="0" w:line="240" w:lineRule="auto"/>
              <w:jc w:val="center"/>
              <w:rPr>
                <w:rFonts w:ascii="Arial" w:hAnsi="Arial" w:cs="Arial"/>
                <w:sz w:val="18"/>
              </w:rPr>
            </w:pPr>
          </w:p>
        </w:tc>
        <w:tc>
          <w:tcPr>
            <w:tcW w:w="338" w:type="dxa"/>
          </w:tcPr>
          <w:p w14:paraId="7805EDD6" w14:textId="77777777" w:rsidR="0006278C" w:rsidRPr="0006278C" w:rsidRDefault="0006278C" w:rsidP="0006278C">
            <w:pPr>
              <w:spacing w:after="0" w:line="240" w:lineRule="auto"/>
              <w:jc w:val="center"/>
              <w:rPr>
                <w:rFonts w:ascii="Arial" w:hAnsi="Arial" w:cs="Arial"/>
                <w:sz w:val="18"/>
              </w:rPr>
            </w:pPr>
          </w:p>
        </w:tc>
        <w:tc>
          <w:tcPr>
            <w:tcW w:w="540" w:type="dxa"/>
          </w:tcPr>
          <w:p w14:paraId="16821944" w14:textId="77777777" w:rsidR="0006278C" w:rsidRPr="0006278C" w:rsidRDefault="0006278C" w:rsidP="0006278C">
            <w:pPr>
              <w:spacing w:after="0" w:line="240" w:lineRule="auto"/>
              <w:jc w:val="center"/>
              <w:rPr>
                <w:rFonts w:ascii="Arial" w:hAnsi="Arial" w:cs="Arial"/>
                <w:sz w:val="18"/>
              </w:rPr>
            </w:pPr>
          </w:p>
        </w:tc>
        <w:tc>
          <w:tcPr>
            <w:tcW w:w="540" w:type="dxa"/>
          </w:tcPr>
          <w:p w14:paraId="180FF62F" w14:textId="77777777" w:rsidR="0006278C" w:rsidRPr="0006278C" w:rsidRDefault="0006278C" w:rsidP="0006278C">
            <w:pPr>
              <w:spacing w:after="0" w:line="240" w:lineRule="auto"/>
              <w:jc w:val="center"/>
              <w:rPr>
                <w:rFonts w:ascii="Arial" w:hAnsi="Arial" w:cs="Arial"/>
                <w:sz w:val="18"/>
              </w:rPr>
            </w:pPr>
          </w:p>
        </w:tc>
        <w:tc>
          <w:tcPr>
            <w:tcW w:w="450" w:type="dxa"/>
          </w:tcPr>
          <w:p w14:paraId="3764308F" w14:textId="77777777" w:rsidR="0006278C" w:rsidRPr="0006278C" w:rsidRDefault="0006278C" w:rsidP="0006278C">
            <w:pPr>
              <w:spacing w:after="0" w:line="240" w:lineRule="auto"/>
              <w:jc w:val="center"/>
              <w:rPr>
                <w:rFonts w:ascii="Arial" w:hAnsi="Arial" w:cs="Arial"/>
                <w:sz w:val="18"/>
              </w:rPr>
            </w:pPr>
          </w:p>
        </w:tc>
        <w:tc>
          <w:tcPr>
            <w:tcW w:w="360" w:type="dxa"/>
          </w:tcPr>
          <w:p w14:paraId="19A79C5E" w14:textId="77777777" w:rsidR="0006278C" w:rsidRPr="0006278C" w:rsidRDefault="0006278C" w:rsidP="0006278C">
            <w:pPr>
              <w:spacing w:after="0" w:line="240" w:lineRule="auto"/>
              <w:jc w:val="center"/>
              <w:rPr>
                <w:rFonts w:ascii="Arial" w:hAnsi="Arial" w:cs="Arial"/>
                <w:sz w:val="18"/>
              </w:rPr>
            </w:pPr>
          </w:p>
        </w:tc>
        <w:tc>
          <w:tcPr>
            <w:tcW w:w="636" w:type="dxa"/>
          </w:tcPr>
          <w:p w14:paraId="4E268163" w14:textId="77777777" w:rsidR="0006278C" w:rsidRPr="0006278C" w:rsidRDefault="0006278C" w:rsidP="0006278C">
            <w:pPr>
              <w:spacing w:after="0" w:line="240" w:lineRule="auto"/>
              <w:jc w:val="center"/>
              <w:rPr>
                <w:rFonts w:ascii="Arial" w:hAnsi="Arial" w:cs="Arial"/>
                <w:sz w:val="18"/>
              </w:rPr>
            </w:pPr>
          </w:p>
        </w:tc>
        <w:tc>
          <w:tcPr>
            <w:tcW w:w="491" w:type="dxa"/>
          </w:tcPr>
          <w:p w14:paraId="363E987E" w14:textId="77777777" w:rsidR="0006278C" w:rsidRPr="0006278C" w:rsidRDefault="0006278C" w:rsidP="0006278C">
            <w:pPr>
              <w:spacing w:after="0" w:line="240" w:lineRule="auto"/>
              <w:jc w:val="center"/>
              <w:rPr>
                <w:rFonts w:ascii="Arial" w:hAnsi="Arial" w:cs="Arial"/>
                <w:sz w:val="18"/>
              </w:rPr>
            </w:pPr>
          </w:p>
        </w:tc>
        <w:tc>
          <w:tcPr>
            <w:tcW w:w="493" w:type="dxa"/>
          </w:tcPr>
          <w:p w14:paraId="1A6CF856" w14:textId="77777777" w:rsidR="0006278C" w:rsidRPr="0006278C" w:rsidRDefault="0006278C" w:rsidP="0006278C">
            <w:pPr>
              <w:spacing w:after="0" w:line="240" w:lineRule="auto"/>
              <w:jc w:val="center"/>
              <w:rPr>
                <w:rFonts w:ascii="Arial" w:hAnsi="Arial" w:cs="Arial"/>
                <w:sz w:val="18"/>
              </w:rPr>
            </w:pPr>
          </w:p>
        </w:tc>
        <w:tc>
          <w:tcPr>
            <w:tcW w:w="540" w:type="dxa"/>
          </w:tcPr>
          <w:p w14:paraId="617FB78F" w14:textId="77777777" w:rsidR="0006278C" w:rsidRPr="0006278C" w:rsidRDefault="0006278C" w:rsidP="0006278C">
            <w:pPr>
              <w:spacing w:after="0" w:line="240" w:lineRule="auto"/>
              <w:jc w:val="center"/>
              <w:rPr>
                <w:rFonts w:ascii="Arial" w:hAnsi="Arial" w:cs="Arial"/>
                <w:sz w:val="18"/>
              </w:rPr>
            </w:pPr>
          </w:p>
        </w:tc>
        <w:tc>
          <w:tcPr>
            <w:tcW w:w="450" w:type="dxa"/>
          </w:tcPr>
          <w:p w14:paraId="7BB1CB40"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540" w:type="dxa"/>
          </w:tcPr>
          <w:p w14:paraId="6ECF6270" w14:textId="77777777" w:rsidR="0006278C" w:rsidRPr="0006278C" w:rsidRDefault="0006278C" w:rsidP="0006278C">
            <w:pPr>
              <w:spacing w:after="0" w:line="240" w:lineRule="auto"/>
              <w:jc w:val="center"/>
              <w:rPr>
                <w:rFonts w:ascii="Arial" w:hAnsi="Arial" w:cs="Arial"/>
                <w:sz w:val="18"/>
              </w:rPr>
            </w:pPr>
          </w:p>
        </w:tc>
      </w:tr>
      <w:tr w:rsidR="00864968" w:rsidRPr="0006278C" w14:paraId="32E562A7" w14:textId="77777777" w:rsidTr="00864968">
        <w:tc>
          <w:tcPr>
            <w:tcW w:w="567" w:type="dxa"/>
          </w:tcPr>
          <w:p w14:paraId="1A042068" w14:textId="043EF052" w:rsidR="0006278C" w:rsidRPr="0006278C" w:rsidRDefault="004304E6" w:rsidP="004304E6">
            <w:pPr>
              <w:spacing w:after="0" w:line="240" w:lineRule="auto"/>
              <w:rPr>
                <w:rFonts w:ascii="Arial" w:hAnsi="Arial" w:cs="Arial"/>
                <w:sz w:val="18"/>
              </w:rPr>
            </w:pPr>
            <w:r>
              <w:rPr>
                <w:rFonts w:ascii="Arial" w:hAnsi="Arial" w:cs="Arial"/>
                <w:sz w:val="18"/>
              </w:rPr>
              <w:t xml:space="preserve"> </w:t>
            </w:r>
            <w:r w:rsidR="0006278C" w:rsidRPr="0006278C">
              <w:rPr>
                <w:rFonts w:ascii="Arial" w:hAnsi="Arial" w:cs="Arial"/>
                <w:sz w:val="18"/>
              </w:rPr>
              <w:t>6</w:t>
            </w:r>
          </w:p>
        </w:tc>
        <w:tc>
          <w:tcPr>
            <w:tcW w:w="2194" w:type="dxa"/>
          </w:tcPr>
          <w:p w14:paraId="2B5BF612" w14:textId="77777777" w:rsidR="0006278C" w:rsidRPr="0006278C" w:rsidRDefault="0006278C" w:rsidP="0006278C">
            <w:pPr>
              <w:spacing w:after="0" w:line="240" w:lineRule="auto"/>
              <w:rPr>
                <w:rFonts w:ascii="Arial" w:hAnsi="Arial" w:cs="Arial"/>
                <w:sz w:val="18"/>
              </w:rPr>
            </w:pPr>
            <w:r w:rsidRPr="0006278C">
              <w:rPr>
                <w:rFonts w:ascii="Arial" w:hAnsi="Arial" w:cs="Arial"/>
                <w:sz w:val="18"/>
              </w:rPr>
              <w:t>Early term birth</w:t>
            </w:r>
          </w:p>
        </w:tc>
        <w:tc>
          <w:tcPr>
            <w:tcW w:w="429" w:type="dxa"/>
          </w:tcPr>
          <w:p w14:paraId="01FBE48A"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619" w:type="dxa"/>
          </w:tcPr>
          <w:p w14:paraId="377B2700" w14:textId="77777777" w:rsidR="0006278C" w:rsidRPr="0006278C" w:rsidRDefault="0006278C" w:rsidP="0006278C">
            <w:pPr>
              <w:spacing w:after="0" w:line="240" w:lineRule="auto"/>
              <w:jc w:val="center"/>
              <w:rPr>
                <w:rFonts w:ascii="Arial" w:hAnsi="Arial" w:cs="Arial"/>
                <w:sz w:val="18"/>
              </w:rPr>
            </w:pPr>
          </w:p>
        </w:tc>
        <w:tc>
          <w:tcPr>
            <w:tcW w:w="619" w:type="dxa"/>
          </w:tcPr>
          <w:p w14:paraId="0A93EC91" w14:textId="77777777" w:rsidR="0006278C" w:rsidRPr="0006278C" w:rsidRDefault="0006278C" w:rsidP="0006278C">
            <w:pPr>
              <w:spacing w:after="0" w:line="240" w:lineRule="auto"/>
              <w:jc w:val="center"/>
              <w:rPr>
                <w:rFonts w:ascii="Arial" w:hAnsi="Arial" w:cs="Arial"/>
                <w:sz w:val="18"/>
              </w:rPr>
            </w:pPr>
          </w:p>
        </w:tc>
        <w:tc>
          <w:tcPr>
            <w:tcW w:w="449" w:type="dxa"/>
          </w:tcPr>
          <w:p w14:paraId="67E73EAE" w14:textId="77777777" w:rsidR="0006278C" w:rsidRPr="0006278C" w:rsidRDefault="0006278C" w:rsidP="0006278C">
            <w:pPr>
              <w:spacing w:after="0" w:line="240" w:lineRule="auto"/>
              <w:jc w:val="center"/>
              <w:rPr>
                <w:rFonts w:ascii="Arial" w:hAnsi="Arial" w:cs="Arial"/>
                <w:sz w:val="18"/>
              </w:rPr>
            </w:pPr>
          </w:p>
        </w:tc>
        <w:tc>
          <w:tcPr>
            <w:tcW w:w="338" w:type="dxa"/>
          </w:tcPr>
          <w:p w14:paraId="2D5C8868" w14:textId="77777777" w:rsidR="0006278C" w:rsidRPr="0006278C" w:rsidRDefault="0006278C" w:rsidP="0006278C">
            <w:pPr>
              <w:spacing w:after="0" w:line="240" w:lineRule="auto"/>
              <w:jc w:val="center"/>
              <w:rPr>
                <w:rFonts w:ascii="Arial" w:hAnsi="Arial" w:cs="Arial"/>
                <w:sz w:val="18"/>
              </w:rPr>
            </w:pPr>
          </w:p>
        </w:tc>
        <w:tc>
          <w:tcPr>
            <w:tcW w:w="540" w:type="dxa"/>
          </w:tcPr>
          <w:p w14:paraId="51E9C689" w14:textId="77777777" w:rsidR="0006278C" w:rsidRPr="0006278C" w:rsidRDefault="0006278C" w:rsidP="0006278C">
            <w:pPr>
              <w:spacing w:after="0" w:line="240" w:lineRule="auto"/>
              <w:jc w:val="center"/>
              <w:rPr>
                <w:rFonts w:ascii="Arial" w:hAnsi="Arial" w:cs="Arial"/>
                <w:sz w:val="18"/>
              </w:rPr>
            </w:pPr>
          </w:p>
        </w:tc>
        <w:tc>
          <w:tcPr>
            <w:tcW w:w="540" w:type="dxa"/>
          </w:tcPr>
          <w:p w14:paraId="10725DEC" w14:textId="77777777" w:rsidR="0006278C" w:rsidRPr="0006278C" w:rsidRDefault="0006278C" w:rsidP="0006278C">
            <w:pPr>
              <w:spacing w:after="0" w:line="240" w:lineRule="auto"/>
              <w:jc w:val="center"/>
              <w:rPr>
                <w:rFonts w:ascii="Arial" w:hAnsi="Arial" w:cs="Arial"/>
                <w:sz w:val="18"/>
              </w:rPr>
            </w:pPr>
          </w:p>
        </w:tc>
        <w:tc>
          <w:tcPr>
            <w:tcW w:w="450" w:type="dxa"/>
          </w:tcPr>
          <w:p w14:paraId="0E89ECA5" w14:textId="77777777" w:rsidR="0006278C" w:rsidRPr="0006278C" w:rsidRDefault="0006278C" w:rsidP="0006278C">
            <w:pPr>
              <w:spacing w:after="0" w:line="240" w:lineRule="auto"/>
              <w:jc w:val="center"/>
              <w:rPr>
                <w:rFonts w:ascii="Arial" w:hAnsi="Arial" w:cs="Arial"/>
                <w:sz w:val="18"/>
              </w:rPr>
            </w:pPr>
          </w:p>
        </w:tc>
        <w:tc>
          <w:tcPr>
            <w:tcW w:w="360" w:type="dxa"/>
          </w:tcPr>
          <w:p w14:paraId="5C483B79" w14:textId="77777777" w:rsidR="0006278C" w:rsidRPr="0006278C" w:rsidRDefault="0006278C" w:rsidP="0006278C">
            <w:pPr>
              <w:spacing w:after="0" w:line="240" w:lineRule="auto"/>
              <w:jc w:val="center"/>
              <w:rPr>
                <w:rFonts w:ascii="Arial" w:hAnsi="Arial" w:cs="Arial"/>
                <w:sz w:val="18"/>
              </w:rPr>
            </w:pPr>
          </w:p>
        </w:tc>
        <w:tc>
          <w:tcPr>
            <w:tcW w:w="636" w:type="dxa"/>
          </w:tcPr>
          <w:p w14:paraId="5A1E8060" w14:textId="77777777" w:rsidR="0006278C" w:rsidRPr="0006278C" w:rsidRDefault="0006278C" w:rsidP="0006278C">
            <w:pPr>
              <w:spacing w:after="0" w:line="240" w:lineRule="auto"/>
              <w:jc w:val="center"/>
              <w:rPr>
                <w:rFonts w:ascii="Arial" w:hAnsi="Arial" w:cs="Arial"/>
                <w:sz w:val="18"/>
              </w:rPr>
            </w:pPr>
          </w:p>
        </w:tc>
        <w:tc>
          <w:tcPr>
            <w:tcW w:w="491" w:type="dxa"/>
          </w:tcPr>
          <w:p w14:paraId="5F2FC089" w14:textId="77777777" w:rsidR="0006278C" w:rsidRPr="0006278C" w:rsidRDefault="0006278C" w:rsidP="0006278C">
            <w:pPr>
              <w:spacing w:after="0" w:line="240" w:lineRule="auto"/>
              <w:jc w:val="center"/>
              <w:rPr>
                <w:rFonts w:ascii="Arial" w:hAnsi="Arial" w:cs="Arial"/>
                <w:sz w:val="18"/>
              </w:rPr>
            </w:pPr>
          </w:p>
        </w:tc>
        <w:tc>
          <w:tcPr>
            <w:tcW w:w="493" w:type="dxa"/>
          </w:tcPr>
          <w:p w14:paraId="45FA238F" w14:textId="77777777" w:rsidR="0006278C" w:rsidRPr="0006278C" w:rsidRDefault="0006278C" w:rsidP="0006278C">
            <w:pPr>
              <w:spacing w:after="0" w:line="240" w:lineRule="auto"/>
              <w:jc w:val="center"/>
              <w:rPr>
                <w:rFonts w:ascii="Arial" w:hAnsi="Arial" w:cs="Arial"/>
                <w:sz w:val="18"/>
              </w:rPr>
            </w:pPr>
          </w:p>
        </w:tc>
        <w:tc>
          <w:tcPr>
            <w:tcW w:w="540" w:type="dxa"/>
          </w:tcPr>
          <w:p w14:paraId="2832EBFC" w14:textId="77777777" w:rsidR="0006278C" w:rsidRPr="0006278C" w:rsidRDefault="0006278C" w:rsidP="0006278C">
            <w:pPr>
              <w:spacing w:after="0" w:line="240" w:lineRule="auto"/>
              <w:jc w:val="center"/>
              <w:rPr>
                <w:rFonts w:ascii="Arial" w:hAnsi="Arial" w:cs="Arial"/>
                <w:sz w:val="18"/>
              </w:rPr>
            </w:pPr>
          </w:p>
        </w:tc>
        <w:tc>
          <w:tcPr>
            <w:tcW w:w="450" w:type="dxa"/>
          </w:tcPr>
          <w:p w14:paraId="4493DD84"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540" w:type="dxa"/>
          </w:tcPr>
          <w:p w14:paraId="77A5E8EA" w14:textId="77777777" w:rsidR="0006278C" w:rsidRPr="0006278C" w:rsidRDefault="0006278C" w:rsidP="0006278C">
            <w:pPr>
              <w:spacing w:after="0" w:line="240" w:lineRule="auto"/>
              <w:jc w:val="center"/>
              <w:rPr>
                <w:rFonts w:ascii="Arial" w:hAnsi="Arial" w:cs="Arial"/>
                <w:sz w:val="18"/>
              </w:rPr>
            </w:pPr>
          </w:p>
        </w:tc>
      </w:tr>
      <w:tr w:rsidR="00864968" w:rsidRPr="0006278C" w14:paraId="0B03A00B" w14:textId="77777777" w:rsidTr="00864968">
        <w:tc>
          <w:tcPr>
            <w:tcW w:w="567" w:type="dxa"/>
          </w:tcPr>
          <w:p w14:paraId="25066E12" w14:textId="450BD9E4" w:rsidR="0006278C" w:rsidRPr="0006278C" w:rsidRDefault="004304E6" w:rsidP="004304E6">
            <w:pPr>
              <w:spacing w:after="0" w:line="240" w:lineRule="auto"/>
              <w:rPr>
                <w:rFonts w:ascii="Arial" w:hAnsi="Arial" w:cs="Arial"/>
                <w:sz w:val="18"/>
              </w:rPr>
            </w:pPr>
            <w:r>
              <w:rPr>
                <w:rFonts w:ascii="Arial" w:hAnsi="Arial" w:cs="Arial"/>
                <w:sz w:val="18"/>
              </w:rPr>
              <w:t xml:space="preserve"> </w:t>
            </w:r>
            <w:r w:rsidR="0006278C" w:rsidRPr="0006278C">
              <w:rPr>
                <w:rFonts w:ascii="Arial" w:hAnsi="Arial" w:cs="Arial"/>
                <w:sz w:val="18"/>
              </w:rPr>
              <w:t>7</w:t>
            </w:r>
          </w:p>
        </w:tc>
        <w:tc>
          <w:tcPr>
            <w:tcW w:w="2194" w:type="dxa"/>
          </w:tcPr>
          <w:p w14:paraId="02B9745F" w14:textId="77777777" w:rsidR="0006278C" w:rsidRPr="0006278C" w:rsidRDefault="0006278C" w:rsidP="0006278C">
            <w:pPr>
              <w:spacing w:after="0" w:line="240" w:lineRule="auto"/>
              <w:rPr>
                <w:rFonts w:ascii="Arial" w:hAnsi="Arial" w:cs="Arial"/>
                <w:sz w:val="18"/>
              </w:rPr>
            </w:pPr>
            <w:r w:rsidRPr="0006278C">
              <w:rPr>
                <w:rFonts w:ascii="Arial" w:hAnsi="Arial" w:cs="Arial"/>
                <w:sz w:val="18"/>
              </w:rPr>
              <w:t>Early elective delivery</w:t>
            </w:r>
          </w:p>
        </w:tc>
        <w:tc>
          <w:tcPr>
            <w:tcW w:w="429" w:type="dxa"/>
          </w:tcPr>
          <w:p w14:paraId="1FB20D19" w14:textId="77777777" w:rsidR="0006278C" w:rsidRPr="0006278C" w:rsidRDefault="0006278C" w:rsidP="0006278C">
            <w:pPr>
              <w:spacing w:after="0" w:line="240" w:lineRule="auto"/>
              <w:jc w:val="center"/>
              <w:rPr>
                <w:rFonts w:ascii="Arial" w:hAnsi="Arial" w:cs="Arial"/>
                <w:sz w:val="18"/>
              </w:rPr>
            </w:pPr>
          </w:p>
        </w:tc>
        <w:tc>
          <w:tcPr>
            <w:tcW w:w="619" w:type="dxa"/>
          </w:tcPr>
          <w:p w14:paraId="0CAD2E7C" w14:textId="77777777" w:rsidR="0006278C" w:rsidRPr="0006278C" w:rsidRDefault="0006278C" w:rsidP="0006278C">
            <w:pPr>
              <w:spacing w:after="0" w:line="240" w:lineRule="auto"/>
              <w:jc w:val="center"/>
              <w:rPr>
                <w:rFonts w:ascii="Arial" w:hAnsi="Arial" w:cs="Arial"/>
                <w:sz w:val="18"/>
              </w:rPr>
            </w:pPr>
          </w:p>
        </w:tc>
        <w:tc>
          <w:tcPr>
            <w:tcW w:w="619" w:type="dxa"/>
          </w:tcPr>
          <w:p w14:paraId="6ADD1094" w14:textId="77777777" w:rsidR="0006278C" w:rsidRPr="0006278C" w:rsidRDefault="0006278C" w:rsidP="0006278C">
            <w:pPr>
              <w:spacing w:after="0" w:line="240" w:lineRule="auto"/>
              <w:jc w:val="center"/>
              <w:rPr>
                <w:rFonts w:ascii="Arial" w:hAnsi="Arial" w:cs="Arial"/>
                <w:sz w:val="18"/>
              </w:rPr>
            </w:pPr>
          </w:p>
        </w:tc>
        <w:tc>
          <w:tcPr>
            <w:tcW w:w="449" w:type="dxa"/>
          </w:tcPr>
          <w:p w14:paraId="3DD1ED2F" w14:textId="77777777" w:rsidR="0006278C" w:rsidRPr="0006278C" w:rsidRDefault="0006278C" w:rsidP="0006278C">
            <w:pPr>
              <w:spacing w:after="0" w:line="240" w:lineRule="auto"/>
              <w:jc w:val="center"/>
              <w:rPr>
                <w:rFonts w:ascii="Arial" w:hAnsi="Arial" w:cs="Arial"/>
                <w:sz w:val="18"/>
              </w:rPr>
            </w:pPr>
          </w:p>
        </w:tc>
        <w:tc>
          <w:tcPr>
            <w:tcW w:w="338" w:type="dxa"/>
          </w:tcPr>
          <w:p w14:paraId="398501CF" w14:textId="77777777" w:rsidR="0006278C" w:rsidRPr="0006278C" w:rsidRDefault="0006278C" w:rsidP="0006278C">
            <w:pPr>
              <w:spacing w:after="0" w:line="240" w:lineRule="auto"/>
              <w:jc w:val="center"/>
              <w:rPr>
                <w:rFonts w:ascii="Arial" w:hAnsi="Arial" w:cs="Arial"/>
                <w:sz w:val="18"/>
              </w:rPr>
            </w:pPr>
          </w:p>
        </w:tc>
        <w:tc>
          <w:tcPr>
            <w:tcW w:w="540" w:type="dxa"/>
          </w:tcPr>
          <w:p w14:paraId="3EA344F5" w14:textId="77777777" w:rsidR="0006278C" w:rsidRPr="0006278C" w:rsidRDefault="0006278C" w:rsidP="0006278C">
            <w:pPr>
              <w:spacing w:after="0" w:line="240" w:lineRule="auto"/>
              <w:jc w:val="center"/>
              <w:rPr>
                <w:rFonts w:ascii="Arial" w:hAnsi="Arial" w:cs="Arial"/>
                <w:sz w:val="18"/>
              </w:rPr>
            </w:pPr>
          </w:p>
        </w:tc>
        <w:tc>
          <w:tcPr>
            <w:tcW w:w="540" w:type="dxa"/>
          </w:tcPr>
          <w:p w14:paraId="18992DEB" w14:textId="77777777" w:rsidR="0006278C" w:rsidRPr="0006278C" w:rsidRDefault="0006278C" w:rsidP="0006278C">
            <w:pPr>
              <w:spacing w:after="0" w:line="240" w:lineRule="auto"/>
              <w:jc w:val="center"/>
              <w:rPr>
                <w:rFonts w:ascii="Arial" w:hAnsi="Arial" w:cs="Arial"/>
                <w:sz w:val="18"/>
              </w:rPr>
            </w:pPr>
          </w:p>
        </w:tc>
        <w:tc>
          <w:tcPr>
            <w:tcW w:w="450" w:type="dxa"/>
          </w:tcPr>
          <w:p w14:paraId="47834BB7" w14:textId="77777777" w:rsidR="0006278C" w:rsidRPr="0006278C" w:rsidRDefault="0006278C" w:rsidP="0006278C">
            <w:pPr>
              <w:spacing w:after="0" w:line="240" w:lineRule="auto"/>
              <w:jc w:val="center"/>
              <w:rPr>
                <w:rFonts w:ascii="Arial" w:hAnsi="Arial" w:cs="Arial"/>
                <w:sz w:val="18"/>
              </w:rPr>
            </w:pPr>
          </w:p>
        </w:tc>
        <w:tc>
          <w:tcPr>
            <w:tcW w:w="360" w:type="dxa"/>
          </w:tcPr>
          <w:p w14:paraId="12FC7FED" w14:textId="77777777" w:rsidR="0006278C" w:rsidRPr="0006278C" w:rsidRDefault="0006278C" w:rsidP="0006278C">
            <w:pPr>
              <w:spacing w:after="0" w:line="240" w:lineRule="auto"/>
              <w:jc w:val="center"/>
              <w:rPr>
                <w:rFonts w:ascii="Arial" w:hAnsi="Arial" w:cs="Arial"/>
                <w:sz w:val="18"/>
              </w:rPr>
            </w:pPr>
          </w:p>
        </w:tc>
        <w:tc>
          <w:tcPr>
            <w:tcW w:w="636" w:type="dxa"/>
          </w:tcPr>
          <w:p w14:paraId="7BC475C5" w14:textId="77777777" w:rsidR="0006278C" w:rsidRPr="0006278C" w:rsidRDefault="0006278C" w:rsidP="0006278C">
            <w:pPr>
              <w:spacing w:after="0" w:line="240" w:lineRule="auto"/>
              <w:jc w:val="center"/>
              <w:rPr>
                <w:rFonts w:ascii="Arial" w:hAnsi="Arial" w:cs="Arial"/>
                <w:sz w:val="18"/>
              </w:rPr>
            </w:pPr>
          </w:p>
        </w:tc>
        <w:tc>
          <w:tcPr>
            <w:tcW w:w="491" w:type="dxa"/>
          </w:tcPr>
          <w:p w14:paraId="3AE6FC21" w14:textId="77777777" w:rsidR="0006278C" w:rsidRPr="0006278C" w:rsidRDefault="0006278C" w:rsidP="0006278C">
            <w:pPr>
              <w:spacing w:after="0" w:line="240" w:lineRule="auto"/>
              <w:jc w:val="center"/>
              <w:rPr>
                <w:rFonts w:ascii="Arial" w:hAnsi="Arial" w:cs="Arial"/>
                <w:sz w:val="18"/>
              </w:rPr>
            </w:pPr>
          </w:p>
        </w:tc>
        <w:tc>
          <w:tcPr>
            <w:tcW w:w="493" w:type="dxa"/>
          </w:tcPr>
          <w:p w14:paraId="4A6357AD" w14:textId="77777777" w:rsidR="0006278C" w:rsidRPr="0006278C" w:rsidRDefault="0006278C" w:rsidP="0006278C">
            <w:pPr>
              <w:spacing w:after="0" w:line="240" w:lineRule="auto"/>
              <w:jc w:val="center"/>
              <w:rPr>
                <w:rFonts w:ascii="Arial" w:hAnsi="Arial" w:cs="Arial"/>
                <w:sz w:val="18"/>
              </w:rPr>
            </w:pPr>
          </w:p>
        </w:tc>
        <w:tc>
          <w:tcPr>
            <w:tcW w:w="540" w:type="dxa"/>
          </w:tcPr>
          <w:p w14:paraId="602771F2" w14:textId="77777777" w:rsidR="0006278C" w:rsidRPr="0006278C" w:rsidRDefault="0006278C" w:rsidP="0006278C">
            <w:pPr>
              <w:spacing w:after="0" w:line="240" w:lineRule="auto"/>
              <w:jc w:val="center"/>
              <w:rPr>
                <w:rFonts w:ascii="Arial" w:hAnsi="Arial" w:cs="Arial"/>
                <w:sz w:val="18"/>
              </w:rPr>
            </w:pPr>
          </w:p>
        </w:tc>
        <w:tc>
          <w:tcPr>
            <w:tcW w:w="450" w:type="dxa"/>
          </w:tcPr>
          <w:p w14:paraId="644B328B" w14:textId="77777777" w:rsidR="0006278C" w:rsidRPr="0006278C" w:rsidRDefault="0006278C" w:rsidP="0006278C">
            <w:pPr>
              <w:spacing w:after="0" w:line="240" w:lineRule="auto"/>
              <w:jc w:val="center"/>
              <w:rPr>
                <w:rFonts w:ascii="Arial" w:hAnsi="Arial" w:cs="Arial"/>
                <w:sz w:val="18"/>
              </w:rPr>
            </w:pPr>
          </w:p>
        </w:tc>
        <w:tc>
          <w:tcPr>
            <w:tcW w:w="540" w:type="dxa"/>
          </w:tcPr>
          <w:p w14:paraId="33DEF256" w14:textId="77777777" w:rsidR="0006278C" w:rsidRPr="0006278C" w:rsidRDefault="0006278C" w:rsidP="0006278C">
            <w:pPr>
              <w:spacing w:after="0" w:line="240" w:lineRule="auto"/>
              <w:jc w:val="center"/>
              <w:rPr>
                <w:rFonts w:ascii="Arial" w:hAnsi="Arial" w:cs="Arial"/>
                <w:sz w:val="18"/>
              </w:rPr>
            </w:pPr>
          </w:p>
        </w:tc>
      </w:tr>
      <w:tr w:rsidR="00864968" w:rsidRPr="0006278C" w14:paraId="07640838" w14:textId="77777777" w:rsidTr="00864968">
        <w:tc>
          <w:tcPr>
            <w:tcW w:w="567" w:type="dxa"/>
          </w:tcPr>
          <w:p w14:paraId="251F6E76" w14:textId="78636706" w:rsidR="0006278C" w:rsidRPr="0006278C" w:rsidRDefault="004304E6" w:rsidP="004304E6">
            <w:pPr>
              <w:spacing w:after="0" w:line="240" w:lineRule="auto"/>
              <w:rPr>
                <w:rFonts w:ascii="Arial" w:hAnsi="Arial" w:cs="Arial"/>
                <w:sz w:val="18"/>
              </w:rPr>
            </w:pPr>
            <w:r>
              <w:rPr>
                <w:rFonts w:ascii="Arial" w:hAnsi="Arial" w:cs="Arial"/>
                <w:sz w:val="18"/>
              </w:rPr>
              <w:t xml:space="preserve"> </w:t>
            </w:r>
            <w:r w:rsidR="0006278C" w:rsidRPr="0006278C">
              <w:rPr>
                <w:rFonts w:ascii="Arial" w:hAnsi="Arial" w:cs="Arial"/>
                <w:sz w:val="18"/>
              </w:rPr>
              <w:t>8</w:t>
            </w:r>
          </w:p>
        </w:tc>
        <w:tc>
          <w:tcPr>
            <w:tcW w:w="2194" w:type="dxa"/>
          </w:tcPr>
          <w:p w14:paraId="41DD5BA4" w14:textId="77777777" w:rsidR="0006278C" w:rsidRPr="0006278C" w:rsidRDefault="0006278C" w:rsidP="0006278C">
            <w:pPr>
              <w:spacing w:after="0" w:line="240" w:lineRule="auto"/>
              <w:rPr>
                <w:rFonts w:ascii="Arial" w:hAnsi="Arial" w:cs="Arial"/>
                <w:sz w:val="18"/>
              </w:rPr>
            </w:pPr>
            <w:r w:rsidRPr="0006278C">
              <w:rPr>
                <w:rFonts w:ascii="Arial" w:hAnsi="Arial" w:cs="Arial"/>
                <w:sz w:val="18"/>
              </w:rPr>
              <w:t>Perinatal mortality</w:t>
            </w:r>
          </w:p>
        </w:tc>
        <w:tc>
          <w:tcPr>
            <w:tcW w:w="429" w:type="dxa"/>
          </w:tcPr>
          <w:p w14:paraId="641173F3"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619" w:type="dxa"/>
          </w:tcPr>
          <w:p w14:paraId="0C9A1529" w14:textId="77777777" w:rsidR="0006278C" w:rsidRPr="0006278C" w:rsidRDefault="0006278C" w:rsidP="0006278C">
            <w:pPr>
              <w:spacing w:after="0" w:line="240" w:lineRule="auto"/>
              <w:jc w:val="center"/>
              <w:rPr>
                <w:rFonts w:ascii="Arial" w:hAnsi="Arial" w:cs="Arial"/>
                <w:sz w:val="18"/>
              </w:rPr>
            </w:pPr>
          </w:p>
        </w:tc>
        <w:tc>
          <w:tcPr>
            <w:tcW w:w="619" w:type="dxa"/>
          </w:tcPr>
          <w:p w14:paraId="0E2A7E3E"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449" w:type="dxa"/>
          </w:tcPr>
          <w:p w14:paraId="0F39DAC8" w14:textId="77777777" w:rsidR="0006278C" w:rsidRPr="0006278C" w:rsidRDefault="0006278C" w:rsidP="0006278C">
            <w:pPr>
              <w:spacing w:after="0" w:line="240" w:lineRule="auto"/>
              <w:jc w:val="center"/>
              <w:rPr>
                <w:rFonts w:ascii="Arial" w:hAnsi="Arial" w:cs="Arial"/>
                <w:sz w:val="18"/>
              </w:rPr>
            </w:pPr>
          </w:p>
        </w:tc>
        <w:tc>
          <w:tcPr>
            <w:tcW w:w="338" w:type="dxa"/>
          </w:tcPr>
          <w:p w14:paraId="398ADE5C" w14:textId="77777777" w:rsidR="0006278C" w:rsidRPr="0006278C" w:rsidRDefault="0006278C" w:rsidP="0006278C">
            <w:pPr>
              <w:spacing w:after="0" w:line="240" w:lineRule="auto"/>
              <w:jc w:val="center"/>
              <w:rPr>
                <w:rFonts w:ascii="Arial" w:hAnsi="Arial" w:cs="Arial"/>
                <w:sz w:val="18"/>
              </w:rPr>
            </w:pPr>
          </w:p>
        </w:tc>
        <w:tc>
          <w:tcPr>
            <w:tcW w:w="540" w:type="dxa"/>
          </w:tcPr>
          <w:p w14:paraId="1F812FA3" w14:textId="77777777" w:rsidR="0006278C" w:rsidRPr="0006278C" w:rsidRDefault="0006278C" w:rsidP="0006278C">
            <w:pPr>
              <w:spacing w:after="0" w:line="240" w:lineRule="auto"/>
              <w:jc w:val="center"/>
              <w:rPr>
                <w:rFonts w:ascii="Arial" w:hAnsi="Arial" w:cs="Arial"/>
                <w:sz w:val="18"/>
              </w:rPr>
            </w:pPr>
          </w:p>
        </w:tc>
        <w:tc>
          <w:tcPr>
            <w:tcW w:w="540" w:type="dxa"/>
          </w:tcPr>
          <w:p w14:paraId="3A0D4D3E" w14:textId="77777777" w:rsidR="0006278C" w:rsidRPr="0006278C" w:rsidRDefault="0006278C" w:rsidP="0006278C">
            <w:pPr>
              <w:spacing w:after="0" w:line="240" w:lineRule="auto"/>
              <w:jc w:val="center"/>
              <w:rPr>
                <w:rFonts w:ascii="Arial" w:hAnsi="Arial" w:cs="Arial"/>
                <w:sz w:val="18"/>
              </w:rPr>
            </w:pPr>
          </w:p>
        </w:tc>
        <w:tc>
          <w:tcPr>
            <w:tcW w:w="450" w:type="dxa"/>
          </w:tcPr>
          <w:p w14:paraId="2B5912E0" w14:textId="77777777" w:rsidR="0006278C" w:rsidRPr="0006278C" w:rsidRDefault="0006278C" w:rsidP="0006278C">
            <w:pPr>
              <w:spacing w:after="0" w:line="240" w:lineRule="auto"/>
              <w:jc w:val="center"/>
              <w:rPr>
                <w:rFonts w:ascii="Arial" w:hAnsi="Arial" w:cs="Arial"/>
                <w:sz w:val="18"/>
              </w:rPr>
            </w:pPr>
          </w:p>
        </w:tc>
        <w:tc>
          <w:tcPr>
            <w:tcW w:w="360" w:type="dxa"/>
          </w:tcPr>
          <w:p w14:paraId="1335DC91" w14:textId="77777777" w:rsidR="0006278C" w:rsidRPr="0006278C" w:rsidRDefault="0006278C" w:rsidP="0006278C">
            <w:pPr>
              <w:spacing w:after="0" w:line="240" w:lineRule="auto"/>
              <w:jc w:val="center"/>
              <w:rPr>
                <w:rFonts w:ascii="Arial" w:hAnsi="Arial" w:cs="Arial"/>
                <w:sz w:val="18"/>
              </w:rPr>
            </w:pPr>
          </w:p>
        </w:tc>
        <w:tc>
          <w:tcPr>
            <w:tcW w:w="636" w:type="dxa"/>
          </w:tcPr>
          <w:p w14:paraId="145B5B34" w14:textId="77777777" w:rsidR="0006278C" w:rsidRPr="0006278C" w:rsidRDefault="0006278C" w:rsidP="0006278C">
            <w:pPr>
              <w:spacing w:after="0" w:line="240" w:lineRule="auto"/>
              <w:jc w:val="center"/>
              <w:rPr>
                <w:rFonts w:ascii="Arial" w:hAnsi="Arial" w:cs="Arial"/>
                <w:sz w:val="18"/>
              </w:rPr>
            </w:pPr>
          </w:p>
        </w:tc>
        <w:tc>
          <w:tcPr>
            <w:tcW w:w="491" w:type="dxa"/>
          </w:tcPr>
          <w:p w14:paraId="0FC69A08" w14:textId="77777777" w:rsidR="0006278C" w:rsidRPr="0006278C" w:rsidRDefault="0006278C" w:rsidP="0006278C">
            <w:pPr>
              <w:spacing w:after="0" w:line="240" w:lineRule="auto"/>
              <w:jc w:val="center"/>
              <w:rPr>
                <w:rFonts w:ascii="Arial" w:hAnsi="Arial" w:cs="Arial"/>
                <w:sz w:val="18"/>
              </w:rPr>
            </w:pPr>
          </w:p>
        </w:tc>
        <w:tc>
          <w:tcPr>
            <w:tcW w:w="493" w:type="dxa"/>
          </w:tcPr>
          <w:p w14:paraId="510FEAF7" w14:textId="77777777" w:rsidR="0006278C" w:rsidRPr="0006278C" w:rsidRDefault="0006278C" w:rsidP="0006278C">
            <w:pPr>
              <w:spacing w:after="0" w:line="240" w:lineRule="auto"/>
              <w:jc w:val="center"/>
              <w:rPr>
                <w:rFonts w:ascii="Arial" w:hAnsi="Arial" w:cs="Arial"/>
                <w:sz w:val="18"/>
              </w:rPr>
            </w:pPr>
          </w:p>
        </w:tc>
        <w:tc>
          <w:tcPr>
            <w:tcW w:w="540" w:type="dxa"/>
          </w:tcPr>
          <w:p w14:paraId="6AB5D933" w14:textId="77777777" w:rsidR="0006278C" w:rsidRPr="0006278C" w:rsidRDefault="0006278C" w:rsidP="0006278C">
            <w:pPr>
              <w:spacing w:after="0" w:line="240" w:lineRule="auto"/>
              <w:jc w:val="center"/>
              <w:rPr>
                <w:rFonts w:ascii="Arial" w:hAnsi="Arial" w:cs="Arial"/>
                <w:sz w:val="18"/>
              </w:rPr>
            </w:pPr>
          </w:p>
        </w:tc>
        <w:tc>
          <w:tcPr>
            <w:tcW w:w="450" w:type="dxa"/>
          </w:tcPr>
          <w:p w14:paraId="5D5A60B4"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540" w:type="dxa"/>
          </w:tcPr>
          <w:p w14:paraId="6F3CB7CC" w14:textId="77777777" w:rsidR="0006278C" w:rsidRPr="0006278C" w:rsidRDefault="0006278C" w:rsidP="0006278C">
            <w:pPr>
              <w:spacing w:after="0" w:line="240" w:lineRule="auto"/>
              <w:jc w:val="center"/>
              <w:rPr>
                <w:rFonts w:ascii="Arial" w:hAnsi="Arial" w:cs="Arial"/>
                <w:sz w:val="18"/>
              </w:rPr>
            </w:pPr>
          </w:p>
        </w:tc>
      </w:tr>
      <w:tr w:rsidR="00864968" w:rsidRPr="0006278C" w14:paraId="7B0CAE15" w14:textId="77777777" w:rsidTr="00864968">
        <w:tc>
          <w:tcPr>
            <w:tcW w:w="567" w:type="dxa"/>
          </w:tcPr>
          <w:p w14:paraId="239C109B" w14:textId="60CC7610" w:rsidR="0006278C" w:rsidRPr="0006278C" w:rsidRDefault="004304E6" w:rsidP="004304E6">
            <w:pPr>
              <w:spacing w:after="0" w:line="240" w:lineRule="auto"/>
              <w:rPr>
                <w:rFonts w:ascii="Arial" w:hAnsi="Arial" w:cs="Arial"/>
                <w:sz w:val="18"/>
              </w:rPr>
            </w:pPr>
            <w:r>
              <w:rPr>
                <w:rFonts w:ascii="Arial" w:hAnsi="Arial" w:cs="Arial"/>
                <w:sz w:val="18"/>
              </w:rPr>
              <w:t xml:space="preserve"> </w:t>
            </w:r>
            <w:r w:rsidR="0006278C" w:rsidRPr="0006278C">
              <w:rPr>
                <w:rFonts w:ascii="Arial" w:hAnsi="Arial" w:cs="Arial"/>
                <w:sz w:val="18"/>
              </w:rPr>
              <w:t>9.1</w:t>
            </w:r>
          </w:p>
        </w:tc>
        <w:tc>
          <w:tcPr>
            <w:tcW w:w="2194" w:type="dxa"/>
          </w:tcPr>
          <w:p w14:paraId="3535CFFE" w14:textId="77777777" w:rsidR="0006278C" w:rsidRPr="0006278C" w:rsidRDefault="0006278C" w:rsidP="0006278C">
            <w:pPr>
              <w:spacing w:after="0" w:line="240" w:lineRule="auto"/>
              <w:rPr>
                <w:rFonts w:ascii="Arial" w:hAnsi="Arial" w:cs="Arial"/>
                <w:sz w:val="18"/>
              </w:rPr>
            </w:pPr>
            <w:r w:rsidRPr="0006278C">
              <w:rPr>
                <w:rFonts w:ascii="Arial" w:hAnsi="Arial" w:cs="Arial"/>
                <w:sz w:val="18"/>
              </w:rPr>
              <w:t>Infant mortality</w:t>
            </w:r>
          </w:p>
        </w:tc>
        <w:tc>
          <w:tcPr>
            <w:tcW w:w="429" w:type="dxa"/>
          </w:tcPr>
          <w:p w14:paraId="6C791A43"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619" w:type="dxa"/>
          </w:tcPr>
          <w:p w14:paraId="7CF1781E" w14:textId="77777777" w:rsidR="0006278C" w:rsidRPr="0006278C" w:rsidRDefault="0006278C" w:rsidP="0006278C">
            <w:pPr>
              <w:spacing w:after="0" w:line="240" w:lineRule="auto"/>
              <w:jc w:val="center"/>
              <w:rPr>
                <w:rFonts w:ascii="Arial" w:hAnsi="Arial" w:cs="Arial"/>
                <w:sz w:val="18"/>
              </w:rPr>
            </w:pPr>
          </w:p>
        </w:tc>
        <w:tc>
          <w:tcPr>
            <w:tcW w:w="619" w:type="dxa"/>
          </w:tcPr>
          <w:p w14:paraId="569A19CC"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449" w:type="dxa"/>
          </w:tcPr>
          <w:p w14:paraId="70DC8D89"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338" w:type="dxa"/>
          </w:tcPr>
          <w:p w14:paraId="582EA639"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540" w:type="dxa"/>
          </w:tcPr>
          <w:p w14:paraId="10ABB074" w14:textId="77777777" w:rsidR="0006278C" w:rsidRPr="0006278C" w:rsidRDefault="0006278C" w:rsidP="0006278C">
            <w:pPr>
              <w:spacing w:after="0" w:line="240" w:lineRule="auto"/>
              <w:jc w:val="center"/>
              <w:rPr>
                <w:rFonts w:ascii="Arial" w:hAnsi="Arial" w:cs="Arial"/>
                <w:sz w:val="18"/>
              </w:rPr>
            </w:pPr>
          </w:p>
        </w:tc>
        <w:tc>
          <w:tcPr>
            <w:tcW w:w="540" w:type="dxa"/>
          </w:tcPr>
          <w:p w14:paraId="259CFA27" w14:textId="77777777" w:rsidR="0006278C" w:rsidRPr="0006278C" w:rsidRDefault="0006278C" w:rsidP="0006278C">
            <w:pPr>
              <w:spacing w:after="0" w:line="240" w:lineRule="auto"/>
              <w:jc w:val="center"/>
              <w:rPr>
                <w:rFonts w:ascii="Arial" w:hAnsi="Arial" w:cs="Arial"/>
                <w:sz w:val="18"/>
              </w:rPr>
            </w:pPr>
          </w:p>
        </w:tc>
        <w:tc>
          <w:tcPr>
            <w:tcW w:w="450" w:type="dxa"/>
          </w:tcPr>
          <w:p w14:paraId="123583DC" w14:textId="77777777" w:rsidR="0006278C" w:rsidRPr="0006278C" w:rsidRDefault="0006278C" w:rsidP="0006278C">
            <w:pPr>
              <w:spacing w:after="0" w:line="240" w:lineRule="auto"/>
              <w:jc w:val="center"/>
              <w:rPr>
                <w:rFonts w:ascii="Arial" w:hAnsi="Arial" w:cs="Arial"/>
                <w:sz w:val="18"/>
              </w:rPr>
            </w:pPr>
          </w:p>
        </w:tc>
        <w:tc>
          <w:tcPr>
            <w:tcW w:w="360" w:type="dxa"/>
          </w:tcPr>
          <w:p w14:paraId="2A1052A9" w14:textId="77777777" w:rsidR="0006278C" w:rsidRPr="0006278C" w:rsidRDefault="0006278C" w:rsidP="0006278C">
            <w:pPr>
              <w:spacing w:after="0" w:line="240" w:lineRule="auto"/>
              <w:jc w:val="center"/>
              <w:rPr>
                <w:rFonts w:ascii="Arial" w:hAnsi="Arial" w:cs="Arial"/>
                <w:sz w:val="18"/>
              </w:rPr>
            </w:pPr>
          </w:p>
        </w:tc>
        <w:tc>
          <w:tcPr>
            <w:tcW w:w="636" w:type="dxa"/>
          </w:tcPr>
          <w:p w14:paraId="4F3FD8AA" w14:textId="77777777" w:rsidR="0006278C" w:rsidRPr="0006278C" w:rsidRDefault="0006278C" w:rsidP="0006278C">
            <w:pPr>
              <w:spacing w:after="0" w:line="240" w:lineRule="auto"/>
              <w:jc w:val="center"/>
              <w:rPr>
                <w:rFonts w:ascii="Arial" w:hAnsi="Arial" w:cs="Arial"/>
                <w:sz w:val="18"/>
              </w:rPr>
            </w:pPr>
          </w:p>
        </w:tc>
        <w:tc>
          <w:tcPr>
            <w:tcW w:w="491" w:type="dxa"/>
          </w:tcPr>
          <w:p w14:paraId="5F67BF3B" w14:textId="77777777" w:rsidR="0006278C" w:rsidRPr="0006278C" w:rsidRDefault="0006278C" w:rsidP="0006278C">
            <w:pPr>
              <w:spacing w:after="0" w:line="240" w:lineRule="auto"/>
              <w:jc w:val="center"/>
              <w:rPr>
                <w:rFonts w:ascii="Arial" w:hAnsi="Arial" w:cs="Arial"/>
                <w:sz w:val="18"/>
              </w:rPr>
            </w:pPr>
          </w:p>
        </w:tc>
        <w:tc>
          <w:tcPr>
            <w:tcW w:w="493" w:type="dxa"/>
          </w:tcPr>
          <w:p w14:paraId="2A203398" w14:textId="77777777" w:rsidR="0006278C" w:rsidRPr="0006278C" w:rsidRDefault="0006278C" w:rsidP="0006278C">
            <w:pPr>
              <w:spacing w:after="0" w:line="240" w:lineRule="auto"/>
              <w:jc w:val="center"/>
              <w:rPr>
                <w:rFonts w:ascii="Arial" w:hAnsi="Arial" w:cs="Arial"/>
                <w:sz w:val="18"/>
              </w:rPr>
            </w:pPr>
          </w:p>
        </w:tc>
        <w:tc>
          <w:tcPr>
            <w:tcW w:w="540" w:type="dxa"/>
          </w:tcPr>
          <w:p w14:paraId="30681D0B" w14:textId="77777777" w:rsidR="0006278C" w:rsidRPr="0006278C" w:rsidRDefault="0006278C" w:rsidP="0006278C">
            <w:pPr>
              <w:spacing w:after="0" w:line="240" w:lineRule="auto"/>
              <w:jc w:val="center"/>
              <w:rPr>
                <w:rFonts w:ascii="Arial" w:hAnsi="Arial" w:cs="Arial"/>
                <w:sz w:val="18"/>
              </w:rPr>
            </w:pPr>
          </w:p>
        </w:tc>
        <w:tc>
          <w:tcPr>
            <w:tcW w:w="450" w:type="dxa"/>
          </w:tcPr>
          <w:p w14:paraId="252F0C22"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540" w:type="dxa"/>
          </w:tcPr>
          <w:p w14:paraId="18F145BA" w14:textId="77777777" w:rsidR="0006278C" w:rsidRPr="0006278C" w:rsidRDefault="0006278C" w:rsidP="0006278C">
            <w:pPr>
              <w:spacing w:after="0" w:line="240" w:lineRule="auto"/>
              <w:jc w:val="center"/>
              <w:rPr>
                <w:rFonts w:ascii="Arial" w:hAnsi="Arial" w:cs="Arial"/>
                <w:sz w:val="18"/>
              </w:rPr>
            </w:pPr>
          </w:p>
        </w:tc>
      </w:tr>
      <w:tr w:rsidR="00864968" w:rsidRPr="0006278C" w14:paraId="2A551B2C" w14:textId="77777777" w:rsidTr="00864968">
        <w:tc>
          <w:tcPr>
            <w:tcW w:w="567" w:type="dxa"/>
          </w:tcPr>
          <w:p w14:paraId="307F60B4" w14:textId="1C3D669D" w:rsidR="0006278C" w:rsidRPr="0006278C" w:rsidRDefault="004304E6" w:rsidP="004304E6">
            <w:pPr>
              <w:spacing w:after="0" w:line="240" w:lineRule="auto"/>
              <w:rPr>
                <w:rFonts w:ascii="Arial" w:hAnsi="Arial" w:cs="Arial"/>
                <w:sz w:val="18"/>
              </w:rPr>
            </w:pPr>
            <w:r>
              <w:rPr>
                <w:rFonts w:ascii="Arial" w:hAnsi="Arial" w:cs="Arial"/>
                <w:sz w:val="18"/>
              </w:rPr>
              <w:t xml:space="preserve"> </w:t>
            </w:r>
            <w:r w:rsidR="0006278C" w:rsidRPr="0006278C">
              <w:rPr>
                <w:rFonts w:ascii="Arial" w:hAnsi="Arial" w:cs="Arial"/>
                <w:sz w:val="18"/>
              </w:rPr>
              <w:t>9.2</w:t>
            </w:r>
          </w:p>
        </w:tc>
        <w:tc>
          <w:tcPr>
            <w:tcW w:w="2194" w:type="dxa"/>
          </w:tcPr>
          <w:p w14:paraId="21ADA3A6" w14:textId="77777777" w:rsidR="0006278C" w:rsidRPr="0006278C" w:rsidRDefault="0006278C" w:rsidP="0006278C">
            <w:pPr>
              <w:spacing w:after="0" w:line="240" w:lineRule="auto"/>
              <w:rPr>
                <w:rFonts w:ascii="Arial" w:hAnsi="Arial" w:cs="Arial"/>
                <w:sz w:val="18"/>
              </w:rPr>
            </w:pPr>
            <w:r w:rsidRPr="0006278C">
              <w:rPr>
                <w:rFonts w:ascii="Arial" w:hAnsi="Arial" w:cs="Arial"/>
                <w:sz w:val="18"/>
              </w:rPr>
              <w:t>Neonatal mortality</w:t>
            </w:r>
          </w:p>
        </w:tc>
        <w:tc>
          <w:tcPr>
            <w:tcW w:w="429" w:type="dxa"/>
          </w:tcPr>
          <w:p w14:paraId="1D6BCB02"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619" w:type="dxa"/>
          </w:tcPr>
          <w:p w14:paraId="4B57CBF1" w14:textId="77777777" w:rsidR="0006278C" w:rsidRPr="0006278C" w:rsidRDefault="0006278C" w:rsidP="0006278C">
            <w:pPr>
              <w:spacing w:after="0" w:line="240" w:lineRule="auto"/>
              <w:jc w:val="center"/>
              <w:rPr>
                <w:rFonts w:ascii="Arial" w:hAnsi="Arial" w:cs="Arial"/>
                <w:sz w:val="18"/>
              </w:rPr>
            </w:pPr>
          </w:p>
        </w:tc>
        <w:tc>
          <w:tcPr>
            <w:tcW w:w="619" w:type="dxa"/>
          </w:tcPr>
          <w:p w14:paraId="0237A995"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449" w:type="dxa"/>
          </w:tcPr>
          <w:p w14:paraId="2C71621E" w14:textId="77777777" w:rsidR="0006278C" w:rsidRPr="0006278C" w:rsidRDefault="0006278C" w:rsidP="0006278C">
            <w:pPr>
              <w:spacing w:after="0" w:line="240" w:lineRule="auto"/>
              <w:jc w:val="center"/>
              <w:rPr>
                <w:rFonts w:ascii="Arial" w:hAnsi="Arial" w:cs="Arial"/>
                <w:sz w:val="18"/>
              </w:rPr>
            </w:pPr>
          </w:p>
        </w:tc>
        <w:tc>
          <w:tcPr>
            <w:tcW w:w="338" w:type="dxa"/>
          </w:tcPr>
          <w:p w14:paraId="14CDDA17" w14:textId="77777777" w:rsidR="0006278C" w:rsidRPr="0006278C" w:rsidRDefault="0006278C" w:rsidP="0006278C">
            <w:pPr>
              <w:spacing w:after="0" w:line="240" w:lineRule="auto"/>
              <w:jc w:val="center"/>
              <w:rPr>
                <w:rFonts w:ascii="Arial" w:hAnsi="Arial" w:cs="Arial"/>
                <w:sz w:val="18"/>
              </w:rPr>
            </w:pPr>
          </w:p>
        </w:tc>
        <w:tc>
          <w:tcPr>
            <w:tcW w:w="540" w:type="dxa"/>
          </w:tcPr>
          <w:p w14:paraId="38346FE2" w14:textId="77777777" w:rsidR="0006278C" w:rsidRPr="0006278C" w:rsidRDefault="0006278C" w:rsidP="0006278C">
            <w:pPr>
              <w:spacing w:after="0" w:line="240" w:lineRule="auto"/>
              <w:jc w:val="center"/>
              <w:rPr>
                <w:rFonts w:ascii="Arial" w:hAnsi="Arial" w:cs="Arial"/>
                <w:sz w:val="18"/>
              </w:rPr>
            </w:pPr>
          </w:p>
        </w:tc>
        <w:tc>
          <w:tcPr>
            <w:tcW w:w="540" w:type="dxa"/>
          </w:tcPr>
          <w:p w14:paraId="4EB50E89" w14:textId="77777777" w:rsidR="0006278C" w:rsidRPr="0006278C" w:rsidRDefault="0006278C" w:rsidP="0006278C">
            <w:pPr>
              <w:spacing w:after="0" w:line="240" w:lineRule="auto"/>
              <w:jc w:val="center"/>
              <w:rPr>
                <w:rFonts w:ascii="Arial" w:hAnsi="Arial" w:cs="Arial"/>
                <w:sz w:val="18"/>
              </w:rPr>
            </w:pPr>
          </w:p>
        </w:tc>
        <w:tc>
          <w:tcPr>
            <w:tcW w:w="450" w:type="dxa"/>
          </w:tcPr>
          <w:p w14:paraId="12FB8B05" w14:textId="77777777" w:rsidR="0006278C" w:rsidRPr="0006278C" w:rsidRDefault="0006278C" w:rsidP="0006278C">
            <w:pPr>
              <w:spacing w:after="0" w:line="240" w:lineRule="auto"/>
              <w:jc w:val="center"/>
              <w:rPr>
                <w:rFonts w:ascii="Arial" w:hAnsi="Arial" w:cs="Arial"/>
                <w:sz w:val="18"/>
              </w:rPr>
            </w:pPr>
          </w:p>
        </w:tc>
        <w:tc>
          <w:tcPr>
            <w:tcW w:w="360" w:type="dxa"/>
          </w:tcPr>
          <w:p w14:paraId="5710EBD9" w14:textId="77777777" w:rsidR="0006278C" w:rsidRPr="0006278C" w:rsidRDefault="0006278C" w:rsidP="0006278C">
            <w:pPr>
              <w:spacing w:after="0" w:line="240" w:lineRule="auto"/>
              <w:jc w:val="center"/>
              <w:rPr>
                <w:rFonts w:ascii="Arial" w:hAnsi="Arial" w:cs="Arial"/>
                <w:sz w:val="18"/>
              </w:rPr>
            </w:pPr>
          </w:p>
        </w:tc>
        <w:tc>
          <w:tcPr>
            <w:tcW w:w="636" w:type="dxa"/>
          </w:tcPr>
          <w:p w14:paraId="3F34C40A" w14:textId="77777777" w:rsidR="0006278C" w:rsidRPr="0006278C" w:rsidRDefault="0006278C" w:rsidP="0006278C">
            <w:pPr>
              <w:spacing w:after="0" w:line="240" w:lineRule="auto"/>
              <w:jc w:val="center"/>
              <w:rPr>
                <w:rFonts w:ascii="Arial" w:hAnsi="Arial" w:cs="Arial"/>
                <w:sz w:val="18"/>
              </w:rPr>
            </w:pPr>
          </w:p>
        </w:tc>
        <w:tc>
          <w:tcPr>
            <w:tcW w:w="491" w:type="dxa"/>
          </w:tcPr>
          <w:p w14:paraId="66519629" w14:textId="77777777" w:rsidR="0006278C" w:rsidRPr="0006278C" w:rsidRDefault="0006278C" w:rsidP="0006278C">
            <w:pPr>
              <w:spacing w:after="0" w:line="240" w:lineRule="auto"/>
              <w:jc w:val="center"/>
              <w:rPr>
                <w:rFonts w:ascii="Arial" w:hAnsi="Arial" w:cs="Arial"/>
                <w:sz w:val="18"/>
              </w:rPr>
            </w:pPr>
          </w:p>
        </w:tc>
        <w:tc>
          <w:tcPr>
            <w:tcW w:w="493" w:type="dxa"/>
          </w:tcPr>
          <w:p w14:paraId="62FA9DA0" w14:textId="77777777" w:rsidR="0006278C" w:rsidRPr="0006278C" w:rsidRDefault="0006278C" w:rsidP="0006278C">
            <w:pPr>
              <w:spacing w:after="0" w:line="240" w:lineRule="auto"/>
              <w:jc w:val="center"/>
              <w:rPr>
                <w:rFonts w:ascii="Arial" w:hAnsi="Arial" w:cs="Arial"/>
                <w:sz w:val="18"/>
              </w:rPr>
            </w:pPr>
          </w:p>
        </w:tc>
        <w:tc>
          <w:tcPr>
            <w:tcW w:w="540" w:type="dxa"/>
          </w:tcPr>
          <w:p w14:paraId="437DF132" w14:textId="77777777" w:rsidR="0006278C" w:rsidRPr="0006278C" w:rsidRDefault="0006278C" w:rsidP="0006278C">
            <w:pPr>
              <w:spacing w:after="0" w:line="240" w:lineRule="auto"/>
              <w:jc w:val="center"/>
              <w:rPr>
                <w:rFonts w:ascii="Arial" w:hAnsi="Arial" w:cs="Arial"/>
                <w:sz w:val="18"/>
              </w:rPr>
            </w:pPr>
          </w:p>
        </w:tc>
        <w:tc>
          <w:tcPr>
            <w:tcW w:w="450" w:type="dxa"/>
          </w:tcPr>
          <w:p w14:paraId="519ADE7C"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540" w:type="dxa"/>
          </w:tcPr>
          <w:p w14:paraId="3D561449" w14:textId="77777777" w:rsidR="0006278C" w:rsidRPr="0006278C" w:rsidRDefault="0006278C" w:rsidP="0006278C">
            <w:pPr>
              <w:spacing w:after="0" w:line="240" w:lineRule="auto"/>
              <w:jc w:val="center"/>
              <w:rPr>
                <w:rFonts w:ascii="Arial" w:hAnsi="Arial" w:cs="Arial"/>
                <w:sz w:val="18"/>
              </w:rPr>
            </w:pPr>
          </w:p>
        </w:tc>
      </w:tr>
      <w:tr w:rsidR="00864968" w:rsidRPr="0006278C" w14:paraId="276DCBDC" w14:textId="77777777" w:rsidTr="00864968">
        <w:tc>
          <w:tcPr>
            <w:tcW w:w="567" w:type="dxa"/>
          </w:tcPr>
          <w:p w14:paraId="1E003AFB" w14:textId="66AE9337" w:rsidR="0006278C" w:rsidRPr="0006278C" w:rsidRDefault="004304E6" w:rsidP="004304E6">
            <w:pPr>
              <w:spacing w:after="0" w:line="240" w:lineRule="auto"/>
              <w:rPr>
                <w:rFonts w:ascii="Arial" w:hAnsi="Arial" w:cs="Arial"/>
                <w:sz w:val="18"/>
              </w:rPr>
            </w:pPr>
            <w:r>
              <w:rPr>
                <w:rFonts w:ascii="Arial" w:hAnsi="Arial" w:cs="Arial"/>
                <w:sz w:val="18"/>
              </w:rPr>
              <w:t xml:space="preserve"> </w:t>
            </w:r>
            <w:r w:rsidR="0006278C" w:rsidRPr="0006278C">
              <w:rPr>
                <w:rFonts w:ascii="Arial" w:hAnsi="Arial" w:cs="Arial"/>
                <w:sz w:val="18"/>
              </w:rPr>
              <w:t>9.3</w:t>
            </w:r>
          </w:p>
        </w:tc>
        <w:tc>
          <w:tcPr>
            <w:tcW w:w="2194" w:type="dxa"/>
          </w:tcPr>
          <w:p w14:paraId="09E37A6A" w14:textId="77777777" w:rsidR="0006278C" w:rsidRPr="0006278C" w:rsidRDefault="0006278C" w:rsidP="0006278C">
            <w:pPr>
              <w:spacing w:after="0" w:line="240" w:lineRule="auto"/>
              <w:rPr>
                <w:rFonts w:ascii="Arial" w:hAnsi="Arial" w:cs="Arial"/>
                <w:sz w:val="18"/>
              </w:rPr>
            </w:pPr>
            <w:r w:rsidRPr="0006278C">
              <w:rPr>
                <w:rFonts w:ascii="Arial" w:hAnsi="Arial" w:cs="Arial"/>
                <w:sz w:val="18"/>
              </w:rPr>
              <w:t>Postneonatal mortality</w:t>
            </w:r>
          </w:p>
        </w:tc>
        <w:tc>
          <w:tcPr>
            <w:tcW w:w="429" w:type="dxa"/>
          </w:tcPr>
          <w:p w14:paraId="76DBF611"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619" w:type="dxa"/>
          </w:tcPr>
          <w:p w14:paraId="6F7BE7E7" w14:textId="77777777" w:rsidR="0006278C" w:rsidRPr="0006278C" w:rsidRDefault="0006278C" w:rsidP="0006278C">
            <w:pPr>
              <w:spacing w:after="0" w:line="240" w:lineRule="auto"/>
              <w:jc w:val="center"/>
              <w:rPr>
                <w:rFonts w:ascii="Arial" w:hAnsi="Arial" w:cs="Arial"/>
                <w:sz w:val="18"/>
              </w:rPr>
            </w:pPr>
          </w:p>
        </w:tc>
        <w:tc>
          <w:tcPr>
            <w:tcW w:w="619" w:type="dxa"/>
          </w:tcPr>
          <w:p w14:paraId="7F7C8153" w14:textId="77777777" w:rsidR="0006278C" w:rsidRPr="0006278C" w:rsidRDefault="0006278C" w:rsidP="0006278C">
            <w:pPr>
              <w:spacing w:after="0" w:line="240" w:lineRule="auto"/>
              <w:jc w:val="center"/>
              <w:rPr>
                <w:rFonts w:ascii="Arial" w:hAnsi="Arial" w:cs="Arial"/>
                <w:sz w:val="18"/>
              </w:rPr>
            </w:pPr>
          </w:p>
        </w:tc>
        <w:tc>
          <w:tcPr>
            <w:tcW w:w="449" w:type="dxa"/>
          </w:tcPr>
          <w:p w14:paraId="667A4975"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338" w:type="dxa"/>
          </w:tcPr>
          <w:p w14:paraId="7C60F487"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540" w:type="dxa"/>
          </w:tcPr>
          <w:p w14:paraId="2E91D5E1" w14:textId="77777777" w:rsidR="0006278C" w:rsidRPr="0006278C" w:rsidRDefault="0006278C" w:rsidP="0006278C">
            <w:pPr>
              <w:spacing w:after="0" w:line="240" w:lineRule="auto"/>
              <w:jc w:val="center"/>
              <w:rPr>
                <w:rFonts w:ascii="Arial" w:hAnsi="Arial" w:cs="Arial"/>
                <w:sz w:val="18"/>
              </w:rPr>
            </w:pPr>
          </w:p>
        </w:tc>
        <w:tc>
          <w:tcPr>
            <w:tcW w:w="540" w:type="dxa"/>
          </w:tcPr>
          <w:p w14:paraId="2BC6F5E0" w14:textId="77777777" w:rsidR="0006278C" w:rsidRPr="0006278C" w:rsidRDefault="0006278C" w:rsidP="0006278C">
            <w:pPr>
              <w:spacing w:after="0" w:line="240" w:lineRule="auto"/>
              <w:jc w:val="center"/>
              <w:rPr>
                <w:rFonts w:ascii="Arial" w:hAnsi="Arial" w:cs="Arial"/>
                <w:sz w:val="18"/>
              </w:rPr>
            </w:pPr>
          </w:p>
        </w:tc>
        <w:tc>
          <w:tcPr>
            <w:tcW w:w="450" w:type="dxa"/>
          </w:tcPr>
          <w:p w14:paraId="0AD363C0" w14:textId="77777777" w:rsidR="0006278C" w:rsidRPr="0006278C" w:rsidRDefault="0006278C" w:rsidP="0006278C">
            <w:pPr>
              <w:spacing w:after="0" w:line="240" w:lineRule="auto"/>
              <w:jc w:val="center"/>
              <w:rPr>
                <w:rFonts w:ascii="Arial" w:hAnsi="Arial" w:cs="Arial"/>
                <w:sz w:val="18"/>
              </w:rPr>
            </w:pPr>
          </w:p>
        </w:tc>
        <w:tc>
          <w:tcPr>
            <w:tcW w:w="360" w:type="dxa"/>
          </w:tcPr>
          <w:p w14:paraId="6AA67A44" w14:textId="77777777" w:rsidR="0006278C" w:rsidRPr="0006278C" w:rsidRDefault="0006278C" w:rsidP="0006278C">
            <w:pPr>
              <w:spacing w:after="0" w:line="240" w:lineRule="auto"/>
              <w:jc w:val="center"/>
              <w:rPr>
                <w:rFonts w:ascii="Arial" w:hAnsi="Arial" w:cs="Arial"/>
                <w:sz w:val="18"/>
              </w:rPr>
            </w:pPr>
          </w:p>
        </w:tc>
        <w:tc>
          <w:tcPr>
            <w:tcW w:w="636" w:type="dxa"/>
          </w:tcPr>
          <w:p w14:paraId="0FAD616A" w14:textId="77777777" w:rsidR="0006278C" w:rsidRPr="0006278C" w:rsidRDefault="0006278C" w:rsidP="0006278C">
            <w:pPr>
              <w:spacing w:after="0" w:line="240" w:lineRule="auto"/>
              <w:jc w:val="center"/>
              <w:rPr>
                <w:rFonts w:ascii="Arial" w:hAnsi="Arial" w:cs="Arial"/>
                <w:sz w:val="18"/>
              </w:rPr>
            </w:pPr>
          </w:p>
        </w:tc>
        <w:tc>
          <w:tcPr>
            <w:tcW w:w="491" w:type="dxa"/>
          </w:tcPr>
          <w:p w14:paraId="097EE9C4" w14:textId="77777777" w:rsidR="0006278C" w:rsidRPr="0006278C" w:rsidRDefault="0006278C" w:rsidP="0006278C">
            <w:pPr>
              <w:spacing w:after="0" w:line="240" w:lineRule="auto"/>
              <w:jc w:val="center"/>
              <w:rPr>
                <w:rFonts w:ascii="Arial" w:hAnsi="Arial" w:cs="Arial"/>
                <w:sz w:val="18"/>
              </w:rPr>
            </w:pPr>
          </w:p>
        </w:tc>
        <w:tc>
          <w:tcPr>
            <w:tcW w:w="493" w:type="dxa"/>
          </w:tcPr>
          <w:p w14:paraId="64DAB7E7" w14:textId="77777777" w:rsidR="0006278C" w:rsidRPr="0006278C" w:rsidRDefault="0006278C" w:rsidP="0006278C">
            <w:pPr>
              <w:spacing w:after="0" w:line="240" w:lineRule="auto"/>
              <w:jc w:val="center"/>
              <w:rPr>
                <w:rFonts w:ascii="Arial" w:hAnsi="Arial" w:cs="Arial"/>
                <w:sz w:val="18"/>
              </w:rPr>
            </w:pPr>
          </w:p>
        </w:tc>
        <w:tc>
          <w:tcPr>
            <w:tcW w:w="540" w:type="dxa"/>
          </w:tcPr>
          <w:p w14:paraId="35CDFF7F" w14:textId="77777777" w:rsidR="0006278C" w:rsidRPr="0006278C" w:rsidRDefault="0006278C" w:rsidP="0006278C">
            <w:pPr>
              <w:spacing w:after="0" w:line="240" w:lineRule="auto"/>
              <w:jc w:val="center"/>
              <w:rPr>
                <w:rFonts w:ascii="Arial" w:hAnsi="Arial" w:cs="Arial"/>
                <w:sz w:val="18"/>
              </w:rPr>
            </w:pPr>
          </w:p>
        </w:tc>
        <w:tc>
          <w:tcPr>
            <w:tcW w:w="450" w:type="dxa"/>
          </w:tcPr>
          <w:p w14:paraId="3ACF782A"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540" w:type="dxa"/>
          </w:tcPr>
          <w:p w14:paraId="4441B29B" w14:textId="77777777" w:rsidR="0006278C" w:rsidRPr="0006278C" w:rsidRDefault="0006278C" w:rsidP="0006278C">
            <w:pPr>
              <w:spacing w:after="0" w:line="240" w:lineRule="auto"/>
              <w:jc w:val="center"/>
              <w:rPr>
                <w:rFonts w:ascii="Arial" w:hAnsi="Arial" w:cs="Arial"/>
                <w:sz w:val="18"/>
              </w:rPr>
            </w:pPr>
          </w:p>
        </w:tc>
      </w:tr>
      <w:tr w:rsidR="00864968" w:rsidRPr="0006278C" w14:paraId="5F96D89F" w14:textId="77777777" w:rsidTr="00864968">
        <w:tc>
          <w:tcPr>
            <w:tcW w:w="567" w:type="dxa"/>
          </w:tcPr>
          <w:p w14:paraId="3A3291D0" w14:textId="2241D834" w:rsidR="0006278C" w:rsidRPr="0006278C" w:rsidRDefault="004304E6" w:rsidP="004304E6">
            <w:pPr>
              <w:spacing w:after="0" w:line="240" w:lineRule="auto"/>
              <w:rPr>
                <w:rFonts w:ascii="Arial" w:hAnsi="Arial" w:cs="Arial"/>
                <w:sz w:val="18"/>
              </w:rPr>
            </w:pPr>
            <w:r>
              <w:rPr>
                <w:rFonts w:ascii="Arial" w:hAnsi="Arial" w:cs="Arial"/>
                <w:sz w:val="18"/>
              </w:rPr>
              <w:t xml:space="preserve"> </w:t>
            </w:r>
            <w:r w:rsidR="0006278C" w:rsidRPr="0006278C">
              <w:rPr>
                <w:rFonts w:ascii="Arial" w:hAnsi="Arial" w:cs="Arial"/>
                <w:sz w:val="18"/>
              </w:rPr>
              <w:t>9.4</w:t>
            </w:r>
          </w:p>
        </w:tc>
        <w:tc>
          <w:tcPr>
            <w:tcW w:w="2194" w:type="dxa"/>
          </w:tcPr>
          <w:p w14:paraId="411098B4" w14:textId="77777777" w:rsidR="0006278C" w:rsidRPr="0006278C" w:rsidRDefault="0006278C" w:rsidP="0006278C">
            <w:pPr>
              <w:spacing w:after="0" w:line="240" w:lineRule="auto"/>
              <w:rPr>
                <w:rFonts w:ascii="Arial" w:hAnsi="Arial" w:cs="Arial"/>
                <w:sz w:val="18"/>
              </w:rPr>
            </w:pPr>
            <w:r w:rsidRPr="0006278C">
              <w:rPr>
                <w:rFonts w:ascii="Arial" w:hAnsi="Arial" w:cs="Arial"/>
                <w:sz w:val="18"/>
              </w:rPr>
              <w:t>Preterm-related mortality</w:t>
            </w:r>
          </w:p>
        </w:tc>
        <w:tc>
          <w:tcPr>
            <w:tcW w:w="429" w:type="dxa"/>
          </w:tcPr>
          <w:p w14:paraId="34BEF773"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619" w:type="dxa"/>
          </w:tcPr>
          <w:p w14:paraId="1D27CA40" w14:textId="77777777" w:rsidR="0006278C" w:rsidRPr="0006278C" w:rsidRDefault="0006278C" w:rsidP="0006278C">
            <w:pPr>
              <w:spacing w:after="0" w:line="240" w:lineRule="auto"/>
              <w:jc w:val="center"/>
              <w:rPr>
                <w:rFonts w:ascii="Arial" w:hAnsi="Arial" w:cs="Arial"/>
                <w:sz w:val="18"/>
              </w:rPr>
            </w:pPr>
          </w:p>
        </w:tc>
        <w:tc>
          <w:tcPr>
            <w:tcW w:w="619" w:type="dxa"/>
          </w:tcPr>
          <w:p w14:paraId="1A86BA11"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449" w:type="dxa"/>
          </w:tcPr>
          <w:p w14:paraId="3D9CD639" w14:textId="77777777" w:rsidR="0006278C" w:rsidRPr="0006278C" w:rsidRDefault="0006278C" w:rsidP="0006278C">
            <w:pPr>
              <w:spacing w:after="0" w:line="240" w:lineRule="auto"/>
              <w:jc w:val="center"/>
              <w:rPr>
                <w:rFonts w:ascii="Arial" w:hAnsi="Arial" w:cs="Arial"/>
                <w:sz w:val="18"/>
              </w:rPr>
            </w:pPr>
          </w:p>
        </w:tc>
        <w:tc>
          <w:tcPr>
            <w:tcW w:w="338" w:type="dxa"/>
          </w:tcPr>
          <w:p w14:paraId="44D31D73" w14:textId="77777777" w:rsidR="0006278C" w:rsidRPr="0006278C" w:rsidRDefault="0006278C" w:rsidP="0006278C">
            <w:pPr>
              <w:spacing w:after="0" w:line="240" w:lineRule="auto"/>
              <w:jc w:val="center"/>
              <w:rPr>
                <w:rFonts w:ascii="Arial" w:hAnsi="Arial" w:cs="Arial"/>
                <w:sz w:val="18"/>
              </w:rPr>
            </w:pPr>
          </w:p>
        </w:tc>
        <w:tc>
          <w:tcPr>
            <w:tcW w:w="540" w:type="dxa"/>
          </w:tcPr>
          <w:p w14:paraId="721DAF53" w14:textId="77777777" w:rsidR="0006278C" w:rsidRPr="0006278C" w:rsidRDefault="0006278C" w:rsidP="0006278C">
            <w:pPr>
              <w:spacing w:after="0" w:line="240" w:lineRule="auto"/>
              <w:jc w:val="center"/>
              <w:rPr>
                <w:rFonts w:ascii="Arial" w:hAnsi="Arial" w:cs="Arial"/>
                <w:sz w:val="18"/>
              </w:rPr>
            </w:pPr>
          </w:p>
        </w:tc>
        <w:tc>
          <w:tcPr>
            <w:tcW w:w="540" w:type="dxa"/>
          </w:tcPr>
          <w:p w14:paraId="77DBE83A" w14:textId="77777777" w:rsidR="0006278C" w:rsidRPr="0006278C" w:rsidRDefault="0006278C" w:rsidP="0006278C">
            <w:pPr>
              <w:spacing w:after="0" w:line="240" w:lineRule="auto"/>
              <w:jc w:val="center"/>
              <w:rPr>
                <w:rFonts w:ascii="Arial" w:hAnsi="Arial" w:cs="Arial"/>
                <w:sz w:val="18"/>
              </w:rPr>
            </w:pPr>
          </w:p>
        </w:tc>
        <w:tc>
          <w:tcPr>
            <w:tcW w:w="450" w:type="dxa"/>
          </w:tcPr>
          <w:p w14:paraId="4A68FA9F" w14:textId="77777777" w:rsidR="0006278C" w:rsidRPr="0006278C" w:rsidRDefault="0006278C" w:rsidP="0006278C">
            <w:pPr>
              <w:spacing w:after="0" w:line="240" w:lineRule="auto"/>
              <w:jc w:val="center"/>
              <w:rPr>
                <w:rFonts w:ascii="Arial" w:hAnsi="Arial" w:cs="Arial"/>
                <w:sz w:val="18"/>
              </w:rPr>
            </w:pPr>
          </w:p>
        </w:tc>
        <w:tc>
          <w:tcPr>
            <w:tcW w:w="360" w:type="dxa"/>
          </w:tcPr>
          <w:p w14:paraId="386381D9" w14:textId="77777777" w:rsidR="0006278C" w:rsidRPr="0006278C" w:rsidRDefault="0006278C" w:rsidP="0006278C">
            <w:pPr>
              <w:spacing w:after="0" w:line="240" w:lineRule="auto"/>
              <w:jc w:val="center"/>
              <w:rPr>
                <w:rFonts w:ascii="Arial" w:hAnsi="Arial" w:cs="Arial"/>
                <w:sz w:val="18"/>
              </w:rPr>
            </w:pPr>
          </w:p>
        </w:tc>
        <w:tc>
          <w:tcPr>
            <w:tcW w:w="636" w:type="dxa"/>
          </w:tcPr>
          <w:p w14:paraId="5C7944BC" w14:textId="77777777" w:rsidR="0006278C" w:rsidRPr="0006278C" w:rsidRDefault="0006278C" w:rsidP="0006278C">
            <w:pPr>
              <w:spacing w:after="0" w:line="240" w:lineRule="auto"/>
              <w:jc w:val="center"/>
              <w:rPr>
                <w:rFonts w:ascii="Arial" w:hAnsi="Arial" w:cs="Arial"/>
                <w:sz w:val="18"/>
              </w:rPr>
            </w:pPr>
          </w:p>
        </w:tc>
        <w:tc>
          <w:tcPr>
            <w:tcW w:w="491" w:type="dxa"/>
          </w:tcPr>
          <w:p w14:paraId="334ED782" w14:textId="77777777" w:rsidR="0006278C" w:rsidRPr="0006278C" w:rsidRDefault="0006278C" w:rsidP="0006278C">
            <w:pPr>
              <w:spacing w:after="0" w:line="240" w:lineRule="auto"/>
              <w:jc w:val="center"/>
              <w:rPr>
                <w:rFonts w:ascii="Arial" w:hAnsi="Arial" w:cs="Arial"/>
                <w:sz w:val="18"/>
              </w:rPr>
            </w:pPr>
          </w:p>
        </w:tc>
        <w:tc>
          <w:tcPr>
            <w:tcW w:w="493" w:type="dxa"/>
          </w:tcPr>
          <w:p w14:paraId="72AE6FB0" w14:textId="77777777" w:rsidR="0006278C" w:rsidRPr="0006278C" w:rsidRDefault="0006278C" w:rsidP="0006278C">
            <w:pPr>
              <w:spacing w:after="0" w:line="240" w:lineRule="auto"/>
              <w:jc w:val="center"/>
              <w:rPr>
                <w:rFonts w:ascii="Arial" w:hAnsi="Arial" w:cs="Arial"/>
                <w:sz w:val="18"/>
              </w:rPr>
            </w:pPr>
          </w:p>
        </w:tc>
        <w:tc>
          <w:tcPr>
            <w:tcW w:w="540" w:type="dxa"/>
          </w:tcPr>
          <w:p w14:paraId="28FFAE7F" w14:textId="77777777" w:rsidR="0006278C" w:rsidRPr="0006278C" w:rsidRDefault="0006278C" w:rsidP="0006278C">
            <w:pPr>
              <w:spacing w:after="0" w:line="240" w:lineRule="auto"/>
              <w:jc w:val="center"/>
              <w:rPr>
                <w:rFonts w:ascii="Arial" w:hAnsi="Arial" w:cs="Arial"/>
                <w:sz w:val="18"/>
              </w:rPr>
            </w:pPr>
          </w:p>
        </w:tc>
        <w:tc>
          <w:tcPr>
            <w:tcW w:w="450" w:type="dxa"/>
          </w:tcPr>
          <w:p w14:paraId="73D605D7"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540" w:type="dxa"/>
          </w:tcPr>
          <w:p w14:paraId="74AB02C9" w14:textId="77777777" w:rsidR="0006278C" w:rsidRPr="0006278C" w:rsidRDefault="0006278C" w:rsidP="0006278C">
            <w:pPr>
              <w:spacing w:after="0" w:line="240" w:lineRule="auto"/>
              <w:jc w:val="center"/>
              <w:rPr>
                <w:rFonts w:ascii="Arial" w:hAnsi="Arial" w:cs="Arial"/>
                <w:sz w:val="18"/>
              </w:rPr>
            </w:pPr>
          </w:p>
        </w:tc>
      </w:tr>
      <w:tr w:rsidR="00864968" w:rsidRPr="0006278C" w14:paraId="68F8B57D" w14:textId="77777777" w:rsidTr="00864968">
        <w:tc>
          <w:tcPr>
            <w:tcW w:w="567" w:type="dxa"/>
          </w:tcPr>
          <w:p w14:paraId="3901327D" w14:textId="7771C796" w:rsidR="0006278C" w:rsidRPr="0006278C" w:rsidRDefault="004304E6" w:rsidP="004304E6">
            <w:pPr>
              <w:spacing w:after="0" w:line="240" w:lineRule="auto"/>
              <w:rPr>
                <w:rFonts w:ascii="Arial" w:hAnsi="Arial" w:cs="Arial"/>
                <w:sz w:val="18"/>
              </w:rPr>
            </w:pPr>
            <w:r>
              <w:rPr>
                <w:rFonts w:ascii="Arial" w:hAnsi="Arial" w:cs="Arial"/>
                <w:sz w:val="18"/>
              </w:rPr>
              <w:t xml:space="preserve"> </w:t>
            </w:r>
            <w:r w:rsidR="0006278C" w:rsidRPr="0006278C">
              <w:rPr>
                <w:rFonts w:ascii="Arial" w:hAnsi="Arial" w:cs="Arial"/>
                <w:sz w:val="18"/>
              </w:rPr>
              <w:t>9.5</w:t>
            </w:r>
          </w:p>
        </w:tc>
        <w:tc>
          <w:tcPr>
            <w:tcW w:w="2194" w:type="dxa"/>
          </w:tcPr>
          <w:p w14:paraId="7DFAC05F" w14:textId="77777777" w:rsidR="0006278C" w:rsidRPr="0006278C" w:rsidRDefault="0006278C" w:rsidP="0006278C">
            <w:pPr>
              <w:spacing w:after="0" w:line="240" w:lineRule="auto"/>
              <w:rPr>
                <w:rFonts w:ascii="Arial" w:hAnsi="Arial" w:cs="Arial"/>
                <w:sz w:val="18"/>
              </w:rPr>
            </w:pPr>
            <w:r w:rsidRPr="0006278C">
              <w:rPr>
                <w:rFonts w:ascii="Arial" w:hAnsi="Arial" w:cs="Arial"/>
                <w:sz w:val="18"/>
              </w:rPr>
              <w:t>SUID mortality</w:t>
            </w:r>
          </w:p>
        </w:tc>
        <w:tc>
          <w:tcPr>
            <w:tcW w:w="429" w:type="dxa"/>
          </w:tcPr>
          <w:p w14:paraId="17B2E9FC" w14:textId="77777777" w:rsidR="0006278C" w:rsidRPr="0006278C" w:rsidRDefault="0006278C" w:rsidP="0006278C">
            <w:pPr>
              <w:spacing w:after="0" w:line="240" w:lineRule="auto"/>
              <w:jc w:val="center"/>
              <w:rPr>
                <w:rFonts w:ascii="Arial" w:hAnsi="Arial" w:cs="Arial"/>
                <w:sz w:val="18"/>
              </w:rPr>
            </w:pPr>
          </w:p>
        </w:tc>
        <w:tc>
          <w:tcPr>
            <w:tcW w:w="619" w:type="dxa"/>
          </w:tcPr>
          <w:p w14:paraId="45C72A8F" w14:textId="77777777" w:rsidR="0006278C" w:rsidRPr="0006278C" w:rsidRDefault="0006278C" w:rsidP="0006278C">
            <w:pPr>
              <w:spacing w:after="0" w:line="240" w:lineRule="auto"/>
              <w:jc w:val="center"/>
              <w:rPr>
                <w:rFonts w:ascii="Arial" w:hAnsi="Arial" w:cs="Arial"/>
                <w:sz w:val="18"/>
              </w:rPr>
            </w:pPr>
          </w:p>
        </w:tc>
        <w:tc>
          <w:tcPr>
            <w:tcW w:w="619" w:type="dxa"/>
          </w:tcPr>
          <w:p w14:paraId="04B88AC4" w14:textId="77777777" w:rsidR="0006278C" w:rsidRPr="0006278C" w:rsidRDefault="0006278C" w:rsidP="0006278C">
            <w:pPr>
              <w:spacing w:after="0" w:line="240" w:lineRule="auto"/>
              <w:jc w:val="center"/>
              <w:rPr>
                <w:rFonts w:ascii="Arial" w:hAnsi="Arial" w:cs="Arial"/>
                <w:sz w:val="18"/>
              </w:rPr>
            </w:pPr>
          </w:p>
        </w:tc>
        <w:tc>
          <w:tcPr>
            <w:tcW w:w="449" w:type="dxa"/>
          </w:tcPr>
          <w:p w14:paraId="36B03A60"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338" w:type="dxa"/>
          </w:tcPr>
          <w:p w14:paraId="21BC3F0E"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540" w:type="dxa"/>
          </w:tcPr>
          <w:p w14:paraId="4DCBCF2E" w14:textId="77777777" w:rsidR="0006278C" w:rsidRPr="0006278C" w:rsidRDefault="0006278C" w:rsidP="0006278C">
            <w:pPr>
              <w:spacing w:after="0" w:line="240" w:lineRule="auto"/>
              <w:jc w:val="center"/>
              <w:rPr>
                <w:rFonts w:ascii="Arial" w:hAnsi="Arial" w:cs="Arial"/>
                <w:sz w:val="18"/>
              </w:rPr>
            </w:pPr>
          </w:p>
        </w:tc>
        <w:tc>
          <w:tcPr>
            <w:tcW w:w="540" w:type="dxa"/>
          </w:tcPr>
          <w:p w14:paraId="1ED80269" w14:textId="77777777" w:rsidR="0006278C" w:rsidRPr="0006278C" w:rsidRDefault="0006278C" w:rsidP="0006278C">
            <w:pPr>
              <w:spacing w:after="0" w:line="240" w:lineRule="auto"/>
              <w:jc w:val="center"/>
              <w:rPr>
                <w:rFonts w:ascii="Arial" w:hAnsi="Arial" w:cs="Arial"/>
                <w:sz w:val="18"/>
              </w:rPr>
            </w:pPr>
          </w:p>
        </w:tc>
        <w:tc>
          <w:tcPr>
            <w:tcW w:w="450" w:type="dxa"/>
          </w:tcPr>
          <w:p w14:paraId="5FE142CB" w14:textId="77777777" w:rsidR="0006278C" w:rsidRPr="0006278C" w:rsidRDefault="0006278C" w:rsidP="0006278C">
            <w:pPr>
              <w:spacing w:after="0" w:line="240" w:lineRule="auto"/>
              <w:jc w:val="center"/>
              <w:rPr>
                <w:rFonts w:ascii="Arial" w:hAnsi="Arial" w:cs="Arial"/>
                <w:sz w:val="18"/>
              </w:rPr>
            </w:pPr>
          </w:p>
        </w:tc>
        <w:tc>
          <w:tcPr>
            <w:tcW w:w="360" w:type="dxa"/>
          </w:tcPr>
          <w:p w14:paraId="5FCC5EFA" w14:textId="77777777" w:rsidR="0006278C" w:rsidRPr="0006278C" w:rsidRDefault="0006278C" w:rsidP="0006278C">
            <w:pPr>
              <w:spacing w:after="0" w:line="240" w:lineRule="auto"/>
              <w:jc w:val="center"/>
              <w:rPr>
                <w:rFonts w:ascii="Arial" w:hAnsi="Arial" w:cs="Arial"/>
                <w:sz w:val="18"/>
              </w:rPr>
            </w:pPr>
          </w:p>
        </w:tc>
        <w:tc>
          <w:tcPr>
            <w:tcW w:w="636" w:type="dxa"/>
          </w:tcPr>
          <w:p w14:paraId="3E6498FA" w14:textId="77777777" w:rsidR="0006278C" w:rsidRPr="0006278C" w:rsidRDefault="0006278C" w:rsidP="0006278C">
            <w:pPr>
              <w:spacing w:after="0" w:line="240" w:lineRule="auto"/>
              <w:jc w:val="center"/>
              <w:rPr>
                <w:rFonts w:ascii="Arial" w:hAnsi="Arial" w:cs="Arial"/>
                <w:sz w:val="18"/>
              </w:rPr>
            </w:pPr>
          </w:p>
        </w:tc>
        <w:tc>
          <w:tcPr>
            <w:tcW w:w="491" w:type="dxa"/>
          </w:tcPr>
          <w:p w14:paraId="344D87D6" w14:textId="77777777" w:rsidR="0006278C" w:rsidRPr="0006278C" w:rsidRDefault="0006278C" w:rsidP="0006278C">
            <w:pPr>
              <w:spacing w:after="0" w:line="240" w:lineRule="auto"/>
              <w:jc w:val="center"/>
              <w:rPr>
                <w:rFonts w:ascii="Arial" w:hAnsi="Arial" w:cs="Arial"/>
                <w:sz w:val="18"/>
              </w:rPr>
            </w:pPr>
          </w:p>
        </w:tc>
        <w:tc>
          <w:tcPr>
            <w:tcW w:w="493" w:type="dxa"/>
          </w:tcPr>
          <w:p w14:paraId="1D60EE7E" w14:textId="77777777" w:rsidR="0006278C" w:rsidRPr="0006278C" w:rsidRDefault="0006278C" w:rsidP="0006278C">
            <w:pPr>
              <w:spacing w:after="0" w:line="240" w:lineRule="auto"/>
              <w:jc w:val="center"/>
              <w:rPr>
                <w:rFonts w:ascii="Arial" w:hAnsi="Arial" w:cs="Arial"/>
                <w:sz w:val="18"/>
              </w:rPr>
            </w:pPr>
          </w:p>
        </w:tc>
        <w:tc>
          <w:tcPr>
            <w:tcW w:w="540" w:type="dxa"/>
          </w:tcPr>
          <w:p w14:paraId="2AAA11C5" w14:textId="77777777" w:rsidR="0006278C" w:rsidRPr="0006278C" w:rsidRDefault="0006278C" w:rsidP="0006278C">
            <w:pPr>
              <w:spacing w:after="0" w:line="240" w:lineRule="auto"/>
              <w:jc w:val="center"/>
              <w:rPr>
                <w:rFonts w:ascii="Arial" w:hAnsi="Arial" w:cs="Arial"/>
                <w:sz w:val="18"/>
              </w:rPr>
            </w:pPr>
          </w:p>
        </w:tc>
        <w:tc>
          <w:tcPr>
            <w:tcW w:w="450" w:type="dxa"/>
          </w:tcPr>
          <w:p w14:paraId="59787CAB"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540" w:type="dxa"/>
          </w:tcPr>
          <w:p w14:paraId="7E539E9C" w14:textId="77777777" w:rsidR="0006278C" w:rsidRPr="0006278C" w:rsidRDefault="0006278C" w:rsidP="0006278C">
            <w:pPr>
              <w:spacing w:after="0" w:line="240" w:lineRule="auto"/>
              <w:jc w:val="center"/>
              <w:rPr>
                <w:rFonts w:ascii="Arial" w:hAnsi="Arial" w:cs="Arial"/>
                <w:sz w:val="18"/>
              </w:rPr>
            </w:pPr>
          </w:p>
        </w:tc>
      </w:tr>
      <w:tr w:rsidR="00864968" w:rsidRPr="0006278C" w14:paraId="1E228A4E" w14:textId="77777777" w:rsidTr="00864968">
        <w:tc>
          <w:tcPr>
            <w:tcW w:w="567" w:type="dxa"/>
          </w:tcPr>
          <w:p w14:paraId="28576F21" w14:textId="77777777" w:rsidR="0006278C" w:rsidRPr="0006278C" w:rsidRDefault="0006278C" w:rsidP="004304E6">
            <w:pPr>
              <w:spacing w:after="0" w:line="240" w:lineRule="auto"/>
              <w:rPr>
                <w:rFonts w:ascii="Arial" w:hAnsi="Arial" w:cs="Arial"/>
                <w:sz w:val="18"/>
              </w:rPr>
            </w:pPr>
            <w:r w:rsidRPr="0006278C">
              <w:rPr>
                <w:rFonts w:ascii="Arial" w:hAnsi="Arial" w:cs="Arial"/>
                <w:sz w:val="18"/>
              </w:rPr>
              <w:t>10</w:t>
            </w:r>
          </w:p>
        </w:tc>
        <w:tc>
          <w:tcPr>
            <w:tcW w:w="2194" w:type="dxa"/>
          </w:tcPr>
          <w:p w14:paraId="3D4EFBFC" w14:textId="77777777" w:rsidR="0006278C" w:rsidRPr="0006278C" w:rsidRDefault="0006278C" w:rsidP="0006278C">
            <w:pPr>
              <w:spacing w:after="0" w:line="240" w:lineRule="auto"/>
              <w:rPr>
                <w:rFonts w:ascii="Arial" w:hAnsi="Arial" w:cs="Arial"/>
                <w:sz w:val="18"/>
              </w:rPr>
            </w:pPr>
            <w:r w:rsidRPr="0006278C">
              <w:rPr>
                <w:rFonts w:ascii="Arial" w:hAnsi="Arial" w:cs="Arial"/>
                <w:sz w:val="18"/>
              </w:rPr>
              <w:t>Drinking during pregnancy</w:t>
            </w:r>
          </w:p>
        </w:tc>
        <w:tc>
          <w:tcPr>
            <w:tcW w:w="429" w:type="dxa"/>
          </w:tcPr>
          <w:p w14:paraId="1A25D8D4"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619" w:type="dxa"/>
          </w:tcPr>
          <w:p w14:paraId="38FBEE2B" w14:textId="77777777" w:rsidR="0006278C" w:rsidRPr="0006278C" w:rsidRDefault="0006278C" w:rsidP="0006278C">
            <w:pPr>
              <w:spacing w:after="0" w:line="240" w:lineRule="auto"/>
              <w:jc w:val="center"/>
              <w:rPr>
                <w:rFonts w:ascii="Arial" w:hAnsi="Arial" w:cs="Arial"/>
                <w:sz w:val="18"/>
              </w:rPr>
            </w:pPr>
          </w:p>
        </w:tc>
        <w:tc>
          <w:tcPr>
            <w:tcW w:w="619" w:type="dxa"/>
          </w:tcPr>
          <w:p w14:paraId="33ECC775" w14:textId="77777777" w:rsidR="0006278C" w:rsidRPr="0006278C" w:rsidRDefault="0006278C" w:rsidP="0006278C">
            <w:pPr>
              <w:spacing w:after="0" w:line="240" w:lineRule="auto"/>
              <w:jc w:val="center"/>
              <w:rPr>
                <w:rFonts w:ascii="Arial" w:hAnsi="Arial" w:cs="Arial"/>
                <w:sz w:val="18"/>
              </w:rPr>
            </w:pPr>
          </w:p>
        </w:tc>
        <w:tc>
          <w:tcPr>
            <w:tcW w:w="449" w:type="dxa"/>
          </w:tcPr>
          <w:p w14:paraId="1DAC9332" w14:textId="77777777" w:rsidR="0006278C" w:rsidRPr="0006278C" w:rsidRDefault="0006278C" w:rsidP="0006278C">
            <w:pPr>
              <w:spacing w:after="0" w:line="240" w:lineRule="auto"/>
              <w:jc w:val="center"/>
              <w:rPr>
                <w:rFonts w:ascii="Arial" w:hAnsi="Arial" w:cs="Arial"/>
                <w:sz w:val="18"/>
              </w:rPr>
            </w:pPr>
          </w:p>
        </w:tc>
        <w:tc>
          <w:tcPr>
            <w:tcW w:w="338" w:type="dxa"/>
          </w:tcPr>
          <w:p w14:paraId="0097A7C8" w14:textId="77777777" w:rsidR="0006278C" w:rsidRPr="0006278C" w:rsidRDefault="0006278C" w:rsidP="0006278C">
            <w:pPr>
              <w:spacing w:after="0" w:line="240" w:lineRule="auto"/>
              <w:jc w:val="center"/>
              <w:rPr>
                <w:rFonts w:ascii="Arial" w:hAnsi="Arial" w:cs="Arial"/>
                <w:sz w:val="18"/>
              </w:rPr>
            </w:pPr>
          </w:p>
        </w:tc>
        <w:tc>
          <w:tcPr>
            <w:tcW w:w="540" w:type="dxa"/>
          </w:tcPr>
          <w:p w14:paraId="550C4320" w14:textId="77777777" w:rsidR="0006278C" w:rsidRPr="0006278C" w:rsidRDefault="0006278C" w:rsidP="0006278C">
            <w:pPr>
              <w:spacing w:after="0" w:line="240" w:lineRule="auto"/>
              <w:jc w:val="center"/>
              <w:rPr>
                <w:rFonts w:ascii="Arial" w:hAnsi="Arial" w:cs="Arial"/>
                <w:sz w:val="18"/>
              </w:rPr>
            </w:pPr>
          </w:p>
        </w:tc>
        <w:tc>
          <w:tcPr>
            <w:tcW w:w="540" w:type="dxa"/>
          </w:tcPr>
          <w:p w14:paraId="5278078E" w14:textId="77777777" w:rsidR="0006278C" w:rsidRPr="0006278C" w:rsidRDefault="0006278C" w:rsidP="0006278C">
            <w:pPr>
              <w:spacing w:after="0" w:line="240" w:lineRule="auto"/>
              <w:jc w:val="center"/>
              <w:rPr>
                <w:rFonts w:ascii="Arial" w:hAnsi="Arial" w:cs="Arial"/>
                <w:sz w:val="18"/>
              </w:rPr>
            </w:pPr>
          </w:p>
        </w:tc>
        <w:tc>
          <w:tcPr>
            <w:tcW w:w="450" w:type="dxa"/>
          </w:tcPr>
          <w:p w14:paraId="61C6AB39" w14:textId="77777777" w:rsidR="0006278C" w:rsidRPr="0006278C" w:rsidRDefault="0006278C" w:rsidP="0006278C">
            <w:pPr>
              <w:spacing w:after="0" w:line="240" w:lineRule="auto"/>
              <w:jc w:val="center"/>
              <w:rPr>
                <w:rFonts w:ascii="Arial" w:hAnsi="Arial" w:cs="Arial"/>
                <w:sz w:val="18"/>
              </w:rPr>
            </w:pPr>
          </w:p>
        </w:tc>
        <w:tc>
          <w:tcPr>
            <w:tcW w:w="360" w:type="dxa"/>
          </w:tcPr>
          <w:p w14:paraId="1DA3A557" w14:textId="77777777" w:rsidR="0006278C" w:rsidRPr="0006278C" w:rsidRDefault="0006278C" w:rsidP="0006278C">
            <w:pPr>
              <w:spacing w:after="0" w:line="240" w:lineRule="auto"/>
              <w:jc w:val="center"/>
              <w:rPr>
                <w:rFonts w:ascii="Arial" w:hAnsi="Arial" w:cs="Arial"/>
                <w:sz w:val="18"/>
              </w:rPr>
            </w:pPr>
          </w:p>
        </w:tc>
        <w:tc>
          <w:tcPr>
            <w:tcW w:w="636" w:type="dxa"/>
          </w:tcPr>
          <w:p w14:paraId="2A0AC935" w14:textId="77777777" w:rsidR="0006278C" w:rsidRPr="0006278C" w:rsidRDefault="0006278C" w:rsidP="0006278C">
            <w:pPr>
              <w:spacing w:after="0" w:line="240" w:lineRule="auto"/>
              <w:jc w:val="center"/>
              <w:rPr>
                <w:rFonts w:ascii="Arial" w:hAnsi="Arial" w:cs="Arial"/>
                <w:sz w:val="18"/>
              </w:rPr>
            </w:pPr>
          </w:p>
        </w:tc>
        <w:tc>
          <w:tcPr>
            <w:tcW w:w="491" w:type="dxa"/>
          </w:tcPr>
          <w:p w14:paraId="7AD5BE7B" w14:textId="77777777" w:rsidR="0006278C" w:rsidRPr="0006278C" w:rsidRDefault="0006278C" w:rsidP="0006278C">
            <w:pPr>
              <w:spacing w:after="0" w:line="240" w:lineRule="auto"/>
              <w:jc w:val="center"/>
              <w:rPr>
                <w:rFonts w:ascii="Arial" w:hAnsi="Arial" w:cs="Arial"/>
                <w:sz w:val="18"/>
              </w:rPr>
            </w:pPr>
          </w:p>
        </w:tc>
        <w:tc>
          <w:tcPr>
            <w:tcW w:w="493" w:type="dxa"/>
          </w:tcPr>
          <w:p w14:paraId="74F978C7" w14:textId="77777777" w:rsidR="0006278C" w:rsidRPr="0006278C" w:rsidRDefault="0006278C" w:rsidP="0006278C">
            <w:pPr>
              <w:spacing w:after="0" w:line="240" w:lineRule="auto"/>
              <w:jc w:val="center"/>
              <w:rPr>
                <w:rFonts w:ascii="Arial" w:hAnsi="Arial" w:cs="Arial"/>
                <w:sz w:val="18"/>
              </w:rPr>
            </w:pPr>
          </w:p>
        </w:tc>
        <w:tc>
          <w:tcPr>
            <w:tcW w:w="540" w:type="dxa"/>
          </w:tcPr>
          <w:p w14:paraId="219B737D" w14:textId="77777777" w:rsidR="0006278C" w:rsidRPr="0006278C" w:rsidRDefault="0006278C" w:rsidP="0006278C">
            <w:pPr>
              <w:spacing w:after="0" w:line="240" w:lineRule="auto"/>
              <w:jc w:val="center"/>
              <w:rPr>
                <w:rFonts w:ascii="Arial" w:hAnsi="Arial" w:cs="Arial"/>
                <w:sz w:val="18"/>
              </w:rPr>
            </w:pPr>
          </w:p>
        </w:tc>
        <w:tc>
          <w:tcPr>
            <w:tcW w:w="450" w:type="dxa"/>
          </w:tcPr>
          <w:p w14:paraId="63AA4C5D" w14:textId="77777777" w:rsidR="0006278C" w:rsidRPr="0006278C" w:rsidRDefault="0006278C" w:rsidP="0006278C">
            <w:pPr>
              <w:spacing w:after="0" w:line="240" w:lineRule="auto"/>
              <w:jc w:val="center"/>
              <w:rPr>
                <w:rFonts w:ascii="Arial" w:hAnsi="Arial" w:cs="Arial"/>
                <w:sz w:val="18"/>
              </w:rPr>
            </w:pPr>
          </w:p>
        </w:tc>
        <w:tc>
          <w:tcPr>
            <w:tcW w:w="540" w:type="dxa"/>
          </w:tcPr>
          <w:p w14:paraId="17407057" w14:textId="77777777" w:rsidR="0006278C" w:rsidRPr="0006278C" w:rsidRDefault="0006278C" w:rsidP="0006278C">
            <w:pPr>
              <w:spacing w:after="0" w:line="240" w:lineRule="auto"/>
              <w:jc w:val="center"/>
              <w:rPr>
                <w:rFonts w:ascii="Arial" w:hAnsi="Arial" w:cs="Arial"/>
                <w:sz w:val="18"/>
              </w:rPr>
            </w:pPr>
          </w:p>
        </w:tc>
      </w:tr>
      <w:tr w:rsidR="00864968" w:rsidRPr="0006278C" w14:paraId="65EEC00C" w14:textId="77777777" w:rsidTr="00864968">
        <w:tc>
          <w:tcPr>
            <w:tcW w:w="567" w:type="dxa"/>
          </w:tcPr>
          <w:p w14:paraId="2E209DDD" w14:textId="77777777" w:rsidR="0006278C" w:rsidRPr="0006278C" w:rsidRDefault="0006278C" w:rsidP="004304E6">
            <w:pPr>
              <w:spacing w:after="0" w:line="240" w:lineRule="auto"/>
              <w:rPr>
                <w:rFonts w:ascii="Arial" w:hAnsi="Arial" w:cs="Arial"/>
                <w:sz w:val="18"/>
              </w:rPr>
            </w:pPr>
            <w:r w:rsidRPr="0006278C">
              <w:rPr>
                <w:rFonts w:ascii="Arial" w:hAnsi="Arial" w:cs="Arial"/>
                <w:sz w:val="18"/>
              </w:rPr>
              <w:t>11</w:t>
            </w:r>
          </w:p>
        </w:tc>
        <w:tc>
          <w:tcPr>
            <w:tcW w:w="2194" w:type="dxa"/>
          </w:tcPr>
          <w:p w14:paraId="345504B9" w14:textId="77777777" w:rsidR="0006278C" w:rsidRPr="0006278C" w:rsidRDefault="0006278C" w:rsidP="0006278C">
            <w:pPr>
              <w:spacing w:after="0" w:line="240" w:lineRule="auto"/>
              <w:rPr>
                <w:rFonts w:ascii="Arial" w:hAnsi="Arial" w:cs="Arial"/>
                <w:sz w:val="18"/>
              </w:rPr>
            </w:pPr>
            <w:r w:rsidRPr="0006278C">
              <w:rPr>
                <w:rFonts w:ascii="Arial" w:hAnsi="Arial" w:cs="Arial"/>
                <w:sz w:val="18"/>
              </w:rPr>
              <w:t>Neonatal abstinence syndrome</w:t>
            </w:r>
          </w:p>
        </w:tc>
        <w:tc>
          <w:tcPr>
            <w:tcW w:w="429" w:type="dxa"/>
          </w:tcPr>
          <w:p w14:paraId="3CA2F417"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619" w:type="dxa"/>
          </w:tcPr>
          <w:p w14:paraId="527AE9C0" w14:textId="77777777" w:rsidR="0006278C" w:rsidRPr="0006278C" w:rsidRDefault="0006278C" w:rsidP="0006278C">
            <w:pPr>
              <w:spacing w:after="0" w:line="240" w:lineRule="auto"/>
              <w:jc w:val="center"/>
              <w:rPr>
                <w:rFonts w:ascii="Arial" w:hAnsi="Arial" w:cs="Arial"/>
                <w:sz w:val="18"/>
              </w:rPr>
            </w:pPr>
          </w:p>
        </w:tc>
        <w:tc>
          <w:tcPr>
            <w:tcW w:w="619" w:type="dxa"/>
          </w:tcPr>
          <w:p w14:paraId="50664AF5" w14:textId="77777777" w:rsidR="0006278C" w:rsidRPr="0006278C" w:rsidRDefault="0006278C" w:rsidP="0006278C">
            <w:pPr>
              <w:spacing w:after="0" w:line="240" w:lineRule="auto"/>
              <w:jc w:val="center"/>
              <w:rPr>
                <w:rFonts w:ascii="Arial" w:hAnsi="Arial" w:cs="Arial"/>
                <w:sz w:val="18"/>
              </w:rPr>
            </w:pPr>
          </w:p>
        </w:tc>
        <w:tc>
          <w:tcPr>
            <w:tcW w:w="449" w:type="dxa"/>
          </w:tcPr>
          <w:p w14:paraId="7F567B88" w14:textId="77777777" w:rsidR="0006278C" w:rsidRPr="0006278C" w:rsidRDefault="0006278C" w:rsidP="0006278C">
            <w:pPr>
              <w:spacing w:after="0" w:line="240" w:lineRule="auto"/>
              <w:jc w:val="center"/>
              <w:rPr>
                <w:rFonts w:ascii="Arial" w:hAnsi="Arial" w:cs="Arial"/>
                <w:sz w:val="18"/>
              </w:rPr>
            </w:pPr>
          </w:p>
        </w:tc>
        <w:tc>
          <w:tcPr>
            <w:tcW w:w="338" w:type="dxa"/>
          </w:tcPr>
          <w:p w14:paraId="33CE0B24" w14:textId="77777777" w:rsidR="0006278C" w:rsidRPr="0006278C" w:rsidRDefault="0006278C" w:rsidP="0006278C">
            <w:pPr>
              <w:spacing w:after="0" w:line="240" w:lineRule="auto"/>
              <w:jc w:val="center"/>
              <w:rPr>
                <w:rFonts w:ascii="Arial" w:hAnsi="Arial" w:cs="Arial"/>
                <w:sz w:val="18"/>
              </w:rPr>
            </w:pPr>
          </w:p>
        </w:tc>
        <w:tc>
          <w:tcPr>
            <w:tcW w:w="540" w:type="dxa"/>
          </w:tcPr>
          <w:p w14:paraId="028E2BF0" w14:textId="77777777" w:rsidR="0006278C" w:rsidRPr="0006278C" w:rsidRDefault="0006278C" w:rsidP="0006278C">
            <w:pPr>
              <w:spacing w:after="0" w:line="240" w:lineRule="auto"/>
              <w:jc w:val="center"/>
              <w:rPr>
                <w:rFonts w:ascii="Arial" w:hAnsi="Arial" w:cs="Arial"/>
                <w:sz w:val="18"/>
              </w:rPr>
            </w:pPr>
          </w:p>
        </w:tc>
        <w:tc>
          <w:tcPr>
            <w:tcW w:w="540" w:type="dxa"/>
          </w:tcPr>
          <w:p w14:paraId="23385115" w14:textId="77777777" w:rsidR="0006278C" w:rsidRPr="0006278C" w:rsidRDefault="0006278C" w:rsidP="0006278C">
            <w:pPr>
              <w:spacing w:after="0" w:line="240" w:lineRule="auto"/>
              <w:jc w:val="center"/>
              <w:rPr>
                <w:rFonts w:ascii="Arial" w:hAnsi="Arial" w:cs="Arial"/>
                <w:sz w:val="18"/>
              </w:rPr>
            </w:pPr>
          </w:p>
        </w:tc>
        <w:tc>
          <w:tcPr>
            <w:tcW w:w="450" w:type="dxa"/>
          </w:tcPr>
          <w:p w14:paraId="428B63A1" w14:textId="77777777" w:rsidR="0006278C" w:rsidRPr="0006278C" w:rsidRDefault="0006278C" w:rsidP="0006278C">
            <w:pPr>
              <w:spacing w:after="0" w:line="240" w:lineRule="auto"/>
              <w:jc w:val="center"/>
              <w:rPr>
                <w:rFonts w:ascii="Arial" w:hAnsi="Arial" w:cs="Arial"/>
                <w:sz w:val="18"/>
              </w:rPr>
            </w:pPr>
          </w:p>
        </w:tc>
        <w:tc>
          <w:tcPr>
            <w:tcW w:w="360" w:type="dxa"/>
          </w:tcPr>
          <w:p w14:paraId="7879EF87" w14:textId="77777777" w:rsidR="0006278C" w:rsidRPr="0006278C" w:rsidRDefault="0006278C" w:rsidP="0006278C">
            <w:pPr>
              <w:spacing w:after="0" w:line="240" w:lineRule="auto"/>
              <w:jc w:val="center"/>
              <w:rPr>
                <w:rFonts w:ascii="Arial" w:hAnsi="Arial" w:cs="Arial"/>
                <w:sz w:val="18"/>
              </w:rPr>
            </w:pPr>
          </w:p>
        </w:tc>
        <w:tc>
          <w:tcPr>
            <w:tcW w:w="636" w:type="dxa"/>
          </w:tcPr>
          <w:p w14:paraId="78E6F84A" w14:textId="77777777" w:rsidR="0006278C" w:rsidRPr="0006278C" w:rsidRDefault="0006278C" w:rsidP="0006278C">
            <w:pPr>
              <w:spacing w:after="0" w:line="240" w:lineRule="auto"/>
              <w:jc w:val="center"/>
              <w:rPr>
                <w:rFonts w:ascii="Arial" w:hAnsi="Arial" w:cs="Arial"/>
                <w:sz w:val="18"/>
              </w:rPr>
            </w:pPr>
          </w:p>
        </w:tc>
        <w:tc>
          <w:tcPr>
            <w:tcW w:w="491" w:type="dxa"/>
          </w:tcPr>
          <w:p w14:paraId="4FD01E9A" w14:textId="77777777" w:rsidR="0006278C" w:rsidRPr="0006278C" w:rsidRDefault="0006278C" w:rsidP="0006278C">
            <w:pPr>
              <w:spacing w:after="0" w:line="240" w:lineRule="auto"/>
              <w:jc w:val="center"/>
              <w:rPr>
                <w:rFonts w:ascii="Arial" w:hAnsi="Arial" w:cs="Arial"/>
                <w:sz w:val="18"/>
              </w:rPr>
            </w:pPr>
          </w:p>
        </w:tc>
        <w:tc>
          <w:tcPr>
            <w:tcW w:w="493" w:type="dxa"/>
          </w:tcPr>
          <w:p w14:paraId="7E32CD30" w14:textId="77777777" w:rsidR="0006278C" w:rsidRPr="0006278C" w:rsidRDefault="0006278C" w:rsidP="0006278C">
            <w:pPr>
              <w:spacing w:after="0" w:line="240" w:lineRule="auto"/>
              <w:jc w:val="center"/>
              <w:rPr>
                <w:rFonts w:ascii="Arial" w:hAnsi="Arial" w:cs="Arial"/>
                <w:sz w:val="18"/>
              </w:rPr>
            </w:pPr>
          </w:p>
        </w:tc>
        <w:tc>
          <w:tcPr>
            <w:tcW w:w="540" w:type="dxa"/>
          </w:tcPr>
          <w:p w14:paraId="7DF6A312" w14:textId="77777777" w:rsidR="0006278C" w:rsidRPr="0006278C" w:rsidRDefault="0006278C" w:rsidP="0006278C">
            <w:pPr>
              <w:spacing w:after="0" w:line="240" w:lineRule="auto"/>
              <w:jc w:val="center"/>
              <w:rPr>
                <w:rFonts w:ascii="Arial" w:hAnsi="Arial" w:cs="Arial"/>
                <w:sz w:val="18"/>
              </w:rPr>
            </w:pPr>
          </w:p>
        </w:tc>
        <w:tc>
          <w:tcPr>
            <w:tcW w:w="450" w:type="dxa"/>
          </w:tcPr>
          <w:p w14:paraId="79DAD475" w14:textId="77777777" w:rsidR="0006278C" w:rsidRPr="0006278C" w:rsidRDefault="0006278C" w:rsidP="0006278C">
            <w:pPr>
              <w:spacing w:after="0" w:line="240" w:lineRule="auto"/>
              <w:jc w:val="center"/>
              <w:rPr>
                <w:rFonts w:ascii="Arial" w:hAnsi="Arial" w:cs="Arial"/>
                <w:sz w:val="18"/>
              </w:rPr>
            </w:pPr>
          </w:p>
        </w:tc>
        <w:tc>
          <w:tcPr>
            <w:tcW w:w="540" w:type="dxa"/>
          </w:tcPr>
          <w:p w14:paraId="5B15947F" w14:textId="77777777" w:rsidR="0006278C" w:rsidRPr="0006278C" w:rsidRDefault="0006278C" w:rsidP="0006278C">
            <w:pPr>
              <w:spacing w:after="0" w:line="240" w:lineRule="auto"/>
              <w:jc w:val="center"/>
              <w:rPr>
                <w:rFonts w:ascii="Arial" w:hAnsi="Arial" w:cs="Arial"/>
                <w:sz w:val="18"/>
              </w:rPr>
            </w:pPr>
          </w:p>
        </w:tc>
      </w:tr>
      <w:tr w:rsidR="00864968" w:rsidRPr="0006278C" w14:paraId="2DC0E897" w14:textId="77777777" w:rsidTr="00864968">
        <w:tc>
          <w:tcPr>
            <w:tcW w:w="567" w:type="dxa"/>
          </w:tcPr>
          <w:p w14:paraId="134A8C7D" w14:textId="77777777" w:rsidR="0006278C" w:rsidRPr="0006278C" w:rsidRDefault="0006278C" w:rsidP="004304E6">
            <w:pPr>
              <w:spacing w:after="0" w:line="240" w:lineRule="auto"/>
              <w:rPr>
                <w:rFonts w:ascii="Arial" w:hAnsi="Arial" w:cs="Arial"/>
                <w:sz w:val="18"/>
              </w:rPr>
            </w:pPr>
            <w:r w:rsidRPr="0006278C">
              <w:rPr>
                <w:rFonts w:ascii="Arial" w:hAnsi="Arial" w:cs="Arial"/>
                <w:sz w:val="18"/>
              </w:rPr>
              <w:t>12</w:t>
            </w:r>
          </w:p>
        </w:tc>
        <w:tc>
          <w:tcPr>
            <w:tcW w:w="2194" w:type="dxa"/>
          </w:tcPr>
          <w:p w14:paraId="2DFC621D" w14:textId="77777777" w:rsidR="0006278C" w:rsidRPr="0006278C" w:rsidRDefault="0006278C" w:rsidP="0006278C">
            <w:pPr>
              <w:spacing w:after="0" w:line="240" w:lineRule="auto"/>
              <w:rPr>
                <w:rFonts w:ascii="Arial" w:hAnsi="Arial" w:cs="Arial"/>
                <w:sz w:val="18"/>
              </w:rPr>
            </w:pPr>
            <w:r w:rsidRPr="0006278C">
              <w:rPr>
                <w:rFonts w:ascii="Arial" w:hAnsi="Arial" w:cs="Arial"/>
                <w:sz w:val="18"/>
              </w:rPr>
              <w:t>Newborn screening timely follow-up</w:t>
            </w:r>
          </w:p>
        </w:tc>
        <w:tc>
          <w:tcPr>
            <w:tcW w:w="429" w:type="dxa"/>
          </w:tcPr>
          <w:p w14:paraId="464CD00C" w14:textId="77777777" w:rsidR="0006278C" w:rsidRPr="0006278C" w:rsidRDefault="0006278C" w:rsidP="0006278C">
            <w:pPr>
              <w:spacing w:after="0" w:line="240" w:lineRule="auto"/>
              <w:jc w:val="center"/>
              <w:rPr>
                <w:rFonts w:ascii="Arial" w:hAnsi="Arial" w:cs="Arial"/>
                <w:sz w:val="18"/>
              </w:rPr>
            </w:pPr>
          </w:p>
        </w:tc>
        <w:tc>
          <w:tcPr>
            <w:tcW w:w="619" w:type="dxa"/>
          </w:tcPr>
          <w:p w14:paraId="0BD62A37" w14:textId="77777777" w:rsidR="0006278C" w:rsidRPr="0006278C" w:rsidRDefault="0006278C" w:rsidP="0006278C">
            <w:pPr>
              <w:spacing w:after="0" w:line="240" w:lineRule="auto"/>
              <w:jc w:val="center"/>
              <w:rPr>
                <w:rFonts w:ascii="Arial" w:hAnsi="Arial" w:cs="Arial"/>
                <w:sz w:val="18"/>
              </w:rPr>
            </w:pPr>
          </w:p>
        </w:tc>
        <w:tc>
          <w:tcPr>
            <w:tcW w:w="619" w:type="dxa"/>
          </w:tcPr>
          <w:p w14:paraId="321E28E4" w14:textId="77777777" w:rsidR="0006278C" w:rsidRPr="0006278C" w:rsidRDefault="0006278C" w:rsidP="0006278C">
            <w:pPr>
              <w:spacing w:after="0" w:line="240" w:lineRule="auto"/>
              <w:jc w:val="center"/>
              <w:rPr>
                <w:rFonts w:ascii="Arial" w:hAnsi="Arial" w:cs="Arial"/>
                <w:sz w:val="18"/>
              </w:rPr>
            </w:pPr>
          </w:p>
        </w:tc>
        <w:tc>
          <w:tcPr>
            <w:tcW w:w="449" w:type="dxa"/>
          </w:tcPr>
          <w:p w14:paraId="4A139369" w14:textId="77777777" w:rsidR="0006278C" w:rsidRPr="0006278C" w:rsidRDefault="0006278C" w:rsidP="0006278C">
            <w:pPr>
              <w:spacing w:after="0" w:line="240" w:lineRule="auto"/>
              <w:jc w:val="center"/>
              <w:rPr>
                <w:rFonts w:ascii="Arial" w:hAnsi="Arial" w:cs="Arial"/>
                <w:sz w:val="18"/>
              </w:rPr>
            </w:pPr>
          </w:p>
        </w:tc>
        <w:tc>
          <w:tcPr>
            <w:tcW w:w="338" w:type="dxa"/>
          </w:tcPr>
          <w:p w14:paraId="6C0B0227" w14:textId="77777777" w:rsidR="0006278C" w:rsidRPr="0006278C" w:rsidRDefault="0006278C" w:rsidP="0006278C">
            <w:pPr>
              <w:spacing w:after="0" w:line="240" w:lineRule="auto"/>
              <w:jc w:val="center"/>
              <w:rPr>
                <w:rFonts w:ascii="Arial" w:hAnsi="Arial" w:cs="Arial"/>
                <w:sz w:val="18"/>
              </w:rPr>
            </w:pPr>
          </w:p>
        </w:tc>
        <w:tc>
          <w:tcPr>
            <w:tcW w:w="540" w:type="dxa"/>
          </w:tcPr>
          <w:p w14:paraId="7D5E784B" w14:textId="77777777" w:rsidR="0006278C" w:rsidRPr="0006278C" w:rsidRDefault="0006278C" w:rsidP="0006278C">
            <w:pPr>
              <w:spacing w:after="0" w:line="240" w:lineRule="auto"/>
              <w:jc w:val="center"/>
              <w:rPr>
                <w:rFonts w:ascii="Arial" w:hAnsi="Arial" w:cs="Arial"/>
                <w:sz w:val="18"/>
              </w:rPr>
            </w:pPr>
          </w:p>
        </w:tc>
        <w:tc>
          <w:tcPr>
            <w:tcW w:w="540" w:type="dxa"/>
          </w:tcPr>
          <w:p w14:paraId="2C39C544" w14:textId="77777777" w:rsidR="0006278C" w:rsidRPr="0006278C" w:rsidRDefault="0006278C" w:rsidP="0006278C">
            <w:pPr>
              <w:spacing w:after="0" w:line="240" w:lineRule="auto"/>
              <w:jc w:val="center"/>
              <w:rPr>
                <w:rFonts w:ascii="Arial" w:hAnsi="Arial" w:cs="Arial"/>
                <w:sz w:val="18"/>
              </w:rPr>
            </w:pPr>
          </w:p>
        </w:tc>
        <w:tc>
          <w:tcPr>
            <w:tcW w:w="450" w:type="dxa"/>
          </w:tcPr>
          <w:p w14:paraId="3F518A75" w14:textId="77777777" w:rsidR="0006278C" w:rsidRPr="0006278C" w:rsidRDefault="0006278C" w:rsidP="0006278C">
            <w:pPr>
              <w:spacing w:after="0" w:line="240" w:lineRule="auto"/>
              <w:jc w:val="center"/>
              <w:rPr>
                <w:rFonts w:ascii="Arial" w:hAnsi="Arial" w:cs="Arial"/>
                <w:sz w:val="18"/>
              </w:rPr>
            </w:pPr>
          </w:p>
        </w:tc>
        <w:tc>
          <w:tcPr>
            <w:tcW w:w="360" w:type="dxa"/>
          </w:tcPr>
          <w:p w14:paraId="363992A8" w14:textId="77777777" w:rsidR="0006278C" w:rsidRPr="0006278C" w:rsidRDefault="0006278C" w:rsidP="0006278C">
            <w:pPr>
              <w:spacing w:after="0" w:line="240" w:lineRule="auto"/>
              <w:jc w:val="center"/>
              <w:rPr>
                <w:rFonts w:ascii="Arial" w:hAnsi="Arial" w:cs="Arial"/>
                <w:sz w:val="18"/>
              </w:rPr>
            </w:pPr>
          </w:p>
        </w:tc>
        <w:tc>
          <w:tcPr>
            <w:tcW w:w="636" w:type="dxa"/>
          </w:tcPr>
          <w:p w14:paraId="59BBFCF0" w14:textId="77777777" w:rsidR="0006278C" w:rsidRPr="0006278C" w:rsidRDefault="0006278C" w:rsidP="0006278C">
            <w:pPr>
              <w:spacing w:after="0" w:line="240" w:lineRule="auto"/>
              <w:jc w:val="center"/>
              <w:rPr>
                <w:rFonts w:ascii="Arial" w:hAnsi="Arial" w:cs="Arial"/>
                <w:sz w:val="18"/>
              </w:rPr>
            </w:pPr>
          </w:p>
        </w:tc>
        <w:tc>
          <w:tcPr>
            <w:tcW w:w="491" w:type="dxa"/>
          </w:tcPr>
          <w:p w14:paraId="1BE36F16" w14:textId="77777777" w:rsidR="0006278C" w:rsidRPr="0006278C" w:rsidRDefault="0006278C" w:rsidP="0006278C">
            <w:pPr>
              <w:spacing w:after="0" w:line="240" w:lineRule="auto"/>
              <w:jc w:val="center"/>
              <w:rPr>
                <w:rFonts w:ascii="Arial" w:hAnsi="Arial" w:cs="Arial"/>
                <w:sz w:val="18"/>
              </w:rPr>
            </w:pPr>
          </w:p>
        </w:tc>
        <w:tc>
          <w:tcPr>
            <w:tcW w:w="493" w:type="dxa"/>
          </w:tcPr>
          <w:p w14:paraId="7F29680B" w14:textId="77777777" w:rsidR="0006278C" w:rsidRPr="0006278C" w:rsidRDefault="0006278C" w:rsidP="0006278C">
            <w:pPr>
              <w:spacing w:after="0" w:line="240" w:lineRule="auto"/>
              <w:jc w:val="center"/>
              <w:rPr>
                <w:rFonts w:ascii="Arial" w:hAnsi="Arial" w:cs="Arial"/>
                <w:sz w:val="18"/>
              </w:rPr>
            </w:pPr>
          </w:p>
        </w:tc>
        <w:tc>
          <w:tcPr>
            <w:tcW w:w="540" w:type="dxa"/>
          </w:tcPr>
          <w:p w14:paraId="72897204" w14:textId="77777777" w:rsidR="0006278C" w:rsidRPr="0006278C" w:rsidRDefault="0006278C" w:rsidP="0006278C">
            <w:pPr>
              <w:spacing w:after="0" w:line="240" w:lineRule="auto"/>
              <w:jc w:val="center"/>
              <w:rPr>
                <w:rFonts w:ascii="Arial" w:hAnsi="Arial" w:cs="Arial"/>
                <w:sz w:val="18"/>
              </w:rPr>
            </w:pPr>
          </w:p>
        </w:tc>
        <w:tc>
          <w:tcPr>
            <w:tcW w:w="450" w:type="dxa"/>
          </w:tcPr>
          <w:p w14:paraId="1DE805C1" w14:textId="77777777" w:rsidR="0006278C" w:rsidRPr="0006278C" w:rsidRDefault="0006278C" w:rsidP="0006278C">
            <w:pPr>
              <w:spacing w:after="0" w:line="240" w:lineRule="auto"/>
              <w:jc w:val="center"/>
              <w:rPr>
                <w:rFonts w:ascii="Arial" w:hAnsi="Arial" w:cs="Arial"/>
                <w:sz w:val="18"/>
              </w:rPr>
            </w:pPr>
          </w:p>
        </w:tc>
        <w:tc>
          <w:tcPr>
            <w:tcW w:w="540" w:type="dxa"/>
          </w:tcPr>
          <w:p w14:paraId="69319228" w14:textId="77777777" w:rsidR="0006278C" w:rsidRPr="0006278C" w:rsidRDefault="0006278C" w:rsidP="0006278C">
            <w:pPr>
              <w:spacing w:after="0" w:line="240" w:lineRule="auto"/>
              <w:jc w:val="center"/>
              <w:rPr>
                <w:rFonts w:ascii="Arial" w:hAnsi="Arial" w:cs="Arial"/>
                <w:sz w:val="18"/>
              </w:rPr>
            </w:pPr>
          </w:p>
        </w:tc>
      </w:tr>
      <w:tr w:rsidR="00864968" w:rsidRPr="0006278C" w14:paraId="156F2D33" w14:textId="77777777" w:rsidTr="00864968">
        <w:tc>
          <w:tcPr>
            <w:tcW w:w="567" w:type="dxa"/>
          </w:tcPr>
          <w:p w14:paraId="5CA7BD73" w14:textId="77777777" w:rsidR="0006278C" w:rsidRPr="0006278C" w:rsidRDefault="0006278C" w:rsidP="004304E6">
            <w:pPr>
              <w:spacing w:after="0" w:line="240" w:lineRule="auto"/>
              <w:rPr>
                <w:rFonts w:ascii="Arial" w:hAnsi="Arial" w:cs="Arial"/>
                <w:sz w:val="18"/>
              </w:rPr>
            </w:pPr>
            <w:r w:rsidRPr="0006278C">
              <w:rPr>
                <w:rFonts w:ascii="Arial" w:hAnsi="Arial" w:cs="Arial"/>
                <w:sz w:val="18"/>
              </w:rPr>
              <w:t>13</w:t>
            </w:r>
          </w:p>
        </w:tc>
        <w:tc>
          <w:tcPr>
            <w:tcW w:w="2194" w:type="dxa"/>
          </w:tcPr>
          <w:p w14:paraId="2A1BC164" w14:textId="77777777" w:rsidR="0006278C" w:rsidRPr="0006278C" w:rsidRDefault="0006278C" w:rsidP="0006278C">
            <w:pPr>
              <w:spacing w:after="0" w:line="240" w:lineRule="auto"/>
              <w:rPr>
                <w:rFonts w:ascii="Arial" w:hAnsi="Arial" w:cs="Arial"/>
                <w:sz w:val="18"/>
              </w:rPr>
            </w:pPr>
            <w:r w:rsidRPr="0006278C">
              <w:rPr>
                <w:rFonts w:ascii="Arial" w:hAnsi="Arial" w:cs="Arial"/>
                <w:sz w:val="18"/>
              </w:rPr>
              <w:t>School readiness</w:t>
            </w:r>
          </w:p>
        </w:tc>
        <w:tc>
          <w:tcPr>
            <w:tcW w:w="429" w:type="dxa"/>
          </w:tcPr>
          <w:p w14:paraId="05D6E04A" w14:textId="77777777" w:rsidR="0006278C" w:rsidRPr="0006278C" w:rsidRDefault="0006278C" w:rsidP="0006278C">
            <w:pPr>
              <w:spacing w:after="0" w:line="240" w:lineRule="auto"/>
              <w:jc w:val="center"/>
              <w:rPr>
                <w:rFonts w:ascii="Arial" w:hAnsi="Arial" w:cs="Arial"/>
                <w:sz w:val="18"/>
              </w:rPr>
            </w:pPr>
          </w:p>
        </w:tc>
        <w:tc>
          <w:tcPr>
            <w:tcW w:w="619" w:type="dxa"/>
          </w:tcPr>
          <w:p w14:paraId="1F672AE3" w14:textId="77777777" w:rsidR="0006278C" w:rsidRPr="0006278C" w:rsidRDefault="0006278C" w:rsidP="0006278C">
            <w:pPr>
              <w:spacing w:after="0" w:line="240" w:lineRule="auto"/>
              <w:jc w:val="center"/>
              <w:rPr>
                <w:rFonts w:ascii="Arial" w:hAnsi="Arial" w:cs="Arial"/>
                <w:sz w:val="18"/>
              </w:rPr>
            </w:pPr>
          </w:p>
        </w:tc>
        <w:tc>
          <w:tcPr>
            <w:tcW w:w="619" w:type="dxa"/>
          </w:tcPr>
          <w:p w14:paraId="53E4FC30" w14:textId="77777777" w:rsidR="0006278C" w:rsidRPr="0006278C" w:rsidRDefault="0006278C" w:rsidP="0006278C">
            <w:pPr>
              <w:spacing w:after="0" w:line="240" w:lineRule="auto"/>
              <w:jc w:val="center"/>
              <w:rPr>
                <w:rFonts w:ascii="Arial" w:hAnsi="Arial" w:cs="Arial"/>
                <w:sz w:val="18"/>
              </w:rPr>
            </w:pPr>
          </w:p>
        </w:tc>
        <w:tc>
          <w:tcPr>
            <w:tcW w:w="449" w:type="dxa"/>
          </w:tcPr>
          <w:p w14:paraId="12ABA059" w14:textId="77777777" w:rsidR="0006278C" w:rsidRPr="0006278C" w:rsidRDefault="0006278C" w:rsidP="0006278C">
            <w:pPr>
              <w:spacing w:after="0" w:line="240" w:lineRule="auto"/>
              <w:jc w:val="center"/>
              <w:rPr>
                <w:rFonts w:ascii="Arial" w:hAnsi="Arial" w:cs="Arial"/>
                <w:sz w:val="18"/>
              </w:rPr>
            </w:pPr>
          </w:p>
        </w:tc>
        <w:tc>
          <w:tcPr>
            <w:tcW w:w="338" w:type="dxa"/>
          </w:tcPr>
          <w:p w14:paraId="5D3320D1" w14:textId="77777777" w:rsidR="0006278C" w:rsidRPr="0006278C" w:rsidRDefault="0006278C" w:rsidP="0006278C">
            <w:pPr>
              <w:spacing w:after="0" w:line="240" w:lineRule="auto"/>
              <w:jc w:val="center"/>
              <w:rPr>
                <w:rFonts w:ascii="Arial" w:hAnsi="Arial" w:cs="Arial"/>
                <w:sz w:val="18"/>
              </w:rPr>
            </w:pPr>
          </w:p>
        </w:tc>
        <w:tc>
          <w:tcPr>
            <w:tcW w:w="540" w:type="dxa"/>
          </w:tcPr>
          <w:p w14:paraId="0D7ECB65"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540" w:type="dxa"/>
          </w:tcPr>
          <w:p w14:paraId="544D9085" w14:textId="77777777" w:rsidR="0006278C" w:rsidRPr="0006278C" w:rsidRDefault="0006278C" w:rsidP="0006278C">
            <w:pPr>
              <w:spacing w:after="0" w:line="240" w:lineRule="auto"/>
              <w:jc w:val="center"/>
              <w:rPr>
                <w:rFonts w:ascii="Arial" w:hAnsi="Arial" w:cs="Arial"/>
                <w:sz w:val="18"/>
              </w:rPr>
            </w:pPr>
          </w:p>
        </w:tc>
        <w:tc>
          <w:tcPr>
            <w:tcW w:w="450" w:type="dxa"/>
          </w:tcPr>
          <w:p w14:paraId="3EAE2C50" w14:textId="77777777" w:rsidR="0006278C" w:rsidRPr="0006278C" w:rsidRDefault="0006278C" w:rsidP="0006278C">
            <w:pPr>
              <w:spacing w:after="0" w:line="240" w:lineRule="auto"/>
              <w:jc w:val="center"/>
              <w:rPr>
                <w:rFonts w:ascii="Arial" w:hAnsi="Arial" w:cs="Arial"/>
                <w:sz w:val="18"/>
              </w:rPr>
            </w:pPr>
          </w:p>
        </w:tc>
        <w:tc>
          <w:tcPr>
            <w:tcW w:w="360" w:type="dxa"/>
          </w:tcPr>
          <w:p w14:paraId="3AE6C56A" w14:textId="77777777" w:rsidR="0006278C" w:rsidRPr="0006278C" w:rsidRDefault="0006278C" w:rsidP="0006278C">
            <w:pPr>
              <w:spacing w:after="0" w:line="240" w:lineRule="auto"/>
              <w:jc w:val="center"/>
              <w:rPr>
                <w:rFonts w:ascii="Arial" w:hAnsi="Arial" w:cs="Arial"/>
                <w:sz w:val="18"/>
              </w:rPr>
            </w:pPr>
          </w:p>
        </w:tc>
        <w:tc>
          <w:tcPr>
            <w:tcW w:w="636" w:type="dxa"/>
          </w:tcPr>
          <w:p w14:paraId="423050DE" w14:textId="77777777" w:rsidR="0006278C" w:rsidRPr="0006278C" w:rsidRDefault="0006278C" w:rsidP="0006278C">
            <w:pPr>
              <w:spacing w:after="0" w:line="240" w:lineRule="auto"/>
              <w:jc w:val="center"/>
              <w:rPr>
                <w:rFonts w:ascii="Arial" w:hAnsi="Arial" w:cs="Arial"/>
                <w:sz w:val="18"/>
              </w:rPr>
            </w:pPr>
          </w:p>
        </w:tc>
        <w:tc>
          <w:tcPr>
            <w:tcW w:w="491" w:type="dxa"/>
          </w:tcPr>
          <w:p w14:paraId="529B3AED" w14:textId="77777777" w:rsidR="0006278C" w:rsidRPr="0006278C" w:rsidRDefault="0006278C" w:rsidP="0006278C">
            <w:pPr>
              <w:spacing w:after="0" w:line="240" w:lineRule="auto"/>
              <w:jc w:val="center"/>
              <w:rPr>
                <w:rFonts w:ascii="Arial" w:hAnsi="Arial" w:cs="Arial"/>
                <w:sz w:val="18"/>
              </w:rPr>
            </w:pPr>
          </w:p>
        </w:tc>
        <w:tc>
          <w:tcPr>
            <w:tcW w:w="493" w:type="dxa"/>
          </w:tcPr>
          <w:p w14:paraId="28306D9E" w14:textId="77777777" w:rsidR="0006278C" w:rsidRPr="0006278C" w:rsidRDefault="0006278C" w:rsidP="0006278C">
            <w:pPr>
              <w:spacing w:after="0" w:line="240" w:lineRule="auto"/>
              <w:jc w:val="center"/>
              <w:rPr>
                <w:rFonts w:ascii="Arial" w:hAnsi="Arial" w:cs="Arial"/>
                <w:sz w:val="18"/>
              </w:rPr>
            </w:pPr>
          </w:p>
        </w:tc>
        <w:tc>
          <w:tcPr>
            <w:tcW w:w="540" w:type="dxa"/>
          </w:tcPr>
          <w:p w14:paraId="64E9FFDE" w14:textId="77777777" w:rsidR="0006278C" w:rsidRPr="0006278C" w:rsidRDefault="0006278C" w:rsidP="0006278C">
            <w:pPr>
              <w:spacing w:after="0" w:line="240" w:lineRule="auto"/>
              <w:jc w:val="center"/>
              <w:rPr>
                <w:rFonts w:ascii="Arial" w:hAnsi="Arial" w:cs="Arial"/>
                <w:sz w:val="18"/>
              </w:rPr>
            </w:pPr>
          </w:p>
        </w:tc>
        <w:tc>
          <w:tcPr>
            <w:tcW w:w="450" w:type="dxa"/>
          </w:tcPr>
          <w:p w14:paraId="0009CDB4" w14:textId="77777777" w:rsidR="0006278C" w:rsidRPr="0006278C" w:rsidRDefault="0006278C" w:rsidP="0006278C">
            <w:pPr>
              <w:spacing w:after="0" w:line="240" w:lineRule="auto"/>
              <w:jc w:val="center"/>
              <w:rPr>
                <w:rFonts w:ascii="Arial" w:hAnsi="Arial" w:cs="Arial"/>
                <w:sz w:val="18"/>
              </w:rPr>
            </w:pPr>
          </w:p>
        </w:tc>
        <w:tc>
          <w:tcPr>
            <w:tcW w:w="540" w:type="dxa"/>
          </w:tcPr>
          <w:p w14:paraId="13253501" w14:textId="77777777" w:rsidR="0006278C" w:rsidRPr="0006278C" w:rsidRDefault="0006278C" w:rsidP="0006278C">
            <w:pPr>
              <w:spacing w:after="0" w:line="240" w:lineRule="auto"/>
              <w:jc w:val="center"/>
              <w:rPr>
                <w:rFonts w:ascii="Arial" w:hAnsi="Arial" w:cs="Arial"/>
                <w:sz w:val="18"/>
              </w:rPr>
            </w:pPr>
          </w:p>
        </w:tc>
      </w:tr>
      <w:tr w:rsidR="00864968" w:rsidRPr="0006278C" w14:paraId="4119631A" w14:textId="77777777" w:rsidTr="00864968">
        <w:tc>
          <w:tcPr>
            <w:tcW w:w="567" w:type="dxa"/>
          </w:tcPr>
          <w:p w14:paraId="6525C9BF" w14:textId="77777777" w:rsidR="0006278C" w:rsidRPr="0006278C" w:rsidRDefault="0006278C" w:rsidP="004304E6">
            <w:pPr>
              <w:spacing w:after="0" w:line="240" w:lineRule="auto"/>
              <w:rPr>
                <w:rFonts w:ascii="Arial" w:hAnsi="Arial" w:cs="Arial"/>
                <w:sz w:val="18"/>
              </w:rPr>
            </w:pPr>
            <w:r w:rsidRPr="0006278C">
              <w:rPr>
                <w:rFonts w:ascii="Arial" w:hAnsi="Arial" w:cs="Arial"/>
                <w:sz w:val="18"/>
              </w:rPr>
              <w:t>14</w:t>
            </w:r>
          </w:p>
        </w:tc>
        <w:tc>
          <w:tcPr>
            <w:tcW w:w="2194" w:type="dxa"/>
          </w:tcPr>
          <w:p w14:paraId="75B99253" w14:textId="77777777" w:rsidR="0006278C" w:rsidRPr="0006278C" w:rsidRDefault="0006278C" w:rsidP="0006278C">
            <w:pPr>
              <w:spacing w:after="0" w:line="240" w:lineRule="auto"/>
              <w:rPr>
                <w:rFonts w:ascii="Arial" w:hAnsi="Arial" w:cs="Arial"/>
                <w:sz w:val="18"/>
              </w:rPr>
            </w:pPr>
            <w:r w:rsidRPr="0006278C">
              <w:rPr>
                <w:rFonts w:ascii="Arial" w:hAnsi="Arial" w:cs="Arial"/>
                <w:sz w:val="18"/>
              </w:rPr>
              <w:t>Tooth decay/cavities</w:t>
            </w:r>
          </w:p>
        </w:tc>
        <w:tc>
          <w:tcPr>
            <w:tcW w:w="429" w:type="dxa"/>
          </w:tcPr>
          <w:p w14:paraId="6B2F5E08" w14:textId="77777777" w:rsidR="0006278C" w:rsidRPr="0006278C" w:rsidRDefault="0006278C" w:rsidP="0006278C">
            <w:pPr>
              <w:spacing w:after="0" w:line="240" w:lineRule="auto"/>
              <w:jc w:val="center"/>
              <w:rPr>
                <w:rFonts w:ascii="Arial" w:hAnsi="Arial" w:cs="Arial"/>
                <w:sz w:val="18"/>
              </w:rPr>
            </w:pPr>
          </w:p>
        </w:tc>
        <w:tc>
          <w:tcPr>
            <w:tcW w:w="619" w:type="dxa"/>
          </w:tcPr>
          <w:p w14:paraId="133737B2" w14:textId="77777777" w:rsidR="0006278C" w:rsidRPr="0006278C" w:rsidRDefault="0006278C" w:rsidP="0006278C">
            <w:pPr>
              <w:spacing w:after="0" w:line="240" w:lineRule="auto"/>
              <w:jc w:val="center"/>
              <w:rPr>
                <w:rFonts w:ascii="Arial" w:hAnsi="Arial" w:cs="Arial"/>
                <w:sz w:val="18"/>
              </w:rPr>
            </w:pPr>
          </w:p>
        </w:tc>
        <w:tc>
          <w:tcPr>
            <w:tcW w:w="619" w:type="dxa"/>
          </w:tcPr>
          <w:p w14:paraId="48605299" w14:textId="77777777" w:rsidR="0006278C" w:rsidRPr="0006278C" w:rsidRDefault="0006278C" w:rsidP="0006278C">
            <w:pPr>
              <w:spacing w:after="0" w:line="240" w:lineRule="auto"/>
              <w:jc w:val="center"/>
              <w:rPr>
                <w:rFonts w:ascii="Arial" w:hAnsi="Arial" w:cs="Arial"/>
                <w:sz w:val="18"/>
              </w:rPr>
            </w:pPr>
          </w:p>
        </w:tc>
        <w:tc>
          <w:tcPr>
            <w:tcW w:w="449" w:type="dxa"/>
          </w:tcPr>
          <w:p w14:paraId="324D947F" w14:textId="77777777" w:rsidR="0006278C" w:rsidRPr="0006278C" w:rsidRDefault="0006278C" w:rsidP="0006278C">
            <w:pPr>
              <w:spacing w:after="0" w:line="240" w:lineRule="auto"/>
              <w:jc w:val="center"/>
              <w:rPr>
                <w:rFonts w:ascii="Arial" w:hAnsi="Arial" w:cs="Arial"/>
                <w:sz w:val="18"/>
              </w:rPr>
            </w:pPr>
          </w:p>
        </w:tc>
        <w:tc>
          <w:tcPr>
            <w:tcW w:w="338" w:type="dxa"/>
          </w:tcPr>
          <w:p w14:paraId="6546889A" w14:textId="77777777" w:rsidR="0006278C" w:rsidRPr="0006278C" w:rsidRDefault="0006278C" w:rsidP="0006278C">
            <w:pPr>
              <w:spacing w:after="0" w:line="240" w:lineRule="auto"/>
              <w:jc w:val="center"/>
              <w:rPr>
                <w:rFonts w:ascii="Arial" w:hAnsi="Arial" w:cs="Arial"/>
                <w:sz w:val="18"/>
              </w:rPr>
            </w:pPr>
          </w:p>
        </w:tc>
        <w:tc>
          <w:tcPr>
            <w:tcW w:w="540" w:type="dxa"/>
          </w:tcPr>
          <w:p w14:paraId="5DF36C30" w14:textId="77777777" w:rsidR="0006278C" w:rsidRPr="0006278C" w:rsidRDefault="0006278C" w:rsidP="0006278C">
            <w:pPr>
              <w:spacing w:after="0" w:line="240" w:lineRule="auto"/>
              <w:jc w:val="center"/>
              <w:rPr>
                <w:rFonts w:ascii="Arial" w:hAnsi="Arial" w:cs="Arial"/>
                <w:sz w:val="18"/>
              </w:rPr>
            </w:pPr>
          </w:p>
        </w:tc>
        <w:tc>
          <w:tcPr>
            <w:tcW w:w="540" w:type="dxa"/>
          </w:tcPr>
          <w:p w14:paraId="5E8A4B05" w14:textId="77777777" w:rsidR="0006278C" w:rsidRPr="0006278C" w:rsidRDefault="0006278C" w:rsidP="0006278C">
            <w:pPr>
              <w:spacing w:after="0" w:line="240" w:lineRule="auto"/>
              <w:jc w:val="center"/>
              <w:rPr>
                <w:rFonts w:ascii="Arial" w:hAnsi="Arial" w:cs="Arial"/>
                <w:sz w:val="18"/>
              </w:rPr>
            </w:pPr>
          </w:p>
        </w:tc>
        <w:tc>
          <w:tcPr>
            <w:tcW w:w="450" w:type="dxa"/>
          </w:tcPr>
          <w:p w14:paraId="7A6CF9FF" w14:textId="77777777" w:rsidR="0006278C" w:rsidRPr="0006278C" w:rsidRDefault="0006278C" w:rsidP="0006278C">
            <w:pPr>
              <w:spacing w:after="0" w:line="240" w:lineRule="auto"/>
              <w:jc w:val="center"/>
              <w:rPr>
                <w:rFonts w:ascii="Arial" w:hAnsi="Arial" w:cs="Arial"/>
                <w:sz w:val="18"/>
              </w:rPr>
            </w:pPr>
          </w:p>
        </w:tc>
        <w:tc>
          <w:tcPr>
            <w:tcW w:w="360" w:type="dxa"/>
          </w:tcPr>
          <w:p w14:paraId="41BF9D27" w14:textId="77777777" w:rsidR="0006278C" w:rsidRPr="0006278C" w:rsidRDefault="0006278C" w:rsidP="0006278C">
            <w:pPr>
              <w:spacing w:after="0" w:line="240" w:lineRule="auto"/>
              <w:jc w:val="center"/>
              <w:rPr>
                <w:rFonts w:ascii="Arial" w:hAnsi="Arial" w:cs="Arial"/>
                <w:sz w:val="18"/>
              </w:rPr>
            </w:pPr>
          </w:p>
        </w:tc>
        <w:tc>
          <w:tcPr>
            <w:tcW w:w="636" w:type="dxa"/>
          </w:tcPr>
          <w:p w14:paraId="6EFCC233" w14:textId="77777777" w:rsidR="0006278C" w:rsidRPr="0006278C" w:rsidRDefault="0006278C" w:rsidP="0006278C">
            <w:pPr>
              <w:spacing w:after="0" w:line="240" w:lineRule="auto"/>
              <w:jc w:val="center"/>
              <w:rPr>
                <w:rFonts w:ascii="Arial" w:hAnsi="Arial" w:cs="Arial"/>
                <w:sz w:val="18"/>
              </w:rPr>
            </w:pPr>
          </w:p>
        </w:tc>
        <w:tc>
          <w:tcPr>
            <w:tcW w:w="491" w:type="dxa"/>
          </w:tcPr>
          <w:p w14:paraId="71B300FB" w14:textId="77777777" w:rsidR="0006278C" w:rsidRPr="0006278C" w:rsidRDefault="0006278C" w:rsidP="0006278C">
            <w:pPr>
              <w:spacing w:after="0" w:line="240" w:lineRule="auto"/>
              <w:jc w:val="center"/>
              <w:rPr>
                <w:rFonts w:ascii="Arial" w:hAnsi="Arial" w:cs="Arial"/>
                <w:sz w:val="18"/>
              </w:rPr>
            </w:pPr>
          </w:p>
        </w:tc>
        <w:tc>
          <w:tcPr>
            <w:tcW w:w="493" w:type="dxa"/>
          </w:tcPr>
          <w:p w14:paraId="7B399118" w14:textId="77777777" w:rsidR="0006278C" w:rsidRPr="0006278C" w:rsidRDefault="0006278C" w:rsidP="0006278C">
            <w:pPr>
              <w:spacing w:after="0" w:line="240" w:lineRule="auto"/>
              <w:jc w:val="center"/>
              <w:rPr>
                <w:rFonts w:ascii="Arial" w:hAnsi="Arial" w:cs="Arial"/>
                <w:sz w:val="18"/>
              </w:rPr>
            </w:pPr>
          </w:p>
        </w:tc>
        <w:tc>
          <w:tcPr>
            <w:tcW w:w="540" w:type="dxa"/>
          </w:tcPr>
          <w:p w14:paraId="6A8045EB"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450" w:type="dxa"/>
          </w:tcPr>
          <w:p w14:paraId="5607407B" w14:textId="77777777" w:rsidR="0006278C" w:rsidRPr="0006278C" w:rsidRDefault="0006278C" w:rsidP="0006278C">
            <w:pPr>
              <w:spacing w:after="0" w:line="240" w:lineRule="auto"/>
              <w:jc w:val="center"/>
              <w:rPr>
                <w:rFonts w:ascii="Arial" w:hAnsi="Arial" w:cs="Arial"/>
                <w:sz w:val="18"/>
              </w:rPr>
            </w:pPr>
          </w:p>
        </w:tc>
        <w:tc>
          <w:tcPr>
            <w:tcW w:w="540" w:type="dxa"/>
          </w:tcPr>
          <w:p w14:paraId="6F418F0A" w14:textId="77777777" w:rsidR="0006278C" w:rsidRPr="0006278C" w:rsidRDefault="0006278C" w:rsidP="0006278C">
            <w:pPr>
              <w:spacing w:after="0" w:line="240" w:lineRule="auto"/>
              <w:jc w:val="center"/>
              <w:rPr>
                <w:rFonts w:ascii="Arial" w:hAnsi="Arial" w:cs="Arial"/>
                <w:sz w:val="18"/>
              </w:rPr>
            </w:pPr>
          </w:p>
        </w:tc>
      </w:tr>
      <w:tr w:rsidR="00864968" w:rsidRPr="0006278C" w14:paraId="671A15BB" w14:textId="77777777" w:rsidTr="00864968">
        <w:tc>
          <w:tcPr>
            <w:tcW w:w="567" w:type="dxa"/>
          </w:tcPr>
          <w:p w14:paraId="05FBA8A7" w14:textId="77777777" w:rsidR="0006278C" w:rsidRPr="0006278C" w:rsidRDefault="0006278C" w:rsidP="004304E6">
            <w:pPr>
              <w:spacing w:after="0" w:line="240" w:lineRule="auto"/>
              <w:rPr>
                <w:rFonts w:ascii="Arial" w:hAnsi="Arial" w:cs="Arial"/>
                <w:sz w:val="18"/>
              </w:rPr>
            </w:pPr>
            <w:r w:rsidRPr="0006278C">
              <w:rPr>
                <w:rFonts w:ascii="Arial" w:hAnsi="Arial" w:cs="Arial"/>
                <w:sz w:val="18"/>
              </w:rPr>
              <w:t>15</w:t>
            </w:r>
          </w:p>
        </w:tc>
        <w:tc>
          <w:tcPr>
            <w:tcW w:w="2194" w:type="dxa"/>
          </w:tcPr>
          <w:p w14:paraId="2281B7BB" w14:textId="77777777" w:rsidR="0006278C" w:rsidRPr="0006278C" w:rsidRDefault="0006278C" w:rsidP="0006278C">
            <w:pPr>
              <w:spacing w:after="0" w:line="240" w:lineRule="auto"/>
              <w:rPr>
                <w:rFonts w:ascii="Arial" w:hAnsi="Arial" w:cs="Arial"/>
                <w:sz w:val="18"/>
              </w:rPr>
            </w:pPr>
            <w:r w:rsidRPr="0006278C">
              <w:rPr>
                <w:rFonts w:ascii="Arial" w:hAnsi="Arial" w:cs="Arial"/>
                <w:sz w:val="18"/>
              </w:rPr>
              <w:t>Child mortality</w:t>
            </w:r>
          </w:p>
        </w:tc>
        <w:tc>
          <w:tcPr>
            <w:tcW w:w="429" w:type="dxa"/>
          </w:tcPr>
          <w:p w14:paraId="65724916" w14:textId="77777777" w:rsidR="0006278C" w:rsidRPr="0006278C" w:rsidRDefault="0006278C" w:rsidP="0006278C">
            <w:pPr>
              <w:spacing w:after="0" w:line="240" w:lineRule="auto"/>
              <w:jc w:val="center"/>
              <w:rPr>
                <w:rFonts w:ascii="Arial" w:hAnsi="Arial" w:cs="Arial"/>
                <w:sz w:val="18"/>
              </w:rPr>
            </w:pPr>
          </w:p>
        </w:tc>
        <w:tc>
          <w:tcPr>
            <w:tcW w:w="619" w:type="dxa"/>
          </w:tcPr>
          <w:p w14:paraId="6C6ACE1F" w14:textId="77777777" w:rsidR="0006278C" w:rsidRPr="0006278C" w:rsidRDefault="0006278C" w:rsidP="0006278C">
            <w:pPr>
              <w:spacing w:after="0" w:line="240" w:lineRule="auto"/>
              <w:jc w:val="center"/>
              <w:rPr>
                <w:rFonts w:ascii="Arial" w:hAnsi="Arial" w:cs="Arial"/>
                <w:sz w:val="18"/>
              </w:rPr>
            </w:pPr>
          </w:p>
        </w:tc>
        <w:tc>
          <w:tcPr>
            <w:tcW w:w="619" w:type="dxa"/>
          </w:tcPr>
          <w:p w14:paraId="58726223" w14:textId="77777777" w:rsidR="0006278C" w:rsidRPr="0006278C" w:rsidRDefault="0006278C" w:rsidP="0006278C">
            <w:pPr>
              <w:spacing w:after="0" w:line="240" w:lineRule="auto"/>
              <w:jc w:val="center"/>
              <w:rPr>
                <w:rFonts w:ascii="Arial" w:hAnsi="Arial" w:cs="Arial"/>
                <w:sz w:val="18"/>
              </w:rPr>
            </w:pPr>
          </w:p>
        </w:tc>
        <w:tc>
          <w:tcPr>
            <w:tcW w:w="449" w:type="dxa"/>
          </w:tcPr>
          <w:p w14:paraId="372BC1B1" w14:textId="77777777" w:rsidR="0006278C" w:rsidRPr="0006278C" w:rsidRDefault="0006278C" w:rsidP="0006278C">
            <w:pPr>
              <w:spacing w:after="0" w:line="240" w:lineRule="auto"/>
              <w:jc w:val="center"/>
              <w:rPr>
                <w:rFonts w:ascii="Arial" w:hAnsi="Arial" w:cs="Arial"/>
                <w:sz w:val="18"/>
              </w:rPr>
            </w:pPr>
          </w:p>
        </w:tc>
        <w:tc>
          <w:tcPr>
            <w:tcW w:w="338" w:type="dxa"/>
          </w:tcPr>
          <w:p w14:paraId="24B26923" w14:textId="77777777" w:rsidR="0006278C" w:rsidRPr="0006278C" w:rsidRDefault="0006278C" w:rsidP="0006278C">
            <w:pPr>
              <w:spacing w:after="0" w:line="240" w:lineRule="auto"/>
              <w:jc w:val="center"/>
              <w:rPr>
                <w:rFonts w:ascii="Arial" w:hAnsi="Arial" w:cs="Arial"/>
                <w:sz w:val="18"/>
              </w:rPr>
            </w:pPr>
          </w:p>
        </w:tc>
        <w:tc>
          <w:tcPr>
            <w:tcW w:w="540" w:type="dxa"/>
          </w:tcPr>
          <w:p w14:paraId="6B782247" w14:textId="77777777" w:rsidR="0006278C" w:rsidRPr="0006278C" w:rsidRDefault="0006278C" w:rsidP="0006278C">
            <w:pPr>
              <w:spacing w:after="0" w:line="240" w:lineRule="auto"/>
              <w:jc w:val="center"/>
              <w:rPr>
                <w:rFonts w:ascii="Arial" w:hAnsi="Arial" w:cs="Arial"/>
                <w:sz w:val="18"/>
              </w:rPr>
            </w:pPr>
          </w:p>
        </w:tc>
        <w:tc>
          <w:tcPr>
            <w:tcW w:w="540" w:type="dxa"/>
          </w:tcPr>
          <w:p w14:paraId="7AC7F154"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450" w:type="dxa"/>
          </w:tcPr>
          <w:p w14:paraId="63822750" w14:textId="77777777" w:rsidR="0006278C" w:rsidRPr="0006278C" w:rsidRDefault="0006278C" w:rsidP="0006278C">
            <w:pPr>
              <w:spacing w:after="0" w:line="240" w:lineRule="auto"/>
              <w:jc w:val="center"/>
              <w:rPr>
                <w:rFonts w:ascii="Arial" w:hAnsi="Arial" w:cs="Arial"/>
                <w:sz w:val="18"/>
              </w:rPr>
            </w:pPr>
          </w:p>
        </w:tc>
        <w:tc>
          <w:tcPr>
            <w:tcW w:w="360" w:type="dxa"/>
          </w:tcPr>
          <w:p w14:paraId="132B1563" w14:textId="77777777" w:rsidR="0006278C" w:rsidRPr="0006278C" w:rsidRDefault="0006278C" w:rsidP="0006278C">
            <w:pPr>
              <w:spacing w:after="0" w:line="240" w:lineRule="auto"/>
              <w:jc w:val="center"/>
              <w:rPr>
                <w:rFonts w:ascii="Arial" w:hAnsi="Arial" w:cs="Arial"/>
                <w:sz w:val="18"/>
              </w:rPr>
            </w:pPr>
          </w:p>
        </w:tc>
        <w:tc>
          <w:tcPr>
            <w:tcW w:w="636" w:type="dxa"/>
          </w:tcPr>
          <w:p w14:paraId="76E02AF6" w14:textId="77777777" w:rsidR="0006278C" w:rsidRPr="0006278C" w:rsidRDefault="0006278C" w:rsidP="0006278C">
            <w:pPr>
              <w:spacing w:after="0" w:line="240" w:lineRule="auto"/>
              <w:jc w:val="center"/>
              <w:rPr>
                <w:rFonts w:ascii="Arial" w:hAnsi="Arial" w:cs="Arial"/>
                <w:sz w:val="18"/>
              </w:rPr>
            </w:pPr>
          </w:p>
        </w:tc>
        <w:tc>
          <w:tcPr>
            <w:tcW w:w="491" w:type="dxa"/>
          </w:tcPr>
          <w:p w14:paraId="10DD21D2" w14:textId="77777777" w:rsidR="0006278C" w:rsidRPr="0006278C" w:rsidRDefault="0006278C" w:rsidP="0006278C">
            <w:pPr>
              <w:spacing w:after="0" w:line="240" w:lineRule="auto"/>
              <w:jc w:val="center"/>
              <w:rPr>
                <w:rFonts w:ascii="Arial" w:hAnsi="Arial" w:cs="Arial"/>
                <w:sz w:val="18"/>
              </w:rPr>
            </w:pPr>
          </w:p>
        </w:tc>
        <w:tc>
          <w:tcPr>
            <w:tcW w:w="493" w:type="dxa"/>
          </w:tcPr>
          <w:p w14:paraId="0E6731E9" w14:textId="77777777" w:rsidR="0006278C" w:rsidRPr="0006278C" w:rsidRDefault="0006278C" w:rsidP="0006278C">
            <w:pPr>
              <w:spacing w:after="0" w:line="240" w:lineRule="auto"/>
              <w:jc w:val="center"/>
              <w:rPr>
                <w:rFonts w:ascii="Arial" w:hAnsi="Arial" w:cs="Arial"/>
                <w:sz w:val="18"/>
              </w:rPr>
            </w:pPr>
          </w:p>
        </w:tc>
        <w:tc>
          <w:tcPr>
            <w:tcW w:w="540" w:type="dxa"/>
          </w:tcPr>
          <w:p w14:paraId="27F26919" w14:textId="77777777" w:rsidR="0006278C" w:rsidRPr="0006278C" w:rsidRDefault="0006278C" w:rsidP="0006278C">
            <w:pPr>
              <w:spacing w:after="0" w:line="240" w:lineRule="auto"/>
              <w:jc w:val="center"/>
              <w:rPr>
                <w:rFonts w:ascii="Arial" w:hAnsi="Arial" w:cs="Arial"/>
                <w:sz w:val="18"/>
              </w:rPr>
            </w:pPr>
          </w:p>
        </w:tc>
        <w:tc>
          <w:tcPr>
            <w:tcW w:w="450" w:type="dxa"/>
          </w:tcPr>
          <w:p w14:paraId="19B6B96E" w14:textId="77777777" w:rsidR="0006278C" w:rsidRPr="0006278C" w:rsidRDefault="0006278C" w:rsidP="0006278C">
            <w:pPr>
              <w:spacing w:after="0" w:line="240" w:lineRule="auto"/>
              <w:jc w:val="center"/>
              <w:rPr>
                <w:rFonts w:ascii="Arial" w:hAnsi="Arial" w:cs="Arial"/>
                <w:sz w:val="18"/>
              </w:rPr>
            </w:pPr>
          </w:p>
        </w:tc>
        <w:tc>
          <w:tcPr>
            <w:tcW w:w="540" w:type="dxa"/>
          </w:tcPr>
          <w:p w14:paraId="11F4602B" w14:textId="77777777" w:rsidR="0006278C" w:rsidRPr="0006278C" w:rsidRDefault="0006278C" w:rsidP="0006278C">
            <w:pPr>
              <w:spacing w:after="0" w:line="240" w:lineRule="auto"/>
              <w:jc w:val="center"/>
              <w:rPr>
                <w:rFonts w:ascii="Arial" w:hAnsi="Arial" w:cs="Arial"/>
                <w:sz w:val="18"/>
              </w:rPr>
            </w:pPr>
          </w:p>
        </w:tc>
      </w:tr>
      <w:tr w:rsidR="00864968" w:rsidRPr="0006278C" w14:paraId="41874E3B" w14:textId="77777777" w:rsidTr="00864968">
        <w:tc>
          <w:tcPr>
            <w:tcW w:w="567" w:type="dxa"/>
          </w:tcPr>
          <w:p w14:paraId="6EC0850A" w14:textId="77777777" w:rsidR="0006278C" w:rsidRPr="0006278C" w:rsidRDefault="0006278C" w:rsidP="004304E6">
            <w:pPr>
              <w:spacing w:after="0" w:line="240" w:lineRule="auto"/>
              <w:rPr>
                <w:rFonts w:ascii="Arial" w:hAnsi="Arial" w:cs="Arial"/>
                <w:sz w:val="18"/>
              </w:rPr>
            </w:pPr>
            <w:r w:rsidRPr="0006278C">
              <w:rPr>
                <w:rFonts w:ascii="Arial" w:hAnsi="Arial" w:cs="Arial"/>
                <w:sz w:val="18"/>
              </w:rPr>
              <w:t>16.1</w:t>
            </w:r>
          </w:p>
        </w:tc>
        <w:tc>
          <w:tcPr>
            <w:tcW w:w="2194" w:type="dxa"/>
          </w:tcPr>
          <w:p w14:paraId="6ABCD63A" w14:textId="77777777" w:rsidR="0006278C" w:rsidRPr="0006278C" w:rsidRDefault="0006278C" w:rsidP="0006278C">
            <w:pPr>
              <w:spacing w:after="0" w:line="240" w:lineRule="auto"/>
              <w:rPr>
                <w:rFonts w:ascii="Arial" w:hAnsi="Arial" w:cs="Arial"/>
                <w:sz w:val="18"/>
              </w:rPr>
            </w:pPr>
            <w:r w:rsidRPr="0006278C">
              <w:rPr>
                <w:rFonts w:ascii="Arial" w:hAnsi="Arial" w:cs="Arial"/>
                <w:sz w:val="18"/>
              </w:rPr>
              <w:t>Adolescent mortality</w:t>
            </w:r>
          </w:p>
        </w:tc>
        <w:tc>
          <w:tcPr>
            <w:tcW w:w="429" w:type="dxa"/>
          </w:tcPr>
          <w:p w14:paraId="69736A2D" w14:textId="77777777" w:rsidR="0006278C" w:rsidRPr="0006278C" w:rsidRDefault="0006278C" w:rsidP="0006278C">
            <w:pPr>
              <w:spacing w:after="0" w:line="240" w:lineRule="auto"/>
              <w:jc w:val="center"/>
              <w:rPr>
                <w:rFonts w:ascii="Arial" w:hAnsi="Arial" w:cs="Arial"/>
                <w:sz w:val="18"/>
              </w:rPr>
            </w:pPr>
          </w:p>
        </w:tc>
        <w:tc>
          <w:tcPr>
            <w:tcW w:w="619" w:type="dxa"/>
          </w:tcPr>
          <w:p w14:paraId="0BBD2AE6" w14:textId="77777777" w:rsidR="0006278C" w:rsidRPr="0006278C" w:rsidRDefault="0006278C" w:rsidP="0006278C">
            <w:pPr>
              <w:spacing w:after="0" w:line="240" w:lineRule="auto"/>
              <w:jc w:val="center"/>
              <w:rPr>
                <w:rFonts w:ascii="Arial" w:hAnsi="Arial" w:cs="Arial"/>
                <w:sz w:val="18"/>
              </w:rPr>
            </w:pPr>
          </w:p>
        </w:tc>
        <w:tc>
          <w:tcPr>
            <w:tcW w:w="619" w:type="dxa"/>
          </w:tcPr>
          <w:p w14:paraId="73237844" w14:textId="77777777" w:rsidR="0006278C" w:rsidRPr="0006278C" w:rsidRDefault="0006278C" w:rsidP="0006278C">
            <w:pPr>
              <w:spacing w:after="0" w:line="240" w:lineRule="auto"/>
              <w:jc w:val="center"/>
              <w:rPr>
                <w:rFonts w:ascii="Arial" w:hAnsi="Arial" w:cs="Arial"/>
                <w:sz w:val="18"/>
              </w:rPr>
            </w:pPr>
          </w:p>
        </w:tc>
        <w:tc>
          <w:tcPr>
            <w:tcW w:w="449" w:type="dxa"/>
          </w:tcPr>
          <w:p w14:paraId="32C9CA2E" w14:textId="77777777" w:rsidR="0006278C" w:rsidRPr="0006278C" w:rsidRDefault="0006278C" w:rsidP="0006278C">
            <w:pPr>
              <w:spacing w:after="0" w:line="240" w:lineRule="auto"/>
              <w:jc w:val="center"/>
              <w:rPr>
                <w:rFonts w:ascii="Arial" w:hAnsi="Arial" w:cs="Arial"/>
                <w:sz w:val="18"/>
              </w:rPr>
            </w:pPr>
          </w:p>
        </w:tc>
        <w:tc>
          <w:tcPr>
            <w:tcW w:w="338" w:type="dxa"/>
          </w:tcPr>
          <w:p w14:paraId="025E1BC2" w14:textId="77777777" w:rsidR="0006278C" w:rsidRPr="0006278C" w:rsidRDefault="0006278C" w:rsidP="0006278C">
            <w:pPr>
              <w:spacing w:after="0" w:line="240" w:lineRule="auto"/>
              <w:jc w:val="center"/>
              <w:rPr>
                <w:rFonts w:ascii="Arial" w:hAnsi="Arial" w:cs="Arial"/>
                <w:sz w:val="18"/>
              </w:rPr>
            </w:pPr>
          </w:p>
        </w:tc>
        <w:tc>
          <w:tcPr>
            <w:tcW w:w="540" w:type="dxa"/>
          </w:tcPr>
          <w:p w14:paraId="6F5B9B2B" w14:textId="77777777" w:rsidR="0006278C" w:rsidRPr="0006278C" w:rsidRDefault="0006278C" w:rsidP="0006278C">
            <w:pPr>
              <w:spacing w:after="0" w:line="240" w:lineRule="auto"/>
              <w:jc w:val="center"/>
              <w:rPr>
                <w:rFonts w:ascii="Arial" w:hAnsi="Arial" w:cs="Arial"/>
                <w:sz w:val="18"/>
              </w:rPr>
            </w:pPr>
          </w:p>
        </w:tc>
        <w:tc>
          <w:tcPr>
            <w:tcW w:w="540" w:type="dxa"/>
          </w:tcPr>
          <w:p w14:paraId="285CBB95"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450" w:type="dxa"/>
          </w:tcPr>
          <w:p w14:paraId="08951062" w14:textId="77777777" w:rsidR="0006278C" w:rsidRPr="0006278C" w:rsidRDefault="0006278C" w:rsidP="0006278C">
            <w:pPr>
              <w:spacing w:after="0" w:line="240" w:lineRule="auto"/>
              <w:jc w:val="center"/>
              <w:rPr>
                <w:rFonts w:ascii="Arial" w:hAnsi="Arial" w:cs="Arial"/>
                <w:sz w:val="18"/>
              </w:rPr>
            </w:pPr>
          </w:p>
        </w:tc>
        <w:tc>
          <w:tcPr>
            <w:tcW w:w="360" w:type="dxa"/>
          </w:tcPr>
          <w:p w14:paraId="59A23D7E"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636" w:type="dxa"/>
          </w:tcPr>
          <w:p w14:paraId="401DE5F6"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491" w:type="dxa"/>
          </w:tcPr>
          <w:p w14:paraId="560BEA61" w14:textId="77777777" w:rsidR="0006278C" w:rsidRPr="0006278C" w:rsidRDefault="0006278C" w:rsidP="0006278C">
            <w:pPr>
              <w:spacing w:after="0" w:line="240" w:lineRule="auto"/>
              <w:jc w:val="center"/>
              <w:rPr>
                <w:rFonts w:ascii="Arial" w:hAnsi="Arial" w:cs="Arial"/>
                <w:sz w:val="18"/>
              </w:rPr>
            </w:pPr>
          </w:p>
        </w:tc>
        <w:tc>
          <w:tcPr>
            <w:tcW w:w="493" w:type="dxa"/>
          </w:tcPr>
          <w:p w14:paraId="222B672D" w14:textId="77777777" w:rsidR="0006278C" w:rsidRPr="0006278C" w:rsidRDefault="0006278C" w:rsidP="0006278C">
            <w:pPr>
              <w:spacing w:after="0" w:line="240" w:lineRule="auto"/>
              <w:jc w:val="center"/>
              <w:rPr>
                <w:rFonts w:ascii="Arial" w:hAnsi="Arial" w:cs="Arial"/>
                <w:sz w:val="18"/>
              </w:rPr>
            </w:pPr>
          </w:p>
        </w:tc>
        <w:tc>
          <w:tcPr>
            <w:tcW w:w="540" w:type="dxa"/>
          </w:tcPr>
          <w:p w14:paraId="7621FE50" w14:textId="77777777" w:rsidR="0006278C" w:rsidRPr="0006278C" w:rsidRDefault="0006278C" w:rsidP="0006278C">
            <w:pPr>
              <w:spacing w:after="0" w:line="240" w:lineRule="auto"/>
              <w:jc w:val="center"/>
              <w:rPr>
                <w:rFonts w:ascii="Arial" w:hAnsi="Arial" w:cs="Arial"/>
                <w:sz w:val="18"/>
              </w:rPr>
            </w:pPr>
          </w:p>
        </w:tc>
        <w:tc>
          <w:tcPr>
            <w:tcW w:w="450" w:type="dxa"/>
          </w:tcPr>
          <w:p w14:paraId="11264285" w14:textId="77777777" w:rsidR="0006278C" w:rsidRPr="0006278C" w:rsidRDefault="0006278C" w:rsidP="0006278C">
            <w:pPr>
              <w:spacing w:after="0" w:line="240" w:lineRule="auto"/>
              <w:jc w:val="center"/>
              <w:rPr>
                <w:rFonts w:ascii="Arial" w:hAnsi="Arial" w:cs="Arial"/>
                <w:sz w:val="18"/>
              </w:rPr>
            </w:pPr>
          </w:p>
        </w:tc>
        <w:tc>
          <w:tcPr>
            <w:tcW w:w="540" w:type="dxa"/>
          </w:tcPr>
          <w:p w14:paraId="03D29ABF" w14:textId="77777777" w:rsidR="0006278C" w:rsidRPr="0006278C" w:rsidRDefault="0006278C" w:rsidP="0006278C">
            <w:pPr>
              <w:spacing w:after="0" w:line="240" w:lineRule="auto"/>
              <w:jc w:val="center"/>
              <w:rPr>
                <w:rFonts w:ascii="Arial" w:hAnsi="Arial" w:cs="Arial"/>
                <w:sz w:val="18"/>
              </w:rPr>
            </w:pPr>
          </w:p>
        </w:tc>
      </w:tr>
      <w:tr w:rsidR="00864968" w:rsidRPr="0006278C" w14:paraId="607C3604" w14:textId="77777777" w:rsidTr="00864968">
        <w:tc>
          <w:tcPr>
            <w:tcW w:w="567" w:type="dxa"/>
          </w:tcPr>
          <w:p w14:paraId="7ED0F3CA" w14:textId="77777777" w:rsidR="0006278C" w:rsidRPr="0006278C" w:rsidRDefault="0006278C" w:rsidP="004304E6">
            <w:pPr>
              <w:spacing w:after="0" w:line="240" w:lineRule="auto"/>
              <w:rPr>
                <w:rFonts w:ascii="Arial" w:hAnsi="Arial" w:cs="Arial"/>
                <w:sz w:val="18"/>
              </w:rPr>
            </w:pPr>
            <w:r w:rsidRPr="0006278C">
              <w:rPr>
                <w:rFonts w:ascii="Arial" w:hAnsi="Arial" w:cs="Arial"/>
                <w:sz w:val="18"/>
              </w:rPr>
              <w:t>16.2</w:t>
            </w:r>
          </w:p>
        </w:tc>
        <w:tc>
          <w:tcPr>
            <w:tcW w:w="2194" w:type="dxa"/>
          </w:tcPr>
          <w:p w14:paraId="31257BBA" w14:textId="77777777" w:rsidR="0006278C" w:rsidRPr="0006278C" w:rsidRDefault="0006278C" w:rsidP="0006278C">
            <w:pPr>
              <w:spacing w:after="0" w:line="240" w:lineRule="auto"/>
              <w:rPr>
                <w:rFonts w:ascii="Arial" w:hAnsi="Arial" w:cs="Arial"/>
                <w:sz w:val="18"/>
              </w:rPr>
            </w:pPr>
            <w:r w:rsidRPr="0006278C">
              <w:rPr>
                <w:rFonts w:ascii="Arial" w:hAnsi="Arial" w:cs="Arial"/>
                <w:sz w:val="18"/>
              </w:rPr>
              <w:t>Adolescent motor vehicle death</w:t>
            </w:r>
          </w:p>
        </w:tc>
        <w:tc>
          <w:tcPr>
            <w:tcW w:w="429" w:type="dxa"/>
          </w:tcPr>
          <w:p w14:paraId="0608656B" w14:textId="77777777" w:rsidR="0006278C" w:rsidRPr="0006278C" w:rsidRDefault="0006278C" w:rsidP="0006278C">
            <w:pPr>
              <w:spacing w:after="0" w:line="240" w:lineRule="auto"/>
              <w:jc w:val="center"/>
              <w:rPr>
                <w:rFonts w:ascii="Arial" w:hAnsi="Arial" w:cs="Arial"/>
                <w:sz w:val="18"/>
              </w:rPr>
            </w:pPr>
          </w:p>
        </w:tc>
        <w:tc>
          <w:tcPr>
            <w:tcW w:w="619" w:type="dxa"/>
          </w:tcPr>
          <w:p w14:paraId="0B275AFE" w14:textId="77777777" w:rsidR="0006278C" w:rsidRPr="0006278C" w:rsidRDefault="0006278C" w:rsidP="0006278C">
            <w:pPr>
              <w:spacing w:after="0" w:line="240" w:lineRule="auto"/>
              <w:jc w:val="center"/>
              <w:rPr>
                <w:rFonts w:ascii="Arial" w:hAnsi="Arial" w:cs="Arial"/>
                <w:sz w:val="18"/>
              </w:rPr>
            </w:pPr>
          </w:p>
        </w:tc>
        <w:tc>
          <w:tcPr>
            <w:tcW w:w="619" w:type="dxa"/>
          </w:tcPr>
          <w:p w14:paraId="7FDA80AF" w14:textId="77777777" w:rsidR="0006278C" w:rsidRPr="0006278C" w:rsidRDefault="0006278C" w:rsidP="0006278C">
            <w:pPr>
              <w:spacing w:after="0" w:line="240" w:lineRule="auto"/>
              <w:jc w:val="center"/>
              <w:rPr>
                <w:rFonts w:ascii="Arial" w:hAnsi="Arial" w:cs="Arial"/>
                <w:sz w:val="18"/>
              </w:rPr>
            </w:pPr>
          </w:p>
        </w:tc>
        <w:tc>
          <w:tcPr>
            <w:tcW w:w="449" w:type="dxa"/>
          </w:tcPr>
          <w:p w14:paraId="7C87C589" w14:textId="77777777" w:rsidR="0006278C" w:rsidRPr="0006278C" w:rsidRDefault="0006278C" w:rsidP="0006278C">
            <w:pPr>
              <w:spacing w:after="0" w:line="240" w:lineRule="auto"/>
              <w:jc w:val="center"/>
              <w:rPr>
                <w:rFonts w:ascii="Arial" w:hAnsi="Arial" w:cs="Arial"/>
                <w:sz w:val="18"/>
              </w:rPr>
            </w:pPr>
          </w:p>
        </w:tc>
        <w:tc>
          <w:tcPr>
            <w:tcW w:w="338" w:type="dxa"/>
          </w:tcPr>
          <w:p w14:paraId="7FB224A8" w14:textId="77777777" w:rsidR="0006278C" w:rsidRPr="0006278C" w:rsidRDefault="0006278C" w:rsidP="0006278C">
            <w:pPr>
              <w:spacing w:after="0" w:line="240" w:lineRule="auto"/>
              <w:jc w:val="center"/>
              <w:rPr>
                <w:rFonts w:ascii="Arial" w:hAnsi="Arial" w:cs="Arial"/>
                <w:sz w:val="18"/>
              </w:rPr>
            </w:pPr>
          </w:p>
        </w:tc>
        <w:tc>
          <w:tcPr>
            <w:tcW w:w="540" w:type="dxa"/>
          </w:tcPr>
          <w:p w14:paraId="70354607" w14:textId="77777777" w:rsidR="0006278C" w:rsidRPr="0006278C" w:rsidRDefault="0006278C" w:rsidP="0006278C">
            <w:pPr>
              <w:spacing w:after="0" w:line="240" w:lineRule="auto"/>
              <w:jc w:val="center"/>
              <w:rPr>
                <w:rFonts w:ascii="Arial" w:hAnsi="Arial" w:cs="Arial"/>
                <w:sz w:val="18"/>
              </w:rPr>
            </w:pPr>
          </w:p>
        </w:tc>
        <w:tc>
          <w:tcPr>
            <w:tcW w:w="540" w:type="dxa"/>
          </w:tcPr>
          <w:p w14:paraId="46CC6444"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450" w:type="dxa"/>
          </w:tcPr>
          <w:p w14:paraId="2A2F69EF" w14:textId="77777777" w:rsidR="0006278C" w:rsidRPr="0006278C" w:rsidRDefault="0006278C" w:rsidP="0006278C">
            <w:pPr>
              <w:spacing w:after="0" w:line="240" w:lineRule="auto"/>
              <w:jc w:val="center"/>
              <w:rPr>
                <w:rFonts w:ascii="Arial" w:hAnsi="Arial" w:cs="Arial"/>
                <w:sz w:val="18"/>
              </w:rPr>
            </w:pPr>
          </w:p>
        </w:tc>
        <w:tc>
          <w:tcPr>
            <w:tcW w:w="360" w:type="dxa"/>
          </w:tcPr>
          <w:p w14:paraId="77FFB882" w14:textId="77777777" w:rsidR="0006278C" w:rsidRPr="0006278C" w:rsidRDefault="0006278C" w:rsidP="0006278C">
            <w:pPr>
              <w:spacing w:after="0" w:line="240" w:lineRule="auto"/>
              <w:jc w:val="center"/>
              <w:rPr>
                <w:rFonts w:ascii="Arial" w:hAnsi="Arial" w:cs="Arial"/>
                <w:sz w:val="18"/>
              </w:rPr>
            </w:pPr>
          </w:p>
        </w:tc>
        <w:tc>
          <w:tcPr>
            <w:tcW w:w="636" w:type="dxa"/>
          </w:tcPr>
          <w:p w14:paraId="28564665"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491" w:type="dxa"/>
          </w:tcPr>
          <w:p w14:paraId="10D74B37" w14:textId="77777777" w:rsidR="0006278C" w:rsidRPr="0006278C" w:rsidRDefault="0006278C" w:rsidP="0006278C">
            <w:pPr>
              <w:spacing w:after="0" w:line="240" w:lineRule="auto"/>
              <w:jc w:val="center"/>
              <w:rPr>
                <w:rFonts w:ascii="Arial" w:hAnsi="Arial" w:cs="Arial"/>
                <w:sz w:val="18"/>
              </w:rPr>
            </w:pPr>
          </w:p>
        </w:tc>
        <w:tc>
          <w:tcPr>
            <w:tcW w:w="493" w:type="dxa"/>
          </w:tcPr>
          <w:p w14:paraId="2E6D2B23" w14:textId="77777777" w:rsidR="0006278C" w:rsidRPr="0006278C" w:rsidRDefault="0006278C" w:rsidP="0006278C">
            <w:pPr>
              <w:spacing w:after="0" w:line="240" w:lineRule="auto"/>
              <w:jc w:val="center"/>
              <w:rPr>
                <w:rFonts w:ascii="Arial" w:hAnsi="Arial" w:cs="Arial"/>
                <w:sz w:val="18"/>
              </w:rPr>
            </w:pPr>
          </w:p>
        </w:tc>
        <w:tc>
          <w:tcPr>
            <w:tcW w:w="540" w:type="dxa"/>
          </w:tcPr>
          <w:p w14:paraId="2D1CB35C" w14:textId="77777777" w:rsidR="0006278C" w:rsidRPr="0006278C" w:rsidRDefault="0006278C" w:rsidP="0006278C">
            <w:pPr>
              <w:spacing w:after="0" w:line="240" w:lineRule="auto"/>
              <w:jc w:val="center"/>
              <w:rPr>
                <w:rFonts w:ascii="Arial" w:hAnsi="Arial" w:cs="Arial"/>
                <w:sz w:val="18"/>
              </w:rPr>
            </w:pPr>
          </w:p>
        </w:tc>
        <w:tc>
          <w:tcPr>
            <w:tcW w:w="450" w:type="dxa"/>
          </w:tcPr>
          <w:p w14:paraId="41199B80" w14:textId="77777777" w:rsidR="0006278C" w:rsidRPr="0006278C" w:rsidRDefault="0006278C" w:rsidP="0006278C">
            <w:pPr>
              <w:spacing w:after="0" w:line="240" w:lineRule="auto"/>
              <w:jc w:val="center"/>
              <w:rPr>
                <w:rFonts w:ascii="Arial" w:hAnsi="Arial" w:cs="Arial"/>
                <w:sz w:val="18"/>
              </w:rPr>
            </w:pPr>
          </w:p>
        </w:tc>
        <w:tc>
          <w:tcPr>
            <w:tcW w:w="540" w:type="dxa"/>
          </w:tcPr>
          <w:p w14:paraId="0E6F577E" w14:textId="77777777" w:rsidR="0006278C" w:rsidRPr="0006278C" w:rsidRDefault="0006278C" w:rsidP="0006278C">
            <w:pPr>
              <w:spacing w:after="0" w:line="240" w:lineRule="auto"/>
              <w:jc w:val="center"/>
              <w:rPr>
                <w:rFonts w:ascii="Arial" w:hAnsi="Arial" w:cs="Arial"/>
                <w:sz w:val="18"/>
              </w:rPr>
            </w:pPr>
          </w:p>
        </w:tc>
      </w:tr>
      <w:tr w:rsidR="00864968" w:rsidRPr="0006278C" w14:paraId="238B32C5" w14:textId="77777777" w:rsidTr="00864968">
        <w:tc>
          <w:tcPr>
            <w:tcW w:w="567" w:type="dxa"/>
          </w:tcPr>
          <w:p w14:paraId="18312EF7" w14:textId="77777777" w:rsidR="0006278C" w:rsidRPr="0006278C" w:rsidRDefault="0006278C" w:rsidP="004304E6">
            <w:pPr>
              <w:spacing w:after="0" w:line="240" w:lineRule="auto"/>
              <w:rPr>
                <w:rFonts w:ascii="Arial" w:hAnsi="Arial" w:cs="Arial"/>
                <w:sz w:val="18"/>
              </w:rPr>
            </w:pPr>
            <w:r w:rsidRPr="0006278C">
              <w:rPr>
                <w:rFonts w:ascii="Arial" w:hAnsi="Arial" w:cs="Arial"/>
                <w:sz w:val="18"/>
              </w:rPr>
              <w:t>16.3</w:t>
            </w:r>
          </w:p>
        </w:tc>
        <w:tc>
          <w:tcPr>
            <w:tcW w:w="2194" w:type="dxa"/>
          </w:tcPr>
          <w:p w14:paraId="31E388B5" w14:textId="77777777" w:rsidR="0006278C" w:rsidRPr="0006278C" w:rsidRDefault="0006278C" w:rsidP="0006278C">
            <w:pPr>
              <w:spacing w:after="0" w:line="240" w:lineRule="auto"/>
              <w:rPr>
                <w:rFonts w:ascii="Arial" w:hAnsi="Arial" w:cs="Arial"/>
                <w:sz w:val="18"/>
              </w:rPr>
            </w:pPr>
            <w:r w:rsidRPr="0006278C">
              <w:rPr>
                <w:rFonts w:ascii="Arial" w:hAnsi="Arial" w:cs="Arial"/>
                <w:sz w:val="18"/>
              </w:rPr>
              <w:t>Adolescent suicide</w:t>
            </w:r>
          </w:p>
        </w:tc>
        <w:tc>
          <w:tcPr>
            <w:tcW w:w="429" w:type="dxa"/>
          </w:tcPr>
          <w:p w14:paraId="01004C78" w14:textId="77777777" w:rsidR="0006278C" w:rsidRPr="0006278C" w:rsidRDefault="0006278C" w:rsidP="0006278C">
            <w:pPr>
              <w:spacing w:after="0" w:line="240" w:lineRule="auto"/>
              <w:jc w:val="center"/>
              <w:rPr>
                <w:rFonts w:ascii="Arial" w:hAnsi="Arial" w:cs="Arial"/>
                <w:sz w:val="18"/>
              </w:rPr>
            </w:pPr>
          </w:p>
        </w:tc>
        <w:tc>
          <w:tcPr>
            <w:tcW w:w="619" w:type="dxa"/>
          </w:tcPr>
          <w:p w14:paraId="03823A5D" w14:textId="77777777" w:rsidR="0006278C" w:rsidRPr="0006278C" w:rsidRDefault="0006278C" w:rsidP="0006278C">
            <w:pPr>
              <w:spacing w:after="0" w:line="240" w:lineRule="auto"/>
              <w:jc w:val="center"/>
              <w:rPr>
                <w:rFonts w:ascii="Arial" w:hAnsi="Arial" w:cs="Arial"/>
                <w:sz w:val="18"/>
              </w:rPr>
            </w:pPr>
          </w:p>
        </w:tc>
        <w:tc>
          <w:tcPr>
            <w:tcW w:w="619" w:type="dxa"/>
          </w:tcPr>
          <w:p w14:paraId="3605C00D" w14:textId="77777777" w:rsidR="0006278C" w:rsidRPr="0006278C" w:rsidRDefault="0006278C" w:rsidP="0006278C">
            <w:pPr>
              <w:spacing w:after="0" w:line="240" w:lineRule="auto"/>
              <w:jc w:val="center"/>
              <w:rPr>
                <w:rFonts w:ascii="Arial" w:hAnsi="Arial" w:cs="Arial"/>
                <w:sz w:val="18"/>
              </w:rPr>
            </w:pPr>
          </w:p>
        </w:tc>
        <w:tc>
          <w:tcPr>
            <w:tcW w:w="449" w:type="dxa"/>
          </w:tcPr>
          <w:p w14:paraId="15A595E3" w14:textId="77777777" w:rsidR="0006278C" w:rsidRPr="0006278C" w:rsidRDefault="0006278C" w:rsidP="0006278C">
            <w:pPr>
              <w:spacing w:after="0" w:line="240" w:lineRule="auto"/>
              <w:jc w:val="center"/>
              <w:rPr>
                <w:rFonts w:ascii="Arial" w:hAnsi="Arial" w:cs="Arial"/>
                <w:sz w:val="18"/>
              </w:rPr>
            </w:pPr>
          </w:p>
        </w:tc>
        <w:tc>
          <w:tcPr>
            <w:tcW w:w="338" w:type="dxa"/>
          </w:tcPr>
          <w:p w14:paraId="0C73F3EB" w14:textId="77777777" w:rsidR="0006278C" w:rsidRPr="0006278C" w:rsidRDefault="0006278C" w:rsidP="0006278C">
            <w:pPr>
              <w:spacing w:after="0" w:line="240" w:lineRule="auto"/>
              <w:jc w:val="center"/>
              <w:rPr>
                <w:rFonts w:ascii="Arial" w:hAnsi="Arial" w:cs="Arial"/>
                <w:sz w:val="18"/>
              </w:rPr>
            </w:pPr>
          </w:p>
        </w:tc>
        <w:tc>
          <w:tcPr>
            <w:tcW w:w="540" w:type="dxa"/>
          </w:tcPr>
          <w:p w14:paraId="576138AA" w14:textId="77777777" w:rsidR="0006278C" w:rsidRPr="0006278C" w:rsidRDefault="0006278C" w:rsidP="0006278C">
            <w:pPr>
              <w:spacing w:after="0" w:line="240" w:lineRule="auto"/>
              <w:jc w:val="center"/>
              <w:rPr>
                <w:rFonts w:ascii="Arial" w:hAnsi="Arial" w:cs="Arial"/>
                <w:sz w:val="18"/>
              </w:rPr>
            </w:pPr>
          </w:p>
        </w:tc>
        <w:tc>
          <w:tcPr>
            <w:tcW w:w="540" w:type="dxa"/>
          </w:tcPr>
          <w:p w14:paraId="47C7B7BC"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450" w:type="dxa"/>
          </w:tcPr>
          <w:p w14:paraId="53E0894D" w14:textId="77777777" w:rsidR="0006278C" w:rsidRPr="0006278C" w:rsidRDefault="0006278C" w:rsidP="0006278C">
            <w:pPr>
              <w:spacing w:after="0" w:line="240" w:lineRule="auto"/>
              <w:jc w:val="center"/>
              <w:rPr>
                <w:rFonts w:ascii="Arial" w:hAnsi="Arial" w:cs="Arial"/>
                <w:sz w:val="18"/>
              </w:rPr>
            </w:pPr>
          </w:p>
        </w:tc>
        <w:tc>
          <w:tcPr>
            <w:tcW w:w="360" w:type="dxa"/>
          </w:tcPr>
          <w:p w14:paraId="68003F4A"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636" w:type="dxa"/>
          </w:tcPr>
          <w:p w14:paraId="6C88DE6F"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491" w:type="dxa"/>
          </w:tcPr>
          <w:p w14:paraId="59CA3F62" w14:textId="77777777" w:rsidR="0006278C" w:rsidRPr="0006278C" w:rsidRDefault="0006278C" w:rsidP="0006278C">
            <w:pPr>
              <w:spacing w:after="0" w:line="240" w:lineRule="auto"/>
              <w:jc w:val="center"/>
              <w:rPr>
                <w:rFonts w:ascii="Arial" w:hAnsi="Arial" w:cs="Arial"/>
                <w:sz w:val="18"/>
              </w:rPr>
            </w:pPr>
          </w:p>
        </w:tc>
        <w:tc>
          <w:tcPr>
            <w:tcW w:w="493" w:type="dxa"/>
          </w:tcPr>
          <w:p w14:paraId="3EEE8491" w14:textId="77777777" w:rsidR="0006278C" w:rsidRPr="0006278C" w:rsidRDefault="0006278C" w:rsidP="0006278C">
            <w:pPr>
              <w:spacing w:after="0" w:line="240" w:lineRule="auto"/>
              <w:jc w:val="center"/>
              <w:rPr>
                <w:rFonts w:ascii="Arial" w:hAnsi="Arial" w:cs="Arial"/>
                <w:sz w:val="18"/>
              </w:rPr>
            </w:pPr>
          </w:p>
        </w:tc>
        <w:tc>
          <w:tcPr>
            <w:tcW w:w="540" w:type="dxa"/>
          </w:tcPr>
          <w:p w14:paraId="5F609314" w14:textId="77777777" w:rsidR="0006278C" w:rsidRPr="0006278C" w:rsidRDefault="0006278C" w:rsidP="0006278C">
            <w:pPr>
              <w:spacing w:after="0" w:line="240" w:lineRule="auto"/>
              <w:jc w:val="center"/>
              <w:rPr>
                <w:rFonts w:ascii="Arial" w:hAnsi="Arial" w:cs="Arial"/>
                <w:sz w:val="18"/>
              </w:rPr>
            </w:pPr>
          </w:p>
        </w:tc>
        <w:tc>
          <w:tcPr>
            <w:tcW w:w="450" w:type="dxa"/>
          </w:tcPr>
          <w:p w14:paraId="16F74F65" w14:textId="77777777" w:rsidR="0006278C" w:rsidRPr="0006278C" w:rsidRDefault="0006278C" w:rsidP="0006278C">
            <w:pPr>
              <w:spacing w:after="0" w:line="240" w:lineRule="auto"/>
              <w:jc w:val="center"/>
              <w:rPr>
                <w:rFonts w:ascii="Arial" w:hAnsi="Arial" w:cs="Arial"/>
                <w:sz w:val="18"/>
              </w:rPr>
            </w:pPr>
          </w:p>
        </w:tc>
        <w:tc>
          <w:tcPr>
            <w:tcW w:w="540" w:type="dxa"/>
          </w:tcPr>
          <w:p w14:paraId="28AD831A" w14:textId="77777777" w:rsidR="0006278C" w:rsidRPr="0006278C" w:rsidRDefault="0006278C" w:rsidP="0006278C">
            <w:pPr>
              <w:spacing w:after="0" w:line="240" w:lineRule="auto"/>
              <w:jc w:val="center"/>
              <w:rPr>
                <w:rFonts w:ascii="Arial" w:hAnsi="Arial" w:cs="Arial"/>
                <w:sz w:val="18"/>
              </w:rPr>
            </w:pPr>
          </w:p>
        </w:tc>
      </w:tr>
      <w:tr w:rsidR="00864968" w:rsidRPr="0006278C" w14:paraId="4AC1EC06" w14:textId="77777777" w:rsidTr="00864968">
        <w:tc>
          <w:tcPr>
            <w:tcW w:w="567" w:type="dxa"/>
          </w:tcPr>
          <w:p w14:paraId="2E277D7E" w14:textId="77777777" w:rsidR="0006278C" w:rsidRPr="0006278C" w:rsidRDefault="0006278C" w:rsidP="004304E6">
            <w:pPr>
              <w:spacing w:after="0" w:line="240" w:lineRule="auto"/>
              <w:rPr>
                <w:rFonts w:ascii="Arial" w:hAnsi="Arial" w:cs="Arial"/>
                <w:sz w:val="18"/>
              </w:rPr>
            </w:pPr>
            <w:r w:rsidRPr="0006278C">
              <w:rPr>
                <w:rFonts w:ascii="Arial" w:hAnsi="Arial" w:cs="Arial"/>
                <w:sz w:val="18"/>
              </w:rPr>
              <w:t>17.1</w:t>
            </w:r>
          </w:p>
        </w:tc>
        <w:tc>
          <w:tcPr>
            <w:tcW w:w="2194" w:type="dxa"/>
          </w:tcPr>
          <w:p w14:paraId="3C062104" w14:textId="77777777" w:rsidR="0006278C" w:rsidRPr="0006278C" w:rsidRDefault="0006278C" w:rsidP="0006278C">
            <w:pPr>
              <w:spacing w:after="0" w:line="240" w:lineRule="auto"/>
              <w:rPr>
                <w:rFonts w:ascii="Arial" w:hAnsi="Arial" w:cs="Arial"/>
                <w:sz w:val="18"/>
              </w:rPr>
            </w:pPr>
            <w:r w:rsidRPr="0006278C">
              <w:rPr>
                <w:rFonts w:ascii="Arial" w:hAnsi="Arial" w:cs="Arial"/>
                <w:sz w:val="18"/>
              </w:rPr>
              <w:t>CSHCN</w:t>
            </w:r>
          </w:p>
        </w:tc>
        <w:tc>
          <w:tcPr>
            <w:tcW w:w="429" w:type="dxa"/>
          </w:tcPr>
          <w:p w14:paraId="522D72EA" w14:textId="77777777" w:rsidR="0006278C" w:rsidRPr="0006278C" w:rsidRDefault="0006278C" w:rsidP="0006278C">
            <w:pPr>
              <w:spacing w:after="0" w:line="240" w:lineRule="auto"/>
              <w:jc w:val="center"/>
              <w:rPr>
                <w:rFonts w:ascii="Arial" w:hAnsi="Arial" w:cs="Arial"/>
                <w:sz w:val="18"/>
              </w:rPr>
            </w:pPr>
          </w:p>
        </w:tc>
        <w:tc>
          <w:tcPr>
            <w:tcW w:w="619" w:type="dxa"/>
          </w:tcPr>
          <w:p w14:paraId="349E5A64" w14:textId="77777777" w:rsidR="0006278C" w:rsidRPr="0006278C" w:rsidRDefault="0006278C" w:rsidP="0006278C">
            <w:pPr>
              <w:spacing w:after="0" w:line="240" w:lineRule="auto"/>
              <w:jc w:val="center"/>
              <w:rPr>
                <w:rFonts w:ascii="Arial" w:hAnsi="Arial" w:cs="Arial"/>
                <w:sz w:val="18"/>
              </w:rPr>
            </w:pPr>
          </w:p>
        </w:tc>
        <w:tc>
          <w:tcPr>
            <w:tcW w:w="619" w:type="dxa"/>
          </w:tcPr>
          <w:p w14:paraId="39FE90EF" w14:textId="77777777" w:rsidR="0006278C" w:rsidRPr="0006278C" w:rsidRDefault="0006278C" w:rsidP="0006278C">
            <w:pPr>
              <w:spacing w:after="0" w:line="240" w:lineRule="auto"/>
              <w:jc w:val="center"/>
              <w:rPr>
                <w:rFonts w:ascii="Arial" w:hAnsi="Arial" w:cs="Arial"/>
                <w:sz w:val="18"/>
              </w:rPr>
            </w:pPr>
          </w:p>
        </w:tc>
        <w:tc>
          <w:tcPr>
            <w:tcW w:w="449" w:type="dxa"/>
          </w:tcPr>
          <w:p w14:paraId="760AFC29" w14:textId="77777777" w:rsidR="0006278C" w:rsidRPr="0006278C" w:rsidRDefault="0006278C" w:rsidP="0006278C">
            <w:pPr>
              <w:spacing w:after="0" w:line="240" w:lineRule="auto"/>
              <w:jc w:val="center"/>
              <w:rPr>
                <w:rFonts w:ascii="Arial" w:hAnsi="Arial" w:cs="Arial"/>
                <w:sz w:val="18"/>
              </w:rPr>
            </w:pPr>
          </w:p>
        </w:tc>
        <w:tc>
          <w:tcPr>
            <w:tcW w:w="338" w:type="dxa"/>
          </w:tcPr>
          <w:p w14:paraId="1E789AD8" w14:textId="77777777" w:rsidR="0006278C" w:rsidRPr="0006278C" w:rsidRDefault="0006278C" w:rsidP="0006278C">
            <w:pPr>
              <w:spacing w:after="0" w:line="240" w:lineRule="auto"/>
              <w:jc w:val="center"/>
              <w:rPr>
                <w:rFonts w:ascii="Arial" w:hAnsi="Arial" w:cs="Arial"/>
                <w:sz w:val="18"/>
              </w:rPr>
            </w:pPr>
          </w:p>
        </w:tc>
        <w:tc>
          <w:tcPr>
            <w:tcW w:w="540" w:type="dxa"/>
          </w:tcPr>
          <w:p w14:paraId="13D92451" w14:textId="77777777" w:rsidR="0006278C" w:rsidRPr="0006278C" w:rsidRDefault="0006278C" w:rsidP="0006278C">
            <w:pPr>
              <w:spacing w:after="0" w:line="240" w:lineRule="auto"/>
              <w:jc w:val="center"/>
              <w:rPr>
                <w:rFonts w:ascii="Arial" w:hAnsi="Arial" w:cs="Arial"/>
                <w:sz w:val="18"/>
              </w:rPr>
            </w:pPr>
          </w:p>
        </w:tc>
        <w:tc>
          <w:tcPr>
            <w:tcW w:w="540" w:type="dxa"/>
          </w:tcPr>
          <w:p w14:paraId="0C52F4B8" w14:textId="77777777" w:rsidR="0006278C" w:rsidRPr="0006278C" w:rsidRDefault="0006278C" w:rsidP="0006278C">
            <w:pPr>
              <w:spacing w:after="0" w:line="240" w:lineRule="auto"/>
              <w:jc w:val="center"/>
              <w:rPr>
                <w:rFonts w:ascii="Arial" w:hAnsi="Arial" w:cs="Arial"/>
                <w:sz w:val="18"/>
              </w:rPr>
            </w:pPr>
          </w:p>
        </w:tc>
        <w:tc>
          <w:tcPr>
            <w:tcW w:w="450" w:type="dxa"/>
          </w:tcPr>
          <w:p w14:paraId="658300A5" w14:textId="77777777" w:rsidR="0006278C" w:rsidRPr="0006278C" w:rsidRDefault="0006278C" w:rsidP="0006278C">
            <w:pPr>
              <w:spacing w:after="0" w:line="240" w:lineRule="auto"/>
              <w:jc w:val="center"/>
              <w:rPr>
                <w:rFonts w:ascii="Arial" w:hAnsi="Arial" w:cs="Arial"/>
                <w:sz w:val="18"/>
              </w:rPr>
            </w:pPr>
          </w:p>
        </w:tc>
        <w:tc>
          <w:tcPr>
            <w:tcW w:w="360" w:type="dxa"/>
          </w:tcPr>
          <w:p w14:paraId="6DBCB6EB" w14:textId="77777777" w:rsidR="0006278C" w:rsidRPr="0006278C" w:rsidRDefault="0006278C" w:rsidP="0006278C">
            <w:pPr>
              <w:spacing w:after="0" w:line="240" w:lineRule="auto"/>
              <w:jc w:val="center"/>
              <w:rPr>
                <w:rFonts w:ascii="Arial" w:hAnsi="Arial" w:cs="Arial"/>
                <w:sz w:val="18"/>
              </w:rPr>
            </w:pPr>
          </w:p>
        </w:tc>
        <w:tc>
          <w:tcPr>
            <w:tcW w:w="636" w:type="dxa"/>
          </w:tcPr>
          <w:p w14:paraId="7BC254AC" w14:textId="77777777" w:rsidR="0006278C" w:rsidRPr="0006278C" w:rsidRDefault="0006278C" w:rsidP="0006278C">
            <w:pPr>
              <w:spacing w:after="0" w:line="240" w:lineRule="auto"/>
              <w:jc w:val="center"/>
              <w:rPr>
                <w:rFonts w:ascii="Arial" w:hAnsi="Arial" w:cs="Arial"/>
                <w:sz w:val="18"/>
              </w:rPr>
            </w:pPr>
          </w:p>
        </w:tc>
        <w:tc>
          <w:tcPr>
            <w:tcW w:w="491" w:type="dxa"/>
          </w:tcPr>
          <w:p w14:paraId="69373BB3" w14:textId="77777777" w:rsidR="0006278C" w:rsidRPr="0006278C" w:rsidRDefault="0006278C" w:rsidP="0006278C">
            <w:pPr>
              <w:spacing w:after="0" w:line="240" w:lineRule="auto"/>
              <w:jc w:val="center"/>
              <w:rPr>
                <w:rFonts w:ascii="Arial" w:hAnsi="Arial" w:cs="Arial"/>
                <w:sz w:val="18"/>
              </w:rPr>
            </w:pPr>
          </w:p>
        </w:tc>
        <w:tc>
          <w:tcPr>
            <w:tcW w:w="493" w:type="dxa"/>
          </w:tcPr>
          <w:p w14:paraId="06FA2D8E" w14:textId="77777777" w:rsidR="0006278C" w:rsidRPr="0006278C" w:rsidRDefault="0006278C" w:rsidP="0006278C">
            <w:pPr>
              <w:spacing w:after="0" w:line="240" w:lineRule="auto"/>
              <w:jc w:val="center"/>
              <w:rPr>
                <w:rFonts w:ascii="Arial" w:hAnsi="Arial" w:cs="Arial"/>
                <w:sz w:val="18"/>
              </w:rPr>
            </w:pPr>
          </w:p>
        </w:tc>
        <w:tc>
          <w:tcPr>
            <w:tcW w:w="540" w:type="dxa"/>
          </w:tcPr>
          <w:p w14:paraId="46B246CD" w14:textId="77777777" w:rsidR="0006278C" w:rsidRPr="0006278C" w:rsidRDefault="0006278C" w:rsidP="0006278C">
            <w:pPr>
              <w:spacing w:after="0" w:line="240" w:lineRule="auto"/>
              <w:jc w:val="center"/>
              <w:rPr>
                <w:rFonts w:ascii="Arial" w:hAnsi="Arial" w:cs="Arial"/>
                <w:sz w:val="18"/>
              </w:rPr>
            </w:pPr>
          </w:p>
        </w:tc>
        <w:tc>
          <w:tcPr>
            <w:tcW w:w="450" w:type="dxa"/>
          </w:tcPr>
          <w:p w14:paraId="4052F260" w14:textId="77777777" w:rsidR="0006278C" w:rsidRPr="0006278C" w:rsidRDefault="0006278C" w:rsidP="0006278C">
            <w:pPr>
              <w:spacing w:after="0" w:line="240" w:lineRule="auto"/>
              <w:jc w:val="center"/>
              <w:rPr>
                <w:rFonts w:ascii="Arial" w:hAnsi="Arial" w:cs="Arial"/>
                <w:sz w:val="18"/>
              </w:rPr>
            </w:pPr>
          </w:p>
        </w:tc>
        <w:tc>
          <w:tcPr>
            <w:tcW w:w="540" w:type="dxa"/>
          </w:tcPr>
          <w:p w14:paraId="492926CA" w14:textId="77777777" w:rsidR="0006278C" w:rsidRPr="0006278C" w:rsidRDefault="0006278C" w:rsidP="0006278C">
            <w:pPr>
              <w:spacing w:after="0" w:line="240" w:lineRule="auto"/>
              <w:jc w:val="center"/>
              <w:rPr>
                <w:rFonts w:ascii="Arial" w:hAnsi="Arial" w:cs="Arial"/>
                <w:sz w:val="18"/>
              </w:rPr>
            </w:pPr>
          </w:p>
        </w:tc>
      </w:tr>
      <w:tr w:rsidR="00864968" w:rsidRPr="0006278C" w14:paraId="70318F17" w14:textId="77777777" w:rsidTr="00864968">
        <w:tc>
          <w:tcPr>
            <w:tcW w:w="567" w:type="dxa"/>
          </w:tcPr>
          <w:p w14:paraId="0C887774" w14:textId="77777777" w:rsidR="0006278C" w:rsidRPr="0006278C" w:rsidRDefault="0006278C" w:rsidP="004304E6">
            <w:pPr>
              <w:spacing w:after="0" w:line="240" w:lineRule="auto"/>
              <w:rPr>
                <w:rFonts w:ascii="Arial" w:hAnsi="Arial" w:cs="Arial"/>
                <w:sz w:val="18"/>
              </w:rPr>
            </w:pPr>
            <w:r w:rsidRPr="0006278C">
              <w:rPr>
                <w:rFonts w:ascii="Arial" w:hAnsi="Arial" w:cs="Arial"/>
                <w:sz w:val="18"/>
              </w:rPr>
              <w:t>17.2</w:t>
            </w:r>
          </w:p>
        </w:tc>
        <w:tc>
          <w:tcPr>
            <w:tcW w:w="2194" w:type="dxa"/>
          </w:tcPr>
          <w:p w14:paraId="6A5B4560" w14:textId="77777777" w:rsidR="0006278C" w:rsidRPr="0006278C" w:rsidRDefault="0006278C" w:rsidP="0006278C">
            <w:pPr>
              <w:spacing w:after="0" w:line="240" w:lineRule="auto"/>
              <w:rPr>
                <w:rFonts w:ascii="Arial" w:hAnsi="Arial" w:cs="Arial"/>
                <w:sz w:val="18"/>
              </w:rPr>
            </w:pPr>
            <w:r w:rsidRPr="0006278C">
              <w:rPr>
                <w:rFonts w:ascii="Arial" w:hAnsi="Arial" w:cs="Arial"/>
                <w:sz w:val="18"/>
              </w:rPr>
              <w:t>CSHCN systems of care</w:t>
            </w:r>
          </w:p>
        </w:tc>
        <w:tc>
          <w:tcPr>
            <w:tcW w:w="429" w:type="dxa"/>
          </w:tcPr>
          <w:p w14:paraId="4A816278" w14:textId="77777777" w:rsidR="0006278C" w:rsidRPr="0006278C" w:rsidRDefault="0006278C" w:rsidP="0006278C">
            <w:pPr>
              <w:spacing w:after="0" w:line="240" w:lineRule="auto"/>
              <w:jc w:val="center"/>
              <w:rPr>
                <w:rFonts w:ascii="Arial" w:hAnsi="Arial" w:cs="Arial"/>
                <w:sz w:val="18"/>
              </w:rPr>
            </w:pPr>
          </w:p>
        </w:tc>
        <w:tc>
          <w:tcPr>
            <w:tcW w:w="619" w:type="dxa"/>
          </w:tcPr>
          <w:p w14:paraId="60AB7354" w14:textId="77777777" w:rsidR="0006278C" w:rsidRPr="0006278C" w:rsidRDefault="0006278C" w:rsidP="0006278C">
            <w:pPr>
              <w:spacing w:after="0" w:line="240" w:lineRule="auto"/>
              <w:jc w:val="center"/>
              <w:rPr>
                <w:rFonts w:ascii="Arial" w:hAnsi="Arial" w:cs="Arial"/>
                <w:sz w:val="18"/>
              </w:rPr>
            </w:pPr>
          </w:p>
        </w:tc>
        <w:tc>
          <w:tcPr>
            <w:tcW w:w="619" w:type="dxa"/>
          </w:tcPr>
          <w:p w14:paraId="2C744046" w14:textId="77777777" w:rsidR="0006278C" w:rsidRPr="0006278C" w:rsidRDefault="0006278C" w:rsidP="0006278C">
            <w:pPr>
              <w:spacing w:after="0" w:line="240" w:lineRule="auto"/>
              <w:jc w:val="center"/>
              <w:rPr>
                <w:rFonts w:ascii="Arial" w:hAnsi="Arial" w:cs="Arial"/>
                <w:sz w:val="18"/>
              </w:rPr>
            </w:pPr>
          </w:p>
        </w:tc>
        <w:tc>
          <w:tcPr>
            <w:tcW w:w="449" w:type="dxa"/>
          </w:tcPr>
          <w:p w14:paraId="02D28058" w14:textId="77777777" w:rsidR="0006278C" w:rsidRPr="0006278C" w:rsidRDefault="0006278C" w:rsidP="0006278C">
            <w:pPr>
              <w:spacing w:after="0" w:line="240" w:lineRule="auto"/>
              <w:jc w:val="center"/>
              <w:rPr>
                <w:rFonts w:ascii="Arial" w:hAnsi="Arial" w:cs="Arial"/>
                <w:sz w:val="18"/>
              </w:rPr>
            </w:pPr>
          </w:p>
        </w:tc>
        <w:tc>
          <w:tcPr>
            <w:tcW w:w="338" w:type="dxa"/>
          </w:tcPr>
          <w:p w14:paraId="60926B4F" w14:textId="77777777" w:rsidR="0006278C" w:rsidRPr="0006278C" w:rsidRDefault="0006278C" w:rsidP="0006278C">
            <w:pPr>
              <w:spacing w:after="0" w:line="240" w:lineRule="auto"/>
              <w:jc w:val="center"/>
              <w:rPr>
                <w:rFonts w:ascii="Arial" w:hAnsi="Arial" w:cs="Arial"/>
                <w:sz w:val="18"/>
              </w:rPr>
            </w:pPr>
          </w:p>
        </w:tc>
        <w:tc>
          <w:tcPr>
            <w:tcW w:w="540" w:type="dxa"/>
          </w:tcPr>
          <w:p w14:paraId="6C2BB082" w14:textId="77777777" w:rsidR="0006278C" w:rsidRPr="0006278C" w:rsidRDefault="0006278C" w:rsidP="0006278C">
            <w:pPr>
              <w:spacing w:after="0" w:line="240" w:lineRule="auto"/>
              <w:jc w:val="center"/>
              <w:rPr>
                <w:rFonts w:ascii="Arial" w:hAnsi="Arial" w:cs="Arial"/>
                <w:sz w:val="18"/>
              </w:rPr>
            </w:pPr>
          </w:p>
        </w:tc>
        <w:tc>
          <w:tcPr>
            <w:tcW w:w="540" w:type="dxa"/>
          </w:tcPr>
          <w:p w14:paraId="631F50E7" w14:textId="77777777" w:rsidR="0006278C" w:rsidRPr="0006278C" w:rsidRDefault="0006278C" w:rsidP="0006278C">
            <w:pPr>
              <w:spacing w:after="0" w:line="240" w:lineRule="auto"/>
              <w:jc w:val="center"/>
              <w:rPr>
                <w:rFonts w:ascii="Arial" w:hAnsi="Arial" w:cs="Arial"/>
                <w:sz w:val="18"/>
              </w:rPr>
            </w:pPr>
          </w:p>
        </w:tc>
        <w:tc>
          <w:tcPr>
            <w:tcW w:w="450" w:type="dxa"/>
          </w:tcPr>
          <w:p w14:paraId="436F9A7D" w14:textId="77777777" w:rsidR="0006278C" w:rsidRPr="0006278C" w:rsidRDefault="0006278C" w:rsidP="0006278C">
            <w:pPr>
              <w:spacing w:after="0" w:line="240" w:lineRule="auto"/>
              <w:jc w:val="center"/>
              <w:rPr>
                <w:rFonts w:ascii="Arial" w:hAnsi="Arial" w:cs="Arial"/>
                <w:sz w:val="18"/>
              </w:rPr>
            </w:pPr>
          </w:p>
        </w:tc>
        <w:tc>
          <w:tcPr>
            <w:tcW w:w="360" w:type="dxa"/>
          </w:tcPr>
          <w:p w14:paraId="2B868ED2" w14:textId="77777777" w:rsidR="0006278C" w:rsidRPr="0006278C" w:rsidRDefault="0006278C" w:rsidP="0006278C">
            <w:pPr>
              <w:spacing w:after="0" w:line="240" w:lineRule="auto"/>
              <w:jc w:val="center"/>
              <w:rPr>
                <w:rFonts w:ascii="Arial" w:hAnsi="Arial" w:cs="Arial"/>
                <w:sz w:val="18"/>
              </w:rPr>
            </w:pPr>
          </w:p>
        </w:tc>
        <w:tc>
          <w:tcPr>
            <w:tcW w:w="636" w:type="dxa"/>
          </w:tcPr>
          <w:p w14:paraId="6421C6DC" w14:textId="77777777" w:rsidR="0006278C" w:rsidRPr="0006278C" w:rsidRDefault="0006278C" w:rsidP="0006278C">
            <w:pPr>
              <w:spacing w:after="0" w:line="240" w:lineRule="auto"/>
              <w:jc w:val="center"/>
              <w:rPr>
                <w:rFonts w:ascii="Arial" w:hAnsi="Arial" w:cs="Arial"/>
                <w:sz w:val="18"/>
              </w:rPr>
            </w:pPr>
          </w:p>
        </w:tc>
        <w:tc>
          <w:tcPr>
            <w:tcW w:w="491" w:type="dxa"/>
          </w:tcPr>
          <w:p w14:paraId="7ED6C514"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493" w:type="dxa"/>
          </w:tcPr>
          <w:p w14:paraId="10538455"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540" w:type="dxa"/>
          </w:tcPr>
          <w:p w14:paraId="6F08724A" w14:textId="77777777" w:rsidR="0006278C" w:rsidRPr="0006278C" w:rsidRDefault="0006278C" w:rsidP="0006278C">
            <w:pPr>
              <w:spacing w:after="0" w:line="240" w:lineRule="auto"/>
              <w:jc w:val="center"/>
              <w:rPr>
                <w:rFonts w:ascii="Arial" w:hAnsi="Arial" w:cs="Arial"/>
                <w:sz w:val="18"/>
              </w:rPr>
            </w:pPr>
          </w:p>
        </w:tc>
        <w:tc>
          <w:tcPr>
            <w:tcW w:w="450" w:type="dxa"/>
          </w:tcPr>
          <w:p w14:paraId="321570AD" w14:textId="77777777" w:rsidR="0006278C" w:rsidRPr="0006278C" w:rsidRDefault="0006278C" w:rsidP="0006278C">
            <w:pPr>
              <w:spacing w:after="0" w:line="240" w:lineRule="auto"/>
              <w:jc w:val="center"/>
              <w:rPr>
                <w:rFonts w:ascii="Arial" w:hAnsi="Arial" w:cs="Arial"/>
                <w:sz w:val="18"/>
              </w:rPr>
            </w:pPr>
          </w:p>
        </w:tc>
        <w:tc>
          <w:tcPr>
            <w:tcW w:w="540" w:type="dxa"/>
          </w:tcPr>
          <w:p w14:paraId="7B9076FC"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r>
      <w:tr w:rsidR="00864968" w:rsidRPr="0006278C" w14:paraId="29303ACD" w14:textId="77777777" w:rsidTr="00864968">
        <w:tc>
          <w:tcPr>
            <w:tcW w:w="567" w:type="dxa"/>
          </w:tcPr>
          <w:p w14:paraId="384B54C6" w14:textId="77777777" w:rsidR="0006278C" w:rsidRPr="0006278C" w:rsidRDefault="0006278C" w:rsidP="004304E6">
            <w:pPr>
              <w:spacing w:after="0" w:line="240" w:lineRule="auto"/>
              <w:rPr>
                <w:rFonts w:ascii="Arial" w:hAnsi="Arial" w:cs="Arial"/>
                <w:sz w:val="18"/>
              </w:rPr>
            </w:pPr>
            <w:r w:rsidRPr="0006278C">
              <w:rPr>
                <w:rFonts w:ascii="Arial" w:hAnsi="Arial" w:cs="Arial"/>
                <w:sz w:val="18"/>
              </w:rPr>
              <w:t>17.3</w:t>
            </w:r>
          </w:p>
        </w:tc>
        <w:tc>
          <w:tcPr>
            <w:tcW w:w="2194" w:type="dxa"/>
          </w:tcPr>
          <w:p w14:paraId="3D000DAA" w14:textId="77777777" w:rsidR="0006278C" w:rsidRPr="0006278C" w:rsidRDefault="0006278C" w:rsidP="0006278C">
            <w:pPr>
              <w:spacing w:after="0" w:line="240" w:lineRule="auto"/>
              <w:rPr>
                <w:rFonts w:ascii="Arial" w:hAnsi="Arial" w:cs="Arial"/>
                <w:sz w:val="18"/>
              </w:rPr>
            </w:pPr>
            <w:r w:rsidRPr="0006278C">
              <w:rPr>
                <w:rFonts w:ascii="Arial" w:hAnsi="Arial" w:cs="Arial"/>
                <w:sz w:val="18"/>
              </w:rPr>
              <w:t>Autism</w:t>
            </w:r>
          </w:p>
        </w:tc>
        <w:tc>
          <w:tcPr>
            <w:tcW w:w="429" w:type="dxa"/>
          </w:tcPr>
          <w:p w14:paraId="46191583" w14:textId="77777777" w:rsidR="0006278C" w:rsidRPr="0006278C" w:rsidRDefault="0006278C" w:rsidP="0006278C">
            <w:pPr>
              <w:spacing w:after="0" w:line="240" w:lineRule="auto"/>
              <w:jc w:val="center"/>
              <w:rPr>
                <w:rFonts w:ascii="Arial" w:hAnsi="Arial" w:cs="Arial"/>
                <w:sz w:val="18"/>
              </w:rPr>
            </w:pPr>
          </w:p>
        </w:tc>
        <w:tc>
          <w:tcPr>
            <w:tcW w:w="619" w:type="dxa"/>
          </w:tcPr>
          <w:p w14:paraId="4B5B2BDD" w14:textId="77777777" w:rsidR="0006278C" w:rsidRPr="0006278C" w:rsidRDefault="0006278C" w:rsidP="0006278C">
            <w:pPr>
              <w:spacing w:after="0" w:line="240" w:lineRule="auto"/>
              <w:jc w:val="center"/>
              <w:rPr>
                <w:rFonts w:ascii="Arial" w:hAnsi="Arial" w:cs="Arial"/>
                <w:sz w:val="18"/>
              </w:rPr>
            </w:pPr>
          </w:p>
        </w:tc>
        <w:tc>
          <w:tcPr>
            <w:tcW w:w="619" w:type="dxa"/>
          </w:tcPr>
          <w:p w14:paraId="03AE9EFF" w14:textId="77777777" w:rsidR="0006278C" w:rsidRPr="0006278C" w:rsidRDefault="0006278C" w:rsidP="0006278C">
            <w:pPr>
              <w:spacing w:after="0" w:line="240" w:lineRule="auto"/>
              <w:jc w:val="center"/>
              <w:rPr>
                <w:rFonts w:ascii="Arial" w:hAnsi="Arial" w:cs="Arial"/>
                <w:sz w:val="18"/>
              </w:rPr>
            </w:pPr>
          </w:p>
        </w:tc>
        <w:tc>
          <w:tcPr>
            <w:tcW w:w="449" w:type="dxa"/>
          </w:tcPr>
          <w:p w14:paraId="5D164AB7" w14:textId="77777777" w:rsidR="0006278C" w:rsidRPr="0006278C" w:rsidRDefault="0006278C" w:rsidP="0006278C">
            <w:pPr>
              <w:spacing w:after="0" w:line="240" w:lineRule="auto"/>
              <w:jc w:val="center"/>
              <w:rPr>
                <w:rFonts w:ascii="Arial" w:hAnsi="Arial" w:cs="Arial"/>
                <w:sz w:val="18"/>
              </w:rPr>
            </w:pPr>
          </w:p>
        </w:tc>
        <w:tc>
          <w:tcPr>
            <w:tcW w:w="338" w:type="dxa"/>
          </w:tcPr>
          <w:p w14:paraId="3B3D4385" w14:textId="77777777" w:rsidR="0006278C" w:rsidRPr="0006278C" w:rsidRDefault="0006278C" w:rsidP="0006278C">
            <w:pPr>
              <w:spacing w:after="0" w:line="240" w:lineRule="auto"/>
              <w:jc w:val="center"/>
              <w:rPr>
                <w:rFonts w:ascii="Arial" w:hAnsi="Arial" w:cs="Arial"/>
                <w:sz w:val="18"/>
              </w:rPr>
            </w:pPr>
          </w:p>
        </w:tc>
        <w:tc>
          <w:tcPr>
            <w:tcW w:w="540" w:type="dxa"/>
          </w:tcPr>
          <w:p w14:paraId="38541484" w14:textId="77777777" w:rsidR="0006278C" w:rsidRPr="0006278C" w:rsidRDefault="0006278C" w:rsidP="0006278C">
            <w:pPr>
              <w:spacing w:after="0" w:line="240" w:lineRule="auto"/>
              <w:jc w:val="center"/>
              <w:rPr>
                <w:rFonts w:ascii="Arial" w:hAnsi="Arial" w:cs="Arial"/>
                <w:sz w:val="18"/>
              </w:rPr>
            </w:pPr>
          </w:p>
        </w:tc>
        <w:tc>
          <w:tcPr>
            <w:tcW w:w="540" w:type="dxa"/>
          </w:tcPr>
          <w:p w14:paraId="0CA3E592" w14:textId="77777777" w:rsidR="0006278C" w:rsidRPr="0006278C" w:rsidRDefault="0006278C" w:rsidP="0006278C">
            <w:pPr>
              <w:spacing w:after="0" w:line="240" w:lineRule="auto"/>
              <w:jc w:val="center"/>
              <w:rPr>
                <w:rFonts w:ascii="Arial" w:hAnsi="Arial" w:cs="Arial"/>
                <w:sz w:val="18"/>
              </w:rPr>
            </w:pPr>
          </w:p>
        </w:tc>
        <w:tc>
          <w:tcPr>
            <w:tcW w:w="450" w:type="dxa"/>
          </w:tcPr>
          <w:p w14:paraId="06AACECF" w14:textId="77777777" w:rsidR="0006278C" w:rsidRPr="0006278C" w:rsidRDefault="0006278C" w:rsidP="0006278C">
            <w:pPr>
              <w:spacing w:after="0" w:line="240" w:lineRule="auto"/>
              <w:jc w:val="center"/>
              <w:rPr>
                <w:rFonts w:ascii="Arial" w:hAnsi="Arial" w:cs="Arial"/>
                <w:sz w:val="18"/>
              </w:rPr>
            </w:pPr>
          </w:p>
        </w:tc>
        <w:tc>
          <w:tcPr>
            <w:tcW w:w="360" w:type="dxa"/>
          </w:tcPr>
          <w:p w14:paraId="61CC9A96" w14:textId="77777777" w:rsidR="0006278C" w:rsidRPr="0006278C" w:rsidRDefault="0006278C" w:rsidP="0006278C">
            <w:pPr>
              <w:spacing w:after="0" w:line="240" w:lineRule="auto"/>
              <w:jc w:val="center"/>
              <w:rPr>
                <w:rFonts w:ascii="Arial" w:hAnsi="Arial" w:cs="Arial"/>
                <w:sz w:val="18"/>
              </w:rPr>
            </w:pPr>
          </w:p>
        </w:tc>
        <w:tc>
          <w:tcPr>
            <w:tcW w:w="636" w:type="dxa"/>
          </w:tcPr>
          <w:p w14:paraId="01535FF6" w14:textId="77777777" w:rsidR="0006278C" w:rsidRPr="0006278C" w:rsidRDefault="0006278C" w:rsidP="0006278C">
            <w:pPr>
              <w:spacing w:after="0" w:line="240" w:lineRule="auto"/>
              <w:jc w:val="center"/>
              <w:rPr>
                <w:rFonts w:ascii="Arial" w:hAnsi="Arial" w:cs="Arial"/>
                <w:sz w:val="18"/>
              </w:rPr>
            </w:pPr>
          </w:p>
        </w:tc>
        <w:tc>
          <w:tcPr>
            <w:tcW w:w="491" w:type="dxa"/>
          </w:tcPr>
          <w:p w14:paraId="76951051" w14:textId="77777777" w:rsidR="0006278C" w:rsidRPr="0006278C" w:rsidRDefault="0006278C" w:rsidP="0006278C">
            <w:pPr>
              <w:spacing w:after="0" w:line="240" w:lineRule="auto"/>
              <w:jc w:val="center"/>
              <w:rPr>
                <w:rFonts w:ascii="Arial" w:hAnsi="Arial" w:cs="Arial"/>
                <w:sz w:val="18"/>
              </w:rPr>
            </w:pPr>
          </w:p>
        </w:tc>
        <w:tc>
          <w:tcPr>
            <w:tcW w:w="493" w:type="dxa"/>
          </w:tcPr>
          <w:p w14:paraId="4F9FFD38" w14:textId="77777777" w:rsidR="0006278C" w:rsidRPr="0006278C" w:rsidRDefault="0006278C" w:rsidP="0006278C">
            <w:pPr>
              <w:spacing w:after="0" w:line="240" w:lineRule="auto"/>
              <w:jc w:val="center"/>
              <w:rPr>
                <w:rFonts w:ascii="Arial" w:hAnsi="Arial" w:cs="Arial"/>
                <w:sz w:val="18"/>
              </w:rPr>
            </w:pPr>
          </w:p>
        </w:tc>
        <w:tc>
          <w:tcPr>
            <w:tcW w:w="540" w:type="dxa"/>
          </w:tcPr>
          <w:p w14:paraId="47C23438" w14:textId="77777777" w:rsidR="0006278C" w:rsidRPr="0006278C" w:rsidRDefault="0006278C" w:rsidP="0006278C">
            <w:pPr>
              <w:spacing w:after="0" w:line="240" w:lineRule="auto"/>
              <w:jc w:val="center"/>
              <w:rPr>
                <w:rFonts w:ascii="Arial" w:hAnsi="Arial" w:cs="Arial"/>
                <w:sz w:val="18"/>
              </w:rPr>
            </w:pPr>
          </w:p>
        </w:tc>
        <w:tc>
          <w:tcPr>
            <w:tcW w:w="450" w:type="dxa"/>
          </w:tcPr>
          <w:p w14:paraId="005A313F" w14:textId="77777777" w:rsidR="0006278C" w:rsidRPr="0006278C" w:rsidRDefault="0006278C" w:rsidP="0006278C">
            <w:pPr>
              <w:spacing w:after="0" w:line="240" w:lineRule="auto"/>
              <w:jc w:val="center"/>
              <w:rPr>
                <w:rFonts w:ascii="Arial" w:hAnsi="Arial" w:cs="Arial"/>
                <w:sz w:val="18"/>
              </w:rPr>
            </w:pPr>
          </w:p>
        </w:tc>
        <w:tc>
          <w:tcPr>
            <w:tcW w:w="540" w:type="dxa"/>
          </w:tcPr>
          <w:p w14:paraId="1F1FFCC1" w14:textId="77777777" w:rsidR="0006278C" w:rsidRPr="0006278C" w:rsidRDefault="0006278C" w:rsidP="0006278C">
            <w:pPr>
              <w:spacing w:after="0" w:line="240" w:lineRule="auto"/>
              <w:jc w:val="center"/>
              <w:rPr>
                <w:rFonts w:ascii="Arial" w:hAnsi="Arial" w:cs="Arial"/>
                <w:sz w:val="18"/>
              </w:rPr>
            </w:pPr>
          </w:p>
        </w:tc>
      </w:tr>
      <w:tr w:rsidR="00864968" w:rsidRPr="0006278C" w14:paraId="60FB9C5A" w14:textId="77777777" w:rsidTr="00864968">
        <w:tc>
          <w:tcPr>
            <w:tcW w:w="567" w:type="dxa"/>
          </w:tcPr>
          <w:p w14:paraId="3A4CA5A9" w14:textId="77777777" w:rsidR="0006278C" w:rsidRPr="0006278C" w:rsidRDefault="0006278C" w:rsidP="004304E6">
            <w:pPr>
              <w:spacing w:after="0" w:line="240" w:lineRule="auto"/>
              <w:rPr>
                <w:rFonts w:ascii="Arial" w:hAnsi="Arial" w:cs="Arial"/>
                <w:sz w:val="18"/>
              </w:rPr>
            </w:pPr>
            <w:r w:rsidRPr="0006278C">
              <w:rPr>
                <w:rFonts w:ascii="Arial" w:hAnsi="Arial" w:cs="Arial"/>
                <w:sz w:val="18"/>
              </w:rPr>
              <w:t>17.4</w:t>
            </w:r>
          </w:p>
        </w:tc>
        <w:tc>
          <w:tcPr>
            <w:tcW w:w="2194" w:type="dxa"/>
          </w:tcPr>
          <w:p w14:paraId="297C2068" w14:textId="77777777" w:rsidR="0006278C" w:rsidRPr="0006278C" w:rsidRDefault="0006278C" w:rsidP="0006278C">
            <w:pPr>
              <w:spacing w:after="0" w:line="240" w:lineRule="auto"/>
              <w:rPr>
                <w:rFonts w:ascii="Arial" w:hAnsi="Arial" w:cs="Arial"/>
                <w:sz w:val="18"/>
              </w:rPr>
            </w:pPr>
            <w:r w:rsidRPr="0006278C">
              <w:rPr>
                <w:rFonts w:ascii="Arial" w:hAnsi="Arial" w:cs="Arial"/>
                <w:sz w:val="18"/>
              </w:rPr>
              <w:t>ADD/ADHD</w:t>
            </w:r>
          </w:p>
        </w:tc>
        <w:tc>
          <w:tcPr>
            <w:tcW w:w="429" w:type="dxa"/>
          </w:tcPr>
          <w:p w14:paraId="19F411B9" w14:textId="77777777" w:rsidR="0006278C" w:rsidRPr="0006278C" w:rsidRDefault="0006278C" w:rsidP="0006278C">
            <w:pPr>
              <w:spacing w:after="0" w:line="240" w:lineRule="auto"/>
              <w:jc w:val="center"/>
              <w:rPr>
                <w:rFonts w:ascii="Arial" w:hAnsi="Arial" w:cs="Arial"/>
                <w:sz w:val="18"/>
              </w:rPr>
            </w:pPr>
          </w:p>
        </w:tc>
        <w:tc>
          <w:tcPr>
            <w:tcW w:w="619" w:type="dxa"/>
          </w:tcPr>
          <w:p w14:paraId="435894D0" w14:textId="77777777" w:rsidR="0006278C" w:rsidRPr="0006278C" w:rsidRDefault="0006278C" w:rsidP="0006278C">
            <w:pPr>
              <w:spacing w:after="0" w:line="240" w:lineRule="auto"/>
              <w:jc w:val="center"/>
              <w:rPr>
                <w:rFonts w:ascii="Arial" w:hAnsi="Arial" w:cs="Arial"/>
                <w:sz w:val="18"/>
              </w:rPr>
            </w:pPr>
          </w:p>
        </w:tc>
        <w:tc>
          <w:tcPr>
            <w:tcW w:w="619" w:type="dxa"/>
          </w:tcPr>
          <w:p w14:paraId="3851C8A7" w14:textId="77777777" w:rsidR="0006278C" w:rsidRPr="0006278C" w:rsidRDefault="0006278C" w:rsidP="0006278C">
            <w:pPr>
              <w:spacing w:after="0" w:line="240" w:lineRule="auto"/>
              <w:jc w:val="center"/>
              <w:rPr>
                <w:rFonts w:ascii="Arial" w:hAnsi="Arial" w:cs="Arial"/>
                <w:sz w:val="18"/>
              </w:rPr>
            </w:pPr>
          </w:p>
        </w:tc>
        <w:tc>
          <w:tcPr>
            <w:tcW w:w="449" w:type="dxa"/>
          </w:tcPr>
          <w:p w14:paraId="348B8762" w14:textId="77777777" w:rsidR="0006278C" w:rsidRPr="0006278C" w:rsidRDefault="0006278C" w:rsidP="0006278C">
            <w:pPr>
              <w:spacing w:after="0" w:line="240" w:lineRule="auto"/>
              <w:jc w:val="center"/>
              <w:rPr>
                <w:rFonts w:ascii="Arial" w:hAnsi="Arial" w:cs="Arial"/>
                <w:sz w:val="18"/>
              </w:rPr>
            </w:pPr>
          </w:p>
        </w:tc>
        <w:tc>
          <w:tcPr>
            <w:tcW w:w="338" w:type="dxa"/>
          </w:tcPr>
          <w:p w14:paraId="67D596D6" w14:textId="77777777" w:rsidR="0006278C" w:rsidRPr="0006278C" w:rsidRDefault="0006278C" w:rsidP="0006278C">
            <w:pPr>
              <w:spacing w:after="0" w:line="240" w:lineRule="auto"/>
              <w:jc w:val="center"/>
              <w:rPr>
                <w:rFonts w:ascii="Arial" w:hAnsi="Arial" w:cs="Arial"/>
                <w:sz w:val="18"/>
              </w:rPr>
            </w:pPr>
          </w:p>
        </w:tc>
        <w:tc>
          <w:tcPr>
            <w:tcW w:w="540" w:type="dxa"/>
          </w:tcPr>
          <w:p w14:paraId="08088097" w14:textId="77777777" w:rsidR="0006278C" w:rsidRPr="0006278C" w:rsidRDefault="0006278C" w:rsidP="0006278C">
            <w:pPr>
              <w:spacing w:after="0" w:line="240" w:lineRule="auto"/>
              <w:jc w:val="center"/>
              <w:rPr>
                <w:rFonts w:ascii="Arial" w:hAnsi="Arial" w:cs="Arial"/>
                <w:sz w:val="18"/>
              </w:rPr>
            </w:pPr>
          </w:p>
        </w:tc>
        <w:tc>
          <w:tcPr>
            <w:tcW w:w="540" w:type="dxa"/>
          </w:tcPr>
          <w:p w14:paraId="4939C319" w14:textId="77777777" w:rsidR="0006278C" w:rsidRPr="0006278C" w:rsidRDefault="0006278C" w:rsidP="0006278C">
            <w:pPr>
              <w:spacing w:after="0" w:line="240" w:lineRule="auto"/>
              <w:jc w:val="center"/>
              <w:rPr>
                <w:rFonts w:ascii="Arial" w:hAnsi="Arial" w:cs="Arial"/>
                <w:sz w:val="18"/>
              </w:rPr>
            </w:pPr>
          </w:p>
        </w:tc>
        <w:tc>
          <w:tcPr>
            <w:tcW w:w="450" w:type="dxa"/>
          </w:tcPr>
          <w:p w14:paraId="47FE704C" w14:textId="77777777" w:rsidR="0006278C" w:rsidRPr="0006278C" w:rsidRDefault="0006278C" w:rsidP="0006278C">
            <w:pPr>
              <w:spacing w:after="0" w:line="240" w:lineRule="auto"/>
              <w:jc w:val="center"/>
              <w:rPr>
                <w:rFonts w:ascii="Arial" w:hAnsi="Arial" w:cs="Arial"/>
                <w:sz w:val="18"/>
              </w:rPr>
            </w:pPr>
          </w:p>
        </w:tc>
        <w:tc>
          <w:tcPr>
            <w:tcW w:w="360" w:type="dxa"/>
          </w:tcPr>
          <w:p w14:paraId="0726E1C3" w14:textId="77777777" w:rsidR="0006278C" w:rsidRPr="0006278C" w:rsidRDefault="0006278C" w:rsidP="0006278C">
            <w:pPr>
              <w:spacing w:after="0" w:line="240" w:lineRule="auto"/>
              <w:jc w:val="center"/>
              <w:rPr>
                <w:rFonts w:ascii="Arial" w:hAnsi="Arial" w:cs="Arial"/>
                <w:sz w:val="18"/>
              </w:rPr>
            </w:pPr>
          </w:p>
        </w:tc>
        <w:tc>
          <w:tcPr>
            <w:tcW w:w="636" w:type="dxa"/>
          </w:tcPr>
          <w:p w14:paraId="79AFBA9F" w14:textId="77777777" w:rsidR="0006278C" w:rsidRPr="0006278C" w:rsidRDefault="0006278C" w:rsidP="0006278C">
            <w:pPr>
              <w:spacing w:after="0" w:line="240" w:lineRule="auto"/>
              <w:jc w:val="center"/>
              <w:rPr>
                <w:rFonts w:ascii="Arial" w:hAnsi="Arial" w:cs="Arial"/>
                <w:sz w:val="18"/>
              </w:rPr>
            </w:pPr>
          </w:p>
        </w:tc>
        <w:tc>
          <w:tcPr>
            <w:tcW w:w="491" w:type="dxa"/>
          </w:tcPr>
          <w:p w14:paraId="65975C39" w14:textId="77777777" w:rsidR="0006278C" w:rsidRPr="0006278C" w:rsidRDefault="0006278C" w:rsidP="0006278C">
            <w:pPr>
              <w:spacing w:after="0" w:line="240" w:lineRule="auto"/>
              <w:jc w:val="center"/>
              <w:rPr>
                <w:rFonts w:ascii="Arial" w:hAnsi="Arial" w:cs="Arial"/>
                <w:sz w:val="18"/>
              </w:rPr>
            </w:pPr>
          </w:p>
        </w:tc>
        <w:tc>
          <w:tcPr>
            <w:tcW w:w="493" w:type="dxa"/>
          </w:tcPr>
          <w:p w14:paraId="7AB9D749" w14:textId="77777777" w:rsidR="0006278C" w:rsidRPr="0006278C" w:rsidRDefault="0006278C" w:rsidP="0006278C">
            <w:pPr>
              <w:spacing w:after="0" w:line="240" w:lineRule="auto"/>
              <w:jc w:val="center"/>
              <w:rPr>
                <w:rFonts w:ascii="Arial" w:hAnsi="Arial" w:cs="Arial"/>
                <w:sz w:val="18"/>
              </w:rPr>
            </w:pPr>
          </w:p>
        </w:tc>
        <w:tc>
          <w:tcPr>
            <w:tcW w:w="540" w:type="dxa"/>
          </w:tcPr>
          <w:p w14:paraId="468510E4" w14:textId="77777777" w:rsidR="0006278C" w:rsidRPr="0006278C" w:rsidRDefault="0006278C" w:rsidP="0006278C">
            <w:pPr>
              <w:spacing w:after="0" w:line="240" w:lineRule="auto"/>
              <w:jc w:val="center"/>
              <w:rPr>
                <w:rFonts w:ascii="Arial" w:hAnsi="Arial" w:cs="Arial"/>
                <w:sz w:val="18"/>
              </w:rPr>
            </w:pPr>
          </w:p>
        </w:tc>
        <w:tc>
          <w:tcPr>
            <w:tcW w:w="450" w:type="dxa"/>
          </w:tcPr>
          <w:p w14:paraId="79E5E0F4" w14:textId="77777777" w:rsidR="0006278C" w:rsidRPr="0006278C" w:rsidRDefault="0006278C" w:rsidP="0006278C">
            <w:pPr>
              <w:spacing w:after="0" w:line="240" w:lineRule="auto"/>
              <w:jc w:val="center"/>
              <w:rPr>
                <w:rFonts w:ascii="Arial" w:hAnsi="Arial" w:cs="Arial"/>
                <w:sz w:val="18"/>
              </w:rPr>
            </w:pPr>
          </w:p>
        </w:tc>
        <w:tc>
          <w:tcPr>
            <w:tcW w:w="540" w:type="dxa"/>
          </w:tcPr>
          <w:p w14:paraId="02F3E096" w14:textId="77777777" w:rsidR="0006278C" w:rsidRPr="0006278C" w:rsidRDefault="0006278C" w:rsidP="0006278C">
            <w:pPr>
              <w:spacing w:after="0" w:line="240" w:lineRule="auto"/>
              <w:jc w:val="center"/>
              <w:rPr>
                <w:rFonts w:ascii="Arial" w:hAnsi="Arial" w:cs="Arial"/>
                <w:sz w:val="18"/>
              </w:rPr>
            </w:pPr>
          </w:p>
        </w:tc>
      </w:tr>
      <w:tr w:rsidR="00864968" w:rsidRPr="0006278C" w14:paraId="1D15452E" w14:textId="77777777" w:rsidTr="00864968">
        <w:tc>
          <w:tcPr>
            <w:tcW w:w="567" w:type="dxa"/>
          </w:tcPr>
          <w:p w14:paraId="2FAA1BF0" w14:textId="77777777" w:rsidR="0006278C" w:rsidRPr="0006278C" w:rsidRDefault="0006278C" w:rsidP="004304E6">
            <w:pPr>
              <w:spacing w:after="0" w:line="240" w:lineRule="auto"/>
              <w:rPr>
                <w:rFonts w:ascii="Arial" w:hAnsi="Arial" w:cs="Arial"/>
                <w:sz w:val="18"/>
              </w:rPr>
            </w:pPr>
            <w:r w:rsidRPr="0006278C">
              <w:rPr>
                <w:rFonts w:ascii="Arial" w:hAnsi="Arial" w:cs="Arial"/>
                <w:sz w:val="18"/>
              </w:rPr>
              <w:t>18</w:t>
            </w:r>
          </w:p>
        </w:tc>
        <w:tc>
          <w:tcPr>
            <w:tcW w:w="2194" w:type="dxa"/>
          </w:tcPr>
          <w:p w14:paraId="2BFE9E9B" w14:textId="77777777" w:rsidR="0006278C" w:rsidRPr="0006278C" w:rsidRDefault="0006278C" w:rsidP="0006278C">
            <w:pPr>
              <w:spacing w:after="0" w:line="240" w:lineRule="auto"/>
              <w:rPr>
                <w:rFonts w:ascii="Arial" w:hAnsi="Arial" w:cs="Arial"/>
                <w:sz w:val="18"/>
              </w:rPr>
            </w:pPr>
            <w:r w:rsidRPr="0006278C">
              <w:rPr>
                <w:rFonts w:ascii="Arial" w:hAnsi="Arial" w:cs="Arial"/>
                <w:sz w:val="18"/>
              </w:rPr>
              <w:t>Mental health treatment</w:t>
            </w:r>
          </w:p>
        </w:tc>
        <w:tc>
          <w:tcPr>
            <w:tcW w:w="429" w:type="dxa"/>
          </w:tcPr>
          <w:p w14:paraId="621760AC" w14:textId="77777777" w:rsidR="0006278C" w:rsidRPr="0006278C" w:rsidRDefault="0006278C" w:rsidP="0006278C">
            <w:pPr>
              <w:spacing w:after="0" w:line="240" w:lineRule="auto"/>
              <w:jc w:val="center"/>
              <w:rPr>
                <w:rFonts w:ascii="Arial" w:hAnsi="Arial" w:cs="Arial"/>
                <w:sz w:val="18"/>
              </w:rPr>
            </w:pPr>
          </w:p>
        </w:tc>
        <w:tc>
          <w:tcPr>
            <w:tcW w:w="619" w:type="dxa"/>
          </w:tcPr>
          <w:p w14:paraId="35E48173" w14:textId="77777777" w:rsidR="0006278C" w:rsidRPr="0006278C" w:rsidRDefault="0006278C" w:rsidP="0006278C">
            <w:pPr>
              <w:spacing w:after="0" w:line="240" w:lineRule="auto"/>
              <w:jc w:val="center"/>
              <w:rPr>
                <w:rFonts w:ascii="Arial" w:hAnsi="Arial" w:cs="Arial"/>
                <w:sz w:val="18"/>
              </w:rPr>
            </w:pPr>
          </w:p>
        </w:tc>
        <w:tc>
          <w:tcPr>
            <w:tcW w:w="619" w:type="dxa"/>
          </w:tcPr>
          <w:p w14:paraId="1A46DFE3" w14:textId="77777777" w:rsidR="0006278C" w:rsidRPr="0006278C" w:rsidRDefault="0006278C" w:rsidP="0006278C">
            <w:pPr>
              <w:spacing w:after="0" w:line="240" w:lineRule="auto"/>
              <w:jc w:val="center"/>
              <w:rPr>
                <w:rFonts w:ascii="Arial" w:hAnsi="Arial" w:cs="Arial"/>
                <w:sz w:val="18"/>
              </w:rPr>
            </w:pPr>
          </w:p>
        </w:tc>
        <w:tc>
          <w:tcPr>
            <w:tcW w:w="449" w:type="dxa"/>
          </w:tcPr>
          <w:p w14:paraId="2C07C967" w14:textId="77777777" w:rsidR="0006278C" w:rsidRPr="0006278C" w:rsidRDefault="0006278C" w:rsidP="0006278C">
            <w:pPr>
              <w:spacing w:after="0" w:line="240" w:lineRule="auto"/>
              <w:jc w:val="center"/>
              <w:rPr>
                <w:rFonts w:ascii="Arial" w:hAnsi="Arial" w:cs="Arial"/>
                <w:sz w:val="18"/>
              </w:rPr>
            </w:pPr>
          </w:p>
        </w:tc>
        <w:tc>
          <w:tcPr>
            <w:tcW w:w="338" w:type="dxa"/>
          </w:tcPr>
          <w:p w14:paraId="41C64843" w14:textId="77777777" w:rsidR="0006278C" w:rsidRPr="0006278C" w:rsidRDefault="0006278C" w:rsidP="0006278C">
            <w:pPr>
              <w:spacing w:after="0" w:line="240" w:lineRule="auto"/>
              <w:jc w:val="center"/>
              <w:rPr>
                <w:rFonts w:ascii="Arial" w:hAnsi="Arial" w:cs="Arial"/>
                <w:sz w:val="18"/>
              </w:rPr>
            </w:pPr>
          </w:p>
        </w:tc>
        <w:tc>
          <w:tcPr>
            <w:tcW w:w="540" w:type="dxa"/>
          </w:tcPr>
          <w:p w14:paraId="6ECF15FE" w14:textId="77777777" w:rsidR="0006278C" w:rsidRPr="0006278C" w:rsidRDefault="0006278C" w:rsidP="0006278C">
            <w:pPr>
              <w:spacing w:after="0" w:line="240" w:lineRule="auto"/>
              <w:jc w:val="center"/>
              <w:rPr>
                <w:rFonts w:ascii="Arial" w:hAnsi="Arial" w:cs="Arial"/>
                <w:sz w:val="18"/>
              </w:rPr>
            </w:pPr>
          </w:p>
        </w:tc>
        <w:tc>
          <w:tcPr>
            <w:tcW w:w="540" w:type="dxa"/>
          </w:tcPr>
          <w:p w14:paraId="198BA172" w14:textId="77777777" w:rsidR="0006278C" w:rsidRPr="0006278C" w:rsidRDefault="0006278C" w:rsidP="0006278C">
            <w:pPr>
              <w:spacing w:after="0" w:line="240" w:lineRule="auto"/>
              <w:jc w:val="center"/>
              <w:rPr>
                <w:rFonts w:ascii="Arial" w:hAnsi="Arial" w:cs="Arial"/>
                <w:sz w:val="18"/>
              </w:rPr>
            </w:pPr>
          </w:p>
        </w:tc>
        <w:tc>
          <w:tcPr>
            <w:tcW w:w="450" w:type="dxa"/>
          </w:tcPr>
          <w:p w14:paraId="1CBD42BF" w14:textId="77777777" w:rsidR="0006278C" w:rsidRPr="0006278C" w:rsidRDefault="0006278C" w:rsidP="0006278C">
            <w:pPr>
              <w:spacing w:after="0" w:line="240" w:lineRule="auto"/>
              <w:jc w:val="center"/>
              <w:rPr>
                <w:rFonts w:ascii="Arial" w:hAnsi="Arial" w:cs="Arial"/>
                <w:sz w:val="18"/>
              </w:rPr>
            </w:pPr>
          </w:p>
        </w:tc>
        <w:tc>
          <w:tcPr>
            <w:tcW w:w="360" w:type="dxa"/>
          </w:tcPr>
          <w:p w14:paraId="23B652EF" w14:textId="77777777" w:rsidR="0006278C" w:rsidRPr="0006278C" w:rsidRDefault="0006278C" w:rsidP="0006278C">
            <w:pPr>
              <w:spacing w:after="0" w:line="240" w:lineRule="auto"/>
              <w:jc w:val="center"/>
              <w:rPr>
                <w:rFonts w:ascii="Arial" w:hAnsi="Arial" w:cs="Arial"/>
                <w:sz w:val="18"/>
              </w:rPr>
            </w:pPr>
          </w:p>
        </w:tc>
        <w:tc>
          <w:tcPr>
            <w:tcW w:w="636" w:type="dxa"/>
          </w:tcPr>
          <w:p w14:paraId="2498617C"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491" w:type="dxa"/>
          </w:tcPr>
          <w:p w14:paraId="04E0908A"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493" w:type="dxa"/>
          </w:tcPr>
          <w:p w14:paraId="3615C457" w14:textId="77777777" w:rsidR="0006278C" w:rsidRPr="0006278C" w:rsidRDefault="0006278C" w:rsidP="0006278C">
            <w:pPr>
              <w:spacing w:after="0" w:line="240" w:lineRule="auto"/>
              <w:jc w:val="center"/>
              <w:rPr>
                <w:rFonts w:ascii="Arial" w:hAnsi="Arial" w:cs="Arial"/>
                <w:sz w:val="18"/>
              </w:rPr>
            </w:pPr>
          </w:p>
        </w:tc>
        <w:tc>
          <w:tcPr>
            <w:tcW w:w="540" w:type="dxa"/>
          </w:tcPr>
          <w:p w14:paraId="7C1A1F02" w14:textId="77777777" w:rsidR="0006278C" w:rsidRPr="0006278C" w:rsidRDefault="0006278C" w:rsidP="0006278C">
            <w:pPr>
              <w:spacing w:after="0" w:line="240" w:lineRule="auto"/>
              <w:jc w:val="center"/>
              <w:rPr>
                <w:rFonts w:ascii="Arial" w:hAnsi="Arial" w:cs="Arial"/>
                <w:sz w:val="18"/>
              </w:rPr>
            </w:pPr>
          </w:p>
        </w:tc>
        <w:tc>
          <w:tcPr>
            <w:tcW w:w="450" w:type="dxa"/>
          </w:tcPr>
          <w:p w14:paraId="11249507" w14:textId="77777777" w:rsidR="0006278C" w:rsidRPr="0006278C" w:rsidRDefault="0006278C" w:rsidP="0006278C">
            <w:pPr>
              <w:spacing w:after="0" w:line="240" w:lineRule="auto"/>
              <w:jc w:val="center"/>
              <w:rPr>
                <w:rFonts w:ascii="Arial" w:hAnsi="Arial" w:cs="Arial"/>
                <w:sz w:val="18"/>
              </w:rPr>
            </w:pPr>
          </w:p>
        </w:tc>
        <w:tc>
          <w:tcPr>
            <w:tcW w:w="540" w:type="dxa"/>
          </w:tcPr>
          <w:p w14:paraId="4375E66A"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r>
      <w:tr w:rsidR="00864968" w:rsidRPr="0006278C" w14:paraId="0CEEBAFF" w14:textId="77777777" w:rsidTr="00864968">
        <w:tc>
          <w:tcPr>
            <w:tcW w:w="567" w:type="dxa"/>
          </w:tcPr>
          <w:p w14:paraId="540BB2ED" w14:textId="77777777" w:rsidR="0006278C" w:rsidRPr="0006278C" w:rsidRDefault="0006278C" w:rsidP="004304E6">
            <w:pPr>
              <w:spacing w:after="0" w:line="240" w:lineRule="auto"/>
              <w:rPr>
                <w:rFonts w:ascii="Arial" w:hAnsi="Arial" w:cs="Arial"/>
                <w:sz w:val="18"/>
              </w:rPr>
            </w:pPr>
            <w:r w:rsidRPr="0006278C">
              <w:rPr>
                <w:rFonts w:ascii="Arial" w:hAnsi="Arial" w:cs="Arial"/>
                <w:sz w:val="18"/>
              </w:rPr>
              <w:t>19</w:t>
            </w:r>
          </w:p>
        </w:tc>
        <w:tc>
          <w:tcPr>
            <w:tcW w:w="2194" w:type="dxa"/>
          </w:tcPr>
          <w:p w14:paraId="5FDC174C" w14:textId="77777777" w:rsidR="0006278C" w:rsidRPr="0006278C" w:rsidRDefault="0006278C" w:rsidP="0006278C">
            <w:pPr>
              <w:spacing w:after="0" w:line="240" w:lineRule="auto"/>
              <w:rPr>
                <w:rFonts w:ascii="Arial" w:hAnsi="Arial" w:cs="Arial"/>
                <w:sz w:val="18"/>
              </w:rPr>
            </w:pPr>
            <w:r w:rsidRPr="0006278C">
              <w:rPr>
                <w:rFonts w:ascii="Arial" w:hAnsi="Arial" w:cs="Arial"/>
                <w:sz w:val="18"/>
              </w:rPr>
              <w:t>Overall health status</w:t>
            </w:r>
          </w:p>
        </w:tc>
        <w:tc>
          <w:tcPr>
            <w:tcW w:w="429" w:type="dxa"/>
          </w:tcPr>
          <w:p w14:paraId="1976995A" w14:textId="77777777" w:rsidR="0006278C" w:rsidRPr="0006278C" w:rsidRDefault="0006278C" w:rsidP="0006278C">
            <w:pPr>
              <w:spacing w:after="0" w:line="240" w:lineRule="auto"/>
              <w:jc w:val="center"/>
              <w:rPr>
                <w:rFonts w:ascii="Arial" w:hAnsi="Arial" w:cs="Arial"/>
                <w:sz w:val="18"/>
              </w:rPr>
            </w:pPr>
          </w:p>
        </w:tc>
        <w:tc>
          <w:tcPr>
            <w:tcW w:w="619" w:type="dxa"/>
          </w:tcPr>
          <w:p w14:paraId="75E5C3E5" w14:textId="77777777" w:rsidR="0006278C" w:rsidRPr="0006278C" w:rsidRDefault="0006278C" w:rsidP="0006278C">
            <w:pPr>
              <w:spacing w:after="0" w:line="240" w:lineRule="auto"/>
              <w:jc w:val="center"/>
              <w:rPr>
                <w:rFonts w:ascii="Arial" w:hAnsi="Arial" w:cs="Arial"/>
                <w:sz w:val="18"/>
              </w:rPr>
            </w:pPr>
          </w:p>
        </w:tc>
        <w:tc>
          <w:tcPr>
            <w:tcW w:w="619" w:type="dxa"/>
          </w:tcPr>
          <w:p w14:paraId="0A991CDC" w14:textId="77777777" w:rsidR="0006278C" w:rsidRPr="0006278C" w:rsidRDefault="0006278C" w:rsidP="0006278C">
            <w:pPr>
              <w:spacing w:after="0" w:line="240" w:lineRule="auto"/>
              <w:jc w:val="center"/>
              <w:rPr>
                <w:rFonts w:ascii="Arial" w:hAnsi="Arial" w:cs="Arial"/>
                <w:sz w:val="18"/>
              </w:rPr>
            </w:pPr>
          </w:p>
        </w:tc>
        <w:tc>
          <w:tcPr>
            <w:tcW w:w="449" w:type="dxa"/>
          </w:tcPr>
          <w:p w14:paraId="2EF4D05B" w14:textId="77777777" w:rsidR="0006278C" w:rsidRPr="0006278C" w:rsidRDefault="0006278C" w:rsidP="0006278C">
            <w:pPr>
              <w:spacing w:after="0" w:line="240" w:lineRule="auto"/>
              <w:jc w:val="center"/>
              <w:rPr>
                <w:rFonts w:ascii="Arial" w:hAnsi="Arial" w:cs="Arial"/>
                <w:sz w:val="18"/>
              </w:rPr>
            </w:pPr>
          </w:p>
        </w:tc>
        <w:tc>
          <w:tcPr>
            <w:tcW w:w="338" w:type="dxa"/>
          </w:tcPr>
          <w:p w14:paraId="00EA01E3" w14:textId="77777777" w:rsidR="0006278C" w:rsidRPr="0006278C" w:rsidRDefault="0006278C" w:rsidP="0006278C">
            <w:pPr>
              <w:spacing w:after="0" w:line="240" w:lineRule="auto"/>
              <w:jc w:val="center"/>
              <w:rPr>
                <w:rFonts w:ascii="Arial" w:hAnsi="Arial" w:cs="Arial"/>
                <w:sz w:val="18"/>
              </w:rPr>
            </w:pPr>
          </w:p>
        </w:tc>
        <w:tc>
          <w:tcPr>
            <w:tcW w:w="540" w:type="dxa"/>
          </w:tcPr>
          <w:p w14:paraId="2C57183D"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540" w:type="dxa"/>
          </w:tcPr>
          <w:p w14:paraId="2449AD89" w14:textId="77777777" w:rsidR="0006278C" w:rsidRPr="0006278C" w:rsidRDefault="0006278C" w:rsidP="0006278C">
            <w:pPr>
              <w:spacing w:after="0" w:line="240" w:lineRule="auto"/>
              <w:jc w:val="center"/>
              <w:rPr>
                <w:rFonts w:ascii="Arial" w:hAnsi="Arial" w:cs="Arial"/>
                <w:sz w:val="18"/>
              </w:rPr>
            </w:pPr>
          </w:p>
        </w:tc>
        <w:tc>
          <w:tcPr>
            <w:tcW w:w="450" w:type="dxa"/>
          </w:tcPr>
          <w:p w14:paraId="399329CA"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360" w:type="dxa"/>
          </w:tcPr>
          <w:p w14:paraId="5DB6F160" w14:textId="77777777" w:rsidR="0006278C" w:rsidRPr="0006278C" w:rsidRDefault="0006278C" w:rsidP="0006278C">
            <w:pPr>
              <w:spacing w:after="0" w:line="240" w:lineRule="auto"/>
              <w:jc w:val="center"/>
              <w:rPr>
                <w:rFonts w:ascii="Arial" w:hAnsi="Arial" w:cs="Arial"/>
                <w:sz w:val="18"/>
              </w:rPr>
            </w:pPr>
          </w:p>
        </w:tc>
        <w:tc>
          <w:tcPr>
            <w:tcW w:w="636" w:type="dxa"/>
          </w:tcPr>
          <w:p w14:paraId="4E56E0DE"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491" w:type="dxa"/>
          </w:tcPr>
          <w:p w14:paraId="75FD7B30"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493" w:type="dxa"/>
          </w:tcPr>
          <w:p w14:paraId="186BD8C6" w14:textId="77777777" w:rsidR="0006278C" w:rsidRPr="0006278C" w:rsidRDefault="0006278C" w:rsidP="0006278C">
            <w:pPr>
              <w:spacing w:after="0" w:line="240" w:lineRule="auto"/>
              <w:jc w:val="center"/>
              <w:rPr>
                <w:rFonts w:ascii="Arial" w:hAnsi="Arial" w:cs="Arial"/>
                <w:sz w:val="18"/>
              </w:rPr>
            </w:pPr>
          </w:p>
        </w:tc>
        <w:tc>
          <w:tcPr>
            <w:tcW w:w="540" w:type="dxa"/>
          </w:tcPr>
          <w:p w14:paraId="7C67F2FA"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450" w:type="dxa"/>
          </w:tcPr>
          <w:p w14:paraId="3AE152DD"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540" w:type="dxa"/>
          </w:tcPr>
          <w:p w14:paraId="7134AD71"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r>
      <w:tr w:rsidR="00864968" w:rsidRPr="0006278C" w14:paraId="10D18B1C" w14:textId="77777777" w:rsidTr="00864968">
        <w:tc>
          <w:tcPr>
            <w:tcW w:w="567" w:type="dxa"/>
          </w:tcPr>
          <w:p w14:paraId="3D886E53" w14:textId="77777777" w:rsidR="0006278C" w:rsidRPr="0006278C" w:rsidRDefault="0006278C" w:rsidP="004304E6">
            <w:pPr>
              <w:spacing w:after="0" w:line="240" w:lineRule="auto"/>
              <w:rPr>
                <w:rFonts w:ascii="Arial" w:hAnsi="Arial" w:cs="Arial"/>
                <w:sz w:val="18"/>
              </w:rPr>
            </w:pPr>
            <w:r w:rsidRPr="0006278C">
              <w:rPr>
                <w:rFonts w:ascii="Arial" w:hAnsi="Arial" w:cs="Arial"/>
                <w:sz w:val="18"/>
              </w:rPr>
              <w:t>20</w:t>
            </w:r>
          </w:p>
        </w:tc>
        <w:tc>
          <w:tcPr>
            <w:tcW w:w="2194" w:type="dxa"/>
          </w:tcPr>
          <w:p w14:paraId="35FD4E01" w14:textId="77777777" w:rsidR="0006278C" w:rsidRPr="0006278C" w:rsidRDefault="0006278C" w:rsidP="0006278C">
            <w:pPr>
              <w:spacing w:after="0" w:line="240" w:lineRule="auto"/>
              <w:rPr>
                <w:rFonts w:ascii="Arial" w:hAnsi="Arial" w:cs="Arial"/>
                <w:sz w:val="18"/>
              </w:rPr>
            </w:pPr>
            <w:r w:rsidRPr="0006278C">
              <w:rPr>
                <w:rFonts w:ascii="Arial" w:hAnsi="Arial" w:cs="Arial"/>
                <w:sz w:val="18"/>
              </w:rPr>
              <w:t>Obesity</w:t>
            </w:r>
          </w:p>
        </w:tc>
        <w:tc>
          <w:tcPr>
            <w:tcW w:w="429" w:type="dxa"/>
          </w:tcPr>
          <w:p w14:paraId="51A64CC3" w14:textId="77777777" w:rsidR="0006278C" w:rsidRPr="0006278C" w:rsidRDefault="0006278C" w:rsidP="0006278C">
            <w:pPr>
              <w:spacing w:after="0" w:line="240" w:lineRule="auto"/>
              <w:jc w:val="center"/>
              <w:rPr>
                <w:rFonts w:ascii="Arial" w:hAnsi="Arial" w:cs="Arial"/>
                <w:sz w:val="18"/>
              </w:rPr>
            </w:pPr>
          </w:p>
        </w:tc>
        <w:tc>
          <w:tcPr>
            <w:tcW w:w="619" w:type="dxa"/>
          </w:tcPr>
          <w:p w14:paraId="73DBAADB" w14:textId="77777777" w:rsidR="0006278C" w:rsidRPr="0006278C" w:rsidRDefault="0006278C" w:rsidP="0006278C">
            <w:pPr>
              <w:spacing w:after="0" w:line="240" w:lineRule="auto"/>
              <w:jc w:val="center"/>
              <w:rPr>
                <w:rFonts w:ascii="Arial" w:hAnsi="Arial" w:cs="Arial"/>
                <w:sz w:val="18"/>
              </w:rPr>
            </w:pPr>
          </w:p>
        </w:tc>
        <w:tc>
          <w:tcPr>
            <w:tcW w:w="619" w:type="dxa"/>
          </w:tcPr>
          <w:p w14:paraId="4D36817A" w14:textId="77777777" w:rsidR="0006278C" w:rsidRPr="0006278C" w:rsidRDefault="0006278C" w:rsidP="0006278C">
            <w:pPr>
              <w:spacing w:after="0" w:line="240" w:lineRule="auto"/>
              <w:jc w:val="center"/>
              <w:rPr>
                <w:rFonts w:ascii="Arial" w:hAnsi="Arial" w:cs="Arial"/>
                <w:sz w:val="18"/>
              </w:rPr>
            </w:pPr>
          </w:p>
        </w:tc>
        <w:tc>
          <w:tcPr>
            <w:tcW w:w="449" w:type="dxa"/>
          </w:tcPr>
          <w:p w14:paraId="3F121124" w14:textId="77777777" w:rsidR="0006278C" w:rsidRPr="0006278C" w:rsidRDefault="0006278C" w:rsidP="0006278C">
            <w:pPr>
              <w:spacing w:after="0" w:line="240" w:lineRule="auto"/>
              <w:jc w:val="center"/>
              <w:rPr>
                <w:rFonts w:ascii="Arial" w:hAnsi="Arial" w:cs="Arial"/>
                <w:sz w:val="18"/>
              </w:rPr>
            </w:pPr>
          </w:p>
        </w:tc>
        <w:tc>
          <w:tcPr>
            <w:tcW w:w="338" w:type="dxa"/>
          </w:tcPr>
          <w:p w14:paraId="33287A87" w14:textId="77777777" w:rsidR="0006278C" w:rsidRPr="0006278C" w:rsidRDefault="0006278C" w:rsidP="0006278C">
            <w:pPr>
              <w:spacing w:after="0" w:line="240" w:lineRule="auto"/>
              <w:jc w:val="center"/>
              <w:rPr>
                <w:rFonts w:ascii="Arial" w:hAnsi="Arial" w:cs="Arial"/>
                <w:sz w:val="18"/>
              </w:rPr>
            </w:pPr>
          </w:p>
        </w:tc>
        <w:tc>
          <w:tcPr>
            <w:tcW w:w="540" w:type="dxa"/>
          </w:tcPr>
          <w:p w14:paraId="32F16ED3" w14:textId="77777777" w:rsidR="0006278C" w:rsidRPr="0006278C" w:rsidRDefault="0006278C" w:rsidP="0006278C">
            <w:pPr>
              <w:spacing w:after="0" w:line="240" w:lineRule="auto"/>
              <w:jc w:val="center"/>
              <w:rPr>
                <w:rFonts w:ascii="Arial" w:hAnsi="Arial" w:cs="Arial"/>
                <w:sz w:val="18"/>
              </w:rPr>
            </w:pPr>
          </w:p>
        </w:tc>
        <w:tc>
          <w:tcPr>
            <w:tcW w:w="540" w:type="dxa"/>
          </w:tcPr>
          <w:p w14:paraId="73357010" w14:textId="77777777" w:rsidR="0006278C" w:rsidRPr="0006278C" w:rsidRDefault="0006278C" w:rsidP="0006278C">
            <w:pPr>
              <w:spacing w:after="0" w:line="240" w:lineRule="auto"/>
              <w:jc w:val="center"/>
              <w:rPr>
                <w:rFonts w:ascii="Arial" w:hAnsi="Arial" w:cs="Arial"/>
                <w:sz w:val="18"/>
              </w:rPr>
            </w:pPr>
          </w:p>
        </w:tc>
        <w:tc>
          <w:tcPr>
            <w:tcW w:w="450" w:type="dxa"/>
          </w:tcPr>
          <w:p w14:paraId="641906BA"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360" w:type="dxa"/>
          </w:tcPr>
          <w:p w14:paraId="2F240395" w14:textId="77777777" w:rsidR="0006278C" w:rsidRPr="0006278C" w:rsidRDefault="0006278C" w:rsidP="0006278C">
            <w:pPr>
              <w:spacing w:after="0" w:line="240" w:lineRule="auto"/>
              <w:jc w:val="center"/>
              <w:rPr>
                <w:rFonts w:ascii="Arial" w:hAnsi="Arial" w:cs="Arial"/>
                <w:sz w:val="18"/>
              </w:rPr>
            </w:pPr>
          </w:p>
        </w:tc>
        <w:tc>
          <w:tcPr>
            <w:tcW w:w="636" w:type="dxa"/>
          </w:tcPr>
          <w:p w14:paraId="13AA4831"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491" w:type="dxa"/>
          </w:tcPr>
          <w:p w14:paraId="06A04A35" w14:textId="77777777" w:rsidR="0006278C" w:rsidRPr="0006278C" w:rsidRDefault="0006278C" w:rsidP="0006278C">
            <w:pPr>
              <w:spacing w:after="0" w:line="240" w:lineRule="auto"/>
              <w:jc w:val="center"/>
              <w:rPr>
                <w:rFonts w:ascii="Arial" w:hAnsi="Arial" w:cs="Arial"/>
                <w:sz w:val="18"/>
              </w:rPr>
            </w:pPr>
          </w:p>
        </w:tc>
        <w:tc>
          <w:tcPr>
            <w:tcW w:w="493" w:type="dxa"/>
          </w:tcPr>
          <w:p w14:paraId="4E4B94E4" w14:textId="77777777" w:rsidR="0006278C" w:rsidRPr="0006278C" w:rsidRDefault="0006278C" w:rsidP="0006278C">
            <w:pPr>
              <w:spacing w:after="0" w:line="240" w:lineRule="auto"/>
              <w:jc w:val="center"/>
              <w:rPr>
                <w:rFonts w:ascii="Arial" w:hAnsi="Arial" w:cs="Arial"/>
                <w:sz w:val="18"/>
              </w:rPr>
            </w:pPr>
          </w:p>
        </w:tc>
        <w:tc>
          <w:tcPr>
            <w:tcW w:w="540" w:type="dxa"/>
          </w:tcPr>
          <w:p w14:paraId="449BCD2A" w14:textId="77777777" w:rsidR="0006278C" w:rsidRPr="0006278C" w:rsidRDefault="0006278C" w:rsidP="0006278C">
            <w:pPr>
              <w:spacing w:after="0" w:line="240" w:lineRule="auto"/>
              <w:jc w:val="center"/>
              <w:rPr>
                <w:rFonts w:ascii="Arial" w:hAnsi="Arial" w:cs="Arial"/>
                <w:sz w:val="18"/>
              </w:rPr>
            </w:pPr>
          </w:p>
        </w:tc>
        <w:tc>
          <w:tcPr>
            <w:tcW w:w="450" w:type="dxa"/>
          </w:tcPr>
          <w:p w14:paraId="281A9209" w14:textId="77777777" w:rsidR="0006278C" w:rsidRPr="0006278C" w:rsidRDefault="0006278C" w:rsidP="0006278C">
            <w:pPr>
              <w:spacing w:after="0" w:line="240" w:lineRule="auto"/>
              <w:jc w:val="center"/>
              <w:rPr>
                <w:rFonts w:ascii="Arial" w:hAnsi="Arial" w:cs="Arial"/>
                <w:sz w:val="18"/>
              </w:rPr>
            </w:pPr>
          </w:p>
        </w:tc>
        <w:tc>
          <w:tcPr>
            <w:tcW w:w="540" w:type="dxa"/>
          </w:tcPr>
          <w:p w14:paraId="1E612B94" w14:textId="77777777" w:rsidR="0006278C" w:rsidRPr="0006278C" w:rsidRDefault="0006278C" w:rsidP="0006278C">
            <w:pPr>
              <w:spacing w:after="0" w:line="240" w:lineRule="auto"/>
              <w:jc w:val="center"/>
              <w:rPr>
                <w:rFonts w:ascii="Arial" w:hAnsi="Arial" w:cs="Arial"/>
                <w:sz w:val="18"/>
              </w:rPr>
            </w:pPr>
          </w:p>
        </w:tc>
      </w:tr>
      <w:tr w:rsidR="00864968" w:rsidRPr="0006278C" w14:paraId="2E75FB20" w14:textId="77777777" w:rsidTr="00864968">
        <w:tc>
          <w:tcPr>
            <w:tcW w:w="567" w:type="dxa"/>
          </w:tcPr>
          <w:p w14:paraId="51D26971" w14:textId="77777777" w:rsidR="0006278C" w:rsidRPr="0006278C" w:rsidRDefault="0006278C" w:rsidP="004304E6">
            <w:pPr>
              <w:spacing w:after="0" w:line="240" w:lineRule="auto"/>
              <w:rPr>
                <w:rFonts w:ascii="Arial" w:hAnsi="Arial" w:cs="Arial"/>
                <w:sz w:val="18"/>
              </w:rPr>
            </w:pPr>
            <w:r w:rsidRPr="0006278C">
              <w:rPr>
                <w:rFonts w:ascii="Arial" w:hAnsi="Arial" w:cs="Arial"/>
                <w:sz w:val="18"/>
              </w:rPr>
              <w:t>21</w:t>
            </w:r>
          </w:p>
        </w:tc>
        <w:tc>
          <w:tcPr>
            <w:tcW w:w="2194" w:type="dxa"/>
          </w:tcPr>
          <w:p w14:paraId="1023FDB4" w14:textId="77777777" w:rsidR="0006278C" w:rsidRPr="0006278C" w:rsidRDefault="0006278C" w:rsidP="0006278C">
            <w:pPr>
              <w:spacing w:after="0" w:line="240" w:lineRule="auto"/>
              <w:rPr>
                <w:rFonts w:ascii="Arial" w:hAnsi="Arial" w:cs="Arial"/>
                <w:sz w:val="18"/>
              </w:rPr>
            </w:pPr>
            <w:r w:rsidRPr="0006278C">
              <w:rPr>
                <w:rFonts w:ascii="Arial" w:hAnsi="Arial" w:cs="Arial"/>
                <w:sz w:val="18"/>
              </w:rPr>
              <w:t>Uninsured</w:t>
            </w:r>
          </w:p>
        </w:tc>
        <w:tc>
          <w:tcPr>
            <w:tcW w:w="429" w:type="dxa"/>
          </w:tcPr>
          <w:p w14:paraId="4FC89A36" w14:textId="77777777" w:rsidR="0006278C" w:rsidRPr="0006278C" w:rsidRDefault="0006278C" w:rsidP="0006278C">
            <w:pPr>
              <w:spacing w:after="0" w:line="240" w:lineRule="auto"/>
              <w:jc w:val="center"/>
              <w:rPr>
                <w:rFonts w:ascii="Arial" w:hAnsi="Arial" w:cs="Arial"/>
                <w:sz w:val="18"/>
              </w:rPr>
            </w:pPr>
          </w:p>
        </w:tc>
        <w:tc>
          <w:tcPr>
            <w:tcW w:w="619" w:type="dxa"/>
          </w:tcPr>
          <w:p w14:paraId="5DD0EFD1" w14:textId="77777777" w:rsidR="0006278C" w:rsidRPr="0006278C" w:rsidRDefault="0006278C" w:rsidP="0006278C">
            <w:pPr>
              <w:spacing w:after="0" w:line="240" w:lineRule="auto"/>
              <w:jc w:val="center"/>
              <w:rPr>
                <w:rFonts w:ascii="Arial" w:hAnsi="Arial" w:cs="Arial"/>
                <w:sz w:val="18"/>
              </w:rPr>
            </w:pPr>
          </w:p>
        </w:tc>
        <w:tc>
          <w:tcPr>
            <w:tcW w:w="619" w:type="dxa"/>
          </w:tcPr>
          <w:p w14:paraId="338D1BD7" w14:textId="77777777" w:rsidR="0006278C" w:rsidRPr="0006278C" w:rsidRDefault="0006278C" w:rsidP="0006278C">
            <w:pPr>
              <w:spacing w:after="0" w:line="240" w:lineRule="auto"/>
              <w:jc w:val="center"/>
              <w:rPr>
                <w:rFonts w:ascii="Arial" w:hAnsi="Arial" w:cs="Arial"/>
                <w:sz w:val="18"/>
              </w:rPr>
            </w:pPr>
          </w:p>
        </w:tc>
        <w:tc>
          <w:tcPr>
            <w:tcW w:w="449" w:type="dxa"/>
          </w:tcPr>
          <w:p w14:paraId="4771C4B2" w14:textId="77777777" w:rsidR="0006278C" w:rsidRPr="0006278C" w:rsidRDefault="0006278C" w:rsidP="0006278C">
            <w:pPr>
              <w:spacing w:after="0" w:line="240" w:lineRule="auto"/>
              <w:jc w:val="center"/>
              <w:rPr>
                <w:rFonts w:ascii="Arial" w:hAnsi="Arial" w:cs="Arial"/>
                <w:sz w:val="18"/>
              </w:rPr>
            </w:pPr>
          </w:p>
        </w:tc>
        <w:tc>
          <w:tcPr>
            <w:tcW w:w="338" w:type="dxa"/>
          </w:tcPr>
          <w:p w14:paraId="7293C657" w14:textId="77777777" w:rsidR="0006278C" w:rsidRPr="0006278C" w:rsidRDefault="0006278C" w:rsidP="0006278C">
            <w:pPr>
              <w:spacing w:after="0" w:line="240" w:lineRule="auto"/>
              <w:jc w:val="center"/>
              <w:rPr>
                <w:rFonts w:ascii="Arial" w:hAnsi="Arial" w:cs="Arial"/>
                <w:sz w:val="18"/>
              </w:rPr>
            </w:pPr>
          </w:p>
        </w:tc>
        <w:tc>
          <w:tcPr>
            <w:tcW w:w="540" w:type="dxa"/>
          </w:tcPr>
          <w:p w14:paraId="2A2CE41A" w14:textId="77777777" w:rsidR="0006278C" w:rsidRPr="0006278C" w:rsidRDefault="0006278C" w:rsidP="0006278C">
            <w:pPr>
              <w:spacing w:after="0" w:line="240" w:lineRule="auto"/>
              <w:jc w:val="center"/>
              <w:rPr>
                <w:rFonts w:ascii="Arial" w:hAnsi="Arial" w:cs="Arial"/>
                <w:sz w:val="18"/>
              </w:rPr>
            </w:pPr>
          </w:p>
        </w:tc>
        <w:tc>
          <w:tcPr>
            <w:tcW w:w="540" w:type="dxa"/>
          </w:tcPr>
          <w:p w14:paraId="173793E3" w14:textId="77777777" w:rsidR="0006278C" w:rsidRPr="0006278C" w:rsidRDefault="0006278C" w:rsidP="0006278C">
            <w:pPr>
              <w:spacing w:after="0" w:line="240" w:lineRule="auto"/>
              <w:jc w:val="center"/>
              <w:rPr>
                <w:rFonts w:ascii="Arial" w:hAnsi="Arial" w:cs="Arial"/>
                <w:sz w:val="18"/>
              </w:rPr>
            </w:pPr>
          </w:p>
        </w:tc>
        <w:tc>
          <w:tcPr>
            <w:tcW w:w="450" w:type="dxa"/>
          </w:tcPr>
          <w:p w14:paraId="4A312828" w14:textId="77777777" w:rsidR="0006278C" w:rsidRPr="0006278C" w:rsidRDefault="0006278C" w:rsidP="0006278C">
            <w:pPr>
              <w:spacing w:after="0" w:line="240" w:lineRule="auto"/>
              <w:jc w:val="center"/>
              <w:rPr>
                <w:rFonts w:ascii="Arial" w:hAnsi="Arial" w:cs="Arial"/>
                <w:sz w:val="18"/>
              </w:rPr>
            </w:pPr>
          </w:p>
        </w:tc>
        <w:tc>
          <w:tcPr>
            <w:tcW w:w="360" w:type="dxa"/>
          </w:tcPr>
          <w:p w14:paraId="5ADE6550" w14:textId="77777777" w:rsidR="0006278C" w:rsidRPr="0006278C" w:rsidRDefault="0006278C" w:rsidP="0006278C">
            <w:pPr>
              <w:spacing w:after="0" w:line="240" w:lineRule="auto"/>
              <w:jc w:val="center"/>
              <w:rPr>
                <w:rFonts w:ascii="Arial" w:hAnsi="Arial" w:cs="Arial"/>
                <w:sz w:val="18"/>
              </w:rPr>
            </w:pPr>
          </w:p>
        </w:tc>
        <w:tc>
          <w:tcPr>
            <w:tcW w:w="636" w:type="dxa"/>
          </w:tcPr>
          <w:p w14:paraId="20E1A5A6" w14:textId="77777777" w:rsidR="0006278C" w:rsidRPr="0006278C" w:rsidRDefault="0006278C" w:rsidP="0006278C">
            <w:pPr>
              <w:spacing w:after="0" w:line="240" w:lineRule="auto"/>
              <w:jc w:val="center"/>
              <w:rPr>
                <w:rFonts w:ascii="Arial" w:hAnsi="Arial" w:cs="Arial"/>
                <w:sz w:val="18"/>
              </w:rPr>
            </w:pPr>
          </w:p>
        </w:tc>
        <w:tc>
          <w:tcPr>
            <w:tcW w:w="491" w:type="dxa"/>
          </w:tcPr>
          <w:p w14:paraId="0B9CA740" w14:textId="77777777" w:rsidR="0006278C" w:rsidRPr="0006278C" w:rsidRDefault="0006278C" w:rsidP="0006278C">
            <w:pPr>
              <w:spacing w:after="0" w:line="240" w:lineRule="auto"/>
              <w:jc w:val="center"/>
              <w:rPr>
                <w:rFonts w:ascii="Arial" w:hAnsi="Arial" w:cs="Arial"/>
                <w:sz w:val="18"/>
              </w:rPr>
            </w:pPr>
          </w:p>
        </w:tc>
        <w:tc>
          <w:tcPr>
            <w:tcW w:w="493" w:type="dxa"/>
          </w:tcPr>
          <w:p w14:paraId="13C902D7" w14:textId="77777777" w:rsidR="0006278C" w:rsidRPr="0006278C" w:rsidRDefault="0006278C" w:rsidP="0006278C">
            <w:pPr>
              <w:spacing w:after="0" w:line="240" w:lineRule="auto"/>
              <w:jc w:val="center"/>
              <w:rPr>
                <w:rFonts w:ascii="Arial" w:hAnsi="Arial" w:cs="Arial"/>
                <w:sz w:val="18"/>
              </w:rPr>
            </w:pPr>
          </w:p>
        </w:tc>
        <w:tc>
          <w:tcPr>
            <w:tcW w:w="540" w:type="dxa"/>
          </w:tcPr>
          <w:p w14:paraId="217EBB9D" w14:textId="77777777" w:rsidR="0006278C" w:rsidRPr="0006278C" w:rsidRDefault="0006278C" w:rsidP="0006278C">
            <w:pPr>
              <w:spacing w:after="0" w:line="240" w:lineRule="auto"/>
              <w:jc w:val="center"/>
              <w:rPr>
                <w:rFonts w:ascii="Arial" w:hAnsi="Arial" w:cs="Arial"/>
                <w:sz w:val="18"/>
              </w:rPr>
            </w:pPr>
          </w:p>
        </w:tc>
        <w:tc>
          <w:tcPr>
            <w:tcW w:w="450" w:type="dxa"/>
          </w:tcPr>
          <w:p w14:paraId="15F030C8" w14:textId="77777777" w:rsidR="0006278C" w:rsidRPr="0006278C" w:rsidRDefault="0006278C" w:rsidP="0006278C">
            <w:pPr>
              <w:spacing w:after="0" w:line="240" w:lineRule="auto"/>
              <w:jc w:val="center"/>
              <w:rPr>
                <w:rFonts w:ascii="Arial" w:hAnsi="Arial" w:cs="Arial"/>
                <w:sz w:val="18"/>
              </w:rPr>
            </w:pPr>
          </w:p>
        </w:tc>
        <w:tc>
          <w:tcPr>
            <w:tcW w:w="540" w:type="dxa"/>
          </w:tcPr>
          <w:p w14:paraId="3A8C2BB8" w14:textId="77777777" w:rsidR="0006278C" w:rsidRPr="0006278C" w:rsidRDefault="0006278C" w:rsidP="0006278C">
            <w:pPr>
              <w:spacing w:after="0" w:line="240" w:lineRule="auto"/>
              <w:jc w:val="center"/>
              <w:rPr>
                <w:rFonts w:ascii="Arial" w:hAnsi="Arial" w:cs="Arial"/>
                <w:sz w:val="18"/>
              </w:rPr>
            </w:pPr>
          </w:p>
        </w:tc>
      </w:tr>
      <w:tr w:rsidR="00864968" w:rsidRPr="0006278C" w14:paraId="540BA96E" w14:textId="77777777" w:rsidTr="00864968">
        <w:tc>
          <w:tcPr>
            <w:tcW w:w="567" w:type="dxa"/>
          </w:tcPr>
          <w:p w14:paraId="7F2FC6D3" w14:textId="77777777" w:rsidR="0006278C" w:rsidRPr="0006278C" w:rsidRDefault="0006278C" w:rsidP="004304E6">
            <w:pPr>
              <w:spacing w:after="0" w:line="240" w:lineRule="auto"/>
              <w:rPr>
                <w:rFonts w:ascii="Arial" w:hAnsi="Arial" w:cs="Arial"/>
                <w:sz w:val="18"/>
              </w:rPr>
            </w:pPr>
            <w:r w:rsidRPr="0006278C">
              <w:rPr>
                <w:rFonts w:ascii="Arial" w:hAnsi="Arial" w:cs="Arial"/>
                <w:sz w:val="18"/>
              </w:rPr>
              <w:t>22.1</w:t>
            </w:r>
          </w:p>
        </w:tc>
        <w:tc>
          <w:tcPr>
            <w:tcW w:w="2194" w:type="dxa"/>
          </w:tcPr>
          <w:p w14:paraId="66EB8270" w14:textId="77777777" w:rsidR="0006278C" w:rsidRPr="0006278C" w:rsidRDefault="0006278C" w:rsidP="0006278C">
            <w:pPr>
              <w:spacing w:after="0" w:line="240" w:lineRule="auto"/>
              <w:rPr>
                <w:rFonts w:ascii="Arial" w:hAnsi="Arial" w:cs="Arial"/>
                <w:sz w:val="18"/>
              </w:rPr>
            </w:pPr>
            <w:r w:rsidRPr="0006278C">
              <w:rPr>
                <w:rFonts w:ascii="Arial" w:hAnsi="Arial" w:cs="Arial"/>
                <w:sz w:val="18"/>
              </w:rPr>
              <w:t>Child vaccination</w:t>
            </w:r>
          </w:p>
        </w:tc>
        <w:tc>
          <w:tcPr>
            <w:tcW w:w="429" w:type="dxa"/>
          </w:tcPr>
          <w:p w14:paraId="73F7F134" w14:textId="77777777" w:rsidR="0006278C" w:rsidRPr="0006278C" w:rsidRDefault="0006278C" w:rsidP="0006278C">
            <w:pPr>
              <w:spacing w:after="0" w:line="240" w:lineRule="auto"/>
              <w:jc w:val="center"/>
              <w:rPr>
                <w:rFonts w:ascii="Arial" w:hAnsi="Arial" w:cs="Arial"/>
                <w:sz w:val="18"/>
              </w:rPr>
            </w:pPr>
          </w:p>
        </w:tc>
        <w:tc>
          <w:tcPr>
            <w:tcW w:w="619" w:type="dxa"/>
          </w:tcPr>
          <w:p w14:paraId="09ED5506" w14:textId="77777777" w:rsidR="0006278C" w:rsidRPr="0006278C" w:rsidRDefault="0006278C" w:rsidP="0006278C">
            <w:pPr>
              <w:spacing w:after="0" w:line="240" w:lineRule="auto"/>
              <w:jc w:val="center"/>
              <w:rPr>
                <w:rFonts w:ascii="Arial" w:hAnsi="Arial" w:cs="Arial"/>
                <w:sz w:val="18"/>
              </w:rPr>
            </w:pPr>
          </w:p>
        </w:tc>
        <w:tc>
          <w:tcPr>
            <w:tcW w:w="619" w:type="dxa"/>
          </w:tcPr>
          <w:p w14:paraId="70E387D7" w14:textId="77777777" w:rsidR="0006278C" w:rsidRPr="0006278C" w:rsidRDefault="0006278C" w:rsidP="0006278C">
            <w:pPr>
              <w:spacing w:after="0" w:line="240" w:lineRule="auto"/>
              <w:jc w:val="center"/>
              <w:rPr>
                <w:rFonts w:ascii="Arial" w:hAnsi="Arial" w:cs="Arial"/>
                <w:sz w:val="18"/>
              </w:rPr>
            </w:pPr>
          </w:p>
        </w:tc>
        <w:tc>
          <w:tcPr>
            <w:tcW w:w="449" w:type="dxa"/>
          </w:tcPr>
          <w:p w14:paraId="63DF39F1" w14:textId="77777777" w:rsidR="0006278C" w:rsidRPr="0006278C" w:rsidRDefault="0006278C" w:rsidP="0006278C">
            <w:pPr>
              <w:spacing w:after="0" w:line="240" w:lineRule="auto"/>
              <w:jc w:val="center"/>
              <w:rPr>
                <w:rFonts w:ascii="Arial" w:hAnsi="Arial" w:cs="Arial"/>
                <w:sz w:val="18"/>
              </w:rPr>
            </w:pPr>
          </w:p>
        </w:tc>
        <w:tc>
          <w:tcPr>
            <w:tcW w:w="338" w:type="dxa"/>
          </w:tcPr>
          <w:p w14:paraId="05BEAFB1" w14:textId="77777777" w:rsidR="0006278C" w:rsidRPr="0006278C" w:rsidRDefault="0006278C" w:rsidP="0006278C">
            <w:pPr>
              <w:spacing w:after="0" w:line="240" w:lineRule="auto"/>
              <w:jc w:val="center"/>
              <w:rPr>
                <w:rFonts w:ascii="Arial" w:hAnsi="Arial" w:cs="Arial"/>
                <w:sz w:val="18"/>
              </w:rPr>
            </w:pPr>
          </w:p>
        </w:tc>
        <w:tc>
          <w:tcPr>
            <w:tcW w:w="540" w:type="dxa"/>
          </w:tcPr>
          <w:p w14:paraId="7F66C44E" w14:textId="77777777" w:rsidR="0006278C" w:rsidRPr="0006278C" w:rsidRDefault="0006278C" w:rsidP="0006278C">
            <w:pPr>
              <w:spacing w:after="0" w:line="240" w:lineRule="auto"/>
              <w:jc w:val="center"/>
              <w:rPr>
                <w:rFonts w:ascii="Arial" w:hAnsi="Arial" w:cs="Arial"/>
                <w:sz w:val="18"/>
              </w:rPr>
            </w:pPr>
          </w:p>
        </w:tc>
        <w:tc>
          <w:tcPr>
            <w:tcW w:w="540" w:type="dxa"/>
          </w:tcPr>
          <w:p w14:paraId="2485EE95" w14:textId="77777777" w:rsidR="0006278C" w:rsidRPr="0006278C" w:rsidRDefault="0006278C" w:rsidP="0006278C">
            <w:pPr>
              <w:spacing w:after="0" w:line="240" w:lineRule="auto"/>
              <w:jc w:val="center"/>
              <w:rPr>
                <w:rFonts w:ascii="Arial" w:hAnsi="Arial" w:cs="Arial"/>
                <w:sz w:val="18"/>
              </w:rPr>
            </w:pPr>
          </w:p>
        </w:tc>
        <w:tc>
          <w:tcPr>
            <w:tcW w:w="450" w:type="dxa"/>
          </w:tcPr>
          <w:p w14:paraId="411E828D" w14:textId="77777777" w:rsidR="0006278C" w:rsidRPr="0006278C" w:rsidRDefault="0006278C" w:rsidP="0006278C">
            <w:pPr>
              <w:spacing w:after="0" w:line="240" w:lineRule="auto"/>
              <w:jc w:val="center"/>
              <w:rPr>
                <w:rFonts w:ascii="Arial" w:hAnsi="Arial" w:cs="Arial"/>
                <w:sz w:val="18"/>
              </w:rPr>
            </w:pPr>
          </w:p>
        </w:tc>
        <w:tc>
          <w:tcPr>
            <w:tcW w:w="360" w:type="dxa"/>
          </w:tcPr>
          <w:p w14:paraId="4A832C72" w14:textId="77777777" w:rsidR="0006278C" w:rsidRPr="0006278C" w:rsidRDefault="0006278C" w:rsidP="0006278C">
            <w:pPr>
              <w:spacing w:after="0" w:line="240" w:lineRule="auto"/>
              <w:jc w:val="center"/>
              <w:rPr>
                <w:rFonts w:ascii="Arial" w:hAnsi="Arial" w:cs="Arial"/>
                <w:sz w:val="18"/>
              </w:rPr>
            </w:pPr>
          </w:p>
        </w:tc>
        <w:tc>
          <w:tcPr>
            <w:tcW w:w="636" w:type="dxa"/>
          </w:tcPr>
          <w:p w14:paraId="254CE75C" w14:textId="77777777" w:rsidR="0006278C" w:rsidRPr="0006278C" w:rsidRDefault="0006278C" w:rsidP="0006278C">
            <w:pPr>
              <w:spacing w:after="0" w:line="240" w:lineRule="auto"/>
              <w:jc w:val="center"/>
              <w:rPr>
                <w:rFonts w:ascii="Arial" w:hAnsi="Arial" w:cs="Arial"/>
                <w:sz w:val="18"/>
              </w:rPr>
            </w:pPr>
          </w:p>
        </w:tc>
        <w:tc>
          <w:tcPr>
            <w:tcW w:w="491" w:type="dxa"/>
          </w:tcPr>
          <w:p w14:paraId="12547503" w14:textId="77777777" w:rsidR="0006278C" w:rsidRPr="0006278C" w:rsidRDefault="0006278C" w:rsidP="0006278C">
            <w:pPr>
              <w:spacing w:after="0" w:line="240" w:lineRule="auto"/>
              <w:jc w:val="center"/>
              <w:rPr>
                <w:rFonts w:ascii="Arial" w:hAnsi="Arial" w:cs="Arial"/>
                <w:sz w:val="18"/>
              </w:rPr>
            </w:pPr>
          </w:p>
        </w:tc>
        <w:tc>
          <w:tcPr>
            <w:tcW w:w="493" w:type="dxa"/>
          </w:tcPr>
          <w:p w14:paraId="4D19BD98" w14:textId="77777777" w:rsidR="0006278C" w:rsidRPr="0006278C" w:rsidRDefault="0006278C" w:rsidP="0006278C">
            <w:pPr>
              <w:spacing w:after="0" w:line="240" w:lineRule="auto"/>
              <w:jc w:val="center"/>
              <w:rPr>
                <w:rFonts w:ascii="Arial" w:hAnsi="Arial" w:cs="Arial"/>
                <w:sz w:val="18"/>
              </w:rPr>
            </w:pPr>
          </w:p>
        </w:tc>
        <w:tc>
          <w:tcPr>
            <w:tcW w:w="540" w:type="dxa"/>
          </w:tcPr>
          <w:p w14:paraId="6F8B5153" w14:textId="77777777" w:rsidR="0006278C" w:rsidRPr="0006278C" w:rsidRDefault="0006278C" w:rsidP="0006278C">
            <w:pPr>
              <w:spacing w:after="0" w:line="240" w:lineRule="auto"/>
              <w:jc w:val="center"/>
              <w:rPr>
                <w:rFonts w:ascii="Arial" w:hAnsi="Arial" w:cs="Arial"/>
                <w:sz w:val="18"/>
              </w:rPr>
            </w:pPr>
          </w:p>
        </w:tc>
        <w:tc>
          <w:tcPr>
            <w:tcW w:w="450" w:type="dxa"/>
          </w:tcPr>
          <w:p w14:paraId="4EBBC693" w14:textId="77777777" w:rsidR="0006278C" w:rsidRPr="0006278C" w:rsidRDefault="0006278C" w:rsidP="0006278C">
            <w:pPr>
              <w:spacing w:after="0" w:line="240" w:lineRule="auto"/>
              <w:jc w:val="center"/>
              <w:rPr>
                <w:rFonts w:ascii="Arial" w:hAnsi="Arial" w:cs="Arial"/>
                <w:sz w:val="18"/>
              </w:rPr>
            </w:pPr>
          </w:p>
        </w:tc>
        <w:tc>
          <w:tcPr>
            <w:tcW w:w="540" w:type="dxa"/>
          </w:tcPr>
          <w:p w14:paraId="14BDE520"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r>
      <w:tr w:rsidR="00864968" w:rsidRPr="0006278C" w14:paraId="2B95C2DD" w14:textId="77777777" w:rsidTr="00864968">
        <w:tc>
          <w:tcPr>
            <w:tcW w:w="567" w:type="dxa"/>
          </w:tcPr>
          <w:p w14:paraId="5E6FD2A0" w14:textId="77777777" w:rsidR="0006278C" w:rsidRPr="0006278C" w:rsidRDefault="0006278C" w:rsidP="004304E6">
            <w:pPr>
              <w:spacing w:after="0" w:line="240" w:lineRule="auto"/>
              <w:rPr>
                <w:rFonts w:ascii="Arial" w:hAnsi="Arial" w:cs="Arial"/>
                <w:sz w:val="18"/>
              </w:rPr>
            </w:pPr>
            <w:r w:rsidRPr="0006278C">
              <w:rPr>
                <w:rFonts w:ascii="Arial" w:hAnsi="Arial" w:cs="Arial"/>
                <w:sz w:val="18"/>
              </w:rPr>
              <w:t>22.2</w:t>
            </w:r>
          </w:p>
        </w:tc>
        <w:tc>
          <w:tcPr>
            <w:tcW w:w="2194" w:type="dxa"/>
          </w:tcPr>
          <w:p w14:paraId="02F03306" w14:textId="77777777" w:rsidR="0006278C" w:rsidRPr="0006278C" w:rsidRDefault="0006278C" w:rsidP="0006278C">
            <w:pPr>
              <w:spacing w:after="0" w:line="240" w:lineRule="auto"/>
              <w:rPr>
                <w:rFonts w:ascii="Arial" w:hAnsi="Arial" w:cs="Arial"/>
                <w:sz w:val="18"/>
              </w:rPr>
            </w:pPr>
            <w:r w:rsidRPr="0006278C">
              <w:rPr>
                <w:rFonts w:ascii="Arial" w:hAnsi="Arial" w:cs="Arial"/>
                <w:sz w:val="18"/>
              </w:rPr>
              <w:t>Flu vaccination</w:t>
            </w:r>
          </w:p>
        </w:tc>
        <w:tc>
          <w:tcPr>
            <w:tcW w:w="429" w:type="dxa"/>
          </w:tcPr>
          <w:p w14:paraId="53E21A10" w14:textId="77777777" w:rsidR="0006278C" w:rsidRPr="0006278C" w:rsidRDefault="0006278C" w:rsidP="0006278C">
            <w:pPr>
              <w:spacing w:after="0" w:line="240" w:lineRule="auto"/>
              <w:jc w:val="center"/>
              <w:rPr>
                <w:rFonts w:ascii="Arial" w:hAnsi="Arial" w:cs="Arial"/>
                <w:sz w:val="18"/>
              </w:rPr>
            </w:pPr>
          </w:p>
        </w:tc>
        <w:tc>
          <w:tcPr>
            <w:tcW w:w="619" w:type="dxa"/>
          </w:tcPr>
          <w:p w14:paraId="240EAA17" w14:textId="77777777" w:rsidR="0006278C" w:rsidRPr="0006278C" w:rsidRDefault="0006278C" w:rsidP="0006278C">
            <w:pPr>
              <w:spacing w:after="0" w:line="240" w:lineRule="auto"/>
              <w:jc w:val="center"/>
              <w:rPr>
                <w:rFonts w:ascii="Arial" w:hAnsi="Arial" w:cs="Arial"/>
                <w:sz w:val="18"/>
              </w:rPr>
            </w:pPr>
          </w:p>
        </w:tc>
        <w:tc>
          <w:tcPr>
            <w:tcW w:w="619" w:type="dxa"/>
          </w:tcPr>
          <w:p w14:paraId="619FE967" w14:textId="77777777" w:rsidR="0006278C" w:rsidRPr="0006278C" w:rsidRDefault="0006278C" w:rsidP="0006278C">
            <w:pPr>
              <w:spacing w:after="0" w:line="240" w:lineRule="auto"/>
              <w:jc w:val="center"/>
              <w:rPr>
                <w:rFonts w:ascii="Arial" w:hAnsi="Arial" w:cs="Arial"/>
                <w:sz w:val="18"/>
              </w:rPr>
            </w:pPr>
          </w:p>
        </w:tc>
        <w:tc>
          <w:tcPr>
            <w:tcW w:w="449" w:type="dxa"/>
          </w:tcPr>
          <w:p w14:paraId="4ECA0556" w14:textId="77777777" w:rsidR="0006278C" w:rsidRPr="0006278C" w:rsidRDefault="0006278C" w:rsidP="0006278C">
            <w:pPr>
              <w:spacing w:after="0" w:line="240" w:lineRule="auto"/>
              <w:jc w:val="center"/>
              <w:rPr>
                <w:rFonts w:ascii="Arial" w:hAnsi="Arial" w:cs="Arial"/>
                <w:sz w:val="18"/>
              </w:rPr>
            </w:pPr>
          </w:p>
        </w:tc>
        <w:tc>
          <w:tcPr>
            <w:tcW w:w="338" w:type="dxa"/>
          </w:tcPr>
          <w:p w14:paraId="373B83D1" w14:textId="77777777" w:rsidR="0006278C" w:rsidRPr="0006278C" w:rsidRDefault="0006278C" w:rsidP="0006278C">
            <w:pPr>
              <w:spacing w:after="0" w:line="240" w:lineRule="auto"/>
              <w:jc w:val="center"/>
              <w:rPr>
                <w:rFonts w:ascii="Arial" w:hAnsi="Arial" w:cs="Arial"/>
                <w:sz w:val="18"/>
              </w:rPr>
            </w:pPr>
          </w:p>
        </w:tc>
        <w:tc>
          <w:tcPr>
            <w:tcW w:w="540" w:type="dxa"/>
          </w:tcPr>
          <w:p w14:paraId="013CBF06" w14:textId="77777777" w:rsidR="0006278C" w:rsidRPr="0006278C" w:rsidRDefault="0006278C" w:rsidP="0006278C">
            <w:pPr>
              <w:spacing w:after="0" w:line="240" w:lineRule="auto"/>
              <w:jc w:val="center"/>
              <w:rPr>
                <w:rFonts w:ascii="Arial" w:hAnsi="Arial" w:cs="Arial"/>
                <w:sz w:val="18"/>
              </w:rPr>
            </w:pPr>
          </w:p>
        </w:tc>
        <w:tc>
          <w:tcPr>
            <w:tcW w:w="540" w:type="dxa"/>
          </w:tcPr>
          <w:p w14:paraId="1278F158" w14:textId="77777777" w:rsidR="0006278C" w:rsidRPr="0006278C" w:rsidRDefault="0006278C" w:rsidP="0006278C">
            <w:pPr>
              <w:spacing w:after="0" w:line="240" w:lineRule="auto"/>
              <w:jc w:val="center"/>
              <w:rPr>
                <w:rFonts w:ascii="Arial" w:hAnsi="Arial" w:cs="Arial"/>
                <w:sz w:val="18"/>
              </w:rPr>
            </w:pPr>
          </w:p>
        </w:tc>
        <w:tc>
          <w:tcPr>
            <w:tcW w:w="450" w:type="dxa"/>
          </w:tcPr>
          <w:p w14:paraId="44CF7E3C" w14:textId="77777777" w:rsidR="0006278C" w:rsidRPr="0006278C" w:rsidRDefault="0006278C" w:rsidP="0006278C">
            <w:pPr>
              <w:spacing w:after="0" w:line="240" w:lineRule="auto"/>
              <w:jc w:val="center"/>
              <w:rPr>
                <w:rFonts w:ascii="Arial" w:hAnsi="Arial" w:cs="Arial"/>
                <w:sz w:val="18"/>
              </w:rPr>
            </w:pPr>
          </w:p>
        </w:tc>
        <w:tc>
          <w:tcPr>
            <w:tcW w:w="360" w:type="dxa"/>
          </w:tcPr>
          <w:p w14:paraId="672A8ACA" w14:textId="77777777" w:rsidR="0006278C" w:rsidRPr="0006278C" w:rsidRDefault="0006278C" w:rsidP="0006278C">
            <w:pPr>
              <w:spacing w:after="0" w:line="240" w:lineRule="auto"/>
              <w:jc w:val="center"/>
              <w:rPr>
                <w:rFonts w:ascii="Arial" w:hAnsi="Arial" w:cs="Arial"/>
                <w:sz w:val="18"/>
              </w:rPr>
            </w:pPr>
          </w:p>
        </w:tc>
        <w:tc>
          <w:tcPr>
            <w:tcW w:w="636" w:type="dxa"/>
          </w:tcPr>
          <w:p w14:paraId="661B585F"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491" w:type="dxa"/>
          </w:tcPr>
          <w:p w14:paraId="421A316B" w14:textId="77777777" w:rsidR="0006278C" w:rsidRPr="0006278C" w:rsidRDefault="0006278C" w:rsidP="0006278C">
            <w:pPr>
              <w:spacing w:after="0" w:line="240" w:lineRule="auto"/>
              <w:jc w:val="center"/>
              <w:rPr>
                <w:rFonts w:ascii="Arial" w:hAnsi="Arial" w:cs="Arial"/>
                <w:sz w:val="18"/>
              </w:rPr>
            </w:pPr>
          </w:p>
        </w:tc>
        <w:tc>
          <w:tcPr>
            <w:tcW w:w="493" w:type="dxa"/>
          </w:tcPr>
          <w:p w14:paraId="01E6A7D9" w14:textId="77777777" w:rsidR="0006278C" w:rsidRPr="0006278C" w:rsidRDefault="0006278C" w:rsidP="0006278C">
            <w:pPr>
              <w:spacing w:after="0" w:line="240" w:lineRule="auto"/>
              <w:jc w:val="center"/>
              <w:rPr>
                <w:rFonts w:ascii="Arial" w:hAnsi="Arial" w:cs="Arial"/>
                <w:sz w:val="18"/>
              </w:rPr>
            </w:pPr>
          </w:p>
        </w:tc>
        <w:tc>
          <w:tcPr>
            <w:tcW w:w="540" w:type="dxa"/>
          </w:tcPr>
          <w:p w14:paraId="08C1D85F" w14:textId="77777777" w:rsidR="0006278C" w:rsidRPr="0006278C" w:rsidRDefault="0006278C" w:rsidP="0006278C">
            <w:pPr>
              <w:spacing w:after="0" w:line="240" w:lineRule="auto"/>
              <w:jc w:val="center"/>
              <w:rPr>
                <w:rFonts w:ascii="Arial" w:hAnsi="Arial" w:cs="Arial"/>
                <w:sz w:val="18"/>
              </w:rPr>
            </w:pPr>
          </w:p>
        </w:tc>
        <w:tc>
          <w:tcPr>
            <w:tcW w:w="450" w:type="dxa"/>
          </w:tcPr>
          <w:p w14:paraId="0F967242" w14:textId="77777777" w:rsidR="0006278C" w:rsidRPr="0006278C" w:rsidRDefault="0006278C" w:rsidP="0006278C">
            <w:pPr>
              <w:spacing w:after="0" w:line="240" w:lineRule="auto"/>
              <w:jc w:val="center"/>
              <w:rPr>
                <w:rFonts w:ascii="Arial" w:hAnsi="Arial" w:cs="Arial"/>
                <w:sz w:val="18"/>
              </w:rPr>
            </w:pPr>
          </w:p>
        </w:tc>
        <w:tc>
          <w:tcPr>
            <w:tcW w:w="540" w:type="dxa"/>
          </w:tcPr>
          <w:p w14:paraId="19AA0BDC"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r>
      <w:tr w:rsidR="00864968" w:rsidRPr="0006278C" w14:paraId="1A0AF190" w14:textId="77777777" w:rsidTr="00864968">
        <w:tc>
          <w:tcPr>
            <w:tcW w:w="567" w:type="dxa"/>
          </w:tcPr>
          <w:p w14:paraId="2B616281" w14:textId="77777777" w:rsidR="0006278C" w:rsidRPr="0006278C" w:rsidRDefault="0006278C" w:rsidP="004304E6">
            <w:pPr>
              <w:spacing w:after="0" w:line="240" w:lineRule="auto"/>
              <w:rPr>
                <w:rFonts w:ascii="Arial" w:hAnsi="Arial" w:cs="Arial"/>
                <w:sz w:val="18"/>
              </w:rPr>
            </w:pPr>
            <w:r w:rsidRPr="0006278C">
              <w:rPr>
                <w:rFonts w:ascii="Arial" w:hAnsi="Arial" w:cs="Arial"/>
                <w:sz w:val="18"/>
              </w:rPr>
              <w:t>22.3</w:t>
            </w:r>
          </w:p>
        </w:tc>
        <w:tc>
          <w:tcPr>
            <w:tcW w:w="2194" w:type="dxa"/>
          </w:tcPr>
          <w:p w14:paraId="520CB243" w14:textId="77777777" w:rsidR="0006278C" w:rsidRPr="0006278C" w:rsidRDefault="0006278C" w:rsidP="0006278C">
            <w:pPr>
              <w:spacing w:after="0" w:line="240" w:lineRule="auto"/>
              <w:rPr>
                <w:rFonts w:ascii="Arial" w:hAnsi="Arial" w:cs="Arial"/>
                <w:sz w:val="18"/>
              </w:rPr>
            </w:pPr>
            <w:r w:rsidRPr="0006278C">
              <w:rPr>
                <w:rFonts w:ascii="Arial" w:hAnsi="Arial" w:cs="Arial"/>
                <w:sz w:val="18"/>
              </w:rPr>
              <w:t>HPV vaccination</w:t>
            </w:r>
          </w:p>
        </w:tc>
        <w:tc>
          <w:tcPr>
            <w:tcW w:w="429" w:type="dxa"/>
          </w:tcPr>
          <w:p w14:paraId="4C1F89CC" w14:textId="77777777" w:rsidR="0006278C" w:rsidRPr="0006278C" w:rsidRDefault="0006278C" w:rsidP="0006278C">
            <w:pPr>
              <w:spacing w:after="0" w:line="240" w:lineRule="auto"/>
              <w:jc w:val="center"/>
              <w:rPr>
                <w:rFonts w:ascii="Arial" w:hAnsi="Arial" w:cs="Arial"/>
                <w:sz w:val="18"/>
              </w:rPr>
            </w:pPr>
          </w:p>
        </w:tc>
        <w:tc>
          <w:tcPr>
            <w:tcW w:w="619" w:type="dxa"/>
          </w:tcPr>
          <w:p w14:paraId="70F623FC" w14:textId="77777777" w:rsidR="0006278C" w:rsidRPr="0006278C" w:rsidRDefault="0006278C" w:rsidP="0006278C">
            <w:pPr>
              <w:spacing w:after="0" w:line="240" w:lineRule="auto"/>
              <w:jc w:val="center"/>
              <w:rPr>
                <w:rFonts w:ascii="Arial" w:hAnsi="Arial" w:cs="Arial"/>
                <w:sz w:val="18"/>
              </w:rPr>
            </w:pPr>
          </w:p>
        </w:tc>
        <w:tc>
          <w:tcPr>
            <w:tcW w:w="619" w:type="dxa"/>
          </w:tcPr>
          <w:p w14:paraId="2DCF6253" w14:textId="77777777" w:rsidR="0006278C" w:rsidRPr="0006278C" w:rsidRDefault="0006278C" w:rsidP="0006278C">
            <w:pPr>
              <w:spacing w:after="0" w:line="240" w:lineRule="auto"/>
              <w:jc w:val="center"/>
              <w:rPr>
                <w:rFonts w:ascii="Arial" w:hAnsi="Arial" w:cs="Arial"/>
                <w:sz w:val="18"/>
              </w:rPr>
            </w:pPr>
          </w:p>
        </w:tc>
        <w:tc>
          <w:tcPr>
            <w:tcW w:w="449" w:type="dxa"/>
          </w:tcPr>
          <w:p w14:paraId="07FBD3A9" w14:textId="77777777" w:rsidR="0006278C" w:rsidRPr="0006278C" w:rsidRDefault="0006278C" w:rsidP="0006278C">
            <w:pPr>
              <w:spacing w:after="0" w:line="240" w:lineRule="auto"/>
              <w:jc w:val="center"/>
              <w:rPr>
                <w:rFonts w:ascii="Arial" w:hAnsi="Arial" w:cs="Arial"/>
                <w:sz w:val="18"/>
              </w:rPr>
            </w:pPr>
          </w:p>
        </w:tc>
        <w:tc>
          <w:tcPr>
            <w:tcW w:w="338" w:type="dxa"/>
          </w:tcPr>
          <w:p w14:paraId="62F3B523" w14:textId="77777777" w:rsidR="0006278C" w:rsidRPr="0006278C" w:rsidRDefault="0006278C" w:rsidP="0006278C">
            <w:pPr>
              <w:spacing w:after="0" w:line="240" w:lineRule="auto"/>
              <w:jc w:val="center"/>
              <w:rPr>
                <w:rFonts w:ascii="Arial" w:hAnsi="Arial" w:cs="Arial"/>
                <w:sz w:val="18"/>
              </w:rPr>
            </w:pPr>
          </w:p>
        </w:tc>
        <w:tc>
          <w:tcPr>
            <w:tcW w:w="540" w:type="dxa"/>
          </w:tcPr>
          <w:p w14:paraId="3A78E924" w14:textId="77777777" w:rsidR="0006278C" w:rsidRPr="0006278C" w:rsidRDefault="0006278C" w:rsidP="0006278C">
            <w:pPr>
              <w:spacing w:after="0" w:line="240" w:lineRule="auto"/>
              <w:jc w:val="center"/>
              <w:rPr>
                <w:rFonts w:ascii="Arial" w:hAnsi="Arial" w:cs="Arial"/>
                <w:sz w:val="18"/>
              </w:rPr>
            </w:pPr>
          </w:p>
        </w:tc>
        <w:tc>
          <w:tcPr>
            <w:tcW w:w="540" w:type="dxa"/>
          </w:tcPr>
          <w:p w14:paraId="4B94D35C" w14:textId="77777777" w:rsidR="0006278C" w:rsidRPr="0006278C" w:rsidRDefault="0006278C" w:rsidP="0006278C">
            <w:pPr>
              <w:spacing w:after="0" w:line="240" w:lineRule="auto"/>
              <w:jc w:val="center"/>
              <w:rPr>
                <w:rFonts w:ascii="Arial" w:hAnsi="Arial" w:cs="Arial"/>
                <w:sz w:val="18"/>
              </w:rPr>
            </w:pPr>
          </w:p>
        </w:tc>
        <w:tc>
          <w:tcPr>
            <w:tcW w:w="450" w:type="dxa"/>
          </w:tcPr>
          <w:p w14:paraId="277D3CA0" w14:textId="77777777" w:rsidR="0006278C" w:rsidRPr="0006278C" w:rsidRDefault="0006278C" w:rsidP="0006278C">
            <w:pPr>
              <w:spacing w:after="0" w:line="240" w:lineRule="auto"/>
              <w:jc w:val="center"/>
              <w:rPr>
                <w:rFonts w:ascii="Arial" w:hAnsi="Arial" w:cs="Arial"/>
                <w:sz w:val="18"/>
              </w:rPr>
            </w:pPr>
          </w:p>
        </w:tc>
        <w:tc>
          <w:tcPr>
            <w:tcW w:w="360" w:type="dxa"/>
          </w:tcPr>
          <w:p w14:paraId="0A8B958D" w14:textId="77777777" w:rsidR="0006278C" w:rsidRPr="0006278C" w:rsidRDefault="0006278C" w:rsidP="0006278C">
            <w:pPr>
              <w:spacing w:after="0" w:line="240" w:lineRule="auto"/>
              <w:jc w:val="center"/>
              <w:rPr>
                <w:rFonts w:ascii="Arial" w:hAnsi="Arial" w:cs="Arial"/>
                <w:sz w:val="18"/>
              </w:rPr>
            </w:pPr>
          </w:p>
        </w:tc>
        <w:tc>
          <w:tcPr>
            <w:tcW w:w="636" w:type="dxa"/>
          </w:tcPr>
          <w:p w14:paraId="27F50A61"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491" w:type="dxa"/>
          </w:tcPr>
          <w:p w14:paraId="7E9C0200" w14:textId="77777777" w:rsidR="0006278C" w:rsidRPr="0006278C" w:rsidRDefault="0006278C" w:rsidP="0006278C">
            <w:pPr>
              <w:spacing w:after="0" w:line="240" w:lineRule="auto"/>
              <w:jc w:val="center"/>
              <w:rPr>
                <w:rFonts w:ascii="Arial" w:hAnsi="Arial" w:cs="Arial"/>
                <w:sz w:val="18"/>
              </w:rPr>
            </w:pPr>
          </w:p>
        </w:tc>
        <w:tc>
          <w:tcPr>
            <w:tcW w:w="493" w:type="dxa"/>
          </w:tcPr>
          <w:p w14:paraId="4205C73D" w14:textId="77777777" w:rsidR="0006278C" w:rsidRPr="0006278C" w:rsidRDefault="0006278C" w:rsidP="0006278C">
            <w:pPr>
              <w:spacing w:after="0" w:line="240" w:lineRule="auto"/>
              <w:jc w:val="center"/>
              <w:rPr>
                <w:rFonts w:ascii="Arial" w:hAnsi="Arial" w:cs="Arial"/>
                <w:sz w:val="18"/>
              </w:rPr>
            </w:pPr>
          </w:p>
        </w:tc>
        <w:tc>
          <w:tcPr>
            <w:tcW w:w="540" w:type="dxa"/>
          </w:tcPr>
          <w:p w14:paraId="72B95822" w14:textId="77777777" w:rsidR="0006278C" w:rsidRPr="0006278C" w:rsidRDefault="0006278C" w:rsidP="0006278C">
            <w:pPr>
              <w:spacing w:after="0" w:line="240" w:lineRule="auto"/>
              <w:jc w:val="center"/>
              <w:rPr>
                <w:rFonts w:ascii="Arial" w:hAnsi="Arial" w:cs="Arial"/>
                <w:sz w:val="18"/>
              </w:rPr>
            </w:pPr>
          </w:p>
        </w:tc>
        <w:tc>
          <w:tcPr>
            <w:tcW w:w="450" w:type="dxa"/>
          </w:tcPr>
          <w:p w14:paraId="4B76FC8C" w14:textId="77777777" w:rsidR="0006278C" w:rsidRPr="0006278C" w:rsidRDefault="0006278C" w:rsidP="0006278C">
            <w:pPr>
              <w:spacing w:after="0" w:line="240" w:lineRule="auto"/>
              <w:jc w:val="center"/>
              <w:rPr>
                <w:rFonts w:ascii="Arial" w:hAnsi="Arial" w:cs="Arial"/>
                <w:sz w:val="18"/>
              </w:rPr>
            </w:pPr>
          </w:p>
        </w:tc>
        <w:tc>
          <w:tcPr>
            <w:tcW w:w="540" w:type="dxa"/>
          </w:tcPr>
          <w:p w14:paraId="2EC36BCA"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r>
      <w:tr w:rsidR="00864968" w:rsidRPr="0006278C" w14:paraId="13B39675" w14:textId="77777777" w:rsidTr="00864968">
        <w:tc>
          <w:tcPr>
            <w:tcW w:w="567" w:type="dxa"/>
          </w:tcPr>
          <w:p w14:paraId="30E1D83C" w14:textId="77777777" w:rsidR="0006278C" w:rsidRPr="0006278C" w:rsidRDefault="0006278C" w:rsidP="004304E6">
            <w:pPr>
              <w:spacing w:after="0" w:line="240" w:lineRule="auto"/>
              <w:rPr>
                <w:rFonts w:ascii="Arial" w:hAnsi="Arial" w:cs="Arial"/>
                <w:sz w:val="18"/>
              </w:rPr>
            </w:pPr>
            <w:r w:rsidRPr="0006278C">
              <w:rPr>
                <w:rFonts w:ascii="Arial" w:hAnsi="Arial" w:cs="Arial"/>
                <w:sz w:val="18"/>
              </w:rPr>
              <w:t>22.4</w:t>
            </w:r>
          </w:p>
        </w:tc>
        <w:tc>
          <w:tcPr>
            <w:tcW w:w="2194" w:type="dxa"/>
          </w:tcPr>
          <w:p w14:paraId="6331551B" w14:textId="77777777" w:rsidR="0006278C" w:rsidRPr="0006278C" w:rsidRDefault="0006278C" w:rsidP="0006278C">
            <w:pPr>
              <w:spacing w:after="0" w:line="240" w:lineRule="auto"/>
              <w:rPr>
                <w:rFonts w:ascii="Arial" w:hAnsi="Arial" w:cs="Arial"/>
                <w:sz w:val="18"/>
              </w:rPr>
            </w:pPr>
            <w:r w:rsidRPr="0006278C">
              <w:rPr>
                <w:rFonts w:ascii="Arial" w:hAnsi="Arial" w:cs="Arial"/>
                <w:sz w:val="18"/>
              </w:rPr>
              <w:t>Tdap vaccination</w:t>
            </w:r>
          </w:p>
        </w:tc>
        <w:tc>
          <w:tcPr>
            <w:tcW w:w="429" w:type="dxa"/>
          </w:tcPr>
          <w:p w14:paraId="769AC871" w14:textId="77777777" w:rsidR="0006278C" w:rsidRPr="0006278C" w:rsidRDefault="0006278C" w:rsidP="0006278C">
            <w:pPr>
              <w:spacing w:after="0" w:line="240" w:lineRule="auto"/>
              <w:jc w:val="center"/>
              <w:rPr>
                <w:rFonts w:ascii="Arial" w:hAnsi="Arial" w:cs="Arial"/>
                <w:sz w:val="18"/>
              </w:rPr>
            </w:pPr>
          </w:p>
        </w:tc>
        <w:tc>
          <w:tcPr>
            <w:tcW w:w="619" w:type="dxa"/>
          </w:tcPr>
          <w:p w14:paraId="2B089CE0" w14:textId="77777777" w:rsidR="0006278C" w:rsidRPr="0006278C" w:rsidRDefault="0006278C" w:rsidP="0006278C">
            <w:pPr>
              <w:spacing w:after="0" w:line="240" w:lineRule="auto"/>
              <w:jc w:val="center"/>
              <w:rPr>
                <w:rFonts w:ascii="Arial" w:hAnsi="Arial" w:cs="Arial"/>
                <w:sz w:val="18"/>
              </w:rPr>
            </w:pPr>
          </w:p>
        </w:tc>
        <w:tc>
          <w:tcPr>
            <w:tcW w:w="619" w:type="dxa"/>
          </w:tcPr>
          <w:p w14:paraId="047700BD" w14:textId="77777777" w:rsidR="0006278C" w:rsidRPr="0006278C" w:rsidRDefault="0006278C" w:rsidP="0006278C">
            <w:pPr>
              <w:spacing w:after="0" w:line="240" w:lineRule="auto"/>
              <w:jc w:val="center"/>
              <w:rPr>
                <w:rFonts w:ascii="Arial" w:hAnsi="Arial" w:cs="Arial"/>
                <w:sz w:val="18"/>
              </w:rPr>
            </w:pPr>
          </w:p>
        </w:tc>
        <w:tc>
          <w:tcPr>
            <w:tcW w:w="449" w:type="dxa"/>
          </w:tcPr>
          <w:p w14:paraId="64641173" w14:textId="77777777" w:rsidR="0006278C" w:rsidRPr="0006278C" w:rsidRDefault="0006278C" w:rsidP="0006278C">
            <w:pPr>
              <w:spacing w:after="0" w:line="240" w:lineRule="auto"/>
              <w:jc w:val="center"/>
              <w:rPr>
                <w:rFonts w:ascii="Arial" w:hAnsi="Arial" w:cs="Arial"/>
                <w:sz w:val="18"/>
              </w:rPr>
            </w:pPr>
          </w:p>
        </w:tc>
        <w:tc>
          <w:tcPr>
            <w:tcW w:w="338" w:type="dxa"/>
          </w:tcPr>
          <w:p w14:paraId="6DFE4ADB" w14:textId="77777777" w:rsidR="0006278C" w:rsidRPr="0006278C" w:rsidRDefault="0006278C" w:rsidP="0006278C">
            <w:pPr>
              <w:spacing w:after="0" w:line="240" w:lineRule="auto"/>
              <w:jc w:val="center"/>
              <w:rPr>
                <w:rFonts w:ascii="Arial" w:hAnsi="Arial" w:cs="Arial"/>
                <w:sz w:val="18"/>
              </w:rPr>
            </w:pPr>
          </w:p>
        </w:tc>
        <w:tc>
          <w:tcPr>
            <w:tcW w:w="540" w:type="dxa"/>
          </w:tcPr>
          <w:p w14:paraId="4F8AAAD8" w14:textId="77777777" w:rsidR="0006278C" w:rsidRPr="0006278C" w:rsidRDefault="0006278C" w:rsidP="0006278C">
            <w:pPr>
              <w:spacing w:after="0" w:line="240" w:lineRule="auto"/>
              <w:jc w:val="center"/>
              <w:rPr>
                <w:rFonts w:ascii="Arial" w:hAnsi="Arial" w:cs="Arial"/>
                <w:sz w:val="18"/>
              </w:rPr>
            </w:pPr>
          </w:p>
        </w:tc>
        <w:tc>
          <w:tcPr>
            <w:tcW w:w="540" w:type="dxa"/>
          </w:tcPr>
          <w:p w14:paraId="15C900E8" w14:textId="77777777" w:rsidR="0006278C" w:rsidRPr="0006278C" w:rsidRDefault="0006278C" w:rsidP="0006278C">
            <w:pPr>
              <w:spacing w:after="0" w:line="240" w:lineRule="auto"/>
              <w:jc w:val="center"/>
              <w:rPr>
                <w:rFonts w:ascii="Arial" w:hAnsi="Arial" w:cs="Arial"/>
                <w:sz w:val="18"/>
              </w:rPr>
            </w:pPr>
          </w:p>
        </w:tc>
        <w:tc>
          <w:tcPr>
            <w:tcW w:w="450" w:type="dxa"/>
          </w:tcPr>
          <w:p w14:paraId="5B346EFD" w14:textId="77777777" w:rsidR="0006278C" w:rsidRPr="0006278C" w:rsidRDefault="0006278C" w:rsidP="0006278C">
            <w:pPr>
              <w:spacing w:after="0" w:line="240" w:lineRule="auto"/>
              <w:jc w:val="center"/>
              <w:rPr>
                <w:rFonts w:ascii="Arial" w:hAnsi="Arial" w:cs="Arial"/>
                <w:sz w:val="18"/>
              </w:rPr>
            </w:pPr>
          </w:p>
        </w:tc>
        <w:tc>
          <w:tcPr>
            <w:tcW w:w="360" w:type="dxa"/>
          </w:tcPr>
          <w:p w14:paraId="0592CE49" w14:textId="77777777" w:rsidR="0006278C" w:rsidRPr="0006278C" w:rsidRDefault="0006278C" w:rsidP="0006278C">
            <w:pPr>
              <w:spacing w:after="0" w:line="240" w:lineRule="auto"/>
              <w:jc w:val="center"/>
              <w:rPr>
                <w:rFonts w:ascii="Arial" w:hAnsi="Arial" w:cs="Arial"/>
                <w:sz w:val="18"/>
              </w:rPr>
            </w:pPr>
          </w:p>
        </w:tc>
        <w:tc>
          <w:tcPr>
            <w:tcW w:w="636" w:type="dxa"/>
          </w:tcPr>
          <w:p w14:paraId="6C0068FC"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491" w:type="dxa"/>
          </w:tcPr>
          <w:p w14:paraId="66C87AAA" w14:textId="77777777" w:rsidR="0006278C" w:rsidRPr="0006278C" w:rsidRDefault="0006278C" w:rsidP="0006278C">
            <w:pPr>
              <w:spacing w:after="0" w:line="240" w:lineRule="auto"/>
              <w:jc w:val="center"/>
              <w:rPr>
                <w:rFonts w:ascii="Arial" w:hAnsi="Arial" w:cs="Arial"/>
                <w:sz w:val="18"/>
              </w:rPr>
            </w:pPr>
          </w:p>
        </w:tc>
        <w:tc>
          <w:tcPr>
            <w:tcW w:w="493" w:type="dxa"/>
          </w:tcPr>
          <w:p w14:paraId="3416B3FC" w14:textId="77777777" w:rsidR="0006278C" w:rsidRPr="0006278C" w:rsidRDefault="0006278C" w:rsidP="0006278C">
            <w:pPr>
              <w:spacing w:after="0" w:line="240" w:lineRule="auto"/>
              <w:jc w:val="center"/>
              <w:rPr>
                <w:rFonts w:ascii="Arial" w:hAnsi="Arial" w:cs="Arial"/>
                <w:sz w:val="18"/>
              </w:rPr>
            </w:pPr>
          </w:p>
        </w:tc>
        <w:tc>
          <w:tcPr>
            <w:tcW w:w="540" w:type="dxa"/>
          </w:tcPr>
          <w:p w14:paraId="6603976C" w14:textId="77777777" w:rsidR="0006278C" w:rsidRPr="0006278C" w:rsidRDefault="0006278C" w:rsidP="0006278C">
            <w:pPr>
              <w:spacing w:after="0" w:line="240" w:lineRule="auto"/>
              <w:jc w:val="center"/>
              <w:rPr>
                <w:rFonts w:ascii="Arial" w:hAnsi="Arial" w:cs="Arial"/>
                <w:sz w:val="18"/>
              </w:rPr>
            </w:pPr>
          </w:p>
        </w:tc>
        <w:tc>
          <w:tcPr>
            <w:tcW w:w="450" w:type="dxa"/>
          </w:tcPr>
          <w:p w14:paraId="32D4F203" w14:textId="77777777" w:rsidR="0006278C" w:rsidRPr="0006278C" w:rsidRDefault="0006278C" w:rsidP="0006278C">
            <w:pPr>
              <w:spacing w:after="0" w:line="240" w:lineRule="auto"/>
              <w:jc w:val="center"/>
              <w:rPr>
                <w:rFonts w:ascii="Arial" w:hAnsi="Arial" w:cs="Arial"/>
                <w:sz w:val="18"/>
              </w:rPr>
            </w:pPr>
          </w:p>
        </w:tc>
        <w:tc>
          <w:tcPr>
            <w:tcW w:w="540" w:type="dxa"/>
          </w:tcPr>
          <w:p w14:paraId="2E552685"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r>
      <w:tr w:rsidR="00864968" w:rsidRPr="0006278C" w14:paraId="4FC9C235" w14:textId="77777777" w:rsidTr="00864968">
        <w:tc>
          <w:tcPr>
            <w:tcW w:w="567" w:type="dxa"/>
          </w:tcPr>
          <w:p w14:paraId="6B9FCDAF" w14:textId="77777777" w:rsidR="0006278C" w:rsidRPr="0006278C" w:rsidRDefault="0006278C" w:rsidP="004304E6">
            <w:pPr>
              <w:spacing w:after="0" w:line="240" w:lineRule="auto"/>
              <w:rPr>
                <w:rFonts w:ascii="Arial" w:hAnsi="Arial" w:cs="Arial"/>
                <w:sz w:val="18"/>
              </w:rPr>
            </w:pPr>
            <w:r w:rsidRPr="0006278C">
              <w:rPr>
                <w:rFonts w:ascii="Arial" w:hAnsi="Arial" w:cs="Arial"/>
                <w:sz w:val="18"/>
              </w:rPr>
              <w:t>22.5</w:t>
            </w:r>
          </w:p>
        </w:tc>
        <w:tc>
          <w:tcPr>
            <w:tcW w:w="2194" w:type="dxa"/>
          </w:tcPr>
          <w:p w14:paraId="6CA2A1D7" w14:textId="77777777" w:rsidR="0006278C" w:rsidRPr="0006278C" w:rsidRDefault="0006278C" w:rsidP="0006278C">
            <w:pPr>
              <w:spacing w:after="0" w:line="240" w:lineRule="auto"/>
              <w:rPr>
                <w:rFonts w:ascii="Arial" w:hAnsi="Arial" w:cs="Arial"/>
                <w:sz w:val="18"/>
              </w:rPr>
            </w:pPr>
            <w:r w:rsidRPr="0006278C">
              <w:rPr>
                <w:rFonts w:ascii="Arial" w:hAnsi="Arial" w:cs="Arial"/>
                <w:sz w:val="18"/>
              </w:rPr>
              <w:t>Meningitis vaccination</w:t>
            </w:r>
          </w:p>
        </w:tc>
        <w:tc>
          <w:tcPr>
            <w:tcW w:w="429" w:type="dxa"/>
          </w:tcPr>
          <w:p w14:paraId="3627AB45" w14:textId="77777777" w:rsidR="0006278C" w:rsidRPr="0006278C" w:rsidRDefault="0006278C" w:rsidP="0006278C">
            <w:pPr>
              <w:spacing w:after="0" w:line="240" w:lineRule="auto"/>
              <w:jc w:val="center"/>
              <w:rPr>
                <w:rFonts w:ascii="Arial" w:hAnsi="Arial" w:cs="Arial"/>
                <w:sz w:val="18"/>
              </w:rPr>
            </w:pPr>
          </w:p>
        </w:tc>
        <w:tc>
          <w:tcPr>
            <w:tcW w:w="619" w:type="dxa"/>
          </w:tcPr>
          <w:p w14:paraId="2AE23AC7" w14:textId="77777777" w:rsidR="0006278C" w:rsidRPr="0006278C" w:rsidRDefault="0006278C" w:rsidP="0006278C">
            <w:pPr>
              <w:spacing w:after="0" w:line="240" w:lineRule="auto"/>
              <w:jc w:val="center"/>
              <w:rPr>
                <w:rFonts w:ascii="Arial" w:hAnsi="Arial" w:cs="Arial"/>
                <w:sz w:val="18"/>
              </w:rPr>
            </w:pPr>
          </w:p>
        </w:tc>
        <w:tc>
          <w:tcPr>
            <w:tcW w:w="619" w:type="dxa"/>
          </w:tcPr>
          <w:p w14:paraId="43F5AD6C" w14:textId="77777777" w:rsidR="0006278C" w:rsidRPr="0006278C" w:rsidRDefault="0006278C" w:rsidP="0006278C">
            <w:pPr>
              <w:spacing w:after="0" w:line="240" w:lineRule="auto"/>
              <w:jc w:val="center"/>
              <w:rPr>
                <w:rFonts w:ascii="Arial" w:hAnsi="Arial" w:cs="Arial"/>
                <w:sz w:val="18"/>
              </w:rPr>
            </w:pPr>
          </w:p>
        </w:tc>
        <w:tc>
          <w:tcPr>
            <w:tcW w:w="449" w:type="dxa"/>
          </w:tcPr>
          <w:p w14:paraId="430AECDD" w14:textId="77777777" w:rsidR="0006278C" w:rsidRPr="0006278C" w:rsidRDefault="0006278C" w:rsidP="0006278C">
            <w:pPr>
              <w:spacing w:after="0" w:line="240" w:lineRule="auto"/>
              <w:jc w:val="center"/>
              <w:rPr>
                <w:rFonts w:ascii="Arial" w:hAnsi="Arial" w:cs="Arial"/>
                <w:sz w:val="18"/>
              </w:rPr>
            </w:pPr>
          </w:p>
        </w:tc>
        <w:tc>
          <w:tcPr>
            <w:tcW w:w="338" w:type="dxa"/>
          </w:tcPr>
          <w:p w14:paraId="152DB1F4" w14:textId="77777777" w:rsidR="0006278C" w:rsidRPr="0006278C" w:rsidRDefault="0006278C" w:rsidP="0006278C">
            <w:pPr>
              <w:spacing w:after="0" w:line="240" w:lineRule="auto"/>
              <w:jc w:val="center"/>
              <w:rPr>
                <w:rFonts w:ascii="Arial" w:hAnsi="Arial" w:cs="Arial"/>
                <w:sz w:val="18"/>
              </w:rPr>
            </w:pPr>
          </w:p>
        </w:tc>
        <w:tc>
          <w:tcPr>
            <w:tcW w:w="540" w:type="dxa"/>
          </w:tcPr>
          <w:p w14:paraId="1510A50D" w14:textId="77777777" w:rsidR="0006278C" w:rsidRPr="0006278C" w:rsidRDefault="0006278C" w:rsidP="0006278C">
            <w:pPr>
              <w:spacing w:after="0" w:line="240" w:lineRule="auto"/>
              <w:jc w:val="center"/>
              <w:rPr>
                <w:rFonts w:ascii="Arial" w:hAnsi="Arial" w:cs="Arial"/>
                <w:sz w:val="18"/>
              </w:rPr>
            </w:pPr>
          </w:p>
        </w:tc>
        <w:tc>
          <w:tcPr>
            <w:tcW w:w="540" w:type="dxa"/>
          </w:tcPr>
          <w:p w14:paraId="3A989B2C" w14:textId="77777777" w:rsidR="0006278C" w:rsidRPr="0006278C" w:rsidRDefault="0006278C" w:rsidP="0006278C">
            <w:pPr>
              <w:spacing w:after="0" w:line="240" w:lineRule="auto"/>
              <w:jc w:val="center"/>
              <w:rPr>
                <w:rFonts w:ascii="Arial" w:hAnsi="Arial" w:cs="Arial"/>
                <w:sz w:val="18"/>
              </w:rPr>
            </w:pPr>
          </w:p>
        </w:tc>
        <w:tc>
          <w:tcPr>
            <w:tcW w:w="450" w:type="dxa"/>
          </w:tcPr>
          <w:p w14:paraId="0B85AA59" w14:textId="77777777" w:rsidR="0006278C" w:rsidRPr="0006278C" w:rsidRDefault="0006278C" w:rsidP="0006278C">
            <w:pPr>
              <w:spacing w:after="0" w:line="240" w:lineRule="auto"/>
              <w:jc w:val="center"/>
              <w:rPr>
                <w:rFonts w:ascii="Arial" w:hAnsi="Arial" w:cs="Arial"/>
                <w:sz w:val="18"/>
              </w:rPr>
            </w:pPr>
          </w:p>
        </w:tc>
        <w:tc>
          <w:tcPr>
            <w:tcW w:w="360" w:type="dxa"/>
          </w:tcPr>
          <w:p w14:paraId="21E4D720" w14:textId="77777777" w:rsidR="0006278C" w:rsidRPr="0006278C" w:rsidRDefault="0006278C" w:rsidP="0006278C">
            <w:pPr>
              <w:spacing w:after="0" w:line="240" w:lineRule="auto"/>
              <w:jc w:val="center"/>
              <w:rPr>
                <w:rFonts w:ascii="Arial" w:hAnsi="Arial" w:cs="Arial"/>
                <w:sz w:val="18"/>
              </w:rPr>
            </w:pPr>
          </w:p>
        </w:tc>
        <w:tc>
          <w:tcPr>
            <w:tcW w:w="636" w:type="dxa"/>
          </w:tcPr>
          <w:p w14:paraId="631DA257"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491" w:type="dxa"/>
          </w:tcPr>
          <w:p w14:paraId="02E9DAE5" w14:textId="77777777" w:rsidR="0006278C" w:rsidRPr="0006278C" w:rsidRDefault="0006278C" w:rsidP="0006278C">
            <w:pPr>
              <w:spacing w:after="0" w:line="240" w:lineRule="auto"/>
              <w:jc w:val="center"/>
              <w:rPr>
                <w:rFonts w:ascii="Arial" w:hAnsi="Arial" w:cs="Arial"/>
                <w:sz w:val="18"/>
              </w:rPr>
            </w:pPr>
          </w:p>
        </w:tc>
        <w:tc>
          <w:tcPr>
            <w:tcW w:w="493" w:type="dxa"/>
          </w:tcPr>
          <w:p w14:paraId="607F3D42" w14:textId="77777777" w:rsidR="0006278C" w:rsidRPr="0006278C" w:rsidRDefault="0006278C" w:rsidP="0006278C">
            <w:pPr>
              <w:spacing w:after="0" w:line="240" w:lineRule="auto"/>
              <w:jc w:val="center"/>
              <w:rPr>
                <w:rFonts w:ascii="Arial" w:hAnsi="Arial" w:cs="Arial"/>
                <w:sz w:val="18"/>
              </w:rPr>
            </w:pPr>
          </w:p>
        </w:tc>
        <w:tc>
          <w:tcPr>
            <w:tcW w:w="540" w:type="dxa"/>
          </w:tcPr>
          <w:p w14:paraId="0C5E046B" w14:textId="77777777" w:rsidR="0006278C" w:rsidRPr="0006278C" w:rsidRDefault="0006278C" w:rsidP="0006278C">
            <w:pPr>
              <w:spacing w:after="0" w:line="240" w:lineRule="auto"/>
              <w:jc w:val="center"/>
              <w:rPr>
                <w:rFonts w:ascii="Arial" w:hAnsi="Arial" w:cs="Arial"/>
                <w:sz w:val="18"/>
              </w:rPr>
            </w:pPr>
          </w:p>
        </w:tc>
        <w:tc>
          <w:tcPr>
            <w:tcW w:w="450" w:type="dxa"/>
          </w:tcPr>
          <w:p w14:paraId="0DDC3585" w14:textId="77777777" w:rsidR="0006278C" w:rsidRPr="0006278C" w:rsidRDefault="0006278C" w:rsidP="0006278C">
            <w:pPr>
              <w:spacing w:after="0" w:line="240" w:lineRule="auto"/>
              <w:jc w:val="center"/>
              <w:rPr>
                <w:rFonts w:ascii="Arial" w:hAnsi="Arial" w:cs="Arial"/>
                <w:sz w:val="18"/>
              </w:rPr>
            </w:pPr>
          </w:p>
        </w:tc>
        <w:tc>
          <w:tcPr>
            <w:tcW w:w="540" w:type="dxa"/>
          </w:tcPr>
          <w:p w14:paraId="53FDEF14"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r>
      <w:tr w:rsidR="00864968" w:rsidRPr="0006278C" w14:paraId="23F60C38" w14:textId="77777777" w:rsidTr="00864968">
        <w:tc>
          <w:tcPr>
            <w:tcW w:w="567" w:type="dxa"/>
          </w:tcPr>
          <w:p w14:paraId="0A2C5355" w14:textId="77777777" w:rsidR="0006278C" w:rsidRPr="0006278C" w:rsidRDefault="0006278C" w:rsidP="004304E6">
            <w:pPr>
              <w:spacing w:after="0" w:line="240" w:lineRule="auto"/>
              <w:rPr>
                <w:rFonts w:ascii="Arial" w:hAnsi="Arial" w:cs="Arial"/>
                <w:sz w:val="18"/>
              </w:rPr>
            </w:pPr>
            <w:r w:rsidRPr="0006278C">
              <w:rPr>
                <w:rFonts w:ascii="Arial" w:hAnsi="Arial" w:cs="Arial"/>
                <w:sz w:val="18"/>
              </w:rPr>
              <w:t>23</w:t>
            </w:r>
          </w:p>
        </w:tc>
        <w:tc>
          <w:tcPr>
            <w:tcW w:w="2194" w:type="dxa"/>
          </w:tcPr>
          <w:p w14:paraId="6185A2D1" w14:textId="77777777" w:rsidR="0006278C" w:rsidRPr="0006278C" w:rsidRDefault="0006278C" w:rsidP="0006278C">
            <w:pPr>
              <w:spacing w:after="0" w:line="240" w:lineRule="auto"/>
              <w:rPr>
                <w:rFonts w:ascii="Arial" w:hAnsi="Arial" w:cs="Arial"/>
                <w:sz w:val="18"/>
              </w:rPr>
            </w:pPr>
            <w:r w:rsidRPr="0006278C">
              <w:rPr>
                <w:rFonts w:ascii="Arial" w:hAnsi="Arial" w:cs="Arial"/>
                <w:sz w:val="18"/>
              </w:rPr>
              <w:t>Teen births</w:t>
            </w:r>
          </w:p>
        </w:tc>
        <w:tc>
          <w:tcPr>
            <w:tcW w:w="429" w:type="dxa"/>
          </w:tcPr>
          <w:p w14:paraId="5EC41BF1"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619" w:type="dxa"/>
          </w:tcPr>
          <w:p w14:paraId="2470DB99" w14:textId="77777777" w:rsidR="0006278C" w:rsidRPr="0006278C" w:rsidRDefault="0006278C" w:rsidP="0006278C">
            <w:pPr>
              <w:spacing w:after="0" w:line="240" w:lineRule="auto"/>
              <w:jc w:val="center"/>
              <w:rPr>
                <w:rFonts w:ascii="Arial" w:hAnsi="Arial" w:cs="Arial"/>
                <w:sz w:val="18"/>
              </w:rPr>
            </w:pPr>
          </w:p>
        </w:tc>
        <w:tc>
          <w:tcPr>
            <w:tcW w:w="619" w:type="dxa"/>
          </w:tcPr>
          <w:p w14:paraId="18A53767" w14:textId="77777777" w:rsidR="0006278C" w:rsidRPr="0006278C" w:rsidRDefault="0006278C" w:rsidP="0006278C">
            <w:pPr>
              <w:spacing w:after="0" w:line="240" w:lineRule="auto"/>
              <w:jc w:val="center"/>
              <w:rPr>
                <w:rFonts w:ascii="Arial" w:hAnsi="Arial" w:cs="Arial"/>
                <w:sz w:val="18"/>
              </w:rPr>
            </w:pPr>
          </w:p>
        </w:tc>
        <w:tc>
          <w:tcPr>
            <w:tcW w:w="449" w:type="dxa"/>
          </w:tcPr>
          <w:p w14:paraId="154B3473" w14:textId="77777777" w:rsidR="0006278C" w:rsidRPr="0006278C" w:rsidRDefault="0006278C" w:rsidP="0006278C">
            <w:pPr>
              <w:spacing w:after="0" w:line="240" w:lineRule="auto"/>
              <w:jc w:val="center"/>
              <w:rPr>
                <w:rFonts w:ascii="Arial" w:hAnsi="Arial" w:cs="Arial"/>
                <w:sz w:val="18"/>
              </w:rPr>
            </w:pPr>
          </w:p>
        </w:tc>
        <w:tc>
          <w:tcPr>
            <w:tcW w:w="338" w:type="dxa"/>
          </w:tcPr>
          <w:p w14:paraId="0127E4F1" w14:textId="77777777" w:rsidR="0006278C" w:rsidRPr="0006278C" w:rsidRDefault="0006278C" w:rsidP="0006278C">
            <w:pPr>
              <w:spacing w:after="0" w:line="240" w:lineRule="auto"/>
              <w:jc w:val="center"/>
              <w:rPr>
                <w:rFonts w:ascii="Arial" w:hAnsi="Arial" w:cs="Arial"/>
                <w:sz w:val="18"/>
              </w:rPr>
            </w:pPr>
          </w:p>
        </w:tc>
        <w:tc>
          <w:tcPr>
            <w:tcW w:w="540" w:type="dxa"/>
          </w:tcPr>
          <w:p w14:paraId="728697C3" w14:textId="77777777" w:rsidR="0006278C" w:rsidRPr="0006278C" w:rsidRDefault="0006278C" w:rsidP="0006278C">
            <w:pPr>
              <w:spacing w:after="0" w:line="240" w:lineRule="auto"/>
              <w:jc w:val="center"/>
              <w:rPr>
                <w:rFonts w:ascii="Arial" w:hAnsi="Arial" w:cs="Arial"/>
                <w:sz w:val="18"/>
              </w:rPr>
            </w:pPr>
          </w:p>
        </w:tc>
        <w:tc>
          <w:tcPr>
            <w:tcW w:w="540" w:type="dxa"/>
          </w:tcPr>
          <w:p w14:paraId="3079061C" w14:textId="77777777" w:rsidR="0006278C" w:rsidRPr="0006278C" w:rsidRDefault="0006278C" w:rsidP="0006278C">
            <w:pPr>
              <w:spacing w:after="0" w:line="240" w:lineRule="auto"/>
              <w:jc w:val="center"/>
              <w:rPr>
                <w:rFonts w:ascii="Arial" w:hAnsi="Arial" w:cs="Arial"/>
                <w:sz w:val="18"/>
              </w:rPr>
            </w:pPr>
          </w:p>
        </w:tc>
        <w:tc>
          <w:tcPr>
            <w:tcW w:w="450" w:type="dxa"/>
          </w:tcPr>
          <w:p w14:paraId="2DEC1F56" w14:textId="77777777" w:rsidR="0006278C" w:rsidRPr="0006278C" w:rsidRDefault="0006278C" w:rsidP="0006278C">
            <w:pPr>
              <w:spacing w:after="0" w:line="240" w:lineRule="auto"/>
              <w:jc w:val="center"/>
              <w:rPr>
                <w:rFonts w:ascii="Arial" w:hAnsi="Arial" w:cs="Arial"/>
                <w:sz w:val="18"/>
              </w:rPr>
            </w:pPr>
          </w:p>
        </w:tc>
        <w:tc>
          <w:tcPr>
            <w:tcW w:w="360" w:type="dxa"/>
          </w:tcPr>
          <w:p w14:paraId="567B04CD" w14:textId="77777777" w:rsidR="0006278C" w:rsidRPr="0006278C" w:rsidRDefault="0006278C" w:rsidP="0006278C">
            <w:pPr>
              <w:spacing w:after="0" w:line="240" w:lineRule="auto"/>
              <w:jc w:val="center"/>
              <w:rPr>
                <w:rFonts w:ascii="Arial" w:hAnsi="Arial" w:cs="Arial"/>
                <w:sz w:val="18"/>
              </w:rPr>
            </w:pPr>
          </w:p>
        </w:tc>
        <w:tc>
          <w:tcPr>
            <w:tcW w:w="636" w:type="dxa"/>
          </w:tcPr>
          <w:p w14:paraId="48740F27"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491" w:type="dxa"/>
          </w:tcPr>
          <w:p w14:paraId="27762D7A" w14:textId="77777777" w:rsidR="0006278C" w:rsidRPr="0006278C" w:rsidRDefault="0006278C" w:rsidP="0006278C">
            <w:pPr>
              <w:spacing w:after="0" w:line="240" w:lineRule="auto"/>
              <w:jc w:val="center"/>
              <w:rPr>
                <w:rFonts w:ascii="Arial" w:hAnsi="Arial" w:cs="Arial"/>
                <w:sz w:val="18"/>
              </w:rPr>
            </w:pPr>
          </w:p>
        </w:tc>
        <w:tc>
          <w:tcPr>
            <w:tcW w:w="493" w:type="dxa"/>
          </w:tcPr>
          <w:p w14:paraId="7BBB60C8" w14:textId="77777777" w:rsidR="0006278C" w:rsidRPr="0006278C" w:rsidRDefault="0006278C" w:rsidP="0006278C">
            <w:pPr>
              <w:spacing w:after="0" w:line="240" w:lineRule="auto"/>
              <w:jc w:val="center"/>
              <w:rPr>
                <w:rFonts w:ascii="Arial" w:hAnsi="Arial" w:cs="Arial"/>
                <w:sz w:val="18"/>
              </w:rPr>
            </w:pPr>
          </w:p>
        </w:tc>
        <w:tc>
          <w:tcPr>
            <w:tcW w:w="540" w:type="dxa"/>
          </w:tcPr>
          <w:p w14:paraId="5E7CD316" w14:textId="77777777" w:rsidR="0006278C" w:rsidRPr="0006278C" w:rsidRDefault="0006278C" w:rsidP="0006278C">
            <w:pPr>
              <w:spacing w:after="0" w:line="240" w:lineRule="auto"/>
              <w:jc w:val="center"/>
              <w:rPr>
                <w:rFonts w:ascii="Arial" w:hAnsi="Arial" w:cs="Arial"/>
                <w:sz w:val="18"/>
              </w:rPr>
            </w:pPr>
          </w:p>
        </w:tc>
        <w:tc>
          <w:tcPr>
            <w:tcW w:w="450" w:type="dxa"/>
          </w:tcPr>
          <w:p w14:paraId="75BAEBB3" w14:textId="77777777" w:rsidR="0006278C" w:rsidRPr="0006278C" w:rsidRDefault="0006278C" w:rsidP="0006278C">
            <w:pPr>
              <w:spacing w:after="0" w:line="240" w:lineRule="auto"/>
              <w:jc w:val="center"/>
              <w:rPr>
                <w:rFonts w:ascii="Arial" w:hAnsi="Arial" w:cs="Arial"/>
                <w:sz w:val="18"/>
              </w:rPr>
            </w:pPr>
          </w:p>
        </w:tc>
        <w:tc>
          <w:tcPr>
            <w:tcW w:w="540" w:type="dxa"/>
          </w:tcPr>
          <w:p w14:paraId="1EF123C5" w14:textId="77777777" w:rsidR="0006278C" w:rsidRPr="0006278C" w:rsidRDefault="0006278C" w:rsidP="0006278C">
            <w:pPr>
              <w:spacing w:after="0" w:line="240" w:lineRule="auto"/>
              <w:jc w:val="center"/>
              <w:rPr>
                <w:rFonts w:ascii="Arial" w:hAnsi="Arial" w:cs="Arial"/>
                <w:sz w:val="18"/>
              </w:rPr>
            </w:pPr>
          </w:p>
        </w:tc>
      </w:tr>
      <w:tr w:rsidR="00864968" w:rsidRPr="0006278C" w14:paraId="177A2D2A" w14:textId="77777777" w:rsidTr="00864968">
        <w:tc>
          <w:tcPr>
            <w:tcW w:w="567" w:type="dxa"/>
          </w:tcPr>
          <w:p w14:paraId="313F770B" w14:textId="77777777" w:rsidR="0006278C" w:rsidRPr="0006278C" w:rsidRDefault="0006278C" w:rsidP="004304E6">
            <w:pPr>
              <w:spacing w:after="0" w:line="240" w:lineRule="auto"/>
              <w:rPr>
                <w:rFonts w:ascii="Arial" w:hAnsi="Arial" w:cs="Arial"/>
                <w:sz w:val="18"/>
              </w:rPr>
            </w:pPr>
            <w:r w:rsidRPr="0006278C">
              <w:rPr>
                <w:rFonts w:ascii="Arial" w:hAnsi="Arial" w:cs="Arial"/>
                <w:sz w:val="18"/>
              </w:rPr>
              <w:t>24</w:t>
            </w:r>
          </w:p>
        </w:tc>
        <w:tc>
          <w:tcPr>
            <w:tcW w:w="2194" w:type="dxa"/>
          </w:tcPr>
          <w:p w14:paraId="6AC6AB66" w14:textId="77777777" w:rsidR="0006278C" w:rsidRPr="0006278C" w:rsidRDefault="0006278C" w:rsidP="0006278C">
            <w:pPr>
              <w:spacing w:after="0" w:line="240" w:lineRule="auto"/>
              <w:rPr>
                <w:rFonts w:ascii="Arial" w:hAnsi="Arial" w:cs="Arial"/>
                <w:sz w:val="18"/>
              </w:rPr>
            </w:pPr>
            <w:r w:rsidRPr="0006278C">
              <w:rPr>
                <w:rFonts w:ascii="Arial" w:hAnsi="Arial" w:cs="Arial"/>
                <w:sz w:val="18"/>
              </w:rPr>
              <w:t>Postpartum depression</w:t>
            </w:r>
          </w:p>
        </w:tc>
        <w:tc>
          <w:tcPr>
            <w:tcW w:w="429" w:type="dxa"/>
          </w:tcPr>
          <w:p w14:paraId="62AA500E"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619" w:type="dxa"/>
          </w:tcPr>
          <w:p w14:paraId="3ACE076C" w14:textId="77777777" w:rsidR="0006278C" w:rsidRPr="0006278C" w:rsidRDefault="0006278C" w:rsidP="0006278C">
            <w:pPr>
              <w:spacing w:after="0" w:line="240" w:lineRule="auto"/>
              <w:jc w:val="center"/>
              <w:rPr>
                <w:rFonts w:ascii="Arial" w:hAnsi="Arial" w:cs="Arial"/>
                <w:sz w:val="18"/>
              </w:rPr>
            </w:pPr>
          </w:p>
        </w:tc>
        <w:tc>
          <w:tcPr>
            <w:tcW w:w="619" w:type="dxa"/>
          </w:tcPr>
          <w:p w14:paraId="0CFF8803" w14:textId="77777777" w:rsidR="0006278C" w:rsidRPr="0006278C" w:rsidRDefault="0006278C" w:rsidP="0006278C">
            <w:pPr>
              <w:spacing w:after="0" w:line="240" w:lineRule="auto"/>
              <w:jc w:val="center"/>
              <w:rPr>
                <w:rFonts w:ascii="Arial" w:hAnsi="Arial" w:cs="Arial"/>
                <w:sz w:val="18"/>
              </w:rPr>
            </w:pPr>
          </w:p>
        </w:tc>
        <w:tc>
          <w:tcPr>
            <w:tcW w:w="449" w:type="dxa"/>
          </w:tcPr>
          <w:p w14:paraId="4211A365" w14:textId="77777777" w:rsidR="0006278C" w:rsidRPr="0006278C" w:rsidRDefault="0006278C" w:rsidP="0006278C">
            <w:pPr>
              <w:spacing w:after="0" w:line="240" w:lineRule="auto"/>
              <w:jc w:val="center"/>
              <w:rPr>
                <w:rFonts w:ascii="Arial" w:hAnsi="Arial" w:cs="Arial"/>
                <w:sz w:val="18"/>
              </w:rPr>
            </w:pPr>
          </w:p>
        </w:tc>
        <w:tc>
          <w:tcPr>
            <w:tcW w:w="338" w:type="dxa"/>
          </w:tcPr>
          <w:p w14:paraId="39B63E65" w14:textId="77777777" w:rsidR="0006278C" w:rsidRPr="0006278C" w:rsidRDefault="0006278C" w:rsidP="0006278C">
            <w:pPr>
              <w:spacing w:after="0" w:line="240" w:lineRule="auto"/>
              <w:jc w:val="center"/>
              <w:rPr>
                <w:rFonts w:ascii="Arial" w:hAnsi="Arial" w:cs="Arial"/>
                <w:sz w:val="18"/>
              </w:rPr>
            </w:pPr>
          </w:p>
        </w:tc>
        <w:tc>
          <w:tcPr>
            <w:tcW w:w="540" w:type="dxa"/>
          </w:tcPr>
          <w:p w14:paraId="1F848754" w14:textId="77777777" w:rsidR="0006278C" w:rsidRPr="0006278C" w:rsidRDefault="0006278C" w:rsidP="0006278C">
            <w:pPr>
              <w:spacing w:after="0" w:line="240" w:lineRule="auto"/>
              <w:jc w:val="center"/>
              <w:rPr>
                <w:rFonts w:ascii="Arial" w:hAnsi="Arial" w:cs="Arial"/>
                <w:sz w:val="18"/>
              </w:rPr>
            </w:pPr>
          </w:p>
        </w:tc>
        <w:tc>
          <w:tcPr>
            <w:tcW w:w="540" w:type="dxa"/>
          </w:tcPr>
          <w:p w14:paraId="3A4864CD" w14:textId="77777777" w:rsidR="0006278C" w:rsidRPr="0006278C" w:rsidRDefault="0006278C" w:rsidP="0006278C">
            <w:pPr>
              <w:spacing w:after="0" w:line="240" w:lineRule="auto"/>
              <w:jc w:val="center"/>
              <w:rPr>
                <w:rFonts w:ascii="Arial" w:hAnsi="Arial" w:cs="Arial"/>
                <w:sz w:val="18"/>
              </w:rPr>
            </w:pPr>
          </w:p>
        </w:tc>
        <w:tc>
          <w:tcPr>
            <w:tcW w:w="450" w:type="dxa"/>
          </w:tcPr>
          <w:p w14:paraId="064FEAA9" w14:textId="77777777" w:rsidR="0006278C" w:rsidRPr="0006278C" w:rsidRDefault="0006278C" w:rsidP="0006278C">
            <w:pPr>
              <w:spacing w:after="0" w:line="240" w:lineRule="auto"/>
              <w:jc w:val="center"/>
              <w:rPr>
                <w:rFonts w:ascii="Arial" w:hAnsi="Arial" w:cs="Arial"/>
                <w:sz w:val="18"/>
              </w:rPr>
            </w:pPr>
          </w:p>
        </w:tc>
        <w:tc>
          <w:tcPr>
            <w:tcW w:w="360" w:type="dxa"/>
          </w:tcPr>
          <w:p w14:paraId="42EA153C" w14:textId="77777777" w:rsidR="0006278C" w:rsidRPr="0006278C" w:rsidRDefault="0006278C" w:rsidP="0006278C">
            <w:pPr>
              <w:spacing w:after="0" w:line="240" w:lineRule="auto"/>
              <w:jc w:val="center"/>
              <w:rPr>
                <w:rFonts w:ascii="Arial" w:hAnsi="Arial" w:cs="Arial"/>
                <w:sz w:val="18"/>
              </w:rPr>
            </w:pPr>
          </w:p>
        </w:tc>
        <w:tc>
          <w:tcPr>
            <w:tcW w:w="636" w:type="dxa"/>
          </w:tcPr>
          <w:p w14:paraId="293D6F59" w14:textId="77777777" w:rsidR="0006278C" w:rsidRPr="0006278C" w:rsidRDefault="0006278C" w:rsidP="0006278C">
            <w:pPr>
              <w:spacing w:after="0" w:line="240" w:lineRule="auto"/>
              <w:jc w:val="center"/>
              <w:rPr>
                <w:rFonts w:ascii="Arial" w:hAnsi="Arial" w:cs="Arial"/>
                <w:sz w:val="18"/>
              </w:rPr>
            </w:pPr>
          </w:p>
        </w:tc>
        <w:tc>
          <w:tcPr>
            <w:tcW w:w="491" w:type="dxa"/>
          </w:tcPr>
          <w:p w14:paraId="34E566ED" w14:textId="77777777" w:rsidR="0006278C" w:rsidRPr="0006278C" w:rsidRDefault="0006278C" w:rsidP="0006278C">
            <w:pPr>
              <w:spacing w:after="0" w:line="240" w:lineRule="auto"/>
              <w:jc w:val="center"/>
              <w:rPr>
                <w:rFonts w:ascii="Arial" w:hAnsi="Arial" w:cs="Arial"/>
                <w:sz w:val="18"/>
              </w:rPr>
            </w:pPr>
          </w:p>
        </w:tc>
        <w:tc>
          <w:tcPr>
            <w:tcW w:w="493" w:type="dxa"/>
          </w:tcPr>
          <w:p w14:paraId="5FAA5169" w14:textId="77777777" w:rsidR="0006278C" w:rsidRPr="0006278C" w:rsidRDefault="0006278C" w:rsidP="0006278C">
            <w:pPr>
              <w:spacing w:after="0" w:line="240" w:lineRule="auto"/>
              <w:jc w:val="center"/>
              <w:rPr>
                <w:rFonts w:ascii="Arial" w:hAnsi="Arial" w:cs="Arial"/>
                <w:sz w:val="18"/>
              </w:rPr>
            </w:pPr>
          </w:p>
        </w:tc>
        <w:tc>
          <w:tcPr>
            <w:tcW w:w="540" w:type="dxa"/>
          </w:tcPr>
          <w:p w14:paraId="240215A5" w14:textId="77777777" w:rsidR="0006278C" w:rsidRPr="0006278C" w:rsidRDefault="0006278C" w:rsidP="0006278C">
            <w:pPr>
              <w:spacing w:after="0" w:line="240" w:lineRule="auto"/>
              <w:jc w:val="center"/>
              <w:rPr>
                <w:rFonts w:ascii="Arial" w:hAnsi="Arial" w:cs="Arial"/>
                <w:sz w:val="18"/>
              </w:rPr>
            </w:pPr>
          </w:p>
        </w:tc>
        <w:tc>
          <w:tcPr>
            <w:tcW w:w="450" w:type="dxa"/>
          </w:tcPr>
          <w:p w14:paraId="7F050F03" w14:textId="77777777" w:rsidR="0006278C" w:rsidRPr="0006278C" w:rsidRDefault="0006278C" w:rsidP="0006278C">
            <w:pPr>
              <w:spacing w:after="0" w:line="240" w:lineRule="auto"/>
              <w:jc w:val="center"/>
              <w:rPr>
                <w:rFonts w:ascii="Arial" w:hAnsi="Arial" w:cs="Arial"/>
                <w:sz w:val="18"/>
              </w:rPr>
            </w:pPr>
          </w:p>
        </w:tc>
        <w:tc>
          <w:tcPr>
            <w:tcW w:w="540" w:type="dxa"/>
          </w:tcPr>
          <w:p w14:paraId="001DEF83" w14:textId="77777777" w:rsidR="0006278C" w:rsidRPr="0006278C" w:rsidRDefault="0006278C" w:rsidP="0006278C">
            <w:pPr>
              <w:spacing w:after="0" w:line="240" w:lineRule="auto"/>
              <w:jc w:val="center"/>
              <w:rPr>
                <w:rFonts w:ascii="Arial" w:hAnsi="Arial" w:cs="Arial"/>
                <w:sz w:val="18"/>
              </w:rPr>
            </w:pPr>
          </w:p>
        </w:tc>
      </w:tr>
      <w:tr w:rsidR="00864968" w:rsidRPr="0006278C" w14:paraId="21E091EF" w14:textId="77777777" w:rsidTr="00864968">
        <w:tc>
          <w:tcPr>
            <w:tcW w:w="567" w:type="dxa"/>
          </w:tcPr>
          <w:p w14:paraId="45235D0E" w14:textId="77777777" w:rsidR="0006278C" w:rsidRPr="0006278C" w:rsidRDefault="0006278C" w:rsidP="004304E6">
            <w:pPr>
              <w:spacing w:after="0" w:line="240" w:lineRule="auto"/>
              <w:rPr>
                <w:rFonts w:ascii="Arial" w:hAnsi="Arial" w:cs="Arial"/>
                <w:sz w:val="18"/>
              </w:rPr>
            </w:pPr>
            <w:r w:rsidRPr="0006278C">
              <w:rPr>
                <w:rFonts w:ascii="Arial" w:hAnsi="Arial" w:cs="Arial"/>
                <w:sz w:val="18"/>
              </w:rPr>
              <w:t>25</w:t>
            </w:r>
          </w:p>
        </w:tc>
        <w:tc>
          <w:tcPr>
            <w:tcW w:w="2194" w:type="dxa"/>
          </w:tcPr>
          <w:p w14:paraId="78B5BE27" w14:textId="77777777" w:rsidR="0006278C" w:rsidRPr="0006278C" w:rsidRDefault="0006278C" w:rsidP="0006278C">
            <w:pPr>
              <w:spacing w:after="0" w:line="240" w:lineRule="auto"/>
              <w:rPr>
                <w:rFonts w:ascii="Arial" w:hAnsi="Arial" w:cs="Arial"/>
                <w:sz w:val="18"/>
              </w:rPr>
            </w:pPr>
            <w:r w:rsidRPr="0006278C">
              <w:rPr>
                <w:rFonts w:ascii="Arial" w:hAnsi="Arial" w:cs="Arial"/>
                <w:sz w:val="18"/>
              </w:rPr>
              <w:t>Forgone health care</w:t>
            </w:r>
          </w:p>
        </w:tc>
        <w:tc>
          <w:tcPr>
            <w:tcW w:w="429" w:type="dxa"/>
          </w:tcPr>
          <w:p w14:paraId="6F4CC8F0" w14:textId="77777777" w:rsidR="0006278C" w:rsidRPr="0006278C" w:rsidRDefault="0006278C" w:rsidP="0006278C">
            <w:pPr>
              <w:spacing w:after="0" w:line="240" w:lineRule="auto"/>
              <w:jc w:val="center"/>
              <w:rPr>
                <w:rFonts w:ascii="Arial" w:hAnsi="Arial" w:cs="Arial"/>
                <w:sz w:val="18"/>
              </w:rPr>
            </w:pPr>
          </w:p>
        </w:tc>
        <w:tc>
          <w:tcPr>
            <w:tcW w:w="619" w:type="dxa"/>
          </w:tcPr>
          <w:p w14:paraId="6FC5993E" w14:textId="77777777" w:rsidR="0006278C" w:rsidRPr="0006278C" w:rsidRDefault="0006278C" w:rsidP="0006278C">
            <w:pPr>
              <w:spacing w:after="0" w:line="240" w:lineRule="auto"/>
              <w:jc w:val="center"/>
              <w:rPr>
                <w:rFonts w:ascii="Arial" w:hAnsi="Arial" w:cs="Arial"/>
                <w:sz w:val="18"/>
              </w:rPr>
            </w:pPr>
          </w:p>
        </w:tc>
        <w:tc>
          <w:tcPr>
            <w:tcW w:w="619" w:type="dxa"/>
          </w:tcPr>
          <w:p w14:paraId="0A94DBAF" w14:textId="77777777" w:rsidR="0006278C" w:rsidRPr="0006278C" w:rsidRDefault="0006278C" w:rsidP="0006278C">
            <w:pPr>
              <w:spacing w:after="0" w:line="240" w:lineRule="auto"/>
              <w:jc w:val="center"/>
              <w:rPr>
                <w:rFonts w:ascii="Arial" w:hAnsi="Arial" w:cs="Arial"/>
                <w:sz w:val="18"/>
              </w:rPr>
            </w:pPr>
          </w:p>
        </w:tc>
        <w:tc>
          <w:tcPr>
            <w:tcW w:w="449" w:type="dxa"/>
          </w:tcPr>
          <w:p w14:paraId="0BBC7B4E" w14:textId="77777777" w:rsidR="0006278C" w:rsidRPr="0006278C" w:rsidRDefault="0006278C" w:rsidP="0006278C">
            <w:pPr>
              <w:spacing w:after="0" w:line="240" w:lineRule="auto"/>
              <w:jc w:val="center"/>
              <w:rPr>
                <w:rFonts w:ascii="Arial" w:hAnsi="Arial" w:cs="Arial"/>
                <w:sz w:val="18"/>
              </w:rPr>
            </w:pPr>
          </w:p>
        </w:tc>
        <w:tc>
          <w:tcPr>
            <w:tcW w:w="338" w:type="dxa"/>
          </w:tcPr>
          <w:p w14:paraId="58D311B0" w14:textId="77777777" w:rsidR="0006278C" w:rsidRPr="0006278C" w:rsidRDefault="0006278C" w:rsidP="0006278C">
            <w:pPr>
              <w:spacing w:after="0" w:line="240" w:lineRule="auto"/>
              <w:jc w:val="center"/>
              <w:rPr>
                <w:rFonts w:ascii="Arial" w:hAnsi="Arial" w:cs="Arial"/>
                <w:sz w:val="18"/>
              </w:rPr>
            </w:pPr>
          </w:p>
        </w:tc>
        <w:tc>
          <w:tcPr>
            <w:tcW w:w="540" w:type="dxa"/>
          </w:tcPr>
          <w:p w14:paraId="345A692D" w14:textId="77777777" w:rsidR="0006278C" w:rsidRPr="0006278C" w:rsidRDefault="0006278C" w:rsidP="0006278C">
            <w:pPr>
              <w:spacing w:after="0" w:line="240" w:lineRule="auto"/>
              <w:jc w:val="center"/>
              <w:rPr>
                <w:rFonts w:ascii="Arial" w:hAnsi="Arial" w:cs="Arial"/>
                <w:sz w:val="18"/>
              </w:rPr>
            </w:pPr>
          </w:p>
        </w:tc>
        <w:tc>
          <w:tcPr>
            <w:tcW w:w="540" w:type="dxa"/>
          </w:tcPr>
          <w:p w14:paraId="0B81ADD4" w14:textId="77777777" w:rsidR="0006278C" w:rsidRPr="0006278C" w:rsidRDefault="0006278C" w:rsidP="0006278C">
            <w:pPr>
              <w:spacing w:after="0" w:line="240" w:lineRule="auto"/>
              <w:jc w:val="center"/>
              <w:rPr>
                <w:rFonts w:ascii="Arial" w:hAnsi="Arial" w:cs="Arial"/>
                <w:sz w:val="18"/>
              </w:rPr>
            </w:pPr>
          </w:p>
        </w:tc>
        <w:tc>
          <w:tcPr>
            <w:tcW w:w="450" w:type="dxa"/>
          </w:tcPr>
          <w:p w14:paraId="08F666A0" w14:textId="77777777" w:rsidR="0006278C" w:rsidRPr="0006278C" w:rsidRDefault="0006278C" w:rsidP="0006278C">
            <w:pPr>
              <w:spacing w:after="0" w:line="240" w:lineRule="auto"/>
              <w:jc w:val="center"/>
              <w:rPr>
                <w:rFonts w:ascii="Arial" w:hAnsi="Arial" w:cs="Arial"/>
                <w:sz w:val="18"/>
              </w:rPr>
            </w:pPr>
          </w:p>
        </w:tc>
        <w:tc>
          <w:tcPr>
            <w:tcW w:w="360" w:type="dxa"/>
          </w:tcPr>
          <w:p w14:paraId="6FCBBBF9" w14:textId="77777777" w:rsidR="0006278C" w:rsidRPr="0006278C" w:rsidRDefault="0006278C" w:rsidP="0006278C">
            <w:pPr>
              <w:spacing w:after="0" w:line="240" w:lineRule="auto"/>
              <w:jc w:val="center"/>
              <w:rPr>
                <w:rFonts w:ascii="Arial" w:hAnsi="Arial" w:cs="Arial"/>
                <w:sz w:val="18"/>
              </w:rPr>
            </w:pPr>
          </w:p>
        </w:tc>
        <w:tc>
          <w:tcPr>
            <w:tcW w:w="636" w:type="dxa"/>
          </w:tcPr>
          <w:p w14:paraId="75F733F8" w14:textId="77777777" w:rsidR="0006278C" w:rsidRPr="0006278C" w:rsidRDefault="0006278C" w:rsidP="0006278C">
            <w:pPr>
              <w:spacing w:after="0" w:line="240" w:lineRule="auto"/>
              <w:jc w:val="center"/>
              <w:rPr>
                <w:rFonts w:ascii="Arial" w:hAnsi="Arial" w:cs="Arial"/>
                <w:sz w:val="18"/>
              </w:rPr>
            </w:pPr>
          </w:p>
        </w:tc>
        <w:tc>
          <w:tcPr>
            <w:tcW w:w="491" w:type="dxa"/>
          </w:tcPr>
          <w:p w14:paraId="27919C51"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c>
          <w:tcPr>
            <w:tcW w:w="493" w:type="dxa"/>
          </w:tcPr>
          <w:p w14:paraId="1826A692" w14:textId="77777777" w:rsidR="0006278C" w:rsidRPr="0006278C" w:rsidRDefault="0006278C" w:rsidP="0006278C">
            <w:pPr>
              <w:spacing w:after="0" w:line="240" w:lineRule="auto"/>
              <w:jc w:val="center"/>
              <w:rPr>
                <w:rFonts w:ascii="Arial" w:hAnsi="Arial" w:cs="Arial"/>
                <w:sz w:val="18"/>
              </w:rPr>
            </w:pPr>
          </w:p>
        </w:tc>
        <w:tc>
          <w:tcPr>
            <w:tcW w:w="540" w:type="dxa"/>
          </w:tcPr>
          <w:p w14:paraId="1DD0EC08" w14:textId="77777777" w:rsidR="0006278C" w:rsidRPr="0006278C" w:rsidRDefault="0006278C" w:rsidP="0006278C">
            <w:pPr>
              <w:spacing w:after="0" w:line="240" w:lineRule="auto"/>
              <w:jc w:val="center"/>
              <w:rPr>
                <w:rFonts w:ascii="Arial" w:hAnsi="Arial" w:cs="Arial"/>
                <w:sz w:val="18"/>
              </w:rPr>
            </w:pPr>
          </w:p>
        </w:tc>
        <w:tc>
          <w:tcPr>
            <w:tcW w:w="450" w:type="dxa"/>
          </w:tcPr>
          <w:p w14:paraId="72FBC333" w14:textId="77777777" w:rsidR="0006278C" w:rsidRPr="0006278C" w:rsidRDefault="0006278C" w:rsidP="0006278C">
            <w:pPr>
              <w:spacing w:after="0" w:line="240" w:lineRule="auto"/>
              <w:jc w:val="center"/>
              <w:rPr>
                <w:rFonts w:ascii="Arial" w:hAnsi="Arial" w:cs="Arial"/>
                <w:sz w:val="18"/>
              </w:rPr>
            </w:pPr>
          </w:p>
        </w:tc>
        <w:tc>
          <w:tcPr>
            <w:tcW w:w="540" w:type="dxa"/>
          </w:tcPr>
          <w:p w14:paraId="3F7C62A1" w14:textId="77777777" w:rsidR="0006278C" w:rsidRPr="0006278C" w:rsidRDefault="0006278C" w:rsidP="0006278C">
            <w:pPr>
              <w:spacing w:after="0" w:line="240" w:lineRule="auto"/>
              <w:jc w:val="center"/>
              <w:rPr>
                <w:rFonts w:ascii="Arial" w:hAnsi="Arial" w:cs="Arial"/>
                <w:sz w:val="18"/>
              </w:rPr>
            </w:pPr>
            <w:r w:rsidRPr="0006278C">
              <w:rPr>
                <w:rFonts w:ascii="Arial" w:hAnsi="Arial" w:cs="Arial"/>
                <w:sz w:val="18"/>
              </w:rPr>
              <w:t>x</w:t>
            </w:r>
          </w:p>
        </w:tc>
      </w:tr>
    </w:tbl>
    <w:p w14:paraId="24466B0B" w14:textId="4AE5F700" w:rsidR="00E75E4A" w:rsidRPr="00696EB1" w:rsidRDefault="00696EB1" w:rsidP="00696EB1">
      <w:pPr>
        <w:spacing w:after="0" w:line="240" w:lineRule="auto"/>
        <w:ind w:right="-547"/>
        <w:rPr>
          <w:rFonts w:asciiTheme="minorHAnsi" w:hAnsiTheme="minorHAnsi" w:cs="Arial"/>
          <w:sz w:val="20"/>
          <w:szCs w:val="20"/>
        </w:rPr>
      </w:pPr>
      <w:r w:rsidRPr="00696EB1">
        <w:rPr>
          <w:rFonts w:asciiTheme="minorHAnsi" w:hAnsiTheme="minorHAnsi" w:cs="Arial"/>
          <w:sz w:val="20"/>
          <w:szCs w:val="20"/>
        </w:rPr>
        <w:t xml:space="preserve">* </w:t>
      </w:r>
      <w:r>
        <w:rPr>
          <w:rFonts w:asciiTheme="minorHAnsi" w:hAnsiTheme="minorHAnsi" w:cs="Arial"/>
          <w:sz w:val="20"/>
          <w:szCs w:val="20"/>
        </w:rPr>
        <w:t xml:space="preserve">Includes linkages based on expert opinion or theory in the absence of empirical scientific evidence.  Associations with available empirical scientific evidence that is mixed or inconclusive are not included.  This table is subject to revision as new scientific evidence becomes available.  By definition, NPMs must be linked to at least one NOM; however, not all NOMs must have linked NPMs, as they may be important to monitor as sentinel health indicators regardless.  </w:t>
      </w:r>
    </w:p>
    <w:p w14:paraId="3258259A" w14:textId="445C7D17" w:rsidR="0006278C" w:rsidRPr="00A93466" w:rsidRDefault="0006278C" w:rsidP="00864968">
      <w:pPr>
        <w:spacing w:after="0" w:line="240" w:lineRule="auto"/>
        <w:ind w:right="-540"/>
        <w:rPr>
          <w:rFonts w:asciiTheme="minorHAnsi" w:hAnsiTheme="minorHAnsi" w:cs="Arial"/>
          <w:b/>
          <w:sz w:val="24"/>
          <w:szCs w:val="24"/>
          <w:u w:val="single"/>
        </w:rPr>
      </w:pPr>
      <w:r w:rsidRPr="00A93466">
        <w:rPr>
          <w:rFonts w:asciiTheme="minorHAnsi" w:hAnsiTheme="minorHAnsi" w:cs="Arial"/>
          <w:b/>
          <w:sz w:val="24"/>
          <w:szCs w:val="24"/>
          <w:u w:val="single"/>
        </w:rPr>
        <w:t>References</w:t>
      </w:r>
      <w:r w:rsidR="00696EB1">
        <w:rPr>
          <w:rFonts w:asciiTheme="minorHAnsi" w:hAnsiTheme="minorHAnsi" w:cs="Arial"/>
          <w:b/>
          <w:sz w:val="24"/>
          <w:szCs w:val="24"/>
          <w:u w:val="single"/>
        </w:rPr>
        <w:t xml:space="preserve"> for Table 2</w:t>
      </w:r>
    </w:p>
    <w:p w14:paraId="7AA757D0" w14:textId="77777777" w:rsidR="0006278C" w:rsidRPr="00A93466" w:rsidRDefault="0006278C" w:rsidP="0006278C">
      <w:pPr>
        <w:spacing w:after="0" w:line="240" w:lineRule="auto"/>
        <w:rPr>
          <w:rFonts w:asciiTheme="minorHAnsi" w:hAnsiTheme="minorHAnsi" w:cs="Arial"/>
          <w:sz w:val="24"/>
          <w:szCs w:val="24"/>
        </w:rPr>
      </w:pPr>
    </w:p>
    <w:p w14:paraId="00E0C2B9" w14:textId="77777777" w:rsidR="0006278C" w:rsidRPr="00A93466" w:rsidRDefault="0006278C" w:rsidP="0006278C">
      <w:pPr>
        <w:spacing w:after="0" w:line="240" w:lineRule="auto"/>
        <w:rPr>
          <w:rFonts w:asciiTheme="minorHAnsi" w:hAnsiTheme="minorHAnsi" w:cs="Arial"/>
          <w:b/>
          <w:sz w:val="24"/>
          <w:szCs w:val="24"/>
        </w:rPr>
      </w:pPr>
      <w:r w:rsidRPr="00A93466">
        <w:rPr>
          <w:rFonts w:asciiTheme="minorHAnsi" w:hAnsiTheme="minorHAnsi" w:cs="Arial"/>
          <w:b/>
          <w:sz w:val="24"/>
          <w:szCs w:val="24"/>
        </w:rPr>
        <w:t>NPM-1 Well-Woman Visit</w:t>
      </w:r>
    </w:p>
    <w:p w14:paraId="7ACB9AC1" w14:textId="77777777" w:rsidR="0006278C" w:rsidRPr="00A93466" w:rsidRDefault="0006278C" w:rsidP="0006278C">
      <w:pPr>
        <w:spacing w:after="0" w:line="240" w:lineRule="auto"/>
        <w:rPr>
          <w:rFonts w:asciiTheme="minorHAnsi" w:hAnsiTheme="minorHAnsi" w:cs="Arial"/>
          <w:sz w:val="24"/>
          <w:szCs w:val="24"/>
        </w:rPr>
      </w:pPr>
    </w:p>
    <w:p w14:paraId="499AE5EF" w14:textId="67DBEACD" w:rsidR="0006278C" w:rsidRPr="00A93466" w:rsidRDefault="0006278C" w:rsidP="0006278C">
      <w:pPr>
        <w:spacing w:after="0" w:line="240" w:lineRule="auto"/>
        <w:rPr>
          <w:rFonts w:asciiTheme="minorHAnsi" w:hAnsiTheme="minorHAnsi" w:cs="Arial"/>
          <w:sz w:val="24"/>
          <w:szCs w:val="24"/>
        </w:rPr>
      </w:pPr>
      <w:r w:rsidRPr="00A93466">
        <w:rPr>
          <w:rFonts w:asciiTheme="minorHAnsi" w:hAnsiTheme="minorHAnsi" w:cs="Arial"/>
          <w:sz w:val="24"/>
          <w:szCs w:val="24"/>
        </w:rPr>
        <w:t xml:space="preserve">American Congress of Obstetricians and Gynecologists (ACOG). Well-Woman Recommendations. </w:t>
      </w:r>
      <w:hyperlink r:id="rId31" w:history="1">
        <w:r w:rsidRPr="00A93466">
          <w:rPr>
            <w:rStyle w:val="Hyperlink"/>
            <w:rFonts w:asciiTheme="minorHAnsi" w:hAnsiTheme="minorHAnsi" w:cs="Arial"/>
            <w:sz w:val="24"/>
            <w:szCs w:val="24"/>
          </w:rPr>
          <w:t>http://www.acog.org/wellwoman</w:t>
        </w:r>
      </w:hyperlink>
      <w:r w:rsidRPr="00A93466">
        <w:rPr>
          <w:rFonts w:asciiTheme="minorHAnsi" w:hAnsiTheme="minorHAnsi" w:cs="Arial"/>
          <w:sz w:val="24"/>
          <w:szCs w:val="24"/>
        </w:rPr>
        <w:t xml:space="preserve"> </w:t>
      </w:r>
    </w:p>
    <w:p w14:paraId="2AD1DEB4" w14:textId="77777777" w:rsidR="0006278C" w:rsidRPr="00A93466" w:rsidRDefault="0006278C" w:rsidP="0006278C">
      <w:pPr>
        <w:spacing w:after="0" w:line="240" w:lineRule="auto"/>
        <w:rPr>
          <w:rFonts w:asciiTheme="minorHAnsi" w:hAnsiTheme="minorHAnsi" w:cs="Arial"/>
          <w:sz w:val="24"/>
          <w:szCs w:val="24"/>
        </w:rPr>
      </w:pPr>
    </w:p>
    <w:p w14:paraId="5673DA8A" w14:textId="2986959D" w:rsidR="0006278C" w:rsidRPr="00A93466" w:rsidRDefault="0006278C" w:rsidP="0006278C">
      <w:pPr>
        <w:spacing w:after="0" w:line="240" w:lineRule="auto"/>
        <w:rPr>
          <w:rFonts w:asciiTheme="minorHAnsi" w:hAnsiTheme="minorHAnsi" w:cs="Arial"/>
          <w:sz w:val="24"/>
          <w:szCs w:val="24"/>
        </w:rPr>
      </w:pPr>
      <w:r w:rsidRPr="00A93466">
        <w:rPr>
          <w:rFonts w:asciiTheme="minorHAnsi" w:hAnsiTheme="minorHAnsi" w:cs="Arial"/>
          <w:sz w:val="24"/>
          <w:szCs w:val="24"/>
        </w:rPr>
        <w:t xml:space="preserve">Centers for Disease Control and Prevention (CDC).  Preconception Health and Health Care.  </w:t>
      </w:r>
      <w:hyperlink r:id="rId32" w:history="1">
        <w:r w:rsidRPr="00A93466">
          <w:rPr>
            <w:rStyle w:val="Hyperlink"/>
            <w:rFonts w:asciiTheme="minorHAnsi" w:hAnsiTheme="minorHAnsi" w:cs="Arial"/>
            <w:sz w:val="24"/>
            <w:szCs w:val="24"/>
          </w:rPr>
          <w:t>https://www.cdc.gov/preconception/careforwomen</w:t>
        </w:r>
      </w:hyperlink>
      <w:r w:rsidRPr="00A93466">
        <w:rPr>
          <w:rFonts w:asciiTheme="minorHAnsi" w:hAnsiTheme="minorHAnsi" w:cs="Arial"/>
          <w:sz w:val="24"/>
          <w:szCs w:val="24"/>
        </w:rPr>
        <w:t xml:space="preserve"> </w:t>
      </w:r>
    </w:p>
    <w:p w14:paraId="2B2661A8" w14:textId="77777777" w:rsidR="0006278C" w:rsidRPr="00A93466" w:rsidRDefault="0006278C" w:rsidP="0006278C">
      <w:pPr>
        <w:spacing w:after="0" w:line="240" w:lineRule="auto"/>
        <w:rPr>
          <w:rFonts w:asciiTheme="minorHAnsi" w:hAnsiTheme="minorHAnsi" w:cs="Arial"/>
          <w:sz w:val="24"/>
          <w:szCs w:val="24"/>
        </w:rPr>
      </w:pPr>
    </w:p>
    <w:p w14:paraId="3593C7D6" w14:textId="4B5E6BA9" w:rsidR="0006278C" w:rsidRPr="00A93466" w:rsidRDefault="0006278C" w:rsidP="0006278C">
      <w:pPr>
        <w:spacing w:after="0" w:line="240" w:lineRule="auto"/>
        <w:rPr>
          <w:rFonts w:asciiTheme="minorHAnsi" w:hAnsiTheme="minorHAnsi" w:cs="Arial"/>
          <w:b/>
          <w:sz w:val="24"/>
          <w:szCs w:val="24"/>
        </w:rPr>
      </w:pPr>
      <w:r w:rsidRPr="00A93466">
        <w:rPr>
          <w:rFonts w:asciiTheme="minorHAnsi" w:hAnsiTheme="minorHAnsi" w:cs="Arial"/>
          <w:b/>
          <w:sz w:val="24"/>
          <w:szCs w:val="24"/>
        </w:rPr>
        <w:t>NPM-2 Low-Risk Cesarean Delivery</w:t>
      </w:r>
    </w:p>
    <w:p w14:paraId="00550173" w14:textId="77777777" w:rsidR="0006278C" w:rsidRPr="00A93466" w:rsidRDefault="0006278C" w:rsidP="0006278C">
      <w:pPr>
        <w:spacing w:after="0" w:line="240" w:lineRule="auto"/>
        <w:rPr>
          <w:rFonts w:asciiTheme="minorHAnsi" w:hAnsiTheme="minorHAnsi" w:cs="Arial"/>
          <w:b/>
          <w:sz w:val="24"/>
          <w:szCs w:val="24"/>
        </w:rPr>
      </w:pPr>
    </w:p>
    <w:p w14:paraId="01661F35" w14:textId="77777777" w:rsidR="0006278C" w:rsidRPr="00A93466" w:rsidRDefault="0006278C" w:rsidP="0006278C">
      <w:pPr>
        <w:spacing w:after="0" w:line="240" w:lineRule="auto"/>
        <w:rPr>
          <w:rFonts w:asciiTheme="minorHAnsi" w:hAnsiTheme="minorHAnsi" w:cs="Arial"/>
          <w:sz w:val="24"/>
          <w:szCs w:val="24"/>
        </w:rPr>
      </w:pPr>
      <w:r w:rsidRPr="00A93466">
        <w:rPr>
          <w:rFonts w:asciiTheme="minorHAnsi" w:hAnsiTheme="minorHAnsi" w:cs="Arial"/>
          <w:sz w:val="24"/>
          <w:szCs w:val="24"/>
        </w:rPr>
        <w:t xml:space="preserve">Safe prevention of the primary cesarean delivery. Obstetric Care Consensus No. 1. American College of Obstetricians and Gynecologists. Obstet Gynecol 2014;123:693–711. </w:t>
      </w:r>
      <w:hyperlink r:id="rId33" w:history="1">
        <w:r w:rsidRPr="00A93466">
          <w:rPr>
            <w:rStyle w:val="Hyperlink"/>
            <w:rFonts w:asciiTheme="minorHAnsi" w:hAnsiTheme="minorHAnsi" w:cs="Arial"/>
            <w:sz w:val="24"/>
            <w:szCs w:val="24"/>
          </w:rPr>
          <w:t>http://www.acog.org/Resources-And-Publications/Obstetric-Care-Consensus-Series/Safe-Prevention-of-the-Primary-Cesarean-Delivery</w:t>
        </w:r>
      </w:hyperlink>
    </w:p>
    <w:p w14:paraId="45C7EC26" w14:textId="77777777" w:rsidR="0006278C" w:rsidRPr="00A93466" w:rsidRDefault="0006278C" w:rsidP="0006278C">
      <w:pPr>
        <w:spacing w:after="0" w:line="240" w:lineRule="auto"/>
        <w:rPr>
          <w:rFonts w:asciiTheme="minorHAnsi" w:hAnsiTheme="minorHAnsi" w:cs="Arial"/>
          <w:sz w:val="24"/>
          <w:szCs w:val="24"/>
        </w:rPr>
      </w:pPr>
    </w:p>
    <w:p w14:paraId="21BB5AFB" w14:textId="77777777" w:rsidR="0006278C" w:rsidRPr="00A93466" w:rsidRDefault="0006278C" w:rsidP="0006278C">
      <w:pPr>
        <w:spacing w:after="0" w:line="240" w:lineRule="auto"/>
        <w:rPr>
          <w:rFonts w:asciiTheme="minorHAnsi" w:hAnsiTheme="minorHAnsi" w:cs="Arial"/>
          <w:b/>
          <w:sz w:val="24"/>
          <w:szCs w:val="24"/>
        </w:rPr>
      </w:pPr>
      <w:r w:rsidRPr="00A93466">
        <w:rPr>
          <w:rFonts w:asciiTheme="minorHAnsi" w:hAnsiTheme="minorHAnsi" w:cs="Arial"/>
          <w:b/>
          <w:sz w:val="24"/>
          <w:szCs w:val="24"/>
        </w:rPr>
        <w:t>NPM-3 Risk-Appropriate Perinatal Care</w:t>
      </w:r>
    </w:p>
    <w:p w14:paraId="2B9E00B6" w14:textId="77777777" w:rsidR="0006278C" w:rsidRPr="00A93466" w:rsidRDefault="0006278C" w:rsidP="0006278C">
      <w:pPr>
        <w:spacing w:after="0" w:line="240" w:lineRule="auto"/>
        <w:rPr>
          <w:rFonts w:asciiTheme="minorHAnsi" w:hAnsiTheme="minorHAnsi" w:cs="Arial"/>
          <w:sz w:val="24"/>
          <w:szCs w:val="24"/>
        </w:rPr>
      </w:pPr>
    </w:p>
    <w:p w14:paraId="678E226D" w14:textId="77777777" w:rsidR="0006278C" w:rsidRPr="00A93466" w:rsidRDefault="0006278C" w:rsidP="0006278C">
      <w:pPr>
        <w:spacing w:after="0" w:line="240" w:lineRule="auto"/>
        <w:rPr>
          <w:rFonts w:asciiTheme="minorHAnsi" w:hAnsiTheme="minorHAnsi" w:cs="Arial"/>
          <w:sz w:val="24"/>
          <w:szCs w:val="24"/>
        </w:rPr>
      </w:pPr>
      <w:r w:rsidRPr="00A93466">
        <w:rPr>
          <w:rFonts w:asciiTheme="minorHAnsi" w:hAnsiTheme="minorHAnsi" w:cs="Arial"/>
          <w:sz w:val="24"/>
          <w:szCs w:val="24"/>
        </w:rPr>
        <w:t xml:space="preserve">American Academy of Pediatrics Committee on Fetus And Newborn. Levels of neonatal care. Pediatrics. 2012 Sep;130(3):587-97. </w:t>
      </w:r>
      <w:hyperlink r:id="rId34" w:history="1">
        <w:r w:rsidRPr="00A93466">
          <w:rPr>
            <w:rStyle w:val="Hyperlink"/>
            <w:rFonts w:asciiTheme="minorHAnsi" w:hAnsiTheme="minorHAnsi" w:cs="Arial"/>
            <w:sz w:val="24"/>
            <w:szCs w:val="24"/>
          </w:rPr>
          <w:t>http://pediatrics.aappublications.org/content/130/3/587</w:t>
        </w:r>
      </w:hyperlink>
    </w:p>
    <w:p w14:paraId="52CBA768" w14:textId="77777777" w:rsidR="0006278C" w:rsidRPr="00A93466" w:rsidRDefault="0006278C" w:rsidP="0006278C">
      <w:pPr>
        <w:spacing w:after="0" w:line="240" w:lineRule="auto"/>
        <w:rPr>
          <w:rFonts w:asciiTheme="minorHAnsi" w:hAnsiTheme="minorHAnsi" w:cs="Arial"/>
          <w:sz w:val="24"/>
          <w:szCs w:val="24"/>
        </w:rPr>
      </w:pPr>
    </w:p>
    <w:p w14:paraId="69E22BA0" w14:textId="77777777" w:rsidR="0006278C" w:rsidRPr="00A93466" w:rsidRDefault="0006278C" w:rsidP="0006278C">
      <w:pPr>
        <w:spacing w:after="0" w:line="240" w:lineRule="auto"/>
        <w:rPr>
          <w:rFonts w:asciiTheme="minorHAnsi" w:hAnsiTheme="minorHAnsi" w:cs="Arial"/>
          <w:b/>
          <w:sz w:val="24"/>
          <w:szCs w:val="24"/>
        </w:rPr>
      </w:pPr>
      <w:r w:rsidRPr="00A93466">
        <w:rPr>
          <w:rFonts w:asciiTheme="minorHAnsi" w:hAnsiTheme="minorHAnsi" w:cs="Arial"/>
          <w:b/>
          <w:sz w:val="24"/>
          <w:szCs w:val="24"/>
        </w:rPr>
        <w:t>NPM-4 Breastfeeding</w:t>
      </w:r>
    </w:p>
    <w:p w14:paraId="0C5453FB" w14:textId="77777777" w:rsidR="0006278C" w:rsidRPr="00A93466" w:rsidRDefault="0006278C" w:rsidP="0006278C">
      <w:pPr>
        <w:spacing w:after="0" w:line="240" w:lineRule="auto"/>
        <w:rPr>
          <w:rFonts w:asciiTheme="minorHAnsi" w:hAnsiTheme="minorHAnsi" w:cs="Arial"/>
          <w:sz w:val="24"/>
          <w:szCs w:val="24"/>
        </w:rPr>
      </w:pPr>
    </w:p>
    <w:p w14:paraId="24B09A14" w14:textId="457A9FE1" w:rsidR="0006278C" w:rsidRPr="00A93466" w:rsidRDefault="0006278C" w:rsidP="0006278C">
      <w:pPr>
        <w:spacing w:after="0" w:line="240" w:lineRule="auto"/>
        <w:rPr>
          <w:rFonts w:asciiTheme="minorHAnsi" w:hAnsiTheme="minorHAnsi" w:cs="Arial"/>
          <w:sz w:val="24"/>
          <w:szCs w:val="24"/>
        </w:rPr>
      </w:pPr>
      <w:r w:rsidRPr="00A93466">
        <w:rPr>
          <w:rFonts w:asciiTheme="minorHAnsi" w:hAnsiTheme="minorHAnsi" w:cs="Arial"/>
          <w:sz w:val="24"/>
          <w:szCs w:val="24"/>
        </w:rPr>
        <w:t xml:space="preserve">Victora CG, Bahl R, Barros AJ, França GV, Horton S, Krasevec J, Murch S, Sankar MJ, Walker N, Rollins NC; Lancet Breastfeeding Series Group. Breastfeeding in the 21st century: epidemiology, mechanisms, and lifelong effect. Lancet. 2016 Jan 30;387(10017):475-90. </w:t>
      </w:r>
      <w:hyperlink r:id="rId35" w:history="1">
        <w:r w:rsidRPr="00A93466">
          <w:rPr>
            <w:rStyle w:val="Hyperlink"/>
            <w:rFonts w:asciiTheme="minorHAnsi" w:hAnsiTheme="minorHAnsi" w:cs="Arial"/>
            <w:sz w:val="24"/>
            <w:szCs w:val="24"/>
          </w:rPr>
          <w:t>http://www.thelancet.com/journals/lancet/article/PIIS0140-6736(15)01024-7/fulltext</w:t>
        </w:r>
      </w:hyperlink>
      <w:r w:rsidRPr="00A93466">
        <w:rPr>
          <w:rFonts w:asciiTheme="minorHAnsi" w:hAnsiTheme="minorHAnsi" w:cs="Arial"/>
          <w:sz w:val="24"/>
          <w:szCs w:val="24"/>
        </w:rPr>
        <w:t xml:space="preserve"> </w:t>
      </w:r>
    </w:p>
    <w:p w14:paraId="71778EC7" w14:textId="77777777" w:rsidR="0006278C" w:rsidRPr="00A93466" w:rsidRDefault="0006278C" w:rsidP="0006278C">
      <w:pPr>
        <w:spacing w:after="0" w:line="240" w:lineRule="auto"/>
        <w:rPr>
          <w:rFonts w:asciiTheme="minorHAnsi" w:hAnsiTheme="minorHAnsi" w:cs="Arial"/>
          <w:sz w:val="24"/>
          <w:szCs w:val="24"/>
        </w:rPr>
      </w:pPr>
    </w:p>
    <w:p w14:paraId="2613BBE5" w14:textId="5E22A096" w:rsidR="0006278C" w:rsidRPr="00A93466" w:rsidRDefault="0006278C" w:rsidP="0006278C">
      <w:pPr>
        <w:spacing w:after="0" w:line="240" w:lineRule="auto"/>
        <w:rPr>
          <w:rFonts w:asciiTheme="minorHAnsi" w:hAnsiTheme="minorHAnsi" w:cs="Arial"/>
          <w:sz w:val="24"/>
          <w:szCs w:val="24"/>
        </w:rPr>
      </w:pPr>
      <w:r w:rsidRPr="00A93466">
        <w:rPr>
          <w:rFonts w:asciiTheme="minorHAnsi" w:hAnsiTheme="minorHAnsi" w:cs="Arial"/>
          <w:sz w:val="24"/>
          <w:szCs w:val="24"/>
        </w:rPr>
        <w:t xml:space="preserve">American Academy of Pediatrics Section on Breastfeeding. Breastfeeding and the use of human milk. Pediatrics. 2012 Mar;129(3):e827-41. </w:t>
      </w:r>
      <w:hyperlink r:id="rId36" w:history="1">
        <w:r w:rsidRPr="00A93466">
          <w:rPr>
            <w:rStyle w:val="Hyperlink"/>
            <w:rFonts w:asciiTheme="minorHAnsi" w:hAnsiTheme="minorHAnsi" w:cs="Arial"/>
            <w:sz w:val="24"/>
            <w:szCs w:val="24"/>
          </w:rPr>
          <w:t>http://pediatrics.aappublications.org/content/early/2012/02/22/peds.2011-3552</w:t>
        </w:r>
      </w:hyperlink>
      <w:r w:rsidRPr="00A93466">
        <w:rPr>
          <w:rFonts w:asciiTheme="minorHAnsi" w:hAnsiTheme="minorHAnsi" w:cs="Arial"/>
          <w:sz w:val="24"/>
          <w:szCs w:val="24"/>
        </w:rPr>
        <w:t xml:space="preserve"> </w:t>
      </w:r>
    </w:p>
    <w:p w14:paraId="5EEBD824" w14:textId="77777777" w:rsidR="0006278C" w:rsidRPr="00A93466" w:rsidRDefault="0006278C" w:rsidP="0006278C">
      <w:pPr>
        <w:spacing w:after="0" w:line="240" w:lineRule="auto"/>
        <w:rPr>
          <w:rFonts w:asciiTheme="minorHAnsi" w:hAnsiTheme="minorHAnsi" w:cs="Arial"/>
          <w:sz w:val="24"/>
          <w:szCs w:val="24"/>
        </w:rPr>
      </w:pPr>
    </w:p>
    <w:p w14:paraId="5E1C16BB" w14:textId="2663D4EA" w:rsidR="0006278C" w:rsidRPr="00A93466" w:rsidRDefault="0006278C" w:rsidP="0006278C">
      <w:pPr>
        <w:spacing w:after="0" w:line="240" w:lineRule="auto"/>
        <w:rPr>
          <w:rFonts w:asciiTheme="minorHAnsi" w:hAnsiTheme="minorHAnsi" w:cs="Arial"/>
          <w:sz w:val="24"/>
          <w:szCs w:val="24"/>
        </w:rPr>
      </w:pPr>
      <w:r w:rsidRPr="00A93466">
        <w:rPr>
          <w:rFonts w:asciiTheme="minorHAnsi" w:hAnsiTheme="minorHAnsi" w:cs="Arial"/>
          <w:sz w:val="24"/>
          <w:szCs w:val="24"/>
        </w:rPr>
        <w:t xml:space="preserve">Kramer MS, Kakuma R. Optimal duration of exclusive breastfeeding. Cochrane Database Syst Rev. 2012 Aug 15;(8):CD003517. </w:t>
      </w:r>
      <w:hyperlink r:id="rId37" w:history="1">
        <w:r w:rsidRPr="00A93466">
          <w:rPr>
            <w:rStyle w:val="Hyperlink"/>
            <w:rFonts w:asciiTheme="minorHAnsi" w:hAnsiTheme="minorHAnsi" w:cs="Arial"/>
            <w:sz w:val="24"/>
            <w:szCs w:val="24"/>
          </w:rPr>
          <w:t>http://onlinelibrary.wiley.com/doi/10.1002/14651858.CD003517.pub2/full</w:t>
        </w:r>
      </w:hyperlink>
    </w:p>
    <w:p w14:paraId="76A0FC44" w14:textId="77777777" w:rsidR="0006278C" w:rsidRPr="00A93466" w:rsidRDefault="0006278C" w:rsidP="0006278C">
      <w:pPr>
        <w:spacing w:after="0" w:line="240" w:lineRule="auto"/>
        <w:rPr>
          <w:rFonts w:asciiTheme="minorHAnsi" w:hAnsiTheme="minorHAnsi" w:cs="Arial"/>
          <w:sz w:val="24"/>
          <w:szCs w:val="24"/>
        </w:rPr>
      </w:pPr>
    </w:p>
    <w:p w14:paraId="18FAB1F8" w14:textId="77777777" w:rsidR="0006278C" w:rsidRPr="00A93466" w:rsidRDefault="0006278C" w:rsidP="0006278C">
      <w:pPr>
        <w:spacing w:after="0" w:line="240" w:lineRule="auto"/>
        <w:rPr>
          <w:rFonts w:asciiTheme="minorHAnsi" w:hAnsiTheme="minorHAnsi" w:cs="Arial"/>
          <w:b/>
          <w:sz w:val="24"/>
          <w:szCs w:val="24"/>
        </w:rPr>
      </w:pPr>
      <w:r w:rsidRPr="00A93466">
        <w:rPr>
          <w:rFonts w:asciiTheme="minorHAnsi" w:hAnsiTheme="minorHAnsi" w:cs="Arial"/>
          <w:b/>
          <w:sz w:val="24"/>
          <w:szCs w:val="24"/>
        </w:rPr>
        <w:t>NPM-5 Safe Sleep</w:t>
      </w:r>
    </w:p>
    <w:p w14:paraId="1F31AD25" w14:textId="77777777" w:rsidR="0006278C" w:rsidRPr="00A93466" w:rsidRDefault="0006278C" w:rsidP="0006278C">
      <w:pPr>
        <w:spacing w:after="0" w:line="240" w:lineRule="auto"/>
        <w:rPr>
          <w:rFonts w:asciiTheme="minorHAnsi" w:hAnsiTheme="minorHAnsi" w:cs="Arial"/>
          <w:sz w:val="24"/>
          <w:szCs w:val="24"/>
        </w:rPr>
      </w:pPr>
    </w:p>
    <w:p w14:paraId="648A34E8" w14:textId="109780B7" w:rsidR="0006278C" w:rsidRPr="00A93466" w:rsidRDefault="0006278C" w:rsidP="0006278C">
      <w:pPr>
        <w:spacing w:after="0" w:line="240" w:lineRule="auto"/>
        <w:rPr>
          <w:rFonts w:asciiTheme="minorHAnsi" w:hAnsiTheme="minorHAnsi" w:cs="Arial"/>
          <w:sz w:val="24"/>
          <w:szCs w:val="24"/>
        </w:rPr>
      </w:pPr>
      <w:r w:rsidRPr="00A93466">
        <w:rPr>
          <w:rFonts w:asciiTheme="minorHAnsi" w:hAnsiTheme="minorHAnsi" w:cs="Arial"/>
          <w:sz w:val="24"/>
          <w:szCs w:val="24"/>
        </w:rPr>
        <w:t xml:space="preserve">Taskforce on Sudden Infant Death Syndrome. SIDS and Other Sleep-Related Infant Deaths: Updated 2016 Recommendations for a Safe Infant Sleeping Environment. Pediatrics. 2016 Nov;138(5). </w:t>
      </w:r>
      <w:hyperlink r:id="rId38" w:history="1">
        <w:r w:rsidRPr="00A93466">
          <w:rPr>
            <w:rStyle w:val="Hyperlink"/>
            <w:rFonts w:asciiTheme="minorHAnsi" w:hAnsiTheme="minorHAnsi" w:cs="Arial"/>
            <w:sz w:val="24"/>
            <w:szCs w:val="24"/>
          </w:rPr>
          <w:t>http://pediatrics.aappublications.org/content/138/5/e20162938</w:t>
        </w:r>
      </w:hyperlink>
      <w:r w:rsidRPr="00A93466">
        <w:rPr>
          <w:rFonts w:asciiTheme="minorHAnsi" w:hAnsiTheme="minorHAnsi" w:cs="Arial"/>
          <w:sz w:val="24"/>
          <w:szCs w:val="24"/>
        </w:rPr>
        <w:t xml:space="preserve"> </w:t>
      </w:r>
    </w:p>
    <w:p w14:paraId="7BC051B4" w14:textId="77777777" w:rsidR="0006278C" w:rsidRPr="00A93466" w:rsidRDefault="0006278C" w:rsidP="0006278C">
      <w:pPr>
        <w:spacing w:after="0" w:line="240" w:lineRule="auto"/>
        <w:rPr>
          <w:rFonts w:asciiTheme="minorHAnsi" w:hAnsiTheme="minorHAnsi" w:cs="Arial"/>
          <w:sz w:val="24"/>
          <w:szCs w:val="24"/>
        </w:rPr>
      </w:pPr>
    </w:p>
    <w:p w14:paraId="251CA2DE" w14:textId="281D011C" w:rsidR="0006278C" w:rsidRPr="00A93466" w:rsidRDefault="0006278C" w:rsidP="0006278C">
      <w:pPr>
        <w:spacing w:after="0" w:line="240" w:lineRule="auto"/>
        <w:rPr>
          <w:rFonts w:asciiTheme="minorHAnsi" w:hAnsiTheme="minorHAnsi" w:cs="Arial"/>
          <w:sz w:val="24"/>
          <w:szCs w:val="24"/>
        </w:rPr>
      </w:pPr>
      <w:r w:rsidRPr="00A93466">
        <w:rPr>
          <w:rFonts w:asciiTheme="minorHAnsi" w:hAnsiTheme="minorHAnsi" w:cs="Arial"/>
          <w:sz w:val="24"/>
          <w:szCs w:val="24"/>
        </w:rPr>
        <w:t xml:space="preserve">Taskforce on Sudden Infant Death Syndrome. SIDS and other sleep-related infant deaths: expansion of recommendations for a safe sleeping environment. Pediatrics. 2011; 128(5) e1341-e1367. </w:t>
      </w:r>
      <w:hyperlink r:id="rId39" w:history="1">
        <w:r w:rsidRPr="00A93466">
          <w:rPr>
            <w:rStyle w:val="Hyperlink"/>
            <w:rFonts w:asciiTheme="minorHAnsi" w:hAnsiTheme="minorHAnsi" w:cs="Arial"/>
            <w:sz w:val="24"/>
            <w:szCs w:val="24"/>
          </w:rPr>
          <w:t>http://pediatrics.aappublications.org/content/128/5/1030</w:t>
        </w:r>
      </w:hyperlink>
    </w:p>
    <w:p w14:paraId="56A0D86B" w14:textId="77777777" w:rsidR="0006278C" w:rsidRPr="00A93466" w:rsidRDefault="0006278C" w:rsidP="0006278C">
      <w:pPr>
        <w:spacing w:after="0" w:line="240" w:lineRule="auto"/>
        <w:rPr>
          <w:rFonts w:asciiTheme="minorHAnsi" w:hAnsiTheme="minorHAnsi" w:cs="Arial"/>
          <w:sz w:val="24"/>
          <w:szCs w:val="24"/>
        </w:rPr>
      </w:pPr>
    </w:p>
    <w:p w14:paraId="739B5C6E" w14:textId="77777777" w:rsidR="0006278C" w:rsidRPr="00A93466" w:rsidRDefault="0006278C" w:rsidP="0006278C">
      <w:pPr>
        <w:spacing w:after="0" w:line="240" w:lineRule="auto"/>
        <w:rPr>
          <w:rFonts w:asciiTheme="minorHAnsi" w:hAnsiTheme="minorHAnsi" w:cs="Arial"/>
          <w:b/>
          <w:sz w:val="24"/>
          <w:szCs w:val="24"/>
        </w:rPr>
      </w:pPr>
      <w:r w:rsidRPr="00A93466">
        <w:rPr>
          <w:rFonts w:asciiTheme="minorHAnsi" w:hAnsiTheme="minorHAnsi" w:cs="Arial"/>
          <w:b/>
          <w:sz w:val="24"/>
          <w:szCs w:val="24"/>
        </w:rPr>
        <w:t>NPM-6 Developmental Screening</w:t>
      </w:r>
    </w:p>
    <w:p w14:paraId="2A35E6D1" w14:textId="77777777" w:rsidR="0006278C" w:rsidRPr="00A93466" w:rsidRDefault="0006278C" w:rsidP="0006278C">
      <w:pPr>
        <w:spacing w:after="0" w:line="240" w:lineRule="auto"/>
        <w:rPr>
          <w:rFonts w:asciiTheme="minorHAnsi" w:hAnsiTheme="minorHAnsi" w:cs="Arial"/>
          <w:sz w:val="24"/>
          <w:szCs w:val="24"/>
        </w:rPr>
      </w:pPr>
    </w:p>
    <w:p w14:paraId="133FAAFE" w14:textId="201B2849" w:rsidR="00C337AB" w:rsidRDefault="0006278C" w:rsidP="0006278C">
      <w:pPr>
        <w:spacing w:after="0" w:line="240" w:lineRule="auto"/>
        <w:rPr>
          <w:rStyle w:val="Hyperlink"/>
          <w:rFonts w:asciiTheme="minorHAnsi" w:hAnsiTheme="minorHAnsi" w:cs="Arial"/>
          <w:sz w:val="24"/>
          <w:szCs w:val="24"/>
        </w:rPr>
      </w:pPr>
      <w:r w:rsidRPr="00A93466">
        <w:rPr>
          <w:rFonts w:asciiTheme="minorHAnsi" w:hAnsiTheme="minorHAnsi" w:cs="Arial"/>
          <w:sz w:val="24"/>
          <w:szCs w:val="24"/>
        </w:rPr>
        <w:t xml:space="preserve">Council on Children With Disabilities; Section on Developmental Behavioral Pediatrics; Bright Futures Steering Committee; Medical Home Initiatives for Children With Special Needs Project Advisory Committee. Identifying infants and young children with developmental disorders in the medical home: an algorithm for developmental surveillance and screening. Pediatrics. 2006 Jul;118(1):405-20. </w:t>
      </w:r>
      <w:hyperlink r:id="rId40" w:history="1">
        <w:r w:rsidRPr="00A93466">
          <w:rPr>
            <w:rStyle w:val="Hyperlink"/>
            <w:rFonts w:asciiTheme="minorHAnsi" w:hAnsiTheme="minorHAnsi" w:cs="Arial"/>
            <w:sz w:val="24"/>
            <w:szCs w:val="24"/>
          </w:rPr>
          <w:t>http://pediatrics.aappublications.org/content/118/1/405</w:t>
        </w:r>
      </w:hyperlink>
    </w:p>
    <w:p w14:paraId="7252BADB" w14:textId="77777777" w:rsidR="00C337AB" w:rsidRDefault="00C337AB" w:rsidP="0006278C">
      <w:pPr>
        <w:spacing w:after="0" w:line="240" w:lineRule="auto"/>
        <w:rPr>
          <w:rFonts w:asciiTheme="minorHAnsi" w:hAnsiTheme="minorHAnsi" w:cs="Arial"/>
          <w:sz w:val="24"/>
          <w:szCs w:val="24"/>
        </w:rPr>
      </w:pPr>
    </w:p>
    <w:p w14:paraId="0EF445B1" w14:textId="322FAA45" w:rsidR="0006278C" w:rsidRDefault="00C337AB" w:rsidP="0006278C">
      <w:pPr>
        <w:spacing w:after="0" w:line="240" w:lineRule="auto"/>
        <w:rPr>
          <w:rFonts w:asciiTheme="minorHAnsi" w:hAnsiTheme="minorHAnsi" w:cs="Arial"/>
          <w:sz w:val="24"/>
          <w:szCs w:val="24"/>
        </w:rPr>
      </w:pPr>
      <w:r>
        <w:rPr>
          <w:rFonts w:asciiTheme="minorHAnsi" w:hAnsiTheme="minorHAnsi" w:cs="Arial"/>
          <w:sz w:val="24"/>
          <w:szCs w:val="24"/>
        </w:rPr>
        <w:t>Hagan, JF, Shaw JS, Duncan PM. Bright Futures: guidelines for health supervision of infants, children and adolescen</w:t>
      </w:r>
      <w:r w:rsidR="00E71386">
        <w:rPr>
          <w:rFonts w:asciiTheme="minorHAnsi" w:hAnsiTheme="minorHAnsi" w:cs="Arial"/>
          <w:sz w:val="24"/>
          <w:szCs w:val="24"/>
        </w:rPr>
        <w:t>ts. Fourth Edi</w:t>
      </w:r>
      <w:r>
        <w:rPr>
          <w:rFonts w:asciiTheme="minorHAnsi" w:hAnsiTheme="minorHAnsi" w:cs="Arial"/>
          <w:sz w:val="24"/>
          <w:szCs w:val="24"/>
        </w:rPr>
        <w:t>t</w:t>
      </w:r>
      <w:r w:rsidR="00E71386">
        <w:rPr>
          <w:rFonts w:asciiTheme="minorHAnsi" w:hAnsiTheme="minorHAnsi" w:cs="Arial"/>
          <w:sz w:val="24"/>
          <w:szCs w:val="24"/>
        </w:rPr>
        <w:t>i</w:t>
      </w:r>
      <w:r>
        <w:rPr>
          <w:rFonts w:asciiTheme="minorHAnsi" w:hAnsiTheme="minorHAnsi" w:cs="Arial"/>
          <w:sz w:val="24"/>
          <w:szCs w:val="24"/>
        </w:rPr>
        <w:t>on. Elk Grove Village, IL: American Academy of Pediatrics. 2017.</w:t>
      </w:r>
    </w:p>
    <w:p w14:paraId="6C26C8CD" w14:textId="77777777" w:rsidR="00C337AB" w:rsidRPr="00A93466" w:rsidRDefault="00C337AB" w:rsidP="0006278C">
      <w:pPr>
        <w:spacing w:after="0" w:line="240" w:lineRule="auto"/>
        <w:rPr>
          <w:rFonts w:asciiTheme="minorHAnsi" w:hAnsiTheme="minorHAnsi" w:cs="Arial"/>
          <w:sz w:val="24"/>
          <w:szCs w:val="24"/>
        </w:rPr>
      </w:pPr>
    </w:p>
    <w:p w14:paraId="4C225AA9" w14:textId="77777777" w:rsidR="0006278C" w:rsidRPr="00A93466" w:rsidRDefault="0006278C" w:rsidP="0006278C">
      <w:pPr>
        <w:spacing w:after="0" w:line="240" w:lineRule="auto"/>
        <w:rPr>
          <w:rFonts w:asciiTheme="minorHAnsi" w:hAnsiTheme="minorHAnsi" w:cs="Arial"/>
          <w:b/>
          <w:sz w:val="24"/>
          <w:szCs w:val="24"/>
        </w:rPr>
      </w:pPr>
      <w:r w:rsidRPr="00A93466">
        <w:rPr>
          <w:rFonts w:asciiTheme="minorHAnsi" w:hAnsiTheme="minorHAnsi" w:cs="Arial"/>
          <w:b/>
          <w:sz w:val="24"/>
          <w:szCs w:val="24"/>
        </w:rPr>
        <w:t>NPM-7 Injury Hospitalization</w:t>
      </w:r>
    </w:p>
    <w:p w14:paraId="5675FC52" w14:textId="77777777" w:rsidR="0006278C" w:rsidRPr="00A93466" w:rsidRDefault="0006278C" w:rsidP="0006278C">
      <w:pPr>
        <w:spacing w:after="0" w:line="240" w:lineRule="auto"/>
        <w:rPr>
          <w:rFonts w:asciiTheme="minorHAnsi" w:hAnsiTheme="minorHAnsi" w:cs="Arial"/>
          <w:sz w:val="24"/>
          <w:szCs w:val="24"/>
        </w:rPr>
      </w:pPr>
    </w:p>
    <w:p w14:paraId="5CFCEA8C" w14:textId="500477D5" w:rsidR="0006278C" w:rsidRPr="00A93466" w:rsidRDefault="0006278C" w:rsidP="0006278C">
      <w:pPr>
        <w:spacing w:after="0" w:line="240" w:lineRule="auto"/>
        <w:rPr>
          <w:rFonts w:asciiTheme="minorHAnsi" w:hAnsiTheme="minorHAnsi" w:cs="Arial"/>
          <w:sz w:val="24"/>
          <w:szCs w:val="24"/>
        </w:rPr>
      </w:pPr>
      <w:r w:rsidRPr="00A93466">
        <w:rPr>
          <w:rFonts w:asciiTheme="minorHAnsi" w:hAnsiTheme="minorHAnsi" w:cs="Arial"/>
          <w:sz w:val="24"/>
          <w:szCs w:val="24"/>
        </w:rPr>
        <w:t xml:space="preserve">Centers for Disease Control and Prevention (CDC). VitalSigns: Child Injury.  April 2012. </w:t>
      </w:r>
      <w:hyperlink r:id="rId41" w:history="1">
        <w:r w:rsidRPr="00A93466">
          <w:rPr>
            <w:rStyle w:val="Hyperlink"/>
            <w:rFonts w:asciiTheme="minorHAnsi" w:hAnsiTheme="minorHAnsi" w:cs="Arial"/>
            <w:sz w:val="24"/>
            <w:szCs w:val="24"/>
          </w:rPr>
          <w:t>https://www.cdc.gov/vitalsigns/childinjury/</w:t>
        </w:r>
      </w:hyperlink>
      <w:r w:rsidRPr="00A93466">
        <w:rPr>
          <w:rFonts w:asciiTheme="minorHAnsi" w:hAnsiTheme="minorHAnsi" w:cs="Arial"/>
          <w:sz w:val="24"/>
          <w:szCs w:val="24"/>
        </w:rPr>
        <w:t xml:space="preserve"> </w:t>
      </w:r>
    </w:p>
    <w:p w14:paraId="4855ABD5" w14:textId="77777777" w:rsidR="0006278C" w:rsidRPr="00A93466" w:rsidRDefault="0006278C" w:rsidP="0006278C">
      <w:pPr>
        <w:spacing w:after="0" w:line="240" w:lineRule="auto"/>
        <w:rPr>
          <w:rFonts w:asciiTheme="minorHAnsi" w:hAnsiTheme="minorHAnsi" w:cs="Arial"/>
          <w:sz w:val="24"/>
          <w:szCs w:val="24"/>
        </w:rPr>
      </w:pPr>
    </w:p>
    <w:p w14:paraId="6DBEDEF0" w14:textId="2515972F" w:rsidR="0006278C" w:rsidRPr="00A93466" w:rsidRDefault="0006278C" w:rsidP="0006278C">
      <w:pPr>
        <w:spacing w:after="0" w:line="240" w:lineRule="auto"/>
        <w:rPr>
          <w:rFonts w:asciiTheme="minorHAnsi" w:hAnsiTheme="minorHAnsi" w:cs="Arial"/>
          <w:sz w:val="24"/>
          <w:szCs w:val="24"/>
        </w:rPr>
      </w:pPr>
      <w:r w:rsidRPr="00A93466">
        <w:rPr>
          <w:rFonts w:asciiTheme="minorHAnsi" w:hAnsiTheme="minorHAnsi" w:cs="Arial"/>
          <w:sz w:val="24"/>
          <w:szCs w:val="24"/>
        </w:rPr>
        <w:t xml:space="preserve">Centers for Disease Control and Prevention (CDC). Suicide: Facts at a Glance.  </w:t>
      </w:r>
      <w:hyperlink r:id="rId42" w:history="1">
        <w:r w:rsidRPr="00A93466">
          <w:rPr>
            <w:rStyle w:val="Hyperlink"/>
            <w:rFonts w:asciiTheme="minorHAnsi" w:hAnsiTheme="minorHAnsi" w:cs="Arial"/>
            <w:sz w:val="24"/>
            <w:szCs w:val="24"/>
          </w:rPr>
          <w:t>https://www.cdc.gov/violenceprevention/pdf/suicide-datasheet-a.pdf</w:t>
        </w:r>
      </w:hyperlink>
      <w:r w:rsidRPr="00A93466">
        <w:rPr>
          <w:rFonts w:asciiTheme="minorHAnsi" w:hAnsiTheme="minorHAnsi" w:cs="Arial"/>
          <w:sz w:val="24"/>
          <w:szCs w:val="24"/>
        </w:rPr>
        <w:t xml:space="preserve"> </w:t>
      </w:r>
    </w:p>
    <w:p w14:paraId="5C5F495C" w14:textId="77777777" w:rsidR="0006278C" w:rsidRPr="00A93466" w:rsidRDefault="0006278C" w:rsidP="0006278C">
      <w:pPr>
        <w:spacing w:after="0" w:line="240" w:lineRule="auto"/>
        <w:rPr>
          <w:rFonts w:asciiTheme="minorHAnsi" w:hAnsiTheme="minorHAnsi" w:cs="Arial"/>
          <w:sz w:val="24"/>
          <w:szCs w:val="24"/>
        </w:rPr>
      </w:pPr>
    </w:p>
    <w:p w14:paraId="4E7B9479" w14:textId="3EE68D85" w:rsidR="0006278C" w:rsidRPr="00A93466" w:rsidRDefault="0006278C" w:rsidP="0006278C">
      <w:pPr>
        <w:spacing w:after="0" w:line="240" w:lineRule="auto"/>
        <w:rPr>
          <w:rFonts w:asciiTheme="minorHAnsi" w:hAnsiTheme="minorHAnsi" w:cs="Arial"/>
          <w:sz w:val="24"/>
          <w:szCs w:val="24"/>
        </w:rPr>
      </w:pPr>
      <w:r w:rsidRPr="00A93466">
        <w:rPr>
          <w:rFonts w:asciiTheme="minorHAnsi" w:hAnsiTheme="minorHAnsi" w:cs="Arial"/>
          <w:sz w:val="24"/>
          <w:szCs w:val="24"/>
        </w:rPr>
        <w:t xml:space="preserve">Centers for Disease Control and Prevention (CDC). Youth Violence: Facts at a Glance.  </w:t>
      </w:r>
      <w:hyperlink r:id="rId43" w:history="1">
        <w:r w:rsidRPr="00A93466">
          <w:rPr>
            <w:rStyle w:val="Hyperlink"/>
            <w:rFonts w:asciiTheme="minorHAnsi" w:hAnsiTheme="minorHAnsi" w:cs="Arial"/>
            <w:sz w:val="24"/>
            <w:szCs w:val="24"/>
          </w:rPr>
          <w:t>https://www.cdc.gov/violenceprevention/pdf/yv-datasheet.pdf</w:t>
        </w:r>
      </w:hyperlink>
      <w:r w:rsidRPr="00A93466">
        <w:rPr>
          <w:rFonts w:asciiTheme="minorHAnsi" w:hAnsiTheme="minorHAnsi" w:cs="Arial"/>
          <w:sz w:val="24"/>
          <w:szCs w:val="24"/>
        </w:rPr>
        <w:t xml:space="preserve"> </w:t>
      </w:r>
    </w:p>
    <w:p w14:paraId="2DD00B59" w14:textId="77777777" w:rsidR="0006278C" w:rsidRPr="00A93466" w:rsidRDefault="0006278C" w:rsidP="0006278C">
      <w:pPr>
        <w:spacing w:after="0" w:line="240" w:lineRule="auto"/>
        <w:rPr>
          <w:rFonts w:asciiTheme="minorHAnsi" w:hAnsiTheme="minorHAnsi" w:cs="Arial"/>
          <w:sz w:val="24"/>
          <w:szCs w:val="24"/>
        </w:rPr>
      </w:pPr>
    </w:p>
    <w:p w14:paraId="75FBC663" w14:textId="77777777" w:rsidR="0006278C" w:rsidRPr="00A93466" w:rsidRDefault="0006278C" w:rsidP="0006278C">
      <w:pPr>
        <w:spacing w:after="0" w:line="240" w:lineRule="auto"/>
        <w:rPr>
          <w:rFonts w:asciiTheme="minorHAnsi" w:hAnsiTheme="minorHAnsi" w:cs="Arial"/>
          <w:b/>
          <w:sz w:val="24"/>
          <w:szCs w:val="24"/>
        </w:rPr>
      </w:pPr>
      <w:r w:rsidRPr="00A93466">
        <w:rPr>
          <w:rFonts w:asciiTheme="minorHAnsi" w:hAnsiTheme="minorHAnsi" w:cs="Arial"/>
          <w:b/>
          <w:sz w:val="24"/>
          <w:szCs w:val="24"/>
        </w:rPr>
        <w:t>NPM-8 Physical Activity</w:t>
      </w:r>
    </w:p>
    <w:p w14:paraId="0CBD8269" w14:textId="77777777" w:rsidR="0006278C" w:rsidRPr="00A93466" w:rsidRDefault="0006278C" w:rsidP="0006278C">
      <w:pPr>
        <w:spacing w:after="0" w:line="240" w:lineRule="auto"/>
        <w:rPr>
          <w:rFonts w:asciiTheme="minorHAnsi" w:hAnsiTheme="minorHAnsi" w:cs="Arial"/>
          <w:sz w:val="24"/>
          <w:szCs w:val="24"/>
        </w:rPr>
      </w:pPr>
    </w:p>
    <w:p w14:paraId="56F6BB66" w14:textId="077E33E0" w:rsidR="0006278C" w:rsidRPr="00A93466" w:rsidRDefault="0006278C" w:rsidP="0006278C">
      <w:pPr>
        <w:spacing w:after="0" w:line="240" w:lineRule="auto"/>
        <w:rPr>
          <w:rFonts w:asciiTheme="minorHAnsi" w:hAnsiTheme="minorHAnsi" w:cs="Arial"/>
          <w:sz w:val="24"/>
          <w:szCs w:val="24"/>
        </w:rPr>
      </w:pPr>
      <w:r w:rsidRPr="00A93466">
        <w:rPr>
          <w:rFonts w:asciiTheme="minorHAnsi" w:hAnsiTheme="minorHAnsi" w:cs="Arial"/>
          <w:sz w:val="24"/>
          <w:szCs w:val="24"/>
        </w:rPr>
        <w:t xml:space="preserve">U.S. Department of Health and Human Services. 2008 Physical Activity Guidelines for Americans </w:t>
      </w:r>
      <w:hyperlink r:id="rId44" w:history="1">
        <w:r w:rsidRPr="00A93466">
          <w:rPr>
            <w:rStyle w:val="Hyperlink"/>
            <w:rFonts w:asciiTheme="minorHAnsi" w:hAnsiTheme="minorHAnsi" w:cs="Arial"/>
            <w:sz w:val="24"/>
            <w:szCs w:val="24"/>
          </w:rPr>
          <w:t>https://health.gov/paguidelines/guidelines/</w:t>
        </w:r>
      </w:hyperlink>
    </w:p>
    <w:p w14:paraId="0F98C497" w14:textId="77777777" w:rsidR="0006278C" w:rsidRPr="00A93466" w:rsidRDefault="0006278C" w:rsidP="0006278C">
      <w:pPr>
        <w:spacing w:after="0" w:line="240" w:lineRule="auto"/>
        <w:rPr>
          <w:rFonts w:asciiTheme="minorHAnsi" w:hAnsiTheme="minorHAnsi" w:cs="Arial"/>
          <w:sz w:val="24"/>
          <w:szCs w:val="24"/>
        </w:rPr>
      </w:pPr>
    </w:p>
    <w:p w14:paraId="52802693" w14:textId="77777777" w:rsidR="0006278C" w:rsidRPr="00A93466" w:rsidRDefault="0006278C" w:rsidP="0006278C">
      <w:pPr>
        <w:spacing w:after="0" w:line="240" w:lineRule="auto"/>
        <w:rPr>
          <w:rFonts w:asciiTheme="minorHAnsi" w:hAnsiTheme="minorHAnsi" w:cs="Arial"/>
          <w:b/>
          <w:sz w:val="24"/>
          <w:szCs w:val="24"/>
        </w:rPr>
      </w:pPr>
      <w:r w:rsidRPr="00A93466">
        <w:rPr>
          <w:rFonts w:asciiTheme="minorHAnsi" w:hAnsiTheme="minorHAnsi" w:cs="Arial"/>
          <w:b/>
          <w:sz w:val="24"/>
          <w:szCs w:val="24"/>
        </w:rPr>
        <w:t>NPM-9 Bullying</w:t>
      </w:r>
    </w:p>
    <w:p w14:paraId="69B28B86" w14:textId="77777777" w:rsidR="0006278C" w:rsidRPr="00A93466" w:rsidRDefault="0006278C" w:rsidP="0006278C">
      <w:pPr>
        <w:spacing w:after="0" w:line="240" w:lineRule="auto"/>
        <w:rPr>
          <w:rFonts w:asciiTheme="minorHAnsi" w:hAnsiTheme="minorHAnsi" w:cs="Arial"/>
          <w:sz w:val="24"/>
          <w:szCs w:val="24"/>
        </w:rPr>
      </w:pPr>
    </w:p>
    <w:p w14:paraId="1954AC2C" w14:textId="7127CAC6" w:rsidR="0006278C" w:rsidRPr="00A93466" w:rsidRDefault="0006278C" w:rsidP="0006278C">
      <w:pPr>
        <w:spacing w:after="0" w:line="240" w:lineRule="auto"/>
        <w:rPr>
          <w:rFonts w:asciiTheme="minorHAnsi" w:hAnsiTheme="minorHAnsi" w:cs="Arial"/>
          <w:sz w:val="24"/>
          <w:szCs w:val="24"/>
        </w:rPr>
      </w:pPr>
      <w:r w:rsidRPr="00A93466">
        <w:rPr>
          <w:rFonts w:asciiTheme="minorHAnsi" w:hAnsiTheme="minorHAnsi" w:cs="Arial"/>
          <w:sz w:val="24"/>
          <w:szCs w:val="24"/>
        </w:rPr>
        <w:t xml:space="preserve">Holt MK, Vivolo-Kantor AM, Polanin JR, Holland KM, DeGue S, Matjasko JL, Wolfe M, Reid G. Bullying and suicidal ideation and behaviors: a meta-analysis. Pediatrics. 2015 Feb;135(2):e496-509. </w:t>
      </w:r>
      <w:hyperlink r:id="rId45" w:history="1">
        <w:r w:rsidRPr="00A93466">
          <w:rPr>
            <w:rStyle w:val="Hyperlink"/>
            <w:rFonts w:asciiTheme="minorHAnsi" w:hAnsiTheme="minorHAnsi" w:cs="Arial"/>
            <w:sz w:val="24"/>
            <w:szCs w:val="24"/>
          </w:rPr>
          <w:t>http://pediatrics.aappublications.org/content/135/2/e496</w:t>
        </w:r>
      </w:hyperlink>
    </w:p>
    <w:p w14:paraId="1E9B02BF" w14:textId="77777777" w:rsidR="0006278C" w:rsidRPr="00A93466" w:rsidRDefault="0006278C" w:rsidP="0006278C">
      <w:pPr>
        <w:spacing w:after="0" w:line="240" w:lineRule="auto"/>
        <w:rPr>
          <w:rFonts w:asciiTheme="minorHAnsi" w:hAnsiTheme="minorHAnsi" w:cs="Arial"/>
          <w:sz w:val="24"/>
          <w:szCs w:val="24"/>
        </w:rPr>
      </w:pPr>
    </w:p>
    <w:p w14:paraId="605DD47F" w14:textId="77777777" w:rsidR="0006278C" w:rsidRPr="00A93466" w:rsidRDefault="0006278C" w:rsidP="0006278C">
      <w:pPr>
        <w:spacing w:after="0" w:line="240" w:lineRule="auto"/>
        <w:rPr>
          <w:rFonts w:asciiTheme="minorHAnsi" w:hAnsiTheme="minorHAnsi" w:cs="Arial"/>
          <w:b/>
          <w:sz w:val="24"/>
          <w:szCs w:val="24"/>
        </w:rPr>
      </w:pPr>
      <w:r w:rsidRPr="00A93466">
        <w:rPr>
          <w:rFonts w:asciiTheme="minorHAnsi" w:hAnsiTheme="minorHAnsi" w:cs="Arial"/>
          <w:b/>
          <w:sz w:val="24"/>
          <w:szCs w:val="24"/>
        </w:rPr>
        <w:t>NPM-10 Adolescent Well-Visit</w:t>
      </w:r>
    </w:p>
    <w:p w14:paraId="488AFD9A" w14:textId="77777777" w:rsidR="0006278C" w:rsidRPr="00A93466" w:rsidRDefault="0006278C" w:rsidP="0006278C">
      <w:pPr>
        <w:spacing w:after="0" w:line="240" w:lineRule="auto"/>
        <w:rPr>
          <w:rFonts w:asciiTheme="minorHAnsi" w:hAnsiTheme="minorHAnsi" w:cs="Arial"/>
          <w:sz w:val="24"/>
          <w:szCs w:val="24"/>
        </w:rPr>
      </w:pPr>
    </w:p>
    <w:p w14:paraId="0AADF50A" w14:textId="4223A08A" w:rsidR="0006278C" w:rsidRPr="00A93466" w:rsidRDefault="0006278C" w:rsidP="0006278C">
      <w:pPr>
        <w:spacing w:after="0" w:line="240" w:lineRule="auto"/>
        <w:rPr>
          <w:rFonts w:asciiTheme="minorHAnsi" w:hAnsiTheme="minorHAnsi" w:cs="Arial"/>
          <w:sz w:val="24"/>
          <w:szCs w:val="24"/>
        </w:rPr>
      </w:pPr>
      <w:r w:rsidRPr="00A93466">
        <w:rPr>
          <w:rFonts w:asciiTheme="minorHAnsi" w:hAnsiTheme="minorHAnsi" w:cs="Arial"/>
          <w:sz w:val="24"/>
          <w:szCs w:val="24"/>
        </w:rPr>
        <w:t xml:space="preserve">National Adolescent and Young Adult Health Information Center (2016). Summary of Recommended Guidelines for Clinical Preventive Services for Adolescents up to age 18. San Francisco, CA: National Adolescent and Young Adult Health Information Center, University of California, San Francisco. Retrieved from </w:t>
      </w:r>
      <w:hyperlink r:id="rId46" w:history="1">
        <w:r w:rsidRPr="00A93466">
          <w:rPr>
            <w:rStyle w:val="Hyperlink"/>
            <w:rFonts w:asciiTheme="minorHAnsi" w:hAnsiTheme="minorHAnsi" w:cs="Arial"/>
            <w:sz w:val="24"/>
            <w:szCs w:val="24"/>
          </w:rPr>
          <w:t>http://nahic.ucsf.edu/adolescent-guidelines</w:t>
        </w:r>
      </w:hyperlink>
      <w:r w:rsidRPr="00A93466">
        <w:rPr>
          <w:rFonts w:asciiTheme="minorHAnsi" w:hAnsiTheme="minorHAnsi" w:cs="Arial"/>
          <w:sz w:val="24"/>
          <w:szCs w:val="24"/>
        </w:rPr>
        <w:t xml:space="preserve"> </w:t>
      </w:r>
    </w:p>
    <w:p w14:paraId="6BD2AF8A" w14:textId="047A7382" w:rsidR="0006278C" w:rsidRPr="00A93466" w:rsidRDefault="0006278C" w:rsidP="0006278C">
      <w:pPr>
        <w:spacing w:after="0" w:line="240" w:lineRule="auto"/>
        <w:rPr>
          <w:rFonts w:asciiTheme="minorHAnsi" w:hAnsiTheme="minorHAnsi" w:cs="Arial"/>
          <w:sz w:val="24"/>
          <w:szCs w:val="24"/>
        </w:rPr>
      </w:pPr>
    </w:p>
    <w:p w14:paraId="4E9E3F7F" w14:textId="77777777" w:rsidR="0006278C" w:rsidRPr="00A93466" w:rsidRDefault="0006278C" w:rsidP="0006278C">
      <w:pPr>
        <w:spacing w:after="0" w:line="240" w:lineRule="auto"/>
        <w:rPr>
          <w:rFonts w:asciiTheme="minorHAnsi" w:hAnsiTheme="minorHAnsi" w:cs="Arial"/>
          <w:b/>
          <w:sz w:val="24"/>
          <w:szCs w:val="24"/>
        </w:rPr>
      </w:pPr>
      <w:r w:rsidRPr="00A93466">
        <w:rPr>
          <w:rFonts w:asciiTheme="minorHAnsi" w:hAnsiTheme="minorHAnsi" w:cs="Arial"/>
          <w:b/>
          <w:sz w:val="24"/>
          <w:szCs w:val="24"/>
        </w:rPr>
        <w:t>NPM-11 Medical Home</w:t>
      </w:r>
    </w:p>
    <w:p w14:paraId="78A6A4EB" w14:textId="77777777" w:rsidR="0006278C" w:rsidRPr="00A93466" w:rsidRDefault="0006278C" w:rsidP="00E71386">
      <w:pPr>
        <w:spacing w:after="0" w:line="240" w:lineRule="auto"/>
        <w:rPr>
          <w:rFonts w:asciiTheme="minorHAnsi" w:hAnsiTheme="minorHAnsi" w:cs="Arial"/>
          <w:sz w:val="24"/>
          <w:szCs w:val="24"/>
        </w:rPr>
      </w:pPr>
    </w:p>
    <w:p w14:paraId="27F6D430" w14:textId="5BD83C02" w:rsidR="0006278C" w:rsidRPr="00A93466" w:rsidRDefault="0006278C" w:rsidP="00E71386">
      <w:pPr>
        <w:spacing w:after="0" w:line="240" w:lineRule="auto"/>
        <w:rPr>
          <w:rFonts w:asciiTheme="minorHAnsi" w:hAnsiTheme="minorHAnsi" w:cs="Arial"/>
          <w:sz w:val="24"/>
          <w:szCs w:val="24"/>
        </w:rPr>
      </w:pPr>
      <w:r w:rsidRPr="00A93466">
        <w:rPr>
          <w:rFonts w:asciiTheme="minorHAnsi" w:hAnsiTheme="minorHAnsi" w:cs="Arial"/>
          <w:sz w:val="24"/>
          <w:szCs w:val="24"/>
        </w:rPr>
        <w:t xml:space="preserve">Hadland SE, Long WE. A systematic review of the medical home for children without special health care needs. Matern Child Health J. 2014 May;18(4):891-8. </w:t>
      </w:r>
      <w:hyperlink r:id="rId47" w:history="1">
        <w:r w:rsidRPr="00A93466">
          <w:rPr>
            <w:rStyle w:val="Hyperlink"/>
            <w:rFonts w:asciiTheme="minorHAnsi" w:hAnsiTheme="minorHAnsi" w:cs="Arial"/>
            <w:sz w:val="24"/>
            <w:szCs w:val="24"/>
          </w:rPr>
          <w:t>https://link.springer.com/article/10.1007/s10995-013-1315-9</w:t>
        </w:r>
      </w:hyperlink>
      <w:r w:rsidRPr="00A93466">
        <w:rPr>
          <w:rFonts w:asciiTheme="minorHAnsi" w:hAnsiTheme="minorHAnsi" w:cs="Arial"/>
          <w:sz w:val="24"/>
          <w:szCs w:val="24"/>
        </w:rPr>
        <w:t xml:space="preserve"> </w:t>
      </w:r>
    </w:p>
    <w:p w14:paraId="003BA154" w14:textId="77777777" w:rsidR="0006278C" w:rsidRPr="00A93466" w:rsidRDefault="0006278C" w:rsidP="0006278C">
      <w:pPr>
        <w:spacing w:after="0" w:line="240" w:lineRule="auto"/>
        <w:rPr>
          <w:rFonts w:asciiTheme="minorHAnsi" w:hAnsiTheme="minorHAnsi" w:cs="Arial"/>
          <w:sz w:val="24"/>
          <w:szCs w:val="24"/>
        </w:rPr>
      </w:pPr>
    </w:p>
    <w:p w14:paraId="4337023D" w14:textId="2DBEB003" w:rsidR="0006278C" w:rsidRPr="00A93466" w:rsidRDefault="0006278C" w:rsidP="00E71386">
      <w:pPr>
        <w:spacing w:after="0" w:line="240" w:lineRule="auto"/>
        <w:rPr>
          <w:rFonts w:asciiTheme="minorHAnsi" w:hAnsiTheme="minorHAnsi" w:cs="Arial"/>
          <w:sz w:val="24"/>
          <w:szCs w:val="24"/>
        </w:rPr>
      </w:pPr>
      <w:r w:rsidRPr="00A93466">
        <w:rPr>
          <w:rFonts w:asciiTheme="minorHAnsi" w:hAnsiTheme="minorHAnsi" w:cs="Arial"/>
          <w:sz w:val="24"/>
          <w:szCs w:val="24"/>
        </w:rPr>
        <w:t xml:space="preserve">Homer CJ, Klatka K, Romm D, Kuhlthau K, Bloom S, Newacheck P, Van Cleave J, Perrin JM. A review of the evidence for the medical home for children with special health care needs. Pediatrics. 2008 Oct;122(4):e922-37. </w:t>
      </w:r>
      <w:hyperlink r:id="rId48" w:history="1">
        <w:r w:rsidRPr="00A93466">
          <w:rPr>
            <w:rStyle w:val="Hyperlink"/>
            <w:rFonts w:asciiTheme="minorHAnsi" w:hAnsiTheme="minorHAnsi" w:cs="Arial"/>
            <w:sz w:val="24"/>
            <w:szCs w:val="24"/>
          </w:rPr>
          <w:t>http://pediatrics.aappublications.org/content/122/4/e922</w:t>
        </w:r>
      </w:hyperlink>
      <w:r w:rsidRPr="00A93466">
        <w:rPr>
          <w:rFonts w:asciiTheme="minorHAnsi" w:hAnsiTheme="minorHAnsi" w:cs="Arial"/>
          <w:sz w:val="24"/>
          <w:szCs w:val="24"/>
        </w:rPr>
        <w:t xml:space="preserve"> </w:t>
      </w:r>
    </w:p>
    <w:p w14:paraId="07733D75" w14:textId="7E61DCC9" w:rsidR="0006278C" w:rsidRDefault="0006278C" w:rsidP="00E71386">
      <w:pPr>
        <w:spacing w:after="0" w:line="240" w:lineRule="auto"/>
        <w:rPr>
          <w:rFonts w:asciiTheme="minorHAnsi" w:hAnsiTheme="minorHAnsi" w:cs="Arial"/>
          <w:sz w:val="24"/>
          <w:szCs w:val="24"/>
        </w:rPr>
      </w:pPr>
    </w:p>
    <w:p w14:paraId="2539000F" w14:textId="77777777" w:rsidR="00E71386" w:rsidRPr="00023A23" w:rsidRDefault="00E71386" w:rsidP="00E71386">
      <w:pPr>
        <w:spacing w:after="0" w:line="240" w:lineRule="auto"/>
        <w:rPr>
          <w:sz w:val="24"/>
          <w:szCs w:val="24"/>
        </w:rPr>
      </w:pPr>
      <w:r w:rsidRPr="00023A23">
        <w:rPr>
          <w:sz w:val="24"/>
          <w:szCs w:val="24"/>
        </w:rPr>
        <w:t xml:space="preserve">MCHB-funded National Resource Center: </w:t>
      </w:r>
      <w:r w:rsidRPr="00023A23">
        <w:rPr>
          <w:b/>
          <w:sz w:val="24"/>
          <w:szCs w:val="24"/>
        </w:rPr>
        <w:t>National Center for Medical Home Implementation</w:t>
      </w:r>
      <w:r w:rsidRPr="00023A23">
        <w:rPr>
          <w:sz w:val="24"/>
          <w:szCs w:val="24"/>
        </w:rPr>
        <w:t xml:space="preserve">, </w:t>
      </w:r>
      <w:hyperlink r:id="rId49" w:history="1">
        <w:r w:rsidRPr="00023A23">
          <w:rPr>
            <w:rStyle w:val="Hyperlink"/>
            <w:sz w:val="24"/>
            <w:szCs w:val="24"/>
          </w:rPr>
          <w:t>https://medicalhomeinfo.aap.org/Pages/default.aspx</w:t>
        </w:r>
      </w:hyperlink>
      <w:r w:rsidRPr="00023A23">
        <w:rPr>
          <w:sz w:val="24"/>
          <w:szCs w:val="24"/>
        </w:rPr>
        <w:t xml:space="preserve"> </w:t>
      </w:r>
    </w:p>
    <w:p w14:paraId="0B60109F" w14:textId="431AF616" w:rsidR="00E71386" w:rsidRDefault="00E71386" w:rsidP="0006278C">
      <w:pPr>
        <w:spacing w:after="0" w:line="240" w:lineRule="auto"/>
        <w:rPr>
          <w:rFonts w:asciiTheme="minorHAnsi" w:hAnsiTheme="minorHAnsi" w:cs="Arial"/>
          <w:sz w:val="24"/>
          <w:szCs w:val="24"/>
        </w:rPr>
      </w:pPr>
    </w:p>
    <w:p w14:paraId="305DBEF8" w14:textId="77777777" w:rsidR="0006278C" w:rsidRPr="00A93466" w:rsidRDefault="0006278C" w:rsidP="0006278C">
      <w:pPr>
        <w:spacing w:after="0" w:line="240" w:lineRule="auto"/>
        <w:rPr>
          <w:rFonts w:asciiTheme="minorHAnsi" w:hAnsiTheme="minorHAnsi" w:cs="Arial"/>
          <w:b/>
          <w:sz w:val="24"/>
          <w:szCs w:val="24"/>
        </w:rPr>
      </w:pPr>
      <w:r w:rsidRPr="00A93466">
        <w:rPr>
          <w:rFonts w:asciiTheme="minorHAnsi" w:hAnsiTheme="minorHAnsi" w:cs="Arial"/>
          <w:b/>
          <w:sz w:val="24"/>
          <w:szCs w:val="24"/>
        </w:rPr>
        <w:t>NPM-12 Transition</w:t>
      </w:r>
    </w:p>
    <w:p w14:paraId="407A3177" w14:textId="77777777" w:rsidR="0006278C" w:rsidRPr="00A93466" w:rsidRDefault="0006278C" w:rsidP="0006278C">
      <w:pPr>
        <w:spacing w:after="0" w:line="240" w:lineRule="auto"/>
        <w:rPr>
          <w:rFonts w:asciiTheme="minorHAnsi" w:hAnsiTheme="minorHAnsi" w:cs="Arial"/>
          <w:sz w:val="24"/>
          <w:szCs w:val="24"/>
        </w:rPr>
      </w:pPr>
    </w:p>
    <w:p w14:paraId="6AA68216" w14:textId="354ED02A" w:rsidR="00A67109" w:rsidRDefault="00A67109" w:rsidP="0006278C">
      <w:pPr>
        <w:spacing w:after="0" w:line="240" w:lineRule="auto"/>
        <w:rPr>
          <w:rFonts w:asciiTheme="minorHAnsi" w:hAnsiTheme="minorHAnsi" w:cs="Arial"/>
          <w:sz w:val="24"/>
          <w:szCs w:val="24"/>
        </w:rPr>
      </w:pPr>
      <w:r w:rsidRPr="00023A23">
        <w:rPr>
          <w:sz w:val="24"/>
          <w:szCs w:val="24"/>
        </w:rPr>
        <w:t>American Academy of Pediatrics, American Academy of Family Physicians, and American College of Physicians, Transitions Clinical Report Authoring Group.  Clinical Report – Supporting the Health Care Transition from Adolescence to Adulthood in the Medical Home.  Pediatrics.  2011: 128; 182-2000.</w:t>
      </w:r>
    </w:p>
    <w:p w14:paraId="32580EE4" w14:textId="77777777" w:rsidR="00A67109" w:rsidRDefault="00A67109" w:rsidP="0006278C">
      <w:pPr>
        <w:spacing w:after="0" w:line="240" w:lineRule="auto"/>
        <w:rPr>
          <w:rFonts w:asciiTheme="minorHAnsi" w:hAnsiTheme="minorHAnsi" w:cs="Arial"/>
          <w:sz w:val="24"/>
          <w:szCs w:val="24"/>
        </w:rPr>
      </w:pPr>
    </w:p>
    <w:p w14:paraId="57D67CB4" w14:textId="1BFA8D1C" w:rsidR="0006278C" w:rsidRPr="00A93466" w:rsidRDefault="0006278C" w:rsidP="0006278C">
      <w:pPr>
        <w:spacing w:after="0" w:line="240" w:lineRule="auto"/>
        <w:rPr>
          <w:rFonts w:asciiTheme="minorHAnsi" w:hAnsiTheme="minorHAnsi" w:cs="Arial"/>
          <w:sz w:val="24"/>
          <w:szCs w:val="24"/>
        </w:rPr>
      </w:pPr>
      <w:r w:rsidRPr="00A93466">
        <w:rPr>
          <w:rFonts w:asciiTheme="minorHAnsi" w:hAnsiTheme="minorHAnsi" w:cs="Arial"/>
          <w:sz w:val="24"/>
          <w:szCs w:val="24"/>
        </w:rPr>
        <w:t xml:space="preserve">American Academy of Pediatrics; American Academy of Family Physicians; American College of Physicians-American Society of Internal Medicine. A consensus statement on health care transitions for young adults with special health care needs. Pediatrics. 2002 Dec;110(6 Pt 2):1304-6. </w:t>
      </w:r>
      <w:hyperlink r:id="rId50" w:history="1">
        <w:r w:rsidRPr="00A93466">
          <w:rPr>
            <w:rStyle w:val="Hyperlink"/>
            <w:rFonts w:asciiTheme="minorHAnsi" w:hAnsiTheme="minorHAnsi" w:cs="Arial"/>
            <w:sz w:val="24"/>
            <w:szCs w:val="24"/>
          </w:rPr>
          <w:t>http://pediatrics.aappublications.org/content/110/Supplement_3/1304</w:t>
        </w:r>
      </w:hyperlink>
    </w:p>
    <w:p w14:paraId="760437BC" w14:textId="14022738" w:rsidR="0006278C" w:rsidRDefault="0006278C" w:rsidP="0006278C">
      <w:pPr>
        <w:spacing w:after="0" w:line="240" w:lineRule="auto"/>
        <w:rPr>
          <w:rFonts w:asciiTheme="minorHAnsi" w:hAnsiTheme="minorHAnsi" w:cs="Arial"/>
          <w:sz w:val="24"/>
          <w:szCs w:val="24"/>
        </w:rPr>
      </w:pPr>
    </w:p>
    <w:p w14:paraId="20CFCE83" w14:textId="77777777" w:rsidR="00A67109" w:rsidRPr="00A67109" w:rsidRDefault="00A67109" w:rsidP="00A67109">
      <w:pPr>
        <w:spacing w:after="0" w:line="240" w:lineRule="auto"/>
        <w:rPr>
          <w:rFonts w:asciiTheme="minorHAnsi" w:hAnsiTheme="minorHAnsi" w:cs="Arial"/>
          <w:sz w:val="24"/>
          <w:szCs w:val="24"/>
        </w:rPr>
      </w:pPr>
      <w:r w:rsidRPr="00A67109">
        <w:rPr>
          <w:rFonts w:asciiTheme="minorHAnsi" w:hAnsiTheme="minorHAnsi" w:cs="Arial"/>
          <w:sz w:val="24"/>
          <w:szCs w:val="24"/>
        </w:rPr>
        <w:t xml:space="preserve">Campbell F, Biggs K, Aldiss SK, O'Neill PM, Clowes M, McDonagh J, While A, Gibson F. Transition of care for adolescents from paediatric services to adult health services. Cochrane Database Syst Rev. 2016 Apr 29;4:CD009794. </w:t>
      </w:r>
      <w:hyperlink r:id="rId51" w:history="1">
        <w:r w:rsidRPr="00A67109">
          <w:rPr>
            <w:rStyle w:val="Hyperlink"/>
            <w:rFonts w:asciiTheme="minorHAnsi" w:hAnsiTheme="minorHAnsi" w:cs="Arial"/>
            <w:sz w:val="24"/>
            <w:szCs w:val="24"/>
          </w:rPr>
          <w:t>http://onlinelibrary.wiley.com/doi/10.1002/14651858.CD009794.pub2/abstract</w:t>
        </w:r>
      </w:hyperlink>
      <w:r w:rsidRPr="00A67109">
        <w:rPr>
          <w:rFonts w:asciiTheme="minorHAnsi" w:hAnsiTheme="minorHAnsi" w:cs="Arial"/>
          <w:sz w:val="24"/>
          <w:szCs w:val="24"/>
        </w:rPr>
        <w:t xml:space="preserve"> </w:t>
      </w:r>
    </w:p>
    <w:p w14:paraId="18B06BB9" w14:textId="1648DF02" w:rsidR="00A67109" w:rsidRDefault="00A67109" w:rsidP="0006278C">
      <w:pPr>
        <w:spacing w:after="0" w:line="240" w:lineRule="auto"/>
        <w:rPr>
          <w:sz w:val="24"/>
          <w:szCs w:val="24"/>
        </w:rPr>
      </w:pPr>
    </w:p>
    <w:p w14:paraId="5A7AF675" w14:textId="77777777" w:rsidR="0006278C" w:rsidRPr="00A93466" w:rsidRDefault="0006278C" w:rsidP="0006278C">
      <w:pPr>
        <w:spacing w:after="0" w:line="240" w:lineRule="auto"/>
        <w:rPr>
          <w:rFonts w:asciiTheme="minorHAnsi" w:hAnsiTheme="minorHAnsi" w:cs="Arial"/>
          <w:b/>
          <w:sz w:val="24"/>
          <w:szCs w:val="24"/>
        </w:rPr>
      </w:pPr>
      <w:r w:rsidRPr="00A93466">
        <w:rPr>
          <w:rFonts w:asciiTheme="minorHAnsi" w:hAnsiTheme="minorHAnsi" w:cs="Arial"/>
          <w:b/>
          <w:sz w:val="24"/>
          <w:szCs w:val="24"/>
        </w:rPr>
        <w:t>NPM-13 Preventive Dental Visit</w:t>
      </w:r>
    </w:p>
    <w:p w14:paraId="21779901" w14:textId="77777777" w:rsidR="0006278C" w:rsidRPr="00A93466" w:rsidRDefault="0006278C" w:rsidP="0006278C">
      <w:pPr>
        <w:spacing w:after="0" w:line="240" w:lineRule="auto"/>
        <w:rPr>
          <w:rFonts w:asciiTheme="minorHAnsi" w:hAnsiTheme="minorHAnsi" w:cs="Arial"/>
          <w:sz w:val="24"/>
          <w:szCs w:val="24"/>
        </w:rPr>
      </w:pPr>
    </w:p>
    <w:p w14:paraId="3A4DC404" w14:textId="5DD3CD4B" w:rsidR="0006278C" w:rsidRPr="00A93466" w:rsidRDefault="0006278C" w:rsidP="0006278C">
      <w:pPr>
        <w:spacing w:after="0" w:line="240" w:lineRule="auto"/>
        <w:rPr>
          <w:rFonts w:asciiTheme="minorHAnsi" w:hAnsiTheme="minorHAnsi" w:cs="Arial"/>
          <w:sz w:val="24"/>
          <w:szCs w:val="24"/>
        </w:rPr>
      </w:pPr>
      <w:r w:rsidRPr="00A93466">
        <w:rPr>
          <w:rFonts w:asciiTheme="minorHAnsi" w:hAnsiTheme="minorHAnsi" w:cs="Arial"/>
          <w:sz w:val="24"/>
          <w:szCs w:val="24"/>
        </w:rPr>
        <w:t xml:space="preserve">American Academy of Pediatric Dentistry. Guideline on Perinatal and Infant Oral Health Care. Pediatr Dent. 2016 Oct;38(6):150-154. </w:t>
      </w:r>
      <w:hyperlink r:id="rId52" w:history="1">
        <w:r w:rsidRPr="00A93466">
          <w:rPr>
            <w:rStyle w:val="Hyperlink"/>
            <w:rFonts w:asciiTheme="minorHAnsi" w:hAnsiTheme="minorHAnsi" w:cs="Arial"/>
            <w:sz w:val="24"/>
            <w:szCs w:val="24"/>
          </w:rPr>
          <w:t>http://www.aapd.org/media/Policies_Guidelines/G_PerinatalOralHealthCare3.pdf</w:t>
        </w:r>
      </w:hyperlink>
      <w:r w:rsidRPr="00A93466">
        <w:rPr>
          <w:rFonts w:asciiTheme="minorHAnsi" w:hAnsiTheme="minorHAnsi" w:cs="Arial"/>
          <w:sz w:val="24"/>
          <w:szCs w:val="24"/>
        </w:rPr>
        <w:t xml:space="preserve"> </w:t>
      </w:r>
    </w:p>
    <w:p w14:paraId="52E58D4E" w14:textId="77777777" w:rsidR="0006278C" w:rsidRPr="00A93466" w:rsidRDefault="0006278C" w:rsidP="0006278C">
      <w:pPr>
        <w:spacing w:after="0" w:line="240" w:lineRule="auto"/>
        <w:rPr>
          <w:rFonts w:asciiTheme="minorHAnsi" w:hAnsiTheme="minorHAnsi" w:cs="Arial"/>
          <w:sz w:val="24"/>
          <w:szCs w:val="24"/>
        </w:rPr>
      </w:pPr>
    </w:p>
    <w:p w14:paraId="54659B4D" w14:textId="09E28A6F" w:rsidR="0006278C" w:rsidRPr="00A93466" w:rsidRDefault="0006278C" w:rsidP="0006278C">
      <w:pPr>
        <w:spacing w:after="0" w:line="240" w:lineRule="auto"/>
        <w:rPr>
          <w:rFonts w:asciiTheme="minorHAnsi" w:hAnsiTheme="minorHAnsi" w:cs="Arial"/>
          <w:sz w:val="24"/>
          <w:szCs w:val="24"/>
        </w:rPr>
      </w:pPr>
      <w:r w:rsidRPr="00A93466">
        <w:rPr>
          <w:rFonts w:asciiTheme="minorHAnsi" w:hAnsiTheme="minorHAnsi" w:cs="Arial"/>
          <w:sz w:val="24"/>
          <w:szCs w:val="24"/>
        </w:rPr>
        <w:t xml:space="preserve">American College of Obstetricians and Gynecologists Women's Health Care Physicians; Committee on Health Care for Underserved Women. Committee Opinion No. 569: oral health care during pregnancy and through the lifespan. Obstet Gynecol. 2013 Aug;122(2 Pt 1):417-22. </w:t>
      </w:r>
      <w:hyperlink r:id="rId53" w:history="1">
        <w:r w:rsidRPr="00A93466">
          <w:rPr>
            <w:rStyle w:val="Hyperlink"/>
            <w:rFonts w:asciiTheme="minorHAnsi" w:hAnsiTheme="minorHAnsi" w:cs="Arial"/>
            <w:sz w:val="24"/>
            <w:szCs w:val="24"/>
          </w:rPr>
          <w:t>http://www.acog.org/Resources-And-Publications/Committee-Opinions/Committee-on-Health-Care-for-Underserved-Women/Oral-Health-Care-During-Pregnancy-and-Through-the-Lifespan</w:t>
        </w:r>
      </w:hyperlink>
      <w:r w:rsidRPr="00A93466">
        <w:rPr>
          <w:rFonts w:asciiTheme="minorHAnsi" w:hAnsiTheme="minorHAnsi" w:cs="Arial"/>
          <w:sz w:val="24"/>
          <w:szCs w:val="24"/>
        </w:rPr>
        <w:t xml:space="preserve"> </w:t>
      </w:r>
    </w:p>
    <w:p w14:paraId="3F20D269" w14:textId="77777777" w:rsidR="0006278C" w:rsidRPr="00A93466" w:rsidRDefault="0006278C" w:rsidP="0006278C">
      <w:pPr>
        <w:spacing w:after="0" w:line="240" w:lineRule="auto"/>
        <w:rPr>
          <w:rFonts w:asciiTheme="minorHAnsi" w:hAnsiTheme="minorHAnsi" w:cs="Arial"/>
          <w:sz w:val="24"/>
          <w:szCs w:val="24"/>
        </w:rPr>
      </w:pPr>
    </w:p>
    <w:p w14:paraId="5903CE9C" w14:textId="67473B6C" w:rsidR="0006278C" w:rsidRPr="00A93466" w:rsidRDefault="0006278C" w:rsidP="0006278C">
      <w:pPr>
        <w:spacing w:after="0" w:line="240" w:lineRule="auto"/>
        <w:rPr>
          <w:rFonts w:asciiTheme="minorHAnsi" w:hAnsiTheme="minorHAnsi" w:cs="Arial"/>
          <w:sz w:val="24"/>
          <w:szCs w:val="24"/>
        </w:rPr>
      </w:pPr>
      <w:r w:rsidRPr="00A93466">
        <w:rPr>
          <w:rFonts w:asciiTheme="minorHAnsi" w:hAnsiTheme="minorHAnsi" w:cs="Arial"/>
          <w:sz w:val="24"/>
          <w:szCs w:val="24"/>
        </w:rPr>
        <w:t xml:space="preserve">American Academy of Pediatric Dentistry. Guideline on periodicity of examination, preventive dental services, anticipatory guidance/counseling, and oral treatment for infants, children, and adolescents. Pediatr Dent. 2013 Sep-Oct;35(5):E148-56. </w:t>
      </w:r>
      <w:hyperlink r:id="rId54" w:history="1">
        <w:r w:rsidRPr="00A93466">
          <w:rPr>
            <w:rStyle w:val="Hyperlink"/>
            <w:rFonts w:asciiTheme="minorHAnsi" w:hAnsiTheme="minorHAnsi" w:cs="Arial"/>
            <w:sz w:val="24"/>
            <w:szCs w:val="24"/>
          </w:rPr>
          <w:t>http://www.aapd.org/media/Policies_Guidelines/G_Periodicity7.pdf</w:t>
        </w:r>
      </w:hyperlink>
    </w:p>
    <w:p w14:paraId="32BF802B" w14:textId="77777777" w:rsidR="0006278C" w:rsidRPr="00A93466" w:rsidRDefault="0006278C" w:rsidP="0006278C">
      <w:pPr>
        <w:spacing w:after="0" w:line="240" w:lineRule="auto"/>
        <w:rPr>
          <w:rFonts w:asciiTheme="minorHAnsi" w:hAnsiTheme="minorHAnsi" w:cs="Arial"/>
          <w:sz w:val="24"/>
          <w:szCs w:val="24"/>
        </w:rPr>
      </w:pPr>
    </w:p>
    <w:p w14:paraId="021A1742" w14:textId="77777777" w:rsidR="0006278C" w:rsidRPr="00A93466" w:rsidRDefault="0006278C" w:rsidP="0006278C">
      <w:pPr>
        <w:spacing w:after="0" w:line="240" w:lineRule="auto"/>
        <w:rPr>
          <w:rFonts w:asciiTheme="minorHAnsi" w:hAnsiTheme="minorHAnsi" w:cs="Arial"/>
          <w:b/>
          <w:sz w:val="24"/>
          <w:szCs w:val="24"/>
        </w:rPr>
      </w:pPr>
      <w:r w:rsidRPr="00A93466">
        <w:rPr>
          <w:rFonts w:asciiTheme="minorHAnsi" w:hAnsiTheme="minorHAnsi" w:cs="Arial"/>
          <w:b/>
          <w:sz w:val="24"/>
          <w:szCs w:val="24"/>
        </w:rPr>
        <w:t>NPM-14 Smoking</w:t>
      </w:r>
    </w:p>
    <w:p w14:paraId="7E49458E" w14:textId="77777777" w:rsidR="0006278C" w:rsidRPr="00A93466" w:rsidRDefault="0006278C" w:rsidP="0006278C">
      <w:pPr>
        <w:spacing w:after="0" w:line="240" w:lineRule="auto"/>
        <w:rPr>
          <w:rFonts w:asciiTheme="minorHAnsi" w:hAnsiTheme="minorHAnsi" w:cs="Arial"/>
          <w:sz w:val="24"/>
          <w:szCs w:val="24"/>
        </w:rPr>
      </w:pPr>
    </w:p>
    <w:p w14:paraId="3DFAF79F" w14:textId="1ADF298A" w:rsidR="0006278C" w:rsidRPr="00A93466" w:rsidRDefault="0006278C" w:rsidP="0006278C">
      <w:pPr>
        <w:spacing w:after="0" w:line="240" w:lineRule="auto"/>
        <w:rPr>
          <w:rFonts w:asciiTheme="minorHAnsi" w:hAnsiTheme="minorHAnsi" w:cs="Arial"/>
          <w:sz w:val="24"/>
          <w:szCs w:val="24"/>
        </w:rPr>
      </w:pPr>
      <w:r w:rsidRPr="00A93466">
        <w:rPr>
          <w:rFonts w:asciiTheme="minorHAnsi" w:hAnsiTheme="minorHAnsi" w:cs="Arial"/>
          <w:sz w:val="24"/>
          <w:szCs w:val="24"/>
        </w:rPr>
        <w:t xml:space="preserve">The Health Consequences of Smoking—50 Years of Progress. A Report of the Surgeon General. Atlanta, Georgia: U.S. Department of Health and Human Services, Centers for Disease Control and Prevention, National Center for Chronic Disease Prevention and Health Promotion, Office on Smoking and Health, 2014. </w:t>
      </w:r>
      <w:hyperlink r:id="rId55" w:history="1">
        <w:r w:rsidRPr="00A93466">
          <w:rPr>
            <w:rStyle w:val="Hyperlink"/>
            <w:rFonts w:asciiTheme="minorHAnsi" w:hAnsiTheme="minorHAnsi" w:cs="Arial"/>
            <w:sz w:val="24"/>
            <w:szCs w:val="24"/>
          </w:rPr>
          <w:t>https://www.surgeongeneral.gov/library/reports/50-years-of-progress/index.html</w:t>
        </w:r>
      </w:hyperlink>
      <w:r w:rsidRPr="00A93466">
        <w:rPr>
          <w:rFonts w:asciiTheme="minorHAnsi" w:hAnsiTheme="minorHAnsi" w:cs="Arial"/>
          <w:sz w:val="24"/>
          <w:szCs w:val="24"/>
        </w:rPr>
        <w:t xml:space="preserve"> </w:t>
      </w:r>
    </w:p>
    <w:p w14:paraId="5BAC194E" w14:textId="77777777" w:rsidR="0006278C" w:rsidRPr="00A93466" w:rsidRDefault="0006278C" w:rsidP="0006278C">
      <w:pPr>
        <w:spacing w:after="0" w:line="240" w:lineRule="auto"/>
        <w:rPr>
          <w:rFonts w:asciiTheme="minorHAnsi" w:hAnsiTheme="minorHAnsi" w:cs="Arial"/>
          <w:sz w:val="24"/>
          <w:szCs w:val="24"/>
        </w:rPr>
      </w:pPr>
    </w:p>
    <w:p w14:paraId="5FFA74E4" w14:textId="15044A44" w:rsidR="0006278C" w:rsidRPr="00A93466" w:rsidRDefault="0006278C" w:rsidP="0006278C">
      <w:pPr>
        <w:spacing w:after="0" w:line="240" w:lineRule="auto"/>
        <w:rPr>
          <w:rFonts w:asciiTheme="minorHAnsi" w:hAnsiTheme="minorHAnsi" w:cs="Arial"/>
          <w:sz w:val="24"/>
          <w:szCs w:val="24"/>
        </w:rPr>
      </w:pPr>
      <w:r w:rsidRPr="00A93466">
        <w:rPr>
          <w:rFonts w:asciiTheme="minorHAnsi" w:hAnsiTheme="minorHAnsi" w:cs="Arial"/>
          <w:sz w:val="24"/>
          <w:szCs w:val="24"/>
        </w:rPr>
        <w:t xml:space="preserve">U.S. Department of Health and Human Services. The Health Consequences of Involuntary Exposure to Tobacco Smoke: A Report of the Surgeon General. Atlanta, GA: U.S. Department of Health and Human Services, Centers for Disease Control and Prevention, Coordinating Center for Health Promotion, National Center for Chronic Disease Prevention and Health Promotion, Office on Smoking and Health, 2006. </w:t>
      </w:r>
      <w:hyperlink r:id="rId56" w:history="1">
        <w:r w:rsidRPr="00A93466">
          <w:rPr>
            <w:rStyle w:val="Hyperlink"/>
            <w:rFonts w:asciiTheme="minorHAnsi" w:hAnsiTheme="minorHAnsi" w:cs="Arial"/>
            <w:sz w:val="24"/>
            <w:szCs w:val="24"/>
          </w:rPr>
          <w:t>https://www.ncbi.nlm.nih.gov/books/NBK44324/</w:t>
        </w:r>
      </w:hyperlink>
    </w:p>
    <w:p w14:paraId="60A1C102" w14:textId="1DF74310" w:rsidR="0006278C" w:rsidRDefault="0006278C" w:rsidP="0006278C">
      <w:pPr>
        <w:spacing w:after="0" w:line="240" w:lineRule="auto"/>
        <w:rPr>
          <w:rFonts w:asciiTheme="minorHAnsi" w:hAnsiTheme="minorHAnsi" w:cs="Arial"/>
          <w:sz w:val="24"/>
          <w:szCs w:val="24"/>
        </w:rPr>
      </w:pPr>
    </w:p>
    <w:p w14:paraId="26632F6A" w14:textId="77777777" w:rsidR="0006278C" w:rsidRPr="00A93466" w:rsidRDefault="0006278C" w:rsidP="0006278C">
      <w:pPr>
        <w:spacing w:after="0" w:line="240" w:lineRule="auto"/>
        <w:rPr>
          <w:rFonts w:asciiTheme="minorHAnsi" w:hAnsiTheme="minorHAnsi" w:cs="Arial"/>
          <w:b/>
          <w:sz w:val="24"/>
          <w:szCs w:val="24"/>
        </w:rPr>
      </w:pPr>
      <w:r w:rsidRPr="00A93466">
        <w:rPr>
          <w:rFonts w:asciiTheme="minorHAnsi" w:hAnsiTheme="minorHAnsi" w:cs="Arial"/>
          <w:b/>
          <w:sz w:val="24"/>
          <w:szCs w:val="24"/>
        </w:rPr>
        <w:t>NPM-15 Adequate Insurance</w:t>
      </w:r>
    </w:p>
    <w:p w14:paraId="0BB45DB9" w14:textId="77777777" w:rsidR="0006278C" w:rsidRPr="00A93466" w:rsidRDefault="0006278C" w:rsidP="0006278C">
      <w:pPr>
        <w:spacing w:after="0" w:line="240" w:lineRule="auto"/>
        <w:rPr>
          <w:rFonts w:asciiTheme="minorHAnsi" w:hAnsiTheme="minorHAnsi" w:cs="Arial"/>
          <w:sz w:val="24"/>
          <w:szCs w:val="24"/>
        </w:rPr>
      </w:pPr>
    </w:p>
    <w:p w14:paraId="461EAE27" w14:textId="4E2A6DF9" w:rsidR="0006278C" w:rsidRPr="00A93466" w:rsidRDefault="0006278C" w:rsidP="0006278C">
      <w:pPr>
        <w:spacing w:after="0" w:line="240" w:lineRule="auto"/>
        <w:rPr>
          <w:rFonts w:asciiTheme="minorHAnsi" w:hAnsiTheme="minorHAnsi" w:cs="Arial"/>
          <w:sz w:val="24"/>
          <w:szCs w:val="24"/>
        </w:rPr>
      </w:pPr>
      <w:r w:rsidRPr="00A93466">
        <w:rPr>
          <w:rFonts w:asciiTheme="minorHAnsi" w:hAnsiTheme="minorHAnsi" w:cs="Arial"/>
          <w:sz w:val="24"/>
          <w:szCs w:val="24"/>
        </w:rPr>
        <w:t xml:space="preserve">Kogan MD, Newacheck PW, Blumberg SJ, Ghandour RM, Singh GK, Strickland BB, van Dyck PC. Underinsurance among children in the United States. N Engl J Med. 2010Aug 26;363(9):841-51. </w:t>
      </w:r>
      <w:hyperlink r:id="rId57" w:history="1">
        <w:r w:rsidRPr="00A93466">
          <w:rPr>
            <w:rStyle w:val="Hyperlink"/>
            <w:rFonts w:asciiTheme="minorHAnsi" w:hAnsiTheme="minorHAnsi" w:cs="Arial"/>
            <w:sz w:val="24"/>
            <w:szCs w:val="24"/>
          </w:rPr>
          <w:t>http://www.nejm.org/doi/full/10.1056/NEJMsa0909994</w:t>
        </w:r>
      </w:hyperlink>
      <w:r w:rsidRPr="00A93466">
        <w:rPr>
          <w:rFonts w:asciiTheme="minorHAnsi" w:hAnsiTheme="minorHAnsi" w:cs="Arial"/>
          <w:sz w:val="24"/>
          <w:szCs w:val="24"/>
        </w:rPr>
        <w:t xml:space="preserve"> </w:t>
      </w:r>
    </w:p>
    <w:p w14:paraId="71D6042C" w14:textId="25DB3EF8" w:rsidR="0002378C" w:rsidRPr="00A93466" w:rsidRDefault="0002378C" w:rsidP="0006278C">
      <w:pPr>
        <w:spacing w:after="0" w:line="240" w:lineRule="auto"/>
        <w:rPr>
          <w:rFonts w:asciiTheme="minorHAnsi" w:hAnsiTheme="minorHAnsi" w:cs="Arial"/>
          <w:sz w:val="24"/>
          <w:szCs w:val="24"/>
        </w:rPr>
      </w:pPr>
    </w:p>
    <w:p w14:paraId="220BF44C" w14:textId="002BE1CE" w:rsidR="0006278C" w:rsidRPr="00A93466" w:rsidRDefault="0006278C" w:rsidP="0006278C">
      <w:pPr>
        <w:spacing w:after="0" w:line="240" w:lineRule="auto"/>
        <w:rPr>
          <w:rFonts w:asciiTheme="minorHAnsi" w:hAnsiTheme="minorHAnsi" w:cs="Arial"/>
          <w:sz w:val="24"/>
          <w:szCs w:val="24"/>
        </w:rPr>
      </w:pPr>
      <w:r w:rsidRPr="00A93466">
        <w:rPr>
          <w:rFonts w:asciiTheme="minorHAnsi" w:hAnsiTheme="minorHAnsi" w:cs="Arial"/>
          <w:sz w:val="24"/>
          <w:szCs w:val="24"/>
        </w:rPr>
        <w:t xml:space="preserve">Smith PJ, Molinari NA, Rodewald LE. Underinsurance and pediatric immunization delivery in the United States. Pediatrics. 2009 Dec;124 Suppl 5:S507-14. </w:t>
      </w:r>
      <w:hyperlink r:id="rId58" w:history="1">
        <w:r w:rsidRPr="00A93466">
          <w:rPr>
            <w:rStyle w:val="Hyperlink"/>
            <w:rFonts w:asciiTheme="minorHAnsi" w:hAnsiTheme="minorHAnsi" w:cs="Arial"/>
            <w:sz w:val="24"/>
            <w:szCs w:val="24"/>
          </w:rPr>
          <w:t>http://pediatrics.aappublications.org/content/124/Supplement_5/S507.full</w:t>
        </w:r>
      </w:hyperlink>
      <w:r w:rsidRPr="00A93466">
        <w:rPr>
          <w:rFonts w:asciiTheme="minorHAnsi" w:hAnsiTheme="minorHAnsi" w:cs="Arial"/>
          <w:sz w:val="24"/>
          <w:szCs w:val="24"/>
        </w:rPr>
        <w:t xml:space="preserve"> </w:t>
      </w:r>
    </w:p>
    <w:p w14:paraId="2E82438D" w14:textId="77777777" w:rsidR="0006278C" w:rsidRPr="00A93466" w:rsidRDefault="0006278C" w:rsidP="0006278C">
      <w:pPr>
        <w:spacing w:after="0" w:line="240" w:lineRule="auto"/>
        <w:rPr>
          <w:rFonts w:asciiTheme="minorHAnsi" w:hAnsiTheme="minorHAnsi" w:cs="Arial"/>
          <w:sz w:val="24"/>
          <w:szCs w:val="24"/>
        </w:rPr>
      </w:pPr>
    </w:p>
    <w:p w14:paraId="3FA7D130" w14:textId="07535EBC" w:rsidR="0006278C" w:rsidRPr="00A93466" w:rsidRDefault="0006278C" w:rsidP="0006278C">
      <w:pPr>
        <w:spacing w:after="0" w:line="240" w:lineRule="auto"/>
        <w:rPr>
          <w:rFonts w:asciiTheme="minorHAnsi" w:hAnsiTheme="minorHAnsi" w:cs="Arial"/>
          <w:sz w:val="24"/>
          <w:szCs w:val="24"/>
        </w:rPr>
      </w:pPr>
      <w:r w:rsidRPr="00A93466">
        <w:rPr>
          <w:rFonts w:asciiTheme="minorHAnsi" w:hAnsiTheme="minorHAnsi" w:cs="Arial"/>
          <w:sz w:val="24"/>
          <w:szCs w:val="24"/>
        </w:rPr>
        <w:t xml:space="preserve">Smith PJ, Lindley MC, Shefer A, Rodewald LE. Underinsurance and adolescent immunization delivery in the United States. Pediatrics. 2009 Dec;124 Suppl 5:S515-21. </w:t>
      </w:r>
      <w:hyperlink r:id="rId59" w:history="1">
        <w:r w:rsidRPr="00A93466">
          <w:rPr>
            <w:rStyle w:val="Hyperlink"/>
            <w:rFonts w:asciiTheme="minorHAnsi" w:hAnsiTheme="minorHAnsi" w:cs="Arial"/>
            <w:sz w:val="24"/>
            <w:szCs w:val="24"/>
          </w:rPr>
          <w:t>http://pediatrics.aappublications.org/content/124/Supplement_5/S515.full</w:t>
        </w:r>
      </w:hyperlink>
      <w:r w:rsidRPr="00A93466">
        <w:rPr>
          <w:rFonts w:asciiTheme="minorHAnsi" w:hAnsiTheme="minorHAnsi" w:cs="Arial"/>
          <w:sz w:val="24"/>
          <w:szCs w:val="24"/>
        </w:rPr>
        <w:t xml:space="preserve"> </w:t>
      </w:r>
    </w:p>
    <w:p w14:paraId="24661655" w14:textId="77777777" w:rsidR="0006278C" w:rsidRPr="00A93466" w:rsidRDefault="0006278C" w:rsidP="0006278C">
      <w:pPr>
        <w:spacing w:after="0" w:line="240" w:lineRule="auto"/>
        <w:rPr>
          <w:rFonts w:asciiTheme="minorHAnsi" w:hAnsiTheme="minorHAnsi" w:cs="Arial"/>
          <w:sz w:val="24"/>
          <w:szCs w:val="24"/>
        </w:rPr>
      </w:pPr>
    </w:p>
    <w:p w14:paraId="24110684" w14:textId="77777777" w:rsidR="0006278C" w:rsidRPr="00A93466" w:rsidRDefault="0006278C" w:rsidP="0006278C">
      <w:pPr>
        <w:spacing w:after="0" w:line="240" w:lineRule="auto"/>
        <w:rPr>
          <w:rFonts w:asciiTheme="minorHAnsi" w:hAnsiTheme="minorHAnsi" w:cs="Arial"/>
          <w:sz w:val="24"/>
          <w:szCs w:val="24"/>
        </w:rPr>
      </w:pPr>
      <w:r w:rsidRPr="00A93466">
        <w:rPr>
          <w:rFonts w:asciiTheme="minorHAnsi" w:hAnsiTheme="minorHAnsi" w:cs="Arial"/>
          <w:sz w:val="24"/>
          <w:szCs w:val="24"/>
        </w:rPr>
        <w:t xml:space="preserve">IOM (Institute of Medicine). 2009.  America’s Uninsured Crisis: Consequences for Health and Health Care. Washington, DC: National Academies Press. </w:t>
      </w:r>
      <w:hyperlink r:id="rId60" w:history="1">
        <w:r w:rsidRPr="00A93466">
          <w:rPr>
            <w:rStyle w:val="Hyperlink"/>
            <w:rFonts w:asciiTheme="minorHAnsi" w:hAnsiTheme="minorHAnsi" w:cs="Arial"/>
            <w:sz w:val="24"/>
            <w:szCs w:val="24"/>
          </w:rPr>
          <w:t>http://www.nationalacademies.org/hmd/Reports/2009/Americas-Uninsured-Crisis-Consequences-for-Health-and-Health-Care.aspx</w:t>
        </w:r>
      </w:hyperlink>
      <w:r w:rsidRPr="00A93466">
        <w:rPr>
          <w:rFonts w:asciiTheme="minorHAnsi" w:hAnsiTheme="minorHAnsi" w:cs="Arial"/>
          <w:sz w:val="24"/>
          <w:szCs w:val="24"/>
        </w:rPr>
        <w:t xml:space="preserve"> </w:t>
      </w:r>
    </w:p>
    <w:p w14:paraId="71109B8A" w14:textId="1B6A8F40" w:rsidR="0006278C" w:rsidRPr="00A93466" w:rsidRDefault="0006278C">
      <w:pPr>
        <w:spacing w:after="0" w:line="240" w:lineRule="auto"/>
        <w:rPr>
          <w:rFonts w:asciiTheme="minorHAnsi" w:hAnsiTheme="minorHAnsi" w:cs="Arial"/>
          <w:sz w:val="24"/>
          <w:szCs w:val="24"/>
        </w:rPr>
      </w:pPr>
      <w:r w:rsidRPr="00A93466">
        <w:rPr>
          <w:rFonts w:asciiTheme="minorHAnsi" w:hAnsiTheme="minorHAnsi" w:cs="Arial"/>
          <w:sz w:val="24"/>
          <w:szCs w:val="24"/>
        </w:rPr>
        <w:br w:type="page"/>
      </w:r>
    </w:p>
    <w:p w14:paraId="3DE35BCA" w14:textId="77777777" w:rsidR="0006278C" w:rsidRPr="00A93466" w:rsidRDefault="0006278C" w:rsidP="00150DC1">
      <w:pPr>
        <w:spacing w:after="0" w:line="240" w:lineRule="auto"/>
        <w:ind w:right="-360" w:hanging="180"/>
        <w:rPr>
          <w:rFonts w:asciiTheme="minorHAnsi" w:hAnsiTheme="minorHAnsi" w:cs="Arial"/>
          <w:b/>
          <w:sz w:val="24"/>
          <w:szCs w:val="24"/>
        </w:rPr>
      </w:pPr>
      <w:r w:rsidRPr="00A93466">
        <w:rPr>
          <w:rFonts w:asciiTheme="minorHAnsi" w:hAnsiTheme="minorHAnsi" w:cs="Arial"/>
          <w:b/>
          <w:sz w:val="24"/>
          <w:szCs w:val="24"/>
        </w:rPr>
        <w:t>Table 3. National Performance and Outcome Measure Crosswalk to AMCHP Life Course Indicators</w:t>
      </w:r>
    </w:p>
    <w:tbl>
      <w:tblPr>
        <w:tblStyle w:val="TableGrid31"/>
        <w:tblW w:w="9625" w:type="dxa"/>
        <w:jc w:val="center"/>
        <w:tblLook w:val="04A0" w:firstRow="1" w:lastRow="0" w:firstColumn="1" w:lastColumn="0" w:noHBand="0" w:noVBand="1"/>
      </w:tblPr>
      <w:tblGrid>
        <w:gridCol w:w="567"/>
        <w:gridCol w:w="1768"/>
        <w:gridCol w:w="990"/>
        <w:gridCol w:w="1890"/>
        <w:gridCol w:w="1890"/>
        <w:gridCol w:w="2520"/>
      </w:tblGrid>
      <w:tr w:rsidR="0006278C" w:rsidRPr="0006278C" w14:paraId="7D8B45A2" w14:textId="77777777" w:rsidTr="00150DC1">
        <w:trPr>
          <w:trHeight w:val="300"/>
          <w:jc w:val="center"/>
        </w:trPr>
        <w:tc>
          <w:tcPr>
            <w:tcW w:w="2335" w:type="dxa"/>
            <w:gridSpan w:val="2"/>
            <w:shd w:val="clear" w:color="auto" w:fill="C7E2FA" w:themeFill="accent1" w:themeFillTint="33"/>
            <w:noWrap/>
            <w:hideMark/>
          </w:tcPr>
          <w:p w14:paraId="56452F0C" w14:textId="77777777" w:rsidR="0006278C" w:rsidRPr="00856B3E" w:rsidRDefault="0006278C" w:rsidP="0006278C">
            <w:pPr>
              <w:spacing w:after="0" w:line="240" w:lineRule="auto"/>
              <w:jc w:val="center"/>
              <w:rPr>
                <w:rFonts w:asciiTheme="minorHAnsi" w:hAnsiTheme="minorHAnsi" w:cs="Arial"/>
                <w:color w:val="0B5294" w:themeColor="accent1" w:themeShade="BF"/>
                <w:sz w:val="20"/>
                <w:szCs w:val="20"/>
              </w:rPr>
            </w:pPr>
            <w:r w:rsidRPr="00856B3E">
              <w:rPr>
                <w:rFonts w:asciiTheme="minorHAnsi" w:hAnsiTheme="minorHAnsi" w:cs="Arial"/>
                <w:color w:val="0B5294" w:themeColor="accent1" w:themeShade="BF"/>
                <w:sz w:val="20"/>
                <w:szCs w:val="20"/>
              </w:rPr>
              <w:t>National Performance or Outcome Measure</w:t>
            </w:r>
          </w:p>
        </w:tc>
        <w:tc>
          <w:tcPr>
            <w:tcW w:w="7290" w:type="dxa"/>
            <w:gridSpan w:val="4"/>
            <w:shd w:val="clear" w:color="auto" w:fill="C7E2FA" w:themeFill="accent1" w:themeFillTint="33"/>
            <w:noWrap/>
            <w:vAlign w:val="center"/>
            <w:hideMark/>
          </w:tcPr>
          <w:p w14:paraId="372ABC6C" w14:textId="77777777" w:rsidR="0006278C" w:rsidRPr="00856B3E" w:rsidRDefault="0006278C" w:rsidP="0006278C">
            <w:pPr>
              <w:spacing w:after="0" w:line="240" w:lineRule="auto"/>
              <w:jc w:val="center"/>
              <w:rPr>
                <w:rFonts w:asciiTheme="minorHAnsi" w:hAnsiTheme="minorHAnsi" w:cs="Arial"/>
                <w:color w:val="0B5294" w:themeColor="accent1" w:themeShade="BF"/>
                <w:sz w:val="20"/>
                <w:szCs w:val="20"/>
              </w:rPr>
            </w:pPr>
            <w:r w:rsidRPr="00856B3E">
              <w:rPr>
                <w:rFonts w:asciiTheme="minorHAnsi" w:hAnsiTheme="minorHAnsi" w:cs="Arial"/>
                <w:color w:val="0B5294" w:themeColor="accent1" w:themeShade="BF"/>
                <w:sz w:val="20"/>
                <w:szCs w:val="20"/>
              </w:rPr>
              <w:t>AMCHP Life Course Indicators</w:t>
            </w:r>
          </w:p>
        </w:tc>
      </w:tr>
      <w:tr w:rsidR="00856B3E" w:rsidRPr="00856B3E" w14:paraId="41C848B2" w14:textId="77777777" w:rsidTr="00150DC1">
        <w:trPr>
          <w:trHeight w:val="300"/>
          <w:jc w:val="center"/>
        </w:trPr>
        <w:tc>
          <w:tcPr>
            <w:tcW w:w="567" w:type="dxa"/>
            <w:shd w:val="clear" w:color="auto" w:fill="C7E2FA" w:themeFill="accent1" w:themeFillTint="33"/>
            <w:noWrap/>
            <w:hideMark/>
          </w:tcPr>
          <w:p w14:paraId="62FB6637" w14:textId="77777777" w:rsidR="0006278C" w:rsidRPr="00856B3E" w:rsidRDefault="0006278C" w:rsidP="0006278C">
            <w:pPr>
              <w:spacing w:after="0" w:line="240" w:lineRule="auto"/>
              <w:jc w:val="center"/>
              <w:rPr>
                <w:rFonts w:asciiTheme="minorHAnsi" w:hAnsiTheme="minorHAnsi" w:cs="Arial"/>
                <w:color w:val="0B5294" w:themeColor="accent1" w:themeShade="BF"/>
                <w:sz w:val="20"/>
                <w:szCs w:val="20"/>
              </w:rPr>
            </w:pPr>
            <w:r w:rsidRPr="00856B3E">
              <w:rPr>
                <w:rFonts w:asciiTheme="minorHAnsi" w:hAnsiTheme="minorHAnsi" w:cs="Arial"/>
                <w:color w:val="0B5294" w:themeColor="accent1" w:themeShade="BF"/>
                <w:sz w:val="20"/>
                <w:szCs w:val="20"/>
              </w:rPr>
              <w:t>#</w:t>
            </w:r>
          </w:p>
        </w:tc>
        <w:tc>
          <w:tcPr>
            <w:tcW w:w="1768" w:type="dxa"/>
            <w:shd w:val="clear" w:color="auto" w:fill="C7E2FA" w:themeFill="accent1" w:themeFillTint="33"/>
            <w:noWrap/>
            <w:hideMark/>
          </w:tcPr>
          <w:p w14:paraId="618D2A50" w14:textId="77777777" w:rsidR="0006278C" w:rsidRPr="00856B3E" w:rsidRDefault="0006278C" w:rsidP="0006278C">
            <w:pPr>
              <w:spacing w:after="0" w:line="240" w:lineRule="auto"/>
              <w:jc w:val="center"/>
              <w:rPr>
                <w:rFonts w:asciiTheme="minorHAnsi" w:hAnsiTheme="minorHAnsi" w:cs="Arial"/>
                <w:color w:val="0B5294" w:themeColor="accent1" w:themeShade="BF"/>
                <w:sz w:val="20"/>
                <w:szCs w:val="20"/>
              </w:rPr>
            </w:pPr>
            <w:r w:rsidRPr="00856B3E">
              <w:rPr>
                <w:rFonts w:asciiTheme="minorHAnsi" w:hAnsiTheme="minorHAnsi" w:cs="Arial"/>
                <w:color w:val="0B5294" w:themeColor="accent1" w:themeShade="BF"/>
                <w:sz w:val="20"/>
                <w:szCs w:val="20"/>
              </w:rPr>
              <w:t>Short Title</w:t>
            </w:r>
          </w:p>
        </w:tc>
        <w:tc>
          <w:tcPr>
            <w:tcW w:w="990" w:type="dxa"/>
            <w:shd w:val="clear" w:color="auto" w:fill="C7E2FA" w:themeFill="accent1" w:themeFillTint="33"/>
            <w:noWrap/>
            <w:hideMark/>
          </w:tcPr>
          <w:p w14:paraId="7F9D3333" w14:textId="77777777" w:rsidR="0006278C" w:rsidRPr="00856B3E" w:rsidRDefault="0006278C" w:rsidP="0006278C">
            <w:pPr>
              <w:spacing w:after="0" w:line="240" w:lineRule="auto"/>
              <w:jc w:val="center"/>
              <w:rPr>
                <w:rFonts w:asciiTheme="minorHAnsi" w:hAnsiTheme="minorHAnsi" w:cs="Arial"/>
                <w:color w:val="0B5294" w:themeColor="accent1" w:themeShade="BF"/>
                <w:sz w:val="20"/>
                <w:szCs w:val="20"/>
              </w:rPr>
            </w:pPr>
            <w:r w:rsidRPr="00856B3E">
              <w:rPr>
                <w:rFonts w:asciiTheme="minorHAnsi" w:hAnsiTheme="minorHAnsi" w:cs="Arial"/>
                <w:color w:val="0B5294" w:themeColor="accent1" w:themeShade="BF"/>
                <w:sz w:val="20"/>
                <w:szCs w:val="20"/>
              </w:rPr>
              <w:t>Identifier</w:t>
            </w:r>
          </w:p>
        </w:tc>
        <w:tc>
          <w:tcPr>
            <w:tcW w:w="1890" w:type="dxa"/>
            <w:shd w:val="clear" w:color="auto" w:fill="C7E2FA" w:themeFill="accent1" w:themeFillTint="33"/>
            <w:hideMark/>
          </w:tcPr>
          <w:p w14:paraId="4CC21A32" w14:textId="77777777" w:rsidR="0006278C" w:rsidRPr="00856B3E" w:rsidRDefault="0006278C" w:rsidP="0006278C">
            <w:pPr>
              <w:spacing w:after="0" w:line="240" w:lineRule="auto"/>
              <w:jc w:val="center"/>
              <w:rPr>
                <w:rFonts w:asciiTheme="minorHAnsi" w:hAnsiTheme="minorHAnsi" w:cs="Arial"/>
                <w:color w:val="0B5294" w:themeColor="accent1" w:themeShade="BF"/>
                <w:sz w:val="20"/>
                <w:szCs w:val="20"/>
              </w:rPr>
            </w:pPr>
            <w:r w:rsidRPr="00856B3E">
              <w:rPr>
                <w:rFonts w:asciiTheme="minorHAnsi" w:hAnsiTheme="minorHAnsi" w:cs="Arial"/>
                <w:color w:val="0B5294" w:themeColor="accent1" w:themeShade="BF"/>
                <w:sz w:val="20"/>
                <w:szCs w:val="20"/>
              </w:rPr>
              <w:t>Thematic Category</w:t>
            </w:r>
          </w:p>
        </w:tc>
        <w:tc>
          <w:tcPr>
            <w:tcW w:w="1890" w:type="dxa"/>
            <w:shd w:val="clear" w:color="auto" w:fill="C7E2FA" w:themeFill="accent1" w:themeFillTint="33"/>
            <w:hideMark/>
          </w:tcPr>
          <w:p w14:paraId="4D73D4F1" w14:textId="77777777" w:rsidR="0006278C" w:rsidRPr="00856B3E" w:rsidRDefault="0006278C" w:rsidP="0006278C">
            <w:pPr>
              <w:spacing w:after="0" w:line="240" w:lineRule="auto"/>
              <w:jc w:val="center"/>
              <w:rPr>
                <w:rFonts w:asciiTheme="minorHAnsi" w:hAnsiTheme="minorHAnsi" w:cs="Arial"/>
                <w:color w:val="0B5294" w:themeColor="accent1" w:themeShade="BF"/>
                <w:sz w:val="20"/>
                <w:szCs w:val="20"/>
              </w:rPr>
            </w:pPr>
            <w:r w:rsidRPr="00856B3E">
              <w:rPr>
                <w:rFonts w:asciiTheme="minorHAnsi" w:hAnsiTheme="minorHAnsi" w:cs="Arial"/>
                <w:color w:val="0B5294" w:themeColor="accent1" w:themeShade="BF"/>
                <w:sz w:val="20"/>
                <w:szCs w:val="20"/>
              </w:rPr>
              <w:t>Indicator Name</w:t>
            </w:r>
          </w:p>
        </w:tc>
        <w:tc>
          <w:tcPr>
            <w:tcW w:w="2520" w:type="dxa"/>
            <w:shd w:val="clear" w:color="auto" w:fill="C7E2FA" w:themeFill="accent1" w:themeFillTint="33"/>
            <w:hideMark/>
          </w:tcPr>
          <w:p w14:paraId="6FBD0727" w14:textId="77777777" w:rsidR="0006278C" w:rsidRPr="00856B3E" w:rsidRDefault="0006278C" w:rsidP="0006278C">
            <w:pPr>
              <w:spacing w:after="0" w:line="240" w:lineRule="auto"/>
              <w:jc w:val="center"/>
              <w:rPr>
                <w:rFonts w:asciiTheme="minorHAnsi" w:hAnsiTheme="minorHAnsi" w:cs="Arial"/>
                <w:color w:val="0B5294" w:themeColor="accent1" w:themeShade="BF"/>
                <w:sz w:val="20"/>
                <w:szCs w:val="20"/>
              </w:rPr>
            </w:pPr>
            <w:r w:rsidRPr="00856B3E">
              <w:rPr>
                <w:rFonts w:asciiTheme="minorHAnsi" w:hAnsiTheme="minorHAnsi" w:cs="Arial"/>
                <w:color w:val="0B5294" w:themeColor="accent1" w:themeShade="BF"/>
                <w:sz w:val="20"/>
                <w:szCs w:val="20"/>
              </w:rPr>
              <w:t>Brief Description</w:t>
            </w:r>
          </w:p>
        </w:tc>
      </w:tr>
      <w:tr w:rsidR="0006278C" w:rsidRPr="0006278C" w14:paraId="12805443" w14:textId="77777777" w:rsidTr="00150DC1">
        <w:trPr>
          <w:trHeight w:val="161"/>
          <w:jc w:val="center"/>
        </w:trPr>
        <w:tc>
          <w:tcPr>
            <w:tcW w:w="9625" w:type="dxa"/>
            <w:gridSpan w:val="6"/>
            <w:shd w:val="clear" w:color="auto" w:fill="0B5294" w:themeFill="accent1" w:themeFillShade="BF"/>
            <w:noWrap/>
          </w:tcPr>
          <w:p w14:paraId="3B99B34D" w14:textId="77777777" w:rsidR="0006278C" w:rsidRPr="00856B3E" w:rsidRDefault="0006278C" w:rsidP="00856B3E">
            <w:pPr>
              <w:spacing w:after="0" w:line="240" w:lineRule="auto"/>
              <w:jc w:val="center"/>
              <w:rPr>
                <w:rFonts w:asciiTheme="minorHAnsi" w:hAnsiTheme="minorHAnsi" w:cs="Arial"/>
                <w:color w:val="FFFFFF" w:themeColor="background1"/>
                <w:sz w:val="20"/>
                <w:szCs w:val="20"/>
              </w:rPr>
            </w:pPr>
            <w:r w:rsidRPr="00856B3E">
              <w:rPr>
                <w:rFonts w:asciiTheme="minorHAnsi" w:hAnsiTheme="minorHAnsi" w:cs="Arial"/>
                <w:color w:val="FFFFFF" w:themeColor="background1"/>
                <w:sz w:val="20"/>
                <w:szCs w:val="20"/>
              </w:rPr>
              <w:t>National Performance Measure</w:t>
            </w:r>
          </w:p>
        </w:tc>
      </w:tr>
      <w:tr w:rsidR="0006278C" w:rsidRPr="0006278C" w14:paraId="528DA265" w14:textId="77777777" w:rsidTr="00150DC1">
        <w:trPr>
          <w:trHeight w:val="600"/>
          <w:jc w:val="center"/>
        </w:trPr>
        <w:tc>
          <w:tcPr>
            <w:tcW w:w="567" w:type="dxa"/>
            <w:noWrap/>
            <w:hideMark/>
          </w:tcPr>
          <w:p w14:paraId="602D4629" w14:textId="77777777" w:rsidR="0006278C" w:rsidRPr="0006278C" w:rsidRDefault="0006278C" w:rsidP="0006278C">
            <w:pPr>
              <w:spacing w:after="0" w:line="240" w:lineRule="auto"/>
              <w:jc w:val="center"/>
              <w:rPr>
                <w:rFonts w:ascii="Arial" w:hAnsi="Arial" w:cs="Arial"/>
                <w:sz w:val="18"/>
                <w:szCs w:val="18"/>
              </w:rPr>
            </w:pPr>
            <w:r w:rsidRPr="0006278C">
              <w:rPr>
                <w:rFonts w:ascii="Arial" w:hAnsi="Arial" w:cs="Arial"/>
                <w:sz w:val="18"/>
                <w:szCs w:val="18"/>
              </w:rPr>
              <w:t>4B</w:t>
            </w:r>
          </w:p>
        </w:tc>
        <w:tc>
          <w:tcPr>
            <w:tcW w:w="1768" w:type="dxa"/>
            <w:noWrap/>
            <w:hideMark/>
          </w:tcPr>
          <w:p w14:paraId="43E97919"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Breastfeeding</w:t>
            </w:r>
          </w:p>
        </w:tc>
        <w:tc>
          <w:tcPr>
            <w:tcW w:w="990" w:type="dxa"/>
            <w:noWrap/>
            <w:hideMark/>
          </w:tcPr>
          <w:p w14:paraId="6ED784A1"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LC-27*</w:t>
            </w:r>
          </w:p>
        </w:tc>
        <w:tc>
          <w:tcPr>
            <w:tcW w:w="1890" w:type="dxa"/>
            <w:hideMark/>
          </w:tcPr>
          <w:p w14:paraId="5D07F871"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Family Wellbeing</w:t>
            </w:r>
          </w:p>
        </w:tc>
        <w:tc>
          <w:tcPr>
            <w:tcW w:w="1890" w:type="dxa"/>
            <w:hideMark/>
          </w:tcPr>
          <w:p w14:paraId="15D2ECE2"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Exclusive Breastfeeding at 3 Months</w:t>
            </w:r>
          </w:p>
        </w:tc>
        <w:tc>
          <w:tcPr>
            <w:tcW w:w="2520" w:type="dxa"/>
            <w:hideMark/>
          </w:tcPr>
          <w:p w14:paraId="57D647CF"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Percent of children exclusively breastfed through 3 months</w:t>
            </w:r>
          </w:p>
        </w:tc>
      </w:tr>
      <w:tr w:rsidR="0006278C" w:rsidRPr="0006278C" w14:paraId="7C0FB9F5" w14:textId="77777777" w:rsidTr="00150DC1">
        <w:trPr>
          <w:trHeight w:val="600"/>
          <w:jc w:val="center"/>
        </w:trPr>
        <w:tc>
          <w:tcPr>
            <w:tcW w:w="567" w:type="dxa"/>
            <w:noWrap/>
            <w:hideMark/>
          </w:tcPr>
          <w:p w14:paraId="1E9BE080" w14:textId="77777777" w:rsidR="0006278C" w:rsidRPr="0006278C" w:rsidRDefault="0006278C" w:rsidP="0006278C">
            <w:pPr>
              <w:spacing w:after="0" w:line="240" w:lineRule="auto"/>
              <w:jc w:val="center"/>
              <w:rPr>
                <w:rFonts w:ascii="Arial" w:hAnsi="Arial" w:cs="Arial"/>
                <w:sz w:val="18"/>
                <w:szCs w:val="18"/>
              </w:rPr>
            </w:pPr>
            <w:r w:rsidRPr="0006278C">
              <w:rPr>
                <w:rFonts w:ascii="Arial" w:hAnsi="Arial" w:cs="Arial"/>
                <w:sz w:val="18"/>
                <w:szCs w:val="18"/>
              </w:rPr>
              <w:t>6</w:t>
            </w:r>
          </w:p>
        </w:tc>
        <w:tc>
          <w:tcPr>
            <w:tcW w:w="1768" w:type="dxa"/>
            <w:noWrap/>
            <w:hideMark/>
          </w:tcPr>
          <w:p w14:paraId="5D003FE0"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Developmental screening</w:t>
            </w:r>
          </w:p>
        </w:tc>
        <w:tc>
          <w:tcPr>
            <w:tcW w:w="990" w:type="dxa"/>
            <w:noWrap/>
            <w:hideMark/>
          </w:tcPr>
          <w:p w14:paraId="6D9F691C"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LC-19**</w:t>
            </w:r>
          </w:p>
        </w:tc>
        <w:tc>
          <w:tcPr>
            <w:tcW w:w="1890" w:type="dxa"/>
            <w:hideMark/>
          </w:tcPr>
          <w:p w14:paraId="1790573A"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 xml:space="preserve">Early Life Services </w:t>
            </w:r>
          </w:p>
        </w:tc>
        <w:tc>
          <w:tcPr>
            <w:tcW w:w="1890" w:type="dxa"/>
            <w:hideMark/>
          </w:tcPr>
          <w:p w14:paraId="176F0FE2"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Early Childhood Health Screening - EPSDT</w:t>
            </w:r>
          </w:p>
        </w:tc>
        <w:tc>
          <w:tcPr>
            <w:tcW w:w="2520" w:type="dxa"/>
            <w:hideMark/>
          </w:tcPr>
          <w:p w14:paraId="1AC11357"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Percent of Medicaid-enrolled children who received at least one initial or periodic screen in past calendar year</w:t>
            </w:r>
          </w:p>
        </w:tc>
      </w:tr>
      <w:tr w:rsidR="0006278C" w:rsidRPr="0006278C" w14:paraId="658D0FBC" w14:textId="77777777" w:rsidTr="00150DC1">
        <w:trPr>
          <w:trHeight w:val="900"/>
          <w:jc w:val="center"/>
        </w:trPr>
        <w:tc>
          <w:tcPr>
            <w:tcW w:w="567" w:type="dxa"/>
            <w:noWrap/>
            <w:hideMark/>
          </w:tcPr>
          <w:p w14:paraId="025DE58B" w14:textId="23E26279" w:rsidR="0006278C" w:rsidRPr="0006278C" w:rsidRDefault="0006278C" w:rsidP="0006278C">
            <w:pPr>
              <w:spacing w:after="0" w:line="240" w:lineRule="auto"/>
              <w:jc w:val="center"/>
              <w:rPr>
                <w:rFonts w:ascii="Arial" w:hAnsi="Arial" w:cs="Arial"/>
                <w:sz w:val="18"/>
                <w:szCs w:val="18"/>
              </w:rPr>
            </w:pPr>
            <w:r w:rsidRPr="0006278C">
              <w:rPr>
                <w:rFonts w:ascii="Arial" w:hAnsi="Arial" w:cs="Arial"/>
                <w:sz w:val="18"/>
                <w:szCs w:val="18"/>
              </w:rPr>
              <w:t>8</w:t>
            </w:r>
            <w:r w:rsidR="00151F76">
              <w:rPr>
                <w:rFonts w:ascii="Arial" w:hAnsi="Arial" w:cs="Arial"/>
                <w:sz w:val="18"/>
                <w:szCs w:val="18"/>
              </w:rPr>
              <w:t>.2</w:t>
            </w:r>
          </w:p>
        </w:tc>
        <w:tc>
          <w:tcPr>
            <w:tcW w:w="1768" w:type="dxa"/>
            <w:noWrap/>
            <w:hideMark/>
          </w:tcPr>
          <w:p w14:paraId="673BAA95"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Physical activity</w:t>
            </w:r>
          </w:p>
        </w:tc>
        <w:tc>
          <w:tcPr>
            <w:tcW w:w="990" w:type="dxa"/>
            <w:noWrap/>
            <w:hideMark/>
          </w:tcPr>
          <w:p w14:paraId="770C12F5"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LC-33 *</w:t>
            </w:r>
          </w:p>
        </w:tc>
        <w:tc>
          <w:tcPr>
            <w:tcW w:w="1890" w:type="dxa"/>
            <w:hideMark/>
          </w:tcPr>
          <w:p w14:paraId="25404960"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Family Wellbeing</w:t>
            </w:r>
          </w:p>
        </w:tc>
        <w:tc>
          <w:tcPr>
            <w:tcW w:w="1890" w:type="dxa"/>
            <w:hideMark/>
          </w:tcPr>
          <w:p w14:paraId="2E4BB1D5"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Physical Activity Among High School Students</w:t>
            </w:r>
          </w:p>
        </w:tc>
        <w:tc>
          <w:tcPr>
            <w:tcW w:w="2520" w:type="dxa"/>
            <w:hideMark/>
          </w:tcPr>
          <w:p w14:paraId="28F1F692"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Proportion of high school students who are physically active for at least 60 minutes per day on five or more of the past seven days.</w:t>
            </w:r>
          </w:p>
        </w:tc>
      </w:tr>
      <w:tr w:rsidR="0006278C" w:rsidRPr="0006278C" w14:paraId="73D9159C" w14:textId="77777777" w:rsidTr="00150DC1">
        <w:trPr>
          <w:trHeight w:val="600"/>
          <w:jc w:val="center"/>
        </w:trPr>
        <w:tc>
          <w:tcPr>
            <w:tcW w:w="567" w:type="dxa"/>
            <w:noWrap/>
            <w:hideMark/>
          </w:tcPr>
          <w:p w14:paraId="6FA1912F" w14:textId="64B493D3" w:rsidR="0006278C" w:rsidRPr="0006278C" w:rsidRDefault="0006278C" w:rsidP="0006278C">
            <w:pPr>
              <w:spacing w:after="0" w:line="240" w:lineRule="auto"/>
              <w:jc w:val="center"/>
              <w:rPr>
                <w:rFonts w:ascii="Arial" w:hAnsi="Arial" w:cs="Arial"/>
                <w:sz w:val="18"/>
                <w:szCs w:val="18"/>
              </w:rPr>
            </w:pPr>
            <w:r w:rsidRPr="0006278C">
              <w:rPr>
                <w:rFonts w:ascii="Arial" w:hAnsi="Arial" w:cs="Arial"/>
                <w:sz w:val="18"/>
                <w:szCs w:val="18"/>
              </w:rPr>
              <w:t>9</w:t>
            </w:r>
            <w:r w:rsidR="00151F76">
              <w:rPr>
                <w:rFonts w:ascii="Arial" w:hAnsi="Arial" w:cs="Arial"/>
                <w:sz w:val="18"/>
                <w:szCs w:val="18"/>
              </w:rPr>
              <w:t>.1</w:t>
            </w:r>
          </w:p>
        </w:tc>
        <w:tc>
          <w:tcPr>
            <w:tcW w:w="1768" w:type="dxa"/>
            <w:noWrap/>
            <w:hideMark/>
          </w:tcPr>
          <w:p w14:paraId="244BBBE0"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Bullying</w:t>
            </w:r>
          </w:p>
        </w:tc>
        <w:tc>
          <w:tcPr>
            <w:tcW w:w="990" w:type="dxa"/>
            <w:noWrap/>
            <w:hideMark/>
          </w:tcPr>
          <w:p w14:paraId="08734756"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LC-12</w:t>
            </w:r>
          </w:p>
        </w:tc>
        <w:tc>
          <w:tcPr>
            <w:tcW w:w="1890" w:type="dxa"/>
            <w:hideMark/>
          </w:tcPr>
          <w:p w14:paraId="4984623E"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Discrimination and Segregation</w:t>
            </w:r>
          </w:p>
        </w:tc>
        <w:tc>
          <w:tcPr>
            <w:tcW w:w="1890" w:type="dxa"/>
            <w:hideMark/>
          </w:tcPr>
          <w:p w14:paraId="76B9C09B"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Bullying</w:t>
            </w:r>
          </w:p>
        </w:tc>
        <w:tc>
          <w:tcPr>
            <w:tcW w:w="2520" w:type="dxa"/>
            <w:hideMark/>
          </w:tcPr>
          <w:p w14:paraId="4F1F0394"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Percent of 9-12th graders who reported being bullied on school property or electronically bullied</w:t>
            </w:r>
          </w:p>
        </w:tc>
      </w:tr>
      <w:tr w:rsidR="0006278C" w:rsidRPr="0006278C" w14:paraId="5D24FC29" w14:textId="77777777" w:rsidTr="00150DC1">
        <w:trPr>
          <w:trHeight w:val="600"/>
          <w:jc w:val="center"/>
        </w:trPr>
        <w:tc>
          <w:tcPr>
            <w:tcW w:w="567" w:type="dxa"/>
            <w:noWrap/>
            <w:hideMark/>
          </w:tcPr>
          <w:p w14:paraId="6A1F017F" w14:textId="77777777" w:rsidR="0006278C" w:rsidRPr="0006278C" w:rsidRDefault="0006278C" w:rsidP="0006278C">
            <w:pPr>
              <w:spacing w:after="0" w:line="240" w:lineRule="auto"/>
              <w:jc w:val="center"/>
              <w:rPr>
                <w:rFonts w:ascii="Arial" w:hAnsi="Arial" w:cs="Arial"/>
                <w:sz w:val="18"/>
                <w:szCs w:val="18"/>
              </w:rPr>
            </w:pPr>
            <w:r w:rsidRPr="0006278C">
              <w:rPr>
                <w:rFonts w:ascii="Arial" w:hAnsi="Arial" w:cs="Arial"/>
                <w:sz w:val="18"/>
                <w:szCs w:val="18"/>
              </w:rPr>
              <w:t>11</w:t>
            </w:r>
          </w:p>
        </w:tc>
        <w:tc>
          <w:tcPr>
            <w:tcW w:w="1768" w:type="dxa"/>
            <w:noWrap/>
            <w:hideMark/>
          </w:tcPr>
          <w:p w14:paraId="428960D8"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Medical home</w:t>
            </w:r>
          </w:p>
        </w:tc>
        <w:tc>
          <w:tcPr>
            <w:tcW w:w="990" w:type="dxa"/>
            <w:noWrap/>
            <w:hideMark/>
          </w:tcPr>
          <w:p w14:paraId="2B55140A"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LC-37</w:t>
            </w:r>
          </w:p>
        </w:tc>
        <w:tc>
          <w:tcPr>
            <w:tcW w:w="1890" w:type="dxa"/>
            <w:hideMark/>
          </w:tcPr>
          <w:p w14:paraId="79EE87BD"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Health Care Access and Quality</w:t>
            </w:r>
          </w:p>
        </w:tc>
        <w:tc>
          <w:tcPr>
            <w:tcW w:w="1890" w:type="dxa"/>
            <w:hideMark/>
          </w:tcPr>
          <w:p w14:paraId="4EDA6222"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Medical Home for Children</w:t>
            </w:r>
          </w:p>
        </w:tc>
        <w:tc>
          <w:tcPr>
            <w:tcW w:w="2520" w:type="dxa"/>
            <w:hideMark/>
          </w:tcPr>
          <w:p w14:paraId="2AF39196"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Proportion of families who report their child received services in a medical home</w:t>
            </w:r>
          </w:p>
        </w:tc>
      </w:tr>
      <w:tr w:rsidR="0006278C" w:rsidRPr="0006278C" w14:paraId="75A8E8AE" w14:textId="77777777" w:rsidTr="00150DC1">
        <w:trPr>
          <w:trHeight w:val="600"/>
          <w:jc w:val="center"/>
        </w:trPr>
        <w:tc>
          <w:tcPr>
            <w:tcW w:w="567" w:type="dxa"/>
            <w:noWrap/>
            <w:hideMark/>
          </w:tcPr>
          <w:p w14:paraId="6EEA9479" w14:textId="0288D275" w:rsidR="0006278C" w:rsidRPr="0006278C" w:rsidRDefault="0006278C" w:rsidP="00151F76">
            <w:pPr>
              <w:spacing w:after="0" w:line="240" w:lineRule="auto"/>
              <w:jc w:val="center"/>
              <w:rPr>
                <w:rFonts w:ascii="Arial" w:hAnsi="Arial" w:cs="Arial"/>
                <w:sz w:val="18"/>
                <w:szCs w:val="18"/>
              </w:rPr>
            </w:pPr>
            <w:r w:rsidRPr="0006278C">
              <w:rPr>
                <w:rFonts w:ascii="Arial" w:hAnsi="Arial" w:cs="Arial"/>
                <w:sz w:val="18"/>
                <w:szCs w:val="18"/>
              </w:rPr>
              <w:t>13</w:t>
            </w:r>
            <w:r w:rsidR="00151F76">
              <w:rPr>
                <w:rFonts w:ascii="Arial" w:hAnsi="Arial" w:cs="Arial"/>
                <w:sz w:val="18"/>
                <w:szCs w:val="18"/>
              </w:rPr>
              <w:t>.2</w:t>
            </w:r>
          </w:p>
        </w:tc>
        <w:tc>
          <w:tcPr>
            <w:tcW w:w="1768" w:type="dxa"/>
            <w:noWrap/>
            <w:hideMark/>
          </w:tcPr>
          <w:p w14:paraId="384ECF28"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Preventive dental visit</w:t>
            </w:r>
          </w:p>
        </w:tc>
        <w:tc>
          <w:tcPr>
            <w:tcW w:w="990" w:type="dxa"/>
            <w:noWrap/>
            <w:hideMark/>
          </w:tcPr>
          <w:p w14:paraId="426E0C45"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LC-41</w:t>
            </w:r>
          </w:p>
        </w:tc>
        <w:tc>
          <w:tcPr>
            <w:tcW w:w="1890" w:type="dxa"/>
            <w:hideMark/>
          </w:tcPr>
          <w:p w14:paraId="12D98BA2"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 xml:space="preserve">Health Care Access and Quality </w:t>
            </w:r>
          </w:p>
        </w:tc>
        <w:tc>
          <w:tcPr>
            <w:tcW w:w="1890" w:type="dxa"/>
            <w:hideMark/>
          </w:tcPr>
          <w:p w14:paraId="3ECE9427"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Oral Health Preventive Visit for Children</w:t>
            </w:r>
          </w:p>
        </w:tc>
        <w:tc>
          <w:tcPr>
            <w:tcW w:w="2520" w:type="dxa"/>
            <w:hideMark/>
          </w:tcPr>
          <w:p w14:paraId="16166EE4"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Percent of children who received a preventive dental visit in the past 12 months</w:t>
            </w:r>
          </w:p>
        </w:tc>
      </w:tr>
      <w:tr w:rsidR="0006278C" w:rsidRPr="0006278C" w14:paraId="1AAF1247" w14:textId="77777777" w:rsidTr="00150DC1">
        <w:trPr>
          <w:trHeight w:val="600"/>
          <w:jc w:val="center"/>
        </w:trPr>
        <w:tc>
          <w:tcPr>
            <w:tcW w:w="567" w:type="dxa"/>
            <w:noWrap/>
            <w:hideMark/>
          </w:tcPr>
          <w:p w14:paraId="6BF362D4" w14:textId="58DC5EAC" w:rsidR="0006278C" w:rsidRPr="0006278C" w:rsidRDefault="0006278C" w:rsidP="00151F76">
            <w:pPr>
              <w:spacing w:after="0" w:line="240" w:lineRule="auto"/>
              <w:jc w:val="center"/>
              <w:rPr>
                <w:rFonts w:ascii="Arial" w:hAnsi="Arial" w:cs="Arial"/>
                <w:sz w:val="18"/>
                <w:szCs w:val="18"/>
              </w:rPr>
            </w:pPr>
            <w:r w:rsidRPr="0006278C">
              <w:rPr>
                <w:rFonts w:ascii="Arial" w:hAnsi="Arial" w:cs="Arial"/>
                <w:sz w:val="18"/>
                <w:szCs w:val="18"/>
              </w:rPr>
              <w:t>14</w:t>
            </w:r>
            <w:r w:rsidR="00151F76">
              <w:rPr>
                <w:rFonts w:ascii="Arial" w:hAnsi="Arial" w:cs="Arial"/>
                <w:sz w:val="18"/>
                <w:szCs w:val="18"/>
              </w:rPr>
              <w:t>.2</w:t>
            </w:r>
          </w:p>
        </w:tc>
        <w:tc>
          <w:tcPr>
            <w:tcW w:w="1768" w:type="dxa"/>
            <w:noWrap/>
            <w:hideMark/>
          </w:tcPr>
          <w:p w14:paraId="73235686"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Smoking</w:t>
            </w:r>
          </w:p>
        </w:tc>
        <w:tc>
          <w:tcPr>
            <w:tcW w:w="990" w:type="dxa"/>
            <w:shd w:val="clear" w:color="auto" w:fill="FFFFFF" w:themeFill="background1"/>
            <w:noWrap/>
            <w:hideMark/>
          </w:tcPr>
          <w:p w14:paraId="2DBB4818"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LC-28</w:t>
            </w:r>
          </w:p>
        </w:tc>
        <w:tc>
          <w:tcPr>
            <w:tcW w:w="1890" w:type="dxa"/>
            <w:hideMark/>
          </w:tcPr>
          <w:p w14:paraId="04C98C7A"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Family Wellbeing</w:t>
            </w:r>
          </w:p>
        </w:tc>
        <w:tc>
          <w:tcPr>
            <w:tcW w:w="1890" w:type="dxa"/>
            <w:hideMark/>
          </w:tcPr>
          <w:p w14:paraId="431EC9EF"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Exposure to Second Hand Smoke in the Home</w:t>
            </w:r>
          </w:p>
        </w:tc>
        <w:tc>
          <w:tcPr>
            <w:tcW w:w="2520" w:type="dxa"/>
            <w:hideMark/>
          </w:tcPr>
          <w:p w14:paraId="0F35B6B6"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Percent of children living in a household where smoking occurs inside home</w:t>
            </w:r>
          </w:p>
        </w:tc>
      </w:tr>
      <w:tr w:rsidR="0006278C" w:rsidRPr="0006278C" w14:paraId="0A99ECFC" w14:textId="77777777" w:rsidTr="00150DC1">
        <w:trPr>
          <w:trHeight w:val="224"/>
          <w:jc w:val="center"/>
        </w:trPr>
        <w:tc>
          <w:tcPr>
            <w:tcW w:w="9625" w:type="dxa"/>
            <w:gridSpan w:val="6"/>
            <w:shd w:val="clear" w:color="auto" w:fill="0B5294" w:themeFill="accent1" w:themeFillShade="BF"/>
            <w:noWrap/>
          </w:tcPr>
          <w:p w14:paraId="495CDD13" w14:textId="77777777" w:rsidR="0006278C" w:rsidRPr="00856B3E" w:rsidRDefault="0006278C" w:rsidP="00856B3E">
            <w:pPr>
              <w:spacing w:after="0" w:line="240" w:lineRule="auto"/>
              <w:jc w:val="center"/>
              <w:rPr>
                <w:rFonts w:ascii="Arial" w:hAnsi="Arial" w:cs="Arial"/>
                <w:color w:val="FFFFFF" w:themeColor="background1"/>
                <w:sz w:val="18"/>
                <w:szCs w:val="18"/>
              </w:rPr>
            </w:pPr>
            <w:r w:rsidRPr="00856B3E">
              <w:rPr>
                <w:rFonts w:ascii="Arial" w:hAnsi="Arial" w:cs="Arial"/>
                <w:color w:val="FFFFFF" w:themeColor="background1"/>
                <w:sz w:val="18"/>
                <w:szCs w:val="18"/>
              </w:rPr>
              <w:t>National Outcome Measure</w:t>
            </w:r>
          </w:p>
        </w:tc>
      </w:tr>
      <w:tr w:rsidR="0006278C" w:rsidRPr="0006278C" w14:paraId="47316424" w14:textId="77777777" w:rsidTr="00150DC1">
        <w:tblPrEx>
          <w:jc w:val="left"/>
        </w:tblPrEx>
        <w:trPr>
          <w:trHeight w:val="300"/>
        </w:trPr>
        <w:tc>
          <w:tcPr>
            <w:tcW w:w="567" w:type="dxa"/>
            <w:noWrap/>
            <w:hideMark/>
          </w:tcPr>
          <w:p w14:paraId="4E25332C" w14:textId="77777777" w:rsidR="0006278C" w:rsidRPr="0006278C" w:rsidRDefault="0006278C" w:rsidP="0006278C">
            <w:pPr>
              <w:spacing w:after="0" w:line="240" w:lineRule="auto"/>
              <w:jc w:val="center"/>
              <w:rPr>
                <w:rFonts w:ascii="Arial" w:hAnsi="Arial" w:cs="Arial"/>
                <w:sz w:val="18"/>
                <w:szCs w:val="18"/>
              </w:rPr>
            </w:pPr>
            <w:r w:rsidRPr="0006278C">
              <w:rPr>
                <w:rFonts w:ascii="Arial" w:hAnsi="Arial" w:cs="Arial"/>
                <w:sz w:val="18"/>
                <w:szCs w:val="18"/>
              </w:rPr>
              <w:t>5</w:t>
            </w:r>
          </w:p>
        </w:tc>
        <w:tc>
          <w:tcPr>
            <w:tcW w:w="1768" w:type="dxa"/>
            <w:noWrap/>
            <w:hideMark/>
          </w:tcPr>
          <w:p w14:paraId="0428FE99"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Preterm birth</w:t>
            </w:r>
          </w:p>
        </w:tc>
        <w:tc>
          <w:tcPr>
            <w:tcW w:w="990" w:type="dxa"/>
            <w:noWrap/>
            <w:hideMark/>
          </w:tcPr>
          <w:p w14:paraId="33BBDE5E"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LC-55</w:t>
            </w:r>
          </w:p>
        </w:tc>
        <w:tc>
          <w:tcPr>
            <w:tcW w:w="1890" w:type="dxa"/>
            <w:hideMark/>
          </w:tcPr>
          <w:p w14:paraId="494E8B1F"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 xml:space="preserve">Reproductive Life Experiences </w:t>
            </w:r>
          </w:p>
        </w:tc>
        <w:tc>
          <w:tcPr>
            <w:tcW w:w="1890" w:type="dxa"/>
            <w:hideMark/>
          </w:tcPr>
          <w:p w14:paraId="653C0F55"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Preterm Birth</w:t>
            </w:r>
          </w:p>
        </w:tc>
        <w:tc>
          <w:tcPr>
            <w:tcW w:w="2520" w:type="dxa"/>
            <w:hideMark/>
          </w:tcPr>
          <w:p w14:paraId="4C251F5F"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Percent of live births born &lt; 37 weeks gestation</w:t>
            </w:r>
          </w:p>
        </w:tc>
      </w:tr>
      <w:tr w:rsidR="0006278C" w:rsidRPr="0006278C" w14:paraId="3D6BB52E" w14:textId="77777777" w:rsidTr="00150DC1">
        <w:tblPrEx>
          <w:jc w:val="left"/>
        </w:tblPrEx>
        <w:trPr>
          <w:trHeight w:val="600"/>
        </w:trPr>
        <w:tc>
          <w:tcPr>
            <w:tcW w:w="567" w:type="dxa"/>
            <w:noWrap/>
            <w:hideMark/>
          </w:tcPr>
          <w:p w14:paraId="4CDB90BE" w14:textId="77777777" w:rsidR="0006278C" w:rsidRPr="0006278C" w:rsidRDefault="0006278C" w:rsidP="0006278C">
            <w:pPr>
              <w:spacing w:after="0" w:line="240" w:lineRule="auto"/>
              <w:jc w:val="center"/>
              <w:rPr>
                <w:rFonts w:ascii="Arial" w:hAnsi="Arial" w:cs="Arial"/>
                <w:sz w:val="18"/>
                <w:szCs w:val="18"/>
              </w:rPr>
            </w:pPr>
            <w:r w:rsidRPr="0006278C">
              <w:rPr>
                <w:rFonts w:ascii="Arial" w:hAnsi="Arial" w:cs="Arial"/>
                <w:sz w:val="18"/>
                <w:szCs w:val="18"/>
              </w:rPr>
              <w:t>12</w:t>
            </w:r>
          </w:p>
        </w:tc>
        <w:tc>
          <w:tcPr>
            <w:tcW w:w="1768" w:type="dxa"/>
            <w:noWrap/>
            <w:hideMark/>
          </w:tcPr>
          <w:p w14:paraId="1E4CB6CC"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Newborn screening timely follow-up</w:t>
            </w:r>
          </w:p>
        </w:tc>
        <w:tc>
          <w:tcPr>
            <w:tcW w:w="990" w:type="dxa"/>
            <w:noWrap/>
            <w:hideMark/>
          </w:tcPr>
          <w:p w14:paraId="000D678F"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LC-17**</w:t>
            </w:r>
          </w:p>
        </w:tc>
        <w:tc>
          <w:tcPr>
            <w:tcW w:w="1890" w:type="dxa"/>
            <w:hideMark/>
          </w:tcPr>
          <w:p w14:paraId="1D4A9C50"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Early Life Services</w:t>
            </w:r>
          </w:p>
        </w:tc>
        <w:tc>
          <w:tcPr>
            <w:tcW w:w="1890" w:type="dxa"/>
            <w:hideMark/>
          </w:tcPr>
          <w:p w14:paraId="525B67DA"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Early Intervention</w:t>
            </w:r>
          </w:p>
        </w:tc>
        <w:tc>
          <w:tcPr>
            <w:tcW w:w="2520" w:type="dxa"/>
            <w:hideMark/>
          </w:tcPr>
          <w:p w14:paraId="17AC05EB"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Proportion of children aged 0-3 years who received EI services of all children aged 0-3 years</w:t>
            </w:r>
          </w:p>
        </w:tc>
      </w:tr>
      <w:tr w:rsidR="0006278C" w:rsidRPr="0006278C" w14:paraId="37CB6F0D" w14:textId="77777777" w:rsidTr="00150DC1">
        <w:tblPrEx>
          <w:jc w:val="left"/>
        </w:tblPrEx>
        <w:trPr>
          <w:trHeight w:val="300"/>
        </w:trPr>
        <w:tc>
          <w:tcPr>
            <w:tcW w:w="567" w:type="dxa"/>
            <w:noWrap/>
            <w:hideMark/>
          </w:tcPr>
          <w:p w14:paraId="68127103" w14:textId="77777777" w:rsidR="0006278C" w:rsidRPr="0006278C" w:rsidRDefault="0006278C" w:rsidP="0006278C">
            <w:pPr>
              <w:spacing w:after="0" w:line="240" w:lineRule="auto"/>
              <w:jc w:val="center"/>
              <w:rPr>
                <w:rFonts w:ascii="Arial" w:hAnsi="Arial" w:cs="Arial"/>
                <w:sz w:val="18"/>
                <w:szCs w:val="18"/>
              </w:rPr>
            </w:pPr>
            <w:r w:rsidRPr="0006278C">
              <w:rPr>
                <w:rFonts w:ascii="Arial" w:hAnsi="Arial" w:cs="Arial"/>
                <w:sz w:val="18"/>
                <w:szCs w:val="18"/>
              </w:rPr>
              <w:t>16.3</w:t>
            </w:r>
          </w:p>
        </w:tc>
        <w:tc>
          <w:tcPr>
            <w:tcW w:w="1768" w:type="dxa"/>
            <w:noWrap/>
            <w:hideMark/>
          </w:tcPr>
          <w:p w14:paraId="26866EFC"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Adolescent suicide</w:t>
            </w:r>
          </w:p>
        </w:tc>
        <w:tc>
          <w:tcPr>
            <w:tcW w:w="990" w:type="dxa"/>
            <w:noWrap/>
            <w:hideMark/>
          </w:tcPr>
          <w:p w14:paraId="0E5C8CCC"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LC-45*</w:t>
            </w:r>
          </w:p>
        </w:tc>
        <w:tc>
          <w:tcPr>
            <w:tcW w:w="1890" w:type="dxa"/>
            <w:hideMark/>
          </w:tcPr>
          <w:p w14:paraId="0F921A05"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Mental Health</w:t>
            </w:r>
          </w:p>
        </w:tc>
        <w:tc>
          <w:tcPr>
            <w:tcW w:w="1890" w:type="dxa"/>
            <w:hideMark/>
          </w:tcPr>
          <w:p w14:paraId="72FCF639"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Suicide</w:t>
            </w:r>
          </w:p>
        </w:tc>
        <w:tc>
          <w:tcPr>
            <w:tcW w:w="2520" w:type="dxa"/>
            <w:hideMark/>
          </w:tcPr>
          <w:p w14:paraId="6D7EE2B0"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Suicides per 100,000 population</w:t>
            </w:r>
          </w:p>
        </w:tc>
      </w:tr>
      <w:tr w:rsidR="0006278C" w:rsidRPr="0006278C" w14:paraId="27A36619" w14:textId="77777777" w:rsidTr="00150DC1">
        <w:tblPrEx>
          <w:jc w:val="left"/>
        </w:tblPrEx>
        <w:trPr>
          <w:trHeight w:val="600"/>
        </w:trPr>
        <w:tc>
          <w:tcPr>
            <w:tcW w:w="567" w:type="dxa"/>
            <w:noWrap/>
            <w:hideMark/>
          </w:tcPr>
          <w:p w14:paraId="12701BF8" w14:textId="77777777" w:rsidR="0006278C" w:rsidRPr="0006278C" w:rsidRDefault="0006278C" w:rsidP="0006278C">
            <w:pPr>
              <w:spacing w:after="0" w:line="240" w:lineRule="auto"/>
              <w:jc w:val="center"/>
              <w:rPr>
                <w:rFonts w:ascii="Arial" w:hAnsi="Arial" w:cs="Arial"/>
                <w:sz w:val="18"/>
                <w:szCs w:val="18"/>
              </w:rPr>
            </w:pPr>
            <w:r w:rsidRPr="0006278C">
              <w:rPr>
                <w:rFonts w:ascii="Arial" w:hAnsi="Arial" w:cs="Arial"/>
                <w:sz w:val="18"/>
                <w:szCs w:val="18"/>
              </w:rPr>
              <w:t>17.1</w:t>
            </w:r>
          </w:p>
        </w:tc>
        <w:tc>
          <w:tcPr>
            <w:tcW w:w="1768" w:type="dxa"/>
            <w:noWrap/>
            <w:hideMark/>
          </w:tcPr>
          <w:p w14:paraId="71EDAF30"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CSHCN</w:t>
            </w:r>
          </w:p>
        </w:tc>
        <w:tc>
          <w:tcPr>
            <w:tcW w:w="990" w:type="dxa"/>
            <w:noWrap/>
            <w:hideMark/>
          </w:tcPr>
          <w:p w14:paraId="4666CA2F"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LC-25</w:t>
            </w:r>
          </w:p>
        </w:tc>
        <w:tc>
          <w:tcPr>
            <w:tcW w:w="1890" w:type="dxa"/>
            <w:hideMark/>
          </w:tcPr>
          <w:p w14:paraId="70674FC1"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Family Wellbeing</w:t>
            </w:r>
          </w:p>
        </w:tc>
        <w:tc>
          <w:tcPr>
            <w:tcW w:w="1890" w:type="dxa"/>
            <w:hideMark/>
          </w:tcPr>
          <w:p w14:paraId="466B816B"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Children with Special Health Care Needs</w:t>
            </w:r>
          </w:p>
        </w:tc>
        <w:tc>
          <w:tcPr>
            <w:tcW w:w="2520" w:type="dxa"/>
            <w:hideMark/>
          </w:tcPr>
          <w:p w14:paraId="2550CBB3"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Percent of children (0-17 years) with a special health care need</w:t>
            </w:r>
          </w:p>
        </w:tc>
      </w:tr>
      <w:tr w:rsidR="0006278C" w:rsidRPr="0006278C" w14:paraId="71ED657B" w14:textId="77777777" w:rsidTr="00150DC1">
        <w:tblPrEx>
          <w:jc w:val="left"/>
        </w:tblPrEx>
        <w:trPr>
          <w:trHeight w:val="449"/>
        </w:trPr>
        <w:tc>
          <w:tcPr>
            <w:tcW w:w="567" w:type="dxa"/>
            <w:noWrap/>
            <w:hideMark/>
          </w:tcPr>
          <w:p w14:paraId="42909F47" w14:textId="7F6C7712" w:rsidR="0006278C" w:rsidRPr="0006278C" w:rsidRDefault="0006278C" w:rsidP="0006278C">
            <w:pPr>
              <w:spacing w:after="0" w:line="240" w:lineRule="auto"/>
              <w:jc w:val="center"/>
              <w:rPr>
                <w:rFonts w:ascii="Arial" w:hAnsi="Arial" w:cs="Arial"/>
                <w:sz w:val="18"/>
                <w:szCs w:val="18"/>
              </w:rPr>
            </w:pPr>
            <w:r w:rsidRPr="0006278C">
              <w:rPr>
                <w:rFonts w:ascii="Arial" w:hAnsi="Arial" w:cs="Arial"/>
                <w:sz w:val="18"/>
                <w:szCs w:val="18"/>
              </w:rPr>
              <w:t>20</w:t>
            </w:r>
            <w:r w:rsidR="00151F76">
              <w:rPr>
                <w:rFonts w:ascii="Arial" w:hAnsi="Arial" w:cs="Arial"/>
                <w:sz w:val="18"/>
                <w:szCs w:val="18"/>
              </w:rPr>
              <w:t>.2</w:t>
            </w:r>
          </w:p>
        </w:tc>
        <w:tc>
          <w:tcPr>
            <w:tcW w:w="1768" w:type="dxa"/>
            <w:noWrap/>
            <w:hideMark/>
          </w:tcPr>
          <w:p w14:paraId="413B4A99"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Obesity</w:t>
            </w:r>
          </w:p>
        </w:tc>
        <w:tc>
          <w:tcPr>
            <w:tcW w:w="990" w:type="dxa"/>
            <w:noWrap/>
            <w:hideMark/>
          </w:tcPr>
          <w:p w14:paraId="1AA9A753"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LC-32A</w:t>
            </w:r>
          </w:p>
        </w:tc>
        <w:tc>
          <w:tcPr>
            <w:tcW w:w="1890" w:type="dxa"/>
            <w:hideMark/>
          </w:tcPr>
          <w:p w14:paraId="7984E986"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Family Wellbeing</w:t>
            </w:r>
          </w:p>
        </w:tc>
        <w:tc>
          <w:tcPr>
            <w:tcW w:w="1890" w:type="dxa"/>
            <w:hideMark/>
          </w:tcPr>
          <w:p w14:paraId="7AFFB9BB"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Obesity</w:t>
            </w:r>
          </w:p>
        </w:tc>
        <w:tc>
          <w:tcPr>
            <w:tcW w:w="2520" w:type="dxa"/>
            <w:hideMark/>
          </w:tcPr>
          <w:p w14:paraId="3F85251B"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Percent of children who are currently overweight or obese</w:t>
            </w:r>
          </w:p>
        </w:tc>
      </w:tr>
      <w:tr w:rsidR="0006278C" w:rsidRPr="0006278C" w14:paraId="674541CC" w14:textId="77777777" w:rsidTr="00150DC1">
        <w:tblPrEx>
          <w:jc w:val="left"/>
        </w:tblPrEx>
        <w:trPr>
          <w:trHeight w:val="1200"/>
        </w:trPr>
        <w:tc>
          <w:tcPr>
            <w:tcW w:w="567" w:type="dxa"/>
            <w:noWrap/>
            <w:hideMark/>
          </w:tcPr>
          <w:p w14:paraId="3B5B165F" w14:textId="77777777" w:rsidR="0006278C" w:rsidRPr="0006278C" w:rsidRDefault="0006278C" w:rsidP="0006278C">
            <w:pPr>
              <w:spacing w:after="0" w:line="240" w:lineRule="auto"/>
              <w:jc w:val="center"/>
              <w:rPr>
                <w:rFonts w:ascii="Arial" w:hAnsi="Arial" w:cs="Arial"/>
                <w:sz w:val="18"/>
                <w:szCs w:val="18"/>
              </w:rPr>
            </w:pPr>
            <w:r w:rsidRPr="0006278C">
              <w:rPr>
                <w:rFonts w:ascii="Arial" w:hAnsi="Arial" w:cs="Arial"/>
                <w:sz w:val="18"/>
                <w:szCs w:val="18"/>
              </w:rPr>
              <w:t>22.1</w:t>
            </w:r>
          </w:p>
        </w:tc>
        <w:tc>
          <w:tcPr>
            <w:tcW w:w="1768" w:type="dxa"/>
            <w:noWrap/>
            <w:hideMark/>
          </w:tcPr>
          <w:p w14:paraId="30760990"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Child vaccination</w:t>
            </w:r>
          </w:p>
        </w:tc>
        <w:tc>
          <w:tcPr>
            <w:tcW w:w="990" w:type="dxa"/>
            <w:noWrap/>
            <w:hideMark/>
          </w:tcPr>
          <w:p w14:paraId="3B59A4FE"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LC-35</w:t>
            </w:r>
          </w:p>
        </w:tc>
        <w:tc>
          <w:tcPr>
            <w:tcW w:w="1890" w:type="dxa"/>
            <w:hideMark/>
          </w:tcPr>
          <w:p w14:paraId="791B6947"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Health Care Access and Quality</w:t>
            </w:r>
          </w:p>
        </w:tc>
        <w:tc>
          <w:tcPr>
            <w:tcW w:w="1890" w:type="dxa"/>
            <w:hideMark/>
          </w:tcPr>
          <w:p w14:paraId="2BA2D429"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Children Receiving Age Appropriate Immunizations</w:t>
            </w:r>
          </w:p>
        </w:tc>
        <w:tc>
          <w:tcPr>
            <w:tcW w:w="2520" w:type="dxa"/>
            <w:hideMark/>
          </w:tcPr>
          <w:p w14:paraId="20B1FD0B"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Percent of children ages 19-35 receiving age-appropriate immunizations according to the Advisory Committee for Immunization Practices (ACIP) guidelines and HP 2020 Goal.</w:t>
            </w:r>
          </w:p>
        </w:tc>
      </w:tr>
      <w:tr w:rsidR="0006278C" w:rsidRPr="0006278C" w14:paraId="2C17C3E5" w14:textId="77777777" w:rsidTr="00150DC1">
        <w:tblPrEx>
          <w:jc w:val="left"/>
        </w:tblPrEx>
        <w:trPr>
          <w:trHeight w:val="900"/>
        </w:trPr>
        <w:tc>
          <w:tcPr>
            <w:tcW w:w="567" w:type="dxa"/>
            <w:noWrap/>
            <w:hideMark/>
          </w:tcPr>
          <w:p w14:paraId="66FA0ECA" w14:textId="77777777" w:rsidR="0006278C" w:rsidRPr="0006278C" w:rsidRDefault="0006278C" w:rsidP="0006278C">
            <w:pPr>
              <w:spacing w:after="0" w:line="240" w:lineRule="auto"/>
              <w:jc w:val="center"/>
              <w:rPr>
                <w:rFonts w:ascii="Arial" w:hAnsi="Arial" w:cs="Arial"/>
                <w:sz w:val="18"/>
                <w:szCs w:val="18"/>
              </w:rPr>
            </w:pPr>
            <w:r w:rsidRPr="0006278C">
              <w:rPr>
                <w:rFonts w:ascii="Arial" w:hAnsi="Arial" w:cs="Arial"/>
                <w:sz w:val="18"/>
                <w:szCs w:val="18"/>
              </w:rPr>
              <w:t>22.3</w:t>
            </w:r>
          </w:p>
        </w:tc>
        <w:tc>
          <w:tcPr>
            <w:tcW w:w="1768" w:type="dxa"/>
            <w:noWrap/>
            <w:hideMark/>
          </w:tcPr>
          <w:p w14:paraId="221659DD"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HPV vaccination</w:t>
            </w:r>
          </w:p>
        </w:tc>
        <w:tc>
          <w:tcPr>
            <w:tcW w:w="990" w:type="dxa"/>
            <w:noWrap/>
            <w:hideMark/>
          </w:tcPr>
          <w:p w14:paraId="4E823E23"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LC-36A*</w:t>
            </w:r>
          </w:p>
        </w:tc>
        <w:tc>
          <w:tcPr>
            <w:tcW w:w="1890" w:type="dxa"/>
            <w:hideMark/>
          </w:tcPr>
          <w:p w14:paraId="7596B029"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Health Care Access and Quality</w:t>
            </w:r>
          </w:p>
        </w:tc>
        <w:tc>
          <w:tcPr>
            <w:tcW w:w="1890" w:type="dxa"/>
            <w:hideMark/>
          </w:tcPr>
          <w:p w14:paraId="30F100DE"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Human Papillomavirus (HPV) Immunization</w:t>
            </w:r>
          </w:p>
        </w:tc>
        <w:tc>
          <w:tcPr>
            <w:tcW w:w="2520" w:type="dxa"/>
            <w:hideMark/>
          </w:tcPr>
          <w:p w14:paraId="28BB14C0" w14:textId="35B95665" w:rsidR="00150DC1" w:rsidRPr="0006278C" w:rsidRDefault="0006278C" w:rsidP="00150DC1">
            <w:pPr>
              <w:spacing w:after="0" w:line="240" w:lineRule="auto"/>
              <w:rPr>
                <w:rFonts w:ascii="Arial" w:hAnsi="Arial" w:cs="Arial"/>
                <w:sz w:val="18"/>
                <w:szCs w:val="18"/>
              </w:rPr>
            </w:pPr>
            <w:r w:rsidRPr="0006278C">
              <w:rPr>
                <w:rFonts w:ascii="Arial" w:hAnsi="Arial" w:cs="Arial"/>
                <w:sz w:val="18"/>
                <w:szCs w:val="18"/>
              </w:rPr>
              <w:t>The proportion of adolescents ages 13-17 who receive the evidence-based clinical preventive service HPV vaccine</w:t>
            </w:r>
          </w:p>
        </w:tc>
      </w:tr>
    </w:tbl>
    <w:p w14:paraId="08D7DBFC" w14:textId="77777777" w:rsidR="00150DC1" w:rsidRDefault="00150DC1"/>
    <w:p w14:paraId="043510EF" w14:textId="392385FF" w:rsidR="00150DC1" w:rsidRDefault="00150DC1" w:rsidP="00150DC1">
      <w:pPr>
        <w:spacing w:after="0" w:line="240" w:lineRule="auto"/>
        <w:ind w:left="-180" w:right="-360"/>
        <w:rPr>
          <w:rFonts w:asciiTheme="minorHAnsi" w:hAnsiTheme="minorHAnsi" w:cs="Arial"/>
          <w:b/>
          <w:sz w:val="24"/>
          <w:szCs w:val="24"/>
        </w:rPr>
      </w:pPr>
      <w:r w:rsidRPr="00A93466">
        <w:rPr>
          <w:rFonts w:asciiTheme="minorHAnsi" w:hAnsiTheme="minorHAnsi" w:cs="Arial"/>
          <w:b/>
          <w:sz w:val="24"/>
          <w:szCs w:val="24"/>
        </w:rPr>
        <w:t>Table 3. National Performance and Outcome Measure Crosswalk to AMCHP Life Course Indicators</w:t>
      </w:r>
      <w:r>
        <w:rPr>
          <w:rFonts w:asciiTheme="minorHAnsi" w:hAnsiTheme="minorHAnsi" w:cs="Arial"/>
          <w:b/>
          <w:sz w:val="24"/>
          <w:szCs w:val="24"/>
        </w:rPr>
        <w:t xml:space="preserve"> (Continued)</w:t>
      </w:r>
    </w:p>
    <w:tbl>
      <w:tblPr>
        <w:tblStyle w:val="TableGrid31"/>
        <w:tblW w:w="9625" w:type="dxa"/>
        <w:jc w:val="center"/>
        <w:tblLook w:val="04A0" w:firstRow="1" w:lastRow="0" w:firstColumn="1" w:lastColumn="0" w:noHBand="0" w:noVBand="1"/>
      </w:tblPr>
      <w:tblGrid>
        <w:gridCol w:w="567"/>
        <w:gridCol w:w="1768"/>
        <w:gridCol w:w="990"/>
        <w:gridCol w:w="1890"/>
        <w:gridCol w:w="1890"/>
        <w:gridCol w:w="2520"/>
      </w:tblGrid>
      <w:tr w:rsidR="00150DC1" w:rsidRPr="00856B3E" w14:paraId="2D35E078" w14:textId="77777777" w:rsidTr="00150DC1">
        <w:trPr>
          <w:trHeight w:val="300"/>
          <w:jc w:val="center"/>
        </w:trPr>
        <w:tc>
          <w:tcPr>
            <w:tcW w:w="2335" w:type="dxa"/>
            <w:gridSpan w:val="2"/>
            <w:shd w:val="clear" w:color="auto" w:fill="C7E2FA" w:themeFill="accent1" w:themeFillTint="33"/>
            <w:noWrap/>
            <w:hideMark/>
          </w:tcPr>
          <w:p w14:paraId="54FC05ED" w14:textId="75482F1F" w:rsidR="00150DC1" w:rsidRPr="00856B3E" w:rsidRDefault="00150DC1" w:rsidP="0038462F">
            <w:pPr>
              <w:spacing w:after="0" w:line="240" w:lineRule="auto"/>
              <w:jc w:val="center"/>
              <w:rPr>
                <w:rFonts w:asciiTheme="minorHAnsi" w:hAnsiTheme="minorHAnsi" w:cs="Arial"/>
                <w:color w:val="0B5294" w:themeColor="accent1" w:themeShade="BF"/>
                <w:sz w:val="20"/>
                <w:szCs w:val="20"/>
              </w:rPr>
            </w:pPr>
            <w:r w:rsidRPr="00856B3E">
              <w:rPr>
                <w:rFonts w:asciiTheme="minorHAnsi" w:hAnsiTheme="minorHAnsi" w:cs="Arial"/>
                <w:color w:val="0B5294" w:themeColor="accent1" w:themeShade="BF"/>
                <w:sz w:val="20"/>
                <w:szCs w:val="20"/>
              </w:rPr>
              <w:t>National Performance or Outcome Measure</w:t>
            </w:r>
          </w:p>
        </w:tc>
        <w:tc>
          <w:tcPr>
            <w:tcW w:w="7290" w:type="dxa"/>
            <w:gridSpan w:val="4"/>
            <w:shd w:val="clear" w:color="auto" w:fill="C7E2FA" w:themeFill="accent1" w:themeFillTint="33"/>
            <w:noWrap/>
            <w:vAlign w:val="center"/>
            <w:hideMark/>
          </w:tcPr>
          <w:p w14:paraId="637C28CB" w14:textId="77777777" w:rsidR="00150DC1" w:rsidRPr="00856B3E" w:rsidRDefault="00150DC1" w:rsidP="0038462F">
            <w:pPr>
              <w:spacing w:after="0" w:line="240" w:lineRule="auto"/>
              <w:jc w:val="center"/>
              <w:rPr>
                <w:rFonts w:asciiTheme="minorHAnsi" w:hAnsiTheme="minorHAnsi" w:cs="Arial"/>
                <w:color w:val="0B5294" w:themeColor="accent1" w:themeShade="BF"/>
                <w:sz w:val="20"/>
                <w:szCs w:val="20"/>
              </w:rPr>
            </w:pPr>
            <w:r w:rsidRPr="00856B3E">
              <w:rPr>
                <w:rFonts w:asciiTheme="minorHAnsi" w:hAnsiTheme="minorHAnsi" w:cs="Arial"/>
                <w:color w:val="0B5294" w:themeColor="accent1" w:themeShade="BF"/>
                <w:sz w:val="20"/>
                <w:szCs w:val="20"/>
              </w:rPr>
              <w:t>AMCHP Life Course Indicators</w:t>
            </w:r>
          </w:p>
        </w:tc>
      </w:tr>
      <w:tr w:rsidR="00150DC1" w:rsidRPr="00856B3E" w14:paraId="4C7FF739" w14:textId="77777777" w:rsidTr="00150DC1">
        <w:trPr>
          <w:trHeight w:val="300"/>
          <w:jc w:val="center"/>
        </w:trPr>
        <w:tc>
          <w:tcPr>
            <w:tcW w:w="567" w:type="dxa"/>
            <w:shd w:val="clear" w:color="auto" w:fill="C7E2FA" w:themeFill="accent1" w:themeFillTint="33"/>
            <w:noWrap/>
            <w:hideMark/>
          </w:tcPr>
          <w:p w14:paraId="06F12494" w14:textId="77777777" w:rsidR="00150DC1" w:rsidRPr="00856B3E" w:rsidRDefault="00150DC1" w:rsidP="0038462F">
            <w:pPr>
              <w:spacing w:after="0" w:line="240" w:lineRule="auto"/>
              <w:jc w:val="center"/>
              <w:rPr>
                <w:rFonts w:asciiTheme="minorHAnsi" w:hAnsiTheme="minorHAnsi" w:cs="Arial"/>
                <w:color w:val="0B5294" w:themeColor="accent1" w:themeShade="BF"/>
                <w:sz w:val="20"/>
                <w:szCs w:val="20"/>
              </w:rPr>
            </w:pPr>
            <w:r w:rsidRPr="00856B3E">
              <w:rPr>
                <w:rFonts w:asciiTheme="minorHAnsi" w:hAnsiTheme="minorHAnsi" w:cs="Arial"/>
                <w:color w:val="0B5294" w:themeColor="accent1" w:themeShade="BF"/>
                <w:sz w:val="20"/>
                <w:szCs w:val="20"/>
              </w:rPr>
              <w:t>#</w:t>
            </w:r>
          </w:p>
        </w:tc>
        <w:tc>
          <w:tcPr>
            <w:tcW w:w="1768" w:type="dxa"/>
            <w:shd w:val="clear" w:color="auto" w:fill="C7E2FA" w:themeFill="accent1" w:themeFillTint="33"/>
            <w:noWrap/>
            <w:hideMark/>
          </w:tcPr>
          <w:p w14:paraId="6C14F218" w14:textId="77777777" w:rsidR="00150DC1" w:rsidRPr="00856B3E" w:rsidRDefault="00150DC1" w:rsidP="0038462F">
            <w:pPr>
              <w:spacing w:after="0" w:line="240" w:lineRule="auto"/>
              <w:jc w:val="center"/>
              <w:rPr>
                <w:rFonts w:asciiTheme="minorHAnsi" w:hAnsiTheme="minorHAnsi" w:cs="Arial"/>
                <w:color w:val="0B5294" w:themeColor="accent1" w:themeShade="BF"/>
                <w:sz w:val="20"/>
                <w:szCs w:val="20"/>
              </w:rPr>
            </w:pPr>
            <w:r w:rsidRPr="00856B3E">
              <w:rPr>
                <w:rFonts w:asciiTheme="minorHAnsi" w:hAnsiTheme="minorHAnsi" w:cs="Arial"/>
                <w:color w:val="0B5294" w:themeColor="accent1" w:themeShade="BF"/>
                <w:sz w:val="20"/>
                <w:szCs w:val="20"/>
              </w:rPr>
              <w:t>Short Title</w:t>
            </w:r>
          </w:p>
        </w:tc>
        <w:tc>
          <w:tcPr>
            <w:tcW w:w="990" w:type="dxa"/>
            <w:shd w:val="clear" w:color="auto" w:fill="C7E2FA" w:themeFill="accent1" w:themeFillTint="33"/>
            <w:noWrap/>
            <w:hideMark/>
          </w:tcPr>
          <w:p w14:paraId="7A9862A0" w14:textId="77777777" w:rsidR="00150DC1" w:rsidRPr="00856B3E" w:rsidRDefault="00150DC1" w:rsidP="0038462F">
            <w:pPr>
              <w:spacing w:after="0" w:line="240" w:lineRule="auto"/>
              <w:jc w:val="center"/>
              <w:rPr>
                <w:rFonts w:asciiTheme="minorHAnsi" w:hAnsiTheme="minorHAnsi" w:cs="Arial"/>
                <w:color w:val="0B5294" w:themeColor="accent1" w:themeShade="BF"/>
                <w:sz w:val="20"/>
                <w:szCs w:val="20"/>
              </w:rPr>
            </w:pPr>
            <w:r w:rsidRPr="00856B3E">
              <w:rPr>
                <w:rFonts w:asciiTheme="minorHAnsi" w:hAnsiTheme="minorHAnsi" w:cs="Arial"/>
                <w:color w:val="0B5294" w:themeColor="accent1" w:themeShade="BF"/>
                <w:sz w:val="20"/>
                <w:szCs w:val="20"/>
              </w:rPr>
              <w:t>Identifier</w:t>
            </w:r>
          </w:p>
        </w:tc>
        <w:tc>
          <w:tcPr>
            <w:tcW w:w="1890" w:type="dxa"/>
            <w:shd w:val="clear" w:color="auto" w:fill="C7E2FA" w:themeFill="accent1" w:themeFillTint="33"/>
            <w:hideMark/>
          </w:tcPr>
          <w:p w14:paraId="430C8125" w14:textId="77777777" w:rsidR="00150DC1" w:rsidRPr="00856B3E" w:rsidRDefault="00150DC1" w:rsidP="0038462F">
            <w:pPr>
              <w:spacing w:after="0" w:line="240" w:lineRule="auto"/>
              <w:jc w:val="center"/>
              <w:rPr>
                <w:rFonts w:asciiTheme="minorHAnsi" w:hAnsiTheme="minorHAnsi" w:cs="Arial"/>
                <w:color w:val="0B5294" w:themeColor="accent1" w:themeShade="BF"/>
                <w:sz w:val="20"/>
                <w:szCs w:val="20"/>
              </w:rPr>
            </w:pPr>
            <w:r w:rsidRPr="00856B3E">
              <w:rPr>
                <w:rFonts w:asciiTheme="minorHAnsi" w:hAnsiTheme="minorHAnsi" w:cs="Arial"/>
                <w:color w:val="0B5294" w:themeColor="accent1" w:themeShade="BF"/>
                <w:sz w:val="20"/>
                <w:szCs w:val="20"/>
              </w:rPr>
              <w:t>Thematic Category</w:t>
            </w:r>
          </w:p>
        </w:tc>
        <w:tc>
          <w:tcPr>
            <w:tcW w:w="1890" w:type="dxa"/>
            <w:shd w:val="clear" w:color="auto" w:fill="C7E2FA" w:themeFill="accent1" w:themeFillTint="33"/>
            <w:hideMark/>
          </w:tcPr>
          <w:p w14:paraId="51C34D5E" w14:textId="77777777" w:rsidR="00150DC1" w:rsidRPr="00856B3E" w:rsidRDefault="00150DC1" w:rsidP="0038462F">
            <w:pPr>
              <w:spacing w:after="0" w:line="240" w:lineRule="auto"/>
              <w:jc w:val="center"/>
              <w:rPr>
                <w:rFonts w:asciiTheme="minorHAnsi" w:hAnsiTheme="minorHAnsi" w:cs="Arial"/>
                <w:color w:val="0B5294" w:themeColor="accent1" w:themeShade="BF"/>
                <w:sz w:val="20"/>
                <w:szCs w:val="20"/>
              </w:rPr>
            </w:pPr>
            <w:r w:rsidRPr="00856B3E">
              <w:rPr>
                <w:rFonts w:asciiTheme="minorHAnsi" w:hAnsiTheme="minorHAnsi" w:cs="Arial"/>
                <w:color w:val="0B5294" w:themeColor="accent1" w:themeShade="BF"/>
                <w:sz w:val="20"/>
                <w:szCs w:val="20"/>
              </w:rPr>
              <w:t>Indicator Name</w:t>
            </w:r>
          </w:p>
        </w:tc>
        <w:tc>
          <w:tcPr>
            <w:tcW w:w="2520" w:type="dxa"/>
            <w:shd w:val="clear" w:color="auto" w:fill="C7E2FA" w:themeFill="accent1" w:themeFillTint="33"/>
            <w:hideMark/>
          </w:tcPr>
          <w:p w14:paraId="4C7C02B0" w14:textId="77777777" w:rsidR="00150DC1" w:rsidRPr="00856B3E" w:rsidRDefault="00150DC1" w:rsidP="0038462F">
            <w:pPr>
              <w:spacing w:after="0" w:line="240" w:lineRule="auto"/>
              <w:jc w:val="center"/>
              <w:rPr>
                <w:rFonts w:asciiTheme="minorHAnsi" w:hAnsiTheme="minorHAnsi" w:cs="Arial"/>
                <w:color w:val="0B5294" w:themeColor="accent1" w:themeShade="BF"/>
                <w:sz w:val="20"/>
                <w:szCs w:val="20"/>
              </w:rPr>
            </w:pPr>
            <w:r w:rsidRPr="00856B3E">
              <w:rPr>
                <w:rFonts w:asciiTheme="minorHAnsi" w:hAnsiTheme="minorHAnsi" w:cs="Arial"/>
                <w:color w:val="0B5294" w:themeColor="accent1" w:themeShade="BF"/>
                <w:sz w:val="20"/>
                <w:szCs w:val="20"/>
              </w:rPr>
              <w:t>Brief Description</w:t>
            </w:r>
          </w:p>
        </w:tc>
      </w:tr>
      <w:tr w:rsidR="00150DC1" w:rsidRPr="00856B3E" w14:paraId="7264E616" w14:textId="77777777" w:rsidTr="00150DC1">
        <w:trPr>
          <w:trHeight w:val="161"/>
          <w:jc w:val="center"/>
        </w:trPr>
        <w:tc>
          <w:tcPr>
            <w:tcW w:w="9625" w:type="dxa"/>
            <w:gridSpan w:val="6"/>
            <w:shd w:val="clear" w:color="auto" w:fill="0B5294" w:themeFill="accent1" w:themeFillShade="BF"/>
            <w:noWrap/>
          </w:tcPr>
          <w:p w14:paraId="643C2504" w14:textId="0DC6DE3F" w:rsidR="00150DC1" w:rsidRPr="00856B3E" w:rsidRDefault="00150DC1" w:rsidP="00150DC1">
            <w:pPr>
              <w:spacing w:after="0" w:line="240" w:lineRule="auto"/>
              <w:jc w:val="center"/>
              <w:rPr>
                <w:rFonts w:asciiTheme="minorHAnsi" w:hAnsiTheme="minorHAnsi" w:cs="Arial"/>
                <w:color w:val="FFFFFF" w:themeColor="background1"/>
                <w:sz w:val="20"/>
                <w:szCs w:val="20"/>
              </w:rPr>
            </w:pPr>
            <w:r w:rsidRPr="00856B3E">
              <w:rPr>
                <w:rFonts w:asciiTheme="minorHAnsi" w:hAnsiTheme="minorHAnsi" w:cs="Arial"/>
                <w:color w:val="FFFFFF" w:themeColor="background1"/>
                <w:sz w:val="20"/>
                <w:szCs w:val="20"/>
              </w:rPr>
              <w:t xml:space="preserve">National </w:t>
            </w:r>
            <w:r>
              <w:rPr>
                <w:rFonts w:asciiTheme="minorHAnsi" w:hAnsiTheme="minorHAnsi" w:cs="Arial"/>
                <w:color w:val="FFFFFF" w:themeColor="background1"/>
                <w:sz w:val="20"/>
                <w:szCs w:val="20"/>
              </w:rPr>
              <w:t xml:space="preserve">Outcome </w:t>
            </w:r>
            <w:r w:rsidRPr="00856B3E">
              <w:rPr>
                <w:rFonts w:asciiTheme="minorHAnsi" w:hAnsiTheme="minorHAnsi" w:cs="Arial"/>
                <w:color w:val="FFFFFF" w:themeColor="background1"/>
                <w:sz w:val="20"/>
                <w:szCs w:val="20"/>
              </w:rPr>
              <w:t>Measure</w:t>
            </w:r>
          </w:p>
        </w:tc>
      </w:tr>
      <w:tr w:rsidR="0006278C" w:rsidRPr="0006278C" w14:paraId="781799E8" w14:textId="77777777" w:rsidTr="00150DC1">
        <w:tblPrEx>
          <w:jc w:val="left"/>
        </w:tblPrEx>
        <w:trPr>
          <w:trHeight w:val="900"/>
        </w:trPr>
        <w:tc>
          <w:tcPr>
            <w:tcW w:w="567" w:type="dxa"/>
            <w:noWrap/>
          </w:tcPr>
          <w:p w14:paraId="26C3003C" w14:textId="77777777" w:rsidR="0006278C" w:rsidRPr="0006278C" w:rsidRDefault="0006278C" w:rsidP="0006278C">
            <w:pPr>
              <w:spacing w:after="0" w:line="240" w:lineRule="auto"/>
              <w:jc w:val="center"/>
              <w:rPr>
                <w:rFonts w:ascii="Arial" w:hAnsi="Arial" w:cs="Arial"/>
                <w:sz w:val="18"/>
                <w:szCs w:val="18"/>
              </w:rPr>
            </w:pPr>
            <w:r w:rsidRPr="0006278C">
              <w:rPr>
                <w:rFonts w:ascii="Arial" w:hAnsi="Arial" w:cs="Arial"/>
                <w:sz w:val="18"/>
                <w:szCs w:val="18"/>
              </w:rPr>
              <w:t>23</w:t>
            </w:r>
          </w:p>
        </w:tc>
        <w:tc>
          <w:tcPr>
            <w:tcW w:w="1768" w:type="dxa"/>
            <w:noWrap/>
          </w:tcPr>
          <w:p w14:paraId="21ECC1AF"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Teen births</w:t>
            </w:r>
          </w:p>
          <w:p w14:paraId="12CF1FC8" w14:textId="77777777" w:rsidR="0006278C" w:rsidRPr="0006278C" w:rsidRDefault="0006278C" w:rsidP="0006278C">
            <w:pPr>
              <w:spacing w:after="0" w:line="240" w:lineRule="auto"/>
              <w:rPr>
                <w:rFonts w:ascii="Arial" w:hAnsi="Arial" w:cs="Arial"/>
                <w:sz w:val="18"/>
                <w:szCs w:val="18"/>
              </w:rPr>
            </w:pPr>
          </w:p>
        </w:tc>
        <w:tc>
          <w:tcPr>
            <w:tcW w:w="990" w:type="dxa"/>
            <w:noWrap/>
          </w:tcPr>
          <w:p w14:paraId="2F0300E4"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LC-54*</w:t>
            </w:r>
          </w:p>
        </w:tc>
        <w:tc>
          <w:tcPr>
            <w:tcW w:w="1890" w:type="dxa"/>
          </w:tcPr>
          <w:p w14:paraId="2145FE60"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Reproductive Life Experiences</w:t>
            </w:r>
          </w:p>
        </w:tc>
        <w:tc>
          <w:tcPr>
            <w:tcW w:w="1890" w:type="dxa"/>
          </w:tcPr>
          <w:p w14:paraId="153C70A9"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Teen Births</w:t>
            </w:r>
          </w:p>
        </w:tc>
        <w:tc>
          <w:tcPr>
            <w:tcW w:w="2520" w:type="dxa"/>
          </w:tcPr>
          <w:p w14:paraId="4ABAB752"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Number of live births born to women aged 10-19 years per 1,000 women aged 10-19 years</w:t>
            </w:r>
          </w:p>
        </w:tc>
      </w:tr>
      <w:tr w:rsidR="0006278C" w:rsidRPr="0006278C" w14:paraId="11304150" w14:textId="77777777" w:rsidTr="00150DC1">
        <w:tblPrEx>
          <w:jc w:val="left"/>
        </w:tblPrEx>
        <w:trPr>
          <w:trHeight w:val="900"/>
        </w:trPr>
        <w:tc>
          <w:tcPr>
            <w:tcW w:w="567" w:type="dxa"/>
            <w:noWrap/>
          </w:tcPr>
          <w:p w14:paraId="3C78404F" w14:textId="77777777" w:rsidR="0006278C" w:rsidRPr="0006278C" w:rsidRDefault="0006278C" w:rsidP="0006278C">
            <w:pPr>
              <w:spacing w:after="0" w:line="240" w:lineRule="auto"/>
              <w:jc w:val="center"/>
              <w:rPr>
                <w:rFonts w:ascii="Arial" w:hAnsi="Arial" w:cs="Arial"/>
                <w:sz w:val="18"/>
                <w:szCs w:val="18"/>
              </w:rPr>
            </w:pPr>
            <w:r w:rsidRPr="0006278C">
              <w:rPr>
                <w:rFonts w:ascii="Arial" w:hAnsi="Arial" w:cs="Arial"/>
                <w:sz w:val="18"/>
                <w:szCs w:val="18"/>
              </w:rPr>
              <w:t>24</w:t>
            </w:r>
          </w:p>
        </w:tc>
        <w:tc>
          <w:tcPr>
            <w:tcW w:w="1768" w:type="dxa"/>
            <w:noWrap/>
          </w:tcPr>
          <w:p w14:paraId="6C47E73F"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Postpartum depression</w:t>
            </w:r>
          </w:p>
          <w:p w14:paraId="1D7F3FD8" w14:textId="77777777" w:rsidR="0006278C" w:rsidRPr="0006278C" w:rsidRDefault="0006278C" w:rsidP="0006278C">
            <w:pPr>
              <w:spacing w:after="0" w:line="240" w:lineRule="auto"/>
              <w:rPr>
                <w:rFonts w:ascii="Arial" w:hAnsi="Arial" w:cs="Arial"/>
                <w:sz w:val="18"/>
                <w:szCs w:val="18"/>
              </w:rPr>
            </w:pPr>
          </w:p>
        </w:tc>
        <w:tc>
          <w:tcPr>
            <w:tcW w:w="990" w:type="dxa"/>
            <w:noWrap/>
          </w:tcPr>
          <w:p w14:paraId="35C100EF"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LC-44</w:t>
            </w:r>
          </w:p>
        </w:tc>
        <w:tc>
          <w:tcPr>
            <w:tcW w:w="1890" w:type="dxa"/>
          </w:tcPr>
          <w:p w14:paraId="484DA4E5"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Mental Health</w:t>
            </w:r>
          </w:p>
        </w:tc>
        <w:tc>
          <w:tcPr>
            <w:tcW w:w="1890" w:type="dxa"/>
          </w:tcPr>
          <w:p w14:paraId="65BBB763"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Postpartum Depression</w:t>
            </w:r>
          </w:p>
        </w:tc>
        <w:tc>
          <w:tcPr>
            <w:tcW w:w="2520" w:type="dxa"/>
          </w:tcPr>
          <w:p w14:paraId="6D7734C4"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Percent of women who have recently given birth who reported experiencing postpartum depression following a live birth</w:t>
            </w:r>
          </w:p>
        </w:tc>
      </w:tr>
      <w:tr w:rsidR="0006278C" w:rsidRPr="0006278C" w14:paraId="3D94D17F" w14:textId="77777777" w:rsidTr="00150DC1">
        <w:tblPrEx>
          <w:jc w:val="left"/>
        </w:tblPrEx>
        <w:trPr>
          <w:trHeight w:val="900"/>
        </w:trPr>
        <w:tc>
          <w:tcPr>
            <w:tcW w:w="567" w:type="dxa"/>
            <w:noWrap/>
          </w:tcPr>
          <w:p w14:paraId="03464227" w14:textId="77777777" w:rsidR="0006278C" w:rsidRPr="0006278C" w:rsidRDefault="0006278C" w:rsidP="0006278C">
            <w:pPr>
              <w:spacing w:after="0" w:line="240" w:lineRule="auto"/>
              <w:jc w:val="center"/>
              <w:rPr>
                <w:rFonts w:ascii="Arial" w:hAnsi="Arial" w:cs="Arial"/>
                <w:sz w:val="18"/>
                <w:szCs w:val="18"/>
              </w:rPr>
            </w:pPr>
            <w:r w:rsidRPr="0006278C">
              <w:rPr>
                <w:rFonts w:ascii="Arial" w:hAnsi="Arial" w:cs="Arial"/>
                <w:sz w:val="18"/>
                <w:szCs w:val="18"/>
              </w:rPr>
              <w:t>25</w:t>
            </w:r>
          </w:p>
        </w:tc>
        <w:tc>
          <w:tcPr>
            <w:tcW w:w="1768" w:type="dxa"/>
            <w:noWrap/>
          </w:tcPr>
          <w:p w14:paraId="39648C77"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Forgone health care</w:t>
            </w:r>
          </w:p>
        </w:tc>
        <w:tc>
          <w:tcPr>
            <w:tcW w:w="990" w:type="dxa"/>
            <w:noWrap/>
          </w:tcPr>
          <w:p w14:paraId="616D70D8"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LC-39*</w:t>
            </w:r>
          </w:p>
        </w:tc>
        <w:tc>
          <w:tcPr>
            <w:tcW w:w="1890" w:type="dxa"/>
          </w:tcPr>
          <w:p w14:paraId="3E8F077A"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 xml:space="preserve">Health Care Access and Quality </w:t>
            </w:r>
          </w:p>
        </w:tc>
        <w:tc>
          <w:tcPr>
            <w:tcW w:w="1890" w:type="dxa"/>
          </w:tcPr>
          <w:p w14:paraId="101EBA93"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 xml:space="preserve">Inability or Delay in Obtaining Necessary Medical Care or Dental Care </w:t>
            </w:r>
          </w:p>
        </w:tc>
        <w:tc>
          <w:tcPr>
            <w:tcW w:w="2520" w:type="dxa"/>
          </w:tcPr>
          <w:p w14:paraId="05E8586C" w14:textId="77777777" w:rsidR="0006278C" w:rsidRPr="0006278C" w:rsidRDefault="0006278C" w:rsidP="0006278C">
            <w:pPr>
              <w:spacing w:after="0" w:line="240" w:lineRule="auto"/>
              <w:rPr>
                <w:rFonts w:ascii="Arial" w:hAnsi="Arial" w:cs="Arial"/>
                <w:sz w:val="18"/>
                <w:szCs w:val="18"/>
              </w:rPr>
            </w:pPr>
            <w:r w:rsidRPr="0006278C">
              <w:rPr>
                <w:rFonts w:ascii="Arial" w:hAnsi="Arial" w:cs="Arial"/>
                <w:sz w:val="18"/>
                <w:szCs w:val="18"/>
              </w:rPr>
              <w:t>Percent of parents reporting their child was not able to obtain necessary medical care or dental care.</w:t>
            </w:r>
          </w:p>
        </w:tc>
      </w:tr>
    </w:tbl>
    <w:p w14:paraId="1135B9B3" w14:textId="77777777" w:rsidR="0006278C" w:rsidRPr="003C2840" w:rsidRDefault="0006278C" w:rsidP="0006278C">
      <w:pPr>
        <w:spacing w:after="0" w:line="240" w:lineRule="auto"/>
        <w:rPr>
          <w:rFonts w:asciiTheme="minorHAnsi" w:hAnsiTheme="minorHAnsi" w:cs="Arial"/>
          <w:sz w:val="20"/>
          <w:szCs w:val="20"/>
        </w:rPr>
      </w:pPr>
      <w:r w:rsidRPr="003C2840">
        <w:rPr>
          <w:rFonts w:asciiTheme="minorHAnsi" w:hAnsiTheme="minorHAnsi" w:cs="Arial"/>
          <w:sz w:val="20"/>
          <w:szCs w:val="20"/>
        </w:rPr>
        <w:t xml:space="preserve">*NPM or NOM similar to AMCHP indicator (different age range or definition) </w:t>
      </w:r>
    </w:p>
    <w:p w14:paraId="5521C338" w14:textId="77777777" w:rsidR="0006278C" w:rsidRPr="003C2840" w:rsidRDefault="0006278C" w:rsidP="0006278C">
      <w:pPr>
        <w:spacing w:after="0" w:line="240" w:lineRule="auto"/>
        <w:rPr>
          <w:rFonts w:asciiTheme="minorHAnsi" w:hAnsiTheme="minorHAnsi" w:cs="Arial"/>
          <w:sz w:val="20"/>
          <w:szCs w:val="20"/>
        </w:rPr>
      </w:pPr>
      <w:r w:rsidRPr="003C2840">
        <w:rPr>
          <w:rFonts w:asciiTheme="minorHAnsi" w:hAnsiTheme="minorHAnsi" w:cs="Arial"/>
          <w:sz w:val="20"/>
          <w:szCs w:val="20"/>
        </w:rPr>
        <w:t>**NPM or NOM conceptually related to AMCHP indicator</w:t>
      </w:r>
    </w:p>
    <w:p w14:paraId="0B4B2838" w14:textId="77777777" w:rsidR="0006278C" w:rsidRPr="003C2840" w:rsidRDefault="0006278C" w:rsidP="0006278C">
      <w:pPr>
        <w:spacing w:after="0" w:line="240" w:lineRule="auto"/>
        <w:rPr>
          <w:rFonts w:asciiTheme="minorHAnsi" w:hAnsiTheme="minorHAnsi" w:cs="Arial"/>
          <w:b/>
          <w:sz w:val="20"/>
          <w:szCs w:val="20"/>
        </w:rPr>
      </w:pPr>
      <w:r w:rsidRPr="003C2840">
        <w:rPr>
          <w:rFonts w:asciiTheme="minorHAnsi" w:hAnsiTheme="minorHAnsi" w:cs="Arial"/>
          <w:sz w:val="20"/>
          <w:szCs w:val="20"/>
        </w:rPr>
        <w:t xml:space="preserve">Source: </w:t>
      </w:r>
      <w:hyperlink r:id="rId61" w:history="1">
        <w:r w:rsidRPr="003C2840">
          <w:rPr>
            <w:rFonts w:asciiTheme="minorHAnsi" w:hAnsiTheme="minorHAnsi" w:cs="Arial"/>
            <w:color w:val="0563C1"/>
            <w:sz w:val="20"/>
            <w:szCs w:val="20"/>
            <w:u w:val="single"/>
          </w:rPr>
          <w:t>http://www.amchp.org/programsandtopics/data-assessment/Pages/LifeCourseIndicators.aspx</w:t>
        </w:r>
      </w:hyperlink>
    </w:p>
    <w:p w14:paraId="5D529CE5" w14:textId="77777777" w:rsidR="0006278C" w:rsidRPr="0006278C" w:rsidRDefault="0006278C" w:rsidP="0006278C">
      <w:pPr>
        <w:spacing w:after="160" w:line="259" w:lineRule="auto"/>
        <w:rPr>
          <w:rFonts w:ascii="Arial" w:hAnsi="Arial" w:cs="Arial"/>
          <w:b/>
          <w:sz w:val="18"/>
          <w:szCs w:val="18"/>
        </w:rPr>
      </w:pPr>
    </w:p>
    <w:p w14:paraId="519887A7" w14:textId="79542D73" w:rsidR="007F3D55" w:rsidRDefault="007F3D55">
      <w:pPr>
        <w:spacing w:after="0" w:line="240" w:lineRule="auto"/>
        <w:rPr>
          <w:rFonts w:ascii="Arial" w:hAnsi="Arial" w:cs="Arial"/>
          <w:sz w:val="24"/>
          <w:szCs w:val="24"/>
        </w:rPr>
      </w:pPr>
      <w:r>
        <w:rPr>
          <w:rFonts w:ascii="Arial" w:hAnsi="Arial" w:cs="Arial"/>
          <w:sz w:val="24"/>
          <w:szCs w:val="24"/>
        </w:rPr>
        <w:br w:type="page"/>
      </w:r>
    </w:p>
    <w:p w14:paraId="4EBFE160" w14:textId="77777777" w:rsidR="00DE36C8" w:rsidRPr="0006278C" w:rsidRDefault="00DE36C8" w:rsidP="00D07D83">
      <w:pPr>
        <w:spacing w:after="0" w:line="240" w:lineRule="auto"/>
        <w:rPr>
          <w:rFonts w:ascii="Arial" w:hAnsi="Arial" w:cs="Arial"/>
          <w:sz w:val="24"/>
          <w:szCs w:val="24"/>
        </w:rPr>
      </w:pPr>
    </w:p>
    <w:tbl>
      <w:tblPr>
        <w:tblW w:w="0" w:type="auto"/>
        <w:tblBorders>
          <w:bottom w:val="single" w:sz="8" w:space="0" w:color="4F81BD"/>
        </w:tblBorders>
        <w:tblLook w:val="04A0" w:firstRow="1" w:lastRow="0" w:firstColumn="1" w:lastColumn="0" w:noHBand="0" w:noVBand="1"/>
      </w:tblPr>
      <w:tblGrid>
        <w:gridCol w:w="2988"/>
        <w:gridCol w:w="6480"/>
      </w:tblGrid>
      <w:tr w:rsidR="00D07D83" w:rsidRPr="00D20A8B" w14:paraId="40D2474A" w14:textId="77777777" w:rsidTr="00D07D83">
        <w:trPr>
          <w:trHeight w:val="548"/>
        </w:trPr>
        <w:tc>
          <w:tcPr>
            <w:tcW w:w="2988" w:type="dxa"/>
            <w:vAlign w:val="bottom"/>
          </w:tcPr>
          <w:p w14:paraId="0C98A34E" w14:textId="50456707" w:rsidR="00D07D83" w:rsidRPr="000556E8" w:rsidRDefault="00D07D83" w:rsidP="00D07D83">
            <w:pPr>
              <w:spacing w:after="120"/>
              <w:contextualSpacing/>
              <w:rPr>
                <w:rFonts w:ascii="Cambria" w:eastAsia="Times New Roman" w:hAnsi="Cambria"/>
                <w:color w:val="0B5294" w:themeColor="accent1" w:themeShade="BF"/>
                <w:sz w:val="48"/>
                <w:szCs w:val="48"/>
              </w:rPr>
            </w:pPr>
            <w:r w:rsidRPr="000556E8">
              <w:rPr>
                <w:rFonts w:ascii="Arial" w:hAnsi="Arial" w:cs="Arial"/>
                <w:color w:val="0B5294" w:themeColor="accent1" w:themeShade="BF"/>
                <w:sz w:val="24"/>
                <w:szCs w:val="24"/>
              </w:rPr>
              <w:br w:type="page"/>
            </w:r>
            <w:r w:rsidR="00357E8E">
              <w:rPr>
                <w:rFonts w:ascii="Cambria" w:hAnsi="Cambria"/>
                <w:color w:val="0B5294" w:themeColor="accent1" w:themeShade="BF"/>
                <w:kern w:val="28"/>
                <w:sz w:val="48"/>
                <w:szCs w:val="48"/>
              </w:rPr>
              <w:t>APPENDIX C</w:t>
            </w:r>
            <w:r w:rsidRPr="000556E8">
              <w:rPr>
                <w:rFonts w:ascii="Cambria" w:hAnsi="Cambria"/>
                <w:color w:val="0B5294" w:themeColor="accent1" w:themeShade="BF"/>
                <w:kern w:val="28"/>
                <w:sz w:val="48"/>
                <w:szCs w:val="48"/>
              </w:rPr>
              <w:t>:</w:t>
            </w:r>
          </w:p>
        </w:tc>
        <w:tc>
          <w:tcPr>
            <w:tcW w:w="6480" w:type="dxa"/>
            <w:vAlign w:val="bottom"/>
          </w:tcPr>
          <w:p w14:paraId="56BD8CE0" w14:textId="77777777" w:rsidR="00D07D83" w:rsidRPr="000556E8" w:rsidRDefault="00D07D83" w:rsidP="00D07D83">
            <w:pPr>
              <w:widowControl w:val="0"/>
              <w:autoSpaceDE w:val="0"/>
              <w:autoSpaceDN w:val="0"/>
              <w:adjustRightInd w:val="0"/>
              <w:spacing w:after="0" w:line="240" w:lineRule="auto"/>
              <w:contextualSpacing/>
              <w:rPr>
                <w:rFonts w:ascii="Times New Roman" w:eastAsia="Times New Roman" w:hAnsi="Times New Roman"/>
                <w:color w:val="0B5294" w:themeColor="accent1" w:themeShade="BF"/>
                <w:sz w:val="10"/>
                <w:szCs w:val="10"/>
              </w:rPr>
            </w:pPr>
            <w:r w:rsidRPr="000556E8">
              <w:rPr>
                <w:rFonts w:ascii="Cambria" w:eastAsia="Times New Roman" w:hAnsi="Cambria"/>
                <w:color w:val="0B5294" w:themeColor="accent1" w:themeShade="BF"/>
                <w:spacing w:val="5"/>
                <w:kern w:val="28"/>
                <w:sz w:val="26"/>
                <w:szCs w:val="26"/>
              </w:rPr>
              <w:t>DETAIL SHEETS FOR THE NATIONAL OUTCOME MEASURES AND NATIONAL PERFORMANCE MEASURES</w:t>
            </w:r>
          </w:p>
        </w:tc>
      </w:tr>
    </w:tbl>
    <w:p w14:paraId="5E05BA85" w14:textId="77777777" w:rsidR="00D07D83" w:rsidRDefault="00D07D83" w:rsidP="00D07D83">
      <w:pPr>
        <w:spacing w:after="0" w:line="240" w:lineRule="auto"/>
        <w:ind w:left="720"/>
        <w:rPr>
          <w:rFonts w:ascii="Arial" w:hAnsi="Arial" w:cs="Arial"/>
          <w:sz w:val="24"/>
          <w:szCs w:val="24"/>
        </w:rPr>
      </w:pPr>
    </w:p>
    <w:p w14:paraId="1CD17BF3" w14:textId="77777777" w:rsidR="00D07D83" w:rsidRPr="00A93466" w:rsidRDefault="00D07D83" w:rsidP="00D07D83">
      <w:pPr>
        <w:numPr>
          <w:ilvl w:val="0"/>
          <w:numId w:val="31"/>
        </w:numPr>
        <w:spacing w:after="0" w:line="240" w:lineRule="auto"/>
        <w:ind w:left="360" w:hanging="450"/>
        <w:rPr>
          <w:rFonts w:asciiTheme="minorHAnsi" w:hAnsiTheme="minorHAnsi" w:cs="Arial"/>
          <w:sz w:val="24"/>
          <w:szCs w:val="24"/>
        </w:rPr>
      </w:pPr>
      <w:r w:rsidRPr="00A93466">
        <w:rPr>
          <w:rFonts w:asciiTheme="minorHAnsi" w:hAnsiTheme="minorHAnsi" w:cs="Arial"/>
          <w:sz w:val="24"/>
          <w:szCs w:val="24"/>
        </w:rPr>
        <w:t>National Outcome Measures</w:t>
      </w:r>
    </w:p>
    <w:p w14:paraId="2B8CE7E1" w14:textId="77777777" w:rsidR="00D07D83" w:rsidRPr="00A93466" w:rsidRDefault="00D07D83" w:rsidP="00D07D83">
      <w:pPr>
        <w:spacing w:after="0" w:line="240" w:lineRule="auto"/>
        <w:ind w:left="360"/>
        <w:rPr>
          <w:rFonts w:asciiTheme="minorHAnsi" w:hAnsiTheme="minorHAnsi" w:cs="Arial"/>
          <w:sz w:val="24"/>
          <w:szCs w:val="24"/>
        </w:rPr>
      </w:pPr>
    </w:p>
    <w:p w14:paraId="57A86AF8" w14:textId="77777777" w:rsidR="00D07D83" w:rsidRPr="00A93466" w:rsidRDefault="00D07D83" w:rsidP="00D07D83">
      <w:pPr>
        <w:numPr>
          <w:ilvl w:val="0"/>
          <w:numId w:val="31"/>
        </w:numPr>
        <w:spacing w:after="0" w:line="240" w:lineRule="auto"/>
        <w:ind w:left="360" w:hanging="450"/>
        <w:rPr>
          <w:rFonts w:asciiTheme="minorHAnsi" w:hAnsiTheme="minorHAnsi" w:cs="Arial"/>
          <w:sz w:val="24"/>
          <w:szCs w:val="24"/>
          <w:u w:val="single"/>
        </w:rPr>
      </w:pPr>
      <w:r w:rsidRPr="00A93466">
        <w:rPr>
          <w:rFonts w:asciiTheme="minorHAnsi" w:hAnsiTheme="minorHAnsi" w:cs="Arial"/>
          <w:sz w:val="24"/>
          <w:szCs w:val="24"/>
        </w:rPr>
        <w:t>National Performance Measures</w:t>
      </w:r>
    </w:p>
    <w:p w14:paraId="7D69F39A" w14:textId="77777777" w:rsidR="0007198D" w:rsidRPr="0007198D" w:rsidRDefault="00D07D83" w:rsidP="0007198D">
      <w:pPr>
        <w:spacing w:after="0" w:line="240" w:lineRule="auto"/>
        <w:ind w:hanging="450"/>
        <w:rPr>
          <w:rFonts w:ascii="Arial" w:hAnsi="Arial" w:cs="Arial"/>
          <w:sz w:val="28"/>
          <w:szCs w:val="28"/>
        </w:rPr>
      </w:pPr>
      <w:r w:rsidRPr="00A93466">
        <w:rPr>
          <w:rFonts w:asciiTheme="minorHAnsi" w:hAnsiTheme="minorHAnsi" w:cs="Arial"/>
          <w:sz w:val="28"/>
          <w:szCs w:val="28"/>
          <w:u w:val="single"/>
        </w:rPr>
        <w:br w:type="page"/>
      </w:r>
      <w:r w:rsidR="0007198D">
        <w:t xml:space="preserve"> </w:t>
      </w:r>
      <w:r w:rsidR="0007198D" w:rsidRPr="0007198D">
        <w:rPr>
          <w:rFonts w:ascii="Arial" w:hAnsi="Arial" w:cs="Arial"/>
          <w:sz w:val="28"/>
          <w:szCs w:val="28"/>
        </w:rPr>
        <w:t xml:space="preserve">A. </w:t>
      </w:r>
    </w:p>
    <w:tbl>
      <w:tblPr>
        <w:tblW w:w="9347" w:type="dxa"/>
        <w:tblInd w:w="93" w:type="dxa"/>
        <w:tblLook w:val="04A0" w:firstRow="1" w:lastRow="0" w:firstColumn="1" w:lastColumn="0" w:noHBand="0" w:noVBand="1"/>
      </w:tblPr>
      <w:tblGrid>
        <w:gridCol w:w="707"/>
        <w:gridCol w:w="8640"/>
      </w:tblGrid>
      <w:tr w:rsidR="0007198D" w:rsidRPr="0007198D" w14:paraId="2C64E1C2" w14:textId="77777777" w:rsidTr="00775656">
        <w:trPr>
          <w:trHeight w:val="252"/>
          <w:tblHeader/>
        </w:trPr>
        <w:tc>
          <w:tcPr>
            <w:tcW w:w="707" w:type="dxa"/>
            <w:tcBorders>
              <w:top w:val="single" w:sz="8" w:space="0" w:color="auto"/>
              <w:left w:val="single" w:sz="8" w:space="0" w:color="auto"/>
              <w:bottom w:val="single" w:sz="8" w:space="0" w:color="auto"/>
              <w:right w:val="single" w:sz="8" w:space="0" w:color="auto"/>
            </w:tcBorders>
            <w:shd w:val="clear" w:color="auto" w:fill="C7E2FA" w:themeFill="accent1" w:themeFillTint="33"/>
            <w:noWrap/>
            <w:vAlign w:val="center"/>
            <w:hideMark/>
          </w:tcPr>
          <w:p w14:paraId="64B34677" w14:textId="3961D11A" w:rsidR="0007198D" w:rsidRPr="00775656" w:rsidRDefault="00AA3376" w:rsidP="0007198D">
            <w:pPr>
              <w:spacing w:after="0" w:line="240" w:lineRule="auto"/>
              <w:rPr>
                <w:rFonts w:asciiTheme="minorHAnsi" w:eastAsia="Times New Roman" w:hAnsiTheme="minorHAnsi" w:cs="Arial"/>
                <w:b/>
                <w:bCs/>
                <w:color w:val="0B5294" w:themeColor="accent1" w:themeShade="BF"/>
                <w:sz w:val="32"/>
                <w:szCs w:val="32"/>
              </w:rPr>
            </w:pPr>
            <w:r>
              <w:rPr>
                <w:rFonts w:asciiTheme="minorHAnsi" w:eastAsia="Times New Roman" w:hAnsiTheme="minorHAnsi" w:cs="Arial"/>
                <w:b/>
                <w:bCs/>
                <w:color w:val="0B5294" w:themeColor="accent1" w:themeShade="BF"/>
                <w:sz w:val="32"/>
                <w:szCs w:val="32"/>
              </w:rPr>
              <w:t>No.</w:t>
            </w:r>
          </w:p>
        </w:tc>
        <w:tc>
          <w:tcPr>
            <w:tcW w:w="8640" w:type="dxa"/>
            <w:tcBorders>
              <w:top w:val="single" w:sz="8" w:space="0" w:color="auto"/>
              <w:left w:val="nil"/>
              <w:bottom w:val="single" w:sz="8" w:space="0" w:color="auto"/>
              <w:right w:val="single" w:sz="8" w:space="0" w:color="auto"/>
            </w:tcBorders>
            <w:shd w:val="clear" w:color="auto" w:fill="C7E2FA" w:themeFill="accent1" w:themeFillTint="33"/>
            <w:vAlign w:val="center"/>
            <w:hideMark/>
          </w:tcPr>
          <w:p w14:paraId="4CA3363F" w14:textId="0288FF3A" w:rsidR="0007198D" w:rsidRPr="00775656" w:rsidRDefault="00775656" w:rsidP="0007198D">
            <w:pPr>
              <w:spacing w:after="0" w:line="240" w:lineRule="auto"/>
              <w:rPr>
                <w:rFonts w:asciiTheme="minorHAnsi" w:eastAsia="Times New Roman" w:hAnsiTheme="minorHAnsi" w:cs="Arial"/>
                <w:b/>
                <w:bCs/>
                <w:color w:val="0B5294" w:themeColor="accent1" w:themeShade="BF"/>
                <w:sz w:val="32"/>
                <w:szCs w:val="32"/>
              </w:rPr>
            </w:pPr>
            <w:r>
              <w:rPr>
                <w:rFonts w:asciiTheme="minorHAnsi" w:eastAsia="Times New Roman" w:hAnsiTheme="minorHAnsi" w:cs="Arial"/>
                <w:b/>
                <w:bCs/>
                <w:color w:val="0B5294" w:themeColor="accent1" w:themeShade="BF"/>
                <w:sz w:val="32"/>
                <w:szCs w:val="32"/>
              </w:rPr>
              <w:t xml:space="preserve">Title V MCH Services Block Grant - </w:t>
            </w:r>
            <w:r w:rsidR="0007198D" w:rsidRPr="00775656">
              <w:rPr>
                <w:rFonts w:asciiTheme="minorHAnsi" w:eastAsia="Times New Roman" w:hAnsiTheme="minorHAnsi" w:cs="Arial"/>
                <w:b/>
                <w:bCs/>
                <w:color w:val="0B5294" w:themeColor="accent1" w:themeShade="BF"/>
                <w:sz w:val="32"/>
                <w:szCs w:val="32"/>
              </w:rPr>
              <w:t>National Outcome Measure</w:t>
            </w:r>
            <w:r>
              <w:rPr>
                <w:rFonts w:asciiTheme="minorHAnsi" w:eastAsia="Times New Roman" w:hAnsiTheme="minorHAnsi" w:cs="Arial"/>
                <w:b/>
                <w:bCs/>
                <w:color w:val="0B5294" w:themeColor="accent1" w:themeShade="BF"/>
                <w:sz w:val="32"/>
                <w:szCs w:val="32"/>
              </w:rPr>
              <w:t>s</w:t>
            </w:r>
          </w:p>
        </w:tc>
      </w:tr>
      <w:tr w:rsidR="0007198D" w:rsidRPr="0007198D" w14:paraId="608BF460" w14:textId="77777777" w:rsidTr="00775656">
        <w:trPr>
          <w:trHeight w:val="24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14:paraId="3535A545"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1</w:t>
            </w:r>
          </w:p>
        </w:tc>
        <w:tc>
          <w:tcPr>
            <w:tcW w:w="8640" w:type="dxa"/>
            <w:tcBorders>
              <w:top w:val="single" w:sz="4" w:space="0" w:color="auto"/>
              <w:left w:val="nil"/>
              <w:bottom w:val="single" w:sz="4" w:space="0" w:color="auto"/>
              <w:right w:val="single" w:sz="4" w:space="0" w:color="auto"/>
            </w:tcBorders>
            <w:shd w:val="clear" w:color="auto" w:fill="auto"/>
            <w:hideMark/>
          </w:tcPr>
          <w:p w14:paraId="66122114"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Percent of pregnant women who receive prenatal care beginning in the first trimester</w:t>
            </w:r>
          </w:p>
        </w:tc>
      </w:tr>
      <w:tr w:rsidR="0007198D" w:rsidRPr="0007198D" w14:paraId="68DD141E" w14:textId="77777777" w:rsidTr="00775656">
        <w:trPr>
          <w:trHeight w:val="215"/>
        </w:trPr>
        <w:tc>
          <w:tcPr>
            <w:tcW w:w="707" w:type="dxa"/>
            <w:tcBorders>
              <w:top w:val="nil"/>
              <w:left w:val="single" w:sz="4" w:space="0" w:color="auto"/>
              <w:bottom w:val="single" w:sz="4" w:space="0" w:color="auto"/>
              <w:right w:val="single" w:sz="4" w:space="0" w:color="auto"/>
            </w:tcBorders>
            <w:shd w:val="clear" w:color="auto" w:fill="auto"/>
            <w:hideMark/>
          </w:tcPr>
          <w:p w14:paraId="742AE73B"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2</w:t>
            </w:r>
          </w:p>
        </w:tc>
        <w:tc>
          <w:tcPr>
            <w:tcW w:w="8640" w:type="dxa"/>
            <w:tcBorders>
              <w:top w:val="nil"/>
              <w:left w:val="nil"/>
              <w:bottom w:val="single" w:sz="4" w:space="0" w:color="auto"/>
              <w:right w:val="single" w:sz="4" w:space="0" w:color="auto"/>
            </w:tcBorders>
            <w:shd w:val="clear" w:color="auto" w:fill="auto"/>
            <w:hideMark/>
          </w:tcPr>
          <w:p w14:paraId="2CF5B2E7"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 xml:space="preserve">Rate of severe maternal morbidity per 10,000 delivery hospitalizations </w:t>
            </w:r>
          </w:p>
        </w:tc>
      </w:tr>
      <w:tr w:rsidR="0007198D" w:rsidRPr="0007198D" w14:paraId="37836F7D" w14:textId="77777777" w:rsidTr="00775656">
        <w:trPr>
          <w:trHeight w:val="240"/>
        </w:trPr>
        <w:tc>
          <w:tcPr>
            <w:tcW w:w="707" w:type="dxa"/>
            <w:tcBorders>
              <w:top w:val="nil"/>
              <w:left w:val="single" w:sz="4" w:space="0" w:color="auto"/>
              <w:bottom w:val="single" w:sz="4" w:space="0" w:color="auto"/>
              <w:right w:val="single" w:sz="4" w:space="0" w:color="auto"/>
            </w:tcBorders>
            <w:shd w:val="clear" w:color="auto" w:fill="auto"/>
            <w:hideMark/>
          </w:tcPr>
          <w:p w14:paraId="0459B8B1"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3</w:t>
            </w:r>
          </w:p>
        </w:tc>
        <w:tc>
          <w:tcPr>
            <w:tcW w:w="8640" w:type="dxa"/>
            <w:tcBorders>
              <w:top w:val="nil"/>
              <w:left w:val="nil"/>
              <w:bottom w:val="single" w:sz="4" w:space="0" w:color="auto"/>
              <w:right w:val="single" w:sz="4" w:space="0" w:color="auto"/>
            </w:tcBorders>
            <w:shd w:val="clear" w:color="auto" w:fill="auto"/>
            <w:hideMark/>
          </w:tcPr>
          <w:p w14:paraId="010F0019"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Maternal mortality rate per 100,000 live births</w:t>
            </w:r>
          </w:p>
        </w:tc>
      </w:tr>
      <w:tr w:rsidR="0007198D" w:rsidRPr="0007198D" w14:paraId="379A244B" w14:textId="77777777" w:rsidTr="00775656">
        <w:trPr>
          <w:trHeight w:val="240"/>
        </w:trPr>
        <w:tc>
          <w:tcPr>
            <w:tcW w:w="707" w:type="dxa"/>
            <w:tcBorders>
              <w:top w:val="nil"/>
              <w:left w:val="single" w:sz="4" w:space="0" w:color="auto"/>
              <w:bottom w:val="single" w:sz="4" w:space="0" w:color="auto"/>
              <w:right w:val="single" w:sz="4" w:space="0" w:color="auto"/>
            </w:tcBorders>
            <w:shd w:val="clear" w:color="auto" w:fill="auto"/>
            <w:hideMark/>
          </w:tcPr>
          <w:p w14:paraId="4858CEED"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4</w:t>
            </w:r>
          </w:p>
        </w:tc>
        <w:tc>
          <w:tcPr>
            <w:tcW w:w="8640" w:type="dxa"/>
            <w:tcBorders>
              <w:top w:val="nil"/>
              <w:left w:val="nil"/>
              <w:bottom w:val="single" w:sz="4" w:space="0" w:color="auto"/>
              <w:right w:val="single" w:sz="4" w:space="0" w:color="auto"/>
            </w:tcBorders>
            <w:shd w:val="clear" w:color="auto" w:fill="auto"/>
            <w:hideMark/>
          </w:tcPr>
          <w:p w14:paraId="1207281A"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Percent of low birth weight deliveries (&lt;2,500 grams)</w:t>
            </w:r>
          </w:p>
        </w:tc>
      </w:tr>
      <w:tr w:rsidR="0007198D" w:rsidRPr="0007198D" w14:paraId="1CD65956" w14:textId="77777777" w:rsidTr="00775656">
        <w:trPr>
          <w:trHeight w:val="240"/>
        </w:trPr>
        <w:tc>
          <w:tcPr>
            <w:tcW w:w="707" w:type="dxa"/>
            <w:tcBorders>
              <w:top w:val="nil"/>
              <w:left w:val="single" w:sz="4" w:space="0" w:color="auto"/>
              <w:bottom w:val="single" w:sz="4" w:space="0" w:color="auto"/>
              <w:right w:val="single" w:sz="4" w:space="0" w:color="auto"/>
            </w:tcBorders>
            <w:shd w:val="clear" w:color="auto" w:fill="auto"/>
            <w:hideMark/>
          </w:tcPr>
          <w:p w14:paraId="2F6F2996"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5</w:t>
            </w:r>
          </w:p>
        </w:tc>
        <w:tc>
          <w:tcPr>
            <w:tcW w:w="8640" w:type="dxa"/>
            <w:tcBorders>
              <w:top w:val="nil"/>
              <w:left w:val="nil"/>
              <w:bottom w:val="single" w:sz="4" w:space="0" w:color="auto"/>
              <w:right w:val="single" w:sz="4" w:space="0" w:color="auto"/>
            </w:tcBorders>
            <w:shd w:val="clear" w:color="auto" w:fill="auto"/>
            <w:hideMark/>
          </w:tcPr>
          <w:p w14:paraId="569B3F40"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Percent of preterm births (&lt;37 weeks  gestation)</w:t>
            </w:r>
          </w:p>
        </w:tc>
      </w:tr>
      <w:tr w:rsidR="0007198D" w:rsidRPr="0007198D" w14:paraId="21E1C63F" w14:textId="77777777" w:rsidTr="00775656">
        <w:trPr>
          <w:trHeight w:val="240"/>
        </w:trPr>
        <w:tc>
          <w:tcPr>
            <w:tcW w:w="707" w:type="dxa"/>
            <w:tcBorders>
              <w:top w:val="nil"/>
              <w:left w:val="single" w:sz="4" w:space="0" w:color="auto"/>
              <w:bottom w:val="single" w:sz="4" w:space="0" w:color="auto"/>
              <w:right w:val="single" w:sz="4" w:space="0" w:color="auto"/>
            </w:tcBorders>
            <w:shd w:val="clear" w:color="auto" w:fill="auto"/>
            <w:hideMark/>
          </w:tcPr>
          <w:p w14:paraId="662DFEF9"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6</w:t>
            </w:r>
          </w:p>
        </w:tc>
        <w:tc>
          <w:tcPr>
            <w:tcW w:w="8640" w:type="dxa"/>
            <w:tcBorders>
              <w:top w:val="nil"/>
              <w:left w:val="nil"/>
              <w:bottom w:val="single" w:sz="4" w:space="0" w:color="auto"/>
              <w:right w:val="single" w:sz="4" w:space="0" w:color="auto"/>
            </w:tcBorders>
            <w:shd w:val="clear" w:color="auto" w:fill="auto"/>
            <w:hideMark/>
          </w:tcPr>
          <w:p w14:paraId="0D9B8248"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Percent of early term births (37,38 weeks gestation)</w:t>
            </w:r>
          </w:p>
        </w:tc>
      </w:tr>
      <w:tr w:rsidR="0007198D" w:rsidRPr="0007198D" w14:paraId="4CB3794E" w14:textId="77777777" w:rsidTr="00775656">
        <w:trPr>
          <w:trHeight w:val="161"/>
        </w:trPr>
        <w:tc>
          <w:tcPr>
            <w:tcW w:w="707" w:type="dxa"/>
            <w:tcBorders>
              <w:top w:val="nil"/>
              <w:left w:val="single" w:sz="4" w:space="0" w:color="auto"/>
              <w:bottom w:val="single" w:sz="4" w:space="0" w:color="auto"/>
              <w:right w:val="single" w:sz="4" w:space="0" w:color="auto"/>
            </w:tcBorders>
            <w:shd w:val="clear" w:color="auto" w:fill="auto"/>
            <w:hideMark/>
          </w:tcPr>
          <w:p w14:paraId="6D7F1A4D"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7</w:t>
            </w:r>
          </w:p>
        </w:tc>
        <w:tc>
          <w:tcPr>
            <w:tcW w:w="8640" w:type="dxa"/>
            <w:tcBorders>
              <w:top w:val="nil"/>
              <w:left w:val="nil"/>
              <w:bottom w:val="single" w:sz="4" w:space="0" w:color="auto"/>
              <w:right w:val="single" w:sz="4" w:space="0" w:color="auto"/>
            </w:tcBorders>
            <w:shd w:val="clear" w:color="auto" w:fill="auto"/>
            <w:hideMark/>
          </w:tcPr>
          <w:p w14:paraId="4020FDC0"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Percent of non-medically indicated early elective deliveries</w:t>
            </w:r>
          </w:p>
        </w:tc>
      </w:tr>
      <w:tr w:rsidR="0007198D" w:rsidRPr="0007198D" w14:paraId="2009F530" w14:textId="77777777" w:rsidTr="00775656">
        <w:trPr>
          <w:trHeight w:val="240"/>
        </w:trPr>
        <w:tc>
          <w:tcPr>
            <w:tcW w:w="707" w:type="dxa"/>
            <w:tcBorders>
              <w:top w:val="nil"/>
              <w:left w:val="single" w:sz="4" w:space="0" w:color="auto"/>
              <w:bottom w:val="single" w:sz="4" w:space="0" w:color="auto"/>
              <w:right w:val="single" w:sz="4" w:space="0" w:color="auto"/>
            </w:tcBorders>
            <w:shd w:val="clear" w:color="auto" w:fill="auto"/>
            <w:hideMark/>
          </w:tcPr>
          <w:p w14:paraId="1C4174EA"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8</w:t>
            </w:r>
          </w:p>
        </w:tc>
        <w:tc>
          <w:tcPr>
            <w:tcW w:w="8640" w:type="dxa"/>
            <w:tcBorders>
              <w:top w:val="nil"/>
              <w:left w:val="nil"/>
              <w:bottom w:val="single" w:sz="4" w:space="0" w:color="auto"/>
              <w:right w:val="single" w:sz="4" w:space="0" w:color="auto"/>
            </w:tcBorders>
            <w:shd w:val="clear" w:color="auto" w:fill="auto"/>
            <w:hideMark/>
          </w:tcPr>
          <w:p w14:paraId="162EE4BD"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Perinatal mortality rate per 1,000 live births plus fetal deaths</w:t>
            </w:r>
          </w:p>
        </w:tc>
      </w:tr>
      <w:tr w:rsidR="0007198D" w:rsidRPr="0007198D" w14:paraId="3E3FEF7C" w14:textId="77777777" w:rsidTr="00775656">
        <w:trPr>
          <w:trHeight w:val="240"/>
        </w:trPr>
        <w:tc>
          <w:tcPr>
            <w:tcW w:w="707" w:type="dxa"/>
            <w:tcBorders>
              <w:top w:val="nil"/>
              <w:left w:val="single" w:sz="4" w:space="0" w:color="auto"/>
              <w:bottom w:val="single" w:sz="4" w:space="0" w:color="auto"/>
              <w:right w:val="single" w:sz="4" w:space="0" w:color="auto"/>
            </w:tcBorders>
            <w:shd w:val="clear" w:color="auto" w:fill="auto"/>
            <w:hideMark/>
          </w:tcPr>
          <w:p w14:paraId="390FF3B3"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9.1</w:t>
            </w:r>
          </w:p>
        </w:tc>
        <w:tc>
          <w:tcPr>
            <w:tcW w:w="8640" w:type="dxa"/>
            <w:tcBorders>
              <w:top w:val="nil"/>
              <w:left w:val="nil"/>
              <w:bottom w:val="single" w:sz="4" w:space="0" w:color="auto"/>
              <w:right w:val="single" w:sz="4" w:space="0" w:color="auto"/>
            </w:tcBorders>
            <w:shd w:val="clear" w:color="auto" w:fill="auto"/>
            <w:hideMark/>
          </w:tcPr>
          <w:p w14:paraId="3404FBE2"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Infant mortality rate per 1,000 live births</w:t>
            </w:r>
          </w:p>
        </w:tc>
      </w:tr>
      <w:tr w:rsidR="0007198D" w:rsidRPr="0007198D" w14:paraId="1677BD6D" w14:textId="77777777" w:rsidTr="00775656">
        <w:trPr>
          <w:trHeight w:val="240"/>
        </w:trPr>
        <w:tc>
          <w:tcPr>
            <w:tcW w:w="707" w:type="dxa"/>
            <w:tcBorders>
              <w:top w:val="nil"/>
              <w:left w:val="single" w:sz="4" w:space="0" w:color="auto"/>
              <w:bottom w:val="single" w:sz="4" w:space="0" w:color="auto"/>
              <w:right w:val="single" w:sz="4" w:space="0" w:color="auto"/>
            </w:tcBorders>
            <w:shd w:val="clear" w:color="auto" w:fill="auto"/>
            <w:hideMark/>
          </w:tcPr>
          <w:p w14:paraId="35D32E7B"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9.2</w:t>
            </w:r>
          </w:p>
        </w:tc>
        <w:tc>
          <w:tcPr>
            <w:tcW w:w="8640" w:type="dxa"/>
            <w:tcBorders>
              <w:top w:val="nil"/>
              <w:left w:val="nil"/>
              <w:bottom w:val="single" w:sz="4" w:space="0" w:color="auto"/>
              <w:right w:val="single" w:sz="4" w:space="0" w:color="auto"/>
            </w:tcBorders>
            <w:shd w:val="clear" w:color="auto" w:fill="auto"/>
            <w:hideMark/>
          </w:tcPr>
          <w:p w14:paraId="01AAF4A3"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Neonatal mortality rate per 1,000  live births</w:t>
            </w:r>
          </w:p>
        </w:tc>
      </w:tr>
      <w:tr w:rsidR="0007198D" w:rsidRPr="0007198D" w14:paraId="05996FB1" w14:textId="77777777" w:rsidTr="00775656">
        <w:trPr>
          <w:trHeight w:val="240"/>
        </w:trPr>
        <w:tc>
          <w:tcPr>
            <w:tcW w:w="707" w:type="dxa"/>
            <w:tcBorders>
              <w:top w:val="nil"/>
              <w:left w:val="single" w:sz="4" w:space="0" w:color="auto"/>
              <w:bottom w:val="single" w:sz="4" w:space="0" w:color="auto"/>
              <w:right w:val="single" w:sz="4" w:space="0" w:color="auto"/>
            </w:tcBorders>
            <w:shd w:val="clear" w:color="auto" w:fill="auto"/>
            <w:hideMark/>
          </w:tcPr>
          <w:p w14:paraId="0AAAB886"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9.3</w:t>
            </w:r>
          </w:p>
        </w:tc>
        <w:tc>
          <w:tcPr>
            <w:tcW w:w="8640" w:type="dxa"/>
            <w:tcBorders>
              <w:top w:val="nil"/>
              <w:left w:val="nil"/>
              <w:bottom w:val="single" w:sz="4" w:space="0" w:color="auto"/>
              <w:right w:val="single" w:sz="4" w:space="0" w:color="auto"/>
            </w:tcBorders>
            <w:shd w:val="clear" w:color="auto" w:fill="auto"/>
            <w:hideMark/>
          </w:tcPr>
          <w:p w14:paraId="5275A074"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Postneonatal mortality rate  per 1,000 live births</w:t>
            </w:r>
          </w:p>
        </w:tc>
      </w:tr>
      <w:tr w:rsidR="0007198D" w:rsidRPr="0007198D" w14:paraId="394F84D5" w14:textId="77777777" w:rsidTr="00775656">
        <w:trPr>
          <w:trHeight w:val="240"/>
        </w:trPr>
        <w:tc>
          <w:tcPr>
            <w:tcW w:w="707" w:type="dxa"/>
            <w:tcBorders>
              <w:top w:val="nil"/>
              <w:left w:val="single" w:sz="4" w:space="0" w:color="auto"/>
              <w:bottom w:val="single" w:sz="4" w:space="0" w:color="auto"/>
              <w:right w:val="single" w:sz="4" w:space="0" w:color="auto"/>
            </w:tcBorders>
            <w:shd w:val="clear" w:color="auto" w:fill="auto"/>
            <w:hideMark/>
          </w:tcPr>
          <w:p w14:paraId="6A5E7BD7"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9.4</w:t>
            </w:r>
          </w:p>
        </w:tc>
        <w:tc>
          <w:tcPr>
            <w:tcW w:w="8640" w:type="dxa"/>
            <w:tcBorders>
              <w:top w:val="nil"/>
              <w:left w:val="nil"/>
              <w:bottom w:val="single" w:sz="4" w:space="0" w:color="auto"/>
              <w:right w:val="single" w:sz="4" w:space="0" w:color="auto"/>
            </w:tcBorders>
            <w:shd w:val="clear" w:color="auto" w:fill="auto"/>
            <w:hideMark/>
          </w:tcPr>
          <w:p w14:paraId="45C1DD31"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Preterm-related mortality rate per 100,000 live births</w:t>
            </w:r>
          </w:p>
        </w:tc>
      </w:tr>
      <w:tr w:rsidR="0007198D" w:rsidRPr="0007198D" w14:paraId="12415C62" w14:textId="77777777" w:rsidTr="00775656">
        <w:trPr>
          <w:trHeight w:val="240"/>
        </w:trPr>
        <w:tc>
          <w:tcPr>
            <w:tcW w:w="707" w:type="dxa"/>
            <w:tcBorders>
              <w:top w:val="nil"/>
              <w:left w:val="single" w:sz="4" w:space="0" w:color="auto"/>
              <w:bottom w:val="single" w:sz="4" w:space="0" w:color="auto"/>
              <w:right w:val="single" w:sz="4" w:space="0" w:color="auto"/>
            </w:tcBorders>
            <w:shd w:val="clear" w:color="auto" w:fill="auto"/>
            <w:hideMark/>
          </w:tcPr>
          <w:p w14:paraId="3AA7A5AA"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9.5</w:t>
            </w:r>
          </w:p>
        </w:tc>
        <w:tc>
          <w:tcPr>
            <w:tcW w:w="8640" w:type="dxa"/>
            <w:tcBorders>
              <w:top w:val="nil"/>
              <w:left w:val="nil"/>
              <w:bottom w:val="single" w:sz="4" w:space="0" w:color="auto"/>
              <w:right w:val="single" w:sz="4" w:space="0" w:color="auto"/>
            </w:tcBorders>
            <w:shd w:val="clear" w:color="auto" w:fill="auto"/>
            <w:hideMark/>
          </w:tcPr>
          <w:p w14:paraId="4C8B2CC5"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Sleep-related Sudden Unexpected Infant Death (SUID) rate  per 100,000 live births</w:t>
            </w:r>
          </w:p>
        </w:tc>
      </w:tr>
      <w:tr w:rsidR="0007198D" w:rsidRPr="0007198D" w14:paraId="2275576B" w14:textId="77777777" w:rsidTr="00775656">
        <w:trPr>
          <w:trHeight w:val="240"/>
        </w:trPr>
        <w:tc>
          <w:tcPr>
            <w:tcW w:w="707" w:type="dxa"/>
            <w:tcBorders>
              <w:top w:val="nil"/>
              <w:left w:val="single" w:sz="4" w:space="0" w:color="auto"/>
              <w:bottom w:val="single" w:sz="4" w:space="0" w:color="auto"/>
              <w:right w:val="single" w:sz="4" w:space="0" w:color="auto"/>
            </w:tcBorders>
            <w:shd w:val="clear" w:color="auto" w:fill="auto"/>
            <w:noWrap/>
            <w:hideMark/>
          </w:tcPr>
          <w:p w14:paraId="7081D4C5"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10</w:t>
            </w:r>
          </w:p>
        </w:tc>
        <w:tc>
          <w:tcPr>
            <w:tcW w:w="8640" w:type="dxa"/>
            <w:tcBorders>
              <w:top w:val="nil"/>
              <w:left w:val="nil"/>
              <w:bottom w:val="single" w:sz="4" w:space="0" w:color="auto"/>
              <w:right w:val="single" w:sz="4" w:space="0" w:color="auto"/>
            </w:tcBorders>
            <w:shd w:val="clear" w:color="auto" w:fill="auto"/>
            <w:vAlign w:val="center"/>
            <w:hideMark/>
          </w:tcPr>
          <w:p w14:paraId="3FCC7A1C"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hAnsi="Arial" w:cs="Arial"/>
                <w:noProof/>
                <w:sz w:val="18"/>
                <w:szCs w:val="18"/>
              </w:rPr>
              <w:t>Percent of infants born with fetal alcohol exposure in the last 3 months of pregnancy</w:t>
            </w:r>
          </w:p>
        </w:tc>
      </w:tr>
      <w:tr w:rsidR="0007198D" w:rsidRPr="0007198D" w14:paraId="3227D7D1" w14:textId="77777777" w:rsidTr="00775656">
        <w:trPr>
          <w:trHeight w:val="240"/>
        </w:trPr>
        <w:tc>
          <w:tcPr>
            <w:tcW w:w="707" w:type="dxa"/>
            <w:tcBorders>
              <w:top w:val="nil"/>
              <w:left w:val="single" w:sz="4" w:space="0" w:color="auto"/>
              <w:bottom w:val="single" w:sz="4" w:space="0" w:color="auto"/>
              <w:right w:val="single" w:sz="4" w:space="0" w:color="auto"/>
            </w:tcBorders>
            <w:shd w:val="clear" w:color="auto" w:fill="auto"/>
            <w:noWrap/>
            <w:hideMark/>
          </w:tcPr>
          <w:p w14:paraId="0AA77625"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11</w:t>
            </w:r>
          </w:p>
        </w:tc>
        <w:tc>
          <w:tcPr>
            <w:tcW w:w="8640" w:type="dxa"/>
            <w:tcBorders>
              <w:top w:val="nil"/>
              <w:left w:val="nil"/>
              <w:bottom w:val="single" w:sz="4" w:space="0" w:color="auto"/>
              <w:right w:val="single" w:sz="4" w:space="0" w:color="auto"/>
            </w:tcBorders>
            <w:shd w:val="clear" w:color="auto" w:fill="auto"/>
            <w:vAlign w:val="center"/>
            <w:hideMark/>
          </w:tcPr>
          <w:p w14:paraId="556C2DDA" w14:textId="7CAF5935" w:rsidR="0007198D" w:rsidRPr="0007198D" w:rsidRDefault="0007198D" w:rsidP="00150DC1">
            <w:pPr>
              <w:spacing w:after="0" w:line="240" w:lineRule="auto"/>
              <w:rPr>
                <w:rFonts w:ascii="Arial" w:eastAsia="Times New Roman" w:hAnsi="Arial" w:cs="Arial"/>
                <w:color w:val="000000"/>
                <w:sz w:val="18"/>
                <w:szCs w:val="18"/>
              </w:rPr>
            </w:pPr>
            <w:r w:rsidRPr="0007198D">
              <w:rPr>
                <w:rFonts w:ascii="Arial" w:hAnsi="Arial" w:cs="Arial"/>
                <w:noProof/>
                <w:sz w:val="18"/>
                <w:szCs w:val="18"/>
              </w:rPr>
              <w:t>The rate of infants born with neonatal abstinence syndrome per 1,000 hospital</w:t>
            </w:r>
            <w:r w:rsidR="00150DC1">
              <w:rPr>
                <w:rFonts w:ascii="Arial" w:hAnsi="Arial" w:cs="Arial"/>
                <w:noProof/>
                <w:sz w:val="18"/>
                <w:szCs w:val="18"/>
              </w:rPr>
              <w:t xml:space="preserve"> births</w:t>
            </w:r>
          </w:p>
        </w:tc>
      </w:tr>
      <w:tr w:rsidR="0007198D" w:rsidRPr="0007198D" w14:paraId="521898F2" w14:textId="77777777" w:rsidTr="00775656">
        <w:trPr>
          <w:trHeight w:val="467"/>
        </w:trPr>
        <w:tc>
          <w:tcPr>
            <w:tcW w:w="707" w:type="dxa"/>
            <w:tcBorders>
              <w:top w:val="nil"/>
              <w:left w:val="single" w:sz="4" w:space="0" w:color="auto"/>
              <w:bottom w:val="single" w:sz="4" w:space="0" w:color="auto"/>
              <w:right w:val="single" w:sz="4" w:space="0" w:color="auto"/>
            </w:tcBorders>
            <w:shd w:val="clear" w:color="auto" w:fill="auto"/>
            <w:hideMark/>
          </w:tcPr>
          <w:p w14:paraId="3D8F3BAD"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12</w:t>
            </w:r>
          </w:p>
        </w:tc>
        <w:tc>
          <w:tcPr>
            <w:tcW w:w="8640" w:type="dxa"/>
            <w:tcBorders>
              <w:top w:val="nil"/>
              <w:left w:val="nil"/>
              <w:bottom w:val="single" w:sz="4" w:space="0" w:color="auto"/>
              <w:right w:val="single" w:sz="4" w:space="0" w:color="auto"/>
            </w:tcBorders>
            <w:shd w:val="clear" w:color="auto" w:fill="auto"/>
            <w:hideMark/>
          </w:tcPr>
          <w:p w14:paraId="3AF13204"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Percent of eligible newborns screened for heritable disorders with on time physician notification for out of range screens who are followed up in a timely manner. (DEVELOPMENTAL)</w:t>
            </w:r>
          </w:p>
        </w:tc>
      </w:tr>
      <w:tr w:rsidR="0007198D" w:rsidRPr="0007198D" w14:paraId="1511BA4F" w14:textId="77777777" w:rsidTr="00775656">
        <w:trPr>
          <w:trHeight w:val="251"/>
        </w:trPr>
        <w:tc>
          <w:tcPr>
            <w:tcW w:w="707" w:type="dxa"/>
            <w:tcBorders>
              <w:top w:val="nil"/>
              <w:left w:val="single" w:sz="4" w:space="0" w:color="auto"/>
              <w:bottom w:val="single" w:sz="4" w:space="0" w:color="auto"/>
              <w:right w:val="single" w:sz="4" w:space="0" w:color="auto"/>
            </w:tcBorders>
            <w:shd w:val="clear" w:color="auto" w:fill="auto"/>
            <w:hideMark/>
          </w:tcPr>
          <w:p w14:paraId="14B05F6C"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13</w:t>
            </w:r>
          </w:p>
        </w:tc>
        <w:tc>
          <w:tcPr>
            <w:tcW w:w="8640" w:type="dxa"/>
            <w:tcBorders>
              <w:top w:val="nil"/>
              <w:left w:val="nil"/>
              <w:bottom w:val="single" w:sz="4" w:space="0" w:color="auto"/>
              <w:right w:val="single" w:sz="4" w:space="0" w:color="auto"/>
            </w:tcBorders>
            <w:shd w:val="clear" w:color="auto" w:fill="auto"/>
            <w:hideMark/>
          </w:tcPr>
          <w:p w14:paraId="4D496E1A"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Percent of children meeting the criteria developed for school readiness (DEVELOPMENTAL)</w:t>
            </w:r>
          </w:p>
        </w:tc>
      </w:tr>
      <w:tr w:rsidR="0007198D" w:rsidRPr="0007198D" w14:paraId="494ACB9C" w14:textId="77777777" w:rsidTr="00775656">
        <w:trPr>
          <w:trHeight w:val="260"/>
        </w:trPr>
        <w:tc>
          <w:tcPr>
            <w:tcW w:w="707" w:type="dxa"/>
            <w:tcBorders>
              <w:top w:val="nil"/>
              <w:left w:val="single" w:sz="4" w:space="0" w:color="auto"/>
              <w:bottom w:val="single" w:sz="4" w:space="0" w:color="auto"/>
              <w:right w:val="single" w:sz="4" w:space="0" w:color="auto"/>
            </w:tcBorders>
            <w:shd w:val="clear" w:color="auto" w:fill="auto"/>
            <w:hideMark/>
          </w:tcPr>
          <w:p w14:paraId="64251A86"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14</w:t>
            </w:r>
          </w:p>
        </w:tc>
        <w:tc>
          <w:tcPr>
            <w:tcW w:w="8640" w:type="dxa"/>
            <w:tcBorders>
              <w:top w:val="nil"/>
              <w:left w:val="nil"/>
              <w:bottom w:val="single" w:sz="4" w:space="0" w:color="auto"/>
              <w:right w:val="single" w:sz="4" w:space="0" w:color="auto"/>
            </w:tcBorders>
            <w:shd w:val="clear" w:color="auto" w:fill="auto"/>
            <w:hideMark/>
          </w:tcPr>
          <w:p w14:paraId="7E777EDC" w14:textId="1F987049" w:rsidR="0007198D" w:rsidRPr="0007198D" w:rsidRDefault="0007198D" w:rsidP="00150DC1">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Percent of children</w:t>
            </w:r>
            <w:r w:rsidR="00150DC1">
              <w:rPr>
                <w:rFonts w:ascii="Arial" w:eastAsia="Times New Roman" w:hAnsi="Arial" w:cs="Arial"/>
                <w:color w:val="000000"/>
                <w:sz w:val="18"/>
                <w:szCs w:val="18"/>
              </w:rPr>
              <w:t>,</w:t>
            </w:r>
            <w:r w:rsidRPr="0007198D">
              <w:rPr>
                <w:rFonts w:ascii="Arial" w:eastAsia="Times New Roman" w:hAnsi="Arial" w:cs="Arial"/>
                <w:color w:val="000000"/>
                <w:sz w:val="18"/>
                <w:szCs w:val="18"/>
              </w:rPr>
              <w:t xml:space="preserve"> ages 1 through 17</w:t>
            </w:r>
            <w:r w:rsidR="00150DC1">
              <w:rPr>
                <w:rFonts w:ascii="Arial" w:eastAsia="Times New Roman" w:hAnsi="Arial" w:cs="Arial"/>
                <w:color w:val="000000"/>
                <w:sz w:val="18"/>
                <w:szCs w:val="18"/>
              </w:rPr>
              <w:t>,</w:t>
            </w:r>
            <w:r w:rsidRPr="0007198D">
              <w:rPr>
                <w:rFonts w:ascii="Arial" w:eastAsia="Times New Roman" w:hAnsi="Arial" w:cs="Arial"/>
                <w:color w:val="000000"/>
                <w:sz w:val="18"/>
                <w:szCs w:val="18"/>
              </w:rPr>
              <w:t xml:space="preserve"> who have decayed teeth or cavities in the past </w:t>
            </w:r>
            <w:r w:rsidR="00150DC1">
              <w:rPr>
                <w:rFonts w:ascii="Arial" w:eastAsia="Times New Roman" w:hAnsi="Arial" w:cs="Arial"/>
                <w:color w:val="000000"/>
                <w:sz w:val="18"/>
                <w:szCs w:val="18"/>
              </w:rPr>
              <w:t>year</w:t>
            </w:r>
          </w:p>
        </w:tc>
      </w:tr>
      <w:tr w:rsidR="0007198D" w:rsidRPr="0007198D" w14:paraId="1D7AC09E" w14:textId="77777777" w:rsidTr="00775656">
        <w:trPr>
          <w:trHeight w:val="240"/>
        </w:trPr>
        <w:tc>
          <w:tcPr>
            <w:tcW w:w="707" w:type="dxa"/>
            <w:tcBorders>
              <w:top w:val="nil"/>
              <w:left w:val="single" w:sz="4" w:space="0" w:color="auto"/>
              <w:bottom w:val="single" w:sz="4" w:space="0" w:color="auto"/>
              <w:right w:val="single" w:sz="4" w:space="0" w:color="auto"/>
            </w:tcBorders>
            <w:shd w:val="clear" w:color="auto" w:fill="auto"/>
            <w:hideMark/>
          </w:tcPr>
          <w:p w14:paraId="55720C18"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15</w:t>
            </w:r>
          </w:p>
        </w:tc>
        <w:tc>
          <w:tcPr>
            <w:tcW w:w="8640" w:type="dxa"/>
            <w:tcBorders>
              <w:top w:val="nil"/>
              <w:left w:val="nil"/>
              <w:bottom w:val="single" w:sz="4" w:space="0" w:color="auto"/>
              <w:right w:val="single" w:sz="4" w:space="0" w:color="auto"/>
            </w:tcBorders>
            <w:shd w:val="clear" w:color="auto" w:fill="auto"/>
            <w:hideMark/>
          </w:tcPr>
          <w:p w14:paraId="1346C831" w14:textId="1B226A73"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Child mortality rate</w:t>
            </w:r>
            <w:r w:rsidR="008E06FF">
              <w:rPr>
                <w:rFonts w:ascii="Arial" w:eastAsia="Times New Roman" w:hAnsi="Arial" w:cs="Arial"/>
                <w:color w:val="000000"/>
                <w:sz w:val="18"/>
                <w:szCs w:val="18"/>
              </w:rPr>
              <w:t>,</w:t>
            </w:r>
            <w:r w:rsidRPr="0007198D">
              <w:rPr>
                <w:rFonts w:ascii="Arial" w:eastAsia="Times New Roman" w:hAnsi="Arial" w:cs="Arial"/>
                <w:color w:val="000000"/>
                <w:sz w:val="18"/>
                <w:szCs w:val="18"/>
              </w:rPr>
              <w:t xml:space="preserve"> ages 1 through 9</w:t>
            </w:r>
            <w:r w:rsidR="008E06FF">
              <w:rPr>
                <w:rFonts w:ascii="Arial" w:eastAsia="Times New Roman" w:hAnsi="Arial" w:cs="Arial"/>
                <w:color w:val="000000"/>
                <w:sz w:val="18"/>
                <w:szCs w:val="18"/>
              </w:rPr>
              <w:t>,</w:t>
            </w:r>
            <w:r w:rsidRPr="0007198D">
              <w:rPr>
                <w:rFonts w:ascii="Arial" w:eastAsia="Times New Roman" w:hAnsi="Arial" w:cs="Arial"/>
                <w:color w:val="000000"/>
                <w:sz w:val="18"/>
                <w:szCs w:val="18"/>
              </w:rPr>
              <w:t xml:space="preserve"> per 100,000 </w:t>
            </w:r>
          </w:p>
        </w:tc>
      </w:tr>
      <w:tr w:rsidR="0007198D" w:rsidRPr="0007198D" w14:paraId="2836F815" w14:textId="77777777" w:rsidTr="00775656">
        <w:trPr>
          <w:trHeight w:val="240"/>
        </w:trPr>
        <w:tc>
          <w:tcPr>
            <w:tcW w:w="707" w:type="dxa"/>
            <w:tcBorders>
              <w:top w:val="nil"/>
              <w:left w:val="single" w:sz="4" w:space="0" w:color="auto"/>
              <w:bottom w:val="single" w:sz="4" w:space="0" w:color="auto"/>
              <w:right w:val="single" w:sz="4" w:space="0" w:color="auto"/>
            </w:tcBorders>
            <w:shd w:val="clear" w:color="auto" w:fill="auto"/>
            <w:hideMark/>
          </w:tcPr>
          <w:p w14:paraId="093C2573"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16.1</w:t>
            </w:r>
          </w:p>
        </w:tc>
        <w:tc>
          <w:tcPr>
            <w:tcW w:w="8640" w:type="dxa"/>
            <w:tcBorders>
              <w:top w:val="nil"/>
              <w:left w:val="nil"/>
              <w:bottom w:val="single" w:sz="4" w:space="0" w:color="auto"/>
              <w:right w:val="single" w:sz="4" w:space="0" w:color="auto"/>
            </w:tcBorders>
            <w:shd w:val="clear" w:color="auto" w:fill="auto"/>
            <w:hideMark/>
          </w:tcPr>
          <w:p w14:paraId="63755B28" w14:textId="6AE31CAE"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Adolescent mortality rate</w:t>
            </w:r>
            <w:r w:rsidR="008E06FF">
              <w:rPr>
                <w:rFonts w:ascii="Arial" w:eastAsia="Times New Roman" w:hAnsi="Arial" w:cs="Arial"/>
                <w:color w:val="000000"/>
                <w:sz w:val="18"/>
                <w:szCs w:val="18"/>
              </w:rPr>
              <w:t>,</w:t>
            </w:r>
            <w:r w:rsidRPr="0007198D">
              <w:rPr>
                <w:rFonts w:ascii="Arial" w:eastAsia="Times New Roman" w:hAnsi="Arial" w:cs="Arial"/>
                <w:color w:val="000000"/>
                <w:sz w:val="18"/>
                <w:szCs w:val="18"/>
              </w:rPr>
              <w:t xml:space="preserve"> ages 10 through 19</w:t>
            </w:r>
            <w:r w:rsidR="008E06FF">
              <w:rPr>
                <w:rFonts w:ascii="Arial" w:eastAsia="Times New Roman" w:hAnsi="Arial" w:cs="Arial"/>
                <w:color w:val="000000"/>
                <w:sz w:val="18"/>
                <w:szCs w:val="18"/>
              </w:rPr>
              <w:t>,</w:t>
            </w:r>
            <w:r w:rsidRPr="0007198D">
              <w:rPr>
                <w:rFonts w:ascii="Arial" w:eastAsia="Times New Roman" w:hAnsi="Arial" w:cs="Arial"/>
                <w:color w:val="000000"/>
                <w:sz w:val="18"/>
                <w:szCs w:val="18"/>
              </w:rPr>
              <w:t xml:space="preserve"> per 100,000</w:t>
            </w:r>
          </w:p>
        </w:tc>
      </w:tr>
      <w:tr w:rsidR="0007198D" w:rsidRPr="0007198D" w14:paraId="0AC8D5AD" w14:textId="77777777" w:rsidTr="00775656">
        <w:trPr>
          <w:trHeight w:val="233"/>
        </w:trPr>
        <w:tc>
          <w:tcPr>
            <w:tcW w:w="707" w:type="dxa"/>
            <w:tcBorders>
              <w:top w:val="nil"/>
              <w:left w:val="single" w:sz="4" w:space="0" w:color="auto"/>
              <w:bottom w:val="single" w:sz="4" w:space="0" w:color="auto"/>
              <w:right w:val="single" w:sz="4" w:space="0" w:color="auto"/>
            </w:tcBorders>
            <w:shd w:val="clear" w:color="auto" w:fill="auto"/>
            <w:hideMark/>
          </w:tcPr>
          <w:p w14:paraId="5FD7FC58"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16.2</w:t>
            </w:r>
          </w:p>
        </w:tc>
        <w:tc>
          <w:tcPr>
            <w:tcW w:w="8640" w:type="dxa"/>
            <w:tcBorders>
              <w:top w:val="nil"/>
              <w:left w:val="nil"/>
              <w:bottom w:val="single" w:sz="4" w:space="0" w:color="auto"/>
              <w:right w:val="single" w:sz="4" w:space="0" w:color="auto"/>
            </w:tcBorders>
            <w:shd w:val="clear" w:color="auto" w:fill="auto"/>
            <w:hideMark/>
          </w:tcPr>
          <w:p w14:paraId="7BF89714"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 xml:space="preserve">Adolescent motor vehicle mortality rate ages 15 through 19 per 100,000 </w:t>
            </w:r>
          </w:p>
        </w:tc>
      </w:tr>
      <w:tr w:rsidR="0007198D" w:rsidRPr="0007198D" w14:paraId="42E19CDC" w14:textId="77777777" w:rsidTr="00775656">
        <w:trPr>
          <w:trHeight w:val="240"/>
        </w:trPr>
        <w:tc>
          <w:tcPr>
            <w:tcW w:w="707" w:type="dxa"/>
            <w:tcBorders>
              <w:top w:val="nil"/>
              <w:left w:val="single" w:sz="4" w:space="0" w:color="auto"/>
              <w:bottom w:val="single" w:sz="4" w:space="0" w:color="auto"/>
              <w:right w:val="single" w:sz="4" w:space="0" w:color="auto"/>
            </w:tcBorders>
            <w:shd w:val="clear" w:color="auto" w:fill="auto"/>
            <w:hideMark/>
          </w:tcPr>
          <w:p w14:paraId="55BA079E"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16.3</w:t>
            </w:r>
          </w:p>
        </w:tc>
        <w:tc>
          <w:tcPr>
            <w:tcW w:w="8640" w:type="dxa"/>
            <w:tcBorders>
              <w:top w:val="nil"/>
              <w:left w:val="nil"/>
              <w:bottom w:val="single" w:sz="4" w:space="0" w:color="auto"/>
              <w:right w:val="single" w:sz="4" w:space="0" w:color="auto"/>
            </w:tcBorders>
            <w:shd w:val="clear" w:color="auto" w:fill="auto"/>
            <w:hideMark/>
          </w:tcPr>
          <w:p w14:paraId="5CC313F6"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Adolescent suicide rate ages 15 through 19 per 100,000</w:t>
            </w:r>
          </w:p>
        </w:tc>
      </w:tr>
      <w:tr w:rsidR="0007198D" w:rsidRPr="0007198D" w14:paraId="0E8016FD" w14:textId="77777777" w:rsidTr="00775656">
        <w:trPr>
          <w:trHeight w:val="240"/>
        </w:trPr>
        <w:tc>
          <w:tcPr>
            <w:tcW w:w="707" w:type="dxa"/>
            <w:tcBorders>
              <w:top w:val="nil"/>
              <w:left w:val="single" w:sz="4" w:space="0" w:color="auto"/>
              <w:bottom w:val="single" w:sz="4" w:space="0" w:color="auto"/>
              <w:right w:val="single" w:sz="4" w:space="0" w:color="auto"/>
            </w:tcBorders>
            <w:shd w:val="clear" w:color="auto" w:fill="auto"/>
            <w:hideMark/>
          </w:tcPr>
          <w:p w14:paraId="644B6B40"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17.1</w:t>
            </w:r>
          </w:p>
        </w:tc>
        <w:tc>
          <w:tcPr>
            <w:tcW w:w="8640" w:type="dxa"/>
            <w:tcBorders>
              <w:top w:val="nil"/>
              <w:left w:val="nil"/>
              <w:bottom w:val="single" w:sz="4" w:space="0" w:color="auto"/>
              <w:right w:val="single" w:sz="4" w:space="0" w:color="auto"/>
            </w:tcBorders>
            <w:shd w:val="clear" w:color="auto" w:fill="auto"/>
            <w:hideMark/>
          </w:tcPr>
          <w:p w14:paraId="3C5E7375" w14:textId="2C00C530"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Percent of children with special health care needs</w:t>
            </w:r>
            <w:r w:rsidR="008E06FF">
              <w:rPr>
                <w:rFonts w:ascii="Arial" w:eastAsia="Times New Roman" w:hAnsi="Arial" w:cs="Arial"/>
                <w:color w:val="000000"/>
                <w:sz w:val="18"/>
                <w:szCs w:val="18"/>
              </w:rPr>
              <w:t xml:space="preserve"> (CSHCN), ages 0 through 17</w:t>
            </w:r>
          </w:p>
        </w:tc>
      </w:tr>
      <w:tr w:rsidR="0007198D" w:rsidRPr="0007198D" w14:paraId="4A7A08A4" w14:textId="77777777" w:rsidTr="00775656">
        <w:trPr>
          <w:trHeight w:val="480"/>
        </w:trPr>
        <w:tc>
          <w:tcPr>
            <w:tcW w:w="707" w:type="dxa"/>
            <w:tcBorders>
              <w:top w:val="nil"/>
              <w:left w:val="single" w:sz="4" w:space="0" w:color="auto"/>
              <w:bottom w:val="single" w:sz="4" w:space="0" w:color="auto"/>
              <w:right w:val="single" w:sz="4" w:space="0" w:color="auto"/>
            </w:tcBorders>
            <w:shd w:val="clear" w:color="auto" w:fill="auto"/>
            <w:hideMark/>
          </w:tcPr>
          <w:p w14:paraId="62FEA653"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17.2</w:t>
            </w:r>
          </w:p>
        </w:tc>
        <w:tc>
          <w:tcPr>
            <w:tcW w:w="8640" w:type="dxa"/>
            <w:tcBorders>
              <w:top w:val="nil"/>
              <w:left w:val="nil"/>
              <w:bottom w:val="single" w:sz="4" w:space="0" w:color="auto"/>
              <w:right w:val="single" w:sz="4" w:space="0" w:color="auto"/>
            </w:tcBorders>
            <w:shd w:val="clear" w:color="auto" w:fill="auto"/>
            <w:hideMark/>
          </w:tcPr>
          <w:p w14:paraId="5E3FA3C1" w14:textId="5BDF33F3" w:rsidR="0007198D" w:rsidRPr="0007198D" w:rsidRDefault="0007198D" w:rsidP="008E06FF">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Percent of children with special health care needs (CSHCN)</w:t>
            </w:r>
            <w:r w:rsidR="008E06FF">
              <w:rPr>
                <w:rFonts w:ascii="Arial" w:eastAsia="Times New Roman" w:hAnsi="Arial" w:cs="Arial"/>
                <w:color w:val="000000"/>
                <w:sz w:val="18"/>
                <w:szCs w:val="18"/>
              </w:rPr>
              <w:t xml:space="preserve">, ages 0 through 17, who receive </w:t>
            </w:r>
            <w:r w:rsidRPr="0007198D">
              <w:rPr>
                <w:rFonts w:ascii="Arial" w:eastAsia="Times New Roman" w:hAnsi="Arial" w:cs="Arial"/>
                <w:color w:val="000000"/>
                <w:sz w:val="18"/>
                <w:szCs w:val="18"/>
              </w:rPr>
              <w:t>care in a well-functioning system</w:t>
            </w:r>
          </w:p>
        </w:tc>
      </w:tr>
      <w:tr w:rsidR="0007198D" w:rsidRPr="0007198D" w14:paraId="07CAAC00" w14:textId="77777777" w:rsidTr="00775656">
        <w:trPr>
          <w:trHeight w:val="240"/>
        </w:trPr>
        <w:tc>
          <w:tcPr>
            <w:tcW w:w="707" w:type="dxa"/>
            <w:tcBorders>
              <w:top w:val="nil"/>
              <w:left w:val="single" w:sz="4" w:space="0" w:color="auto"/>
              <w:bottom w:val="single" w:sz="4" w:space="0" w:color="auto"/>
              <w:right w:val="single" w:sz="4" w:space="0" w:color="auto"/>
            </w:tcBorders>
            <w:shd w:val="clear" w:color="auto" w:fill="auto"/>
            <w:hideMark/>
          </w:tcPr>
          <w:p w14:paraId="46AA5A23"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17.3</w:t>
            </w:r>
          </w:p>
        </w:tc>
        <w:tc>
          <w:tcPr>
            <w:tcW w:w="8640" w:type="dxa"/>
            <w:tcBorders>
              <w:top w:val="nil"/>
              <w:left w:val="nil"/>
              <w:bottom w:val="single" w:sz="4" w:space="0" w:color="auto"/>
              <w:right w:val="single" w:sz="4" w:space="0" w:color="auto"/>
            </w:tcBorders>
            <w:shd w:val="clear" w:color="auto" w:fill="auto"/>
            <w:hideMark/>
          </w:tcPr>
          <w:p w14:paraId="1050D366" w14:textId="1E731DEA" w:rsidR="0007198D" w:rsidRPr="0007198D" w:rsidRDefault="0007198D" w:rsidP="008E06FF">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Percent of children</w:t>
            </w:r>
            <w:r w:rsidR="008E06FF">
              <w:rPr>
                <w:rFonts w:ascii="Arial" w:eastAsia="Times New Roman" w:hAnsi="Arial" w:cs="Arial"/>
                <w:color w:val="000000"/>
                <w:sz w:val="18"/>
                <w:szCs w:val="18"/>
              </w:rPr>
              <w:t xml:space="preserve">, ages 3 through 17, </w:t>
            </w:r>
            <w:r w:rsidRPr="0007198D">
              <w:rPr>
                <w:rFonts w:ascii="Arial" w:eastAsia="Times New Roman" w:hAnsi="Arial" w:cs="Arial"/>
                <w:color w:val="000000"/>
                <w:sz w:val="18"/>
                <w:szCs w:val="18"/>
              </w:rPr>
              <w:t>diagnosed with an autism spectrum disorder</w:t>
            </w:r>
          </w:p>
        </w:tc>
      </w:tr>
      <w:tr w:rsidR="0007198D" w:rsidRPr="0007198D" w14:paraId="6AAC142B" w14:textId="77777777" w:rsidTr="00775656">
        <w:trPr>
          <w:trHeight w:val="480"/>
        </w:trPr>
        <w:tc>
          <w:tcPr>
            <w:tcW w:w="707" w:type="dxa"/>
            <w:tcBorders>
              <w:top w:val="nil"/>
              <w:left w:val="single" w:sz="4" w:space="0" w:color="auto"/>
              <w:bottom w:val="single" w:sz="4" w:space="0" w:color="auto"/>
              <w:right w:val="single" w:sz="4" w:space="0" w:color="auto"/>
            </w:tcBorders>
            <w:shd w:val="clear" w:color="auto" w:fill="auto"/>
            <w:hideMark/>
          </w:tcPr>
          <w:p w14:paraId="05353B78"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17.4</w:t>
            </w:r>
          </w:p>
        </w:tc>
        <w:tc>
          <w:tcPr>
            <w:tcW w:w="8640" w:type="dxa"/>
            <w:tcBorders>
              <w:top w:val="nil"/>
              <w:left w:val="nil"/>
              <w:bottom w:val="single" w:sz="4" w:space="0" w:color="auto"/>
              <w:right w:val="single" w:sz="4" w:space="0" w:color="auto"/>
            </w:tcBorders>
            <w:shd w:val="clear" w:color="auto" w:fill="auto"/>
            <w:hideMark/>
          </w:tcPr>
          <w:p w14:paraId="6637184C" w14:textId="50021115" w:rsidR="0007198D" w:rsidRPr="0007198D" w:rsidRDefault="0007198D" w:rsidP="008E06FF">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Percent of children</w:t>
            </w:r>
            <w:r w:rsidR="008E06FF">
              <w:rPr>
                <w:rFonts w:ascii="Arial" w:eastAsia="Times New Roman" w:hAnsi="Arial" w:cs="Arial"/>
                <w:color w:val="000000"/>
                <w:sz w:val="18"/>
                <w:szCs w:val="18"/>
              </w:rPr>
              <w:t xml:space="preserve">, ages 3 through 17, </w:t>
            </w:r>
            <w:r w:rsidRPr="0007198D">
              <w:rPr>
                <w:rFonts w:ascii="Arial" w:eastAsia="Times New Roman" w:hAnsi="Arial" w:cs="Arial"/>
                <w:color w:val="000000"/>
                <w:sz w:val="18"/>
                <w:szCs w:val="18"/>
              </w:rPr>
              <w:t>diagnosed with Attention Deficit Disorder/Attention Deficit Hyperactivity Disorder (ADD/ADHD)</w:t>
            </w:r>
          </w:p>
        </w:tc>
      </w:tr>
      <w:tr w:rsidR="0007198D" w:rsidRPr="0007198D" w14:paraId="3D4C51FB" w14:textId="77777777" w:rsidTr="00775656">
        <w:trPr>
          <w:trHeight w:val="240"/>
        </w:trPr>
        <w:tc>
          <w:tcPr>
            <w:tcW w:w="707" w:type="dxa"/>
            <w:tcBorders>
              <w:top w:val="nil"/>
              <w:left w:val="single" w:sz="4" w:space="0" w:color="auto"/>
              <w:bottom w:val="single" w:sz="4" w:space="0" w:color="auto"/>
              <w:right w:val="single" w:sz="4" w:space="0" w:color="auto"/>
            </w:tcBorders>
            <w:shd w:val="clear" w:color="auto" w:fill="auto"/>
            <w:hideMark/>
          </w:tcPr>
          <w:p w14:paraId="668E996C"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18</w:t>
            </w:r>
          </w:p>
        </w:tc>
        <w:tc>
          <w:tcPr>
            <w:tcW w:w="8640" w:type="dxa"/>
            <w:tcBorders>
              <w:top w:val="nil"/>
              <w:left w:val="nil"/>
              <w:bottom w:val="single" w:sz="4" w:space="0" w:color="auto"/>
              <w:right w:val="single" w:sz="4" w:space="0" w:color="auto"/>
            </w:tcBorders>
            <w:shd w:val="clear" w:color="auto" w:fill="auto"/>
            <w:hideMark/>
          </w:tcPr>
          <w:p w14:paraId="07A0C258" w14:textId="6AD3E859"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Percent of children</w:t>
            </w:r>
            <w:r w:rsidR="008E06FF">
              <w:rPr>
                <w:rFonts w:ascii="Arial" w:eastAsia="Times New Roman" w:hAnsi="Arial" w:cs="Arial"/>
                <w:color w:val="000000"/>
                <w:sz w:val="18"/>
                <w:szCs w:val="18"/>
              </w:rPr>
              <w:t>, ages 3 through 17,</w:t>
            </w:r>
            <w:r w:rsidRPr="0007198D">
              <w:rPr>
                <w:rFonts w:ascii="Arial" w:eastAsia="Times New Roman" w:hAnsi="Arial" w:cs="Arial"/>
                <w:color w:val="000000"/>
                <w:sz w:val="18"/>
                <w:szCs w:val="18"/>
              </w:rPr>
              <w:t xml:space="preserve"> with a mental/behavioral condition who receive treatment or counseling</w:t>
            </w:r>
          </w:p>
        </w:tc>
      </w:tr>
      <w:tr w:rsidR="0007198D" w:rsidRPr="0007198D" w14:paraId="16062FCE" w14:textId="77777777" w:rsidTr="00775656">
        <w:trPr>
          <w:trHeight w:val="240"/>
        </w:trPr>
        <w:tc>
          <w:tcPr>
            <w:tcW w:w="707" w:type="dxa"/>
            <w:tcBorders>
              <w:top w:val="nil"/>
              <w:left w:val="single" w:sz="4" w:space="0" w:color="auto"/>
              <w:bottom w:val="single" w:sz="4" w:space="0" w:color="auto"/>
              <w:right w:val="single" w:sz="4" w:space="0" w:color="auto"/>
            </w:tcBorders>
            <w:shd w:val="clear" w:color="auto" w:fill="auto"/>
            <w:hideMark/>
          </w:tcPr>
          <w:p w14:paraId="33F1E3E0"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19</w:t>
            </w:r>
          </w:p>
        </w:tc>
        <w:tc>
          <w:tcPr>
            <w:tcW w:w="8640" w:type="dxa"/>
            <w:tcBorders>
              <w:top w:val="nil"/>
              <w:left w:val="nil"/>
              <w:bottom w:val="single" w:sz="4" w:space="0" w:color="auto"/>
              <w:right w:val="single" w:sz="4" w:space="0" w:color="auto"/>
            </w:tcBorders>
            <w:shd w:val="clear" w:color="auto" w:fill="auto"/>
            <w:hideMark/>
          </w:tcPr>
          <w:p w14:paraId="61BFCC1C" w14:textId="1B76375D" w:rsidR="0007198D" w:rsidRPr="0007198D" w:rsidRDefault="0007198D" w:rsidP="008E06FF">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Percent of children</w:t>
            </w:r>
            <w:r w:rsidR="008E06FF">
              <w:rPr>
                <w:rFonts w:ascii="Arial" w:eastAsia="Times New Roman" w:hAnsi="Arial" w:cs="Arial"/>
                <w:color w:val="000000"/>
                <w:sz w:val="18"/>
                <w:szCs w:val="18"/>
              </w:rPr>
              <w:t xml:space="preserve">, ages 0 through 17, </w:t>
            </w:r>
            <w:r w:rsidRPr="0007198D">
              <w:rPr>
                <w:rFonts w:ascii="Arial" w:eastAsia="Times New Roman" w:hAnsi="Arial" w:cs="Arial"/>
                <w:color w:val="000000"/>
                <w:sz w:val="18"/>
                <w:szCs w:val="18"/>
              </w:rPr>
              <w:t>in excellent or very good health</w:t>
            </w:r>
          </w:p>
        </w:tc>
      </w:tr>
      <w:tr w:rsidR="0007198D" w:rsidRPr="0007198D" w14:paraId="0907F0C0" w14:textId="77777777" w:rsidTr="00775656">
        <w:trPr>
          <w:trHeight w:val="260"/>
        </w:trPr>
        <w:tc>
          <w:tcPr>
            <w:tcW w:w="707" w:type="dxa"/>
            <w:tcBorders>
              <w:top w:val="nil"/>
              <w:left w:val="single" w:sz="4" w:space="0" w:color="auto"/>
              <w:bottom w:val="single" w:sz="4" w:space="0" w:color="auto"/>
              <w:right w:val="single" w:sz="4" w:space="0" w:color="auto"/>
            </w:tcBorders>
            <w:shd w:val="clear" w:color="auto" w:fill="auto"/>
            <w:hideMark/>
          </w:tcPr>
          <w:p w14:paraId="0664BF51"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20</w:t>
            </w:r>
          </w:p>
        </w:tc>
        <w:tc>
          <w:tcPr>
            <w:tcW w:w="8640" w:type="dxa"/>
            <w:tcBorders>
              <w:top w:val="nil"/>
              <w:left w:val="nil"/>
              <w:bottom w:val="single" w:sz="4" w:space="0" w:color="auto"/>
              <w:right w:val="single" w:sz="4" w:space="0" w:color="auto"/>
            </w:tcBorders>
            <w:shd w:val="clear" w:color="auto" w:fill="auto"/>
            <w:hideMark/>
          </w:tcPr>
          <w:p w14:paraId="620C32DB" w14:textId="76BBC00D" w:rsidR="0007198D" w:rsidRPr="0007198D" w:rsidRDefault="0007198D" w:rsidP="008E06FF">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Percent of children</w:t>
            </w:r>
            <w:r w:rsidR="008E06FF">
              <w:rPr>
                <w:rFonts w:ascii="Arial" w:eastAsia="Times New Roman" w:hAnsi="Arial" w:cs="Arial"/>
                <w:color w:val="000000"/>
                <w:sz w:val="18"/>
                <w:szCs w:val="18"/>
              </w:rPr>
              <w:t xml:space="preserve">, ages 2 through 4, </w:t>
            </w:r>
            <w:r w:rsidRPr="0007198D">
              <w:rPr>
                <w:rFonts w:ascii="Arial" w:eastAsia="Times New Roman" w:hAnsi="Arial" w:cs="Arial"/>
                <w:color w:val="000000"/>
                <w:sz w:val="18"/>
                <w:szCs w:val="18"/>
              </w:rPr>
              <w:t>and adolescents</w:t>
            </w:r>
            <w:r w:rsidR="008E06FF">
              <w:rPr>
                <w:rFonts w:ascii="Arial" w:eastAsia="Times New Roman" w:hAnsi="Arial" w:cs="Arial"/>
                <w:color w:val="000000"/>
                <w:sz w:val="18"/>
                <w:szCs w:val="18"/>
              </w:rPr>
              <w:t xml:space="preserve">, ages 10 through 17, </w:t>
            </w:r>
            <w:r w:rsidRPr="0007198D">
              <w:rPr>
                <w:rFonts w:ascii="Arial" w:eastAsia="Times New Roman" w:hAnsi="Arial" w:cs="Arial"/>
                <w:color w:val="000000"/>
                <w:sz w:val="18"/>
                <w:szCs w:val="18"/>
              </w:rPr>
              <w:t>who are obese (BMI at or above the 95th percentile)</w:t>
            </w:r>
          </w:p>
        </w:tc>
      </w:tr>
      <w:tr w:rsidR="0007198D" w:rsidRPr="0007198D" w14:paraId="00EC709B" w14:textId="77777777" w:rsidTr="00775656">
        <w:trPr>
          <w:trHeight w:val="240"/>
        </w:trPr>
        <w:tc>
          <w:tcPr>
            <w:tcW w:w="707" w:type="dxa"/>
            <w:tcBorders>
              <w:top w:val="nil"/>
              <w:left w:val="single" w:sz="4" w:space="0" w:color="auto"/>
              <w:bottom w:val="single" w:sz="4" w:space="0" w:color="auto"/>
              <w:right w:val="single" w:sz="4" w:space="0" w:color="auto"/>
            </w:tcBorders>
            <w:shd w:val="clear" w:color="auto" w:fill="auto"/>
            <w:hideMark/>
          </w:tcPr>
          <w:p w14:paraId="10ABAC87"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21</w:t>
            </w:r>
          </w:p>
        </w:tc>
        <w:tc>
          <w:tcPr>
            <w:tcW w:w="8640" w:type="dxa"/>
            <w:tcBorders>
              <w:top w:val="nil"/>
              <w:left w:val="nil"/>
              <w:bottom w:val="single" w:sz="4" w:space="0" w:color="auto"/>
              <w:right w:val="single" w:sz="4" w:space="0" w:color="auto"/>
            </w:tcBorders>
            <w:shd w:val="clear" w:color="auto" w:fill="auto"/>
            <w:hideMark/>
          </w:tcPr>
          <w:p w14:paraId="2506620E" w14:textId="35545789" w:rsidR="0007198D" w:rsidRPr="0007198D" w:rsidRDefault="0007198D" w:rsidP="008E06FF">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Percent of children</w:t>
            </w:r>
            <w:r w:rsidR="008E06FF">
              <w:rPr>
                <w:rFonts w:ascii="Arial" w:eastAsia="Times New Roman" w:hAnsi="Arial" w:cs="Arial"/>
                <w:color w:val="000000"/>
                <w:sz w:val="18"/>
                <w:szCs w:val="18"/>
              </w:rPr>
              <w:t xml:space="preserve">, ages 0 through 17, </w:t>
            </w:r>
            <w:r w:rsidRPr="0007198D">
              <w:rPr>
                <w:rFonts w:ascii="Arial" w:eastAsia="Times New Roman" w:hAnsi="Arial" w:cs="Arial"/>
                <w:color w:val="000000"/>
                <w:sz w:val="18"/>
                <w:szCs w:val="18"/>
              </w:rPr>
              <w:t>without health insurance</w:t>
            </w:r>
          </w:p>
        </w:tc>
      </w:tr>
      <w:tr w:rsidR="0007198D" w:rsidRPr="0007198D" w14:paraId="0D8DC317" w14:textId="77777777" w:rsidTr="00775656">
        <w:trPr>
          <w:trHeight w:val="480"/>
        </w:trPr>
        <w:tc>
          <w:tcPr>
            <w:tcW w:w="707" w:type="dxa"/>
            <w:tcBorders>
              <w:top w:val="nil"/>
              <w:left w:val="single" w:sz="4" w:space="0" w:color="auto"/>
              <w:bottom w:val="single" w:sz="4" w:space="0" w:color="auto"/>
              <w:right w:val="single" w:sz="4" w:space="0" w:color="auto"/>
            </w:tcBorders>
            <w:shd w:val="clear" w:color="auto" w:fill="auto"/>
            <w:hideMark/>
          </w:tcPr>
          <w:p w14:paraId="09A8A2A9"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22.1</w:t>
            </w:r>
          </w:p>
        </w:tc>
        <w:tc>
          <w:tcPr>
            <w:tcW w:w="8640" w:type="dxa"/>
            <w:tcBorders>
              <w:top w:val="nil"/>
              <w:left w:val="nil"/>
              <w:bottom w:val="single" w:sz="4" w:space="0" w:color="auto"/>
              <w:right w:val="single" w:sz="4" w:space="0" w:color="auto"/>
            </w:tcBorders>
            <w:shd w:val="clear" w:color="auto" w:fill="auto"/>
            <w:hideMark/>
          </w:tcPr>
          <w:p w14:paraId="2574D14A" w14:textId="29BF7FE1"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Percent of children</w:t>
            </w:r>
            <w:r w:rsidR="008E06FF">
              <w:rPr>
                <w:rFonts w:ascii="Arial" w:eastAsia="Times New Roman" w:hAnsi="Arial" w:cs="Arial"/>
                <w:color w:val="000000"/>
                <w:sz w:val="18"/>
                <w:szCs w:val="18"/>
              </w:rPr>
              <w:t>,</w:t>
            </w:r>
            <w:r w:rsidRPr="0007198D">
              <w:rPr>
                <w:rFonts w:ascii="Arial" w:eastAsia="Times New Roman" w:hAnsi="Arial" w:cs="Arial"/>
                <w:color w:val="000000"/>
                <w:sz w:val="18"/>
                <w:szCs w:val="18"/>
              </w:rPr>
              <w:t xml:space="preserve"> ages 19 through 35 months, who have completed the combined 7-vaccine series (4:3:1:3*:3:1:4)</w:t>
            </w:r>
          </w:p>
        </w:tc>
      </w:tr>
      <w:tr w:rsidR="0007198D" w:rsidRPr="0007198D" w14:paraId="062CB822" w14:textId="77777777" w:rsidTr="00775656">
        <w:trPr>
          <w:trHeight w:val="480"/>
        </w:trPr>
        <w:tc>
          <w:tcPr>
            <w:tcW w:w="707" w:type="dxa"/>
            <w:tcBorders>
              <w:top w:val="nil"/>
              <w:left w:val="single" w:sz="4" w:space="0" w:color="auto"/>
              <w:bottom w:val="single" w:sz="4" w:space="0" w:color="auto"/>
              <w:right w:val="single" w:sz="4" w:space="0" w:color="auto"/>
            </w:tcBorders>
            <w:shd w:val="clear" w:color="auto" w:fill="auto"/>
            <w:hideMark/>
          </w:tcPr>
          <w:p w14:paraId="1281F1DB"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22.2</w:t>
            </w:r>
          </w:p>
        </w:tc>
        <w:tc>
          <w:tcPr>
            <w:tcW w:w="8640" w:type="dxa"/>
            <w:tcBorders>
              <w:top w:val="nil"/>
              <w:left w:val="nil"/>
              <w:bottom w:val="single" w:sz="4" w:space="0" w:color="auto"/>
              <w:right w:val="single" w:sz="4" w:space="0" w:color="auto"/>
            </w:tcBorders>
            <w:shd w:val="clear" w:color="auto" w:fill="auto"/>
            <w:hideMark/>
          </w:tcPr>
          <w:p w14:paraId="1E282C00" w14:textId="6C42AC0C"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Percent of children</w:t>
            </w:r>
            <w:r w:rsidR="008E06FF">
              <w:rPr>
                <w:rFonts w:ascii="Arial" w:eastAsia="Times New Roman" w:hAnsi="Arial" w:cs="Arial"/>
                <w:color w:val="000000"/>
                <w:sz w:val="18"/>
                <w:szCs w:val="18"/>
              </w:rPr>
              <w:t>,</w:t>
            </w:r>
            <w:r w:rsidRPr="0007198D">
              <w:rPr>
                <w:rFonts w:ascii="Arial" w:eastAsia="Times New Roman" w:hAnsi="Arial" w:cs="Arial"/>
                <w:color w:val="000000"/>
                <w:sz w:val="18"/>
                <w:szCs w:val="18"/>
              </w:rPr>
              <w:t xml:space="preserve"> 6 months through</w:t>
            </w:r>
            <w:r w:rsidRPr="0007198D" w:rsidDel="00BE1AD9">
              <w:rPr>
                <w:rFonts w:ascii="Arial" w:eastAsia="Times New Roman" w:hAnsi="Arial" w:cs="Arial"/>
                <w:color w:val="000000"/>
                <w:sz w:val="18"/>
                <w:szCs w:val="18"/>
              </w:rPr>
              <w:t xml:space="preserve"> </w:t>
            </w:r>
            <w:r w:rsidRPr="0007198D">
              <w:rPr>
                <w:rFonts w:ascii="Arial" w:eastAsia="Times New Roman" w:hAnsi="Arial" w:cs="Arial"/>
                <w:color w:val="000000"/>
                <w:sz w:val="18"/>
                <w:szCs w:val="18"/>
              </w:rPr>
              <w:t>17 years</w:t>
            </w:r>
            <w:r w:rsidR="008E06FF">
              <w:rPr>
                <w:rFonts w:ascii="Arial" w:eastAsia="Times New Roman" w:hAnsi="Arial" w:cs="Arial"/>
                <w:color w:val="000000"/>
                <w:sz w:val="18"/>
                <w:szCs w:val="18"/>
              </w:rPr>
              <w:t>,</w:t>
            </w:r>
            <w:r w:rsidRPr="0007198D">
              <w:rPr>
                <w:rFonts w:ascii="Arial" w:eastAsia="Times New Roman" w:hAnsi="Arial" w:cs="Arial"/>
                <w:color w:val="000000"/>
                <w:sz w:val="18"/>
                <w:szCs w:val="18"/>
              </w:rPr>
              <w:t xml:space="preserve"> who are vaccinated annually against seasonal influenza</w:t>
            </w:r>
          </w:p>
        </w:tc>
      </w:tr>
      <w:tr w:rsidR="0007198D" w:rsidRPr="0007198D" w14:paraId="74A02883" w14:textId="77777777" w:rsidTr="00775656">
        <w:trPr>
          <w:trHeight w:val="480"/>
        </w:trPr>
        <w:tc>
          <w:tcPr>
            <w:tcW w:w="707" w:type="dxa"/>
            <w:tcBorders>
              <w:top w:val="nil"/>
              <w:left w:val="single" w:sz="4" w:space="0" w:color="auto"/>
              <w:bottom w:val="single" w:sz="4" w:space="0" w:color="auto"/>
              <w:right w:val="single" w:sz="4" w:space="0" w:color="auto"/>
            </w:tcBorders>
            <w:shd w:val="clear" w:color="auto" w:fill="auto"/>
            <w:hideMark/>
          </w:tcPr>
          <w:p w14:paraId="7CA0AE0D"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22.3</w:t>
            </w:r>
          </w:p>
        </w:tc>
        <w:tc>
          <w:tcPr>
            <w:tcW w:w="8640" w:type="dxa"/>
            <w:tcBorders>
              <w:top w:val="nil"/>
              <w:left w:val="nil"/>
              <w:bottom w:val="single" w:sz="4" w:space="0" w:color="auto"/>
              <w:right w:val="single" w:sz="4" w:space="0" w:color="auto"/>
            </w:tcBorders>
            <w:shd w:val="clear" w:color="auto" w:fill="auto"/>
            <w:hideMark/>
          </w:tcPr>
          <w:p w14:paraId="3B422C09"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Percent of adolescents, ages 13 through 17, who have received at least one dose of the HPV vaccine</w:t>
            </w:r>
          </w:p>
        </w:tc>
      </w:tr>
      <w:tr w:rsidR="0007198D" w:rsidRPr="0007198D" w14:paraId="43FA350C" w14:textId="77777777" w:rsidTr="00775656">
        <w:trPr>
          <w:trHeight w:val="480"/>
        </w:trPr>
        <w:tc>
          <w:tcPr>
            <w:tcW w:w="707" w:type="dxa"/>
            <w:tcBorders>
              <w:top w:val="nil"/>
              <w:left w:val="single" w:sz="4" w:space="0" w:color="auto"/>
              <w:bottom w:val="single" w:sz="4" w:space="0" w:color="auto"/>
              <w:right w:val="single" w:sz="4" w:space="0" w:color="auto"/>
            </w:tcBorders>
            <w:shd w:val="clear" w:color="auto" w:fill="auto"/>
            <w:hideMark/>
          </w:tcPr>
          <w:p w14:paraId="3F3F223A"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22.4</w:t>
            </w:r>
          </w:p>
        </w:tc>
        <w:tc>
          <w:tcPr>
            <w:tcW w:w="8640" w:type="dxa"/>
            <w:tcBorders>
              <w:top w:val="nil"/>
              <w:left w:val="nil"/>
              <w:bottom w:val="single" w:sz="4" w:space="0" w:color="auto"/>
              <w:right w:val="single" w:sz="4" w:space="0" w:color="auto"/>
            </w:tcBorders>
            <w:shd w:val="clear" w:color="auto" w:fill="auto"/>
            <w:hideMark/>
          </w:tcPr>
          <w:p w14:paraId="7410CFA0"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Percent of adolescents, ages 13 through</w:t>
            </w:r>
            <w:r w:rsidRPr="0007198D" w:rsidDel="00BE1AD9">
              <w:rPr>
                <w:rFonts w:ascii="Arial" w:eastAsia="Times New Roman" w:hAnsi="Arial" w:cs="Arial"/>
                <w:color w:val="000000"/>
                <w:sz w:val="18"/>
                <w:szCs w:val="18"/>
              </w:rPr>
              <w:t xml:space="preserve"> </w:t>
            </w:r>
            <w:r w:rsidRPr="0007198D">
              <w:rPr>
                <w:rFonts w:ascii="Arial" w:eastAsia="Times New Roman" w:hAnsi="Arial" w:cs="Arial"/>
                <w:color w:val="000000"/>
                <w:sz w:val="18"/>
                <w:szCs w:val="18"/>
              </w:rPr>
              <w:t>17, who have received at least one dose of the Tdap vaccine</w:t>
            </w:r>
          </w:p>
        </w:tc>
      </w:tr>
      <w:tr w:rsidR="0007198D" w:rsidRPr="0007198D" w14:paraId="19F6D70F" w14:textId="77777777" w:rsidTr="00775656">
        <w:trPr>
          <w:trHeight w:val="480"/>
        </w:trPr>
        <w:tc>
          <w:tcPr>
            <w:tcW w:w="707" w:type="dxa"/>
            <w:tcBorders>
              <w:top w:val="nil"/>
              <w:left w:val="single" w:sz="4" w:space="0" w:color="auto"/>
              <w:bottom w:val="single" w:sz="4" w:space="0" w:color="auto"/>
              <w:right w:val="single" w:sz="4" w:space="0" w:color="auto"/>
            </w:tcBorders>
            <w:shd w:val="clear" w:color="auto" w:fill="auto"/>
            <w:hideMark/>
          </w:tcPr>
          <w:p w14:paraId="70D1D404"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22.5</w:t>
            </w:r>
          </w:p>
        </w:tc>
        <w:tc>
          <w:tcPr>
            <w:tcW w:w="8640" w:type="dxa"/>
            <w:tcBorders>
              <w:top w:val="nil"/>
              <w:left w:val="nil"/>
              <w:bottom w:val="single" w:sz="4" w:space="0" w:color="auto"/>
              <w:right w:val="single" w:sz="4" w:space="0" w:color="auto"/>
            </w:tcBorders>
            <w:shd w:val="clear" w:color="auto" w:fill="auto"/>
            <w:hideMark/>
          </w:tcPr>
          <w:p w14:paraId="3CBF824F"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Percent of adolescents, ages 13 through</w:t>
            </w:r>
            <w:r w:rsidRPr="0007198D" w:rsidDel="00DA77E7">
              <w:rPr>
                <w:rFonts w:ascii="Arial" w:eastAsia="Times New Roman" w:hAnsi="Arial" w:cs="Arial"/>
                <w:color w:val="000000"/>
                <w:sz w:val="18"/>
                <w:szCs w:val="18"/>
              </w:rPr>
              <w:t xml:space="preserve"> </w:t>
            </w:r>
            <w:r w:rsidRPr="0007198D">
              <w:rPr>
                <w:rFonts w:ascii="Arial" w:eastAsia="Times New Roman" w:hAnsi="Arial" w:cs="Arial"/>
                <w:color w:val="000000"/>
                <w:sz w:val="18"/>
                <w:szCs w:val="18"/>
              </w:rPr>
              <w:t>17, who have received at least one dose of the meningococcal conjugate vaccine</w:t>
            </w:r>
          </w:p>
        </w:tc>
      </w:tr>
      <w:tr w:rsidR="0007198D" w:rsidRPr="0007198D" w14:paraId="2D782B94" w14:textId="77777777" w:rsidTr="00775656">
        <w:trPr>
          <w:trHeight w:val="260"/>
        </w:trPr>
        <w:tc>
          <w:tcPr>
            <w:tcW w:w="707" w:type="dxa"/>
            <w:tcBorders>
              <w:top w:val="single" w:sz="4" w:space="0" w:color="auto"/>
              <w:left w:val="single" w:sz="4" w:space="0" w:color="auto"/>
              <w:bottom w:val="single" w:sz="4" w:space="0" w:color="auto"/>
              <w:right w:val="single" w:sz="4" w:space="0" w:color="auto"/>
            </w:tcBorders>
            <w:shd w:val="clear" w:color="auto" w:fill="auto"/>
          </w:tcPr>
          <w:p w14:paraId="2DA5236E"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23</w:t>
            </w:r>
          </w:p>
        </w:tc>
        <w:tc>
          <w:tcPr>
            <w:tcW w:w="8640" w:type="dxa"/>
            <w:tcBorders>
              <w:top w:val="single" w:sz="4" w:space="0" w:color="auto"/>
              <w:left w:val="nil"/>
              <w:bottom w:val="single" w:sz="4" w:space="0" w:color="auto"/>
              <w:right w:val="single" w:sz="4" w:space="0" w:color="auto"/>
            </w:tcBorders>
            <w:shd w:val="clear" w:color="auto" w:fill="auto"/>
          </w:tcPr>
          <w:p w14:paraId="334D09A7" w14:textId="77F013A5" w:rsidR="0007198D" w:rsidRPr="0007198D" w:rsidRDefault="0007198D" w:rsidP="008E06FF">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Teen birth rate</w:t>
            </w:r>
            <w:r w:rsidR="008E06FF">
              <w:rPr>
                <w:rFonts w:ascii="Arial" w:eastAsia="Times New Roman" w:hAnsi="Arial" w:cs="Arial"/>
                <w:color w:val="000000"/>
                <w:sz w:val="18"/>
                <w:szCs w:val="18"/>
              </w:rPr>
              <w:t xml:space="preserve">, ages 15 through 19, </w:t>
            </w:r>
            <w:r w:rsidRPr="0007198D">
              <w:rPr>
                <w:rFonts w:ascii="Arial" w:eastAsia="Times New Roman" w:hAnsi="Arial" w:cs="Arial"/>
                <w:color w:val="000000"/>
                <w:sz w:val="18"/>
                <w:szCs w:val="18"/>
              </w:rPr>
              <w:t xml:space="preserve">per 1,000 females </w:t>
            </w:r>
          </w:p>
        </w:tc>
      </w:tr>
      <w:tr w:rsidR="0007198D" w:rsidRPr="0007198D" w14:paraId="241EE7B7" w14:textId="77777777" w:rsidTr="00775656">
        <w:trPr>
          <w:trHeight w:val="269"/>
        </w:trPr>
        <w:tc>
          <w:tcPr>
            <w:tcW w:w="707" w:type="dxa"/>
            <w:tcBorders>
              <w:top w:val="single" w:sz="4" w:space="0" w:color="auto"/>
              <w:left w:val="single" w:sz="4" w:space="0" w:color="auto"/>
              <w:bottom w:val="single" w:sz="4" w:space="0" w:color="auto"/>
              <w:right w:val="single" w:sz="4" w:space="0" w:color="auto"/>
            </w:tcBorders>
            <w:shd w:val="clear" w:color="auto" w:fill="auto"/>
          </w:tcPr>
          <w:p w14:paraId="762C936C"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24</w:t>
            </w:r>
          </w:p>
        </w:tc>
        <w:tc>
          <w:tcPr>
            <w:tcW w:w="8640" w:type="dxa"/>
            <w:tcBorders>
              <w:top w:val="single" w:sz="4" w:space="0" w:color="auto"/>
              <w:left w:val="nil"/>
              <w:bottom w:val="single" w:sz="4" w:space="0" w:color="auto"/>
              <w:right w:val="single" w:sz="4" w:space="0" w:color="auto"/>
            </w:tcBorders>
            <w:shd w:val="clear" w:color="auto" w:fill="auto"/>
          </w:tcPr>
          <w:p w14:paraId="27207B17"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Percent of women who experience postpartum depressive symptoms following a recent live birth</w:t>
            </w:r>
          </w:p>
        </w:tc>
      </w:tr>
      <w:tr w:rsidR="0007198D" w:rsidRPr="0007198D" w14:paraId="47BBBEDB" w14:textId="77777777" w:rsidTr="00775656">
        <w:trPr>
          <w:trHeight w:val="260"/>
        </w:trPr>
        <w:tc>
          <w:tcPr>
            <w:tcW w:w="707" w:type="dxa"/>
            <w:tcBorders>
              <w:top w:val="single" w:sz="4" w:space="0" w:color="auto"/>
              <w:left w:val="single" w:sz="4" w:space="0" w:color="auto"/>
              <w:bottom w:val="single" w:sz="4" w:space="0" w:color="auto"/>
              <w:right w:val="single" w:sz="4" w:space="0" w:color="auto"/>
            </w:tcBorders>
            <w:shd w:val="clear" w:color="auto" w:fill="auto"/>
          </w:tcPr>
          <w:p w14:paraId="50AC2076" w14:textId="77777777" w:rsidR="0007198D" w:rsidRPr="0007198D" w:rsidRDefault="0007198D" w:rsidP="0007198D">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25</w:t>
            </w:r>
          </w:p>
        </w:tc>
        <w:tc>
          <w:tcPr>
            <w:tcW w:w="8640" w:type="dxa"/>
            <w:tcBorders>
              <w:top w:val="single" w:sz="4" w:space="0" w:color="auto"/>
              <w:left w:val="nil"/>
              <w:bottom w:val="single" w:sz="4" w:space="0" w:color="auto"/>
              <w:right w:val="single" w:sz="4" w:space="0" w:color="auto"/>
            </w:tcBorders>
            <w:shd w:val="clear" w:color="auto" w:fill="auto"/>
          </w:tcPr>
          <w:p w14:paraId="7666258E" w14:textId="651C6BCA" w:rsidR="0007198D" w:rsidRPr="0007198D" w:rsidRDefault="0007198D" w:rsidP="008E06FF">
            <w:pPr>
              <w:spacing w:after="0" w:line="240" w:lineRule="auto"/>
              <w:rPr>
                <w:rFonts w:ascii="Arial" w:eastAsia="Times New Roman" w:hAnsi="Arial" w:cs="Arial"/>
                <w:color w:val="000000"/>
                <w:sz w:val="18"/>
                <w:szCs w:val="18"/>
              </w:rPr>
            </w:pPr>
            <w:r w:rsidRPr="0007198D">
              <w:rPr>
                <w:rFonts w:ascii="Arial" w:eastAsia="Times New Roman" w:hAnsi="Arial" w:cs="Arial"/>
                <w:color w:val="000000"/>
                <w:sz w:val="18"/>
                <w:szCs w:val="18"/>
              </w:rPr>
              <w:t>Percent of children</w:t>
            </w:r>
            <w:r w:rsidR="008E06FF">
              <w:rPr>
                <w:rFonts w:ascii="Arial" w:eastAsia="Times New Roman" w:hAnsi="Arial" w:cs="Arial"/>
                <w:color w:val="000000"/>
                <w:sz w:val="18"/>
                <w:szCs w:val="18"/>
              </w:rPr>
              <w:t xml:space="preserve">, ages 0 through 17, </w:t>
            </w:r>
            <w:r w:rsidRPr="0007198D">
              <w:rPr>
                <w:rFonts w:ascii="Arial" w:eastAsia="Times New Roman" w:hAnsi="Arial" w:cs="Arial"/>
                <w:color w:val="000000"/>
                <w:sz w:val="18"/>
                <w:szCs w:val="18"/>
              </w:rPr>
              <w:t>who were not able to obtain needed health care in the last year</w:t>
            </w:r>
          </w:p>
        </w:tc>
      </w:tr>
    </w:tbl>
    <w:p w14:paraId="74A3469E" w14:textId="77777777" w:rsidR="0007198D" w:rsidRPr="0007198D" w:rsidRDefault="0007198D" w:rsidP="0007198D">
      <w:pPr>
        <w:spacing w:after="0" w:line="240" w:lineRule="auto"/>
        <w:rPr>
          <w:rFonts w:ascii="Arial" w:hAnsi="Arial" w:cs="Arial"/>
          <w:sz w:val="28"/>
          <w:szCs w:val="28"/>
        </w:rPr>
      </w:pPr>
      <w:r w:rsidRPr="0007198D">
        <w:rPr>
          <w:rFonts w:ascii="Arial" w:hAnsi="Arial" w:cs="Arial"/>
          <w:sz w:val="28"/>
          <w:szCs w:val="28"/>
        </w:rPr>
        <w:br w:type="page"/>
      </w:r>
    </w:p>
    <w:tbl>
      <w:tblPr>
        <w:tblW w:w="0" w:type="auto"/>
        <w:tblLook w:val="04A0" w:firstRow="1" w:lastRow="0" w:firstColumn="1" w:lastColumn="0" w:noHBand="0" w:noVBand="1"/>
      </w:tblPr>
      <w:tblGrid>
        <w:gridCol w:w="3618"/>
        <w:gridCol w:w="5868"/>
      </w:tblGrid>
      <w:tr w:rsidR="0007198D" w:rsidRPr="0007198D" w14:paraId="6D846B4D" w14:textId="77777777" w:rsidTr="000C7A5D">
        <w:tc>
          <w:tcPr>
            <w:tcW w:w="3618" w:type="dxa"/>
            <w:shd w:val="clear" w:color="auto" w:fill="auto"/>
          </w:tcPr>
          <w:p w14:paraId="36D907F8" w14:textId="77777777" w:rsidR="0007198D" w:rsidRPr="0007198D" w:rsidRDefault="0007198D" w:rsidP="0007198D">
            <w:pPr>
              <w:spacing w:after="0" w:line="240" w:lineRule="auto"/>
              <w:rPr>
                <w:rFonts w:ascii="Arial" w:hAnsi="Arial" w:cs="Arial"/>
                <w:b/>
                <w:sz w:val="24"/>
                <w:szCs w:val="24"/>
              </w:rPr>
            </w:pPr>
            <w:r w:rsidRPr="0007198D">
              <w:rPr>
                <w:rFonts w:ascii="Arial" w:hAnsi="Arial" w:cs="Arial"/>
                <w:b/>
                <w:sz w:val="24"/>
                <w:szCs w:val="24"/>
              </w:rPr>
              <w:t xml:space="preserve">OUTCOME MEASURE </w:t>
            </w:r>
            <w:r w:rsidRPr="0007198D">
              <w:rPr>
                <w:rFonts w:ascii="Arial" w:hAnsi="Arial" w:cs="Arial"/>
                <w:b/>
                <w:noProof/>
                <w:sz w:val="24"/>
                <w:szCs w:val="24"/>
              </w:rPr>
              <w:t>1</w:t>
            </w:r>
          </w:p>
        </w:tc>
        <w:tc>
          <w:tcPr>
            <w:tcW w:w="5868" w:type="dxa"/>
            <w:shd w:val="clear" w:color="auto" w:fill="auto"/>
          </w:tcPr>
          <w:p w14:paraId="3F139693" w14:textId="77777777" w:rsidR="0007198D" w:rsidRPr="0007198D" w:rsidRDefault="0007198D" w:rsidP="0007198D">
            <w:pPr>
              <w:spacing w:after="0" w:line="240" w:lineRule="auto"/>
              <w:rPr>
                <w:rFonts w:ascii="Arial" w:hAnsi="Arial" w:cs="Arial"/>
                <w:b/>
                <w:sz w:val="24"/>
                <w:szCs w:val="24"/>
              </w:rPr>
            </w:pPr>
            <w:r w:rsidRPr="0007198D">
              <w:rPr>
                <w:rFonts w:ascii="Arial" w:hAnsi="Arial" w:cs="Arial"/>
                <w:b/>
                <w:noProof/>
                <w:sz w:val="24"/>
                <w:szCs w:val="24"/>
              </w:rPr>
              <w:t>Percent of pregnant women who receive prenatal care beginning in the first trimester</w:t>
            </w:r>
          </w:p>
        </w:tc>
      </w:tr>
    </w:tbl>
    <w:p w14:paraId="0C156A61" w14:textId="77777777" w:rsidR="0007198D" w:rsidRPr="0007198D" w:rsidRDefault="0007198D" w:rsidP="0007198D">
      <w:pPr>
        <w:spacing w:after="0" w:line="240" w:lineRule="auto"/>
      </w:pPr>
    </w:p>
    <w:p w14:paraId="2C9EB307" w14:textId="77777777" w:rsidR="0007198D" w:rsidRPr="0007198D" w:rsidRDefault="0007198D" w:rsidP="0007198D">
      <w:pPr>
        <w:spacing w:after="0" w:line="240" w:lineRule="auto"/>
      </w:pPr>
      <w:r w:rsidRPr="0007198D">
        <w:rPr>
          <w:noProof/>
        </w:rPr>
        <mc:AlternateContent>
          <mc:Choice Requires="wps">
            <w:drawing>
              <wp:anchor distT="4294967295" distB="4294967295" distL="114300" distR="114300" simplePos="0" relativeHeight="251763712" behindDoc="0" locked="0" layoutInCell="1" allowOverlap="1" wp14:anchorId="1A12D00B" wp14:editId="5EC3FE9A">
                <wp:simplePos x="0" y="0"/>
                <wp:positionH relativeFrom="column">
                  <wp:posOffset>-60960</wp:posOffset>
                </wp:positionH>
                <wp:positionV relativeFrom="paragraph">
                  <wp:posOffset>31749</wp:posOffset>
                </wp:positionV>
                <wp:extent cx="60883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1A41A63" id="Straight Connector 5" o:spid="_x0000_s1026" style="position:absolute;z-index:251763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" strokecolor="windowText" strokeweight="1.75pt">
                <o:lock v:ext="edit" shapetype="f"/>
              </v:line>
            </w:pict>
          </mc:Fallback>
        </mc:AlternateContent>
      </w:r>
    </w:p>
    <w:tbl>
      <w:tblPr>
        <w:tblW w:w="0" w:type="auto"/>
        <w:tblLayout w:type="fixed"/>
        <w:tblLook w:val="04A0" w:firstRow="1" w:lastRow="0" w:firstColumn="1" w:lastColumn="0" w:noHBand="0" w:noVBand="1"/>
      </w:tblPr>
      <w:tblGrid>
        <w:gridCol w:w="3600"/>
        <w:gridCol w:w="3331"/>
        <w:gridCol w:w="2511"/>
      </w:tblGrid>
      <w:tr w:rsidR="0007198D" w:rsidRPr="0007198D" w14:paraId="7C9A0D8A" w14:textId="77777777" w:rsidTr="000C7A5D">
        <w:tc>
          <w:tcPr>
            <w:tcW w:w="3600" w:type="dxa"/>
            <w:shd w:val="clear" w:color="auto" w:fill="auto"/>
          </w:tcPr>
          <w:p w14:paraId="5F46D853"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GOAL</w:t>
            </w:r>
          </w:p>
        </w:tc>
        <w:tc>
          <w:tcPr>
            <w:tcW w:w="5842" w:type="dxa"/>
            <w:gridSpan w:val="2"/>
            <w:shd w:val="clear" w:color="auto" w:fill="auto"/>
          </w:tcPr>
          <w:p w14:paraId="3BE5DE9D"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To ensure early entrance into prenatal care to enhance pregnancy outcomes.</w:t>
            </w:r>
          </w:p>
        </w:tc>
      </w:tr>
      <w:tr w:rsidR="0007198D" w:rsidRPr="0007198D" w14:paraId="6AB91FE4" w14:textId="77777777" w:rsidTr="000C7A5D">
        <w:tc>
          <w:tcPr>
            <w:tcW w:w="3600" w:type="dxa"/>
            <w:shd w:val="clear" w:color="auto" w:fill="auto"/>
          </w:tcPr>
          <w:p w14:paraId="3D06658A" w14:textId="77777777" w:rsidR="0007198D" w:rsidRPr="0007198D" w:rsidRDefault="0007198D" w:rsidP="0007198D">
            <w:pPr>
              <w:spacing w:after="0" w:line="240" w:lineRule="auto"/>
              <w:rPr>
                <w:rFonts w:ascii="Arial" w:hAnsi="Arial" w:cs="Arial"/>
                <w:b/>
                <w:sz w:val="20"/>
                <w:szCs w:val="20"/>
              </w:rPr>
            </w:pPr>
          </w:p>
        </w:tc>
        <w:tc>
          <w:tcPr>
            <w:tcW w:w="5842" w:type="dxa"/>
            <w:gridSpan w:val="2"/>
            <w:shd w:val="clear" w:color="auto" w:fill="auto"/>
          </w:tcPr>
          <w:p w14:paraId="39722318" w14:textId="77777777" w:rsidR="0007198D" w:rsidRPr="0007198D" w:rsidRDefault="0007198D" w:rsidP="0007198D">
            <w:pPr>
              <w:spacing w:after="0" w:line="240" w:lineRule="auto"/>
              <w:rPr>
                <w:rFonts w:ascii="Arial" w:hAnsi="Arial" w:cs="Arial"/>
                <w:sz w:val="20"/>
                <w:szCs w:val="20"/>
              </w:rPr>
            </w:pPr>
          </w:p>
        </w:tc>
      </w:tr>
      <w:tr w:rsidR="0007198D" w:rsidRPr="0007198D" w14:paraId="5FAB593C" w14:textId="77777777" w:rsidTr="000C7A5D">
        <w:tc>
          <w:tcPr>
            <w:tcW w:w="3600" w:type="dxa"/>
            <w:shd w:val="clear" w:color="auto" w:fill="auto"/>
          </w:tcPr>
          <w:p w14:paraId="5B09554E"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DEFINITION</w:t>
            </w:r>
          </w:p>
        </w:tc>
        <w:tc>
          <w:tcPr>
            <w:tcW w:w="5842" w:type="dxa"/>
            <w:gridSpan w:val="2"/>
            <w:shd w:val="clear" w:color="auto" w:fill="auto"/>
          </w:tcPr>
          <w:p w14:paraId="101A6542"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Numerator:</w:t>
            </w:r>
          </w:p>
        </w:tc>
      </w:tr>
      <w:tr w:rsidR="0007198D" w:rsidRPr="0007198D" w14:paraId="0F82734A" w14:textId="77777777" w:rsidTr="000C7A5D">
        <w:tc>
          <w:tcPr>
            <w:tcW w:w="3600" w:type="dxa"/>
            <w:shd w:val="clear" w:color="auto" w:fill="auto"/>
          </w:tcPr>
          <w:p w14:paraId="4B8B3ED8" w14:textId="77777777" w:rsidR="0007198D" w:rsidRPr="0007198D" w:rsidRDefault="0007198D" w:rsidP="0007198D">
            <w:pPr>
              <w:spacing w:after="0" w:line="240" w:lineRule="auto"/>
              <w:rPr>
                <w:rFonts w:ascii="Arial" w:hAnsi="Arial" w:cs="Arial"/>
                <w:b/>
                <w:sz w:val="20"/>
                <w:szCs w:val="20"/>
              </w:rPr>
            </w:pPr>
          </w:p>
        </w:tc>
        <w:tc>
          <w:tcPr>
            <w:tcW w:w="5842" w:type="dxa"/>
            <w:gridSpan w:val="2"/>
            <w:shd w:val="clear" w:color="auto" w:fill="auto"/>
          </w:tcPr>
          <w:p w14:paraId="37F6BB76"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Number of live births with reported first prenatal visit during the first trimester (before 13 weeks’ gestation) in the calendar year</w:t>
            </w:r>
          </w:p>
        </w:tc>
      </w:tr>
      <w:tr w:rsidR="0007198D" w:rsidRPr="0007198D" w14:paraId="74D77E2B" w14:textId="77777777" w:rsidTr="000C7A5D">
        <w:tc>
          <w:tcPr>
            <w:tcW w:w="3600" w:type="dxa"/>
            <w:shd w:val="clear" w:color="auto" w:fill="auto"/>
          </w:tcPr>
          <w:p w14:paraId="1A8D940F" w14:textId="77777777" w:rsidR="0007198D" w:rsidRPr="0007198D" w:rsidRDefault="0007198D" w:rsidP="0007198D">
            <w:pPr>
              <w:spacing w:after="0" w:line="240" w:lineRule="auto"/>
              <w:rPr>
                <w:rFonts w:ascii="Arial" w:hAnsi="Arial" w:cs="Arial"/>
                <w:b/>
                <w:sz w:val="20"/>
                <w:szCs w:val="20"/>
              </w:rPr>
            </w:pPr>
          </w:p>
        </w:tc>
        <w:tc>
          <w:tcPr>
            <w:tcW w:w="5842" w:type="dxa"/>
            <w:gridSpan w:val="2"/>
            <w:shd w:val="clear" w:color="auto" w:fill="auto"/>
          </w:tcPr>
          <w:p w14:paraId="4475C370" w14:textId="77777777" w:rsidR="0007198D" w:rsidRPr="0007198D" w:rsidRDefault="0007198D" w:rsidP="0007198D">
            <w:pPr>
              <w:spacing w:after="0" w:line="240" w:lineRule="auto"/>
              <w:rPr>
                <w:rFonts w:ascii="Arial" w:hAnsi="Arial" w:cs="Arial"/>
                <w:sz w:val="20"/>
                <w:szCs w:val="20"/>
              </w:rPr>
            </w:pPr>
          </w:p>
        </w:tc>
      </w:tr>
      <w:tr w:rsidR="0007198D" w:rsidRPr="0007198D" w14:paraId="40147FCF" w14:textId="77777777" w:rsidTr="000C7A5D">
        <w:tc>
          <w:tcPr>
            <w:tcW w:w="3600" w:type="dxa"/>
            <w:shd w:val="clear" w:color="auto" w:fill="auto"/>
          </w:tcPr>
          <w:p w14:paraId="0A1039B3" w14:textId="77777777" w:rsidR="0007198D" w:rsidRPr="0007198D" w:rsidRDefault="0007198D" w:rsidP="0007198D">
            <w:pPr>
              <w:spacing w:after="0" w:line="240" w:lineRule="auto"/>
              <w:rPr>
                <w:rFonts w:ascii="Arial" w:hAnsi="Arial" w:cs="Arial"/>
                <w:b/>
                <w:sz w:val="20"/>
                <w:szCs w:val="20"/>
              </w:rPr>
            </w:pPr>
          </w:p>
        </w:tc>
        <w:tc>
          <w:tcPr>
            <w:tcW w:w="5842" w:type="dxa"/>
            <w:gridSpan w:val="2"/>
            <w:shd w:val="clear" w:color="auto" w:fill="auto"/>
          </w:tcPr>
          <w:p w14:paraId="2B824818"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Denominator:</w:t>
            </w:r>
          </w:p>
        </w:tc>
      </w:tr>
      <w:tr w:rsidR="0007198D" w:rsidRPr="0007198D" w14:paraId="2DC52002" w14:textId="77777777" w:rsidTr="000C7A5D">
        <w:tc>
          <w:tcPr>
            <w:tcW w:w="3600" w:type="dxa"/>
            <w:shd w:val="clear" w:color="auto" w:fill="auto"/>
          </w:tcPr>
          <w:p w14:paraId="6D77FFCA" w14:textId="77777777" w:rsidR="0007198D" w:rsidRPr="0007198D" w:rsidRDefault="0007198D" w:rsidP="0007198D">
            <w:pPr>
              <w:spacing w:after="0" w:line="240" w:lineRule="auto"/>
              <w:rPr>
                <w:rFonts w:ascii="Arial" w:hAnsi="Arial" w:cs="Arial"/>
                <w:b/>
                <w:sz w:val="20"/>
                <w:szCs w:val="20"/>
              </w:rPr>
            </w:pPr>
          </w:p>
        </w:tc>
        <w:tc>
          <w:tcPr>
            <w:tcW w:w="5842" w:type="dxa"/>
            <w:gridSpan w:val="2"/>
            <w:shd w:val="clear" w:color="auto" w:fill="auto"/>
          </w:tcPr>
          <w:p w14:paraId="2F9CCF30"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 xml:space="preserve">Number of live births </w:t>
            </w:r>
          </w:p>
        </w:tc>
      </w:tr>
      <w:tr w:rsidR="0007198D" w:rsidRPr="0007198D" w14:paraId="47C55925" w14:textId="77777777" w:rsidTr="000C7A5D">
        <w:tc>
          <w:tcPr>
            <w:tcW w:w="3600" w:type="dxa"/>
            <w:shd w:val="clear" w:color="auto" w:fill="auto"/>
          </w:tcPr>
          <w:p w14:paraId="7E69AFB5" w14:textId="77777777" w:rsidR="0007198D" w:rsidRPr="0007198D" w:rsidRDefault="0007198D" w:rsidP="0007198D">
            <w:pPr>
              <w:spacing w:after="0" w:line="240" w:lineRule="auto"/>
              <w:rPr>
                <w:rFonts w:ascii="Arial" w:hAnsi="Arial" w:cs="Arial"/>
                <w:b/>
                <w:sz w:val="20"/>
                <w:szCs w:val="20"/>
              </w:rPr>
            </w:pPr>
          </w:p>
        </w:tc>
        <w:tc>
          <w:tcPr>
            <w:tcW w:w="5842" w:type="dxa"/>
            <w:gridSpan w:val="2"/>
            <w:shd w:val="clear" w:color="auto" w:fill="auto"/>
          </w:tcPr>
          <w:p w14:paraId="3786C1CB" w14:textId="77777777" w:rsidR="0007198D" w:rsidRPr="0007198D" w:rsidRDefault="0007198D" w:rsidP="0007198D">
            <w:pPr>
              <w:spacing w:after="0" w:line="240" w:lineRule="auto"/>
              <w:rPr>
                <w:rFonts w:ascii="Arial" w:hAnsi="Arial" w:cs="Arial"/>
                <w:sz w:val="20"/>
                <w:szCs w:val="20"/>
              </w:rPr>
            </w:pPr>
          </w:p>
        </w:tc>
      </w:tr>
      <w:tr w:rsidR="0007198D" w:rsidRPr="0007198D" w14:paraId="0DBD048A" w14:textId="77777777" w:rsidTr="000C7A5D">
        <w:tc>
          <w:tcPr>
            <w:tcW w:w="3600" w:type="dxa"/>
            <w:shd w:val="clear" w:color="auto" w:fill="auto"/>
          </w:tcPr>
          <w:p w14:paraId="78F9B675" w14:textId="77777777" w:rsidR="0007198D" w:rsidRPr="0007198D" w:rsidRDefault="0007198D" w:rsidP="0007198D">
            <w:pPr>
              <w:spacing w:after="0" w:line="240" w:lineRule="auto"/>
              <w:rPr>
                <w:rFonts w:ascii="Arial" w:hAnsi="Arial" w:cs="Arial"/>
                <w:b/>
                <w:sz w:val="20"/>
                <w:szCs w:val="20"/>
              </w:rPr>
            </w:pPr>
          </w:p>
        </w:tc>
        <w:tc>
          <w:tcPr>
            <w:tcW w:w="3331" w:type="dxa"/>
            <w:shd w:val="clear" w:color="auto" w:fill="auto"/>
          </w:tcPr>
          <w:p w14:paraId="1ED9946D"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b/>
                <w:sz w:val="20"/>
                <w:szCs w:val="20"/>
              </w:rPr>
              <w:t>Units:</w:t>
            </w:r>
            <w:r w:rsidRPr="0007198D">
              <w:rPr>
                <w:rFonts w:ascii="Arial" w:hAnsi="Arial" w:cs="Arial"/>
                <w:sz w:val="20"/>
                <w:szCs w:val="20"/>
              </w:rPr>
              <w:t xml:space="preserve"> </w:t>
            </w:r>
            <w:r w:rsidRPr="0007198D">
              <w:rPr>
                <w:rFonts w:ascii="Arial" w:hAnsi="Arial" w:cs="Arial"/>
                <w:noProof/>
                <w:sz w:val="20"/>
                <w:szCs w:val="20"/>
              </w:rPr>
              <w:t>100</w:t>
            </w:r>
          </w:p>
        </w:tc>
        <w:tc>
          <w:tcPr>
            <w:tcW w:w="2511" w:type="dxa"/>
            <w:shd w:val="clear" w:color="auto" w:fill="auto"/>
          </w:tcPr>
          <w:p w14:paraId="1C1FDF0F"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b/>
                <w:sz w:val="20"/>
                <w:szCs w:val="20"/>
              </w:rPr>
              <w:t>Text:</w:t>
            </w:r>
            <w:r w:rsidRPr="0007198D">
              <w:rPr>
                <w:rFonts w:ascii="Arial" w:hAnsi="Arial" w:cs="Arial"/>
                <w:sz w:val="20"/>
                <w:szCs w:val="20"/>
              </w:rPr>
              <w:t xml:space="preserve"> </w:t>
            </w:r>
            <w:r w:rsidRPr="0007198D">
              <w:rPr>
                <w:rFonts w:ascii="Arial" w:hAnsi="Arial" w:cs="Arial"/>
                <w:noProof/>
                <w:sz w:val="20"/>
                <w:szCs w:val="20"/>
              </w:rPr>
              <w:t>Percent</w:t>
            </w:r>
          </w:p>
        </w:tc>
      </w:tr>
      <w:tr w:rsidR="0007198D" w:rsidRPr="0007198D" w14:paraId="0C7748C6" w14:textId="77777777" w:rsidTr="000C7A5D">
        <w:tc>
          <w:tcPr>
            <w:tcW w:w="3600" w:type="dxa"/>
            <w:shd w:val="clear" w:color="auto" w:fill="auto"/>
          </w:tcPr>
          <w:p w14:paraId="2763DD8E" w14:textId="77777777" w:rsidR="0007198D" w:rsidRPr="0007198D" w:rsidRDefault="0007198D" w:rsidP="0007198D">
            <w:pPr>
              <w:spacing w:after="0" w:line="240" w:lineRule="auto"/>
              <w:rPr>
                <w:rFonts w:ascii="Arial" w:hAnsi="Arial" w:cs="Arial"/>
                <w:b/>
                <w:sz w:val="20"/>
                <w:szCs w:val="20"/>
              </w:rPr>
            </w:pPr>
          </w:p>
        </w:tc>
        <w:tc>
          <w:tcPr>
            <w:tcW w:w="5842" w:type="dxa"/>
            <w:gridSpan w:val="2"/>
            <w:shd w:val="clear" w:color="auto" w:fill="auto"/>
          </w:tcPr>
          <w:p w14:paraId="3D3745A3" w14:textId="77777777" w:rsidR="0007198D" w:rsidRPr="0007198D" w:rsidRDefault="0007198D" w:rsidP="0007198D">
            <w:pPr>
              <w:spacing w:after="0" w:line="240" w:lineRule="auto"/>
              <w:rPr>
                <w:rFonts w:ascii="Arial" w:hAnsi="Arial" w:cs="Arial"/>
                <w:sz w:val="20"/>
                <w:szCs w:val="20"/>
              </w:rPr>
            </w:pPr>
          </w:p>
        </w:tc>
      </w:tr>
      <w:tr w:rsidR="0007198D" w:rsidRPr="0007198D" w14:paraId="62C534DA" w14:textId="77777777" w:rsidTr="000C7A5D">
        <w:tc>
          <w:tcPr>
            <w:tcW w:w="3600" w:type="dxa"/>
            <w:shd w:val="clear" w:color="auto" w:fill="auto"/>
          </w:tcPr>
          <w:p w14:paraId="572F7D24"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HEALTHY PEOPLE 2020 OBJECTIVE</w:t>
            </w:r>
          </w:p>
        </w:tc>
        <w:tc>
          <w:tcPr>
            <w:tcW w:w="5842" w:type="dxa"/>
            <w:gridSpan w:val="2"/>
            <w:shd w:val="clear" w:color="auto" w:fill="auto"/>
          </w:tcPr>
          <w:p w14:paraId="53E0A42B" w14:textId="77777777" w:rsidR="0007198D" w:rsidRPr="0007198D" w:rsidRDefault="0007198D" w:rsidP="0007198D">
            <w:pPr>
              <w:spacing w:after="0" w:line="240" w:lineRule="auto"/>
              <w:rPr>
                <w:rFonts w:ascii="Arial" w:hAnsi="Arial" w:cs="Arial"/>
                <w:noProof/>
                <w:sz w:val="20"/>
                <w:szCs w:val="20"/>
              </w:rPr>
            </w:pPr>
            <w:r w:rsidRPr="0007198D">
              <w:rPr>
                <w:rFonts w:ascii="Arial" w:hAnsi="Arial" w:cs="Arial"/>
                <w:noProof/>
                <w:sz w:val="20"/>
                <w:szCs w:val="20"/>
              </w:rPr>
              <w:t xml:space="preserve">Identical to Maternal, Infant, and Child Health (MICH) 10.1.  </w:t>
            </w:r>
            <w:r w:rsidRPr="0007198D">
              <w:rPr>
                <w:rFonts w:ascii="Arial" w:hAnsi="Arial" w:cs="Arial"/>
                <w:sz w:val="20"/>
                <w:szCs w:val="20"/>
                <w:lang w:val="en"/>
              </w:rPr>
              <w:t>Increase the proportion of pregnant women who receive prenatal care beginning in the first trimester</w:t>
            </w:r>
            <w:r w:rsidRPr="0007198D">
              <w:rPr>
                <w:rFonts w:ascii="Arial" w:hAnsi="Arial" w:cs="Arial"/>
                <w:noProof/>
                <w:sz w:val="20"/>
                <w:szCs w:val="20"/>
              </w:rPr>
              <w:t>. (Baseline:</w:t>
            </w:r>
            <w:r w:rsidRPr="0007198D">
              <w:rPr>
                <w:rFonts w:ascii="Helvetica" w:hAnsi="Helvetica" w:cs="Helvetica"/>
                <w:sz w:val="20"/>
                <w:szCs w:val="20"/>
              </w:rPr>
              <w:t xml:space="preserve"> 70.8 % of females delivering a live birth received prenatal care beginning in the first trimester in 2007</w:t>
            </w:r>
            <w:r w:rsidRPr="0007198D">
              <w:rPr>
                <w:rFonts w:ascii="Arial" w:hAnsi="Arial" w:cs="Arial"/>
                <w:noProof/>
                <w:sz w:val="20"/>
                <w:szCs w:val="20"/>
              </w:rPr>
              <w:t xml:space="preserve">, Target: 77.9%) </w:t>
            </w:r>
          </w:p>
          <w:p w14:paraId="6C06FA82" w14:textId="77777777" w:rsidR="0007198D" w:rsidRPr="0007198D" w:rsidRDefault="0007198D" w:rsidP="0007198D">
            <w:pPr>
              <w:spacing w:after="0" w:line="240" w:lineRule="auto"/>
              <w:rPr>
                <w:rFonts w:ascii="Arial" w:hAnsi="Arial" w:cs="Arial"/>
                <w:sz w:val="20"/>
                <w:szCs w:val="20"/>
              </w:rPr>
            </w:pPr>
          </w:p>
        </w:tc>
      </w:tr>
      <w:tr w:rsidR="0007198D" w:rsidRPr="0007198D" w14:paraId="16AF5622" w14:textId="77777777" w:rsidTr="000C7A5D">
        <w:tc>
          <w:tcPr>
            <w:tcW w:w="3600" w:type="dxa"/>
            <w:shd w:val="clear" w:color="auto" w:fill="auto"/>
          </w:tcPr>
          <w:p w14:paraId="42897120" w14:textId="77777777" w:rsidR="0007198D" w:rsidRPr="0007198D" w:rsidRDefault="0007198D" w:rsidP="0007198D">
            <w:pPr>
              <w:spacing w:after="0" w:line="240" w:lineRule="auto"/>
              <w:rPr>
                <w:rFonts w:ascii="Arial" w:hAnsi="Arial" w:cs="Arial"/>
                <w:b/>
                <w:sz w:val="20"/>
                <w:szCs w:val="20"/>
              </w:rPr>
            </w:pPr>
          </w:p>
        </w:tc>
        <w:tc>
          <w:tcPr>
            <w:tcW w:w="5842" w:type="dxa"/>
            <w:gridSpan w:val="2"/>
            <w:shd w:val="clear" w:color="auto" w:fill="auto"/>
          </w:tcPr>
          <w:p w14:paraId="2DC5C1FA" w14:textId="77777777" w:rsidR="0007198D" w:rsidRPr="0007198D" w:rsidRDefault="0007198D" w:rsidP="0007198D">
            <w:pPr>
              <w:spacing w:after="0" w:line="240" w:lineRule="auto"/>
              <w:rPr>
                <w:rFonts w:ascii="Arial" w:hAnsi="Arial" w:cs="Arial"/>
                <w:sz w:val="20"/>
                <w:szCs w:val="20"/>
              </w:rPr>
            </w:pPr>
          </w:p>
        </w:tc>
      </w:tr>
      <w:tr w:rsidR="0007198D" w:rsidRPr="0007198D" w14:paraId="17F7083C" w14:textId="77777777" w:rsidTr="000C7A5D">
        <w:tc>
          <w:tcPr>
            <w:tcW w:w="3600" w:type="dxa"/>
            <w:shd w:val="clear" w:color="auto" w:fill="auto"/>
          </w:tcPr>
          <w:p w14:paraId="5F8826AC"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DATA SOURCES and DATA ISSUES</w:t>
            </w:r>
          </w:p>
        </w:tc>
        <w:tc>
          <w:tcPr>
            <w:tcW w:w="5842" w:type="dxa"/>
            <w:gridSpan w:val="2"/>
            <w:shd w:val="clear" w:color="auto" w:fill="auto"/>
          </w:tcPr>
          <w:p w14:paraId="054089E7"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National Vital Statistics System (NVSS)</w:t>
            </w:r>
          </w:p>
        </w:tc>
      </w:tr>
      <w:tr w:rsidR="0007198D" w:rsidRPr="0007198D" w14:paraId="19675D41" w14:textId="77777777" w:rsidTr="000C7A5D">
        <w:tc>
          <w:tcPr>
            <w:tcW w:w="3600" w:type="dxa"/>
            <w:shd w:val="clear" w:color="auto" w:fill="auto"/>
          </w:tcPr>
          <w:p w14:paraId="7B03AACD" w14:textId="77777777" w:rsidR="0007198D" w:rsidRPr="0007198D" w:rsidRDefault="0007198D" w:rsidP="0007198D">
            <w:pPr>
              <w:spacing w:after="0" w:line="240" w:lineRule="auto"/>
              <w:rPr>
                <w:rFonts w:ascii="Arial" w:hAnsi="Arial" w:cs="Arial"/>
                <w:b/>
                <w:sz w:val="20"/>
                <w:szCs w:val="20"/>
              </w:rPr>
            </w:pPr>
          </w:p>
        </w:tc>
        <w:tc>
          <w:tcPr>
            <w:tcW w:w="5842" w:type="dxa"/>
            <w:gridSpan w:val="2"/>
            <w:shd w:val="clear" w:color="auto" w:fill="auto"/>
          </w:tcPr>
          <w:p w14:paraId="56BC85D7" w14:textId="77777777" w:rsidR="0007198D" w:rsidRPr="0007198D" w:rsidRDefault="0007198D" w:rsidP="0007198D">
            <w:pPr>
              <w:spacing w:after="0" w:line="240" w:lineRule="auto"/>
              <w:rPr>
                <w:rFonts w:ascii="Arial" w:hAnsi="Arial" w:cs="Arial"/>
                <w:sz w:val="20"/>
                <w:szCs w:val="20"/>
              </w:rPr>
            </w:pPr>
          </w:p>
        </w:tc>
      </w:tr>
      <w:tr w:rsidR="0007198D" w:rsidRPr="0007198D" w14:paraId="494CA31B" w14:textId="77777777" w:rsidTr="000C7A5D">
        <w:tc>
          <w:tcPr>
            <w:tcW w:w="3600" w:type="dxa"/>
            <w:shd w:val="clear" w:color="auto" w:fill="auto"/>
          </w:tcPr>
          <w:p w14:paraId="2D71396B"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SIGNIFICANCE</w:t>
            </w:r>
          </w:p>
        </w:tc>
        <w:tc>
          <w:tcPr>
            <w:tcW w:w="5842" w:type="dxa"/>
            <w:gridSpan w:val="2"/>
            <w:shd w:val="clear" w:color="auto" w:fill="auto"/>
          </w:tcPr>
          <w:p w14:paraId="6BB47730" w14:textId="77777777" w:rsidR="0007198D" w:rsidRPr="0007198D" w:rsidRDefault="0007198D" w:rsidP="0007198D">
            <w:pPr>
              <w:spacing w:after="0" w:line="240" w:lineRule="auto"/>
              <w:rPr>
                <w:sz w:val="20"/>
                <w:szCs w:val="20"/>
              </w:rPr>
            </w:pPr>
            <w:r w:rsidRPr="0007198D">
              <w:rPr>
                <w:rFonts w:ascii="Arial" w:hAnsi="Arial" w:cs="Arial"/>
                <w:noProof/>
                <w:sz w:val="20"/>
                <w:szCs w:val="20"/>
              </w:rPr>
              <w:t>Early prenatal care is essential for identification of maternal disease and risks for complications of pregnancy or birth.  This can help ensure that women with complex problems, chronic illness, or other risks are seen by specialists.  Early prenatal care can also provide important education and counseling on modifiable risks in pregnancy, including smoking, drinking, and inadequate or excessive weight gain.  Although early high-quality prenatal care is essential, particularly for women with chronic conditions or other risk factors, it may not be sufficient to assure optimal pregnancy outcomes. Efforts to improve pregnancy outcomes and the health of mothers and infants should begin prior to conception, whether before a first or subsequent pregnancy. As many women are not aware of being pregnant at first, it is important to establish healthy behaviors and achieve optimal health well before pregnancy.</w:t>
            </w:r>
            <w:r w:rsidRPr="0007198D">
              <w:rPr>
                <w:sz w:val="20"/>
                <w:szCs w:val="20"/>
              </w:rPr>
              <w:t xml:space="preserve"> </w:t>
            </w:r>
          </w:p>
          <w:p w14:paraId="054D6AEC" w14:textId="77777777" w:rsidR="0007198D" w:rsidRPr="0007198D" w:rsidRDefault="0007198D" w:rsidP="0007198D">
            <w:pPr>
              <w:spacing w:after="0" w:line="240" w:lineRule="auto"/>
              <w:rPr>
                <w:rFonts w:ascii="Arial" w:hAnsi="Arial" w:cs="Arial"/>
                <w:sz w:val="20"/>
                <w:szCs w:val="20"/>
              </w:rPr>
            </w:pPr>
          </w:p>
          <w:p w14:paraId="060B843A"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sz w:val="20"/>
                <w:szCs w:val="20"/>
              </w:rPr>
              <w:t xml:space="preserve">Centers for Disease Control and Prevention.  Pregnancy and prenatal care.  </w:t>
            </w:r>
            <w:hyperlink r:id="rId62" w:history="1">
              <w:r w:rsidRPr="0007198D">
                <w:rPr>
                  <w:rFonts w:ascii="Arial" w:hAnsi="Arial" w:cs="Arial"/>
                  <w:color w:val="0000FF"/>
                  <w:sz w:val="20"/>
                  <w:szCs w:val="20"/>
                  <w:u w:val="single"/>
                </w:rPr>
                <w:t>https://www.cdc.gov/healthcommunication/toolstemplates/entertainmented/tips/PregnancyPrenatalCare.html</w:t>
              </w:r>
            </w:hyperlink>
            <w:r w:rsidRPr="0007198D">
              <w:rPr>
                <w:rFonts w:ascii="Arial" w:hAnsi="Arial" w:cs="Arial"/>
                <w:sz w:val="20"/>
                <w:szCs w:val="20"/>
              </w:rPr>
              <w:t xml:space="preserve"> </w:t>
            </w:r>
          </w:p>
          <w:p w14:paraId="02DC6A29" w14:textId="77777777" w:rsidR="0007198D" w:rsidRPr="0007198D" w:rsidRDefault="0007198D" w:rsidP="0007198D">
            <w:pPr>
              <w:spacing w:after="0" w:line="240" w:lineRule="auto"/>
              <w:rPr>
                <w:rFonts w:ascii="Arial" w:hAnsi="Arial" w:cs="Arial"/>
                <w:sz w:val="20"/>
                <w:szCs w:val="20"/>
              </w:rPr>
            </w:pPr>
          </w:p>
          <w:p w14:paraId="5CE14623"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sz w:val="20"/>
                <w:szCs w:val="20"/>
              </w:rPr>
              <w:t xml:space="preserve">Centers for Disease Control and Prevention. Recommendations to improve preconception health and health care—United States. MMWR Recommendations and Reports. 2006;55(RR-06):1–23. </w:t>
            </w:r>
            <w:hyperlink r:id="rId63" w:history="1">
              <w:r w:rsidRPr="0007198D">
                <w:rPr>
                  <w:rFonts w:ascii="Arial" w:hAnsi="Arial" w:cs="Arial"/>
                  <w:color w:val="0000FF"/>
                  <w:sz w:val="20"/>
                  <w:szCs w:val="20"/>
                  <w:u w:val="single"/>
                </w:rPr>
                <w:t>https://www.cdc.gov/mmwr/preview/mmwrhtml/rr5506a1.htm</w:t>
              </w:r>
            </w:hyperlink>
            <w:r w:rsidRPr="0007198D">
              <w:rPr>
                <w:rFonts w:ascii="Arial" w:hAnsi="Arial" w:cs="Arial"/>
                <w:sz w:val="20"/>
                <w:szCs w:val="20"/>
              </w:rPr>
              <w:t xml:space="preserve"> </w:t>
            </w:r>
          </w:p>
        </w:tc>
      </w:tr>
    </w:tbl>
    <w:p w14:paraId="1C1A0CFD" w14:textId="77777777" w:rsidR="0007198D" w:rsidRPr="0007198D" w:rsidRDefault="0007198D" w:rsidP="0007198D">
      <w:pPr>
        <w:spacing w:after="0" w:line="240" w:lineRule="auto"/>
        <w:rPr>
          <w:rFonts w:ascii="Arial" w:hAnsi="Arial" w:cs="Arial"/>
          <w:sz w:val="28"/>
          <w:szCs w:val="28"/>
        </w:rPr>
      </w:pPr>
    </w:p>
    <w:p w14:paraId="2E711902" w14:textId="77777777" w:rsidR="0007198D" w:rsidRPr="0007198D" w:rsidRDefault="0007198D" w:rsidP="0007198D">
      <w:r w:rsidRPr="0007198D">
        <w:br w:type="page"/>
      </w:r>
    </w:p>
    <w:tbl>
      <w:tblPr>
        <w:tblW w:w="0" w:type="auto"/>
        <w:tblLook w:val="04A0" w:firstRow="1" w:lastRow="0" w:firstColumn="1" w:lastColumn="0" w:noHBand="0" w:noVBand="1"/>
      </w:tblPr>
      <w:tblGrid>
        <w:gridCol w:w="3618"/>
        <w:gridCol w:w="5868"/>
      </w:tblGrid>
      <w:tr w:rsidR="0007198D" w:rsidRPr="0007198D" w14:paraId="219CA81A" w14:textId="77777777" w:rsidTr="000C7A5D">
        <w:tc>
          <w:tcPr>
            <w:tcW w:w="3618" w:type="dxa"/>
            <w:shd w:val="clear" w:color="auto" w:fill="auto"/>
          </w:tcPr>
          <w:p w14:paraId="43D92610" w14:textId="77777777" w:rsidR="0007198D" w:rsidRPr="0007198D" w:rsidRDefault="0007198D" w:rsidP="0007198D">
            <w:pPr>
              <w:spacing w:after="0" w:line="240" w:lineRule="auto"/>
              <w:rPr>
                <w:rFonts w:ascii="Arial" w:hAnsi="Arial" w:cs="Arial"/>
                <w:b/>
                <w:sz w:val="24"/>
                <w:szCs w:val="24"/>
              </w:rPr>
            </w:pPr>
            <w:r w:rsidRPr="0007198D">
              <w:rPr>
                <w:rFonts w:ascii="Arial" w:hAnsi="Arial" w:cs="Arial"/>
                <w:b/>
                <w:sz w:val="24"/>
                <w:szCs w:val="24"/>
              </w:rPr>
              <w:t xml:space="preserve">OUTCOME MEASURE </w:t>
            </w:r>
            <w:r w:rsidRPr="0007198D">
              <w:rPr>
                <w:rFonts w:ascii="Arial" w:hAnsi="Arial" w:cs="Arial"/>
                <w:b/>
                <w:noProof/>
                <w:sz w:val="24"/>
                <w:szCs w:val="24"/>
              </w:rPr>
              <w:t>2</w:t>
            </w:r>
          </w:p>
        </w:tc>
        <w:tc>
          <w:tcPr>
            <w:tcW w:w="5868" w:type="dxa"/>
            <w:shd w:val="clear" w:color="auto" w:fill="auto"/>
          </w:tcPr>
          <w:p w14:paraId="7C960076" w14:textId="77777777" w:rsidR="0007198D" w:rsidRPr="0007198D" w:rsidRDefault="0007198D" w:rsidP="0007198D">
            <w:pPr>
              <w:spacing w:after="0" w:line="240" w:lineRule="auto"/>
              <w:rPr>
                <w:rFonts w:ascii="Arial" w:hAnsi="Arial" w:cs="Arial"/>
                <w:b/>
                <w:sz w:val="24"/>
                <w:szCs w:val="24"/>
              </w:rPr>
            </w:pPr>
            <w:r w:rsidRPr="0007198D">
              <w:rPr>
                <w:rFonts w:ascii="Arial" w:hAnsi="Arial" w:cs="Arial"/>
                <w:b/>
                <w:noProof/>
                <w:sz w:val="24"/>
                <w:szCs w:val="24"/>
              </w:rPr>
              <w:t>Rate of severe maternal morbidity per 10,000 delivery hospitalizations</w:t>
            </w:r>
          </w:p>
        </w:tc>
      </w:tr>
    </w:tbl>
    <w:p w14:paraId="11E9C364" w14:textId="77777777" w:rsidR="0007198D" w:rsidRPr="0007198D" w:rsidRDefault="0007198D" w:rsidP="0007198D">
      <w:pPr>
        <w:spacing w:after="0" w:line="240" w:lineRule="auto"/>
      </w:pPr>
    </w:p>
    <w:p w14:paraId="4FF993EA" w14:textId="77777777" w:rsidR="0007198D" w:rsidRPr="0007198D" w:rsidRDefault="0007198D" w:rsidP="0007198D">
      <w:pPr>
        <w:spacing w:after="0" w:line="240" w:lineRule="auto"/>
      </w:pPr>
      <w:r w:rsidRPr="0007198D">
        <w:rPr>
          <w:noProof/>
        </w:rPr>
        <mc:AlternateContent>
          <mc:Choice Requires="wps">
            <w:drawing>
              <wp:anchor distT="4294967295" distB="4294967295" distL="114300" distR="114300" simplePos="0" relativeHeight="251754496" behindDoc="0" locked="0" layoutInCell="1" allowOverlap="1" wp14:anchorId="200B3429" wp14:editId="68DCD70B">
                <wp:simplePos x="0" y="0"/>
                <wp:positionH relativeFrom="column">
                  <wp:posOffset>-60960</wp:posOffset>
                </wp:positionH>
                <wp:positionV relativeFrom="paragraph">
                  <wp:posOffset>31749</wp:posOffset>
                </wp:positionV>
                <wp:extent cx="6088380" cy="0"/>
                <wp:effectExtent l="0" t="0" r="26670"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9A8A797" id="Straight Connector 33" o:spid="_x0000_s1026" style="position:absolute;z-index:251754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" strokecolor="windowText" strokeweight="1.75pt">
                <o:lock v:ext="edit" shapetype="f"/>
              </v:line>
            </w:pict>
          </mc:Fallback>
        </mc:AlternateContent>
      </w:r>
    </w:p>
    <w:tbl>
      <w:tblPr>
        <w:tblW w:w="0" w:type="auto"/>
        <w:tblLook w:val="04A0" w:firstRow="1" w:lastRow="0" w:firstColumn="1" w:lastColumn="0" w:noHBand="0" w:noVBand="1"/>
      </w:tblPr>
      <w:tblGrid>
        <w:gridCol w:w="3618"/>
        <w:gridCol w:w="3384"/>
        <w:gridCol w:w="2556"/>
      </w:tblGrid>
      <w:tr w:rsidR="0007198D" w:rsidRPr="0007198D" w14:paraId="5C52A11B" w14:textId="77777777" w:rsidTr="000C7A5D">
        <w:tc>
          <w:tcPr>
            <w:tcW w:w="3618" w:type="dxa"/>
            <w:shd w:val="clear" w:color="auto" w:fill="auto"/>
          </w:tcPr>
          <w:p w14:paraId="34AC67E0"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GOAL</w:t>
            </w:r>
          </w:p>
        </w:tc>
        <w:tc>
          <w:tcPr>
            <w:tcW w:w="5940" w:type="dxa"/>
            <w:gridSpan w:val="2"/>
            <w:shd w:val="clear" w:color="auto" w:fill="auto"/>
          </w:tcPr>
          <w:p w14:paraId="5519DD7B"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To reduce life-threatening maternal illness and complications.</w:t>
            </w:r>
          </w:p>
        </w:tc>
      </w:tr>
      <w:tr w:rsidR="0007198D" w:rsidRPr="0007198D" w14:paraId="0CEDED65" w14:textId="77777777" w:rsidTr="000C7A5D">
        <w:tc>
          <w:tcPr>
            <w:tcW w:w="3618" w:type="dxa"/>
            <w:shd w:val="clear" w:color="auto" w:fill="auto"/>
          </w:tcPr>
          <w:p w14:paraId="68FB7873" w14:textId="77777777" w:rsidR="0007198D" w:rsidRPr="0007198D" w:rsidRDefault="0007198D" w:rsidP="0007198D">
            <w:pPr>
              <w:spacing w:after="0" w:line="240" w:lineRule="auto"/>
              <w:rPr>
                <w:rFonts w:ascii="Arial" w:hAnsi="Arial" w:cs="Arial"/>
                <w:b/>
                <w:sz w:val="20"/>
                <w:szCs w:val="20"/>
              </w:rPr>
            </w:pPr>
          </w:p>
        </w:tc>
        <w:tc>
          <w:tcPr>
            <w:tcW w:w="5940" w:type="dxa"/>
            <w:gridSpan w:val="2"/>
            <w:shd w:val="clear" w:color="auto" w:fill="auto"/>
          </w:tcPr>
          <w:p w14:paraId="1248C659" w14:textId="77777777" w:rsidR="0007198D" w:rsidRPr="0007198D" w:rsidRDefault="0007198D" w:rsidP="0007198D">
            <w:pPr>
              <w:spacing w:after="0" w:line="240" w:lineRule="auto"/>
              <w:rPr>
                <w:rFonts w:ascii="Arial" w:hAnsi="Arial" w:cs="Arial"/>
                <w:sz w:val="20"/>
                <w:szCs w:val="20"/>
              </w:rPr>
            </w:pPr>
          </w:p>
        </w:tc>
      </w:tr>
      <w:tr w:rsidR="0007198D" w:rsidRPr="0007198D" w14:paraId="299A3E76" w14:textId="77777777" w:rsidTr="000C7A5D">
        <w:tc>
          <w:tcPr>
            <w:tcW w:w="3618" w:type="dxa"/>
            <w:shd w:val="clear" w:color="auto" w:fill="auto"/>
          </w:tcPr>
          <w:p w14:paraId="1EB903DA"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DEFINITION</w:t>
            </w:r>
          </w:p>
        </w:tc>
        <w:tc>
          <w:tcPr>
            <w:tcW w:w="5940" w:type="dxa"/>
            <w:gridSpan w:val="2"/>
            <w:shd w:val="clear" w:color="auto" w:fill="auto"/>
          </w:tcPr>
          <w:p w14:paraId="3AD5729A"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Numerator:</w:t>
            </w:r>
          </w:p>
        </w:tc>
      </w:tr>
      <w:tr w:rsidR="0007198D" w:rsidRPr="0007198D" w14:paraId="26AF15FE" w14:textId="77777777" w:rsidTr="000C7A5D">
        <w:tc>
          <w:tcPr>
            <w:tcW w:w="3618" w:type="dxa"/>
            <w:shd w:val="clear" w:color="auto" w:fill="auto"/>
          </w:tcPr>
          <w:p w14:paraId="1D5AF768" w14:textId="77777777" w:rsidR="0007198D" w:rsidRPr="0007198D" w:rsidRDefault="0007198D" w:rsidP="0007198D">
            <w:pPr>
              <w:spacing w:after="0" w:line="240" w:lineRule="auto"/>
              <w:rPr>
                <w:rFonts w:ascii="Arial" w:hAnsi="Arial" w:cs="Arial"/>
                <w:b/>
                <w:sz w:val="20"/>
                <w:szCs w:val="20"/>
              </w:rPr>
            </w:pPr>
          </w:p>
        </w:tc>
        <w:tc>
          <w:tcPr>
            <w:tcW w:w="5940" w:type="dxa"/>
            <w:gridSpan w:val="2"/>
            <w:shd w:val="clear" w:color="auto" w:fill="auto"/>
          </w:tcPr>
          <w:p w14:paraId="45D20FA5"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 xml:space="preserve">Number of delivery hospitalizations with an indication of severe morbidity from ICD-10 diagnosis or procedure codes (e.g. heart or kidney failure, stroke, embolism, hemorrhage).  </w:t>
            </w:r>
          </w:p>
        </w:tc>
      </w:tr>
      <w:tr w:rsidR="0007198D" w:rsidRPr="0007198D" w14:paraId="694036AA" w14:textId="77777777" w:rsidTr="000C7A5D">
        <w:tc>
          <w:tcPr>
            <w:tcW w:w="3618" w:type="dxa"/>
            <w:shd w:val="clear" w:color="auto" w:fill="auto"/>
          </w:tcPr>
          <w:p w14:paraId="25EB7E14" w14:textId="77777777" w:rsidR="0007198D" w:rsidRPr="0007198D" w:rsidRDefault="0007198D" w:rsidP="0007198D">
            <w:pPr>
              <w:spacing w:after="0" w:line="240" w:lineRule="auto"/>
              <w:rPr>
                <w:rFonts w:ascii="Arial" w:hAnsi="Arial" w:cs="Arial"/>
                <w:b/>
                <w:sz w:val="20"/>
                <w:szCs w:val="20"/>
              </w:rPr>
            </w:pPr>
          </w:p>
        </w:tc>
        <w:tc>
          <w:tcPr>
            <w:tcW w:w="5940" w:type="dxa"/>
            <w:gridSpan w:val="2"/>
            <w:shd w:val="clear" w:color="auto" w:fill="auto"/>
          </w:tcPr>
          <w:p w14:paraId="56507FB5" w14:textId="77777777" w:rsidR="0007198D" w:rsidRPr="0007198D" w:rsidRDefault="0007198D" w:rsidP="0007198D">
            <w:pPr>
              <w:spacing w:after="0" w:line="240" w:lineRule="auto"/>
              <w:rPr>
                <w:rFonts w:ascii="Arial" w:hAnsi="Arial" w:cs="Arial"/>
                <w:sz w:val="20"/>
                <w:szCs w:val="20"/>
              </w:rPr>
            </w:pPr>
          </w:p>
        </w:tc>
      </w:tr>
      <w:tr w:rsidR="0007198D" w:rsidRPr="0007198D" w14:paraId="27C99122" w14:textId="77777777" w:rsidTr="000C7A5D">
        <w:tc>
          <w:tcPr>
            <w:tcW w:w="3618" w:type="dxa"/>
            <w:shd w:val="clear" w:color="auto" w:fill="auto"/>
          </w:tcPr>
          <w:p w14:paraId="5F7E17E2" w14:textId="77777777" w:rsidR="0007198D" w:rsidRPr="0007198D" w:rsidRDefault="0007198D" w:rsidP="0007198D">
            <w:pPr>
              <w:spacing w:after="0" w:line="240" w:lineRule="auto"/>
              <w:rPr>
                <w:rFonts w:ascii="Arial" w:hAnsi="Arial" w:cs="Arial"/>
                <w:b/>
                <w:sz w:val="20"/>
                <w:szCs w:val="20"/>
              </w:rPr>
            </w:pPr>
          </w:p>
        </w:tc>
        <w:tc>
          <w:tcPr>
            <w:tcW w:w="5940" w:type="dxa"/>
            <w:gridSpan w:val="2"/>
            <w:shd w:val="clear" w:color="auto" w:fill="auto"/>
          </w:tcPr>
          <w:p w14:paraId="03672A2C"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Denominator:</w:t>
            </w:r>
          </w:p>
        </w:tc>
      </w:tr>
      <w:tr w:rsidR="0007198D" w:rsidRPr="0007198D" w14:paraId="557E88FD" w14:textId="77777777" w:rsidTr="000C7A5D">
        <w:tc>
          <w:tcPr>
            <w:tcW w:w="3618" w:type="dxa"/>
            <w:shd w:val="clear" w:color="auto" w:fill="auto"/>
          </w:tcPr>
          <w:p w14:paraId="7AD19333" w14:textId="77777777" w:rsidR="0007198D" w:rsidRPr="0007198D" w:rsidRDefault="0007198D" w:rsidP="0007198D">
            <w:pPr>
              <w:spacing w:after="0" w:line="240" w:lineRule="auto"/>
              <w:rPr>
                <w:rFonts w:ascii="Arial" w:hAnsi="Arial" w:cs="Arial"/>
                <w:b/>
                <w:sz w:val="20"/>
                <w:szCs w:val="20"/>
              </w:rPr>
            </w:pPr>
          </w:p>
        </w:tc>
        <w:tc>
          <w:tcPr>
            <w:tcW w:w="5940" w:type="dxa"/>
            <w:gridSpan w:val="2"/>
            <w:shd w:val="clear" w:color="auto" w:fill="auto"/>
          </w:tcPr>
          <w:p w14:paraId="5509012A"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Number of delivery hospitalizations</w:t>
            </w:r>
          </w:p>
        </w:tc>
      </w:tr>
      <w:tr w:rsidR="0007198D" w:rsidRPr="0007198D" w14:paraId="6D5120D1" w14:textId="77777777" w:rsidTr="000C7A5D">
        <w:tc>
          <w:tcPr>
            <w:tcW w:w="3618" w:type="dxa"/>
            <w:shd w:val="clear" w:color="auto" w:fill="auto"/>
          </w:tcPr>
          <w:p w14:paraId="725A3EDA" w14:textId="77777777" w:rsidR="0007198D" w:rsidRPr="0007198D" w:rsidRDefault="0007198D" w:rsidP="0007198D">
            <w:pPr>
              <w:spacing w:after="0" w:line="240" w:lineRule="auto"/>
              <w:rPr>
                <w:rFonts w:ascii="Arial" w:hAnsi="Arial" w:cs="Arial"/>
                <w:b/>
                <w:sz w:val="20"/>
                <w:szCs w:val="20"/>
              </w:rPr>
            </w:pPr>
          </w:p>
        </w:tc>
        <w:tc>
          <w:tcPr>
            <w:tcW w:w="5940" w:type="dxa"/>
            <w:gridSpan w:val="2"/>
            <w:shd w:val="clear" w:color="auto" w:fill="auto"/>
          </w:tcPr>
          <w:p w14:paraId="0B2A3573" w14:textId="77777777" w:rsidR="0007198D" w:rsidRPr="0007198D" w:rsidRDefault="0007198D" w:rsidP="0007198D">
            <w:pPr>
              <w:spacing w:after="0" w:line="240" w:lineRule="auto"/>
              <w:rPr>
                <w:rFonts w:ascii="Arial" w:hAnsi="Arial" w:cs="Arial"/>
                <w:sz w:val="20"/>
                <w:szCs w:val="20"/>
              </w:rPr>
            </w:pPr>
          </w:p>
        </w:tc>
      </w:tr>
      <w:tr w:rsidR="0007198D" w:rsidRPr="0007198D" w14:paraId="75398CC0" w14:textId="77777777" w:rsidTr="000C7A5D">
        <w:tc>
          <w:tcPr>
            <w:tcW w:w="3618" w:type="dxa"/>
            <w:shd w:val="clear" w:color="auto" w:fill="auto"/>
          </w:tcPr>
          <w:p w14:paraId="5C64D9ED" w14:textId="77777777" w:rsidR="0007198D" w:rsidRPr="0007198D" w:rsidRDefault="0007198D" w:rsidP="0007198D">
            <w:pPr>
              <w:spacing w:after="0" w:line="240" w:lineRule="auto"/>
              <w:rPr>
                <w:rFonts w:ascii="Arial" w:hAnsi="Arial" w:cs="Arial"/>
                <w:b/>
                <w:sz w:val="20"/>
                <w:szCs w:val="20"/>
              </w:rPr>
            </w:pPr>
          </w:p>
        </w:tc>
        <w:tc>
          <w:tcPr>
            <w:tcW w:w="3384" w:type="dxa"/>
            <w:shd w:val="clear" w:color="auto" w:fill="auto"/>
          </w:tcPr>
          <w:p w14:paraId="2409376F"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b/>
                <w:sz w:val="20"/>
                <w:szCs w:val="20"/>
              </w:rPr>
              <w:t>Units:</w:t>
            </w:r>
            <w:r w:rsidRPr="0007198D">
              <w:rPr>
                <w:rFonts w:ascii="Arial" w:hAnsi="Arial" w:cs="Arial"/>
                <w:sz w:val="20"/>
                <w:szCs w:val="20"/>
              </w:rPr>
              <w:t xml:space="preserve"> </w:t>
            </w:r>
            <w:r w:rsidRPr="0007198D">
              <w:rPr>
                <w:rFonts w:ascii="Arial" w:hAnsi="Arial" w:cs="Arial"/>
                <w:noProof/>
                <w:sz w:val="20"/>
                <w:szCs w:val="20"/>
              </w:rPr>
              <w:t>10,000</w:t>
            </w:r>
          </w:p>
        </w:tc>
        <w:tc>
          <w:tcPr>
            <w:tcW w:w="2556" w:type="dxa"/>
            <w:shd w:val="clear" w:color="auto" w:fill="auto"/>
          </w:tcPr>
          <w:p w14:paraId="10A06B1A"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b/>
                <w:sz w:val="20"/>
                <w:szCs w:val="20"/>
              </w:rPr>
              <w:t>Text:</w:t>
            </w:r>
            <w:r w:rsidRPr="0007198D">
              <w:rPr>
                <w:rFonts w:ascii="Arial" w:hAnsi="Arial" w:cs="Arial"/>
                <w:sz w:val="20"/>
                <w:szCs w:val="20"/>
              </w:rPr>
              <w:t xml:space="preserve"> </w:t>
            </w:r>
            <w:r w:rsidRPr="0007198D">
              <w:rPr>
                <w:rFonts w:ascii="Arial" w:hAnsi="Arial" w:cs="Arial"/>
                <w:noProof/>
                <w:sz w:val="20"/>
                <w:szCs w:val="20"/>
              </w:rPr>
              <w:t>Rate</w:t>
            </w:r>
          </w:p>
        </w:tc>
      </w:tr>
      <w:tr w:rsidR="0007198D" w:rsidRPr="0007198D" w14:paraId="02600B95" w14:textId="77777777" w:rsidTr="000C7A5D">
        <w:tc>
          <w:tcPr>
            <w:tcW w:w="3618" w:type="dxa"/>
            <w:shd w:val="clear" w:color="auto" w:fill="auto"/>
          </w:tcPr>
          <w:p w14:paraId="3BD98674" w14:textId="77777777" w:rsidR="0007198D" w:rsidRPr="0007198D" w:rsidRDefault="0007198D" w:rsidP="0007198D">
            <w:pPr>
              <w:spacing w:after="0" w:line="240" w:lineRule="auto"/>
              <w:rPr>
                <w:rFonts w:ascii="Arial" w:hAnsi="Arial" w:cs="Arial"/>
                <w:b/>
                <w:sz w:val="20"/>
                <w:szCs w:val="20"/>
              </w:rPr>
            </w:pPr>
          </w:p>
        </w:tc>
        <w:tc>
          <w:tcPr>
            <w:tcW w:w="5940" w:type="dxa"/>
            <w:gridSpan w:val="2"/>
            <w:shd w:val="clear" w:color="auto" w:fill="auto"/>
          </w:tcPr>
          <w:p w14:paraId="2307EEC7" w14:textId="77777777" w:rsidR="0007198D" w:rsidRPr="0007198D" w:rsidRDefault="0007198D" w:rsidP="0007198D">
            <w:pPr>
              <w:spacing w:after="0" w:line="240" w:lineRule="auto"/>
              <w:rPr>
                <w:rFonts w:ascii="Arial" w:hAnsi="Arial" w:cs="Arial"/>
                <w:sz w:val="20"/>
                <w:szCs w:val="20"/>
              </w:rPr>
            </w:pPr>
          </w:p>
        </w:tc>
      </w:tr>
      <w:tr w:rsidR="0007198D" w:rsidRPr="0007198D" w14:paraId="13BA3D54" w14:textId="77777777" w:rsidTr="000C7A5D">
        <w:tc>
          <w:tcPr>
            <w:tcW w:w="3618" w:type="dxa"/>
            <w:shd w:val="clear" w:color="auto" w:fill="auto"/>
          </w:tcPr>
          <w:p w14:paraId="39A90AF4"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HEALTHY PEOPLE 2020 OBJECTIVE</w:t>
            </w:r>
          </w:p>
        </w:tc>
        <w:tc>
          <w:tcPr>
            <w:tcW w:w="5940" w:type="dxa"/>
            <w:gridSpan w:val="2"/>
            <w:shd w:val="clear" w:color="auto" w:fill="auto"/>
          </w:tcPr>
          <w:p w14:paraId="2515F27C" w14:textId="77777777" w:rsidR="0007198D" w:rsidRPr="0007198D" w:rsidRDefault="0007198D" w:rsidP="0007198D">
            <w:pPr>
              <w:spacing w:after="0" w:line="240" w:lineRule="auto"/>
              <w:rPr>
                <w:rFonts w:ascii="Arial" w:hAnsi="Arial" w:cs="Arial"/>
                <w:noProof/>
                <w:sz w:val="20"/>
                <w:szCs w:val="20"/>
              </w:rPr>
            </w:pPr>
            <w:r w:rsidRPr="0007198D">
              <w:rPr>
                <w:rFonts w:ascii="Arial" w:hAnsi="Arial" w:cs="Arial"/>
                <w:noProof/>
                <w:sz w:val="20"/>
                <w:szCs w:val="20"/>
              </w:rPr>
              <w:t xml:space="preserve">Related to Maternal, Infant, and Child Health (MICH) 5.  Reduce the rate of maternal mortality. (Baseline:12.7 maternal deaths per 100,000 live births in 2007, Target: 11.4 maternal deaths per 100,000 live births) </w:t>
            </w:r>
          </w:p>
          <w:p w14:paraId="5604403C" w14:textId="77777777" w:rsidR="0007198D" w:rsidRPr="0007198D" w:rsidRDefault="0007198D" w:rsidP="0007198D">
            <w:pPr>
              <w:spacing w:after="0" w:line="240" w:lineRule="auto"/>
              <w:rPr>
                <w:rFonts w:ascii="Arial" w:hAnsi="Arial" w:cs="Arial"/>
                <w:noProof/>
                <w:sz w:val="20"/>
                <w:szCs w:val="20"/>
              </w:rPr>
            </w:pPr>
          </w:p>
          <w:p w14:paraId="7C2118AE" w14:textId="77777777" w:rsidR="0007198D" w:rsidRPr="0007198D" w:rsidRDefault="0007198D" w:rsidP="0007198D">
            <w:pPr>
              <w:spacing w:after="0" w:line="240" w:lineRule="auto"/>
              <w:rPr>
                <w:rFonts w:ascii="Arial" w:hAnsi="Arial" w:cs="Arial"/>
                <w:noProof/>
                <w:sz w:val="20"/>
                <w:szCs w:val="20"/>
              </w:rPr>
            </w:pPr>
            <w:r w:rsidRPr="0007198D">
              <w:rPr>
                <w:rFonts w:ascii="Arial" w:hAnsi="Arial" w:cs="Arial"/>
                <w:noProof/>
                <w:sz w:val="20"/>
                <w:szCs w:val="20"/>
              </w:rPr>
              <w:t>Related to Maternal, Infant, and Child Health (MICH) 6. Reduce maternal illness and complications due to pregnancy (complications during hospitalized labor and delivery) . (Baseline: 31.1%, Target: 28%)</w:t>
            </w:r>
          </w:p>
          <w:p w14:paraId="1CBCD814" w14:textId="77777777" w:rsidR="0007198D" w:rsidRPr="0007198D" w:rsidRDefault="0007198D" w:rsidP="0007198D">
            <w:pPr>
              <w:spacing w:after="0" w:line="240" w:lineRule="auto"/>
              <w:rPr>
                <w:rFonts w:ascii="Arial" w:hAnsi="Arial" w:cs="Arial"/>
                <w:sz w:val="20"/>
                <w:szCs w:val="20"/>
              </w:rPr>
            </w:pPr>
          </w:p>
        </w:tc>
      </w:tr>
      <w:tr w:rsidR="0007198D" w:rsidRPr="0007198D" w14:paraId="7EBC33AB" w14:textId="77777777" w:rsidTr="000C7A5D">
        <w:tc>
          <w:tcPr>
            <w:tcW w:w="3618" w:type="dxa"/>
            <w:shd w:val="clear" w:color="auto" w:fill="auto"/>
          </w:tcPr>
          <w:p w14:paraId="6ACF6C9F" w14:textId="77777777" w:rsidR="0007198D" w:rsidRPr="0007198D" w:rsidRDefault="0007198D" w:rsidP="0007198D">
            <w:pPr>
              <w:spacing w:after="0" w:line="240" w:lineRule="auto"/>
              <w:rPr>
                <w:rFonts w:ascii="Arial" w:hAnsi="Arial" w:cs="Arial"/>
                <w:b/>
                <w:sz w:val="20"/>
                <w:szCs w:val="20"/>
              </w:rPr>
            </w:pPr>
          </w:p>
        </w:tc>
        <w:tc>
          <w:tcPr>
            <w:tcW w:w="5940" w:type="dxa"/>
            <w:gridSpan w:val="2"/>
            <w:shd w:val="clear" w:color="auto" w:fill="auto"/>
          </w:tcPr>
          <w:p w14:paraId="3286F6F0" w14:textId="77777777" w:rsidR="0007198D" w:rsidRPr="0007198D" w:rsidRDefault="0007198D" w:rsidP="0007198D">
            <w:pPr>
              <w:spacing w:after="0" w:line="240" w:lineRule="auto"/>
              <w:rPr>
                <w:rFonts w:ascii="Arial" w:hAnsi="Arial" w:cs="Arial"/>
                <w:sz w:val="20"/>
                <w:szCs w:val="20"/>
              </w:rPr>
            </w:pPr>
          </w:p>
        </w:tc>
      </w:tr>
      <w:tr w:rsidR="0007198D" w:rsidRPr="0007198D" w14:paraId="37D80B4F" w14:textId="77777777" w:rsidTr="000C7A5D">
        <w:tc>
          <w:tcPr>
            <w:tcW w:w="3618" w:type="dxa"/>
            <w:shd w:val="clear" w:color="auto" w:fill="auto"/>
          </w:tcPr>
          <w:p w14:paraId="15172933"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DATA SOURCES and DATA ISSUES</w:t>
            </w:r>
          </w:p>
        </w:tc>
        <w:tc>
          <w:tcPr>
            <w:tcW w:w="5940" w:type="dxa"/>
            <w:gridSpan w:val="2"/>
            <w:shd w:val="clear" w:color="auto" w:fill="auto"/>
          </w:tcPr>
          <w:p w14:paraId="34944998"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Healthcare Cost and Utilization Project (HCUP) - State Inpatient Database (SID)</w:t>
            </w:r>
          </w:p>
        </w:tc>
      </w:tr>
      <w:tr w:rsidR="0007198D" w:rsidRPr="0007198D" w14:paraId="4412D981" w14:textId="77777777" w:rsidTr="000C7A5D">
        <w:tc>
          <w:tcPr>
            <w:tcW w:w="3618" w:type="dxa"/>
            <w:shd w:val="clear" w:color="auto" w:fill="auto"/>
          </w:tcPr>
          <w:p w14:paraId="7636AD4A" w14:textId="77777777" w:rsidR="0007198D" w:rsidRPr="0007198D" w:rsidRDefault="0007198D" w:rsidP="0007198D">
            <w:pPr>
              <w:spacing w:after="0" w:line="240" w:lineRule="auto"/>
              <w:rPr>
                <w:rFonts w:ascii="Arial" w:hAnsi="Arial" w:cs="Arial"/>
                <w:b/>
                <w:sz w:val="20"/>
                <w:szCs w:val="20"/>
              </w:rPr>
            </w:pPr>
          </w:p>
        </w:tc>
        <w:tc>
          <w:tcPr>
            <w:tcW w:w="5940" w:type="dxa"/>
            <w:gridSpan w:val="2"/>
            <w:shd w:val="clear" w:color="auto" w:fill="auto"/>
          </w:tcPr>
          <w:p w14:paraId="2AA2D6B0" w14:textId="77777777" w:rsidR="0007198D" w:rsidRPr="0007198D" w:rsidRDefault="0007198D" w:rsidP="0007198D">
            <w:pPr>
              <w:spacing w:after="0" w:line="240" w:lineRule="auto"/>
              <w:rPr>
                <w:rFonts w:ascii="Arial" w:hAnsi="Arial" w:cs="Arial"/>
                <w:sz w:val="20"/>
                <w:szCs w:val="20"/>
              </w:rPr>
            </w:pPr>
          </w:p>
        </w:tc>
      </w:tr>
      <w:tr w:rsidR="0007198D" w:rsidRPr="0007198D" w14:paraId="640DC817" w14:textId="77777777" w:rsidTr="000C7A5D">
        <w:tc>
          <w:tcPr>
            <w:tcW w:w="3618" w:type="dxa"/>
            <w:shd w:val="clear" w:color="auto" w:fill="auto"/>
          </w:tcPr>
          <w:p w14:paraId="222F1337"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SIGNIFICANCE</w:t>
            </w:r>
          </w:p>
        </w:tc>
        <w:tc>
          <w:tcPr>
            <w:tcW w:w="5940" w:type="dxa"/>
            <w:gridSpan w:val="2"/>
            <w:shd w:val="clear" w:color="auto" w:fill="auto"/>
          </w:tcPr>
          <w:p w14:paraId="0300E74C" w14:textId="77777777" w:rsidR="0007198D" w:rsidRPr="0007198D" w:rsidRDefault="0007198D" w:rsidP="0007198D">
            <w:pPr>
              <w:spacing w:after="0" w:line="240" w:lineRule="auto"/>
              <w:rPr>
                <w:rFonts w:ascii="Arial" w:hAnsi="Arial" w:cs="Arial"/>
                <w:noProof/>
                <w:sz w:val="20"/>
                <w:szCs w:val="20"/>
              </w:rPr>
            </w:pPr>
            <w:r w:rsidRPr="0007198D">
              <w:rPr>
                <w:rFonts w:ascii="Arial" w:hAnsi="Arial" w:cs="Arial"/>
                <w:noProof/>
                <w:sz w:val="20"/>
                <w:szCs w:val="20"/>
              </w:rPr>
              <w:t>Severe maternal morbidity is more than 100 times as common as pregnancy-related mortality—affecting about 52,000 women annually—and it is estimated to have increased by 75 percent over the past decade. Rises in chronic conditions, including obesity, diabetes, hypertension, and cardiovascular disease, are likely to have contributed to this increase. Minority women and particularly non-Hispanic black women have higher rates of severe maternal morbidity.  Non-Hispanic Black, Hispanic, Asian/Pacific Islander, and American Indian/Alaska Native women had 2.1, 1.3, 1.2, and 1.7 times, respectively, higher rates of severe morbidity compared with non-Hispanic white women.</w:t>
            </w:r>
          </w:p>
          <w:p w14:paraId="54B5F891" w14:textId="77777777" w:rsidR="0007198D" w:rsidRPr="0007198D" w:rsidRDefault="0007198D" w:rsidP="0007198D">
            <w:pPr>
              <w:spacing w:after="0" w:line="240" w:lineRule="auto"/>
              <w:rPr>
                <w:rFonts w:ascii="Arial" w:hAnsi="Arial" w:cs="Arial"/>
                <w:sz w:val="20"/>
                <w:szCs w:val="20"/>
              </w:rPr>
            </w:pPr>
          </w:p>
        </w:tc>
      </w:tr>
      <w:tr w:rsidR="0007198D" w:rsidRPr="0007198D" w14:paraId="1E5E9655" w14:textId="77777777" w:rsidTr="000C7A5D">
        <w:tc>
          <w:tcPr>
            <w:tcW w:w="3618" w:type="dxa"/>
            <w:shd w:val="clear" w:color="auto" w:fill="auto"/>
          </w:tcPr>
          <w:p w14:paraId="7FC1FD08" w14:textId="77777777" w:rsidR="0007198D" w:rsidRPr="0007198D" w:rsidRDefault="0007198D" w:rsidP="0007198D">
            <w:pPr>
              <w:spacing w:after="0" w:line="240" w:lineRule="auto"/>
              <w:rPr>
                <w:rFonts w:ascii="Arial" w:hAnsi="Arial" w:cs="Arial"/>
                <w:sz w:val="20"/>
                <w:szCs w:val="20"/>
              </w:rPr>
            </w:pPr>
          </w:p>
        </w:tc>
        <w:tc>
          <w:tcPr>
            <w:tcW w:w="5940" w:type="dxa"/>
            <w:gridSpan w:val="2"/>
            <w:shd w:val="clear" w:color="auto" w:fill="auto"/>
          </w:tcPr>
          <w:p w14:paraId="50152493"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sz w:val="20"/>
                <w:szCs w:val="20"/>
              </w:rPr>
              <w:t xml:space="preserve">Callaghan WM, Creanga AA, Kuklina EV. Severe maternal morbidity among delivery and postpartum hospitalizations in the United States. Obstet Gynecol. 2012 Nov:120(5):1029-36. </w:t>
            </w:r>
            <w:hyperlink r:id="rId64" w:history="1">
              <w:r w:rsidRPr="0007198D">
                <w:rPr>
                  <w:rFonts w:ascii="Arial" w:hAnsi="Arial" w:cs="Arial"/>
                  <w:color w:val="0000FF"/>
                  <w:sz w:val="20"/>
                  <w:szCs w:val="20"/>
                  <w:u w:val="single"/>
                </w:rPr>
                <w:t>https://www.ncbi.nlm.nih.gov/pubmed/23090519</w:t>
              </w:r>
            </w:hyperlink>
          </w:p>
          <w:p w14:paraId="5629013B" w14:textId="77777777" w:rsidR="0007198D" w:rsidRPr="0007198D" w:rsidRDefault="0007198D" w:rsidP="0007198D">
            <w:pPr>
              <w:spacing w:after="0" w:line="240" w:lineRule="auto"/>
              <w:rPr>
                <w:rFonts w:ascii="Arial" w:hAnsi="Arial" w:cs="Arial"/>
                <w:sz w:val="20"/>
                <w:szCs w:val="20"/>
              </w:rPr>
            </w:pPr>
          </w:p>
          <w:p w14:paraId="7E210880"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sz w:val="20"/>
                <w:szCs w:val="20"/>
              </w:rPr>
              <w:t xml:space="preserve">Creanga AA, Bateman BT, Kuklina EV, Callaghan WM. Racial and ethnic disparities in severe maternal morbidity: a multistate analysis, 2008-10. Am J Obstet Gynecol. 2014 May 210(5):435.e1-e8. </w:t>
            </w:r>
            <w:hyperlink r:id="rId65" w:history="1">
              <w:r w:rsidRPr="0007198D">
                <w:rPr>
                  <w:rFonts w:ascii="Arial" w:hAnsi="Arial" w:cs="Arial"/>
                  <w:color w:val="0000FF"/>
                  <w:sz w:val="20"/>
                  <w:szCs w:val="20"/>
                  <w:u w:val="single"/>
                </w:rPr>
                <w:t>http://www.ajog.org/article/S0002-9378(13)02153-4/abstract</w:t>
              </w:r>
            </w:hyperlink>
          </w:p>
          <w:p w14:paraId="54500F0F" w14:textId="77777777" w:rsidR="0007198D" w:rsidRPr="0007198D" w:rsidRDefault="0007198D" w:rsidP="0007198D">
            <w:pPr>
              <w:spacing w:after="0" w:line="240" w:lineRule="auto"/>
              <w:rPr>
                <w:rFonts w:ascii="Arial" w:hAnsi="Arial" w:cs="Arial"/>
                <w:sz w:val="20"/>
                <w:szCs w:val="20"/>
              </w:rPr>
            </w:pPr>
          </w:p>
        </w:tc>
      </w:tr>
    </w:tbl>
    <w:p w14:paraId="2DB9F33A" w14:textId="77777777" w:rsidR="0007198D" w:rsidRPr="0007198D" w:rsidRDefault="0007198D" w:rsidP="0007198D">
      <w:pPr>
        <w:spacing w:after="0" w:line="240" w:lineRule="auto"/>
        <w:sectPr w:rsidR="0007198D" w:rsidRPr="0007198D" w:rsidSect="008A00F6">
          <w:headerReference w:type="default" r:id="rId66"/>
          <w:footerReference w:type="default" r:id="rId67"/>
          <w:footerReference w:type="first" r:id="rId68"/>
          <w:pgSz w:w="12240" w:h="15840"/>
          <w:pgMar w:top="1440" w:right="1440" w:bottom="1440" w:left="1440" w:header="720" w:footer="720" w:gutter="0"/>
          <w:cols w:space="720"/>
          <w:docGrid w:linePitch="360"/>
        </w:sectPr>
      </w:pPr>
    </w:p>
    <w:tbl>
      <w:tblPr>
        <w:tblW w:w="0" w:type="auto"/>
        <w:tblLook w:val="04A0" w:firstRow="1" w:lastRow="0" w:firstColumn="1" w:lastColumn="0" w:noHBand="0" w:noVBand="1"/>
      </w:tblPr>
      <w:tblGrid>
        <w:gridCol w:w="3618"/>
        <w:gridCol w:w="5868"/>
      </w:tblGrid>
      <w:tr w:rsidR="0007198D" w:rsidRPr="0007198D" w14:paraId="0C675890" w14:textId="77777777" w:rsidTr="000C7A5D">
        <w:tc>
          <w:tcPr>
            <w:tcW w:w="3618" w:type="dxa"/>
            <w:shd w:val="clear" w:color="auto" w:fill="auto"/>
          </w:tcPr>
          <w:p w14:paraId="51B4C253" w14:textId="77777777" w:rsidR="0007198D" w:rsidRPr="0007198D" w:rsidRDefault="0007198D" w:rsidP="0007198D">
            <w:pPr>
              <w:spacing w:after="0" w:line="240" w:lineRule="auto"/>
              <w:rPr>
                <w:rFonts w:ascii="Arial" w:hAnsi="Arial" w:cs="Arial"/>
                <w:b/>
                <w:sz w:val="24"/>
                <w:szCs w:val="24"/>
              </w:rPr>
            </w:pPr>
            <w:r w:rsidRPr="0007198D">
              <w:rPr>
                <w:rFonts w:ascii="Arial" w:hAnsi="Arial" w:cs="Arial"/>
                <w:b/>
                <w:sz w:val="24"/>
                <w:szCs w:val="24"/>
              </w:rPr>
              <w:t xml:space="preserve">OUTCOME MEASURE </w:t>
            </w:r>
            <w:r w:rsidRPr="0007198D">
              <w:rPr>
                <w:rFonts w:ascii="Arial" w:hAnsi="Arial" w:cs="Arial"/>
                <w:b/>
                <w:noProof/>
                <w:sz w:val="24"/>
                <w:szCs w:val="24"/>
              </w:rPr>
              <w:t>3</w:t>
            </w:r>
          </w:p>
        </w:tc>
        <w:tc>
          <w:tcPr>
            <w:tcW w:w="5868" w:type="dxa"/>
            <w:shd w:val="clear" w:color="auto" w:fill="auto"/>
          </w:tcPr>
          <w:p w14:paraId="1E8FC438" w14:textId="77777777" w:rsidR="0007198D" w:rsidRPr="0007198D" w:rsidRDefault="0007198D" w:rsidP="0007198D">
            <w:pPr>
              <w:spacing w:after="0" w:line="240" w:lineRule="auto"/>
              <w:rPr>
                <w:rFonts w:ascii="Arial" w:hAnsi="Arial" w:cs="Arial"/>
                <w:b/>
                <w:sz w:val="24"/>
                <w:szCs w:val="24"/>
              </w:rPr>
            </w:pPr>
            <w:r w:rsidRPr="0007198D">
              <w:rPr>
                <w:rFonts w:ascii="Arial" w:hAnsi="Arial" w:cs="Arial"/>
                <w:b/>
                <w:noProof/>
                <w:sz w:val="24"/>
                <w:szCs w:val="24"/>
              </w:rPr>
              <w:t>Maternal mortality rate per 100,000 live births</w:t>
            </w:r>
          </w:p>
        </w:tc>
      </w:tr>
    </w:tbl>
    <w:p w14:paraId="73BD32F9" w14:textId="77777777" w:rsidR="0007198D" w:rsidRPr="0007198D" w:rsidRDefault="0007198D" w:rsidP="0007198D">
      <w:pPr>
        <w:spacing w:after="0" w:line="240" w:lineRule="auto"/>
      </w:pPr>
    </w:p>
    <w:p w14:paraId="3C59702C" w14:textId="77777777" w:rsidR="0007198D" w:rsidRPr="0007198D" w:rsidRDefault="0007198D" w:rsidP="0007198D">
      <w:pPr>
        <w:spacing w:after="0" w:line="240" w:lineRule="auto"/>
      </w:pPr>
      <w:r w:rsidRPr="0007198D">
        <w:rPr>
          <w:noProof/>
        </w:rPr>
        <mc:AlternateContent>
          <mc:Choice Requires="wps">
            <w:drawing>
              <wp:anchor distT="4294967295" distB="4294967295" distL="114300" distR="114300" simplePos="0" relativeHeight="251755520" behindDoc="0" locked="0" layoutInCell="1" allowOverlap="1" wp14:anchorId="7B32AC24" wp14:editId="6202D78A">
                <wp:simplePos x="0" y="0"/>
                <wp:positionH relativeFrom="column">
                  <wp:posOffset>-60960</wp:posOffset>
                </wp:positionH>
                <wp:positionV relativeFrom="paragraph">
                  <wp:posOffset>31749</wp:posOffset>
                </wp:positionV>
                <wp:extent cx="6088380" cy="0"/>
                <wp:effectExtent l="0" t="0" r="26670"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B00CDC0" id="Straight Connector 34" o:spid="_x0000_s1026" style="position:absolute;z-index:251755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" strokecolor="windowText" strokeweight="1.75pt">
                <o:lock v:ext="edit" shapetype="f"/>
              </v:line>
            </w:pict>
          </mc:Fallback>
        </mc:AlternateContent>
      </w:r>
    </w:p>
    <w:tbl>
      <w:tblPr>
        <w:tblW w:w="9436" w:type="dxa"/>
        <w:tblLook w:val="04A0" w:firstRow="1" w:lastRow="0" w:firstColumn="1" w:lastColumn="0" w:noHBand="0" w:noVBand="1"/>
      </w:tblPr>
      <w:tblGrid>
        <w:gridCol w:w="3600"/>
        <w:gridCol w:w="3338"/>
        <w:gridCol w:w="2498"/>
      </w:tblGrid>
      <w:tr w:rsidR="0007198D" w:rsidRPr="0007198D" w14:paraId="11963668" w14:textId="77777777" w:rsidTr="000C7A5D">
        <w:tc>
          <w:tcPr>
            <w:tcW w:w="3600" w:type="dxa"/>
            <w:shd w:val="clear" w:color="auto" w:fill="auto"/>
          </w:tcPr>
          <w:p w14:paraId="4E31093F"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GOAL</w:t>
            </w:r>
          </w:p>
        </w:tc>
        <w:tc>
          <w:tcPr>
            <w:tcW w:w="5836" w:type="dxa"/>
            <w:gridSpan w:val="2"/>
            <w:shd w:val="clear" w:color="auto" w:fill="auto"/>
          </w:tcPr>
          <w:p w14:paraId="4A3C97BE"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To reduce the maternal mortality rate.</w:t>
            </w:r>
          </w:p>
        </w:tc>
      </w:tr>
      <w:tr w:rsidR="0007198D" w:rsidRPr="0007198D" w14:paraId="23138009" w14:textId="77777777" w:rsidTr="000C7A5D">
        <w:tc>
          <w:tcPr>
            <w:tcW w:w="3600" w:type="dxa"/>
            <w:shd w:val="clear" w:color="auto" w:fill="auto"/>
          </w:tcPr>
          <w:p w14:paraId="4AB1FA37" w14:textId="77777777" w:rsidR="0007198D" w:rsidRPr="0007198D" w:rsidRDefault="0007198D" w:rsidP="0007198D">
            <w:pPr>
              <w:spacing w:after="0" w:line="240" w:lineRule="auto"/>
              <w:rPr>
                <w:rFonts w:ascii="Arial" w:hAnsi="Arial" w:cs="Arial"/>
                <w:b/>
                <w:sz w:val="20"/>
                <w:szCs w:val="20"/>
              </w:rPr>
            </w:pPr>
          </w:p>
        </w:tc>
        <w:tc>
          <w:tcPr>
            <w:tcW w:w="5836" w:type="dxa"/>
            <w:gridSpan w:val="2"/>
            <w:shd w:val="clear" w:color="auto" w:fill="auto"/>
          </w:tcPr>
          <w:p w14:paraId="28D8DFEE" w14:textId="77777777" w:rsidR="0007198D" w:rsidRPr="0007198D" w:rsidRDefault="0007198D" w:rsidP="0007198D">
            <w:pPr>
              <w:spacing w:after="0" w:line="240" w:lineRule="auto"/>
              <w:rPr>
                <w:rFonts w:ascii="Arial" w:hAnsi="Arial" w:cs="Arial"/>
                <w:sz w:val="20"/>
                <w:szCs w:val="20"/>
              </w:rPr>
            </w:pPr>
          </w:p>
        </w:tc>
      </w:tr>
      <w:tr w:rsidR="0007198D" w:rsidRPr="0007198D" w14:paraId="27CFA470" w14:textId="77777777" w:rsidTr="000C7A5D">
        <w:tc>
          <w:tcPr>
            <w:tcW w:w="3600" w:type="dxa"/>
            <w:shd w:val="clear" w:color="auto" w:fill="auto"/>
          </w:tcPr>
          <w:p w14:paraId="3E239331"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DEFINITION</w:t>
            </w:r>
          </w:p>
        </w:tc>
        <w:tc>
          <w:tcPr>
            <w:tcW w:w="5836" w:type="dxa"/>
            <w:gridSpan w:val="2"/>
            <w:shd w:val="clear" w:color="auto" w:fill="auto"/>
          </w:tcPr>
          <w:p w14:paraId="75D281EF"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Numerator:</w:t>
            </w:r>
          </w:p>
        </w:tc>
      </w:tr>
      <w:tr w:rsidR="0007198D" w:rsidRPr="0007198D" w14:paraId="691469AC" w14:textId="77777777" w:rsidTr="000C7A5D">
        <w:tc>
          <w:tcPr>
            <w:tcW w:w="3600" w:type="dxa"/>
            <w:shd w:val="clear" w:color="auto" w:fill="auto"/>
          </w:tcPr>
          <w:p w14:paraId="63E424D7" w14:textId="77777777" w:rsidR="0007198D" w:rsidRPr="0007198D" w:rsidRDefault="0007198D" w:rsidP="0007198D">
            <w:pPr>
              <w:spacing w:after="0" w:line="240" w:lineRule="auto"/>
              <w:rPr>
                <w:rFonts w:ascii="Arial" w:hAnsi="Arial" w:cs="Arial"/>
                <w:b/>
                <w:sz w:val="20"/>
                <w:szCs w:val="20"/>
              </w:rPr>
            </w:pPr>
          </w:p>
        </w:tc>
        <w:tc>
          <w:tcPr>
            <w:tcW w:w="5836" w:type="dxa"/>
            <w:gridSpan w:val="2"/>
            <w:shd w:val="clear" w:color="auto" w:fill="auto"/>
          </w:tcPr>
          <w:p w14:paraId="4266493C" w14:textId="6AC8126A"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Number of deaths related to or aggravated by pregnancy, but not due to accidental or incidental causes, and occurring within 42 days of the end of a pregnancy</w:t>
            </w:r>
            <w:r w:rsidR="000344E2">
              <w:rPr>
                <w:rFonts w:ascii="Arial" w:hAnsi="Arial" w:cs="Arial"/>
                <w:noProof/>
                <w:sz w:val="20"/>
                <w:szCs w:val="20"/>
              </w:rPr>
              <w:t xml:space="preserve"> (follows WHO definition)</w:t>
            </w:r>
          </w:p>
        </w:tc>
      </w:tr>
      <w:tr w:rsidR="0007198D" w:rsidRPr="0007198D" w14:paraId="0829E612" w14:textId="77777777" w:rsidTr="000C7A5D">
        <w:tc>
          <w:tcPr>
            <w:tcW w:w="3600" w:type="dxa"/>
            <w:shd w:val="clear" w:color="auto" w:fill="auto"/>
          </w:tcPr>
          <w:p w14:paraId="4F26D462" w14:textId="77777777" w:rsidR="0007198D" w:rsidRPr="0007198D" w:rsidRDefault="0007198D" w:rsidP="0007198D">
            <w:pPr>
              <w:spacing w:after="0" w:line="240" w:lineRule="auto"/>
              <w:rPr>
                <w:rFonts w:ascii="Arial" w:hAnsi="Arial" w:cs="Arial"/>
                <w:b/>
                <w:sz w:val="20"/>
                <w:szCs w:val="20"/>
              </w:rPr>
            </w:pPr>
          </w:p>
        </w:tc>
        <w:tc>
          <w:tcPr>
            <w:tcW w:w="5836" w:type="dxa"/>
            <w:gridSpan w:val="2"/>
            <w:shd w:val="clear" w:color="auto" w:fill="auto"/>
          </w:tcPr>
          <w:p w14:paraId="1FAE98D5" w14:textId="77777777" w:rsidR="0007198D" w:rsidRPr="0007198D" w:rsidRDefault="0007198D" w:rsidP="0007198D">
            <w:pPr>
              <w:spacing w:after="0" w:line="240" w:lineRule="auto"/>
              <w:rPr>
                <w:rFonts w:ascii="Arial" w:hAnsi="Arial" w:cs="Arial"/>
                <w:sz w:val="20"/>
                <w:szCs w:val="20"/>
              </w:rPr>
            </w:pPr>
          </w:p>
        </w:tc>
      </w:tr>
      <w:tr w:rsidR="0007198D" w:rsidRPr="0007198D" w14:paraId="26DE1F0A" w14:textId="77777777" w:rsidTr="000C7A5D">
        <w:tc>
          <w:tcPr>
            <w:tcW w:w="3600" w:type="dxa"/>
            <w:shd w:val="clear" w:color="auto" w:fill="auto"/>
          </w:tcPr>
          <w:p w14:paraId="4A6BE6FA" w14:textId="77777777" w:rsidR="0007198D" w:rsidRPr="0007198D" w:rsidRDefault="0007198D" w:rsidP="0007198D">
            <w:pPr>
              <w:spacing w:after="0" w:line="240" w:lineRule="auto"/>
              <w:rPr>
                <w:rFonts w:ascii="Arial" w:hAnsi="Arial" w:cs="Arial"/>
                <w:b/>
                <w:sz w:val="20"/>
                <w:szCs w:val="20"/>
              </w:rPr>
            </w:pPr>
          </w:p>
        </w:tc>
        <w:tc>
          <w:tcPr>
            <w:tcW w:w="5836" w:type="dxa"/>
            <w:gridSpan w:val="2"/>
            <w:shd w:val="clear" w:color="auto" w:fill="auto"/>
          </w:tcPr>
          <w:p w14:paraId="2888E5A1"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Denominator:</w:t>
            </w:r>
          </w:p>
        </w:tc>
      </w:tr>
      <w:tr w:rsidR="0007198D" w:rsidRPr="0007198D" w14:paraId="33B652FD" w14:textId="77777777" w:rsidTr="000C7A5D">
        <w:tc>
          <w:tcPr>
            <w:tcW w:w="3600" w:type="dxa"/>
            <w:shd w:val="clear" w:color="auto" w:fill="auto"/>
          </w:tcPr>
          <w:p w14:paraId="32599C66" w14:textId="77777777" w:rsidR="0007198D" w:rsidRPr="0007198D" w:rsidRDefault="0007198D" w:rsidP="0007198D">
            <w:pPr>
              <w:spacing w:after="0" w:line="240" w:lineRule="auto"/>
              <w:rPr>
                <w:rFonts w:ascii="Arial" w:hAnsi="Arial" w:cs="Arial"/>
                <w:b/>
                <w:sz w:val="20"/>
                <w:szCs w:val="20"/>
              </w:rPr>
            </w:pPr>
          </w:p>
        </w:tc>
        <w:tc>
          <w:tcPr>
            <w:tcW w:w="5836" w:type="dxa"/>
            <w:gridSpan w:val="2"/>
            <w:shd w:val="clear" w:color="auto" w:fill="auto"/>
          </w:tcPr>
          <w:p w14:paraId="32D1BFC2"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Number of live births</w:t>
            </w:r>
          </w:p>
        </w:tc>
      </w:tr>
      <w:tr w:rsidR="0007198D" w:rsidRPr="0007198D" w14:paraId="14126A45" w14:textId="77777777" w:rsidTr="000C7A5D">
        <w:tc>
          <w:tcPr>
            <w:tcW w:w="3600" w:type="dxa"/>
            <w:shd w:val="clear" w:color="auto" w:fill="auto"/>
          </w:tcPr>
          <w:p w14:paraId="749A81C2" w14:textId="77777777" w:rsidR="0007198D" w:rsidRPr="0007198D" w:rsidRDefault="0007198D" w:rsidP="0007198D">
            <w:pPr>
              <w:spacing w:after="0" w:line="240" w:lineRule="auto"/>
              <w:rPr>
                <w:rFonts w:ascii="Arial" w:hAnsi="Arial" w:cs="Arial"/>
                <w:b/>
                <w:sz w:val="20"/>
                <w:szCs w:val="20"/>
              </w:rPr>
            </w:pPr>
          </w:p>
        </w:tc>
        <w:tc>
          <w:tcPr>
            <w:tcW w:w="5836" w:type="dxa"/>
            <w:gridSpan w:val="2"/>
            <w:shd w:val="clear" w:color="auto" w:fill="auto"/>
          </w:tcPr>
          <w:p w14:paraId="6670E51D" w14:textId="77777777" w:rsidR="0007198D" w:rsidRPr="0007198D" w:rsidRDefault="0007198D" w:rsidP="0007198D">
            <w:pPr>
              <w:spacing w:after="0" w:line="240" w:lineRule="auto"/>
              <w:rPr>
                <w:rFonts w:ascii="Arial" w:hAnsi="Arial" w:cs="Arial"/>
                <w:sz w:val="20"/>
                <w:szCs w:val="20"/>
              </w:rPr>
            </w:pPr>
          </w:p>
        </w:tc>
      </w:tr>
      <w:tr w:rsidR="0007198D" w:rsidRPr="0007198D" w14:paraId="67207605" w14:textId="77777777" w:rsidTr="000C7A5D">
        <w:tc>
          <w:tcPr>
            <w:tcW w:w="3600" w:type="dxa"/>
            <w:shd w:val="clear" w:color="auto" w:fill="auto"/>
          </w:tcPr>
          <w:p w14:paraId="21839FA7" w14:textId="77777777" w:rsidR="0007198D" w:rsidRPr="0007198D" w:rsidRDefault="0007198D" w:rsidP="0007198D">
            <w:pPr>
              <w:spacing w:after="0" w:line="240" w:lineRule="auto"/>
              <w:rPr>
                <w:rFonts w:ascii="Arial" w:hAnsi="Arial" w:cs="Arial"/>
                <w:b/>
                <w:sz w:val="20"/>
                <w:szCs w:val="20"/>
              </w:rPr>
            </w:pPr>
          </w:p>
        </w:tc>
        <w:tc>
          <w:tcPr>
            <w:tcW w:w="3338" w:type="dxa"/>
            <w:shd w:val="clear" w:color="auto" w:fill="auto"/>
          </w:tcPr>
          <w:p w14:paraId="51908130"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b/>
                <w:sz w:val="20"/>
                <w:szCs w:val="20"/>
              </w:rPr>
              <w:t>Units:</w:t>
            </w:r>
            <w:r w:rsidRPr="0007198D">
              <w:rPr>
                <w:rFonts w:ascii="Arial" w:hAnsi="Arial" w:cs="Arial"/>
                <w:sz w:val="20"/>
                <w:szCs w:val="20"/>
              </w:rPr>
              <w:t xml:space="preserve"> </w:t>
            </w:r>
            <w:r w:rsidRPr="0007198D">
              <w:rPr>
                <w:rFonts w:ascii="Arial" w:hAnsi="Arial" w:cs="Arial"/>
                <w:noProof/>
                <w:sz w:val="20"/>
                <w:szCs w:val="20"/>
              </w:rPr>
              <w:t>100,000</w:t>
            </w:r>
          </w:p>
        </w:tc>
        <w:tc>
          <w:tcPr>
            <w:tcW w:w="2498" w:type="dxa"/>
            <w:shd w:val="clear" w:color="auto" w:fill="auto"/>
          </w:tcPr>
          <w:p w14:paraId="2FB8FF22"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b/>
                <w:sz w:val="20"/>
                <w:szCs w:val="20"/>
              </w:rPr>
              <w:t>Text:</w:t>
            </w:r>
            <w:r w:rsidRPr="0007198D">
              <w:rPr>
                <w:rFonts w:ascii="Arial" w:hAnsi="Arial" w:cs="Arial"/>
                <w:sz w:val="20"/>
                <w:szCs w:val="20"/>
              </w:rPr>
              <w:t xml:space="preserve"> </w:t>
            </w:r>
            <w:r w:rsidRPr="0007198D">
              <w:rPr>
                <w:rFonts w:ascii="Arial" w:hAnsi="Arial" w:cs="Arial"/>
                <w:noProof/>
                <w:sz w:val="20"/>
                <w:szCs w:val="20"/>
              </w:rPr>
              <w:t>Rate</w:t>
            </w:r>
          </w:p>
        </w:tc>
      </w:tr>
      <w:tr w:rsidR="0007198D" w:rsidRPr="0007198D" w14:paraId="35BF1935" w14:textId="77777777" w:rsidTr="000C7A5D">
        <w:tc>
          <w:tcPr>
            <w:tcW w:w="3600" w:type="dxa"/>
            <w:shd w:val="clear" w:color="auto" w:fill="auto"/>
          </w:tcPr>
          <w:p w14:paraId="635C8045" w14:textId="77777777" w:rsidR="0007198D" w:rsidRPr="0007198D" w:rsidRDefault="0007198D" w:rsidP="0007198D">
            <w:pPr>
              <w:spacing w:after="0" w:line="240" w:lineRule="auto"/>
              <w:rPr>
                <w:rFonts w:ascii="Arial" w:hAnsi="Arial" w:cs="Arial"/>
                <w:b/>
                <w:sz w:val="20"/>
                <w:szCs w:val="20"/>
              </w:rPr>
            </w:pPr>
          </w:p>
        </w:tc>
        <w:tc>
          <w:tcPr>
            <w:tcW w:w="5836" w:type="dxa"/>
            <w:gridSpan w:val="2"/>
            <w:shd w:val="clear" w:color="auto" w:fill="auto"/>
          </w:tcPr>
          <w:p w14:paraId="6EB1CAD4" w14:textId="77777777" w:rsidR="0007198D" w:rsidRPr="0007198D" w:rsidRDefault="0007198D" w:rsidP="0007198D">
            <w:pPr>
              <w:spacing w:after="0" w:line="240" w:lineRule="auto"/>
              <w:rPr>
                <w:rFonts w:ascii="Arial" w:hAnsi="Arial" w:cs="Arial"/>
                <w:sz w:val="20"/>
                <w:szCs w:val="20"/>
              </w:rPr>
            </w:pPr>
          </w:p>
        </w:tc>
      </w:tr>
      <w:tr w:rsidR="0007198D" w:rsidRPr="0007198D" w14:paraId="55B3493B" w14:textId="77777777" w:rsidTr="000C7A5D">
        <w:tc>
          <w:tcPr>
            <w:tcW w:w="3600" w:type="dxa"/>
            <w:shd w:val="clear" w:color="auto" w:fill="auto"/>
          </w:tcPr>
          <w:p w14:paraId="7F36D932"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HEALTHY PEOPLE 2020 OBJECTIVE</w:t>
            </w:r>
          </w:p>
        </w:tc>
        <w:tc>
          <w:tcPr>
            <w:tcW w:w="5836" w:type="dxa"/>
            <w:gridSpan w:val="2"/>
            <w:shd w:val="clear" w:color="auto" w:fill="auto"/>
          </w:tcPr>
          <w:p w14:paraId="76375649" w14:textId="77777777" w:rsidR="0007198D" w:rsidRPr="0007198D" w:rsidRDefault="0007198D" w:rsidP="0007198D">
            <w:pPr>
              <w:spacing w:after="0" w:line="240" w:lineRule="auto"/>
              <w:rPr>
                <w:rFonts w:ascii="Arial" w:hAnsi="Arial" w:cs="Arial"/>
                <w:noProof/>
                <w:sz w:val="20"/>
                <w:szCs w:val="20"/>
              </w:rPr>
            </w:pPr>
            <w:r w:rsidRPr="0007198D">
              <w:rPr>
                <w:rFonts w:ascii="Arial" w:hAnsi="Arial" w:cs="Arial"/>
                <w:noProof/>
                <w:sz w:val="20"/>
                <w:szCs w:val="20"/>
              </w:rPr>
              <w:t>Identical to Maternal, Infant, and Child Health (MICH) 5.  Reduce the rate of maternal mortality. (Baseline:12.7 maternal deaths per 100,000 live births in 2007, Target: 11.4 maternal deaths per 100,000 live births)</w:t>
            </w:r>
          </w:p>
          <w:p w14:paraId="43F629ED" w14:textId="77777777" w:rsidR="0007198D" w:rsidRPr="0007198D" w:rsidRDefault="0007198D" w:rsidP="0007198D">
            <w:pPr>
              <w:spacing w:after="0" w:line="240" w:lineRule="auto"/>
              <w:rPr>
                <w:rFonts w:ascii="Arial" w:hAnsi="Arial" w:cs="Arial"/>
                <w:sz w:val="20"/>
                <w:szCs w:val="20"/>
              </w:rPr>
            </w:pPr>
          </w:p>
        </w:tc>
      </w:tr>
      <w:tr w:rsidR="0007198D" w:rsidRPr="0007198D" w14:paraId="0FD35B53" w14:textId="77777777" w:rsidTr="000C7A5D">
        <w:tc>
          <w:tcPr>
            <w:tcW w:w="3600" w:type="dxa"/>
            <w:shd w:val="clear" w:color="auto" w:fill="auto"/>
          </w:tcPr>
          <w:p w14:paraId="5A0D37FF" w14:textId="77777777" w:rsidR="0007198D" w:rsidRPr="0007198D" w:rsidRDefault="0007198D" w:rsidP="0007198D">
            <w:pPr>
              <w:spacing w:after="0" w:line="240" w:lineRule="auto"/>
              <w:rPr>
                <w:rFonts w:ascii="Arial" w:hAnsi="Arial" w:cs="Arial"/>
                <w:b/>
                <w:sz w:val="20"/>
                <w:szCs w:val="20"/>
              </w:rPr>
            </w:pPr>
          </w:p>
        </w:tc>
        <w:tc>
          <w:tcPr>
            <w:tcW w:w="5836" w:type="dxa"/>
            <w:gridSpan w:val="2"/>
            <w:shd w:val="clear" w:color="auto" w:fill="auto"/>
          </w:tcPr>
          <w:p w14:paraId="482A0A20" w14:textId="77777777" w:rsidR="0007198D" w:rsidRPr="0007198D" w:rsidRDefault="0007198D" w:rsidP="0007198D">
            <w:pPr>
              <w:spacing w:after="0" w:line="240" w:lineRule="auto"/>
              <w:rPr>
                <w:rFonts w:ascii="Arial" w:hAnsi="Arial" w:cs="Arial"/>
                <w:sz w:val="20"/>
                <w:szCs w:val="20"/>
              </w:rPr>
            </w:pPr>
          </w:p>
        </w:tc>
      </w:tr>
      <w:tr w:rsidR="0007198D" w:rsidRPr="0007198D" w14:paraId="3C7178A2" w14:textId="77777777" w:rsidTr="000C7A5D">
        <w:tc>
          <w:tcPr>
            <w:tcW w:w="3600" w:type="dxa"/>
            <w:shd w:val="clear" w:color="auto" w:fill="auto"/>
          </w:tcPr>
          <w:p w14:paraId="3A632FA2"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DATA SOURCES and DATA ISSUES</w:t>
            </w:r>
          </w:p>
        </w:tc>
        <w:tc>
          <w:tcPr>
            <w:tcW w:w="5836" w:type="dxa"/>
            <w:gridSpan w:val="2"/>
            <w:shd w:val="clear" w:color="auto" w:fill="auto"/>
          </w:tcPr>
          <w:p w14:paraId="0A272156" w14:textId="77777777" w:rsidR="0007198D" w:rsidRPr="0007198D" w:rsidRDefault="0007198D" w:rsidP="0007198D">
            <w:pPr>
              <w:spacing w:after="0" w:line="240" w:lineRule="auto"/>
              <w:rPr>
                <w:rFonts w:ascii="Arial" w:hAnsi="Arial" w:cs="Arial"/>
                <w:noProof/>
                <w:sz w:val="20"/>
                <w:szCs w:val="20"/>
              </w:rPr>
            </w:pPr>
            <w:r w:rsidRPr="0007198D">
              <w:rPr>
                <w:rFonts w:ascii="Arial" w:hAnsi="Arial" w:cs="Arial"/>
                <w:noProof/>
                <w:sz w:val="20"/>
                <w:szCs w:val="20"/>
              </w:rPr>
              <w:t>National Vital Statistics System (NVSS) for states and territories</w:t>
            </w:r>
          </w:p>
          <w:p w14:paraId="1A369EA9"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United Nations Maternal Mortality Estimation Interagency Group for the Freely Associated States in the Pacific Basin</w:t>
            </w:r>
          </w:p>
        </w:tc>
      </w:tr>
      <w:tr w:rsidR="0007198D" w:rsidRPr="0007198D" w14:paraId="570CC3CA" w14:textId="77777777" w:rsidTr="000C7A5D">
        <w:tc>
          <w:tcPr>
            <w:tcW w:w="3600" w:type="dxa"/>
            <w:shd w:val="clear" w:color="auto" w:fill="auto"/>
          </w:tcPr>
          <w:p w14:paraId="682DC461" w14:textId="77777777" w:rsidR="0007198D" w:rsidRPr="0007198D" w:rsidRDefault="0007198D" w:rsidP="0007198D">
            <w:pPr>
              <w:spacing w:after="0" w:line="240" w:lineRule="auto"/>
              <w:rPr>
                <w:rFonts w:ascii="Arial" w:hAnsi="Arial" w:cs="Arial"/>
                <w:b/>
                <w:sz w:val="20"/>
                <w:szCs w:val="20"/>
              </w:rPr>
            </w:pPr>
          </w:p>
        </w:tc>
        <w:tc>
          <w:tcPr>
            <w:tcW w:w="5836" w:type="dxa"/>
            <w:gridSpan w:val="2"/>
            <w:shd w:val="clear" w:color="auto" w:fill="auto"/>
          </w:tcPr>
          <w:p w14:paraId="3ED39BCC" w14:textId="77777777" w:rsidR="0007198D" w:rsidRPr="0007198D" w:rsidRDefault="0007198D" w:rsidP="0007198D">
            <w:pPr>
              <w:spacing w:after="0" w:line="240" w:lineRule="auto"/>
              <w:rPr>
                <w:rFonts w:ascii="Arial" w:hAnsi="Arial" w:cs="Arial"/>
                <w:sz w:val="20"/>
                <w:szCs w:val="20"/>
              </w:rPr>
            </w:pPr>
          </w:p>
        </w:tc>
      </w:tr>
      <w:tr w:rsidR="0007198D" w:rsidRPr="0007198D" w14:paraId="178AB6E4" w14:textId="77777777" w:rsidTr="000C7A5D">
        <w:tc>
          <w:tcPr>
            <w:tcW w:w="3600" w:type="dxa"/>
            <w:shd w:val="clear" w:color="auto" w:fill="auto"/>
          </w:tcPr>
          <w:p w14:paraId="1FBFFEB1"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SIGNIFICANCE</w:t>
            </w:r>
          </w:p>
        </w:tc>
        <w:tc>
          <w:tcPr>
            <w:tcW w:w="5836" w:type="dxa"/>
            <w:gridSpan w:val="2"/>
            <w:shd w:val="clear" w:color="auto" w:fill="auto"/>
          </w:tcPr>
          <w:p w14:paraId="239A8BC4" w14:textId="77777777" w:rsidR="0007198D" w:rsidRPr="0007198D" w:rsidRDefault="0007198D" w:rsidP="0007198D">
            <w:pPr>
              <w:spacing w:after="0" w:line="240" w:lineRule="auto"/>
              <w:rPr>
                <w:rFonts w:ascii="Arial" w:hAnsi="Arial" w:cs="Arial"/>
                <w:noProof/>
                <w:sz w:val="20"/>
                <w:szCs w:val="20"/>
              </w:rPr>
            </w:pPr>
            <w:r w:rsidRPr="0007198D">
              <w:rPr>
                <w:rFonts w:ascii="Arial" w:hAnsi="Arial" w:cs="Arial"/>
                <w:noProof/>
                <w:sz w:val="20"/>
                <w:szCs w:val="20"/>
              </w:rPr>
              <w:t xml:space="preserve">Maternal mortality is a sentinal indicator of health and health care quality worldwide.  After a century of general improvement, the U.S. maternal mortality rate more than doubled over the past decade.  Although most of this increase was likely due to changes in the ascertainment and identification of maternal deaths, at least part of the increase appears to be real and may be attributable to increases in chronic health conditions, such as cardiovascular disease and diabetes. There are also significant racial disparities with Black women having rates of maternal mortality at least 3 times that of White women.  Maternal deaths can be prevented or reduced both by improving underlying maternal health as well as health care quality for leading causes of maternal death, such as hemmorhage and preeclampsia. </w:t>
            </w:r>
          </w:p>
          <w:p w14:paraId="7AF0B245" w14:textId="77777777" w:rsidR="0007198D" w:rsidRPr="0007198D" w:rsidRDefault="0007198D" w:rsidP="0007198D">
            <w:pPr>
              <w:spacing w:after="0" w:line="240" w:lineRule="auto"/>
              <w:rPr>
                <w:rFonts w:ascii="Arial" w:hAnsi="Arial" w:cs="Arial"/>
                <w:noProof/>
                <w:sz w:val="20"/>
                <w:szCs w:val="20"/>
              </w:rPr>
            </w:pPr>
          </w:p>
          <w:p w14:paraId="7EF3F99F" w14:textId="77777777" w:rsidR="0007198D" w:rsidRPr="0007198D" w:rsidRDefault="0007198D" w:rsidP="0007198D">
            <w:pPr>
              <w:spacing w:after="0" w:line="240" w:lineRule="auto"/>
              <w:rPr>
                <w:rFonts w:ascii="Arial" w:hAnsi="Arial" w:cs="Arial"/>
                <w:noProof/>
                <w:sz w:val="20"/>
                <w:szCs w:val="20"/>
              </w:rPr>
            </w:pPr>
            <w:r w:rsidRPr="0007198D">
              <w:rPr>
                <w:rFonts w:ascii="Arial" w:hAnsi="Arial" w:cs="Arial"/>
                <w:noProof/>
                <w:sz w:val="20"/>
                <w:szCs w:val="20"/>
              </w:rPr>
              <w:t>MacDorman MF, Declercq E, Cabral H, Morton C. Recent Increases in the U.S. Maternal Mortality Rate: Disentangling Trends From Measurement Issues. Obstet</w:t>
            </w:r>
          </w:p>
          <w:p w14:paraId="70BC5300" w14:textId="77777777" w:rsidR="0007198D" w:rsidRPr="0007198D" w:rsidRDefault="0007198D" w:rsidP="0007198D">
            <w:pPr>
              <w:spacing w:after="0" w:line="240" w:lineRule="auto"/>
              <w:rPr>
                <w:rFonts w:ascii="Arial" w:hAnsi="Arial" w:cs="Arial"/>
                <w:noProof/>
                <w:sz w:val="20"/>
                <w:szCs w:val="20"/>
              </w:rPr>
            </w:pPr>
            <w:r w:rsidRPr="0007198D">
              <w:rPr>
                <w:rFonts w:ascii="Arial" w:hAnsi="Arial" w:cs="Arial"/>
                <w:noProof/>
                <w:sz w:val="20"/>
                <w:szCs w:val="20"/>
              </w:rPr>
              <w:t xml:space="preserve">Gynecol. 2016 Sep;128(3):447-55. </w:t>
            </w:r>
            <w:hyperlink r:id="rId69" w:history="1">
              <w:r w:rsidRPr="0007198D">
                <w:rPr>
                  <w:rFonts w:ascii="Arial" w:hAnsi="Arial" w:cs="Arial"/>
                  <w:noProof/>
                  <w:color w:val="0000FF"/>
                  <w:sz w:val="20"/>
                  <w:szCs w:val="20"/>
                  <w:u w:val="single"/>
                </w:rPr>
                <w:t>https://www.ncbi.nlm.nih.gov/pmc/articles/PMC5001799/</w:t>
              </w:r>
            </w:hyperlink>
            <w:r w:rsidRPr="0007198D">
              <w:rPr>
                <w:rFonts w:ascii="Arial" w:hAnsi="Arial" w:cs="Arial"/>
                <w:noProof/>
                <w:sz w:val="20"/>
                <w:szCs w:val="20"/>
              </w:rPr>
              <w:t xml:space="preserve"> </w:t>
            </w:r>
          </w:p>
          <w:p w14:paraId="03C92C27" w14:textId="77777777" w:rsidR="0007198D" w:rsidRPr="0007198D" w:rsidRDefault="0007198D" w:rsidP="0007198D">
            <w:pPr>
              <w:spacing w:after="0" w:line="240" w:lineRule="auto"/>
              <w:rPr>
                <w:rFonts w:ascii="Arial" w:hAnsi="Arial" w:cs="Arial"/>
                <w:noProof/>
                <w:sz w:val="20"/>
                <w:szCs w:val="20"/>
              </w:rPr>
            </w:pPr>
          </w:p>
          <w:p w14:paraId="57AF7F1A" w14:textId="7E076C98" w:rsidR="0007198D" w:rsidRPr="0007198D" w:rsidRDefault="0007198D" w:rsidP="0007198D">
            <w:pPr>
              <w:spacing w:after="0" w:line="240" w:lineRule="auto"/>
              <w:rPr>
                <w:rFonts w:ascii="Arial" w:hAnsi="Arial" w:cs="Arial"/>
                <w:noProof/>
                <w:sz w:val="20"/>
                <w:szCs w:val="20"/>
              </w:rPr>
            </w:pPr>
            <w:r w:rsidRPr="0007198D">
              <w:rPr>
                <w:rFonts w:ascii="Arial" w:hAnsi="Arial" w:cs="Arial"/>
                <w:noProof/>
                <w:sz w:val="20"/>
                <w:szCs w:val="20"/>
              </w:rPr>
              <w:t>CDC Pregnancy Mor</w:t>
            </w:r>
            <w:r w:rsidR="000344E2">
              <w:rPr>
                <w:rFonts w:ascii="Arial" w:hAnsi="Arial" w:cs="Arial"/>
                <w:noProof/>
                <w:sz w:val="20"/>
                <w:szCs w:val="20"/>
              </w:rPr>
              <w:t>t</w:t>
            </w:r>
            <w:r w:rsidRPr="0007198D">
              <w:rPr>
                <w:rFonts w:ascii="Arial" w:hAnsi="Arial" w:cs="Arial"/>
                <w:noProof/>
                <w:sz w:val="20"/>
                <w:szCs w:val="20"/>
              </w:rPr>
              <w:t xml:space="preserve">ality Surveillance System. Division of Reproductive Health. National Center for Chronic Disease Prevention and Health Promotion. 2017. </w:t>
            </w:r>
            <w:hyperlink r:id="rId70" w:history="1">
              <w:r w:rsidRPr="0007198D">
                <w:rPr>
                  <w:rFonts w:ascii="Arial" w:hAnsi="Arial" w:cs="Arial"/>
                  <w:noProof/>
                  <w:color w:val="0000FF"/>
                  <w:sz w:val="20"/>
                  <w:szCs w:val="20"/>
                  <w:u w:val="single"/>
                </w:rPr>
                <w:t>https://www.cdc.gov/reproductivehealth/ maternalinfanthealth/pmss.html</w:t>
              </w:r>
            </w:hyperlink>
            <w:r w:rsidRPr="0007198D">
              <w:rPr>
                <w:rFonts w:ascii="Arial" w:hAnsi="Arial" w:cs="Arial"/>
                <w:noProof/>
                <w:sz w:val="20"/>
                <w:szCs w:val="20"/>
              </w:rPr>
              <w:t xml:space="preserve">  </w:t>
            </w:r>
          </w:p>
          <w:p w14:paraId="02ABE55C" w14:textId="77777777" w:rsidR="0007198D" w:rsidRPr="0007198D" w:rsidRDefault="0007198D" w:rsidP="0007198D">
            <w:pPr>
              <w:spacing w:after="0" w:line="240" w:lineRule="auto"/>
              <w:rPr>
                <w:rFonts w:ascii="Arial" w:hAnsi="Arial" w:cs="Arial"/>
                <w:sz w:val="20"/>
                <w:szCs w:val="20"/>
              </w:rPr>
            </w:pPr>
          </w:p>
        </w:tc>
      </w:tr>
      <w:tr w:rsidR="0007198D" w:rsidRPr="0007198D" w14:paraId="4F8861B8" w14:textId="77777777" w:rsidTr="000C7A5D">
        <w:tc>
          <w:tcPr>
            <w:tcW w:w="3600" w:type="dxa"/>
            <w:shd w:val="clear" w:color="auto" w:fill="auto"/>
          </w:tcPr>
          <w:p w14:paraId="3F9712B6" w14:textId="77777777" w:rsidR="0007198D" w:rsidRPr="0007198D" w:rsidRDefault="0007198D" w:rsidP="0007198D">
            <w:pPr>
              <w:spacing w:after="0" w:line="240" w:lineRule="auto"/>
              <w:rPr>
                <w:rFonts w:ascii="Arial" w:hAnsi="Arial" w:cs="Arial"/>
                <w:sz w:val="20"/>
                <w:szCs w:val="20"/>
              </w:rPr>
            </w:pPr>
          </w:p>
        </w:tc>
        <w:tc>
          <w:tcPr>
            <w:tcW w:w="5836" w:type="dxa"/>
            <w:gridSpan w:val="2"/>
            <w:shd w:val="clear" w:color="auto" w:fill="auto"/>
          </w:tcPr>
          <w:p w14:paraId="21B59E58" w14:textId="77777777" w:rsidR="0007198D" w:rsidRPr="0007198D" w:rsidRDefault="0007198D" w:rsidP="0007198D">
            <w:pPr>
              <w:spacing w:after="0" w:line="240" w:lineRule="auto"/>
              <w:rPr>
                <w:rFonts w:ascii="Arial" w:hAnsi="Arial" w:cs="Arial"/>
                <w:sz w:val="20"/>
                <w:szCs w:val="20"/>
              </w:rPr>
            </w:pPr>
          </w:p>
        </w:tc>
      </w:tr>
    </w:tbl>
    <w:p w14:paraId="3E19C22F" w14:textId="77777777" w:rsidR="0007198D" w:rsidRPr="0007198D" w:rsidRDefault="0007198D" w:rsidP="0007198D">
      <w:pPr>
        <w:spacing w:after="0" w:line="240" w:lineRule="auto"/>
        <w:sectPr w:rsidR="0007198D" w:rsidRPr="0007198D" w:rsidSect="008A00F6">
          <w:pgSz w:w="12240" w:h="15840"/>
          <w:pgMar w:top="1440" w:right="1440" w:bottom="1440" w:left="1440" w:header="720" w:footer="720" w:gutter="0"/>
          <w:cols w:space="720"/>
          <w:docGrid w:linePitch="360"/>
        </w:sectPr>
      </w:pPr>
    </w:p>
    <w:tbl>
      <w:tblPr>
        <w:tblW w:w="0" w:type="auto"/>
        <w:tblLook w:val="04A0" w:firstRow="1" w:lastRow="0" w:firstColumn="1" w:lastColumn="0" w:noHBand="0" w:noVBand="1"/>
      </w:tblPr>
      <w:tblGrid>
        <w:gridCol w:w="3618"/>
        <w:gridCol w:w="5868"/>
      </w:tblGrid>
      <w:tr w:rsidR="0007198D" w:rsidRPr="0007198D" w14:paraId="1360593C" w14:textId="77777777" w:rsidTr="000C7A5D">
        <w:tc>
          <w:tcPr>
            <w:tcW w:w="3618" w:type="dxa"/>
            <w:shd w:val="clear" w:color="auto" w:fill="auto"/>
          </w:tcPr>
          <w:p w14:paraId="7D3B65F4" w14:textId="77777777" w:rsidR="0007198D" w:rsidRPr="0007198D" w:rsidRDefault="0007198D" w:rsidP="0007198D">
            <w:pPr>
              <w:spacing w:after="0" w:line="240" w:lineRule="auto"/>
              <w:rPr>
                <w:rFonts w:ascii="Arial" w:hAnsi="Arial" w:cs="Arial"/>
                <w:b/>
                <w:sz w:val="24"/>
                <w:szCs w:val="24"/>
              </w:rPr>
            </w:pPr>
            <w:r w:rsidRPr="0007198D">
              <w:rPr>
                <w:rFonts w:ascii="Arial" w:hAnsi="Arial" w:cs="Arial"/>
                <w:b/>
                <w:sz w:val="24"/>
                <w:szCs w:val="24"/>
              </w:rPr>
              <w:t xml:space="preserve">OUTCOME MEASURE </w:t>
            </w:r>
            <w:r w:rsidRPr="0007198D">
              <w:rPr>
                <w:rFonts w:ascii="Arial" w:hAnsi="Arial" w:cs="Arial"/>
                <w:b/>
                <w:noProof/>
                <w:sz w:val="24"/>
                <w:szCs w:val="24"/>
              </w:rPr>
              <w:t>4</w:t>
            </w:r>
          </w:p>
        </w:tc>
        <w:tc>
          <w:tcPr>
            <w:tcW w:w="5868" w:type="dxa"/>
            <w:shd w:val="clear" w:color="auto" w:fill="auto"/>
          </w:tcPr>
          <w:p w14:paraId="6AC33C85" w14:textId="77777777" w:rsidR="0007198D" w:rsidRPr="0007198D" w:rsidRDefault="0007198D" w:rsidP="0007198D">
            <w:pPr>
              <w:spacing w:after="0" w:line="240" w:lineRule="auto"/>
              <w:rPr>
                <w:rFonts w:ascii="Arial" w:hAnsi="Arial" w:cs="Arial"/>
                <w:b/>
                <w:noProof/>
                <w:sz w:val="24"/>
                <w:szCs w:val="24"/>
              </w:rPr>
            </w:pPr>
            <w:r w:rsidRPr="0007198D">
              <w:rPr>
                <w:rFonts w:ascii="Arial" w:hAnsi="Arial" w:cs="Arial"/>
                <w:b/>
                <w:noProof/>
                <w:sz w:val="24"/>
                <w:szCs w:val="24"/>
              </w:rPr>
              <w:t>Percent of low birth weight deliveries (&lt;2,500 grams)</w:t>
            </w:r>
          </w:p>
          <w:p w14:paraId="5EF5B652" w14:textId="77777777" w:rsidR="0007198D" w:rsidRPr="0007198D" w:rsidRDefault="0007198D" w:rsidP="0007198D">
            <w:pPr>
              <w:spacing w:after="0" w:line="240" w:lineRule="auto"/>
              <w:rPr>
                <w:rFonts w:ascii="Arial" w:hAnsi="Arial" w:cs="Arial"/>
                <w:b/>
                <w:sz w:val="24"/>
                <w:szCs w:val="24"/>
              </w:rPr>
            </w:pPr>
          </w:p>
        </w:tc>
      </w:tr>
    </w:tbl>
    <w:p w14:paraId="724C066B" w14:textId="77777777" w:rsidR="0007198D" w:rsidRPr="0007198D" w:rsidRDefault="0007198D" w:rsidP="0007198D">
      <w:pPr>
        <w:spacing w:after="0" w:line="240" w:lineRule="auto"/>
      </w:pPr>
    </w:p>
    <w:p w14:paraId="699F3CD7" w14:textId="77777777" w:rsidR="0007198D" w:rsidRPr="0007198D" w:rsidRDefault="0007198D" w:rsidP="0007198D">
      <w:pPr>
        <w:spacing w:after="0" w:line="240" w:lineRule="auto"/>
      </w:pPr>
      <w:r w:rsidRPr="0007198D">
        <w:rPr>
          <w:noProof/>
        </w:rPr>
        <mc:AlternateContent>
          <mc:Choice Requires="wps">
            <w:drawing>
              <wp:anchor distT="4294967295" distB="4294967295" distL="114300" distR="114300" simplePos="0" relativeHeight="251750400" behindDoc="0" locked="0" layoutInCell="1" allowOverlap="1" wp14:anchorId="2213A9B8" wp14:editId="6762B07D">
                <wp:simplePos x="0" y="0"/>
                <wp:positionH relativeFrom="column">
                  <wp:posOffset>-60960</wp:posOffset>
                </wp:positionH>
                <wp:positionV relativeFrom="paragraph">
                  <wp:posOffset>31749</wp:posOffset>
                </wp:positionV>
                <wp:extent cx="6088380" cy="0"/>
                <wp:effectExtent l="0" t="0" r="26670" b="19050"/>
                <wp:wrapNone/>
                <wp:docPr id="50"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EE8018D" id="Straight Connector 7" o:spid="_x0000_s1026" style="position:absolute;z-index:251750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" strokecolor="windowText" strokeweight="1.75pt">
                <o:lock v:ext="edit" shapetype="f"/>
              </v:line>
            </w:pict>
          </mc:Fallback>
        </mc:AlternateContent>
      </w:r>
    </w:p>
    <w:tbl>
      <w:tblPr>
        <w:tblW w:w="9493" w:type="dxa"/>
        <w:tblLook w:val="04A0" w:firstRow="1" w:lastRow="0" w:firstColumn="1" w:lastColumn="0" w:noHBand="0" w:noVBand="1"/>
      </w:tblPr>
      <w:tblGrid>
        <w:gridCol w:w="3600"/>
        <w:gridCol w:w="3372"/>
        <w:gridCol w:w="2521"/>
      </w:tblGrid>
      <w:tr w:rsidR="0007198D" w:rsidRPr="0007198D" w14:paraId="0FED4696" w14:textId="77777777" w:rsidTr="000C7A5D">
        <w:tc>
          <w:tcPr>
            <w:tcW w:w="3600" w:type="dxa"/>
            <w:shd w:val="clear" w:color="auto" w:fill="auto"/>
          </w:tcPr>
          <w:p w14:paraId="1CEDFB9E"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GOAL</w:t>
            </w:r>
          </w:p>
        </w:tc>
        <w:tc>
          <w:tcPr>
            <w:tcW w:w="5893" w:type="dxa"/>
            <w:gridSpan w:val="2"/>
            <w:shd w:val="clear" w:color="auto" w:fill="auto"/>
          </w:tcPr>
          <w:p w14:paraId="70DAAB5F" w14:textId="3F606D5C" w:rsidR="0007198D" w:rsidRPr="0007198D" w:rsidRDefault="0007198D" w:rsidP="00FB0985">
            <w:pPr>
              <w:spacing w:after="0" w:line="240" w:lineRule="auto"/>
              <w:rPr>
                <w:rFonts w:ascii="Arial" w:hAnsi="Arial" w:cs="Arial"/>
                <w:sz w:val="20"/>
                <w:szCs w:val="20"/>
              </w:rPr>
            </w:pPr>
            <w:r w:rsidRPr="0007198D">
              <w:rPr>
                <w:rFonts w:ascii="Arial" w:hAnsi="Arial" w:cs="Arial"/>
                <w:noProof/>
                <w:sz w:val="20"/>
                <w:szCs w:val="20"/>
              </w:rPr>
              <w:t xml:space="preserve">To reduce the </w:t>
            </w:r>
            <w:r w:rsidR="00FB0985">
              <w:rPr>
                <w:rFonts w:ascii="Arial" w:hAnsi="Arial" w:cs="Arial"/>
                <w:noProof/>
                <w:sz w:val="20"/>
                <w:szCs w:val="20"/>
              </w:rPr>
              <w:t xml:space="preserve">percent </w:t>
            </w:r>
            <w:r w:rsidRPr="0007198D">
              <w:rPr>
                <w:rFonts w:ascii="Arial" w:hAnsi="Arial" w:cs="Arial"/>
                <w:noProof/>
                <w:sz w:val="20"/>
                <w:szCs w:val="20"/>
              </w:rPr>
              <w:t xml:space="preserve">of low birth weight deliveries </w:t>
            </w:r>
          </w:p>
        </w:tc>
      </w:tr>
      <w:tr w:rsidR="0007198D" w:rsidRPr="0007198D" w14:paraId="0D820EE3" w14:textId="77777777" w:rsidTr="000C7A5D">
        <w:tc>
          <w:tcPr>
            <w:tcW w:w="3600" w:type="dxa"/>
            <w:shd w:val="clear" w:color="auto" w:fill="auto"/>
          </w:tcPr>
          <w:p w14:paraId="1CB9B1B3"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1AE2E544" w14:textId="77777777" w:rsidR="0007198D" w:rsidRPr="0007198D" w:rsidRDefault="0007198D" w:rsidP="0007198D">
            <w:pPr>
              <w:spacing w:after="0" w:line="240" w:lineRule="auto"/>
              <w:rPr>
                <w:rFonts w:ascii="Arial" w:hAnsi="Arial" w:cs="Arial"/>
                <w:sz w:val="20"/>
                <w:szCs w:val="20"/>
              </w:rPr>
            </w:pPr>
          </w:p>
        </w:tc>
      </w:tr>
      <w:tr w:rsidR="0007198D" w:rsidRPr="0007198D" w14:paraId="42234477" w14:textId="77777777" w:rsidTr="000C7A5D">
        <w:tc>
          <w:tcPr>
            <w:tcW w:w="3600" w:type="dxa"/>
            <w:shd w:val="clear" w:color="auto" w:fill="auto"/>
          </w:tcPr>
          <w:p w14:paraId="5181E23F"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DEFINITION</w:t>
            </w:r>
          </w:p>
        </w:tc>
        <w:tc>
          <w:tcPr>
            <w:tcW w:w="5893" w:type="dxa"/>
            <w:gridSpan w:val="2"/>
            <w:shd w:val="clear" w:color="auto" w:fill="auto"/>
          </w:tcPr>
          <w:p w14:paraId="7ED1652C"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Numerator:</w:t>
            </w:r>
          </w:p>
        </w:tc>
      </w:tr>
      <w:tr w:rsidR="0007198D" w:rsidRPr="0007198D" w14:paraId="6E005EA3" w14:textId="77777777" w:rsidTr="000C7A5D">
        <w:tc>
          <w:tcPr>
            <w:tcW w:w="3600" w:type="dxa"/>
            <w:shd w:val="clear" w:color="auto" w:fill="auto"/>
          </w:tcPr>
          <w:p w14:paraId="5E067041"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380D6473" w14:textId="77777777" w:rsidR="0007198D" w:rsidRPr="0007198D" w:rsidRDefault="0007198D" w:rsidP="0007198D">
            <w:pPr>
              <w:spacing w:after="0" w:line="240" w:lineRule="auto"/>
              <w:rPr>
                <w:rFonts w:ascii="Arial" w:hAnsi="Arial" w:cs="Arial"/>
                <w:noProof/>
                <w:sz w:val="20"/>
                <w:szCs w:val="20"/>
              </w:rPr>
            </w:pPr>
            <w:r w:rsidRPr="0007198D">
              <w:rPr>
                <w:rFonts w:ascii="Arial" w:hAnsi="Arial" w:cs="Arial"/>
                <w:noProof/>
                <w:sz w:val="20"/>
                <w:szCs w:val="20"/>
              </w:rPr>
              <w:t>Number of live births weighing less than 2,500 grams</w:t>
            </w:r>
          </w:p>
          <w:p w14:paraId="74D36CC3" w14:textId="77777777" w:rsidR="0007198D" w:rsidRPr="0007198D" w:rsidRDefault="0007198D" w:rsidP="0007198D">
            <w:pPr>
              <w:spacing w:after="0" w:line="240" w:lineRule="auto"/>
              <w:rPr>
                <w:rFonts w:ascii="Arial" w:hAnsi="Arial" w:cs="Arial"/>
                <w:sz w:val="20"/>
                <w:szCs w:val="20"/>
              </w:rPr>
            </w:pPr>
          </w:p>
        </w:tc>
      </w:tr>
      <w:tr w:rsidR="0007198D" w:rsidRPr="0007198D" w14:paraId="7992500E" w14:textId="77777777" w:rsidTr="000C7A5D">
        <w:tc>
          <w:tcPr>
            <w:tcW w:w="3600" w:type="dxa"/>
            <w:shd w:val="clear" w:color="auto" w:fill="auto"/>
          </w:tcPr>
          <w:p w14:paraId="1F3B7F57"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4890E447"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Denominator:</w:t>
            </w:r>
          </w:p>
        </w:tc>
      </w:tr>
      <w:tr w:rsidR="0007198D" w:rsidRPr="0007198D" w14:paraId="2115AF74" w14:textId="77777777" w:rsidTr="000C7A5D">
        <w:tc>
          <w:tcPr>
            <w:tcW w:w="3600" w:type="dxa"/>
            <w:shd w:val="clear" w:color="auto" w:fill="auto"/>
          </w:tcPr>
          <w:p w14:paraId="7D16283C"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56128F70"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Number of live births</w:t>
            </w:r>
          </w:p>
        </w:tc>
      </w:tr>
      <w:tr w:rsidR="0007198D" w:rsidRPr="0007198D" w14:paraId="5FD40564" w14:textId="77777777" w:rsidTr="000C7A5D">
        <w:tc>
          <w:tcPr>
            <w:tcW w:w="3600" w:type="dxa"/>
            <w:shd w:val="clear" w:color="auto" w:fill="auto"/>
          </w:tcPr>
          <w:p w14:paraId="57F8C0F8"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7D0FBD09" w14:textId="77777777" w:rsidR="0007198D" w:rsidRPr="0007198D" w:rsidRDefault="0007198D" w:rsidP="0007198D">
            <w:pPr>
              <w:spacing w:after="0" w:line="240" w:lineRule="auto"/>
              <w:rPr>
                <w:rFonts w:ascii="Arial" w:hAnsi="Arial" w:cs="Arial"/>
                <w:sz w:val="20"/>
                <w:szCs w:val="20"/>
              </w:rPr>
            </w:pPr>
          </w:p>
        </w:tc>
      </w:tr>
      <w:tr w:rsidR="0007198D" w:rsidRPr="0007198D" w14:paraId="4286FB1D" w14:textId="77777777" w:rsidTr="000C7A5D">
        <w:tc>
          <w:tcPr>
            <w:tcW w:w="3600" w:type="dxa"/>
            <w:shd w:val="clear" w:color="auto" w:fill="auto"/>
          </w:tcPr>
          <w:p w14:paraId="63DFC8BC" w14:textId="77777777" w:rsidR="0007198D" w:rsidRPr="0007198D" w:rsidRDefault="0007198D" w:rsidP="0007198D">
            <w:pPr>
              <w:spacing w:after="0" w:line="240" w:lineRule="auto"/>
              <w:rPr>
                <w:rFonts w:ascii="Arial" w:hAnsi="Arial" w:cs="Arial"/>
                <w:b/>
                <w:sz w:val="20"/>
                <w:szCs w:val="20"/>
              </w:rPr>
            </w:pPr>
          </w:p>
        </w:tc>
        <w:tc>
          <w:tcPr>
            <w:tcW w:w="3372" w:type="dxa"/>
            <w:shd w:val="clear" w:color="auto" w:fill="auto"/>
          </w:tcPr>
          <w:p w14:paraId="1B24B45C"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b/>
                <w:sz w:val="20"/>
                <w:szCs w:val="20"/>
              </w:rPr>
              <w:t>Units:</w:t>
            </w:r>
            <w:r w:rsidRPr="0007198D">
              <w:rPr>
                <w:rFonts w:ascii="Arial" w:hAnsi="Arial" w:cs="Arial"/>
                <w:sz w:val="20"/>
                <w:szCs w:val="20"/>
              </w:rPr>
              <w:t xml:space="preserve"> </w:t>
            </w:r>
            <w:r w:rsidRPr="0007198D">
              <w:rPr>
                <w:rFonts w:ascii="Arial" w:hAnsi="Arial" w:cs="Arial"/>
                <w:noProof/>
                <w:sz w:val="20"/>
                <w:szCs w:val="20"/>
              </w:rPr>
              <w:t>100</w:t>
            </w:r>
          </w:p>
        </w:tc>
        <w:tc>
          <w:tcPr>
            <w:tcW w:w="2521" w:type="dxa"/>
            <w:shd w:val="clear" w:color="auto" w:fill="auto"/>
          </w:tcPr>
          <w:p w14:paraId="6A27DBA6" w14:textId="77777777" w:rsidR="0007198D" w:rsidRPr="0007198D" w:rsidRDefault="0007198D" w:rsidP="0007198D">
            <w:pPr>
              <w:spacing w:after="0" w:line="240" w:lineRule="auto"/>
              <w:rPr>
                <w:rFonts w:ascii="Arial" w:hAnsi="Arial" w:cs="Arial"/>
                <w:noProof/>
                <w:sz w:val="20"/>
                <w:szCs w:val="20"/>
              </w:rPr>
            </w:pPr>
            <w:r w:rsidRPr="0007198D">
              <w:rPr>
                <w:rFonts w:ascii="Arial" w:hAnsi="Arial" w:cs="Arial"/>
                <w:b/>
                <w:sz w:val="20"/>
                <w:szCs w:val="20"/>
              </w:rPr>
              <w:t>Text:</w:t>
            </w:r>
            <w:r w:rsidRPr="0007198D">
              <w:rPr>
                <w:rFonts w:ascii="Arial" w:hAnsi="Arial" w:cs="Arial"/>
                <w:sz w:val="20"/>
                <w:szCs w:val="20"/>
              </w:rPr>
              <w:t xml:space="preserve"> </w:t>
            </w:r>
            <w:r w:rsidRPr="0007198D">
              <w:rPr>
                <w:rFonts w:ascii="Arial" w:hAnsi="Arial" w:cs="Arial"/>
                <w:noProof/>
                <w:sz w:val="20"/>
                <w:szCs w:val="20"/>
              </w:rPr>
              <w:t>Percent</w:t>
            </w:r>
          </w:p>
          <w:p w14:paraId="16227248" w14:textId="77777777" w:rsidR="0007198D" w:rsidRPr="0007198D" w:rsidRDefault="0007198D" w:rsidP="0007198D">
            <w:pPr>
              <w:spacing w:after="0" w:line="240" w:lineRule="auto"/>
              <w:rPr>
                <w:rFonts w:ascii="Arial" w:hAnsi="Arial" w:cs="Arial"/>
                <w:sz w:val="20"/>
                <w:szCs w:val="20"/>
              </w:rPr>
            </w:pPr>
          </w:p>
        </w:tc>
      </w:tr>
      <w:tr w:rsidR="0007198D" w:rsidRPr="0007198D" w14:paraId="63CDC67B" w14:textId="77777777" w:rsidTr="000C7A5D">
        <w:tc>
          <w:tcPr>
            <w:tcW w:w="3600" w:type="dxa"/>
            <w:shd w:val="clear" w:color="auto" w:fill="auto"/>
          </w:tcPr>
          <w:p w14:paraId="4F5C61E6"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262490A5" w14:textId="77777777" w:rsidR="0007198D" w:rsidRPr="0007198D" w:rsidRDefault="0007198D" w:rsidP="0007198D">
            <w:pPr>
              <w:spacing w:after="0" w:line="240" w:lineRule="auto"/>
              <w:rPr>
                <w:rFonts w:ascii="Arial" w:hAnsi="Arial" w:cs="Arial"/>
                <w:sz w:val="20"/>
                <w:szCs w:val="20"/>
              </w:rPr>
            </w:pPr>
          </w:p>
        </w:tc>
      </w:tr>
      <w:tr w:rsidR="0007198D" w:rsidRPr="0007198D" w14:paraId="37706F3A" w14:textId="77777777" w:rsidTr="000C7A5D">
        <w:tc>
          <w:tcPr>
            <w:tcW w:w="3600" w:type="dxa"/>
            <w:shd w:val="clear" w:color="auto" w:fill="auto"/>
          </w:tcPr>
          <w:p w14:paraId="684453E4"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HEALTHY PEOPLE 2020 OBJECTIVE</w:t>
            </w:r>
          </w:p>
        </w:tc>
        <w:tc>
          <w:tcPr>
            <w:tcW w:w="5893" w:type="dxa"/>
            <w:gridSpan w:val="2"/>
            <w:shd w:val="clear" w:color="auto" w:fill="auto"/>
          </w:tcPr>
          <w:p w14:paraId="205351A8"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Identical to Maternal, Infant, and Child Health (MICH) Objective 8.1:  Reduce low birth weight (LBW). (Baseline: 8.2% in 2007, Target 7.8%)</w:t>
            </w:r>
          </w:p>
        </w:tc>
      </w:tr>
      <w:tr w:rsidR="0007198D" w:rsidRPr="0007198D" w14:paraId="6E374A75" w14:textId="77777777" w:rsidTr="000C7A5D">
        <w:tc>
          <w:tcPr>
            <w:tcW w:w="3600" w:type="dxa"/>
            <w:shd w:val="clear" w:color="auto" w:fill="auto"/>
          </w:tcPr>
          <w:p w14:paraId="6F67CBB3"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7BFE84BD" w14:textId="77777777" w:rsidR="0007198D" w:rsidRPr="0007198D" w:rsidRDefault="0007198D" w:rsidP="0007198D">
            <w:pPr>
              <w:spacing w:after="0" w:line="240" w:lineRule="auto"/>
              <w:rPr>
                <w:rFonts w:ascii="Arial" w:hAnsi="Arial" w:cs="Arial"/>
                <w:sz w:val="20"/>
                <w:szCs w:val="20"/>
              </w:rPr>
            </w:pPr>
          </w:p>
        </w:tc>
      </w:tr>
      <w:tr w:rsidR="0007198D" w:rsidRPr="0007198D" w14:paraId="7D5D9968" w14:textId="77777777" w:rsidTr="000C7A5D">
        <w:tc>
          <w:tcPr>
            <w:tcW w:w="3600" w:type="dxa"/>
            <w:shd w:val="clear" w:color="auto" w:fill="auto"/>
          </w:tcPr>
          <w:p w14:paraId="5A3057D3"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DATA SOURCES and DATA ISSUES</w:t>
            </w:r>
          </w:p>
        </w:tc>
        <w:tc>
          <w:tcPr>
            <w:tcW w:w="5893" w:type="dxa"/>
            <w:gridSpan w:val="2"/>
            <w:shd w:val="clear" w:color="auto" w:fill="auto"/>
          </w:tcPr>
          <w:p w14:paraId="0BA61418"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National Vital Statistics System (NVSS)</w:t>
            </w:r>
          </w:p>
        </w:tc>
      </w:tr>
      <w:tr w:rsidR="0007198D" w:rsidRPr="0007198D" w14:paraId="288B8564" w14:textId="77777777" w:rsidTr="000C7A5D">
        <w:tc>
          <w:tcPr>
            <w:tcW w:w="3600" w:type="dxa"/>
            <w:shd w:val="clear" w:color="auto" w:fill="auto"/>
          </w:tcPr>
          <w:p w14:paraId="0AD32FEF"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62E28EC2" w14:textId="77777777" w:rsidR="0007198D" w:rsidRPr="0007198D" w:rsidRDefault="0007198D" w:rsidP="0007198D">
            <w:pPr>
              <w:spacing w:after="0" w:line="240" w:lineRule="auto"/>
              <w:rPr>
                <w:rFonts w:ascii="Arial" w:hAnsi="Arial" w:cs="Arial"/>
                <w:sz w:val="20"/>
                <w:szCs w:val="20"/>
              </w:rPr>
            </w:pPr>
          </w:p>
        </w:tc>
      </w:tr>
      <w:tr w:rsidR="0007198D" w:rsidRPr="0007198D" w14:paraId="71BC5890" w14:textId="77777777" w:rsidTr="000C7A5D">
        <w:tc>
          <w:tcPr>
            <w:tcW w:w="3600" w:type="dxa"/>
            <w:shd w:val="clear" w:color="auto" w:fill="auto"/>
          </w:tcPr>
          <w:p w14:paraId="0B8909CC"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SIGNIFICANCE</w:t>
            </w:r>
          </w:p>
        </w:tc>
        <w:tc>
          <w:tcPr>
            <w:tcW w:w="5893" w:type="dxa"/>
            <w:gridSpan w:val="2"/>
            <w:shd w:val="clear" w:color="auto" w:fill="auto"/>
          </w:tcPr>
          <w:p w14:paraId="2349A0FE" w14:textId="77777777" w:rsidR="0007198D" w:rsidRPr="0007198D" w:rsidRDefault="0007198D" w:rsidP="0007198D">
            <w:pPr>
              <w:spacing w:after="0" w:line="240" w:lineRule="auto"/>
              <w:rPr>
                <w:rFonts w:ascii="Arial" w:hAnsi="Arial" w:cs="Arial"/>
                <w:noProof/>
                <w:sz w:val="20"/>
                <w:szCs w:val="20"/>
              </w:rPr>
            </w:pPr>
            <w:r w:rsidRPr="0007198D">
              <w:rPr>
                <w:rFonts w:ascii="Arial" w:hAnsi="Arial" w:cs="Arial"/>
                <w:noProof/>
                <w:sz w:val="20"/>
                <w:szCs w:val="20"/>
              </w:rPr>
              <w:t>Low birth weight infants include pre-term infants and infants with intrauterine growth retardation.  Some risk factors for low birth weight babies include: chronic health conditions, inadequate weight gain, both young and old maternal age, poverty, smoking, substance abuse, and multiple births.  Low birth weight infants are more likely than normal weight infants to die in the first year of life and to experience long-range physical and developmental health problems. In 2013, 65% of all infant deaths occurred to the 8% of low birth weight infants and over half (53%) of all infant deaths occurred to the 1.4% of very low birth weight infants.  Infants born to non-Hispanic Black women have the highest rates of low birth weight, particularly very low birth weight, with levels that are about two or more times greater than for infants born to women of other race and ethnic groups.</w:t>
            </w:r>
          </w:p>
          <w:p w14:paraId="5AB1E77F" w14:textId="77777777" w:rsidR="0007198D" w:rsidRPr="0007198D" w:rsidRDefault="0007198D" w:rsidP="0007198D">
            <w:pPr>
              <w:spacing w:after="0" w:line="240" w:lineRule="auto"/>
              <w:rPr>
                <w:rFonts w:ascii="Arial" w:hAnsi="Arial" w:cs="Arial"/>
                <w:sz w:val="20"/>
                <w:szCs w:val="20"/>
              </w:rPr>
            </w:pPr>
          </w:p>
          <w:p w14:paraId="760AC7F4"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sz w:val="20"/>
                <w:szCs w:val="20"/>
              </w:rPr>
              <w:t xml:space="preserve">March of Dimes. Low Birthweight. 2014 October. </w:t>
            </w:r>
            <w:hyperlink r:id="rId71" w:history="1">
              <w:r w:rsidRPr="0007198D">
                <w:rPr>
                  <w:rFonts w:ascii="Arial" w:hAnsi="Arial" w:cs="Arial"/>
                  <w:color w:val="0000FF"/>
                  <w:sz w:val="20"/>
                  <w:szCs w:val="20"/>
                  <w:u w:val="single"/>
                </w:rPr>
                <w:t>http://www.marchofdimes.org/baby/low-birthweight.aspx</w:t>
              </w:r>
            </w:hyperlink>
            <w:r w:rsidRPr="0007198D">
              <w:rPr>
                <w:rFonts w:ascii="Arial" w:hAnsi="Arial" w:cs="Arial"/>
                <w:sz w:val="20"/>
                <w:szCs w:val="20"/>
              </w:rPr>
              <w:t xml:space="preserve"> </w:t>
            </w:r>
          </w:p>
          <w:p w14:paraId="16A5CD29" w14:textId="77777777" w:rsidR="0007198D" w:rsidRPr="0007198D" w:rsidRDefault="0007198D" w:rsidP="0007198D">
            <w:pPr>
              <w:spacing w:after="0" w:line="240" w:lineRule="auto"/>
              <w:rPr>
                <w:rFonts w:ascii="Arial" w:hAnsi="Arial" w:cs="Arial"/>
                <w:sz w:val="20"/>
                <w:szCs w:val="20"/>
              </w:rPr>
            </w:pPr>
          </w:p>
        </w:tc>
      </w:tr>
      <w:tr w:rsidR="0007198D" w:rsidRPr="0007198D" w14:paraId="78BBC7F5" w14:textId="77777777" w:rsidTr="000C7A5D">
        <w:tc>
          <w:tcPr>
            <w:tcW w:w="3600" w:type="dxa"/>
            <w:shd w:val="clear" w:color="auto" w:fill="auto"/>
          </w:tcPr>
          <w:p w14:paraId="619E6EC4" w14:textId="77777777" w:rsidR="0007198D" w:rsidRPr="0007198D" w:rsidRDefault="0007198D" w:rsidP="0007198D">
            <w:pPr>
              <w:spacing w:after="0" w:line="240" w:lineRule="auto"/>
              <w:rPr>
                <w:rFonts w:ascii="Arial" w:hAnsi="Arial" w:cs="Arial"/>
                <w:sz w:val="20"/>
                <w:szCs w:val="20"/>
              </w:rPr>
            </w:pPr>
          </w:p>
        </w:tc>
        <w:tc>
          <w:tcPr>
            <w:tcW w:w="5893" w:type="dxa"/>
            <w:gridSpan w:val="2"/>
            <w:shd w:val="clear" w:color="auto" w:fill="auto"/>
          </w:tcPr>
          <w:p w14:paraId="160C491F"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sz w:val="20"/>
                <w:szCs w:val="20"/>
              </w:rPr>
              <w:t xml:space="preserve">Mathews TJ, MacDorman MF, Thoma ME. Infant Mortality Statistics From the 2013 Period Linked Birth/Infant Death Data Set. National Vital Statistics Reports. 2015 August 6. 64(9). </w:t>
            </w:r>
            <w:hyperlink r:id="rId72" w:history="1">
              <w:r w:rsidRPr="0007198D">
                <w:rPr>
                  <w:rFonts w:ascii="Arial" w:hAnsi="Arial" w:cs="Arial"/>
                  <w:color w:val="0000FF"/>
                  <w:sz w:val="20"/>
                  <w:szCs w:val="20"/>
                  <w:u w:val="single"/>
                </w:rPr>
                <w:t>https://www.cdc.gov/nchs/data/nvsr/nvsr64/nvsr64_09.pdf</w:t>
              </w:r>
            </w:hyperlink>
          </w:p>
          <w:p w14:paraId="705DDDA9" w14:textId="77777777" w:rsidR="0007198D" w:rsidRPr="0007198D" w:rsidRDefault="0007198D" w:rsidP="0007198D">
            <w:pPr>
              <w:spacing w:after="0" w:line="240" w:lineRule="auto"/>
              <w:rPr>
                <w:rFonts w:ascii="Arial" w:hAnsi="Arial" w:cs="Arial"/>
                <w:sz w:val="20"/>
                <w:szCs w:val="20"/>
              </w:rPr>
            </w:pPr>
          </w:p>
          <w:p w14:paraId="5C0D8D76"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sz w:val="20"/>
                <w:szCs w:val="20"/>
              </w:rPr>
              <w:t xml:space="preserve">Martin JA, Hamilton BE, Osterman MJK, et al. Births: Final data for 2015. National vital statistics report; vol 66, no 1. Hyattsville, MD: National Center for Health Statistics. 2017. </w:t>
            </w:r>
            <w:hyperlink r:id="rId73" w:history="1">
              <w:r w:rsidRPr="0007198D">
                <w:rPr>
                  <w:rFonts w:ascii="Arial" w:hAnsi="Arial" w:cs="Arial"/>
                  <w:color w:val="0000FF"/>
                  <w:sz w:val="20"/>
                  <w:szCs w:val="20"/>
                  <w:u w:val="single"/>
                </w:rPr>
                <w:t>https://www.cdc.gov/nchs/data/nvsr/nvsr66/nvsr66_01.pdf</w:t>
              </w:r>
            </w:hyperlink>
            <w:r w:rsidRPr="0007198D">
              <w:rPr>
                <w:rFonts w:ascii="Arial" w:hAnsi="Arial" w:cs="Arial"/>
                <w:sz w:val="20"/>
                <w:szCs w:val="20"/>
              </w:rPr>
              <w:t xml:space="preserve"> </w:t>
            </w:r>
          </w:p>
          <w:p w14:paraId="0EF8C575" w14:textId="77777777" w:rsidR="0007198D" w:rsidRPr="0007198D" w:rsidRDefault="0007198D" w:rsidP="0007198D">
            <w:pPr>
              <w:spacing w:after="0" w:line="240" w:lineRule="auto"/>
              <w:rPr>
                <w:rFonts w:ascii="Arial" w:hAnsi="Arial" w:cs="Arial"/>
                <w:sz w:val="20"/>
                <w:szCs w:val="20"/>
              </w:rPr>
            </w:pPr>
          </w:p>
        </w:tc>
      </w:tr>
    </w:tbl>
    <w:p w14:paraId="56F2F385" w14:textId="77777777" w:rsidR="0007198D" w:rsidRPr="0007198D" w:rsidRDefault="0007198D" w:rsidP="0007198D">
      <w:pPr>
        <w:spacing w:after="0" w:line="240" w:lineRule="auto"/>
        <w:sectPr w:rsidR="0007198D" w:rsidRPr="0007198D" w:rsidSect="00514C00">
          <w:headerReference w:type="default" r:id="rId74"/>
          <w:footerReference w:type="default" r:id="rId75"/>
          <w:footerReference w:type="first" r:id="rId76"/>
          <w:pgSz w:w="12240" w:h="15840"/>
          <w:pgMar w:top="1440" w:right="1440" w:bottom="1440" w:left="1440" w:header="720" w:footer="720" w:gutter="0"/>
          <w:cols w:space="720"/>
          <w:docGrid w:linePitch="360"/>
        </w:sectPr>
      </w:pPr>
    </w:p>
    <w:tbl>
      <w:tblPr>
        <w:tblW w:w="0" w:type="auto"/>
        <w:tblLook w:val="04A0" w:firstRow="1" w:lastRow="0" w:firstColumn="1" w:lastColumn="0" w:noHBand="0" w:noVBand="1"/>
      </w:tblPr>
      <w:tblGrid>
        <w:gridCol w:w="3618"/>
        <w:gridCol w:w="5868"/>
      </w:tblGrid>
      <w:tr w:rsidR="0007198D" w:rsidRPr="0007198D" w14:paraId="2BE3DAD9" w14:textId="77777777" w:rsidTr="000C7A5D">
        <w:tc>
          <w:tcPr>
            <w:tcW w:w="3618" w:type="dxa"/>
            <w:shd w:val="clear" w:color="auto" w:fill="auto"/>
          </w:tcPr>
          <w:p w14:paraId="41751659" w14:textId="77777777" w:rsidR="0007198D" w:rsidRPr="0007198D" w:rsidRDefault="0007198D" w:rsidP="0007198D">
            <w:pPr>
              <w:spacing w:after="0" w:line="240" w:lineRule="auto"/>
              <w:rPr>
                <w:rFonts w:ascii="Arial" w:hAnsi="Arial" w:cs="Arial"/>
                <w:b/>
                <w:sz w:val="24"/>
                <w:szCs w:val="24"/>
              </w:rPr>
            </w:pPr>
            <w:r w:rsidRPr="0007198D">
              <w:rPr>
                <w:rFonts w:ascii="Arial" w:hAnsi="Arial" w:cs="Arial"/>
                <w:b/>
                <w:sz w:val="24"/>
                <w:szCs w:val="24"/>
              </w:rPr>
              <w:t>OUTCOME MEASURE 5</w:t>
            </w:r>
          </w:p>
        </w:tc>
        <w:tc>
          <w:tcPr>
            <w:tcW w:w="5868" w:type="dxa"/>
            <w:shd w:val="clear" w:color="auto" w:fill="auto"/>
          </w:tcPr>
          <w:p w14:paraId="43E736CA" w14:textId="77777777" w:rsidR="0007198D" w:rsidRPr="0007198D" w:rsidRDefault="0007198D" w:rsidP="0007198D">
            <w:pPr>
              <w:spacing w:after="0" w:line="240" w:lineRule="auto"/>
              <w:rPr>
                <w:rFonts w:ascii="Arial" w:hAnsi="Arial" w:cs="Arial"/>
                <w:b/>
                <w:noProof/>
                <w:sz w:val="24"/>
                <w:szCs w:val="24"/>
              </w:rPr>
            </w:pPr>
            <w:r w:rsidRPr="0007198D">
              <w:rPr>
                <w:rFonts w:ascii="Arial" w:hAnsi="Arial" w:cs="Arial"/>
                <w:b/>
                <w:noProof/>
                <w:sz w:val="24"/>
                <w:szCs w:val="24"/>
              </w:rPr>
              <w:t>Percent of preterm births (&lt;37 weeks)</w:t>
            </w:r>
          </w:p>
          <w:p w14:paraId="182DB0C9" w14:textId="77777777" w:rsidR="0007198D" w:rsidRPr="0007198D" w:rsidRDefault="0007198D" w:rsidP="0007198D">
            <w:pPr>
              <w:spacing w:after="0" w:line="240" w:lineRule="auto"/>
              <w:rPr>
                <w:rFonts w:ascii="Arial" w:hAnsi="Arial" w:cs="Arial"/>
                <w:b/>
                <w:sz w:val="24"/>
                <w:szCs w:val="24"/>
              </w:rPr>
            </w:pPr>
          </w:p>
        </w:tc>
      </w:tr>
    </w:tbl>
    <w:p w14:paraId="5F4F89C7" w14:textId="77777777" w:rsidR="0007198D" w:rsidRPr="0007198D" w:rsidRDefault="0007198D" w:rsidP="0007198D">
      <w:pPr>
        <w:spacing w:after="0" w:line="240" w:lineRule="auto"/>
      </w:pPr>
      <w:r w:rsidRPr="0007198D">
        <w:rPr>
          <w:noProof/>
        </w:rPr>
        <mc:AlternateContent>
          <mc:Choice Requires="wps">
            <w:drawing>
              <wp:anchor distT="4294967295" distB="4294967295" distL="114300" distR="114300" simplePos="0" relativeHeight="251751424" behindDoc="0" locked="0" layoutInCell="1" allowOverlap="1" wp14:anchorId="50199189" wp14:editId="7FF124B5">
                <wp:simplePos x="0" y="0"/>
                <wp:positionH relativeFrom="column">
                  <wp:posOffset>-60960</wp:posOffset>
                </wp:positionH>
                <wp:positionV relativeFrom="paragraph">
                  <wp:posOffset>31749</wp:posOffset>
                </wp:positionV>
                <wp:extent cx="6088380" cy="0"/>
                <wp:effectExtent l="0" t="0" r="26670" b="19050"/>
                <wp:wrapNone/>
                <wp:docPr id="4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005EAA6" id="Straight Connector 10" o:spid="_x0000_s1026" style="position:absolute;z-index:25175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" strokecolor="windowText" strokeweight="1.75pt">
                <o:lock v:ext="edit" shapetype="f"/>
              </v:line>
            </w:pict>
          </mc:Fallback>
        </mc:AlternateContent>
      </w:r>
    </w:p>
    <w:tbl>
      <w:tblPr>
        <w:tblW w:w="0" w:type="auto"/>
        <w:tblLayout w:type="fixed"/>
        <w:tblLook w:val="04A0" w:firstRow="1" w:lastRow="0" w:firstColumn="1" w:lastColumn="0" w:noHBand="0" w:noVBand="1"/>
      </w:tblPr>
      <w:tblGrid>
        <w:gridCol w:w="3600"/>
        <w:gridCol w:w="3344"/>
        <w:gridCol w:w="2515"/>
      </w:tblGrid>
      <w:tr w:rsidR="0007198D" w:rsidRPr="0007198D" w14:paraId="7A189C4D" w14:textId="77777777" w:rsidTr="000C7A5D">
        <w:tc>
          <w:tcPr>
            <w:tcW w:w="3600" w:type="dxa"/>
            <w:shd w:val="clear" w:color="auto" w:fill="auto"/>
          </w:tcPr>
          <w:p w14:paraId="0965740F"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GOAL</w:t>
            </w:r>
          </w:p>
        </w:tc>
        <w:tc>
          <w:tcPr>
            <w:tcW w:w="5859" w:type="dxa"/>
            <w:gridSpan w:val="2"/>
            <w:shd w:val="clear" w:color="auto" w:fill="auto"/>
          </w:tcPr>
          <w:p w14:paraId="142211FC" w14:textId="7F30BF58" w:rsidR="0007198D" w:rsidRPr="0007198D" w:rsidRDefault="0007198D" w:rsidP="00FB0985">
            <w:pPr>
              <w:spacing w:after="0" w:line="240" w:lineRule="auto"/>
              <w:rPr>
                <w:rFonts w:ascii="Arial" w:hAnsi="Arial" w:cs="Arial"/>
                <w:sz w:val="20"/>
                <w:szCs w:val="20"/>
              </w:rPr>
            </w:pPr>
            <w:r w:rsidRPr="0007198D">
              <w:rPr>
                <w:rFonts w:ascii="Arial" w:hAnsi="Arial" w:cs="Arial"/>
                <w:noProof/>
                <w:sz w:val="20"/>
                <w:szCs w:val="20"/>
              </w:rPr>
              <w:t xml:space="preserve">To reduce the </w:t>
            </w:r>
            <w:r w:rsidR="00FB0985">
              <w:rPr>
                <w:rFonts w:ascii="Arial" w:hAnsi="Arial" w:cs="Arial"/>
                <w:noProof/>
                <w:sz w:val="20"/>
                <w:szCs w:val="20"/>
              </w:rPr>
              <w:t xml:space="preserve">percent </w:t>
            </w:r>
            <w:r w:rsidRPr="0007198D">
              <w:rPr>
                <w:rFonts w:ascii="Arial" w:hAnsi="Arial" w:cs="Arial"/>
                <w:noProof/>
                <w:sz w:val="20"/>
                <w:szCs w:val="20"/>
              </w:rPr>
              <w:t>of all preterm, early term, and early elective deliveries.</w:t>
            </w:r>
          </w:p>
        </w:tc>
      </w:tr>
      <w:tr w:rsidR="0007198D" w:rsidRPr="0007198D" w14:paraId="1E0DBAB5" w14:textId="77777777" w:rsidTr="000C7A5D">
        <w:tc>
          <w:tcPr>
            <w:tcW w:w="3600" w:type="dxa"/>
            <w:shd w:val="clear" w:color="auto" w:fill="auto"/>
          </w:tcPr>
          <w:p w14:paraId="1D31392D" w14:textId="77777777" w:rsidR="0007198D" w:rsidRPr="0007198D" w:rsidRDefault="0007198D" w:rsidP="0007198D">
            <w:pPr>
              <w:spacing w:after="0" w:line="240" w:lineRule="auto"/>
              <w:rPr>
                <w:rFonts w:ascii="Arial" w:hAnsi="Arial" w:cs="Arial"/>
                <w:b/>
                <w:sz w:val="20"/>
                <w:szCs w:val="20"/>
              </w:rPr>
            </w:pPr>
          </w:p>
        </w:tc>
        <w:tc>
          <w:tcPr>
            <w:tcW w:w="5859" w:type="dxa"/>
            <w:gridSpan w:val="2"/>
            <w:shd w:val="clear" w:color="auto" w:fill="auto"/>
          </w:tcPr>
          <w:p w14:paraId="046B28ED" w14:textId="77777777" w:rsidR="0007198D" w:rsidRPr="0007198D" w:rsidRDefault="0007198D" w:rsidP="0007198D">
            <w:pPr>
              <w:spacing w:after="0" w:line="240" w:lineRule="auto"/>
              <w:rPr>
                <w:rFonts w:ascii="Arial" w:hAnsi="Arial" w:cs="Arial"/>
                <w:sz w:val="20"/>
                <w:szCs w:val="20"/>
              </w:rPr>
            </w:pPr>
          </w:p>
        </w:tc>
      </w:tr>
      <w:tr w:rsidR="0007198D" w:rsidRPr="0007198D" w14:paraId="1DE5744B" w14:textId="77777777" w:rsidTr="000C7A5D">
        <w:tc>
          <w:tcPr>
            <w:tcW w:w="3600" w:type="dxa"/>
            <w:shd w:val="clear" w:color="auto" w:fill="auto"/>
          </w:tcPr>
          <w:p w14:paraId="0FC0647C"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DEFINITION</w:t>
            </w:r>
          </w:p>
        </w:tc>
        <w:tc>
          <w:tcPr>
            <w:tcW w:w="5859" w:type="dxa"/>
            <w:gridSpan w:val="2"/>
            <w:shd w:val="clear" w:color="auto" w:fill="auto"/>
          </w:tcPr>
          <w:p w14:paraId="62DB9B66"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Numerator:</w:t>
            </w:r>
          </w:p>
        </w:tc>
      </w:tr>
      <w:tr w:rsidR="0007198D" w:rsidRPr="0007198D" w14:paraId="31EC6390" w14:textId="77777777" w:rsidTr="000C7A5D">
        <w:tc>
          <w:tcPr>
            <w:tcW w:w="3600" w:type="dxa"/>
            <w:shd w:val="clear" w:color="auto" w:fill="auto"/>
          </w:tcPr>
          <w:p w14:paraId="06AB2BBB" w14:textId="77777777" w:rsidR="0007198D" w:rsidRPr="0007198D" w:rsidRDefault="0007198D" w:rsidP="0007198D">
            <w:pPr>
              <w:spacing w:after="0" w:line="240" w:lineRule="auto"/>
              <w:rPr>
                <w:rFonts w:ascii="Arial" w:hAnsi="Arial" w:cs="Arial"/>
                <w:b/>
                <w:sz w:val="20"/>
                <w:szCs w:val="20"/>
              </w:rPr>
            </w:pPr>
          </w:p>
        </w:tc>
        <w:tc>
          <w:tcPr>
            <w:tcW w:w="5859" w:type="dxa"/>
            <w:gridSpan w:val="2"/>
            <w:shd w:val="clear" w:color="auto" w:fill="auto"/>
          </w:tcPr>
          <w:p w14:paraId="6FB9472C"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Number of live births before 37 weeks of complete gestation</w:t>
            </w:r>
          </w:p>
        </w:tc>
      </w:tr>
      <w:tr w:rsidR="0007198D" w:rsidRPr="0007198D" w14:paraId="0E563C8E" w14:textId="77777777" w:rsidTr="000C7A5D">
        <w:tc>
          <w:tcPr>
            <w:tcW w:w="3600" w:type="dxa"/>
            <w:shd w:val="clear" w:color="auto" w:fill="auto"/>
          </w:tcPr>
          <w:p w14:paraId="54B45976" w14:textId="77777777" w:rsidR="0007198D" w:rsidRPr="0007198D" w:rsidRDefault="0007198D" w:rsidP="0007198D">
            <w:pPr>
              <w:spacing w:after="0" w:line="240" w:lineRule="auto"/>
              <w:rPr>
                <w:rFonts w:ascii="Arial" w:hAnsi="Arial" w:cs="Arial"/>
                <w:b/>
                <w:sz w:val="20"/>
                <w:szCs w:val="20"/>
              </w:rPr>
            </w:pPr>
          </w:p>
        </w:tc>
        <w:tc>
          <w:tcPr>
            <w:tcW w:w="5859" w:type="dxa"/>
            <w:gridSpan w:val="2"/>
            <w:shd w:val="clear" w:color="auto" w:fill="auto"/>
          </w:tcPr>
          <w:p w14:paraId="25D8EF04" w14:textId="77777777" w:rsidR="0007198D" w:rsidRPr="0007198D" w:rsidRDefault="0007198D" w:rsidP="0007198D">
            <w:pPr>
              <w:spacing w:after="0" w:line="240" w:lineRule="auto"/>
              <w:rPr>
                <w:rFonts w:ascii="Arial" w:hAnsi="Arial" w:cs="Arial"/>
                <w:sz w:val="20"/>
                <w:szCs w:val="20"/>
              </w:rPr>
            </w:pPr>
          </w:p>
        </w:tc>
      </w:tr>
      <w:tr w:rsidR="0007198D" w:rsidRPr="0007198D" w14:paraId="4BD778B4" w14:textId="77777777" w:rsidTr="000C7A5D">
        <w:tc>
          <w:tcPr>
            <w:tcW w:w="3600" w:type="dxa"/>
            <w:shd w:val="clear" w:color="auto" w:fill="auto"/>
          </w:tcPr>
          <w:p w14:paraId="1D5DCDBC" w14:textId="77777777" w:rsidR="0007198D" w:rsidRPr="0007198D" w:rsidRDefault="0007198D" w:rsidP="0007198D">
            <w:pPr>
              <w:spacing w:after="0" w:line="240" w:lineRule="auto"/>
              <w:rPr>
                <w:rFonts w:ascii="Arial" w:hAnsi="Arial" w:cs="Arial"/>
                <w:b/>
                <w:sz w:val="20"/>
                <w:szCs w:val="20"/>
              </w:rPr>
            </w:pPr>
          </w:p>
        </w:tc>
        <w:tc>
          <w:tcPr>
            <w:tcW w:w="5859" w:type="dxa"/>
            <w:gridSpan w:val="2"/>
            <w:shd w:val="clear" w:color="auto" w:fill="auto"/>
          </w:tcPr>
          <w:p w14:paraId="32AA56FA"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Denominator:</w:t>
            </w:r>
          </w:p>
        </w:tc>
      </w:tr>
      <w:tr w:rsidR="0007198D" w:rsidRPr="0007198D" w14:paraId="73CA417D" w14:textId="77777777" w:rsidTr="000C7A5D">
        <w:tc>
          <w:tcPr>
            <w:tcW w:w="3600" w:type="dxa"/>
            <w:shd w:val="clear" w:color="auto" w:fill="auto"/>
          </w:tcPr>
          <w:p w14:paraId="243E80F6" w14:textId="77777777" w:rsidR="0007198D" w:rsidRPr="0007198D" w:rsidRDefault="0007198D" w:rsidP="0007198D">
            <w:pPr>
              <w:spacing w:after="0" w:line="240" w:lineRule="auto"/>
              <w:rPr>
                <w:rFonts w:ascii="Arial" w:hAnsi="Arial" w:cs="Arial"/>
                <w:b/>
                <w:sz w:val="20"/>
                <w:szCs w:val="20"/>
              </w:rPr>
            </w:pPr>
          </w:p>
        </w:tc>
        <w:tc>
          <w:tcPr>
            <w:tcW w:w="5859" w:type="dxa"/>
            <w:gridSpan w:val="2"/>
            <w:shd w:val="clear" w:color="auto" w:fill="auto"/>
          </w:tcPr>
          <w:p w14:paraId="0CE6229B"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Number of live births</w:t>
            </w:r>
          </w:p>
        </w:tc>
      </w:tr>
      <w:tr w:rsidR="0007198D" w:rsidRPr="0007198D" w14:paraId="22DC193D" w14:textId="77777777" w:rsidTr="000C7A5D">
        <w:tc>
          <w:tcPr>
            <w:tcW w:w="3600" w:type="dxa"/>
            <w:shd w:val="clear" w:color="auto" w:fill="auto"/>
          </w:tcPr>
          <w:p w14:paraId="313F468E" w14:textId="77777777" w:rsidR="0007198D" w:rsidRPr="0007198D" w:rsidRDefault="0007198D" w:rsidP="0007198D">
            <w:pPr>
              <w:spacing w:after="0" w:line="240" w:lineRule="auto"/>
              <w:rPr>
                <w:rFonts w:ascii="Arial" w:hAnsi="Arial" w:cs="Arial"/>
                <w:b/>
                <w:sz w:val="20"/>
                <w:szCs w:val="20"/>
              </w:rPr>
            </w:pPr>
          </w:p>
        </w:tc>
        <w:tc>
          <w:tcPr>
            <w:tcW w:w="5859" w:type="dxa"/>
            <w:gridSpan w:val="2"/>
            <w:shd w:val="clear" w:color="auto" w:fill="auto"/>
          </w:tcPr>
          <w:p w14:paraId="63829006" w14:textId="77777777" w:rsidR="0007198D" w:rsidRPr="0007198D" w:rsidRDefault="0007198D" w:rsidP="0007198D">
            <w:pPr>
              <w:spacing w:after="0" w:line="240" w:lineRule="auto"/>
              <w:rPr>
                <w:rFonts w:ascii="Arial" w:hAnsi="Arial" w:cs="Arial"/>
                <w:sz w:val="20"/>
                <w:szCs w:val="20"/>
              </w:rPr>
            </w:pPr>
          </w:p>
        </w:tc>
      </w:tr>
      <w:tr w:rsidR="0007198D" w:rsidRPr="0007198D" w14:paraId="4AD6E02A" w14:textId="77777777" w:rsidTr="000C7A5D">
        <w:tc>
          <w:tcPr>
            <w:tcW w:w="3600" w:type="dxa"/>
            <w:shd w:val="clear" w:color="auto" w:fill="auto"/>
          </w:tcPr>
          <w:p w14:paraId="70C0F194" w14:textId="77777777" w:rsidR="0007198D" w:rsidRPr="0007198D" w:rsidRDefault="0007198D" w:rsidP="0007198D">
            <w:pPr>
              <w:spacing w:after="0" w:line="240" w:lineRule="auto"/>
              <w:rPr>
                <w:rFonts w:ascii="Arial" w:hAnsi="Arial" w:cs="Arial"/>
                <w:b/>
                <w:sz w:val="20"/>
                <w:szCs w:val="20"/>
              </w:rPr>
            </w:pPr>
          </w:p>
        </w:tc>
        <w:tc>
          <w:tcPr>
            <w:tcW w:w="3344" w:type="dxa"/>
            <w:shd w:val="clear" w:color="auto" w:fill="auto"/>
          </w:tcPr>
          <w:p w14:paraId="3500B25A"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b/>
                <w:sz w:val="20"/>
                <w:szCs w:val="20"/>
              </w:rPr>
              <w:t>Units:</w:t>
            </w:r>
            <w:r w:rsidRPr="0007198D">
              <w:rPr>
                <w:rFonts w:ascii="Arial" w:hAnsi="Arial" w:cs="Arial"/>
                <w:sz w:val="20"/>
                <w:szCs w:val="20"/>
              </w:rPr>
              <w:t xml:space="preserve"> </w:t>
            </w:r>
            <w:r w:rsidRPr="0007198D">
              <w:rPr>
                <w:rFonts w:ascii="Arial" w:hAnsi="Arial" w:cs="Arial"/>
                <w:noProof/>
                <w:sz w:val="20"/>
                <w:szCs w:val="20"/>
              </w:rPr>
              <w:t>100</w:t>
            </w:r>
          </w:p>
        </w:tc>
        <w:tc>
          <w:tcPr>
            <w:tcW w:w="2515" w:type="dxa"/>
            <w:shd w:val="clear" w:color="auto" w:fill="auto"/>
          </w:tcPr>
          <w:p w14:paraId="76C6FCA3"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b/>
                <w:sz w:val="20"/>
                <w:szCs w:val="20"/>
              </w:rPr>
              <w:t>Text:</w:t>
            </w:r>
            <w:r w:rsidRPr="0007198D">
              <w:rPr>
                <w:rFonts w:ascii="Arial" w:hAnsi="Arial" w:cs="Arial"/>
                <w:sz w:val="20"/>
                <w:szCs w:val="20"/>
              </w:rPr>
              <w:t xml:space="preserve"> </w:t>
            </w:r>
            <w:r w:rsidRPr="0007198D">
              <w:rPr>
                <w:rFonts w:ascii="Arial" w:hAnsi="Arial" w:cs="Arial"/>
                <w:noProof/>
                <w:sz w:val="20"/>
                <w:szCs w:val="20"/>
              </w:rPr>
              <w:t>Percent</w:t>
            </w:r>
          </w:p>
        </w:tc>
      </w:tr>
      <w:tr w:rsidR="0007198D" w:rsidRPr="0007198D" w14:paraId="5B83F223" w14:textId="77777777" w:rsidTr="000C7A5D">
        <w:tc>
          <w:tcPr>
            <w:tcW w:w="3600" w:type="dxa"/>
            <w:shd w:val="clear" w:color="auto" w:fill="auto"/>
          </w:tcPr>
          <w:p w14:paraId="30629B47" w14:textId="77777777" w:rsidR="0007198D" w:rsidRPr="0007198D" w:rsidRDefault="0007198D" w:rsidP="0007198D">
            <w:pPr>
              <w:spacing w:after="0" w:line="240" w:lineRule="auto"/>
              <w:rPr>
                <w:rFonts w:ascii="Arial" w:hAnsi="Arial" w:cs="Arial"/>
                <w:b/>
                <w:sz w:val="20"/>
                <w:szCs w:val="20"/>
              </w:rPr>
            </w:pPr>
          </w:p>
        </w:tc>
        <w:tc>
          <w:tcPr>
            <w:tcW w:w="5859" w:type="dxa"/>
            <w:gridSpan w:val="2"/>
            <w:shd w:val="clear" w:color="auto" w:fill="auto"/>
          </w:tcPr>
          <w:p w14:paraId="51EBBB79" w14:textId="77777777" w:rsidR="0007198D" w:rsidRPr="0007198D" w:rsidRDefault="0007198D" w:rsidP="0007198D">
            <w:pPr>
              <w:spacing w:after="0" w:line="240" w:lineRule="auto"/>
              <w:rPr>
                <w:rFonts w:ascii="Arial" w:hAnsi="Arial" w:cs="Arial"/>
                <w:sz w:val="20"/>
                <w:szCs w:val="20"/>
              </w:rPr>
            </w:pPr>
          </w:p>
        </w:tc>
      </w:tr>
      <w:tr w:rsidR="0007198D" w:rsidRPr="0007198D" w14:paraId="088AE589" w14:textId="77777777" w:rsidTr="000C7A5D">
        <w:tc>
          <w:tcPr>
            <w:tcW w:w="3600" w:type="dxa"/>
            <w:shd w:val="clear" w:color="auto" w:fill="auto"/>
          </w:tcPr>
          <w:p w14:paraId="6FED191B"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HEALTHY PEOPLE 2020 OBJECTIVE</w:t>
            </w:r>
          </w:p>
        </w:tc>
        <w:tc>
          <w:tcPr>
            <w:tcW w:w="5859" w:type="dxa"/>
            <w:gridSpan w:val="2"/>
            <w:shd w:val="clear" w:color="auto" w:fill="auto"/>
          </w:tcPr>
          <w:p w14:paraId="75E90C54"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Identical to Maternal, Infant, and Child Health (MICH) Objective 9.1: Reduce total preterm births (PTB). (Baseline:10.4%  in 2007, Target 9.4%)</w:t>
            </w:r>
          </w:p>
        </w:tc>
      </w:tr>
      <w:tr w:rsidR="0007198D" w:rsidRPr="0007198D" w14:paraId="65FAFF65" w14:textId="77777777" w:rsidTr="000C7A5D">
        <w:tc>
          <w:tcPr>
            <w:tcW w:w="3600" w:type="dxa"/>
            <w:shd w:val="clear" w:color="auto" w:fill="auto"/>
          </w:tcPr>
          <w:p w14:paraId="5394655A" w14:textId="77777777" w:rsidR="0007198D" w:rsidRPr="0007198D" w:rsidRDefault="0007198D" w:rsidP="0007198D">
            <w:pPr>
              <w:spacing w:after="0" w:line="240" w:lineRule="auto"/>
              <w:rPr>
                <w:rFonts w:ascii="Arial" w:hAnsi="Arial" w:cs="Arial"/>
                <w:b/>
                <w:sz w:val="20"/>
                <w:szCs w:val="20"/>
              </w:rPr>
            </w:pPr>
          </w:p>
        </w:tc>
        <w:tc>
          <w:tcPr>
            <w:tcW w:w="5859" w:type="dxa"/>
            <w:gridSpan w:val="2"/>
            <w:shd w:val="clear" w:color="auto" w:fill="auto"/>
          </w:tcPr>
          <w:p w14:paraId="7F010A74" w14:textId="77777777" w:rsidR="0007198D" w:rsidRPr="0007198D" w:rsidRDefault="0007198D" w:rsidP="0007198D">
            <w:pPr>
              <w:spacing w:after="0" w:line="240" w:lineRule="auto"/>
              <w:rPr>
                <w:rFonts w:ascii="Arial" w:hAnsi="Arial" w:cs="Arial"/>
                <w:sz w:val="20"/>
                <w:szCs w:val="20"/>
              </w:rPr>
            </w:pPr>
          </w:p>
        </w:tc>
      </w:tr>
      <w:tr w:rsidR="0007198D" w:rsidRPr="0007198D" w14:paraId="389ACDD4" w14:textId="77777777" w:rsidTr="000C7A5D">
        <w:tc>
          <w:tcPr>
            <w:tcW w:w="3600" w:type="dxa"/>
            <w:shd w:val="clear" w:color="auto" w:fill="auto"/>
          </w:tcPr>
          <w:p w14:paraId="6924BE40"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DATA SOURCES and DATA ISSUES</w:t>
            </w:r>
          </w:p>
        </w:tc>
        <w:tc>
          <w:tcPr>
            <w:tcW w:w="5859" w:type="dxa"/>
            <w:gridSpan w:val="2"/>
            <w:shd w:val="clear" w:color="auto" w:fill="auto"/>
          </w:tcPr>
          <w:p w14:paraId="41A3810E"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National Vital Statistics System (NVSS)</w:t>
            </w:r>
          </w:p>
        </w:tc>
      </w:tr>
      <w:tr w:rsidR="0007198D" w:rsidRPr="0007198D" w14:paraId="03A2AD8E" w14:textId="77777777" w:rsidTr="000C7A5D">
        <w:tc>
          <w:tcPr>
            <w:tcW w:w="3600" w:type="dxa"/>
            <w:shd w:val="clear" w:color="auto" w:fill="auto"/>
          </w:tcPr>
          <w:p w14:paraId="25D70C64" w14:textId="77777777" w:rsidR="0007198D" w:rsidRPr="0007198D" w:rsidRDefault="0007198D" w:rsidP="0007198D">
            <w:pPr>
              <w:spacing w:after="0" w:line="240" w:lineRule="auto"/>
              <w:rPr>
                <w:rFonts w:ascii="Arial" w:hAnsi="Arial" w:cs="Arial"/>
                <w:b/>
                <w:sz w:val="20"/>
                <w:szCs w:val="20"/>
              </w:rPr>
            </w:pPr>
          </w:p>
        </w:tc>
        <w:tc>
          <w:tcPr>
            <w:tcW w:w="5859" w:type="dxa"/>
            <w:gridSpan w:val="2"/>
            <w:shd w:val="clear" w:color="auto" w:fill="auto"/>
          </w:tcPr>
          <w:p w14:paraId="46033204" w14:textId="77777777" w:rsidR="0007198D" w:rsidRPr="0007198D" w:rsidRDefault="0007198D" w:rsidP="0007198D">
            <w:pPr>
              <w:spacing w:after="0" w:line="240" w:lineRule="auto"/>
              <w:rPr>
                <w:rFonts w:ascii="Arial" w:hAnsi="Arial" w:cs="Arial"/>
                <w:sz w:val="20"/>
                <w:szCs w:val="20"/>
              </w:rPr>
            </w:pPr>
          </w:p>
        </w:tc>
      </w:tr>
      <w:tr w:rsidR="0007198D" w:rsidRPr="0007198D" w14:paraId="69E60364" w14:textId="77777777" w:rsidTr="000C7A5D">
        <w:tc>
          <w:tcPr>
            <w:tcW w:w="3600" w:type="dxa"/>
            <w:shd w:val="clear" w:color="auto" w:fill="auto"/>
          </w:tcPr>
          <w:p w14:paraId="12E8DBDB"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SIGNIFICANCE</w:t>
            </w:r>
          </w:p>
        </w:tc>
        <w:tc>
          <w:tcPr>
            <w:tcW w:w="5859" w:type="dxa"/>
            <w:gridSpan w:val="2"/>
            <w:shd w:val="clear" w:color="auto" w:fill="auto"/>
          </w:tcPr>
          <w:p w14:paraId="0A472E0A" w14:textId="77777777" w:rsidR="0007198D" w:rsidRPr="0007198D" w:rsidRDefault="0007198D" w:rsidP="0007198D">
            <w:pPr>
              <w:spacing w:after="0" w:line="240" w:lineRule="auto"/>
              <w:rPr>
                <w:rFonts w:ascii="Arial" w:hAnsi="Arial" w:cs="Arial"/>
                <w:noProof/>
                <w:sz w:val="20"/>
                <w:szCs w:val="20"/>
              </w:rPr>
            </w:pPr>
            <w:r w:rsidRPr="0007198D">
              <w:rPr>
                <w:rFonts w:ascii="Arial" w:hAnsi="Arial" w:cs="Arial"/>
                <w:noProof/>
                <w:sz w:val="20"/>
                <w:szCs w:val="20"/>
              </w:rPr>
              <w:t xml:space="preserve">Babies born preterm, before 37 completed weeks of gestation, are at greater risk of immediate life-threatening health problems, as well as long-term complications and developmental delays. Currently, about 1 in every 10 infants are born prematurely. Preterm birth is a leading cause of infant death and childhood disability, accounting for at least a third of all infant deaths. Although the risk of complications is greatest among those babies who are born the earliest, even those babies born “late preterm” (34 to 36 weeks’ gestation) and "early term" (37, 38 weeks' gestation) are more likely than full-term babies to experience morbidity and mortality.  Infants born to non-Hispanic Black women have the highest rates of preterm birth, particularly early preterm birth, with levels that are at least 1.5 times those for infants born to women of other race and ethnic groups. Risk factors include chronic conditions, obesity, substance use, poverty, short birth intervals, and multiple births. </w:t>
            </w:r>
          </w:p>
          <w:p w14:paraId="67BDE210" w14:textId="77777777" w:rsidR="0007198D" w:rsidRPr="0007198D" w:rsidRDefault="0007198D" w:rsidP="0007198D">
            <w:pPr>
              <w:spacing w:after="0" w:line="240" w:lineRule="auto"/>
              <w:rPr>
                <w:rFonts w:ascii="Arial" w:hAnsi="Arial" w:cs="Arial"/>
                <w:noProof/>
                <w:sz w:val="20"/>
                <w:szCs w:val="20"/>
              </w:rPr>
            </w:pPr>
          </w:p>
          <w:p w14:paraId="7A9674FF" w14:textId="77777777" w:rsidR="0007198D" w:rsidRPr="0007198D" w:rsidRDefault="0007198D" w:rsidP="0007198D">
            <w:pPr>
              <w:spacing w:after="0" w:line="240" w:lineRule="auto"/>
              <w:rPr>
                <w:rFonts w:ascii="Arial" w:hAnsi="Arial" w:cs="Arial"/>
                <w:noProof/>
                <w:sz w:val="20"/>
                <w:szCs w:val="20"/>
              </w:rPr>
            </w:pPr>
            <w:r w:rsidRPr="0007198D">
              <w:rPr>
                <w:rFonts w:ascii="Arial" w:hAnsi="Arial" w:cs="Arial"/>
                <w:noProof/>
                <w:sz w:val="20"/>
                <w:szCs w:val="20"/>
              </w:rPr>
              <w:t xml:space="preserve">Centers for Disease Control and Prevention. Preterm birth. </w:t>
            </w:r>
            <w:hyperlink r:id="rId77" w:history="1">
              <w:r w:rsidRPr="0007198D">
                <w:rPr>
                  <w:rFonts w:ascii="Arial" w:hAnsi="Arial" w:cs="Arial"/>
                  <w:noProof/>
                  <w:color w:val="0000FF"/>
                  <w:sz w:val="20"/>
                  <w:szCs w:val="20"/>
                  <w:u w:val="single"/>
                </w:rPr>
                <w:t>https://www.cdc.gov/reproductivehealth/maternalinfanthealth/pretermbirth.htm</w:t>
              </w:r>
            </w:hyperlink>
            <w:r w:rsidRPr="0007198D">
              <w:rPr>
                <w:rFonts w:ascii="Arial" w:hAnsi="Arial" w:cs="Arial"/>
                <w:noProof/>
                <w:sz w:val="20"/>
                <w:szCs w:val="20"/>
              </w:rPr>
              <w:t xml:space="preserve">  </w:t>
            </w:r>
          </w:p>
          <w:p w14:paraId="79135E22" w14:textId="77777777" w:rsidR="0007198D" w:rsidRPr="0007198D" w:rsidRDefault="0007198D" w:rsidP="0007198D">
            <w:pPr>
              <w:spacing w:after="0" w:line="240" w:lineRule="auto"/>
              <w:rPr>
                <w:rFonts w:ascii="Arial" w:hAnsi="Arial" w:cs="Arial"/>
                <w:noProof/>
                <w:sz w:val="20"/>
                <w:szCs w:val="20"/>
              </w:rPr>
            </w:pPr>
          </w:p>
          <w:p w14:paraId="770F3629"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sz w:val="20"/>
                <w:szCs w:val="20"/>
              </w:rPr>
              <w:t xml:space="preserve">Mathews TJ, MacDorman MF, Thoma ME. Infant Mortality Statistics From the 2013 Period Linked Birth/Infant Death Data Set. National Vital Statistics Reports. 2015 August 6. 64(9). </w:t>
            </w:r>
            <w:hyperlink r:id="rId78" w:history="1">
              <w:r w:rsidRPr="0007198D">
                <w:rPr>
                  <w:rFonts w:ascii="Arial" w:hAnsi="Arial" w:cs="Arial"/>
                  <w:color w:val="0000FF"/>
                  <w:sz w:val="20"/>
                  <w:szCs w:val="20"/>
                  <w:u w:val="single"/>
                </w:rPr>
                <w:t>https://www.cdc.gov/nchs/data/nvsr/nvsr64/nvsr64_09.pdf</w:t>
              </w:r>
            </w:hyperlink>
          </w:p>
          <w:p w14:paraId="1D9DADD2" w14:textId="77777777" w:rsidR="0007198D" w:rsidRPr="0007198D" w:rsidRDefault="0007198D" w:rsidP="0007198D">
            <w:pPr>
              <w:spacing w:after="0" w:line="240" w:lineRule="auto"/>
              <w:rPr>
                <w:rFonts w:ascii="Arial" w:hAnsi="Arial" w:cs="Arial"/>
                <w:noProof/>
                <w:sz w:val="20"/>
                <w:szCs w:val="20"/>
              </w:rPr>
            </w:pPr>
          </w:p>
          <w:p w14:paraId="45220C8F"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sz w:val="20"/>
                <w:szCs w:val="20"/>
              </w:rPr>
              <w:t xml:space="preserve">Martin JA, Hamilton BE, Osterman MJK, et al. Births: Final data for 2015. National vital statistics report; vol 66, no 1. Hyattsville, MD: National Center for Health Statistics. 2017. </w:t>
            </w:r>
            <w:hyperlink r:id="rId79" w:history="1">
              <w:r w:rsidRPr="0007198D">
                <w:rPr>
                  <w:rFonts w:ascii="Arial" w:hAnsi="Arial" w:cs="Arial"/>
                  <w:color w:val="0000FF"/>
                  <w:sz w:val="20"/>
                  <w:szCs w:val="20"/>
                  <w:u w:val="single"/>
                </w:rPr>
                <w:t>https://www.cdc.gov/nchs/data/nvsr/nvsr66/nvsr66_01.pdf</w:t>
              </w:r>
            </w:hyperlink>
            <w:r w:rsidRPr="0007198D">
              <w:rPr>
                <w:rFonts w:ascii="Arial" w:hAnsi="Arial" w:cs="Arial"/>
                <w:sz w:val="20"/>
                <w:szCs w:val="20"/>
              </w:rPr>
              <w:t xml:space="preserve"> </w:t>
            </w:r>
          </w:p>
          <w:p w14:paraId="4648976D" w14:textId="77777777" w:rsidR="0007198D" w:rsidRPr="0007198D" w:rsidRDefault="0007198D" w:rsidP="0007198D">
            <w:pPr>
              <w:spacing w:after="0" w:line="240" w:lineRule="auto"/>
              <w:rPr>
                <w:rFonts w:ascii="Arial" w:hAnsi="Arial" w:cs="Arial"/>
                <w:sz w:val="20"/>
                <w:szCs w:val="20"/>
              </w:rPr>
            </w:pPr>
          </w:p>
        </w:tc>
      </w:tr>
      <w:tr w:rsidR="0007198D" w:rsidRPr="0007198D" w14:paraId="441D7CBA" w14:textId="77777777" w:rsidTr="000C7A5D">
        <w:tc>
          <w:tcPr>
            <w:tcW w:w="3600" w:type="dxa"/>
            <w:shd w:val="clear" w:color="auto" w:fill="auto"/>
          </w:tcPr>
          <w:p w14:paraId="381D0884" w14:textId="77777777" w:rsidR="0007198D" w:rsidRPr="0007198D" w:rsidRDefault="0007198D" w:rsidP="0007198D">
            <w:pPr>
              <w:spacing w:after="0" w:line="240" w:lineRule="auto"/>
              <w:rPr>
                <w:rFonts w:ascii="Arial" w:hAnsi="Arial" w:cs="Arial"/>
                <w:sz w:val="20"/>
                <w:szCs w:val="20"/>
              </w:rPr>
            </w:pPr>
          </w:p>
        </w:tc>
        <w:tc>
          <w:tcPr>
            <w:tcW w:w="5859" w:type="dxa"/>
            <w:gridSpan w:val="2"/>
            <w:shd w:val="clear" w:color="auto" w:fill="auto"/>
          </w:tcPr>
          <w:p w14:paraId="4CDC8D17" w14:textId="77777777" w:rsidR="0007198D" w:rsidRPr="0007198D" w:rsidRDefault="0007198D" w:rsidP="0007198D">
            <w:pPr>
              <w:spacing w:after="0" w:line="240" w:lineRule="auto"/>
              <w:rPr>
                <w:rFonts w:ascii="Arial" w:hAnsi="Arial" w:cs="Arial"/>
                <w:sz w:val="20"/>
                <w:szCs w:val="20"/>
              </w:rPr>
            </w:pPr>
          </w:p>
        </w:tc>
      </w:tr>
    </w:tbl>
    <w:p w14:paraId="3A46CF73" w14:textId="77777777" w:rsidR="0007198D" w:rsidRPr="0007198D" w:rsidRDefault="0007198D" w:rsidP="0007198D">
      <w:pPr>
        <w:spacing w:after="0" w:line="240" w:lineRule="auto"/>
        <w:sectPr w:rsidR="0007198D" w:rsidRPr="0007198D" w:rsidSect="00514C00">
          <w:pgSz w:w="12240" w:h="15840"/>
          <w:pgMar w:top="1440" w:right="1440" w:bottom="1440" w:left="1440" w:header="720" w:footer="720" w:gutter="0"/>
          <w:cols w:space="720"/>
          <w:docGrid w:linePitch="360"/>
        </w:sectPr>
      </w:pPr>
    </w:p>
    <w:tbl>
      <w:tblPr>
        <w:tblW w:w="0" w:type="auto"/>
        <w:tblLook w:val="04A0" w:firstRow="1" w:lastRow="0" w:firstColumn="1" w:lastColumn="0" w:noHBand="0" w:noVBand="1"/>
      </w:tblPr>
      <w:tblGrid>
        <w:gridCol w:w="3618"/>
        <w:gridCol w:w="5868"/>
      </w:tblGrid>
      <w:tr w:rsidR="0007198D" w:rsidRPr="0007198D" w14:paraId="1F4619D3" w14:textId="77777777" w:rsidTr="000C7A5D">
        <w:tc>
          <w:tcPr>
            <w:tcW w:w="3618" w:type="dxa"/>
            <w:shd w:val="clear" w:color="auto" w:fill="auto"/>
          </w:tcPr>
          <w:p w14:paraId="49914D7D" w14:textId="77777777" w:rsidR="0007198D" w:rsidRPr="0007198D" w:rsidRDefault="0007198D" w:rsidP="0007198D">
            <w:pPr>
              <w:spacing w:after="0" w:line="240" w:lineRule="auto"/>
              <w:rPr>
                <w:rFonts w:ascii="Arial" w:hAnsi="Arial" w:cs="Arial"/>
                <w:b/>
                <w:sz w:val="24"/>
                <w:szCs w:val="24"/>
              </w:rPr>
            </w:pPr>
            <w:r w:rsidRPr="0007198D">
              <w:rPr>
                <w:rFonts w:ascii="Arial" w:hAnsi="Arial" w:cs="Arial"/>
                <w:b/>
                <w:sz w:val="24"/>
                <w:szCs w:val="24"/>
              </w:rPr>
              <w:t xml:space="preserve">OUTCOME MEASURE </w:t>
            </w:r>
            <w:r w:rsidRPr="0007198D">
              <w:rPr>
                <w:rFonts w:ascii="Arial" w:hAnsi="Arial" w:cs="Arial"/>
                <w:b/>
                <w:noProof/>
                <w:sz w:val="24"/>
                <w:szCs w:val="24"/>
              </w:rPr>
              <w:t>6</w:t>
            </w:r>
          </w:p>
        </w:tc>
        <w:tc>
          <w:tcPr>
            <w:tcW w:w="5868" w:type="dxa"/>
            <w:shd w:val="clear" w:color="auto" w:fill="auto"/>
          </w:tcPr>
          <w:p w14:paraId="66567EA9" w14:textId="77777777" w:rsidR="0007198D" w:rsidRPr="0007198D" w:rsidRDefault="0007198D" w:rsidP="0007198D">
            <w:pPr>
              <w:spacing w:after="0" w:line="240" w:lineRule="auto"/>
              <w:rPr>
                <w:rFonts w:ascii="Arial" w:hAnsi="Arial" w:cs="Arial"/>
                <w:b/>
                <w:sz w:val="24"/>
                <w:szCs w:val="24"/>
              </w:rPr>
            </w:pPr>
            <w:r w:rsidRPr="0007198D">
              <w:rPr>
                <w:rFonts w:ascii="Arial" w:hAnsi="Arial" w:cs="Arial"/>
                <w:b/>
                <w:noProof/>
                <w:sz w:val="24"/>
                <w:szCs w:val="24"/>
              </w:rPr>
              <w:t>Percent of early term births (37,38 weeks)</w:t>
            </w:r>
          </w:p>
        </w:tc>
      </w:tr>
    </w:tbl>
    <w:p w14:paraId="5F5973DD" w14:textId="77777777" w:rsidR="0007198D" w:rsidRPr="0007198D" w:rsidRDefault="0007198D" w:rsidP="0007198D">
      <w:pPr>
        <w:spacing w:after="0" w:line="240" w:lineRule="auto"/>
      </w:pPr>
    </w:p>
    <w:p w14:paraId="05BED8AE" w14:textId="77777777" w:rsidR="0007198D" w:rsidRPr="0007198D" w:rsidRDefault="0007198D" w:rsidP="0007198D">
      <w:pPr>
        <w:spacing w:after="0" w:line="240" w:lineRule="auto"/>
      </w:pPr>
      <w:r w:rsidRPr="0007198D">
        <w:rPr>
          <w:noProof/>
        </w:rPr>
        <mc:AlternateContent>
          <mc:Choice Requires="wps">
            <w:drawing>
              <wp:anchor distT="4294967295" distB="4294967295" distL="114300" distR="114300" simplePos="0" relativeHeight="251752448" behindDoc="0" locked="0" layoutInCell="1" allowOverlap="1" wp14:anchorId="611A4231" wp14:editId="476A372E">
                <wp:simplePos x="0" y="0"/>
                <wp:positionH relativeFrom="column">
                  <wp:posOffset>-60960</wp:posOffset>
                </wp:positionH>
                <wp:positionV relativeFrom="paragraph">
                  <wp:posOffset>31749</wp:posOffset>
                </wp:positionV>
                <wp:extent cx="6088380" cy="0"/>
                <wp:effectExtent l="0" t="0" r="26670" b="19050"/>
                <wp:wrapNone/>
                <wp:docPr id="44"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7106EEC" id="Straight Connector 13" o:spid="_x0000_s1026" style="position:absolute;z-index:251752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" strokecolor="windowText" strokeweight="1.75pt">
                <o:lock v:ext="edit" shapetype="f"/>
              </v:line>
            </w:pict>
          </mc:Fallback>
        </mc:AlternateContent>
      </w:r>
    </w:p>
    <w:tbl>
      <w:tblPr>
        <w:tblW w:w="9722" w:type="dxa"/>
        <w:tblLook w:val="04A0" w:firstRow="1" w:lastRow="0" w:firstColumn="1" w:lastColumn="0" w:noHBand="0" w:noVBand="1"/>
      </w:tblPr>
      <w:tblGrid>
        <w:gridCol w:w="3600"/>
        <w:gridCol w:w="3370"/>
        <w:gridCol w:w="2752"/>
      </w:tblGrid>
      <w:tr w:rsidR="0007198D" w:rsidRPr="0007198D" w14:paraId="643ECC5E" w14:textId="77777777" w:rsidTr="000C7A5D">
        <w:tc>
          <w:tcPr>
            <w:tcW w:w="3600" w:type="dxa"/>
            <w:shd w:val="clear" w:color="auto" w:fill="auto"/>
          </w:tcPr>
          <w:p w14:paraId="058B3433"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GOAL</w:t>
            </w:r>
          </w:p>
        </w:tc>
        <w:tc>
          <w:tcPr>
            <w:tcW w:w="6122" w:type="dxa"/>
            <w:gridSpan w:val="2"/>
            <w:shd w:val="clear" w:color="auto" w:fill="auto"/>
          </w:tcPr>
          <w:p w14:paraId="485E49B7" w14:textId="7A40663B" w:rsidR="0007198D" w:rsidRPr="0007198D" w:rsidRDefault="0007198D" w:rsidP="00FB0985">
            <w:pPr>
              <w:spacing w:after="0" w:line="240" w:lineRule="auto"/>
              <w:rPr>
                <w:rFonts w:ascii="Arial" w:hAnsi="Arial" w:cs="Arial"/>
                <w:sz w:val="20"/>
                <w:szCs w:val="20"/>
              </w:rPr>
            </w:pPr>
            <w:r w:rsidRPr="0007198D">
              <w:rPr>
                <w:rFonts w:ascii="Arial" w:hAnsi="Arial" w:cs="Arial"/>
                <w:noProof/>
                <w:sz w:val="20"/>
                <w:szCs w:val="20"/>
              </w:rPr>
              <w:t xml:space="preserve">To reduce the </w:t>
            </w:r>
            <w:r w:rsidR="00FB0985">
              <w:rPr>
                <w:rFonts w:ascii="Arial" w:hAnsi="Arial" w:cs="Arial"/>
                <w:noProof/>
                <w:sz w:val="20"/>
                <w:szCs w:val="20"/>
              </w:rPr>
              <w:t xml:space="preserve">percent </w:t>
            </w:r>
            <w:r w:rsidRPr="0007198D">
              <w:rPr>
                <w:rFonts w:ascii="Arial" w:hAnsi="Arial" w:cs="Arial"/>
                <w:noProof/>
                <w:sz w:val="20"/>
                <w:szCs w:val="20"/>
              </w:rPr>
              <w:t>of all preterm, early term, and early elective deliveries.</w:t>
            </w:r>
          </w:p>
        </w:tc>
      </w:tr>
      <w:tr w:rsidR="0007198D" w:rsidRPr="0007198D" w14:paraId="7501A70A" w14:textId="77777777" w:rsidTr="000C7A5D">
        <w:tc>
          <w:tcPr>
            <w:tcW w:w="3600" w:type="dxa"/>
            <w:shd w:val="clear" w:color="auto" w:fill="auto"/>
          </w:tcPr>
          <w:p w14:paraId="583318A6" w14:textId="77777777" w:rsidR="0007198D" w:rsidRPr="0007198D" w:rsidRDefault="0007198D" w:rsidP="0007198D">
            <w:pPr>
              <w:spacing w:after="0" w:line="240" w:lineRule="auto"/>
              <w:rPr>
                <w:rFonts w:ascii="Arial" w:hAnsi="Arial" w:cs="Arial"/>
                <w:b/>
                <w:sz w:val="20"/>
                <w:szCs w:val="20"/>
              </w:rPr>
            </w:pPr>
          </w:p>
        </w:tc>
        <w:tc>
          <w:tcPr>
            <w:tcW w:w="6122" w:type="dxa"/>
            <w:gridSpan w:val="2"/>
            <w:shd w:val="clear" w:color="auto" w:fill="auto"/>
          </w:tcPr>
          <w:p w14:paraId="3B4584BA" w14:textId="77777777" w:rsidR="0007198D" w:rsidRPr="0007198D" w:rsidRDefault="0007198D" w:rsidP="0007198D">
            <w:pPr>
              <w:spacing w:after="0" w:line="240" w:lineRule="auto"/>
              <w:rPr>
                <w:rFonts w:ascii="Arial" w:hAnsi="Arial" w:cs="Arial"/>
                <w:sz w:val="20"/>
                <w:szCs w:val="20"/>
              </w:rPr>
            </w:pPr>
          </w:p>
        </w:tc>
      </w:tr>
      <w:tr w:rsidR="0007198D" w:rsidRPr="0007198D" w14:paraId="2FE6E54A" w14:textId="77777777" w:rsidTr="000C7A5D">
        <w:tc>
          <w:tcPr>
            <w:tcW w:w="3600" w:type="dxa"/>
            <w:shd w:val="clear" w:color="auto" w:fill="auto"/>
          </w:tcPr>
          <w:p w14:paraId="5B7211CF"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DEFINITION</w:t>
            </w:r>
          </w:p>
        </w:tc>
        <w:tc>
          <w:tcPr>
            <w:tcW w:w="6122" w:type="dxa"/>
            <w:gridSpan w:val="2"/>
            <w:shd w:val="clear" w:color="auto" w:fill="auto"/>
          </w:tcPr>
          <w:p w14:paraId="422210AF"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Numerator:</w:t>
            </w:r>
          </w:p>
        </w:tc>
      </w:tr>
      <w:tr w:rsidR="0007198D" w:rsidRPr="0007198D" w14:paraId="622C51BD" w14:textId="77777777" w:rsidTr="000C7A5D">
        <w:tc>
          <w:tcPr>
            <w:tcW w:w="3600" w:type="dxa"/>
            <w:shd w:val="clear" w:color="auto" w:fill="auto"/>
          </w:tcPr>
          <w:p w14:paraId="47F707F2" w14:textId="77777777" w:rsidR="0007198D" w:rsidRPr="0007198D" w:rsidRDefault="0007198D" w:rsidP="0007198D">
            <w:pPr>
              <w:spacing w:after="0" w:line="240" w:lineRule="auto"/>
              <w:rPr>
                <w:rFonts w:ascii="Arial" w:hAnsi="Arial" w:cs="Arial"/>
                <w:b/>
                <w:sz w:val="20"/>
                <w:szCs w:val="20"/>
              </w:rPr>
            </w:pPr>
          </w:p>
        </w:tc>
        <w:tc>
          <w:tcPr>
            <w:tcW w:w="6122" w:type="dxa"/>
            <w:gridSpan w:val="2"/>
            <w:shd w:val="clear" w:color="auto" w:fill="auto"/>
          </w:tcPr>
          <w:p w14:paraId="6AF8B45D"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Number of live births born at 37,38 weeks of completed gestation</w:t>
            </w:r>
          </w:p>
        </w:tc>
      </w:tr>
      <w:tr w:rsidR="0007198D" w:rsidRPr="0007198D" w14:paraId="03848B5A" w14:textId="77777777" w:rsidTr="000C7A5D">
        <w:tc>
          <w:tcPr>
            <w:tcW w:w="3600" w:type="dxa"/>
            <w:shd w:val="clear" w:color="auto" w:fill="auto"/>
          </w:tcPr>
          <w:p w14:paraId="5948A689" w14:textId="77777777" w:rsidR="0007198D" w:rsidRPr="0007198D" w:rsidRDefault="0007198D" w:rsidP="0007198D">
            <w:pPr>
              <w:spacing w:after="0" w:line="240" w:lineRule="auto"/>
              <w:rPr>
                <w:rFonts w:ascii="Arial" w:hAnsi="Arial" w:cs="Arial"/>
                <w:b/>
                <w:sz w:val="20"/>
                <w:szCs w:val="20"/>
              </w:rPr>
            </w:pPr>
          </w:p>
        </w:tc>
        <w:tc>
          <w:tcPr>
            <w:tcW w:w="6122" w:type="dxa"/>
            <w:gridSpan w:val="2"/>
            <w:shd w:val="clear" w:color="auto" w:fill="auto"/>
          </w:tcPr>
          <w:p w14:paraId="5329BEAB" w14:textId="77777777" w:rsidR="0007198D" w:rsidRPr="0007198D" w:rsidRDefault="0007198D" w:rsidP="0007198D">
            <w:pPr>
              <w:spacing w:after="0" w:line="240" w:lineRule="auto"/>
              <w:rPr>
                <w:rFonts w:ascii="Arial" w:hAnsi="Arial" w:cs="Arial"/>
                <w:sz w:val="20"/>
                <w:szCs w:val="20"/>
              </w:rPr>
            </w:pPr>
          </w:p>
        </w:tc>
      </w:tr>
      <w:tr w:rsidR="0007198D" w:rsidRPr="0007198D" w14:paraId="60CD8A39" w14:textId="77777777" w:rsidTr="000C7A5D">
        <w:tc>
          <w:tcPr>
            <w:tcW w:w="3600" w:type="dxa"/>
            <w:shd w:val="clear" w:color="auto" w:fill="auto"/>
          </w:tcPr>
          <w:p w14:paraId="0EE2BE63" w14:textId="77777777" w:rsidR="0007198D" w:rsidRPr="0007198D" w:rsidRDefault="0007198D" w:rsidP="0007198D">
            <w:pPr>
              <w:spacing w:after="0" w:line="240" w:lineRule="auto"/>
              <w:rPr>
                <w:rFonts w:ascii="Arial" w:hAnsi="Arial" w:cs="Arial"/>
                <w:b/>
                <w:sz w:val="20"/>
                <w:szCs w:val="20"/>
              </w:rPr>
            </w:pPr>
          </w:p>
        </w:tc>
        <w:tc>
          <w:tcPr>
            <w:tcW w:w="6122" w:type="dxa"/>
            <w:gridSpan w:val="2"/>
            <w:shd w:val="clear" w:color="auto" w:fill="auto"/>
          </w:tcPr>
          <w:p w14:paraId="2BAE8268"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Denominator:</w:t>
            </w:r>
          </w:p>
        </w:tc>
      </w:tr>
      <w:tr w:rsidR="0007198D" w:rsidRPr="0007198D" w14:paraId="42DB7EBF" w14:textId="77777777" w:rsidTr="000C7A5D">
        <w:tc>
          <w:tcPr>
            <w:tcW w:w="3600" w:type="dxa"/>
            <w:shd w:val="clear" w:color="auto" w:fill="auto"/>
          </w:tcPr>
          <w:p w14:paraId="483CA09F" w14:textId="77777777" w:rsidR="0007198D" w:rsidRPr="0007198D" w:rsidRDefault="0007198D" w:rsidP="0007198D">
            <w:pPr>
              <w:spacing w:after="0" w:line="240" w:lineRule="auto"/>
              <w:rPr>
                <w:rFonts w:ascii="Arial" w:hAnsi="Arial" w:cs="Arial"/>
                <w:b/>
                <w:sz w:val="20"/>
                <w:szCs w:val="20"/>
              </w:rPr>
            </w:pPr>
          </w:p>
        </w:tc>
        <w:tc>
          <w:tcPr>
            <w:tcW w:w="6122" w:type="dxa"/>
            <w:gridSpan w:val="2"/>
            <w:shd w:val="clear" w:color="auto" w:fill="auto"/>
          </w:tcPr>
          <w:p w14:paraId="58EACD86"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Number of live births</w:t>
            </w:r>
          </w:p>
        </w:tc>
      </w:tr>
      <w:tr w:rsidR="0007198D" w:rsidRPr="0007198D" w14:paraId="1A5E4822" w14:textId="77777777" w:rsidTr="000C7A5D">
        <w:tc>
          <w:tcPr>
            <w:tcW w:w="3600" w:type="dxa"/>
            <w:shd w:val="clear" w:color="auto" w:fill="auto"/>
          </w:tcPr>
          <w:p w14:paraId="799A42E5" w14:textId="77777777" w:rsidR="0007198D" w:rsidRPr="0007198D" w:rsidRDefault="0007198D" w:rsidP="0007198D">
            <w:pPr>
              <w:spacing w:after="0" w:line="240" w:lineRule="auto"/>
              <w:rPr>
                <w:rFonts w:ascii="Arial" w:hAnsi="Arial" w:cs="Arial"/>
                <w:b/>
                <w:sz w:val="20"/>
                <w:szCs w:val="20"/>
              </w:rPr>
            </w:pPr>
          </w:p>
        </w:tc>
        <w:tc>
          <w:tcPr>
            <w:tcW w:w="6122" w:type="dxa"/>
            <w:gridSpan w:val="2"/>
            <w:shd w:val="clear" w:color="auto" w:fill="auto"/>
          </w:tcPr>
          <w:p w14:paraId="2E053F68" w14:textId="77777777" w:rsidR="0007198D" w:rsidRPr="0007198D" w:rsidRDefault="0007198D" w:rsidP="0007198D">
            <w:pPr>
              <w:spacing w:after="0" w:line="240" w:lineRule="auto"/>
              <w:rPr>
                <w:rFonts w:ascii="Arial" w:hAnsi="Arial" w:cs="Arial"/>
                <w:sz w:val="20"/>
                <w:szCs w:val="20"/>
              </w:rPr>
            </w:pPr>
          </w:p>
        </w:tc>
      </w:tr>
      <w:tr w:rsidR="0007198D" w:rsidRPr="0007198D" w14:paraId="05FDF3DA" w14:textId="77777777" w:rsidTr="000C7A5D">
        <w:tc>
          <w:tcPr>
            <w:tcW w:w="3600" w:type="dxa"/>
            <w:shd w:val="clear" w:color="auto" w:fill="auto"/>
          </w:tcPr>
          <w:p w14:paraId="2E02018A" w14:textId="77777777" w:rsidR="0007198D" w:rsidRPr="0007198D" w:rsidRDefault="0007198D" w:rsidP="0007198D">
            <w:pPr>
              <w:spacing w:after="0" w:line="240" w:lineRule="auto"/>
              <w:rPr>
                <w:rFonts w:ascii="Arial" w:hAnsi="Arial" w:cs="Arial"/>
                <w:b/>
                <w:sz w:val="20"/>
                <w:szCs w:val="20"/>
              </w:rPr>
            </w:pPr>
          </w:p>
        </w:tc>
        <w:tc>
          <w:tcPr>
            <w:tcW w:w="3370" w:type="dxa"/>
            <w:shd w:val="clear" w:color="auto" w:fill="auto"/>
          </w:tcPr>
          <w:p w14:paraId="1E01E606"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b/>
                <w:sz w:val="20"/>
                <w:szCs w:val="20"/>
              </w:rPr>
              <w:t>Units:</w:t>
            </w:r>
            <w:r w:rsidRPr="0007198D">
              <w:rPr>
                <w:rFonts w:ascii="Arial" w:hAnsi="Arial" w:cs="Arial"/>
                <w:sz w:val="20"/>
                <w:szCs w:val="20"/>
              </w:rPr>
              <w:t xml:space="preserve"> </w:t>
            </w:r>
            <w:r w:rsidRPr="0007198D">
              <w:rPr>
                <w:rFonts w:ascii="Arial" w:hAnsi="Arial" w:cs="Arial"/>
                <w:noProof/>
                <w:sz w:val="20"/>
                <w:szCs w:val="20"/>
              </w:rPr>
              <w:t>100</w:t>
            </w:r>
          </w:p>
        </w:tc>
        <w:tc>
          <w:tcPr>
            <w:tcW w:w="2752" w:type="dxa"/>
            <w:shd w:val="clear" w:color="auto" w:fill="auto"/>
          </w:tcPr>
          <w:p w14:paraId="49E23451"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b/>
                <w:sz w:val="20"/>
                <w:szCs w:val="20"/>
              </w:rPr>
              <w:t>Text:</w:t>
            </w:r>
            <w:r w:rsidRPr="0007198D">
              <w:rPr>
                <w:rFonts w:ascii="Arial" w:hAnsi="Arial" w:cs="Arial"/>
                <w:sz w:val="20"/>
                <w:szCs w:val="20"/>
              </w:rPr>
              <w:t xml:space="preserve"> </w:t>
            </w:r>
            <w:r w:rsidRPr="0007198D">
              <w:rPr>
                <w:rFonts w:ascii="Arial" w:hAnsi="Arial" w:cs="Arial"/>
                <w:noProof/>
                <w:sz w:val="20"/>
                <w:szCs w:val="20"/>
              </w:rPr>
              <w:t>Percent</w:t>
            </w:r>
          </w:p>
        </w:tc>
      </w:tr>
      <w:tr w:rsidR="0007198D" w:rsidRPr="0007198D" w14:paraId="5919744A" w14:textId="77777777" w:rsidTr="000C7A5D">
        <w:tc>
          <w:tcPr>
            <w:tcW w:w="3600" w:type="dxa"/>
            <w:shd w:val="clear" w:color="auto" w:fill="auto"/>
          </w:tcPr>
          <w:p w14:paraId="7A809F4D" w14:textId="77777777" w:rsidR="0007198D" w:rsidRPr="0007198D" w:rsidRDefault="0007198D" w:rsidP="0007198D">
            <w:pPr>
              <w:spacing w:after="0" w:line="240" w:lineRule="auto"/>
              <w:rPr>
                <w:rFonts w:ascii="Arial" w:hAnsi="Arial" w:cs="Arial"/>
                <w:b/>
                <w:sz w:val="20"/>
                <w:szCs w:val="20"/>
              </w:rPr>
            </w:pPr>
          </w:p>
        </w:tc>
        <w:tc>
          <w:tcPr>
            <w:tcW w:w="6122" w:type="dxa"/>
            <w:gridSpan w:val="2"/>
            <w:shd w:val="clear" w:color="auto" w:fill="auto"/>
          </w:tcPr>
          <w:p w14:paraId="336C3426" w14:textId="77777777" w:rsidR="0007198D" w:rsidRPr="0007198D" w:rsidRDefault="0007198D" w:rsidP="0007198D">
            <w:pPr>
              <w:spacing w:after="0" w:line="240" w:lineRule="auto"/>
              <w:rPr>
                <w:rFonts w:ascii="Arial" w:hAnsi="Arial" w:cs="Arial"/>
                <w:sz w:val="20"/>
                <w:szCs w:val="20"/>
              </w:rPr>
            </w:pPr>
          </w:p>
        </w:tc>
      </w:tr>
      <w:tr w:rsidR="0007198D" w:rsidRPr="0007198D" w14:paraId="005FBE66" w14:textId="77777777" w:rsidTr="000C7A5D">
        <w:tc>
          <w:tcPr>
            <w:tcW w:w="3600" w:type="dxa"/>
            <w:shd w:val="clear" w:color="auto" w:fill="auto"/>
          </w:tcPr>
          <w:p w14:paraId="408F1698"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HEALTHY PEOPLE 2020 OBJECTIVE</w:t>
            </w:r>
          </w:p>
        </w:tc>
        <w:tc>
          <w:tcPr>
            <w:tcW w:w="6122" w:type="dxa"/>
            <w:gridSpan w:val="2"/>
            <w:shd w:val="clear" w:color="auto" w:fill="auto"/>
          </w:tcPr>
          <w:p w14:paraId="4C62ABA5" w14:textId="77777777" w:rsidR="0007198D" w:rsidRPr="0007198D" w:rsidRDefault="0007198D" w:rsidP="0007198D">
            <w:pPr>
              <w:spacing w:after="0" w:line="240" w:lineRule="auto"/>
              <w:rPr>
                <w:rFonts w:ascii="Arial" w:hAnsi="Arial" w:cs="Arial"/>
                <w:sz w:val="20"/>
                <w:szCs w:val="20"/>
              </w:rPr>
            </w:pPr>
          </w:p>
        </w:tc>
      </w:tr>
      <w:tr w:rsidR="0007198D" w:rsidRPr="0007198D" w14:paraId="55C49752" w14:textId="77777777" w:rsidTr="000C7A5D">
        <w:tc>
          <w:tcPr>
            <w:tcW w:w="3600" w:type="dxa"/>
            <w:shd w:val="clear" w:color="auto" w:fill="auto"/>
          </w:tcPr>
          <w:p w14:paraId="74180048" w14:textId="77777777" w:rsidR="0007198D" w:rsidRPr="0007198D" w:rsidRDefault="0007198D" w:rsidP="0007198D">
            <w:pPr>
              <w:spacing w:after="0" w:line="240" w:lineRule="auto"/>
              <w:rPr>
                <w:rFonts w:ascii="Arial" w:hAnsi="Arial" w:cs="Arial"/>
                <w:b/>
                <w:sz w:val="20"/>
                <w:szCs w:val="20"/>
              </w:rPr>
            </w:pPr>
          </w:p>
        </w:tc>
        <w:tc>
          <w:tcPr>
            <w:tcW w:w="6122" w:type="dxa"/>
            <w:gridSpan w:val="2"/>
            <w:shd w:val="clear" w:color="auto" w:fill="auto"/>
          </w:tcPr>
          <w:p w14:paraId="57CFB0F5" w14:textId="77777777" w:rsidR="0007198D" w:rsidRPr="0007198D" w:rsidRDefault="0007198D" w:rsidP="0007198D">
            <w:pPr>
              <w:spacing w:after="0" w:line="240" w:lineRule="auto"/>
              <w:rPr>
                <w:rFonts w:ascii="Arial" w:hAnsi="Arial" w:cs="Arial"/>
                <w:sz w:val="20"/>
                <w:szCs w:val="20"/>
              </w:rPr>
            </w:pPr>
          </w:p>
        </w:tc>
      </w:tr>
      <w:tr w:rsidR="0007198D" w:rsidRPr="0007198D" w14:paraId="37227CB9" w14:textId="77777777" w:rsidTr="000C7A5D">
        <w:tc>
          <w:tcPr>
            <w:tcW w:w="3600" w:type="dxa"/>
            <w:shd w:val="clear" w:color="auto" w:fill="auto"/>
          </w:tcPr>
          <w:p w14:paraId="71EE0957"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DATA SOURCES and DATA ISSUES</w:t>
            </w:r>
          </w:p>
        </w:tc>
        <w:tc>
          <w:tcPr>
            <w:tcW w:w="6122" w:type="dxa"/>
            <w:gridSpan w:val="2"/>
            <w:shd w:val="clear" w:color="auto" w:fill="auto"/>
          </w:tcPr>
          <w:p w14:paraId="53E945AA"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National Vital Statistics System (NVSS)</w:t>
            </w:r>
          </w:p>
        </w:tc>
      </w:tr>
      <w:tr w:rsidR="0007198D" w:rsidRPr="0007198D" w14:paraId="04889BE2" w14:textId="77777777" w:rsidTr="000C7A5D">
        <w:tc>
          <w:tcPr>
            <w:tcW w:w="3600" w:type="dxa"/>
            <w:shd w:val="clear" w:color="auto" w:fill="auto"/>
          </w:tcPr>
          <w:p w14:paraId="4117A99C" w14:textId="77777777" w:rsidR="0007198D" w:rsidRPr="0007198D" w:rsidRDefault="0007198D" w:rsidP="0007198D">
            <w:pPr>
              <w:spacing w:after="0" w:line="240" w:lineRule="auto"/>
              <w:rPr>
                <w:rFonts w:ascii="Arial" w:hAnsi="Arial" w:cs="Arial"/>
                <w:b/>
                <w:sz w:val="20"/>
                <w:szCs w:val="20"/>
              </w:rPr>
            </w:pPr>
          </w:p>
        </w:tc>
        <w:tc>
          <w:tcPr>
            <w:tcW w:w="6122" w:type="dxa"/>
            <w:gridSpan w:val="2"/>
            <w:shd w:val="clear" w:color="auto" w:fill="auto"/>
          </w:tcPr>
          <w:p w14:paraId="43D2AECC" w14:textId="77777777" w:rsidR="0007198D" w:rsidRPr="0007198D" w:rsidRDefault="0007198D" w:rsidP="0007198D">
            <w:pPr>
              <w:spacing w:after="0" w:line="240" w:lineRule="auto"/>
              <w:rPr>
                <w:rFonts w:ascii="Arial" w:hAnsi="Arial" w:cs="Arial"/>
                <w:sz w:val="20"/>
                <w:szCs w:val="20"/>
              </w:rPr>
            </w:pPr>
          </w:p>
        </w:tc>
      </w:tr>
      <w:tr w:rsidR="0007198D" w:rsidRPr="0007198D" w14:paraId="793C76A9" w14:textId="77777777" w:rsidTr="000C7A5D">
        <w:tc>
          <w:tcPr>
            <w:tcW w:w="3600" w:type="dxa"/>
            <w:shd w:val="clear" w:color="auto" w:fill="auto"/>
          </w:tcPr>
          <w:p w14:paraId="07D0E36E"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SIGNIFICANCE</w:t>
            </w:r>
          </w:p>
        </w:tc>
        <w:tc>
          <w:tcPr>
            <w:tcW w:w="6122" w:type="dxa"/>
            <w:gridSpan w:val="2"/>
            <w:shd w:val="clear" w:color="auto" w:fill="auto"/>
          </w:tcPr>
          <w:p w14:paraId="73B19A85" w14:textId="77777777" w:rsidR="0007198D" w:rsidRPr="0007198D" w:rsidRDefault="0007198D" w:rsidP="0007198D">
            <w:pPr>
              <w:spacing w:after="0" w:line="240" w:lineRule="auto"/>
              <w:rPr>
                <w:rFonts w:ascii="Arial" w:hAnsi="Arial" w:cs="Arial"/>
                <w:noProof/>
                <w:sz w:val="20"/>
                <w:szCs w:val="20"/>
              </w:rPr>
            </w:pPr>
            <w:r w:rsidRPr="0007198D">
              <w:rPr>
                <w:rFonts w:ascii="Arial" w:hAnsi="Arial" w:cs="Arial"/>
                <w:noProof/>
                <w:sz w:val="20"/>
                <w:szCs w:val="20"/>
              </w:rPr>
              <w:t xml:space="preserve">Although the risk is less than for preterm babies, those born “early term” at 37 or 38 completed weeks of gestation, are still at greater risk of immediate health problems and long-term complications compared to “full term” (39, 40 weeks completed gestation) infants. In 2015, 25% of all births were early term. Complications during the newborn period include respiratory distress and neurological disorder, while long-term complications can include learning and behavioral problems. </w:t>
            </w:r>
          </w:p>
          <w:p w14:paraId="7F81DCEB" w14:textId="77777777" w:rsidR="0007198D" w:rsidRPr="0007198D" w:rsidRDefault="0007198D" w:rsidP="0007198D">
            <w:pPr>
              <w:spacing w:after="0" w:line="240" w:lineRule="auto"/>
              <w:rPr>
                <w:rFonts w:ascii="Arial" w:hAnsi="Arial" w:cs="Arial"/>
                <w:noProof/>
                <w:sz w:val="20"/>
                <w:szCs w:val="20"/>
              </w:rPr>
            </w:pPr>
            <w:r w:rsidRPr="0007198D">
              <w:rPr>
                <w:rFonts w:ascii="Arial" w:hAnsi="Arial" w:cs="Arial"/>
                <w:noProof/>
                <w:sz w:val="20"/>
                <w:szCs w:val="20"/>
              </w:rPr>
              <w:t xml:space="preserve">   </w:t>
            </w:r>
          </w:p>
          <w:p w14:paraId="34052646"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sz w:val="20"/>
                <w:szCs w:val="20"/>
              </w:rPr>
              <w:t xml:space="preserve">Martin JA, Hamilton BE, Osterman MJK et al. Births: Final Data for 2015. National Vital Statistics Reports. 2017 January 5. 66(1). </w:t>
            </w:r>
            <w:hyperlink r:id="rId80" w:history="1">
              <w:r w:rsidRPr="0007198D">
                <w:rPr>
                  <w:rFonts w:ascii="Arial" w:hAnsi="Arial" w:cs="Arial"/>
                  <w:color w:val="0000FF"/>
                  <w:sz w:val="20"/>
                  <w:szCs w:val="20"/>
                  <w:u w:val="single"/>
                </w:rPr>
                <w:t>https://www.cdc.gov/nchs/data/nvsr/nvsr66/nvsr66_01.pdf</w:t>
              </w:r>
            </w:hyperlink>
            <w:r w:rsidRPr="0007198D">
              <w:rPr>
                <w:rFonts w:ascii="Arial" w:hAnsi="Arial" w:cs="Arial"/>
                <w:sz w:val="20"/>
                <w:szCs w:val="20"/>
              </w:rPr>
              <w:t xml:space="preserve"> </w:t>
            </w:r>
          </w:p>
          <w:p w14:paraId="449A0B7E" w14:textId="77777777" w:rsidR="0007198D" w:rsidRPr="0007198D" w:rsidRDefault="0007198D" w:rsidP="0007198D">
            <w:pPr>
              <w:spacing w:after="0" w:line="240" w:lineRule="auto"/>
              <w:rPr>
                <w:rFonts w:ascii="Arial" w:hAnsi="Arial" w:cs="Arial"/>
                <w:sz w:val="20"/>
                <w:szCs w:val="20"/>
              </w:rPr>
            </w:pPr>
          </w:p>
          <w:p w14:paraId="64B7C639"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sz w:val="20"/>
                <w:szCs w:val="20"/>
              </w:rPr>
              <w:t xml:space="preserve">Gyamfi-Bannerman C. The scope of the problem: the epidemiology of late preterm and early-term birth. Semin Perinatol. 2011 Oct;35(5):246-8. </w:t>
            </w:r>
            <w:hyperlink r:id="rId81" w:history="1">
              <w:r w:rsidRPr="0007198D">
                <w:rPr>
                  <w:rFonts w:ascii="Arial" w:hAnsi="Arial" w:cs="Arial"/>
                  <w:color w:val="0000FF"/>
                  <w:sz w:val="20"/>
                  <w:szCs w:val="20"/>
                  <w:u w:val="single"/>
                </w:rPr>
                <w:t>https://www.ncbi.nlm.nih.gov/pubmed/21962621</w:t>
              </w:r>
            </w:hyperlink>
            <w:r w:rsidRPr="0007198D">
              <w:rPr>
                <w:rFonts w:ascii="Arial" w:hAnsi="Arial" w:cs="Arial"/>
                <w:sz w:val="20"/>
                <w:szCs w:val="20"/>
              </w:rPr>
              <w:t xml:space="preserve"> </w:t>
            </w:r>
          </w:p>
        </w:tc>
      </w:tr>
      <w:tr w:rsidR="0007198D" w:rsidRPr="0007198D" w14:paraId="23EB3A12" w14:textId="77777777" w:rsidTr="000C7A5D">
        <w:tc>
          <w:tcPr>
            <w:tcW w:w="3600" w:type="dxa"/>
            <w:shd w:val="clear" w:color="auto" w:fill="auto"/>
          </w:tcPr>
          <w:p w14:paraId="1FA11833" w14:textId="77777777" w:rsidR="0007198D" w:rsidRPr="0007198D" w:rsidRDefault="0007198D" w:rsidP="0007198D">
            <w:pPr>
              <w:spacing w:after="0" w:line="240" w:lineRule="auto"/>
              <w:rPr>
                <w:rFonts w:ascii="Arial" w:hAnsi="Arial" w:cs="Arial"/>
                <w:sz w:val="20"/>
                <w:szCs w:val="20"/>
              </w:rPr>
            </w:pPr>
          </w:p>
        </w:tc>
        <w:tc>
          <w:tcPr>
            <w:tcW w:w="6122" w:type="dxa"/>
            <w:gridSpan w:val="2"/>
            <w:shd w:val="clear" w:color="auto" w:fill="auto"/>
          </w:tcPr>
          <w:p w14:paraId="022A1819" w14:textId="77777777" w:rsidR="0007198D" w:rsidRPr="0007198D" w:rsidRDefault="0007198D" w:rsidP="0007198D">
            <w:pPr>
              <w:spacing w:after="0" w:line="240" w:lineRule="auto"/>
              <w:rPr>
                <w:rFonts w:ascii="Arial" w:hAnsi="Arial" w:cs="Arial"/>
                <w:sz w:val="20"/>
                <w:szCs w:val="20"/>
              </w:rPr>
            </w:pPr>
          </w:p>
        </w:tc>
      </w:tr>
    </w:tbl>
    <w:p w14:paraId="121F86DB" w14:textId="77777777" w:rsidR="0007198D" w:rsidRPr="0007198D" w:rsidRDefault="0007198D" w:rsidP="0007198D">
      <w:pPr>
        <w:spacing w:after="0" w:line="240" w:lineRule="auto"/>
        <w:sectPr w:rsidR="0007198D" w:rsidRPr="0007198D" w:rsidSect="00514C00">
          <w:pgSz w:w="12240" w:h="15840"/>
          <w:pgMar w:top="1440" w:right="1440" w:bottom="1350" w:left="1440" w:header="720" w:footer="720" w:gutter="0"/>
          <w:cols w:space="720"/>
          <w:docGrid w:linePitch="360"/>
        </w:sectPr>
      </w:pPr>
    </w:p>
    <w:tbl>
      <w:tblPr>
        <w:tblW w:w="0" w:type="auto"/>
        <w:tblLook w:val="04A0" w:firstRow="1" w:lastRow="0" w:firstColumn="1" w:lastColumn="0" w:noHBand="0" w:noVBand="1"/>
      </w:tblPr>
      <w:tblGrid>
        <w:gridCol w:w="3618"/>
        <w:gridCol w:w="5868"/>
      </w:tblGrid>
      <w:tr w:rsidR="0007198D" w:rsidRPr="0007198D" w14:paraId="2D50B843" w14:textId="77777777" w:rsidTr="000C7A5D">
        <w:tc>
          <w:tcPr>
            <w:tcW w:w="3618" w:type="dxa"/>
            <w:shd w:val="clear" w:color="auto" w:fill="auto"/>
          </w:tcPr>
          <w:p w14:paraId="5E854085" w14:textId="77777777" w:rsidR="0007198D" w:rsidRPr="0007198D" w:rsidRDefault="0007198D" w:rsidP="0007198D">
            <w:pPr>
              <w:spacing w:after="0" w:line="240" w:lineRule="auto"/>
              <w:rPr>
                <w:rFonts w:ascii="Arial" w:hAnsi="Arial" w:cs="Arial"/>
                <w:b/>
                <w:sz w:val="24"/>
                <w:szCs w:val="24"/>
              </w:rPr>
            </w:pPr>
            <w:r w:rsidRPr="0007198D">
              <w:rPr>
                <w:rFonts w:ascii="Arial" w:hAnsi="Arial" w:cs="Arial"/>
                <w:b/>
                <w:sz w:val="24"/>
                <w:szCs w:val="24"/>
              </w:rPr>
              <w:t xml:space="preserve">OUTCOME MEASURE </w:t>
            </w:r>
            <w:r w:rsidRPr="0007198D">
              <w:rPr>
                <w:rFonts w:ascii="Arial" w:hAnsi="Arial" w:cs="Arial"/>
                <w:b/>
                <w:noProof/>
                <w:sz w:val="24"/>
                <w:szCs w:val="24"/>
              </w:rPr>
              <w:t>7</w:t>
            </w:r>
          </w:p>
        </w:tc>
        <w:tc>
          <w:tcPr>
            <w:tcW w:w="5868" w:type="dxa"/>
            <w:shd w:val="clear" w:color="auto" w:fill="auto"/>
          </w:tcPr>
          <w:p w14:paraId="39091AAA" w14:textId="77777777" w:rsidR="0007198D" w:rsidRPr="0007198D" w:rsidRDefault="0007198D" w:rsidP="0007198D">
            <w:pPr>
              <w:spacing w:after="0" w:line="240" w:lineRule="auto"/>
              <w:rPr>
                <w:rFonts w:ascii="Arial" w:hAnsi="Arial" w:cs="Arial"/>
                <w:b/>
                <w:sz w:val="24"/>
                <w:szCs w:val="24"/>
              </w:rPr>
            </w:pPr>
            <w:r w:rsidRPr="0007198D">
              <w:rPr>
                <w:rFonts w:ascii="Arial" w:hAnsi="Arial" w:cs="Arial"/>
                <w:b/>
                <w:noProof/>
                <w:sz w:val="24"/>
                <w:szCs w:val="24"/>
              </w:rPr>
              <w:t>Percent of non-medically indicated early elective deliveries</w:t>
            </w:r>
          </w:p>
        </w:tc>
      </w:tr>
    </w:tbl>
    <w:p w14:paraId="0CB9A747" w14:textId="77777777" w:rsidR="0007198D" w:rsidRPr="0007198D" w:rsidRDefault="0007198D" w:rsidP="0007198D">
      <w:pPr>
        <w:spacing w:after="0" w:line="240" w:lineRule="auto"/>
      </w:pPr>
    </w:p>
    <w:p w14:paraId="49530677" w14:textId="77777777" w:rsidR="0007198D" w:rsidRPr="0007198D" w:rsidRDefault="0007198D" w:rsidP="0007198D">
      <w:pPr>
        <w:spacing w:after="0" w:line="240" w:lineRule="auto"/>
      </w:pPr>
      <w:r w:rsidRPr="0007198D">
        <w:rPr>
          <w:noProof/>
        </w:rPr>
        <mc:AlternateContent>
          <mc:Choice Requires="wps">
            <w:drawing>
              <wp:anchor distT="4294967295" distB="4294967295" distL="114300" distR="114300" simplePos="0" relativeHeight="251753472" behindDoc="0" locked="0" layoutInCell="1" allowOverlap="1" wp14:anchorId="50D3B055" wp14:editId="642097CD">
                <wp:simplePos x="0" y="0"/>
                <wp:positionH relativeFrom="column">
                  <wp:posOffset>-60960</wp:posOffset>
                </wp:positionH>
                <wp:positionV relativeFrom="paragraph">
                  <wp:posOffset>31749</wp:posOffset>
                </wp:positionV>
                <wp:extent cx="6088380" cy="0"/>
                <wp:effectExtent l="0" t="0" r="26670" b="19050"/>
                <wp:wrapNone/>
                <wp:docPr id="43"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1518722" id="Straight Connector 14" o:spid="_x0000_s1026" style="position:absolute;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" strokecolor="windowText" strokeweight="1.75pt">
                <o:lock v:ext="edit" shapetype="f"/>
              </v:line>
            </w:pict>
          </mc:Fallback>
        </mc:AlternateContent>
      </w:r>
    </w:p>
    <w:tbl>
      <w:tblPr>
        <w:tblW w:w="0" w:type="auto"/>
        <w:tblLayout w:type="fixed"/>
        <w:tblLook w:val="04A0" w:firstRow="1" w:lastRow="0" w:firstColumn="1" w:lastColumn="0" w:noHBand="0" w:noVBand="1"/>
      </w:tblPr>
      <w:tblGrid>
        <w:gridCol w:w="3600"/>
        <w:gridCol w:w="3355"/>
        <w:gridCol w:w="2517"/>
      </w:tblGrid>
      <w:tr w:rsidR="0007198D" w:rsidRPr="0007198D" w14:paraId="7222BA4D" w14:textId="77777777" w:rsidTr="000C7A5D">
        <w:tc>
          <w:tcPr>
            <w:tcW w:w="3600" w:type="dxa"/>
            <w:shd w:val="clear" w:color="auto" w:fill="auto"/>
          </w:tcPr>
          <w:p w14:paraId="112BDB80"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GOAL</w:t>
            </w:r>
          </w:p>
        </w:tc>
        <w:tc>
          <w:tcPr>
            <w:tcW w:w="5872" w:type="dxa"/>
            <w:gridSpan w:val="2"/>
            <w:shd w:val="clear" w:color="auto" w:fill="auto"/>
          </w:tcPr>
          <w:p w14:paraId="5A906FED" w14:textId="6D1A39ED" w:rsidR="0007198D" w:rsidRPr="0007198D" w:rsidRDefault="0007198D" w:rsidP="00FB0985">
            <w:pPr>
              <w:spacing w:after="0" w:line="240" w:lineRule="auto"/>
              <w:rPr>
                <w:rFonts w:ascii="Arial" w:hAnsi="Arial" w:cs="Arial"/>
                <w:sz w:val="20"/>
                <w:szCs w:val="20"/>
              </w:rPr>
            </w:pPr>
            <w:r w:rsidRPr="0007198D">
              <w:rPr>
                <w:rFonts w:ascii="Arial" w:hAnsi="Arial" w:cs="Arial"/>
                <w:noProof/>
                <w:sz w:val="20"/>
                <w:szCs w:val="20"/>
              </w:rPr>
              <w:t>To reduce the p</w:t>
            </w:r>
            <w:r w:rsidR="00FB0985">
              <w:rPr>
                <w:rFonts w:ascii="Arial" w:hAnsi="Arial" w:cs="Arial"/>
                <w:noProof/>
                <w:sz w:val="20"/>
                <w:szCs w:val="20"/>
              </w:rPr>
              <w:t>ercent</w:t>
            </w:r>
            <w:r w:rsidRPr="0007198D">
              <w:rPr>
                <w:rFonts w:ascii="Arial" w:hAnsi="Arial" w:cs="Arial"/>
                <w:noProof/>
                <w:sz w:val="20"/>
                <w:szCs w:val="20"/>
              </w:rPr>
              <w:t xml:space="preserve"> of all preterm, early term, and early elective deliveries.</w:t>
            </w:r>
          </w:p>
        </w:tc>
      </w:tr>
      <w:tr w:rsidR="0007198D" w:rsidRPr="0007198D" w14:paraId="5D2C3981" w14:textId="77777777" w:rsidTr="000C7A5D">
        <w:tc>
          <w:tcPr>
            <w:tcW w:w="3600" w:type="dxa"/>
            <w:shd w:val="clear" w:color="auto" w:fill="auto"/>
          </w:tcPr>
          <w:p w14:paraId="395208B2" w14:textId="77777777" w:rsidR="0007198D" w:rsidRPr="0007198D" w:rsidRDefault="0007198D" w:rsidP="0007198D">
            <w:pPr>
              <w:spacing w:after="0" w:line="240" w:lineRule="auto"/>
              <w:rPr>
                <w:rFonts w:ascii="Arial" w:hAnsi="Arial" w:cs="Arial"/>
                <w:b/>
                <w:sz w:val="20"/>
                <w:szCs w:val="20"/>
              </w:rPr>
            </w:pPr>
          </w:p>
        </w:tc>
        <w:tc>
          <w:tcPr>
            <w:tcW w:w="5872" w:type="dxa"/>
            <w:gridSpan w:val="2"/>
            <w:shd w:val="clear" w:color="auto" w:fill="auto"/>
          </w:tcPr>
          <w:p w14:paraId="1B245DB9" w14:textId="77777777" w:rsidR="0007198D" w:rsidRPr="0007198D" w:rsidRDefault="0007198D" w:rsidP="0007198D">
            <w:pPr>
              <w:spacing w:after="0" w:line="240" w:lineRule="auto"/>
              <w:rPr>
                <w:rFonts w:ascii="Arial" w:hAnsi="Arial" w:cs="Arial"/>
                <w:sz w:val="20"/>
                <w:szCs w:val="20"/>
              </w:rPr>
            </w:pPr>
          </w:p>
        </w:tc>
      </w:tr>
      <w:tr w:rsidR="0007198D" w:rsidRPr="0007198D" w14:paraId="4D6BFA5C" w14:textId="77777777" w:rsidTr="000C7A5D">
        <w:tc>
          <w:tcPr>
            <w:tcW w:w="3600" w:type="dxa"/>
            <w:shd w:val="clear" w:color="auto" w:fill="auto"/>
          </w:tcPr>
          <w:p w14:paraId="04A6E5A8"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DEFINITION</w:t>
            </w:r>
          </w:p>
        </w:tc>
        <w:tc>
          <w:tcPr>
            <w:tcW w:w="5872" w:type="dxa"/>
            <w:gridSpan w:val="2"/>
            <w:shd w:val="clear" w:color="auto" w:fill="auto"/>
          </w:tcPr>
          <w:p w14:paraId="11C4FEB4"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Numerator:</w:t>
            </w:r>
          </w:p>
        </w:tc>
      </w:tr>
      <w:tr w:rsidR="0007198D" w:rsidRPr="0007198D" w14:paraId="0DCFBE37" w14:textId="77777777" w:rsidTr="000C7A5D">
        <w:tc>
          <w:tcPr>
            <w:tcW w:w="3600" w:type="dxa"/>
            <w:shd w:val="clear" w:color="auto" w:fill="auto"/>
          </w:tcPr>
          <w:p w14:paraId="42707363" w14:textId="77777777" w:rsidR="0007198D" w:rsidRPr="0007198D" w:rsidRDefault="0007198D" w:rsidP="0007198D">
            <w:pPr>
              <w:spacing w:after="0" w:line="240" w:lineRule="auto"/>
              <w:rPr>
                <w:rFonts w:ascii="Arial" w:hAnsi="Arial" w:cs="Arial"/>
                <w:b/>
                <w:sz w:val="20"/>
                <w:szCs w:val="20"/>
              </w:rPr>
            </w:pPr>
          </w:p>
        </w:tc>
        <w:tc>
          <w:tcPr>
            <w:tcW w:w="5872" w:type="dxa"/>
            <w:gridSpan w:val="2"/>
            <w:shd w:val="clear" w:color="auto" w:fill="auto"/>
          </w:tcPr>
          <w:p w14:paraId="6F07803E"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sz w:val="20"/>
                <w:szCs w:val="20"/>
              </w:rPr>
              <w:t>Number of inductions or cesareans without labor or spontaneous rupture of membranes among deliveries at 37, 38 weeks' gestation without conditions possibly justifying elective delivery &lt;39 weeks according to The Joint Commission</w:t>
            </w:r>
          </w:p>
        </w:tc>
      </w:tr>
      <w:tr w:rsidR="0007198D" w:rsidRPr="0007198D" w14:paraId="1A232F86" w14:textId="77777777" w:rsidTr="000C7A5D">
        <w:tc>
          <w:tcPr>
            <w:tcW w:w="3600" w:type="dxa"/>
            <w:shd w:val="clear" w:color="auto" w:fill="auto"/>
          </w:tcPr>
          <w:p w14:paraId="75C108D6" w14:textId="77777777" w:rsidR="0007198D" w:rsidRPr="0007198D" w:rsidRDefault="0007198D" w:rsidP="0007198D">
            <w:pPr>
              <w:spacing w:after="0" w:line="240" w:lineRule="auto"/>
              <w:rPr>
                <w:rFonts w:ascii="Arial" w:hAnsi="Arial" w:cs="Arial"/>
                <w:b/>
                <w:sz w:val="20"/>
                <w:szCs w:val="20"/>
              </w:rPr>
            </w:pPr>
          </w:p>
        </w:tc>
        <w:tc>
          <w:tcPr>
            <w:tcW w:w="5872" w:type="dxa"/>
            <w:gridSpan w:val="2"/>
            <w:shd w:val="clear" w:color="auto" w:fill="auto"/>
          </w:tcPr>
          <w:p w14:paraId="097CF72D" w14:textId="77777777" w:rsidR="0007198D" w:rsidRPr="0007198D" w:rsidRDefault="0007198D" w:rsidP="0007198D">
            <w:pPr>
              <w:spacing w:after="0" w:line="240" w:lineRule="auto"/>
              <w:rPr>
                <w:rFonts w:ascii="Arial" w:hAnsi="Arial" w:cs="Arial"/>
                <w:sz w:val="20"/>
                <w:szCs w:val="20"/>
              </w:rPr>
            </w:pPr>
          </w:p>
        </w:tc>
      </w:tr>
      <w:tr w:rsidR="0007198D" w:rsidRPr="0007198D" w14:paraId="20863B06" w14:textId="77777777" w:rsidTr="000C7A5D">
        <w:tc>
          <w:tcPr>
            <w:tcW w:w="3600" w:type="dxa"/>
            <w:shd w:val="clear" w:color="auto" w:fill="auto"/>
          </w:tcPr>
          <w:p w14:paraId="52E2E7AB" w14:textId="77777777" w:rsidR="0007198D" w:rsidRPr="0007198D" w:rsidRDefault="0007198D" w:rsidP="0007198D">
            <w:pPr>
              <w:spacing w:after="0" w:line="240" w:lineRule="auto"/>
              <w:rPr>
                <w:rFonts w:ascii="Arial" w:hAnsi="Arial" w:cs="Arial"/>
                <w:b/>
                <w:sz w:val="20"/>
                <w:szCs w:val="20"/>
              </w:rPr>
            </w:pPr>
          </w:p>
        </w:tc>
        <w:tc>
          <w:tcPr>
            <w:tcW w:w="5872" w:type="dxa"/>
            <w:gridSpan w:val="2"/>
            <w:shd w:val="clear" w:color="auto" w:fill="auto"/>
          </w:tcPr>
          <w:p w14:paraId="65DE699B"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Denominator:</w:t>
            </w:r>
          </w:p>
        </w:tc>
      </w:tr>
      <w:tr w:rsidR="0007198D" w:rsidRPr="0007198D" w14:paraId="0A37DE6A" w14:textId="77777777" w:rsidTr="000C7A5D">
        <w:tc>
          <w:tcPr>
            <w:tcW w:w="3600" w:type="dxa"/>
            <w:shd w:val="clear" w:color="auto" w:fill="auto"/>
          </w:tcPr>
          <w:p w14:paraId="5893153E" w14:textId="77777777" w:rsidR="0007198D" w:rsidRPr="0007198D" w:rsidRDefault="0007198D" w:rsidP="0007198D">
            <w:pPr>
              <w:spacing w:after="0" w:line="240" w:lineRule="auto"/>
              <w:rPr>
                <w:rFonts w:ascii="Arial" w:hAnsi="Arial" w:cs="Arial"/>
                <w:b/>
                <w:sz w:val="20"/>
                <w:szCs w:val="20"/>
              </w:rPr>
            </w:pPr>
          </w:p>
        </w:tc>
        <w:tc>
          <w:tcPr>
            <w:tcW w:w="5872" w:type="dxa"/>
            <w:gridSpan w:val="2"/>
            <w:shd w:val="clear" w:color="auto" w:fill="auto"/>
          </w:tcPr>
          <w:p w14:paraId="1DA2D0FB"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sz w:val="20"/>
                <w:szCs w:val="20"/>
              </w:rPr>
              <w:t>Number of deliveries at 37, 38 weeks' gestation without conditions possibly justifying elective delivery &lt;39 weeks according to The Joint Commission</w:t>
            </w:r>
          </w:p>
        </w:tc>
      </w:tr>
      <w:tr w:rsidR="0007198D" w:rsidRPr="0007198D" w14:paraId="652240D1" w14:textId="77777777" w:rsidTr="000C7A5D">
        <w:tc>
          <w:tcPr>
            <w:tcW w:w="3600" w:type="dxa"/>
            <w:shd w:val="clear" w:color="auto" w:fill="auto"/>
          </w:tcPr>
          <w:p w14:paraId="1C5C48F3" w14:textId="77777777" w:rsidR="0007198D" w:rsidRPr="0007198D" w:rsidRDefault="0007198D" w:rsidP="0007198D">
            <w:pPr>
              <w:spacing w:after="0" w:line="240" w:lineRule="auto"/>
              <w:rPr>
                <w:rFonts w:ascii="Arial" w:hAnsi="Arial" w:cs="Arial"/>
                <w:b/>
                <w:sz w:val="20"/>
                <w:szCs w:val="20"/>
              </w:rPr>
            </w:pPr>
          </w:p>
        </w:tc>
        <w:tc>
          <w:tcPr>
            <w:tcW w:w="5872" w:type="dxa"/>
            <w:gridSpan w:val="2"/>
            <w:shd w:val="clear" w:color="auto" w:fill="auto"/>
          </w:tcPr>
          <w:p w14:paraId="1B674DD9" w14:textId="77777777" w:rsidR="0007198D" w:rsidRPr="0007198D" w:rsidRDefault="0007198D" w:rsidP="0007198D">
            <w:pPr>
              <w:spacing w:after="0" w:line="240" w:lineRule="auto"/>
              <w:rPr>
                <w:rFonts w:ascii="Arial" w:hAnsi="Arial" w:cs="Arial"/>
                <w:sz w:val="20"/>
                <w:szCs w:val="20"/>
              </w:rPr>
            </w:pPr>
          </w:p>
        </w:tc>
      </w:tr>
      <w:tr w:rsidR="0007198D" w:rsidRPr="0007198D" w14:paraId="08837EA8" w14:textId="77777777" w:rsidTr="000C7A5D">
        <w:tc>
          <w:tcPr>
            <w:tcW w:w="3600" w:type="dxa"/>
            <w:shd w:val="clear" w:color="auto" w:fill="auto"/>
          </w:tcPr>
          <w:p w14:paraId="6E1D7A99" w14:textId="77777777" w:rsidR="0007198D" w:rsidRPr="0007198D" w:rsidRDefault="0007198D" w:rsidP="0007198D">
            <w:pPr>
              <w:spacing w:after="0" w:line="240" w:lineRule="auto"/>
              <w:rPr>
                <w:rFonts w:ascii="Arial" w:hAnsi="Arial" w:cs="Arial"/>
                <w:b/>
                <w:sz w:val="20"/>
                <w:szCs w:val="20"/>
              </w:rPr>
            </w:pPr>
          </w:p>
        </w:tc>
        <w:tc>
          <w:tcPr>
            <w:tcW w:w="3355" w:type="dxa"/>
            <w:shd w:val="clear" w:color="auto" w:fill="auto"/>
          </w:tcPr>
          <w:p w14:paraId="7BF53644"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b/>
                <w:sz w:val="20"/>
                <w:szCs w:val="20"/>
              </w:rPr>
              <w:t>Units:</w:t>
            </w:r>
            <w:r w:rsidRPr="0007198D">
              <w:rPr>
                <w:rFonts w:ascii="Arial" w:hAnsi="Arial" w:cs="Arial"/>
                <w:sz w:val="20"/>
                <w:szCs w:val="20"/>
              </w:rPr>
              <w:t xml:space="preserve"> </w:t>
            </w:r>
            <w:r w:rsidRPr="0007198D">
              <w:rPr>
                <w:rFonts w:ascii="Arial" w:hAnsi="Arial" w:cs="Arial"/>
                <w:noProof/>
                <w:sz w:val="20"/>
                <w:szCs w:val="20"/>
              </w:rPr>
              <w:t>100</w:t>
            </w:r>
          </w:p>
        </w:tc>
        <w:tc>
          <w:tcPr>
            <w:tcW w:w="2517" w:type="dxa"/>
            <w:shd w:val="clear" w:color="auto" w:fill="auto"/>
          </w:tcPr>
          <w:p w14:paraId="092FC41F"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b/>
                <w:sz w:val="20"/>
                <w:szCs w:val="20"/>
              </w:rPr>
              <w:t>Text:</w:t>
            </w:r>
            <w:r w:rsidRPr="0007198D">
              <w:rPr>
                <w:rFonts w:ascii="Arial" w:hAnsi="Arial" w:cs="Arial"/>
                <w:sz w:val="20"/>
                <w:szCs w:val="20"/>
              </w:rPr>
              <w:t xml:space="preserve"> </w:t>
            </w:r>
            <w:r w:rsidRPr="0007198D">
              <w:rPr>
                <w:rFonts w:ascii="Arial" w:hAnsi="Arial" w:cs="Arial"/>
                <w:noProof/>
                <w:sz w:val="20"/>
                <w:szCs w:val="20"/>
              </w:rPr>
              <w:t>Percent</w:t>
            </w:r>
          </w:p>
        </w:tc>
      </w:tr>
      <w:tr w:rsidR="0007198D" w:rsidRPr="0007198D" w14:paraId="366EBD2C" w14:textId="77777777" w:rsidTr="000C7A5D">
        <w:tc>
          <w:tcPr>
            <w:tcW w:w="3600" w:type="dxa"/>
            <w:shd w:val="clear" w:color="auto" w:fill="auto"/>
          </w:tcPr>
          <w:p w14:paraId="379E98A5" w14:textId="77777777" w:rsidR="0007198D" w:rsidRPr="0007198D" w:rsidRDefault="0007198D" w:rsidP="0007198D">
            <w:pPr>
              <w:spacing w:after="0" w:line="240" w:lineRule="auto"/>
              <w:rPr>
                <w:rFonts w:ascii="Arial" w:hAnsi="Arial" w:cs="Arial"/>
                <w:b/>
                <w:sz w:val="20"/>
                <w:szCs w:val="20"/>
              </w:rPr>
            </w:pPr>
          </w:p>
        </w:tc>
        <w:tc>
          <w:tcPr>
            <w:tcW w:w="5872" w:type="dxa"/>
            <w:gridSpan w:val="2"/>
            <w:shd w:val="clear" w:color="auto" w:fill="auto"/>
          </w:tcPr>
          <w:p w14:paraId="5A52D2D3" w14:textId="77777777" w:rsidR="0007198D" w:rsidRPr="0007198D" w:rsidRDefault="0007198D" w:rsidP="0007198D">
            <w:pPr>
              <w:spacing w:after="0" w:line="240" w:lineRule="auto"/>
              <w:rPr>
                <w:rFonts w:ascii="Arial" w:hAnsi="Arial" w:cs="Arial"/>
                <w:sz w:val="20"/>
                <w:szCs w:val="20"/>
              </w:rPr>
            </w:pPr>
          </w:p>
        </w:tc>
      </w:tr>
      <w:tr w:rsidR="0007198D" w:rsidRPr="0007198D" w14:paraId="39F939AA" w14:textId="77777777" w:rsidTr="000C7A5D">
        <w:tc>
          <w:tcPr>
            <w:tcW w:w="3600" w:type="dxa"/>
            <w:shd w:val="clear" w:color="auto" w:fill="auto"/>
          </w:tcPr>
          <w:p w14:paraId="515C16A0"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HEALTHY PEOPLE 2020 OBJECTIVE</w:t>
            </w:r>
          </w:p>
        </w:tc>
        <w:tc>
          <w:tcPr>
            <w:tcW w:w="5872" w:type="dxa"/>
            <w:gridSpan w:val="2"/>
            <w:shd w:val="clear" w:color="auto" w:fill="auto"/>
          </w:tcPr>
          <w:p w14:paraId="54DCE991" w14:textId="77777777" w:rsidR="0007198D" w:rsidRPr="0007198D" w:rsidRDefault="0007198D" w:rsidP="0007198D">
            <w:pPr>
              <w:spacing w:after="0" w:line="240" w:lineRule="auto"/>
              <w:rPr>
                <w:rFonts w:ascii="Arial" w:hAnsi="Arial" w:cs="Arial"/>
                <w:sz w:val="20"/>
                <w:szCs w:val="20"/>
              </w:rPr>
            </w:pPr>
          </w:p>
        </w:tc>
      </w:tr>
      <w:tr w:rsidR="0007198D" w:rsidRPr="0007198D" w14:paraId="4B5F1B95" w14:textId="77777777" w:rsidTr="000C7A5D">
        <w:tc>
          <w:tcPr>
            <w:tcW w:w="3600" w:type="dxa"/>
            <w:shd w:val="clear" w:color="auto" w:fill="auto"/>
          </w:tcPr>
          <w:p w14:paraId="29260E5E" w14:textId="77777777" w:rsidR="0007198D" w:rsidRPr="0007198D" w:rsidRDefault="0007198D" w:rsidP="0007198D">
            <w:pPr>
              <w:spacing w:after="0" w:line="240" w:lineRule="auto"/>
              <w:rPr>
                <w:rFonts w:ascii="Arial" w:hAnsi="Arial" w:cs="Arial"/>
                <w:b/>
                <w:sz w:val="20"/>
                <w:szCs w:val="20"/>
              </w:rPr>
            </w:pPr>
          </w:p>
        </w:tc>
        <w:tc>
          <w:tcPr>
            <w:tcW w:w="5872" w:type="dxa"/>
            <w:gridSpan w:val="2"/>
            <w:shd w:val="clear" w:color="auto" w:fill="auto"/>
          </w:tcPr>
          <w:p w14:paraId="3401FD4C" w14:textId="77777777" w:rsidR="0007198D" w:rsidRPr="0007198D" w:rsidRDefault="0007198D" w:rsidP="0007198D">
            <w:pPr>
              <w:spacing w:after="0" w:line="240" w:lineRule="auto"/>
              <w:rPr>
                <w:rFonts w:ascii="Arial" w:hAnsi="Arial" w:cs="Arial"/>
                <w:sz w:val="20"/>
                <w:szCs w:val="20"/>
              </w:rPr>
            </w:pPr>
          </w:p>
        </w:tc>
      </w:tr>
      <w:tr w:rsidR="0007198D" w:rsidRPr="0007198D" w14:paraId="5BA26672" w14:textId="77777777" w:rsidTr="000C7A5D">
        <w:tc>
          <w:tcPr>
            <w:tcW w:w="3600" w:type="dxa"/>
            <w:shd w:val="clear" w:color="auto" w:fill="auto"/>
          </w:tcPr>
          <w:p w14:paraId="1AB20E34"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DATA SOURCES and DATA ISSUES</w:t>
            </w:r>
          </w:p>
        </w:tc>
        <w:tc>
          <w:tcPr>
            <w:tcW w:w="5872" w:type="dxa"/>
            <w:gridSpan w:val="2"/>
            <w:shd w:val="clear" w:color="auto" w:fill="auto"/>
          </w:tcPr>
          <w:p w14:paraId="3BD7AA05"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sz w:val="20"/>
                <w:szCs w:val="20"/>
              </w:rPr>
              <w:t xml:space="preserve">CMS Hospital Compare </w:t>
            </w:r>
          </w:p>
        </w:tc>
      </w:tr>
      <w:tr w:rsidR="0007198D" w:rsidRPr="0007198D" w14:paraId="3E596315" w14:textId="77777777" w:rsidTr="000C7A5D">
        <w:tc>
          <w:tcPr>
            <w:tcW w:w="3600" w:type="dxa"/>
            <w:shd w:val="clear" w:color="auto" w:fill="auto"/>
          </w:tcPr>
          <w:p w14:paraId="0040FB16" w14:textId="77777777" w:rsidR="0007198D" w:rsidRPr="0007198D" w:rsidRDefault="0007198D" w:rsidP="0007198D">
            <w:pPr>
              <w:spacing w:after="0" w:line="240" w:lineRule="auto"/>
              <w:rPr>
                <w:rFonts w:ascii="Arial" w:hAnsi="Arial" w:cs="Arial"/>
                <w:b/>
                <w:sz w:val="20"/>
                <w:szCs w:val="20"/>
              </w:rPr>
            </w:pPr>
          </w:p>
        </w:tc>
        <w:tc>
          <w:tcPr>
            <w:tcW w:w="5872" w:type="dxa"/>
            <w:gridSpan w:val="2"/>
            <w:shd w:val="clear" w:color="auto" w:fill="auto"/>
          </w:tcPr>
          <w:p w14:paraId="57ED1C09" w14:textId="77777777" w:rsidR="0007198D" w:rsidRPr="0007198D" w:rsidRDefault="0007198D" w:rsidP="0007198D">
            <w:pPr>
              <w:spacing w:after="0" w:line="240" w:lineRule="auto"/>
              <w:rPr>
                <w:rFonts w:ascii="Arial" w:hAnsi="Arial" w:cs="Arial"/>
                <w:sz w:val="20"/>
                <w:szCs w:val="20"/>
              </w:rPr>
            </w:pPr>
          </w:p>
        </w:tc>
      </w:tr>
      <w:tr w:rsidR="0007198D" w:rsidRPr="0007198D" w14:paraId="6628E7A8" w14:textId="77777777" w:rsidTr="000C7A5D">
        <w:tc>
          <w:tcPr>
            <w:tcW w:w="3600" w:type="dxa"/>
            <w:shd w:val="clear" w:color="auto" w:fill="auto"/>
          </w:tcPr>
          <w:p w14:paraId="063AEE61"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SIGNIFICANCE</w:t>
            </w:r>
          </w:p>
        </w:tc>
        <w:tc>
          <w:tcPr>
            <w:tcW w:w="5872" w:type="dxa"/>
            <w:gridSpan w:val="2"/>
            <w:shd w:val="clear" w:color="auto" w:fill="auto"/>
          </w:tcPr>
          <w:p w14:paraId="1DD7B93C" w14:textId="77777777" w:rsidR="0007198D" w:rsidRPr="0007198D" w:rsidRDefault="0007198D" w:rsidP="0007198D">
            <w:pPr>
              <w:spacing w:after="0" w:line="240" w:lineRule="auto"/>
              <w:rPr>
                <w:rFonts w:ascii="Arial" w:hAnsi="Arial" w:cs="Arial"/>
                <w:noProof/>
                <w:sz w:val="20"/>
                <w:szCs w:val="20"/>
              </w:rPr>
            </w:pPr>
            <w:r w:rsidRPr="0007198D">
              <w:rPr>
                <w:rFonts w:ascii="Arial" w:hAnsi="Arial" w:cs="Arial"/>
                <w:noProof/>
                <w:sz w:val="20"/>
                <w:szCs w:val="20"/>
              </w:rPr>
              <w:t>Non-medically indicated early term births (37,38 weeks) present avoidable risks of neonatal morbidity and costly NICU admission.  Early elective delivery prior to 39 weeks is an endorsed perinatal quality measure by the Joint Commission, National Quality Forum, ACOG/NCQA, Leapfrog Group, and CMS/CHIPRA.</w:t>
            </w:r>
          </w:p>
          <w:p w14:paraId="77E9FCE6" w14:textId="77777777" w:rsidR="0007198D" w:rsidRPr="0007198D" w:rsidRDefault="0007198D" w:rsidP="0007198D">
            <w:pPr>
              <w:spacing w:after="0" w:line="240" w:lineRule="auto"/>
              <w:rPr>
                <w:rFonts w:ascii="Arial" w:hAnsi="Arial" w:cs="Arial"/>
                <w:noProof/>
                <w:sz w:val="20"/>
                <w:szCs w:val="20"/>
              </w:rPr>
            </w:pPr>
          </w:p>
          <w:p w14:paraId="6697F60B" w14:textId="77777777" w:rsidR="0007198D" w:rsidRPr="0007198D" w:rsidRDefault="0007198D" w:rsidP="0007198D">
            <w:pPr>
              <w:spacing w:after="0" w:line="240" w:lineRule="auto"/>
              <w:rPr>
                <w:rFonts w:ascii="Arial" w:hAnsi="Arial" w:cs="Arial"/>
                <w:noProof/>
                <w:sz w:val="20"/>
                <w:szCs w:val="20"/>
              </w:rPr>
            </w:pPr>
            <w:r w:rsidRPr="0007198D">
              <w:rPr>
                <w:rFonts w:ascii="Arial" w:hAnsi="Arial" w:cs="Arial"/>
                <w:noProof/>
                <w:sz w:val="20"/>
                <w:szCs w:val="20"/>
              </w:rPr>
              <w:t xml:space="preserve">Tita AT, Landon MB, Spong CY et al. Timing of Elective Repeat Cesarean Delivery at Term and Neonatal Outcomes. N Engl J Med. 2009 Jan 8. 360(2): 111-20. </w:t>
            </w:r>
            <w:hyperlink r:id="rId82" w:history="1">
              <w:r w:rsidRPr="0007198D">
                <w:rPr>
                  <w:rFonts w:ascii="Arial" w:hAnsi="Arial" w:cs="Arial"/>
                  <w:noProof/>
                  <w:color w:val="0000FF"/>
                  <w:sz w:val="20"/>
                  <w:szCs w:val="20"/>
                  <w:u w:val="single"/>
                </w:rPr>
                <w:t>http://www.nejm.org/doi/full/10.1056/NEJMoa0803267</w:t>
              </w:r>
            </w:hyperlink>
            <w:r w:rsidRPr="0007198D">
              <w:rPr>
                <w:rFonts w:ascii="Arial" w:hAnsi="Arial" w:cs="Arial"/>
                <w:noProof/>
                <w:sz w:val="20"/>
                <w:szCs w:val="20"/>
              </w:rPr>
              <w:t xml:space="preserve">  </w:t>
            </w:r>
          </w:p>
          <w:p w14:paraId="6EC6F2D0" w14:textId="77777777" w:rsidR="0007198D" w:rsidRPr="0007198D" w:rsidRDefault="0007198D" w:rsidP="0007198D">
            <w:pPr>
              <w:spacing w:after="0" w:line="240" w:lineRule="auto"/>
              <w:rPr>
                <w:rFonts w:ascii="Arial" w:hAnsi="Arial" w:cs="Arial"/>
                <w:noProof/>
                <w:sz w:val="20"/>
                <w:szCs w:val="20"/>
              </w:rPr>
            </w:pPr>
          </w:p>
          <w:p w14:paraId="615E0833" w14:textId="77777777" w:rsidR="0007198D" w:rsidRPr="0007198D" w:rsidRDefault="0007198D" w:rsidP="0007198D">
            <w:pPr>
              <w:spacing w:after="0" w:line="240" w:lineRule="auto"/>
              <w:rPr>
                <w:rFonts w:ascii="Arial" w:hAnsi="Arial" w:cs="Arial"/>
                <w:noProof/>
                <w:sz w:val="20"/>
                <w:szCs w:val="20"/>
              </w:rPr>
            </w:pPr>
            <w:r w:rsidRPr="0007198D">
              <w:rPr>
                <w:rFonts w:ascii="Arial" w:hAnsi="Arial" w:cs="Arial"/>
                <w:noProof/>
                <w:sz w:val="20"/>
                <w:szCs w:val="20"/>
              </w:rPr>
              <w:t>Clark SL, Miller DD, Belfort MA et al. Neonatal and Maternal Outcomes Associated with Elective Term Delivery. Am J Obstet Gynecol. 2009 February. 200(2):156.e1-4.</w:t>
            </w:r>
            <w:r w:rsidRPr="0007198D">
              <w:t xml:space="preserve"> </w:t>
            </w:r>
            <w:hyperlink r:id="rId83" w:history="1">
              <w:r w:rsidRPr="0007198D">
                <w:rPr>
                  <w:rFonts w:ascii="Arial" w:hAnsi="Arial" w:cs="Arial"/>
                  <w:noProof/>
                  <w:color w:val="0000FF"/>
                  <w:sz w:val="20"/>
                  <w:szCs w:val="20"/>
                  <w:u w:val="single"/>
                </w:rPr>
                <w:t>https://www.ncbi.nlm.nih.gov/pubmed/19110225</w:t>
              </w:r>
            </w:hyperlink>
            <w:r w:rsidRPr="0007198D">
              <w:rPr>
                <w:rFonts w:ascii="Arial" w:hAnsi="Arial" w:cs="Arial"/>
                <w:noProof/>
                <w:sz w:val="20"/>
                <w:szCs w:val="20"/>
              </w:rPr>
              <w:t xml:space="preserve">  </w:t>
            </w:r>
          </w:p>
          <w:p w14:paraId="6F6D896E" w14:textId="77777777" w:rsidR="0007198D" w:rsidRPr="0007198D" w:rsidRDefault="0007198D" w:rsidP="0007198D">
            <w:pPr>
              <w:spacing w:after="0" w:line="240" w:lineRule="auto"/>
              <w:rPr>
                <w:rFonts w:ascii="Arial" w:hAnsi="Arial" w:cs="Arial"/>
                <w:noProof/>
                <w:sz w:val="20"/>
                <w:szCs w:val="20"/>
              </w:rPr>
            </w:pPr>
          </w:p>
          <w:p w14:paraId="583E394B"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 xml:space="preserve"> </w:t>
            </w:r>
          </w:p>
        </w:tc>
      </w:tr>
      <w:tr w:rsidR="0007198D" w:rsidRPr="0007198D" w14:paraId="303FB2A6" w14:textId="77777777" w:rsidTr="000C7A5D">
        <w:tc>
          <w:tcPr>
            <w:tcW w:w="3600" w:type="dxa"/>
            <w:shd w:val="clear" w:color="auto" w:fill="auto"/>
          </w:tcPr>
          <w:p w14:paraId="4A4C0A12" w14:textId="77777777" w:rsidR="0007198D" w:rsidRPr="0007198D" w:rsidRDefault="0007198D" w:rsidP="0007198D">
            <w:pPr>
              <w:spacing w:after="0" w:line="240" w:lineRule="auto"/>
              <w:rPr>
                <w:rFonts w:ascii="Arial" w:hAnsi="Arial" w:cs="Arial"/>
                <w:sz w:val="20"/>
                <w:szCs w:val="20"/>
              </w:rPr>
            </w:pPr>
          </w:p>
        </w:tc>
        <w:tc>
          <w:tcPr>
            <w:tcW w:w="5872" w:type="dxa"/>
            <w:gridSpan w:val="2"/>
            <w:shd w:val="clear" w:color="auto" w:fill="auto"/>
          </w:tcPr>
          <w:p w14:paraId="622B3FE9" w14:textId="77777777" w:rsidR="0007198D" w:rsidRPr="0007198D" w:rsidRDefault="0007198D" w:rsidP="0007198D">
            <w:pPr>
              <w:spacing w:after="0" w:line="240" w:lineRule="auto"/>
              <w:rPr>
                <w:rFonts w:ascii="Arial" w:hAnsi="Arial" w:cs="Arial"/>
                <w:sz w:val="20"/>
                <w:szCs w:val="20"/>
              </w:rPr>
            </w:pPr>
          </w:p>
        </w:tc>
      </w:tr>
    </w:tbl>
    <w:p w14:paraId="16B55E74" w14:textId="77777777" w:rsidR="0007198D" w:rsidRPr="0007198D" w:rsidRDefault="0007198D" w:rsidP="0007198D">
      <w:pPr>
        <w:spacing w:after="0" w:line="240" w:lineRule="auto"/>
      </w:pPr>
    </w:p>
    <w:p w14:paraId="46F53AF1" w14:textId="77777777" w:rsidR="0007198D" w:rsidRPr="0007198D" w:rsidRDefault="0007198D" w:rsidP="0007198D">
      <w:pPr>
        <w:spacing w:after="0" w:line="240" w:lineRule="auto"/>
      </w:pPr>
      <w:r w:rsidRPr="0007198D">
        <w:br w:type="page"/>
      </w:r>
    </w:p>
    <w:tbl>
      <w:tblPr>
        <w:tblW w:w="0" w:type="auto"/>
        <w:tblLook w:val="04A0" w:firstRow="1" w:lastRow="0" w:firstColumn="1" w:lastColumn="0" w:noHBand="0" w:noVBand="1"/>
      </w:tblPr>
      <w:tblGrid>
        <w:gridCol w:w="3618"/>
        <w:gridCol w:w="5868"/>
      </w:tblGrid>
      <w:tr w:rsidR="0007198D" w:rsidRPr="0007198D" w14:paraId="3D1603DD" w14:textId="77777777" w:rsidTr="000C7A5D">
        <w:tc>
          <w:tcPr>
            <w:tcW w:w="3618" w:type="dxa"/>
            <w:shd w:val="clear" w:color="auto" w:fill="auto"/>
          </w:tcPr>
          <w:p w14:paraId="48E30F3C" w14:textId="77777777" w:rsidR="0007198D" w:rsidRPr="0007198D" w:rsidRDefault="0007198D" w:rsidP="0007198D">
            <w:pPr>
              <w:spacing w:after="0" w:line="240" w:lineRule="auto"/>
              <w:rPr>
                <w:rFonts w:ascii="Arial" w:hAnsi="Arial" w:cs="Arial"/>
                <w:b/>
                <w:sz w:val="24"/>
                <w:szCs w:val="24"/>
              </w:rPr>
            </w:pPr>
            <w:r w:rsidRPr="0007198D">
              <w:rPr>
                <w:rFonts w:ascii="Arial" w:hAnsi="Arial" w:cs="Arial"/>
                <w:b/>
                <w:sz w:val="24"/>
                <w:szCs w:val="24"/>
              </w:rPr>
              <w:t xml:space="preserve">OUTCOME MEASURE </w:t>
            </w:r>
            <w:r w:rsidRPr="0007198D">
              <w:rPr>
                <w:rFonts w:ascii="Arial" w:hAnsi="Arial" w:cs="Arial"/>
                <w:b/>
                <w:noProof/>
                <w:sz w:val="24"/>
                <w:szCs w:val="24"/>
              </w:rPr>
              <w:t>8</w:t>
            </w:r>
          </w:p>
        </w:tc>
        <w:tc>
          <w:tcPr>
            <w:tcW w:w="5868" w:type="dxa"/>
            <w:shd w:val="clear" w:color="auto" w:fill="auto"/>
          </w:tcPr>
          <w:p w14:paraId="49CC48EA" w14:textId="77777777" w:rsidR="0007198D" w:rsidRPr="0007198D" w:rsidRDefault="0007198D" w:rsidP="0007198D">
            <w:pPr>
              <w:spacing w:after="0" w:line="240" w:lineRule="auto"/>
              <w:rPr>
                <w:rFonts w:ascii="Arial" w:hAnsi="Arial" w:cs="Arial"/>
                <w:b/>
                <w:sz w:val="24"/>
                <w:szCs w:val="24"/>
              </w:rPr>
            </w:pPr>
            <w:r w:rsidRPr="0007198D">
              <w:rPr>
                <w:rFonts w:ascii="Arial" w:hAnsi="Arial" w:cs="Arial"/>
                <w:b/>
                <w:noProof/>
                <w:sz w:val="24"/>
                <w:szCs w:val="24"/>
              </w:rPr>
              <w:t>Perinatal mortality rate per 1,000 live births plus fetal deaths</w:t>
            </w:r>
          </w:p>
        </w:tc>
      </w:tr>
    </w:tbl>
    <w:p w14:paraId="109EFA5F" w14:textId="77777777" w:rsidR="0007198D" w:rsidRPr="0007198D" w:rsidRDefault="0007198D" w:rsidP="0007198D">
      <w:pPr>
        <w:spacing w:after="0" w:line="240" w:lineRule="auto"/>
      </w:pPr>
    </w:p>
    <w:p w14:paraId="3DF7D41F" w14:textId="77777777" w:rsidR="0007198D" w:rsidRPr="0007198D" w:rsidRDefault="0007198D" w:rsidP="0007198D">
      <w:pPr>
        <w:spacing w:after="0" w:line="240" w:lineRule="auto"/>
      </w:pPr>
      <w:r w:rsidRPr="0007198D">
        <w:rPr>
          <w:noProof/>
        </w:rPr>
        <mc:AlternateContent>
          <mc:Choice Requires="wps">
            <w:drawing>
              <wp:anchor distT="4294967295" distB="4294967295" distL="114300" distR="114300" simplePos="0" relativeHeight="251761664" behindDoc="0" locked="0" layoutInCell="1" allowOverlap="1" wp14:anchorId="516C7507" wp14:editId="48D27A6A">
                <wp:simplePos x="0" y="0"/>
                <wp:positionH relativeFrom="column">
                  <wp:posOffset>-60960</wp:posOffset>
                </wp:positionH>
                <wp:positionV relativeFrom="paragraph">
                  <wp:posOffset>31749</wp:posOffset>
                </wp:positionV>
                <wp:extent cx="6088380" cy="0"/>
                <wp:effectExtent l="0" t="0" r="26670" b="19050"/>
                <wp:wrapNone/>
                <wp:docPr id="5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ECD6041" id="Straight Connector 5" o:spid="_x0000_s1026" style="position:absolute;z-index:251761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" strokecolor="windowText" strokeweight="1.75pt">
                <o:lock v:ext="edit" shapetype="f"/>
              </v:line>
            </w:pict>
          </mc:Fallback>
        </mc:AlternateContent>
      </w:r>
    </w:p>
    <w:tbl>
      <w:tblPr>
        <w:tblW w:w="9493" w:type="dxa"/>
        <w:tblLook w:val="04A0" w:firstRow="1" w:lastRow="0" w:firstColumn="1" w:lastColumn="0" w:noHBand="0" w:noVBand="1"/>
      </w:tblPr>
      <w:tblGrid>
        <w:gridCol w:w="3600"/>
        <w:gridCol w:w="3384"/>
        <w:gridCol w:w="2509"/>
      </w:tblGrid>
      <w:tr w:rsidR="0007198D" w:rsidRPr="0007198D" w14:paraId="793C7E9C" w14:textId="77777777" w:rsidTr="000C7A5D">
        <w:tc>
          <w:tcPr>
            <w:tcW w:w="3600" w:type="dxa"/>
            <w:shd w:val="clear" w:color="auto" w:fill="auto"/>
          </w:tcPr>
          <w:p w14:paraId="67917948"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GOAL</w:t>
            </w:r>
          </w:p>
        </w:tc>
        <w:tc>
          <w:tcPr>
            <w:tcW w:w="5893" w:type="dxa"/>
            <w:gridSpan w:val="2"/>
            <w:shd w:val="clear" w:color="auto" w:fill="auto"/>
          </w:tcPr>
          <w:p w14:paraId="52E6BF0F"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To reduce the rate of perinatal deaths.</w:t>
            </w:r>
          </w:p>
        </w:tc>
      </w:tr>
      <w:tr w:rsidR="0007198D" w:rsidRPr="0007198D" w14:paraId="44B40F34" w14:textId="77777777" w:rsidTr="000C7A5D">
        <w:tc>
          <w:tcPr>
            <w:tcW w:w="3600" w:type="dxa"/>
            <w:shd w:val="clear" w:color="auto" w:fill="auto"/>
          </w:tcPr>
          <w:p w14:paraId="20D2108C"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35D197A9" w14:textId="77777777" w:rsidR="0007198D" w:rsidRPr="0007198D" w:rsidRDefault="0007198D" w:rsidP="0007198D">
            <w:pPr>
              <w:spacing w:after="0" w:line="240" w:lineRule="auto"/>
              <w:rPr>
                <w:rFonts w:ascii="Arial" w:hAnsi="Arial" w:cs="Arial"/>
                <w:sz w:val="20"/>
                <w:szCs w:val="20"/>
              </w:rPr>
            </w:pPr>
          </w:p>
        </w:tc>
      </w:tr>
      <w:tr w:rsidR="0007198D" w:rsidRPr="0007198D" w14:paraId="204D67A2" w14:textId="77777777" w:rsidTr="000C7A5D">
        <w:tc>
          <w:tcPr>
            <w:tcW w:w="3600" w:type="dxa"/>
            <w:shd w:val="clear" w:color="auto" w:fill="auto"/>
          </w:tcPr>
          <w:p w14:paraId="4AB80B71"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DEFINITION</w:t>
            </w:r>
          </w:p>
        </w:tc>
        <w:tc>
          <w:tcPr>
            <w:tcW w:w="5893" w:type="dxa"/>
            <w:gridSpan w:val="2"/>
            <w:shd w:val="clear" w:color="auto" w:fill="auto"/>
          </w:tcPr>
          <w:p w14:paraId="119BC7D1"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Numerator:</w:t>
            </w:r>
          </w:p>
        </w:tc>
      </w:tr>
      <w:tr w:rsidR="0007198D" w:rsidRPr="0007198D" w14:paraId="75CE6477" w14:textId="77777777" w:rsidTr="000C7A5D">
        <w:tc>
          <w:tcPr>
            <w:tcW w:w="3600" w:type="dxa"/>
            <w:shd w:val="clear" w:color="auto" w:fill="auto"/>
          </w:tcPr>
          <w:p w14:paraId="548D68FF"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5001F2DA"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Number of fetal deaths 28 weeks or more gestation plus early neonatal deaths occurring under 7 days</w:t>
            </w:r>
          </w:p>
        </w:tc>
      </w:tr>
      <w:tr w:rsidR="0007198D" w:rsidRPr="0007198D" w14:paraId="095A220F" w14:textId="77777777" w:rsidTr="000C7A5D">
        <w:tc>
          <w:tcPr>
            <w:tcW w:w="3600" w:type="dxa"/>
            <w:shd w:val="clear" w:color="auto" w:fill="auto"/>
          </w:tcPr>
          <w:p w14:paraId="09F1302E"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04D20D70" w14:textId="77777777" w:rsidR="0007198D" w:rsidRPr="0007198D" w:rsidRDefault="0007198D" w:rsidP="0007198D">
            <w:pPr>
              <w:spacing w:after="0" w:line="240" w:lineRule="auto"/>
              <w:rPr>
                <w:rFonts w:ascii="Arial" w:hAnsi="Arial" w:cs="Arial"/>
                <w:sz w:val="20"/>
                <w:szCs w:val="20"/>
              </w:rPr>
            </w:pPr>
          </w:p>
        </w:tc>
      </w:tr>
      <w:tr w:rsidR="0007198D" w:rsidRPr="0007198D" w14:paraId="7F1331B6" w14:textId="77777777" w:rsidTr="000C7A5D">
        <w:tc>
          <w:tcPr>
            <w:tcW w:w="3600" w:type="dxa"/>
            <w:shd w:val="clear" w:color="auto" w:fill="auto"/>
          </w:tcPr>
          <w:p w14:paraId="61D95EE8"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6B1AD2BB"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Denominator:</w:t>
            </w:r>
          </w:p>
        </w:tc>
      </w:tr>
      <w:tr w:rsidR="0007198D" w:rsidRPr="0007198D" w14:paraId="4C443BB9" w14:textId="77777777" w:rsidTr="000C7A5D">
        <w:tc>
          <w:tcPr>
            <w:tcW w:w="3600" w:type="dxa"/>
            <w:shd w:val="clear" w:color="auto" w:fill="auto"/>
          </w:tcPr>
          <w:p w14:paraId="1E6714F8"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739C3FB0"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Number of live births plus fetal deaths at 28 weeks or more gestation</w:t>
            </w:r>
          </w:p>
        </w:tc>
      </w:tr>
      <w:tr w:rsidR="0007198D" w:rsidRPr="0007198D" w14:paraId="681FA761" w14:textId="77777777" w:rsidTr="000C7A5D">
        <w:tc>
          <w:tcPr>
            <w:tcW w:w="3600" w:type="dxa"/>
            <w:shd w:val="clear" w:color="auto" w:fill="auto"/>
          </w:tcPr>
          <w:p w14:paraId="70B3FA8D"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439FE4F7" w14:textId="77777777" w:rsidR="0007198D" w:rsidRPr="0007198D" w:rsidRDefault="0007198D" w:rsidP="0007198D">
            <w:pPr>
              <w:spacing w:after="0" w:line="240" w:lineRule="auto"/>
              <w:rPr>
                <w:rFonts w:ascii="Arial" w:hAnsi="Arial" w:cs="Arial"/>
                <w:sz w:val="20"/>
                <w:szCs w:val="20"/>
              </w:rPr>
            </w:pPr>
          </w:p>
        </w:tc>
      </w:tr>
      <w:tr w:rsidR="0007198D" w:rsidRPr="0007198D" w14:paraId="08739AB7" w14:textId="77777777" w:rsidTr="000C7A5D">
        <w:tc>
          <w:tcPr>
            <w:tcW w:w="3600" w:type="dxa"/>
            <w:shd w:val="clear" w:color="auto" w:fill="auto"/>
          </w:tcPr>
          <w:p w14:paraId="2165114D" w14:textId="77777777" w:rsidR="0007198D" w:rsidRPr="0007198D" w:rsidRDefault="0007198D" w:rsidP="0007198D">
            <w:pPr>
              <w:spacing w:after="0" w:line="240" w:lineRule="auto"/>
              <w:rPr>
                <w:rFonts w:ascii="Arial" w:hAnsi="Arial" w:cs="Arial"/>
                <w:b/>
                <w:sz w:val="20"/>
                <w:szCs w:val="20"/>
              </w:rPr>
            </w:pPr>
          </w:p>
        </w:tc>
        <w:tc>
          <w:tcPr>
            <w:tcW w:w="3384" w:type="dxa"/>
            <w:shd w:val="clear" w:color="auto" w:fill="auto"/>
          </w:tcPr>
          <w:p w14:paraId="3D558160"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b/>
                <w:sz w:val="20"/>
                <w:szCs w:val="20"/>
              </w:rPr>
              <w:t>Units:</w:t>
            </w:r>
            <w:r w:rsidRPr="0007198D">
              <w:rPr>
                <w:rFonts w:ascii="Arial" w:hAnsi="Arial" w:cs="Arial"/>
                <w:sz w:val="20"/>
                <w:szCs w:val="20"/>
              </w:rPr>
              <w:t xml:space="preserve"> </w:t>
            </w:r>
            <w:r w:rsidRPr="0007198D">
              <w:rPr>
                <w:rFonts w:ascii="Arial" w:hAnsi="Arial" w:cs="Arial"/>
                <w:noProof/>
                <w:sz w:val="20"/>
                <w:szCs w:val="20"/>
              </w:rPr>
              <w:t>1,000</w:t>
            </w:r>
          </w:p>
        </w:tc>
        <w:tc>
          <w:tcPr>
            <w:tcW w:w="2509" w:type="dxa"/>
            <w:shd w:val="clear" w:color="auto" w:fill="auto"/>
          </w:tcPr>
          <w:p w14:paraId="145127E1"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b/>
                <w:sz w:val="20"/>
                <w:szCs w:val="20"/>
              </w:rPr>
              <w:t>Text:</w:t>
            </w:r>
            <w:r w:rsidRPr="0007198D">
              <w:rPr>
                <w:rFonts w:ascii="Arial" w:hAnsi="Arial" w:cs="Arial"/>
                <w:sz w:val="20"/>
                <w:szCs w:val="20"/>
              </w:rPr>
              <w:t xml:space="preserve"> </w:t>
            </w:r>
            <w:r w:rsidRPr="0007198D">
              <w:rPr>
                <w:rFonts w:ascii="Arial" w:hAnsi="Arial" w:cs="Arial"/>
                <w:noProof/>
                <w:sz w:val="20"/>
                <w:szCs w:val="20"/>
              </w:rPr>
              <w:t>Rate</w:t>
            </w:r>
          </w:p>
        </w:tc>
      </w:tr>
      <w:tr w:rsidR="0007198D" w:rsidRPr="0007198D" w14:paraId="7701EED6" w14:textId="77777777" w:rsidTr="000C7A5D">
        <w:tc>
          <w:tcPr>
            <w:tcW w:w="3600" w:type="dxa"/>
            <w:shd w:val="clear" w:color="auto" w:fill="auto"/>
          </w:tcPr>
          <w:p w14:paraId="560305E4"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4D05EA7F" w14:textId="77777777" w:rsidR="0007198D" w:rsidRPr="0007198D" w:rsidRDefault="0007198D" w:rsidP="0007198D">
            <w:pPr>
              <w:spacing w:after="0" w:line="240" w:lineRule="auto"/>
              <w:rPr>
                <w:rFonts w:ascii="Arial" w:hAnsi="Arial" w:cs="Arial"/>
                <w:sz w:val="20"/>
                <w:szCs w:val="20"/>
              </w:rPr>
            </w:pPr>
          </w:p>
        </w:tc>
      </w:tr>
      <w:tr w:rsidR="0007198D" w:rsidRPr="0007198D" w14:paraId="209C4CC2" w14:textId="77777777" w:rsidTr="000C7A5D">
        <w:tc>
          <w:tcPr>
            <w:tcW w:w="3600" w:type="dxa"/>
            <w:shd w:val="clear" w:color="auto" w:fill="auto"/>
          </w:tcPr>
          <w:p w14:paraId="20348CBE"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HEALTHY PEOPLE 2020 OBJECTIVE</w:t>
            </w:r>
          </w:p>
        </w:tc>
        <w:tc>
          <w:tcPr>
            <w:tcW w:w="5893" w:type="dxa"/>
            <w:gridSpan w:val="2"/>
            <w:shd w:val="clear" w:color="auto" w:fill="auto"/>
          </w:tcPr>
          <w:p w14:paraId="1B081863"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Identical to Maternal, Infant, and Child Health (MICH) Objective 1.2: Reduce the rate of fetal and infant deaths during the perinatal period (28 weeks of gestation to 7 days after birth).  (Baseline: 6.6 fetal and infant deaths per 1,000 live births and fetal deaths occurred during the perinatal period, 28 weeks gestation to 7 days after birth, in 2005; Target: 5.9 perinatal deaths per 1,000 live births and fetal deaths)</w:t>
            </w:r>
          </w:p>
        </w:tc>
      </w:tr>
      <w:tr w:rsidR="0007198D" w:rsidRPr="0007198D" w14:paraId="3A81196D" w14:textId="77777777" w:rsidTr="000C7A5D">
        <w:tc>
          <w:tcPr>
            <w:tcW w:w="3600" w:type="dxa"/>
            <w:shd w:val="clear" w:color="auto" w:fill="auto"/>
          </w:tcPr>
          <w:p w14:paraId="27396A32"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60ABD116" w14:textId="77777777" w:rsidR="0007198D" w:rsidRPr="0007198D" w:rsidRDefault="0007198D" w:rsidP="0007198D">
            <w:pPr>
              <w:spacing w:after="0" w:line="240" w:lineRule="auto"/>
              <w:rPr>
                <w:rFonts w:ascii="Arial" w:hAnsi="Arial" w:cs="Arial"/>
                <w:sz w:val="20"/>
                <w:szCs w:val="20"/>
              </w:rPr>
            </w:pPr>
          </w:p>
        </w:tc>
      </w:tr>
      <w:tr w:rsidR="0007198D" w:rsidRPr="0007198D" w14:paraId="7533939A" w14:textId="77777777" w:rsidTr="000C7A5D">
        <w:tc>
          <w:tcPr>
            <w:tcW w:w="3600" w:type="dxa"/>
            <w:shd w:val="clear" w:color="auto" w:fill="auto"/>
          </w:tcPr>
          <w:p w14:paraId="05B93BAD"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DATA SOURCES and DATA ISSUES</w:t>
            </w:r>
          </w:p>
        </w:tc>
        <w:tc>
          <w:tcPr>
            <w:tcW w:w="5893" w:type="dxa"/>
            <w:gridSpan w:val="2"/>
            <w:shd w:val="clear" w:color="auto" w:fill="auto"/>
          </w:tcPr>
          <w:p w14:paraId="2E32FD7E"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National Vital Statistics System (NVSS)</w:t>
            </w:r>
          </w:p>
        </w:tc>
      </w:tr>
      <w:tr w:rsidR="0007198D" w:rsidRPr="0007198D" w14:paraId="1588DC83" w14:textId="77777777" w:rsidTr="000C7A5D">
        <w:tc>
          <w:tcPr>
            <w:tcW w:w="3600" w:type="dxa"/>
            <w:shd w:val="clear" w:color="auto" w:fill="auto"/>
          </w:tcPr>
          <w:p w14:paraId="56B26A10"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159BD00A" w14:textId="77777777" w:rsidR="0007198D" w:rsidRPr="0007198D" w:rsidRDefault="0007198D" w:rsidP="0007198D">
            <w:pPr>
              <w:spacing w:after="0" w:line="240" w:lineRule="auto"/>
              <w:rPr>
                <w:rFonts w:ascii="Arial" w:hAnsi="Arial" w:cs="Arial"/>
                <w:sz w:val="20"/>
                <w:szCs w:val="20"/>
              </w:rPr>
            </w:pPr>
          </w:p>
        </w:tc>
      </w:tr>
      <w:tr w:rsidR="0007198D" w:rsidRPr="0007198D" w14:paraId="54B3BF35" w14:textId="77777777" w:rsidTr="000C7A5D">
        <w:tc>
          <w:tcPr>
            <w:tcW w:w="3600" w:type="dxa"/>
            <w:shd w:val="clear" w:color="auto" w:fill="auto"/>
          </w:tcPr>
          <w:p w14:paraId="3E804F01"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SIGNIFICANCE</w:t>
            </w:r>
          </w:p>
        </w:tc>
        <w:tc>
          <w:tcPr>
            <w:tcW w:w="5893" w:type="dxa"/>
            <w:gridSpan w:val="2"/>
            <w:shd w:val="clear" w:color="auto" w:fill="auto"/>
          </w:tcPr>
          <w:p w14:paraId="5B63A2CB" w14:textId="77777777" w:rsidR="0007198D" w:rsidRPr="0007198D" w:rsidRDefault="0007198D" w:rsidP="0007198D">
            <w:pPr>
              <w:spacing w:after="0" w:line="240" w:lineRule="auto"/>
              <w:rPr>
                <w:rFonts w:ascii="Arial" w:hAnsi="Arial" w:cs="Arial"/>
                <w:noProof/>
                <w:sz w:val="20"/>
                <w:szCs w:val="20"/>
              </w:rPr>
            </w:pPr>
            <w:r w:rsidRPr="0007198D">
              <w:rPr>
                <w:rFonts w:ascii="Arial" w:hAnsi="Arial" w:cs="Arial"/>
                <w:noProof/>
                <w:sz w:val="20"/>
                <w:szCs w:val="20"/>
              </w:rPr>
              <w:t>Perinatal mortality is a reflection of the health of the pregnant woman and newborn as well as the quality of perinatal care. Risk factors for perinatal mortality include smoking during pregnancy, maternal obesity, uncontrolled hypertension or diabetes, infections and previous poor pregnancy outcome. In 2013, the rate of perinatal mortality was 6.24 perinatal deaths per 1,000 live births and fetal deaths. The perinatal mortality rate  is particularly high for non-Hispanic Black women.  In 2013, the rate for non-Hispanic black women (10.75) was the highest among the racial and ethnic groups, and was more than twice the rate for non-Hispanic white women (5.25).</w:t>
            </w:r>
          </w:p>
          <w:p w14:paraId="18691FE3" w14:textId="77777777" w:rsidR="0007198D" w:rsidRPr="0007198D" w:rsidRDefault="0007198D" w:rsidP="0007198D">
            <w:pPr>
              <w:spacing w:after="0" w:line="240" w:lineRule="auto"/>
              <w:rPr>
                <w:rFonts w:ascii="Arial" w:hAnsi="Arial" w:cs="Arial"/>
                <w:noProof/>
                <w:sz w:val="20"/>
                <w:szCs w:val="20"/>
              </w:rPr>
            </w:pPr>
          </w:p>
          <w:p w14:paraId="13F90EA6"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MacDorman MF, Gregory ECW. Fetal and Perinatal Mortality: United States, 2013. National Vital Statistics Reports. 2015 July 23. 64(8).</w:t>
            </w:r>
            <w:r w:rsidRPr="0007198D">
              <w:t xml:space="preserve"> </w:t>
            </w:r>
            <w:hyperlink r:id="rId84" w:history="1">
              <w:r w:rsidRPr="0007198D">
                <w:rPr>
                  <w:rFonts w:ascii="Arial" w:hAnsi="Arial" w:cs="Arial"/>
                  <w:noProof/>
                  <w:color w:val="0000FF"/>
                  <w:sz w:val="20"/>
                  <w:szCs w:val="20"/>
                  <w:u w:val="single"/>
                </w:rPr>
                <w:t>https://www.cdc.gov/nchs/data/nvsr/nvsr64/nvsr64_08.pdf</w:t>
              </w:r>
            </w:hyperlink>
            <w:r w:rsidRPr="0007198D">
              <w:rPr>
                <w:rFonts w:ascii="Arial" w:hAnsi="Arial" w:cs="Arial"/>
                <w:noProof/>
                <w:sz w:val="20"/>
                <w:szCs w:val="20"/>
              </w:rPr>
              <w:t xml:space="preserve"> </w:t>
            </w:r>
          </w:p>
        </w:tc>
      </w:tr>
      <w:tr w:rsidR="0007198D" w:rsidRPr="0007198D" w14:paraId="596D667F" w14:textId="77777777" w:rsidTr="000C7A5D">
        <w:tc>
          <w:tcPr>
            <w:tcW w:w="3600" w:type="dxa"/>
            <w:shd w:val="clear" w:color="auto" w:fill="auto"/>
          </w:tcPr>
          <w:p w14:paraId="0EBB4A58" w14:textId="77777777" w:rsidR="0007198D" w:rsidRPr="0007198D" w:rsidRDefault="0007198D" w:rsidP="0007198D">
            <w:pPr>
              <w:spacing w:after="0" w:line="240" w:lineRule="auto"/>
              <w:rPr>
                <w:rFonts w:ascii="Arial" w:hAnsi="Arial" w:cs="Arial"/>
                <w:sz w:val="20"/>
                <w:szCs w:val="20"/>
              </w:rPr>
            </w:pPr>
          </w:p>
        </w:tc>
        <w:tc>
          <w:tcPr>
            <w:tcW w:w="5893" w:type="dxa"/>
            <w:gridSpan w:val="2"/>
            <w:shd w:val="clear" w:color="auto" w:fill="auto"/>
          </w:tcPr>
          <w:p w14:paraId="421FCFA3" w14:textId="77777777" w:rsidR="0007198D" w:rsidRPr="0007198D" w:rsidRDefault="0007198D" w:rsidP="0007198D">
            <w:pPr>
              <w:spacing w:after="0" w:line="240" w:lineRule="auto"/>
              <w:rPr>
                <w:rFonts w:ascii="Arial" w:hAnsi="Arial" w:cs="Arial"/>
                <w:sz w:val="20"/>
                <w:szCs w:val="20"/>
              </w:rPr>
            </w:pPr>
          </w:p>
        </w:tc>
      </w:tr>
    </w:tbl>
    <w:p w14:paraId="5501FE83" w14:textId="77777777" w:rsidR="0007198D" w:rsidRPr="0007198D" w:rsidRDefault="0007198D" w:rsidP="0007198D">
      <w:pPr>
        <w:spacing w:after="0" w:line="240" w:lineRule="auto"/>
        <w:sectPr w:rsidR="0007198D" w:rsidRPr="0007198D" w:rsidSect="00514C00">
          <w:pgSz w:w="12240" w:h="15840"/>
          <w:pgMar w:top="1440" w:right="1440" w:bottom="1440" w:left="1440" w:header="720" w:footer="720" w:gutter="0"/>
          <w:cols w:space="720"/>
          <w:docGrid w:linePitch="360"/>
        </w:sectPr>
      </w:pPr>
    </w:p>
    <w:p w14:paraId="488DC267" w14:textId="77777777" w:rsidR="0007198D" w:rsidRPr="0007198D" w:rsidRDefault="0007198D" w:rsidP="0007198D">
      <w:pPr>
        <w:spacing w:after="0" w:line="240" w:lineRule="auto"/>
        <w:ind w:hanging="450"/>
        <w:rPr>
          <w:rFonts w:ascii="Arial" w:hAnsi="Arial" w:cs="Arial"/>
          <w:sz w:val="24"/>
          <w:szCs w:val="24"/>
        </w:rPr>
      </w:pPr>
    </w:p>
    <w:tbl>
      <w:tblPr>
        <w:tblW w:w="0" w:type="auto"/>
        <w:tblLook w:val="04A0" w:firstRow="1" w:lastRow="0" w:firstColumn="1" w:lastColumn="0" w:noHBand="0" w:noVBand="1"/>
      </w:tblPr>
      <w:tblGrid>
        <w:gridCol w:w="3618"/>
        <w:gridCol w:w="5868"/>
      </w:tblGrid>
      <w:tr w:rsidR="0007198D" w:rsidRPr="0007198D" w14:paraId="409A0563" w14:textId="77777777" w:rsidTr="000C7A5D">
        <w:tc>
          <w:tcPr>
            <w:tcW w:w="3618" w:type="dxa"/>
            <w:shd w:val="clear" w:color="auto" w:fill="auto"/>
          </w:tcPr>
          <w:p w14:paraId="0167C8F5" w14:textId="77777777" w:rsidR="0007198D" w:rsidRPr="0007198D" w:rsidRDefault="0007198D" w:rsidP="0007198D">
            <w:pPr>
              <w:spacing w:after="0" w:line="240" w:lineRule="auto"/>
              <w:rPr>
                <w:rFonts w:ascii="Arial" w:hAnsi="Arial" w:cs="Arial"/>
                <w:b/>
                <w:sz w:val="24"/>
                <w:szCs w:val="24"/>
              </w:rPr>
            </w:pPr>
            <w:r w:rsidRPr="0007198D">
              <w:rPr>
                <w:rFonts w:ascii="Arial" w:hAnsi="Arial" w:cs="Arial"/>
                <w:b/>
                <w:sz w:val="24"/>
                <w:szCs w:val="24"/>
              </w:rPr>
              <w:br w:type="page"/>
              <w:t>OUTCOME MEASURE 9.</w:t>
            </w:r>
            <w:r w:rsidRPr="0007198D">
              <w:rPr>
                <w:rFonts w:ascii="Arial" w:hAnsi="Arial" w:cs="Arial"/>
                <w:b/>
                <w:noProof/>
                <w:sz w:val="24"/>
                <w:szCs w:val="24"/>
              </w:rPr>
              <w:t>1</w:t>
            </w:r>
          </w:p>
        </w:tc>
        <w:tc>
          <w:tcPr>
            <w:tcW w:w="5868" w:type="dxa"/>
            <w:shd w:val="clear" w:color="auto" w:fill="auto"/>
          </w:tcPr>
          <w:p w14:paraId="059502D3" w14:textId="77777777" w:rsidR="0007198D" w:rsidRPr="0007198D" w:rsidRDefault="0007198D" w:rsidP="0007198D">
            <w:pPr>
              <w:spacing w:after="0" w:line="240" w:lineRule="auto"/>
              <w:rPr>
                <w:rFonts w:ascii="Arial" w:hAnsi="Arial" w:cs="Arial"/>
                <w:b/>
                <w:sz w:val="24"/>
                <w:szCs w:val="24"/>
              </w:rPr>
            </w:pPr>
            <w:r w:rsidRPr="0007198D">
              <w:rPr>
                <w:rFonts w:ascii="Arial" w:hAnsi="Arial" w:cs="Arial"/>
                <w:b/>
                <w:noProof/>
                <w:sz w:val="24"/>
                <w:szCs w:val="24"/>
              </w:rPr>
              <w:t>Infant mortality rate per 1,000 live births</w:t>
            </w:r>
          </w:p>
        </w:tc>
      </w:tr>
    </w:tbl>
    <w:p w14:paraId="6FCD76CB" w14:textId="77777777" w:rsidR="0007198D" w:rsidRPr="0007198D" w:rsidRDefault="0007198D" w:rsidP="0007198D">
      <w:pPr>
        <w:spacing w:after="0" w:line="240" w:lineRule="auto"/>
      </w:pPr>
    </w:p>
    <w:p w14:paraId="385343CE" w14:textId="77777777" w:rsidR="0007198D" w:rsidRPr="0007198D" w:rsidRDefault="0007198D" w:rsidP="0007198D">
      <w:pPr>
        <w:spacing w:after="0" w:line="240" w:lineRule="auto"/>
      </w:pPr>
      <w:r w:rsidRPr="0007198D">
        <w:rPr>
          <w:noProof/>
        </w:rPr>
        <mc:AlternateContent>
          <mc:Choice Requires="wps">
            <w:drawing>
              <wp:anchor distT="4294967295" distB="4294967295" distL="114300" distR="114300" simplePos="0" relativeHeight="251757568" behindDoc="0" locked="0" layoutInCell="1" allowOverlap="1" wp14:anchorId="4DAF0B6D" wp14:editId="4F56230C">
                <wp:simplePos x="0" y="0"/>
                <wp:positionH relativeFrom="column">
                  <wp:posOffset>-60960</wp:posOffset>
                </wp:positionH>
                <wp:positionV relativeFrom="paragraph">
                  <wp:posOffset>31749</wp:posOffset>
                </wp:positionV>
                <wp:extent cx="6088380" cy="0"/>
                <wp:effectExtent l="0" t="0" r="26670" b="19050"/>
                <wp:wrapNone/>
                <wp:docPr id="5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78F0A75" id="Straight Connector 1" o:spid="_x0000_s1026" style="position:absolute;z-index:251757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" strokecolor="windowText" strokeweight="1.75pt">
                <o:lock v:ext="edit" shapetype="f"/>
              </v:line>
            </w:pict>
          </mc:Fallback>
        </mc:AlternateContent>
      </w:r>
    </w:p>
    <w:tbl>
      <w:tblPr>
        <w:tblW w:w="9493" w:type="dxa"/>
        <w:tblLook w:val="04A0" w:firstRow="1" w:lastRow="0" w:firstColumn="1" w:lastColumn="0" w:noHBand="0" w:noVBand="1"/>
      </w:tblPr>
      <w:tblGrid>
        <w:gridCol w:w="3600"/>
        <w:gridCol w:w="3384"/>
        <w:gridCol w:w="2509"/>
      </w:tblGrid>
      <w:tr w:rsidR="0007198D" w:rsidRPr="0007198D" w14:paraId="38B13E9C" w14:textId="77777777" w:rsidTr="000C7A5D">
        <w:tc>
          <w:tcPr>
            <w:tcW w:w="3600" w:type="dxa"/>
            <w:shd w:val="clear" w:color="auto" w:fill="auto"/>
          </w:tcPr>
          <w:p w14:paraId="6D5D0BA0"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GOAL</w:t>
            </w:r>
          </w:p>
        </w:tc>
        <w:tc>
          <w:tcPr>
            <w:tcW w:w="5893" w:type="dxa"/>
            <w:gridSpan w:val="2"/>
            <w:shd w:val="clear" w:color="auto" w:fill="auto"/>
          </w:tcPr>
          <w:p w14:paraId="2593F881"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To reduce the rate of infant death.</w:t>
            </w:r>
          </w:p>
        </w:tc>
      </w:tr>
      <w:tr w:rsidR="0007198D" w:rsidRPr="0007198D" w14:paraId="430A6738" w14:textId="77777777" w:rsidTr="000C7A5D">
        <w:tc>
          <w:tcPr>
            <w:tcW w:w="3600" w:type="dxa"/>
            <w:shd w:val="clear" w:color="auto" w:fill="auto"/>
          </w:tcPr>
          <w:p w14:paraId="02BBC709"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78CF4802" w14:textId="77777777" w:rsidR="0007198D" w:rsidRPr="0007198D" w:rsidRDefault="0007198D" w:rsidP="0007198D">
            <w:pPr>
              <w:spacing w:after="0" w:line="240" w:lineRule="auto"/>
              <w:rPr>
                <w:rFonts w:ascii="Arial" w:hAnsi="Arial" w:cs="Arial"/>
                <w:sz w:val="20"/>
                <w:szCs w:val="20"/>
              </w:rPr>
            </w:pPr>
          </w:p>
        </w:tc>
      </w:tr>
      <w:tr w:rsidR="0007198D" w:rsidRPr="0007198D" w14:paraId="2A0F8578" w14:textId="77777777" w:rsidTr="000C7A5D">
        <w:tc>
          <w:tcPr>
            <w:tcW w:w="3600" w:type="dxa"/>
            <w:shd w:val="clear" w:color="auto" w:fill="auto"/>
          </w:tcPr>
          <w:p w14:paraId="0126AEE2"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DEFINITION</w:t>
            </w:r>
          </w:p>
        </w:tc>
        <w:tc>
          <w:tcPr>
            <w:tcW w:w="5893" w:type="dxa"/>
            <w:gridSpan w:val="2"/>
            <w:shd w:val="clear" w:color="auto" w:fill="auto"/>
          </w:tcPr>
          <w:p w14:paraId="440FB7EB"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Numerator:</w:t>
            </w:r>
          </w:p>
        </w:tc>
      </w:tr>
      <w:tr w:rsidR="0007198D" w:rsidRPr="0007198D" w14:paraId="25C83FAE" w14:textId="77777777" w:rsidTr="000C7A5D">
        <w:tc>
          <w:tcPr>
            <w:tcW w:w="3600" w:type="dxa"/>
            <w:shd w:val="clear" w:color="auto" w:fill="auto"/>
          </w:tcPr>
          <w:p w14:paraId="30801C65"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3DCE1354"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Number of deaths to infants from birth through 364 days of age</w:t>
            </w:r>
          </w:p>
        </w:tc>
      </w:tr>
      <w:tr w:rsidR="0007198D" w:rsidRPr="0007198D" w14:paraId="4924084E" w14:textId="77777777" w:rsidTr="000C7A5D">
        <w:tc>
          <w:tcPr>
            <w:tcW w:w="3600" w:type="dxa"/>
            <w:shd w:val="clear" w:color="auto" w:fill="auto"/>
          </w:tcPr>
          <w:p w14:paraId="0E3FB89A"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3D999CE0" w14:textId="77777777" w:rsidR="0007198D" w:rsidRPr="0007198D" w:rsidRDefault="0007198D" w:rsidP="0007198D">
            <w:pPr>
              <w:spacing w:after="0" w:line="240" w:lineRule="auto"/>
              <w:rPr>
                <w:rFonts w:ascii="Arial" w:hAnsi="Arial" w:cs="Arial"/>
                <w:sz w:val="20"/>
                <w:szCs w:val="20"/>
              </w:rPr>
            </w:pPr>
          </w:p>
        </w:tc>
      </w:tr>
      <w:tr w:rsidR="0007198D" w:rsidRPr="0007198D" w14:paraId="1C074F54" w14:textId="77777777" w:rsidTr="000C7A5D">
        <w:tc>
          <w:tcPr>
            <w:tcW w:w="3600" w:type="dxa"/>
            <w:shd w:val="clear" w:color="auto" w:fill="auto"/>
          </w:tcPr>
          <w:p w14:paraId="065F6464"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149B11D2"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Denominator:</w:t>
            </w:r>
          </w:p>
        </w:tc>
      </w:tr>
      <w:tr w:rsidR="0007198D" w:rsidRPr="0007198D" w14:paraId="59A79DE1" w14:textId="77777777" w:rsidTr="000C7A5D">
        <w:tc>
          <w:tcPr>
            <w:tcW w:w="3600" w:type="dxa"/>
            <w:shd w:val="clear" w:color="auto" w:fill="auto"/>
          </w:tcPr>
          <w:p w14:paraId="5F7AF92B"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0BB5D48B"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Number of live births</w:t>
            </w:r>
          </w:p>
        </w:tc>
      </w:tr>
      <w:tr w:rsidR="0007198D" w:rsidRPr="0007198D" w14:paraId="1A475FED" w14:textId="77777777" w:rsidTr="000C7A5D">
        <w:tc>
          <w:tcPr>
            <w:tcW w:w="3600" w:type="dxa"/>
            <w:shd w:val="clear" w:color="auto" w:fill="auto"/>
          </w:tcPr>
          <w:p w14:paraId="0E60A239"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2C3C243F" w14:textId="77777777" w:rsidR="0007198D" w:rsidRPr="0007198D" w:rsidRDefault="0007198D" w:rsidP="0007198D">
            <w:pPr>
              <w:spacing w:after="0" w:line="240" w:lineRule="auto"/>
              <w:rPr>
                <w:rFonts w:ascii="Arial" w:hAnsi="Arial" w:cs="Arial"/>
                <w:sz w:val="20"/>
                <w:szCs w:val="20"/>
              </w:rPr>
            </w:pPr>
          </w:p>
        </w:tc>
      </w:tr>
      <w:tr w:rsidR="0007198D" w:rsidRPr="0007198D" w14:paraId="5A02F074" w14:textId="77777777" w:rsidTr="000C7A5D">
        <w:tc>
          <w:tcPr>
            <w:tcW w:w="3600" w:type="dxa"/>
            <w:shd w:val="clear" w:color="auto" w:fill="auto"/>
          </w:tcPr>
          <w:p w14:paraId="3F37D52C" w14:textId="77777777" w:rsidR="0007198D" w:rsidRPr="0007198D" w:rsidRDefault="0007198D" w:rsidP="0007198D">
            <w:pPr>
              <w:spacing w:after="0" w:line="240" w:lineRule="auto"/>
              <w:rPr>
                <w:rFonts w:ascii="Arial" w:hAnsi="Arial" w:cs="Arial"/>
                <w:b/>
                <w:sz w:val="20"/>
                <w:szCs w:val="20"/>
              </w:rPr>
            </w:pPr>
          </w:p>
        </w:tc>
        <w:tc>
          <w:tcPr>
            <w:tcW w:w="3384" w:type="dxa"/>
            <w:shd w:val="clear" w:color="auto" w:fill="auto"/>
          </w:tcPr>
          <w:p w14:paraId="5BF9DD2A"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b/>
                <w:sz w:val="20"/>
                <w:szCs w:val="20"/>
              </w:rPr>
              <w:t>Units:</w:t>
            </w:r>
            <w:r w:rsidRPr="0007198D">
              <w:rPr>
                <w:rFonts w:ascii="Arial" w:hAnsi="Arial" w:cs="Arial"/>
                <w:sz w:val="20"/>
                <w:szCs w:val="20"/>
              </w:rPr>
              <w:t xml:space="preserve"> </w:t>
            </w:r>
            <w:r w:rsidRPr="0007198D">
              <w:rPr>
                <w:rFonts w:ascii="Arial" w:hAnsi="Arial" w:cs="Arial"/>
                <w:noProof/>
                <w:sz w:val="20"/>
                <w:szCs w:val="20"/>
              </w:rPr>
              <w:t>1,000</w:t>
            </w:r>
          </w:p>
        </w:tc>
        <w:tc>
          <w:tcPr>
            <w:tcW w:w="2509" w:type="dxa"/>
            <w:shd w:val="clear" w:color="auto" w:fill="auto"/>
          </w:tcPr>
          <w:p w14:paraId="1BA6687B"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b/>
                <w:sz w:val="20"/>
                <w:szCs w:val="20"/>
              </w:rPr>
              <w:t>Text:</w:t>
            </w:r>
            <w:r w:rsidRPr="0007198D">
              <w:rPr>
                <w:rFonts w:ascii="Arial" w:hAnsi="Arial" w:cs="Arial"/>
                <w:sz w:val="20"/>
                <w:szCs w:val="20"/>
              </w:rPr>
              <w:t xml:space="preserve"> </w:t>
            </w:r>
            <w:r w:rsidRPr="0007198D">
              <w:rPr>
                <w:rFonts w:ascii="Arial" w:hAnsi="Arial" w:cs="Arial"/>
                <w:noProof/>
                <w:sz w:val="20"/>
                <w:szCs w:val="20"/>
              </w:rPr>
              <w:t>Rate</w:t>
            </w:r>
          </w:p>
        </w:tc>
      </w:tr>
      <w:tr w:rsidR="0007198D" w:rsidRPr="0007198D" w14:paraId="6001276F" w14:textId="77777777" w:rsidTr="000C7A5D">
        <w:tc>
          <w:tcPr>
            <w:tcW w:w="3600" w:type="dxa"/>
            <w:shd w:val="clear" w:color="auto" w:fill="auto"/>
          </w:tcPr>
          <w:p w14:paraId="3DCF6DB4"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59B06AE1" w14:textId="77777777" w:rsidR="0007198D" w:rsidRPr="0007198D" w:rsidRDefault="0007198D" w:rsidP="0007198D">
            <w:pPr>
              <w:spacing w:after="0" w:line="240" w:lineRule="auto"/>
              <w:rPr>
                <w:rFonts w:ascii="Arial" w:hAnsi="Arial" w:cs="Arial"/>
                <w:sz w:val="20"/>
                <w:szCs w:val="20"/>
              </w:rPr>
            </w:pPr>
          </w:p>
        </w:tc>
      </w:tr>
      <w:tr w:rsidR="0007198D" w:rsidRPr="0007198D" w14:paraId="0A79433A" w14:textId="77777777" w:rsidTr="000C7A5D">
        <w:tc>
          <w:tcPr>
            <w:tcW w:w="3600" w:type="dxa"/>
            <w:shd w:val="clear" w:color="auto" w:fill="auto"/>
          </w:tcPr>
          <w:p w14:paraId="2752A42B"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HEALTHY PEOPLE 2020 OBJECTIVE</w:t>
            </w:r>
          </w:p>
        </w:tc>
        <w:tc>
          <w:tcPr>
            <w:tcW w:w="5893" w:type="dxa"/>
            <w:gridSpan w:val="2"/>
            <w:shd w:val="clear" w:color="auto" w:fill="auto"/>
          </w:tcPr>
          <w:p w14:paraId="2870CD1B"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Identical to Maternal, Infant, and Child Health (MICH) Objective 1.3: Reduce the rate of all infant deaths (within 1 year). (Baseline: 6.7 infant deaths per 1,000 live births within the first year of life in 2006, Target: 6.0 infant deaths per 1,000 live births)</w:t>
            </w:r>
          </w:p>
        </w:tc>
      </w:tr>
      <w:tr w:rsidR="0007198D" w:rsidRPr="0007198D" w14:paraId="70351AA1" w14:textId="77777777" w:rsidTr="000C7A5D">
        <w:tc>
          <w:tcPr>
            <w:tcW w:w="3600" w:type="dxa"/>
            <w:shd w:val="clear" w:color="auto" w:fill="auto"/>
          </w:tcPr>
          <w:p w14:paraId="6914C74F"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5D2F073A" w14:textId="77777777" w:rsidR="0007198D" w:rsidRPr="0007198D" w:rsidRDefault="0007198D" w:rsidP="0007198D">
            <w:pPr>
              <w:spacing w:after="0" w:line="240" w:lineRule="auto"/>
              <w:rPr>
                <w:rFonts w:ascii="Arial" w:hAnsi="Arial" w:cs="Arial"/>
                <w:sz w:val="20"/>
                <w:szCs w:val="20"/>
              </w:rPr>
            </w:pPr>
          </w:p>
        </w:tc>
      </w:tr>
      <w:tr w:rsidR="0007198D" w:rsidRPr="0007198D" w14:paraId="30F75B0F" w14:textId="77777777" w:rsidTr="000C7A5D">
        <w:tc>
          <w:tcPr>
            <w:tcW w:w="3600" w:type="dxa"/>
            <w:shd w:val="clear" w:color="auto" w:fill="auto"/>
          </w:tcPr>
          <w:p w14:paraId="404B752B"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DATA SOURCES and DATA ISSUES</w:t>
            </w:r>
          </w:p>
        </w:tc>
        <w:tc>
          <w:tcPr>
            <w:tcW w:w="5893" w:type="dxa"/>
            <w:gridSpan w:val="2"/>
            <w:shd w:val="clear" w:color="auto" w:fill="auto"/>
          </w:tcPr>
          <w:p w14:paraId="29DAD501" w14:textId="77777777" w:rsidR="0007198D" w:rsidRPr="0007198D" w:rsidRDefault="0007198D" w:rsidP="0007198D">
            <w:pPr>
              <w:spacing w:after="0" w:line="240" w:lineRule="auto"/>
              <w:rPr>
                <w:rFonts w:ascii="Arial" w:hAnsi="Arial" w:cs="Arial"/>
                <w:noProof/>
                <w:sz w:val="20"/>
                <w:szCs w:val="20"/>
              </w:rPr>
            </w:pPr>
            <w:r w:rsidRPr="0007198D">
              <w:rPr>
                <w:rFonts w:ascii="Arial" w:hAnsi="Arial" w:cs="Arial"/>
                <w:noProof/>
                <w:sz w:val="20"/>
                <w:szCs w:val="20"/>
              </w:rPr>
              <w:t>National Vital Statistics System (NVSS) for states and territorities</w:t>
            </w:r>
          </w:p>
          <w:p w14:paraId="4B2A4DCC"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United Nations Interagency Group for Child Mortality Estimation for the Freely Associated States in the Pacific Basin</w:t>
            </w:r>
          </w:p>
        </w:tc>
      </w:tr>
      <w:tr w:rsidR="0007198D" w:rsidRPr="0007198D" w14:paraId="76CFB194" w14:textId="77777777" w:rsidTr="000C7A5D">
        <w:tc>
          <w:tcPr>
            <w:tcW w:w="3600" w:type="dxa"/>
            <w:shd w:val="clear" w:color="auto" w:fill="auto"/>
          </w:tcPr>
          <w:p w14:paraId="1C6D2106"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21989D1A" w14:textId="77777777" w:rsidR="0007198D" w:rsidRPr="0007198D" w:rsidRDefault="0007198D" w:rsidP="0007198D">
            <w:pPr>
              <w:spacing w:after="0" w:line="240" w:lineRule="auto"/>
              <w:rPr>
                <w:rFonts w:ascii="Arial" w:hAnsi="Arial" w:cs="Arial"/>
                <w:sz w:val="20"/>
                <w:szCs w:val="20"/>
              </w:rPr>
            </w:pPr>
          </w:p>
        </w:tc>
      </w:tr>
      <w:tr w:rsidR="0007198D" w:rsidRPr="0007198D" w14:paraId="15901F76" w14:textId="77777777" w:rsidTr="000C7A5D">
        <w:tc>
          <w:tcPr>
            <w:tcW w:w="3600" w:type="dxa"/>
            <w:shd w:val="clear" w:color="auto" w:fill="auto"/>
          </w:tcPr>
          <w:p w14:paraId="18DC7161"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SIGNIFICANCE</w:t>
            </w:r>
          </w:p>
        </w:tc>
        <w:tc>
          <w:tcPr>
            <w:tcW w:w="5893" w:type="dxa"/>
            <w:gridSpan w:val="2"/>
            <w:shd w:val="clear" w:color="auto" w:fill="auto"/>
          </w:tcPr>
          <w:p w14:paraId="5BF65E65"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Infant mortality, or the death of a child within the first year of life, is a sentinel measure of population health that reflects the underlying well-being of mothers and families, as well as the broader community and social environment that cultivate health and access to health-promoting resources.  After a period of stagnation from 2000 to 2005, the U.S. infant mortality rate has continued to decline to record low levels below 6 per 1,000 live births.  However, significant disparities continue to persist between racial groups, especially for infants born to non-Hispanic black, American Indian/Alaskan Native, and Puerto Rican women. The infant mortality rate among non-Hispanic blacks is more than twice that of non-Hispanic whites.  Leading causes of infant mortality include prematurity, birth defects, and sudden unexpected infant deaths.  Infant mortality continues to be an extremely complex health issue with many medical, social, and economic determinants.</w:t>
            </w:r>
          </w:p>
        </w:tc>
      </w:tr>
      <w:tr w:rsidR="0007198D" w:rsidRPr="0007198D" w14:paraId="6B908B3B" w14:textId="77777777" w:rsidTr="000C7A5D">
        <w:tc>
          <w:tcPr>
            <w:tcW w:w="3600" w:type="dxa"/>
            <w:shd w:val="clear" w:color="auto" w:fill="auto"/>
          </w:tcPr>
          <w:p w14:paraId="5513B261" w14:textId="77777777" w:rsidR="0007198D" w:rsidRPr="0007198D" w:rsidRDefault="0007198D" w:rsidP="0007198D">
            <w:pPr>
              <w:spacing w:after="0" w:line="240" w:lineRule="auto"/>
              <w:rPr>
                <w:rFonts w:ascii="Arial" w:hAnsi="Arial" w:cs="Arial"/>
                <w:sz w:val="20"/>
                <w:szCs w:val="20"/>
              </w:rPr>
            </w:pPr>
          </w:p>
        </w:tc>
        <w:tc>
          <w:tcPr>
            <w:tcW w:w="5893" w:type="dxa"/>
            <w:gridSpan w:val="2"/>
            <w:shd w:val="clear" w:color="auto" w:fill="auto"/>
          </w:tcPr>
          <w:p w14:paraId="6FAF1C23" w14:textId="77777777" w:rsidR="0007198D" w:rsidRPr="0007198D" w:rsidRDefault="0007198D" w:rsidP="0007198D">
            <w:pPr>
              <w:spacing w:after="0" w:line="240" w:lineRule="auto"/>
              <w:rPr>
                <w:rFonts w:ascii="Arial" w:hAnsi="Arial" w:cs="Arial"/>
                <w:sz w:val="20"/>
                <w:szCs w:val="20"/>
              </w:rPr>
            </w:pPr>
          </w:p>
          <w:p w14:paraId="2BD74FF2"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sz w:val="20"/>
                <w:szCs w:val="20"/>
              </w:rPr>
              <w:t xml:space="preserve">U.S. Department of Health and Human Services, Health Resources and Services Administration, Maternal and Child Health Bureau. Child Health USA 2014. Rockville, Maryland: U.S. Department of Health and Human Services, 2014. </w:t>
            </w:r>
            <w:hyperlink r:id="rId85" w:history="1">
              <w:r w:rsidRPr="0007198D">
                <w:rPr>
                  <w:rFonts w:ascii="Arial" w:hAnsi="Arial" w:cs="Arial"/>
                  <w:color w:val="0000FF"/>
                  <w:sz w:val="20"/>
                  <w:szCs w:val="20"/>
                  <w:u w:val="single"/>
                </w:rPr>
                <w:t>https://mchb.hrsa.gov/chusa14/health-status-behaviors/infants/infant-mortality.html</w:t>
              </w:r>
            </w:hyperlink>
            <w:r w:rsidRPr="0007198D">
              <w:rPr>
                <w:rFonts w:ascii="Arial" w:hAnsi="Arial" w:cs="Arial"/>
                <w:sz w:val="20"/>
                <w:szCs w:val="20"/>
              </w:rPr>
              <w:t xml:space="preserve"> </w:t>
            </w:r>
          </w:p>
          <w:p w14:paraId="7E22B9AC" w14:textId="77777777" w:rsidR="0007198D" w:rsidRPr="0007198D" w:rsidRDefault="0007198D" w:rsidP="0007198D">
            <w:pPr>
              <w:spacing w:after="0" w:line="240" w:lineRule="auto"/>
              <w:rPr>
                <w:rFonts w:ascii="Arial" w:hAnsi="Arial" w:cs="Arial"/>
                <w:sz w:val="20"/>
                <w:szCs w:val="20"/>
              </w:rPr>
            </w:pPr>
          </w:p>
          <w:p w14:paraId="1539F59F"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sz w:val="20"/>
                <w:szCs w:val="20"/>
              </w:rPr>
              <w:t xml:space="preserve">Mathews TJ, Driscoll AK. Trends in infant mortality in the United States, 2005–2014. NCHS data brief, no 279. Hyattsville, MD: National Center for Health Statistics. 2017. </w:t>
            </w:r>
            <w:hyperlink r:id="rId86" w:history="1">
              <w:r w:rsidRPr="0007198D">
                <w:rPr>
                  <w:rFonts w:ascii="Arial" w:hAnsi="Arial" w:cs="Arial"/>
                  <w:color w:val="0000FF"/>
                  <w:sz w:val="20"/>
                  <w:szCs w:val="20"/>
                  <w:u w:val="single"/>
                </w:rPr>
                <w:t>https://www.cdc.gov/nchs/products/databriefs/db279.htm</w:t>
              </w:r>
            </w:hyperlink>
            <w:r w:rsidRPr="0007198D">
              <w:rPr>
                <w:rFonts w:ascii="Arial" w:hAnsi="Arial" w:cs="Arial"/>
                <w:sz w:val="20"/>
                <w:szCs w:val="20"/>
              </w:rPr>
              <w:t xml:space="preserve"> </w:t>
            </w:r>
          </w:p>
        </w:tc>
      </w:tr>
    </w:tbl>
    <w:p w14:paraId="233A58A9" w14:textId="77777777" w:rsidR="0007198D" w:rsidRPr="0007198D" w:rsidRDefault="0007198D" w:rsidP="0007198D">
      <w:pPr>
        <w:spacing w:after="0" w:line="240" w:lineRule="auto"/>
        <w:sectPr w:rsidR="0007198D" w:rsidRPr="0007198D" w:rsidSect="005D56E0">
          <w:headerReference w:type="default" r:id="rId87"/>
          <w:footerReference w:type="first" r:id="rId88"/>
          <w:pgSz w:w="12240" w:h="15840"/>
          <w:pgMar w:top="1440" w:right="1440" w:bottom="1440" w:left="1440" w:header="720" w:footer="720" w:gutter="0"/>
          <w:cols w:space="720"/>
          <w:docGrid w:linePitch="360"/>
        </w:sectPr>
      </w:pPr>
    </w:p>
    <w:tbl>
      <w:tblPr>
        <w:tblW w:w="0" w:type="auto"/>
        <w:tblLook w:val="04A0" w:firstRow="1" w:lastRow="0" w:firstColumn="1" w:lastColumn="0" w:noHBand="0" w:noVBand="1"/>
      </w:tblPr>
      <w:tblGrid>
        <w:gridCol w:w="3618"/>
        <w:gridCol w:w="5868"/>
      </w:tblGrid>
      <w:tr w:rsidR="0007198D" w:rsidRPr="0007198D" w14:paraId="5BF28E0A" w14:textId="77777777" w:rsidTr="000C7A5D">
        <w:tc>
          <w:tcPr>
            <w:tcW w:w="3618" w:type="dxa"/>
            <w:shd w:val="clear" w:color="auto" w:fill="auto"/>
          </w:tcPr>
          <w:p w14:paraId="1068198C" w14:textId="77777777" w:rsidR="0007198D" w:rsidRPr="0007198D" w:rsidRDefault="0007198D" w:rsidP="0007198D">
            <w:pPr>
              <w:spacing w:after="0" w:line="240" w:lineRule="auto"/>
              <w:rPr>
                <w:rFonts w:ascii="Arial" w:hAnsi="Arial" w:cs="Arial"/>
                <w:b/>
                <w:sz w:val="24"/>
                <w:szCs w:val="24"/>
              </w:rPr>
            </w:pPr>
            <w:r w:rsidRPr="0007198D">
              <w:rPr>
                <w:rFonts w:ascii="Arial" w:hAnsi="Arial" w:cs="Arial"/>
                <w:b/>
                <w:sz w:val="24"/>
                <w:szCs w:val="24"/>
              </w:rPr>
              <w:t xml:space="preserve">OUTCOME MEASURE </w:t>
            </w:r>
            <w:r w:rsidRPr="0007198D">
              <w:rPr>
                <w:rFonts w:ascii="Arial" w:hAnsi="Arial" w:cs="Arial"/>
                <w:b/>
                <w:noProof/>
                <w:sz w:val="24"/>
                <w:szCs w:val="24"/>
              </w:rPr>
              <w:t>9.2</w:t>
            </w:r>
          </w:p>
        </w:tc>
        <w:tc>
          <w:tcPr>
            <w:tcW w:w="5868" w:type="dxa"/>
            <w:shd w:val="clear" w:color="auto" w:fill="auto"/>
          </w:tcPr>
          <w:p w14:paraId="04A8D4A6" w14:textId="77777777" w:rsidR="0007198D" w:rsidRPr="0007198D" w:rsidRDefault="0007198D" w:rsidP="0007198D">
            <w:pPr>
              <w:spacing w:after="0" w:line="240" w:lineRule="auto"/>
              <w:rPr>
                <w:rFonts w:ascii="Arial" w:hAnsi="Arial" w:cs="Arial"/>
                <w:b/>
                <w:sz w:val="24"/>
                <w:szCs w:val="24"/>
              </w:rPr>
            </w:pPr>
            <w:r w:rsidRPr="0007198D">
              <w:rPr>
                <w:rFonts w:ascii="Arial" w:hAnsi="Arial" w:cs="Arial"/>
                <w:b/>
                <w:noProof/>
                <w:sz w:val="24"/>
                <w:szCs w:val="24"/>
              </w:rPr>
              <w:t>Neonatal mortality rate per 1,000 live births</w:t>
            </w:r>
          </w:p>
        </w:tc>
      </w:tr>
    </w:tbl>
    <w:p w14:paraId="033FF625" w14:textId="77777777" w:rsidR="0007198D" w:rsidRPr="0007198D" w:rsidRDefault="0007198D" w:rsidP="0007198D">
      <w:pPr>
        <w:spacing w:after="0" w:line="240" w:lineRule="auto"/>
      </w:pPr>
    </w:p>
    <w:p w14:paraId="47D29B1E" w14:textId="77777777" w:rsidR="0007198D" w:rsidRPr="0007198D" w:rsidRDefault="0007198D" w:rsidP="0007198D">
      <w:pPr>
        <w:spacing w:after="0" w:line="240" w:lineRule="auto"/>
      </w:pPr>
      <w:r w:rsidRPr="0007198D">
        <w:rPr>
          <w:noProof/>
        </w:rPr>
        <mc:AlternateContent>
          <mc:Choice Requires="wps">
            <w:drawing>
              <wp:anchor distT="4294967295" distB="4294967295" distL="114300" distR="114300" simplePos="0" relativeHeight="251758592" behindDoc="0" locked="0" layoutInCell="1" allowOverlap="1" wp14:anchorId="368B6405" wp14:editId="1C88D36F">
                <wp:simplePos x="0" y="0"/>
                <wp:positionH relativeFrom="column">
                  <wp:posOffset>-60960</wp:posOffset>
                </wp:positionH>
                <wp:positionV relativeFrom="paragraph">
                  <wp:posOffset>31749</wp:posOffset>
                </wp:positionV>
                <wp:extent cx="6088380" cy="0"/>
                <wp:effectExtent l="0" t="0" r="26670" b="19050"/>
                <wp:wrapNone/>
                <wp:docPr id="5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1B404EA" id="Straight Connector 3" o:spid="_x0000_s1026" style="position:absolute;z-index:251758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" strokecolor="windowText" strokeweight="1.75pt">
                <o:lock v:ext="edit" shapetype="f"/>
              </v:line>
            </w:pict>
          </mc:Fallback>
        </mc:AlternateContent>
      </w:r>
    </w:p>
    <w:tbl>
      <w:tblPr>
        <w:tblW w:w="9493" w:type="dxa"/>
        <w:tblLook w:val="04A0" w:firstRow="1" w:lastRow="0" w:firstColumn="1" w:lastColumn="0" w:noHBand="0" w:noVBand="1"/>
      </w:tblPr>
      <w:tblGrid>
        <w:gridCol w:w="3600"/>
        <w:gridCol w:w="3384"/>
        <w:gridCol w:w="2509"/>
      </w:tblGrid>
      <w:tr w:rsidR="0007198D" w:rsidRPr="0007198D" w14:paraId="55DDD79F" w14:textId="77777777" w:rsidTr="000C7A5D">
        <w:tc>
          <w:tcPr>
            <w:tcW w:w="3600" w:type="dxa"/>
            <w:shd w:val="clear" w:color="auto" w:fill="auto"/>
          </w:tcPr>
          <w:p w14:paraId="7595B825"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GOAL</w:t>
            </w:r>
          </w:p>
        </w:tc>
        <w:tc>
          <w:tcPr>
            <w:tcW w:w="5893" w:type="dxa"/>
            <w:gridSpan w:val="2"/>
            <w:shd w:val="clear" w:color="auto" w:fill="auto"/>
          </w:tcPr>
          <w:p w14:paraId="0BC66A04"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To reduce the rate of neonatal deaths.</w:t>
            </w:r>
          </w:p>
        </w:tc>
      </w:tr>
      <w:tr w:rsidR="0007198D" w:rsidRPr="0007198D" w14:paraId="01EA8DC6" w14:textId="77777777" w:rsidTr="000C7A5D">
        <w:tc>
          <w:tcPr>
            <w:tcW w:w="3600" w:type="dxa"/>
            <w:shd w:val="clear" w:color="auto" w:fill="auto"/>
          </w:tcPr>
          <w:p w14:paraId="3AA5C322"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043BB710" w14:textId="77777777" w:rsidR="0007198D" w:rsidRPr="0007198D" w:rsidRDefault="0007198D" w:rsidP="0007198D">
            <w:pPr>
              <w:spacing w:after="0" w:line="240" w:lineRule="auto"/>
              <w:rPr>
                <w:rFonts w:ascii="Arial" w:hAnsi="Arial" w:cs="Arial"/>
                <w:sz w:val="20"/>
                <w:szCs w:val="20"/>
              </w:rPr>
            </w:pPr>
          </w:p>
        </w:tc>
      </w:tr>
      <w:tr w:rsidR="0007198D" w:rsidRPr="0007198D" w14:paraId="35AAC669" w14:textId="77777777" w:rsidTr="000C7A5D">
        <w:tc>
          <w:tcPr>
            <w:tcW w:w="3600" w:type="dxa"/>
            <w:shd w:val="clear" w:color="auto" w:fill="auto"/>
          </w:tcPr>
          <w:p w14:paraId="1E4D97CF"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DEFINITION</w:t>
            </w:r>
          </w:p>
        </w:tc>
        <w:tc>
          <w:tcPr>
            <w:tcW w:w="5893" w:type="dxa"/>
            <w:gridSpan w:val="2"/>
            <w:shd w:val="clear" w:color="auto" w:fill="auto"/>
          </w:tcPr>
          <w:p w14:paraId="21C5A07E"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Numerator:</w:t>
            </w:r>
          </w:p>
        </w:tc>
      </w:tr>
      <w:tr w:rsidR="0007198D" w:rsidRPr="0007198D" w14:paraId="17208470" w14:textId="77777777" w:rsidTr="000C7A5D">
        <w:tc>
          <w:tcPr>
            <w:tcW w:w="3600" w:type="dxa"/>
            <w:shd w:val="clear" w:color="auto" w:fill="auto"/>
          </w:tcPr>
          <w:p w14:paraId="738A6C4E"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2069D517"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Number of deaths to infants under 28 days</w:t>
            </w:r>
          </w:p>
        </w:tc>
      </w:tr>
      <w:tr w:rsidR="0007198D" w:rsidRPr="0007198D" w14:paraId="672B3F45" w14:textId="77777777" w:rsidTr="000C7A5D">
        <w:tc>
          <w:tcPr>
            <w:tcW w:w="3600" w:type="dxa"/>
            <w:shd w:val="clear" w:color="auto" w:fill="auto"/>
          </w:tcPr>
          <w:p w14:paraId="55856F30"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7B076E9C" w14:textId="77777777" w:rsidR="0007198D" w:rsidRPr="0007198D" w:rsidRDefault="0007198D" w:rsidP="0007198D">
            <w:pPr>
              <w:spacing w:after="0" w:line="240" w:lineRule="auto"/>
              <w:rPr>
                <w:rFonts w:ascii="Arial" w:hAnsi="Arial" w:cs="Arial"/>
                <w:sz w:val="20"/>
                <w:szCs w:val="20"/>
              </w:rPr>
            </w:pPr>
          </w:p>
        </w:tc>
      </w:tr>
      <w:tr w:rsidR="0007198D" w:rsidRPr="0007198D" w14:paraId="419E3E1B" w14:textId="77777777" w:rsidTr="000C7A5D">
        <w:tc>
          <w:tcPr>
            <w:tcW w:w="3600" w:type="dxa"/>
            <w:shd w:val="clear" w:color="auto" w:fill="auto"/>
          </w:tcPr>
          <w:p w14:paraId="012729CA"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567AD730"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Denominator:</w:t>
            </w:r>
          </w:p>
        </w:tc>
      </w:tr>
      <w:tr w:rsidR="0007198D" w:rsidRPr="0007198D" w14:paraId="0D915CBE" w14:textId="77777777" w:rsidTr="000C7A5D">
        <w:tc>
          <w:tcPr>
            <w:tcW w:w="3600" w:type="dxa"/>
            <w:shd w:val="clear" w:color="auto" w:fill="auto"/>
          </w:tcPr>
          <w:p w14:paraId="6EC165CD"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0C6B5B11"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Number of live births</w:t>
            </w:r>
          </w:p>
        </w:tc>
      </w:tr>
      <w:tr w:rsidR="0007198D" w:rsidRPr="0007198D" w14:paraId="332622FC" w14:textId="77777777" w:rsidTr="000C7A5D">
        <w:tc>
          <w:tcPr>
            <w:tcW w:w="3600" w:type="dxa"/>
            <w:shd w:val="clear" w:color="auto" w:fill="auto"/>
          </w:tcPr>
          <w:p w14:paraId="1C9F9607"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314B5C71" w14:textId="77777777" w:rsidR="0007198D" w:rsidRPr="0007198D" w:rsidRDefault="0007198D" w:rsidP="0007198D">
            <w:pPr>
              <w:spacing w:after="0" w:line="240" w:lineRule="auto"/>
              <w:rPr>
                <w:rFonts w:ascii="Arial" w:hAnsi="Arial" w:cs="Arial"/>
                <w:sz w:val="20"/>
                <w:szCs w:val="20"/>
              </w:rPr>
            </w:pPr>
          </w:p>
        </w:tc>
      </w:tr>
      <w:tr w:rsidR="0007198D" w:rsidRPr="0007198D" w14:paraId="002427A7" w14:textId="77777777" w:rsidTr="000C7A5D">
        <w:tc>
          <w:tcPr>
            <w:tcW w:w="3600" w:type="dxa"/>
            <w:shd w:val="clear" w:color="auto" w:fill="auto"/>
          </w:tcPr>
          <w:p w14:paraId="5918DF68" w14:textId="77777777" w:rsidR="0007198D" w:rsidRPr="0007198D" w:rsidRDefault="0007198D" w:rsidP="0007198D">
            <w:pPr>
              <w:spacing w:after="0" w:line="240" w:lineRule="auto"/>
              <w:rPr>
                <w:rFonts w:ascii="Arial" w:hAnsi="Arial" w:cs="Arial"/>
                <w:b/>
                <w:sz w:val="20"/>
                <w:szCs w:val="20"/>
              </w:rPr>
            </w:pPr>
          </w:p>
        </w:tc>
        <w:tc>
          <w:tcPr>
            <w:tcW w:w="3384" w:type="dxa"/>
            <w:shd w:val="clear" w:color="auto" w:fill="auto"/>
          </w:tcPr>
          <w:p w14:paraId="2A3F8C06"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b/>
                <w:sz w:val="20"/>
                <w:szCs w:val="20"/>
              </w:rPr>
              <w:t>Units:</w:t>
            </w:r>
            <w:r w:rsidRPr="0007198D">
              <w:rPr>
                <w:rFonts w:ascii="Arial" w:hAnsi="Arial" w:cs="Arial"/>
                <w:sz w:val="20"/>
                <w:szCs w:val="20"/>
              </w:rPr>
              <w:t xml:space="preserve"> </w:t>
            </w:r>
            <w:r w:rsidRPr="0007198D">
              <w:rPr>
                <w:rFonts w:ascii="Arial" w:hAnsi="Arial" w:cs="Arial"/>
                <w:noProof/>
                <w:sz w:val="20"/>
                <w:szCs w:val="20"/>
              </w:rPr>
              <w:t>1,000</w:t>
            </w:r>
          </w:p>
        </w:tc>
        <w:tc>
          <w:tcPr>
            <w:tcW w:w="2509" w:type="dxa"/>
            <w:shd w:val="clear" w:color="auto" w:fill="auto"/>
          </w:tcPr>
          <w:p w14:paraId="62EB8397"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b/>
                <w:sz w:val="20"/>
                <w:szCs w:val="20"/>
              </w:rPr>
              <w:t>Text:</w:t>
            </w:r>
            <w:r w:rsidRPr="0007198D">
              <w:rPr>
                <w:rFonts w:ascii="Arial" w:hAnsi="Arial" w:cs="Arial"/>
                <w:sz w:val="20"/>
                <w:szCs w:val="20"/>
              </w:rPr>
              <w:t xml:space="preserve"> </w:t>
            </w:r>
            <w:r w:rsidRPr="0007198D">
              <w:rPr>
                <w:rFonts w:ascii="Arial" w:hAnsi="Arial" w:cs="Arial"/>
                <w:noProof/>
                <w:sz w:val="20"/>
                <w:szCs w:val="20"/>
              </w:rPr>
              <w:t>Rate</w:t>
            </w:r>
          </w:p>
        </w:tc>
      </w:tr>
      <w:tr w:rsidR="0007198D" w:rsidRPr="0007198D" w14:paraId="38C27DDC" w14:textId="77777777" w:rsidTr="000C7A5D">
        <w:tc>
          <w:tcPr>
            <w:tcW w:w="3600" w:type="dxa"/>
            <w:shd w:val="clear" w:color="auto" w:fill="auto"/>
          </w:tcPr>
          <w:p w14:paraId="0611E573"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779C0D98" w14:textId="77777777" w:rsidR="0007198D" w:rsidRPr="0007198D" w:rsidRDefault="0007198D" w:rsidP="0007198D">
            <w:pPr>
              <w:spacing w:after="0" w:line="240" w:lineRule="auto"/>
              <w:rPr>
                <w:rFonts w:ascii="Arial" w:hAnsi="Arial" w:cs="Arial"/>
                <w:sz w:val="20"/>
                <w:szCs w:val="20"/>
              </w:rPr>
            </w:pPr>
          </w:p>
        </w:tc>
      </w:tr>
      <w:tr w:rsidR="0007198D" w:rsidRPr="0007198D" w14:paraId="56CFF61B" w14:textId="77777777" w:rsidTr="000C7A5D">
        <w:trPr>
          <w:trHeight w:val="1431"/>
        </w:trPr>
        <w:tc>
          <w:tcPr>
            <w:tcW w:w="3600" w:type="dxa"/>
            <w:shd w:val="clear" w:color="auto" w:fill="auto"/>
          </w:tcPr>
          <w:p w14:paraId="18633B5D"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HEALTHY PEOPLE 2020 OBJECTIVE</w:t>
            </w:r>
          </w:p>
        </w:tc>
        <w:tc>
          <w:tcPr>
            <w:tcW w:w="5893" w:type="dxa"/>
            <w:gridSpan w:val="2"/>
            <w:shd w:val="clear" w:color="auto" w:fill="auto"/>
          </w:tcPr>
          <w:p w14:paraId="31E91B7A"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Identical to Maternal, Infant, and Child Health (MICH) Objective 1.4: Reduce the rate of neonatal deaths (within the first 28 days of life).  (Baseline: 4.5 neonatal deaths per 1,000 live births occurred within the first 28 days of life in 2006, Target: 4.1 neonatal deaths per 1,000 live births)</w:t>
            </w:r>
          </w:p>
        </w:tc>
      </w:tr>
      <w:tr w:rsidR="0007198D" w:rsidRPr="0007198D" w14:paraId="071CA6CA" w14:textId="77777777" w:rsidTr="000C7A5D">
        <w:tc>
          <w:tcPr>
            <w:tcW w:w="3600" w:type="dxa"/>
            <w:shd w:val="clear" w:color="auto" w:fill="auto"/>
          </w:tcPr>
          <w:p w14:paraId="03213B09"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2CE277DA" w14:textId="77777777" w:rsidR="0007198D" w:rsidRPr="0007198D" w:rsidRDefault="0007198D" w:rsidP="0007198D">
            <w:pPr>
              <w:spacing w:after="0" w:line="240" w:lineRule="auto"/>
              <w:rPr>
                <w:rFonts w:ascii="Arial" w:hAnsi="Arial" w:cs="Arial"/>
                <w:sz w:val="20"/>
                <w:szCs w:val="20"/>
              </w:rPr>
            </w:pPr>
          </w:p>
        </w:tc>
      </w:tr>
      <w:tr w:rsidR="0007198D" w:rsidRPr="0007198D" w14:paraId="187C3FE4" w14:textId="77777777" w:rsidTr="000C7A5D">
        <w:tc>
          <w:tcPr>
            <w:tcW w:w="3600" w:type="dxa"/>
            <w:shd w:val="clear" w:color="auto" w:fill="auto"/>
          </w:tcPr>
          <w:p w14:paraId="71374D86"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DATA SOURCES and DATA ISSUES</w:t>
            </w:r>
          </w:p>
        </w:tc>
        <w:tc>
          <w:tcPr>
            <w:tcW w:w="5893" w:type="dxa"/>
            <w:gridSpan w:val="2"/>
            <w:shd w:val="clear" w:color="auto" w:fill="auto"/>
          </w:tcPr>
          <w:p w14:paraId="71A60C15" w14:textId="77777777" w:rsidR="0007198D" w:rsidRPr="0007198D" w:rsidRDefault="0007198D" w:rsidP="0007198D">
            <w:pPr>
              <w:spacing w:after="0" w:line="240" w:lineRule="auto"/>
              <w:rPr>
                <w:rFonts w:ascii="Arial" w:hAnsi="Arial" w:cs="Arial"/>
                <w:noProof/>
                <w:sz w:val="20"/>
                <w:szCs w:val="20"/>
              </w:rPr>
            </w:pPr>
            <w:r w:rsidRPr="0007198D">
              <w:rPr>
                <w:rFonts w:ascii="Arial" w:hAnsi="Arial" w:cs="Arial"/>
                <w:noProof/>
                <w:sz w:val="20"/>
                <w:szCs w:val="20"/>
              </w:rPr>
              <w:t>National Vital Statistics System (NVSS) for states and territorities</w:t>
            </w:r>
          </w:p>
          <w:p w14:paraId="0A2A6BF5"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United Nations Interagency Group for Child Mortality Estimation for the Freely Associated States in the Pacific Basin</w:t>
            </w:r>
          </w:p>
        </w:tc>
      </w:tr>
      <w:tr w:rsidR="0007198D" w:rsidRPr="0007198D" w14:paraId="183BA920" w14:textId="77777777" w:rsidTr="000C7A5D">
        <w:trPr>
          <w:trHeight w:val="342"/>
        </w:trPr>
        <w:tc>
          <w:tcPr>
            <w:tcW w:w="3600" w:type="dxa"/>
            <w:shd w:val="clear" w:color="auto" w:fill="auto"/>
          </w:tcPr>
          <w:p w14:paraId="71ABD5E8"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683A1B71" w14:textId="77777777" w:rsidR="0007198D" w:rsidRPr="0007198D" w:rsidRDefault="0007198D" w:rsidP="0007198D">
            <w:pPr>
              <w:spacing w:after="0" w:line="240" w:lineRule="auto"/>
              <w:rPr>
                <w:rFonts w:ascii="Arial" w:hAnsi="Arial" w:cs="Arial"/>
                <w:sz w:val="20"/>
                <w:szCs w:val="20"/>
              </w:rPr>
            </w:pPr>
          </w:p>
        </w:tc>
      </w:tr>
      <w:tr w:rsidR="0007198D" w:rsidRPr="0007198D" w14:paraId="3CEB1F91" w14:textId="77777777" w:rsidTr="000C7A5D">
        <w:tc>
          <w:tcPr>
            <w:tcW w:w="3600" w:type="dxa"/>
            <w:shd w:val="clear" w:color="auto" w:fill="auto"/>
          </w:tcPr>
          <w:p w14:paraId="43D3F9C1"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SIGNIFICANCE</w:t>
            </w:r>
          </w:p>
        </w:tc>
        <w:tc>
          <w:tcPr>
            <w:tcW w:w="5893" w:type="dxa"/>
            <w:gridSpan w:val="2"/>
            <w:shd w:val="clear" w:color="auto" w:fill="auto"/>
          </w:tcPr>
          <w:p w14:paraId="362145BE" w14:textId="77777777" w:rsidR="0007198D" w:rsidRPr="0007198D" w:rsidRDefault="0007198D" w:rsidP="0007198D">
            <w:pPr>
              <w:spacing w:after="0" w:line="240" w:lineRule="auto"/>
              <w:rPr>
                <w:rFonts w:ascii="Arial" w:hAnsi="Arial" w:cs="Arial"/>
                <w:noProof/>
                <w:sz w:val="20"/>
                <w:szCs w:val="20"/>
              </w:rPr>
            </w:pPr>
            <w:r w:rsidRPr="0007198D">
              <w:rPr>
                <w:rFonts w:ascii="Arial" w:hAnsi="Arial" w:cs="Arial"/>
                <w:noProof/>
                <w:sz w:val="20"/>
                <w:szCs w:val="20"/>
              </w:rPr>
              <w:t>Neonatal deaths, within the first month of life, account for approximately two-thirds of all infant deaths in the U.S.  Neonatal mortality is related to gestational age, low birth weight, congenital malformations and health problems originating in the perinatal period, such as infections or birth trauma. A significant disparity exists in neonatal deaths between racial groups, especially for infants born to Black women. Non-Hispanic black women had the highest neonatal mortality rate in 2013 at 7.46, 2.2 times that for non-Hispanic white women (3.34). Neonatal mortality rates were also higher for Puerto Rican (4.23), American Indian/Alaska Native (4.11), and Mexican women (3.51) than for non-Hispanic white women.</w:t>
            </w:r>
          </w:p>
          <w:p w14:paraId="357D61B1" w14:textId="77777777" w:rsidR="0007198D" w:rsidRPr="0007198D" w:rsidRDefault="0007198D" w:rsidP="0007198D">
            <w:pPr>
              <w:spacing w:after="0" w:line="240" w:lineRule="auto"/>
              <w:rPr>
                <w:rFonts w:ascii="Arial" w:hAnsi="Arial" w:cs="Arial"/>
                <w:noProof/>
                <w:sz w:val="20"/>
                <w:szCs w:val="20"/>
              </w:rPr>
            </w:pPr>
          </w:p>
          <w:p w14:paraId="26198AB6"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sz w:val="20"/>
                <w:szCs w:val="20"/>
              </w:rPr>
              <w:t xml:space="preserve">Mathews TJ, MacDorman MF, Thoma ME. Infant Mortality Statistics From the 2013 Period Linked Birth/Infant Death Data Set. National Vital Statistics Reports. 2015 August 6. 64(9). </w:t>
            </w:r>
            <w:hyperlink r:id="rId89" w:history="1">
              <w:r w:rsidRPr="0007198D">
                <w:rPr>
                  <w:rFonts w:ascii="Arial" w:hAnsi="Arial" w:cs="Arial"/>
                  <w:color w:val="0000FF"/>
                  <w:sz w:val="20"/>
                  <w:szCs w:val="20"/>
                  <w:u w:val="single"/>
                </w:rPr>
                <w:t>https://www.cdc.gov/nchs/data/nvsr/nvsr64/nvsr64_09.pdf</w:t>
              </w:r>
            </w:hyperlink>
          </w:p>
        </w:tc>
      </w:tr>
      <w:tr w:rsidR="0007198D" w:rsidRPr="0007198D" w14:paraId="41682051" w14:textId="77777777" w:rsidTr="000C7A5D">
        <w:tc>
          <w:tcPr>
            <w:tcW w:w="3600" w:type="dxa"/>
            <w:shd w:val="clear" w:color="auto" w:fill="auto"/>
          </w:tcPr>
          <w:p w14:paraId="2326C10A" w14:textId="77777777" w:rsidR="0007198D" w:rsidRPr="0007198D" w:rsidRDefault="0007198D" w:rsidP="0007198D">
            <w:pPr>
              <w:spacing w:after="0" w:line="240" w:lineRule="auto"/>
              <w:rPr>
                <w:rFonts w:ascii="Arial" w:hAnsi="Arial" w:cs="Arial"/>
                <w:sz w:val="20"/>
                <w:szCs w:val="20"/>
              </w:rPr>
            </w:pPr>
          </w:p>
        </w:tc>
        <w:tc>
          <w:tcPr>
            <w:tcW w:w="5893" w:type="dxa"/>
            <w:gridSpan w:val="2"/>
            <w:shd w:val="clear" w:color="auto" w:fill="auto"/>
          </w:tcPr>
          <w:p w14:paraId="20C85B6D" w14:textId="77777777" w:rsidR="0007198D" w:rsidRPr="0007198D" w:rsidRDefault="0007198D" w:rsidP="0007198D">
            <w:pPr>
              <w:spacing w:after="0" w:line="240" w:lineRule="auto"/>
              <w:rPr>
                <w:rFonts w:ascii="Arial" w:hAnsi="Arial" w:cs="Arial"/>
                <w:sz w:val="20"/>
                <w:szCs w:val="20"/>
              </w:rPr>
            </w:pPr>
          </w:p>
        </w:tc>
      </w:tr>
    </w:tbl>
    <w:p w14:paraId="52AC9459" w14:textId="77777777" w:rsidR="0007198D" w:rsidRPr="0007198D" w:rsidRDefault="0007198D" w:rsidP="0007198D">
      <w:pPr>
        <w:spacing w:after="0" w:line="240" w:lineRule="auto"/>
        <w:sectPr w:rsidR="0007198D" w:rsidRPr="0007198D" w:rsidSect="00514C00">
          <w:pgSz w:w="12240" w:h="15840"/>
          <w:pgMar w:top="1440" w:right="1440" w:bottom="1440" w:left="1440" w:header="720" w:footer="720" w:gutter="0"/>
          <w:cols w:space="720"/>
          <w:docGrid w:linePitch="360"/>
        </w:sectPr>
      </w:pPr>
    </w:p>
    <w:tbl>
      <w:tblPr>
        <w:tblW w:w="0" w:type="auto"/>
        <w:tblLook w:val="04A0" w:firstRow="1" w:lastRow="0" w:firstColumn="1" w:lastColumn="0" w:noHBand="0" w:noVBand="1"/>
      </w:tblPr>
      <w:tblGrid>
        <w:gridCol w:w="3618"/>
        <w:gridCol w:w="5868"/>
      </w:tblGrid>
      <w:tr w:rsidR="0007198D" w:rsidRPr="0007198D" w14:paraId="14FC25CD" w14:textId="77777777" w:rsidTr="000C7A5D">
        <w:tc>
          <w:tcPr>
            <w:tcW w:w="3618" w:type="dxa"/>
            <w:shd w:val="clear" w:color="auto" w:fill="auto"/>
          </w:tcPr>
          <w:p w14:paraId="41C3FAC4" w14:textId="77777777" w:rsidR="0007198D" w:rsidRPr="0007198D" w:rsidRDefault="0007198D" w:rsidP="0007198D">
            <w:pPr>
              <w:spacing w:after="0" w:line="240" w:lineRule="auto"/>
              <w:rPr>
                <w:rFonts w:ascii="Arial" w:hAnsi="Arial" w:cs="Arial"/>
                <w:b/>
                <w:sz w:val="24"/>
                <w:szCs w:val="24"/>
              </w:rPr>
            </w:pPr>
            <w:r w:rsidRPr="0007198D">
              <w:rPr>
                <w:rFonts w:ascii="Arial" w:hAnsi="Arial" w:cs="Arial"/>
                <w:b/>
                <w:sz w:val="24"/>
                <w:szCs w:val="24"/>
              </w:rPr>
              <w:t xml:space="preserve">OUTCOME MEASURE </w:t>
            </w:r>
            <w:r w:rsidRPr="0007198D">
              <w:rPr>
                <w:rFonts w:ascii="Arial" w:hAnsi="Arial" w:cs="Arial"/>
                <w:b/>
                <w:noProof/>
                <w:sz w:val="24"/>
                <w:szCs w:val="24"/>
              </w:rPr>
              <w:t>9.3</w:t>
            </w:r>
          </w:p>
        </w:tc>
        <w:tc>
          <w:tcPr>
            <w:tcW w:w="5868" w:type="dxa"/>
            <w:shd w:val="clear" w:color="auto" w:fill="auto"/>
          </w:tcPr>
          <w:p w14:paraId="16780247" w14:textId="77777777" w:rsidR="0007198D" w:rsidRPr="0007198D" w:rsidRDefault="0007198D" w:rsidP="0007198D">
            <w:pPr>
              <w:spacing w:after="0" w:line="240" w:lineRule="auto"/>
              <w:rPr>
                <w:rFonts w:ascii="Arial" w:hAnsi="Arial" w:cs="Arial"/>
                <w:b/>
                <w:sz w:val="24"/>
                <w:szCs w:val="24"/>
              </w:rPr>
            </w:pPr>
            <w:r w:rsidRPr="0007198D">
              <w:rPr>
                <w:rFonts w:ascii="Arial" w:hAnsi="Arial" w:cs="Arial"/>
                <w:b/>
                <w:noProof/>
                <w:sz w:val="24"/>
                <w:szCs w:val="24"/>
              </w:rPr>
              <w:t>Postneonatal mortality rate per 1,000 live births</w:t>
            </w:r>
          </w:p>
        </w:tc>
      </w:tr>
    </w:tbl>
    <w:p w14:paraId="2842F24E" w14:textId="77777777" w:rsidR="0007198D" w:rsidRPr="0007198D" w:rsidRDefault="0007198D" w:rsidP="0007198D">
      <w:pPr>
        <w:spacing w:after="0" w:line="240" w:lineRule="auto"/>
      </w:pPr>
    </w:p>
    <w:p w14:paraId="2B566318" w14:textId="77777777" w:rsidR="0007198D" w:rsidRPr="0007198D" w:rsidRDefault="0007198D" w:rsidP="0007198D">
      <w:pPr>
        <w:spacing w:after="0" w:line="240" w:lineRule="auto"/>
      </w:pPr>
      <w:r w:rsidRPr="0007198D">
        <w:rPr>
          <w:noProof/>
        </w:rPr>
        <mc:AlternateContent>
          <mc:Choice Requires="wps">
            <w:drawing>
              <wp:anchor distT="4294967295" distB="4294967295" distL="114300" distR="114300" simplePos="0" relativeHeight="251759616" behindDoc="0" locked="0" layoutInCell="1" allowOverlap="1" wp14:anchorId="482404F8" wp14:editId="28DF680D">
                <wp:simplePos x="0" y="0"/>
                <wp:positionH relativeFrom="column">
                  <wp:posOffset>-60960</wp:posOffset>
                </wp:positionH>
                <wp:positionV relativeFrom="paragraph">
                  <wp:posOffset>31749</wp:posOffset>
                </wp:positionV>
                <wp:extent cx="6088380" cy="0"/>
                <wp:effectExtent l="0" t="0" r="26670" b="19050"/>
                <wp:wrapNone/>
                <wp:docPr id="5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EBBB1EC" id="Straight Connector 4" o:spid="_x0000_s1026" style="position:absolute;z-index:251759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" strokecolor="windowText" strokeweight="1.75pt">
                <o:lock v:ext="edit" shapetype="f"/>
              </v:line>
            </w:pict>
          </mc:Fallback>
        </mc:AlternateContent>
      </w:r>
    </w:p>
    <w:tbl>
      <w:tblPr>
        <w:tblW w:w="9493" w:type="dxa"/>
        <w:tblLook w:val="04A0" w:firstRow="1" w:lastRow="0" w:firstColumn="1" w:lastColumn="0" w:noHBand="0" w:noVBand="1"/>
      </w:tblPr>
      <w:tblGrid>
        <w:gridCol w:w="3600"/>
        <w:gridCol w:w="3384"/>
        <w:gridCol w:w="2509"/>
      </w:tblGrid>
      <w:tr w:rsidR="0007198D" w:rsidRPr="0007198D" w14:paraId="26C03A40" w14:textId="77777777" w:rsidTr="000C7A5D">
        <w:tc>
          <w:tcPr>
            <w:tcW w:w="3600" w:type="dxa"/>
            <w:shd w:val="clear" w:color="auto" w:fill="auto"/>
          </w:tcPr>
          <w:p w14:paraId="2C245182"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GOAL</w:t>
            </w:r>
          </w:p>
        </w:tc>
        <w:tc>
          <w:tcPr>
            <w:tcW w:w="5893" w:type="dxa"/>
            <w:gridSpan w:val="2"/>
            <w:shd w:val="clear" w:color="auto" w:fill="auto"/>
          </w:tcPr>
          <w:p w14:paraId="0857AE23"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To reduce the rate of postneonatal deaths.</w:t>
            </w:r>
          </w:p>
        </w:tc>
      </w:tr>
      <w:tr w:rsidR="0007198D" w:rsidRPr="0007198D" w14:paraId="3E8ECD6D" w14:textId="77777777" w:rsidTr="000C7A5D">
        <w:tc>
          <w:tcPr>
            <w:tcW w:w="3600" w:type="dxa"/>
            <w:shd w:val="clear" w:color="auto" w:fill="auto"/>
          </w:tcPr>
          <w:p w14:paraId="3787724E"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6238F7FF" w14:textId="77777777" w:rsidR="0007198D" w:rsidRPr="0007198D" w:rsidRDefault="0007198D" w:rsidP="0007198D">
            <w:pPr>
              <w:spacing w:after="0" w:line="240" w:lineRule="auto"/>
              <w:rPr>
                <w:rFonts w:ascii="Arial" w:hAnsi="Arial" w:cs="Arial"/>
                <w:sz w:val="20"/>
                <w:szCs w:val="20"/>
              </w:rPr>
            </w:pPr>
          </w:p>
        </w:tc>
      </w:tr>
      <w:tr w:rsidR="0007198D" w:rsidRPr="0007198D" w14:paraId="613CAA41" w14:textId="77777777" w:rsidTr="000C7A5D">
        <w:tc>
          <w:tcPr>
            <w:tcW w:w="3600" w:type="dxa"/>
            <w:shd w:val="clear" w:color="auto" w:fill="auto"/>
          </w:tcPr>
          <w:p w14:paraId="076B95A2"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DEFINITION</w:t>
            </w:r>
          </w:p>
        </w:tc>
        <w:tc>
          <w:tcPr>
            <w:tcW w:w="5893" w:type="dxa"/>
            <w:gridSpan w:val="2"/>
            <w:shd w:val="clear" w:color="auto" w:fill="auto"/>
          </w:tcPr>
          <w:p w14:paraId="455822D2"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Numerator:</w:t>
            </w:r>
          </w:p>
        </w:tc>
      </w:tr>
      <w:tr w:rsidR="0007198D" w:rsidRPr="0007198D" w14:paraId="3B958B2D" w14:textId="77777777" w:rsidTr="000C7A5D">
        <w:tc>
          <w:tcPr>
            <w:tcW w:w="3600" w:type="dxa"/>
            <w:shd w:val="clear" w:color="auto" w:fill="auto"/>
          </w:tcPr>
          <w:p w14:paraId="6F5C62E4"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464AB884"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Number of deaths to infants 28 through 364 days of age</w:t>
            </w:r>
          </w:p>
        </w:tc>
      </w:tr>
      <w:tr w:rsidR="0007198D" w:rsidRPr="0007198D" w14:paraId="2AB8E3AF" w14:textId="77777777" w:rsidTr="000C7A5D">
        <w:tc>
          <w:tcPr>
            <w:tcW w:w="3600" w:type="dxa"/>
            <w:shd w:val="clear" w:color="auto" w:fill="auto"/>
          </w:tcPr>
          <w:p w14:paraId="73091469"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3E6102E5" w14:textId="77777777" w:rsidR="0007198D" w:rsidRPr="0007198D" w:rsidRDefault="0007198D" w:rsidP="0007198D">
            <w:pPr>
              <w:spacing w:after="0" w:line="240" w:lineRule="auto"/>
              <w:rPr>
                <w:rFonts w:ascii="Arial" w:hAnsi="Arial" w:cs="Arial"/>
                <w:sz w:val="20"/>
                <w:szCs w:val="20"/>
              </w:rPr>
            </w:pPr>
          </w:p>
        </w:tc>
      </w:tr>
      <w:tr w:rsidR="0007198D" w:rsidRPr="0007198D" w14:paraId="08F2511C" w14:textId="77777777" w:rsidTr="000C7A5D">
        <w:tc>
          <w:tcPr>
            <w:tcW w:w="3600" w:type="dxa"/>
            <w:shd w:val="clear" w:color="auto" w:fill="auto"/>
          </w:tcPr>
          <w:p w14:paraId="120377E9"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2A1BD620"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Denominator:</w:t>
            </w:r>
          </w:p>
        </w:tc>
      </w:tr>
      <w:tr w:rsidR="0007198D" w:rsidRPr="0007198D" w14:paraId="47AA633F" w14:textId="77777777" w:rsidTr="000C7A5D">
        <w:tc>
          <w:tcPr>
            <w:tcW w:w="3600" w:type="dxa"/>
            <w:shd w:val="clear" w:color="auto" w:fill="auto"/>
          </w:tcPr>
          <w:p w14:paraId="531E5D96"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4EF92918"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Number of live births</w:t>
            </w:r>
          </w:p>
        </w:tc>
      </w:tr>
      <w:tr w:rsidR="0007198D" w:rsidRPr="0007198D" w14:paraId="3246891A" w14:textId="77777777" w:rsidTr="000C7A5D">
        <w:tc>
          <w:tcPr>
            <w:tcW w:w="3600" w:type="dxa"/>
            <w:shd w:val="clear" w:color="auto" w:fill="auto"/>
          </w:tcPr>
          <w:p w14:paraId="6EAE4672"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2ED16619" w14:textId="77777777" w:rsidR="0007198D" w:rsidRPr="0007198D" w:rsidRDefault="0007198D" w:rsidP="0007198D">
            <w:pPr>
              <w:spacing w:after="0" w:line="240" w:lineRule="auto"/>
              <w:rPr>
                <w:rFonts w:ascii="Arial" w:hAnsi="Arial" w:cs="Arial"/>
                <w:sz w:val="20"/>
                <w:szCs w:val="20"/>
              </w:rPr>
            </w:pPr>
          </w:p>
        </w:tc>
      </w:tr>
      <w:tr w:rsidR="0007198D" w:rsidRPr="0007198D" w14:paraId="3E9CB483" w14:textId="77777777" w:rsidTr="000C7A5D">
        <w:tc>
          <w:tcPr>
            <w:tcW w:w="3600" w:type="dxa"/>
            <w:shd w:val="clear" w:color="auto" w:fill="auto"/>
          </w:tcPr>
          <w:p w14:paraId="570670E0" w14:textId="77777777" w:rsidR="0007198D" w:rsidRPr="0007198D" w:rsidRDefault="0007198D" w:rsidP="0007198D">
            <w:pPr>
              <w:spacing w:after="0" w:line="240" w:lineRule="auto"/>
              <w:rPr>
                <w:rFonts w:ascii="Arial" w:hAnsi="Arial" w:cs="Arial"/>
                <w:b/>
                <w:sz w:val="20"/>
                <w:szCs w:val="20"/>
              </w:rPr>
            </w:pPr>
          </w:p>
        </w:tc>
        <w:tc>
          <w:tcPr>
            <w:tcW w:w="3384" w:type="dxa"/>
            <w:shd w:val="clear" w:color="auto" w:fill="auto"/>
          </w:tcPr>
          <w:p w14:paraId="2D2537B0"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b/>
                <w:sz w:val="20"/>
                <w:szCs w:val="20"/>
              </w:rPr>
              <w:t>Units:</w:t>
            </w:r>
            <w:r w:rsidRPr="0007198D">
              <w:rPr>
                <w:rFonts w:ascii="Arial" w:hAnsi="Arial" w:cs="Arial"/>
                <w:sz w:val="20"/>
                <w:szCs w:val="20"/>
              </w:rPr>
              <w:t xml:space="preserve"> </w:t>
            </w:r>
            <w:r w:rsidRPr="0007198D">
              <w:rPr>
                <w:rFonts w:ascii="Arial" w:hAnsi="Arial" w:cs="Arial"/>
                <w:noProof/>
                <w:sz w:val="20"/>
                <w:szCs w:val="20"/>
              </w:rPr>
              <w:t>1,000</w:t>
            </w:r>
          </w:p>
        </w:tc>
        <w:tc>
          <w:tcPr>
            <w:tcW w:w="2509" w:type="dxa"/>
            <w:shd w:val="clear" w:color="auto" w:fill="auto"/>
          </w:tcPr>
          <w:p w14:paraId="07D62D83"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b/>
                <w:sz w:val="20"/>
                <w:szCs w:val="20"/>
              </w:rPr>
              <w:t>Text:</w:t>
            </w:r>
            <w:r w:rsidRPr="0007198D">
              <w:rPr>
                <w:rFonts w:ascii="Arial" w:hAnsi="Arial" w:cs="Arial"/>
                <w:sz w:val="20"/>
                <w:szCs w:val="20"/>
              </w:rPr>
              <w:t xml:space="preserve"> </w:t>
            </w:r>
            <w:r w:rsidRPr="0007198D">
              <w:rPr>
                <w:rFonts w:ascii="Arial" w:hAnsi="Arial" w:cs="Arial"/>
                <w:noProof/>
                <w:sz w:val="20"/>
                <w:szCs w:val="20"/>
              </w:rPr>
              <w:t>Rate</w:t>
            </w:r>
          </w:p>
        </w:tc>
      </w:tr>
      <w:tr w:rsidR="0007198D" w:rsidRPr="0007198D" w14:paraId="56DFDB5E" w14:textId="77777777" w:rsidTr="000C7A5D">
        <w:tc>
          <w:tcPr>
            <w:tcW w:w="3600" w:type="dxa"/>
            <w:shd w:val="clear" w:color="auto" w:fill="auto"/>
          </w:tcPr>
          <w:p w14:paraId="1CC5C8BA"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6AB257D1" w14:textId="77777777" w:rsidR="0007198D" w:rsidRPr="0007198D" w:rsidRDefault="0007198D" w:rsidP="0007198D">
            <w:pPr>
              <w:spacing w:after="0" w:line="240" w:lineRule="auto"/>
              <w:rPr>
                <w:rFonts w:ascii="Arial" w:hAnsi="Arial" w:cs="Arial"/>
                <w:sz w:val="20"/>
                <w:szCs w:val="20"/>
              </w:rPr>
            </w:pPr>
          </w:p>
        </w:tc>
      </w:tr>
      <w:tr w:rsidR="0007198D" w:rsidRPr="0007198D" w14:paraId="6A5B6530" w14:textId="77777777" w:rsidTr="000C7A5D">
        <w:tc>
          <w:tcPr>
            <w:tcW w:w="3600" w:type="dxa"/>
            <w:shd w:val="clear" w:color="auto" w:fill="auto"/>
          </w:tcPr>
          <w:p w14:paraId="64EF9B4F"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HEALTHY PEOPLE 2020 OBJECTIVE</w:t>
            </w:r>
          </w:p>
        </w:tc>
        <w:tc>
          <w:tcPr>
            <w:tcW w:w="5893" w:type="dxa"/>
            <w:gridSpan w:val="2"/>
            <w:shd w:val="clear" w:color="auto" w:fill="auto"/>
          </w:tcPr>
          <w:p w14:paraId="572610B2"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Identical to Maternal, Infant, and Child Health (MICH) Objective 1.5: Reduce the rate of postneonatal deaths (between 28 days and 1 year).  (Baseline: 2.2 postneonatal deaths per 1,000 live births occurred between 28 days and 1 year of life in 2006, Target: 2.0 postneonatal deaths per 1,000 live births)</w:t>
            </w:r>
          </w:p>
        </w:tc>
      </w:tr>
      <w:tr w:rsidR="0007198D" w:rsidRPr="0007198D" w14:paraId="244B1BDD" w14:textId="77777777" w:rsidTr="000C7A5D">
        <w:tc>
          <w:tcPr>
            <w:tcW w:w="3600" w:type="dxa"/>
            <w:shd w:val="clear" w:color="auto" w:fill="auto"/>
          </w:tcPr>
          <w:p w14:paraId="4F45CB30"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4390C7BB" w14:textId="77777777" w:rsidR="0007198D" w:rsidRPr="0007198D" w:rsidRDefault="0007198D" w:rsidP="0007198D">
            <w:pPr>
              <w:spacing w:after="0" w:line="240" w:lineRule="auto"/>
              <w:rPr>
                <w:rFonts w:ascii="Arial" w:hAnsi="Arial" w:cs="Arial"/>
                <w:sz w:val="20"/>
                <w:szCs w:val="20"/>
              </w:rPr>
            </w:pPr>
          </w:p>
        </w:tc>
      </w:tr>
      <w:tr w:rsidR="0007198D" w:rsidRPr="0007198D" w14:paraId="3DEF6944" w14:textId="77777777" w:rsidTr="000C7A5D">
        <w:tc>
          <w:tcPr>
            <w:tcW w:w="3600" w:type="dxa"/>
            <w:shd w:val="clear" w:color="auto" w:fill="auto"/>
          </w:tcPr>
          <w:p w14:paraId="7078B956"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DATA SOURCES and DATA ISSUES</w:t>
            </w:r>
          </w:p>
        </w:tc>
        <w:tc>
          <w:tcPr>
            <w:tcW w:w="5893" w:type="dxa"/>
            <w:gridSpan w:val="2"/>
            <w:shd w:val="clear" w:color="auto" w:fill="auto"/>
          </w:tcPr>
          <w:p w14:paraId="626B0017"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National Vital Statistics System (NVSS)</w:t>
            </w:r>
          </w:p>
        </w:tc>
      </w:tr>
      <w:tr w:rsidR="0007198D" w:rsidRPr="0007198D" w14:paraId="24405741" w14:textId="77777777" w:rsidTr="000C7A5D">
        <w:tc>
          <w:tcPr>
            <w:tcW w:w="3600" w:type="dxa"/>
            <w:shd w:val="clear" w:color="auto" w:fill="auto"/>
          </w:tcPr>
          <w:p w14:paraId="24A639A9"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17FEC7B6" w14:textId="77777777" w:rsidR="0007198D" w:rsidRPr="0007198D" w:rsidRDefault="0007198D" w:rsidP="0007198D">
            <w:pPr>
              <w:spacing w:after="0" w:line="240" w:lineRule="auto"/>
              <w:rPr>
                <w:rFonts w:ascii="Arial" w:hAnsi="Arial" w:cs="Arial"/>
                <w:sz w:val="20"/>
                <w:szCs w:val="20"/>
              </w:rPr>
            </w:pPr>
          </w:p>
        </w:tc>
      </w:tr>
      <w:tr w:rsidR="0007198D" w:rsidRPr="0007198D" w14:paraId="4202296D" w14:textId="77777777" w:rsidTr="000C7A5D">
        <w:tc>
          <w:tcPr>
            <w:tcW w:w="3600" w:type="dxa"/>
            <w:shd w:val="clear" w:color="auto" w:fill="auto"/>
          </w:tcPr>
          <w:p w14:paraId="53600CB0"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SIGNIFICANCE</w:t>
            </w:r>
          </w:p>
        </w:tc>
        <w:tc>
          <w:tcPr>
            <w:tcW w:w="5893" w:type="dxa"/>
            <w:gridSpan w:val="2"/>
            <w:shd w:val="clear" w:color="auto" w:fill="auto"/>
          </w:tcPr>
          <w:p w14:paraId="26D39EFF" w14:textId="77777777" w:rsidR="0007198D" w:rsidRPr="0007198D" w:rsidRDefault="0007198D" w:rsidP="0007198D">
            <w:pPr>
              <w:spacing w:after="0" w:line="240" w:lineRule="auto"/>
              <w:rPr>
                <w:rFonts w:ascii="Arial" w:hAnsi="Arial" w:cs="Arial"/>
                <w:noProof/>
                <w:sz w:val="20"/>
                <w:szCs w:val="20"/>
              </w:rPr>
            </w:pPr>
            <w:r w:rsidRPr="0007198D">
              <w:rPr>
                <w:rFonts w:ascii="Arial" w:hAnsi="Arial" w:cs="Arial"/>
                <w:noProof/>
                <w:sz w:val="20"/>
                <w:szCs w:val="20"/>
              </w:rPr>
              <w:t xml:space="preserve">Postneonatal deaths, which occur from one month up to one year after birth, account for approximately one-third of all infant deaths in the U.S. Postneonatal mortality is generally related to Sudden Unexpected Infant Death (SUID)/Sudden Infant Death Syndrome (SIDS), unintentional injuries and congenital malformations.  Similar to overall infant mortality, infants of non-Hispanic black (3.65) and AIAN (3.5) women had the highest postneonatal mortality rates of any group—more than twice those for non-Hispanic white women (1.71) in 2013. </w:t>
            </w:r>
          </w:p>
          <w:p w14:paraId="1F87550F" w14:textId="77777777" w:rsidR="0007198D" w:rsidRPr="0007198D" w:rsidRDefault="0007198D" w:rsidP="0007198D">
            <w:pPr>
              <w:spacing w:after="0" w:line="240" w:lineRule="auto"/>
              <w:rPr>
                <w:rFonts w:ascii="Arial" w:hAnsi="Arial" w:cs="Arial"/>
                <w:noProof/>
                <w:sz w:val="20"/>
                <w:szCs w:val="20"/>
              </w:rPr>
            </w:pPr>
          </w:p>
          <w:p w14:paraId="25D6F1AC"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sz w:val="20"/>
                <w:szCs w:val="20"/>
              </w:rPr>
              <w:t xml:space="preserve">Mathews TJ, MacDorman MF, Thoma ME. Infant Mortality Statistics From the 2013 Period Linked Birth/Infant Death Data Set. National Vital Statistics Reports. 2015 August 6. 64(9). </w:t>
            </w:r>
            <w:hyperlink r:id="rId90" w:history="1">
              <w:r w:rsidRPr="0007198D">
                <w:rPr>
                  <w:rFonts w:ascii="Arial" w:hAnsi="Arial" w:cs="Arial"/>
                  <w:color w:val="0000FF"/>
                  <w:sz w:val="20"/>
                  <w:szCs w:val="20"/>
                  <w:u w:val="single"/>
                </w:rPr>
                <w:t>https://www.cdc.gov/nchs/data/nvsr/nvsr64/nvsr64_09.pdf</w:t>
              </w:r>
            </w:hyperlink>
          </w:p>
        </w:tc>
      </w:tr>
      <w:tr w:rsidR="0007198D" w:rsidRPr="0007198D" w14:paraId="6789ABAD" w14:textId="77777777" w:rsidTr="000C7A5D">
        <w:tc>
          <w:tcPr>
            <w:tcW w:w="3600" w:type="dxa"/>
            <w:shd w:val="clear" w:color="auto" w:fill="auto"/>
          </w:tcPr>
          <w:p w14:paraId="67FC218C" w14:textId="77777777" w:rsidR="0007198D" w:rsidRPr="0007198D" w:rsidRDefault="0007198D" w:rsidP="0007198D">
            <w:pPr>
              <w:spacing w:after="0" w:line="240" w:lineRule="auto"/>
              <w:rPr>
                <w:rFonts w:ascii="Arial" w:hAnsi="Arial" w:cs="Arial"/>
                <w:sz w:val="20"/>
                <w:szCs w:val="20"/>
              </w:rPr>
            </w:pPr>
          </w:p>
        </w:tc>
        <w:tc>
          <w:tcPr>
            <w:tcW w:w="5893" w:type="dxa"/>
            <w:gridSpan w:val="2"/>
            <w:shd w:val="clear" w:color="auto" w:fill="auto"/>
          </w:tcPr>
          <w:p w14:paraId="4E9FE7BA" w14:textId="77777777" w:rsidR="0007198D" w:rsidRPr="0007198D" w:rsidRDefault="0007198D" w:rsidP="0007198D">
            <w:pPr>
              <w:spacing w:after="0" w:line="240" w:lineRule="auto"/>
              <w:rPr>
                <w:rFonts w:ascii="Arial" w:hAnsi="Arial" w:cs="Arial"/>
                <w:sz w:val="20"/>
                <w:szCs w:val="20"/>
              </w:rPr>
            </w:pPr>
          </w:p>
        </w:tc>
      </w:tr>
    </w:tbl>
    <w:p w14:paraId="278BF546" w14:textId="77777777" w:rsidR="0007198D" w:rsidRPr="0007198D" w:rsidRDefault="0007198D" w:rsidP="0007198D">
      <w:r w:rsidRPr="0007198D">
        <w:br w:type="page"/>
      </w:r>
    </w:p>
    <w:tbl>
      <w:tblPr>
        <w:tblW w:w="0" w:type="auto"/>
        <w:tblLook w:val="04A0" w:firstRow="1" w:lastRow="0" w:firstColumn="1" w:lastColumn="0" w:noHBand="0" w:noVBand="1"/>
      </w:tblPr>
      <w:tblGrid>
        <w:gridCol w:w="3618"/>
        <w:gridCol w:w="5868"/>
      </w:tblGrid>
      <w:tr w:rsidR="0007198D" w:rsidRPr="0007198D" w14:paraId="256B6237" w14:textId="77777777" w:rsidTr="000C7A5D">
        <w:tc>
          <w:tcPr>
            <w:tcW w:w="3618" w:type="dxa"/>
            <w:shd w:val="clear" w:color="auto" w:fill="auto"/>
          </w:tcPr>
          <w:p w14:paraId="3F4D47B6" w14:textId="77777777" w:rsidR="0007198D" w:rsidRPr="0007198D" w:rsidRDefault="0007198D" w:rsidP="0007198D">
            <w:pPr>
              <w:spacing w:after="0" w:line="240" w:lineRule="auto"/>
              <w:rPr>
                <w:rFonts w:ascii="Arial" w:hAnsi="Arial" w:cs="Arial"/>
                <w:b/>
                <w:sz w:val="24"/>
                <w:szCs w:val="24"/>
              </w:rPr>
            </w:pPr>
            <w:r w:rsidRPr="0007198D">
              <w:rPr>
                <w:rFonts w:ascii="Arial" w:hAnsi="Arial" w:cs="Arial"/>
                <w:b/>
                <w:sz w:val="24"/>
                <w:szCs w:val="24"/>
              </w:rPr>
              <w:t>OUTCOME MEASURE 9.4</w:t>
            </w:r>
          </w:p>
        </w:tc>
        <w:tc>
          <w:tcPr>
            <w:tcW w:w="5868" w:type="dxa"/>
            <w:shd w:val="clear" w:color="auto" w:fill="auto"/>
          </w:tcPr>
          <w:p w14:paraId="12C4DD53" w14:textId="77777777" w:rsidR="0007198D" w:rsidRPr="0007198D" w:rsidRDefault="0007198D" w:rsidP="0007198D">
            <w:pPr>
              <w:spacing w:after="0" w:line="240" w:lineRule="auto"/>
              <w:rPr>
                <w:rFonts w:ascii="Arial" w:hAnsi="Arial" w:cs="Arial"/>
                <w:b/>
                <w:sz w:val="24"/>
                <w:szCs w:val="24"/>
              </w:rPr>
            </w:pPr>
            <w:r w:rsidRPr="0007198D">
              <w:rPr>
                <w:rFonts w:ascii="Arial" w:hAnsi="Arial" w:cs="Arial"/>
                <w:b/>
                <w:noProof/>
                <w:sz w:val="24"/>
                <w:szCs w:val="24"/>
              </w:rPr>
              <w:t>Preterm-related mortality rate per 100,000 live births</w:t>
            </w:r>
          </w:p>
        </w:tc>
      </w:tr>
    </w:tbl>
    <w:p w14:paraId="23A3A023" w14:textId="77777777" w:rsidR="0007198D" w:rsidRPr="0007198D" w:rsidRDefault="0007198D" w:rsidP="0007198D">
      <w:pPr>
        <w:spacing w:after="0" w:line="240" w:lineRule="auto"/>
      </w:pPr>
    </w:p>
    <w:p w14:paraId="5743357B" w14:textId="77777777" w:rsidR="0007198D" w:rsidRPr="0007198D" w:rsidRDefault="0007198D" w:rsidP="0007198D">
      <w:pPr>
        <w:spacing w:after="0" w:line="240" w:lineRule="auto"/>
      </w:pPr>
      <w:r w:rsidRPr="0007198D">
        <w:rPr>
          <w:noProof/>
        </w:rPr>
        <mc:AlternateContent>
          <mc:Choice Requires="wps">
            <w:drawing>
              <wp:anchor distT="4294967295" distB="4294967295" distL="114300" distR="114300" simplePos="0" relativeHeight="251762688" behindDoc="0" locked="0" layoutInCell="1" allowOverlap="1" wp14:anchorId="1DA778EA" wp14:editId="3CD679B5">
                <wp:simplePos x="0" y="0"/>
                <wp:positionH relativeFrom="column">
                  <wp:posOffset>-60960</wp:posOffset>
                </wp:positionH>
                <wp:positionV relativeFrom="paragraph">
                  <wp:posOffset>31749</wp:posOffset>
                </wp:positionV>
                <wp:extent cx="6088380" cy="0"/>
                <wp:effectExtent l="0" t="0" r="26670" b="19050"/>
                <wp:wrapNone/>
                <wp:docPr id="5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34F774C" id="Straight Connector 2" o:spid="_x0000_s1026" style="position:absolute;z-index:251762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" strokecolor="windowText" strokeweight="1.75pt">
                <o:lock v:ext="edit" shapetype="f"/>
              </v:line>
            </w:pict>
          </mc:Fallback>
        </mc:AlternateContent>
      </w:r>
    </w:p>
    <w:tbl>
      <w:tblPr>
        <w:tblW w:w="9493" w:type="dxa"/>
        <w:tblLook w:val="04A0" w:firstRow="1" w:lastRow="0" w:firstColumn="1" w:lastColumn="0" w:noHBand="0" w:noVBand="1"/>
      </w:tblPr>
      <w:tblGrid>
        <w:gridCol w:w="3600"/>
        <w:gridCol w:w="3384"/>
        <w:gridCol w:w="2509"/>
      </w:tblGrid>
      <w:tr w:rsidR="0007198D" w:rsidRPr="0007198D" w14:paraId="4C7D6E0F" w14:textId="77777777" w:rsidTr="000C7A5D">
        <w:tc>
          <w:tcPr>
            <w:tcW w:w="3600" w:type="dxa"/>
            <w:shd w:val="clear" w:color="auto" w:fill="auto"/>
          </w:tcPr>
          <w:p w14:paraId="4867968F"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GOAL</w:t>
            </w:r>
          </w:p>
        </w:tc>
        <w:tc>
          <w:tcPr>
            <w:tcW w:w="5893" w:type="dxa"/>
            <w:gridSpan w:val="2"/>
            <w:shd w:val="clear" w:color="auto" w:fill="auto"/>
          </w:tcPr>
          <w:p w14:paraId="4907D4D9"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To reduce the rate of preterm-related death.</w:t>
            </w:r>
          </w:p>
        </w:tc>
      </w:tr>
      <w:tr w:rsidR="0007198D" w:rsidRPr="0007198D" w14:paraId="22CA27C9" w14:textId="77777777" w:rsidTr="000C7A5D">
        <w:tc>
          <w:tcPr>
            <w:tcW w:w="3600" w:type="dxa"/>
            <w:shd w:val="clear" w:color="auto" w:fill="auto"/>
          </w:tcPr>
          <w:p w14:paraId="02F41E81"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6A42E14D" w14:textId="77777777" w:rsidR="0007198D" w:rsidRPr="0007198D" w:rsidRDefault="0007198D" w:rsidP="0007198D">
            <w:pPr>
              <w:spacing w:after="0" w:line="240" w:lineRule="auto"/>
              <w:rPr>
                <w:rFonts w:ascii="Arial" w:hAnsi="Arial" w:cs="Arial"/>
                <w:sz w:val="20"/>
                <w:szCs w:val="20"/>
              </w:rPr>
            </w:pPr>
          </w:p>
        </w:tc>
      </w:tr>
      <w:tr w:rsidR="0007198D" w:rsidRPr="0007198D" w14:paraId="2A5C7EF5" w14:textId="77777777" w:rsidTr="000C7A5D">
        <w:tc>
          <w:tcPr>
            <w:tcW w:w="3600" w:type="dxa"/>
            <w:shd w:val="clear" w:color="auto" w:fill="auto"/>
          </w:tcPr>
          <w:p w14:paraId="40650836"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DEFINITION</w:t>
            </w:r>
          </w:p>
        </w:tc>
        <w:tc>
          <w:tcPr>
            <w:tcW w:w="5893" w:type="dxa"/>
            <w:gridSpan w:val="2"/>
            <w:shd w:val="clear" w:color="auto" w:fill="auto"/>
          </w:tcPr>
          <w:p w14:paraId="7EF8D050"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Numerator:</w:t>
            </w:r>
          </w:p>
        </w:tc>
      </w:tr>
      <w:tr w:rsidR="0007198D" w:rsidRPr="0007198D" w14:paraId="21754734" w14:textId="77777777" w:rsidTr="000C7A5D">
        <w:tc>
          <w:tcPr>
            <w:tcW w:w="3600" w:type="dxa"/>
            <w:shd w:val="clear" w:color="auto" w:fill="auto"/>
          </w:tcPr>
          <w:p w14:paraId="397F3414"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5FFDAA25"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Number of deaths due to preterm-related causes.  Causes are defined as preterm-related if 75% or more of infants whose deaths were attributed to that cause were born at at less than 37 weeks of gestation, and the cause of death was a direct consequence of preterm birth based on a clinical evaluation and review of the literature.  This includes low birth weight, several maternal complications, respiratory distress, bacterial sepsis, etc.  To be included as a preterm-related death, the infant must have been born preterm  (&lt;37 completed weeks of gestation) with the underlying cause of death assigned to one of the following ICD-10 categories: K550, P000, P010, P011, P015, P020, P021, P027, P070–P073, P102, P220–229, P250–279, P280, P281, P360–369, P520–523, and P77.</w:t>
            </w:r>
          </w:p>
        </w:tc>
      </w:tr>
      <w:tr w:rsidR="0007198D" w:rsidRPr="0007198D" w14:paraId="417CB663" w14:textId="77777777" w:rsidTr="000C7A5D">
        <w:tc>
          <w:tcPr>
            <w:tcW w:w="3600" w:type="dxa"/>
            <w:shd w:val="clear" w:color="auto" w:fill="auto"/>
          </w:tcPr>
          <w:p w14:paraId="2B394FBD"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50B4C1D4" w14:textId="77777777" w:rsidR="0007198D" w:rsidRPr="0007198D" w:rsidRDefault="0007198D" w:rsidP="0007198D">
            <w:pPr>
              <w:spacing w:after="0" w:line="240" w:lineRule="auto"/>
              <w:rPr>
                <w:rFonts w:ascii="Arial" w:hAnsi="Arial" w:cs="Arial"/>
                <w:sz w:val="20"/>
                <w:szCs w:val="20"/>
              </w:rPr>
            </w:pPr>
          </w:p>
        </w:tc>
      </w:tr>
      <w:tr w:rsidR="0007198D" w:rsidRPr="0007198D" w14:paraId="391E2014" w14:textId="77777777" w:rsidTr="000C7A5D">
        <w:tc>
          <w:tcPr>
            <w:tcW w:w="3600" w:type="dxa"/>
            <w:shd w:val="clear" w:color="auto" w:fill="auto"/>
          </w:tcPr>
          <w:p w14:paraId="686DBBAB"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54C588CE"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Denominator:</w:t>
            </w:r>
          </w:p>
        </w:tc>
      </w:tr>
      <w:tr w:rsidR="0007198D" w:rsidRPr="0007198D" w14:paraId="6D7F855B" w14:textId="77777777" w:rsidTr="000C7A5D">
        <w:tc>
          <w:tcPr>
            <w:tcW w:w="3600" w:type="dxa"/>
            <w:shd w:val="clear" w:color="auto" w:fill="auto"/>
          </w:tcPr>
          <w:p w14:paraId="53C15F8E"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3C7B9E95"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Number of live births</w:t>
            </w:r>
          </w:p>
        </w:tc>
      </w:tr>
      <w:tr w:rsidR="0007198D" w:rsidRPr="0007198D" w14:paraId="378EA7C7" w14:textId="77777777" w:rsidTr="000C7A5D">
        <w:tc>
          <w:tcPr>
            <w:tcW w:w="3600" w:type="dxa"/>
            <w:shd w:val="clear" w:color="auto" w:fill="auto"/>
          </w:tcPr>
          <w:p w14:paraId="502BDBFC"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3DA329FD" w14:textId="77777777" w:rsidR="0007198D" w:rsidRPr="0007198D" w:rsidRDefault="0007198D" w:rsidP="0007198D">
            <w:pPr>
              <w:spacing w:after="0" w:line="240" w:lineRule="auto"/>
              <w:rPr>
                <w:rFonts w:ascii="Arial" w:hAnsi="Arial" w:cs="Arial"/>
                <w:sz w:val="20"/>
                <w:szCs w:val="20"/>
              </w:rPr>
            </w:pPr>
          </w:p>
        </w:tc>
      </w:tr>
      <w:tr w:rsidR="0007198D" w:rsidRPr="0007198D" w14:paraId="038663A8" w14:textId="77777777" w:rsidTr="000C7A5D">
        <w:tc>
          <w:tcPr>
            <w:tcW w:w="3600" w:type="dxa"/>
            <w:shd w:val="clear" w:color="auto" w:fill="auto"/>
          </w:tcPr>
          <w:p w14:paraId="76C7411A" w14:textId="77777777" w:rsidR="0007198D" w:rsidRPr="0007198D" w:rsidRDefault="0007198D" w:rsidP="0007198D">
            <w:pPr>
              <w:spacing w:after="0" w:line="240" w:lineRule="auto"/>
              <w:rPr>
                <w:rFonts w:ascii="Arial" w:hAnsi="Arial" w:cs="Arial"/>
                <w:b/>
                <w:sz w:val="20"/>
                <w:szCs w:val="20"/>
              </w:rPr>
            </w:pPr>
          </w:p>
        </w:tc>
        <w:tc>
          <w:tcPr>
            <w:tcW w:w="3384" w:type="dxa"/>
            <w:shd w:val="clear" w:color="auto" w:fill="auto"/>
          </w:tcPr>
          <w:p w14:paraId="55196B0B"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b/>
                <w:sz w:val="20"/>
                <w:szCs w:val="20"/>
              </w:rPr>
              <w:t>Units:</w:t>
            </w:r>
            <w:r w:rsidRPr="0007198D">
              <w:rPr>
                <w:rFonts w:ascii="Arial" w:hAnsi="Arial" w:cs="Arial"/>
                <w:sz w:val="20"/>
                <w:szCs w:val="20"/>
              </w:rPr>
              <w:t xml:space="preserve"> </w:t>
            </w:r>
            <w:r w:rsidRPr="0007198D">
              <w:rPr>
                <w:rFonts w:ascii="Arial" w:hAnsi="Arial" w:cs="Arial"/>
                <w:noProof/>
                <w:sz w:val="20"/>
                <w:szCs w:val="20"/>
              </w:rPr>
              <w:t>100,000</w:t>
            </w:r>
          </w:p>
        </w:tc>
        <w:tc>
          <w:tcPr>
            <w:tcW w:w="2509" w:type="dxa"/>
            <w:shd w:val="clear" w:color="auto" w:fill="auto"/>
          </w:tcPr>
          <w:p w14:paraId="4B2C74B7"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b/>
                <w:sz w:val="20"/>
                <w:szCs w:val="20"/>
              </w:rPr>
              <w:t>Text:</w:t>
            </w:r>
            <w:r w:rsidRPr="0007198D">
              <w:rPr>
                <w:rFonts w:ascii="Arial" w:hAnsi="Arial" w:cs="Arial"/>
                <w:sz w:val="20"/>
                <w:szCs w:val="20"/>
              </w:rPr>
              <w:t xml:space="preserve"> </w:t>
            </w:r>
            <w:r w:rsidRPr="0007198D">
              <w:rPr>
                <w:rFonts w:ascii="Arial" w:hAnsi="Arial" w:cs="Arial"/>
                <w:noProof/>
                <w:sz w:val="20"/>
                <w:szCs w:val="20"/>
              </w:rPr>
              <w:t>Rate</w:t>
            </w:r>
          </w:p>
        </w:tc>
      </w:tr>
      <w:tr w:rsidR="0007198D" w:rsidRPr="0007198D" w14:paraId="3EEB7D28" w14:textId="77777777" w:rsidTr="000C7A5D">
        <w:tc>
          <w:tcPr>
            <w:tcW w:w="3600" w:type="dxa"/>
            <w:shd w:val="clear" w:color="auto" w:fill="auto"/>
          </w:tcPr>
          <w:p w14:paraId="55A9C8F8"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6D8FC0FC" w14:textId="77777777" w:rsidR="0007198D" w:rsidRPr="0007198D" w:rsidRDefault="0007198D" w:rsidP="0007198D">
            <w:pPr>
              <w:spacing w:after="0" w:line="240" w:lineRule="auto"/>
              <w:rPr>
                <w:rFonts w:ascii="Arial" w:hAnsi="Arial" w:cs="Arial"/>
                <w:sz w:val="20"/>
                <w:szCs w:val="20"/>
              </w:rPr>
            </w:pPr>
          </w:p>
        </w:tc>
      </w:tr>
      <w:tr w:rsidR="0007198D" w:rsidRPr="0007198D" w14:paraId="54A525EB" w14:textId="77777777" w:rsidTr="000C7A5D">
        <w:tc>
          <w:tcPr>
            <w:tcW w:w="3600" w:type="dxa"/>
            <w:shd w:val="clear" w:color="auto" w:fill="auto"/>
          </w:tcPr>
          <w:p w14:paraId="6B2D39E0"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HEALTHY PEOPLE 2020 OBJECTIVE</w:t>
            </w:r>
          </w:p>
        </w:tc>
        <w:tc>
          <w:tcPr>
            <w:tcW w:w="5893" w:type="dxa"/>
            <w:gridSpan w:val="2"/>
            <w:shd w:val="clear" w:color="auto" w:fill="auto"/>
          </w:tcPr>
          <w:p w14:paraId="4112381E" w14:textId="77777777" w:rsidR="0007198D" w:rsidRPr="0007198D" w:rsidRDefault="0007198D" w:rsidP="0007198D">
            <w:pPr>
              <w:spacing w:after="0" w:line="240" w:lineRule="auto"/>
              <w:rPr>
                <w:rFonts w:ascii="Arial" w:hAnsi="Arial" w:cs="Arial"/>
                <w:noProof/>
                <w:sz w:val="20"/>
                <w:szCs w:val="20"/>
              </w:rPr>
            </w:pPr>
            <w:r w:rsidRPr="0007198D">
              <w:rPr>
                <w:rFonts w:ascii="Arial" w:hAnsi="Arial" w:cs="Arial"/>
                <w:noProof/>
                <w:sz w:val="20"/>
                <w:szCs w:val="20"/>
              </w:rPr>
              <w:t>Related to Maternal, Infant, and Child Health (MICH) Objective 1.3: Reduce the rate of all infant deaths (within 1 year).  (Baseline: 6.7 infant deaths per 1,000 live births within the first year of life in 2006, Target: 6.0 infant deaths per 1,000 live births)</w:t>
            </w:r>
          </w:p>
          <w:p w14:paraId="72FFA68B" w14:textId="77777777" w:rsidR="0007198D" w:rsidRPr="0007198D" w:rsidRDefault="0007198D" w:rsidP="0007198D">
            <w:pPr>
              <w:spacing w:after="0" w:line="240" w:lineRule="auto"/>
              <w:rPr>
                <w:rFonts w:ascii="Arial" w:hAnsi="Arial" w:cs="Arial"/>
                <w:sz w:val="20"/>
                <w:szCs w:val="20"/>
              </w:rPr>
            </w:pPr>
          </w:p>
        </w:tc>
      </w:tr>
      <w:tr w:rsidR="0007198D" w:rsidRPr="0007198D" w14:paraId="686A0D98" w14:textId="77777777" w:rsidTr="000C7A5D">
        <w:tc>
          <w:tcPr>
            <w:tcW w:w="3600" w:type="dxa"/>
            <w:shd w:val="clear" w:color="auto" w:fill="auto"/>
          </w:tcPr>
          <w:p w14:paraId="5EAC9949"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1E817B76" w14:textId="77777777" w:rsidR="0007198D" w:rsidRPr="0007198D" w:rsidRDefault="0007198D" w:rsidP="0007198D">
            <w:pPr>
              <w:spacing w:after="0" w:line="240" w:lineRule="auto"/>
              <w:rPr>
                <w:rFonts w:ascii="Arial" w:hAnsi="Arial" w:cs="Arial"/>
                <w:sz w:val="20"/>
                <w:szCs w:val="20"/>
              </w:rPr>
            </w:pPr>
          </w:p>
        </w:tc>
      </w:tr>
      <w:tr w:rsidR="0007198D" w:rsidRPr="0007198D" w14:paraId="046CA82F" w14:textId="77777777" w:rsidTr="000C7A5D">
        <w:tc>
          <w:tcPr>
            <w:tcW w:w="3600" w:type="dxa"/>
            <w:shd w:val="clear" w:color="auto" w:fill="auto"/>
          </w:tcPr>
          <w:p w14:paraId="4798751B"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DATA SOURCES and DATA ISSUES</w:t>
            </w:r>
          </w:p>
        </w:tc>
        <w:tc>
          <w:tcPr>
            <w:tcW w:w="5893" w:type="dxa"/>
            <w:gridSpan w:val="2"/>
            <w:shd w:val="clear" w:color="auto" w:fill="auto"/>
          </w:tcPr>
          <w:p w14:paraId="3ED1746F"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National Vital Statistics System (NVSS)</w:t>
            </w:r>
          </w:p>
        </w:tc>
      </w:tr>
      <w:tr w:rsidR="0007198D" w:rsidRPr="0007198D" w14:paraId="24F0B21E" w14:textId="77777777" w:rsidTr="000C7A5D">
        <w:tc>
          <w:tcPr>
            <w:tcW w:w="3600" w:type="dxa"/>
            <w:shd w:val="clear" w:color="auto" w:fill="auto"/>
          </w:tcPr>
          <w:p w14:paraId="577CCF17"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6A219226" w14:textId="77777777" w:rsidR="0007198D" w:rsidRPr="0007198D" w:rsidRDefault="0007198D" w:rsidP="0007198D">
            <w:pPr>
              <w:spacing w:after="0" w:line="240" w:lineRule="auto"/>
              <w:rPr>
                <w:rFonts w:ascii="Arial" w:hAnsi="Arial" w:cs="Arial"/>
                <w:sz w:val="20"/>
                <w:szCs w:val="20"/>
              </w:rPr>
            </w:pPr>
          </w:p>
        </w:tc>
      </w:tr>
      <w:tr w:rsidR="0007198D" w:rsidRPr="0007198D" w14:paraId="50ECFB48" w14:textId="77777777" w:rsidTr="000C7A5D">
        <w:tc>
          <w:tcPr>
            <w:tcW w:w="3600" w:type="dxa"/>
            <w:shd w:val="clear" w:color="auto" w:fill="auto"/>
          </w:tcPr>
          <w:p w14:paraId="40EDFB78"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SIGNIFICANCE</w:t>
            </w:r>
          </w:p>
        </w:tc>
        <w:tc>
          <w:tcPr>
            <w:tcW w:w="5893" w:type="dxa"/>
            <w:gridSpan w:val="2"/>
            <w:shd w:val="clear" w:color="auto" w:fill="auto"/>
          </w:tcPr>
          <w:p w14:paraId="04D50AE1" w14:textId="77777777" w:rsidR="0007198D" w:rsidRPr="0007198D" w:rsidRDefault="0007198D" w:rsidP="0007198D">
            <w:pPr>
              <w:spacing w:after="0" w:line="240" w:lineRule="auto"/>
              <w:rPr>
                <w:rFonts w:ascii="Arial" w:hAnsi="Arial" w:cs="Arial"/>
                <w:noProof/>
                <w:sz w:val="20"/>
                <w:szCs w:val="20"/>
              </w:rPr>
            </w:pPr>
            <w:r w:rsidRPr="0007198D">
              <w:rPr>
                <w:rFonts w:ascii="Arial" w:hAnsi="Arial" w:cs="Arial"/>
                <w:noProof/>
                <w:sz w:val="20"/>
                <w:szCs w:val="20"/>
              </w:rPr>
              <w:t xml:space="preserve">Preterm birth is a leading cause of infant mortality, accounting for approximately one-third of all infant deaths.  Preterm-related mortality can be prevented both by reducing preterm birth as well as improving access to risk-appropriate perinatal care for infants born prematurely.  Similar to preterm birth and overall infant mortality, there are significant racial/ethnic disparities in preterm-related mortality. In 2013, the preterm-related mortality rates were highest for infants born to non-Hispanic black and Puerto Rican women (3 and 1.5 times higher than non-Hispanic white women).  Preterm-related deaths account for over half of the overall infant mortality gap between non-Hispanic blacks and non-Hispanic whites and almost all of the gap between Puerto-Ricans and non-Hispanic whites. </w:t>
            </w:r>
          </w:p>
          <w:p w14:paraId="7C0F1CDF" w14:textId="77777777" w:rsidR="0007198D" w:rsidRPr="0007198D" w:rsidRDefault="0007198D" w:rsidP="0007198D">
            <w:pPr>
              <w:spacing w:after="0" w:line="240" w:lineRule="auto"/>
              <w:rPr>
                <w:rFonts w:ascii="Arial" w:hAnsi="Arial" w:cs="Arial"/>
                <w:noProof/>
                <w:sz w:val="20"/>
                <w:szCs w:val="20"/>
              </w:rPr>
            </w:pPr>
          </w:p>
          <w:p w14:paraId="6AD38D9F"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sz w:val="20"/>
                <w:szCs w:val="20"/>
              </w:rPr>
              <w:t xml:space="preserve">Mathews TJ, MacDorman MF, Thoma ME. Infant Mortality Statistics From the 2013 Period Linked Birth/Infant Death Data Set. National Vital Statistics Reports. 2015 August 6. 64(9). </w:t>
            </w:r>
            <w:hyperlink r:id="rId91" w:history="1">
              <w:r w:rsidRPr="0007198D">
                <w:rPr>
                  <w:rFonts w:ascii="Arial" w:hAnsi="Arial" w:cs="Arial"/>
                  <w:color w:val="0000FF"/>
                  <w:sz w:val="20"/>
                  <w:szCs w:val="20"/>
                  <w:u w:val="single"/>
                </w:rPr>
                <w:t>https://www.cdc.gov/nchs/data/nvsr/nvsr64/nvsr64_09.pdf</w:t>
              </w:r>
            </w:hyperlink>
          </w:p>
        </w:tc>
      </w:tr>
      <w:tr w:rsidR="0007198D" w:rsidRPr="0007198D" w14:paraId="4470EE76" w14:textId="77777777" w:rsidTr="000C7A5D">
        <w:tc>
          <w:tcPr>
            <w:tcW w:w="3600" w:type="dxa"/>
            <w:shd w:val="clear" w:color="auto" w:fill="auto"/>
          </w:tcPr>
          <w:p w14:paraId="2E70D000" w14:textId="77777777" w:rsidR="0007198D" w:rsidRPr="0007198D" w:rsidRDefault="0007198D" w:rsidP="0007198D">
            <w:pPr>
              <w:spacing w:after="0" w:line="240" w:lineRule="auto"/>
              <w:rPr>
                <w:rFonts w:ascii="Arial" w:hAnsi="Arial" w:cs="Arial"/>
                <w:sz w:val="20"/>
                <w:szCs w:val="20"/>
              </w:rPr>
            </w:pPr>
          </w:p>
        </w:tc>
        <w:tc>
          <w:tcPr>
            <w:tcW w:w="5893" w:type="dxa"/>
            <w:gridSpan w:val="2"/>
            <w:shd w:val="clear" w:color="auto" w:fill="auto"/>
          </w:tcPr>
          <w:p w14:paraId="38E8577B" w14:textId="77777777" w:rsidR="0007198D" w:rsidRPr="0007198D" w:rsidRDefault="0007198D" w:rsidP="0007198D">
            <w:pPr>
              <w:spacing w:after="0" w:line="240" w:lineRule="auto"/>
              <w:rPr>
                <w:rFonts w:ascii="Arial" w:hAnsi="Arial" w:cs="Arial"/>
                <w:sz w:val="20"/>
                <w:szCs w:val="20"/>
              </w:rPr>
            </w:pPr>
          </w:p>
        </w:tc>
      </w:tr>
    </w:tbl>
    <w:p w14:paraId="3B790A78" w14:textId="77777777" w:rsidR="0007198D" w:rsidRPr="0007198D" w:rsidRDefault="0007198D" w:rsidP="0007198D">
      <w:pPr>
        <w:spacing w:after="0" w:line="240" w:lineRule="auto"/>
        <w:sectPr w:rsidR="0007198D" w:rsidRPr="0007198D" w:rsidSect="00514C00">
          <w:pgSz w:w="12240" w:h="15840"/>
          <w:pgMar w:top="1440" w:right="1440" w:bottom="1440" w:left="1440" w:header="720" w:footer="720" w:gutter="0"/>
          <w:cols w:space="720"/>
          <w:docGrid w:linePitch="360"/>
        </w:sectPr>
      </w:pPr>
    </w:p>
    <w:tbl>
      <w:tblPr>
        <w:tblW w:w="0" w:type="auto"/>
        <w:tblLook w:val="04A0" w:firstRow="1" w:lastRow="0" w:firstColumn="1" w:lastColumn="0" w:noHBand="0" w:noVBand="1"/>
      </w:tblPr>
      <w:tblGrid>
        <w:gridCol w:w="3618"/>
        <w:gridCol w:w="5868"/>
      </w:tblGrid>
      <w:tr w:rsidR="0007198D" w:rsidRPr="0007198D" w14:paraId="7783CCF7" w14:textId="77777777" w:rsidTr="000C7A5D">
        <w:tc>
          <w:tcPr>
            <w:tcW w:w="3618" w:type="dxa"/>
            <w:shd w:val="clear" w:color="auto" w:fill="auto"/>
          </w:tcPr>
          <w:p w14:paraId="2D93831F" w14:textId="77777777" w:rsidR="0007198D" w:rsidRPr="0007198D" w:rsidRDefault="0007198D" w:rsidP="0007198D">
            <w:pPr>
              <w:spacing w:after="0" w:line="240" w:lineRule="auto"/>
              <w:rPr>
                <w:rFonts w:ascii="Arial" w:hAnsi="Arial" w:cs="Arial"/>
                <w:b/>
                <w:sz w:val="24"/>
                <w:szCs w:val="24"/>
              </w:rPr>
            </w:pPr>
            <w:r w:rsidRPr="0007198D">
              <w:rPr>
                <w:rFonts w:ascii="Arial" w:hAnsi="Arial" w:cs="Arial"/>
                <w:b/>
                <w:sz w:val="24"/>
                <w:szCs w:val="24"/>
              </w:rPr>
              <w:t xml:space="preserve">OUTCOME MEASURE </w:t>
            </w:r>
            <w:r w:rsidRPr="0007198D">
              <w:rPr>
                <w:rFonts w:ascii="Arial" w:hAnsi="Arial" w:cs="Arial"/>
                <w:b/>
                <w:noProof/>
                <w:sz w:val="24"/>
                <w:szCs w:val="24"/>
              </w:rPr>
              <w:t>9.5</w:t>
            </w:r>
          </w:p>
        </w:tc>
        <w:tc>
          <w:tcPr>
            <w:tcW w:w="5868" w:type="dxa"/>
            <w:shd w:val="clear" w:color="auto" w:fill="auto"/>
          </w:tcPr>
          <w:p w14:paraId="0F1A1AD3" w14:textId="77777777" w:rsidR="0007198D" w:rsidRPr="0007198D" w:rsidRDefault="0007198D" w:rsidP="0007198D">
            <w:pPr>
              <w:spacing w:after="0" w:line="240" w:lineRule="auto"/>
              <w:rPr>
                <w:rFonts w:ascii="Arial" w:hAnsi="Arial" w:cs="Arial"/>
                <w:b/>
                <w:sz w:val="24"/>
                <w:szCs w:val="24"/>
              </w:rPr>
            </w:pPr>
            <w:r w:rsidRPr="0007198D">
              <w:rPr>
                <w:rFonts w:ascii="Arial" w:hAnsi="Arial" w:cs="Arial"/>
                <w:b/>
                <w:noProof/>
                <w:sz w:val="24"/>
                <w:szCs w:val="24"/>
              </w:rPr>
              <w:t>Sleep-related Sudden Unexpected Infant Death (SUID) rate per 100,000 live births</w:t>
            </w:r>
          </w:p>
        </w:tc>
      </w:tr>
    </w:tbl>
    <w:p w14:paraId="165B2867" w14:textId="77777777" w:rsidR="0007198D" w:rsidRPr="0007198D" w:rsidRDefault="0007198D" w:rsidP="0007198D">
      <w:pPr>
        <w:spacing w:after="0" w:line="240" w:lineRule="auto"/>
      </w:pPr>
    </w:p>
    <w:p w14:paraId="4229B6E2" w14:textId="77777777" w:rsidR="0007198D" w:rsidRPr="0007198D" w:rsidRDefault="0007198D" w:rsidP="0007198D">
      <w:pPr>
        <w:spacing w:after="0" w:line="240" w:lineRule="auto"/>
      </w:pPr>
      <w:r w:rsidRPr="0007198D">
        <w:rPr>
          <w:noProof/>
        </w:rPr>
        <mc:AlternateContent>
          <mc:Choice Requires="wps">
            <w:drawing>
              <wp:anchor distT="4294967295" distB="4294967295" distL="114300" distR="114300" simplePos="0" relativeHeight="251760640" behindDoc="0" locked="0" layoutInCell="1" allowOverlap="1" wp14:anchorId="0B07E049" wp14:editId="48340797">
                <wp:simplePos x="0" y="0"/>
                <wp:positionH relativeFrom="column">
                  <wp:posOffset>-60960</wp:posOffset>
                </wp:positionH>
                <wp:positionV relativeFrom="paragraph">
                  <wp:posOffset>31749</wp:posOffset>
                </wp:positionV>
                <wp:extent cx="6088380" cy="0"/>
                <wp:effectExtent l="0" t="0" r="26670" b="19050"/>
                <wp:wrapNone/>
                <wp:docPr id="5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C9C071" id="Straight Connector 6" o:spid="_x0000_s1026" style="position:absolute;z-index:251760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" strokecolor="windowText" strokeweight="1.75pt">
                <o:lock v:ext="edit" shapetype="f"/>
              </v:line>
            </w:pict>
          </mc:Fallback>
        </mc:AlternateContent>
      </w:r>
    </w:p>
    <w:tbl>
      <w:tblPr>
        <w:tblW w:w="9493" w:type="dxa"/>
        <w:tblLook w:val="04A0" w:firstRow="1" w:lastRow="0" w:firstColumn="1" w:lastColumn="0" w:noHBand="0" w:noVBand="1"/>
      </w:tblPr>
      <w:tblGrid>
        <w:gridCol w:w="3600"/>
        <w:gridCol w:w="3384"/>
        <w:gridCol w:w="2509"/>
      </w:tblGrid>
      <w:tr w:rsidR="0007198D" w:rsidRPr="0007198D" w14:paraId="54F19A84" w14:textId="77777777" w:rsidTr="000C7A5D">
        <w:tc>
          <w:tcPr>
            <w:tcW w:w="3600" w:type="dxa"/>
            <w:shd w:val="clear" w:color="auto" w:fill="auto"/>
          </w:tcPr>
          <w:p w14:paraId="5559D02C"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GOAL</w:t>
            </w:r>
          </w:p>
        </w:tc>
        <w:tc>
          <w:tcPr>
            <w:tcW w:w="5893" w:type="dxa"/>
            <w:gridSpan w:val="2"/>
            <w:shd w:val="clear" w:color="auto" w:fill="auto"/>
          </w:tcPr>
          <w:p w14:paraId="7193FA2E"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 xml:space="preserve">To reduce the rate sleep-related SUIDs </w:t>
            </w:r>
          </w:p>
        </w:tc>
      </w:tr>
      <w:tr w:rsidR="0007198D" w:rsidRPr="0007198D" w14:paraId="2EAFE153" w14:textId="77777777" w:rsidTr="000C7A5D">
        <w:tc>
          <w:tcPr>
            <w:tcW w:w="3600" w:type="dxa"/>
            <w:shd w:val="clear" w:color="auto" w:fill="auto"/>
          </w:tcPr>
          <w:p w14:paraId="53C191B1"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43FF280A" w14:textId="77777777" w:rsidR="0007198D" w:rsidRPr="0007198D" w:rsidRDefault="0007198D" w:rsidP="0007198D">
            <w:pPr>
              <w:spacing w:after="0" w:line="240" w:lineRule="auto"/>
              <w:rPr>
                <w:rFonts w:ascii="Arial" w:hAnsi="Arial" w:cs="Arial"/>
                <w:sz w:val="20"/>
                <w:szCs w:val="20"/>
              </w:rPr>
            </w:pPr>
          </w:p>
        </w:tc>
      </w:tr>
      <w:tr w:rsidR="0007198D" w:rsidRPr="0007198D" w14:paraId="23E58A8F" w14:textId="77777777" w:rsidTr="000C7A5D">
        <w:tc>
          <w:tcPr>
            <w:tcW w:w="3600" w:type="dxa"/>
            <w:shd w:val="clear" w:color="auto" w:fill="auto"/>
          </w:tcPr>
          <w:p w14:paraId="2C63F0E4"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DEFINITION</w:t>
            </w:r>
          </w:p>
        </w:tc>
        <w:tc>
          <w:tcPr>
            <w:tcW w:w="5893" w:type="dxa"/>
            <w:gridSpan w:val="2"/>
            <w:shd w:val="clear" w:color="auto" w:fill="auto"/>
          </w:tcPr>
          <w:p w14:paraId="111D1619"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Numerator:</w:t>
            </w:r>
          </w:p>
        </w:tc>
      </w:tr>
      <w:tr w:rsidR="0007198D" w:rsidRPr="0007198D" w14:paraId="3BE5DCC1" w14:textId="77777777" w:rsidTr="000C7A5D">
        <w:tc>
          <w:tcPr>
            <w:tcW w:w="3600" w:type="dxa"/>
            <w:shd w:val="clear" w:color="auto" w:fill="auto"/>
          </w:tcPr>
          <w:p w14:paraId="380162BF"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28360837"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Number of sleep-related SUID deaths, including SIDS (R95), unknown cause (R99), and accidental suffocation and strangulation in bed (W75)</w:t>
            </w:r>
          </w:p>
        </w:tc>
      </w:tr>
      <w:tr w:rsidR="0007198D" w:rsidRPr="0007198D" w14:paraId="5C1AABE1" w14:textId="77777777" w:rsidTr="000C7A5D">
        <w:tc>
          <w:tcPr>
            <w:tcW w:w="3600" w:type="dxa"/>
            <w:shd w:val="clear" w:color="auto" w:fill="auto"/>
          </w:tcPr>
          <w:p w14:paraId="7C52A97B"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0A3CDDEE" w14:textId="77777777" w:rsidR="0007198D" w:rsidRPr="0007198D" w:rsidRDefault="0007198D" w:rsidP="0007198D">
            <w:pPr>
              <w:spacing w:after="0" w:line="240" w:lineRule="auto"/>
              <w:rPr>
                <w:rFonts w:ascii="Arial" w:hAnsi="Arial" w:cs="Arial"/>
                <w:sz w:val="20"/>
                <w:szCs w:val="20"/>
              </w:rPr>
            </w:pPr>
          </w:p>
        </w:tc>
      </w:tr>
      <w:tr w:rsidR="0007198D" w:rsidRPr="0007198D" w14:paraId="269AABAC" w14:textId="77777777" w:rsidTr="000C7A5D">
        <w:tc>
          <w:tcPr>
            <w:tcW w:w="3600" w:type="dxa"/>
            <w:shd w:val="clear" w:color="auto" w:fill="auto"/>
          </w:tcPr>
          <w:p w14:paraId="0640CE54"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7F381C17"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Denominator:</w:t>
            </w:r>
          </w:p>
        </w:tc>
      </w:tr>
      <w:tr w:rsidR="0007198D" w:rsidRPr="0007198D" w14:paraId="64A6B3A8" w14:textId="77777777" w:rsidTr="000C7A5D">
        <w:tc>
          <w:tcPr>
            <w:tcW w:w="3600" w:type="dxa"/>
            <w:shd w:val="clear" w:color="auto" w:fill="auto"/>
          </w:tcPr>
          <w:p w14:paraId="16B8AF24"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4623C0C2"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Number of live births</w:t>
            </w:r>
          </w:p>
        </w:tc>
      </w:tr>
      <w:tr w:rsidR="0007198D" w:rsidRPr="0007198D" w14:paraId="1A07950E" w14:textId="77777777" w:rsidTr="000C7A5D">
        <w:tc>
          <w:tcPr>
            <w:tcW w:w="3600" w:type="dxa"/>
            <w:shd w:val="clear" w:color="auto" w:fill="auto"/>
          </w:tcPr>
          <w:p w14:paraId="6A47246C"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464D2EC2" w14:textId="77777777" w:rsidR="0007198D" w:rsidRPr="0007198D" w:rsidRDefault="0007198D" w:rsidP="0007198D">
            <w:pPr>
              <w:spacing w:after="0" w:line="240" w:lineRule="auto"/>
              <w:rPr>
                <w:rFonts w:ascii="Arial" w:hAnsi="Arial" w:cs="Arial"/>
                <w:sz w:val="20"/>
                <w:szCs w:val="20"/>
              </w:rPr>
            </w:pPr>
          </w:p>
        </w:tc>
      </w:tr>
      <w:tr w:rsidR="0007198D" w:rsidRPr="0007198D" w14:paraId="68498183" w14:textId="77777777" w:rsidTr="000C7A5D">
        <w:tc>
          <w:tcPr>
            <w:tcW w:w="3600" w:type="dxa"/>
            <w:shd w:val="clear" w:color="auto" w:fill="auto"/>
          </w:tcPr>
          <w:p w14:paraId="2FEE05FD" w14:textId="77777777" w:rsidR="0007198D" w:rsidRPr="0007198D" w:rsidRDefault="0007198D" w:rsidP="0007198D">
            <w:pPr>
              <w:spacing w:after="0" w:line="240" w:lineRule="auto"/>
              <w:rPr>
                <w:rFonts w:ascii="Arial" w:hAnsi="Arial" w:cs="Arial"/>
                <w:b/>
                <w:sz w:val="20"/>
                <w:szCs w:val="20"/>
              </w:rPr>
            </w:pPr>
          </w:p>
        </w:tc>
        <w:tc>
          <w:tcPr>
            <w:tcW w:w="3384" w:type="dxa"/>
            <w:shd w:val="clear" w:color="auto" w:fill="auto"/>
          </w:tcPr>
          <w:p w14:paraId="596894D3"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b/>
                <w:sz w:val="20"/>
                <w:szCs w:val="20"/>
              </w:rPr>
              <w:t>Units:</w:t>
            </w:r>
            <w:r w:rsidRPr="0007198D">
              <w:rPr>
                <w:rFonts w:ascii="Arial" w:hAnsi="Arial" w:cs="Arial"/>
                <w:sz w:val="20"/>
                <w:szCs w:val="20"/>
              </w:rPr>
              <w:t xml:space="preserve"> </w:t>
            </w:r>
            <w:r w:rsidRPr="0007198D">
              <w:rPr>
                <w:rFonts w:ascii="Arial" w:hAnsi="Arial" w:cs="Arial"/>
                <w:noProof/>
                <w:sz w:val="20"/>
                <w:szCs w:val="20"/>
              </w:rPr>
              <w:t>100,000</w:t>
            </w:r>
          </w:p>
        </w:tc>
        <w:tc>
          <w:tcPr>
            <w:tcW w:w="2509" w:type="dxa"/>
            <w:shd w:val="clear" w:color="auto" w:fill="auto"/>
          </w:tcPr>
          <w:p w14:paraId="1C223B4C"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b/>
                <w:sz w:val="20"/>
                <w:szCs w:val="20"/>
              </w:rPr>
              <w:t>Text:</w:t>
            </w:r>
            <w:r w:rsidRPr="0007198D">
              <w:rPr>
                <w:rFonts w:ascii="Arial" w:hAnsi="Arial" w:cs="Arial"/>
                <w:sz w:val="20"/>
                <w:szCs w:val="20"/>
              </w:rPr>
              <w:t xml:space="preserve"> </w:t>
            </w:r>
            <w:r w:rsidRPr="0007198D">
              <w:rPr>
                <w:rFonts w:ascii="Arial" w:hAnsi="Arial" w:cs="Arial"/>
                <w:noProof/>
                <w:sz w:val="20"/>
                <w:szCs w:val="20"/>
              </w:rPr>
              <w:t>Rate</w:t>
            </w:r>
          </w:p>
        </w:tc>
      </w:tr>
      <w:tr w:rsidR="0007198D" w:rsidRPr="0007198D" w14:paraId="1350EDAA" w14:textId="77777777" w:rsidTr="000C7A5D">
        <w:tc>
          <w:tcPr>
            <w:tcW w:w="3600" w:type="dxa"/>
            <w:shd w:val="clear" w:color="auto" w:fill="auto"/>
          </w:tcPr>
          <w:p w14:paraId="66FA738D"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312FD6D1" w14:textId="77777777" w:rsidR="0007198D" w:rsidRPr="0007198D" w:rsidRDefault="0007198D" w:rsidP="0007198D">
            <w:pPr>
              <w:spacing w:after="0" w:line="240" w:lineRule="auto"/>
              <w:rPr>
                <w:rFonts w:ascii="Arial" w:hAnsi="Arial" w:cs="Arial"/>
                <w:sz w:val="20"/>
                <w:szCs w:val="20"/>
              </w:rPr>
            </w:pPr>
          </w:p>
        </w:tc>
      </w:tr>
      <w:tr w:rsidR="0007198D" w:rsidRPr="0007198D" w14:paraId="756F36F8" w14:textId="77777777" w:rsidTr="000C7A5D">
        <w:tc>
          <w:tcPr>
            <w:tcW w:w="3600" w:type="dxa"/>
            <w:shd w:val="clear" w:color="auto" w:fill="auto"/>
          </w:tcPr>
          <w:p w14:paraId="22BA4F27"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HEALTHY PEOPLE 2020 OBJECTIVE</w:t>
            </w:r>
          </w:p>
        </w:tc>
        <w:tc>
          <w:tcPr>
            <w:tcW w:w="5893" w:type="dxa"/>
            <w:gridSpan w:val="2"/>
            <w:shd w:val="clear" w:color="auto" w:fill="auto"/>
          </w:tcPr>
          <w:p w14:paraId="607B4E14"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Identical to Maternal, Infant, and Child Health (MICH) Objective 1.9: Reduce the rate of infant deaths from sudden unexpected infant deaths (includes SIDS, Unknown Cause, Accidental Suffocation, and Strangulation in Bed).  (Baseline: .93 per 1,000 live births in 2006, Target: .84 infant deaths per 1,000 live births)</w:t>
            </w:r>
          </w:p>
        </w:tc>
      </w:tr>
      <w:tr w:rsidR="0007198D" w:rsidRPr="0007198D" w14:paraId="6FB70449" w14:textId="77777777" w:rsidTr="000C7A5D">
        <w:tc>
          <w:tcPr>
            <w:tcW w:w="3600" w:type="dxa"/>
            <w:shd w:val="clear" w:color="auto" w:fill="auto"/>
          </w:tcPr>
          <w:p w14:paraId="469CC2E7"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06EDE6AC" w14:textId="77777777" w:rsidR="0007198D" w:rsidRPr="0007198D" w:rsidRDefault="0007198D" w:rsidP="0007198D">
            <w:pPr>
              <w:spacing w:after="0" w:line="240" w:lineRule="auto"/>
              <w:rPr>
                <w:rFonts w:ascii="Arial" w:hAnsi="Arial" w:cs="Arial"/>
                <w:sz w:val="20"/>
                <w:szCs w:val="20"/>
              </w:rPr>
            </w:pPr>
          </w:p>
        </w:tc>
      </w:tr>
      <w:tr w:rsidR="0007198D" w:rsidRPr="0007198D" w14:paraId="79221956" w14:textId="77777777" w:rsidTr="000C7A5D">
        <w:tc>
          <w:tcPr>
            <w:tcW w:w="3600" w:type="dxa"/>
            <w:shd w:val="clear" w:color="auto" w:fill="auto"/>
          </w:tcPr>
          <w:p w14:paraId="5B2C6060"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DATA SOURCES and DATA ISSUES</w:t>
            </w:r>
          </w:p>
        </w:tc>
        <w:tc>
          <w:tcPr>
            <w:tcW w:w="5893" w:type="dxa"/>
            <w:gridSpan w:val="2"/>
            <w:shd w:val="clear" w:color="auto" w:fill="auto"/>
          </w:tcPr>
          <w:p w14:paraId="507A2674"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National Vital Statistics System (NVSS)</w:t>
            </w:r>
          </w:p>
        </w:tc>
      </w:tr>
      <w:tr w:rsidR="0007198D" w:rsidRPr="0007198D" w14:paraId="6DA39EF0" w14:textId="77777777" w:rsidTr="000C7A5D">
        <w:tc>
          <w:tcPr>
            <w:tcW w:w="3600" w:type="dxa"/>
            <w:shd w:val="clear" w:color="auto" w:fill="auto"/>
          </w:tcPr>
          <w:p w14:paraId="2C32F958" w14:textId="77777777" w:rsidR="0007198D" w:rsidRPr="0007198D" w:rsidRDefault="0007198D" w:rsidP="0007198D">
            <w:pPr>
              <w:spacing w:after="0" w:line="240" w:lineRule="auto"/>
              <w:rPr>
                <w:rFonts w:ascii="Arial" w:hAnsi="Arial" w:cs="Arial"/>
                <w:b/>
                <w:sz w:val="20"/>
                <w:szCs w:val="20"/>
              </w:rPr>
            </w:pPr>
          </w:p>
        </w:tc>
        <w:tc>
          <w:tcPr>
            <w:tcW w:w="5893" w:type="dxa"/>
            <w:gridSpan w:val="2"/>
            <w:shd w:val="clear" w:color="auto" w:fill="auto"/>
          </w:tcPr>
          <w:p w14:paraId="3A947D9C" w14:textId="77777777" w:rsidR="0007198D" w:rsidRPr="0007198D" w:rsidRDefault="0007198D" w:rsidP="0007198D">
            <w:pPr>
              <w:spacing w:after="0" w:line="240" w:lineRule="auto"/>
              <w:rPr>
                <w:rFonts w:ascii="Arial" w:hAnsi="Arial" w:cs="Arial"/>
                <w:sz w:val="20"/>
                <w:szCs w:val="20"/>
              </w:rPr>
            </w:pPr>
          </w:p>
        </w:tc>
      </w:tr>
      <w:tr w:rsidR="0007198D" w:rsidRPr="0007198D" w14:paraId="386D0F2F" w14:textId="77777777" w:rsidTr="000C7A5D">
        <w:tc>
          <w:tcPr>
            <w:tcW w:w="3600" w:type="dxa"/>
            <w:shd w:val="clear" w:color="auto" w:fill="auto"/>
          </w:tcPr>
          <w:p w14:paraId="39155227"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SIGNIFICANCE</w:t>
            </w:r>
          </w:p>
        </w:tc>
        <w:tc>
          <w:tcPr>
            <w:tcW w:w="5893" w:type="dxa"/>
            <w:gridSpan w:val="2"/>
            <w:shd w:val="clear" w:color="auto" w:fill="auto"/>
          </w:tcPr>
          <w:p w14:paraId="01FD6A7A" w14:textId="77777777" w:rsidR="0007198D" w:rsidRPr="0007198D" w:rsidRDefault="0007198D" w:rsidP="0007198D">
            <w:pPr>
              <w:spacing w:after="0" w:line="240" w:lineRule="auto"/>
              <w:rPr>
                <w:rFonts w:ascii="Arial" w:hAnsi="Arial" w:cs="Arial"/>
                <w:noProof/>
                <w:sz w:val="20"/>
                <w:szCs w:val="20"/>
              </w:rPr>
            </w:pPr>
            <w:r w:rsidRPr="0007198D">
              <w:rPr>
                <w:rFonts w:ascii="Arial" w:hAnsi="Arial" w:cs="Arial"/>
                <w:noProof/>
                <w:sz w:val="20"/>
                <w:szCs w:val="20"/>
              </w:rPr>
              <w:t xml:space="preserve">Sleep-related SUIDs are the leading cause of death in infants from one month up to one year (postneonatal deaths) and account for approximately 15% of all infant deaths.  SUID rates vary greatly by race and ethnicity. In 2013, SUID rates were highest for infants born to non-Hispanic black mothers and American Indian/Alaska Native (173 and 170 SUIDs per 100,000 live births, respectively); these rates were more than twice the rate among infants born to non-Hispanic whites (85 SUIDs per 100,000 live births). SUIDs account for 33% of the overall infant mortality gap between American Indian/Alaska Native and non-Hispanic whites and 15% of the gap between non-Hispanic blacks and non-Hispanic whites.  To reduce SUIDs, the American Academy of Pediatrics recommends safe sleep practices, such as placing babies to sleep on their backs on a separate firm sleep surface without soft objects or loose bedding, as well as other protective practices such as breastfeeding and smoking cessation. </w:t>
            </w:r>
          </w:p>
          <w:p w14:paraId="71EA88A8" w14:textId="77777777" w:rsidR="0007198D" w:rsidRPr="0007198D" w:rsidRDefault="0007198D" w:rsidP="0007198D">
            <w:pPr>
              <w:spacing w:after="0" w:line="240" w:lineRule="auto"/>
              <w:rPr>
                <w:rFonts w:ascii="Arial" w:hAnsi="Arial" w:cs="Arial"/>
                <w:noProof/>
                <w:sz w:val="20"/>
                <w:szCs w:val="20"/>
              </w:rPr>
            </w:pPr>
          </w:p>
          <w:p w14:paraId="4D899A08"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sz w:val="20"/>
                <w:szCs w:val="20"/>
              </w:rPr>
              <w:t xml:space="preserve">Mathews TJ, MacDorman MF, Thoma ME. Infant Mortality Statistics From the 2013 Period Linked Birth/Infant Death Data Set. National Vital Statistics Reports. 2015 August 6. 64(9). </w:t>
            </w:r>
            <w:hyperlink r:id="rId92" w:history="1">
              <w:r w:rsidRPr="0007198D">
                <w:rPr>
                  <w:rFonts w:ascii="Arial" w:hAnsi="Arial" w:cs="Arial"/>
                  <w:color w:val="0000FF"/>
                  <w:sz w:val="20"/>
                  <w:szCs w:val="20"/>
                  <w:u w:val="single"/>
                </w:rPr>
                <w:t>https://www.cdc.gov/nchs/data/nvsr/nvsr64/nvsr64_09.pdf</w:t>
              </w:r>
            </w:hyperlink>
          </w:p>
          <w:p w14:paraId="32E6FF32"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sz w:val="20"/>
                <w:szCs w:val="20"/>
              </w:rPr>
              <w:t xml:space="preserve">Taskforce on Sudden Infant Death Syndrome. SIDS and Other Sleep-Related Infant Deaths: Updated 2016 Recommendations for a Safe Infant Sleeping Environment. Pediatrics. 2016 Nov;138(5). </w:t>
            </w:r>
            <w:hyperlink r:id="rId93" w:history="1">
              <w:r w:rsidRPr="0007198D">
                <w:rPr>
                  <w:rFonts w:ascii="Arial" w:hAnsi="Arial" w:cs="Arial"/>
                  <w:color w:val="0000FF"/>
                  <w:sz w:val="20"/>
                  <w:szCs w:val="20"/>
                  <w:u w:val="single"/>
                </w:rPr>
                <w:t>http://pediatrics.aappublications.org/content/138/5/e20162938</w:t>
              </w:r>
            </w:hyperlink>
            <w:r w:rsidRPr="0007198D">
              <w:rPr>
                <w:rFonts w:ascii="Arial" w:hAnsi="Arial" w:cs="Arial"/>
                <w:sz w:val="20"/>
                <w:szCs w:val="20"/>
              </w:rPr>
              <w:t xml:space="preserve"> </w:t>
            </w:r>
          </w:p>
          <w:p w14:paraId="62D8F648" w14:textId="77777777" w:rsidR="0007198D" w:rsidRPr="0007198D" w:rsidRDefault="0007198D" w:rsidP="0007198D">
            <w:pPr>
              <w:spacing w:after="0" w:line="240" w:lineRule="auto"/>
              <w:rPr>
                <w:rFonts w:ascii="Arial" w:hAnsi="Arial" w:cs="Arial"/>
                <w:sz w:val="20"/>
                <w:szCs w:val="20"/>
              </w:rPr>
            </w:pPr>
          </w:p>
        </w:tc>
      </w:tr>
      <w:tr w:rsidR="0007198D" w:rsidRPr="0007198D" w14:paraId="7781A144" w14:textId="77777777" w:rsidTr="000C7A5D">
        <w:tc>
          <w:tcPr>
            <w:tcW w:w="3600" w:type="dxa"/>
            <w:shd w:val="clear" w:color="auto" w:fill="auto"/>
          </w:tcPr>
          <w:p w14:paraId="4AEC4E8C" w14:textId="77777777" w:rsidR="0007198D" w:rsidRPr="0007198D" w:rsidRDefault="0007198D" w:rsidP="0007198D">
            <w:pPr>
              <w:spacing w:after="0" w:line="240" w:lineRule="auto"/>
              <w:rPr>
                <w:rFonts w:ascii="Arial" w:hAnsi="Arial" w:cs="Arial"/>
                <w:sz w:val="20"/>
                <w:szCs w:val="20"/>
              </w:rPr>
            </w:pPr>
          </w:p>
        </w:tc>
        <w:tc>
          <w:tcPr>
            <w:tcW w:w="5893" w:type="dxa"/>
            <w:gridSpan w:val="2"/>
            <w:shd w:val="clear" w:color="auto" w:fill="auto"/>
          </w:tcPr>
          <w:p w14:paraId="668E2DD8" w14:textId="77777777" w:rsidR="0007198D" w:rsidRPr="0007198D" w:rsidRDefault="0007198D" w:rsidP="0007198D">
            <w:pPr>
              <w:spacing w:after="0" w:line="240" w:lineRule="auto"/>
              <w:rPr>
                <w:rFonts w:ascii="Arial" w:hAnsi="Arial" w:cs="Arial"/>
                <w:sz w:val="20"/>
                <w:szCs w:val="20"/>
              </w:rPr>
            </w:pPr>
          </w:p>
        </w:tc>
      </w:tr>
    </w:tbl>
    <w:p w14:paraId="431499D3" w14:textId="77777777" w:rsidR="0007198D" w:rsidRPr="0007198D" w:rsidRDefault="0007198D" w:rsidP="0007198D">
      <w:pPr>
        <w:spacing w:after="0" w:line="240" w:lineRule="auto"/>
        <w:sectPr w:rsidR="0007198D" w:rsidRPr="0007198D" w:rsidSect="00514C00">
          <w:pgSz w:w="12240" w:h="15840"/>
          <w:pgMar w:top="1440" w:right="1440" w:bottom="1440" w:left="1440" w:header="720" w:footer="720" w:gutter="0"/>
          <w:cols w:space="720"/>
          <w:docGrid w:linePitch="360"/>
        </w:sectPr>
      </w:pPr>
    </w:p>
    <w:p w14:paraId="085E11B1" w14:textId="77777777" w:rsidR="0007198D" w:rsidRPr="0007198D" w:rsidRDefault="0007198D" w:rsidP="0007198D">
      <w:pPr>
        <w:spacing w:after="0" w:line="240" w:lineRule="auto"/>
      </w:pPr>
    </w:p>
    <w:p w14:paraId="1BD96535" w14:textId="77777777" w:rsidR="0007198D" w:rsidRPr="0007198D" w:rsidRDefault="0007198D" w:rsidP="0007198D">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5418"/>
      </w:tblGrid>
      <w:tr w:rsidR="0007198D" w:rsidRPr="0007198D" w14:paraId="2E599D6A" w14:textId="77777777" w:rsidTr="000C7A5D">
        <w:tc>
          <w:tcPr>
            <w:tcW w:w="3708" w:type="dxa"/>
          </w:tcPr>
          <w:p w14:paraId="7E0C54AD" w14:textId="77777777" w:rsidR="0007198D" w:rsidRPr="0007198D" w:rsidRDefault="0007198D" w:rsidP="0007198D">
            <w:pPr>
              <w:rPr>
                <w:rFonts w:ascii="Arial" w:hAnsi="Arial" w:cs="Arial"/>
                <w:b/>
                <w:sz w:val="24"/>
                <w:szCs w:val="24"/>
              </w:rPr>
            </w:pPr>
            <w:r w:rsidRPr="0007198D">
              <w:br w:type="page"/>
            </w:r>
            <w:r w:rsidRPr="0007198D">
              <w:rPr>
                <w:rFonts w:ascii="Arial" w:hAnsi="Arial" w:cs="Arial"/>
                <w:b/>
                <w:sz w:val="24"/>
                <w:szCs w:val="24"/>
              </w:rPr>
              <w:t>OUTCOME MEASURE 10</w:t>
            </w:r>
          </w:p>
        </w:tc>
        <w:tc>
          <w:tcPr>
            <w:tcW w:w="5418" w:type="dxa"/>
          </w:tcPr>
          <w:p w14:paraId="3A197A6B" w14:textId="77777777" w:rsidR="0007198D" w:rsidRPr="0007198D" w:rsidRDefault="0007198D" w:rsidP="0007198D">
            <w:pPr>
              <w:spacing w:after="0" w:line="240" w:lineRule="auto"/>
              <w:rPr>
                <w:rFonts w:ascii="Arial" w:hAnsi="Arial" w:cs="Arial"/>
                <w:b/>
                <w:noProof/>
                <w:sz w:val="24"/>
                <w:szCs w:val="24"/>
              </w:rPr>
            </w:pPr>
            <w:r w:rsidRPr="0007198D">
              <w:rPr>
                <w:rFonts w:ascii="Arial" w:hAnsi="Arial" w:cs="Arial"/>
                <w:b/>
                <w:noProof/>
                <w:sz w:val="24"/>
                <w:szCs w:val="24"/>
              </w:rPr>
              <w:t>The percent of infants born with fetal alcohol exposure in the last 3 months of pregnancy</w:t>
            </w:r>
          </w:p>
          <w:p w14:paraId="7E7A213A" w14:textId="77777777" w:rsidR="0007198D" w:rsidRPr="0007198D" w:rsidRDefault="0007198D" w:rsidP="0007198D">
            <w:pPr>
              <w:spacing w:after="0" w:line="240" w:lineRule="auto"/>
              <w:rPr>
                <w:rFonts w:ascii="Arial" w:hAnsi="Arial" w:cs="Arial"/>
                <w:b/>
                <w:sz w:val="24"/>
                <w:szCs w:val="24"/>
              </w:rPr>
            </w:pPr>
          </w:p>
        </w:tc>
      </w:tr>
    </w:tbl>
    <w:p w14:paraId="3EF8C25A" w14:textId="77777777" w:rsidR="0007198D" w:rsidRPr="0007198D" w:rsidRDefault="0007198D" w:rsidP="0007198D">
      <w:r w:rsidRPr="0007198D">
        <w:rPr>
          <w:noProof/>
        </w:rPr>
        <mc:AlternateContent>
          <mc:Choice Requires="wps">
            <w:drawing>
              <wp:anchor distT="0" distB="0" distL="114300" distR="114300" simplePos="0" relativeHeight="251756544" behindDoc="0" locked="0" layoutInCell="1" allowOverlap="1" wp14:anchorId="0F14191B" wp14:editId="1113CDD8">
                <wp:simplePos x="0" y="0"/>
                <wp:positionH relativeFrom="column">
                  <wp:posOffset>-60960</wp:posOffset>
                </wp:positionH>
                <wp:positionV relativeFrom="paragraph">
                  <wp:posOffset>31750</wp:posOffset>
                </wp:positionV>
                <wp:extent cx="6088380" cy="0"/>
                <wp:effectExtent l="0" t="0" r="26670" b="19050"/>
                <wp:wrapNone/>
                <wp:docPr id="61" name="Straight Connector 61"/>
                <wp:cNvGraphicFramePr/>
                <a:graphic xmlns:a="http://schemas.openxmlformats.org/drawingml/2006/main">
                  <a:graphicData uri="http://schemas.microsoft.com/office/word/2010/wordprocessingShape">
                    <wps:wsp>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59B94BF" id="Straight Connector 61" o:spid="_x0000_s1026" style="position:absolute;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" strokecolor="windowText" strokeweight="1.75pt"/>
            </w:pict>
          </mc:Fallback>
        </mc:AlternateContent>
      </w:r>
    </w:p>
    <w:tbl>
      <w:tblPr>
        <w:tblStyle w:val="TableGrid"/>
        <w:tblW w:w="9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332"/>
        <w:gridCol w:w="2511"/>
      </w:tblGrid>
      <w:tr w:rsidR="0007198D" w:rsidRPr="0007198D" w14:paraId="47529499" w14:textId="77777777" w:rsidTr="000C7A5D">
        <w:tc>
          <w:tcPr>
            <w:tcW w:w="3600" w:type="dxa"/>
          </w:tcPr>
          <w:p w14:paraId="6844BE2D"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GOAL</w:t>
            </w:r>
          </w:p>
        </w:tc>
        <w:tc>
          <w:tcPr>
            <w:tcW w:w="5843" w:type="dxa"/>
            <w:gridSpan w:val="2"/>
          </w:tcPr>
          <w:p w14:paraId="3040A921" w14:textId="77777777" w:rsidR="0007198D" w:rsidRPr="0007198D" w:rsidRDefault="0007198D" w:rsidP="0007198D">
            <w:pPr>
              <w:spacing w:after="0" w:line="240" w:lineRule="auto"/>
              <w:rPr>
                <w:rFonts w:ascii="Arial" w:hAnsi="Arial" w:cs="Arial"/>
                <w:noProof/>
                <w:sz w:val="20"/>
                <w:szCs w:val="20"/>
              </w:rPr>
            </w:pPr>
            <w:r w:rsidRPr="0007198D">
              <w:rPr>
                <w:rFonts w:ascii="Arial" w:hAnsi="Arial" w:cs="Arial"/>
                <w:noProof/>
                <w:sz w:val="20"/>
                <w:szCs w:val="20"/>
              </w:rPr>
              <w:t>To reduce the percent of infants born with fetal alcohol exposure</w:t>
            </w:r>
          </w:p>
          <w:p w14:paraId="3BA5163A" w14:textId="77777777" w:rsidR="0007198D" w:rsidRPr="0007198D" w:rsidRDefault="0007198D" w:rsidP="0007198D">
            <w:pPr>
              <w:spacing w:after="0" w:line="240" w:lineRule="auto"/>
              <w:rPr>
                <w:rFonts w:ascii="Arial" w:hAnsi="Arial" w:cs="Arial"/>
                <w:sz w:val="20"/>
                <w:szCs w:val="20"/>
              </w:rPr>
            </w:pPr>
          </w:p>
        </w:tc>
      </w:tr>
      <w:tr w:rsidR="0007198D" w:rsidRPr="0007198D" w14:paraId="7C4BCFC7" w14:textId="77777777" w:rsidTr="000C7A5D">
        <w:tc>
          <w:tcPr>
            <w:tcW w:w="3600" w:type="dxa"/>
          </w:tcPr>
          <w:p w14:paraId="461B9024"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DEFINITION</w:t>
            </w:r>
          </w:p>
        </w:tc>
        <w:tc>
          <w:tcPr>
            <w:tcW w:w="5843" w:type="dxa"/>
            <w:gridSpan w:val="2"/>
          </w:tcPr>
          <w:p w14:paraId="2A7597C3"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Numerator:</w:t>
            </w:r>
          </w:p>
        </w:tc>
      </w:tr>
      <w:tr w:rsidR="0007198D" w:rsidRPr="0007198D" w14:paraId="1D49196B" w14:textId="77777777" w:rsidTr="000C7A5D">
        <w:tc>
          <w:tcPr>
            <w:tcW w:w="3600" w:type="dxa"/>
          </w:tcPr>
          <w:p w14:paraId="036F117D" w14:textId="77777777" w:rsidR="0007198D" w:rsidRPr="0007198D" w:rsidRDefault="0007198D" w:rsidP="0007198D">
            <w:pPr>
              <w:spacing w:after="0" w:line="240" w:lineRule="auto"/>
              <w:rPr>
                <w:rFonts w:ascii="Arial" w:hAnsi="Arial" w:cs="Arial"/>
                <w:sz w:val="20"/>
                <w:szCs w:val="20"/>
              </w:rPr>
            </w:pPr>
          </w:p>
        </w:tc>
        <w:tc>
          <w:tcPr>
            <w:tcW w:w="5843" w:type="dxa"/>
            <w:gridSpan w:val="2"/>
          </w:tcPr>
          <w:p w14:paraId="56FE9631" w14:textId="77777777" w:rsidR="0007198D" w:rsidRPr="0007198D" w:rsidRDefault="0007198D" w:rsidP="0007198D">
            <w:pPr>
              <w:spacing w:after="0" w:line="240" w:lineRule="auto"/>
              <w:rPr>
                <w:rFonts w:ascii="Arial" w:hAnsi="Arial" w:cs="Arial"/>
                <w:noProof/>
                <w:sz w:val="20"/>
                <w:szCs w:val="20"/>
              </w:rPr>
            </w:pPr>
            <w:r w:rsidRPr="0007198D">
              <w:rPr>
                <w:rFonts w:ascii="Arial" w:hAnsi="Arial" w:cs="Arial"/>
                <w:noProof/>
                <w:sz w:val="20"/>
                <w:szCs w:val="20"/>
              </w:rPr>
              <w:t>Number of women who report drinking alcohol in the last 3 months of pregnancy</w:t>
            </w:r>
          </w:p>
          <w:p w14:paraId="7FD4AEF6" w14:textId="77777777" w:rsidR="0007198D" w:rsidRPr="0007198D" w:rsidRDefault="0007198D" w:rsidP="0007198D">
            <w:pPr>
              <w:spacing w:after="0" w:line="240" w:lineRule="auto"/>
              <w:rPr>
                <w:rFonts w:ascii="Arial" w:hAnsi="Arial" w:cs="Arial"/>
                <w:sz w:val="20"/>
                <w:szCs w:val="20"/>
              </w:rPr>
            </w:pPr>
          </w:p>
        </w:tc>
      </w:tr>
      <w:tr w:rsidR="0007198D" w:rsidRPr="0007198D" w14:paraId="68C18728" w14:textId="77777777" w:rsidTr="000C7A5D">
        <w:tc>
          <w:tcPr>
            <w:tcW w:w="3600" w:type="dxa"/>
          </w:tcPr>
          <w:p w14:paraId="1860CFB3" w14:textId="77777777" w:rsidR="0007198D" w:rsidRPr="0007198D" w:rsidRDefault="0007198D" w:rsidP="0007198D">
            <w:pPr>
              <w:spacing w:after="0" w:line="240" w:lineRule="auto"/>
              <w:rPr>
                <w:rFonts w:ascii="Arial" w:hAnsi="Arial" w:cs="Arial"/>
                <w:b/>
                <w:sz w:val="20"/>
                <w:szCs w:val="20"/>
              </w:rPr>
            </w:pPr>
          </w:p>
        </w:tc>
        <w:tc>
          <w:tcPr>
            <w:tcW w:w="5843" w:type="dxa"/>
            <w:gridSpan w:val="2"/>
          </w:tcPr>
          <w:p w14:paraId="550CD7D9"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Denominator:</w:t>
            </w:r>
          </w:p>
        </w:tc>
      </w:tr>
      <w:tr w:rsidR="0007198D" w:rsidRPr="0007198D" w14:paraId="52D4468A" w14:textId="77777777" w:rsidTr="000C7A5D">
        <w:tc>
          <w:tcPr>
            <w:tcW w:w="3600" w:type="dxa"/>
          </w:tcPr>
          <w:p w14:paraId="636AF5E0" w14:textId="77777777" w:rsidR="0007198D" w:rsidRPr="0007198D" w:rsidRDefault="0007198D" w:rsidP="0007198D">
            <w:pPr>
              <w:spacing w:after="0" w:line="240" w:lineRule="auto"/>
              <w:rPr>
                <w:rFonts w:ascii="Arial" w:hAnsi="Arial" w:cs="Arial"/>
                <w:b/>
                <w:sz w:val="20"/>
                <w:szCs w:val="20"/>
              </w:rPr>
            </w:pPr>
          </w:p>
        </w:tc>
        <w:tc>
          <w:tcPr>
            <w:tcW w:w="5843" w:type="dxa"/>
            <w:gridSpan w:val="2"/>
          </w:tcPr>
          <w:p w14:paraId="1967853E" w14:textId="77777777" w:rsidR="0007198D" w:rsidRPr="0007198D" w:rsidRDefault="0007198D" w:rsidP="0007198D">
            <w:pPr>
              <w:spacing w:after="0" w:line="240" w:lineRule="auto"/>
              <w:rPr>
                <w:rFonts w:ascii="Arial" w:hAnsi="Arial" w:cs="Arial"/>
                <w:noProof/>
                <w:sz w:val="20"/>
                <w:szCs w:val="20"/>
              </w:rPr>
            </w:pPr>
            <w:r w:rsidRPr="0007198D">
              <w:rPr>
                <w:rFonts w:ascii="Arial" w:hAnsi="Arial" w:cs="Arial"/>
                <w:noProof/>
                <w:sz w:val="20"/>
                <w:szCs w:val="20"/>
              </w:rPr>
              <w:t>Number of live births</w:t>
            </w:r>
          </w:p>
          <w:p w14:paraId="336F6075" w14:textId="77777777" w:rsidR="0007198D" w:rsidRPr="0007198D" w:rsidRDefault="0007198D" w:rsidP="0007198D">
            <w:pPr>
              <w:spacing w:after="0" w:line="240" w:lineRule="auto"/>
              <w:rPr>
                <w:rFonts w:ascii="Arial" w:hAnsi="Arial" w:cs="Arial"/>
                <w:sz w:val="20"/>
                <w:szCs w:val="20"/>
              </w:rPr>
            </w:pPr>
          </w:p>
        </w:tc>
      </w:tr>
      <w:tr w:rsidR="0007198D" w:rsidRPr="0007198D" w14:paraId="32C4A33C" w14:textId="77777777" w:rsidTr="000C7A5D">
        <w:tc>
          <w:tcPr>
            <w:tcW w:w="3600" w:type="dxa"/>
          </w:tcPr>
          <w:p w14:paraId="34A2F466" w14:textId="77777777" w:rsidR="0007198D" w:rsidRPr="0007198D" w:rsidRDefault="0007198D" w:rsidP="0007198D">
            <w:pPr>
              <w:spacing w:after="0" w:line="240" w:lineRule="auto"/>
              <w:rPr>
                <w:rFonts w:ascii="Arial" w:hAnsi="Arial" w:cs="Arial"/>
                <w:b/>
                <w:sz w:val="20"/>
                <w:szCs w:val="20"/>
              </w:rPr>
            </w:pPr>
          </w:p>
        </w:tc>
        <w:tc>
          <w:tcPr>
            <w:tcW w:w="3332" w:type="dxa"/>
          </w:tcPr>
          <w:p w14:paraId="6A86C5D8"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b/>
                <w:sz w:val="20"/>
                <w:szCs w:val="20"/>
              </w:rPr>
              <w:t>Units:</w:t>
            </w:r>
            <w:r w:rsidRPr="0007198D">
              <w:rPr>
                <w:rFonts w:ascii="Arial" w:hAnsi="Arial" w:cs="Arial"/>
                <w:sz w:val="20"/>
                <w:szCs w:val="20"/>
              </w:rPr>
              <w:t xml:space="preserve"> </w:t>
            </w:r>
            <w:r w:rsidRPr="0007198D">
              <w:rPr>
                <w:rFonts w:ascii="Arial" w:hAnsi="Arial" w:cs="Arial"/>
                <w:noProof/>
                <w:sz w:val="20"/>
                <w:szCs w:val="20"/>
              </w:rPr>
              <w:t>100</w:t>
            </w:r>
          </w:p>
        </w:tc>
        <w:tc>
          <w:tcPr>
            <w:tcW w:w="2511" w:type="dxa"/>
          </w:tcPr>
          <w:p w14:paraId="4F60D2AC" w14:textId="77777777" w:rsidR="0007198D" w:rsidRPr="0007198D" w:rsidRDefault="0007198D" w:rsidP="0007198D">
            <w:pPr>
              <w:spacing w:after="0" w:line="240" w:lineRule="auto"/>
              <w:rPr>
                <w:rFonts w:ascii="Arial" w:hAnsi="Arial" w:cs="Arial"/>
                <w:noProof/>
                <w:sz w:val="20"/>
                <w:szCs w:val="20"/>
              </w:rPr>
            </w:pPr>
            <w:r w:rsidRPr="0007198D">
              <w:rPr>
                <w:rFonts w:ascii="Arial" w:hAnsi="Arial" w:cs="Arial"/>
                <w:b/>
                <w:sz w:val="20"/>
                <w:szCs w:val="20"/>
              </w:rPr>
              <w:t>Text:</w:t>
            </w:r>
            <w:r w:rsidRPr="0007198D">
              <w:rPr>
                <w:rFonts w:ascii="Arial" w:hAnsi="Arial" w:cs="Arial"/>
                <w:sz w:val="20"/>
                <w:szCs w:val="20"/>
              </w:rPr>
              <w:t xml:space="preserve"> </w:t>
            </w:r>
            <w:r w:rsidRPr="0007198D">
              <w:rPr>
                <w:rFonts w:ascii="Arial" w:hAnsi="Arial" w:cs="Arial"/>
                <w:noProof/>
                <w:sz w:val="20"/>
                <w:szCs w:val="20"/>
              </w:rPr>
              <w:t>Percent</w:t>
            </w:r>
          </w:p>
          <w:p w14:paraId="507EFD34" w14:textId="77777777" w:rsidR="0007198D" w:rsidRPr="0007198D" w:rsidRDefault="0007198D" w:rsidP="0007198D">
            <w:pPr>
              <w:spacing w:after="0" w:line="240" w:lineRule="auto"/>
              <w:rPr>
                <w:rFonts w:ascii="Arial" w:hAnsi="Arial" w:cs="Arial"/>
                <w:sz w:val="20"/>
                <w:szCs w:val="20"/>
              </w:rPr>
            </w:pPr>
          </w:p>
        </w:tc>
      </w:tr>
      <w:tr w:rsidR="0007198D" w:rsidRPr="0007198D" w14:paraId="76973BD5" w14:textId="77777777" w:rsidTr="000C7A5D">
        <w:tc>
          <w:tcPr>
            <w:tcW w:w="3600" w:type="dxa"/>
          </w:tcPr>
          <w:p w14:paraId="3CB70B7D"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HEALTHY PEOPLE 2020 OBJECTIVE</w:t>
            </w:r>
          </w:p>
        </w:tc>
        <w:tc>
          <w:tcPr>
            <w:tcW w:w="5843" w:type="dxa"/>
            <w:gridSpan w:val="2"/>
          </w:tcPr>
          <w:p w14:paraId="55409A51" w14:textId="77777777" w:rsidR="0007198D" w:rsidRPr="0007198D" w:rsidRDefault="0007198D" w:rsidP="0007198D">
            <w:pPr>
              <w:spacing w:after="0" w:line="240" w:lineRule="auto"/>
              <w:rPr>
                <w:rFonts w:ascii="Arial" w:hAnsi="Arial" w:cs="Arial"/>
                <w:noProof/>
                <w:sz w:val="20"/>
                <w:szCs w:val="20"/>
              </w:rPr>
            </w:pPr>
            <w:r w:rsidRPr="0007198D">
              <w:rPr>
                <w:rFonts w:ascii="Arial" w:hAnsi="Arial" w:cs="Arial"/>
                <w:noProof/>
                <w:sz w:val="20"/>
                <w:szCs w:val="20"/>
              </w:rPr>
              <w:t xml:space="preserve">Related to Maternal, Infant, and Child Health (MICH) 11.1.    </w:t>
            </w:r>
            <w:r w:rsidRPr="0007198D">
              <w:rPr>
                <w:rFonts w:ascii="Arial" w:hAnsi="Arial" w:cs="Arial"/>
                <w:sz w:val="20"/>
                <w:szCs w:val="20"/>
                <w:lang w:val="en"/>
              </w:rPr>
              <w:t>Increase abstinence from alcohol among pregnant women.</w:t>
            </w:r>
            <w:r w:rsidRPr="0007198D">
              <w:rPr>
                <w:rFonts w:ascii="Arial" w:hAnsi="Arial" w:cs="Arial"/>
                <w:noProof/>
                <w:sz w:val="20"/>
                <w:szCs w:val="20"/>
              </w:rPr>
              <w:t xml:space="preserve"> (Baseline: </w:t>
            </w:r>
            <w:r w:rsidRPr="0007198D">
              <w:rPr>
                <w:rFonts w:ascii="Helvetica" w:hAnsi="Helvetica" w:cs="Helvetica"/>
                <w:sz w:val="20"/>
                <w:szCs w:val="20"/>
              </w:rPr>
              <w:t>89.4 percent of pregnant females ages15 to 44 years reported abstaining from alcohol in the past 30 days in 2007–08</w:t>
            </w:r>
            <w:r w:rsidRPr="0007198D">
              <w:rPr>
                <w:rFonts w:ascii="Arial" w:hAnsi="Arial" w:cs="Arial"/>
                <w:noProof/>
                <w:sz w:val="20"/>
                <w:szCs w:val="20"/>
              </w:rPr>
              <w:t xml:space="preserve">, Target: 98.3%) </w:t>
            </w:r>
          </w:p>
          <w:p w14:paraId="2A6D0273" w14:textId="77777777" w:rsidR="0007198D" w:rsidRPr="0007198D" w:rsidRDefault="0007198D" w:rsidP="0007198D">
            <w:pPr>
              <w:spacing w:after="0" w:line="240" w:lineRule="auto"/>
              <w:rPr>
                <w:rFonts w:ascii="Arial" w:hAnsi="Arial" w:cs="Arial"/>
                <w:noProof/>
                <w:sz w:val="20"/>
                <w:szCs w:val="20"/>
              </w:rPr>
            </w:pPr>
          </w:p>
          <w:p w14:paraId="3303B445" w14:textId="77777777" w:rsidR="0007198D" w:rsidRPr="0007198D" w:rsidRDefault="0007198D" w:rsidP="0007198D">
            <w:pPr>
              <w:spacing w:after="0" w:line="240" w:lineRule="auto"/>
              <w:rPr>
                <w:rFonts w:ascii="Arial" w:hAnsi="Arial" w:cs="Arial"/>
                <w:noProof/>
                <w:sz w:val="20"/>
                <w:szCs w:val="20"/>
              </w:rPr>
            </w:pPr>
            <w:r w:rsidRPr="0007198D">
              <w:rPr>
                <w:rFonts w:ascii="Arial" w:hAnsi="Arial" w:cs="Arial"/>
                <w:noProof/>
                <w:sz w:val="20"/>
                <w:szCs w:val="20"/>
              </w:rPr>
              <w:t xml:space="preserve">Related to Maternal, Infant, and Child Health (MICH) 25.  </w:t>
            </w:r>
            <w:r w:rsidRPr="0007198D">
              <w:rPr>
                <w:rFonts w:ascii="Arial" w:hAnsi="Arial" w:cs="Arial"/>
                <w:sz w:val="20"/>
                <w:szCs w:val="20"/>
                <w:lang w:val="en"/>
              </w:rPr>
              <w:t>Reduce the occurrence of fetal alcohol syndrome</w:t>
            </w:r>
            <w:r w:rsidRPr="0007198D">
              <w:rPr>
                <w:rFonts w:ascii="Arial" w:hAnsi="Arial" w:cs="Arial"/>
                <w:noProof/>
                <w:sz w:val="20"/>
                <w:szCs w:val="20"/>
              </w:rPr>
              <w:t xml:space="preserve">. (Baseline: </w:t>
            </w:r>
            <w:r w:rsidRPr="0007198D">
              <w:rPr>
                <w:rFonts w:ascii="Helvetica" w:hAnsi="Helvetica" w:cs="Helvetica"/>
                <w:sz w:val="20"/>
                <w:szCs w:val="20"/>
              </w:rPr>
              <w:t>3.6 cases of fetal alcohol syndrome per 10,000 live births in 2006 were suspected or confirmed among children born in 2001–04</w:t>
            </w:r>
            <w:r w:rsidRPr="0007198D">
              <w:rPr>
                <w:rFonts w:ascii="Arial" w:hAnsi="Arial" w:cs="Arial"/>
                <w:noProof/>
                <w:sz w:val="20"/>
                <w:szCs w:val="20"/>
              </w:rPr>
              <w:t xml:space="preserve">, Target: Not Applicable) </w:t>
            </w:r>
          </w:p>
          <w:p w14:paraId="30278147" w14:textId="77777777" w:rsidR="0007198D" w:rsidRPr="0007198D" w:rsidRDefault="0007198D" w:rsidP="0007198D">
            <w:pPr>
              <w:spacing w:after="0" w:line="240" w:lineRule="auto"/>
              <w:rPr>
                <w:rFonts w:ascii="Arial" w:hAnsi="Arial" w:cs="Arial"/>
                <w:sz w:val="20"/>
                <w:szCs w:val="20"/>
              </w:rPr>
            </w:pPr>
          </w:p>
        </w:tc>
      </w:tr>
      <w:tr w:rsidR="0007198D" w:rsidRPr="0007198D" w14:paraId="65F4AD4C" w14:textId="77777777" w:rsidTr="000C7A5D">
        <w:tc>
          <w:tcPr>
            <w:tcW w:w="3600" w:type="dxa"/>
          </w:tcPr>
          <w:p w14:paraId="22DF5FAE" w14:textId="77777777" w:rsidR="0007198D" w:rsidRPr="0007198D" w:rsidRDefault="0007198D" w:rsidP="0007198D">
            <w:pPr>
              <w:spacing w:after="0" w:line="240" w:lineRule="auto"/>
              <w:rPr>
                <w:rFonts w:ascii="Arial" w:hAnsi="Arial" w:cs="Arial"/>
                <w:b/>
                <w:sz w:val="20"/>
                <w:szCs w:val="20"/>
              </w:rPr>
            </w:pPr>
          </w:p>
        </w:tc>
        <w:tc>
          <w:tcPr>
            <w:tcW w:w="5843" w:type="dxa"/>
            <w:gridSpan w:val="2"/>
          </w:tcPr>
          <w:p w14:paraId="6E664F14" w14:textId="77777777" w:rsidR="0007198D" w:rsidRPr="0007198D" w:rsidRDefault="0007198D" w:rsidP="0007198D">
            <w:pPr>
              <w:spacing w:after="0" w:line="240" w:lineRule="auto"/>
              <w:rPr>
                <w:rFonts w:ascii="Arial" w:hAnsi="Arial" w:cs="Arial"/>
                <w:sz w:val="20"/>
                <w:szCs w:val="20"/>
              </w:rPr>
            </w:pPr>
          </w:p>
        </w:tc>
      </w:tr>
      <w:tr w:rsidR="0007198D" w:rsidRPr="0007198D" w14:paraId="3145ADE3" w14:textId="77777777" w:rsidTr="000C7A5D">
        <w:tc>
          <w:tcPr>
            <w:tcW w:w="3600" w:type="dxa"/>
          </w:tcPr>
          <w:p w14:paraId="76A92056"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DATA SOURCES and DATA ISSUES</w:t>
            </w:r>
          </w:p>
        </w:tc>
        <w:tc>
          <w:tcPr>
            <w:tcW w:w="5843" w:type="dxa"/>
            <w:gridSpan w:val="2"/>
          </w:tcPr>
          <w:p w14:paraId="514A7A61"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noProof/>
                <w:sz w:val="20"/>
                <w:szCs w:val="20"/>
              </w:rPr>
              <w:t>Pregnancy Risk Assessment Monitoring System (PRAMS)</w:t>
            </w:r>
          </w:p>
        </w:tc>
      </w:tr>
      <w:tr w:rsidR="0007198D" w:rsidRPr="0007198D" w14:paraId="34DF5187" w14:textId="77777777" w:rsidTr="000C7A5D">
        <w:tc>
          <w:tcPr>
            <w:tcW w:w="3600" w:type="dxa"/>
          </w:tcPr>
          <w:p w14:paraId="592C9E5A" w14:textId="77777777" w:rsidR="0007198D" w:rsidRPr="0007198D" w:rsidRDefault="0007198D" w:rsidP="0007198D">
            <w:pPr>
              <w:spacing w:after="0" w:line="240" w:lineRule="auto"/>
              <w:rPr>
                <w:rFonts w:ascii="Arial" w:hAnsi="Arial" w:cs="Arial"/>
                <w:b/>
                <w:sz w:val="20"/>
                <w:szCs w:val="20"/>
              </w:rPr>
            </w:pPr>
          </w:p>
        </w:tc>
        <w:tc>
          <w:tcPr>
            <w:tcW w:w="5843" w:type="dxa"/>
            <w:gridSpan w:val="2"/>
          </w:tcPr>
          <w:p w14:paraId="1FC3C813" w14:textId="77777777" w:rsidR="0007198D" w:rsidRPr="0007198D" w:rsidRDefault="0007198D" w:rsidP="0007198D">
            <w:pPr>
              <w:spacing w:after="0" w:line="240" w:lineRule="auto"/>
              <w:rPr>
                <w:rFonts w:ascii="Arial" w:hAnsi="Arial" w:cs="Arial"/>
                <w:sz w:val="20"/>
                <w:szCs w:val="20"/>
              </w:rPr>
            </w:pPr>
          </w:p>
        </w:tc>
      </w:tr>
      <w:tr w:rsidR="0007198D" w:rsidRPr="0007198D" w14:paraId="55552D57" w14:textId="77777777" w:rsidTr="000C7A5D">
        <w:tc>
          <w:tcPr>
            <w:tcW w:w="3600" w:type="dxa"/>
          </w:tcPr>
          <w:p w14:paraId="76476C99" w14:textId="77777777" w:rsidR="0007198D" w:rsidRPr="0007198D" w:rsidRDefault="0007198D" w:rsidP="0007198D">
            <w:pPr>
              <w:spacing w:after="0" w:line="240" w:lineRule="auto"/>
              <w:rPr>
                <w:rFonts w:ascii="Arial" w:hAnsi="Arial" w:cs="Arial"/>
                <w:b/>
                <w:sz w:val="20"/>
                <w:szCs w:val="20"/>
              </w:rPr>
            </w:pPr>
            <w:r w:rsidRPr="0007198D">
              <w:rPr>
                <w:rFonts w:ascii="Arial" w:hAnsi="Arial" w:cs="Arial"/>
                <w:b/>
                <w:sz w:val="20"/>
                <w:szCs w:val="20"/>
              </w:rPr>
              <w:t>SIGNIFICANCE</w:t>
            </w:r>
          </w:p>
        </w:tc>
        <w:tc>
          <w:tcPr>
            <w:tcW w:w="5843" w:type="dxa"/>
            <w:gridSpan w:val="2"/>
          </w:tcPr>
          <w:p w14:paraId="2D1E3181"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sz w:val="20"/>
                <w:szCs w:val="20"/>
              </w:rPr>
              <w:t>Fetal alcohol spectrum disorders (FASDs), which result in life-long physical and cognitive or behavioral problems, are caused by drinking during pregnancy. Fetal alcohol syndrome (FAS) represents the severe end of FASDs, and is characterized by abnormal facial features (e.g., smooth ridge between nose and upper lip), lower than average height or weight, and central nervous system problems that create deficits in learning, memory, attention, communication, vision, and/or hearing.  FASDs are preventable through abstinence from alcohol among pregnant women. Early diagnosis and intervention programs are critical to improve developmental outcomes for children with FAS.</w:t>
            </w:r>
          </w:p>
          <w:p w14:paraId="7A5DE884" w14:textId="77777777" w:rsidR="0007198D" w:rsidRPr="0007198D" w:rsidRDefault="0007198D" w:rsidP="0007198D">
            <w:pPr>
              <w:spacing w:after="0" w:line="240" w:lineRule="auto"/>
              <w:rPr>
                <w:rFonts w:ascii="Arial" w:hAnsi="Arial" w:cs="Arial"/>
                <w:sz w:val="20"/>
                <w:szCs w:val="20"/>
              </w:rPr>
            </w:pPr>
          </w:p>
          <w:p w14:paraId="7FAE1B2B" w14:textId="77777777" w:rsidR="0007198D" w:rsidRPr="0007198D" w:rsidRDefault="0007198D" w:rsidP="0007198D">
            <w:pPr>
              <w:spacing w:after="0" w:line="240" w:lineRule="auto"/>
              <w:rPr>
                <w:rFonts w:ascii="Arial" w:hAnsi="Arial" w:cs="Arial"/>
                <w:sz w:val="20"/>
                <w:szCs w:val="20"/>
              </w:rPr>
            </w:pPr>
            <w:r w:rsidRPr="0007198D">
              <w:rPr>
                <w:rFonts w:ascii="Arial" w:hAnsi="Arial" w:cs="Arial"/>
                <w:sz w:val="20"/>
                <w:szCs w:val="20"/>
              </w:rPr>
              <w:t xml:space="preserve">Centers for Disease Control and Prevention. Fetal Alcohol Spectrum Disorder (FASDs). 2015 April 16. </w:t>
            </w:r>
            <w:hyperlink r:id="rId94" w:history="1">
              <w:r w:rsidRPr="0007198D">
                <w:rPr>
                  <w:rFonts w:ascii="Arial" w:hAnsi="Arial" w:cs="Arial"/>
                  <w:color w:val="0000FF"/>
                  <w:sz w:val="20"/>
                  <w:szCs w:val="20"/>
                  <w:u w:val="single"/>
                </w:rPr>
                <w:t>https://www.cdc.gov/ncbddd/fasd/facts.html</w:t>
              </w:r>
            </w:hyperlink>
            <w:r w:rsidRPr="0007198D">
              <w:rPr>
                <w:rFonts w:ascii="Arial" w:hAnsi="Arial" w:cs="Arial"/>
                <w:sz w:val="20"/>
                <w:szCs w:val="20"/>
              </w:rPr>
              <w:t xml:space="preserve"> </w:t>
            </w:r>
          </w:p>
        </w:tc>
      </w:tr>
      <w:tr w:rsidR="0007198D" w:rsidRPr="0007198D" w14:paraId="022A4CE6" w14:textId="77777777" w:rsidTr="000C7A5D">
        <w:tc>
          <w:tcPr>
            <w:tcW w:w="3600" w:type="dxa"/>
          </w:tcPr>
          <w:p w14:paraId="3FB95206" w14:textId="77777777" w:rsidR="0007198D" w:rsidRPr="0007198D" w:rsidRDefault="0007198D" w:rsidP="0007198D">
            <w:pPr>
              <w:spacing w:after="0" w:line="240" w:lineRule="auto"/>
              <w:rPr>
                <w:rFonts w:ascii="Arial" w:hAnsi="Arial" w:cs="Arial"/>
                <w:sz w:val="20"/>
                <w:szCs w:val="20"/>
              </w:rPr>
            </w:pPr>
          </w:p>
        </w:tc>
        <w:tc>
          <w:tcPr>
            <w:tcW w:w="5843" w:type="dxa"/>
            <w:gridSpan w:val="2"/>
          </w:tcPr>
          <w:p w14:paraId="438C8DD7" w14:textId="77777777" w:rsidR="0007198D" w:rsidRPr="0007198D" w:rsidRDefault="0007198D" w:rsidP="0007198D">
            <w:pPr>
              <w:spacing w:after="0" w:line="240" w:lineRule="auto"/>
              <w:rPr>
                <w:rFonts w:ascii="Arial" w:hAnsi="Arial" w:cs="Arial"/>
                <w:sz w:val="20"/>
                <w:szCs w:val="20"/>
              </w:rPr>
            </w:pPr>
          </w:p>
        </w:tc>
      </w:tr>
    </w:tbl>
    <w:p w14:paraId="2BD4B43A" w14:textId="77777777" w:rsidR="0007198D" w:rsidRPr="0007198D" w:rsidRDefault="0007198D" w:rsidP="0007198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5418"/>
      </w:tblGrid>
      <w:tr w:rsidR="0007198D" w:rsidRPr="003F48A1" w14:paraId="15080494" w14:textId="77777777" w:rsidTr="000C7A5D">
        <w:tc>
          <w:tcPr>
            <w:tcW w:w="3618" w:type="dxa"/>
          </w:tcPr>
          <w:p w14:paraId="25FD5F45" w14:textId="77777777" w:rsidR="0007198D" w:rsidRPr="003F48A1" w:rsidRDefault="0007198D" w:rsidP="000C7A5D">
            <w:pPr>
              <w:rPr>
                <w:rFonts w:ascii="Arial" w:hAnsi="Arial" w:cs="Arial"/>
                <w:b/>
                <w:sz w:val="24"/>
                <w:szCs w:val="24"/>
              </w:rPr>
            </w:pPr>
            <w:r>
              <w:rPr>
                <w:rFonts w:ascii="Arial" w:hAnsi="Arial" w:cs="Arial"/>
                <w:b/>
                <w:sz w:val="24"/>
                <w:szCs w:val="24"/>
              </w:rPr>
              <w:t>OUTCOME</w:t>
            </w:r>
            <w:r w:rsidRPr="003F48A1">
              <w:rPr>
                <w:rFonts w:ascii="Arial" w:hAnsi="Arial" w:cs="Arial"/>
                <w:b/>
                <w:sz w:val="24"/>
                <w:szCs w:val="24"/>
              </w:rPr>
              <w:t xml:space="preserve"> MEASURE </w:t>
            </w:r>
            <w:r>
              <w:rPr>
                <w:rFonts w:ascii="Arial" w:hAnsi="Arial" w:cs="Arial"/>
                <w:b/>
                <w:noProof/>
                <w:sz w:val="24"/>
                <w:szCs w:val="24"/>
              </w:rPr>
              <w:t>11</w:t>
            </w:r>
          </w:p>
        </w:tc>
        <w:tc>
          <w:tcPr>
            <w:tcW w:w="5418" w:type="dxa"/>
          </w:tcPr>
          <w:p w14:paraId="043CB389" w14:textId="6401F478" w:rsidR="0007198D" w:rsidRDefault="0007198D" w:rsidP="000C7A5D">
            <w:pPr>
              <w:spacing w:after="0" w:line="240" w:lineRule="auto"/>
              <w:rPr>
                <w:rFonts w:ascii="Arial" w:hAnsi="Arial" w:cs="Arial"/>
                <w:b/>
                <w:noProof/>
                <w:sz w:val="24"/>
                <w:szCs w:val="24"/>
              </w:rPr>
            </w:pPr>
            <w:r w:rsidRPr="00392EFC">
              <w:rPr>
                <w:rFonts w:ascii="Arial" w:hAnsi="Arial" w:cs="Arial"/>
                <w:b/>
                <w:noProof/>
                <w:sz w:val="24"/>
                <w:szCs w:val="24"/>
              </w:rPr>
              <w:t xml:space="preserve">The rate of </w:t>
            </w:r>
            <w:r>
              <w:rPr>
                <w:rFonts w:ascii="Arial" w:hAnsi="Arial" w:cs="Arial"/>
                <w:b/>
                <w:noProof/>
                <w:sz w:val="24"/>
                <w:szCs w:val="24"/>
              </w:rPr>
              <w:t>infants born with neonatal abstinence syndrome per 1,000</w:t>
            </w:r>
            <w:r w:rsidRPr="00392EFC">
              <w:rPr>
                <w:rFonts w:ascii="Arial" w:hAnsi="Arial" w:cs="Arial"/>
                <w:b/>
                <w:noProof/>
                <w:sz w:val="24"/>
                <w:szCs w:val="24"/>
              </w:rPr>
              <w:t xml:space="preserve"> </w:t>
            </w:r>
            <w:r w:rsidR="00711615">
              <w:rPr>
                <w:rFonts w:ascii="Arial" w:hAnsi="Arial" w:cs="Arial"/>
                <w:b/>
                <w:noProof/>
                <w:sz w:val="24"/>
                <w:szCs w:val="24"/>
              </w:rPr>
              <w:t>hospital births</w:t>
            </w:r>
          </w:p>
          <w:p w14:paraId="27C03D9A" w14:textId="77777777" w:rsidR="0007198D" w:rsidRPr="003F48A1" w:rsidRDefault="0007198D" w:rsidP="000C7A5D">
            <w:pPr>
              <w:spacing w:after="0" w:line="240" w:lineRule="auto"/>
              <w:rPr>
                <w:rFonts w:ascii="Arial" w:hAnsi="Arial" w:cs="Arial"/>
                <w:b/>
                <w:sz w:val="24"/>
                <w:szCs w:val="24"/>
              </w:rPr>
            </w:pPr>
          </w:p>
        </w:tc>
      </w:tr>
    </w:tbl>
    <w:p w14:paraId="6FA46E1D" w14:textId="77777777" w:rsidR="0007198D" w:rsidRDefault="0007198D" w:rsidP="0007198D">
      <w:r>
        <w:rPr>
          <w:noProof/>
        </w:rPr>
        <mc:AlternateContent>
          <mc:Choice Requires="wps">
            <w:drawing>
              <wp:anchor distT="0" distB="0" distL="114300" distR="114300" simplePos="0" relativeHeight="251780096" behindDoc="0" locked="0" layoutInCell="1" allowOverlap="1" wp14:anchorId="7421712A" wp14:editId="41FF4BA6">
                <wp:simplePos x="0" y="0"/>
                <wp:positionH relativeFrom="column">
                  <wp:posOffset>-60960</wp:posOffset>
                </wp:positionH>
                <wp:positionV relativeFrom="paragraph">
                  <wp:posOffset>31750</wp:posOffset>
                </wp:positionV>
                <wp:extent cx="6088380" cy="0"/>
                <wp:effectExtent l="0" t="0" r="26670" b="19050"/>
                <wp:wrapNone/>
                <wp:docPr id="63" name="Straight Connector 63"/>
                <wp:cNvGraphicFramePr/>
                <a:graphic xmlns:a="http://schemas.openxmlformats.org/drawingml/2006/main">
                  <a:graphicData uri="http://schemas.microsoft.com/office/word/2010/wordprocessingShape">
                    <wps:wsp>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F94C28" id="Straight Connector 63" o:spid="_x0000_s1026" style="position:absolute;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" strokecolor="windowText" strokeweight="1.75pt"/>
            </w:pict>
          </mc:Fallback>
        </mc:AlternateContent>
      </w:r>
    </w:p>
    <w:tbl>
      <w:tblPr>
        <w:tblStyle w:val="TableGrid"/>
        <w:tblW w:w="9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381"/>
        <w:gridCol w:w="2505"/>
      </w:tblGrid>
      <w:tr w:rsidR="0007198D" w:rsidRPr="00515E1C" w14:paraId="6FADFA9A" w14:textId="77777777" w:rsidTr="000C7A5D">
        <w:tc>
          <w:tcPr>
            <w:tcW w:w="3600" w:type="dxa"/>
          </w:tcPr>
          <w:p w14:paraId="12215243" w14:textId="77777777" w:rsidR="0007198D" w:rsidRPr="00515E1C" w:rsidRDefault="0007198D" w:rsidP="000C7A5D">
            <w:pPr>
              <w:spacing w:after="0" w:line="240" w:lineRule="auto"/>
              <w:rPr>
                <w:rFonts w:ascii="Arial" w:hAnsi="Arial" w:cs="Arial"/>
                <w:b/>
                <w:sz w:val="20"/>
                <w:szCs w:val="20"/>
              </w:rPr>
            </w:pPr>
            <w:r w:rsidRPr="00515E1C">
              <w:rPr>
                <w:rFonts w:ascii="Arial" w:hAnsi="Arial" w:cs="Arial"/>
                <w:b/>
                <w:sz w:val="20"/>
                <w:szCs w:val="20"/>
              </w:rPr>
              <w:t>GOAL</w:t>
            </w:r>
          </w:p>
        </w:tc>
        <w:tc>
          <w:tcPr>
            <w:tcW w:w="5886" w:type="dxa"/>
            <w:gridSpan w:val="2"/>
          </w:tcPr>
          <w:p w14:paraId="235D9468" w14:textId="77777777" w:rsidR="0007198D" w:rsidRDefault="0007198D" w:rsidP="000C7A5D">
            <w:pPr>
              <w:spacing w:after="0" w:line="240" w:lineRule="auto"/>
              <w:rPr>
                <w:rFonts w:ascii="Arial" w:hAnsi="Arial" w:cs="Arial"/>
                <w:noProof/>
                <w:sz w:val="20"/>
                <w:szCs w:val="20"/>
              </w:rPr>
            </w:pPr>
            <w:r w:rsidRPr="00392EFC">
              <w:rPr>
                <w:rFonts w:ascii="Arial" w:hAnsi="Arial" w:cs="Arial"/>
                <w:noProof/>
                <w:sz w:val="20"/>
                <w:szCs w:val="20"/>
              </w:rPr>
              <w:t xml:space="preserve">To reduce </w:t>
            </w:r>
            <w:r>
              <w:rPr>
                <w:rFonts w:ascii="Arial" w:hAnsi="Arial" w:cs="Arial"/>
                <w:noProof/>
                <w:sz w:val="20"/>
                <w:szCs w:val="20"/>
              </w:rPr>
              <w:t>the rate of infants born with drug dependency.</w:t>
            </w:r>
          </w:p>
          <w:p w14:paraId="581318DF" w14:textId="77777777" w:rsidR="0007198D" w:rsidRPr="00515E1C" w:rsidRDefault="0007198D" w:rsidP="000C7A5D">
            <w:pPr>
              <w:spacing w:after="0" w:line="240" w:lineRule="auto"/>
              <w:rPr>
                <w:rFonts w:ascii="Arial" w:hAnsi="Arial" w:cs="Arial"/>
                <w:sz w:val="20"/>
                <w:szCs w:val="20"/>
              </w:rPr>
            </w:pPr>
          </w:p>
        </w:tc>
      </w:tr>
      <w:tr w:rsidR="0007198D" w:rsidRPr="00515E1C" w14:paraId="2EDA15C7" w14:textId="77777777" w:rsidTr="000C7A5D">
        <w:tc>
          <w:tcPr>
            <w:tcW w:w="3600" w:type="dxa"/>
          </w:tcPr>
          <w:p w14:paraId="0073CCC0" w14:textId="77777777" w:rsidR="0007198D" w:rsidRPr="00515E1C" w:rsidRDefault="0007198D" w:rsidP="000C7A5D">
            <w:pPr>
              <w:spacing w:after="0" w:line="240" w:lineRule="auto"/>
              <w:rPr>
                <w:rFonts w:ascii="Arial" w:hAnsi="Arial" w:cs="Arial"/>
                <w:b/>
                <w:sz w:val="20"/>
                <w:szCs w:val="20"/>
              </w:rPr>
            </w:pPr>
            <w:r w:rsidRPr="00515E1C">
              <w:rPr>
                <w:rFonts w:ascii="Arial" w:hAnsi="Arial" w:cs="Arial"/>
                <w:b/>
                <w:sz w:val="20"/>
                <w:szCs w:val="20"/>
              </w:rPr>
              <w:t>DEFINITION</w:t>
            </w:r>
          </w:p>
        </w:tc>
        <w:tc>
          <w:tcPr>
            <w:tcW w:w="5886" w:type="dxa"/>
            <w:gridSpan w:val="2"/>
          </w:tcPr>
          <w:p w14:paraId="75829D51" w14:textId="77777777" w:rsidR="0007198D" w:rsidRPr="00515E1C" w:rsidRDefault="0007198D" w:rsidP="000C7A5D">
            <w:pPr>
              <w:spacing w:after="0" w:line="240" w:lineRule="auto"/>
              <w:rPr>
                <w:rFonts w:ascii="Arial" w:hAnsi="Arial" w:cs="Arial"/>
                <w:b/>
                <w:sz w:val="20"/>
                <w:szCs w:val="20"/>
              </w:rPr>
            </w:pPr>
            <w:r w:rsidRPr="00515E1C">
              <w:rPr>
                <w:rFonts w:ascii="Arial" w:hAnsi="Arial" w:cs="Arial"/>
                <w:b/>
                <w:sz w:val="20"/>
                <w:szCs w:val="20"/>
              </w:rPr>
              <w:t>Numerator:</w:t>
            </w:r>
          </w:p>
        </w:tc>
      </w:tr>
      <w:tr w:rsidR="0007198D" w:rsidRPr="00536DC8" w14:paraId="3B54EC90" w14:textId="77777777" w:rsidTr="000C7A5D">
        <w:tc>
          <w:tcPr>
            <w:tcW w:w="3600" w:type="dxa"/>
          </w:tcPr>
          <w:p w14:paraId="7F824124" w14:textId="77777777" w:rsidR="0007198D" w:rsidRPr="00606D43" w:rsidRDefault="0007198D" w:rsidP="000C7A5D">
            <w:pPr>
              <w:spacing w:after="0" w:line="240" w:lineRule="auto"/>
              <w:rPr>
                <w:rFonts w:ascii="Arial" w:hAnsi="Arial" w:cs="Arial"/>
                <w:sz w:val="20"/>
                <w:szCs w:val="20"/>
              </w:rPr>
            </w:pPr>
          </w:p>
        </w:tc>
        <w:tc>
          <w:tcPr>
            <w:tcW w:w="5886" w:type="dxa"/>
            <w:gridSpan w:val="2"/>
          </w:tcPr>
          <w:p w14:paraId="4309F7B7" w14:textId="77777777" w:rsidR="0007198D" w:rsidRDefault="0007198D" w:rsidP="000C7A5D">
            <w:pPr>
              <w:spacing w:after="0" w:line="240" w:lineRule="auto"/>
              <w:rPr>
                <w:rFonts w:ascii="Arial" w:hAnsi="Arial" w:cs="Arial"/>
                <w:noProof/>
                <w:sz w:val="20"/>
                <w:szCs w:val="20"/>
              </w:rPr>
            </w:pPr>
            <w:r w:rsidRPr="00536DC8">
              <w:rPr>
                <w:rFonts w:ascii="Arial" w:hAnsi="Arial" w:cs="Arial"/>
                <w:noProof/>
                <w:sz w:val="20"/>
                <w:szCs w:val="20"/>
              </w:rPr>
              <w:t xml:space="preserve">Number of </w:t>
            </w:r>
            <w:r>
              <w:rPr>
                <w:rFonts w:ascii="Arial" w:hAnsi="Arial" w:cs="Arial"/>
                <w:noProof/>
                <w:sz w:val="20"/>
                <w:szCs w:val="20"/>
              </w:rPr>
              <w:t>infants born with neonatal abstinence syndrome</w:t>
            </w:r>
          </w:p>
          <w:p w14:paraId="70710836" w14:textId="77777777" w:rsidR="0007198D" w:rsidRPr="00536DC8" w:rsidRDefault="0007198D" w:rsidP="000C7A5D">
            <w:pPr>
              <w:spacing w:after="0" w:line="240" w:lineRule="auto"/>
              <w:rPr>
                <w:rFonts w:ascii="Arial" w:hAnsi="Arial" w:cs="Arial"/>
                <w:sz w:val="20"/>
                <w:szCs w:val="20"/>
              </w:rPr>
            </w:pPr>
          </w:p>
        </w:tc>
      </w:tr>
      <w:tr w:rsidR="0007198D" w:rsidRPr="00515E1C" w14:paraId="25B89A60" w14:textId="77777777" w:rsidTr="000C7A5D">
        <w:tc>
          <w:tcPr>
            <w:tcW w:w="3600" w:type="dxa"/>
          </w:tcPr>
          <w:p w14:paraId="44042E59" w14:textId="77777777" w:rsidR="0007198D" w:rsidRPr="00515E1C" w:rsidRDefault="0007198D" w:rsidP="000C7A5D">
            <w:pPr>
              <w:spacing w:after="0" w:line="240" w:lineRule="auto"/>
              <w:rPr>
                <w:rFonts w:ascii="Arial" w:hAnsi="Arial" w:cs="Arial"/>
                <w:b/>
                <w:sz w:val="20"/>
                <w:szCs w:val="20"/>
              </w:rPr>
            </w:pPr>
          </w:p>
        </w:tc>
        <w:tc>
          <w:tcPr>
            <w:tcW w:w="5886" w:type="dxa"/>
            <w:gridSpan w:val="2"/>
          </w:tcPr>
          <w:p w14:paraId="6F72E498" w14:textId="77777777" w:rsidR="0007198D" w:rsidRPr="00515E1C" w:rsidRDefault="0007198D" w:rsidP="000C7A5D">
            <w:pPr>
              <w:spacing w:after="0" w:line="240" w:lineRule="auto"/>
              <w:rPr>
                <w:rFonts w:ascii="Arial" w:hAnsi="Arial" w:cs="Arial"/>
                <w:b/>
                <w:sz w:val="20"/>
                <w:szCs w:val="20"/>
              </w:rPr>
            </w:pPr>
            <w:r w:rsidRPr="00515E1C">
              <w:rPr>
                <w:rFonts w:ascii="Arial" w:hAnsi="Arial" w:cs="Arial"/>
                <w:b/>
                <w:sz w:val="20"/>
                <w:szCs w:val="20"/>
              </w:rPr>
              <w:t>Denominator:</w:t>
            </w:r>
          </w:p>
        </w:tc>
      </w:tr>
      <w:tr w:rsidR="0007198D" w:rsidRPr="00515E1C" w14:paraId="1C942EE9" w14:textId="77777777" w:rsidTr="000C7A5D">
        <w:tc>
          <w:tcPr>
            <w:tcW w:w="3600" w:type="dxa"/>
          </w:tcPr>
          <w:p w14:paraId="360711CB" w14:textId="77777777" w:rsidR="0007198D" w:rsidRPr="00515E1C" w:rsidRDefault="0007198D" w:rsidP="000C7A5D">
            <w:pPr>
              <w:spacing w:after="0" w:line="240" w:lineRule="auto"/>
              <w:rPr>
                <w:rFonts w:ascii="Arial" w:hAnsi="Arial" w:cs="Arial"/>
                <w:b/>
                <w:sz w:val="20"/>
                <w:szCs w:val="20"/>
              </w:rPr>
            </w:pPr>
          </w:p>
        </w:tc>
        <w:tc>
          <w:tcPr>
            <w:tcW w:w="5886" w:type="dxa"/>
            <w:gridSpan w:val="2"/>
          </w:tcPr>
          <w:p w14:paraId="48426612" w14:textId="7B705804" w:rsidR="0007198D" w:rsidRDefault="0007198D" w:rsidP="000C7A5D">
            <w:pPr>
              <w:spacing w:after="0" w:line="240" w:lineRule="auto"/>
              <w:rPr>
                <w:rFonts w:ascii="Arial" w:hAnsi="Arial" w:cs="Arial"/>
                <w:noProof/>
                <w:sz w:val="20"/>
                <w:szCs w:val="20"/>
              </w:rPr>
            </w:pPr>
            <w:r w:rsidRPr="00392EFC">
              <w:rPr>
                <w:rFonts w:ascii="Arial" w:hAnsi="Arial" w:cs="Arial"/>
                <w:noProof/>
                <w:sz w:val="20"/>
                <w:szCs w:val="20"/>
              </w:rPr>
              <w:t xml:space="preserve">Number of </w:t>
            </w:r>
            <w:r w:rsidR="00711615">
              <w:rPr>
                <w:rFonts w:ascii="Arial" w:hAnsi="Arial" w:cs="Arial"/>
                <w:noProof/>
                <w:sz w:val="20"/>
                <w:szCs w:val="20"/>
              </w:rPr>
              <w:t>hospital births</w:t>
            </w:r>
          </w:p>
          <w:p w14:paraId="3652ABC3" w14:textId="77777777" w:rsidR="0007198D" w:rsidRPr="00515E1C" w:rsidRDefault="0007198D" w:rsidP="000C7A5D">
            <w:pPr>
              <w:spacing w:after="0" w:line="240" w:lineRule="auto"/>
              <w:rPr>
                <w:rFonts w:ascii="Arial" w:hAnsi="Arial" w:cs="Arial"/>
                <w:sz w:val="20"/>
                <w:szCs w:val="20"/>
              </w:rPr>
            </w:pPr>
          </w:p>
        </w:tc>
      </w:tr>
      <w:tr w:rsidR="0007198D" w:rsidRPr="00515E1C" w14:paraId="7CCEBF19" w14:textId="77777777" w:rsidTr="000C7A5D">
        <w:tc>
          <w:tcPr>
            <w:tcW w:w="3600" w:type="dxa"/>
          </w:tcPr>
          <w:p w14:paraId="7BD856AA" w14:textId="77777777" w:rsidR="0007198D" w:rsidRPr="00515E1C" w:rsidRDefault="0007198D" w:rsidP="000C7A5D">
            <w:pPr>
              <w:spacing w:after="0" w:line="240" w:lineRule="auto"/>
              <w:rPr>
                <w:rFonts w:ascii="Arial" w:hAnsi="Arial" w:cs="Arial"/>
                <w:b/>
                <w:sz w:val="20"/>
                <w:szCs w:val="20"/>
              </w:rPr>
            </w:pPr>
          </w:p>
        </w:tc>
        <w:tc>
          <w:tcPr>
            <w:tcW w:w="3381" w:type="dxa"/>
          </w:tcPr>
          <w:p w14:paraId="3581B68A" w14:textId="77777777" w:rsidR="0007198D" w:rsidRPr="00515E1C" w:rsidRDefault="0007198D" w:rsidP="000C7A5D">
            <w:pPr>
              <w:spacing w:after="0" w:line="240" w:lineRule="auto"/>
              <w:rPr>
                <w:rFonts w:ascii="Arial" w:hAnsi="Arial" w:cs="Arial"/>
                <w:sz w:val="20"/>
                <w:szCs w:val="20"/>
              </w:rPr>
            </w:pPr>
            <w:r w:rsidRPr="00515E1C">
              <w:rPr>
                <w:rFonts w:ascii="Arial" w:hAnsi="Arial" w:cs="Arial"/>
                <w:b/>
                <w:sz w:val="20"/>
                <w:szCs w:val="20"/>
              </w:rPr>
              <w:t>Units:</w:t>
            </w:r>
            <w:r w:rsidRPr="00515E1C">
              <w:rPr>
                <w:rFonts w:ascii="Arial" w:hAnsi="Arial" w:cs="Arial"/>
                <w:sz w:val="20"/>
                <w:szCs w:val="20"/>
              </w:rPr>
              <w:t xml:space="preserve"> </w:t>
            </w:r>
            <w:r w:rsidRPr="00392EFC">
              <w:rPr>
                <w:rFonts w:ascii="Arial" w:hAnsi="Arial" w:cs="Arial"/>
                <w:noProof/>
                <w:sz w:val="20"/>
                <w:szCs w:val="20"/>
              </w:rPr>
              <w:t>1</w:t>
            </w:r>
            <w:r>
              <w:rPr>
                <w:rFonts w:ascii="Arial" w:hAnsi="Arial" w:cs="Arial"/>
                <w:noProof/>
                <w:sz w:val="20"/>
                <w:szCs w:val="20"/>
              </w:rPr>
              <w:t>,</w:t>
            </w:r>
            <w:r w:rsidRPr="00392EFC">
              <w:rPr>
                <w:rFonts w:ascii="Arial" w:hAnsi="Arial" w:cs="Arial"/>
                <w:noProof/>
                <w:sz w:val="20"/>
                <w:szCs w:val="20"/>
              </w:rPr>
              <w:t>000</w:t>
            </w:r>
          </w:p>
        </w:tc>
        <w:tc>
          <w:tcPr>
            <w:tcW w:w="2505" w:type="dxa"/>
          </w:tcPr>
          <w:p w14:paraId="4C448C7F" w14:textId="77777777" w:rsidR="0007198D" w:rsidRPr="00515E1C" w:rsidRDefault="0007198D" w:rsidP="000C7A5D">
            <w:pPr>
              <w:spacing w:after="0" w:line="240" w:lineRule="auto"/>
              <w:rPr>
                <w:rFonts w:ascii="Arial" w:hAnsi="Arial" w:cs="Arial"/>
                <w:sz w:val="20"/>
                <w:szCs w:val="20"/>
              </w:rPr>
            </w:pPr>
            <w:r w:rsidRPr="00515E1C">
              <w:rPr>
                <w:rFonts w:ascii="Arial" w:hAnsi="Arial" w:cs="Arial"/>
                <w:b/>
                <w:sz w:val="20"/>
                <w:szCs w:val="20"/>
              </w:rPr>
              <w:t>Text:</w:t>
            </w:r>
            <w:r w:rsidRPr="00515E1C">
              <w:rPr>
                <w:rFonts w:ascii="Arial" w:hAnsi="Arial" w:cs="Arial"/>
                <w:sz w:val="20"/>
                <w:szCs w:val="20"/>
              </w:rPr>
              <w:t xml:space="preserve"> </w:t>
            </w:r>
            <w:r w:rsidRPr="00392EFC">
              <w:rPr>
                <w:rFonts w:ascii="Arial" w:hAnsi="Arial" w:cs="Arial"/>
                <w:noProof/>
                <w:sz w:val="20"/>
                <w:szCs w:val="20"/>
              </w:rPr>
              <w:t>Rate</w:t>
            </w:r>
          </w:p>
        </w:tc>
      </w:tr>
      <w:tr w:rsidR="0007198D" w:rsidRPr="00515E1C" w14:paraId="492BD465" w14:textId="77777777" w:rsidTr="000C7A5D">
        <w:tc>
          <w:tcPr>
            <w:tcW w:w="3600" w:type="dxa"/>
          </w:tcPr>
          <w:p w14:paraId="22860F8E" w14:textId="77777777" w:rsidR="0007198D" w:rsidRPr="00515E1C" w:rsidRDefault="0007198D" w:rsidP="000C7A5D">
            <w:pPr>
              <w:spacing w:after="0" w:line="240" w:lineRule="auto"/>
              <w:rPr>
                <w:rFonts w:ascii="Arial" w:hAnsi="Arial" w:cs="Arial"/>
                <w:b/>
                <w:sz w:val="20"/>
                <w:szCs w:val="20"/>
              </w:rPr>
            </w:pPr>
          </w:p>
        </w:tc>
        <w:tc>
          <w:tcPr>
            <w:tcW w:w="5886" w:type="dxa"/>
            <w:gridSpan w:val="2"/>
          </w:tcPr>
          <w:p w14:paraId="0C0F7C9A" w14:textId="77777777" w:rsidR="0007198D" w:rsidRPr="00515E1C" w:rsidRDefault="0007198D" w:rsidP="000C7A5D">
            <w:pPr>
              <w:spacing w:after="0" w:line="240" w:lineRule="auto"/>
              <w:rPr>
                <w:rFonts w:ascii="Arial" w:hAnsi="Arial" w:cs="Arial"/>
                <w:sz w:val="20"/>
                <w:szCs w:val="20"/>
              </w:rPr>
            </w:pPr>
          </w:p>
        </w:tc>
      </w:tr>
      <w:tr w:rsidR="0007198D" w:rsidRPr="00515E1C" w14:paraId="18D74DAB" w14:textId="77777777" w:rsidTr="000C7A5D">
        <w:tc>
          <w:tcPr>
            <w:tcW w:w="3600" w:type="dxa"/>
          </w:tcPr>
          <w:p w14:paraId="3180063A" w14:textId="77777777" w:rsidR="0007198D" w:rsidRPr="00515E1C" w:rsidRDefault="0007198D" w:rsidP="000C7A5D">
            <w:pPr>
              <w:spacing w:after="0" w:line="240" w:lineRule="auto"/>
              <w:rPr>
                <w:rFonts w:ascii="Arial" w:hAnsi="Arial" w:cs="Arial"/>
                <w:b/>
                <w:sz w:val="20"/>
                <w:szCs w:val="20"/>
              </w:rPr>
            </w:pPr>
            <w:r w:rsidRPr="00515E1C">
              <w:rPr>
                <w:rFonts w:ascii="Arial" w:hAnsi="Arial" w:cs="Arial"/>
                <w:b/>
                <w:sz w:val="20"/>
                <w:szCs w:val="20"/>
              </w:rPr>
              <w:t>HEALTHY PEOPLE 2020 OBJECTIVE</w:t>
            </w:r>
          </w:p>
        </w:tc>
        <w:tc>
          <w:tcPr>
            <w:tcW w:w="5886" w:type="dxa"/>
            <w:gridSpan w:val="2"/>
          </w:tcPr>
          <w:p w14:paraId="177BA941" w14:textId="77777777" w:rsidR="0007198D" w:rsidRDefault="0007198D" w:rsidP="000C7A5D">
            <w:pPr>
              <w:spacing w:after="0" w:line="240" w:lineRule="auto"/>
              <w:rPr>
                <w:rFonts w:ascii="Arial" w:hAnsi="Arial" w:cs="Arial"/>
                <w:sz w:val="20"/>
                <w:szCs w:val="20"/>
              </w:rPr>
            </w:pPr>
            <w:r>
              <w:rPr>
                <w:rFonts w:ascii="Arial" w:hAnsi="Arial" w:cs="Arial"/>
                <w:sz w:val="20"/>
                <w:szCs w:val="20"/>
              </w:rPr>
              <w:t xml:space="preserve">Related to Maternal, Infant, and Child Health Objective 11.4.  Increase abstinence from illicit drugs among pregnant women. (Baseline: </w:t>
            </w:r>
            <w:r w:rsidRPr="0003681B">
              <w:rPr>
                <w:rFonts w:ascii="Arial" w:hAnsi="Arial" w:cs="Arial"/>
                <w:sz w:val="20"/>
                <w:szCs w:val="20"/>
              </w:rPr>
              <w:t xml:space="preserve">94.8 percent of pregnant females </w:t>
            </w:r>
            <w:r>
              <w:rPr>
                <w:rFonts w:ascii="Arial" w:hAnsi="Arial" w:cs="Arial"/>
                <w:sz w:val="20"/>
                <w:szCs w:val="20"/>
              </w:rPr>
              <w:t>ages</w:t>
            </w:r>
            <w:r w:rsidRPr="0003681B">
              <w:rPr>
                <w:rFonts w:ascii="Arial" w:hAnsi="Arial" w:cs="Arial"/>
                <w:sz w:val="20"/>
                <w:szCs w:val="20"/>
              </w:rPr>
              <w:t xml:space="preserve"> 15 to 44 years reported abstaining from illicit drugs in the past 30 days in 2007–08</w:t>
            </w:r>
            <w:r>
              <w:rPr>
                <w:rFonts w:ascii="Arial" w:hAnsi="Arial" w:cs="Arial"/>
                <w:sz w:val="20"/>
                <w:szCs w:val="20"/>
              </w:rPr>
              <w:t>; Target 100%)</w:t>
            </w:r>
          </w:p>
          <w:p w14:paraId="7E18CF58" w14:textId="77777777" w:rsidR="0007198D" w:rsidRPr="00515E1C" w:rsidRDefault="0007198D" w:rsidP="000C7A5D">
            <w:pPr>
              <w:spacing w:after="0" w:line="240" w:lineRule="auto"/>
              <w:rPr>
                <w:rFonts w:ascii="Arial" w:hAnsi="Arial" w:cs="Arial"/>
                <w:sz w:val="20"/>
                <w:szCs w:val="20"/>
              </w:rPr>
            </w:pPr>
          </w:p>
        </w:tc>
      </w:tr>
      <w:tr w:rsidR="0007198D" w:rsidRPr="00515E1C" w14:paraId="3E4186B8" w14:textId="77777777" w:rsidTr="000C7A5D">
        <w:tc>
          <w:tcPr>
            <w:tcW w:w="3600" w:type="dxa"/>
          </w:tcPr>
          <w:p w14:paraId="16CB65C7" w14:textId="77777777" w:rsidR="0007198D" w:rsidRPr="00515E1C" w:rsidRDefault="0007198D" w:rsidP="000C7A5D">
            <w:pPr>
              <w:spacing w:after="0" w:line="240" w:lineRule="auto"/>
              <w:rPr>
                <w:rFonts w:ascii="Arial" w:hAnsi="Arial" w:cs="Arial"/>
                <w:b/>
                <w:sz w:val="20"/>
                <w:szCs w:val="20"/>
              </w:rPr>
            </w:pPr>
            <w:r w:rsidRPr="00515E1C">
              <w:rPr>
                <w:rFonts w:ascii="Arial" w:hAnsi="Arial" w:cs="Arial"/>
                <w:b/>
                <w:sz w:val="20"/>
                <w:szCs w:val="20"/>
              </w:rPr>
              <w:t>DATA SOURCES and DATA ISSUES</w:t>
            </w:r>
          </w:p>
        </w:tc>
        <w:tc>
          <w:tcPr>
            <w:tcW w:w="5886" w:type="dxa"/>
            <w:gridSpan w:val="2"/>
          </w:tcPr>
          <w:p w14:paraId="140C2FCE" w14:textId="77777777" w:rsidR="0007198D" w:rsidRDefault="0007198D" w:rsidP="000C7A5D">
            <w:pPr>
              <w:spacing w:after="0" w:line="240" w:lineRule="auto"/>
              <w:rPr>
                <w:rFonts w:ascii="Arial" w:hAnsi="Arial" w:cs="Arial"/>
                <w:noProof/>
                <w:sz w:val="20"/>
                <w:szCs w:val="20"/>
              </w:rPr>
            </w:pPr>
            <w:r>
              <w:rPr>
                <w:rFonts w:ascii="Arial" w:hAnsi="Arial" w:cs="Arial"/>
                <w:noProof/>
                <w:sz w:val="20"/>
                <w:szCs w:val="20"/>
              </w:rPr>
              <w:t>Healthcare Cost and Utilization Project (HCUP) - State Inpatient Database (SID)</w:t>
            </w:r>
          </w:p>
          <w:p w14:paraId="3292A144" w14:textId="77777777" w:rsidR="0007198D" w:rsidRPr="00515E1C" w:rsidRDefault="0007198D" w:rsidP="000C7A5D">
            <w:pPr>
              <w:spacing w:after="0" w:line="240" w:lineRule="auto"/>
              <w:rPr>
                <w:rFonts w:ascii="Arial" w:hAnsi="Arial" w:cs="Arial"/>
                <w:sz w:val="20"/>
                <w:szCs w:val="20"/>
              </w:rPr>
            </w:pPr>
          </w:p>
        </w:tc>
      </w:tr>
      <w:tr w:rsidR="0007198D" w:rsidRPr="00515E1C" w14:paraId="58BFF0E1" w14:textId="77777777" w:rsidTr="000C7A5D">
        <w:tc>
          <w:tcPr>
            <w:tcW w:w="3600" w:type="dxa"/>
          </w:tcPr>
          <w:p w14:paraId="72DA1296" w14:textId="77777777" w:rsidR="0007198D" w:rsidRPr="00515E1C" w:rsidRDefault="0007198D" w:rsidP="000C7A5D">
            <w:pPr>
              <w:spacing w:after="0" w:line="240" w:lineRule="auto"/>
              <w:rPr>
                <w:rFonts w:ascii="Arial" w:hAnsi="Arial" w:cs="Arial"/>
                <w:b/>
                <w:sz w:val="20"/>
                <w:szCs w:val="20"/>
              </w:rPr>
            </w:pPr>
            <w:r w:rsidRPr="00515E1C">
              <w:rPr>
                <w:rFonts w:ascii="Arial" w:hAnsi="Arial" w:cs="Arial"/>
                <w:b/>
                <w:sz w:val="20"/>
                <w:szCs w:val="20"/>
              </w:rPr>
              <w:t>SIGNIFICANCE</w:t>
            </w:r>
          </w:p>
        </w:tc>
        <w:tc>
          <w:tcPr>
            <w:tcW w:w="5886" w:type="dxa"/>
            <w:gridSpan w:val="2"/>
          </w:tcPr>
          <w:p w14:paraId="33080B37" w14:textId="77777777" w:rsidR="0007198D" w:rsidRDefault="0007198D" w:rsidP="000C7A5D">
            <w:pPr>
              <w:spacing w:after="0" w:line="240" w:lineRule="auto"/>
              <w:rPr>
                <w:rFonts w:ascii="Arial" w:hAnsi="Arial" w:cs="Arial"/>
                <w:sz w:val="20"/>
                <w:szCs w:val="20"/>
              </w:rPr>
            </w:pPr>
            <w:r>
              <w:rPr>
                <w:rFonts w:ascii="Arial" w:hAnsi="Arial" w:cs="Arial"/>
                <w:sz w:val="20"/>
                <w:szCs w:val="20"/>
              </w:rPr>
              <w:t>Neonatal drug dependency or withdrawal symptoms, known as neonatal abstinence syndrome (NAS), occur from maternal use of opiates such as heroin, methadone, and prescription pain medications.  Symptoms of NAS include fever, diarrhea, irritability, trembling, and increased muscle tone.  Along with a rise in prescription drug abuse, the incidence of NAS nearly tripled over the past decade with substantial increases in health care costs.  Prevention strategies exist along the continuum from preconception, prenatal, postpartum, and infant/childhood stages to help avert substance-exposed pregnancies and improve outcomes for infants born with NAS.</w:t>
            </w:r>
          </w:p>
          <w:p w14:paraId="56A3073C" w14:textId="77777777" w:rsidR="0007198D" w:rsidRDefault="0007198D" w:rsidP="000C7A5D">
            <w:pPr>
              <w:spacing w:after="0" w:line="240" w:lineRule="auto"/>
              <w:rPr>
                <w:rFonts w:ascii="Arial" w:hAnsi="Arial" w:cs="Arial"/>
                <w:sz w:val="20"/>
                <w:szCs w:val="20"/>
              </w:rPr>
            </w:pPr>
          </w:p>
          <w:p w14:paraId="475962DC" w14:textId="77777777" w:rsidR="0007198D" w:rsidRDefault="0007198D" w:rsidP="000C7A5D">
            <w:pPr>
              <w:spacing w:after="0" w:line="240" w:lineRule="auto"/>
              <w:rPr>
                <w:rFonts w:ascii="Arial" w:hAnsi="Arial" w:cs="Arial"/>
                <w:sz w:val="20"/>
                <w:szCs w:val="20"/>
              </w:rPr>
            </w:pPr>
            <w:r>
              <w:rPr>
                <w:rFonts w:ascii="Arial" w:hAnsi="Arial" w:cs="Arial"/>
                <w:sz w:val="20"/>
                <w:szCs w:val="20"/>
              </w:rPr>
              <w:t xml:space="preserve">Patrick SW, Shumacher RE, Benneyworth BD et al. Neonatal Abstinence Syndrome and Associated Health Care Expenditures, 2000-2009. JAMA. 2012 May 9. 307(18):1934-40. </w:t>
            </w:r>
            <w:hyperlink r:id="rId95" w:history="1">
              <w:r w:rsidRPr="00175F4A">
                <w:rPr>
                  <w:rStyle w:val="Hyperlink"/>
                  <w:rFonts w:ascii="Arial" w:hAnsi="Arial" w:cs="Arial"/>
                  <w:sz w:val="20"/>
                  <w:szCs w:val="20"/>
                </w:rPr>
                <w:t>http://jamanetwork.com/journals/jama/fullarticle/1151530</w:t>
              </w:r>
            </w:hyperlink>
            <w:r>
              <w:rPr>
                <w:rFonts w:ascii="Arial" w:hAnsi="Arial" w:cs="Arial"/>
                <w:sz w:val="20"/>
                <w:szCs w:val="20"/>
              </w:rPr>
              <w:t xml:space="preserve"> </w:t>
            </w:r>
          </w:p>
          <w:p w14:paraId="4B327880" w14:textId="77777777" w:rsidR="0007198D" w:rsidRPr="00D14F97" w:rsidRDefault="0007198D" w:rsidP="000C7A5D">
            <w:pPr>
              <w:spacing w:after="0" w:line="240" w:lineRule="auto"/>
              <w:rPr>
                <w:rFonts w:ascii="Arial" w:hAnsi="Arial" w:cs="Arial"/>
                <w:sz w:val="8"/>
                <w:szCs w:val="20"/>
              </w:rPr>
            </w:pPr>
          </w:p>
          <w:p w14:paraId="6A459386" w14:textId="77777777" w:rsidR="0007198D" w:rsidRDefault="0007198D" w:rsidP="000C7A5D">
            <w:pPr>
              <w:spacing w:after="0" w:line="240" w:lineRule="auto"/>
              <w:rPr>
                <w:rFonts w:ascii="Arial" w:hAnsi="Arial" w:cs="Arial"/>
                <w:sz w:val="20"/>
                <w:szCs w:val="20"/>
              </w:rPr>
            </w:pPr>
            <w:r>
              <w:rPr>
                <w:rFonts w:ascii="Arial" w:hAnsi="Arial" w:cs="Arial"/>
                <w:sz w:val="20"/>
                <w:szCs w:val="20"/>
              </w:rPr>
              <w:t xml:space="preserve">Association of State and Territorial Health Officials (ASTHO). Neonatal Abstinence Syndrome: How States Can Help Advance the Knowledge Base for Primary Prevention and Best Practices of Care. 2014. </w:t>
            </w:r>
            <w:hyperlink r:id="rId96" w:history="1">
              <w:r w:rsidRPr="00175F4A">
                <w:rPr>
                  <w:rStyle w:val="Hyperlink"/>
                  <w:rFonts w:ascii="Arial" w:hAnsi="Arial" w:cs="Arial"/>
                  <w:sz w:val="20"/>
                  <w:szCs w:val="20"/>
                </w:rPr>
                <w:t>http://www.astho.org/prevention/nas-neonatal-abstinence-report/</w:t>
              </w:r>
            </w:hyperlink>
            <w:r>
              <w:rPr>
                <w:rFonts w:ascii="Arial" w:hAnsi="Arial" w:cs="Arial"/>
                <w:sz w:val="20"/>
                <w:szCs w:val="20"/>
              </w:rPr>
              <w:t xml:space="preserve"> </w:t>
            </w:r>
          </w:p>
          <w:p w14:paraId="0A397165" w14:textId="77777777" w:rsidR="0007198D" w:rsidRPr="00D14F97" w:rsidRDefault="0007198D" w:rsidP="000C7A5D">
            <w:pPr>
              <w:spacing w:after="0" w:line="240" w:lineRule="auto"/>
              <w:rPr>
                <w:rFonts w:ascii="Arial" w:hAnsi="Arial" w:cs="Arial"/>
                <w:sz w:val="10"/>
                <w:szCs w:val="20"/>
              </w:rPr>
            </w:pPr>
          </w:p>
        </w:tc>
      </w:tr>
      <w:tr w:rsidR="0007198D" w:rsidRPr="00515E1C" w14:paraId="1764988D" w14:textId="77777777" w:rsidTr="000C7A5D">
        <w:tc>
          <w:tcPr>
            <w:tcW w:w="3600" w:type="dxa"/>
          </w:tcPr>
          <w:p w14:paraId="5688C2A0" w14:textId="77777777" w:rsidR="0007198D" w:rsidRPr="00515E1C" w:rsidRDefault="0007198D" w:rsidP="000C7A5D">
            <w:pPr>
              <w:rPr>
                <w:rFonts w:ascii="Arial" w:hAnsi="Arial" w:cs="Arial"/>
                <w:sz w:val="20"/>
                <w:szCs w:val="20"/>
              </w:rPr>
            </w:pPr>
          </w:p>
        </w:tc>
        <w:tc>
          <w:tcPr>
            <w:tcW w:w="5886" w:type="dxa"/>
            <w:gridSpan w:val="2"/>
          </w:tcPr>
          <w:p w14:paraId="579F5AA0" w14:textId="77777777" w:rsidR="0007198D" w:rsidRPr="00515E1C" w:rsidRDefault="0007198D" w:rsidP="000C7A5D">
            <w:pPr>
              <w:spacing w:after="0" w:line="240" w:lineRule="auto"/>
              <w:rPr>
                <w:rFonts w:ascii="Arial" w:hAnsi="Arial" w:cs="Arial"/>
                <w:sz w:val="20"/>
                <w:szCs w:val="20"/>
              </w:rPr>
            </w:pPr>
            <w:r w:rsidRPr="00937FD6">
              <w:rPr>
                <w:rFonts w:ascii="Arial" w:hAnsi="Arial" w:cs="Arial"/>
                <w:sz w:val="20"/>
                <w:szCs w:val="20"/>
              </w:rPr>
              <w:t xml:space="preserve">Ko JY, Wolicki S, Barfield WD, et al. CDC Grand Rounds: Public Health Strategies to Prevent Neonatal Abstinence Syndrome. MMWR Morb Mortal Wkly Rep 2017;66:242–245. DOI: </w:t>
            </w:r>
            <w:hyperlink r:id="rId97" w:history="1">
              <w:r w:rsidRPr="00057ED2">
                <w:rPr>
                  <w:rStyle w:val="Hyperlink"/>
                  <w:rFonts w:ascii="Arial" w:hAnsi="Arial" w:cs="Arial"/>
                  <w:sz w:val="20"/>
                  <w:szCs w:val="20"/>
                </w:rPr>
                <w:t>http://dx.doi.org/10.15585/mmwr.mm6609a2</w:t>
              </w:r>
            </w:hyperlink>
            <w:r>
              <w:rPr>
                <w:rFonts w:ascii="Arial" w:hAnsi="Arial" w:cs="Arial"/>
                <w:sz w:val="20"/>
                <w:szCs w:val="20"/>
              </w:rPr>
              <w:t xml:space="preserve"> </w:t>
            </w:r>
          </w:p>
        </w:tc>
      </w:tr>
    </w:tbl>
    <w:p w14:paraId="093D0655" w14:textId="77777777" w:rsidR="0007198D" w:rsidRDefault="0007198D" w:rsidP="0007198D"/>
    <w:p w14:paraId="0528ABB2" w14:textId="77777777" w:rsidR="0007198D" w:rsidRDefault="0007198D" w:rsidP="0007198D">
      <w:pPr>
        <w:spacing w:after="0" w:line="240" w:lineRule="auto"/>
        <w:sectPr w:rsidR="0007198D" w:rsidSect="00514C00">
          <w:pgSz w:w="12240" w:h="15840"/>
          <w:pgMar w:top="1440" w:right="1440" w:bottom="1440" w:left="1440" w:header="720" w:footer="720" w:gutter="0"/>
          <w:cols w:space="720"/>
          <w:docGrid w:linePitch="360"/>
        </w:sectPr>
      </w:pPr>
    </w:p>
    <w:tbl>
      <w:tblPr>
        <w:tblW w:w="0" w:type="auto"/>
        <w:tblLook w:val="04A0" w:firstRow="1" w:lastRow="0" w:firstColumn="1" w:lastColumn="0" w:noHBand="0" w:noVBand="1"/>
      </w:tblPr>
      <w:tblGrid>
        <w:gridCol w:w="3618"/>
        <w:gridCol w:w="5868"/>
      </w:tblGrid>
      <w:tr w:rsidR="0007198D" w:rsidRPr="003F48A1" w14:paraId="3FC02F78" w14:textId="77777777" w:rsidTr="000C7A5D">
        <w:tc>
          <w:tcPr>
            <w:tcW w:w="3618" w:type="dxa"/>
            <w:shd w:val="clear" w:color="auto" w:fill="auto"/>
          </w:tcPr>
          <w:p w14:paraId="044F83B7" w14:textId="77777777" w:rsidR="0007198D" w:rsidRPr="00531366" w:rsidRDefault="0007198D" w:rsidP="000C7A5D">
            <w:pPr>
              <w:spacing w:after="0" w:line="240" w:lineRule="auto"/>
              <w:rPr>
                <w:rFonts w:ascii="Arial" w:hAnsi="Arial" w:cs="Arial"/>
                <w:b/>
                <w:sz w:val="24"/>
                <w:szCs w:val="24"/>
              </w:rPr>
            </w:pPr>
            <w:r w:rsidRPr="00531366">
              <w:rPr>
                <w:rFonts w:ascii="Arial" w:hAnsi="Arial" w:cs="Arial"/>
                <w:b/>
                <w:sz w:val="24"/>
                <w:szCs w:val="24"/>
              </w:rPr>
              <w:t xml:space="preserve">OUTCOME MEASURE </w:t>
            </w:r>
            <w:r>
              <w:rPr>
                <w:rFonts w:ascii="Arial" w:hAnsi="Arial" w:cs="Arial"/>
                <w:b/>
                <w:noProof/>
                <w:sz w:val="24"/>
                <w:szCs w:val="24"/>
              </w:rPr>
              <w:t>12</w:t>
            </w:r>
          </w:p>
        </w:tc>
        <w:tc>
          <w:tcPr>
            <w:tcW w:w="5868" w:type="dxa"/>
            <w:shd w:val="clear" w:color="auto" w:fill="auto"/>
          </w:tcPr>
          <w:p w14:paraId="797CB1DC" w14:textId="77777777" w:rsidR="0007198D" w:rsidRPr="00531366" w:rsidRDefault="0007198D" w:rsidP="000C7A5D">
            <w:pPr>
              <w:spacing w:after="0" w:line="240" w:lineRule="auto"/>
              <w:rPr>
                <w:rFonts w:ascii="Arial" w:hAnsi="Arial" w:cs="Arial"/>
                <w:b/>
                <w:sz w:val="24"/>
                <w:szCs w:val="24"/>
              </w:rPr>
            </w:pPr>
            <w:r w:rsidRPr="00531366">
              <w:rPr>
                <w:rFonts w:ascii="Arial" w:hAnsi="Arial" w:cs="Arial"/>
                <w:b/>
                <w:noProof/>
                <w:sz w:val="24"/>
                <w:szCs w:val="24"/>
              </w:rPr>
              <w:t>Percent of eligible newborns screened for heritable disorders with on time physician notification for out of range screens who are followed up in a timely manner. (DEVELOPMENTAL)</w:t>
            </w:r>
          </w:p>
        </w:tc>
      </w:tr>
    </w:tbl>
    <w:p w14:paraId="4AE9F3D2" w14:textId="77777777" w:rsidR="0007198D" w:rsidRDefault="0007198D" w:rsidP="0007198D">
      <w:pPr>
        <w:spacing w:after="0" w:line="240" w:lineRule="auto"/>
      </w:pPr>
    </w:p>
    <w:p w14:paraId="0C3BA858" w14:textId="77777777" w:rsidR="0007198D" w:rsidRDefault="0007198D" w:rsidP="0007198D">
      <w:pPr>
        <w:spacing w:after="0" w:line="240" w:lineRule="auto"/>
      </w:pPr>
      <w:r>
        <w:rPr>
          <w:noProof/>
        </w:rPr>
        <mc:AlternateContent>
          <mc:Choice Requires="wps">
            <w:drawing>
              <wp:anchor distT="4294967295" distB="4294967295" distL="114300" distR="114300" simplePos="0" relativeHeight="251774976" behindDoc="0" locked="0" layoutInCell="1" allowOverlap="1" wp14:anchorId="7A05EEA7" wp14:editId="50A16438">
                <wp:simplePos x="0" y="0"/>
                <wp:positionH relativeFrom="column">
                  <wp:posOffset>-60960</wp:posOffset>
                </wp:positionH>
                <wp:positionV relativeFrom="paragraph">
                  <wp:posOffset>31749</wp:posOffset>
                </wp:positionV>
                <wp:extent cx="6088380" cy="0"/>
                <wp:effectExtent l="0" t="0" r="2667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D73DBEE" id="Straight Connector 35" o:spid="_x0000_s1026" style="position:absolute;z-index:251774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" strokecolor="windowText" strokeweight="1.75pt">
                <o:lock v:ext="edit" shapetype="f"/>
              </v:line>
            </w:pict>
          </mc:Fallback>
        </mc:AlternateContent>
      </w:r>
    </w:p>
    <w:tbl>
      <w:tblPr>
        <w:tblW w:w="9453" w:type="dxa"/>
        <w:tblLook w:val="04A0" w:firstRow="1" w:lastRow="0" w:firstColumn="1" w:lastColumn="0" w:noHBand="0" w:noVBand="1"/>
      </w:tblPr>
      <w:tblGrid>
        <w:gridCol w:w="3600"/>
        <w:gridCol w:w="3340"/>
        <w:gridCol w:w="2513"/>
      </w:tblGrid>
      <w:tr w:rsidR="0007198D" w:rsidRPr="00515E1C" w14:paraId="02AF9A69" w14:textId="77777777" w:rsidTr="000C7A5D">
        <w:tc>
          <w:tcPr>
            <w:tcW w:w="3600" w:type="dxa"/>
            <w:shd w:val="clear" w:color="auto" w:fill="auto"/>
          </w:tcPr>
          <w:p w14:paraId="67B5DE68"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GOAL</w:t>
            </w:r>
          </w:p>
        </w:tc>
        <w:tc>
          <w:tcPr>
            <w:tcW w:w="5853" w:type="dxa"/>
            <w:gridSpan w:val="2"/>
            <w:shd w:val="clear" w:color="auto" w:fill="auto"/>
          </w:tcPr>
          <w:p w14:paraId="47221C97"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noProof/>
                <w:sz w:val="20"/>
                <w:szCs w:val="20"/>
              </w:rPr>
              <w:t>To increase the percent of eligible newborns screened for heritable disorders with on-time physician notification for out of range screens and timely follow up.</w:t>
            </w:r>
          </w:p>
        </w:tc>
      </w:tr>
      <w:tr w:rsidR="0007198D" w:rsidRPr="00515E1C" w14:paraId="3DA942D4" w14:textId="77777777" w:rsidTr="000C7A5D">
        <w:tc>
          <w:tcPr>
            <w:tcW w:w="3600" w:type="dxa"/>
            <w:shd w:val="clear" w:color="auto" w:fill="auto"/>
          </w:tcPr>
          <w:p w14:paraId="25C3618C" w14:textId="77777777" w:rsidR="0007198D" w:rsidRPr="00531366" w:rsidRDefault="0007198D" w:rsidP="000C7A5D">
            <w:pPr>
              <w:spacing w:after="0" w:line="240" w:lineRule="auto"/>
              <w:rPr>
                <w:rFonts w:ascii="Arial" w:hAnsi="Arial" w:cs="Arial"/>
                <w:b/>
                <w:sz w:val="20"/>
                <w:szCs w:val="20"/>
              </w:rPr>
            </w:pPr>
          </w:p>
        </w:tc>
        <w:tc>
          <w:tcPr>
            <w:tcW w:w="5853" w:type="dxa"/>
            <w:gridSpan w:val="2"/>
            <w:shd w:val="clear" w:color="auto" w:fill="auto"/>
          </w:tcPr>
          <w:p w14:paraId="53820290" w14:textId="77777777" w:rsidR="0007198D" w:rsidRPr="00531366" w:rsidRDefault="0007198D" w:rsidP="000C7A5D">
            <w:pPr>
              <w:spacing w:after="0" w:line="240" w:lineRule="auto"/>
              <w:rPr>
                <w:rFonts w:ascii="Arial" w:hAnsi="Arial" w:cs="Arial"/>
                <w:sz w:val="20"/>
                <w:szCs w:val="20"/>
              </w:rPr>
            </w:pPr>
          </w:p>
        </w:tc>
      </w:tr>
      <w:tr w:rsidR="0007198D" w:rsidRPr="00515E1C" w14:paraId="341E048C" w14:textId="77777777" w:rsidTr="000C7A5D">
        <w:tc>
          <w:tcPr>
            <w:tcW w:w="3600" w:type="dxa"/>
            <w:shd w:val="clear" w:color="auto" w:fill="auto"/>
          </w:tcPr>
          <w:p w14:paraId="217583CD"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DEFINITION</w:t>
            </w:r>
          </w:p>
        </w:tc>
        <w:tc>
          <w:tcPr>
            <w:tcW w:w="5853" w:type="dxa"/>
            <w:gridSpan w:val="2"/>
            <w:shd w:val="clear" w:color="auto" w:fill="auto"/>
          </w:tcPr>
          <w:p w14:paraId="344E1F92"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Numerator:</w:t>
            </w:r>
          </w:p>
        </w:tc>
      </w:tr>
      <w:tr w:rsidR="0007198D" w:rsidRPr="00515E1C" w14:paraId="3B15DB31" w14:textId="77777777" w:rsidTr="000C7A5D">
        <w:tc>
          <w:tcPr>
            <w:tcW w:w="3600" w:type="dxa"/>
            <w:shd w:val="clear" w:color="auto" w:fill="auto"/>
          </w:tcPr>
          <w:p w14:paraId="7EA146E6" w14:textId="77777777" w:rsidR="0007198D" w:rsidRPr="00531366" w:rsidRDefault="0007198D" w:rsidP="000C7A5D">
            <w:pPr>
              <w:spacing w:after="0" w:line="240" w:lineRule="auto"/>
              <w:rPr>
                <w:rFonts w:ascii="Arial" w:hAnsi="Arial" w:cs="Arial"/>
                <w:b/>
                <w:sz w:val="20"/>
                <w:szCs w:val="20"/>
              </w:rPr>
            </w:pPr>
          </w:p>
        </w:tc>
        <w:tc>
          <w:tcPr>
            <w:tcW w:w="5853" w:type="dxa"/>
            <w:gridSpan w:val="2"/>
            <w:shd w:val="clear" w:color="auto" w:fill="auto"/>
          </w:tcPr>
          <w:p w14:paraId="0C29CFCE"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noProof/>
                <w:sz w:val="20"/>
                <w:szCs w:val="20"/>
              </w:rPr>
              <w:t xml:space="preserve">Number of eligible newborns screened for heritable disorders with on time physician notification for out of range screens who are followed up in a timely manner.  </w:t>
            </w:r>
            <w:r>
              <w:rPr>
                <w:rFonts w:ascii="Arial" w:hAnsi="Arial" w:cs="Arial"/>
                <w:noProof/>
                <w:sz w:val="20"/>
                <w:szCs w:val="20"/>
              </w:rPr>
              <w:t>UNDER DEVELOPMENT.</w:t>
            </w:r>
          </w:p>
        </w:tc>
      </w:tr>
      <w:tr w:rsidR="0007198D" w:rsidRPr="00515E1C" w14:paraId="23BC115F" w14:textId="77777777" w:rsidTr="000C7A5D">
        <w:tc>
          <w:tcPr>
            <w:tcW w:w="3600" w:type="dxa"/>
            <w:shd w:val="clear" w:color="auto" w:fill="auto"/>
          </w:tcPr>
          <w:p w14:paraId="5086B9F8" w14:textId="77777777" w:rsidR="0007198D" w:rsidRPr="00531366" w:rsidRDefault="0007198D" w:rsidP="000C7A5D">
            <w:pPr>
              <w:spacing w:after="0" w:line="240" w:lineRule="auto"/>
              <w:rPr>
                <w:rFonts w:ascii="Arial" w:hAnsi="Arial" w:cs="Arial"/>
                <w:b/>
                <w:sz w:val="20"/>
                <w:szCs w:val="20"/>
              </w:rPr>
            </w:pPr>
          </w:p>
        </w:tc>
        <w:tc>
          <w:tcPr>
            <w:tcW w:w="5853" w:type="dxa"/>
            <w:gridSpan w:val="2"/>
            <w:shd w:val="clear" w:color="auto" w:fill="auto"/>
          </w:tcPr>
          <w:p w14:paraId="5B9950C2" w14:textId="77777777" w:rsidR="0007198D" w:rsidRPr="00531366" w:rsidRDefault="0007198D" w:rsidP="000C7A5D">
            <w:pPr>
              <w:spacing w:after="0" w:line="240" w:lineRule="auto"/>
              <w:rPr>
                <w:rFonts w:ascii="Arial" w:hAnsi="Arial" w:cs="Arial"/>
                <w:sz w:val="20"/>
                <w:szCs w:val="20"/>
              </w:rPr>
            </w:pPr>
          </w:p>
        </w:tc>
      </w:tr>
      <w:tr w:rsidR="0007198D" w:rsidRPr="00515E1C" w14:paraId="477F7A29" w14:textId="77777777" w:rsidTr="000C7A5D">
        <w:tc>
          <w:tcPr>
            <w:tcW w:w="3600" w:type="dxa"/>
            <w:shd w:val="clear" w:color="auto" w:fill="auto"/>
          </w:tcPr>
          <w:p w14:paraId="00F33CC3" w14:textId="77777777" w:rsidR="0007198D" w:rsidRPr="00531366" w:rsidRDefault="0007198D" w:rsidP="000C7A5D">
            <w:pPr>
              <w:spacing w:after="0" w:line="240" w:lineRule="auto"/>
              <w:rPr>
                <w:rFonts w:ascii="Arial" w:hAnsi="Arial" w:cs="Arial"/>
                <w:b/>
                <w:sz w:val="20"/>
                <w:szCs w:val="20"/>
              </w:rPr>
            </w:pPr>
          </w:p>
        </w:tc>
        <w:tc>
          <w:tcPr>
            <w:tcW w:w="5853" w:type="dxa"/>
            <w:gridSpan w:val="2"/>
            <w:shd w:val="clear" w:color="auto" w:fill="auto"/>
          </w:tcPr>
          <w:p w14:paraId="0E6EB0C0"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Denominator:</w:t>
            </w:r>
          </w:p>
        </w:tc>
      </w:tr>
      <w:tr w:rsidR="0007198D" w:rsidRPr="00515E1C" w14:paraId="414375D7" w14:textId="77777777" w:rsidTr="000C7A5D">
        <w:tc>
          <w:tcPr>
            <w:tcW w:w="3600" w:type="dxa"/>
            <w:shd w:val="clear" w:color="auto" w:fill="auto"/>
          </w:tcPr>
          <w:p w14:paraId="007E5605" w14:textId="77777777" w:rsidR="0007198D" w:rsidRPr="00531366" w:rsidRDefault="0007198D" w:rsidP="000C7A5D">
            <w:pPr>
              <w:spacing w:after="0" w:line="240" w:lineRule="auto"/>
              <w:rPr>
                <w:rFonts w:ascii="Arial" w:hAnsi="Arial" w:cs="Arial"/>
                <w:b/>
                <w:sz w:val="20"/>
                <w:szCs w:val="20"/>
              </w:rPr>
            </w:pPr>
          </w:p>
        </w:tc>
        <w:tc>
          <w:tcPr>
            <w:tcW w:w="5853" w:type="dxa"/>
            <w:gridSpan w:val="2"/>
            <w:shd w:val="clear" w:color="auto" w:fill="auto"/>
          </w:tcPr>
          <w:p w14:paraId="09B6B4D1"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noProof/>
                <w:sz w:val="20"/>
                <w:szCs w:val="20"/>
              </w:rPr>
              <w:t>Number of live eligible births</w:t>
            </w:r>
          </w:p>
        </w:tc>
      </w:tr>
      <w:tr w:rsidR="0007198D" w:rsidRPr="00515E1C" w14:paraId="3D6ED28E" w14:textId="77777777" w:rsidTr="000C7A5D">
        <w:tc>
          <w:tcPr>
            <w:tcW w:w="3600" w:type="dxa"/>
            <w:shd w:val="clear" w:color="auto" w:fill="auto"/>
          </w:tcPr>
          <w:p w14:paraId="540C9C1F" w14:textId="77777777" w:rsidR="0007198D" w:rsidRPr="00531366" w:rsidRDefault="0007198D" w:rsidP="000C7A5D">
            <w:pPr>
              <w:spacing w:after="0" w:line="240" w:lineRule="auto"/>
              <w:rPr>
                <w:rFonts w:ascii="Arial" w:hAnsi="Arial" w:cs="Arial"/>
                <w:b/>
                <w:sz w:val="20"/>
                <w:szCs w:val="20"/>
              </w:rPr>
            </w:pPr>
          </w:p>
        </w:tc>
        <w:tc>
          <w:tcPr>
            <w:tcW w:w="5853" w:type="dxa"/>
            <w:gridSpan w:val="2"/>
            <w:shd w:val="clear" w:color="auto" w:fill="auto"/>
          </w:tcPr>
          <w:p w14:paraId="02CE3FB6" w14:textId="77777777" w:rsidR="0007198D" w:rsidRPr="00531366" w:rsidRDefault="0007198D" w:rsidP="000C7A5D">
            <w:pPr>
              <w:spacing w:after="0" w:line="240" w:lineRule="auto"/>
              <w:rPr>
                <w:rFonts w:ascii="Arial" w:hAnsi="Arial" w:cs="Arial"/>
                <w:sz w:val="20"/>
                <w:szCs w:val="20"/>
              </w:rPr>
            </w:pPr>
          </w:p>
        </w:tc>
      </w:tr>
      <w:tr w:rsidR="0007198D" w:rsidRPr="00515E1C" w14:paraId="47D7CFC8" w14:textId="77777777" w:rsidTr="000C7A5D">
        <w:tc>
          <w:tcPr>
            <w:tcW w:w="3600" w:type="dxa"/>
            <w:shd w:val="clear" w:color="auto" w:fill="auto"/>
          </w:tcPr>
          <w:p w14:paraId="5F905639" w14:textId="77777777" w:rsidR="0007198D" w:rsidRPr="00531366" w:rsidRDefault="0007198D" w:rsidP="000C7A5D">
            <w:pPr>
              <w:spacing w:after="0" w:line="240" w:lineRule="auto"/>
              <w:rPr>
                <w:rFonts w:ascii="Arial" w:hAnsi="Arial" w:cs="Arial"/>
                <w:b/>
                <w:sz w:val="20"/>
                <w:szCs w:val="20"/>
              </w:rPr>
            </w:pPr>
          </w:p>
        </w:tc>
        <w:tc>
          <w:tcPr>
            <w:tcW w:w="3340" w:type="dxa"/>
            <w:shd w:val="clear" w:color="auto" w:fill="auto"/>
          </w:tcPr>
          <w:p w14:paraId="3F48A1DF"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b/>
                <w:sz w:val="20"/>
                <w:szCs w:val="20"/>
              </w:rPr>
              <w:t>Units:</w:t>
            </w:r>
            <w:r w:rsidRPr="00531366">
              <w:rPr>
                <w:rFonts w:ascii="Arial" w:hAnsi="Arial" w:cs="Arial"/>
                <w:sz w:val="20"/>
                <w:szCs w:val="20"/>
              </w:rPr>
              <w:t xml:space="preserve"> </w:t>
            </w:r>
            <w:r w:rsidRPr="00531366">
              <w:rPr>
                <w:rFonts w:ascii="Arial" w:hAnsi="Arial" w:cs="Arial"/>
                <w:noProof/>
                <w:sz w:val="20"/>
                <w:szCs w:val="20"/>
              </w:rPr>
              <w:t>100</w:t>
            </w:r>
          </w:p>
        </w:tc>
        <w:tc>
          <w:tcPr>
            <w:tcW w:w="2513" w:type="dxa"/>
            <w:shd w:val="clear" w:color="auto" w:fill="auto"/>
          </w:tcPr>
          <w:p w14:paraId="6076C7B2"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b/>
                <w:sz w:val="20"/>
                <w:szCs w:val="20"/>
              </w:rPr>
              <w:t>Text:</w:t>
            </w:r>
            <w:r w:rsidRPr="00531366">
              <w:rPr>
                <w:rFonts w:ascii="Arial" w:hAnsi="Arial" w:cs="Arial"/>
                <w:sz w:val="20"/>
                <w:szCs w:val="20"/>
              </w:rPr>
              <w:t xml:space="preserve"> </w:t>
            </w:r>
            <w:r w:rsidRPr="00531366">
              <w:rPr>
                <w:rFonts w:ascii="Arial" w:hAnsi="Arial" w:cs="Arial"/>
                <w:noProof/>
                <w:sz w:val="20"/>
                <w:szCs w:val="20"/>
              </w:rPr>
              <w:t>Percent</w:t>
            </w:r>
          </w:p>
        </w:tc>
      </w:tr>
      <w:tr w:rsidR="0007198D" w:rsidRPr="00515E1C" w14:paraId="4688E675" w14:textId="77777777" w:rsidTr="000C7A5D">
        <w:tc>
          <w:tcPr>
            <w:tcW w:w="3600" w:type="dxa"/>
            <w:shd w:val="clear" w:color="auto" w:fill="auto"/>
          </w:tcPr>
          <w:p w14:paraId="3D4AF683" w14:textId="77777777" w:rsidR="0007198D" w:rsidRPr="00531366" w:rsidRDefault="0007198D" w:rsidP="000C7A5D">
            <w:pPr>
              <w:spacing w:after="0" w:line="240" w:lineRule="auto"/>
              <w:rPr>
                <w:rFonts w:ascii="Arial" w:hAnsi="Arial" w:cs="Arial"/>
                <w:b/>
                <w:sz w:val="20"/>
                <w:szCs w:val="20"/>
              </w:rPr>
            </w:pPr>
          </w:p>
        </w:tc>
        <w:tc>
          <w:tcPr>
            <w:tcW w:w="5853" w:type="dxa"/>
            <w:gridSpan w:val="2"/>
            <w:shd w:val="clear" w:color="auto" w:fill="auto"/>
          </w:tcPr>
          <w:p w14:paraId="7FDFC4AC" w14:textId="77777777" w:rsidR="0007198D" w:rsidRPr="00531366" w:rsidRDefault="0007198D" w:rsidP="000C7A5D">
            <w:pPr>
              <w:spacing w:after="0" w:line="240" w:lineRule="auto"/>
              <w:rPr>
                <w:rFonts w:ascii="Arial" w:hAnsi="Arial" w:cs="Arial"/>
                <w:sz w:val="20"/>
                <w:szCs w:val="20"/>
              </w:rPr>
            </w:pPr>
          </w:p>
        </w:tc>
      </w:tr>
      <w:tr w:rsidR="0007198D" w:rsidRPr="00515E1C" w14:paraId="0D8D742F" w14:textId="77777777" w:rsidTr="000C7A5D">
        <w:tc>
          <w:tcPr>
            <w:tcW w:w="3600" w:type="dxa"/>
            <w:shd w:val="clear" w:color="auto" w:fill="auto"/>
          </w:tcPr>
          <w:p w14:paraId="0CFDE69B"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HEALTHY PEOPLE 2020 OBJECTIVE</w:t>
            </w:r>
          </w:p>
        </w:tc>
        <w:tc>
          <w:tcPr>
            <w:tcW w:w="5853" w:type="dxa"/>
            <w:gridSpan w:val="2"/>
            <w:shd w:val="clear" w:color="auto" w:fill="auto"/>
          </w:tcPr>
          <w:p w14:paraId="03848275"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noProof/>
                <w:sz w:val="20"/>
                <w:szCs w:val="20"/>
              </w:rPr>
              <w:t>Identical to Maternal, Infant, and Child Health (MICH) Objective 32: Increase appropriate newborn blood-spot screening and follow-up testing (Baseline: 98.3% of screen-positive children received follow-up testing within the recommended time period in 2003–06, Target: 100%).</w:t>
            </w:r>
          </w:p>
        </w:tc>
      </w:tr>
      <w:tr w:rsidR="0007198D" w:rsidRPr="00515E1C" w14:paraId="50D61CA3" w14:textId="77777777" w:rsidTr="000C7A5D">
        <w:tc>
          <w:tcPr>
            <w:tcW w:w="3600" w:type="dxa"/>
            <w:shd w:val="clear" w:color="auto" w:fill="auto"/>
          </w:tcPr>
          <w:p w14:paraId="06AEF2F7" w14:textId="77777777" w:rsidR="0007198D" w:rsidRPr="00531366" w:rsidRDefault="0007198D" w:rsidP="000C7A5D">
            <w:pPr>
              <w:spacing w:after="0" w:line="240" w:lineRule="auto"/>
              <w:rPr>
                <w:rFonts w:ascii="Arial" w:hAnsi="Arial" w:cs="Arial"/>
                <w:b/>
                <w:sz w:val="20"/>
                <w:szCs w:val="20"/>
              </w:rPr>
            </w:pPr>
          </w:p>
        </w:tc>
        <w:tc>
          <w:tcPr>
            <w:tcW w:w="5853" w:type="dxa"/>
            <w:gridSpan w:val="2"/>
            <w:shd w:val="clear" w:color="auto" w:fill="auto"/>
          </w:tcPr>
          <w:p w14:paraId="00AB9094" w14:textId="77777777" w:rsidR="0007198D" w:rsidRPr="00531366" w:rsidRDefault="0007198D" w:rsidP="000C7A5D">
            <w:pPr>
              <w:spacing w:after="0" w:line="240" w:lineRule="auto"/>
              <w:rPr>
                <w:rFonts w:ascii="Arial" w:hAnsi="Arial" w:cs="Arial"/>
                <w:sz w:val="20"/>
                <w:szCs w:val="20"/>
              </w:rPr>
            </w:pPr>
          </w:p>
        </w:tc>
      </w:tr>
      <w:tr w:rsidR="0007198D" w:rsidRPr="00515E1C" w14:paraId="35AC4644" w14:textId="77777777" w:rsidTr="000C7A5D">
        <w:tc>
          <w:tcPr>
            <w:tcW w:w="3600" w:type="dxa"/>
            <w:shd w:val="clear" w:color="auto" w:fill="auto"/>
          </w:tcPr>
          <w:p w14:paraId="41156CC3"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DATA SOURCES and DATA ISSUES</w:t>
            </w:r>
          </w:p>
        </w:tc>
        <w:tc>
          <w:tcPr>
            <w:tcW w:w="5853" w:type="dxa"/>
            <w:gridSpan w:val="2"/>
            <w:shd w:val="clear" w:color="auto" w:fill="auto"/>
          </w:tcPr>
          <w:p w14:paraId="6DFA4815"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noProof/>
                <w:sz w:val="20"/>
                <w:szCs w:val="20"/>
              </w:rPr>
              <w:t>The American Public Health Laboratories</w:t>
            </w:r>
            <w:r>
              <w:rPr>
                <w:rFonts w:ascii="Arial" w:hAnsi="Arial" w:cs="Arial"/>
                <w:noProof/>
                <w:sz w:val="20"/>
                <w:szCs w:val="20"/>
              </w:rPr>
              <w:t xml:space="preserve"> (APHL)</w:t>
            </w:r>
            <w:r w:rsidRPr="00531366">
              <w:rPr>
                <w:rFonts w:ascii="Arial" w:hAnsi="Arial" w:cs="Arial"/>
                <w:noProof/>
                <w:sz w:val="20"/>
                <w:szCs w:val="20"/>
              </w:rPr>
              <w:t xml:space="preserve"> data set</w:t>
            </w:r>
          </w:p>
        </w:tc>
      </w:tr>
      <w:tr w:rsidR="0007198D" w:rsidRPr="00515E1C" w14:paraId="31595810" w14:textId="77777777" w:rsidTr="000C7A5D">
        <w:tc>
          <w:tcPr>
            <w:tcW w:w="3600" w:type="dxa"/>
            <w:shd w:val="clear" w:color="auto" w:fill="auto"/>
          </w:tcPr>
          <w:p w14:paraId="2D106344" w14:textId="77777777" w:rsidR="0007198D" w:rsidRPr="00531366" w:rsidRDefault="0007198D" w:rsidP="000C7A5D">
            <w:pPr>
              <w:spacing w:after="0" w:line="240" w:lineRule="auto"/>
              <w:rPr>
                <w:rFonts w:ascii="Arial" w:hAnsi="Arial" w:cs="Arial"/>
                <w:b/>
                <w:sz w:val="20"/>
                <w:szCs w:val="20"/>
              </w:rPr>
            </w:pPr>
          </w:p>
        </w:tc>
        <w:tc>
          <w:tcPr>
            <w:tcW w:w="5853" w:type="dxa"/>
            <w:gridSpan w:val="2"/>
            <w:shd w:val="clear" w:color="auto" w:fill="auto"/>
          </w:tcPr>
          <w:p w14:paraId="68BCE2E5" w14:textId="77777777" w:rsidR="0007198D" w:rsidRPr="00531366" w:rsidRDefault="0007198D" w:rsidP="000C7A5D">
            <w:pPr>
              <w:spacing w:after="0" w:line="240" w:lineRule="auto"/>
              <w:rPr>
                <w:rFonts w:ascii="Arial" w:hAnsi="Arial" w:cs="Arial"/>
                <w:sz w:val="20"/>
                <w:szCs w:val="20"/>
              </w:rPr>
            </w:pPr>
          </w:p>
        </w:tc>
      </w:tr>
      <w:tr w:rsidR="0007198D" w:rsidRPr="00515E1C" w14:paraId="64991FA5" w14:textId="77777777" w:rsidTr="000C7A5D">
        <w:tc>
          <w:tcPr>
            <w:tcW w:w="3600" w:type="dxa"/>
            <w:shd w:val="clear" w:color="auto" w:fill="auto"/>
          </w:tcPr>
          <w:p w14:paraId="4B9434BB"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SIGNIFICANCE</w:t>
            </w:r>
          </w:p>
        </w:tc>
        <w:tc>
          <w:tcPr>
            <w:tcW w:w="5853" w:type="dxa"/>
            <w:gridSpan w:val="2"/>
            <w:shd w:val="clear" w:color="auto" w:fill="auto"/>
          </w:tcPr>
          <w:p w14:paraId="0FB7B863" w14:textId="77777777" w:rsidR="0007198D" w:rsidRPr="00531366" w:rsidRDefault="0007198D" w:rsidP="000C7A5D">
            <w:pPr>
              <w:spacing w:after="0" w:line="240" w:lineRule="auto"/>
              <w:rPr>
                <w:rFonts w:ascii="Arial" w:hAnsi="Arial" w:cs="Arial"/>
                <w:noProof/>
                <w:sz w:val="20"/>
                <w:szCs w:val="20"/>
              </w:rPr>
            </w:pPr>
            <w:r w:rsidRPr="00531366">
              <w:rPr>
                <w:rFonts w:ascii="Arial" w:hAnsi="Arial" w:cs="Arial"/>
                <w:noProof/>
                <w:sz w:val="20"/>
                <w:szCs w:val="20"/>
              </w:rPr>
              <w:t>Newborn screening detects thousands of babies each year with potentially devastating, but treatable disorders. The benefits of newborn screening depend upon timely collection of the newborn blood-spots or administration of a point-of-care test (pulse oximeter for critical congenital heart disease</w:t>
            </w:r>
            <w:r>
              <w:rPr>
                <w:rFonts w:ascii="Arial" w:hAnsi="Arial" w:cs="Arial"/>
                <w:noProof/>
                <w:sz w:val="20"/>
                <w:szCs w:val="20"/>
              </w:rPr>
              <w:t xml:space="preserve"> (CCHD)</w:t>
            </w:r>
            <w:r w:rsidRPr="00531366">
              <w:rPr>
                <w:rFonts w:ascii="Arial" w:hAnsi="Arial" w:cs="Arial"/>
                <w:noProof/>
                <w:sz w:val="20"/>
                <w:szCs w:val="20"/>
              </w:rPr>
              <w:t xml:space="preserve">), receipt of the newborn blood spot at the laboratory, testing of the newborn blood spot, and reporting out of all results.  Timely detection prevents death, mental retardation, and other significant health complications. </w:t>
            </w:r>
          </w:p>
          <w:p w14:paraId="16296843" w14:textId="77777777" w:rsidR="0007198D" w:rsidRPr="00531366" w:rsidRDefault="0007198D" w:rsidP="000C7A5D">
            <w:pPr>
              <w:spacing w:after="0" w:line="240" w:lineRule="auto"/>
              <w:rPr>
                <w:rFonts w:ascii="Arial" w:hAnsi="Arial" w:cs="Arial"/>
                <w:noProof/>
                <w:sz w:val="20"/>
                <w:szCs w:val="20"/>
              </w:rPr>
            </w:pPr>
          </w:p>
          <w:p w14:paraId="4D9191F4" w14:textId="77777777" w:rsidR="0007198D" w:rsidRPr="00862D47" w:rsidRDefault="0007198D" w:rsidP="000C7A5D">
            <w:pPr>
              <w:spacing w:after="0" w:line="240" w:lineRule="auto"/>
              <w:rPr>
                <w:rFonts w:ascii="Arial" w:hAnsi="Arial" w:cs="Arial"/>
                <w:sz w:val="20"/>
                <w:szCs w:val="20"/>
              </w:rPr>
            </w:pPr>
            <w:r>
              <w:rPr>
                <w:rFonts w:ascii="Arial" w:hAnsi="Arial" w:cs="Arial"/>
                <w:noProof/>
                <w:sz w:val="20"/>
                <w:szCs w:val="20"/>
              </w:rPr>
              <w:t xml:space="preserve">Centers for Disease Control and Prevention. CDC Grand Rounds: Newborn Screening and Improved Outcomes. Morbidity and Mortality Weekly Report. 2012 June 1. 61(21): 390-93. </w:t>
            </w:r>
            <w:hyperlink r:id="rId98" w:history="1">
              <w:r w:rsidRPr="00175F4A">
                <w:rPr>
                  <w:rStyle w:val="Hyperlink"/>
                  <w:rFonts w:ascii="Arial" w:hAnsi="Arial" w:cs="Arial"/>
                  <w:noProof/>
                  <w:sz w:val="20"/>
                  <w:szCs w:val="20"/>
                </w:rPr>
                <w:t>https://www.cdc.gov/mmwr/pdf/wk/mm6121.pdf</w:t>
              </w:r>
            </w:hyperlink>
            <w:r>
              <w:rPr>
                <w:rFonts w:ascii="Arial" w:hAnsi="Arial" w:cs="Arial"/>
                <w:noProof/>
                <w:sz w:val="20"/>
                <w:szCs w:val="20"/>
              </w:rPr>
              <w:t xml:space="preserve"> </w:t>
            </w:r>
          </w:p>
        </w:tc>
      </w:tr>
      <w:tr w:rsidR="0007198D" w:rsidRPr="00515E1C" w14:paraId="6D61EF1A" w14:textId="77777777" w:rsidTr="000C7A5D">
        <w:tc>
          <w:tcPr>
            <w:tcW w:w="3600" w:type="dxa"/>
            <w:shd w:val="clear" w:color="auto" w:fill="auto"/>
          </w:tcPr>
          <w:p w14:paraId="615FED42" w14:textId="77777777" w:rsidR="0007198D" w:rsidRPr="00531366" w:rsidRDefault="0007198D" w:rsidP="000C7A5D">
            <w:pPr>
              <w:spacing w:after="0" w:line="240" w:lineRule="auto"/>
              <w:rPr>
                <w:rFonts w:ascii="Arial" w:hAnsi="Arial" w:cs="Arial"/>
                <w:sz w:val="20"/>
                <w:szCs w:val="20"/>
              </w:rPr>
            </w:pPr>
          </w:p>
        </w:tc>
        <w:tc>
          <w:tcPr>
            <w:tcW w:w="5853" w:type="dxa"/>
            <w:gridSpan w:val="2"/>
            <w:shd w:val="clear" w:color="auto" w:fill="auto"/>
          </w:tcPr>
          <w:p w14:paraId="381DE188" w14:textId="77777777" w:rsidR="0007198D" w:rsidRPr="00531366" w:rsidRDefault="0007198D" w:rsidP="000C7A5D">
            <w:pPr>
              <w:spacing w:after="0" w:line="240" w:lineRule="auto"/>
              <w:rPr>
                <w:rFonts w:ascii="Arial" w:hAnsi="Arial" w:cs="Arial"/>
                <w:sz w:val="20"/>
                <w:szCs w:val="20"/>
              </w:rPr>
            </w:pPr>
          </w:p>
        </w:tc>
      </w:tr>
    </w:tbl>
    <w:p w14:paraId="611EAA56" w14:textId="77777777" w:rsidR="0007198D" w:rsidRDefault="0007198D" w:rsidP="0007198D">
      <w:pPr>
        <w:spacing w:after="0" w:line="240" w:lineRule="auto"/>
        <w:sectPr w:rsidR="0007198D" w:rsidSect="008A00F6">
          <w:pgSz w:w="12240" w:h="15840"/>
          <w:pgMar w:top="1440" w:right="1440" w:bottom="1440" w:left="1440" w:header="720" w:footer="720" w:gutter="0"/>
          <w:cols w:space="720"/>
          <w:docGrid w:linePitch="360"/>
        </w:sectPr>
      </w:pPr>
    </w:p>
    <w:tbl>
      <w:tblPr>
        <w:tblW w:w="0" w:type="auto"/>
        <w:tblLook w:val="04A0" w:firstRow="1" w:lastRow="0" w:firstColumn="1" w:lastColumn="0" w:noHBand="0" w:noVBand="1"/>
      </w:tblPr>
      <w:tblGrid>
        <w:gridCol w:w="3618"/>
        <w:gridCol w:w="5868"/>
      </w:tblGrid>
      <w:tr w:rsidR="0007198D" w:rsidRPr="003F48A1" w14:paraId="3EEAB044" w14:textId="77777777" w:rsidTr="000C7A5D">
        <w:tc>
          <w:tcPr>
            <w:tcW w:w="3618" w:type="dxa"/>
            <w:shd w:val="clear" w:color="auto" w:fill="auto"/>
          </w:tcPr>
          <w:p w14:paraId="707982AD" w14:textId="77777777" w:rsidR="0007198D" w:rsidRPr="00531366" w:rsidRDefault="0007198D" w:rsidP="000C7A5D">
            <w:pPr>
              <w:spacing w:after="0" w:line="240" w:lineRule="auto"/>
              <w:rPr>
                <w:rFonts w:ascii="Arial" w:hAnsi="Arial" w:cs="Arial"/>
                <w:b/>
                <w:sz w:val="24"/>
                <w:szCs w:val="24"/>
              </w:rPr>
            </w:pPr>
            <w:r w:rsidRPr="00531366">
              <w:rPr>
                <w:rFonts w:ascii="Arial" w:hAnsi="Arial" w:cs="Arial"/>
                <w:b/>
                <w:sz w:val="24"/>
                <w:szCs w:val="24"/>
              </w:rPr>
              <w:t xml:space="preserve">OUTCOME MEASURE </w:t>
            </w:r>
            <w:r>
              <w:rPr>
                <w:rFonts w:ascii="Arial" w:hAnsi="Arial" w:cs="Arial"/>
                <w:b/>
                <w:noProof/>
                <w:sz w:val="24"/>
                <w:szCs w:val="24"/>
              </w:rPr>
              <w:t>13</w:t>
            </w:r>
          </w:p>
        </w:tc>
        <w:tc>
          <w:tcPr>
            <w:tcW w:w="5868" w:type="dxa"/>
            <w:shd w:val="clear" w:color="auto" w:fill="auto"/>
          </w:tcPr>
          <w:p w14:paraId="00971419" w14:textId="77777777" w:rsidR="0007198D" w:rsidRPr="00531366" w:rsidRDefault="0007198D" w:rsidP="000C7A5D">
            <w:pPr>
              <w:spacing w:after="0" w:line="240" w:lineRule="auto"/>
              <w:rPr>
                <w:rFonts w:ascii="Arial" w:hAnsi="Arial" w:cs="Arial"/>
                <w:b/>
                <w:sz w:val="24"/>
                <w:szCs w:val="24"/>
              </w:rPr>
            </w:pPr>
            <w:r w:rsidRPr="00531366">
              <w:rPr>
                <w:rFonts w:ascii="Arial" w:hAnsi="Arial" w:cs="Arial"/>
                <w:b/>
                <w:noProof/>
                <w:sz w:val="24"/>
                <w:szCs w:val="24"/>
              </w:rPr>
              <w:t>Percent of children meeting the criteria developed for school readiness (DEVELOPMENTAL)</w:t>
            </w:r>
          </w:p>
        </w:tc>
      </w:tr>
    </w:tbl>
    <w:p w14:paraId="4C78E87C" w14:textId="77777777" w:rsidR="0007198D" w:rsidRDefault="0007198D" w:rsidP="0007198D">
      <w:pPr>
        <w:spacing w:after="0" w:line="240" w:lineRule="auto"/>
      </w:pPr>
    </w:p>
    <w:p w14:paraId="557BC2CC" w14:textId="77777777" w:rsidR="0007198D" w:rsidRDefault="0007198D" w:rsidP="0007198D">
      <w:pPr>
        <w:spacing w:after="0" w:line="240" w:lineRule="auto"/>
      </w:pPr>
      <w:r>
        <w:rPr>
          <w:noProof/>
        </w:rPr>
        <mc:AlternateContent>
          <mc:Choice Requires="wps">
            <w:drawing>
              <wp:anchor distT="4294967295" distB="4294967295" distL="114300" distR="114300" simplePos="0" relativeHeight="251776000" behindDoc="0" locked="0" layoutInCell="1" allowOverlap="1" wp14:anchorId="5A8E9361" wp14:editId="2AB8E4AE">
                <wp:simplePos x="0" y="0"/>
                <wp:positionH relativeFrom="column">
                  <wp:posOffset>-60960</wp:posOffset>
                </wp:positionH>
                <wp:positionV relativeFrom="paragraph">
                  <wp:posOffset>31749</wp:posOffset>
                </wp:positionV>
                <wp:extent cx="6088380" cy="0"/>
                <wp:effectExtent l="0" t="0" r="2667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1511C25" id="Straight Connector 36" o:spid="_x0000_s1026" style="position:absolute;z-index:251776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" strokecolor="windowText" strokeweight="1.75pt">
                <o:lock v:ext="edit" shapetype="f"/>
              </v:line>
            </w:pict>
          </mc:Fallback>
        </mc:AlternateContent>
      </w:r>
    </w:p>
    <w:tbl>
      <w:tblPr>
        <w:tblW w:w="9502" w:type="dxa"/>
        <w:tblLook w:val="04A0" w:firstRow="1" w:lastRow="0" w:firstColumn="1" w:lastColumn="0" w:noHBand="0" w:noVBand="1"/>
      </w:tblPr>
      <w:tblGrid>
        <w:gridCol w:w="3600"/>
        <w:gridCol w:w="3384"/>
        <w:gridCol w:w="2518"/>
      </w:tblGrid>
      <w:tr w:rsidR="0007198D" w:rsidRPr="00515E1C" w14:paraId="15F7F647" w14:textId="77777777" w:rsidTr="000C7A5D">
        <w:tc>
          <w:tcPr>
            <w:tcW w:w="3600" w:type="dxa"/>
            <w:shd w:val="clear" w:color="auto" w:fill="auto"/>
          </w:tcPr>
          <w:p w14:paraId="07ECFF94"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GOAL</w:t>
            </w:r>
          </w:p>
        </w:tc>
        <w:tc>
          <w:tcPr>
            <w:tcW w:w="5902" w:type="dxa"/>
            <w:gridSpan w:val="2"/>
            <w:shd w:val="clear" w:color="auto" w:fill="auto"/>
          </w:tcPr>
          <w:p w14:paraId="2A1580B9" w14:textId="08628509" w:rsidR="0007198D" w:rsidRPr="00531366" w:rsidRDefault="0007198D" w:rsidP="00FB0985">
            <w:pPr>
              <w:spacing w:after="0" w:line="240" w:lineRule="auto"/>
              <w:rPr>
                <w:rFonts w:ascii="Arial" w:hAnsi="Arial" w:cs="Arial"/>
                <w:sz w:val="20"/>
                <w:szCs w:val="20"/>
              </w:rPr>
            </w:pPr>
            <w:r w:rsidRPr="00531366">
              <w:rPr>
                <w:rFonts w:ascii="Arial" w:hAnsi="Arial" w:cs="Arial"/>
                <w:noProof/>
                <w:sz w:val="20"/>
                <w:szCs w:val="20"/>
              </w:rPr>
              <w:t xml:space="preserve">To increase the </w:t>
            </w:r>
            <w:r w:rsidR="00FB0985">
              <w:rPr>
                <w:rFonts w:ascii="Arial" w:hAnsi="Arial" w:cs="Arial"/>
                <w:noProof/>
                <w:sz w:val="20"/>
                <w:szCs w:val="20"/>
              </w:rPr>
              <w:t>percent</w:t>
            </w:r>
            <w:r w:rsidRPr="00531366">
              <w:rPr>
                <w:rFonts w:ascii="Arial" w:hAnsi="Arial" w:cs="Arial"/>
                <w:noProof/>
                <w:sz w:val="20"/>
                <w:szCs w:val="20"/>
              </w:rPr>
              <w:t xml:space="preserve"> of children ready for school.</w:t>
            </w:r>
          </w:p>
        </w:tc>
      </w:tr>
      <w:tr w:rsidR="0007198D" w:rsidRPr="00515E1C" w14:paraId="6352ACF8" w14:textId="77777777" w:rsidTr="000C7A5D">
        <w:tc>
          <w:tcPr>
            <w:tcW w:w="3600" w:type="dxa"/>
            <w:shd w:val="clear" w:color="auto" w:fill="auto"/>
          </w:tcPr>
          <w:p w14:paraId="64AFB6B1" w14:textId="77777777" w:rsidR="0007198D" w:rsidRPr="00531366" w:rsidRDefault="0007198D" w:rsidP="000C7A5D">
            <w:pPr>
              <w:spacing w:after="0" w:line="240" w:lineRule="auto"/>
              <w:rPr>
                <w:rFonts w:ascii="Arial" w:hAnsi="Arial" w:cs="Arial"/>
                <w:b/>
                <w:sz w:val="20"/>
                <w:szCs w:val="20"/>
              </w:rPr>
            </w:pPr>
          </w:p>
        </w:tc>
        <w:tc>
          <w:tcPr>
            <w:tcW w:w="5902" w:type="dxa"/>
            <w:gridSpan w:val="2"/>
            <w:shd w:val="clear" w:color="auto" w:fill="auto"/>
          </w:tcPr>
          <w:p w14:paraId="44008748" w14:textId="77777777" w:rsidR="0007198D" w:rsidRPr="00531366" w:rsidRDefault="0007198D" w:rsidP="000C7A5D">
            <w:pPr>
              <w:spacing w:after="0" w:line="240" w:lineRule="auto"/>
              <w:rPr>
                <w:rFonts w:ascii="Arial" w:hAnsi="Arial" w:cs="Arial"/>
                <w:sz w:val="20"/>
                <w:szCs w:val="20"/>
              </w:rPr>
            </w:pPr>
          </w:p>
        </w:tc>
      </w:tr>
      <w:tr w:rsidR="0007198D" w:rsidRPr="00515E1C" w14:paraId="36A26942" w14:textId="77777777" w:rsidTr="000C7A5D">
        <w:tc>
          <w:tcPr>
            <w:tcW w:w="3600" w:type="dxa"/>
            <w:shd w:val="clear" w:color="auto" w:fill="auto"/>
          </w:tcPr>
          <w:p w14:paraId="75C2A1CC"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DEFINITION</w:t>
            </w:r>
          </w:p>
        </w:tc>
        <w:tc>
          <w:tcPr>
            <w:tcW w:w="5902" w:type="dxa"/>
            <w:gridSpan w:val="2"/>
            <w:shd w:val="clear" w:color="auto" w:fill="auto"/>
          </w:tcPr>
          <w:p w14:paraId="46C60B0A"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Numerator:</w:t>
            </w:r>
          </w:p>
        </w:tc>
      </w:tr>
      <w:tr w:rsidR="0007198D" w:rsidRPr="00515E1C" w14:paraId="36F8AB62" w14:textId="77777777" w:rsidTr="000C7A5D">
        <w:tc>
          <w:tcPr>
            <w:tcW w:w="3600" w:type="dxa"/>
            <w:shd w:val="clear" w:color="auto" w:fill="auto"/>
          </w:tcPr>
          <w:p w14:paraId="0FACCEAA" w14:textId="77777777" w:rsidR="0007198D" w:rsidRPr="00531366" w:rsidRDefault="0007198D" w:rsidP="000C7A5D">
            <w:pPr>
              <w:spacing w:after="0" w:line="240" w:lineRule="auto"/>
              <w:rPr>
                <w:rFonts w:ascii="Arial" w:hAnsi="Arial" w:cs="Arial"/>
                <w:b/>
                <w:sz w:val="20"/>
                <w:szCs w:val="20"/>
              </w:rPr>
            </w:pPr>
          </w:p>
        </w:tc>
        <w:tc>
          <w:tcPr>
            <w:tcW w:w="5902" w:type="dxa"/>
            <w:gridSpan w:val="2"/>
            <w:shd w:val="clear" w:color="auto" w:fill="auto"/>
          </w:tcPr>
          <w:p w14:paraId="73810062"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noProof/>
                <w:sz w:val="20"/>
                <w:szCs w:val="20"/>
              </w:rPr>
              <w:t>Under development</w:t>
            </w:r>
          </w:p>
        </w:tc>
      </w:tr>
      <w:tr w:rsidR="0007198D" w:rsidRPr="00515E1C" w14:paraId="7E951ECF" w14:textId="77777777" w:rsidTr="000C7A5D">
        <w:tc>
          <w:tcPr>
            <w:tcW w:w="3600" w:type="dxa"/>
            <w:shd w:val="clear" w:color="auto" w:fill="auto"/>
          </w:tcPr>
          <w:p w14:paraId="7CD3AB22" w14:textId="77777777" w:rsidR="0007198D" w:rsidRPr="00531366" w:rsidRDefault="0007198D" w:rsidP="000C7A5D">
            <w:pPr>
              <w:spacing w:after="0" w:line="240" w:lineRule="auto"/>
              <w:rPr>
                <w:rFonts w:ascii="Arial" w:hAnsi="Arial" w:cs="Arial"/>
                <w:b/>
                <w:sz w:val="20"/>
                <w:szCs w:val="20"/>
              </w:rPr>
            </w:pPr>
          </w:p>
        </w:tc>
        <w:tc>
          <w:tcPr>
            <w:tcW w:w="5902" w:type="dxa"/>
            <w:gridSpan w:val="2"/>
            <w:shd w:val="clear" w:color="auto" w:fill="auto"/>
          </w:tcPr>
          <w:p w14:paraId="5F594411" w14:textId="77777777" w:rsidR="0007198D" w:rsidRPr="00531366" w:rsidRDefault="0007198D" w:rsidP="000C7A5D">
            <w:pPr>
              <w:spacing w:after="0" w:line="240" w:lineRule="auto"/>
              <w:rPr>
                <w:rFonts w:ascii="Arial" w:hAnsi="Arial" w:cs="Arial"/>
                <w:sz w:val="20"/>
                <w:szCs w:val="20"/>
              </w:rPr>
            </w:pPr>
          </w:p>
        </w:tc>
      </w:tr>
      <w:tr w:rsidR="0007198D" w:rsidRPr="00515E1C" w14:paraId="3FCFAA66" w14:textId="77777777" w:rsidTr="000C7A5D">
        <w:tc>
          <w:tcPr>
            <w:tcW w:w="3600" w:type="dxa"/>
            <w:shd w:val="clear" w:color="auto" w:fill="auto"/>
          </w:tcPr>
          <w:p w14:paraId="39CBD4D9" w14:textId="77777777" w:rsidR="0007198D" w:rsidRPr="00531366" w:rsidRDefault="0007198D" w:rsidP="000C7A5D">
            <w:pPr>
              <w:spacing w:after="0" w:line="240" w:lineRule="auto"/>
              <w:rPr>
                <w:rFonts w:ascii="Arial" w:hAnsi="Arial" w:cs="Arial"/>
                <w:b/>
                <w:sz w:val="20"/>
                <w:szCs w:val="20"/>
              </w:rPr>
            </w:pPr>
          </w:p>
        </w:tc>
        <w:tc>
          <w:tcPr>
            <w:tcW w:w="5902" w:type="dxa"/>
            <w:gridSpan w:val="2"/>
            <w:shd w:val="clear" w:color="auto" w:fill="auto"/>
          </w:tcPr>
          <w:p w14:paraId="5BB1672A"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Denominator:</w:t>
            </w:r>
          </w:p>
        </w:tc>
      </w:tr>
      <w:tr w:rsidR="0007198D" w:rsidRPr="00515E1C" w14:paraId="340B8B43" w14:textId="77777777" w:rsidTr="000C7A5D">
        <w:tc>
          <w:tcPr>
            <w:tcW w:w="3600" w:type="dxa"/>
            <w:shd w:val="clear" w:color="auto" w:fill="auto"/>
          </w:tcPr>
          <w:p w14:paraId="1CC8D35D" w14:textId="77777777" w:rsidR="0007198D" w:rsidRPr="00531366" w:rsidRDefault="0007198D" w:rsidP="000C7A5D">
            <w:pPr>
              <w:spacing w:after="0" w:line="240" w:lineRule="auto"/>
              <w:rPr>
                <w:rFonts w:ascii="Arial" w:hAnsi="Arial" w:cs="Arial"/>
                <w:b/>
                <w:sz w:val="20"/>
                <w:szCs w:val="20"/>
              </w:rPr>
            </w:pPr>
          </w:p>
        </w:tc>
        <w:tc>
          <w:tcPr>
            <w:tcW w:w="5902" w:type="dxa"/>
            <w:gridSpan w:val="2"/>
            <w:shd w:val="clear" w:color="auto" w:fill="auto"/>
          </w:tcPr>
          <w:p w14:paraId="5F615520"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noProof/>
                <w:sz w:val="20"/>
                <w:szCs w:val="20"/>
              </w:rPr>
              <w:t>Under development</w:t>
            </w:r>
          </w:p>
        </w:tc>
      </w:tr>
      <w:tr w:rsidR="0007198D" w:rsidRPr="00515E1C" w14:paraId="169CE0E7" w14:textId="77777777" w:rsidTr="000C7A5D">
        <w:tc>
          <w:tcPr>
            <w:tcW w:w="3600" w:type="dxa"/>
            <w:shd w:val="clear" w:color="auto" w:fill="auto"/>
          </w:tcPr>
          <w:p w14:paraId="39EA4CA0" w14:textId="77777777" w:rsidR="0007198D" w:rsidRPr="00531366" w:rsidRDefault="0007198D" w:rsidP="000C7A5D">
            <w:pPr>
              <w:spacing w:after="0" w:line="240" w:lineRule="auto"/>
              <w:rPr>
                <w:rFonts w:ascii="Arial" w:hAnsi="Arial" w:cs="Arial"/>
                <w:b/>
                <w:sz w:val="20"/>
                <w:szCs w:val="20"/>
              </w:rPr>
            </w:pPr>
          </w:p>
        </w:tc>
        <w:tc>
          <w:tcPr>
            <w:tcW w:w="5902" w:type="dxa"/>
            <w:gridSpan w:val="2"/>
            <w:shd w:val="clear" w:color="auto" w:fill="auto"/>
          </w:tcPr>
          <w:p w14:paraId="6C8A744F" w14:textId="77777777" w:rsidR="0007198D" w:rsidRPr="00531366" w:rsidRDefault="0007198D" w:rsidP="000C7A5D">
            <w:pPr>
              <w:spacing w:after="0" w:line="240" w:lineRule="auto"/>
              <w:rPr>
                <w:rFonts w:ascii="Arial" w:hAnsi="Arial" w:cs="Arial"/>
                <w:sz w:val="20"/>
                <w:szCs w:val="20"/>
              </w:rPr>
            </w:pPr>
          </w:p>
        </w:tc>
      </w:tr>
      <w:tr w:rsidR="0007198D" w:rsidRPr="00515E1C" w14:paraId="3BCC293F" w14:textId="77777777" w:rsidTr="000C7A5D">
        <w:tc>
          <w:tcPr>
            <w:tcW w:w="3600" w:type="dxa"/>
            <w:shd w:val="clear" w:color="auto" w:fill="auto"/>
          </w:tcPr>
          <w:p w14:paraId="1B6CCE78" w14:textId="77777777" w:rsidR="0007198D" w:rsidRPr="00531366" w:rsidRDefault="0007198D" w:rsidP="000C7A5D">
            <w:pPr>
              <w:spacing w:after="0" w:line="240" w:lineRule="auto"/>
              <w:rPr>
                <w:rFonts w:ascii="Arial" w:hAnsi="Arial" w:cs="Arial"/>
                <w:b/>
                <w:sz w:val="20"/>
                <w:szCs w:val="20"/>
              </w:rPr>
            </w:pPr>
          </w:p>
        </w:tc>
        <w:tc>
          <w:tcPr>
            <w:tcW w:w="3384" w:type="dxa"/>
            <w:shd w:val="clear" w:color="auto" w:fill="auto"/>
          </w:tcPr>
          <w:p w14:paraId="38398F30"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b/>
                <w:sz w:val="20"/>
                <w:szCs w:val="20"/>
              </w:rPr>
              <w:t>Units:</w:t>
            </w:r>
            <w:r w:rsidRPr="00531366">
              <w:rPr>
                <w:rFonts w:ascii="Arial" w:hAnsi="Arial" w:cs="Arial"/>
                <w:sz w:val="20"/>
                <w:szCs w:val="20"/>
              </w:rPr>
              <w:t xml:space="preserve"> </w:t>
            </w:r>
            <w:r w:rsidRPr="00531366">
              <w:rPr>
                <w:rFonts w:ascii="Arial" w:hAnsi="Arial" w:cs="Arial"/>
                <w:noProof/>
                <w:sz w:val="20"/>
                <w:szCs w:val="20"/>
              </w:rPr>
              <w:t>100</w:t>
            </w:r>
          </w:p>
        </w:tc>
        <w:tc>
          <w:tcPr>
            <w:tcW w:w="2518" w:type="dxa"/>
            <w:shd w:val="clear" w:color="auto" w:fill="auto"/>
          </w:tcPr>
          <w:p w14:paraId="1336E3C1"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b/>
                <w:sz w:val="20"/>
                <w:szCs w:val="20"/>
              </w:rPr>
              <w:t>Text:</w:t>
            </w:r>
            <w:r w:rsidRPr="00531366">
              <w:rPr>
                <w:rFonts w:ascii="Arial" w:hAnsi="Arial" w:cs="Arial"/>
                <w:sz w:val="20"/>
                <w:szCs w:val="20"/>
              </w:rPr>
              <w:t xml:space="preserve"> </w:t>
            </w:r>
            <w:r w:rsidRPr="00531366">
              <w:rPr>
                <w:rFonts w:ascii="Arial" w:hAnsi="Arial" w:cs="Arial"/>
                <w:noProof/>
                <w:sz w:val="20"/>
                <w:szCs w:val="20"/>
              </w:rPr>
              <w:t>Percent</w:t>
            </w:r>
          </w:p>
        </w:tc>
      </w:tr>
      <w:tr w:rsidR="0007198D" w:rsidRPr="00515E1C" w14:paraId="5A7EA709" w14:textId="77777777" w:rsidTr="000C7A5D">
        <w:tc>
          <w:tcPr>
            <w:tcW w:w="3600" w:type="dxa"/>
            <w:shd w:val="clear" w:color="auto" w:fill="auto"/>
          </w:tcPr>
          <w:p w14:paraId="22573054" w14:textId="77777777" w:rsidR="0007198D" w:rsidRPr="00531366" w:rsidRDefault="0007198D" w:rsidP="000C7A5D">
            <w:pPr>
              <w:spacing w:after="0" w:line="240" w:lineRule="auto"/>
              <w:rPr>
                <w:rFonts w:ascii="Arial" w:hAnsi="Arial" w:cs="Arial"/>
                <w:b/>
                <w:sz w:val="20"/>
                <w:szCs w:val="20"/>
              </w:rPr>
            </w:pPr>
          </w:p>
        </w:tc>
        <w:tc>
          <w:tcPr>
            <w:tcW w:w="5902" w:type="dxa"/>
            <w:gridSpan w:val="2"/>
            <w:shd w:val="clear" w:color="auto" w:fill="auto"/>
          </w:tcPr>
          <w:p w14:paraId="05E5C336" w14:textId="77777777" w:rsidR="0007198D" w:rsidRPr="00531366" w:rsidRDefault="0007198D" w:rsidP="000C7A5D">
            <w:pPr>
              <w:spacing w:after="0" w:line="240" w:lineRule="auto"/>
              <w:rPr>
                <w:rFonts w:ascii="Arial" w:hAnsi="Arial" w:cs="Arial"/>
                <w:sz w:val="20"/>
                <w:szCs w:val="20"/>
              </w:rPr>
            </w:pPr>
          </w:p>
        </w:tc>
      </w:tr>
      <w:tr w:rsidR="0007198D" w:rsidRPr="00515E1C" w14:paraId="1CBDD374" w14:textId="77777777" w:rsidTr="000C7A5D">
        <w:tc>
          <w:tcPr>
            <w:tcW w:w="3600" w:type="dxa"/>
            <w:shd w:val="clear" w:color="auto" w:fill="auto"/>
          </w:tcPr>
          <w:p w14:paraId="47DAFBDB"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HEALTHY PEOPLE 2020 OBJECTIVE</w:t>
            </w:r>
          </w:p>
        </w:tc>
        <w:tc>
          <w:tcPr>
            <w:tcW w:w="5902" w:type="dxa"/>
            <w:gridSpan w:val="2"/>
            <w:shd w:val="clear" w:color="auto" w:fill="auto"/>
          </w:tcPr>
          <w:p w14:paraId="36FCD681" w14:textId="77777777" w:rsidR="0007198D" w:rsidRPr="00531366" w:rsidRDefault="0007198D" w:rsidP="000C7A5D">
            <w:pPr>
              <w:spacing w:after="0" w:line="240" w:lineRule="auto"/>
              <w:rPr>
                <w:rFonts w:ascii="Arial" w:hAnsi="Arial" w:cs="Arial"/>
                <w:sz w:val="20"/>
                <w:szCs w:val="20"/>
              </w:rPr>
            </w:pPr>
            <w:r>
              <w:rPr>
                <w:rFonts w:ascii="Arial" w:hAnsi="Arial" w:cs="Arial"/>
                <w:noProof/>
                <w:sz w:val="20"/>
                <w:szCs w:val="20"/>
              </w:rPr>
              <w:t>Identical</w:t>
            </w:r>
            <w:r w:rsidRPr="00531366">
              <w:rPr>
                <w:rFonts w:ascii="Arial" w:hAnsi="Arial" w:cs="Arial"/>
                <w:noProof/>
                <w:sz w:val="20"/>
                <w:szCs w:val="20"/>
              </w:rPr>
              <w:t xml:space="preserve"> to Early and Middle Childhood (EMC) 1. (Developmental) Increase the proportion of children who are ready for school in all five domains of healthy development: physical development, social-emotional development, approaches to learning, language, and cognitive development.</w:t>
            </w:r>
          </w:p>
        </w:tc>
      </w:tr>
      <w:tr w:rsidR="0007198D" w:rsidRPr="00515E1C" w14:paraId="77B5E6C8" w14:textId="77777777" w:rsidTr="000C7A5D">
        <w:tc>
          <w:tcPr>
            <w:tcW w:w="3600" w:type="dxa"/>
            <w:shd w:val="clear" w:color="auto" w:fill="auto"/>
          </w:tcPr>
          <w:p w14:paraId="3965D2A5" w14:textId="77777777" w:rsidR="0007198D" w:rsidRPr="00531366" w:rsidRDefault="0007198D" w:rsidP="000C7A5D">
            <w:pPr>
              <w:spacing w:after="0" w:line="240" w:lineRule="auto"/>
              <w:rPr>
                <w:rFonts w:ascii="Arial" w:hAnsi="Arial" w:cs="Arial"/>
                <w:b/>
                <w:sz w:val="20"/>
                <w:szCs w:val="20"/>
              </w:rPr>
            </w:pPr>
          </w:p>
        </w:tc>
        <w:tc>
          <w:tcPr>
            <w:tcW w:w="5902" w:type="dxa"/>
            <w:gridSpan w:val="2"/>
            <w:shd w:val="clear" w:color="auto" w:fill="auto"/>
          </w:tcPr>
          <w:p w14:paraId="124EE50D" w14:textId="77777777" w:rsidR="0007198D" w:rsidRPr="00531366" w:rsidRDefault="0007198D" w:rsidP="000C7A5D">
            <w:pPr>
              <w:spacing w:after="0" w:line="240" w:lineRule="auto"/>
              <w:rPr>
                <w:rFonts w:ascii="Arial" w:hAnsi="Arial" w:cs="Arial"/>
                <w:sz w:val="20"/>
                <w:szCs w:val="20"/>
              </w:rPr>
            </w:pPr>
          </w:p>
        </w:tc>
      </w:tr>
      <w:tr w:rsidR="0007198D" w:rsidRPr="00515E1C" w14:paraId="2DEA3184" w14:textId="77777777" w:rsidTr="000C7A5D">
        <w:tc>
          <w:tcPr>
            <w:tcW w:w="3600" w:type="dxa"/>
            <w:shd w:val="clear" w:color="auto" w:fill="auto"/>
          </w:tcPr>
          <w:p w14:paraId="1863764D"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DATA SOURCES and DATA ISSUES</w:t>
            </w:r>
          </w:p>
        </w:tc>
        <w:tc>
          <w:tcPr>
            <w:tcW w:w="5902" w:type="dxa"/>
            <w:gridSpan w:val="2"/>
            <w:shd w:val="clear" w:color="auto" w:fill="auto"/>
          </w:tcPr>
          <w:p w14:paraId="3ABE3453" w14:textId="667AB8C9" w:rsidR="0007198D" w:rsidRPr="00531366" w:rsidRDefault="0007198D" w:rsidP="000C7A5D">
            <w:pPr>
              <w:spacing w:after="0" w:line="240" w:lineRule="auto"/>
              <w:rPr>
                <w:rFonts w:ascii="Arial" w:hAnsi="Arial" w:cs="Arial"/>
                <w:sz w:val="20"/>
                <w:szCs w:val="20"/>
              </w:rPr>
            </w:pPr>
            <w:r w:rsidRPr="00531366">
              <w:rPr>
                <w:rFonts w:ascii="Arial" w:hAnsi="Arial" w:cs="Arial"/>
                <w:noProof/>
                <w:sz w:val="20"/>
                <w:szCs w:val="20"/>
              </w:rPr>
              <w:t>National Survey of Children's Health (NSCH).</w:t>
            </w:r>
          </w:p>
        </w:tc>
      </w:tr>
      <w:tr w:rsidR="0007198D" w:rsidRPr="00515E1C" w14:paraId="1B0B4B18" w14:textId="77777777" w:rsidTr="000C7A5D">
        <w:tc>
          <w:tcPr>
            <w:tcW w:w="3600" w:type="dxa"/>
            <w:shd w:val="clear" w:color="auto" w:fill="auto"/>
          </w:tcPr>
          <w:p w14:paraId="0C7A54DF" w14:textId="77777777" w:rsidR="0007198D" w:rsidRPr="00531366" w:rsidRDefault="0007198D" w:rsidP="000C7A5D">
            <w:pPr>
              <w:spacing w:after="0" w:line="240" w:lineRule="auto"/>
              <w:rPr>
                <w:rFonts w:ascii="Arial" w:hAnsi="Arial" w:cs="Arial"/>
                <w:b/>
                <w:sz w:val="20"/>
                <w:szCs w:val="20"/>
              </w:rPr>
            </w:pPr>
          </w:p>
        </w:tc>
        <w:tc>
          <w:tcPr>
            <w:tcW w:w="5902" w:type="dxa"/>
            <w:gridSpan w:val="2"/>
            <w:shd w:val="clear" w:color="auto" w:fill="auto"/>
          </w:tcPr>
          <w:p w14:paraId="4C16A02A" w14:textId="77777777" w:rsidR="0007198D" w:rsidRPr="00531366" w:rsidRDefault="0007198D" w:rsidP="000C7A5D">
            <w:pPr>
              <w:spacing w:after="0" w:line="240" w:lineRule="auto"/>
              <w:rPr>
                <w:rFonts w:ascii="Arial" w:hAnsi="Arial" w:cs="Arial"/>
                <w:sz w:val="20"/>
                <w:szCs w:val="20"/>
              </w:rPr>
            </w:pPr>
          </w:p>
        </w:tc>
      </w:tr>
      <w:tr w:rsidR="0007198D" w:rsidRPr="00515E1C" w14:paraId="0E95994F" w14:textId="77777777" w:rsidTr="000C7A5D">
        <w:tc>
          <w:tcPr>
            <w:tcW w:w="3600" w:type="dxa"/>
            <w:shd w:val="clear" w:color="auto" w:fill="auto"/>
          </w:tcPr>
          <w:p w14:paraId="1B4C9769"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SIGNIFICANCE</w:t>
            </w:r>
          </w:p>
        </w:tc>
        <w:tc>
          <w:tcPr>
            <w:tcW w:w="5902" w:type="dxa"/>
            <w:gridSpan w:val="2"/>
            <w:shd w:val="clear" w:color="auto" w:fill="auto"/>
          </w:tcPr>
          <w:p w14:paraId="645959C1" w14:textId="77777777" w:rsidR="0007198D" w:rsidRDefault="0007198D" w:rsidP="000C7A5D">
            <w:pPr>
              <w:spacing w:after="0" w:line="240" w:lineRule="auto"/>
              <w:rPr>
                <w:rFonts w:ascii="Arial" w:hAnsi="Arial" w:cs="Arial"/>
                <w:noProof/>
                <w:sz w:val="20"/>
                <w:szCs w:val="20"/>
              </w:rPr>
            </w:pPr>
            <w:r w:rsidRPr="00531366">
              <w:rPr>
                <w:rFonts w:ascii="Arial" w:hAnsi="Arial" w:cs="Arial"/>
                <w:noProof/>
                <w:sz w:val="20"/>
                <w:szCs w:val="20"/>
              </w:rPr>
              <w:t xml:space="preserve">The early years are a critical period where </w:t>
            </w:r>
            <w:r>
              <w:rPr>
                <w:rFonts w:ascii="Arial" w:hAnsi="Arial" w:cs="Arial"/>
                <w:noProof/>
                <w:sz w:val="20"/>
                <w:szCs w:val="20"/>
              </w:rPr>
              <w:t xml:space="preserve">experiences impact structural development of the brain and neurobiological pathways for functional development. </w:t>
            </w:r>
            <w:r w:rsidRPr="00531366">
              <w:rPr>
                <w:rFonts w:ascii="Arial" w:hAnsi="Arial" w:cs="Arial"/>
                <w:noProof/>
                <w:sz w:val="20"/>
                <w:szCs w:val="20"/>
              </w:rPr>
              <w:t xml:space="preserve">Although early experiences do not determine children’s ongoing development, </w:t>
            </w:r>
            <w:r>
              <w:rPr>
                <w:rFonts w:ascii="Arial" w:hAnsi="Arial" w:cs="Arial"/>
                <w:noProof/>
                <w:sz w:val="20"/>
                <w:szCs w:val="20"/>
              </w:rPr>
              <w:t xml:space="preserve"> interventions around school readiness and early childhood education can act as a protective factor against the future onset of adult disease and disability</w:t>
            </w:r>
            <w:r w:rsidRPr="00531366">
              <w:rPr>
                <w:rFonts w:ascii="Arial" w:hAnsi="Arial" w:cs="Arial"/>
                <w:noProof/>
                <w:sz w:val="20"/>
                <w:szCs w:val="20"/>
              </w:rPr>
              <w:t xml:space="preserve">. Studies have shown that children’s literacy and numeracy skills at </w:t>
            </w:r>
            <w:r>
              <w:rPr>
                <w:rFonts w:ascii="Arial" w:hAnsi="Arial" w:cs="Arial"/>
                <w:noProof/>
                <w:sz w:val="20"/>
                <w:szCs w:val="20"/>
              </w:rPr>
              <w:t>school entry</w:t>
            </w:r>
            <w:r w:rsidRPr="00531366">
              <w:rPr>
                <w:rFonts w:ascii="Arial" w:hAnsi="Arial" w:cs="Arial"/>
                <w:noProof/>
                <w:sz w:val="20"/>
                <w:szCs w:val="20"/>
              </w:rPr>
              <w:t xml:space="preserve"> are a good predictor of </w:t>
            </w:r>
            <w:r>
              <w:rPr>
                <w:rFonts w:ascii="Arial" w:hAnsi="Arial" w:cs="Arial"/>
                <w:noProof/>
                <w:sz w:val="20"/>
                <w:szCs w:val="20"/>
              </w:rPr>
              <w:t xml:space="preserve">later </w:t>
            </w:r>
            <w:r w:rsidRPr="00531366">
              <w:rPr>
                <w:rFonts w:ascii="Arial" w:hAnsi="Arial" w:cs="Arial"/>
                <w:noProof/>
                <w:sz w:val="20"/>
                <w:szCs w:val="20"/>
              </w:rPr>
              <w:t>academic achievement</w:t>
            </w:r>
            <w:r>
              <w:rPr>
                <w:rFonts w:ascii="Arial" w:hAnsi="Arial" w:cs="Arial"/>
                <w:noProof/>
                <w:sz w:val="20"/>
                <w:szCs w:val="20"/>
              </w:rPr>
              <w:t>, high levels of education and secure employment.</w:t>
            </w:r>
            <w:r w:rsidRPr="00531366">
              <w:rPr>
                <w:rFonts w:ascii="Arial" w:hAnsi="Arial" w:cs="Arial"/>
                <w:noProof/>
                <w:sz w:val="20"/>
                <w:szCs w:val="20"/>
              </w:rPr>
              <w:t xml:space="preserve"> Social gradients in language and literacy, communication and socioemotional functioning emerge early for children across socioeconomic backgrounds, and these differences persist into the school years. There are also disparities in the US as to who participates in an early childhood program.  </w:t>
            </w:r>
            <w:r>
              <w:rPr>
                <w:rFonts w:ascii="Arial" w:hAnsi="Arial" w:cs="Arial"/>
                <w:noProof/>
                <w:sz w:val="20"/>
                <w:szCs w:val="20"/>
              </w:rPr>
              <w:t>C</w:t>
            </w:r>
            <w:r w:rsidRPr="00531366">
              <w:rPr>
                <w:rFonts w:ascii="Arial" w:hAnsi="Arial" w:cs="Arial"/>
                <w:noProof/>
                <w:sz w:val="20"/>
                <w:szCs w:val="20"/>
              </w:rPr>
              <w:t>hildren at risk of poor developmental and educational outcomes benefit from attending high-quality education and care programs in the years before school.</w:t>
            </w:r>
          </w:p>
          <w:p w14:paraId="52D52D4F" w14:textId="77777777" w:rsidR="0007198D" w:rsidRDefault="0007198D" w:rsidP="000C7A5D">
            <w:pPr>
              <w:spacing w:after="0" w:line="240" w:lineRule="auto"/>
              <w:rPr>
                <w:rFonts w:ascii="Arial" w:hAnsi="Arial" w:cs="Arial"/>
                <w:sz w:val="20"/>
                <w:szCs w:val="20"/>
              </w:rPr>
            </w:pPr>
          </w:p>
          <w:p w14:paraId="573814A0" w14:textId="77777777" w:rsidR="0007198D" w:rsidRDefault="0007198D" w:rsidP="000C7A5D">
            <w:pPr>
              <w:spacing w:after="0" w:line="240" w:lineRule="auto"/>
              <w:rPr>
                <w:rFonts w:ascii="Arial" w:hAnsi="Arial" w:cs="Arial"/>
                <w:sz w:val="20"/>
                <w:szCs w:val="20"/>
              </w:rPr>
            </w:pPr>
            <w:r>
              <w:rPr>
                <w:rFonts w:ascii="Arial" w:hAnsi="Arial" w:cs="Arial"/>
                <w:sz w:val="20"/>
                <w:szCs w:val="20"/>
              </w:rPr>
              <w:t xml:space="preserve">Centers for Disease Control and Prevention. Early Childhood Education. 2016 August 5. </w:t>
            </w:r>
            <w:hyperlink r:id="rId99" w:history="1">
              <w:r w:rsidRPr="001D6D82">
                <w:rPr>
                  <w:rStyle w:val="Hyperlink"/>
                  <w:rFonts w:ascii="Arial" w:hAnsi="Arial" w:cs="Arial"/>
                  <w:sz w:val="20"/>
                  <w:szCs w:val="20"/>
                </w:rPr>
                <w:t>https://www.cdc.gov/policy/hst/hi5/earlychildhoodeducation/</w:t>
              </w:r>
            </w:hyperlink>
          </w:p>
          <w:p w14:paraId="1D7C31AB" w14:textId="77777777" w:rsidR="0007198D" w:rsidRDefault="0007198D" w:rsidP="000C7A5D">
            <w:pPr>
              <w:spacing w:after="0" w:line="240" w:lineRule="auto"/>
              <w:rPr>
                <w:rFonts w:ascii="Arial" w:hAnsi="Arial" w:cs="Arial"/>
                <w:sz w:val="20"/>
                <w:szCs w:val="20"/>
              </w:rPr>
            </w:pPr>
          </w:p>
          <w:p w14:paraId="408A240B" w14:textId="77777777" w:rsidR="0007198D" w:rsidRPr="00531366" w:rsidRDefault="0007198D" w:rsidP="000C7A5D">
            <w:pPr>
              <w:spacing w:after="0" w:line="240" w:lineRule="auto"/>
              <w:rPr>
                <w:rFonts w:ascii="Arial" w:hAnsi="Arial" w:cs="Arial"/>
                <w:sz w:val="20"/>
                <w:szCs w:val="20"/>
              </w:rPr>
            </w:pPr>
            <w:r>
              <w:rPr>
                <w:rFonts w:ascii="Arial" w:hAnsi="Arial" w:cs="Arial"/>
                <w:sz w:val="20"/>
                <w:szCs w:val="20"/>
              </w:rPr>
              <w:t xml:space="preserve">Child Trends: Data Bank. Early School Readiness. 2015 July. </w:t>
            </w:r>
            <w:hyperlink r:id="rId100" w:history="1">
              <w:r w:rsidRPr="001D6D82">
                <w:rPr>
                  <w:rStyle w:val="Hyperlink"/>
                  <w:rFonts w:ascii="Arial" w:hAnsi="Arial" w:cs="Arial"/>
                  <w:sz w:val="20"/>
                  <w:szCs w:val="20"/>
                </w:rPr>
                <w:t>https://www.childtrends.org/wp-content/uploads/2015/07/07_School_Readiness.pdf</w:t>
              </w:r>
            </w:hyperlink>
            <w:r>
              <w:rPr>
                <w:rFonts w:ascii="Arial" w:hAnsi="Arial" w:cs="Arial"/>
                <w:sz w:val="20"/>
                <w:szCs w:val="20"/>
              </w:rPr>
              <w:t xml:space="preserve"> </w:t>
            </w:r>
          </w:p>
        </w:tc>
      </w:tr>
      <w:tr w:rsidR="0007198D" w:rsidRPr="00515E1C" w14:paraId="4CBD2D95" w14:textId="77777777" w:rsidTr="000C7A5D">
        <w:tc>
          <w:tcPr>
            <w:tcW w:w="3600" w:type="dxa"/>
            <w:shd w:val="clear" w:color="auto" w:fill="auto"/>
          </w:tcPr>
          <w:p w14:paraId="1C2720FA" w14:textId="77777777" w:rsidR="0007198D" w:rsidRPr="00531366" w:rsidRDefault="0007198D" w:rsidP="000C7A5D">
            <w:pPr>
              <w:spacing w:after="0" w:line="240" w:lineRule="auto"/>
              <w:rPr>
                <w:rFonts w:ascii="Arial" w:hAnsi="Arial" w:cs="Arial"/>
                <w:sz w:val="20"/>
                <w:szCs w:val="20"/>
              </w:rPr>
            </w:pPr>
          </w:p>
        </w:tc>
        <w:tc>
          <w:tcPr>
            <w:tcW w:w="5902" w:type="dxa"/>
            <w:gridSpan w:val="2"/>
            <w:shd w:val="clear" w:color="auto" w:fill="auto"/>
          </w:tcPr>
          <w:p w14:paraId="2428CFEB" w14:textId="77777777" w:rsidR="0007198D" w:rsidRPr="00531366" w:rsidRDefault="0007198D" w:rsidP="000C7A5D">
            <w:pPr>
              <w:spacing w:after="0" w:line="240" w:lineRule="auto"/>
              <w:rPr>
                <w:rFonts w:ascii="Arial" w:hAnsi="Arial" w:cs="Arial"/>
                <w:sz w:val="20"/>
                <w:szCs w:val="20"/>
              </w:rPr>
            </w:pPr>
          </w:p>
        </w:tc>
      </w:tr>
    </w:tbl>
    <w:p w14:paraId="108A8459" w14:textId="77777777" w:rsidR="0007198D" w:rsidRDefault="0007198D" w:rsidP="0007198D">
      <w:pPr>
        <w:spacing w:after="0" w:line="240" w:lineRule="auto"/>
      </w:pPr>
    </w:p>
    <w:p w14:paraId="2D040E4B" w14:textId="77777777" w:rsidR="0007198D" w:rsidRDefault="0007198D" w:rsidP="0007198D">
      <w:pPr>
        <w:spacing w:after="0" w:line="240" w:lineRule="auto"/>
      </w:pPr>
      <w:r>
        <w:br w:type="page"/>
      </w:r>
    </w:p>
    <w:tbl>
      <w:tblPr>
        <w:tblW w:w="0" w:type="auto"/>
        <w:tblLook w:val="04A0" w:firstRow="1" w:lastRow="0" w:firstColumn="1" w:lastColumn="0" w:noHBand="0" w:noVBand="1"/>
      </w:tblPr>
      <w:tblGrid>
        <w:gridCol w:w="3618"/>
        <w:gridCol w:w="5868"/>
      </w:tblGrid>
      <w:tr w:rsidR="0007198D" w:rsidRPr="003F48A1" w14:paraId="10BCD541" w14:textId="77777777" w:rsidTr="000C7A5D">
        <w:tc>
          <w:tcPr>
            <w:tcW w:w="3618" w:type="dxa"/>
            <w:shd w:val="clear" w:color="auto" w:fill="auto"/>
          </w:tcPr>
          <w:p w14:paraId="0FA5236C" w14:textId="77777777" w:rsidR="0007198D" w:rsidRPr="00531366" w:rsidRDefault="0007198D" w:rsidP="000C7A5D">
            <w:pPr>
              <w:spacing w:after="0" w:line="240" w:lineRule="auto"/>
              <w:rPr>
                <w:rFonts w:ascii="Arial" w:hAnsi="Arial" w:cs="Arial"/>
                <w:b/>
                <w:sz w:val="24"/>
                <w:szCs w:val="24"/>
              </w:rPr>
            </w:pPr>
            <w:r w:rsidRPr="00531366">
              <w:rPr>
                <w:rFonts w:ascii="Arial" w:hAnsi="Arial" w:cs="Arial"/>
                <w:b/>
                <w:sz w:val="24"/>
                <w:szCs w:val="24"/>
              </w:rPr>
              <w:t xml:space="preserve">OUTCOME MEASURE </w:t>
            </w:r>
            <w:r w:rsidRPr="00531366">
              <w:rPr>
                <w:rFonts w:ascii="Arial" w:hAnsi="Arial" w:cs="Arial"/>
                <w:b/>
                <w:noProof/>
                <w:sz w:val="24"/>
                <w:szCs w:val="24"/>
              </w:rPr>
              <w:t>14</w:t>
            </w:r>
          </w:p>
        </w:tc>
        <w:tc>
          <w:tcPr>
            <w:tcW w:w="5868" w:type="dxa"/>
            <w:shd w:val="clear" w:color="auto" w:fill="auto"/>
          </w:tcPr>
          <w:p w14:paraId="4D4CA759" w14:textId="0B7AE0B7" w:rsidR="0007198D" w:rsidRPr="00531366" w:rsidRDefault="0007198D" w:rsidP="000A10EE">
            <w:pPr>
              <w:spacing w:after="0" w:line="240" w:lineRule="auto"/>
              <w:rPr>
                <w:rFonts w:ascii="Arial" w:hAnsi="Arial" w:cs="Arial"/>
                <w:b/>
                <w:sz w:val="24"/>
                <w:szCs w:val="24"/>
              </w:rPr>
            </w:pPr>
            <w:r w:rsidRPr="00531366">
              <w:rPr>
                <w:rFonts w:ascii="Arial" w:hAnsi="Arial" w:cs="Arial"/>
                <w:b/>
                <w:noProof/>
                <w:sz w:val="24"/>
                <w:szCs w:val="24"/>
              </w:rPr>
              <w:t>Percent of children</w:t>
            </w:r>
            <w:r w:rsidR="000A10EE">
              <w:rPr>
                <w:rFonts w:ascii="Arial" w:hAnsi="Arial" w:cs="Arial"/>
                <w:b/>
                <w:noProof/>
                <w:sz w:val="24"/>
                <w:szCs w:val="24"/>
              </w:rPr>
              <w:t>,</w:t>
            </w:r>
            <w:r w:rsidRPr="00531366">
              <w:rPr>
                <w:rFonts w:ascii="Arial" w:hAnsi="Arial" w:cs="Arial"/>
                <w:b/>
                <w:noProof/>
                <w:sz w:val="24"/>
                <w:szCs w:val="24"/>
              </w:rPr>
              <w:t xml:space="preserve"> ages 1</w:t>
            </w:r>
            <w:r>
              <w:rPr>
                <w:rFonts w:ascii="Arial" w:hAnsi="Arial" w:cs="Arial"/>
                <w:b/>
                <w:noProof/>
                <w:sz w:val="24"/>
                <w:szCs w:val="24"/>
              </w:rPr>
              <w:t xml:space="preserve"> through 17</w:t>
            </w:r>
            <w:r w:rsidR="000A10EE">
              <w:rPr>
                <w:rFonts w:ascii="Arial" w:hAnsi="Arial" w:cs="Arial"/>
                <w:b/>
                <w:noProof/>
                <w:sz w:val="24"/>
                <w:szCs w:val="24"/>
              </w:rPr>
              <w:t>,</w:t>
            </w:r>
            <w:r w:rsidRPr="00531366">
              <w:rPr>
                <w:rFonts w:ascii="Arial" w:hAnsi="Arial" w:cs="Arial"/>
                <w:b/>
                <w:noProof/>
                <w:sz w:val="24"/>
                <w:szCs w:val="24"/>
              </w:rPr>
              <w:t xml:space="preserve"> who have decayed teeth or cavities in the past </w:t>
            </w:r>
            <w:r w:rsidR="000A10EE">
              <w:rPr>
                <w:rFonts w:ascii="Arial" w:hAnsi="Arial" w:cs="Arial"/>
                <w:b/>
                <w:noProof/>
                <w:sz w:val="24"/>
                <w:szCs w:val="24"/>
              </w:rPr>
              <w:t>year</w:t>
            </w:r>
          </w:p>
        </w:tc>
      </w:tr>
    </w:tbl>
    <w:p w14:paraId="374DE2E0" w14:textId="77777777" w:rsidR="0007198D" w:rsidRDefault="0007198D" w:rsidP="0007198D">
      <w:pPr>
        <w:spacing w:after="0" w:line="240" w:lineRule="auto"/>
      </w:pPr>
    </w:p>
    <w:p w14:paraId="4205710F" w14:textId="77777777" w:rsidR="0007198D" w:rsidRDefault="0007198D" w:rsidP="0007198D">
      <w:pPr>
        <w:spacing w:after="0" w:line="240" w:lineRule="auto"/>
      </w:pPr>
      <w:r>
        <w:rPr>
          <w:noProof/>
        </w:rPr>
        <mc:AlternateContent>
          <mc:Choice Requires="wps">
            <w:drawing>
              <wp:anchor distT="4294967295" distB="4294967295" distL="114300" distR="114300" simplePos="0" relativeHeight="251777024" behindDoc="0" locked="0" layoutInCell="1" allowOverlap="1" wp14:anchorId="1229A508" wp14:editId="62ACD1C3">
                <wp:simplePos x="0" y="0"/>
                <wp:positionH relativeFrom="column">
                  <wp:posOffset>-60960</wp:posOffset>
                </wp:positionH>
                <wp:positionV relativeFrom="paragraph">
                  <wp:posOffset>31749</wp:posOffset>
                </wp:positionV>
                <wp:extent cx="6088380" cy="0"/>
                <wp:effectExtent l="0" t="0" r="2667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304E171" id="Straight Connector 24" o:spid="_x0000_s1026" style="position:absolute;z-index:251777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" strokecolor="windowText" strokeweight="1.75pt">
                <o:lock v:ext="edit" shapetype="f"/>
              </v:line>
            </w:pict>
          </mc:Fallback>
        </mc:AlternateContent>
      </w:r>
    </w:p>
    <w:tbl>
      <w:tblPr>
        <w:tblW w:w="9470" w:type="dxa"/>
        <w:tblLook w:val="04A0" w:firstRow="1" w:lastRow="0" w:firstColumn="1" w:lastColumn="0" w:noHBand="0" w:noVBand="1"/>
      </w:tblPr>
      <w:tblGrid>
        <w:gridCol w:w="3600"/>
        <w:gridCol w:w="3353"/>
        <w:gridCol w:w="2517"/>
      </w:tblGrid>
      <w:tr w:rsidR="0007198D" w:rsidRPr="00515E1C" w14:paraId="59808721" w14:textId="77777777" w:rsidTr="000C7A5D">
        <w:tc>
          <w:tcPr>
            <w:tcW w:w="3600" w:type="dxa"/>
            <w:shd w:val="clear" w:color="auto" w:fill="auto"/>
          </w:tcPr>
          <w:p w14:paraId="65CF2370"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GOAL</w:t>
            </w:r>
          </w:p>
        </w:tc>
        <w:tc>
          <w:tcPr>
            <w:tcW w:w="5870" w:type="dxa"/>
            <w:gridSpan w:val="2"/>
            <w:shd w:val="clear" w:color="auto" w:fill="auto"/>
          </w:tcPr>
          <w:p w14:paraId="568F7B78" w14:textId="6FA54921" w:rsidR="0007198D" w:rsidRPr="00531366" w:rsidRDefault="0007198D" w:rsidP="00FB0985">
            <w:pPr>
              <w:spacing w:after="0" w:line="240" w:lineRule="auto"/>
              <w:rPr>
                <w:rFonts w:ascii="Arial" w:hAnsi="Arial" w:cs="Arial"/>
                <w:sz w:val="20"/>
                <w:szCs w:val="20"/>
              </w:rPr>
            </w:pPr>
            <w:r w:rsidRPr="00531366">
              <w:rPr>
                <w:rFonts w:ascii="Arial" w:hAnsi="Arial" w:cs="Arial"/>
                <w:noProof/>
                <w:sz w:val="20"/>
                <w:szCs w:val="20"/>
              </w:rPr>
              <w:t xml:space="preserve">To reduce the </w:t>
            </w:r>
            <w:r w:rsidR="00FB0985">
              <w:rPr>
                <w:rFonts w:ascii="Arial" w:hAnsi="Arial" w:cs="Arial"/>
                <w:noProof/>
                <w:sz w:val="20"/>
                <w:szCs w:val="20"/>
              </w:rPr>
              <w:t>percent</w:t>
            </w:r>
            <w:r w:rsidRPr="00531366">
              <w:rPr>
                <w:rFonts w:ascii="Arial" w:hAnsi="Arial" w:cs="Arial"/>
                <w:noProof/>
                <w:sz w:val="20"/>
                <w:szCs w:val="20"/>
              </w:rPr>
              <w:t xml:space="preserve"> of children and adolescents who have dental caries or decayed teeth.</w:t>
            </w:r>
          </w:p>
        </w:tc>
      </w:tr>
      <w:tr w:rsidR="0007198D" w:rsidRPr="00515E1C" w14:paraId="4F5ED111" w14:textId="77777777" w:rsidTr="000C7A5D">
        <w:tc>
          <w:tcPr>
            <w:tcW w:w="3600" w:type="dxa"/>
            <w:shd w:val="clear" w:color="auto" w:fill="auto"/>
          </w:tcPr>
          <w:p w14:paraId="32CCE357" w14:textId="77777777" w:rsidR="0007198D" w:rsidRPr="00531366" w:rsidRDefault="0007198D" w:rsidP="000C7A5D">
            <w:pPr>
              <w:spacing w:after="0" w:line="240" w:lineRule="auto"/>
              <w:rPr>
                <w:rFonts w:ascii="Arial" w:hAnsi="Arial" w:cs="Arial"/>
                <w:b/>
                <w:sz w:val="20"/>
                <w:szCs w:val="20"/>
              </w:rPr>
            </w:pPr>
          </w:p>
        </w:tc>
        <w:tc>
          <w:tcPr>
            <w:tcW w:w="5870" w:type="dxa"/>
            <w:gridSpan w:val="2"/>
            <w:shd w:val="clear" w:color="auto" w:fill="auto"/>
          </w:tcPr>
          <w:p w14:paraId="793A5F16" w14:textId="77777777" w:rsidR="0007198D" w:rsidRPr="00531366" w:rsidRDefault="0007198D" w:rsidP="000C7A5D">
            <w:pPr>
              <w:spacing w:after="0" w:line="240" w:lineRule="auto"/>
              <w:rPr>
                <w:rFonts w:ascii="Arial" w:hAnsi="Arial" w:cs="Arial"/>
                <w:sz w:val="20"/>
                <w:szCs w:val="20"/>
              </w:rPr>
            </w:pPr>
          </w:p>
        </w:tc>
      </w:tr>
      <w:tr w:rsidR="0007198D" w:rsidRPr="00515E1C" w14:paraId="65902CA5" w14:textId="77777777" w:rsidTr="000C7A5D">
        <w:tc>
          <w:tcPr>
            <w:tcW w:w="3600" w:type="dxa"/>
            <w:shd w:val="clear" w:color="auto" w:fill="auto"/>
          </w:tcPr>
          <w:p w14:paraId="03875F9B"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DEFINITION</w:t>
            </w:r>
          </w:p>
        </w:tc>
        <w:tc>
          <w:tcPr>
            <w:tcW w:w="5870" w:type="dxa"/>
            <w:gridSpan w:val="2"/>
            <w:shd w:val="clear" w:color="auto" w:fill="auto"/>
          </w:tcPr>
          <w:p w14:paraId="7B6B7C65"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Numerator:</w:t>
            </w:r>
          </w:p>
        </w:tc>
      </w:tr>
      <w:tr w:rsidR="0007198D" w:rsidRPr="00515E1C" w14:paraId="64B511E1" w14:textId="77777777" w:rsidTr="000C7A5D">
        <w:tc>
          <w:tcPr>
            <w:tcW w:w="3600" w:type="dxa"/>
            <w:shd w:val="clear" w:color="auto" w:fill="auto"/>
          </w:tcPr>
          <w:p w14:paraId="670D9CD1" w14:textId="77777777" w:rsidR="0007198D" w:rsidRPr="00531366" w:rsidRDefault="0007198D" w:rsidP="000C7A5D">
            <w:pPr>
              <w:spacing w:after="0" w:line="240" w:lineRule="auto"/>
              <w:rPr>
                <w:rFonts w:ascii="Arial" w:hAnsi="Arial" w:cs="Arial"/>
                <w:b/>
                <w:sz w:val="20"/>
                <w:szCs w:val="20"/>
              </w:rPr>
            </w:pPr>
          </w:p>
        </w:tc>
        <w:tc>
          <w:tcPr>
            <w:tcW w:w="5870" w:type="dxa"/>
            <w:gridSpan w:val="2"/>
            <w:shd w:val="clear" w:color="auto" w:fill="auto"/>
          </w:tcPr>
          <w:p w14:paraId="1045E6D4" w14:textId="2C3DF6A3" w:rsidR="0007198D" w:rsidRPr="00531366" w:rsidRDefault="0007198D" w:rsidP="000A10EE">
            <w:pPr>
              <w:spacing w:after="0" w:line="240" w:lineRule="auto"/>
              <w:rPr>
                <w:rFonts w:ascii="Arial" w:hAnsi="Arial" w:cs="Arial"/>
                <w:sz w:val="20"/>
                <w:szCs w:val="20"/>
              </w:rPr>
            </w:pPr>
            <w:r w:rsidRPr="00531366">
              <w:rPr>
                <w:rFonts w:ascii="Arial" w:hAnsi="Arial" w:cs="Arial"/>
                <w:noProof/>
                <w:sz w:val="20"/>
                <w:szCs w:val="20"/>
              </w:rPr>
              <w:t>Number of children ages 1</w:t>
            </w:r>
            <w:r>
              <w:rPr>
                <w:rFonts w:ascii="Arial" w:hAnsi="Arial" w:cs="Arial"/>
                <w:noProof/>
                <w:sz w:val="20"/>
                <w:szCs w:val="20"/>
              </w:rPr>
              <w:t xml:space="preserve"> through 17</w:t>
            </w:r>
            <w:r w:rsidRPr="00531366">
              <w:rPr>
                <w:rFonts w:ascii="Arial" w:hAnsi="Arial" w:cs="Arial"/>
                <w:noProof/>
                <w:sz w:val="20"/>
                <w:szCs w:val="20"/>
              </w:rPr>
              <w:t xml:space="preserve"> who have decayed </w:t>
            </w:r>
            <w:r>
              <w:rPr>
                <w:rFonts w:ascii="Arial" w:hAnsi="Arial" w:cs="Arial"/>
                <w:noProof/>
                <w:sz w:val="20"/>
                <w:szCs w:val="20"/>
              </w:rPr>
              <w:t>teeth</w:t>
            </w:r>
            <w:r w:rsidRPr="00531366">
              <w:rPr>
                <w:rFonts w:ascii="Arial" w:hAnsi="Arial" w:cs="Arial"/>
                <w:noProof/>
                <w:sz w:val="20"/>
                <w:szCs w:val="20"/>
              </w:rPr>
              <w:t xml:space="preserve"> or cavities in the past </w:t>
            </w:r>
            <w:r w:rsidR="000A10EE">
              <w:rPr>
                <w:rFonts w:ascii="Arial" w:hAnsi="Arial" w:cs="Arial"/>
                <w:noProof/>
                <w:sz w:val="20"/>
                <w:szCs w:val="20"/>
              </w:rPr>
              <w:t>year</w:t>
            </w:r>
          </w:p>
        </w:tc>
      </w:tr>
      <w:tr w:rsidR="0007198D" w:rsidRPr="00515E1C" w14:paraId="71F26AE1" w14:textId="77777777" w:rsidTr="000C7A5D">
        <w:tc>
          <w:tcPr>
            <w:tcW w:w="3600" w:type="dxa"/>
            <w:shd w:val="clear" w:color="auto" w:fill="auto"/>
          </w:tcPr>
          <w:p w14:paraId="117BCDCA" w14:textId="77777777" w:rsidR="0007198D" w:rsidRPr="00531366" w:rsidRDefault="0007198D" w:rsidP="000C7A5D">
            <w:pPr>
              <w:spacing w:after="0" w:line="240" w:lineRule="auto"/>
              <w:rPr>
                <w:rFonts w:ascii="Arial" w:hAnsi="Arial" w:cs="Arial"/>
                <w:b/>
                <w:sz w:val="20"/>
                <w:szCs w:val="20"/>
              </w:rPr>
            </w:pPr>
          </w:p>
        </w:tc>
        <w:tc>
          <w:tcPr>
            <w:tcW w:w="5870" w:type="dxa"/>
            <w:gridSpan w:val="2"/>
            <w:shd w:val="clear" w:color="auto" w:fill="auto"/>
          </w:tcPr>
          <w:p w14:paraId="55928B2F" w14:textId="77777777" w:rsidR="0007198D" w:rsidRPr="00531366" w:rsidRDefault="0007198D" w:rsidP="000C7A5D">
            <w:pPr>
              <w:spacing w:after="0" w:line="240" w:lineRule="auto"/>
              <w:rPr>
                <w:rFonts w:ascii="Arial" w:hAnsi="Arial" w:cs="Arial"/>
                <w:sz w:val="20"/>
                <w:szCs w:val="20"/>
              </w:rPr>
            </w:pPr>
          </w:p>
        </w:tc>
      </w:tr>
      <w:tr w:rsidR="0007198D" w:rsidRPr="00515E1C" w14:paraId="729201F8" w14:textId="77777777" w:rsidTr="000C7A5D">
        <w:tc>
          <w:tcPr>
            <w:tcW w:w="3600" w:type="dxa"/>
            <w:shd w:val="clear" w:color="auto" w:fill="auto"/>
          </w:tcPr>
          <w:p w14:paraId="7BFB2DA6" w14:textId="77777777" w:rsidR="0007198D" w:rsidRPr="00531366" w:rsidRDefault="0007198D" w:rsidP="000C7A5D">
            <w:pPr>
              <w:spacing w:after="0" w:line="240" w:lineRule="auto"/>
              <w:rPr>
                <w:rFonts w:ascii="Arial" w:hAnsi="Arial" w:cs="Arial"/>
                <w:b/>
                <w:sz w:val="20"/>
                <w:szCs w:val="20"/>
              </w:rPr>
            </w:pPr>
          </w:p>
        </w:tc>
        <w:tc>
          <w:tcPr>
            <w:tcW w:w="5870" w:type="dxa"/>
            <w:gridSpan w:val="2"/>
            <w:shd w:val="clear" w:color="auto" w:fill="auto"/>
          </w:tcPr>
          <w:p w14:paraId="6E133981"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Denominator:</w:t>
            </w:r>
          </w:p>
        </w:tc>
      </w:tr>
      <w:tr w:rsidR="0007198D" w:rsidRPr="00515E1C" w14:paraId="4CFF29CB" w14:textId="77777777" w:rsidTr="000C7A5D">
        <w:tc>
          <w:tcPr>
            <w:tcW w:w="3600" w:type="dxa"/>
            <w:shd w:val="clear" w:color="auto" w:fill="auto"/>
          </w:tcPr>
          <w:p w14:paraId="66628DE3" w14:textId="77777777" w:rsidR="0007198D" w:rsidRPr="00531366" w:rsidRDefault="0007198D" w:rsidP="000C7A5D">
            <w:pPr>
              <w:spacing w:after="0" w:line="240" w:lineRule="auto"/>
              <w:rPr>
                <w:rFonts w:ascii="Arial" w:hAnsi="Arial" w:cs="Arial"/>
                <w:b/>
                <w:sz w:val="20"/>
                <w:szCs w:val="20"/>
              </w:rPr>
            </w:pPr>
          </w:p>
        </w:tc>
        <w:tc>
          <w:tcPr>
            <w:tcW w:w="5870" w:type="dxa"/>
            <w:gridSpan w:val="2"/>
            <w:shd w:val="clear" w:color="auto" w:fill="auto"/>
          </w:tcPr>
          <w:p w14:paraId="6DEA34F9" w14:textId="77777777" w:rsidR="0007198D" w:rsidRPr="00531366" w:rsidRDefault="0007198D" w:rsidP="000C7A5D">
            <w:pPr>
              <w:spacing w:after="0" w:line="240" w:lineRule="auto"/>
              <w:rPr>
                <w:rFonts w:ascii="Arial" w:hAnsi="Arial" w:cs="Arial"/>
                <w:sz w:val="20"/>
                <w:szCs w:val="20"/>
              </w:rPr>
            </w:pPr>
            <w:r>
              <w:rPr>
                <w:rFonts w:ascii="Arial" w:hAnsi="Arial" w:cs="Arial"/>
                <w:noProof/>
                <w:sz w:val="20"/>
                <w:szCs w:val="20"/>
              </w:rPr>
              <w:t xml:space="preserve">Number of </w:t>
            </w:r>
            <w:r w:rsidRPr="00531366">
              <w:rPr>
                <w:rFonts w:ascii="Arial" w:hAnsi="Arial" w:cs="Arial"/>
                <w:noProof/>
                <w:sz w:val="20"/>
                <w:szCs w:val="20"/>
              </w:rPr>
              <w:t>children, ages 1</w:t>
            </w:r>
            <w:r>
              <w:rPr>
                <w:rFonts w:ascii="Arial" w:hAnsi="Arial" w:cs="Arial"/>
                <w:noProof/>
                <w:sz w:val="20"/>
                <w:szCs w:val="20"/>
              </w:rPr>
              <w:t xml:space="preserve"> through 17</w:t>
            </w:r>
          </w:p>
        </w:tc>
      </w:tr>
      <w:tr w:rsidR="0007198D" w:rsidRPr="00515E1C" w14:paraId="09EBB16F" w14:textId="77777777" w:rsidTr="000C7A5D">
        <w:tc>
          <w:tcPr>
            <w:tcW w:w="3600" w:type="dxa"/>
            <w:shd w:val="clear" w:color="auto" w:fill="auto"/>
          </w:tcPr>
          <w:p w14:paraId="73F33BF7" w14:textId="77777777" w:rsidR="0007198D" w:rsidRPr="00531366" w:rsidRDefault="0007198D" w:rsidP="000C7A5D">
            <w:pPr>
              <w:spacing w:after="0" w:line="240" w:lineRule="auto"/>
              <w:rPr>
                <w:rFonts w:ascii="Arial" w:hAnsi="Arial" w:cs="Arial"/>
                <w:b/>
                <w:sz w:val="20"/>
                <w:szCs w:val="20"/>
              </w:rPr>
            </w:pPr>
          </w:p>
        </w:tc>
        <w:tc>
          <w:tcPr>
            <w:tcW w:w="5870" w:type="dxa"/>
            <w:gridSpan w:val="2"/>
            <w:shd w:val="clear" w:color="auto" w:fill="auto"/>
          </w:tcPr>
          <w:p w14:paraId="55507029" w14:textId="77777777" w:rsidR="0007198D" w:rsidRPr="00531366" w:rsidRDefault="0007198D" w:rsidP="000C7A5D">
            <w:pPr>
              <w:spacing w:after="0" w:line="240" w:lineRule="auto"/>
              <w:rPr>
                <w:rFonts w:ascii="Arial" w:hAnsi="Arial" w:cs="Arial"/>
                <w:sz w:val="20"/>
                <w:szCs w:val="20"/>
              </w:rPr>
            </w:pPr>
          </w:p>
        </w:tc>
      </w:tr>
      <w:tr w:rsidR="0007198D" w:rsidRPr="00515E1C" w14:paraId="5129E377" w14:textId="77777777" w:rsidTr="000C7A5D">
        <w:tc>
          <w:tcPr>
            <w:tcW w:w="3600" w:type="dxa"/>
            <w:shd w:val="clear" w:color="auto" w:fill="auto"/>
          </w:tcPr>
          <w:p w14:paraId="3202AF50" w14:textId="77777777" w:rsidR="0007198D" w:rsidRPr="00531366" w:rsidRDefault="0007198D" w:rsidP="000C7A5D">
            <w:pPr>
              <w:spacing w:after="0" w:line="240" w:lineRule="auto"/>
              <w:rPr>
                <w:rFonts w:ascii="Arial" w:hAnsi="Arial" w:cs="Arial"/>
                <w:b/>
                <w:sz w:val="20"/>
                <w:szCs w:val="20"/>
              </w:rPr>
            </w:pPr>
          </w:p>
        </w:tc>
        <w:tc>
          <w:tcPr>
            <w:tcW w:w="3353" w:type="dxa"/>
            <w:shd w:val="clear" w:color="auto" w:fill="auto"/>
          </w:tcPr>
          <w:p w14:paraId="2C0C6E8C"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b/>
                <w:sz w:val="20"/>
                <w:szCs w:val="20"/>
              </w:rPr>
              <w:t>Units:</w:t>
            </w:r>
            <w:r w:rsidRPr="00531366">
              <w:rPr>
                <w:rFonts w:ascii="Arial" w:hAnsi="Arial" w:cs="Arial"/>
                <w:sz w:val="20"/>
                <w:szCs w:val="20"/>
              </w:rPr>
              <w:t xml:space="preserve"> </w:t>
            </w:r>
            <w:r w:rsidRPr="00531366">
              <w:rPr>
                <w:rFonts w:ascii="Arial" w:hAnsi="Arial" w:cs="Arial"/>
                <w:noProof/>
                <w:sz w:val="20"/>
                <w:szCs w:val="20"/>
              </w:rPr>
              <w:t>100</w:t>
            </w:r>
          </w:p>
        </w:tc>
        <w:tc>
          <w:tcPr>
            <w:tcW w:w="2517" w:type="dxa"/>
            <w:shd w:val="clear" w:color="auto" w:fill="auto"/>
          </w:tcPr>
          <w:p w14:paraId="73F9CC92"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b/>
                <w:sz w:val="20"/>
                <w:szCs w:val="20"/>
              </w:rPr>
              <w:t>Text:</w:t>
            </w:r>
            <w:r w:rsidRPr="00531366">
              <w:rPr>
                <w:rFonts w:ascii="Arial" w:hAnsi="Arial" w:cs="Arial"/>
                <w:sz w:val="20"/>
                <w:szCs w:val="20"/>
              </w:rPr>
              <w:t xml:space="preserve"> </w:t>
            </w:r>
            <w:r w:rsidRPr="00531366">
              <w:rPr>
                <w:rFonts w:ascii="Arial" w:hAnsi="Arial" w:cs="Arial"/>
                <w:noProof/>
                <w:sz w:val="20"/>
                <w:szCs w:val="20"/>
              </w:rPr>
              <w:t>Percent</w:t>
            </w:r>
          </w:p>
        </w:tc>
      </w:tr>
      <w:tr w:rsidR="0007198D" w:rsidRPr="00515E1C" w14:paraId="5BAC41F3" w14:textId="77777777" w:rsidTr="000C7A5D">
        <w:tc>
          <w:tcPr>
            <w:tcW w:w="3600" w:type="dxa"/>
            <w:shd w:val="clear" w:color="auto" w:fill="auto"/>
          </w:tcPr>
          <w:p w14:paraId="4F0831C2" w14:textId="77777777" w:rsidR="0007198D" w:rsidRPr="00531366" w:rsidRDefault="0007198D" w:rsidP="000C7A5D">
            <w:pPr>
              <w:spacing w:after="0" w:line="240" w:lineRule="auto"/>
              <w:rPr>
                <w:rFonts w:ascii="Arial" w:hAnsi="Arial" w:cs="Arial"/>
                <w:b/>
                <w:sz w:val="20"/>
                <w:szCs w:val="20"/>
              </w:rPr>
            </w:pPr>
          </w:p>
        </w:tc>
        <w:tc>
          <w:tcPr>
            <w:tcW w:w="5870" w:type="dxa"/>
            <w:gridSpan w:val="2"/>
            <w:shd w:val="clear" w:color="auto" w:fill="auto"/>
          </w:tcPr>
          <w:p w14:paraId="0869BE0A" w14:textId="77777777" w:rsidR="0007198D" w:rsidRPr="00531366" w:rsidRDefault="0007198D" w:rsidP="000C7A5D">
            <w:pPr>
              <w:spacing w:after="0" w:line="240" w:lineRule="auto"/>
              <w:rPr>
                <w:rFonts w:ascii="Arial" w:hAnsi="Arial" w:cs="Arial"/>
                <w:sz w:val="20"/>
                <w:szCs w:val="20"/>
              </w:rPr>
            </w:pPr>
          </w:p>
        </w:tc>
      </w:tr>
      <w:tr w:rsidR="0007198D" w:rsidRPr="00515E1C" w14:paraId="228F580C" w14:textId="77777777" w:rsidTr="000C7A5D">
        <w:tc>
          <w:tcPr>
            <w:tcW w:w="3600" w:type="dxa"/>
            <w:shd w:val="clear" w:color="auto" w:fill="auto"/>
          </w:tcPr>
          <w:p w14:paraId="7A6AE994"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HEALTHY PEOPLE 2020 OBJECTIVE</w:t>
            </w:r>
          </w:p>
        </w:tc>
        <w:tc>
          <w:tcPr>
            <w:tcW w:w="5870" w:type="dxa"/>
            <w:gridSpan w:val="2"/>
            <w:shd w:val="clear" w:color="auto" w:fill="auto"/>
          </w:tcPr>
          <w:p w14:paraId="728FDEF4" w14:textId="77777777" w:rsidR="0007198D" w:rsidRPr="00531366" w:rsidRDefault="0007198D" w:rsidP="000C7A5D">
            <w:pPr>
              <w:spacing w:after="0" w:line="240" w:lineRule="auto"/>
              <w:rPr>
                <w:rFonts w:ascii="Arial" w:hAnsi="Arial" w:cs="Arial"/>
                <w:noProof/>
                <w:sz w:val="20"/>
                <w:szCs w:val="20"/>
              </w:rPr>
            </w:pPr>
            <w:r w:rsidRPr="00531366">
              <w:rPr>
                <w:rFonts w:ascii="Arial" w:hAnsi="Arial" w:cs="Arial"/>
                <w:noProof/>
                <w:sz w:val="20"/>
                <w:szCs w:val="20"/>
              </w:rPr>
              <w:t xml:space="preserve">Related to Oral Health of Children and Adolescents (OH) Objectives 1.1 : Reduce the proportion of children </w:t>
            </w:r>
            <w:r>
              <w:rPr>
                <w:rFonts w:ascii="Arial" w:hAnsi="Arial" w:cs="Arial"/>
                <w:noProof/>
                <w:sz w:val="20"/>
                <w:szCs w:val="20"/>
              </w:rPr>
              <w:t>ages</w:t>
            </w:r>
            <w:r w:rsidRPr="00531366">
              <w:rPr>
                <w:rFonts w:ascii="Arial" w:hAnsi="Arial" w:cs="Arial"/>
                <w:noProof/>
                <w:sz w:val="20"/>
                <w:szCs w:val="20"/>
              </w:rPr>
              <w:t xml:space="preserve"> 3-5 who have dental caries experience in their primary or permanent teeth, (Baseline: 33.3%,  Target:  30.0%)</w:t>
            </w:r>
            <w:r>
              <w:rPr>
                <w:rFonts w:ascii="Arial" w:hAnsi="Arial" w:cs="Arial"/>
                <w:noProof/>
                <w:sz w:val="20"/>
                <w:szCs w:val="20"/>
              </w:rPr>
              <w:t>,</w:t>
            </w:r>
            <w:r w:rsidRPr="00531366">
              <w:rPr>
                <w:rFonts w:ascii="Arial" w:hAnsi="Arial" w:cs="Arial"/>
                <w:noProof/>
                <w:sz w:val="20"/>
                <w:szCs w:val="20"/>
              </w:rPr>
              <w:t xml:space="preserve"> 1.2:  Reduce the proportion of children </w:t>
            </w:r>
            <w:r>
              <w:rPr>
                <w:rFonts w:ascii="Arial" w:hAnsi="Arial" w:cs="Arial"/>
                <w:noProof/>
                <w:sz w:val="20"/>
                <w:szCs w:val="20"/>
              </w:rPr>
              <w:t>ages</w:t>
            </w:r>
            <w:r w:rsidRPr="00531366">
              <w:rPr>
                <w:rFonts w:ascii="Arial" w:hAnsi="Arial" w:cs="Arial"/>
                <w:noProof/>
                <w:sz w:val="20"/>
                <w:szCs w:val="20"/>
              </w:rPr>
              <w:t xml:space="preserve"> 6-9 who have dental caries experience in their primary or permanent teeth (Baseline: 54.4%,  Target: 49.0%)</w:t>
            </w:r>
            <w:r>
              <w:rPr>
                <w:rFonts w:ascii="Arial" w:hAnsi="Arial" w:cs="Arial"/>
                <w:noProof/>
                <w:sz w:val="20"/>
                <w:szCs w:val="20"/>
              </w:rPr>
              <w:t xml:space="preserve"> and 1.3: Reduce the proportion of adolescents aged 13 to 15 years with dental caries experience in their permanent teeth (Baseline: 53.7%, Target: 48.3%).</w:t>
            </w:r>
          </w:p>
          <w:p w14:paraId="14693127" w14:textId="77777777" w:rsidR="0007198D" w:rsidRPr="00531366" w:rsidRDefault="0007198D" w:rsidP="000C7A5D">
            <w:pPr>
              <w:spacing w:after="0" w:line="240" w:lineRule="auto"/>
              <w:rPr>
                <w:rFonts w:ascii="Arial" w:hAnsi="Arial" w:cs="Arial"/>
                <w:sz w:val="20"/>
                <w:szCs w:val="20"/>
              </w:rPr>
            </w:pPr>
          </w:p>
        </w:tc>
      </w:tr>
      <w:tr w:rsidR="0007198D" w:rsidRPr="00515E1C" w14:paraId="31D75D47" w14:textId="77777777" w:rsidTr="000C7A5D">
        <w:tc>
          <w:tcPr>
            <w:tcW w:w="3600" w:type="dxa"/>
            <w:shd w:val="clear" w:color="auto" w:fill="auto"/>
          </w:tcPr>
          <w:p w14:paraId="703184A5" w14:textId="77777777" w:rsidR="0007198D" w:rsidRPr="00531366" w:rsidRDefault="0007198D" w:rsidP="000C7A5D">
            <w:pPr>
              <w:spacing w:after="0" w:line="240" w:lineRule="auto"/>
              <w:rPr>
                <w:rFonts w:ascii="Arial" w:hAnsi="Arial" w:cs="Arial"/>
                <w:b/>
                <w:sz w:val="20"/>
                <w:szCs w:val="20"/>
              </w:rPr>
            </w:pPr>
          </w:p>
        </w:tc>
        <w:tc>
          <w:tcPr>
            <w:tcW w:w="5870" w:type="dxa"/>
            <w:gridSpan w:val="2"/>
            <w:shd w:val="clear" w:color="auto" w:fill="auto"/>
          </w:tcPr>
          <w:p w14:paraId="36BAA84D" w14:textId="77777777" w:rsidR="0007198D" w:rsidRPr="00531366" w:rsidRDefault="0007198D" w:rsidP="000C7A5D">
            <w:pPr>
              <w:spacing w:after="0" w:line="240" w:lineRule="auto"/>
              <w:rPr>
                <w:rFonts w:ascii="Arial" w:hAnsi="Arial" w:cs="Arial"/>
                <w:sz w:val="20"/>
                <w:szCs w:val="20"/>
              </w:rPr>
            </w:pPr>
          </w:p>
        </w:tc>
      </w:tr>
      <w:tr w:rsidR="0007198D" w:rsidRPr="00515E1C" w14:paraId="38380F54" w14:textId="77777777" w:rsidTr="000C7A5D">
        <w:tc>
          <w:tcPr>
            <w:tcW w:w="3600" w:type="dxa"/>
            <w:shd w:val="clear" w:color="auto" w:fill="auto"/>
          </w:tcPr>
          <w:p w14:paraId="2E223553"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DATA SOURCES and DATA ISSUES</w:t>
            </w:r>
          </w:p>
        </w:tc>
        <w:tc>
          <w:tcPr>
            <w:tcW w:w="5870" w:type="dxa"/>
            <w:gridSpan w:val="2"/>
            <w:shd w:val="clear" w:color="auto" w:fill="auto"/>
          </w:tcPr>
          <w:p w14:paraId="71648465"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noProof/>
                <w:sz w:val="20"/>
                <w:szCs w:val="20"/>
              </w:rPr>
              <w:t>National Survey of Children's Health (NSCH)</w:t>
            </w:r>
          </w:p>
        </w:tc>
      </w:tr>
      <w:tr w:rsidR="0007198D" w:rsidRPr="00515E1C" w14:paraId="6B58C55F" w14:textId="77777777" w:rsidTr="000C7A5D">
        <w:tc>
          <w:tcPr>
            <w:tcW w:w="3600" w:type="dxa"/>
            <w:shd w:val="clear" w:color="auto" w:fill="auto"/>
          </w:tcPr>
          <w:p w14:paraId="59B0CE13" w14:textId="77777777" w:rsidR="0007198D" w:rsidRPr="00531366" w:rsidRDefault="0007198D" w:rsidP="000C7A5D">
            <w:pPr>
              <w:spacing w:after="0" w:line="240" w:lineRule="auto"/>
              <w:rPr>
                <w:rFonts w:ascii="Arial" w:hAnsi="Arial" w:cs="Arial"/>
                <w:b/>
                <w:sz w:val="20"/>
                <w:szCs w:val="20"/>
              </w:rPr>
            </w:pPr>
          </w:p>
        </w:tc>
        <w:tc>
          <w:tcPr>
            <w:tcW w:w="5870" w:type="dxa"/>
            <w:gridSpan w:val="2"/>
            <w:shd w:val="clear" w:color="auto" w:fill="auto"/>
          </w:tcPr>
          <w:p w14:paraId="6EDE9075" w14:textId="77777777" w:rsidR="0007198D" w:rsidRPr="00531366" w:rsidRDefault="0007198D" w:rsidP="000C7A5D">
            <w:pPr>
              <w:spacing w:after="0" w:line="240" w:lineRule="auto"/>
              <w:rPr>
                <w:rFonts w:ascii="Arial" w:hAnsi="Arial" w:cs="Arial"/>
                <w:sz w:val="20"/>
                <w:szCs w:val="20"/>
              </w:rPr>
            </w:pPr>
          </w:p>
        </w:tc>
      </w:tr>
      <w:tr w:rsidR="0007198D" w:rsidRPr="00515E1C" w14:paraId="50A53A48" w14:textId="77777777" w:rsidTr="000C7A5D">
        <w:tc>
          <w:tcPr>
            <w:tcW w:w="3600" w:type="dxa"/>
            <w:shd w:val="clear" w:color="auto" w:fill="auto"/>
          </w:tcPr>
          <w:p w14:paraId="4798CADE"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SIGNIFICANCE</w:t>
            </w:r>
          </w:p>
        </w:tc>
        <w:tc>
          <w:tcPr>
            <w:tcW w:w="5870" w:type="dxa"/>
            <w:gridSpan w:val="2"/>
            <w:shd w:val="clear" w:color="auto" w:fill="auto"/>
          </w:tcPr>
          <w:p w14:paraId="4BAB7C24" w14:textId="77777777" w:rsidR="0007198D" w:rsidRDefault="0007198D" w:rsidP="000C7A5D">
            <w:pPr>
              <w:spacing w:after="0" w:line="240" w:lineRule="auto"/>
              <w:rPr>
                <w:rFonts w:ascii="Arial" w:hAnsi="Arial" w:cs="Arial"/>
                <w:noProof/>
                <w:sz w:val="20"/>
                <w:szCs w:val="20"/>
              </w:rPr>
            </w:pPr>
            <w:r>
              <w:rPr>
                <w:rFonts w:ascii="Arial" w:hAnsi="Arial" w:cs="Arial"/>
                <w:noProof/>
                <w:sz w:val="20"/>
                <w:szCs w:val="20"/>
              </w:rPr>
              <w:t>Tooth decay (cavities) is among the most common chronic conditions of childhood. Untreated tooth decay can lead to pain and infections which may result in problems with eating, speaking, learning and playing. Children with poor oral health tend to miss more school and get lower grades than those who do not.  Tooth decay can be prevented through recommended preventive dental care, including flouride varnish and dental sealants, community water flouridation, and oral hygeine practices, including brushing and flossing.</w:t>
            </w:r>
          </w:p>
          <w:p w14:paraId="0CC65496" w14:textId="77777777" w:rsidR="0007198D" w:rsidRDefault="0007198D" w:rsidP="000C7A5D">
            <w:pPr>
              <w:spacing w:after="0" w:line="240" w:lineRule="auto"/>
              <w:rPr>
                <w:rFonts w:ascii="Arial" w:hAnsi="Arial" w:cs="Arial"/>
                <w:sz w:val="20"/>
                <w:szCs w:val="20"/>
              </w:rPr>
            </w:pPr>
          </w:p>
          <w:p w14:paraId="2FA7BA5C" w14:textId="77777777" w:rsidR="0007198D" w:rsidRPr="00531366" w:rsidRDefault="0007198D" w:rsidP="000C7A5D">
            <w:pPr>
              <w:spacing w:after="0" w:line="240" w:lineRule="auto"/>
              <w:rPr>
                <w:rFonts w:ascii="Arial" w:hAnsi="Arial" w:cs="Arial"/>
                <w:sz w:val="20"/>
                <w:szCs w:val="20"/>
              </w:rPr>
            </w:pPr>
            <w:r>
              <w:rPr>
                <w:rFonts w:ascii="Arial" w:hAnsi="Arial" w:cs="Arial"/>
                <w:sz w:val="20"/>
                <w:szCs w:val="20"/>
              </w:rPr>
              <w:t xml:space="preserve">Centers for Disease Control and Prevention. Children’s Oral Health. 2016 November 15. </w:t>
            </w:r>
            <w:hyperlink r:id="rId101" w:history="1">
              <w:r w:rsidRPr="001D6D82">
                <w:rPr>
                  <w:rStyle w:val="Hyperlink"/>
                  <w:rFonts w:ascii="Arial" w:hAnsi="Arial" w:cs="Arial"/>
                  <w:sz w:val="20"/>
                  <w:szCs w:val="20"/>
                </w:rPr>
                <w:t>https://www.cdc.gov/oralhealth/basics/childrens-oral-health/index.html</w:t>
              </w:r>
            </w:hyperlink>
            <w:r>
              <w:rPr>
                <w:rFonts w:ascii="Arial" w:hAnsi="Arial" w:cs="Arial"/>
                <w:sz w:val="20"/>
                <w:szCs w:val="20"/>
              </w:rPr>
              <w:t xml:space="preserve"> </w:t>
            </w:r>
          </w:p>
        </w:tc>
      </w:tr>
      <w:tr w:rsidR="0007198D" w:rsidRPr="00515E1C" w14:paraId="62359B7E" w14:textId="77777777" w:rsidTr="000C7A5D">
        <w:tc>
          <w:tcPr>
            <w:tcW w:w="3600" w:type="dxa"/>
            <w:shd w:val="clear" w:color="auto" w:fill="auto"/>
          </w:tcPr>
          <w:p w14:paraId="6DB9B458" w14:textId="77777777" w:rsidR="0007198D" w:rsidRPr="00531366" w:rsidRDefault="0007198D" w:rsidP="000C7A5D">
            <w:pPr>
              <w:spacing w:after="0" w:line="240" w:lineRule="auto"/>
              <w:rPr>
                <w:rFonts w:ascii="Arial" w:hAnsi="Arial" w:cs="Arial"/>
                <w:sz w:val="20"/>
                <w:szCs w:val="20"/>
              </w:rPr>
            </w:pPr>
          </w:p>
        </w:tc>
        <w:tc>
          <w:tcPr>
            <w:tcW w:w="5870" w:type="dxa"/>
            <w:gridSpan w:val="2"/>
            <w:shd w:val="clear" w:color="auto" w:fill="auto"/>
          </w:tcPr>
          <w:p w14:paraId="08488C28" w14:textId="77777777" w:rsidR="0007198D" w:rsidRPr="00531366" w:rsidRDefault="0007198D" w:rsidP="000C7A5D">
            <w:pPr>
              <w:spacing w:after="0" w:line="240" w:lineRule="auto"/>
              <w:rPr>
                <w:rFonts w:ascii="Arial" w:hAnsi="Arial" w:cs="Arial"/>
                <w:sz w:val="20"/>
                <w:szCs w:val="20"/>
              </w:rPr>
            </w:pPr>
          </w:p>
        </w:tc>
      </w:tr>
    </w:tbl>
    <w:p w14:paraId="3D9B1D1F" w14:textId="77777777" w:rsidR="0007198D" w:rsidRDefault="0007198D" w:rsidP="0007198D">
      <w:pPr>
        <w:spacing w:after="0" w:line="240" w:lineRule="auto"/>
        <w:sectPr w:rsidR="0007198D" w:rsidSect="008A00F6">
          <w:pgSz w:w="12240" w:h="15840"/>
          <w:pgMar w:top="1440" w:right="1440" w:bottom="1440" w:left="1440" w:header="720" w:footer="720" w:gutter="0"/>
          <w:cols w:space="720"/>
          <w:docGrid w:linePitch="360"/>
        </w:sectPr>
      </w:pPr>
    </w:p>
    <w:tbl>
      <w:tblPr>
        <w:tblW w:w="0" w:type="auto"/>
        <w:tblLook w:val="04A0" w:firstRow="1" w:lastRow="0" w:firstColumn="1" w:lastColumn="0" w:noHBand="0" w:noVBand="1"/>
      </w:tblPr>
      <w:tblGrid>
        <w:gridCol w:w="3618"/>
        <w:gridCol w:w="5868"/>
        <w:gridCol w:w="72"/>
      </w:tblGrid>
      <w:tr w:rsidR="0007198D" w:rsidRPr="00515E1C" w14:paraId="74877AC0" w14:textId="77777777" w:rsidTr="000C7A5D">
        <w:tc>
          <w:tcPr>
            <w:tcW w:w="3618" w:type="dxa"/>
            <w:shd w:val="clear" w:color="auto" w:fill="auto"/>
          </w:tcPr>
          <w:p w14:paraId="02B8FAC4" w14:textId="77777777" w:rsidR="0007198D" w:rsidRPr="00531366" w:rsidRDefault="0007198D" w:rsidP="000C7A5D">
            <w:pPr>
              <w:spacing w:after="0" w:line="240" w:lineRule="auto"/>
              <w:rPr>
                <w:rFonts w:ascii="Arial" w:hAnsi="Arial" w:cs="Arial"/>
                <w:sz w:val="20"/>
                <w:szCs w:val="20"/>
              </w:rPr>
            </w:pPr>
          </w:p>
        </w:tc>
        <w:tc>
          <w:tcPr>
            <w:tcW w:w="5940" w:type="dxa"/>
            <w:gridSpan w:val="2"/>
            <w:shd w:val="clear" w:color="auto" w:fill="auto"/>
          </w:tcPr>
          <w:p w14:paraId="0D78F624" w14:textId="77777777" w:rsidR="0007198D" w:rsidRPr="00531366" w:rsidRDefault="0007198D" w:rsidP="000C7A5D">
            <w:pPr>
              <w:spacing w:after="0" w:line="240" w:lineRule="auto"/>
              <w:rPr>
                <w:rFonts w:ascii="Arial" w:hAnsi="Arial" w:cs="Arial"/>
                <w:sz w:val="20"/>
                <w:szCs w:val="20"/>
              </w:rPr>
            </w:pPr>
          </w:p>
        </w:tc>
      </w:tr>
      <w:tr w:rsidR="0007198D" w:rsidRPr="003F48A1" w14:paraId="47A0E408" w14:textId="77777777" w:rsidTr="000C7A5D">
        <w:trPr>
          <w:gridAfter w:val="1"/>
          <w:wAfter w:w="72" w:type="dxa"/>
        </w:trPr>
        <w:tc>
          <w:tcPr>
            <w:tcW w:w="3618" w:type="dxa"/>
            <w:shd w:val="clear" w:color="auto" w:fill="auto"/>
          </w:tcPr>
          <w:p w14:paraId="0C7D0706" w14:textId="77777777" w:rsidR="0007198D" w:rsidRPr="00531366" w:rsidRDefault="0007198D" w:rsidP="000C7A5D">
            <w:pPr>
              <w:spacing w:after="0" w:line="240" w:lineRule="auto"/>
              <w:rPr>
                <w:rFonts w:ascii="Arial" w:hAnsi="Arial" w:cs="Arial"/>
                <w:b/>
                <w:sz w:val="24"/>
                <w:szCs w:val="24"/>
              </w:rPr>
            </w:pPr>
            <w:r w:rsidRPr="00531366">
              <w:rPr>
                <w:rFonts w:ascii="Arial" w:hAnsi="Arial" w:cs="Arial"/>
                <w:b/>
                <w:sz w:val="24"/>
                <w:szCs w:val="24"/>
              </w:rPr>
              <w:t xml:space="preserve">OUTCOME MEASURE </w:t>
            </w:r>
            <w:r>
              <w:rPr>
                <w:rFonts w:ascii="Arial" w:hAnsi="Arial" w:cs="Arial"/>
                <w:b/>
                <w:noProof/>
                <w:sz w:val="24"/>
                <w:szCs w:val="24"/>
              </w:rPr>
              <w:t>15</w:t>
            </w:r>
          </w:p>
        </w:tc>
        <w:tc>
          <w:tcPr>
            <w:tcW w:w="5868" w:type="dxa"/>
            <w:shd w:val="clear" w:color="auto" w:fill="auto"/>
          </w:tcPr>
          <w:p w14:paraId="33831A9E" w14:textId="0E0B7747" w:rsidR="0007198D" w:rsidRPr="00531366" w:rsidRDefault="0007198D" w:rsidP="000C7A5D">
            <w:pPr>
              <w:spacing w:after="0" w:line="240" w:lineRule="auto"/>
              <w:rPr>
                <w:rFonts w:ascii="Arial" w:hAnsi="Arial" w:cs="Arial"/>
                <w:b/>
                <w:sz w:val="24"/>
                <w:szCs w:val="24"/>
              </w:rPr>
            </w:pPr>
            <w:r>
              <w:rPr>
                <w:rFonts w:ascii="Arial" w:hAnsi="Arial" w:cs="Arial"/>
                <w:b/>
                <w:noProof/>
                <w:sz w:val="24"/>
                <w:szCs w:val="24"/>
              </w:rPr>
              <w:t>Child mortality rate</w:t>
            </w:r>
            <w:r w:rsidR="000A10EE">
              <w:rPr>
                <w:rFonts w:ascii="Arial" w:hAnsi="Arial" w:cs="Arial"/>
                <w:b/>
                <w:noProof/>
                <w:sz w:val="24"/>
                <w:szCs w:val="24"/>
              </w:rPr>
              <w:t>,</w:t>
            </w:r>
            <w:r>
              <w:rPr>
                <w:rFonts w:ascii="Arial" w:hAnsi="Arial" w:cs="Arial"/>
                <w:b/>
                <w:noProof/>
                <w:sz w:val="24"/>
                <w:szCs w:val="24"/>
              </w:rPr>
              <w:t xml:space="preserve"> ages 1 through 9</w:t>
            </w:r>
            <w:r w:rsidR="000A10EE">
              <w:rPr>
                <w:rFonts w:ascii="Arial" w:hAnsi="Arial" w:cs="Arial"/>
                <w:b/>
                <w:noProof/>
                <w:sz w:val="24"/>
                <w:szCs w:val="24"/>
              </w:rPr>
              <w:t>,</w:t>
            </w:r>
            <w:r w:rsidRPr="00531366">
              <w:rPr>
                <w:rFonts w:ascii="Arial" w:hAnsi="Arial" w:cs="Arial"/>
                <w:b/>
                <w:noProof/>
                <w:sz w:val="24"/>
                <w:szCs w:val="24"/>
              </w:rPr>
              <w:t xml:space="preserve"> per 100,000 </w:t>
            </w:r>
          </w:p>
        </w:tc>
      </w:tr>
    </w:tbl>
    <w:p w14:paraId="0258EF6F" w14:textId="77777777" w:rsidR="0007198D" w:rsidRDefault="0007198D" w:rsidP="0007198D">
      <w:pPr>
        <w:spacing w:after="0" w:line="240" w:lineRule="auto"/>
      </w:pPr>
    </w:p>
    <w:p w14:paraId="28E637B6" w14:textId="77777777" w:rsidR="0007198D" w:rsidRDefault="0007198D" w:rsidP="0007198D">
      <w:pPr>
        <w:spacing w:after="0" w:line="240" w:lineRule="auto"/>
      </w:pPr>
      <w:r>
        <w:rPr>
          <w:noProof/>
        </w:rPr>
        <mc:AlternateContent>
          <mc:Choice Requires="wps">
            <w:drawing>
              <wp:anchor distT="4294967295" distB="4294967295" distL="114300" distR="114300" simplePos="0" relativeHeight="251765760" behindDoc="0" locked="0" layoutInCell="1" allowOverlap="1" wp14:anchorId="1AF805FA" wp14:editId="3809FD05">
                <wp:simplePos x="0" y="0"/>
                <wp:positionH relativeFrom="column">
                  <wp:posOffset>-60960</wp:posOffset>
                </wp:positionH>
                <wp:positionV relativeFrom="paragraph">
                  <wp:posOffset>31749</wp:posOffset>
                </wp:positionV>
                <wp:extent cx="6088380" cy="0"/>
                <wp:effectExtent l="0" t="0" r="2667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E28D446" id="Straight Connector 22" o:spid="_x0000_s1026" style="position:absolute;z-index:251765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" strokecolor="windowText" strokeweight="1.75pt">
                <o:lock v:ext="edit" shapetype="f"/>
              </v:line>
            </w:pict>
          </mc:Fallback>
        </mc:AlternateContent>
      </w:r>
    </w:p>
    <w:tbl>
      <w:tblPr>
        <w:tblW w:w="9493" w:type="dxa"/>
        <w:tblLook w:val="04A0" w:firstRow="1" w:lastRow="0" w:firstColumn="1" w:lastColumn="0" w:noHBand="0" w:noVBand="1"/>
      </w:tblPr>
      <w:tblGrid>
        <w:gridCol w:w="3600"/>
        <w:gridCol w:w="3384"/>
        <w:gridCol w:w="2509"/>
      </w:tblGrid>
      <w:tr w:rsidR="0007198D" w:rsidRPr="00515E1C" w14:paraId="43480040" w14:textId="77777777" w:rsidTr="000C7A5D">
        <w:tc>
          <w:tcPr>
            <w:tcW w:w="3600" w:type="dxa"/>
            <w:shd w:val="clear" w:color="auto" w:fill="auto"/>
          </w:tcPr>
          <w:p w14:paraId="22F4186A"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GOAL</w:t>
            </w:r>
          </w:p>
        </w:tc>
        <w:tc>
          <w:tcPr>
            <w:tcW w:w="5893" w:type="dxa"/>
            <w:gridSpan w:val="2"/>
            <w:shd w:val="clear" w:color="auto" w:fill="auto"/>
          </w:tcPr>
          <w:p w14:paraId="09595614"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noProof/>
                <w:sz w:val="20"/>
                <w:szCs w:val="20"/>
              </w:rPr>
              <w:t xml:space="preserve">To reduce the death rate of children </w:t>
            </w:r>
            <w:r>
              <w:rPr>
                <w:rFonts w:ascii="Arial" w:hAnsi="Arial" w:cs="Arial"/>
                <w:noProof/>
                <w:sz w:val="20"/>
                <w:szCs w:val="20"/>
              </w:rPr>
              <w:t>ages</w:t>
            </w:r>
            <w:r w:rsidRPr="00531366">
              <w:rPr>
                <w:rFonts w:ascii="Arial" w:hAnsi="Arial" w:cs="Arial"/>
                <w:noProof/>
                <w:sz w:val="20"/>
                <w:szCs w:val="20"/>
              </w:rPr>
              <w:t xml:space="preserve"> 1 through 9.</w:t>
            </w:r>
          </w:p>
        </w:tc>
      </w:tr>
      <w:tr w:rsidR="0007198D" w:rsidRPr="00515E1C" w14:paraId="59F83948" w14:textId="77777777" w:rsidTr="000C7A5D">
        <w:tc>
          <w:tcPr>
            <w:tcW w:w="3600" w:type="dxa"/>
            <w:shd w:val="clear" w:color="auto" w:fill="auto"/>
          </w:tcPr>
          <w:p w14:paraId="3C3E7FED" w14:textId="77777777" w:rsidR="0007198D" w:rsidRPr="00531366" w:rsidRDefault="0007198D" w:rsidP="000C7A5D">
            <w:pPr>
              <w:spacing w:after="0" w:line="240" w:lineRule="auto"/>
              <w:rPr>
                <w:rFonts w:ascii="Arial" w:hAnsi="Arial" w:cs="Arial"/>
                <w:b/>
                <w:sz w:val="20"/>
                <w:szCs w:val="20"/>
              </w:rPr>
            </w:pPr>
          </w:p>
        </w:tc>
        <w:tc>
          <w:tcPr>
            <w:tcW w:w="5893" w:type="dxa"/>
            <w:gridSpan w:val="2"/>
            <w:shd w:val="clear" w:color="auto" w:fill="auto"/>
          </w:tcPr>
          <w:p w14:paraId="44BE776C" w14:textId="77777777" w:rsidR="0007198D" w:rsidRPr="00531366" w:rsidRDefault="0007198D" w:rsidP="000C7A5D">
            <w:pPr>
              <w:spacing w:after="0" w:line="240" w:lineRule="auto"/>
              <w:rPr>
                <w:rFonts w:ascii="Arial" w:hAnsi="Arial" w:cs="Arial"/>
                <w:sz w:val="20"/>
                <w:szCs w:val="20"/>
              </w:rPr>
            </w:pPr>
          </w:p>
        </w:tc>
      </w:tr>
      <w:tr w:rsidR="0007198D" w:rsidRPr="00515E1C" w14:paraId="31F14AC6" w14:textId="77777777" w:rsidTr="000C7A5D">
        <w:tc>
          <w:tcPr>
            <w:tcW w:w="3600" w:type="dxa"/>
            <w:shd w:val="clear" w:color="auto" w:fill="auto"/>
          </w:tcPr>
          <w:p w14:paraId="22BA7133"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DEFINITION</w:t>
            </w:r>
          </w:p>
        </w:tc>
        <w:tc>
          <w:tcPr>
            <w:tcW w:w="5893" w:type="dxa"/>
            <w:gridSpan w:val="2"/>
            <w:shd w:val="clear" w:color="auto" w:fill="auto"/>
          </w:tcPr>
          <w:p w14:paraId="65957689"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Numerator:</w:t>
            </w:r>
          </w:p>
        </w:tc>
      </w:tr>
      <w:tr w:rsidR="0007198D" w:rsidRPr="00515E1C" w14:paraId="729407DB" w14:textId="77777777" w:rsidTr="000C7A5D">
        <w:tc>
          <w:tcPr>
            <w:tcW w:w="3600" w:type="dxa"/>
            <w:shd w:val="clear" w:color="auto" w:fill="auto"/>
          </w:tcPr>
          <w:p w14:paraId="10CE6214" w14:textId="77777777" w:rsidR="0007198D" w:rsidRPr="00531366" w:rsidRDefault="0007198D" w:rsidP="000C7A5D">
            <w:pPr>
              <w:spacing w:after="0" w:line="240" w:lineRule="auto"/>
              <w:rPr>
                <w:rFonts w:ascii="Arial" w:hAnsi="Arial" w:cs="Arial"/>
                <w:b/>
                <w:sz w:val="20"/>
                <w:szCs w:val="20"/>
              </w:rPr>
            </w:pPr>
          </w:p>
        </w:tc>
        <w:tc>
          <w:tcPr>
            <w:tcW w:w="5893" w:type="dxa"/>
            <w:gridSpan w:val="2"/>
            <w:shd w:val="clear" w:color="auto" w:fill="auto"/>
          </w:tcPr>
          <w:p w14:paraId="58954C11"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noProof/>
                <w:sz w:val="20"/>
                <w:szCs w:val="20"/>
              </w:rPr>
              <w:t xml:space="preserve">Number of deaths among children </w:t>
            </w:r>
            <w:r>
              <w:rPr>
                <w:rFonts w:ascii="Arial" w:hAnsi="Arial" w:cs="Arial"/>
                <w:noProof/>
                <w:sz w:val="20"/>
                <w:szCs w:val="20"/>
              </w:rPr>
              <w:t>ages</w:t>
            </w:r>
            <w:r w:rsidRPr="00531366">
              <w:rPr>
                <w:rFonts w:ascii="Arial" w:hAnsi="Arial" w:cs="Arial"/>
                <w:noProof/>
                <w:sz w:val="20"/>
                <w:szCs w:val="20"/>
              </w:rPr>
              <w:t xml:space="preserve"> 1 through 9 years</w:t>
            </w:r>
          </w:p>
        </w:tc>
      </w:tr>
      <w:tr w:rsidR="0007198D" w:rsidRPr="00515E1C" w14:paraId="0F30D57F" w14:textId="77777777" w:rsidTr="000C7A5D">
        <w:tc>
          <w:tcPr>
            <w:tcW w:w="3600" w:type="dxa"/>
            <w:shd w:val="clear" w:color="auto" w:fill="auto"/>
          </w:tcPr>
          <w:p w14:paraId="33FE5B0A" w14:textId="77777777" w:rsidR="0007198D" w:rsidRPr="00531366" w:rsidRDefault="0007198D" w:rsidP="000C7A5D">
            <w:pPr>
              <w:spacing w:after="0" w:line="240" w:lineRule="auto"/>
              <w:rPr>
                <w:rFonts w:ascii="Arial" w:hAnsi="Arial" w:cs="Arial"/>
                <w:b/>
                <w:sz w:val="20"/>
                <w:szCs w:val="20"/>
              </w:rPr>
            </w:pPr>
          </w:p>
        </w:tc>
        <w:tc>
          <w:tcPr>
            <w:tcW w:w="5893" w:type="dxa"/>
            <w:gridSpan w:val="2"/>
            <w:shd w:val="clear" w:color="auto" w:fill="auto"/>
          </w:tcPr>
          <w:p w14:paraId="3FF7597D" w14:textId="77777777" w:rsidR="0007198D" w:rsidRPr="00531366" w:rsidRDefault="0007198D" w:rsidP="000C7A5D">
            <w:pPr>
              <w:spacing w:after="0" w:line="240" w:lineRule="auto"/>
              <w:rPr>
                <w:rFonts w:ascii="Arial" w:hAnsi="Arial" w:cs="Arial"/>
                <w:sz w:val="20"/>
                <w:szCs w:val="20"/>
              </w:rPr>
            </w:pPr>
          </w:p>
        </w:tc>
      </w:tr>
      <w:tr w:rsidR="0007198D" w:rsidRPr="00515E1C" w14:paraId="5A5106AF" w14:textId="77777777" w:rsidTr="000C7A5D">
        <w:tc>
          <w:tcPr>
            <w:tcW w:w="3600" w:type="dxa"/>
            <w:shd w:val="clear" w:color="auto" w:fill="auto"/>
          </w:tcPr>
          <w:p w14:paraId="5F7B2EBE" w14:textId="77777777" w:rsidR="0007198D" w:rsidRPr="00531366" w:rsidRDefault="0007198D" w:rsidP="000C7A5D">
            <w:pPr>
              <w:spacing w:after="0" w:line="240" w:lineRule="auto"/>
              <w:rPr>
                <w:rFonts w:ascii="Arial" w:hAnsi="Arial" w:cs="Arial"/>
                <w:b/>
                <w:sz w:val="20"/>
                <w:szCs w:val="20"/>
              </w:rPr>
            </w:pPr>
          </w:p>
        </w:tc>
        <w:tc>
          <w:tcPr>
            <w:tcW w:w="5893" w:type="dxa"/>
            <w:gridSpan w:val="2"/>
            <w:shd w:val="clear" w:color="auto" w:fill="auto"/>
          </w:tcPr>
          <w:p w14:paraId="13BD256A"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Denominator:</w:t>
            </w:r>
          </w:p>
        </w:tc>
      </w:tr>
      <w:tr w:rsidR="0007198D" w:rsidRPr="00515E1C" w14:paraId="6BB9FDC9" w14:textId="77777777" w:rsidTr="000C7A5D">
        <w:tc>
          <w:tcPr>
            <w:tcW w:w="3600" w:type="dxa"/>
            <w:shd w:val="clear" w:color="auto" w:fill="auto"/>
          </w:tcPr>
          <w:p w14:paraId="717A43BC" w14:textId="77777777" w:rsidR="0007198D" w:rsidRPr="00531366" w:rsidRDefault="0007198D" w:rsidP="000C7A5D">
            <w:pPr>
              <w:spacing w:after="0" w:line="240" w:lineRule="auto"/>
              <w:rPr>
                <w:rFonts w:ascii="Arial" w:hAnsi="Arial" w:cs="Arial"/>
                <w:b/>
                <w:sz w:val="20"/>
                <w:szCs w:val="20"/>
              </w:rPr>
            </w:pPr>
          </w:p>
        </w:tc>
        <w:tc>
          <w:tcPr>
            <w:tcW w:w="5893" w:type="dxa"/>
            <w:gridSpan w:val="2"/>
            <w:shd w:val="clear" w:color="auto" w:fill="auto"/>
          </w:tcPr>
          <w:p w14:paraId="7A856D2B"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noProof/>
                <w:sz w:val="20"/>
                <w:szCs w:val="20"/>
              </w:rPr>
              <w:t xml:space="preserve">Number of children </w:t>
            </w:r>
            <w:r>
              <w:rPr>
                <w:rFonts w:ascii="Arial" w:hAnsi="Arial" w:cs="Arial"/>
                <w:noProof/>
                <w:sz w:val="20"/>
                <w:szCs w:val="20"/>
              </w:rPr>
              <w:t>ages</w:t>
            </w:r>
            <w:r w:rsidRPr="00531366">
              <w:rPr>
                <w:rFonts w:ascii="Arial" w:hAnsi="Arial" w:cs="Arial"/>
                <w:noProof/>
                <w:sz w:val="20"/>
                <w:szCs w:val="20"/>
              </w:rPr>
              <w:t xml:space="preserve"> 1 through 9</w:t>
            </w:r>
            <w:r>
              <w:rPr>
                <w:rFonts w:ascii="Arial" w:hAnsi="Arial" w:cs="Arial"/>
                <w:noProof/>
                <w:sz w:val="20"/>
                <w:szCs w:val="20"/>
              </w:rPr>
              <w:t xml:space="preserve"> years</w:t>
            </w:r>
          </w:p>
        </w:tc>
      </w:tr>
      <w:tr w:rsidR="0007198D" w:rsidRPr="00515E1C" w14:paraId="49981033" w14:textId="77777777" w:rsidTr="000C7A5D">
        <w:tc>
          <w:tcPr>
            <w:tcW w:w="3600" w:type="dxa"/>
            <w:shd w:val="clear" w:color="auto" w:fill="auto"/>
          </w:tcPr>
          <w:p w14:paraId="5949E8E7" w14:textId="77777777" w:rsidR="0007198D" w:rsidRPr="00531366" w:rsidRDefault="0007198D" w:rsidP="000C7A5D">
            <w:pPr>
              <w:spacing w:after="0" w:line="240" w:lineRule="auto"/>
              <w:rPr>
                <w:rFonts w:ascii="Arial" w:hAnsi="Arial" w:cs="Arial"/>
                <w:b/>
                <w:sz w:val="20"/>
                <w:szCs w:val="20"/>
              </w:rPr>
            </w:pPr>
          </w:p>
        </w:tc>
        <w:tc>
          <w:tcPr>
            <w:tcW w:w="5893" w:type="dxa"/>
            <w:gridSpan w:val="2"/>
            <w:shd w:val="clear" w:color="auto" w:fill="auto"/>
          </w:tcPr>
          <w:p w14:paraId="0378BA84" w14:textId="77777777" w:rsidR="0007198D" w:rsidRPr="00531366" w:rsidRDefault="0007198D" w:rsidP="000C7A5D">
            <w:pPr>
              <w:spacing w:after="0" w:line="240" w:lineRule="auto"/>
              <w:rPr>
                <w:rFonts w:ascii="Arial" w:hAnsi="Arial" w:cs="Arial"/>
                <w:sz w:val="20"/>
                <w:szCs w:val="20"/>
              </w:rPr>
            </w:pPr>
          </w:p>
        </w:tc>
      </w:tr>
      <w:tr w:rsidR="0007198D" w:rsidRPr="00515E1C" w14:paraId="0CDDA83C" w14:textId="77777777" w:rsidTr="000C7A5D">
        <w:tc>
          <w:tcPr>
            <w:tcW w:w="3600" w:type="dxa"/>
            <w:shd w:val="clear" w:color="auto" w:fill="auto"/>
          </w:tcPr>
          <w:p w14:paraId="69B261D8" w14:textId="77777777" w:rsidR="0007198D" w:rsidRPr="00531366" w:rsidRDefault="0007198D" w:rsidP="000C7A5D">
            <w:pPr>
              <w:spacing w:after="0" w:line="240" w:lineRule="auto"/>
              <w:rPr>
                <w:rFonts w:ascii="Arial" w:hAnsi="Arial" w:cs="Arial"/>
                <w:b/>
                <w:sz w:val="20"/>
                <w:szCs w:val="20"/>
              </w:rPr>
            </w:pPr>
          </w:p>
        </w:tc>
        <w:tc>
          <w:tcPr>
            <w:tcW w:w="3384" w:type="dxa"/>
            <w:shd w:val="clear" w:color="auto" w:fill="auto"/>
          </w:tcPr>
          <w:p w14:paraId="7B609C31"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b/>
                <w:sz w:val="20"/>
                <w:szCs w:val="20"/>
              </w:rPr>
              <w:t>Units:</w:t>
            </w:r>
            <w:r w:rsidRPr="00531366">
              <w:rPr>
                <w:rFonts w:ascii="Arial" w:hAnsi="Arial" w:cs="Arial"/>
                <w:sz w:val="20"/>
                <w:szCs w:val="20"/>
              </w:rPr>
              <w:t xml:space="preserve"> </w:t>
            </w:r>
            <w:r w:rsidRPr="00531366">
              <w:rPr>
                <w:rFonts w:ascii="Arial" w:hAnsi="Arial" w:cs="Arial"/>
                <w:noProof/>
                <w:sz w:val="20"/>
                <w:szCs w:val="20"/>
              </w:rPr>
              <w:t>100,000</w:t>
            </w:r>
          </w:p>
        </w:tc>
        <w:tc>
          <w:tcPr>
            <w:tcW w:w="2509" w:type="dxa"/>
            <w:shd w:val="clear" w:color="auto" w:fill="auto"/>
          </w:tcPr>
          <w:p w14:paraId="44550640"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b/>
                <w:sz w:val="20"/>
                <w:szCs w:val="20"/>
              </w:rPr>
              <w:t>Text:</w:t>
            </w:r>
            <w:r w:rsidRPr="00531366">
              <w:rPr>
                <w:rFonts w:ascii="Arial" w:hAnsi="Arial" w:cs="Arial"/>
                <w:sz w:val="20"/>
                <w:szCs w:val="20"/>
              </w:rPr>
              <w:t xml:space="preserve"> </w:t>
            </w:r>
            <w:r w:rsidRPr="00531366">
              <w:rPr>
                <w:rFonts w:ascii="Arial" w:hAnsi="Arial" w:cs="Arial"/>
                <w:noProof/>
                <w:sz w:val="20"/>
                <w:szCs w:val="20"/>
              </w:rPr>
              <w:t>Rate</w:t>
            </w:r>
          </w:p>
        </w:tc>
      </w:tr>
      <w:tr w:rsidR="0007198D" w:rsidRPr="00515E1C" w14:paraId="011E87CB" w14:textId="77777777" w:rsidTr="000C7A5D">
        <w:tc>
          <w:tcPr>
            <w:tcW w:w="3600" w:type="dxa"/>
            <w:shd w:val="clear" w:color="auto" w:fill="auto"/>
          </w:tcPr>
          <w:p w14:paraId="2E8BB740" w14:textId="77777777" w:rsidR="0007198D" w:rsidRPr="00531366" w:rsidRDefault="0007198D" w:rsidP="000C7A5D">
            <w:pPr>
              <w:spacing w:after="0" w:line="240" w:lineRule="auto"/>
              <w:rPr>
                <w:rFonts w:ascii="Arial" w:hAnsi="Arial" w:cs="Arial"/>
                <w:b/>
                <w:sz w:val="20"/>
                <w:szCs w:val="20"/>
              </w:rPr>
            </w:pPr>
          </w:p>
        </w:tc>
        <w:tc>
          <w:tcPr>
            <w:tcW w:w="5893" w:type="dxa"/>
            <w:gridSpan w:val="2"/>
            <w:shd w:val="clear" w:color="auto" w:fill="auto"/>
          </w:tcPr>
          <w:p w14:paraId="4101E798" w14:textId="77777777" w:rsidR="0007198D" w:rsidRPr="00531366" w:rsidRDefault="0007198D" w:rsidP="000C7A5D">
            <w:pPr>
              <w:spacing w:after="0" w:line="240" w:lineRule="auto"/>
              <w:rPr>
                <w:rFonts w:ascii="Arial" w:hAnsi="Arial" w:cs="Arial"/>
                <w:sz w:val="20"/>
                <w:szCs w:val="20"/>
              </w:rPr>
            </w:pPr>
          </w:p>
        </w:tc>
      </w:tr>
      <w:tr w:rsidR="0007198D" w:rsidRPr="00515E1C" w14:paraId="25C2702E" w14:textId="77777777" w:rsidTr="000C7A5D">
        <w:tc>
          <w:tcPr>
            <w:tcW w:w="3600" w:type="dxa"/>
            <w:shd w:val="clear" w:color="auto" w:fill="auto"/>
          </w:tcPr>
          <w:p w14:paraId="0B4C147F"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HEALTHY PEOPLE 2020 OBJECTIVE</w:t>
            </w:r>
          </w:p>
        </w:tc>
        <w:tc>
          <w:tcPr>
            <w:tcW w:w="5893" w:type="dxa"/>
            <w:gridSpan w:val="2"/>
            <w:shd w:val="clear" w:color="auto" w:fill="auto"/>
          </w:tcPr>
          <w:p w14:paraId="00BB03E4" w14:textId="77777777" w:rsidR="0007198D" w:rsidRPr="00531366" w:rsidRDefault="0007198D" w:rsidP="000C7A5D">
            <w:pPr>
              <w:spacing w:after="0" w:line="240" w:lineRule="auto"/>
              <w:rPr>
                <w:rFonts w:ascii="Arial" w:hAnsi="Arial" w:cs="Arial"/>
                <w:noProof/>
                <w:sz w:val="20"/>
                <w:szCs w:val="20"/>
              </w:rPr>
            </w:pPr>
            <w:r w:rsidRPr="00531366">
              <w:rPr>
                <w:rFonts w:ascii="Arial" w:hAnsi="Arial" w:cs="Arial"/>
                <w:noProof/>
                <w:sz w:val="20"/>
                <w:szCs w:val="20"/>
              </w:rPr>
              <w:t xml:space="preserve">Related to Maternal, Infant, and Child Health (MICH) Objective 3.1:  Reduce the rate of child deaths </w:t>
            </w:r>
            <w:r>
              <w:rPr>
                <w:rFonts w:ascii="Arial" w:hAnsi="Arial" w:cs="Arial"/>
                <w:noProof/>
                <w:sz w:val="20"/>
                <w:szCs w:val="20"/>
              </w:rPr>
              <w:t>aged</w:t>
            </w:r>
            <w:r w:rsidRPr="00531366">
              <w:rPr>
                <w:rFonts w:ascii="Arial" w:hAnsi="Arial" w:cs="Arial"/>
                <w:noProof/>
                <w:sz w:val="20"/>
                <w:szCs w:val="20"/>
              </w:rPr>
              <w:t xml:space="preserve"> 1 to 4 years.  (Baseline: 2</w:t>
            </w:r>
            <w:r>
              <w:rPr>
                <w:rFonts w:ascii="Arial" w:hAnsi="Arial" w:cs="Arial"/>
                <w:noProof/>
                <w:sz w:val="20"/>
                <w:szCs w:val="20"/>
              </w:rPr>
              <w:t>9.4</w:t>
            </w:r>
            <w:r w:rsidRPr="00531366">
              <w:rPr>
                <w:rFonts w:ascii="Arial" w:hAnsi="Arial" w:cs="Arial"/>
                <w:noProof/>
                <w:sz w:val="20"/>
                <w:szCs w:val="20"/>
              </w:rPr>
              <w:t xml:space="preserve"> deaths among children </w:t>
            </w:r>
            <w:r>
              <w:rPr>
                <w:rFonts w:ascii="Arial" w:hAnsi="Arial" w:cs="Arial"/>
                <w:noProof/>
                <w:sz w:val="20"/>
                <w:szCs w:val="20"/>
              </w:rPr>
              <w:t>aged</w:t>
            </w:r>
            <w:r w:rsidRPr="00531366">
              <w:rPr>
                <w:rFonts w:ascii="Arial" w:hAnsi="Arial" w:cs="Arial"/>
                <w:noProof/>
                <w:sz w:val="20"/>
                <w:szCs w:val="20"/>
              </w:rPr>
              <w:t xml:space="preserve"> 1 to 4 years per 100,000 population occurred in 2007, Target: 2</w:t>
            </w:r>
            <w:r>
              <w:rPr>
                <w:rFonts w:ascii="Arial" w:hAnsi="Arial" w:cs="Arial"/>
                <w:noProof/>
                <w:sz w:val="20"/>
                <w:szCs w:val="20"/>
              </w:rPr>
              <w:t>6.</w:t>
            </w:r>
            <w:r w:rsidRPr="00531366">
              <w:rPr>
                <w:rFonts w:ascii="Arial" w:hAnsi="Arial" w:cs="Arial"/>
                <w:noProof/>
                <w:sz w:val="20"/>
                <w:szCs w:val="20"/>
              </w:rPr>
              <w:t>5 deaths per 100,000 population)</w:t>
            </w:r>
          </w:p>
          <w:p w14:paraId="2190DFD7" w14:textId="77777777" w:rsidR="0007198D" w:rsidRPr="00531366" w:rsidRDefault="0007198D" w:rsidP="000C7A5D">
            <w:pPr>
              <w:spacing w:after="0" w:line="240" w:lineRule="auto"/>
              <w:rPr>
                <w:rFonts w:ascii="Arial" w:hAnsi="Arial" w:cs="Arial"/>
                <w:noProof/>
                <w:sz w:val="20"/>
                <w:szCs w:val="20"/>
              </w:rPr>
            </w:pPr>
          </w:p>
          <w:p w14:paraId="4DE7F80F" w14:textId="77777777" w:rsidR="0007198D" w:rsidRPr="00531366" w:rsidRDefault="0007198D" w:rsidP="000C7A5D">
            <w:pPr>
              <w:spacing w:after="0" w:line="240" w:lineRule="auto"/>
              <w:rPr>
                <w:rFonts w:ascii="Arial" w:hAnsi="Arial" w:cs="Arial"/>
                <w:noProof/>
                <w:sz w:val="20"/>
                <w:szCs w:val="20"/>
              </w:rPr>
            </w:pPr>
            <w:r w:rsidRPr="00531366">
              <w:rPr>
                <w:rFonts w:ascii="Arial" w:hAnsi="Arial" w:cs="Arial"/>
                <w:noProof/>
                <w:sz w:val="20"/>
                <w:szCs w:val="20"/>
              </w:rPr>
              <w:t xml:space="preserve">Related to Objective Maternal, Infant, and Child Health (MICH) 3.2: Reduce the rate of child deaths </w:t>
            </w:r>
            <w:r>
              <w:rPr>
                <w:rFonts w:ascii="Arial" w:hAnsi="Arial" w:cs="Arial"/>
                <w:noProof/>
                <w:sz w:val="20"/>
                <w:szCs w:val="20"/>
              </w:rPr>
              <w:t>aged</w:t>
            </w:r>
            <w:r w:rsidRPr="00531366">
              <w:rPr>
                <w:rFonts w:ascii="Arial" w:hAnsi="Arial" w:cs="Arial"/>
                <w:noProof/>
                <w:sz w:val="20"/>
                <w:szCs w:val="20"/>
              </w:rPr>
              <w:t xml:space="preserve"> 5 to 9 years.  (Baseline: 13.</w:t>
            </w:r>
            <w:r>
              <w:rPr>
                <w:rFonts w:ascii="Arial" w:hAnsi="Arial" w:cs="Arial"/>
                <w:noProof/>
                <w:sz w:val="20"/>
                <w:szCs w:val="20"/>
              </w:rPr>
              <w:t>8</w:t>
            </w:r>
            <w:r w:rsidRPr="00531366">
              <w:rPr>
                <w:rFonts w:ascii="Arial" w:hAnsi="Arial" w:cs="Arial"/>
                <w:noProof/>
                <w:sz w:val="20"/>
                <w:szCs w:val="20"/>
              </w:rPr>
              <w:t xml:space="preserve"> deaths among children </w:t>
            </w:r>
            <w:r>
              <w:rPr>
                <w:rFonts w:ascii="Arial" w:hAnsi="Arial" w:cs="Arial"/>
                <w:noProof/>
                <w:sz w:val="20"/>
                <w:szCs w:val="20"/>
              </w:rPr>
              <w:t>aged</w:t>
            </w:r>
            <w:r w:rsidRPr="00531366">
              <w:rPr>
                <w:rFonts w:ascii="Arial" w:hAnsi="Arial" w:cs="Arial"/>
                <w:noProof/>
                <w:sz w:val="20"/>
                <w:szCs w:val="20"/>
              </w:rPr>
              <w:t xml:space="preserve"> 5 to 9 years per 100,000 population occurred in 2007,  Target: 12.</w:t>
            </w:r>
            <w:r>
              <w:rPr>
                <w:rFonts w:ascii="Arial" w:hAnsi="Arial" w:cs="Arial"/>
                <w:noProof/>
                <w:sz w:val="20"/>
                <w:szCs w:val="20"/>
              </w:rPr>
              <w:t xml:space="preserve">4 </w:t>
            </w:r>
            <w:r w:rsidRPr="00531366">
              <w:rPr>
                <w:rFonts w:ascii="Arial" w:hAnsi="Arial" w:cs="Arial"/>
                <w:noProof/>
                <w:sz w:val="20"/>
                <w:szCs w:val="20"/>
              </w:rPr>
              <w:t>deaths per 100,000 population)</w:t>
            </w:r>
          </w:p>
          <w:p w14:paraId="572446F1" w14:textId="77777777" w:rsidR="0007198D" w:rsidRPr="00531366" w:rsidRDefault="0007198D" w:rsidP="000C7A5D">
            <w:pPr>
              <w:spacing w:after="0" w:line="240" w:lineRule="auto"/>
              <w:rPr>
                <w:rFonts w:ascii="Arial" w:hAnsi="Arial" w:cs="Arial"/>
                <w:sz w:val="20"/>
                <w:szCs w:val="20"/>
              </w:rPr>
            </w:pPr>
          </w:p>
        </w:tc>
      </w:tr>
      <w:tr w:rsidR="0007198D" w:rsidRPr="00515E1C" w14:paraId="0E8873C1" w14:textId="77777777" w:rsidTr="000C7A5D">
        <w:tc>
          <w:tcPr>
            <w:tcW w:w="3600" w:type="dxa"/>
            <w:shd w:val="clear" w:color="auto" w:fill="auto"/>
          </w:tcPr>
          <w:p w14:paraId="2F566C61" w14:textId="77777777" w:rsidR="0007198D" w:rsidRPr="00531366" w:rsidRDefault="0007198D" w:rsidP="000C7A5D">
            <w:pPr>
              <w:spacing w:after="0" w:line="240" w:lineRule="auto"/>
              <w:rPr>
                <w:rFonts w:ascii="Arial" w:hAnsi="Arial" w:cs="Arial"/>
                <w:b/>
                <w:sz w:val="20"/>
                <w:szCs w:val="20"/>
              </w:rPr>
            </w:pPr>
          </w:p>
        </w:tc>
        <w:tc>
          <w:tcPr>
            <w:tcW w:w="5893" w:type="dxa"/>
            <w:gridSpan w:val="2"/>
            <w:shd w:val="clear" w:color="auto" w:fill="auto"/>
          </w:tcPr>
          <w:p w14:paraId="21888CA6" w14:textId="77777777" w:rsidR="0007198D" w:rsidRPr="00531366" w:rsidRDefault="0007198D" w:rsidP="000C7A5D">
            <w:pPr>
              <w:spacing w:after="0" w:line="240" w:lineRule="auto"/>
              <w:rPr>
                <w:rFonts w:ascii="Arial" w:hAnsi="Arial" w:cs="Arial"/>
                <w:sz w:val="20"/>
                <w:szCs w:val="20"/>
              </w:rPr>
            </w:pPr>
          </w:p>
        </w:tc>
      </w:tr>
      <w:tr w:rsidR="0007198D" w:rsidRPr="00515E1C" w14:paraId="5EFD9F89" w14:textId="77777777" w:rsidTr="000C7A5D">
        <w:tc>
          <w:tcPr>
            <w:tcW w:w="3600" w:type="dxa"/>
            <w:shd w:val="clear" w:color="auto" w:fill="auto"/>
          </w:tcPr>
          <w:p w14:paraId="23CD767A"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DATA SOURCES and DATA ISSUES</w:t>
            </w:r>
          </w:p>
        </w:tc>
        <w:tc>
          <w:tcPr>
            <w:tcW w:w="5893" w:type="dxa"/>
            <w:gridSpan w:val="2"/>
            <w:shd w:val="clear" w:color="auto" w:fill="auto"/>
          </w:tcPr>
          <w:p w14:paraId="1C46E51D" w14:textId="77777777" w:rsidR="0007198D" w:rsidRDefault="0007198D" w:rsidP="000C7A5D">
            <w:pPr>
              <w:spacing w:after="0" w:line="240" w:lineRule="auto"/>
              <w:rPr>
                <w:rFonts w:ascii="Arial" w:hAnsi="Arial" w:cs="Arial"/>
                <w:noProof/>
                <w:sz w:val="20"/>
                <w:szCs w:val="20"/>
              </w:rPr>
            </w:pPr>
            <w:r>
              <w:rPr>
                <w:rFonts w:ascii="Arial" w:hAnsi="Arial" w:cs="Arial"/>
                <w:noProof/>
                <w:sz w:val="20"/>
                <w:szCs w:val="20"/>
              </w:rPr>
              <w:t>National Vital Statistics System (</w:t>
            </w:r>
            <w:r w:rsidRPr="00531366">
              <w:rPr>
                <w:rFonts w:ascii="Arial" w:hAnsi="Arial" w:cs="Arial"/>
                <w:noProof/>
                <w:sz w:val="20"/>
                <w:szCs w:val="20"/>
              </w:rPr>
              <w:t>NVSS</w:t>
            </w:r>
            <w:r>
              <w:rPr>
                <w:rFonts w:ascii="Arial" w:hAnsi="Arial" w:cs="Arial"/>
                <w:noProof/>
                <w:sz w:val="20"/>
                <w:szCs w:val="20"/>
              </w:rPr>
              <w:t>)</w:t>
            </w:r>
            <w:r w:rsidRPr="00531366">
              <w:rPr>
                <w:rFonts w:ascii="Arial" w:hAnsi="Arial" w:cs="Arial"/>
                <w:noProof/>
                <w:sz w:val="20"/>
                <w:szCs w:val="20"/>
              </w:rPr>
              <w:t xml:space="preserve">  </w:t>
            </w:r>
          </w:p>
          <w:p w14:paraId="66D04540" w14:textId="77777777" w:rsidR="0007198D" w:rsidRPr="00531366" w:rsidRDefault="0007198D" w:rsidP="000C7A5D">
            <w:pPr>
              <w:spacing w:after="0" w:line="240" w:lineRule="auto"/>
              <w:rPr>
                <w:rFonts w:ascii="Arial" w:hAnsi="Arial" w:cs="Arial"/>
                <w:sz w:val="20"/>
                <w:szCs w:val="20"/>
              </w:rPr>
            </w:pPr>
            <w:r>
              <w:rPr>
                <w:rFonts w:ascii="Arial" w:hAnsi="Arial" w:cs="Arial"/>
                <w:noProof/>
                <w:sz w:val="20"/>
                <w:szCs w:val="20"/>
              </w:rPr>
              <w:t>Population estimates</w:t>
            </w:r>
            <w:r w:rsidRPr="00531366">
              <w:rPr>
                <w:rFonts w:ascii="Arial" w:hAnsi="Arial" w:cs="Arial"/>
                <w:noProof/>
                <w:sz w:val="20"/>
                <w:szCs w:val="20"/>
              </w:rPr>
              <w:t xml:space="preserve"> come from the U.S. Census Bureau</w:t>
            </w:r>
          </w:p>
        </w:tc>
      </w:tr>
      <w:tr w:rsidR="0007198D" w:rsidRPr="00515E1C" w14:paraId="1BDEDDBD" w14:textId="77777777" w:rsidTr="000C7A5D">
        <w:tc>
          <w:tcPr>
            <w:tcW w:w="3600" w:type="dxa"/>
            <w:shd w:val="clear" w:color="auto" w:fill="auto"/>
          </w:tcPr>
          <w:p w14:paraId="42DE2B34" w14:textId="77777777" w:rsidR="0007198D" w:rsidRPr="00531366" w:rsidRDefault="0007198D" w:rsidP="000C7A5D">
            <w:pPr>
              <w:spacing w:after="0" w:line="240" w:lineRule="auto"/>
              <w:rPr>
                <w:rFonts w:ascii="Arial" w:hAnsi="Arial" w:cs="Arial"/>
                <w:b/>
                <w:sz w:val="20"/>
                <w:szCs w:val="20"/>
              </w:rPr>
            </w:pPr>
          </w:p>
        </w:tc>
        <w:tc>
          <w:tcPr>
            <w:tcW w:w="5893" w:type="dxa"/>
            <w:gridSpan w:val="2"/>
            <w:shd w:val="clear" w:color="auto" w:fill="auto"/>
          </w:tcPr>
          <w:p w14:paraId="602C3AF6" w14:textId="77777777" w:rsidR="0007198D" w:rsidRPr="00531366" w:rsidRDefault="0007198D" w:rsidP="000C7A5D">
            <w:pPr>
              <w:spacing w:after="0" w:line="240" w:lineRule="auto"/>
              <w:rPr>
                <w:rFonts w:ascii="Arial" w:hAnsi="Arial" w:cs="Arial"/>
                <w:sz w:val="20"/>
                <w:szCs w:val="20"/>
              </w:rPr>
            </w:pPr>
          </w:p>
        </w:tc>
      </w:tr>
      <w:tr w:rsidR="0007198D" w:rsidRPr="00515E1C" w14:paraId="7AD8C36F" w14:textId="77777777" w:rsidTr="000C7A5D">
        <w:tc>
          <w:tcPr>
            <w:tcW w:w="3600" w:type="dxa"/>
            <w:shd w:val="clear" w:color="auto" w:fill="auto"/>
          </w:tcPr>
          <w:p w14:paraId="4FED647D"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SIGNIFICANCE</w:t>
            </w:r>
          </w:p>
        </w:tc>
        <w:tc>
          <w:tcPr>
            <w:tcW w:w="5893" w:type="dxa"/>
            <w:gridSpan w:val="2"/>
            <w:shd w:val="clear" w:color="auto" w:fill="auto"/>
          </w:tcPr>
          <w:p w14:paraId="6134FE87" w14:textId="77777777" w:rsidR="0007198D" w:rsidRDefault="0007198D" w:rsidP="000C7A5D">
            <w:pPr>
              <w:spacing w:after="0" w:line="240" w:lineRule="auto"/>
              <w:rPr>
                <w:rFonts w:ascii="Arial" w:hAnsi="Arial" w:cs="Arial"/>
                <w:noProof/>
                <w:sz w:val="20"/>
                <w:szCs w:val="20"/>
              </w:rPr>
            </w:pPr>
            <w:r>
              <w:rPr>
                <w:rFonts w:ascii="Arial" w:hAnsi="Arial" w:cs="Arial"/>
                <w:noProof/>
                <w:sz w:val="20"/>
                <w:szCs w:val="20"/>
              </w:rPr>
              <w:t xml:space="preserve">Although the risk of death for children declines sharply beyond infancy, there were still over 6,000 deaths among U.S. children ages 1 through 9 in 2014.  </w:t>
            </w:r>
            <w:r w:rsidRPr="00531366">
              <w:rPr>
                <w:rFonts w:ascii="Arial" w:hAnsi="Arial" w:cs="Arial"/>
                <w:noProof/>
                <w:sz w:val="20"/>
                <w:szCs w:val="20"/>
              </w:rPr>
              <w:t xml:space="preserve">Unintentional injury continues to be the leading cause of death in children 1 to </w:t>
            </w:r>
            <w:r>
              <w:rPr>
                <w:rFonts w:ascii="Arial" w:hAnsi="Arial" w:cs="Arial"/>
                <w:noProof/>
                <w:sz w:val="20"/>
                <w:szCs w:val="20"/>
              </w:rPr>
              <w:t>9</w:t>
            </w:r>
            <w:r w:rsidRPr="00531366">
              <w:rPr>
                <w:rFonts w:ascii="Arial" w:hAnsi="Arial" w:cs="Arial"/>
                <w:noProof/>
                <w:sz w:val="20"/>
                <w:szCs w:val="20"/>
              </w:rPr>
              <w:t xml:space="preserve"> years.  </w:t>
            </w:r>
            <w:r>
              <w:rPr>
                <w:rFonts w:ascii="Arial" w:hAnsi="Arial" w:cs="Arial"/>
                <w:noProof/>
                <w:sz w:val="20"/>
                <w:szCs w:val="20"/>
              </w:rPr>
              <w:t xml:space="preserve">Other leading causes include congenital malformations, malignant neoplasms, and homicide.  </w:t>
            </w:r>
          </w:p>
          <w:p w14:paraId="49156931" w14:textId="77777777" w:rsidR="0007198D" w:rsidRDefault="0007198D" w:rsidP="000C7A5D">
            <w:pPr>
              <w:spacing w:after="0" w:line="240" w:lineRule="auto"/>
              <w:rPr>
                <w:rFonts w:ascii="Arial" w:hAnsi="Arial" w:cs="Arial"/>
                <w:noProof/>
                <w:sz w:val="20"/>
                <w:szCs w:val="20"/>
              </w:rPr>
            </w:pPr>
          </w:p>
          <w:p w14:paraId="55716912" w14:textId="77777777" w:rsidR="0007198D" w:rsidRPr="00531366" w:rsidRDefault="0007198D" w:rsidP="000C7A5D">
            <w:pPr>
              <w:spacing w:after="0" w:line="240" w:lineRule="auto"/>
              <w:rPr>
                <w:rFonts w:ascii="Arial" w:hAnsi="Arial" w:cs="Arial"/>
                <w:sz w:val="20"/>
                <w:szCs w:val="20"/>
              </w:rPr>
            </w:pPr>
            <w:r>
              <w:rPr>
                <w:rFonts w:ascii="Arial" w:hAnsi="Arial" w:cs="Arial"/>
                <w:noProof/>
                <w:sz w:val="20"/>
                <w:szCs w:val="20"/>
              </w:rPr>
              <w:t xml:space="preserve">Heron M. Deaths: Leading Causes for 2014. National Vital Statistics Reports. 2016 June 30. 65(5). </w:t>
            </w:r>
            <w:hyperlink r:id="rId102" w:history="1">
              <w:r w:rsidRPr="005E5676">
                <w:rPr>
                  <w:rStyle w:val="Hyperlink"/>
                  <w:rFonts w:ascii="Arial" w:hAnsi="Arial" w:cs="Arial"/>
                  <w:noProof/>
                  <w:sz w:val="20"/>
                  <w:szCs w:val="20"/>
                </w:rPr>
                <w:t>https://www.cdc.gov/nchs/data/nvsr/nvsr65/nvsr65_05.pdf</w:t>
              </w:r>
            </w:hyperlink>
            <w:r>
              <w:rPr>
                <w:rFonts w:ascii="Arial" w:hAnsi="Arial" w:cs="Arial"/>
                <w:noProof/>
                <w:sz w:val="20"/>
                <w:szCs w:val="20"/>
              </w:rPr>
              <w:t xml:space="preserve">  </w:t>
            </w:r>
          </w:p>
        </w:tc>
      </w:tr>
      <w:tr w:rsidR="0007198D" w:rsidRPr="00515E1C" w14:paraId="60C9DB3B" w14:textId="77777777" w:rsidTr="000C7A5D">
        <w:tc>
          <w:tcPr>
            <w:tcW w:w="3600" w:type="dxa"/>
            <w:shd w:val="clear" w:color="auto" w:fill="auto"/>
          </w:tcPr>
          <w:p w14:paraId="68CE68BE" w14:textId="77777777" w:rsidR="0007198D" w:rsidRPr="00531366" w:rsidRDefault="0007198D" w:rsidP="000C7A5D">
            <w:pPr>
              <w:spacing w:after="0" w:line="240" w:lineRule="auto"/>
              <w:rPr>
                <w:rFonts w:ascii="Arial" w:hAnsi="Arial" w:cs="Arial"/>
                <w:sz w:val="20"/>
                <w:szCs w:val="20"/>
              </w:rPr>
            </w:pPr>
          </w:p>
        </w:tc>
        <w:tc>
          <w:tcPr>
            <w:tcW w:w="5893" w:type="dxa"/>
            <w:gridSpan w:val="2"/>
            <w:shd w:val="clear" w:color="auto" w:fill="auto"/>
          </w:tcPr>
          <w:p w14:paraId="51951EC2" w14:textId="77777777" w:rsidR="0007198D" w:rsidRPr="00531366" w:rsidRDefault="0007198D" w:rsidP="000C7A5D">
            <w:pPr>
              <w:spacing w:after="0" w:line="240" w:lineRule="auto"/>
              <w:rPr>
                <w:rFonts w:ascii="Arial" w:hAnsi="Arial" w:cs="Arial"/>
                <w:sz w:val="20"/>
                <w:szCs w:val="20"/>
              </w:rPr>
            </w:pPr>
          </w:p>
        </w:tc>
      </w:tr>
    </w:tbl>
    <w:p w14:paraId="3AEC4FB5" w14:textId="77777777" w:rsidR="0007198D" w:rsidRDefault="0007198D" w:rsidP="0007198D">
      <w:pPr>
        <w:spacing w:after="0" w:line="240" w:lineRule="auto"/>
        <w:sectPr w:rsidR="0007198D" w:rsidSect="008A00F6">
          <w:pgSz w:w="12240" w:h="15840"/>
          <w:pgMar w:top="1440" w:right="1440" w:bottom="1440" w:left="1440" w:header="720" w:footer="720" w:gutter="0"/>
          <w:cols w:space="720"/>
          <w:docGrid w:linePitch="360"/>
        </w:sectPr>
      </w:pPr>
    </w:p>
    <w:tbl>
      <w:tblPr>
        <w:tblW w:w="0" w:type="auto"/>
        <w:tblLook w:val="04A0" w:firstRow="1" w:lastRow="0" w:firstColumn="1" w:lastColumn="0" w:noHBand="0" w:noVBand="1"/>
      </w:tblPr>
      <w:tblGrid>
        <w:gridCol w:w="3618"/>
        <w:gridCol w:w="5868"/>
      </w:tblGrid>
      <w:tr w:rsidR="0007198D" w:rsidRPr="003F48A1" w14:paraId="5A3E3FDC" w14:textId="77777777" w:rsidTr="000C7A5D">
        <w:tc>
          <w:tcPr>
            <w:tcW w:w="3618" w:type="dxa"/>
            <w:shd w:val="clear" w:color="auto" w:fill="auto"/>
          </w:tcPr>
          <w:p w14:paraId="16BAB477" w14:textId="77777777" w:rsidR="0007198D" w:rsidRPr="00531366" w:rsidRDefault="0007198D" w:rsidP="000C7A5D">
            <w:pPr>
              <w:spacing w:after="0" w:line="240" w:lineRule="auto"/>
              <w:rPr>
                <w:rFonts w:ascii="Arial" w:hAnsi="Arial" w:cs="Arial"/>
                <w:b/>
                <w:sz w:val="24"/>
                <w:szCs w:val="24"/>
              </w:rPr>
            </w:pPr>
            <w:r w:rsidRPr="00531366">
              <w:rPr>
                <w:rFonts w:ascii="Arial" w:hAnsi="Arial" w:cs="Arial"/>
                <w:b/>
                <w:sz w:val="24"/>
                <w:szCs w:val="24"/>
              </w:rPr>
              <w:t xml:space="preserve">OUTCOME MEASURE </w:t>
            </w:r>
            <w:r>
              <w:rPr>
                <w:rFonts w:ascii="Arial" w:hAnsi="Arial" w:cs="Arial"/>
                <w:b/>
                <w:noProof/>
                <w:sz w:val="24"/>
                <w:szCs w:val="24"/>
              </w:rPr>
              <w:t>16.1</w:t>
            </w:r>
          </w:p>
        </w:tc>
        <w:tc>
          <w:tcPr>
            <w:tcW w:w="5868" w:type="dxa"/>
            <w:shd w:val="clear" w:color="auto" w:fill="auto"/>
          </w:tcPr>
          <w:p w14:paraId="13A9E750" w14:textId="3E6778A3" w:rsidR="0007198D" w:rsidRDefault="0007198D" w:rsidP="000C7A5D">
            <w:pPr>
              <w:spacing w:after="0" w:line="240" w:lineRule="auto"/>
              <w:rPr>
                <w:rFonts w:ascii="Arial" w:hAnsi="Arial" w:cs="Arial"/>
                <w:b/>
                <w:noProof/>
                <w:sz w:val="24"/>
                <w:szCs w:val="24"/>
              </w:rPr>
            </w:pPr>
            <w:r>
              <w:rPr>
                <w:rFonts w:ascii="Arial" w:hAnsi="Arial" w:cs="Arial"/>
                <w:b/>
                <w:noProof/>
                <w:sz w:val="24"/>
                <w:szCs w:val="24"/>
              </w:rPr>
              <w:t>Adolescent mortality rate</w:t>
            </w:r>
            <w:r w:rsidR="000A10EE">
              <w:rPr>
                <w:rFonts w:ascii="Arial" w:hAnsi="Arial" w:cs="Arial"/>
                <w:b/>
                <w:noProof/>
                <w:sz w:val="24"/>
                <w:szCs w:val="24"/>
              </w:rPr>
              <w:t>,</w:t>
            </w:r>
            <w:r w:rsidRPr="00531366">
              <w:rPr>
                <w:rFonts w:ascii="Arial" w:hAnsi="Arial" w:cs="Arial"/>
                <w:b/>
                <w:noProof/>
                <w:sz w:val="24"/>
                <w:szCs w:val="24"/>
              </w:rPr>
              <w:t xml:space="preserve"> age</w:t>
            </w:r>
            <w:r>
              <w:rPr>
                <w:rFonts w:ascii="Arial" w:hAnsi="Arial" w:cs="Arial"/>
                <w:b/>
                <w:noProof/>
                <w:sz w:val="24"/>
                <w:szCs w:val="24"/>
              </w:rPr>
              <w:t>s</w:t>
            </w:r>
            <w:r w:rsidRPr="00531366">
              <w:rPr>
                <w:rFonts w:ascii="Arial" w:hAnsi="Arial" w:cs="Arial"/>
                <w:b/>
                <w:noProof/>
                <w:sz w:val="24"/>
                <w:szCs w:val="24"/>
              </w:rPr>
              <w:t xml:space="preserve"> 10</w:t>
            </w:r>
            <w:r>
              <w:rPr>
                <w:rFonts w:ascii="Arial" w:hAnsi="Arial" w:cs="Arial"/>
                <w:b/>
                <w:noProof/>
                <w:sz w:val="24"/>
                <w:szCs w:val="24"/>
              </w:rPr>
              <w:t xml:space="preserve"> through </w:t>
            </w:r>
            <w:r w:rsidRPr="00531366">
              <w:rPr>
                <w:rFonts w:ascii="Arial" w:hAnsi="Arial" w:cs="Arial"/>
                <w:b/>
                <w:noProof/>
                <w:sz w:val="24"/>
                <w:szCs w:val="24"/>
              </w:rPr>
              <w:t>19</w:t>
            </w:r>
            <w:r w:rsidR="000A10EE">
              <w:rPr>
                <w:rFonts w:ascii="Arial" w:hAnsi="Arial" w:cs="Arial"/>
                <w:b/>
                <w:noProof/>
                <w:sz w:val="24"/>
                <w:szCs w:val="24"/>
              </w:rPr>
              <w:t>,</w:t>
            </w:r>
            <w:r w:rsidRPr="00531366">
              <w:rPr>
                <w:rFonts w:ascii="Arial" w:hAnsi="Arial" w:cs="Arial"/>
                <w:b/>
                <w:noProof/>
                <w:sz w:val="24"/>
                <w:szCs w:val="24"/>
              </w:rPr>
              <w:t xml:space="preserve"> per 100,000</w:t>
            </w:r>
          </w:p>
          <w:p w14:paraId="781BB6BC" w14:textId="77777777" w:rsidR="0007198D" w:rsidRPr="00531366" w:rsidRDefault="0007198D" w:rsidP="000C7A5D">
            <w:pPr>
              <w:spacing w:after="0" w:line="240" w:lineRule="auto"/>
              <w:rPr>
                <w:rFonts w:ascii="Arial" w:hAnsi="Arial" w:cs="Arial"/>
                <w:b/>
                <w:sz w:val="24"/>
                <w:szCs w:val="24"/>
              </w:rPr>
            </w:pPr>
          </w:p>
        </w:tc>
      </w:tr>
    </w:tbl>
    <w:p w14:paraId="2124B49D" w14:textId="77777777" w:rsidR="0007198D" w:rsidRDefault="0007198D" w:rsidP="0007198D">
      <w:pPr>
        <w:spacing w:after="0" w:line="240" w:lineRule="auto"/>
      </w:pPr>
      <w:r>
        <w:rPr>
          <w:noProof/>
        </w:rPr>
        <mc:AlternateContent>
          <mc:Choice Requires="wps">
            <w:drawing>
              <wp:anchor distT="4294967295" distB="4294967295" distL="114300" distR="114300" simplePos="0" relativeHeight="251766784" behindDoc="0" locked="0" layoutInCell="1" allowOverlap="1" wp14:anchorId="723C814E" wp14:editId="16397B09">
                <wp:simplePos x="0" y="0"/>
                <wp:positionH relativeFrom="column">
                  <wp:posOffset>-60960</wp:posOffset>
                </wp:positionH>
                <wp:positionV relativeFrom="paragraph">
                  <wp:posOffset>31749</wp:posOffset>
                </wp:positionV>
                <wp:extent cx="6088380" cy="0"/>
                <wp:effectExtent l="0" t="0" r="2667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38CA310" id="Straight Connector 25" o:spid="_x0000_s1026" style="position:absolute;z-index:251766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" strokecolor="windowText" strokeweight="1.75pt">
                <o:lock v:ext="edit" shapetype="f"/>
              </v:line>
            </w:pict>
          </mc:Fallback>
        </mc:AlternateContent>
      </w:r>
    </w:p>
    <w:tbl>
      <w:tblPr>
        <w:tblW w:w="0" w:type="auto"/>
        <w:tblLook w:val="04A0" w:firstRow="1" w:lastRow="0" w:firstColumn="1" w:lastColumn="0" w:noHBand="0" w:noVBand="1"/>
      </w:tblPr>
      <w:tblGrid>
        <w:gridCol w:w="3618"/>
        <w:gridCol w:w="3384"/>
        <w:gridCol w:w="2556"/>
      </w:tblGrid>
      <w:tr w:rsidR="0007198D" w:rsidRPr="00515E1C" w14:paraId="433D7B01" w14:textId="77777777" w:rsidTr="000C7A5D">
        <w:tc>
          <w:tcPr>
            <w:tcW w:w="3618" w:type="dxa"/>
            <w:shd w:val="clear" w:color="auto" w:fill="auto"/>
          </w:tcPr>
          <w:p w14:paraId="1831AEC6"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GOAL</w:t>
            </w:r>
          </w:p>
        </w:tc>
        <w:tc>
          <w:tcPr>
            <w:tcW w:w="5940" w:type="dxa"/>
            <w:gridSpan w:val="2"/>
            <w:shd w:val="clear" w:color="auto" w:fill="auto"/>
          </w:tcPr>
          <w:p w14:paraId="450A9D33"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noProof/>
                <w:sz w:val="20"/>
                <w:szCs w:val="20"/>
              </w:rPr>
              <w:t>To reduce the death rate of adolescents age</w:t>
            </w:r>
            <w:r>
              <w:rPr>
                <w:rFonts w:ascii="Arial" w:hAnsi="Arial" w:cs="Arial"/>
                <w:noProof/>
                <w:sz w:val="20"/>
                <w:szCs w:val="20"/>
              </w:rPr>
              <w:t>s</w:t>
            </w:r>
            <w:r w:rsidRPr="00531366">
              <w:rPr>
                <w:rFonts w:ascii="Arial" w:hAnsi="Arial" w:cs="Arial"/>
                <w:noProof/>
                <w:sz w:val="20"/>
                <w:szCs w:val="20"/>
              </w:rPr>
              <w:t xml:space="preserve"> 10</w:t>
            </w:r>
            <w:r>
              <w:rPr>
                <w:rFonts w:ascii="Arial" w:hAnsi="Arial" w:cs="Arial"/>
                <w:noProof/>
                <w:sz w:val="20"/>
                <w:szCs w:val="20"/>
              </w:rPr>
              <w:t xml:space="preserve"> through </w:t>
            </w:r>
            <w:r w:rsidRPr="00531366">
              <w:rPr>
                <w:rFonts w:ascii="Arial" w:hAnsi="Arial" w:cs="Arial"/>
                <w:noProof/>
                <w:sz w:val="20"/>
                <w:szCs w:val="20"/>
              </w:rPr>
              <w:t>19.</w:t>
            </w:r>
          </w:p>
        </w:tc>
      </w:tr>
      <w:tr w:rsidR="0007198D" w:rsidRPr="00515E1C" w14:paraId="126C9EFC" w14:textId="77777777" w:rsidTr="000C7A5D">
        <w:tc>
          <w:tcPr>
            <w:tcW w:w="3618" w:type="dxa"/>
            <w:shd w:val="clear" w:color="auto" w:fill="auto"/>
          </w:tcPr>
          <w:p w14:paraId="28A4A829"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4FD3FBB8" w14:textId="77777777" w:rsidR="0007198D" w:rsidRPr="00531366" w:rsidRDefault="0007198D" w:rsidP="000C7A5D">
            <w:pPr>
              <w:spacing w:after="0" w:line="240" w:lineRule="auto"/>
              <w:rPr>
                <w:rFonts w:ascii="Arial" w:hAnsi="Arial" w:cs="Arial"/>
                <w:sz w:val="20"/>
                <w:szCs w:val="20"/>
              </w:rPr>
            </w:pPr>
          </w:p>
        </w:tc>
      </w:tr>
      <w:tr w:rsidR="0007198D" w:rsidRPr="00515E1C" w14:paraId="2247C704" w14:textId="77777777" w:rsidTr="000C7A5D">
        <w:tc>
          <w:tcPr>
            <w:tcW w:w="3618" w:type="dxa"/>
            <w:shd w:val="clear" w:color="auto" w:fill="auto"/>
          </w:tcPr>
          <w:p w14:paraId="6C1BD48E"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DEFINITION</w:t>
            </w:r>
          </w:p>
        </w:tc>
        <w:tc>
          <w:tcPr>
            <w:tcW w:w="5940" w:type="dxa"/>
            <w:gridSpan w:val="2"/>
            <w:shd w:val="clear" w:color="auto" w:fill="auto"/>
          </w:tcPr>
          <w:p w14:paraId="02B62F78"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Numerator:</w:t>
            </w:r>
          </w:p>
        </w:tc>
      </w:tr>
      <w:tr w:rsidR="0007198D" w:rsidRPr="00515E1C" w14:paraId="3B273BA2" w14:textId="77777777" w:rsidTr="000C7A5D">
        <w:tc>
          <w:tcPr>
            <w:tcW w:w="3618" w:type="dxa"/>
            <w:shd w:val="clear" w:color="auto" w:fill="auto"/>
          </w:tcPr>
          <w:p w14:paraId="36AAB5AE"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4E089ACB"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noProof/>
                <w:sz w:val="20"/>
                <w:szCs w:val="20"/>
              </w:rPr>
              <w:t xml:space="preserve">Number of deaths among adolescents </w:t>
            </w:r>
            <w:r>
              <w:rPr>
                <w:rFonts w:ascii="Arial" w:hAnsi="Arial" w:cs="Arial"/>
                <w:noProof/>
                <w:sz w:val="20"/>
                <w:szCs w:val="20"/>
              </w:rPr>
              <w:t>ages</w:t>
            </w:r>
            <w:r w:rsidRPr="00531366">
              <w:rPr>
                <w:rFonts w:ascii="Arial" w:hAnsi="Arial" w:cs="Arial"/>
                <w:noProof/>
                <w:sz w:val="20"/>
                <w:szCs w:val="20"/>
              </w:rPr>
              <w:t xml:space="preserve"> 10 through 19 years</w:t>
            </w:r>
          </w:p>
        </w:tc>
      </w:tr>
      <w:tr w:rsidR="0007198D" w:rsidRPr="00515E1C" w14:paraId="2C196C8E" w14:textId="77777777" w:rsidTr="000C7A5D">
        <w:tc>
          <w:tcPr>
            <w:tcW w:w="3618" w:type="dxa"/>
            <w:shd w:val="clear" w:color="auto" w:fill="auto"/>
          </w:tcPr>
          <w:p w14:paraId="6B27802E"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656D45BE" w14:textId="77777777" w:rsidR="0007198D" w:rsidRPr="00531366" w:rsidRDefault="0007198D" w:rsidP="000C7A5D">
            <w:pPr>
              <w:spacing w:after="0" w:line="240" w:lineRule="auto"/>
              <w:rPr>
                <w:rFonts w:ascii="Arial" w:hAnsi="Arial" w:cs="Arial"/>
                <w:sz w:val="20"/>
                <w:szCs w:val="20"/>
              </w:rPr>
            </w:pPr>
          </w:p>
        </w:tc>
      </w:tr>
      <w:tr w:rsidR="0007198D" w:rsidRPr="00515E1C" w14:paraId="326C2E70" w14:textId="77777777" w:rsidTr="000C7A5D">
        <w:tc>
          <w:tcPr>
            <w:tcW w:w="3618" w:type="dxa"/>
            <w:shd w:val="clear" w:color="auto" w:fill="auto"/>
          </w:tcPr>
          <w:p w14:paraId="666657F4"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7F4919B5"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Denominator:</w:t>
            </w:r>
          </w:p>
        </w:tc>
      </w:tr>
      <w:tr w:rsidR="0007198D" w:rsidRPr="00515E1C" w14:paraId="5EA96AE5" w14:textId="77777777" w:rsidTr="000C7A5D">
        <w:tc>
          <w:tcPr>
            <w:tcW w:w="3618" w:type="dxa"/>
            <w:shd w:val="clear" w:color="auto" w:fill="auto"/>
          </w:tcPr>
          <w:p w14:paraId="7B3E57EC"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21C005C0"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noProof/>
                <w:sz w:val="20"/>
                <w:szCs w:val="20"/>
              </w:rPr>
              <w:t xml:space="preserve">Number of adolescents </w:t>
            </w:r>
            <w:r>
              <w:rPr>
                <w:rFonts w:ascii="Arial" w:hAnsi="Arial" w:cs="Arial"/>
                <w:noProof/>
                <w:sz w:val="20"/>
                <w:szCs w:val="20"/>
              </w:rPr>
              <w:t>ages</w:t>
            </w:r>
            <w:r w:rsidRPr="00531366">
              <w:rPr>
                <w:rFonts w:ascii="Arial" w:hAnsi="Arial" w:cs="Arial"/>
                <w:noProof/>
                <w:sz w:val="20"/>
                <w:szCs w:val="20"/>
              </w:rPr>
              <w:t xml:space="preserve"> 10 through 19</w:t>
            </w:r>
            <w:r>
              <w:rPr>
                <w:rFonts w:ascii="Arial" w:hAnsi="Arial" w:cs="Arial"/>
                <w:noProof/>
                <w:sz w:val="20"/>
                <w:szCs w:val="20"/>
              </w:rPr>
              <w:t xml:space="preserve"> years</w:t>
            </w:r>
          </w:p>
        </w:tc>
      </w:tr>
      <w:tr w:rsidR="0007198D" w:rsidRPr="00515E1C" w14:paraId="753F9723" w14:textId="77777777" w:rsidTr="000C7A5D">
        <w:tc>
          <w:tcPr>
            <w:tcW w:w="3618" w:type="dxa"/>
            <w:shd w:val="clear" w:color="auto" w:fill="auto"/>
          </w:tcPr>
          <w:p w14:paraId="2476AC5C"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77BEFEBD" w14:textId="77777777" w:rsidR="0007198D" w:rsidRPr="00531366" w:rsidRDefault="0007198D" w:rsidP="000C7A5D">
            <w:pPr>
              <w:spacing w:after="0" w:line="240" w:lineRule="auto"/>
              <w:rPr>
                <w:rFonts w:ascii="Arial" w:hAnsi="Arial" w:cs="Arial"/>
                <w:sz w:val="20"/>
                <w:szCs w:val="20"/>
              </w:rPr>
            </w:pPr>
          </w:p>
        </w:tc>
      </w:tr>
      <w:tr w:rsidR="0007198D" w:rsidRPr="00515E1C" w14:paraId="07B41688" w14:textId="77777777" w:rsidTr="000C7A5D">
        <w:tc>
          <w:tcPr>
            <w:tcW w:w="3618" w:type="dxa"/>
            <w:shd w:val="clear" w:color="auto" w:fill="auto"/>
          </w:tcPr>
          <w:p w14:paraId="23960AEF" w14:textId="77777777" w:rsidR="0007198D" w:rsidRPr="00531366" w:rsidRDefault="0007198D" w:rsidP="000C7A5D">
            <w:pPr>
              <w:spacing w:after="0" w:line="240" w:lineRule="auto"/>
              <w:rPr>
                <w:rFonts w:ascii="Arial" w:hAnsi="Arial" w:cs="Arial"/>
                <w:b/>
                <w:sz w:val="20"/>
                <w:szCs w:val="20"/>
              </w:rPr>
            </w:pPr>
          </w:p>
        </w:tc>
        <w:tc>
          <w:tcPr>
            <w:tcW w:w="3384" w:type="dxa"/>
            <w:shd w:val="clear" w:color="auto" w:fill="auto"/>
          </w:tcPr>
          <w:p w14:paraId="4E2E37FC"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b/>
                <w:sz w:val="20"/>
                <w:szCs w:val="20"/>
              </w:rPr>
              <w:t>Units:</w:t>
            </w:r>
            <w:r w:rsidRPr="00531366">
              <w:rPr>
                <w:rFonts w:ascii="Arial" w:hAnsi="Arial" w:cs="Arial"/>
                <w:sz w:val="20"/>
                <w:szCs w:val="20"/>
              </w:rPr>
              <w:t xml:space="preserve"> </w:t>
            </w:r>
            <w:r w:rsidRPr="00531366">
              <w:rPr>
                <w:rFonts w:ascii="Arial" w:hAnsi="Arial" w:cs="Arial"/>
                <w:noProof/>
                <w:sz w:val="20"/>
                <w:szCs w:val="20"/>
              </w:rPr>
              <w:t>100,000</w:t>
            </w:r>
          </w:p>
        </w:tc>
        <w:tc>
          <w:tcPr>
            <w:tcW w:w="2556" w:type="dxa"/>
            <w:shd w:val="clear" w:color="auto" w:fill="auto"/>
          </w:tcPr>
          <w:p w14:paraId="5E268B1F"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b/>
                <w:sz w:val="20"/>
                <w:szCs w:val="20"/>
              </w:rPr>
              <w:t>Text:</w:t>
            </w:r>
            <w:r w:rsidRPr="00531366">
              <w:rPr>
                <w:rFonts w:ascii="Arial" w:hAnsi="Arial" w:cs="Arial"/>
                <w:sz w:val="20"/>
                <w:szCs w:val="20"/>
              </w:rPr>
              <w:t xml:space="preserve"> </w:t>
            </w:r>
            <w:r w:rsidRPr="00531366">
              <w:rPr>
                <w:rFonts w:ascii="Arial" w:hAnsi="Arial" w:cs="Arial"/>
                <w:noProof/>
                <w:sz w:val="20"/>
                <w:szCs w:val="20"/>
              </w:rPr>
              <w:t>Rate</w:t>
            </w:r>
          </w:p>
        </w:tc>
      </w:tr>
      <w:tr w:rsidR="0007198D" w:rsidRPr="00515E1C" w14:paraId="75D1A435" w14:textId="77777777" w:rsidTr="000C7A5D">
        <w:tc>
          <w:tcPr>
            <w:tcW w:w="3618" w:type="dxa"/>
            <w:shd w:val="clear" w:color="auto" w:fill="auto"/>
          </w:tcPr>
          <w:p w14:paraId="22D112F6"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49D119A5" w14:textId="77777777" w:rsidR="0007198D" w:rsidRPr="00531366" w:rsidRDefault="0007198D" w:rsidP="000C7A5D">
            <w:pPr>
              <w:spacing w:after="0" w:line="240" w:lineRule="auto"/>
              <w:rPr>
                <w:rFonts w:ascii="Arial" w:hAnsi="Arial" w:cs="Arial"/>
                <w:sz w:val="20"/>
                <w:szCs w:val="20"/>
              </w:rPr>
            </w:pPr>
          </w:p>
        </w:tc>
      </w:tr>
      <w:tr w:rsidR="0007198D" w:rsidRPr="00515E1C" w14:paraId="2B467513" w14:textId="77777777" w:rsidTr="000C7A5D">
        <w:tc>
          <w:tcPr>
            <w:tcW w:w="3618" w:type="dxa"/>
            <w:shd w:val="clear" w:color="auto" w:fill="auto"/>
          </w:tcPr>
          <w:p w14:paraId="06957A39"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HEALTHY PEOPLE 2020 OBJECTIVE</w:t>
            </w:r>
          </w:p>
        </w:tc>
        <w:tc>
          <w:tcPr>
            <w:tcW w:w="5940" w:type="dxa"/>
            <w:gridSpan w:val="2"/>
            <w:shd w:val="clear" w:color="auto" w:fill="auto"/>
          </w:tcPr>
          <w:p w14:paraId="2F7E7EA7" w14:textId="77777777" w:rsidR="0007198D" w:rsidRPr="00531366" w:rsidRDefault="0007198D" w:rsidP="000C7A5D">
            <w:pPr>
              <w:spacing w:after="0" w:line="240" w:lineRule="auto"/>
              <w:rPr>
                <w:rFonts w:ascii="Arial" w:hAnsi="Arial" w:cs="Arial"/>
                <w:noProof/>
                <w:sz w:val="20"/>
                <w:szCs w:val="20"/>
              </w:rPr>
            </w:pPr>
            <w:r w:rsidRPr="00531366">
              <w:rPr>
                <w:rFonts w:ascii="Arial" w:hAnsi="Arial" w:cs="Arial"/>
                <w:noProof/>
                <w:sz w:val="20"/>
                <w:szCs w:val="20"/>
              </w:rPr>
              <w:t xml:space="preserve">Related to Objective Maternal, Infant, and Child Health (MICH) 4.1: Reduce the rate of adolescent deaths </w:t>
            </w:r>
            <w:r>
              <w:rPr>
                <w:rFonts w:ascii="Arial" w:hAnsi="Arial" w:cs="Arial"/>
                <w:noProof/>
                <w:sz w:val="20"/>
                <w:szCs w:val="20"/>
              </w:rPr>
              <w:t>aged</w:t>
            </w:r>
            <w:r w:rsidRPr="00531366">
              <w:rPr>
                <w:rFonts w:ascii="Arial" w:hAnsi="Arial" w:cs="Arial"/>
                <w:noProof/>
                <w:sz w:val="20"/>
                <w:szCs w:val="20"/>
              </w:rPr>
              <w:t xml:space="preserve"> 10 to 14 years.  (Baseline: 16.</w:t>
            </w:r>
            <w:r>
              <w:rPr>
                <w:rFonts w:ascii="Arial" w:hAnsi="Arial" w:cs="Arial"/>
                <w:noProof/>
                <w:sz w:val="20"/>
                <w:szCs w:val="20"/>
              </w:rPr>
              <w:t>5</w:t>
            </w:r>
            <w:r w:rsidRPr="00531366">
              <w:rPr>
                <w:rFonts w:ascii="Arial" w:hAnsi="Arial" w:cs="Arial"/>
                <w:noProof/>
                <w:sz w:val="20"/>
                <w:szCs w:val="20"/>
              </w:rPr>
              <w:t xml:space="preserve"> deaths among adolescents </w:t>
            </w:r>
            <w:r>
              <w:rPr>
                <w:rFonts w:ascii="Arial" w:hAnsi="Arial" w:cs="Arial"/>
                <w:noProof/>
                <w:sz w:val="20"/>
                <w:szCs w:val="20"/>
              </w:rPr>
              <w:t>aged</w:t>
            </w:r>
            <w:r w:rsidRPr="00531366">
              <w:rPr>
                <w:rFonts w:ascii="Arial" w:hAnsi="Arial" w:cs="Arial"/>
                <w:noProof/>
                <w:sz w:val="20"/>
                <w:szCs w:val="20"/>
              </w:rPr>
              <w:t xml:space="preserve"> 10 to 14 years per 100,000 population occurred in 2007, Target: </w:t>
            </w:r>
            <w:r>
              <w:rPr>
                <w:rFonts w:ascii="Arial" w:hAnsi="Arial" w:cs="Arial"/>
                <w:noProof/>
                <w:sz w:val="20"/>
                <w:szCs w:val="20"/>
              </w:rPr>
              <w:t>14.8</w:t>
            </w:r>
            <w:r w:rsidRPr="00531366">
              <w:rPr>
                <w:rFonts w:ascii="Arial" w:hAnsi="Arial" w:cs="Arial"/>
                <w:noProof/>
                <w:sz w:val="20"/>
                <w:szCs w:val="20"/>
              </w:rPr>
              <w:t xml:space="preserve"> deaths per 100,000)</w:t>
            </w:r>
          </w:p>
          <w:p w14:paraId="22CD8B03" w14:textId="77777777" w:rsidR="0007198D" w:rsidRPr="00531366" w:rsidRDefault="0007198D" w:rsidP="000C7A5D">
            <w:pPr>
              <w:spacing w:after="0" w:line="240" w:lineRule="auto"/>
              <w:rPr>
                <w:rFonts w:ascii="Arial" w:hAnsi="Arial" w:cs="Arial"/>
                <w:noProof/>
                <w:sz w:val="20"/>
                <w:szCs w:val="20"/>
              </w:rPr>
            </w:pPr>
          </w:p>
          <w:p w14:paraId="425AAA5C"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noProof/>
                <w:sz w:val="20"/>
                <w:szCs w:val="20"/>
              </w:rPr>
              <w:t xml:space="preserve">Related to Objective Maternal, Infant, and Child Health (MICH) 4.2: Reduce the rate of adolescent deaths </w:t>
            </w:r>
            <w:r>
              <w:rPr>
                <w:rFonts w:ascii="Arial" w:hAnsi="Arial" w:cs="Arial"/>
                <w:noProof/>
                <w:sz w:val="20"/>
                <w:szCs w:val="20"/>
              </w:rPr>
              <w:t>aged</w:t>
            </w:r>
            <w:r w:rsidRPr="00531366">
              <w:rPr>
                <w:rFonts w:ascii="Arial" w:hAnsi="Arial" w:cs="Arial"/>
                <w:noProof/>
                <w:sz w:val="20"/>
                <w:szCs w:val="20"/>
              </w:rPr>
              <w:t xml:space="preserve"> 15 to 19 years. (Baseline: 60.3 deaths among adolescents </w:t>
            </w:r>
            <w:r>
              <w:rPr>
                <w:rFonts w:ascii="Arial" w:hAnsi="Arial" w:cs="Arial"/>
                <w:noProof/>
                <w:sz w:val="20"/>
                <w:szCs w:val="20"/>
              </w:rPr>
              <w:t>aged</w:t>
            </w:r>
            <w:r w:rsidRPr="00531366">
              <w:rPr>
                <w:rFonts w:ascii="Arial" w:hAnsi="Arial" w:cs="Arial"/>
                <w:noProof/>
                <w:sz w:val="20"/>
                <w:szCs w:val="20"/>
              </w:rPr>
              <w:t xml:space="preserve"> 15 to 19 years per 100,000 population occurred in 2007, Target: 54.3 deaths per 100,000)</w:t>
            </w:r>
          </w:p>
        </w:tc>
      </w:tr>
      <w:tr w:rsidR="0007198D" w:rsidRPr="00515E1C" w14:paraId="7FC8A8B0" w14:textId="77777777" w:rsidTr="000C7A5D">
        <w:tc>
          <w:tcPr>
            <w:tcW w:w="3618" w:type="dxa"/>
            <w:shd w:val="clear" w:color="auto" w:fill="auto"/>
          </w:tcPr>
          <w:p w14:paraId="490611B9"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08E2CC6A" w14:textId="77777777" w:rsidR="0007198D" w:rsidRPr="00531366" w:rsidRDefault="0007198D" w:rsidP="000C7A5D">
            <w:pPr>
              <w:spacing w:after="0" w:line="240" w:lineRule="auto"/>
              <w:rPr>
                <w:rFonts w:ascii="Arial" w:hAnsi="Arial" w:cs="Arial"/>
                <w:sz w:val="20"/>
                <w:szCs w:val="20"/>
              </w:rPr>
            </w:pPr>
          </w:p>
        </w:tc>
      </w:tr>
      <w:tr w:rsidR="0007198D" w:rsidRPr="00515E1C" w14:paraId="36EE8375" w14:textId="77777777" w:rsidTr="000C7A5D">
        <w:tc>
          <w:tcPr>
            <w:tcW w:w="3618" w:type="dxa"/>
            <w:shd w:val="clear" w:color="auto" w:fill="auto"/>
          </w:tcPr>
          <w:p w14:paraId="4FFC7241"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DATA SOURCES and DATA ISSUES</w:t>
            </w:r>
          </w:p>
        </w:tc>
        <w:tc>
          <w:tcPr>
            <w:tcW w:w="5940" w:type="dxa"/>
            <w:gridSpan w:val="2"/>
            <w:shd w:val="clear" w:color="auto" w:fill="auto"/>
          </w:tcPr>
          <w:p w14:paraId="22B80D71" w14:textId="77777777" w:rsidR="0007198D" w:rsidRDefault="0007198D" w:rsidP="000C7A5D">
            <w:pPr>
              <w:spacing w:after="0" w:line="240" w:lineRule="auto"/>
              <w:rPr>
                <w:rFonts w:ascii="Arial" w:hAnsi="Arial" w:cs="Arial"/>
                <w:noProof/>
                <w:sz w:val="20"/>
                <w:szCs w:val="20"/>
              </w:rPr>
            </w:pPr>
            <w:r w:rsidRPr="00531366">
              <w:rPr>
                <w:rFonts w:ascii="Arial" w:hAnsi="Arial" w:cs="Arial"/>
                <w:noProof/>
                <w:sz w:val="20"/>
                <w:szCs w:val="20"/>
              </w:rPr>
              <w:t>National Vital Statistics System (NVSS)</w:t>
            </w:r>
          </w:p>
          <w:p w14:paraId="09E87C20" w14:textId="77777777" w:rsidR="0007198D" w:rsidRPr="00531366" w:rsidRDefault="0007198D" w:rsidP="000C7A5D">
            <w:pPr>
              <w:spacing w:after="0" w:line="240" w:lineRule="auto"/>
              <w:rPr>
                <w:rFonts w:ascii="Arial" w:hAnsi="Arial" w:cs="Arial"/>
                <w:sz w:val="20"/>
                <w:szCs w:val="20"/>
              </w:rPr>
            </w:pPr>
            <w:r>
              <w:rPr>
                <w:rFonts w:ascii="Arial" w:hAnsi="Arial" w:cs="Arial"/>
                <w:noProof/>
                <w:sz w:val="20"/>
                <w:szCs w:val="20"/>
              </w:rPr>
              <w:t>Population estimates</w:t>
            </w:r>
            <w:r w:rsidRPr="00531366">
              <w:rPr>
                <w:rFonts w:ascii="Arial" w:hAnsi="Arial" w:cs="Arial"/>
                <w:noProof/>
                <w:sz w:val="20"/>
                <w:szCs w:val="20"/>
              </w:rPr>
              <w:t xml:space="preserve"> come from the U.S. Census Bureau</w:t>
            </w:r>
          </w:p>
        </w:tc>
      </w:tr>
      <w:tr w:rsidR="0007198D" w:rsidRPr="00515E1C" w14:paraId="53884E80" w14:textId="77777777" w:rsidTr="000C7A5D">
        <w:tc>
          <w:tcPr>
            <w:tcW w:w="3618" w:type="dxa"/>
            <w:shd w:val="clear" w:color="auto" w:fill="auto"/>
          </w:tcPr>
          <w:p w14:paraId="7736034E"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6E29C570" w14:textId="77777777" w:rsidR="0007198D" w:rsidRPr="00531366" w:rsidRDefault="0007198D" w:rsidP="000C7A5D">
            <w:pPr>
              <w:spacing w:after="0" w:line="240" w:lineRule="auto"/>
              <w:rPr>
                <w:rFonts w:ascii="Arial" w:hAnsi="Arial" w:cs="Arial"/>
                <w:sz w:val="20"/>
                <w:szCs w:val="20"/>
              </w:rPr>
            </w:pPr>
          </w:p>
        </w:tc>
      </w:tr>
      <w:tr w:rsidR="0007198D" w:rsidRPr="00515E1C" w14:paraId="5B7BBAAC" w14:textId="77777777" w:rsidTr="000C7A5D">
        <w:tc>
          <w:tcPr>
            <w:tcW w:w="3618" w:type="dxa"/>
            <w:shd w:val="clear" w:color="auto" w:fill="auto"/>
          </w:tcPr>
          <w:p w14:paraId="2F38653C"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SIGNIFICANCE</w:t>
            </w:r>
          </w:p>
        </w:tc>
        <w:tc>
          <w:tcPr>
            <w:tcW w:w="5940" w:type="dxa"/>
            <w:gridSpan w:val="2"/>
            <w:shd w:val="clear" w:color="auto" w:fill="auto"/>
          </w:tcPr>
          <w:p w14:paraId="21907562" w14:textId="77777777" w:rsidR="0007198D" w:rsidRDefault="0007198D" w:rsidP="000C7A5D">
            <w:pPr>
              <w:spacing w:after="0" w:line="240" w:lineRule="auto"/>
              <w:rPr>
                <w:rFonts w:ascii="Arial" w:hAnsi="Arial" w:cs="Arial"/>
                <w:noProof/>
                <w:sz w:val="20"/>
                <w:szCs w:val="20"/>
              </w:rPr>
            </w:pPr>
            <w:r>
              <w:rPr>
                <w:rFonts w:ascii="Arial" w:hAnsi="Arial" w:cs="Arial"/>
                <w:noProof/>
                <w:sz w:val="20"/>
                <w:szCs w:val="20"/>
              </w:rPr>
              <w:t xml:space="preserve">Although the risk of death declines sharply in early childhood, mortality rates begin to increase again in adolescence.  Over 12,000 deaths occurred among U.S. children ages 10 through 19 in 2014.  </w:t>
            </w:r>
            <w:r w:rsidRPr="00531366">
              <w:rPr>
                <w:rFonts w:ascii="Arial" w:hAnsi="Arial" w:cs="Arial"/>
                <w:noProof/>
                <w:sz w:val="20"/>
                <w:szCs w:val="20"/>
              </w:rPr>
              <w:t>The leading causes of illness and death among adolescents and young adults are largely preventable</w:t>
            </w:r>
            <w:r>
              <w:rPr>
                <w:rFonts w:ascii="Arial" w:hAnsi="Arial" w:cs="Arial"/>
                <w:noProof/>
                <w:sz w:val="20"/>
                <w:szCs w:val="20"/>
              </w:rPr>
              <w:t xml:space="preserve">. </w:t>
            </w:r>
            <w:r w:rsidRPr="00531366">
              <w:rPr>
                <w:rFonts w:ascii="Arial" w:hAnsi="Arial" w:cs="Arial"/>
                <w:noProof/>
                <w:sz w:val="20"/>
                <w:szCs w:val="20"/>
              </w:rPr>
              <w:t xml:space="preserve">Unintentional injury continues to be the leading cause of death in </w:t>
            </w:r>
            <w:r>
              <w:rPr>
                <w:rFonts w:ascii="Arial" w:hAnsi="Arial" w:cs="Arial"/>
                <w:noProof/>
                <w:sz w:val="20"/>
                <w:szCs w:val="20"/>
              </w:rPr>
              <w:t>adolescents</w:t>
            </w:r>
            <w:r w:rsidRPr="00531366">
              <w:rPr>
                <w:rFonts w:ascii="Arial" w:hAnsi="Arial" w:cs="Arial"/>
                <w:noProof/>
                <w:sz w:val="20"/>
                <w:szCs w:val="20"/>
              </w:rPr>
              <w:t xml:space="preserve"> 1</w:t>
            </w:r>
            <w:r>
              <w:rPr>
                <w:rFonts w:ascii="Arial" w:hAnsi="Arial" w:cs="Arial"/>
                <w:noProof/>
                <w:sz w:val="20"/>
                <w:szCs w:val="20"/>
              </w:rPr>
              <w:t>0</w:t>
            </w:r>
            <w:r w:rsidRPr="00531366">
              <w:rPr>
                <w:rFonts w:ascii="Arial" w:hAnsi="Arial" w:cs="Arial"/>
                <w:noProof/>
                <w:sz w:val="20"/>
                <w:szCs w:val="20"/>
              </w:rPr>
              <w:t xml:space="preserve"> to </w:t>
            </w:r>
            <w:r>
              <w:rPr>
                <w:rFonts w:ascii="Arial" w:hAnsi="Arial" w:cs="Arial"/>
                <w:noProof/>
                <w:sz w:val="20"/>
                <w:szCs w:val="20"/>
              </w:rPr>
              <w:t>19</w:t>
            </w:r>
            <w:r w:rsidRPr="00531366">
              <w:rPr>
                <w:rFonts w:ascii="Arial" w:hAnsi="Arial" w:cs="Arial"/>
                <w:noProof/>
                <w:sz w:val="20"/>
                <w:szCs w:val="20"/>
              </w:rPr>
              <w:t xml:space="preserve"> years</w:t>
            </w:r>
            <w:r>
              <w:rPr>
                <w:rFonts w:ascii="Arial" w:hAnsi="Arial" w:cs="Arial"/>
                <w:noProof/>
                <w:sz w:val="20"/>
                <w:szCs w:val="20"/>
              </w:rPr>
              <w:t xml:space="preserve">, accounting for 36% percent of all deaths, followed by suicide (18%), homicide (13%), and malignant neoplasms (8%).  </w:t>
            </w:r>
          </w:p>
          <w:p w14:paraId="3DF3E820" w14:textId="77777777" w:rsidR="0007198D" w:rsidRDefault="0007198D" w:rsidP="000C7A5D">
            <w:pPr>
              <w:spacing w:after="0" w:line="240" w:lineRule="auto"/>
              <w:rPr>
                <w:rFonts w:ascii="Arial" w:hAnsi="Arial" w:cs="Arial"/>
                <w:noProof/>
                <w:sz w:val="20"/>
                <w:szCs w:val="20"/>
              </w:rPr>
            </w:pPr>
          </w:p>
          <w:p w14:paraId="511CDDF4" w14:textId="77777777" w:rsidR="0007198D" w:rsidRPr="00531366" w:rsidRDefault="0007198D" w:rsidP="000C7A5D">
            <w:pPr>
              <w:spacing w:after="0" w:line="240" w:lineRule="auto"/>
              <w:rPr>
                <w:rFonts w:ascii="Arial" w:hAnsi="Arial" w:cs="Arial"/>
                <w:sz w:val="20"/>
                <w:szCs w:val="20"/>
              </w:rPr>
            </w:pPr>
            <w:r>
              <w:rPr>
                <w:rFonts w:ascii="Arial" w:hAnsi="Arial" w:cs="Arial"/>
                <w:noProof/>
                <w:sz w:val="20"/>
                <w:szCs w:val="20"/>
              </w:rPr>
              <w:t xml:space="preserve">Heron M. Deaths: Leading Causes for 2014. National Vital Statistics Reports. 2016 June 30. 65(5). </w:t>
            </w:r>
            <w:hyperlink r:id="rId103" w:history="1">
              <w:r w:rsidRPr="005E5676">
                <w:rPr>
                  <w:rStyle w:val="Hyperlink"/>
                  <w:rFonts w:ascii="Arial" w:hAnsi="Arial" w:cs="Arial"/>
                  <w:noProof/>
                  <w:sz w:val="20"/>
                  <w:szCs w:val="20"/>
                </w:rPr>
                <w:t>https://www.cdc.gov/nchs/data/nvsr/nvsr65/nvsr65_05.pdf</w:t>
              </w:r>
            </w:hyperlink>
            <w:r>
              <w:rPr>
                <w:rFonts w:ascii="Arial" w:hAnsi="Arial" w:cs="Arial"/>
                <w:noProof/>
                <w:sz w:val="20"/>
                <w:szCs w:val="20"/>
              </w:rPr>
              <w:t xml:space="preserve">  </w:t>
            </w:r>
          </w:p>
        </w:tc>
      </w:tr>
      <w:tr w:rsidR="0007198D" w:rsidRPr="00515E1C" w14:paraId="32CEE878" w14:textId="77777777" w:rsidTr="000C7A5D">
        <w:tc>
          <w:tcPr>
            <w:tcW w:w="3618" w:type="dxa"/>
            <w:shd w:val="clear" w:color="auto" w:fill="auto"/>
          </w:tcPr>
          <w:p w14:paraId="34B53AF1" w14:textId="77777777" w:rsidR="0007198D" w:rsidRPr="00531366" w:rsidRDefault="0007198D" w:rsidP="000C7A5D">
            <w:pPr>
              <w:spacing w:after="0" w:line="240" w:lineRule="auto"/>
              <w:rPr>
                <w:rFonts w:ascii="Arial" w:hAnsi="Arial" w:cs="Arial"/>
                <w:sz w:val="20"/>
                <w:szCs w:val="20"/>
              </w:rPr>
            </w:pPr>
          </w:p>
        </w:tc>
        <w:tc>
          <w:tcPr>
            <w:tcW w:w="5940" w:type="dxa"/>
            <w:gridSpan w:val="2"/>
            <w:shd w:val="clear" w:color="auto" w:fill="auto"/>
          </w:tcPr>
          <w:p w14:paraId="27A2FCF4" w14:textId="77777777" w:rsidR="0007198D" w:rsidRPr="00531366" w:rsidRDefault="0007198D" w:rsidP="000C7A5D">
            <w:pPr>
              <w:spacing w:after="0" w:line="240" w:lineRule="auto"/>
              <w:rPr>
                <w:rFonts w:ascii="Arial" w:hAnsi="Arial" w:cs="Arial"/>
                <w:sz w:val="20"/>
                <w:szCs w:val="20"/>
              </w:rPr>
            </w:pPr>
          </w:p>
        </w:tc>
      </w:tr>
    </w:tbl>
    <w:p w14:paraId="46B9168A" w14:textId="77777777" w:rsidR="0007198D" w:rsidRDefault="0007198D" w:rsidP="0007198D">
      <w:pPr>
        <w:spacing w:after="0" w:line="240" w:lineRule="auto"/>
        <w:sectPr w:rsidR="0007198D" w:rsidSect="008A00F6">
          <w:pgSz w:w="12240" w:h="15840"/>
          <w:pgMar w:top="1440" w:right="1440" w:bottom="1440" w:left="1440" w:header="720" w:footer="720" w:gutter="0"/>
          <w:cols w:space="720"/>
          <w:docGrid w:linePitch="360"/>
        </w:sectPr>
      </w:pPr>
    </w:p>
    <w:tbl>
      <w:tblPr>
        <w:tblW w:w="0" w:type="auto"/>
        <w:tblLook w:val="04A0" w:firstRow="1" w:lastRow="0" w:firstColumn="1" w:lastColumn="0" w:noHBand="0" w:noVBand="1"/>
      </w:tblPr>
      <w:tblGrid>
        <w:gridCol w:w="3618"/>
        <w:gridCol w:w="5868"/>
      </w:tblGrid>
      <w:tr w:rsidR="0007198D" w:rsidRPr="003F48A1" w14:paraId="43DF995F" w14:textId="77777777" w:rsidTr="000C7A5D">
        <w:tc>
          <w:tcPr>
            <w:tcW w:w="3618" w:type="dxa"/>
            <w:shd w:val="clear" w:color="auto" w:fill="auto"/>
          </w:tcPr>
          <w:p w14:paraId="45A288E5" w14:textId="77777777" w:rsidR="0007198D" w:rsidRPr="00531366" w:rsidRDefault="0007198D" w:rsidP="000C7A5D">
            <w:pPr>
              <w:spacing w:after="0" w:line="240" w:lineRule="auto"/>
              <w:rPr>
                <w:rFonts w:ascii="Arial" w:hAnsi="Arial" w:cs="Arial"/>
                <w:b/>
                <w:sz w:val="24"/>
                <w:szCs w:val="24"/>
              </w:rPr>
            </w:pPr>
            <w:r w:rsidRPr="00531366">
              <w:rPr>
                <w:rFonts w:ascii="Arial" w:hAnsi="Arial" w:cs="Arial"/>
                <w:b/>
                <w:sz w:val="24"/>
                <w:szCs w:val="24"/>
              </w:rPr>
              <w:t xml:space="preserve">OUTCOME MEASURE </w:t>
            </w:r>
            <w:r w:rsidRPr="00531366">
              <w:rPr>
                <w:rFonts w:ascii="Arial" w:hAnsi="Arial" w:cs="Arial"/>
                <w:b/>
                <w:noProof/>
                <w:sz w:val="24"/>
                <w:szCs w:val="24"/>
              </w:rPr>
              <w:t>16</w:t>
            </w:r>
            <w:r>
              <w:rPr>
                <w:rFonts w:ascii="Arial" w:hAnsi="Arial" w:cs="Arial"/>
                <w:b/>
                <w:noProof/>
                <w:sz w:val="24"/>
                <w:szCs w:val="24"/>
              </w:rPr>
              <w:t>.2</w:t>
            </w:r>
          </w:p>
        </w:tc>
        <w:tc>
          <w:tcPr>
            <w:tcW w:w="5868" w:type="dxa"/>
            <w:shd w:val="clear" w:color="auto" w:fill="auto"/>
          </w:tcPr>
          <w:p w14:paraId="076A8E17" w14:textId="09528E4B" w:rsidR="0007198D" w:rsidRDefault="0007198D" w:rsidP="000C7A5D">
            <w:pPr>
              <w:spacing w:after="0" w:line="240" w:lineRule="auto"/>
              <w:rPr>
                <w:rFonts w:ascii="Arial" w:hAnsi="Arial" w:cs="Arial"/>
                <w:b/>
                <w:noProof/>
                <w:sz w:val="24"/>
                <w:szCs w:val="24"/>
              </w:rPr>
            </w:pPr>
            <w:r>
              <w:rPr>
                <w:rFonts w:ascii="Arial" w:hAnsi="Arial" w:cs="Arial"/>
                <w:b/>
                <w:noProof/>
                <w:sz w:val="24"/>
                <w:szCs w:val="24"/>
              </w:rPr>
              <w:t>Adolescent motor vehicle mortality rate</w:t>
            </w:r>
            <w:r w:rsidR="000A10EE">
              <w:rPr>
                <w:rFonts w:ascii="Arial" w:hAnsi="Arial" w:cs="Arial"/>
                <w:b/>
                <w:noProof/>
                <w:sz w:val="24"/>
                <w:szCs w:val="24"/>
              </w:rPr>
              <w:t>,</w:t>
            </w:r>
            <w:r w:rsidRPr="00531366">
              <w:rPr>
                <w:rFonts w:ascii="Arial" w:hAnsi="Arial" w:cs="Arial"/>
                <w:b/>
                <w:noProof/>
                <w:sz w:val="24"/>
                <w:szCs w:val="24"/>
              </w:rPr>
              <w:t xml:space="preserve"> </w:t>
            </w:r>
            <w:r>
              <w:rPr>
                <w:rFonts w:ascii="Arial" w:hAnsi="Arial" w:cs="Arial"/>
                <w:b/>
                <w:noProof/>
                <w:sz w:val="24"/>
                <w:szCs w:val="24"/>
              </w:rPr>
              <w:t>ages</w:t>
            </w:r>
            <w:r w:rsidRPr="00531366">
              <w:rPr>
                <w:rFonts w:ascii="Arial" w:hAnsi="Arial" w:cs="Arial"/>
                <w:b/>
                <w:noProof/>
                <w:sz w:val="24"/>
                <w:szCs w:val="24"/>
              </w:rPr>
              <w:t xml:space="preserve"> 15</w:t>
            </w:r>
            <w:r>
              <w:rPr>
                <w:rFonts w:ascii="Arial" w:hAnsi="Arial" w:cs="Arial"/>
                <w:b/>
                <w:noProof/>
                <w:sz w:val="24"/>
                <w:szCs w:val="24"/>
              </w:rPr>
              <w:t xml:space="preserve"> through </w:t>
            </w:r>
            <w:r w:rsidRPr="00531366">
              <w:rPr>
                <w:rFonts w:ascii="Arial" w:hAnsi="Arial" w:cs="Arial"/>
                <w:b/>
                <w:noProof/>
                <w:sz w:val="24"/>
                <w:szCs w:val="24"/>
              </w:rPr>
              <w:t>19</w:t>
            </w:r>
            <w:r w:rsidR="000A10EE">
              <w:rPr>
                <w:rFonts w:ascii="Arial" w:hAnsi="Arial" w:cs="Arial"/>
                <w:b/>
                <w:noProof/>
                <w:sz w:val="24"/>
                <w:szCs w:val="24"/>
              </w:rPr>
              <w:t>,</w:t>
            </w:r>
            <w:r w:rsidRPr="00531366">
              <w:rPr>
                <w:rFonts w:ascii="Arial" w:hAnsi="Arial" w:cs="Arial"/>
                <w:b/>
                <w:noProof/>
                <w:sz w:val="24"/>
                <w:szCs w:val="24"/>
              </w:rPr>
              <w:t xml:space="preserve"> per 100,000 </w:t>
            </w:r>
          </w:p>
          <w:p w14:paraId="1DD9B41E" w14:textId="77777777" w:rsidR="0007198D" w:rsidRPr="00531366" w:rsidRDefault="0007198D" w:rsidP="000C7A5D">
            <w:pPr>
              <w:spacing w:after="0" w:line="240" w:lineRule="auto"/>
              <w:rPr>
                <w:rFonts w:ascii="Arial" w:hAnsi="Arial" w:cs="Arial"/>
                <w:b/>
                <w:sz w:val="24"/>
                <w:szCs w:val="24"/>
              </w:rPr>
            </w:pPr>
          </w:p>
        </w:tc>
      </w:tr>
    </w:tbl>
    <w:p w14:paraId="740BAD5F" w14:textId="77777777" w:rsidR="0007198D" w:rsidRDefault="0007198D" w:rsidP="0007198D">
      <w:pPr>
        <w:spacing w:after="0" w:line="240" w:lineRule="auto"/>
      </w:pPr>
      <w:r>
        <w:rPr>
          <w:noProof/>
        </w:rPr>
        <mc:AlternateContent>
          <mc:Choice Requires="wps">
            <w:drawing>
              <wp:anchor distT="4294967295" distB="4294967295" distL="114300" distR="114300" simplePos="0" relativeHeight="251767808" behindDoc="0" locked="0" layoutInCell="1" allowOverlap="1" wp14:anchorId="3631B8C0" wp14:editId="2C89653C">
                <wp:simplePos x="0" y="0"/>
                <wp:positionH relativeFrom="column">
                  <wp:posOffset>-60960</wp:posOffset>
                </wp:positionH>
                <wp:positionV relativeFrom="paragraph">
                  <wp:posOffset>31749</wp:posOffset>
                </wp:positionV>
                <wp:extent cx="6088380" cy="0"/>
                <wp:effectExtent l="0" t="0" r="2667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43174D" id="Straight Connector 26" o:spid="_x0000_s1026" style="position:absolute;z-index:251767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" strokecolor="windowText" strokeweight="1.75pt">
                <o:lock v:ext="edit" shapetype="f"/>
              </v:line>
            </w:pict>
          </mc:Fallback>
        </mc:AlternateContent>
      </w:r>
    </w:p>
    <w:tbl>
      <w:tblPr>
        <w:tblW w:w="9458" w:type="dxa"/>
        <w:tblLook w:val="04A0" w:firstRow="1" w:lastRow="0" w:firstColumn="1" w:lastColumn="0" w:noHBand="0" w:noVBand="1"/>
      </w:tblPr>
      <w:tblGrid>
        <w:gridCol w:w="3600"/>
        <w:gridCol w:w="3359"/>
        <w:gridCol w:w="2499"/>
      </w:tblGrid>
      <w:tr w:rsidR="0007198D" w:rsidRPr="00515E1C" w14:paraId="048339C8" w14:textId="77777777" w:rsidTr="000C7A5D">
        <w:tc>
          <w:tcPr>
            <w:tcW w:w="3600" w:type="dxa"/>
            <w:shd w:val="clear" w:color="auto" w:fill="auto"/>
          </w:tcPr>
          <w:p w14:paraId="7F0709DF"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GOAL</w:t>
            </w:r>
          </w:p>
        </w:tc>
        <w:tc>
          <w:tcPr>
            <w:tcW w:w="5858" w:type="dxa"/>
            <w:gridSpan w:val="2"/>
            <w:shd w:val="clear" w:color="auto" w:fill="auto"/>
          </w:tcPr>
          <w:p w14:paraId="4C12B3A9"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noProof/>
                <w:sz w:val="20"/>
                <w:szCs w:val="20"/>
              </w:rPr>
              <w:t>To reduce the death rate of adolescents age</w:t>
            </w:r>
            <w:r>
              <w:rPr>
                <w:rFonts w:ascii="Arial" w:hAnsi="Arial" w:cs="Arial"/>
                <w:noProof/>
                <w:sz w:val="20"/>
                <w:szCs w:val="20"/>
              </w:rPr>
              <w:t>s</w:t>
            </w:r>
            <w:r w:rsidRPr="00531366">
              <w:rPr>
                <w:rFonts w:ascii="Arial" w:hAnsi="Arial" w:cs="Arial"/>
                <w:noProof/>
                <w:sz w:val="20"/>
                <w:szCs w:val="20"/>
              </w:rPr>
              <w:t xml:space="preserve"> 15</w:t>
            </w:r>
            <w:r>
              <w:rPr>
                <w:rFonts w:ascii="Arial" w:hAnsi="Arial" w:cs="Arial"/>
                <w:noProof/>
                <w:sz w:val="20"/>
                <w:szCs w:val="20"/>
              </w:rPr>
              <w:t xml:space="preserve"> through </w:t>
            </w:r>
            <w:r w:rsidRPr="00531366">
              <w:rPr>
                <w:rFonts w:ascii="Arial" w:hAnsi="Arial" w:cs="Arial"/>
                <w:noProof/>
                <w:sz w:val="20"/>
                <w:szCs w:val="20"/>
              </w:rPr>
              <w:t>19 from motor vehicle crashes</w:t>
            </w:r>
          </w:p>
        </w:tc>
      </w:tr>
      <w:tr w:rsidR="0007198D" w:rsidRPr="00515E1C" w14:paraId="3F0F4FC7" w14:textId="77777777" w:rsidTr="000C7A5D">
        <w:tc>
          <w:tcPr>
            <w:tcW w:w="3600" w:type="dxa"/>
            <w:shd w:val="clear" w:color="auto" w:fill="auto"/>
          </w:tcPr>
          <w:p w14:paraId="394C69E6" w14:textId="77777777" w:rsidR="0007198D" w:rsidRPr="00531366" w:rsidRDefault="0007198D" w:rsidP="000C7A5D">
            <w:pPr>
              <w:spacing w:after="0" w:line="240" w:lineRule="auto"/>
              <w:rPr>
                <w:rFonts w:ascii="Arial" w:hAnsi="Arial" w:cs="Arial"/>
                <w:b/>
                <w:sz w:val="20"/>
                <w:szCs w:val="20"/>
              </w:rPr>
            </w:pPr>
          </w:p>
        </w:tc>
        <w:tc>
          <w:tcPr>
            <w:tcW w:w="5858" w:type="dxa"/>
            <w:gridSpan w:val="2"/>
            <w:shd w:val="clear" w:color="auto" w:fill="auto"/>
          </w:tcPr>
          <w:p w14:paraId="438777E4" w14:textId="77777777" w:rsidR="0007198D" w:rsidRPr="00531366" w:rsidRDefault="0007198D" w:rsidP="000C7A5D">
            <w:pPr>
              <w:spacing w:after="0" w:line="240" w:lineRule="auto"/>
              <w:rPr>
                <w:rFonts w:ascii="Arial" w:hAnsi="Arial" w:cs="Arial"/>
                <w:sz w:val="20"/>
                <w:szCs w:val="20"/>
              </w:rPr>
            </w:pPr>
          </w:p>
        </w:tc>
      </w:tr>
      <w:tr w:rsidR="0007198D" w:rsidRPr="00515E1C" w14:paraId="3E3F6D89" w14:textId="77777777" w:rsidTr="000C7A5D">
        <w:tc>
          <w:tcPr>
            <w:tcW w:w="3600" w:type="dxa"/>
            <w:shd w:val="clear" w:color="auto" w:fill="auto"/>
          </w:tcPr>
          <w:p w14:paraId="497458FD"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DEFINITION</w:t>
            </w:r>
          </w:p>
        </w:tc>
        <w:tc>
          <w:tcPr>
            <w:tcW w:w="5858" w:type="dxa"/>
            <w:gridSpan w:val="2"/>
            <w:shd w:val="clear" w:color="auto" w:fill="auto"/>
          </w:tcPr>
          <w:p w14:paraId="0F86B7A2"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Numerator:</w:t>
            </w:r>
          </w:p>
        </w:tc>
      </w:tr>
      <w:tr w:rsidR="0007198D" w:rsidRPr="00515E1C" w14:paraId="6E4F9127" w14:textId="77777777" w:rsidTr="000C7A5D">
        <w:tc>
          <w:tcPr>
            <w:tcW w:w="3600" w:type="dxa"/>
            <w:shd w:val="clear" w:color="auto" w:fill="auto"/>
          </w:tcPr>
          <w:p w14:paraId="2259F6A4" w14:textId="77777777" w:rsidR="0007198D" w:rsidRPr="00531366" w:rsidRDefault="0007198D" w:rsidP="000C7A5D">
            <w:pPr>
              <w:spacing w:after="0" w:line="240" w:lineRule="auto"/>
              <w:rPr>
                <w:rFonts w:ascii="Arial" w:hAnsi="Arial" w:cs="Arial"/>
                <w:b/>
                <w:sz w:val="20"/>
                <w:szCs w:val="20"/>
              </w:rPr>
            </w:pPr>
          </w:p>
        </w:tc>
        <w:tc>
          <w:tcPr>
            <w:tcW w:w="5858" w:type="dxa"/>
            <w:gridSpan w:val="2"/>
            <w:shd w:val="clear" w:color="auto" w:fill="auto"/>
          </w:tcPr>
          <w:p w14:paraId="7057AB32"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noProof/>
                <w:sz w:val="20"/>
                <w:szCs w:val="20"/>
              </w:rPr>
              <w:t xml:space="preserve">Number of deaths to </w:t>
            </w:r>
            <w:r>
              <w:rPr>
                <w:rFonts w:ascii="Arial" w:hAnsi="Arial" w:cs="Arial"/>
                <w:noProof/>
                <w:sz w:val="20"/>
                <w:szCs w:val="20"/>
              </w:rPr>
              <w:t>adolescents</w:t>
            </w:r>
            <w:r w:rsidRPr="00531366">
              <w:rPr>
                <w:rFonts w:ascii="Arial" w:hAnsi="Arial" w:cs="Arial"/>
                <w:noProof/>
                <w:sz w:val="20"/>
                <w:szCs w:val="20"/>
              </w:rPr>
              <w:t xml:space="preserve"> </w:t>
            </w:r>
            <w:r>
              <w:rPr>
                <w:rFonts w:ascii="Arial" w:hAnsi="Arial" w:cs="Arial"/>
                <w:noProof/>
                <w:sz w:val="20"/>
                <w:szCs w:val="20"/>
              </w:rPr>
              <w:t>ages</w:t>
            </w:r>
            <w:r w:rsidRPr="00531366">
              <w:rPr>
                <w:rFonts w:ascii="Arial" w:hAnsi="Arial" w:cs="Arial"/>
                <w:noProof/>
                <w:sz w:val="20"/>
                <w:szCs w:val="20"/>
              </w:rPr>
              <w:t xml:space="preserve"> 15</w:t>
            </w:r>
            <w:r>
              <w:rPr>
                <w:rFonts w:ascii="Arial" w:hAnsi="Arial" w:cs="Arial"/>
                <w:noProof/>
                <w:sz w:val="20"/>
                <w:szCs w:val="20"/>
              </w:rPr>
              <w:t xml:space="preserve"> through </w:t>
            </w:r>
            <w:r w:rsidRPr="00531366">
              <w:rPr>
                <w:rFonts w:ascii="Arial" w:hAnsi="Arial" w:cs="Arial"/>
                <w:noProof/>
                <w:sz w:val="20"/>
                <w:szCs w:val="20"/>
              </w:rPr>
              <w:t>19 years caused by motor vehicle crashes. This includes all occupant, pedestrian, motorcycle, bicycle, etc. deaths caused by motor vehicles</w:t>
            </w:r>
            <w:r>
              <w:rPr>
                <w:rFonts w:ascii="Arial" w:hAnsi="Arial" w:cs="Arial"/>
                <w:noProof/>
                <w:sz w:val="20"/>
                <w:szCs w:val="20"/>
              </w:rPr>
              <w:t>.</w:t>
            </w:r>
          </w:p>
        </w:tc>
      </w:tr>
      <w:tr w:rsidR="0007198D" w:rsidRPr="00515E1C" w14:paraId="33928D55" w14:textId="77777777" w:rsidTr="000C7A5D">
        <w:tc>
          <w:tcPr>
            <w:tcW w:w="3600" w:type="dxa"/>
            <w:shd w:val="clear" w:color="auto" w:fill="auto"/>
          </w:tcPr>
          <w:p w14:paraId="7D8065E6" w14:textId="77777777" w:rsidR="0007198D" w:rsidRPr="00531366" w:rsidRDefault="0007198D" w:rsidP="000C7A5D">
            <w:pPr>
              <w:spacing w:after="0" w:line="240" w:lineRule="auto"/>
              <w:rPr>
                <w:rFonts w:ascii="Arial" w:hAnsi="Arial" w:cs="Arial"/>
                <w:b/>
                <w:sz w:val="20"/>
                <w:szCs w:val="20"/>
              </w:rPr>
            </w:pPr>
          </w:p>
        </w:tc>
        <w:tc>
          <w:tcPr>
            <w:tcW w:w="5858" w:type="dxa"/>
            <w:gridSpan w:val="2"/>
            <w:shd w:val="clear" w:color="auto" w:fill="auto"/>
          </w:tcPr>
          <w:p w14:paraId="41D21593" w14:textId="77777777" w:rsidR="0007198D" w:rsidRPr="00531366" w:rsidRDefault="0007198D" w:rsidP="000C7A5D">
            <w:pPr>
              <w:spacing w:after="0" w:line="240" w:lineRule="auto"/>
              <w:rPr>
                <w:rFonts w:ascii="Arial" w:hAnsi="Arial" w:cs="Arial"/>
                <w:sz w:val="20"/>
                <w:szCs w:val="20"/>
              </w:rPr>
            </w:pPr>
          </w:p>
        </w:tc>
      </w:tr>
      <w:tr w:rsidR="0007198D" w:rsidRPr="00515E1C" w14:paraId="770294D1" w14:textId="77777777" w:rsidTr="000C7A5D">
        <w:tc>
          <w:tcPr>
            <w:tcW w:w="3600" w:type="dxa"/>
            <w:shd w:val="clear" w:color="auto" w:fill="auto"/>
          </w:tcPr>
          <w:p w14:paraId="1844C30F" w14:textId="77777777" w:rsidR="0007198D" w:rsidRPr="00531366" w:rsidRDefault="0007198D" w:rsidP="000C7A5D">
            <w:pPr>
              <w:spacing w:after="0" w:line="240" w:lineRule="auto"/>
              <w:rPr>
                <w:rFonts w:ascii="Arial" w:hAnsi="Arial" w:cs="Arial"/>
                <w:b/>
                <w:sz w:val="20"/>
                <w:szCs w:val="20"/>
              </w:rPr>
            </w:pPr>
          </w:p>
        </w:tc>
        <w:tc>
          <w:tcPr>
            <w:tcW w:w="5858" w:type="dxa"/>
            <w:gridSpan w:val="2"/>
            <w:shd w:val="clear" w:color="auto" w:fill="auto"/>
          </w:tcPr>
          <w:p w14:paraId="20FBCD60"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Denominator:</w:t>
            </w:r>
          </w:p>
        </w:tc>
      </w:tr>
      <w:tr w:rsidR="0007198D" w:rsidRPr="00515E1C" w14:paraId="792C1707" w14:textId="77777777" w:rsidTr="000C7A5D">
        <w:tc>
          <w:tcPr>
            <w:tcW w:w="3600" w:type="dxa"/>
            <w:shd w:val="clear" w:color="auto" w:fill="auto"/>
          </w:tcPr>
          <w:p w14:paraId="391417ED" w14:textId="77777777" w:rsidR="0007198D" w:rsidRPr="00531366" w:rsidRDefault="0007198D" w:rsidP="000C7A5D">
            <w:pPr>
              <w:spacing w:after="0" w:line="240" w:lineRule="auto"/>
              <w:rPr>
                <w:rFonts w:ascii="Arial" w:hAnsi="Arial" w:cs="Arial"/>
                <w:b/>
                <w:sz w:val="20"/>
                <w:szCs w:val="20"/>
              </w:rPr>
            </w:pPr>
          </w:p>
        </w:tc>
        <w:tc>
          <w:tcPr>
            <w:tcW w:w="5858" w:type="dxa"/>
            <w:gridSpan w:val="2"/>
            <w:shd w:val="clear" w:color="auto" w:fill="auto"/>
          </w:tcPr>
          <w:p w14:paraId="52E6BEA1" w14:textId="77777777" w:rsidR="0007198D" w:rsidRPr="00531366" w:rsidRDefault="0007198D" w:rsidP="000C7A5D">
            <w:pPr>
              <w:spacing w:after="0" w:line="240" w:lineRule="auto"/>
              <w:rPr>
                <w:rFonts w:ascii="Arial" w:hAnsi="Arial" w:cs="Arial"/>
                <w:sz w:val="20"/>
                <w:szCs w:val="20"/>
              </w:rPr>
            </w:pPr>
            <w:r>
              <w:rPr>
                <w:rFonts w:ascii="Arial" w:hAnsi="Arial" w:cs="Arial"/>
                <w:noProof/>
                <w:sz w:val="20"/>
                <w:szCs w:val="20"/>
              </w:rPr>
              <w:t>Number of adolescents</w:t>
            </w:r>
            <w:r w:rsidRPr="00531366">
              <w:rPr>
                <w:rFonts w:ascii="Arial" w:hAnsi="Arial" w:cs="Arial"/>
                <w:noProof/>
                <w:sz w:val="20"/>
                <w:szCs w:val="20"/>
              </w:rPr>
              <w:t xml:space="preserve"> </w:t>
            </w:r>
            <w:r>
              <w:rPr>
                <w:rFonts w:ascii="Arial" w:hAnsi="Arial" w:cs="Arial"/>
                <w:noProof/>
                <w:sz w:val="20"/>
                <w:szCs w:val="20"/>
              </w:rPr>
              <w:t>ages</w:t>
            </w:r>
            <w:r w:rsidRPr="00531366">
              <w:rPr>
                <w:rFonts w:ascii="Arial" w:hAnsi="Arial" w:cs="Arial"/>
                <w:noProof/>
                <w:sz w:val="20"/>
                <w:szCs w:val="20"/>
              </w:rPr>
              <w:t xml:space="preserve"> 15</w:t>
            </w:r>
            <w:r>
              <w:rPr>
                <w:rFonts w:ascii="Arial" w:hAnsi="Arial" w:cs="Arial"/>
                <w:noProof/>
                <w:sz w:val="20"/>
                <w:szCs w:val="20"/>
              </w:rPr>
              <w:t xml:space="preserve"> through </w:t>
            </w:r>
            <w:r w:rsidRPr="00531366">
              <w:rPr>
                <w:rFonts w:ascii="Arial" w:hAnsi="Arial" w:cs="Arial"/>
                <w:noProof/>
                <w:sz w:val="20"/>
                <w:szCs w:val="20"/>
              </w:rPr>
              <w:t>19 years</w:t>
            </w:r>
          </w:p>
        </w:tc>
      </w:tr>
      <w:tr w:rsidR="0007198D" w:rsidRPr="00515E1C" w14:paraId="30DCAA8D" w14:textId="77777777" w:rsidTr="000C7A5D">
        <w:tc>
          <w:tcPr>
            <w:tcW w:w="3600" w:type="dxa"/>
            <w:shd w:val="clear" w:color="auto" w:fill="auto"/>
          </w:tcPr>
          <w:p w14:paraId="2B7C6101" w14:textId="77777777" w:rsidR="0007198D" w:rsidRPr="00531366" w:rsidRDefault="0007198D" w:rsidP="000C7A5D">
            <w:pPr>
              <w:spacing w:after="0" w:line="240" w:lineRule="auto"/>
              <w:rPr>
                <w:rFonts w:ascii="Arial" w:hAnsi="Arial" w:cs="Arial"/>
                <w:b/>
                <w:sz w:val="20"/>
                <w:szCs w:val="20"/>
              </w:rPr>
            </w:pPr>
          </w:p>
        </w:tc>
        <w:tc>
          <w:tcPr>
            <w:tcW w:w="5858" w:type="dxa"/>
            <w:gridSpan w:val="2"/>
            <w:shd w:val="clear" w:color="auto" w:fill="auto"/>
          </w:tcPr>
          <w:p w14:paraId="5DA227C5" w14:textId="77777777" w:rsidR="0007198D" w:rsidRPr="00531366" w:rsidRDefault="0007198D" w:rsidP="000C7A5D">
            <w:pPr>
              <w:spacing w:after="0" w:line="240" w:lineRule="auto"/>
              <w:rPr>
                <w:rFonts w:ascii="Arial" w:hAnsi="Arial" w:cs="Arial"/>
                <w:sz w:val="20"/>
                <w:szCs w:val="20"/>
              </w:rPr>
            </w:pPr>
          </w:p>
        </w:tc>
      </w:tr>
      <w:tr w:rsidR="0007198D" w:rsidRPr="00515E1C" w14:paraId="1C9A0EE8" w14:textId="77777777" w:rsidTr="000C7A5D">
        <w:tc>
          <w:tcPr>
            <w:tcW w:w="3600" w:type="dxa"/>
            <w:shd w:val="clear" w:color="auto" w:fill="auto"/>
          </w:tcPr>
          <w:p w14:paraId="1C87B1FA" w14:textId="77777777" w:rsidR="0007198D" w:rsidRPr="00531366" w:rsidRDefault="0007198D" w:rsidP="000C7A5D">
            <w:pPr>
              <w:spacing w:after="0" w:line="240" w:lineRule="auto"/>
              <w:rPr>
                <w:rFonts w:ascii="Arial" w:hAnsi="Arial" w:cs="Arial"/>
                <w:b/>
                <w:sz w:val="20"/>
                <w:szCs w:val="20"/>
              </w:rPr>
            </w:pPr>
          </w:p>
        </w:tc>
        <w:tc>
          <w:tcPr>
            <w:tcW w:w="3359" w:type="dxa"/>
            <w:shd w:val="clear" w:color="auto" w:fill="auto"/>
          </w:tcPr>
          <w:p w14:paraId="1CC373A1"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b/>
                <w:sz w:val="20"/>
                <w:szCs w:val="20"/>
              </w:rPr>
              <w:t>Units:</w:t>
            </w:r>
            <w:r w:rsidRPr="00531366">
              <w:rPr>
                <w:rFonts w:ascii="Arial" w:hAnsi="Arial" w:cs="Arial"/>
                <w:sz w:val="20"/>
                <w:szCs w:val="20"/>
              </w:rPr>
              <w:t xml:space="preserve"> </w:t>
            </w:r>
            <w:r w:rsidRPr="00531366">
              <w:rPr>
                <w:rFonts w:ascii="Arial" w:hAnsi="Arial" w:cs="Arial"/>
                <w:noProof/>
                <w:sz w:val="20"/>
                <w:szCs w:val="20"/>
              </w:rPr>
              <w:t>100,000</w:t>
            </w:r>
          </w:p>
        </w:tc>
        <w:tc>
          <w:tcPr>
            <w:tcW w:w="2499" w:type="dxa"/>
            <w:shd w:val="clear" w:color="auto" w:fill="auto"/>
          </w:tcPr>
          <w:p w14:paraId="1137969F"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b/>
                <w:sz w:val="20"/>
                <w:szCs w:val="20"/>
              </w:rPr>
              <w:t>Text:</w:t>
            </w:r>
            <w:r w:rsidRPr="00531366">
              <w:rPr>
                <w:rFonts w:ascii="Arial" w:hAnsi="Arial" w:cs="Arial"/>
                <w:sz w:val="20"/>
                <w:szCs w:val="20"/>
              </w:rPr>
              <w:t xml:space="preserve"> </w:t>
            </w:r>
            <w:r w:rsidRPr="00531366">
              <w:rPr>
                <w:rFonts w:ascii="Arial" w:hAnsi="Arial" w:cs="Arial"/>
                <w:noProof/>
                <w:sz w:val="20"/>
                <w:szCs w:val="20"/>
              </w:rPr>
              <w:t>Rate</w:t>
            </w:r>
          </w:p>
        </w:tc>
      </w:tr>
      <w:tr w:rsidR="0007198D" w:rsidRPr="00515E1C" w14:paraId="100267F4" w14:textId="77777777" w:rsidTr="000C7A5D">
        <w:tc>
          <w:tcPr>
            <w:tcW w:w="3600" w:type="dxa"/>
            <w:shd w:val="clear" w:color="auto" w:fill="auto"/>
          </w:tcPr>
          <w:p w14:paraId="5D3A9626" w14:textId="77777777" w:rsidR="0007198D" w:rsidRPr="00531366" w:rsidRDefault="0007198D" w:rsidP="000C7A5D">
            <w:pPr>
              <w:spacing w:after="0" w:line="240" w:lineRule="auto"/>
              <w:rPr>
                <w:rFonts w:ascii="Arial" w:hAnsi="Arial" w:cs="Arial"/>
                <w:b/>
                <w:sz w:val="20"/>
                <w:szCs w:val="20"/>
              </w:rPr>
            </w:pPr>
          </w:p>
        </w:tc>
        <w:tc>
          <w:tcPr>
            <w:tcW w:w="5858" w:type="dxa"/>
            <w:gridSpan w:val="2"/>
            <w:shd w:val="clear" w:color="auto" w:fill="auto"/>
          </w:tcPr>
          <w:p w14:paraId="2B9F0EAA" w14:textId="77777777" w:rsidR="0007198D" w:rsidRPr="00531366" w:rsidRDefault="0007198D" w:rsidP="000C7A5D">
            <w:pPr>
              <w:spacing w:after="0" w:line="240" w:lineRule="auto"/>
              <w:rPr>
                <w:rFonts w:ascii="Arial" w:hAnsi="Arial" w:cs="Arial"/>
                <w:sz w:val="20"/>
                <w:szCs w:val="20"/>
              </w:rPr>
            </w:pPr>
          </w:p>
        </w:tc>
      </w:tr>
      <w:tr w:rsidR="0007198D" w:rsidRPr="00515E1C" w14:paraId="7544EF20" w14:textId="77777777" w:rsidTr="000C7A5D">
        <w:tc>
          <w:tcPr>
            <w:tcW w:w="3600" w:type="dxa"/>
            <w:shd w:val="clear" w:color="auto" w:fill="auto"/>
          </w:tcPr>
          <w:p w14:paraId="475AA719"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HEALTHY PEOPLE 2020 OBJECTIVE</w:t>
            </w:r>
          </w:p>
        </w:tc>
        <w:tc>
          <w:tcPr>
            <w:tcW w:w="5858" w:type="dxa"/>
            <w:gridSpan w:val="2"/>
            <w:shd w:val="clear" w:color="auto" w:fill="auto"/>
          </w:tcPr>
          <w:p w14:paraId="7BC95168" w14:textId="000141E1" w:rsidR="0007198D" w:rsidRPr="00531366" w:rsidRDefault="0007198D" w:rsidP="00296EF7">
            <w:pPr>
              <w:spacing w:after="0" w:line="240" w:lineRule="auto"/>
              <w:rPr>
                <w:rFonts w:ascii="Arial" w:hAnsi="Arial" w:cs="Arial"/>
                <w:sz w:val="20"/>
                <w:szCs w:val="20"/>
              </w:rPr>
            </w:pPr>
            <w:r w:rsidRPr="00531366">
              <w:rPr>
                <w:rFonts w:ascii="Arial" w:hAnsi="Arial" w:cs="Arial"/>
                <w:noProof/>
                <w:sz w:val="20"/>
                <w:szCs w:val="20"/>
              </w:rPr>
              <w:t>Related to Objective IVP-13: Reduce motor vehicle crash-related deaths. (Baseline: 13.8 motor vehicle traffic-related deaths per 100,000 population occurred in 2007, Target: 12.4 deaths per 100,000 population)</w:t>
            </w:r>
          </w:p>
        </w:tc>
      </w:tr>
      <w:tr w:rsidR="0007198D" w:rsidRPr="00515E1C" w14:paraId="431FD884" w14:textId="77777777" w:rsidTr="000C7A5D">
        <w:tc>
          <w:tcPr>
            <w:tcW w:w="3600" w:type="dxa"/>
            <w:shd w:val="clear" w:color="auto" w:fill="auto"/>
          </w:tcPr>
          <w:p w14:paraId="709691A3" w14:textId="77777777" w:rsidR="0007198D" w:rsidRPr="00531366" w:rsidRDefault="0007198D" w:rsidP="000C7A5D">
            <w:pPr>
              <w:spacing w:after="0" w:line="240" w:lineRule="auto"/>
              <w:rPr>
                <w:rFonts w:ascii="Arial" w:hAnsi="Arial" w:cs="Arial"/>
                <w:b/>
                <w:sz w:val="20"/>
                <w:szCs w:val="20"/>
              </w:rPr>
            </w:pPr>
          </w:p>
        </w:tc>
        <w:tc>
          <w:tcPr>
            <w:tcW w:w="5858" w:type="dxa"/>
            <w:gridSpan w:val="2"/>
            <w:shd w:val="clear" w:color="auto" w:fill="auto"/>
          </w:tcPr>
          <w:p w14:paraId="5B5E1386" w14:textId="77777777" w:rsidR="0007198D" w:rsidRPr="00531366" w:rsidRDefault="0007198D" w:rsidP="000C7A5D">
            <w:pPr>
              <w:spacing w:after="0" w:line="240" w:lineRule="auto"/>
              <w:rPr>
                <w:rFonts w:ascii="Arial" w:hAnsi="Arial" w:cs="Arial"/>
                <w:sz w:val="20"/>
                <w:szCs w:val="20"/>
              </w:rPr>
            </w:pPr>
          </w:p>
        </w:tc>
      </w:tr>
      <w:tr w:rsidR="0007198D" w:rsidRPr="00515E1C" w14:paraId="307BCA0A" w14:textId="77777777" w:rsidTr="000C7A5D">
        <w:tc>
          <w:tcPr>
            <w:tcW w:w="3600" w:type="dxa"/>
            <w:shd w:val="clear" w:color="auto" w:fill="auto"/>
          </w:tcPr>
          <w:p w14:paraId="37C21BD1"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DATA SOURCES and DATA ISSUES</w:t>
            </w:r>
          </w:p>
        </w:tc>
        <w:tc>
          <w:tcPr>
            <w:tcW w:w="5858" w:type="dxa"/>
            <w:gridSpan w:val="2"/>
            <w:shd w:val="clear" w:color="auto" w:fill="auto"/>
          </w:tcPr>
          <w:p w14:paraId="2CB1EEED" w14:textId="77777777" w:rsidR="0007198D" w:rsidRDefault="0007198D" w:rsidP="000C7A5D">
            <w:pPr>
              <w:spacing w:after="0" w:line="240" w:lineRule="auto"/>
              <w:rPr>
                <w:rFonts w:ascii="Arial" w:hAnsi="Arial" w:cs="Arial"/>
                <w:noProof/>
                <w:sz w:val="20"/>
                <w:szCs w:val="20"/>
              </w:rPr>
            </w:pPr>
            <w:r w:rsidRPr="00531366">
              <w:rPr>
                <w:rFonts w:ascii="Arial" w:hAnsi="Arial" w:cs="Arial"/>
                <w:noProof/>
                <w:sz w:val="20"/>
                <w:szCs w:val="20"/>
              </w:rPr>
              <w:t>National Vital Statistics System (NVSS)</w:t>
            </w:r>
          </w:p>
          <w:p w14:paraId="4127D74F" w14:textId="77777777" w:rsidR="0007198D" w:rsidRPr="00531366" w:rsidRDefault="0007198D" w:rsidP="000C7A5D">
            <w:pPr>
              <w:spacing w:after="0" w:line="240" w:lineRule="auto"/>
              <w:rPr>
                <w:rFonts w:ascii="Arial" w:hAnsi="Arial" w:cs="Arial"/>
                <w:sz w:val="20"/>
                <w:szCs w:val="20"/>
              </w:rPr>
            </w:pPr>
            <w:r>
              <w:rPr>
                <w:rFonts w:ascii="Arial" w:hAnsi="Arial" w:cs="Arial"/>
                <w:noProof/>
                <w:sz w:val="20"/>
                <w:szCs w:val="20"/>
              </w:rPr>
              <w:t>Population estimates</w:t>
            </w:r>
            <w:r w:rsidRPr="00531366">
              <w:rPr>
                <w:rFonts w:ascii="Arial" w:hAnsi="Arial" w:cs="Arial"/>
                <w:noProof/>
                <w:sz w:val="20"/>
                <w:szCs w:val="20"/>
              </w:rPr>
              <w:t xml:space="preserve"> come from the U.S. Census Bureau</w:t>
            </w:r>
          </w:p>
        </w:tc>
      </w:tr>
      <w:tr w:rsidR="0007198D" w:rsidRPr="00515E1C" w14:paraId="7863C13D" w14:textId="77777777" w:rsidTr="000C7A5D">
        <w:tc>
          <w:tcPr>
            <w:tcW w:w="3600" w:type="dxa"/>
            <w:shd w:val="clear" w:color="auto" w:fill="auto"/>
          </w:tcPr>
          <w:p w14:paraId="1802C165" w14:textId="77777777" w:rsidR="0007198D" w:rsidRPr="00531366" w:rsidRDefault="0007198D" w:rsidP="000C7A5D">
            <w:pPr>
              <w:spacing w:after="0" w:line="240" w:lineRule="auto"/>
              <w:rPr>
                <w:rFonts w:ascii="Arial" w:hAnsi="Arial" w:cs="Arial"/>
                <w:b/>
                <w:sz w:val="20"/>
                <w:szCs w:val="20"/>
              </w:rPr>
            </w:pPr>
          </w:p>
        </w:tc>
        <w:tc>
          <w:tcPr>
            <w:tcW w:w="5858" w:type="dxa"/>
            <w:gridSpan w:val="2"/>
            <w:shd w:val="clear" w:color="auto" w:fill="auto"/>
          </w:tcPr>
          <w:p w14:paraId="3CC1F86A" w14:textId="77777777" w:rsidR="0007198D" w:rsidRPr="00531366" w:rsidRDefault="0007198D" w:rsidP="000C7A5D">
            <w:pPr>
              <w:spacing w:after="0" w:line="240" w:lineRule="auto"/>
              <w:rPr>
                <w:rFonts w:ascii="Arial" w:hAnsi="Arial" w:cs="Arial"/>
                <w:sz w:val="20"/>
                <w:szCs w:val="20"/>
              </w:rPr>
            </w:pPr>
          </w:p>
        </w:tc>
      </w:tr>
      <w:tr w:rsidR="0007198D" w:rsidRPr="00515E1C" w14:paraId="74A69275" w14:textId="77777777" w:rsidTr="000C7A5D">
        <w:tc>
          <w:tcPr>
            <w:tcW w:w="3600" w:type="dxa"/>
            <w:shd w:val="clear" w:color="auto" w:fill="auto"/>
          </w:tcPr>
          <w:p w14:paraId="25F92CFC"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SIGNIFICANCE</w:t>
            </w:r>
          </w:p>
        </w:tc>
        <w:tc>
          <w:tcPr>
            <w:tcW w:w="5858" w:type="dxa"/>
            <w:gridSpan w:val="2"/>
            <w:shd w:val="clear" w:color="auto" w:fill="auto"/>
          </w:tcPr>
          <w:p w14:paraId="633F81B5" w14:textId="77777777" w:rsidR="0007198D" w:rsidRDefault="0007198D" w:rsidP="000C7A5D">
            <w:pPr>
              <w:spacing w:after="0" w:line="240" w:lineRule="auto"/>
              <w:rPr>
                <w:rFonts w:ascii="Arial" w:hAnsi="Arial" w:cs="Arial"/>
                <w:noProof/>
                <w:sz w:val="20"/>
                <w:szCs w:val="20"/>
              </w:rPr>
            </w:pPr>
            <w:r>
              <w:rPr>
                <w:rFonts w:ascii="Arial" w:hAnsi="Arial" w:cs="Arial"/>
                <w:noProof/>
                <w:sz w:val="20"/>
                <w:szCs w:val="20"/>
              </w:rPr>
              <w:t xml:space="preserve">More than one-third of all teen deaths are the result of a motor vehicle crash. Teenage drivers have crash rates that are nearly three times those of drivers older than 20 years. Factors related to lack of driving experience and maturity contribute to motor vehicle mortality, such as driving too fast, violating traffic signals, alcohol use and presence of other teenage passengers. Motor vehicle death rates greatly increase during the teen years and stay high into early adulthood. Males are nearly twice as likely as females to die in motor vehicle accidents. Non-Hispanic white male and American Indian/Alaskan male adolescents have the highest motor vehicle mortality rate among 15-19 year olds.  </w:t>
            </w:r>
          </w:p>
          <w:p w14:paraId="165FE582" w14:textId="77777777" w:rsidR="0007198D" w:rsidRDefault="0007198D" w:rsidP="000C7A5D">
            <w:pPr>
              <w:spacing w:after="0" w:line="240" w:lineRule="auto"/>
              <w:rPr>
                <w:rFonts w:ascii="Arial" w:hAnsi="Arial" w:cs="Arial"/>
                <w:noProof/>
                <w:sz w:val="20"/>
                <w:szCs w:val="20"/>
              </w:rPr>
            </w:pPr>
          </w:p>
          <w:p w14:paraId="77F45D27" w14:textId="77777777" w:rsidR="0007198D" w:rsidRPr="00531366" w:rsidRDefault="0007198D" w:rsidP="000C7A5D">
            <w:pPr>
              <w:spacing w:after="0" w:line="240" w:lineRule="auto"/>
              <w:rPr>
                <w:rFonts w:ascii="Arial" w:hAnsi="Arial" w:cs="Arial"/>
                <w:sz w:val="20"/>
                <w:szCs w:val="20"/>
              </w:rPr>
            </w:pPr>
            <w:r>
              <w:rPr>
                <w:rFonts w:ascii="Arial" w:hAnsi="Arial" w:cs="Arial"/>
                <w:noProof/>
                <w:sz w:val="20"/>
                <w:szCs w:val="20"/>
              </w:rPr>
              <w:t xml:space="preserve">Child Trends: Data Bank. Motor Vehicle Deaths-Indicators on Children and Youth. 2015 December. </w:t>
            </w:r>
            <w:hyperlink r:id="rId104" w:history="1">
              <w:r w:rsidRPr="005E5676">
                <w:rPr>
                  <w:rStyle w:val="Hyperlink"/>
                  <w:rFonts w:ascii="Arial" w:hAnsi="Arial" w:cs="Arial"/>
                  <w:noProof/>
                  <w:sz w:val="20"/>
                  <w:szCs w:val="20"/>
                </w:rPr>
                <w:t>https://www.childtrends.org/wp-content/uploads/2012/11/77_Vehicle_Deaths.pdf</w:t>
              </w:r>
            </w:hyperlink>
            <w:r>
              <w:rPr>
                <w:rFonts w:ascii="Arial" w:hAnsi="Arial" w:cs="Arial"/>
                <w:noProof/>
                <w:sz w:val="20"/>
                <w:szCs w:val="20"/>
              </w:rPr>
              <w:t xml:space="preserve"> </w:t>
            </w:r>
          </w:p>
        </w:tc>
      </w:tr>
      <w:tr w:rsidR="0007198D" w:rsidRPr="00515E1C" w14:paraId="307E21FA" w14:textId="77777777" w:rsidTr="000C7A5D">
        <w:tc>
          <w:tcPr>
            <w:tcW w:w="3600" w:type="dxa"/>
            <w:shd w:val="clear" w:color="auto" w:fill="auto"/>
          </w:tcPr>
          <w:p w14:paraId="354D84EC" w14:textId="77777777" w:rsidR="0007198D" w:rsidRPr="00531366" w:rsidRDefault="0007198D" w:rsidP="000C7A5D">
            <w:pPr>
              <w:spacing w:after="0" w:line="240" w:lineRule="auto"/>
              <w:rPr>
                <w:rFonts w:ascii="Arial" w:hAnsi="Arial" w:cs="Arial"/>
                <w:sz w:val="20"/>
                <w:szCs w:val="20"/>
              </w:rPr>
            </w:pPr>
          </w:p>
        </w:tc>
        <w:tc>
          <w:tcPr>
            <w:tcW w:w="5858" w:type="dxa"/>
            <w:gridSpan w:val="2"/>
            <w:shd w:val="clear" w:color="auto" w:fill="auto"/>
          </w:tcPr>
          <w:p w14:paraId="79F1134B" w14:textId="77777777" w:rsidR="0007198D" w:rsidRPr="00531366" w:rsidRDefault="0007198D" w:rsidP="000C7A5D">
            <w:pPr>
              <w:spacing w:after="0" w:line="240" w:lineRule="auto"/>
              <w:rPr>
                <w:rFonts w:ascii="Arial" w:hAnsi="Arial" w:cs="Arial"/>
                <w:sz w:val="20"/>
                <w:szCs w:val="20"/>
              </w:rPr>
            </w:pPr>
          </w:p>
        </w:tc>
      </w:tr>
    </w:tbl>
    <w:p w14:paraId="71EA45DD" w14:textId="77777777" w:rsidR="0007198D" w:rsidRDefault="0007198D" w:rsidP="0007198D">
      <w:pPr>
        <w:spacing w:after="0" w:line="240" w:lineRule="auto"/>
        <w:sectPr w:rsidR="0007198D" w:rsidSect="008A00F6">
          <w:pgSz w:w="12240" w:h="15840"/>
          <w:pgMar w:top="1440" w:right="1440" w:bottom="1440" w:left="1440" w:header="720" w:footer="720" w:gutter="0"/>
          <w:cols w:space="720"/>
          <w:docGrid w:linePitch="360"/>
        </w:sectPr>
      </w:pPr>
    </w:p>
    <w:tbl>
      <w:tblPr>
        <w:tblW w:w="0" w:type="auto"/>
        <w:tblLook w:val="04A0" w:firstRow="1" w:lastRow="0" w:firstColumn="1" w:lastColumn="0" w:noHBand="0" w:noVBand="1"/>
      </w:tblPr>
      <w:tblGrid>
        <w:gridCol w:w="3618"/>
        <w:gridCol w:w="5868"/>
      </w:tblGrid>
      <w:tr w:rsidR="0007198D" w:rsidRPr="003F48A1" w14:paraId="33BCF28E" w14:textId="77777777" w:rsidTr="000C7A5D">
        <w:tc>
          <w:tcPr>
            <w:tcW w:w="3618" w:type="dxa"/>
            <w:shd w:val="clear" w:color="auto" w:fill="auto"/>
          </w:tcPr>
          <w:p w14:paraId="43872B84" w14:textId="77777777" w:rsidR="0007198D" w:rsidRPr="00531366" w:rsidRDefault="0007198D" w:rsidP="000C7A5D">
            <w:pPr>
              <w:spacing w:after="0" w:line="240" w:lineRule="auto"/>
              <w:rPr>
                <w:rFonts w:ascii="Arial" w:hAnsi="Arial" w:cs="Arial"/>
                <w:b/>
                <w:sz w:val="24"/>
                <w:szCs w:val="24"/>
              </w:rPr>
            </w:pPr>
            <w:r w:rsidRPr="00531366">
              <w:rPr>
                <w:rFonts w:ascii="Arial" w:hAnsi="Arial" w:cs="Arial"/>
                <w:b/>
                <w:sz w:val="24"/>
                <w:szCs w:val="24"/>
              </w:rPr>
              <w:t xml:space="preserve">OUTCOME MEASURE </w:t>
            </w:r>
            <w:r>
              <w:rPr>
                <w:rFonts w:ascii="Arial" w:hAnsi="Arial" w:cs="Arial"/>
                <w:b/>
                <w:noProof/>
                <w:sz w:val="24"/>
                <w:szCs w:val="24"/>
              </w:rPr>
              <w:t>16.3</w:t>
            </w:r>
          </w:p>
        </w:tc>
        <w:tc>
          <w:tcPr>
            <w:tcW w:w="5868" w:type="dxa"/>
            <w:shd w:val="clear" w:color="auto" w:fill="auto"/>
          </w:tcPr>
          <w:p w14:paraId="339D4716" w14:textId="1D9BA525" w:rsidR="0007198D" w:rsidRPr="00531366" w:rsidRDefault="0007198D" w:rsidP="000C7A5D">
            <w:pPr>
              <w:spacing w:after="0" w:line="240" w:lineRule="auto"/>
              <w:rPr>
                <w:rFonts w:ascii="Arial" w:hAnsi="Arial" w:cs="Arial"/>
                <w:b/>
                <w:sz w:val="24"/>
                <w:szCs w:val="24"/>
              </w:rPr>
            </w:pPr>
            <w:r>
              <w:rPr>
                <w:rFonts w:ascii="Arial" w:hAnsi="Arial" w:cs="Arial"/>
                <w:b/>
                <w:noProof/>
                <w:sz w:val="24"/>
                <w:szCs w:val="24"/>
              </w:rPr>
              <w:t>Adolescent suicide rate</w:t>
            </w:r>
            <w:r w:rsidR="000A10EE">
              <w:rPr>
                <w:rFonts w:ascii="Arial" w:hAnsi="Arial" w:cs="Arial"/>
                <w:b/>
                <w:noProof/>
                <w:sz w:val="24"/>
                <w:szCs w:val="24"/>
              </w:rPr>
              <w:t>,</w:t>
            </w:r>
            <w:r w:rsidRPr="00531366">
              <w:rPr>
                <w:rFonts w:ascii="Arial" w:hAnsi="Arial" w:cs="Arial"/>
                <w:b/>
                <w:noProof/>
                <w:sz w:val="24"/>
                <w:szCs w:val="24"/>
              </w:rPr>
              <w:t xml:space="preserve"> </w:t>
            </w:r>
            <w:r>
              <w:rPr>
                <w:rFonts w:ascii="Arial" w:hAnsi="Arial" w:cs="Arial"/>
                <w:b/>
                <w:noProof/>
                <w:sz w:val="24"/>
                <w:szCs w:val="24"/>
              </w:rPr>
              <w:t>ages</w:t>
            </w:r>
            <w:r w:rsidRPr="00531366">
              <w:rPr>
                <w:rFonts w:ascii="Arial" w:hAnsi="Arial" w:cs="Arial"/>
                <w:b/>
                <w:noProof/>
                <w:sz w:val="24"/>
                <w:szCs w:val="24"/>
              </w:rPr>
              <w:t xml:space="preserve"> 15 through 19</w:t>
            </w:r>
            <w:r w:rsidR="000A10EE">
              <w:rPr>
                <w:rFonts w:ascii="Arial" w:hAnsi="Arial" w:cs="Arial"/>
                <w:b/>
                <w:noProof/>
                <w:sz w:val="24"/>
                <w:szCs w:val="24"/>
              </w:rPr>
              <w:t>,</w:t>
            </w:r>
            <w:r w:rsidRPr="00531366">
              <w:rPr>
                <w:rFonts w:ascii="Arial" w:hAnsi="Arial" w:cs="Arial"/>
                <w:b/>
                <w:noProof/>
                <w:sz w:val="24"/>
                <w:szCs w:val="24"/>
              </w:rPr>
              <w:t xml:space="preserve"> per 100,000</w:t>
            </w:r>
          </w:p>
        </w:tc>
      </w:tr>
    </w:tbl>
    <w:p w14:paraId="72B20A13" w14:textId="77777777" w:rsidR="0007198D" w:rsidRDefault="0007198D" w:rsidP="0007198D">
      <w:pPr>
        <w:spacing w:after="0" w:line="240" w:lineRule="auto"/>
      </w:pPr>
    </w:p>
    <w:p w14:paraId="33396899" w14:textId="77777777" w:rsidR="0007198D" w:rsidRDefault="0007198D" w:rsidP="0007198D">
      <w:pPr>
        <w:spacing w:after="0" w:line="240" w:lineRule="auto"/>
      </w:pPr>
      <w:r>
        <w:rPr>
          <w:noProof/>
        </w:rPr>
        <mc:AlternateContent>
          <mc:Choice Requires="wps">
            <w:drawing>
              <wp:anchor distT="4294967295" distB="4294967295" distL="114300" distR="114300" simplePos="0" relativeHeight="251768832" behindDoc="0" locked="0" layoutInCell="1" allowOverlap="1" wp14:anchorId="2DFD6D37" wp14:editId="6E539638">
                <wp:simplePos x="0" y="0"/>
                <wp:positionH relativeFrom="column">
                  <wp:posOffset>-60960</wp:posOffset>
                </wp:positionH>
                <wp:positionV relativeFrom="paragraph">
                  <wp:posOffset>31749</wp:posOffset>
                </wp:positionV>
                <wp:extent cx="6088380" cy="0"/>
                <wp:effectExtent l="0" t="0" r="2667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3AA8B0E" id="Straight Connector 27" o:spid="_x0000_s1026" style="position:absolute;z-index:251768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" strokecolor="windowText" strokeweight="1.75pt">
                <o:lock v:ext="edit" shapetype="f"/>
              </v:line>
            </w:pict>
          </mc:Fallback>
        </mc:AlternateContent>
      </w:r>
    </w:p>
    <w:tbl>
      <w:tblPr>
        <w:tblW w:w="0" w:type="auto"/>
        <w:tblLook w:val="04A0" w:firstRow="1" w:lastRow="0" w:firstColumn="1" w:lastColumn="0" w:noHBand="0" w:noVBand="1"/>
      </w:tblPr>
      <w:tblGrid>
        <w:gridCol w:w="3618"/>
        <w:gridCol w:w="3384"/>
        <w:gridCol w:w="2556"/>
      </w:tblGrid>
      <w:tr w:rsidR="0007198D" w:rsidRPr="00515E1C" w14:paraId="4B19590B" w14:textId="77777777" w:rsidTr="000C7A5D">
        <w:tc>
          <w:tcPr>
            <w:tcW w:w="3618" w:type="dxa"/>
            <w:shd w:val="clear" w:color="auto" w:fill="auto"/>
          </w:tcPr>
          <w:p w14:paraId="3C6E8C6D"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GOAL</w:t>
            </w:r>
          </w:p>
        </w:tc>
        <w:tc>
          <w:tcPr>
            <w:tcW w:w="5940" w:type="dxa"/>
            <w:gridSpan w:val="2"/>
            <w:shd w:val="clear" w:color="auto" w:fill="auto"/>
          </w:tcPr>
          <w:p w14:paraId="780DF913"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noProof/>
                <w:sz w:val="20"/>
                <w:szCs w:val="20"/>
              </w:rPr>
              <w:t>To eliminate self-induced, preventable morbidity and mortality.</w:t>
            </w:r>
          </w:p>
        </w:tc>
      </w:tr>
      <w:tr w:rsidR="0007198D" w:rsidRPr="00515E1C" w14:paraId="06BE01A0" w14:textId="77777777" w:rsidTr="000C7A5D">
        <w:tc>
          <w:tcPr>
            <w:tcW w:w="3618" w:type="dxa"/>
            <w:shd w:val="clear" w:color="auto" w:fill="auto"/>
          </w:tcPr>
          <w:p w14:paraId="2679E0AD"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2CAD12FB" w14:textId="77777777" w:rsidR="0007198D" w:rsidRPr="00531366" w:rsidRDefault="0007198D" w:rsidP="000C7A5D">
            <w:pPr>
              <w:spacing w:after="0" w:line="240" w:lineRule="auto"/>
              <w:rPr>
                <w:rFonts w:ascii="Arial" w:hAnsi="Arial" w:cs="Arial"/>
                <w:sz w:val="20"/>
                <w:szCs w:val="20"/>
              </w:rPr>
            </w:pPr>
          </w:p>
        </w:tc>
      </w:tr>
      <w:tr w:rsidR="0007198D" w:rsidRPr="00515E1C" w14:paraId="23047257" w14:textId="77777777" w:rsidTr="000C7A5D">
        <w:tc>
          <w:tcPr>
            <w:tcW w:w="3618" w:type="dxa"/>
            <w:shd w:val="clear" w:color="auto" w:fill="auto"/>
          </w:tcPr>
          <w:p w14:paraId="425113D1"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DEFINITION</w:t>
            </w:r>
          </w:p>
        </w:tc>
        <w:tc>
          <w:tcPr>
            <w:tcW w:w="5940" w:type="dxa"/>
            <w:gridSpan w:val="2"/>
            <w:shd w:val="clear" w:color="auto" w:fill="auto"/>
          </w:tcPr>
          <w:p w14:paraId="3B7217B6"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Numerator:</w:t>
            </w:r>
          </w:p>
        </w:tc>
      </w:tr>
      <w:tr w:rsidR="0007198D" w:rsidRPr="00515E1C" w14:paraId="5DFA0337" w14:textId="77777777" w:rsidTr="000C7A5D">
        <w:tc>
          <w:tcPr>
            <w:tcW w:w="3618" w:type="dxa"/>
            <w:shd w:val="clear" w:color="auto" w:fill="auto"/>
          </w:tcPr>
          <w:p w14:paraId="7CA3498B"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1F4966D0"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noProof/>
                <w:sz w:val="20"/>
                <w:szCs w:val="20"/>
              </w:rPr>
              <w:t xml:space="preserve">Number of deaths attributed to suicide among </w:t>
            </w:r>
            <w:r>
              <w:rPr>
                <w:rFonts w:ascii="Arial" w:hAnsi="Arial" w:cs="Arial"/>
                <w:noProof/>
                <w:sz w:val="20"/>
                <w:szCs w:val="20"/>
              </w:rPr>
              <w:t>adolescents</w:t>
            </w:r>
            <w:r w:rsidRPr="00531366">
              <w:rPr>
                <w:rFonts w:ascii="Arial" w:hAnsi="Arial" w:cs="Arial"/>
                <w:noProof/>
                <w:sz w:val="20"/>
                <w:szCs w:val="20"/>
              </w:rPr>
              <w:t xml:space="preserve"> </w:t>
            </w:r>
            <w:r>
              <w:rPr>
                <w:rFonts w:ascii="Arial" w:hAnsi="Arial" w:cs="Arial"/>
                <w:noProof/>
                <w:sz w:val="20"/>
                <w:szCs w:val="20"/>
              </w:rPr>
              <w:t>ages</w:t>
            </w:r>
            <w:r w:rsidRPr="00531366">
              <w:rPr>
                <w:rFonts w:ascii="Arial" w:hAnsi="Arial" w:cs="Arial"/>
                <w:noProof/>
                <w:sz w:val="20"/>
                <w:szCs w:val="20"/>
              </w:rPr>
              <w:t xml:space="preserve"> 15 through 19</w:t>
            </w:r>
            <w:r>
              <w:rPr>
                <w:rFonts w:ascii="Arial" w:hAnsi="Arial" w:cs="Arial"/>
                <w:noProof/>
                <w:sz w:val="20"/>
                <w:szCs w:val="20"/>
              </w:rPr>
              <w:t xml:space="preserve"> years</w:t>
            </w:r>
          </w:p>
        </w:tc>
      </w:tr>
      <w:tr w:rsidR="0007198D" w:rsidRPr="00515E1C" w14:paraId="14B968D1" w14:textId="77777777" w:rsidTr="000C7A5D">
        <w:tc>
          <w:tcPr>
            <w:tcW w:w="3618" w:type="dxa"/>
            <w:shd w:val="clear" w:color="auto" w:fill="auto"/>
          </w:tcPr>
          <w:p w14:paraId="5B5A4406"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30F07B5D" w14:textId="77777777" w:rsidR="0007198D" w:rsidRPr="00531366" w:rsidRDefault="0007198D" w:rsidP="000C7A5D">
            <w:pPr>
              <w:spacing w:after="0" w:line="240" w:lineRule="auto"/>
              <w:rPr>
                <w:rFonts w:ascii="Arial" w:hAnsi="Arial" w:cs="Arial"/>
                <w:sz w:val="20"/>
                <w:szCs w:val="20"/>
              </w:rPr>
            </w:pPr>
          </w:p>
        </w:tc>
      </w:tr>
      <w:tr w:rsidR="0007198D" w:rsidRPr="00515E1C" w14:paraId="58037BF1" w14:textId="77777777" w:rsidTr="000C7A5D">
        <w:tc>
          <w:tcPr>
            <w:tcW w:w="3618" w:type="dxa"/>
            <w:shd w:val="clear" w:color="auto" w:fill="auto"/>
          </w:tcPr>
          <w:p w14:paraId="27F6DF16"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44D91B92"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Denominator:</w:t>
            </w:r>
          </w:p>
        </w:tc>
      </w:tr>
      <w:tr w:rsidR="0007198D" w:rsidRPr="00515E1C" w14:paraId="1CF76F48" w14:textId="77777777" w:rsidTr="000C7A5D">
        <w:tc>
          <w:tcPr>
            <w:tcW w:w="3618" w:type="dxa"/>
            <w:shd w:val="clear" w:color="auto" w:fill="auto"/>
          </w:tcPr>
          <w:p w14:paraId="18B6A678"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321CFBDF"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noProof/>
                <w:sz w:val="20"/>
                <w:szCs w:val="20"/>
              </w:rPr>
              <w:t xml:space="preserve">Number of </w:t>
            </w:r>
            <w:r>
              <w:rPr>
                <w:rFonts w:ascii="Arial" w:hAnsi="Arial" w:cs="Arial"/>
                <w:noProof/>
                <w:sz w:val="20"/>
                <w:szCs w:val="20"/>
              </w:rPr>
              <w:t>adolescent</w:t>
            </w:r>
            <w:r w:rsidRPr="00531366">
              <w:rPr>
                <w:rFonts w:ascii="Arial" w:hAnsi="Arial" w:cs="Arial"/>
                <w:noProof/>
                <w:sz w:val="20"/>
                <w:szCs w:val="20"/>
              </w:rPr>
              <w:t xml:space="preserve">s </w:t>
            </w:r>
            <w:r>
              <w:rPr>
                <w:rFonts w:ascii="Arial" w:hAnsi="Arial" w:cs="Arial"/>
                <w:noProof/>
                <w:sz w:val="20"/>
                <w:szCs w:val="20"/>
              </w:rPr>
              <w:t>ages</w:t>
            </w:r>
            <w:r w:rsidRPr="00531366">
              <w:rPr>
                <w:rFonts w:ascii="Arial" w:hAnsi="Arial" w:cs="Arial"/>
                <w:noProof/>
                <w:sz w:val="20"/>
                <w:szCs w:val="20"/>
              </w:rPr>
              <w:t xml:space="preserve"> 15 through 19</w:t>
            </w:r>
            <w:r>
              <w:rPr>
                <w:rFonts w:ascii="Arial" w:hAnsi="Arial" w:cs="Arial"/>
                <w:noProof/>
                <w:sz w:val="20"/>
                <w:szCs w:val="20"/>
              </w:rPr>
              <w:t xml:space="preserve"> years</w:t>
            </w:r>
          </w:p>
        </w:tc>
      </w:tr>
      <w:tr w:rsidR="0007198D" w:rsidRPr="00515E1C" w14:paraId="2503B27E" w14:textId="77777777" w:rsidTr="000C7A5D">
        <w:tc>
          <w:tcPr>
            <w:tcW w:w="3618" w:type="dxa"/>
            <w:shd w:val="clear" w:color="auto" w:fill="auto"/>
          </w:tcPr>
          <w:p w14:paraId="5B74EBC1"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2F8539B5" w14:textId="77777777" w:rsidR="0007198D" w:rsidRPr="00531366" w:rsidRDefault="0007198D" w:rsidP="000C7A5D">
            <w:pPr>
              <w:spacing w:after="0" w:line="240" w:lineRule="auto"/>
              <w:rPr>
                <w:rFonts w:ascii="Arial" w:hAnsi="Arial" w:cs="Arial"/>
                <w:sz w:val="20"/>
                <w:szCs w:val="20"/>
              </w:rPr>
            </w:pPr>
          </w:p>
        </w:tc>
      </w:tr>
      <w:tr w:rsidR="0007198D" w:rsidRPr="00515E1C" w14:paraId="0B40BFFC" w14:textId="77777777" w:rsidTr="000C7A5D">
        <w:tc>
          <w:tcPr>
            <w:tcW w:w="3618" w:type="dxa"/>
            <w:shd w:val="clear" w:color="auto" w:fill="auto"/>
          </w:tcPr>
          <w:p w14:paraId="19E3482B" w14:textId="77777777" w:rsidR="0007198D" w:rsidRPr="00531366" w:rsidRDefault="0007198D" w:rsidP="000C7A5D">
            <w:pPr>
              <w:spacing w:after="0" w:line="240" w:lineRule="auto"/>
              <w:rPr>
                <w:rFonts w:ascii="Arial" w:hAnsi="Arial" w:cs="Arial"/>
                <w:b/>
                <w:sz w:val="20"/>
                <w:szCs w:val="20"/>
              </w:rPr>
            </w:pPr>
          </w:p>
        </w:tc>
        <w:tc>
          <w:tcPr>
            <w:tcW w:w="3384" w:type="dxa"/>
            <w:shd w:val="clear" w:color="auto" w:fill="auto"/>
          </w:tcPr>
          <w:p w14:paraId="3F545C88"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b/>
                <w:sz w:val="20"/>
                <w:szCs w:val="20"/>
              </w:rPr>
              <w:t>Units:</w:t>
            </w:r>
            <w:r w:rsidRPr="00531366">
              <w:rPr>
                <w:rFonts w:ascii="Arial" w:hAnsi="Arial" w:cs="Arial"/>
                <w:sz w:val="20"/>
                <w:szCs w:val="20"/>
              </w:rPr>
              <w:t xml:space="preserve"> </w:t>
            </w:r>
            <w:r w:rsidRPr="00531366">
              <w:rPr>
                <w:rFonts w:ascii="Arial" w:hAnsi="Arial" w:cs="Arial"/>
                <w:noProof/>
                <w:sz w:val="20"/>
                <w:szCs w:val="20"/>
              </w:rPr>
              <w:t>100,000</w:t>
            </w:r>
          </w:p>
        </w:tc>
        <w:tc>
          <w:tcPr>
            <w:tcW w:w="2556" w:type="dxa"/>
            <w:shd w:val="clear" w:color="auto" w:fill="auto"/>
          </w:tcPr>
          <w:p w14:paraId="226EAF1D"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b/>
                <w:sz w:val="20"/>
                <w:szCs w:val="20"/>
              </w:rPr>
              <w:t>Text:</w:t>
            </w:r>
            <w:r w:rsidRPr="00531366">
              <w:rPr>
                <w:rFonts w:ascii="Arial" w:hAnsi="Arial" w:cs="Arial"/>
                <w:sz w:val="20"/>
                <w:szCs w:val="20"/>
              </w:rPr>
              <w:t xml:space="preserve"> </w:t>
            </w:r>
            <w:r w:rsidRPr="00531366">
              <w:rPr>
                <w:rFonts w:ascii="Arial" w:hAnsi="Arial" w:cs="Arial"/>
                <w:noProof/>
                <w:sz w:val="20"/>
                <w:szCs w:val="20"/>
              </w:rPr>
              <w:t>Rate</w:t>
            </w:r>
          </w:p>
        </w:tc>
      </w:tr>
      <w:tr w:rsidR="0007198D" w:rsidRPr="00515E1C" w14:paraId="694D87E0" w14:textId="77777777" w:rsidTr="000C7A5D">
        <w:tc>
          <w:tcPr>
            <w:tcW w:w="3618" w:type="dxa"/>
            <w:shd w:val="clear" w:color="auto" w:fill="auto"/>
          </w:tcPr>
          <w:p w14:paraId="4E11CEDC"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1C399D20" w14:textId="77777777" w:rsidR="0007198D" w:rsidRPr="00531366" w:rsidRDefault="0007198D" w:rsidP="000C7A5D">
            <w:pPr>
              <w:spacing w:after="0" w:line="240" w:lineRule="auto"/>
              <w:rPr>
                <w:rFonts w:ascii="Arial" w:hAnsi="Arial" w:cs="Arial"/>
                <w:sz w:val="20"/>
                <w:szCs w:val="20"/>
              </w:rPr>
            </w:pPr>
          </w:p>
        </w:tc>
      </w:tr>
      <w:tr w:rsidR="0007198D" w:rsidRPr="00515E1C" w14:paraId="0C8F445C" w14:textId="77777777" w:rsidTr="000C7A5D">
        <w:tc>
          <w:tcPr>
            <w:tcW w:w="3618" w:type="dxa"/>
            <w:shd w:val="clear" w:color="auto" w:fill="auto"/>
          </w:tcPr>
          <w:p w14:paraId="5E627F81"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HEALTHY PEOPLE 2020 OBJECTIVE</w:t>
            </w:r>
          </w:p>
        </w:tc>
        <w:tc>
          <w:tcPr>
            <w:tcW w:w="5940" w:type="dxa"/>
            <w:gridSpan w:val="2"/>
            <w:shd w:val="clear" w:color="auto" w:fill="auto"/>
          </w:tcPr>
          <w:p w14:paraId="03C25D9F" w14:textId="77777777" w:rsidR="0007198D" w:rsidRPr="00531366" w:rsidRDefault="0007198D" w:rsidP="000C7A5D">
            <w:pPr>
              <w:spacing w:after="0" w:line="240" w:lineRule="auto"/>
              <w:rPr>
                <w:rFonts w:ascii="Arial" w:hAnsi="Arial" w:cs="Arial"/>
                <w:noProof/>
                <w:sz w:val="20"/>
                <w:szCs w:val="20"/>
              </w:rPr>
            </w:pPr>
            <w:r w:rsidRPr="00531366">
              <w:rPr>
                <w:rFonts w:ascii="Arial" w:hAnsi="Arial" w:cs="Arial"/>
                <w:noProof/>
                <w:sz w:val="20"/>
                <w:szCs w:val="20"/>
              </w:rPr>
              <w:t>Related to Mental Health and Mental Disorders (MHMD) Objective 1: Reduce the suicide rate.  (Baseline: 11.3 suicides per 100,000 in 2007, Target: 10.2 suicides per 100,000)</w:t>
            </w:r>
          </w:p>
          <w:p w14:paraId="528E4380" w14:textId="77777777" w:rsidR="0007198D" w:rsidRPr="00531366" w:rsidRDefault="0007198D" w:rsidP="000C7A5D">
            <w:pPr>
              <w:spacing w:after="0" w:line="240" w:lineRule="auto"/>
              <w:rPr>
                <w:rFonts w:ascii="Arial" w:hAnsi="Arial" w:cs="Arial"/>
                <w:noProof/>
                <w:sz w:val="20"/>
                <w:szCs w:val="20"/>
              </w:rPr>
            </w:pPr>
          </w:p>
          <w:p w14:paraId="36C05BD1"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noProof/>
                <w:sz w:val="20"/>
                <w:szCs w:val="20"/>
              </w:rPr>
              <w:t>Related to Mental Health and Mental Disorders (MHMD) Objective 2: Reduce suicide attempts by adolescents.  (Baseline: 1.9 suicide attempts per 100 occurred in 2009, Target: 1.7 suicide attempts per 100)</w:t>
            </w:r>
          </w:p>
        </w:tc>
      </w:tr>
      <w:tr w:rsidR="0007198D" w:rsidRPr="00515E1C" w14:paraId="40969B75" w14:textId="77777777" w:rsidTr="000C7A5D">
        <w:tc>
          <w:tcPr>
            <w:tcW w:w="3618" w:type="dxa"/>
            <w:shd w:val="clear" w:color="auto" w:fill="auto"/>
          </w:tcPr>
          <w:p w14:paraId="6F3E3252"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401D56C5" w14:textId="77777777" w:rsidR="0007198D" w:rsidRPr="00531366" w:rsidRDefault="0007198D" w:rsidP="000C7A5D">
            <w:pPr>
              <w:spacing w:after="0" w:line="240" w:lineRule="auto"/>
              <w:rPr>
                <w:rFonts w:ascii="Arial" w:hAnsi="Arial" w:cs="Arial"/>
                <w:sz w:val="20"/>
                <w:szCs w:val="20"/>
              </w:rPr>
            </w:pPr>
          </w:p>
        </w:tc>
      </w:tr>
      <w:tr w:rsidR="0007198D" w:rsidRPr="00515E1C" w14:paraId="694CA8E1" w14:textId="77777777" w:rsidTr="000C7A5D">
        <w:tc>
          <w:tcPr>
            <w:tcW w:w="3618" w:type="dxa"/>
            <w:shd w:val="clear" w:color="auto" w:fill="auto"/>
          </w:tcPr>
          <w:p w14:paraId="6CD6B3D0"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DATA SOURCES and DATA ISSUES</w:t>
            </w:r>
          </w:p>
        </w:tc>
        <w:tc>
          <w:tcPr>
            <w:tcW w:w="5940" w:type="dxa"/>
            <w:gridSpan w:val="2"/>
            <w:shd w:val="clear" w:color="auto" w:fill="auto"/>
          </w:tcPr>
          <w:p w14:paraId="03BD2A60" w14:textId="77777777" w:rsidR="0007198D" w:rsidRDefault="0007198D" w:rsidP="000C7A5D">
            <w:pPr>
              <w:spacing w:after="0" w:line="240" w:lineRule="auto"/>
              <w:rPr>
                <w:rFonts w:ascii="Arial" w:hAnsi="Arial" w:cs="Arial"/>
                <w:noProof/>
                <w:sz w:val="20"/>
                <w:szCs w:val="20"/>
              </w:rPr>
            </w:pPr>
            <w:r w:rsidRPr="00531366">
              <w:rPr>
                <w:rFonts w:ascii="Arial" w:hAnsi="Arial" w:cs="Arial"/>
                <w:noProof/>
                <w:sz w:val="20"/>
                <w:szCs w:val="20"/>
              </w:rPr>
              <w:t>National Vital Statistics System (NVSS)</w:t>
            </w:r>
          </w:p>
          <w:p w14:paraId="0B0F6970" w14:textId="77777777" w:rsidR="0007198D" w:rsidRPr="00531366" w:rsidRDefault="0007198D" w:rsidP="000C7A5D">
            <w:pPr>
              <w:spacing w:after="0" w:line="240" w:lineRule="auto"/>
              <w:rPr>
                <w:rFonts w:ascii="Arial" w:hAnsi="Arial" w:cs="Arial"/>
                <w:sz w:val="20"/>
                <w:szCs w:val="20"/>
              </w:rPr>
            </w:pPr>
            <w:r>
              <w:rPr>
                <w:rFonts w:ascii="Arial" w:hAnsi="Arial" w:cs="Arial"/>
                <w:noProof/>
                <w:sz w:val="20"/>
                <w:szCs w:val="20"/>
              </w:rPr>
              <w:t>Population estimates</w:t>
            </w:r>
            <w:r w:rsidRPr="00531366">
              <w:rPr>
                <w:rFonts w:ascii="Arial" w:hAnsi="Arial" w:cs="Arial"/>
                <w:noProof/>
                <w:sz w:val="20"/>
                <w:szCs w:val="20"/>
              </w:rPr>
              <w:t xml:space="preserve"> come from the U.S. Census Bureau</w:t>
            </w:r>
          </w:p>
        </w:tc>
      </w:tr>
      <w:tr w:rsidR="0007198D" w:rsidRPr="00515E1C" w14:paraId="63E7764E" w14:textId="77777777" w:rsidTr="000C7A5D">
        <w:tc>
          <w:tcPr>
            <w:tcW w:w="3618" w:type="dxa"/>
            <w:shd w:val="clear" w:color="auto" w:fill="auto"/>
          </w:tcPr>
          <w:p w14:paraId="3CF7AC9C"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04A5B398" w14:textId="77777777" w:rsidR="0007198D" w:rsidRPr="00531366" w:rsidRDefault="0007198D" w:rsidP="000C7A5D">
            <w:pPr>
              <w:spacing w:after="0" w:line="240" w:lineRule="auto"/>
              <w:rPr>
                <w:rFonts w:ascii="Arial" w:hAnsi="Arial" w:cs="Arial"/>
                <w:sz w:val="20"/>
                <w:szCs w:val="20"/>
              </w:rPr>
            </w:pPr>
          </w:p>
        </w:tc>
      </w:tr>
      <w:tr w:rsidR="0007198D" w:rsidRPr="00515E1C" w14:paraId="6F6C3541" w14:textId="77777777" w:rsidTr="000C7A5D">
        <w:tc>
          <w:tcPr>
            <w:tcW w:w="3618" w:type="dxa"/>
            <w:shd w:val="clear" w:color="auto" w:fill="auto"/>
          </w:tcPr>
          <w:p w14:paraId="41B26EFE"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SIGNIFICANCE</w:t>
            </w:r>
          </w:p>
        </w:tc>
        <w:tc>
          <w:tcPr>
            <w:tcW w:w="5940" w:type="dxa"/>
            <w:gridSpan w:val="2"/>
            <w:shd w:val="clear" w:color="auto" w:fill="auto"/>
          </w:tcPr>
          <w:p w14:paraId="7558EC3F" w14:textId="77777777" w:rsidR="0007198D" w:rsidRPr="00531366" w:rsidRDefault="0007198D" w:rsidP="000C7A5D">
            <w:pPr>
              <w:spacing w:after="0" w:line="240" w:lineRule="auto"/>
              <w:rPr>
                <w:rFonts w:ascii="Arial" w:hAnsi="Arial" w:cs="Arial"/>
                <w:sz w:val="20"/>
                <w:szCs w:val="20"/>
              </w:rPr>
            </w:pPr>
            <w:r>
              <w:rPr>
                <w:rFonts w:ascii="Arial" w:hAnsi="Arial" w:cs="Arial"/>
                <w:noProof/>
                <w:sz w:val="20"/>
                <w:szCs w:val="20"/>
              </w:rPr>
              <w:t>Suicide is</w:t>
            </w:r>
            <w:r w:rsidRPr="00531366">
              <w:rPr>
                <w:rFonts w:ascii="Arial" w:hAnsi="Arial" w:cs="Arial"/>
                <w:noProof/>
                <w:sz w:val="20"/>
                <w:szCs w:val="20"/>
              </w:rPr>
              <w:t xml:space="preserve"> the second leading cause of death for </w:t>
            </w:r>
            <w:r>
              <w:rPr>
                <w:rFonts w:ascii="Arial" w:hAnsi="Arial" w:cs="Arial"/>
                <w:noProof/>
                <w:sz w:val="20"/>
                <w:szCs w:val="20"/>
              </w:rPr>
              <w:t xml:space="preserve">adolescents </w:t>
            </w:r>
            <w:r w:rsidRPr="00531366">
              <w:rPr>
                <w:rFonts w:ascii="Arial" w:hAnsi="Arial" w:cs="Arial"/>
                <w:noProof/>
                <w:sz w:val="20"/>
                <w:szCs w:val="20"/>
              </w:rPr>
              <w:t>ages 1</w:t>
            </w:r>
            <w:r>
              <w:rPr>
                <w:rFonts w:ascii="Arial" w:hAnsi="Arial" w:cs="Arial"/>
                <w:noProof/>
                <w:sz w:val="20"/>
                <w:szCs w:val="20"/>
              </w:rPr>
              <w:t>5 through 19 years</w:t>
            </w:r>
            <w:r w:rsidRPr="00531366">
              <w:rPr>
                <w:rFonts w:ascii="Arial" w:hAnsi="Arial" w:cs="Arial"/>
                <w:noProof/>
                <w:sz w:val="20"/>
                <w:szCs w:val="20"/>
              </w:rPr>
              <w:t xml:space="preserve">. </w:t>
            </w:r>
            <w:r>
              <w:rPr>
                <w:rFonts w:ascii="Arial" w:hAnsi="Arial" w:cs="Arial"/>
                <w:noProof/>
                <w:sz w:val="20"/>
                <w:szCs w:val="20"/>
              </w:rPr>
              <w:t>In 2014, there were over 2,000 deaths due to suicide among adolescents ages 15 to 19 years, or 9.8 deaths per 100,000. Suicide and suicidal ideation is often indicative of mental health problems and stressful or traumatic life events. In 2015, 18 percent of high school students reported they had thought seriously about committing suicide in the past year. While females are more likely to report considering suicide, males are more likely to succeed in committing suicide. The suicide mortality rate for males is nearly three times that of females.</w:t>
            </w:r>
          </w:p>
        </w:tc>
      </w:tr>
      <w:tr w:rsidR="0007198D" w:rsidRPr="00515E1C" w14:paraId="216FC7B3" w14:textId="77777777" w:rsidTr="000C7A5D">
        <w:tc>
          <w:tcPr>
            <w:tcW w:w="3618" w:type="dxa"/>
            <w:shd w:val="clear" w:color="auto" w:fill="auto"/>
          </w:tcPr>
          <w:p w14:paraId="2543EEEF" w14:textId="77777777" w:rsidR="0007198D" w:rsidRPr="00531366" w:rsidRDefault="0007198D" w:rsidP="000C7A5D">
            <w:pPr>
              <w:spacing w:after="0" w:line="240" w:lineRule="auto"/>
              <w:rPr>
                <w:rFonts w:ascii="Arial" w:hAnsi="Arial" w:cs="Arial"/>
                <w:sz w:val="20"/>
                <w:szCs w:val="20"/>
              </w:rPr>
            </w:pPr>
          </w:p>
        </w:tc>
        <w:tc>
          <w:tcPr>
            <w:tcW w:w="5940" w:type="dxa"/>
            <w:gridSpan w:val="2"/>
            <w:shd w:val="clear" w:color="auto" w:fill="auto"/>
          </w:tcPr>
          <w:p w14:paraId="3A320517" w14:textId="77777777" w:rsidR="0007198D" w:rsidRDefault="0007198D" w:rsidP="000C7A5D">
            <w:pPr>
              <w:spacing w:after="0" w:line="240" w:lineRule="auto"/>
              <w:rPr>
                <w:rFonts w:ascii="Arial" w:hAnsi="Arial" w:cs="Arial"/>
                <w:sz w:val="20"/>
                <w:szCs w:val="20"/>
              </w:rPr>
            </w:pPr>
          </w:p>
          <w:p w14:paraId="2BFA1B06" w14:textId="77777777" w:rsidR="0007198D" w:rsidRDefault="0007198D" w:rsidP="000C7A5D">
            <w:pPr>
              <w:spacing w:after="0" w:line="240" w:lineRule="auto"/>
              <w:rPr>
                <w:rFonts w:ascii="Arial" w:hAnsi="Arial" w:cs="Arial"/>
                <w:noProof/>
                <w:sz w:val="20"/>
                <w:szCs w:val="20"/>
              </w:rPr>
            </w:pPr>
            <w:r>
              <w:rPr>
                <w:rFonts w:ascii="Arial" w:hAnsi="Arial" w:cs="Arial"/>
                <w:noProof/>
                <w:sz w:val="20"/>
                <w:szCs w:val="20"/>
              </w:rPr>
              <w:t xml:space="preserve">Heron M. Deaths: Leading Causes for 2014. National Vital Statistics Reports. 2016 June 30. 65(5). </w:t>
            </w:r>
            <w:hyperlink r:id="rId105" w:history="1">
              <w:r w:rsidRPr="005E5676">
                <w:rPr>
                  <w:rStyle w:val="Hyperlink"/>
                  <w:rFonts w:ascii="Arial" w:hAnsi="Arial" w:cs="Arial"/>
                  <w:noProof/>
                  <w:sz w:val="20"/>
                  <w:szCs w:val="20"/>
                </w:rPr>
                <w:t>https://www.cdc.gov/nchs/data/nvsr/nvsr65/nvsr65_05.pdf</w:t>
              </w:r>
            </w:hyperlink>
            <w:r>
              <w:rPr>
                <w:rFonts w:ascii="Arial" w:hAnsi="Arial" w:cs="Arial"/>
                <w:noProof/>
                <w:sz w:val="20"/>
                <w:szCs w:val="20"/>
              </w:rPr>
              <w:t xml:space="preserve">  </w:t>
            </w:r>
          </w:p>
          <w:p w14:paraId="34EB7C96" w14:textId="77777777" w:rsidR="0007198D" w:rsidRDefault="0007198D" w:rsidP="000C7A5D">
            <w:pPr>
              <w:spacing w:after="0" w:line="240" w:lineRule="auto"/>
              <w:rPr>
                <w:rFonts w:ascii="Arial" w:hAnsi="Arial" w:cs="Arial"/>
                <w:noProof/>
                <w:sz w:val="20"/>
                <w:szCs w:val="20"/>
              </w:rPr>
            </w:pPr>
          </w:p>
          <w:p w14:paraId="4917644D" w14:textId="77777777" w:rsidR="0007198D" w:rsidRPr="00531366" w:rsidRDefault="0007198D" w:rsidP="000C7A5D">
            <w:pPr>
              <w:spacing w:after="0" w:line="240" w:lineRule="auto"/>
              <w:rPr>
                <w:rFonts w:ascii="Arial" w:hAnsi="Arial" w:cs="Arial"/>
                <w:sz w:val="20"/>
                <w:szCs w:val="20"/>
              </w:rPr>
            </w:pPr>
            <w:r>
              <w:rPr>
                <w:rFonts w:ascii="Arial" w:hAnsi="Arial" w:cs="Arial"/>
                <w:sz w:val="20"/>
                <w:szCs w:val="20"/>
              </w:rPr>
              <w:t xml:space="preserve">Child Trends: Data Bank. Suicidal Teens-Indicators of Child and Youth Well-Being. 2016 December. </w:t>
            </w:r>
            <w:hyperlink r:id="rId106" w:history="1">
              <w:r w:rsidRPr="005E5676">
                <w:rPr>
                  <w:rStyle w:val="Hyperlink"/>
                  <w:rFonts w:ascii="Arial" w:hAnsi="Arial" w:cs="Arial"/>
                  <w:sz w:val="20"/>
                  <w:szCs w:val="20"/>
                </w:rPr>
                <w:t>https://www.childtrends.org/wp-content/uploads/2016/12/34_Suicidal_Teens.pdf</w:t>
              </w:r>
            </w:hyperlink>
            <w:r>
              <w:rPr>
                <w:rFonts w:ascii="Arial" w:hAnsi="Arial" w:cs="Arial"/>
                <w:sz w:val="20"/>
                <w:szCs w:val="20"/>
              </w:rPr>
              <w:t xml:space="preserve"> </w:t>
            </w:r>
          </w:p>
        </w:tc>
      </w:tr>
    </w:tbl>
    <w:p w14:paraId="584CDCD1" w14:textId="77777777" w:rsidR="0007198D" w:rsidRDefault="0007198D" w:rsidP="0007198D">
      <w:pPr>
        <w:spacing w:after="0" w:line="240" w:lineRule="auto"/>
      </w:pPr>
    </w:p>
    <w:p w14:paraId="17C02002" w14:textId="77777777" w:rsidR="0007198D" w:rsidRDefault="0007198D" w:rsidP="0007198D">
      <w:pPr>
        <w:spacing w:after="0" w:line="240" w:lineRule="auto"/>
      </w:pPr>
      <w:r>
        <w:br w:type="page"/>
      </w:r>
    </w:p>
    <w:tbl>
      <w:tblPr>
        <w:tblW w:w="0" w:type="auto"/>
        <w:tblLook w:val="04A0" w:firstRow="1" w:lastRow="0" w:firstColumn="1" w:lastColumn="0" w:noHBand="0" w:noVBand="1"/>
      </w:tblPr>
      <w:tblGrid>
        <w:gridCol w:w="3618"/>
        <w:gridCol w:w="5868"/>
      </w:tblGrid>
      <w:tr w:rsidR="0007198D" w:rsidRPr="003F48A1" w14:paraId="10D548BC" w14:textId="77777777" w:rsidTr="000C7A5D">
        <w:tc>
          <w:tcPr>
            <w:tcW w:w="3618" w:type="dxa"/>
            <w:shd w:val="clear" w:color="auto" w:fill="auto"/>
          </w:tcPr>
          <w:p w14:paraId="4098BDA6" w14:textId="77777777" w:rsidR="0007198D" w:rsidRPr="00531366" w:rsidRDefault="0007198D" w:rsidP="000C7A5D">
            <w:pPr>
              <w:spacing w:after="0" w:line="240" w:lineRule="auto"/>
              <w:rPr>
                <w:rFonts w:ascii="Arial" w:hAnsi="Arial" w:cs="Arial"/>
                <w:b/>
                <w:sz w:val="24"/>
                <w:szCs w:val="24"/>
              </w:rPr>
            </w:pPr>
            <w:r w:rsidRPr="00531366">
              <w:rPr>
                <w:rFonts w:ascii="Arial" w:hAnsi="Arial" w:cs="Arial"/>
                <w:b/>
                <w:sz w:val="24"/>
                <w:szCs w:val="24"/>
              </w:rPr>
              <w:t xml:space="preserve">OUTCOME MEASURE </w:t>
            </w:r>
            <w:r w:rsidRPr="00531366">
              <w:rPr>
                <w:rFonts w:ascii="Arial" w:hAnsi="Arial" w:cs="Arial"/>
                <w:b/>
                <w:noProof/>
                <w:sz w:val="24"/>
                <w:szCs w:val="24"/>
              </w:rPr>
              <w:t>1</w:t>
            </w:r>
            <w:r>
              <w:rPr>
                <w:rFonts w:ascii="Arial" w:hAnsi="Arial" w:cs="Arial"/>
                <w:b/>
                <w:noProof/>
                <w:sz w:val="24"/>
                <w:szCs w:val="24"/>
              </w:rPr>
              <w:t>7</w:t>
            </w:r>
            <w:r w:rsidRPr="00531366">
              <w:rPr>
                <w:rFonts w:ascii="Arial" w:hAnsi="Arial" w:cs="Arial"/>
                <w:b/>
                <w:noProof/>
                <w:sz w:val="24"/>
                <w:szCs w:val="24"/>
              </w:rPr>
              <w:t>.1</w:t>
            </w:r>
          </w:p>
        </w:tc>
        <w:tc>
          <w:tcPr>
            <w:tcW w:w="5868" w:type="dxa"/>
            <w:shd w:val="clear" w:color="auto" w:fill="auto"/>
          </w:tcPr>
          <w:p w14:paraId="3EB069BD" w14:textId="53BE25A8" w:rsidR="0007198D" w:rsidRPr="00531366" w:rsidRDefault="0007198D" w:rsidP="000C7A5D">
            <w:pPr>
              <w:spacing w:after="0" w:line="240" w:lineRule="auto"/>
              <w:rPr>
                <w:rFonts w:ascii="Arial" w:hAnsi="Arial" w:cs="Arial"/>
                <w:b/>
                <w:sz w:val="24"/>
                <w:szCs w:val="24"/>
              </w:rPr>
            </w:pPr>
            <w:r w:rsidRPr="00531366">
              <w:rPr>
                <w:rFonts w:ascii="Arial" w:hAnsi="Arial" w:cs="Arial"/>
                <w:b/>
                <w:noProof/>
                <w:sz w:val="24"/>
                <w:szCs w:val="24"/>
              </w:rPr>
              <w:t>Percent of children with special health care needs</w:t>
            </w:r>
            <w:r w:rsidR="000B4742">
              <w:rPr>
                <w:rFonts w:ascii="Arial" w:hAnsi="Arial" w:cs="Arial"/>
                <w:b/>
                <w:noProof/>
                <w:sz w:val="24"/>
                <w:szCs w:val="24"/>
              </w:rPr>
              <w:t xml:space="preserve"> (CSHCN), ages 0 through 17</w:t>
            </w:r>
          </w:p>
        </w:tc>
      </w:tr>
    </w:tbl>
    <w:p w14:paraId="61541C4D" w14:textId="77777777" w:rsidR="0007198D" w:rsidRDefault="0007198D" w:rsidP="0007198D">
      <w:pPr>
        <w:spacing w:after="0" w:line="240" w:lineRule="auto"/>
      </w:pPr>
    </w:p>
    <w:p w14:paraId="72CEA52A" w14:textId="77777777" w:rsidR="0007198D" w:rsidRDefault="0007198D" w:rsidP="0007198D">
      <w:pPr>
        <w:spacing w:after="0" w:line="240" w:lineRule="auto"/>
      </w:pPr>
      <w:r>
        <w:rPr>
          <w:noProof/>
        </w:rPr>
        <mc:AlternateContent>
          <mc:Choice Requires="wps">
            <w:drawing>
              <wp:anchor distT="4294967295" distB="4294967295" distL="114300" distR="114300" simplePos="0" relativeHeight="251773952" behindDoc="0" locked="0" layoutInCell="1" allowOverlap="1" wp14:anchorId="17B6C7E0" wp14:editId="5A1E94A5">
                <wp:simplePos x="0" y="0"/>
                <wp:positionH relativeFrom="column">
                  <wp:posOffset>-60960</wp:posOffset>
                </wp:positionH>
                <wp:positionV relativeFrom="paragraph">
                  <wp:posOffset>31749</wp:posOffset>
                </wp:positionV>
                <wp:extent cx="6088380" cy="0"/>
                <wp:effectExtent l="0" t="0" r="2667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3C2630C" id="Straight Connector 29" o:spid="_x0000_s1026" style="position:absolute;z-index:251773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" strokecolor="windowText" strokeweight="1.75pt">
                <o:lock v:ext="edit" shapetype="f"/>
              </v:line>
            </w:pict>
          </mc:Fallback>
        </mc:AlternateContent>
      </w:r>
    </w:p>
    <w:tbl>
      <w:tblPr>
        <w:tblW w:w="0" w:type="auto"/>
        <w:tblLook w:val="04A0" w:firstRow="1" w:lastRow="0" w:firstColumn="1" w:lastColumn="0" w:noHBand="0" w:noVBand="1"/>
      </w:tblPr>
      <w:tblGrid>
        <w:gridCol w:w="3618"/>
        <w:gridCol w:w="3384"/>
        <w:gridCol w:w="2556"/>
      </w:tblGrid>
      <w:tr w:rsidR="0007198D" w:rsidRPr="00515E1C" w14:paraId="68F8B465" w14:textId="77777777" w:rsidTr="000C7A5D">
        <w:tc>
          <w:tcPr>
            <w:tcW w:w="3618" w:type="dxa"/>
            <w:shd w:val="clear" w:color="auto" w:fill="auto"/>
          </w:tcPr>
          <w:p w14:paraId="7CA32B60"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GOAL</w:t>
            </w:r>
          </w:p>
        </w:tc>
        <w:tc>
          <w:tcPr>
            <w:tcW w:w="5940" w:type="dxa"/>
            <w:gridSpan w:val="2"/>
            <w:shd w:val="clear" w:color="auto" w:fill="auto"/>
          </w:tcPr>
          <w:p w14:paraId="1AC3EA1A"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noProof/>
                <w:sz w:val="20"/>
                <w:szCs w:val="20"/>
              </w:rPr>
              <w:t>To track the percent of children and youth with special health care needs, autism spectrum disorder (ASD), and attention deficit disorder/attent deficit hyperactivity disorder (ADD/ADHD).</w:t>
            </w:r>
          </w:p>
        </w:tc>
      </w:tr>
      <w:tr w:rsidR="0007198D" w:rsidRPr="00515E1C" w14:paraId="3DEF2727" w14:textId="77777777" w:rsidTr="000C7A5D">
        <w:tc>
          <w:tcPr>
            <w:tcW w:w="3618" w:type="dxa"/>
            <w:shd w:val="clear" w:color="auto" w:fill="auto"/>
          </w:tcPr>
          <w:p w14:paraId="282D7570"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72FF0EFE" w14:textId="77777777" w:rsidR="0007198D" w:rsidRPr="00531366" w:rsidRDefault="0007198D" w:rsidP="000C7A5D">
            <w:pPr>
              <w:spacing w:after="0" w:line="240" w:lineRule="auto"/>
              <w:rPr>
                <w:rFonts w:ascii="Arial" w:hAnsi="Arial" w:cs="Arial"/>
                <w:sz w:val="20"/>
                <w:szCs w:val="20"/>
              </w:rPr>
            </w:pPr>
          </w:p>
        </w:tc>
      </w:tr>
      <w:tr w:rsidR="0007198D" w:rsidRPr="00515E1C" w14:paraId="6E251DCE" w14:textId="77777777" w:rsidTr="000C7A5D">
        <w:tc>
          <w:tcPr>
            <w:tcW w:w="3618" w:type="dxa"/>
            <w:shd w:val="clear" w:color="auto" w:fill="auto"/>
          </w:tcPr>
          <w:p w14:paraId="1ABDC6D5"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DEFINITION</w:t>
            </w:r>
          </w:p>
        </w:tc>
        <w:tc>
          <w:tcPr>
            <w:tcW w:w="5940" w:type="dxa"/>
            <w:gridSpan w:val="2"/>
            <w:shd w:val="clear" w:color="auto" w:fill="auto"/>
          </w:tcPr>
          <w:p w14:paraId="7D818DAD"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Numerator:</w:t>
            </w:r>
          </w:p>
        </w:tc>
      </w:tr>
      <w:tr w:rsidR="0007198D" w:rsidRPr="00515E1C" w14:paraId="7ED6F54F" w14:textId="77777777" w:rsidTr="000C7A5D">
        <w:tc>
          <w:tcPr>
            <w:tcW w:w="3618" w:type="dxa"/>
            <w:shd w:val="clear" w:color="auto" w:fill="auto"/>
          </w:tcPr>
          <w:p w14:paraId="20F560B3"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008B660F" w14:textId="77777777" w:rsidR="0007198D" w:rsidRPr="00531366" w:rsidRDefault="0007198D" w:rsidP="000C7A5D">
            <w:pPr>
              <w:spacing w:after="0" w:line="240" w:lineRule="auto"/>
              <w:rPr>
                <w:rFonts w:ascii="Arial" w:hAnsi="Arial" w:cs="Arial"/>
                <w:sz w:val="20"/>
                <w:szCs w:val="20"/>
              </w:rPr>
            </w:pPr>
            <w:r>
              <w:rPr>
                <w:rFonts w:ascii="Arial" w:hAnsi="Arial" w:cs="Arial"/>
                <w:noProof/>
                <w:sz w:val="20"/>
                <w:szCs w:val="20"/>
              </w:rPr>
              <w:t>N</w:t>
            </w:r>
            <w:r w:rsidRPr="00531366">
              <w:rPr>
                <w:rFonts w:ascii="Arial" w:hAnsi="Arial" w:cs="Arial"/>
                <w:noProof/>
                <w:sz w:val="20"/>
                <w:szCs w:val="20"/>
              </w:rPr>
              <w:t>umber of children, ages 0</w:t>
            </w:r>
            <w:r>
              <w:rPr>
                <w:rFonts w:ascii="Arial" w:hAnsi="Arial" w:cs="Arial"/>
                <w:noProof/>
                <w:sz w:val="20"/>
                <w:szCs w:val="20"/>
              </w:rPr>
              <w:t xml:space="preserve"> through</w:t>
            </w:r>
            <w:r w:rsidRPr="00531366">
              <w:rPr>
                <w:rFonts w:ascii="Arial" w:hAnsi="Arial" w:cs="Arial"/>
                <w:noProof/>
                <w:sz w:val="20"/>
                <w:szCs w:val="20"/>
              </w:rPr>
              <w:t>17, who met the criteria for having a special health care need based on the CSHCN screener</w:t>
            </w:r>
          </w:p>
        </w:tc>
      </w:tr>
      <w:tr w:rsidR="0007198D" w:rsidRPr="00515E1C" w14:paraId="2AF964C2" w14:textId="77777777" w:rsidTr="000C7A5D">
        <w:tc>
          <w:tcPr>
            <w:tcW w:w="3618" w:type="dxa"/>
            <w:shd w:val="clear" w:color="auto" w:fill="auto"/>
          </w:tcPr>
          <w:p w14:paraId="178DC9D2"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35842E85" w14:textId="77777777" w:rsidR="0007198D" w:rsidRPr="00531366" w:rsidRDefault="0007198D" w:rsidP="000C7A5D">
            <w:pPr>
              <w:spacing w:after="0" w:line="240" w:lineRule="auto"/>
              <w:rPr>
                <w:rFonts w:ascii="Arial" w:hAnsi="Arial" w:cs="Arial"/>
                <w:sz w:val="20"/>
                <w:szCs w:val="20"/>
              </w:rPr>
            </w:pPr>
          </w:p>
        </w:tc>
      </w:tr>
      <w:tr w:rsidR="0007198D" w:rsidRPr="00515E1C" w14:paraId="1485BDA6" w14:textId="77777777" w:rsidTr="000C7A5D">
        <w:tc>
          <w:tcPr>
            <w:tcW w:w="3618" w:type="dxa"/>
            <w:shd w:val="clear" w:color="auto" w:fill="auto"/>
          </w:tcPr>
          <w:p w14:paraId="3C9B220C"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2675E959"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Denominator:</w:t>
            </w:r>
          </w:p>
        </w:tc>
      </w:tr>
      <w:tr w:rsidR="0007198D" w:rsidRPr="00515E1C" w14:paraId="02FE65CB" w14:textId="77777777" w:rsidTr="000C7A5D">
        <w:tc>
          <w:tcPr>
            <w:tcW w:w="3618" w:type="dxa"/>
            <w:shd w:val="clear" w:color="auto" w:fill="auto"/>
          </w:tcPr>
          <w:p w14:paraId="69C93343"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66C086C0" w14:textId="77777777" w:rsidR="0007198D" w:rsidRPr="00531366" w:rsidRDefault="0007198D" w:rsidP="000C7A5D">
            <w:pPr>
              <w:spacing w:after="0" w:line="240" w:lineRule="auto"/>
              <w:rPr>
                <w:rFonts w:ascii="Arial" w:hAnsi="Arial" w:cs="Arial"/>
                <w:sz w:val="20"/>
                <w:szCs w:val="20"/>
              </w:rPr>
            </w:pPr>
            <w:r>
              <w:rPr>
                <w:rFonts w:ascii="Arial" w:hAnsi="Arial" w:cs="Arial"/>
                <w:noProof/>
                <w:sz w:val="20"/>
                <w:szCs w:val="20"/>
              </w:rPr>
              <w:t>Number of</w:t>
            </w:r>
            <w:r w:rsidRPr="00531366">
              <w:rPr>
                <w:rFonts w:ascii="Arial" w:hAnsi="Arial" w:cs="Arial"/>
                <w:noProof/>
                <w:sz w:val="20"/>
                <w:szCs w:val="20"/>
              </w:rPr>
              <w:t xml:space="preserve"> children, ages 0</w:t>
            </w:r>
            <w:r>
              <w:rPr>
                <w:rFonts w:ascii="Arial" w:hAnsi="Arial" w:cs="Arial"/>
                <w:noProof/>
                <w:sz w:val="20"/>
                <w:szCs w:val="20"/>
              </w:rPr>
              <w:t xml:space="preserve"> through </w:t>
            </w:r>
            <w:r w:rsidRPr="00531366">
              <w:rPr>
                <w:rFonts w:ascii="Arial" w:hAnsi="Arial" w:cs="Arial"/>
                <w:noProof/>
                <w:sz w:val="20"/>
                <w:szCs w:val="20"/>
              </w:rPr>
              <w:t>17</w:t>
            </w:r>
          </w:p>
        </w:tc>
      </w:tr>
      <w:tr w:rsidR="0007198D" w:rsidRPr="00515E1C" w14:paraId="4281001F" w14:textId="77777777" w:rsidTr="000C7A5D">
        <w:tc>
          <w:tcPr>
            <w:tcW w:w="3618" w:type="dxa"/>
            <w:shd w:val="clear" w:color="auto" w:fill="auto"/>
          </w:tcPr>
          <w:p w14:paraId="7493E1C1"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68488E1E" w14:textId="77777777" w:rsidR="0007198D" w:rsidRPr="00531366" w:rsidRDefault="0007198D" w:rsidP="000C7A5D">
            <w:pPr>
              <w:spacing w:after="0" w:line="240" w:lineRule="auto"/>
              <w:rPr>
                <w:rFonts w:ascii="Arial" w:hAnsi="Arial" w:cs="Arial"/>
                <w:sz w:val="20"/>
                <w:szCs w:val="20"/>
              </w:rPr>
            </w:pPr>
          </w:p>
        </w:tc>
      </w:tr>
      <w:tr w:rsidR="0007198D" w:rsidRPr="00515E1C" w14:paraId="3B886F9B" w14:textId="77777777" w:rsidTr="000C7A5D">
        <w:tc>
          <w:tcPr>
            <w:tcW w:w="3618" w:type="dxa"/>
            <w:shd w:val="clear" w:color="auto" w:fill="auto"/>
          </w:tcPr>
          <w:p w14:paraId="69EE7C53" w14:textId="77777777" w:rsidR="0007198D" w:rsidRPr="00531366" w:rsidRDefault="0007198D" w:rsidP="000C7A5D">
            <w:pPr>
              <w:spacing w:after="0" w:line="240" w:lineRule="auto"/>
              <w:rPr>
                <w:rFonts w:ascii="Arial" w:hAnsi="Arial" w:cs="Arial"/>
                <w:b/>
                <w:sz w:val="20"/>
                <w:szCs w:val="20"/>
              </w:rPr>
            </w:pPr>
          </w:p>
        </w:tc>
        <w:tc>
          <w:tcPr>
            <w:tcW w:w="3384" w:type="dxa"/>
            <w:shd w:val="clear" w:color="auto" w:fill="auto"/>
          </w:tcPr>
          <w:p w14:paraId="7D247EE6"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b/>
                <w:sz w:val="20"/>
                <w:szCs w:val="20"/>
              </w:rPr>
              <w:t>Units:</w:t>
            </w:r>
            <w:r w:rsidRPr="00531366">
              <w:rPr>
                <w:rFonts w:ascii="Arial" w:hAnsi="Arial" w:cs="Arial"/>
                <w:sz w:val="20"/>
                <w:szCs w:val="20"/>
              </w:rPr>
              <w:t xml:space="preserve"> </w:t>
            </w:r>
            <w:r w:rsidRPr="00531366">
              <w:rPr>
                <w:rFonts w:ascii="Arial" w:hAnsi="Arial" w:cs="Arial"/>
                <w:noProof/>
                <w:sz w:val="20"/>
                <w:szCs w:val="20"/>
              </w:rPr>
              <w:t>100</w:t>
            </w:r>
          </w:p>
        </w:tc>
        <w:tc>
          <w:tcPr>
            <w:tcW w:w="2556" w:type="dxa"/>
            <w:shd w:val="clear" w:color="auto" w:fill="auto"/>
          </w:tcPr>
          <w:p w14:paraId="7C253C54"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b/>
                <w:sz w:val="20"/>
                <w:szCs w:val="20"/>
              </w:rPr>
              <w:t>Text:</w:t>
            </w:r>
            <w:r w:rsidRPr="00531366">
              <w:rPr>
                <w:rFonts w:ascii="Arial" w:hAnsi="Arial" w:cs="Arial"/>
                <w:sz w:val="20"/>
                <w:szCs w:val="20"/>
              </w:rPr>
              <w:t xml:space="preserve"> </w:t>
            </w:r>
            <w:r w:rsidRPr="00531366">
              <w:rPr>
                <w:rFonts w:ascii="Arial" w:hAnsi="Arial" w:cs="Arial"/>
                <w:noProof/>
                <w:sz w:val="20"/>
                <w:szCs w:val="20"/>
              </w:rPr>
              <w:t>Percent</w:t>
            </w:r>
          </w:p>
        </w:tc>
      </w:tr>
      <w:tr w:rsidR="0007198D" w:rsidRPr="00515E1C" w14:paraId="302B361D" w14:textId="77777777" w:rsidTr="000C7A5D">
        <w:tc>
          <w:tcPr>
            <w:tcW w:w="3618" w:type="dxa"/>
            <w:shd w:val="clear" w:color="auto" w:fill="auto"/>
          </w:tcPr>
          <w:p w14:paraId="7C2E6858"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1B65EC69" w14:textId="77777777" w:rsidR="0007198D" w:rsidRPr="00531366" w:rsidRDefault="0007198D" w:rsidP="000C7A5D">
            <w:pPr>
              <w:spacing w:after="0" w:line="240" w:lineRule="auto"/>
              <w:rPr>
                <w:rFonts w:ascii="Arial" w:hAnsi="Arial" w:cs="Arial"/>
                <w:sz w:val="20"/>
                <w:szCs w:val="20"/>
              </w:rPr>
            </w:pPr>
          </w:p>
        </w:tc>
      </w:tr>
      <w:tr w:rsidR="0007198D" w:rsidRPr="00515E1C" w14:paraId="36E22A18" w14:textId="77777777" w:rsidTr="000C7A5D">
        <w:tc>
          <w:tcPr>
            <w:tcW w:w="3618" w:type="dxa"/>
            <w:shd w:val="clear" w:color="auto" w:fill="auto"/>
          </w:tcPr>
          <w:p w14:paraId="04C7B255"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HEALTHY PEOPLE 2020 OBJECTIVE</w:t>
            </w:r>
          </w:p>
        </w:tc>
        <w:tc>
          <w:tcPr>
            <w:tcW w:w="5940" w:type="dxa"/>
            <w:gridSpan w:val="2"/>
            <w:shd w:val="clear" w:color="auto" w:fill="auto"/>
          </w:tcPr>
          <w:p w14:paraId="7C111867" w14:textId="77777777" w:rsidR="0007198D" w:rsidRPr="00531366" w:rsidRDefault="0007198D" w:rsidP="000C7A5D">
            <w:pPr>
              <w:spacing w:after="0" w:line="240" w:lineRule="auto"/>
              <w:rPr>
                <w:rFonts w:ascii="Arial" w:hAnsi="Arial" w:cs="Arial"/>
                <w:sz w:val="20"/>
                <w:szCs w:val="20"/>
              </w:rPr>
            </w:pPr>
          </w:p>
        </w:tc>
      </w:tr>
      <w:tr w:rsidR="0007198D" w:rsidRPr="00515E1C" w14:paraId="206F9066" w14:textId="77777777" w:rsidTr="000C7A5D">
        <w:tc>
          <w:tcPr>
            <w:tcW w:w="3618" w:type="dxa"/>
            <w:shd w:val="clear" w:color="auto" w:fill="auto"/>
          </w:tcPr>
          <w:p w14:paraId="1D75AC2B"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465AB21B" w14:textId="77777777" w:rsidR="0007198D" w:rsidRPr="00531366" w:rsidRDefault="0007198D" w:rsidP="000C7A5D">
            <w:pPr>
              <w:spacing w:after="0" w:line="240" w:lineRule="auto"/>
              <w:rPr>
                <w:rFonts w:ascii="Arial" w:hAnsi="Arial" w:cs="Arial"/>
                <w:sz w:val="20"/>
                <w:szCs w:val="20"/>
              </w:rPr>
            </w:pPr>
          </w:p>
        </w:tc>
      </w:tr>
      <w:tr w:rsidR="0007198D" w:rsidRPr="00515E1C" w14:paraId="6F61DBF1" w14:textId="77777777" w:rsidTr="000C7A5D">
        <w:tc>
          <w:tcPr>
            <w:tcW w:w="3618" w:type="dxa"/>
            <w:shd w:val="clear" w:color="auto" w:fill="auto"/>
          </w:tcPr>
          <w:p w14:paraId="730363AE"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DATA SOURCES and DATA ISSUES</w:t>
            </w:r>
          </w:p>
        </w:tc>
        <w:tc>
          <w:tcPr>
            <w:tcW w:w="5940" w:type="dxa"/>
            <w:gridSpan w:val="2"/>
            <w:shd w:val="clear" w:color="auto" w:fill="auto"/>
          </w:tcPr>
          <w:p w14:paraId="6414071D"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noProof/>
                <w:sz w:val="20"/>
                <w:szCs w:val="20"/>
              </w:rPr>
              <w:t xml:space="preserve">National Survey of Children's Health (NSCH) </w:t>
            </w:r>
          </w:p>
        </w:tc>
      </w:tr>
      <w:tr w:rsidR="0007198D" w:rsidRPr="00515E1C" w14:paraId="36CE80F2" w14:textId="77777777" w:rsidTr="000C7A5D">
        <w:tc>
          <w:tcPr>
            <w:tcW w:w="3618" w:type="dxa"/>
            <w:shd w:val="clear" w:color="auto" w:fill="auto"/>
          </w:tcPr>
          <w:p w14:paraId="183FA8C9"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5D3AE0CA" w14:textId="77777777" w:rsidR="0007198D" w:rsidRPr="00531366" w:rsidRDefault="0007198D" w:rsidP="000C7A5D">
            <w:pPr>
              <w:spacing w:after="0" w:line="240" w:lineRule="auto"/>
              <w:rPr>
                <w:rFonts w:ascii="Arial" w:hAnsi="Arial" w:cs="Arial"/>
                <w:sz w:val="20"/>
                <w:szCs w:val="20"/>
              </w:rPr>
            </w:pPr>
          </w:p>
        </w:tc>
      </w:tr>
      <w:tr w:rsidR="0007198D" w:rsidRPr="00515E1C" w14:paraId="32E39BA0" w14:textId="77777777" w:rsidTr="000C7A5D">
        <w:tc>
          <w:tcPr>
            <w:tcW w:w="3618" w:type="dxa"/>
            <w:shd w:val="clear" w:color="auto" w:fill="auto"/>
          </w:tcPr>
          <w:p w14:paraId="2B359C68"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SIGNIFICANCE</w:t>
            </w:r>
          </w:p>
        </w:tc>
        <w:tc>
          <w:tcPr>
            <w:tcW w:w="5940" w:type="dxa"/>
            <w:gridSpan w:val="2"/>
            <w:shd w:val="clear" w:color="auto" w:fill="auto"/>
          </w:tcPr>
          <w:p w14:paraId="42BE091D" w14:textId="77777777" w:rsidR="0007198D" w:rsidRDefault="0007198D" w:rsidP="000C7A5D">
            <w:pPr>
              <w:spacing w:after="0" w:line="240" w:lineRule="auto"/>
              <w:rPr>
                <w:rFonts w:ascii="Arial" w:hAnsi="Arial" w:cs="Arial"/>
                <w:noProof/>
                <w:sz w:val="20"/>
                <w:szCs w:val="20"/>
              </w:rPr>
            </w:pPr>
            <w:r w:rsidRPr="002524E8">
              <w:rPr>
                <w:rFonts w:ascii="Arial" w:hAnsi="Arial" w:cs="Arial"/>
                <w:noProof/>
                <w:sz w:val="20"/>
                <w:szCs w:val="20"/>
              </w:rPr>
              <w:t>Children are considered to have a special health care need if, in addition to a chronic medical, behavioral, or developmental condition that has lasted or is expected to last 12 months or longer, they experience either service-related or functional consequences, including the need for or use of prescription medications and/or specialized therapies</w:t>
            </w:r>
            <w:r>
              <w:rPr>
                <w:rFonts w:ascii="Arial" w:hAnsi="Arial" w:cs="Arial"/>
                <w:noProof/>
                <w:sz w:val="20"/>
                <w:szCs w:val="20"/>
              </w:rPr>
              <w:t xml:space="preserve">. </w:t>
            </w:r>
            <w:r w:rsidRPr="00531366">
              <w:rPr>
                <w:rFonts w:ascii="Arial" w:hAnsi="Arial" w:cs="Arial"/>
                <w:noProof/>
                <w:sz w:val="20"/>
                <w:szCs w:val="20"/>
              </w:rPr>
              <w:t xml:space="preserve">The percent of children with special health care needs has been increasing since 2001.  About </w:t>
            </w:r>
            <w:r>
              <w:rPr>
                <w:rFonts w:ascii="Arial" w:hAnsi="Arial" w:cs="Arial"/>
                <w:noProof/>
                <w:sz w:val="20"/>
                <w:szCs w:val="20"/>
              </w:rPr>
              <w:t>1 in 5</w:t>
            </w:r>
            <w:r w:rsidRPr="00531366">
              <w:rPr>
                <w:rFonts w:ascii="Arial" w:hAnsi="Arial" w:cs="Arial"/>
                <w:noProof/>
                <w:sz w:val="20"/>
                <w:szCs w:val="20"/>
              </w:rPr>
              <w:t xml:space="preserve"> of all US children are considered to have special health care needs.  However, they account for almost half of all health care expenditures for children.</w:t>
            </w:r>
          </w:p>
          <w:p w14:paraId="0F707461" w14:textId="77777777" w:rsidR="0007198D" w:rsidRDefault="0007198D" w:rsidP="000C7A5D">
            <w:pPr>
              <w:spacing w:after="0" w:line="240" w:lineRule="auto"/>
              <w:rPr>
                <w:rFonts w:ascii="Arial" w:hAnsi="Arial" w:cs="Arial"/>
                <w:noProof/>
                <w:sz w:val="20"/>
                <w:szCs w:val="20"/>
              </w:rPr>
            </w:pPr>
          </w:p>
          <w:p w14:paraId="682D74B8" w14:textId="77777777" w:rsidR="0007198D" w:rsidRPr="00192DFF" w:rsidRDefault="0007198D" w:rsidP="000C7A5D">
            <w:pPr>
              <w:spacing w:after="0" w:line="240" w:lineRule="auto"/>
              <w:rPr>
                <w:rFonts w:ascii="Arial" w:hAnsi="Arial" w:cs="Arial"/>
                <w:sz w:val="20"/>
                <w:szCs w:val="20"/>
              </w:rPr>
            </w:pPr>
            <w:r w:rsidRPr="00D14F97">
              <w:rPr>
                <w:rFonts w:ascii="Arial" w:hAnsi="Arial" w:cs="Arial"/>
                <w:sz w:val="20"/>
                <w:szCs w:val="20"/>
                <w:lang w:val="en"/>
              </w:rPr>
              <w:t xml:space="preserve">U.S. Department of Health and Human Services, Health Resources and Services Administration, Maternal and Child Health Bureau. </w:t>
            </w:r>
            <w:r w:rsidRPr="00D14F97">
              <w:rPr>
                <w:rStyle w:val="Emphasis"/>
                <w:rFonts w:ascii="Arial" w:hAnsi="Arial" w:cs="Arial"/>
                <w:sz w:val="20"/>
                <w:szCs w:val="20"/>
                <w:lang w:val="en"/>
              </w:rPr>
              <w:t>Child Health USA 2014.</w:t>
            </w:r>
            <w:r w:rsidRPr="00D14F97">
              <w:rPr>
                <w:rFonts w:ascii="Arial" w:hAnsi="Arial" w:cs="Arial"/>
                <w:sz w:val="20"/>
                <w:szCs w:val="20"/>
                <w:lang w:val="en"/>
              </w:rPr>
              <w:t xml:space="preserve"> Rockville, Maryland: U.S. Department of Health and Human Services, 2014.</w:t>
            </w:r>
            <w:r w:rsidRPr="001A0247">
              <w:rPr>
                <w:rFonts w:ascii="Arial" w:hAnsi="Arial" w:cs="Arial"/>
                <w:sz w:val="20"/>
                <w:szCs w:val="20"/>
              </w:rPr>
              <w:t xml:space="preserve"> </w:t>
            </w:r>
            <w:hyperlink r:id="rId107" w:history="1">
              <w:r w:rsidRPr="00192DFF">
                <w:rPr>
                  <w:rStyle w:val="Hyperlink"/>
                  <w:rFonts w:ascii="Arial" w:hAnsi="Arial" w:cs="Arial"/>
                  <w:sz w:val="20"/>
                  <w:szCs w:val="20"/>
                </w:rPr>
                <w:t>https://mchb.hrsa.gov/chusa14/population-characteristics/children-special-health-care-needs.html</w:t>
              </w:r>
            </w:hyperlink>
            <w:r w:rsidRPr="001A0247">
              <w:rPr>
                <w:rFonts w:ascii="Arial" w:hAnsi="Arial" w:cs="Arial"/>
                <w:sz w:val="20"/>
                <w:szCs w:val="20"/>
              </w:rPr>
              <w:t xml:space="preserve"> </w:t>
            </w:r>
          </w:p>
        </w:tc>
      </w:tr>
      <w:tr w:rsidR="0007198D" w:rsidRPr="00515E1C" w14:paraId="736A849F" w14:textId="77777777" w:rsidTr="000C7A5D">
        <w:tc>
          <w:tcPr>
            <w:tcW w:w="3618" w:type="dxa"/>
            <w:shd w:val="clear" w:color="auto" w:fill="auto"/>
          </w:tcPr>
          <w:p w14:paraId="60D6085D" w14:textId="77777777" w:rsidR="0007198D" w:rsidRPr="00531366" w:rsidRDefault="0007198D" w:rsidP="000C7A5D">
            <w:pPr>
              <w:spacing w:after="0" w:line="240" w:lineRule="auto"/>
              <w:rPr>
                <w:rFonts w:ascii="Arial" w:hAnsi="Arial" w:cs="Arial"/>
                <w:sz w:val="20"/>
                <w:szCs w:val="20"/>
              </w:rPr>
            </w:pPr>
          </w:p>
        </w:tc>
        <w:tc>
          <w:tcPr>
            <w:tcW w:w="5940" w:type="dxa"/>
            <w:gridSpan w:val="2"/>
            <w:shd w:val="clear" w:color="auto" w:fill="auto"/>
          </w:tcPr>
          <w:p w14:paraId="0E0BBD51" w14:textId="77777777" w:rsidR="0007198D" w:rsidRPr="00531366" w:rsidRDefault="0007198D" w:rsidP="000C7A5D">
            <w:pPr>
              <w:spacing w:after="0" w:line="240" w:lineRule="auto"/>
              <w:rPr>
                <w:rFonts w:ascii="Arial" w:hAnsi="Arial" w:cs="Arial"/>
                <w:sz w:val="20"/>
                <w:szCs w:val="20"/>
              </w:rPr>
            </w:pPr>
          </w:p>
        </w:tc>
      </w:tr>
    </w:tbl>
    <w:p w14:paraId="586EAA71" w14:textId="77777777" w:rsidR="0007198D" w:rsidRDefault="0007198D" w:rsidP="0007198D">
      <w:pPr>
        <w:spacing w:after="0" w:line="240" w:lineRule="auto"/>
        <w:sectPr w:rsidR="0007198D" w:rsidSect="008A00F6">
          <w:pgSz w:w="12240" w:h="15840"/>
          <w:pgMar w:top="1440" w:right="1440" w:bottom="1440" w:left="1440" w:header="720" w:footer="720" w:gutter="0"/>
          <w:cols w:space="720"/>
          <w:docGrid w:linePitch="360"/>
        </w:sectPr>
      </w:pPr>
    </w:p>
    <w:tbl>
      <w:tblPr>
        <w:tblW w:w="0" w:type="auto"/>
        <w:tblLook w:val="04A0" w:firstRow="1" w:lastRow="0" w:firstColumn="1" w:lastColumn="0" w:noHBand="0" w:noVBand="1"/>
      </w:tblPr>
      <w:tblGrid>
        <w:gridCol w:w="3618"/>
        <w:gridCol w:w="5868"/>
      </w:tblGrid>
      <w:tr w:rsidR="0007198D" w:rsidRPr="003F48A1" w14:paraId="5BF8156C" w14:textId="77777777" w:rsidTr="000C7A5D">
        <w:tc>
          <w:tcPr>
            <w:tcW w:w="3618" w:type="dxa"/>
            <w:shd w:val="clear" w:color="auto" w:fill="auto"/>
          </w:tcPr>
          <w:p w14:paraId="288D936F" w14:textId="77777777" w:rsidR="0007198D" w:rsidRPr="00531366" w:rsidRDefault="0007198D" w:rsidP="000C7A5D">
            <w:pPr>
              <w:spacing w:after="0" w:line="240" w:lineRule="auto"/>
              <w:rPr>
                <w:rFonts w:ascii="Arial" w:hAnsi="Arial" w:cs="Arial"/>
                <w:b/>
                <w:sz w:val="24"/>
                <w:szCs w:val="24"/>
              </w:rPr>
            </w:pPr>
            <w:r w:rsidRPr="00531366">
              <w:rPr>
                <w:rFonts w:ascii="Arial" w:hAnsi="Arial" w:cs="Arial"/>
                <w:b/>
                <w:sz w:val="24"/>
                <w:szCs w:val="24"/>
              </w:rPr>
              <w:t xml:space="preserve">OUTCOME MEASURE </w:t>
            </w:r>
            <w:r>
              <w:rPr>
                <w:rFonts w:ascii="Arial" w:hAnsi="Arial" w:cs="Arial"/>
                <w:b/>
                <w:noProof/>
                <w:sz w:val="24"/>
                <w:szCs w:val="24"/>
              </w:rPr>
              <w:t>17.2</w:t>
            </w:r>
          </w:p>
        </w:tc>
        <w:tc>
          <w:tcPr>
            <w:tcW w:w="5868" w:type="dxa"/>
            <w:shd w:val="clear" w:color="auto" w:fill="auto"/>
          </w:tcPr>
          <w:p w14:paraId="5A5DCFC1" w14:textId="594712CC" w:rsidR="0007198D" w:rsidRPr="00531366" w:rsidRDefault="0007198D" w:rsidP="000B4742">
            <w:pPr>
              <w:spacing w:after="0" w:line="240" w:lineRule="auto"/>
              <w:rPr>
                <w:rFonts w:ascii="Arial" w:hAnsi="Arial" w:cs="Arial"/>
                <w:b/>
                <w:sz w:val="24"/>
                <w:szCs w:val="24"/>
              </w:rPr>
            </w:pPr>
            <w:r w:rsidRPr="00531366">
              <w:rPr>
                <w:rFonts w:ascii="Arial" w:hAnsi="Arial" w:cs="Arial"/>
                <w:b/>
                <w:noProof/>
                <w:sz w:val="24"/>
                <w:szCs w:val="24"/>
              </w:rPr>
              <w:t>Percent of children with special health care needs (CSHCN)</w:t>
            </w:r>
            <w:r w:rsidR="000B4742">
              <w:rPr>
                <w:rFonts w:ascii="Arial" w:hAnsi="Arial" w:cs="Arial"/>
                <w:b/>
                <w:noProof/>
                <w:sz w:val="24"/>
                <w:szCs w:val="24"/>
              </w:rPr>
              <w:t xml:space="preserve">, ages 0 through 17, who receive </w:t>
            </w:r>
            <w:r w:rsidRPr="00531366">
              <w:rPr>
                <w:rFonts w:ascii="Arial" w:hAnsi="Arial" w:cs="Arial"/>
                <w:b/>
                <w:noProof/>
                <w:sz w:val="24"/>
                <w:szCs w:val="24"/>
              </w:rPr>
              <w:t>care in a well-functioning system</w:t>
            </w:r>
          </w:p>
        </w:tc>
      </w:tr>
    </w:tbl>
    <w:p w14:paraId="575AC92B" w14:textId="77777777" w:rsidR="0007198D" w:rsidRDefault="0007198D" w:rsidP="0007198D">
      <w:pPr>
        <w:spacing w:after="0" w:line="240" w:lineRule="auto"/>
      </w:pPr>
    </w:p>
    <w:p w14:paraId="50E456E7" w14:textId="77777777" w:rsidR="0007198D" w:rsidRDefault="0007198D" w:rsidP="0007198D">
      <w:pPr>
        <w:spacing w:after="0" w:line="240" w:lineRule="auto"/>
      </w:pPr>
      <w:r>
        <w:rPr>
          <w:noProof/>
        </w:rPr>
        <mc:AlternateContent>
          <mc:Choice Requires="wps">
            <w:drawing>
              <wp:anchor distT="4294967295" distB="4294967295" distL="114300" distR="114300" simplePos="0" relativeHeight="251769856" behindDoc="0" locked="0" layoutInCell="1" allowOverlap="1" wp14:anchorId="62396797" wp14:editId="4F47EA0A">
                <wp:simplePos x="0" y="0"/>
                <wp:positionH relativeFrom="column">
                  <wp:posOffset>-60960</wp:posOffset>
                </wp:positionH>
                <wp:positionV relativeFrom="paragraph">
                  <wp:posOffset>31749</wp:posOffset>
                </wp:positionV>
                <wp:extent cx="6088380" cy="0"/>
                <wp:effectExtent l="0" t="0" r="2667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D2BA9B" id="Straight Connector 28" o:spid="_x0000_s1026" style="position:absolute;z-index:251769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" strokecolor="windowText" strokeweight="1.75pt">
                <o:lock v:ext="edit" shapetype="f"/>
              </v:line>
            </w:pict>
          </mc:Fallback>
        </mc:AlternateContent>
      </w:r>
    </w:p>
    <w:tbl>
      <w:tblPr>
        <w:tblW w:w="0" w:type="auto"/>
        <w:tblLook w:val="04A0" w:firstRow="1" w:lastRow="0" w:firstColumn="1" w:lastColumn="0" w:noHBand="0" w:noVBand="1"/>
      </w:tblPr>
      <w:tblGrid>
        <w:gridCol w:w="3618"/>
        <w:gridCol w:w="3384"/>
        <w:gridCol w:w="2556"/>
      </w:tblGrid>
      <w:tr w:rsidR="0007198D" w:rsidRPr="00515E1C" w14:paraId="3E63EF58" w14:textId="77777777" w:rsidTr="000C7A5D">
        <w:tc>
          <w:tcPr>
            <w:tcW w:w="3618" w:type="dxa"/>
            <w:shd w:val="clear" w:color="auto" w:fill="auto"/>
          </w:tcPr>
          <w:p w14:paraId="62E6C56A"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GOAL</w:t>
            </w:r>
          </w:p>
        </w:tc>
        <w:tc>
          <w:tcPr>
            <w:tcW w:w="5940" w:type="dxa"/>
            <w:gridSpan w:val="2"/>
            <w:shd w:val="clear" w:color="auto" w:fill="auto"/>
          </w:tcPr>
          <w:p w14:paraId="4A306A1E"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noProof/>
                <w:sz w:val="20"/>
                <w:szCs w:val="20"/>
              </w:rPr>
              <w:t>To ensure access to needed and continuous system</w:t>
            </w:r>
            <w:r>
              <w:rPr>
                <w:rFonts w:ascii="Arial" w:hAnsi="Arial" w:cs="Arial"/>
                <w:noProof/>
                <w:sz w:val="20"/>
                <w:szCs w:val="20"/>
              </w:rPr>
              <w:t>s</w:t>
            </w:r>
            <w:r w:rsidRPr="00531366">
              <w:rPr>
                <w:rFonts w:ascii="Arial" w:hAnsi="Arial" w:cs="Arial"/>
                <w:noProof/>
                <w:sz w:val="20"/>
                <w:szCs w:val="20"/>
              </w:rPr>
              <w:t xml:space="preserve"> of care for children and youth with special health care needs.</w:t>
            </w:r>
          </w:p>
        </w:tc>
      </w:tr>
      <w:tr w:rsidR="0007198D" w:rsidRPr="00515E1C" w14:paraId="41C5510D" w14:textId="77777777" w:rsidTr="000C7A5D">
        <w:tc>
          <w:tcPr>
            <w:tcW w:w="3618" w:type="dxa"/>
            <w:shd w:val="clear" w:color="auto" w:fill="auto"/>
          </w:tcPr>
          <w:p w14:paraId="1AE1D2C5"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645F9433" w14:textId="77777777" w:rsidR="0007198D" w:rsidRPr="00531366" w:rsidRDefault="0007198D" w:rsidP="000C7A5D">
            <w:pPr>
              <w:spacing w:after="0" w:line="240" w:lineRule="auto"/>
              <w:rPr>
                <w:rFonts w:ascii="Arial" w:hAnsi="Arial" w:cs="Arial"/>
                <w:sz w:val="20"/>
                <w:szCs w:val="20"/>
              </w:rPr>
            </w:pPr>
          </w:p>
        </w:tc>
      </w:tr>
      <w:tr w:rsidR="0007198D" w:rsidRPr="00515E1C" w14:paraId="5CC85F2D" w14:textId="77777777" w:rsidTr="000C7A5D">
        <w:tc>
          <w:tcPr>
            <w:tcW w:w="3618" w:type="dxa"/>
            <w:shd w:val="clear" w:color="auto" w:fill="auto"/>
          </w:tcPr>
          <w:p w14:paraId="49C34879"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DEFINITION</w:t>
            </w:r>
          </w:p>
        </w:tc>
        <w:tc>
          <w:tcPr>
            <w:tcW w:w="5940" w:type="dxa"/>
            <w:gridSpan w:val="2"/>
            <w:shd w:val="clear" w:color="auto" w:fill="auto"/>
          </w:tcPr>
          <w:p w14:paraId="63C0213F"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Numerator:</w:t>
            </w:r>
          </w:p>
        </w:tc>
      </w:tr>
      <w:tr w:rsidR="0007198D" w:rsidRPr="00515E1C" w14:paraId="7CBC01B2" w14:textId="77777777" w:rsidTr="000C7A5D">
        <w:tc>
          <w:tcPr>
            <w:tcW w:w="3618" w:type="dxa"/>
            <w:shd w:val="clear" w:color="auto" w:fill="auto"/>
          </w:tcPr>
          <w:p w14:paraId="0DF833C4"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05E6A7B2" w14:textId="77777777" w:rsidR="0007198D" w:rsidRPr="00531366" w:rsidRDefault="0007198D" w:rsidP="000C7A5D">
            <w:pPr>
              <w:spacing w:after="0" w:line="240" w:lineRule="auto"/>
              <w:rPr>
                <w:rFonts w:ascii="Arial" w:hAnsi="Arial" w:cs="Arial"/>
                <w:sz w:val="20"/>
                <w:szCs w:val="20"/>
              </w:rPr>
            </w:pPr>
            <w:r>
              <w:rPr>
                <w:rFonts w:ascii="Arial" w:hAnsi="Arial" w:cs="Arial"/>
                <w:noProof/>
                <w:sz w:val="20"/>
                <w:szCs w:val="20"/>
              </w:rPr>
              <w:t>N</w:t>
            </w:r>
            <w:r w:rsidRPr="00531366">
              <w:rPr>
                <w:rFonts w:ascii="Arial" w:hAnsi="Arial" w:cs="Arial"/>
                <w:noProof/>
                <w:sz w:val="20"/>
                <w:szCs w:val="20"/>
              </w:rPr>
              <w:t xml:space="preserve">umber of CSHCN </w:t>
            </w:r>
            <w:r>
              <w:rPr>
                <w:rFonts w:ascii="Arial" w:hAnsi="Arial" w:cs="Arial"/>
                <w:noProof/>
                <w:sz w:val="20"/>
                <w:szCs w:val="20"/>
              </w:rPr>
              <w:t xml:space="preserve">ages 0 through 17 </w:t>
            </w:r>
            <w:r w:rsidRPr="00531366">
              <w:rPr>
                <w:rFonts w:ascii="Arial" w:hAnsi="Arial" w:cs="Arial"/>
                <w:noProof/>
                <w:sz w:val="20"/>
                <w:szCs w:val="20"/>
              </w:rPr>
              <w:t>that received all components of a well-functioning system (family partnership, medical home, early screening, adequate insurance, easy access to services, and preparation for adult transition)</w:t>
            </w:r>
          </w:p>
        </w:tc>
      </w:tr>
      <w:tr w:rsidR="0007198D" w:rsidRPr="00515E1C" w14:paraId="6DAA19C1" w14:textId="77777777" w:rsidTr="000C7A5D">
        <w:tc>
          <w:tcPr>
            <w:tcW w:w="3618" w:type="dxa"/>
            <w:shd w:val="clear" w:color="auto" w:fill="auto"/>
          </w:tcPr>
          <w:p w14:paraId="539A060B"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56E6C1EA" w14:textId="77777777" w:rsidR="0007198D" w:rsidRPr="00531366" w:rsidRDefault="0007198D" w:rsidP="000C7A5D">
            <w:pPr>
              <w:spacing w:after="0" w:line="240" w:lineRule="auto"/>
              <w:rPr>
                <w:rFonts w:ascii="Arial" w:hAnsi="Arial" w:cs="Arial"/>
                <w:sz w:val="20"/>
                <w:szCs w:val="20"/>
              </w:rPr>
            </w:pPr>
          </w:p>
        </w:tc>
      </w:tr>
      <w:tr w:rsidR="0007198D" w:rsidRPr="00515E1C" w14:paraId="08BDAB2D" w14:textId="77777777" w:rsidTr="000C7A5D">
        <w:tc>
          <w:tcPr>
            <w:tcW w:w="3618" w:type="dxa"/>
            <w:shd w:val="clear" w:color="auto" w:fill="auto"/>
          </w:tcPr>
          <w:p w14:paraId="31AAE299"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03C3C733"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Denominator:</w:t>
            </w:r>
          </w:p>
        </w:tc>
      </w:tr>
      <w:tr w:rsidR="0007198D" w:rsidRPr="00515E1C" w14:paraId="768B58DE" w14:textId="77777777" w:rsidTr="000C7A5D">
        <w:tc>
          <w:tcPr>
            <w:tcW w:w="3618" w:type="dxa"/>
            <w:shd w:val="clear" w:color="auto" w:fill="auto"/>
          </w:tcPr>
          <w:p w14:paraId="6F5C80F0"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4ACB5BBE" w14:textId="77777777" w:rsidR="0007198D" w:rsidRPr="00531366" w:rsidRDefault="0007198D" w:rsidP="000C7A5D">
            <w:pPr>
              <w:spacing w:after="0" w:line="240" w:lineRule="auto"/>
              <w:rPr>
                <w:rFonts w:ascii="Arial" w:hAnsi="Arial" w:cs="Arial"/>
                <w:sz w:val="20"/>
                <w:szCs w:val="20"/>
              </w:rPr>
            </w:pPr>
            <w:r>
              <w:rPr>
                <w:rFonts w:ascii="Arial" w:hAnsi="Arial" w:cs="Arial"/>
                <w:noProof/>
                <w:sz w:val="20"/>
                <w:szCs w:val="20"/>
              </w:rPr>
              <w:t xml:space="preserve">Number of </w:t>
            </w:r>
            <w:r w:rsidRPr="00531366">
              <w:rPr>
                <w:rFonts w:ascii="Arial" w:hAnsi="Arial" w:cs="Arial"/>
                <w:noProof/>
                <w:sz w:val="20"/>
                <w:szCs w:val="20"/>
              </w:rPr>
              <w:t>CSHCN</w:t>
            </w:r>
            <w:r>
              <w:rPr>
                <w:rFonts w:ascii="Arial" w:hAnsi="Arial" w:cs="Arial"/>
                <w:noProof/>
                <w:sz w:val="20"/>
                <w:szCs w:val="20"/>
              </w:rPr>
              <w:t xml:space="preserve"> ages 0 through 17</w:t>
            </w:r>
          </w:p>
        </w:tc>
      </w:tr>
      <w:tr w:rsidR="0007198D" w:rsidRPr="00515E1C" w14:paraId="04C1F454" w14:textId="77777777" w:rsidTr="000C7A5D">
        <w:tc>
          <w:tcPr>
            <w:tcW w:w="3618" w:type="dxa"/>
            <w:shd w:val="clear" w:color="auto" w:fill="auto"/>
          </w:tcPr>
          <w:p w14:paraId="5ADD3C7A"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7465E9A9" w14:textId="77777777" w:rsidR="0007198D" w:rsidRPr="00531366" w:rsidRDefault="0007198D" w:rsidP="000C7A5D">
            <w:pPr>
              <w:spacing w:after="0" w:line="240" w:lineRule="auto"/>
              <w:rPr>
                <w:rFonts w:ascii="Arial" w:hAnsi="Arial" w:cs="Arial"/>
                <w:sz w:val="20"/>
                <w:szCs w:val="20"/>
              </w:rPr>
            </w:pPr>
          </w:p>
        </w:tc>
      </w:tr>
      <w:tr w:rsidR="0007198D" w:rsidRPr="00515E1C" w14:paraId="521E7EFB" w14:textId="77777777" w:rsidTr="000C7A5D">
        <w:tc>
          <w:tcPr>
            <w:tcW w:w="3618" w:type="dxa"/>
            <w:shd w:val="clear" w:color="auto" w:fill="auto"/>
          </w:tcPr>
          <w:p w14:paraId="1FC6FEC7" w14:textId="77777777" w:rsidR="0007198D" w:rsidRPr="00531366" w:rsidRDefault="0007198D" w:rsidP="000C7A5D">
            <w:pPr>
              <w:spacing w:after="0" w:line="240" w:lineRule="auto"/>
              <w:rPr>
                <w:rFonts w:ascii="Arial" w:hAnsi="Arial" w:cs="Arial"/>
                <w:b/>
                <w:sz w:val="20"/>
                <w:szCs w:val="20"/>
              </w:rPr>
            </w:pPr>
          </w:p>
        </w:tc>
        <w:tc>
          <w:tcPr>
            <w:tcW w:w="3384" w:type="dxa"/>
            <w:shd w:val="clear" w:color="auto" w:fill="auto"/>
          </w:tcPr>
          <w:p w14:paraId="3028DDFA"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b/>
                <w:sz w:val="20"/>
                <w:szCs w:val="20"/>
              </w:rPr>
              <w:t>Units:</w:t>
            </w:r>
            <w:r w:rsidRPr="00531366">
              <w:rPr>
                <w:rFonts w:ascii="Arial" w:hAnsi="Arial" w:cs="Arial"/>
                <w:sz w:val="20"/>
                <w:szCs w:val="20"/>
              </w:rPr>
              <w:t xml:space="preserve"> </w:t>
            </w:r>
            <w:r w:rsidRPr="00531366">
              <w:rPr>
                <w:rFonts w:ascii="Arial" w:hAnsi="Arial" w:cs="Arial"/>
                <w:noProof/>
                <w:sz w:val="20"/>
                <w:szCs w:val="20"/>
              </w:rPr>
              <w:t>100</w:t>
            </w:r>
          </w:p>
        </w:tc>
        <w:tc>
          <w:tcPr>
            <w:tcW w:w="2556" w:type="dxa"/>
            <w:shd w:val="clear" w:color="auto" w:fill="auto"/>
          </w:tcPr>
          <w:p w14:paraId="2AD896D0"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b/>
                <w:sz w:val="20"/>
                <w:szCs w:val="20"/>
              </w:rPr>
              <w:t>Text:</w:t>
            </w:r>
            <w:r w:rsidRPr="00531366">
              <w:rPr>
                <w:rFonts w:ascii="Arial" w:hAnsi="Arial" w:cs="Arial"/>
                <w:sz w:val="20"/>
                <w:szCs w:val="20"/>
              </w:rPr>
              <w:t xml:space="preserve"> </w:t>
            </w:r>
            <w:r w:rsidRPr="00531366">
              <w:rPr>
                <w:rFonts w:ascii="Arial" w:hAnsi="Arial" w:cs="Arial"/>
                <w:noProof/>
                <w:sz w:val="20"/>
                <w:szCs w:val="20"/>
              </w:rPr>
              <w:t>Percent</w:t>
            </w:r>
          </w:p>
        </w:tc>
      </w:tr>
      <w:tr w:rsidR="0007198D" w:rsidRPr="00515E1C" w14:paraId="26BCC8CD" w14:textId="77777777" w:rsidTr="000C7A5D">
        <w:tc>
          <w:tcPr>
            <w:tcW w:w="3618" w:type="dxa"/>
            <w:shd w:val="clear" w:color="auto" w:fill="auto"/>
          </w:tcPr>
          <w:p w14:paraId="76FA3FB8"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796B5C31" w14:textId="77777777" w:rsidR="0007198D" w:rsidRPr="00531366" w:rsidRDefault="0007198D" w:rsidP="000C7A5D">
            <w:pPr>
              <w:spacing w:after="0" w:line="240" w:lineRule="auto"/>
              <w:rPr>
                <w:rFonts w:ascii="Arial" w:hAnsi="Arial" w:cs="Arial"/>
                <w:sz w:val="20"/>
                <w:szCs w:val="20"/>
              </w:rPr>
            </w:pPr>
          </w:p>
        </w:tc>
      </w:tr>
      <w:tr w:rsidR="0007198D" w:rsidRPr="00515E1C" w14:paraId="73F09741" w14:textId="77777777" w:rsidTr="000C7A5D">
        <w:tc>
          <w:tcPr>
            <w:tcW w:w="3618" w:type="dxa"/>
            <w:shd w:val="clear" w:color="auto" w:fill="auto"/>
          </w:tcPr>
          <w:p w14:paraId="337023D6"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HEALTHY PEOPLE 2020 OBJECTIVE</w:t>
            </w:r>
          </w:p>
        </w:tc>
        <w:tc>
          <w:tcPr>
            <w:tcW w:w="5940" w:type="dxa"/>
            <w:gridSpan w:val="2"/>
            <w:shd w:val="clear" w:color="auto" w:fill="auto"/>
          </w:tcPr>
          <w:p w14:paraId="701B8788" w14:textId="77777777" w:rsidR="0007198D" w:rsidRPr="00531366" w:rsidRDefault="0007198D" w:rsidP="000C7A5D">
            <w:pPr>
              <w:spacing w:after="0" w:line="240" w:lineRule="auto"/>
              <w:rPr>
                <w:rFonts w:ascii="Arial" w:hAnsi="Arial" w:cs="Arial"/>
                <w:noProof/>
                <w:sz w:val="20"/>
                <w:szCs w:val="20"/>
              </w:rPr>
            </w:pPr>
            <w:r w:rsidRPr="00531366">
              <w:rPr>
                <w:rFonts w:ascii="Arial" w:hAnsi="Arial" w:cs="Arial"/>
                <w:noProof/>
                <w:sz w:val="20"/>
                <w:szCs w:val="20"/>
              </w:rPr>
              <w:t>Related to Maternal, Infant, and Child Health (MICH) Objectives 30.1 : Increase the proportion of children who have access to a medical home, (Baseline: 57.5%, Target: 63.3%) and 30.2: Increase the proportion of children with special health care needs who have access to a medical home. (Baseline: 49.8%, Target: 54.8%)</w:t>
            </w:r>
          </w:p>
          <w:p w14:paraId="6B2B4E7C" w14:textId="77777777" w:rsidR="0007198D" w:rsidRPr="00531366" w:rsidRDefault="0007198D" w:rsidP="000C7A5D">
            <w:pPr>
              <w:spacing w:after="0" w:line="240" w:lineRule="auto"/>
              <w:rPr>
                <w:rFonts w:ascii="Arial" w:hAnsi="Arial" w:cs="Arial"/>
                <w:noProof/>
                <w:sz w:val="20"/>
                <w:szCs w:val="20"/>
              </w:rPr>
            </w:pPr>
          </w:p>
          <w:p w14:paraId="776EE268"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noProof/>
                <w:sz w:val="20"/>
                <w:szCs w:val="20"/>
              </w:rPr>
              <w:t xml:space="preserve">Related to Objective Maternal, Infant, and Child Health (MICH) 31: Increase the proportion of children with special health care needs who receive their care in family-centered, comprehensive, coordinated systems. (Baseline: 20.4% for children </w:t>
            </w:r>
            <w:r>
              <w:rPr>
                <w:rFonts w:ascii="Arial" w:hAnsi="Arial" w:cs="Arial"/>
                <w:noProof/>
                <w:sz w:val="20"/>
                <w:szCs w:val="20"/>
              </w:rPr>
              <w:t>aged</w:t>
            </w:r>
            <w:r w:rsidRPr="00531366">
              <w:rPr>
                <w:rFonts w:ascii="Arial" w:hAnsi="Arial" w:cs="Arial"/>
                <w:noProof/>
                <w:sz w:val="20"/>
                <w:szCs w:val="20"/>
              </w:rPr>
              <w:t xml:space="preserve"> 0-11  Target: 22.4%  Baseline: 13.8%, for children </w:t>
            </w:r>
            <w:r>
              <w:rPr>
                <w:rFonts w:ascii="Arial" w:hAnsi="Arial" w:cs="Arial"/>
                <w:noProof/>
                <w:sz w:val="20"/>
                <w:szCs w:val="20"/>
              </w:rPr>
              <w:t>aged</w:t>
            </w:r>
            <w:r w:rsidRPr="00531366">
              <w:rPr>
                <w:rFonts w:ascii="Arial" w:hAnsi="Arial" w:cs="Arial"/>
                <w:noProof/>
                <w:sz w:val="20"/>
                <w:szCs w:val="20"/>
              </w:rPr>
              <w:t xml:space="preserve"> 12 through 17, Target: 15.2%)</w:t>
            </w:r>
          </w:p>
        </w:tc>
      </w:tr>
      <w:tr w:rsidR="0007198D" w:rsidRPr="00515E1C" w14:paraId="2DFB7272" w14:textId="77777777" w:rsidTr="000C7A5D">
        <w:tc>
          <w:tcPr>
            <w:tcW w:w="3618" w:type="dxa"/>
            <w:shd w:val="clear" w:color="auto" w:fill="auto"/>
          </w:tcPr>
          <w:p w14:paraId="6FE792F8"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21FE25C3" w14:textId="77777777" w:rsidR="0007198D" w:rsidRPr="00531366" w:rsidRDefault="0007198D" w:rsidP="000C7A5D">
            <w:pPr>
              <w:spacing w:after="0" w:line="240" w:lineRule="auto"/>
              <w:rPr>
                <w:rFonts w:ascii="Arial" w:hAnsi="Arial" w:cs="Arial"/>
                <w:sz w:val="20"/>
                <w:szCs w:val="20"/>
              </w:rPr>
            </w:pPr>
          </w:p>
        </w:tc>
      </w:tr>
      <w:tr w:rsidR="0007198D" w:rsidRPr="00515E1C" w14:paraId="74D0AF5C" w14:textId="77777777" w:rsidTr="000C7A5D">
        <w:tc>
          <w:tcPr>
            <w:tcW w:w="3618" w:type="dxa"/>
            <w:shd w:val="clear" w:color="auto" w:fill="auto"/>
          </w:tcPr>
          <w:p w14:paraId="226259A1"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DATA SOURCES and DATA ISSUES</w:t>
            </w:r>
          </w:p>
        </w:tc>
        <w:tc>
          <w:tcPr>
            <w:tcW w:w="5940" w:type="dxa"/>
            <w:gridSpan w:val="2"/>
            <w:shd w:val="clear" w:color="auto" w:fill="auto"/>
          </w:tcPr>
          <w:p w14:paraId="321543A4"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noProof/>
                <w:sz w:val="20"/>
                <w:szCs w:val="20"/>
              </w:rPr>
              <w:t>National Survey of Children's Health (NSCH)</w:t>
            </w:r>
          </w:p>
        </w:tc>
      </w:tr>
      <w:tr w:rsidR="0007198D" w:rsidRPr="00515E1C" w14:paraId="01248096" w14:textId="77777777" w:rsidTr="000C7A5D">
        <w:tc>
          <w:tcPr>
            <w:tcW w:w="3618" w:type="dxa"/>
            <w:shd w:val="clear" w:color="auto" w:fill="auto"/>
          </w:tcPr>
          <w:p w14:paraId="04E452E3"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464C88AF" w14:textId="77777777" w:rsidR="0007198D" w:rsidRPr="00531366" w:rsidRDefault="0007198D" w:rsidP="000C7A5D">
            <w:pPr>
              <w:spacing w:after="0" w:line="240" w:lineRule="auto"/>
              <w:rPr>
                <w:rFonts w:ascii="Arial" w:hAnsi="Arial" w:cs="Arial"/>
                <w:sz w:val="20"/>
                <w:szCs w:val="20"/>
              </w:rPr>
            </w:pPr>
          </w:p>
        </w:tc>
      </w:tr>
      <w:tr w:rsidR="0007198D" w:rsidRPr="00515E1C" w14:paraId="703E1E33" w14:textId="77777777" w:rsidTr="000C7A5D">
        <w:tc>
          <w:tcPr>
            <w:tcW w:w="3618" w:type="dxa"/>
            <w:shd w:val="clear" w:color="auto" w:fill="auto"/>
          </w:tcPr>
          <w:p w14:paraId="7065BA41"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SIGNIFICANCE</w:t>
            </w:r>
          </w:p>
        </w:tc>
        <w:tc>
          <w:tcPr>
            <w:tcW w:w="5940" w:type="dxa"/>
            <w:gridSpan w:val="2"/>
            <w:shd w:val="clear" w:color="auto" w:fill="auto"/>
          </w:tcPr>
          <w:p w14:paraId="09A73F90"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noProof/>
                <w:sz w:val="20"/>
                <w:szCs w:val="20"/>
              </w:rPr>
              <w:t>According to the 2009-10 NS-CSHCN, only 17.6% of CSHCN receive services in a well-functioning system of services.  The Omnibus Budget Reconciliation Act of 1989 requires Title V to provide and promote family-centered, community-based, coordinated care and facilitate the development of community-based systems of services for children with special health care needs and their families. To address this requirement a minimum of 30 percent of the Title V Block Grant funding is allocated for this purpose, and HP 2020 Objective MIC</w:t>
            </w:r>
            <w:r>
              <w:rPr>
                <w:rFonts w:ascii="Arial" w:hAnsi="Arial" w:cs="Arial"/>
                <w:noProof/>
                <w:sz w:val="20"/>
                <w:szCs w:val="20"/>
              </w:rPr>
              <w:t>H-31 establishes the goal to i</w:t>
            </w:r>
            <w:r w:rsidRPr="00531366">
              <w:rPr>
                <w:rFonts w:ascii="Arial" w:hAnsi="Arial" w:cs="Arial"/>
                <w:noProof/>
                <w:sz w:val="20"/>
                <w:szCs w:val="20"/>
              </w:rPr>
              <w:t>ncrease the proportion of children with special health care needs who receive their care in family-centered, comprehensive, and coordinated systems.</w:t>
            </w:r>
          </w:p>
        </w:tc>
      </w:tr>
      <w:tr w:rsidR="0007198D" w:rsidRPr="00515E1C" w14:paraId="778C0166" w14:textId="77777777" w:rsidTr="000C7A5D">
        <w:tc>
          <w:tcPr>
            <w:tcW w:w="3618" w:type="dxa"/>
            <w:shd w:val="clear" w:color="auto" w:fill="auto"/>
          </w:tcPr>
          <w:p w14:paraId="1A196EC9" w14:textId="77777777" w:rsidR="0007198D" w:rsidRPr="00531366" w:rsidRDefault="0007198D" w:rsidP="000C7A5D">
            <w:pPr>
              <w:spacing w:after="0" w:line="240" w:lineRule="auto"/>
              <w:rPr>
                <w:rFonts w:ascii="Arial" w:hAnsi="Arial" w:cs="Arial"/>
                <w:sz w:val="20"/>
                <w:szCs w:val="20"/>
              </w:rPr>
            </w:pPr>
          </w:p>
        </w:tc>
        <w:tc>
          <w:tcPr>
            <w:tcW w:w="5940" w:type="dxa"/>
            <w:gridSpan w:val="2"/>
            <w:shd w:val="clear" w:color="auto" w:fill="auto"/>
          </w:tcPr>
          <w:p w14:paraId="5CBBC9FE" w14:textId="77777777" w:rsidR="0007198D" w:rsidRDefault="0007198D" w:rsidP="000C7A5D">
            <w:pPr>
              <w:spacing w:after="0" w:line="240" w:lineRule="auto"/>
              <w:rPr>
                <w:rFonts w:ascii="Arial" w:hAnsi="Arial" w:cs="Arial"/>
                <w:sz w:val="20"/>
                <w:szCs w:val="20"/>
              </w:rPr>
            </w:pPr>
          </w:p>
          <w:p w14:paraId="2B40FF39" w14:textId="77777777" w:rsidR="0007198D" w:rsidRPr="00531366" w:rsidRDefault="0007198D" w:rsidP="000C7A5D">
            <w:pPr>
              <w:spacing w:after="0" w:line="240" w:lineRule="auto"/>
              <w:rPr>
                <w:rFonts w:ascii="Arial" w:hAnsi="Arial" w:cs="Arial"/>
                <w:sz w:val="20"/>
                <w:szCs w:val="20"/>
              </w:rPr>
            </w:pPr>
            <w:r w:rsidRPr="002524E8">
              <w:rPr>
                <w:rFonts w:ascii="Arial" w:hAnsi="Arial" w:cs="Arial"/>
                <w:sz w:val="20"/>
                <w:szCs w:val="20"/>
              </w:rPr>
              <w:t>Strickland BB, Jones JR, Newacheck PW, Bethell CD, Blumberg SJ, Kogan MD.</w:t>
            </w:r>
            <w:r>
              <w:rPr>
                <w:rFonts w:ascii="Arial" w:hAnsi="Arial" w:cs="Arial"/>
                <w:sz w:val="20"/>
                <w:szCs w:val="20"/>
              </w:rPr>
              <w:t xml:space="preserve"> </w:t>
            </w:r>
            <w:r w:rsidRPr="002524E8">
              <w:rPr>
                <w:rFonts w:ascii="Arial" w:hAnsi="Arial" w:cs="Arial"/>
                <w:sz w:val="20"/>
                <w:szCs w:val="20"/>
              </w:rPr>
              <w:t>Assessing systems quality in a changing health care environment: the 2009-10</w:t>
            </w:r>
            <w:r>
              <w:rPr>
                <w:rFonts w:ascii="Arial" w:hAnsi="Arial" w:cs="Arial"/>
                <w:sz w:val="20"/>
                <w:szCs w:val="20"/>
              </w:rPr>
              <w:t xml:space="preserve"> </w:t>
            </w:r>
            <w:r w:rsidRPr="002524E8">
              <w:rPr>
                <w:rFonts w:ascii="Arial" w:hAnsi="Arial" w:cs="Arial"/>
                <w:sz w:val="20"/>
                <w:szCs w:val="20"/>
              </w:rPr>
              <w:t>national survey of children with special health care needs. Matern Child Health</w:t>
            </w:r>
            <w:r>
              <w:rPr>
                <w:rFonts w:ascii="Arial" w:hAnsi="Arial" w:cs="Arial"/>
                <w:sz w:val="20"/>
                <w:szCs w:val="20"/>
              </w:rPr>
              <w:t xml:space="preserve"> </w:t>
            </w:r>
            <w:r w:rsidRPr="002524E8">
              <w:rPr>
                <w:rFonts w:ascii="Arial" w:hAnsi="Arial" w:cs="Arial"/>
                <w:sz w:val="20"/>
                <w:szCs w:val="20"/>
              </w:rPr>
              <w:t>J. 2015 Feb;19(2):353-61.</w:t>
            </w:r>
            <w:r>
              <w:rPr>
                <w:rFonts w:ascii="Arial" w:hAnsi="Arial" w:cs="Arial"/>
                <w:sz w:val="20"/>
                <w:szCs w:val="20"/>
              </w:rPr>
              <w:t xml:space="preserve"> </w:t>
            </w:r>
            <w:hyperlink r:id="rId108" w:history="1">
              <w:r w:rsidRPr="00057ED2">
                <w:rPr>
                  <w:rStyle w:val="Hyperlink"/>
                  <w:rFonts w:ascii="Arial" w:hAnsi="Arial" w:cs="Arial"/>
                  <w:sz w:val="20"/>
                  <w:szCs w:val="20"/>
                </w:rPr>
                <w:t>https://www.ncbi.nlm.nih.gov/pubmed/24912943</w:t>
              </w:r>
            </w:hyperlink>
            <w:r>
              <w:rPr>
                <w:rFonts w:ascii="Arial" w:hAnsi="Arial" w:cs="Arial"/>
                <w:sz w:val="20"/>
                <w:szCs w:val="20"/>
              </w:rPr>
              <w:t xml:space="preserve"> </w:t>
            </w:r>
          </w:p>
        </w:tc>
      </w:tr>
    </w:tbl>
    <w:p w14:paraId="511EA223" w14:textId="77777777" w:rsidR="0007198D" w:rsidRDefault="0007198D" w:rsidP="0007198D">
      <w:pPr>
        <w:spacing w:after="0" w:line="240" w:lineRule="auto"/>
        <w:sectPr w:rsidR="0007198D" w:rsidSect="008A00F6">
          <w:pgSz w:w="12240" w:h="15840"/>
          <w:pgMar w:top="1440" w:right="1440" w:bottom="1440" w:left="1440" w:header="720" w:footer="720" w:gutter="0"/>
          <w:cols w:space="720"/>
          <w:docGrid w:linePitch="360"/>
        </w:sectPr>
      </w:pPr>
    </w:p>
    <w:tbl>
      <w:tblPr>
        <w:tblW w:w="0" w:type="auto"/>
        <w:tblLook w:val="04A0" w:firstRow="1" w:lastRow="0" w:firstColumn="1" w:lastColumn="0" w:noHBand="0" w:noVBand="1"/>
      </w:tblPr>
      <w:tblGrid>
        <w:gridCol w:w="3618"/>
        <w:gridCol w:w="5868"/>
      </w:tblGrid>
      <w:tr w:rsidR="0007198D" w:rsidRPr="003F48A1" w14:paraId="48AACFBD" w14:textId="77777777" w:rsidTr="000C7A5D">
        <w:tc>
          <w:tcPr>
            <w:tcW w:w="3618" w:type="dxa"/>
            <w:shd w:val="clear" w:color="auto" w:fill="auto"/>
          </w:tcPr>
          <w:p w14:paraId="1F3EEAC3" w14:textId="77777777" w:rsidR="0007198D" w:rsidRPr="00531366" w:rsidRDefault="0007198D" w:rsidP="000C7A5D">
            <w:pPr>
              <w:spacing w:after="0" w:line="240" w:lineRule="auto"/>
              <w:rPr>
                <w:rFonts w:ascii="Arial" w:hAnsi="Arial" w:cs="Arial"/>
                <w:b/>
                <w:sz w:val="24"/>
                <w:szCs w:val="24"/>
              </w:rPr>
            </w:pPr>
            <w:r w:rsidRPr="00531366">
              <w:rPr>
                <w:rFonts w:ascii="Arial" w:hAnsi="Arial" w:cs="Arial"/>
                <w:b/>
                <w:sz w:val="24"/>
                <w:szCs w:val="24"/>
              </w:rPr>
              <w:t xml:space="preserve">OUTCOME MEASURE </w:t>
            </w:r>
            <w:r>
              <w:rPr>
                <w:rFonts w:ascii="Arial" w:hAnsi="Arial" w:cs="Arial"/>
                <w:b/>
                <w:noProof/>
                <w:sz w:val="24"/>
                <w:szCs w:val="24"/>
              </w:rPr>
              <w:t>17</w:t>
            </w:r>
            <w:r w:rsidRPr="00531366">
              <w:rPr>
                <w:rFonts w:ascii="Arial" w:hAnsi="Arial" w:cs="Arial"/>
                <w:b/>
                <w:noProof/>
                <w:sz w:val="24"/>
                <w:szCs w:val="24"/>
              </w:rPr>
              <w:t>.</w:t>
            </w:r>
            <w:r>
              <w:rPr>
                <w:rFonts w:ascii="Arial" w:hAnsi="Arial" w:cs="Arial"/>
                <w:b/>
                <w:noProof/>
                <w:sz w:val="24"/>
                <w:szCs w:val="24"/>
              </w:rPr>
              <w:t>3</w:t>
            </w:r>
          </w:p>
        </w:tc>
        <w:tc>
          <w:tcPr>
            <w:tcW w:w="5868" w:type="dxa"/>
            <w:shd w:val="clear" w:color="auto" w:fill="auto"/>
          </w:tcPr>
          <w:p w14:paraId="4BC110B5" w14:textId="526DDE88" w:rsidR="0007198D" w:rsidRPr="00531366" w:rsidRDefault="0007198D" w:rsidP="000C7A5D">
            <w:pPr>
              <w:spacing w:after="0" w:line="240" w:lineRule="auto"/>
              <w:rPr>
                <w:rFonts w:ascii="Arial" w:hAnsi="Arial" w:cs="Arial"/>
                <w:b/>
                <w:sz w:val="24"/>
                <w:szCs w:val="24"/>
              </w:rPr>
            </w:pPr>
            <w:r w:rsidRPr="00531366">
              <w:rPr>
                <w:rFonts w:ascii="Arial" w:hAnsi="Arial" w:cs="Arial"/>
                <w:b/>
                <w:noProof/>
                <w:sz w:val="24"/>
                <w:szCs w:val="24"/>
              </w:rPr>
              <w:t>Percent of children</w:t>
            </w:r>
            <w:r w:rsidR="000B4742">
              <w:rPr>
                <w:rFonts w:ascii="Arial" w:hAnsi="Arial" w:cs="Arial"/>
                <w:b/>
                <w:noProof/>
                <w:sz w:val="24"/>
                <w:szCs w:val="24"/>
              </w:rPr>
              <w:t xml:space="preserve">, ages 3 through 17, </w:t>
            </w:r>
            <w:r w:rsidRPr="00531366">
              <w:rPr>
                <w:rFonts w:ascii="Arial" w:hAnsi="Arial" w:cs="Arial"/>
                <w:b/>
                <w:noProof/>
                <w:sz w:val="24"/>
                <w:szCs w:val="24"/>
              </w:rPr>
              <w:t xml:space="preserve"> diagnosed with an autism spectrum disorder</w:t>
            </w:r>
          </w:p>
        </w:tc>
      </w:tr>
    </w:tbl>
    <w:p w14:paraId="5BF05349" w14:textId="77777777" w:rsidR="0007198D" w:rsidRDefault="0007198D" w:rsidP="0007198D">
      <w:pPr>
        <w:spacing w:after="0" w:line="240" w:lineRule="auto"/>
      </w:pPr>
    </w:p>
    <w:p w14:paraId="2DB7F841" w14:textId="77777777" w:rsidR="0007198D" w:rsidRDefault="0007198D" w:rsidP="0007198D">
      <w:pPr>
        <w:spacing w:after="0" w:line="240" w:lineRule="auto"/>
      </w:pPr>
      <w:r>
        <w:rPr>
          <w:noProof/>
        </w:rPr>
        <mc:AlternateContent>
          <mc:Choice Requires="wps">
            <w:drawing>
              <wp:anchor distT="4294967295" distB="4294967295" distL="114300" distR="114300" simplePos="0" relativeHeight="251770880" behindDoc="0" locked="0" layoutInCell="1" allowOverlap="1" wp14:anchorId="14EA67D7" wp14:editId="7F9E4D49">
                <wp:simplePos x="0" y="0"/>
                <wp:positionH relativeFrom="column">
                  <wp:posOffset>-60960</wp:posOffset>
                </wp:positionH>
                <wp:positionV relativeFrom="paragraph">
                  <wp:posOffset>31749</wp:posOffset>
                </wp:positionV>
                <wp:extent cx="6088380" cy="0"/>
                <wp:effectExtent l="0" t="0" r="2667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D2B520B" id="Straight Connector 30" o:spid="_x0000_s1026" style="position:absolute;z-index:251770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" strokecolor="windowText" strokeweight="1.75pt">
                <o:lock v:ext="edit" shapetype="f"/>
              </v:line>
            </w:pict>
          </mc:Fallback>
        </mc:AlternateContent>
      </w:r>
    </w:p>
    <w:tbl>
      <w:tblPr>
        <w:tblW w:w="0" w:type="auto"/>
        <w:tblLook w:val="04A0" w:firstRow="1" w:lastRow="0" w:firstColumn="1" w:lastColumn="0" w:noHBand="0" w:noVBand="1"/>
      </w:tblPr>
      <w:tblGrid>
        <w:gridCol w:w="3618"/>
        <w:gridCol w:w="3384"/>
        <w:gridCol w:w="2556"/>
      </w:tblGrid>
      <w:tr w:rsidR="0007198D" w:rsidRPr="00515E1C" w14:paraId="5D95A50D" w14:textId="77777777" w:rsidTr="000C7A5D">
        <w:tc>
          <w:tcPr>
            <w:tcW w:w="3618" w:type="dxa"/>
            <w:shd w:val="clear" w:color="auto" w:fill="auto"/>
          </w:tcPr>
          <w:p w14:paraId="05BB9C33"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GOAL</w:t>
            </w:r>
          </w:p>
        </w:tc>
        <w:tc>
          <w:tcPr>
            <w:tcW w:w="5940" w:type="dxa"/>
            <w:gridSpan w:val="2"/>
            <w:shd w:val="clear" w:color="auto" w:fill="auto"/>
          </w:tcPr>
          <w:p w14:paraId="0964080E" w14:textId="4A44303E" w:rsidR="0007198D" w:rsidRPr="00531366" w:rsidRDefault="0007198D" w:rsidP="00827325">
            <w:pPr>
              <w:spacing w:after="0" w:line="240" w:lineRule="auto"/>
              <w:rPr>
                <w:rFonts w:ascii="Arial" w:hAnsi="Arial" w:cs="Arial"/>
                <w:sz w:val="20"/>
                <w:szCs w:val="20"/>
              </w:rPr>
            </w:pPr>
            <w:r w:rsidRPr="00531366">
              <w:rPr>
                <w:rFonts w:ascii="Arial" w:hAnsi="Arial" w:cs="Arial"/>
                <w:noProof/>
                <w:sz w:val="20"/>
                <w:szCs w:val="20"/>
              </w:rPr>
              <w:t>To track the percent of children and youth with special health care needs, autism spectrum disorder (ASD), and attention deficit disorder/atten</w:t>
            </w:r>
            <w:r w:rsidR="00827325">
              <w:rPr>
                <w:rFonts w:ascii="Arial" w:hAnsi="Arial" w:cs="Arial"/>
                <w:noProof/>
                <w:sz w:val="20"/>
                <w:szCs w:val="20"/>
              </w:rPr>
              <w:t xml:space="preserve">tion </w:t>
            </w:r>
            <w:r w:rsidRPr="00531366">
              <w:rPr>
                <w:rFonts w:ascii="Arial" w:hAnsi="Arial" w:cs="Arial"/>
                <w:noProof/>
                <w:sz w:val="20"/>
                <w:szCs w:val="20"/>
              </w:rPr>
              <w:t>deficit hyperactivity disorder (ADD/ADHD).</w:t>
            </w:r>
          </w:p>
        </w:tc>
      </w:tr>
      <w:tr w:rsidR="0007198D" w:rsidRPr="00515E1C" w14:paraId="07256872" w14:textId="77777777" w:rsidTr="000C7A5D">
        <w:tc>
          <w:tcPr>
            <w:tcW w:w="3618" w:type="dxa"/>
            <w:shd w:val="clear" w:color="auto" w:fill="auto"/>
          </w:tcPr>
          <w:p w14:paraId="50E9C4C1"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332E0292" w14:textId="77777777" w:rsidR="0007198D" w:rsidRPr="00531366" w:rsidRDefault="0007198D" w:rsidP="000C7A5D">
            <w:pPr>
              <w:spacing w:after="0" w:line="240" w:lineRule="auto"/>
              <w:rPr>
                <w:rFonts w:ascii="Arial" w:hAnsi="Arial" w:cs="Arial"/>
                <w:sz w:val="20"/>
                <w:szCs w:val="20"/>
              </w:rPr>
            </w:pPr>
          </w:p>
        </w:tc>
      </w:tr>
      <w:tr w:rsidR="0007198D" w:rsidRPr="00515E1C" w14:paraId="7B2F4A55" w14:textId="77777777" w:rsidTr="000C7A5D">
        <w:tc>
          <w:tcPr>
            <w:tcW w:w="3618" w:type="dxa"/>
            <w:shd w:val="clear" w:color="auto" w:fill="auto"/>
          </w:tcPr>
          <w:p w14:paraId="412482E1"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DEFINITION</w:t>
            </w:r>
          </w:p>
        </w:tc>
        <w:tc>
          <w:tcPr>
            <w:tcW w:w="5940" w:type="dxa"/>
            <w:gridSpan w:val="2"/>
            <w:shd w:val="clear" w:color="auto" w:fill="auto"/>
          </w:tcPr>
          <w:p w14:paraId="30BDC4AF"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Numerator:</w:t>
            </w:r>
          </w:p>
        </w:tc>
      </w:tr>
      <w:tr w:rsidR="0007198D" w:rsidRPr="00515E1C" w14:paraId="02E58874" w14:textId="77777777" w:rsidTr="000C7A5D">
        <w:tc>
          <w:tcPr>
            <w:tcW w:w="3618" w:type="dxa"/>
            <w:shd w:val="clear" w:color="auto" w:fill="auto"/>
          </w:tcPr>
          <w:p w14:paraId="60439A22"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1C7D02EA" w14:textId="6FE31A9D" w:rsidR="0007198D" w:rsidRPr="00531366" w:rsidRDefault="0007198D" w:rsidP="000C7A5D">
            <w:pPr>
              <w:spacing w:after="0" w:line="240" w:lineRule="auto"/>
              <w:rPr>
                <w:rFonts w:ascii="Arial" w:hAnsi="Arial" w:cs="Arial"/>
                <w:sz w:val="20"/>
                <w:szCs w:val="20"/>
              </w:rPr>
            </w:pPr>
            <w:r w:rsidRPr="00531366">
              <w:rPr>
                <w:rFonts w:ascii="Arial" w:hAnsi="Arial" w:cs="Arial"/>
                <w:noProof/>
                <w:sz w:val="20"/>
                <w:szCs w:val="20"/>
              </w:rPr>
              <w:t>Number of children, ages 3</w:t>
            </w:r>
            <w:r>
              <w:rPr>
                <w:rFonts w:ascii="Arial" w:hAnsi="Arial" w:cs="Arial"/>
                <w:noProof/>
                <w:sz w:val="20"/>
                <w:szCs w:val="20"/>
              </w:rPr>
              <w:t xml:space="preserve"> through </w:t>
            </w:r>
            <w:r w:rsidRPr="00531366">
              <w:rPr>
                <w:rFonts w:ascii="Arial" w:hAnsi="Arial" w:cs="Arial"/>
                <w:noProof/>
                <w:sz w:val="20"/>
                <w:szCs w:val="20"/>
              </w:rPr>
              <w:t>17, reported by their parents to have been diagnosed by a health care provider with ASD</w:t>
            </w:r>
            <w:r w:rsidR="000B4742">
              <w:rPr>
                <w:rFonts w:ascii="Arial" w:hAnsi="Arial" w:cs="Arial"/>
                <w:noProof/>
                <w:sz w:val="20"/>
                <w:szCs w:val="20"/>
              </w:rPr>
              <w:t xml:space="preserve"> and to currently have the condition</w:t>
            </w:r>
          </w:p>
        </w:tc>
      </w:tr>
      <w:tr w:rsidR="0007198D" w:rsidRPr="00515E1C" w14:paraId="765355FD" w14:textId="77777777" w:rsidTr="000C7A5D">
        <w:tc>
          <w:tcPr>
            <w:tcW w:w="3618" w:type="dxa"/>
            <w:shd w:val="clear" w:color="auto" w:fill="auto"/>
          </w:tcPr>
          <w:p w14:paraId="3AB07B85"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1F7F6BB2" w14:textId="77777777" w:rsidR="0007198D" w:rsidRPr="00531366" w:rsidRDefault="0007198D" w:rsidP="000C7A5D">
            <w:pPr>
              <w:spacing w:after="0" w:line="240" w:lineRule="auto"/>
              <w:rPr>
                <w:rFonts w:ascii="Arial" w:hAnsi="Arial" w:cs="Arial"/>
                <w:sz w:val="20"/>
                <w:szCs w:val="20"/>
              </w:rPr>
            </w:pPr>
          </w:p>
        </w:tc>
      </w:tr>
      <w:tr w:rsidR="0007198D" w:rsidRPr="00515E1C" w14:paraId="57BC0517" w14:textId="77777777" w:rsidTr="000C7A5D">
        <w:tc>
          <w:tcPr>
            <w:tcW w:w="3618" w:type="dxa"/>
            <w:shd w:val="clear" w:color="auto" w:fill="auto"/>
          </w:tcPr>
          <w:p w14:paraId="7616D24D"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648EDCDD"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Denominator:</w:t>
            </w:r>
          </w:p>
        </w:tc>
      </w:tr>
      <w:tr w:rsidR="0007198D" w:rsidRPr="00515E1C" w14:paraId="089B8972" w14:textId="77777777" w:rsidTr="000C7A5D">
        <w:tc>
          <w:tcPr>
            <w:tcW w:w="3618" w:type="dxa"/>
            <w:shd w:val="clear" w:color="auto" w:fill="auto"/>
          </w:tcPr>
          <w:p w14:paraId="631C3864"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4CAC49E4"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noProof/>
                <w:sz w:val="20"/>
                <w:szCs w:val="20"/>
              </w:rPr>
              <w:t>Number of children, ages 3</w:t>
            </w:r>
            <w:r>
              <w:rPr>
                <w:rFonts w:ascii="Arial" w:hAnsi="Arial" w:cs="Arial"/>
                <w:noProof/>
                <w:sz w:val="20"/>
                <w:szCs w:val="20"/>
              </w:rPr>
              <w:t xml:space="preserve"> through</w:t>
            </w:r>
            <w:r w:rsidRPr="00531366">
              <w:rPr>
                <w:rFonts w:ascii="Arial" w:hAnsi="Arial" w:cs="Arial"/>
                <w:noProof/>
                <w:sz w:val="20"/>
                <w:szCs w:val="20"/>
              </w:rPr>
              <w:t>17</w:t>
            </w:r>
          </w:p>
        </w:tc>
      </w:tr>
      <w:tr w:rsidR="0007198D" w:rsidRPr="00515E1C" w14:paraId="76D09354" w14:textId="77777777" w:rsidTr="000C7A5D">
        <w:tc>
          <w:tcPr>
            <w:tcW w:w="3618" w:type="dxa"/>
            <w:shd w:val="clear" w:color="auto" w:fill="auto"/>
          </w:tcPr>
          <w:p w14:paraId="51F4972E"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2F58A577" w14:textId="77777777" w:rsidR="0007198D" w:rsidRPr="00531366" w:rsidRDefault="0007198D" w:rsidP="000C7A5D">
            <w:pPr>
              <w:spacing w:after="0" w:line="240" w:lineRule="auto"/>
              <w:rPr>
                <w:rFonts w:ascii="Arial" w:hAnsi="Arial" w:cs="Arial"/>
                <w:sz w:val="20"/>
                <w:szCs w:val="20"/>
              </w:rPr>
            </w:pPr>
          </w:p>
        </w:tc>
      </w:tr>
      <w:tr w:rsidR="0007198D" w:rsidRPr="00515E1C" w14:paraId="657F36A9" w14:textId="77777777" w:rsidTr="000C7A5D">
        <w:tc>
          <w:tcPr>
            <w:tcW w:w="3618" w:type="dxa"/>
            <w:shd w:val="clear" w:color="auto" w:fill="auto"/>
          </w:tcPr>
          <w:p w14:paraId="3AB0FA32" w14:textId="77777777" w:rsidR="0007198D" w:rsidRPr="00531366" w:rsidRDefault="0007198D" w:rsidP="000C7A5D">
            <w:pPr>
              <w:spacing w:after="0" w:line="240" w:lineRule="auto"/>
              <w:rPr>
                <w:rFonts w:ascii="Arial" w:hAnsi="Arial" w:cs="Arial"/>
                <w:b/>
                <w:sz w:val="20"/>
                <w:szCs w:val="20"/>
              </w:rPr>
            </w:pPr>
          </w:p>
        </w:tc>
        <w:tc>
          <w:tcPr>
            <w:tcW w:w="3384" w:type="dxa"/>
            <w:shd w:val="clear" w:color="auto" w:fill="auto"/>
          </w:tcPr>
          <w:p w14:paraId="327B3398"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b/>
                <w:sz w:val="20"/>
                <w:szCs w:val="20"/>
              </w:rPr>
              <w:t>Units:</w:t>
            </w:r>
            <w:r w:rsidRPr="00531366">
              <w:rPr>
                <w:rFonts w:ascii="Arial" w:hAnsi="Arial" w:cs="Arial"/>
                <w:sz w:val="20"/>
                <w:szCs w:val="20"/>
              </w:rPr>
              <w:t xml:space="preserve"> </w:t>
            </w:r>
            <w:r w:rsidRPr="00531366">
              <w:rPr>
                <w:rFonts w:ascii="Arial" w:hAnsi="Arial" w:cs="Arial"/>
                <w:noProof/>
                <w:sz w:val="20"/>
                <w:szCs w:val="20"/>
              </w:rPr>
              <w:t>100</w:t>
            </w:r>
          </w:p>
        </w:tc>
        <w:tc>
          <w:tcPr>
            <w:tcW w:w="2556" w:type="dxa"/>
            <w:shd w:val="clear" w:color="auto" w:fill="auto"/>
          </w:tcPr>
          <w:p w14:paraId="3B77297B"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b/>
                <w:sz w:val="20"/>
                <w:szCs w:val="20"/>
              </w:rPr>
              <w:t>Text:</w:t>
            </w:r>
            <w:r w:rsidRPr="00531366">
              <w:rPr>
                <w:rFonts w:ascii="Arial" w:hAnsi="Arial" w:cs="Arial"/>
                <w:sz w:val="20"/>
                <w:szCs w:val="20"/>
              </w:rPr>
              <w:t xml:space="preserve"> </w:t>
            </w:r>
            <w:r w:rsidRPr="00531366">
              <w:rPr>
                <w:rFonts w:ascii="Arial" w:hAnsi="Arial" w:cs="Arial"/>
                <w:noProof/>
                <w:sz w:val="20"/>
                <w:szCs w:val="20"/>
              </w:rPr>
              <w:t>Percent</w:t>
            </w:r>
          </w:p>
        </w:tc>
      </w:tr>
      <w:tr w:rsidR="0007198D" w:rsidRPr="00515E1C" w14:paraId="0D0A07F5" w14:textId="77777777" w:rsidTr="000C7A5D">
        <w:tc>
          <w:tcPr>
            <w:tcW w:w="3618" w:type="dxa"/>
            <w:shd w:val="clear" w:color="auto" w:fill="auto"/>
          </w:tcPr>
          <w:p w14:paraId="5C60EF93"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0DD3AFC0" w14:textId="77777777" w:rsidR="0007198D" w:rsidRPr="00531366" w:rsidRDefault="0007198D" w:rsidP="000C7A5D">
            <w:pPr>
              <w:spacing w:after="0" w:line="240" w:lineRule="auto"/>
              <w:rPr>
                <w:rFonts w:ascii="Arial" w:hAnsi="Arial" w:cs="Arial"/>
                <w:sz w:val="20"/>
                <w:szCs w:val="20"/>
              </w:rPr>
            </w:pPr>
          </w:p>
        </w:tc>
      </w:tr>
      <w:tr w:rsidR="0007198D" w:rsidRPr="00515E1C" w14:paraId="00BCED2E" w14:textId="77777777" w:rsidTr="000C7A5D">
        <w:tc>
          <w:tcPr>
            <w:tcW w:w="3618" w:type="dxa"/>
            <w:shd w:val="clear" w:color="auto" w:fill="auto"/>
          </w:tcPr>
          <w:p w14:paraId="54E0061D"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HEALTHY PEOPLE 2020 OBJECTIVE</w:t>
            </w:r>
          </w:p>
        </w:tc>
        <w:tc>
          <w:tcPr>
            <w:tcW w:w="5940" w:type="dxa"/>
            <w:gridSpan w:val="2"/>
            <w:shd w:val="clear" w:color="auto" w:fill="auto"/>
          </w:tcPr>
          <w:p w14:paraId="315764A5" w14:textId="77777777" w:rsidR="0007198D" w:rsidRPr="00531366" w:rsidRDefault="0007198D" w:rsidP="000C7A5D">
            <w:pPr>
              <w:spacing w:after="0" w:line="240" w:lineRule="auto"/>
              <w:rPr>
                <w:rFonts w:ascii="Arial" w:hAnsi="Arial" w:cs="Arial"/>
                <w:sz w:val="20"/>
                <w:szCs w:val="20"/>
              </w:rPr>
            </w:pPr>
          </w:p>
        </w:tc>
      </w:tr>
      <w:tr w:rsidR="0007198D" w:rsidRPr="00515E1C" w14:paraId="46409CB8" w14:textId="77777777" w:rsidTr="000C7A5D">
        <w:tc>
          <w:tcPr>
            <w:tcW w:w="3618" w:type="dxa"/>
            <w:shd w:val="clear" w:color="auto" w:fill="auto"/>
          </w:tcPr>
          <w:p w14:paraId="6AE3AC04"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3B4AF909" w14:textId="77777777" w:rsidR="0007198D" w:rsidRPr="00531366" w:rsidRDefault="0007198D" w:rsidP="000C7A5D">
            <w:pPr>
              <w:spacing w:after="0" w:line="240" w:lineRule="auto"/>
              <w:rPr>
                <w:rFonts w:ascii="Arial" w:hAnsi="Arial" w:cs="Arial"/>
                <w:sz w:val="20"/>
                <w:szCs w:val="20"/>
              </w:rPr>
            </w:pPr>
          </w:p>
        </w:tc>
      </w:tr>
      <w:tr w:rsidR="0007198D" w:rsidRPr="00515E1C" w14:paraId="228AC554" w14:textId="77777777" w:rsidTr="000C7A5D">
        <w:tc>
          <w:tcPr>
            <w:tcW w:w="3618" w:type="dxa"/>
            <w:shd w:val="clear" w:color="auto" w:fill="auto"/>
          </w:tcPr>
          <w:p w14:paraId="37C91F81"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DATA SOURCES and DATA ISSUES</w:t>
            </w:r>
          </w:p>
        </w:tc>
        <w:tc>
          <w:tcPr>
            <w:tcW w:w="5940" w:type="dxa"/>
            <w:gridSpan w:val="2"/>
            <w:shd w:val="clear" w:color="auto" w:fill="auto"/>
          </w:tcPr>
          <w:p w14:paraId="39CA577A"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noProof/>
                <w:sz w:val="20"/>
                <w:szCs w:val="20"/>
              </w:rPr>
              <w:t>National Survey of Children's Health (NSCH)</w:t>
            </w:r>
          </w:p>
        </w:tc>
      </w:tr>
      <w:tr w:rsidR="0007198D" w:rsidRPr="00515E1C" w14:paraId="22F41B81" w14:textId="77777777" w:rsidTr="000C7A5D">
        <w:tc>
          <w:tcPr>
            <w:tcW w:w="3618" w:type="dxa"/>
            <w:shd w:val="clear" w:color="auto" w:fill="auto"/>
          </w:tcPr>
          <w:p w14:paraId="40C0F178"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44FC6D26" w14:textId="77777777" w:rsidR="0007198D" w:rsidRPr="00531366" w:rsidRDefault="0007198D" w:rsidP="000C7A5D">
            <w:pPr>
              <w:spacing w:after="0" w:line="240" w:lineRule="auto"/>
              <w:rPr>
                <w:rFonts w:ascii="Arial" w:hAnsi="Arial" w:cs="Arial"/>
                <w:sz w:val="20"/>
                <w:szCs w:val="20"/>
              </w:rPr>
            </w:pPr>
          </w:p>
        </w:tc>
      </w:tr>
      <w:tr w:rsidR="0007198D" w:rsidRPr="00515E1C" w14:paraId="1F33A216" w14:textId="77777777" w:rsidTr="000C7A5D">
        <w:tc>
          <w:tcPr>
            <w:tcW w:w="3618" w:type="dxa"/>
            <w:shd w:val="clear" w:color="auto" w:fill="auto"/>
          </w:tcPr>
          <w:p w14:paraId="09CFEF65"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SIGNIFICANCE</w:t>
            </w:r>
          </w:p>
        </w:tc>
        <w:tc>
          <w:tcPr>
            <w:tcW w:w="5940" w:type="dxa"/>
            <w:gridSpan w:val="2"/>
            <w:shd w:val="clear" w:color="auto" w:fill="auto"/>
          </w:tcPr>
          <w:p w14:paraId="091FACC4" w14:textId="77777777" w:rsidR="0007198D" w:rsidRPr="00531366" w:rsidRDefault="0007198D" w:rsidP="000C7A5D">
            <w:pPr>
              <w:spacing w:after="0" w:line="240" w:lineRule="auto"/>
              <w:rPr>
                <w:rFonts w:ascii="Arial" w:hAnsi="Arial" w:cs="Arial"/>
                <w:sz w:val="20"/>
                <w:szCs w:val="20"/>
              </w:rPr>
            </w:pPr>
            <w:r>
              <w:rPr>
                <w:rFonts w:ascii="Arial" w:hAnsi="Arial" w:cs="Arial"/>
                <w:noProof/>
                <w:sz w:val="20"/>
                <w:szCs w:val="20"/>
              </w:rPr>
              <w:t xml:space="preserve">Autism spectrum disorder (ASD) is a developmental disability </w:t>
            </w:r>
            <w:r w:rsidRPr="005C5E89">
              <w:rPr>
                <w:rFonts w:ascii="Arial" w:hAnsi="Arial" w:cs="Arial"/>
                <w:noProof/>
                <w:sz w:val="20"/>
                <w:szCs w:val="20"/>
              </w:rPr>
              <w:t>that can cause significant social, communication and behavioral challenges</w:t>
            </w:r>
            <w:r>
              <w:rPr>
                <w:rFonts w:ascii="Arial" w:hAnsi="Arial" w:cs="Arial"/>
                <w:noProof/>
                <w:sz w:val="20"/>
                <w:szCs w:val="20"/>
              </w:rPr>
              <w:t xml:space="preserve">.  </w:t>
            </w:r>
            <w:r w:rsidRPr="00531366">
              <w:rPr>
                <w:rFonts w:ascii="Arial" w:hAnsi="Arial" w:cs="Arial"/>
                <w:noProof/>
                <w:sz w:val="20"/>
                <w:szCs w:val="20"/>
              </w:rPr>
              <w:t xml:space="preserve">The prevalence of </w:t>
            </w:r>
            <w:r>
              <w:rPr>
                <w:rFonts w:ascii="Arial" w:hAnsi="Arial" w:cs="Arial"/>
                <w:noProof/>
                <w:sz w:val="20"/>
                <w:szCs w:val="20"/>
              </w:rPr>
              <w:t>ASD</w:t>
            </w:r>
            <w:r w:rsidRPr="00531366">
              <w:rPr>
                <w:rFonts w:ascii="Arial" w:hAnsi="Arial" w:cs="Arial"/>
                <w:noProof/>
                <w:sz w:val="20"/>
                <w:szCs w:val="20"/>
              </w:rPr>
              <w:t xml:space="preserve"> has risen sharply over the last two decades.  However, the average age at diagnosis for ASD is 4 years old, while the American Academy of Pediatrics recommends screening beginning at nine months.  Interventions for ASD are more effective when they're started earlier.</w:t>
            </w:r>
          </w:p>
        </w:tc>
      </w:tr>
      <w:tr w:rsidR="0007198D" w:rsidRPr="00515E1C" w14:paraId="094DB153" w14:textId="77777777" w:rsidTr="000C7A5D">
        <w:tc>
          <w:tcPr>
            <w:tcW w:w="3618" w:type="dxa"/>
            <w:shd w:val="clear" w:color="auto" w:fill="auto"/>
          </w:tcPr>
          <w:p w14:paraId="1ADDF964" w14:textId="77777777" w:rsidR="0007198D" w:rsidRPr="00531366" w:rsidRDefault="0007198D" w:rsidP="000C7A5D">
            <w:pPr>
              <w:spacing w:after="0" w:line="240" w:lineRule="auto"/>
              <w:rPr>
                <w:rFonts w:ascii="Arial" w:hAnsi="Arial" w:cs="Arial"/>
                <w:sz w:val="20"/>
                <w:szCs w:val="20"/>
              </w:rPr>
            </w:pPr>
          </w:p>
        </w:tc>
        <w:tc>
          <w:tcPr>
            <w:tcW w:w="5940" w:type="dxa"/>
            <w:gridSpan w:val="2"/>
            <w:shd w:val="clear" w:color="auto" w:fill="auto"/>
          </w:tcPr>
          <w:p w14:paraId="50B52B2C" w14:textId="77777777" w:rsidR="0007198D" w:rsidRDefault="0007198D" w:rsidP="000C7A5D">
            <w:pPr>
              <w:spacing w:after="0" w:line="240" w:lineRule="auto"/>
              <w:rPr>
                <w:rFonts w:ascii="Arial" w:hAnsi="Arial" w:cs="Arial"/>
                <w:sz w:val="20"/>
                <w:szCs w:val="20"/>
              </w:rPr>
            </w:pPr>
          </w:p>
          <w:p w14:paraId="51461984" w14:textId="77777777" w:rsidR="0007198D" w:rsidRPr="00531366" w:rsidRDefault="000A3835" w:rsidP="000C7A5D">
            <w:pPr>
              <w:spacing w:after="0" w:line="240" w:lineRule="auto"/>
              <w:rPr>
                <w:rFonts w:ascii="Arial" w:hAnsi="Arial" w:cs="Arial"/>
                <w:sz w:val="20"/>
                <w:szCs w:val="20"/>
              </w:rPr>
            </w:pPr>
            <w:hyperlink r:id="rId109" w:history="1">
              <w:r w:rsidR="0007198D" w:rsidRPr="00057ED2">
                <w:rPr>
                  <w:rStyle w:val="Hyperlink"/>
                  <w:rFonts w:ascii="Arial" w:hAnsi="Arial" w:cs="Arial"/>
                  <w:sz w:val="20"/>
                  <w:szCs w:val="20"/>
                </w:rPr>
                <w:t>https://www.cdc.gov/ncbddd/autism/index.html</w:t>
              </w:r>
            </w:hyperlink>
            <w:r w:rsidR="0007198D">
              <w:rPr>
                <w:rFonts w:ascii="Arial" w:hAnsi="Arial" w:cs="Arial"/>
                <w:sz w:val="20"/>
                <w:szCs w:val="20"/>
              </w:rPr>
              <w:t xml:space="preserve"> </w:t>
            </w:r>
          </w:p>
        </w:tc>
      </w:tr>
    </w:tbl>
    <w:p w14:paraId="049884DD" w14:textId="77777777" w:rsidR="0007198D" w:rsidRDefault="0007198D" w:rsidP="0007198D">
      <w:pPr>
        <w:spacing w:after="0" w:line="240" w:lineRule="auto"/>
        <w:sectPr w:rsidR="0007198D" w:rsidSect="008A00F6">
          <w:pgSz w:w="12240" w:h="15840"/>
          <w:pgMar w:top="1440" w:right="1440" w:bottom="1440" w:left="1440" w:header="720" w:footer="720" w:gutter="0"/>
          <w:cols w:space="720"/>
          <w:docGrid w:linePitch="360"/>
        </w:sectPr>
      </w:pPr>
    </w:p>
    <w:tbl>
      <w:tblPr>
        <w:tblW w:w="0" w:type="auto"/>
        <w:tblLook w:val="04A0" w:firstRow="1" w:lastRow="0" w:firstColumn="1" w:lastColumn="0" w:noHBand="0" w:noVBand="1"/>
      </w:tblPr>
      <w:tblGrid>
        <w:gridCol w:w="3618"/>
        <w:gridCol w:w="5868"/>
      </w:tblGrid>
      <w:tr w:rsidR="0007198D" w:rsidRPr="003F48A1" w14:paraId="6054CD7D" w14:textId="77777777" w:rsidTr="000C7A5D">
        <w:tc>
          <w:tcPr>
            <w:tcW w:w="3618" w:type="dxa"/>
            <w:shd w:val="clear" w:color="auto" w:fill="auto"/>
          </w:tcPr>
          <w:p w14:paraId="6A2DBF3D" w14:textId="77777777" w:rsidR="0007198D" w:rsidRPr="00531366" w:rsidRDefault="0007198D" w:rsidP="000C7A5D">
            <w:pPr>
              <w:spacing w:after="0" w:line="240" w:lineRule="auto"/>
              <w:rPr>
                <w:rFonts w:ascii="Arial" w:hAnsi="Arial" w:cs="Arial"/>
                <w:b/>
                <w:sz w:val="24"/>
                <w:szCs w:val="24"/>
              </w:rPr>
            </w:pPr>
            <w:r w:rsidRPr="00531366">
              <w:rPr>
                <w:rFonts w:ascii="Arial" w:hAnsi="Arial" w:cs="Arial"/>
                <w:b/>
                <w:sz w:val="24"/>
                <w:szCs w:val="24"/>
              </w:rPr>
              <w:t xml:space="preserve">OUTCOME MEASURE </w:t>
            </w:r>
            <w:r>
              <w:rPr>
                <w:rFonts w:ascii="Arial" w:hAnsi="Arial" w:cs="Arial"/>
                <w:b/>
                <w:noProof/>
                <w:sz w:val="24"/>
                <w:szCs w:val="24"/>
              </w:rPr>
              <w:t>17.4</w:t>
            </w:r>
          </w:p>
        </w:tc>
        <w:tc>
          <w:tcPr>
            <w:tcW w:w="5868" w:type="dxa"/>
            <w:shd w:val="clear" w:color="auto" w:fill="auto"/>
          </w:tcPr>
          <w:p w14:paraId="780E86C3" w14:textId="51EA67CA" w:rsidR="0007198D" w:rsidRPr="00531366" w:rsidRDefault="0007198D" w:rsidP="000B4742">
            <w:pPr>
              <w:spacing w:after="0" w:line="240" w:lineRule="auto"/>
              <w:rPr>
                <w:rFonts w:ascii="Arial" w:hAnsi="Arial" w:cs="Arial"/>
                <w:b/>
                <w:sz w:val="24"/>
                <w:szCs w:val="24"/>
              </w:rPr>
            </w:pPr>
            <w:r w:rsidRPr="00531366">
              <w:rPr>
                <w:rFonts w:ascii="Arial" w:hAnsi="Arial" w:cs="Arial"/>
                <w:b/>
                <w:noProof/>
                <w:sz w:val="24"/>
                <w:szCs w:val="24"/>
              </w:rPr>
              <w:t>Percent of children</w:t>
            </w:r>
            <w:r w:rsidR="000B4742">
              <w:rPr>
                <w:rFonts w:ascii="Arial" w:hAnsi="Arial" w:cs="Arial"/>
                <w:b/>
                <w:noProof/>
                <w:sz w:val="24"/>
                <w:szCs w:val="24"/>
              </w:rPr>
              <w:t xml:space="preserve">, ages 3 through 17, </w:t>
            </w:r>
            <w:r w:rsidRPr="00531366">
              <w:rPr>
                <w:rFonts w:ascii="Arial" w:hAnsi="Arial" w:cs="Arial"/>
                <w:b/>
                <w:noProof/>
                <w:sz w:val="24"/>
                <w:szCs w:val="24"/>
              </w:rPr>
              <w:t>diagnosed with Attention Deficit Disorder/Attention Deficit Hyperactivity Disorder (ADD/ADHD)</w:t>
            </w:r>
          </w:p>
        </w:tc>
      </w:tr>
    </w:tbl>
    <w:p w14:paraId="305C2EEB" w14:textId="77777777" w:rsidR="0007198D" w:rsidRDefault="0007198D" w:rsidP="0007198D">
      <w:pPr>
        <w:spacing w:after="0" w:line="240" w:lineRule="auto"/>
      </w:pPr>
    </w:p>
    <w:p w14:paraId="5B80C689" w14:textId="77777777" w:rsidR="0007198D" w:rsidRDefault="0007198D" w:rsidP="0007198D">
      <w:pPr>
        <w:spacing w:after="0" w:line="240" w:lineRule="auto"/>
      </w:pPr>
      <w:r>
        <w:rPr>
          <w:noProof/>
        </w:rPr>
        <mc:AlternateContent>
          <mc:Choice Requires="wps">
            <w:drawing>
              <wp:anchor distT="4294967295" distB="4294967295" distL="114300" distR="114300" simplePos="0" relativeHeight="251771904" behindDoc="0" locked="0" layoutInCell="1" allowOverlap="1" wp14:anchorId="7707F3D6" wp14:editId="07223E93">
                <wp:simplePos x="0" y="0"/>
                <wp:positionH relativeFrom="column">
                  <wp:posOffset>-60960</wp:posOffset>
                </wp:positionH>
                <wp:positionV relativeFrom="paragraph">
                  <wp:posOffset>31749</wp:posOffset>
                </wp:positionV>
                <wp:extent cx="6088380" cy="0"/>
                <wp:effectExtent l="0" t="0" r="2667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3F79689" id="Straight Connector 31" o:spid="_x0000_s1026" style="position:absolute;z-index:251771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" strokecolor="windowText" strokeweight="1.75pt">
                <o:lock v:ext="edit" shapetype="f"/>
              </v:line>
            </w:pict>
          </mc:Fallback>
        </mc:AlternateContent>
      </w:r>
    </w:p>
    <w:tbl>
      <w:tblPr>
        <w:tblW w:w="0" w:type="auto"/>
        <w:tblLook w:val="04A0" w:firstRow="1" w:lastRow="0" w:firstColumn="1" w:lastColumn="0" w:noHBand="0" w:noVBand="1"/>
      </w:tblPr>
      <w:tblGrid>
        <w:gridCol w:w="3618"/>
        <w:gridCol w:w="3384"/>
        <w:gridCol w:w="2556"/>
      </w:tblGrid>
      <w:tr w:rsidR="0007198D" w:rsidRPr="00515E1C" w14:paraId="57267DD4" w14:textId="77777777" w:rsidTr="000C7A5D">
        <w:tc>
          <w:tcPr>
            <w:tcW w:w="3618" w:type="dxa"/>
            <w:shd w:val="clear" w:color="auto" w:fill="auto"/>
          </w:tcPr>
          <w:p w14:paraId="764D5573"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GOAL</w:t>
            </w:r>
          </w:p>
        </w:tc>
        <w:tc>
          <w:tcPr>
            <w:tcW w:w="5940" w:type="dxa"/>
            <w:gridSpan w:val="2"/>
            <w:shd w:val="clear" w:color="auto" w:fill="auto"/>
          </w:tcPr>
          <w:p w14:paraId="0FD41B42"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noProof/>
                <w:sz w:val="20"/>
                <w:szCs w:val="20"/>
              </w:rPr>
              <w:t>To track the percent of children and youth with special health care needs, autism spectrum disorder (ASD), and attention deficit disorder/attent deficit hyperactivity disorder (ADD/ADHD).</w:t>
            </w:r>
          </w:p>
        </w:tc>
      </w:tr>
      <w:tr w:rsidR="0007198D" w:rsidRPr="00515E1C" w14:paraId="70959B34" w14:textId="77777777" w:rsidTr="000C7A5D">
        <w:tc>
          <w:tcPr>
            <w:tcW w:w="3618" w:type="dxa"/>
            <w:shd w:val="clear" w:color="auto" w:fill="auto"/>
          </w:tcPr>
          <w:p w14:paraId="7AB61976"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36FBAFD7" w14:textId="77777777" w:rsidR="0007198D" w:rsidRPr="00531366" w:rsidRDefault="0007198D" w:rsidP="000C7A5D">
            <w:pPr>
              <w:spacing w:after="0" w:line="240" w:lineRule="auto"/>
              <w:rPr>
                <w:rFonts w:ascii="Arial" w:hAnsi="Arial" w:cs="Arial"/>
                <w:sz w:val="20"/>
                <w:szCs w:val="20"/>
              </w:rPr>
            </w:pPr>
          </w:p>
        </w:tc>
      </w:tr>
      <w:tr w:rsidR="0007198D" w:rsidRPr="00515E1C" w14:paraId="10ABC9F8" w14:textId="77777777" w:rsidTr="000C7A5D">
        <w:tc>
          <w:tcPr>
            <w:tcW w:w="3618" w:type="dxa"/>
            <w:shd w:val="clear" w:color="auto" w:fill="auto"/>
          </w:tcPr>
          <w:p w14:paraId="366FFA66"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DEFINITION</w:t>
            </w:r>
          </w:p>
        </w:tc>
        <w:tc>
          <w:tcPr>
            <w:tcW w:w="5940" w:type="dxa"/>
            <w:gridSpan w:val="2"/>
            <w:shd w:val="clear" w:color="auto" w:fill="auto"/>
          </w:tcPr>
          <w:p w14:paraId="00E5F319"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Numerator:</w:t>
            </w:r>
          </w:p>
        </w:tc>
      </w:tr>
      <w:tr w:rsidR="0007198D" w:rsidRPr="00515E1C" w14:paraId="4B5E6BF2" w14:textId="77777777" w:rsidTr="000C7A5D">
        <w:tc>
          <w:tcPr>
            <w:tcW w:w="3618" w:type="dxa"/>
            <w:shd w:val="clear" w:color="auto" w:fill="auto"/>
          </w:tcPr>
          <w:p w14:paraId="296FF84D"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479572B5" w14:textId="68F86254" w:rsidR="0007198D" w:rsidRPr="00531366" w:rsidRDefault="0007198D" w:rsidP="000C7A5D">
            <w:pPr>
              <w:spacing w:after="0" w:line="240" w:lineRule="auto"/>
              <w:rPr>
                <w:rFonts w:ascii="Arial" w:hAnsi="Arial" w:cs="Arial"/>
                <w:sz w:val="20"/>
                <w:szCs w:val="20"/>
              </w:rPr>
            </w:pPr>
            <w:r w:rsidRPr="00531366">
              <w:rPr>
                <w:rFonts w:ascii="Arial" w:hAnsi="Arial" w:cs="Arial"/>
                <w:noProof/>
                <w:sz w:val="20"/>
                <w:szCs w:val="20"/>
              </w:rPr>
              <w:t>Number of children, ages 3</w:t>
            </w:r>
            <w:r>
              <w:rPr>
                <w:rFonts w:ascii="Arial" w:hAnsi="Arial" w:cs="Arial"/>
                <w:noProof/>
                <w:sz w:val="20"/>
                <w:szCs w:val="20"/>
              </w:rPr>
              <w:t xml:space="preserve"> through </w:t>
            </w:r>
            <w:r w:rsidRPr="00531366">
              <w:rPr>
                <w:rFonts w:ascii="Arial" w:hAnsi="Arial" w:cs="Arial"/>
                <w:noProof/>
                <w:sz w:val="20"/>
                <w:szCs w:val="20"/>
              </w:rPr>
              <w:t>17, reported by their parents to have been diagnosed by a health care provider with ADD/ADHD</w:t>
            </w:r>
            <w:r w:rsidR="000B4742">
              <w:rPr>
                <w:rFonts w:ascii="Arial" w:hAnsi="Arial" w:cs="Arial"/>
                <w:noProof/>
                <w:sz w:val="20"/>
                <w:szCs w:val="20"/>
              </w:rPr>
              <w:t xml:space="preserve"> and to currently have the condition</w:t>
            </w:r>
          </w:p>
        </w:tc>
      </w:tr>
      <w:tr w:rsidR="0007198D" w:rsidRPr="00515E1C" w14:paraId="29FC1120" w14:textId="77777777" w:rsidTr="000C7A5D">
        <w:tc>
          <w:tcPr>
            <w:tcW w:w="3618" w:type="dxa"/>
            <w:shd w:val="clear" w:color="auto" w:fill="auto"/>
          </w:tcPr>
          <w:p w14:paraId="00601183"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008C85F7" w14:textId="77777777" w:rsidR="0007198D" w:rsidRPr="00531366" w:rsidRDefault="0007198D" w:rsidP="000C7A5D">
            <w:pPr>
              <w:spacing w:after="0" w:line="240" w:lineRule="auto"/>
              <w:rPr>
                <w:rFonts w:ascii="Arial" w:hAnsi="Arial" w:cs="Arial"/>
                <w:sz w:val="20"/>
                <w:szCs w:val="20"/>
              </w:rPr>
            </w:pPr>
          </w:p>
        </w:tc>
      </w:tr>
      <w:tr w:rsidR="0007198D" w:rsidRPr="00515E1C" w14:paraId="78865A12" w14:textId="77777777" w:rsidTr="000C7A5D">
        <w:tc>
          <w:tcPr>
            <w:tcW w:w="3618" w:type="dxa"/>
            <w:shd w:val="clear" w:color="auto" w:fill="auto"/>
          </w:tcPr>
          <w:p w14:paraId="4629C9E9"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4C33C12B"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Denominator:</w:t>
            </w:r>
          </w:p>
        </w:tc>
      </w:tr>
      <w:tr w:rsidR="0007198D" w:rsidRPr="00515E1C" w14:paraId="5A750EB7" w14:textId="77777777" w:rsidTr="000C7A5D">
        <w:tc>
          <w:tcPr>
            <w:tcW w:w="3618" w:type="dxa"/>
            <w:shd w:val="clear" w:color="auto" w:fill="auto"/>
          </w:tcPr>
          <w:p w14:paraId="553A615E"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3BB644AA"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noProof/>
                <w:sz w:val="20"/>
                <w:szCs w:val="20"/>
              </w:rPr>
              <w:t>Number of children, ages 3</w:t>
            </w:r>
            <w:r>
              <w:rPr>
                <w:rFonts w:ascii="Arial" w:hAnsi="Arial" w:cs="Arial"/>
                <w:noProof/>
                <w:sz w:val="20"/>
                <w:szCs w:val="20"/>
              </w:rPr>
              <w:t xml:space="preserve"> through </w:t>
            </w:r>
            <w:r w:rsidRPr="00531366">
              <w:rPr>
                <w:rFonts w:ascii="Arial" w:hAnsi="Arial" w:cs="Arial"/>
                <w:noProof/>
                <w:sz w:val="20"/>
                <w:szCs w:val="20"/>
              </w:rPr>
              <w:t>17</w:t>
            </w:r>
          </w:p>
        </w:tc>
      </w:tr>
      <w:tr w:rsidR="0007198D" w:rsidRPr="00515E1C" w14:paraId="30D2ACDA" w14:textId="77777777" w:rsidTr="000C7A5D">
        <w:tc>
          <w:tcPr>
            <w:tcW w:w="3618" w:type="dxa"/>
            <w:shd w:val="clear" w:color="auto" w:fill="auto"/>
          </w:tcPr>
          <w:p w14:paraId="57C25DF7"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569BC49D" w14:textId="77777777" w:rsidR="0007198D" w:rsidRPr="00531366" w:rsidRDefault="0007198D" w:rsidP="000C7A5D">
            <w:pPr>
              <w:spacing w:after="0" w:line="240" w:lineRule="auto"/>
              <w:rPr>
                <w:rFonts w:ascii="Arial" w:hAnsi="Arial" w:cs="Arial"/>
                <w:sz w:val="20"/>
                <w:szCs w:val="20"/>
              </w:rPr>
            </w:pPr>
          </w:p>
        </w:tc>
      </w:tr>
      <w:tr w:rsidR="0007198D" w:rsidRPr="00515E1C" w14:paraId="0B332FA8" w14:textId="77777777" w:rsidTr="000C7A5D">
        <w:tc>
          <w:tcPr>
            <w:tcW w:w="3618" w:type="dxa"/>
            <w:shd w:val="clear" w:color="auto" w:fill="auto"/>
          </w:tcPr>
          <w:p w14:paraId="1D3DFDAA" w14:textId="77777777" w:rsidR="0007198D" w:rsidRPr="00531366" w:rsidRDefault="0007198D" w:rsidP="000C7A5D">
            <w:pPr>
              <w:spacing w:after="0" w:line="240" w:lineRule="auto"/>
              <w:rPr>
                <w:rFonts w:ascii="Arial" w:hAnsi="Arial" w:cs="Arial"/>
                <w:b/>
                <w:sz w:val="20"/>
                <w:szCs w:val="20"/>
              </w:rPr>
            </w:pPr>
          </w:p>
        </w:tc>
        <w:tc>
          <w:tcPr>
            <w:tcW w:w="3384" w:type="dxa"/>
            <w:shd w:val="clear" w:color="auto" w:fill="auto"/>
          </w:tcPr>
          <w:p w14:paraId="6E392DC2"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b/>
                <w:sz w:val="20"/>
                <w:szCs w:val="20"/>
              </w:rPr>
              <w:t>Units:</w:t>
            </w:r>
            <w:r w:rsidRPr="00531366">
              <w:rPr>
                <w:rFonts w:ascii="Arial" w:hAnsi="Arial" w:cs="Arial"/>
                <w:sz w:val="20"/>
                <w:szCs w:val="20"/>
              </w:rPr>
              <w:t xml:space="preserve"> </w:t>
            </w:r>
            <w:r w:rsidRPr="00531366">
              <w:rPr>
                <w:rFonts w:ascii="Arial" w:hAnsi="Arial" w:cs="Arial"/>
                <w:noProof/>
                <w:sz w:val="20"/>
                <w:szCs w:val="20"/>
              </w:rPr>
              <w:t>100</w:t>
            </w:r>
          </w:p>
        </w:tc>
        <w:tc>
          <w:tcPr>
            <w:tcW w:w="2556" w:type="dxa"/>
            <w:shd w:val="clear" w:color="auto" w:fill="auto"/>
          </w:tcPr>
          <w:p w14:paraId="229D64DD"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b/>
                <w:sz w:val="20"/>
                <w:szCs w:val="20"/>
              </w:rPr>
              <w:t>Text:</w:t>
            </w:r>
            <w:r w:rsidRPr="00531366">
              <w:rPr>
                <w:rFonts w:ascii="Arial" w:hAnsi="Arial" w:cs="Arial"/>
                <w:sz w:val="20"/>
                <w:szCs w:val="20"/>
              </w:rPr>
              <w:t xml:space="preserve"> </w:t>
            </w:r>
            <w:r w:rsidRPr="00531366">
              <w:rPr>
                <w:rFonts w:ascii="Arial" w:hAnsi="Arial" w:cs="Arial"/>
                <w:noProof/>
                <w:sz w:val="20"/>
                <w:szCs w:val="20"/>
              </w:rPr>
              <w:t>Percent</w:t>
            </w:r>
          </w:p>
        </w:tc>
      </w:tr>
      <w:tr w:rsidR="0007198D" w:rsidRPr="00515E1C" w14:paraId="7ABFAB2C" w14:textId="77777777" w:rsidTr="000C7A5D">
        <w:tc>
          <w:tcPr>
            <w:tcW w:w="3618" w:type="dxa"/>
            <w:shd w:val="clear" w:color="auto" w:fill="auto"/>
          </w:tcPr>
          <w:p w14:paraId="45B7EA71"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3BA9C38C" w14:textId="77777777" w:rsidR="0007198D" w:rsidRPr="00531366" w:rsidRDefault="0007198D" w:rsidP="000C7A5D">
            <w:pPr>
              <w:spacing w:after="0" w:line="240" w:lineRule="auto"/>
              <w:rPr>
                <w:rFonts w:ascii="Arial" w:hAnsi="Arial" w:cs="Arial"/>
                <w:sz w:val="20"/>
                <w:szCs w:val="20"/>
              </w:rPr>
            </w:pPr>
          </w:p>
        </w:tc>
      </w:tr>
      <w:tr w:rsidR="0007198D" w:rsidRPr="00515E1C" w14:paraId="4B851C8C" w14:textId="77777777" w:rsidTr="000C7A5D">
        <w:tc>
          <w:tcPr>
            <w:tcW w:w="3618" w:type="dxa"/>
            <w:shd w:val="clear" w:color="auto" w:fill="auto"/>
          </w:tcPr>
          <w:p w14:paraId="2616A49B"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HEALTHY PEOPLE 2020 OBJECTIVE</w:t>
            </w:r>
          </w:p>
        </w:tc>
        <w:tc>
          <w:tcPr>
            <w:tcW w:w="5940" w:type="dxa"/>
            <w:gridSpan w:val="2"/>
            <w:shd w:val="clear" w:color="auto" w:fill="auto"/>
          </w:tcPr>
          <w:p w14:paraId="4DB59E42" w14:textId="77777777" w:rsidR="0007198D" w:rsidRPr="00531366" w:rsidRDefault="0007198D" w:rsidP="000C7A5D">
            <w:pPr>
              <w:spacing w:after="0" w:line="240" w:lineRule="auto"/>
              <w:rPr>
                <w:rFonts w:ascii="Arial" w:hAnsi="Arial" w:cs="Arial"/>
                <w:sz w:val="20"/>
                <w:szCs w:val="20"/>
              </w:rPr>
            </w:pPr>
          </w:p>
        </w:tc>
      </w:tr>
      <w:tr w:rsidR="0007198D" w:rsidRPr="00515E1C" w14:paraId="651AD303" w14:textId="77777777" w:rsidTr="000C7A5D">
        <w:tc>
          <w:tcPr>
            <w:tcW w:w="3618" w:type="dxa"/>
            <w:shd w:val="clear" w:color="auto" w:fill="auto"/>
          </w:tcPr>
          <w:p w14:paraId="4CA50724"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720FD993" w14:textId="77777777" w:rsidR="0007198D" w:rsidRPr="00531366" w:rsidRDefault="0007198D" w:rsidP="000C7A5D">
            <w:pPr>
              <w:spacing w:after="0" w:line="240" w:lineRule="auto"/>
              <w:rPr>
                <w:rFonts w:ascii="Arial" w:hAnsi="Arial" w:cs="Arial"/>
                <w:sz w:val="20"/>
                <w:szCs w:val="20"/>
              </w:rPr>
            </w:pPr>
          </w:p>
        </w:tc>
      </w:tr>
      <w:tr w:rsidR="0007198D" w:rsidRPr="00515E1C" w14:paraId="2BEBF291" w14:textId="77777777" w:rsidTr="000C7A5D">
        <w:tc>
          <w:tcPr>
            <w:tcW w:w="3618" w:type="dxa"/>
            <w:shd w:val="clear" w:color="auto" w:fill="auto"/>
          </w:tcPr>
          <w:p w14:paraId="511E089C"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DATA SOURCES and DATA ISSUES</w:t>
            </w:r>
          </w:p>
        </w:tc>
        <w:tc>
          <w:tcPr>
            <w:tcW w:w="5940" w:type="dxa"/>
            <w:gridSpan w:val="2"/>
            <w:shd w:val="clear" w:color="auto" w:fill="auto"/>
          </w:tcPr>
          <w:p w14:paraId="083D1F71"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noProof/>
                <w:sz w:val="20"/>
                <w:szCs w:val="20"/>
              </w:rPr>
              <w:t>National Survey of Children's Health (NSCH)</w:t>
            </w:r>
          </w:p>
        </w:tc>
      </w:tr>
      <w:tr w:rsidR="0007198D" w:rsidRPr="00515E1C" w14:paraId="3D3DB285" w14:textId="77777777" w:rsidTr="000C7A5D">
        <w:tc>
          <w:tcPr>
            <w:tcW w:w="3618" w:type="dxa"/>
            <w:shd w:val="clear" w:color="auto" w:fill="auto"/>
          </w:tcPr>
          <w:p w14:paraId="15C56737"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511567D8" w14:textId="77777777" w:rsidR="0007198D" w:rsidRPr="00531366" w:rsidRDefault="0007198D" w:rsidP="000C7A5D">
            <w:pPr>
              <w:spacing w:after="0" w:line="240" w:lineRule="auto"/>
              <w:rPr>
                <w:rFonts w:ascii="Arial" w:hAnsi="Arial" w:cs="Arial"/>
                <w:sz w:val="20"/>
                <w:szCs w:val="20"/>
              </w:rPr>
            </w:pPr>
          </w:p>
        </w:tc>
      </w:tr>
      <w:tr w:rsidR="0007198D" w:rsidRPr="00515E1C" w14:paraId="4E95AF72" w14:textId="77777777" w:rsidTr="000C7A5D">
        <w:tc>
          <w:tcPr>
            <w:tcW w:w="3618" w:type="dxa"/>
            <w:shd w:val="clear" w:color="auto" w:fill="auto"/>
          </w:tcPr>
          <w:p w14:paraId="02F6651F"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SIGNIFICANCE</w:t>
            </w:r>
          </w:p>
        </w:tc>
        <w:tc>
          <w:tcPr>
            <w:tcW w:w="5940" w:type="dxa"/>
            <w:gridSpan w:val="2"/>
            <w:shd w:val="clear" w:color="auto" w:fill="auto"/>
          </w:tcPr>
          <w:p w14:paraId="419210B5" w14:textId="77777777" w:rsidR="0007198D" w:rsidRDefault="0007198D" w:rsidP="000C7A5D">
            <w:pPr>
              <w:spacing w:after="0" w:line="240" w:lineRule="auto"/>
              <w:rPr>
                <w:rFonts w:ascii="Arial" w:hAnsi="Arial" w:cs="Arial"/>
                <w:noProof/>
                <w:sz w:val="20"/>
                <w:szCs w:val="20"/>
              </w:rPr>
            </w:pPr>
            <w:r w:rsidRPr="00531366">
              <w:rPr>
                <w:rFonts w:ascii="Arial" w:hAnsi="Arial" w:cs="Arial"/>
                <w:noProof/>
                <w:sz w:val="20"/>
                <w:szCs w:val="20"/>
              </w:rPr>
              <w:t>Attention-deficit/hyperactivity disorder (ADHD) is one of the</w:t>
            </w:r>
            <w:r>
              <w:rPr>
                <w:rFonts w:ascii="Arial" w:hAnsi="Arial" w:cs="Arial"/>
                <w:noProof/>
                <w:sz w:val="20"/>
                <w:szCs w:val="20"/>
              </w:rPr>
              <w:t xml:space="preserve"> </w:t>
            </w:r>
            <w:r w:rsidRPr="00531366">
              <w:rPr>
                <w:rFonts w:ascii="Arial" w:hAnsi="Arial" w:cs="Arial"/>
                <w:noProof/>
                <w:sz w:val="20"/>
                <w:szCs w:val="20"/>
              </w:rPr>
              <w:t xml:space="preserve">most common neurobehavioral disorders of childhood. </w:t>
            </w:r>
            <w:r>
              <w:rPr>
                <w:rFonts w:ascii="Arial" w:hAnsi="Arial" w:cs="Arial"/>
                <w:noProof/>
                <w:sz w:val="20"/>
                <w:szCs w:val="20"/>
              </w:rPr>
              <w:t xml:space="preserve">The prevalence has been increasing over the last decade for reasons that are not yet clear.  </w:t>
            </w:r>
            <w:r w:rsidRPr="00531366">
              <w:rPr>
                <w:rFonts w:ascii="Arial" w:hAnsi="Arial" w:cs="Arial"/>
                <w:noProof/>
                <w:sz w:val="20"/>
                <w:szCs w:val="20"/>
              </w:rPr>
              <w:t>It is</w:t>
            </w:r>
            <w:r>
              <w:rPr>
                <w:rFonts w:ascii="Arial" w:hAnsi="Arial" w:cs="Arial"/>
                <w:noProof/>
                <w:sz w:val="20"/>
                <w:szCs w:val="20"/>
              </w:rPr>
              <w:t xml:space="preserve"> </w:t>
            </w:r>
            <w:r w:rsidRPr="00531366">
              <w:rPr>
                <w:rFonts w:ascii="Arial" w:hAnsi="Arial" w:cs="Arial"/>
                <w:noProof/>
                <w:sz w:val="20"/>
                <w:szCs w:val="20"/>
              </w:rPr>
              <w:t>sometimes referred to as</w:t>
            </w:r>
            <w:r>
              <w:rPr>
                <w:rFonts w:ascii="Arial" w:hAnsi="Arial" w:cs="Arial"/>
                <w:noProof/>
                <w:sz w:val="20"/>
                <w:szCs w:val="20"/>
              </w:rPr>
              <w:t xml:space="preserve"> </w:t>
            </w:r>
            <w:r w:rsidRPr="00531366">
              <w:rPr>
                <w:rFonts w:ascii="Arial" w:hAnsi="Arial" w:cs="Arial"/>
                <w:noProof/>
                <w:sz w:val="20"/>
                <w:szCs w:val="20"/>
              </w:rPr>
              <w:t>Attention Deficit Disorder (ADD). It is</w:t>
            </w:r>
            <w:r>
              <w:rPr>
                <w:rFonts w:ascii="Arial" w:hAnsi="Arial" w:cs="Arial"/>
                <w:noProof/>
                <w:sz w:val="20"/>
                <w:szCs w:val="20"/>
              </w:rPr>
              <w:t xml:space="preserve"> </w:t>
            </w:r>
            <w:r w:rsidRPr="00531366">
              <w:rPr>
                <w:rFonts w:ascii="Arial" w:hAnsi="Arial" w:cs="Arial"/>
                <w:noProof/>
                <w:sz w:val="20"/>
                <w:szCs w:val="20"/>
              </w:rPr>
              <w:t>usually first diagnosed in childhood and often lasts into</w:t>
            </w:r>
            <w:r>
              <w:rPr>
                <w:rFonts w:ascii="Arial" w:hAnsi="Arial" w:cs="Arial"/>
                <w:noProof/>
                <w:sz w:val="20"/>
                <w:szCs w:val="20"/>
              </w:rPr>
              <w:t xml:space="preserve"> </w:t>
            </w:r>
            <w:r w:rsidRPr="00531366">
              <w:rPr>
                <w:rFonts w:ascii="Arial" w:hAnsi="Arial" w:cs="Arial"/>
                <w:noProof/>
                <w:sz w:val="20"/>
                <w:szCs w:val="20"/>
              </w:rPr>
              <w:t>adulthood. Children with ADHD may have trouble paying</w:t>
            </w:r>
            <w:r>
              <w:rPr>
                <w:rFonts w:ascii="Arial" w:hAnsi="Arial" w:cs="Arial"/>
                <w:noProof/>
                <w:sz w:val="20"/>
                <w:szCs w:val="20"/>
              </w:rPr>
              <w:t xml:space="preserve"> </w:t>
            </w:r>
            <w:r w:rsidRPr="00531366">
              <w:rPr>
                <w:rFonts w:ascii="Arial" w:hAnsi="Arial" w:cs="Arial"/>
                <w:noProof/>
                <w:sz w:val="20"/>
                <w:szCs w:val="20"/>
              </w:rPr>
              <w:t>attention, controlling impulsive behaviors, or be overly active.</w:t>
            </w:r>
          </w:p>
          <w:p w14:paraId="1B97BD4F" w14:textId="77777777" w:rsidR="0007198D" w:rsidRDefault="0007198D" w:rsidP="000C7A5D">
            <w:pPr>
              <w:spacing w:after="0" w:line="240" w:lineRule="auto"/>
              <w:rPr>
                <w:rFonts w:ascii="Arial" w:hAnsi="Arial" w:cs="Arial"/>
                <w:noProof/>
                <w:sz w:val="20"/>
                <w:szCs w:val="20"/>
              </w:rPr>
            </w:pPr>
          </w:p>
          <w:p w14:paraId="27464A1B" w14:textId="77777777" w:rsidR="0007198D" w:rsidRPr="00531366" w:rsidRDefault="000A3835" w:rsidP="000C7A5D">
            <w:pPr>
              <w:spacing w:after="0" w:line="240" w:lineRule="auto"/>
              <w:rPr>
                <w:rFonts w:ascii="Arial" w:hAnsi="Arial" w:cs="Arial"/>
                <w:sz w:val="20"/>
                <w:szCs w:val="20"/>
              </w:rPr>
            </w:pPr>
            <w:hyperlink r:id="rId110" w:history="1">
              <w:r w:rsidR="0007198D" w:rsidRPr="00057ED2">
                <w:rPr>
                  <w:rStyle w:val="Hyperlink"/>
                  <w:rFonts w:ascii="Arial" w:hAnsi="Arial" w:cs="Arial"/>
                  <w:sz w:val="20"/>
                  <w:szCs w:val="20"/>
                </w:rPr>
                <w:t>https://www.cdc.gov/ncbddd/adhd/index.html</w:t>
              </w:r>
            </w:hyperlink>
            <w:r w:rsidR="0007198D">
              <w:rPr>
                <w:rFonts w:ascii="Arial" w:hAnsi="Arial" w:cs="Arial"/>
                <w:sz w:val="20"/>
                <w:szCs w:val="20"/>
              </w:rPr>
              <w:t xml:space="preserve"> </w:t>
            </w:r>
          </w:p>
        </w:tc>
      </w:tr>
      <w:tr w:rsidR="0007198D" w:rsidRPr="00515E1C" w14:paraId="0F9CA05A" w14:textId="77777777" w:rsidTr="000C7A5D">
        <w:tc>
          <w:tcPr>
            <w:tcW w:w="3618" w:type="dxa"/>
            <w:shd w:val="clear" w:color="auto" w:fill="auto"/>
          </w:tcPr>
          <w:p w14:paraId="5F7886BF" w14:textId="77777777" w:rsidR="0007198D" w:rsidRPr="00531366" w:rsidRDefault="0007198D" w:rsidP="000C7A5D">
            <w:pPr>
              <w:spacing w:after="0" w:line="240" w:lineRule="auto"/>
              <w:rPr>
                <w:rFonts w:ascii="Arial" w:hAnsi="Arial" w:cs="Arial"/>
                <w:sz w:val="20"/>
                <w:szCs w:val="20"/>
              </w:rPr>
            </w:pPr>
          </w:p>
        </w:tc>
        <w:tc>
          <w:tcPr>
            <w:tcW w:w="5940" w:type="dxa"/>
            <w:gridSpan w:val="2"/>
            <w:shd w:val="clear" w:color="auto" w:fill="auto"/>
          </w:tcPr>
          <w:p w14:paraId="2DD64187" w14:textId="77777777" w:rsidR="0007198D" w:rsidRPr="00531366" w:rsidRDefault="0007198D" w:rsidP="000C7A5D">
            <w:pPr>
              <w:spacing w:after="0" w:line="240" w:lineRule="auto"/>
              <w:rPr>
                <w:rFonts w:ascii="Arial" w:hAnsi="Arial" w:cs="Arial"/>
                <w:sz w:val="20"/>
                <w:szCs w:val="20"/>
              </w:rPr>
            </w:pPr>
          </w:p>
        </w:tc>
      </w:tr>
    </w:tbl>
    <w:p w14:paraId="06C05B0A" w14:textId="77777777" w:rsidR="0007198D" w:rsidRDefault="0007198D" w:rsidP="0007198D">
      <w:pPr>
        <w:spacing w:after="0" w:line="240" w:lineRule="auto"/>
        <w:sectPr w:rsidR="0007198D" w:rsidSect="008A00F6">
          <w:pgSz w:w="12240" w:h="15840"/>
          <w:pgMar w:top="1440" w:right="1440" w:bottom="1440" w:left="1440" w:header="720" w:footer="720" w:gutter="0"/>
          <w:cols w:space="720"/>
          <w:docGrid w:linePitch="360"/>
        </w:sectPr>
      </w:pPr>
    </w:p>
    <w:tbl>
      <w:tblPr>
        <w:tblW w:w="0" w:type="auto"/>
        <w:tblLook w:val="04A0" w:firstRow="1" w:lastRow="0" w:firstColumn="1" w:lastColumn="0" w:noHBand="0" w:noVBand="1"/>
      </w:tblPr>
      <w:tblGrid>
        <w:gridCol w:w="3618"/>
        <w:gridCol w:w="5868"/>
      </w:tblGrid>
      <w:tr w:rsidR="0007198D" w:rsidRPr="003F48A1" w14:paraId="390E99DD" w14:textId="77777777" w:rsidTr="000C7A5D">
        <w:tc>
          <w:tcPr>
            <w:tcW w:w="3618" w:type="dxa"/>
            <w:shd w:val="clear" w:color="auto" w:fill="auto"/>
          </w:tcPr>
          <w:p w14:paraId="1C7146E8" w14:textId="77777777" w:rsidR="0007198D" w:rsidRPr="00531366" w:rsidRDefault="0007198D" w:rsidP="000C7A5D">
            <w:pPr>
              <w:spacing w:after="0" w:line="240" w:lineRule="auto"/>
              <w:rPr>
                <w:rFonts w:ascii="Arial" w:hAnsi="Arial" w:cs="Arial"/>
                <w:b/>
                <w:sz w:val="24"/>
                <w:szCs w:val="24"/>
              </w:rPr>
            </w:pPr>
            <w:r w:rsidRPr="00531366">
              <w:rPr>
                <w:rFonts w:ascii="Arial" w:hAnsi="Arial" w:cs="Arial"/>
                <w:b/>
                <w:sz w:val="24"/>
                <w:szCs w:val="24"/>
              </w:rPr>
              <w:t xml:space="preserve">OUTCOME MEASURE </w:t>
            </w:r>
            <w:r>
              <w:rPr>
                <w:rFonts w:ascii="Arial" w:hAnsi="Arial" w:cs="Arial"/>
                <w:b/>
                <w:noProof/>
                <w:sz w:val="24"/>
                <w:szCs w:val="24"/>
              </w:rPr>
              <w:t>18</w:t>
            </w:r>
          </w:p>
        </w:tc>
        <w:tc>
          <w:tcPr>
            <w:tcW w:w="5868" w:type="dxa"/>
            <w:shd w:val="clear" w:color="auto" w:fill="auto"/>
          </w:tcPr>
          <w:p w14:paraId="40B9F591" w14:textId="6AF80A12" w:rsidR="0007198D" w:rsidRPr="00531366" w:rsidRDefault="0007198D" w:rsidP="000C7A5D">
            <w:pPr>
              <w:spacing w:after="0" w:line="240" w:lineRule="auto"/>
              <w:rPr>
                <w:rFonts w:ascii="Arial" w:hAnsi="Arial" w:cs="Arial"/>
                <w:b/>
                <w:sz w:val="24"/>
                <w:szCs w:val="24"/>
              </w:rPr>
            </w:pPr>
            <w:r w:rsidRPr="00531366">
              <w:rPr>
                <w:rFonts w:ascii="Arial" w:hAnsi="Arial" w:cs="Arial"/>
                <w:b/>
                <w:noProof/>
                <w:sz w:val="24"/>
                <w:szCs w:val="24"/>
              </w:rPr>
              <w:t>Percent of children</w:t>
            </w:r>
            <w:r w:rsidR="00052FDC">
              <w:rPr>
                <w:rFonts w:ascii="Arial" w:hAnsi="Arial" w:cs="Arial"/>
                <w:b/>
                <w:noProof/>
                <w:sz w:val="24"/>
                <w:szCs w:val="24"/>
              </w:rPr>
              <w:t>, ages 3 through 17,</w:t>
            </w:r>
            <w:r w:rsidRPr="00531366">
              <w:rPr>
                <w:rFonts w:ascii="Arial" w:hAnsi="Arial" w:cs="Arial"/>
                <w:b/>
                <w:noProof/>
                <w:sz w:val="24"/>
                <w:szCs w:val="24"/>
              </w:rPr>
              <w:t xml:space="preserve"> with a mental/behavioral condition who receive treatment</w:t>
            </w:r>
            <w:r>
              <w:rPr>
                <w:rFonts w:ascii="Arial" w:hAnsi="Arial" w:cs="Arial"/>
                <w:b/>
                <w:noProof/>
                <w:sz w:val="24"/>
                <w:szCs w:val="24"/>
              </w:rPr>
              <w:t xml:space="preserve"> or counseling</w:t>
            </w:r>
          </w:p>
        </w:tc>
      </w:tr>
    </w:tbl>
    <w:p w14:paraId="00317321" w14:textId="77777777" w:rsidR="0007198D" w:rsidRDefault="0007198D" w:rsidP="0007198D">
      <w:pPr>
        <w:spacing w:after="0" w:line="240" w:lineRule="auto"/>
      </w:pPr>
    </w:p>
    <w:p w14:paraId="041A632D" w14:textId="77777777" w:rsidR="0007198D" w:rsidRDefault="0007198D" w:rsidP="0007198D">
      <w:pPr>
        <w:spacing w:after="0" w:line="240" w:lineRule="auto"/>
      </w:pPr>
      <w:r>
        <w:rPr>
          <w:noProof/>
        </w:rPr>
        <mc:AlternateContent>
          <mc:Choice Requires="wps">
            <w:drawing>
              <wp:anchor distT="4294967295" distB="4294967295" distL="114300" distR="114300" simplePos="0" relativeHeight="251772928" behindDoc="0" locked="0" layoutInCell="1" allowOverlap="1" wp14:anchorId="47C73B2F" wp14:editId="4136533D">
                <wp:simplePos x="0" y="0"/>
                <wp:positionH relativeFrom="column">
                  <wp:posOffset>-60960</wp:posOffset>
                </wp:positionH>
                <wp:positionV relativeFrom="paragraph">
                  <wp:posOffset>31749</wp:posOffset>
                </wp:positionV>
                <wp:extent cx="6088380" cy="0"/>
                <wp:effectExtent l="0" t="0" r="2667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826DC85" id="Straight Connector 32" o:spid="_x0000_s1026" style="position:absolute;z-index:251772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" strokecolor="windowText" strokeweight="1.75pt">
                <o:lock v:ext="edit" shapetype="f"/>
              </v:line>
            </w:pict>
          </mc:Fallback>
        </mc:AlternateContent>
      </w:r>
    </w:p>
    <w:tbl>
      <w:tblPr>
        <w:tblW w:w="0" w:type="auto"/>
        <w:tblLook w:val="04A0" w:firstRow="1" w:lastRow="0" w:firstColumn="1" w:lastColumn="0" w:noHBand="0" w:noVBand="1"/>
      </w:tblPr>
      <w:tblGrid>
        <w:gridCol w:w="3618"/>
        <w:gridCol w:w="3384"/>
        <w:gridCol w:w="2556"/>
      </w:tblGrid>
      <w:tr w:rsidR="0007198D" w:rsidRPr="00515E1C" w14:paraId="72B3D5F9" w14:textId="77777777" w:rsidTr="000C7A5D">
        <w:tc>
          <w:tcPr>
            <w:tcW w:w="3618" w:type="dxa"/>
            <w:shd w:val="clear" w:color="auto" w:fill="auto"/>
          </w:tcPr>
          <w:p w14:paraId="035B72F2"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GOAL</w:t>
            </w:r>
          </w:p>
        </w:tc>
        <w:tc>
          <w:tcPr>
            <w:tcW w:w="5940" w:type="dxa"/>
            <w:gridSpan w:val="2"/>
            <w:shd w:val="clear" w:color="auto" w:fill="auto"/>
          </w:tcPr>
          <w:p w14:paraId="6655553C"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noProof/>
                <w:sz w:val="20"/>
                <w:szCs w:val="20"/>
              </w:rPr>
              <w:t>To increase the percent of children with a mental/behavioral condition who receive treatment</w:t>
            </w:r>
            <w:r>
              <w:rPr>
                <w:rFonts w:ascii="Arial" w:hAnsi="Arial" w:cs="Arial"/>
                <w:noProof/>
                <w:sz w:val="20"/>
                <w:szCs w:val="20"/>
              </w:rPr>
              <w:t xml:space="preserve"> or counseling</w:t>
            </w:r>
            <w:r w:rsidRPr="00531366">
              <w:rPr>
                <w:rFonts w:ascii="Arial" w:hAnsi="Arial" w:cs="Arial"/>
                <w:noProof/>
                <w:sz w:val="20"/>
                <w:szCs w:val="20"/>
              </w:rPr>
              <w:t>.</w:t>
            </w:r>
          </w:p>
        </w:tc>
      </w:tr>
      <w:tr w:rsidR="0007198D" w:rsidRPr="00515E1C" w14:paraId="5F3E7A08" w14:textId="77777777" w:rsidTr="000C7A5D">
        <w:tc>
          <w:tcPr>
            <w:tcW w:w="3618" w:type="dxa"/>
            <w:shd w:val="clear" w:color="auto" w:fill="auto"/>
          </w:tcPr>
          <w:p w14:paraId="7824A239"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30704CC9" w14:textId="77777777" w:rsidR="0007198D" w:rsidRPr="00531366" w:rsidRDefault="0007198D" w:rsidP="000C7A5D">
            <w:pPr>
              <w:spacing w:after="0" w:line="240" w:lineRule="auto"/>
              <w:rPr>
                <w:rFonts w:ascii="Arial" w:hAnsi="Arial" w:cs="Arial"/>
                <w:sz w:val="20"/>
                <w:szCs w:val="20"/>
              </w:rPr>
            </w:pPr>
          </w:p>
        </w:tc>
      </w:tr>
      <w:tr w:rsidR="0007198D" w:rsidRPr="00515E1C" w14:paraId="7B4DDB61" w14:textId="77777777" w:rsidTr="000C7A5D">
        <w:tc>
          <w:tcPr>
            <w:tcW w:w="3618" w:type="dxa"/>
            <w:shd w:val="clear" w:color="auto" w:fill="auto"/>
          </w:tcPr>
          <w:p w14:paraId="7ADC7BE4"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DEFINITION</w:t>
            </w:r>
          </w:p>
        </w:tc>
        <w:tc>
          <w:tcPr>
            <w:tcW w:w="5940" w:type="dxa"/>
            <w:gridSpan w:val="2"/>
            <w:shd w:val="clear" w:color="auto" w:fill="auto"/>
          </w:tcPr>
          <w:p w14:paraId="7789C4BF"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Numerator:</w:t>
            </w:r>
          </w:p>
        </w:tc>
      </w:tr>
      <w:tr w:rsidR="0007198D" w:rsidRPr="00515E1C" w14:paraId="4ABF3479" w14:textId="77777777" w:rsidTr="000C7A5D">
        <w:tc>
          <w:tcPr>
            <w:tcW w:w="3618" w:type="dxa"/>
            <w:shd w:val="clear" w:color="auto" w:fill="auto"/>
          </w:tcPr>
          <w:p w14:paraId="74E60C26"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386D0E02" w14:textId="1B76F003" w:rsidR="0007198D" w:rsidRPr="00531366" w:rsidRDefault="0007198D" w:rsidP="00052FDC">
            <w:pPr>
              <w:spacing w:after="0" w:line="240" w:lineRule="auto"/>
              <w:rPr>
                <w:rFonts w:ascii="Arial" w:hAnsi="Arial" w:cs="Arial"/>
                <w:sz w:val="20"/>
                <w:szCs w:val="20"/>
              </w:rPr>
            </w:pPr>
            <w:r w:rsidRPr="00531366">
              <w:rPr>
                <w:rFonts w:ascii="Arial" w:hAnsi="Arial" w:cs="Arial"/>
                <w:noProof/>
                <w:sz w:val="20"/>
                <w:szCs w:val="20"/>
              </w:rPr>
              <w:t>Number of children, ages 3</w:t>
            </w:r>
            <w:r>
              <w:rPr>
                <w:rFonts w:ascii="Arial" w:hAnsi="Arial" w:cs="Arial"/>
                <w:noProof/>
                <w:sz w:val="20"/>
                <w:szCs w:val="20"/>
              </w:rPr>
              <w:t xml:space="preserve"> through </w:t>
            </w:r>
            <w:r w:rsidRPr="00531366">
              <w:rPr>
                <w:rFonts w:ascii="Arial" w:hAnsi="Arial" w:cs="Arial"/>
                <w:noProof/>
                <w:sz w:val="20"/>
                <w:szCs w:val="20"/>
              </w:rPr>
              <w:t xml:space="preserve">17, reported by their parents to have been diagnosed by a health care provider with a mental/behavioral condition (depression, anxiety problems, or behavioral or conduct problems) who </w:t>
            </w:r>
            <w:r w:rsidR="00052FDC">
              <w:rPr>
                <w:rFonts w:ascii="Arial" w:hAnsi="Arial" w:cs="Arial"/>
                <w:noProof/>
                <w:sz w:val="20"/>
                <w:szCs w:val="20"/>
              </w:rPr>
              <w:t xml:space="preserve">currently have the condition and </w:t>
            </w:r>
            <w:r w:rsidRPr="00531366">
              <w:rPr>
                <w:rFonts w:ascii="Arial" w:hAnsi="Arial" w:cs="Arial"/>
                <w:noProof/>
                <w:sz w:val="20"/>
                <w:szCs w:val="20"/>
              </w:rPr>
              <w:t>received treatment</w:t>
            </w:r>
            <w:r>
              <w:rPr>
                <w:rFonts w:ascii="Arial" w:hAnsi="Arial" w:cs="Arial"/>
                <w:noProof/>
                <w:sz w:val="20"/>
                <w:szCs w:val="20"/>
              </w:rPr>
              <w:t xml:space="preserve"> or counseling in the last year</w:t>
            </w:r>
          </w:p>
        </w:tc>
      </w:tr>
      <w:tr w:rsidR="0007198D" w:rsidRPr="00515E1C" w14:paraId="068BDC8A" w14:textId="77777777" w:rsidTr="000C7A5D">
        <w:tc>
          <w:tcPr>
            <w:tcW w:w="3618" w:type="dxa"/>
            <w:shd w:val="clear" w:color="auto" w:fill="auto"/>
          </w:tcPr>
          <w:p w14:paraId="244CE651"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352C7B88" w14:textId="77777777" w:rsidR="0007198D" w:rsidRPr="00531366" w:rsidRDefault="0007198D" w:rsidP="000C7A5D">
            <w:pPr>
              <w:spacing w:after="0" w:line="240" w:lineRule="auto"/>
              <w:rPr>
                <w:rFonts w:ascii="Arial" w:hAnsi="Arial" w:cs="Arial"/>
                <w:sz w:val="20"/>
                <w:szCs w:val="20"/>
              </w:rPr>
            </w:pPr>
          </w:p>
        </w:tc>
      </w:tr>
      <w:tr w:rsidR="0007198D" w:rsidRPr="00515E1C" w14:paraId="7049B1B9" w14:textId="77777777" w:rsidTr="000C7A5D">
        <w:tc>
          <w:tcPr>
            <w:tcW w:w="3618" w:type="dxa"/>
            <w:shd w:val="clear" w:color="auto" w:fill="auto"/>
          </w:tcPr>
          <w:p w14:paraId="3E983C3A"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714B4958"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Denominator:</w:t>
            </w:r>
          </w:p>
        </w:tc>
      </w:tr>
      <w:tr w:rsidR="0007198D" w:rsidRPr="00515E1C" w14:paraId="56FF05E4" w14:textId="77777777" w:rsidTr="000C7A5D">
        <w:tc>
          <w:tcPr>
            <w:tcW w:w="3618" w:type="dxa"/>
            <w:shd w:val="clear" w:color="auto" w:fill="auto"/>
          </w:tcPr>
          <w:p w14:paraId="5633F0AE"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21A52166" w14:textId="67CC26F7" w:rsidR="0007198D" w:rsidRPr="00531366" w:rsidRDefault="0007198D" w:rsidP="000C7A5D">
            <w:pPr>
              <w:spacing w:after="0" w:line="240" w:lineRule="auto"/>
              <w:rPr>
                <w:rFonts w:ascii="Arial" w:hAnsi="Arial" w:cs="Arial"/>
                <w:sz w:val="20"/>
                <w:szCs w:val="20"/>
              </w:rPr>
            </w:pPr>
            <w:r w:rsidRPr="00531366">
              <w:rPr>
                <w:rFonts w:ascii="Arial" w:hAnsi="Arial" w:cs="Arial"/>
                <w:noProof/>
                <w:sz w:val="20"/>
                <w:szCs w:val="20"/>
              </w:rPr>
              <w:t xml:space="preserve">Number of children, </w:t>
            </w:r>
            <w:r>
              <w:rPr>
                <w:rFonts w:ascii="Arial" w:hAnsi="Arial" w:cs="Arial"/>
                <w:noProof/>
                <w:sz w:val="20"/>
                <w:szCs w:val="20"/>
              </w:rPr>
              <w:t>ages</w:t>
            </w:r>
            <w:r w:rsidRPr="00531366">
              <w:rPr>
                <w:rFonts w:ascii="Arial" w:hAnsi="Arial" w:cs="Arial"/>
                <w:noProof/>
                <w:sz w:val="20"/>
                <w:szCs w:val="20"/>
              </w:rPr>
              <w:t xml:space="preserve"> 3</w:t>
            </w:r>
            <w:r>
              <w:rPr>
                <w:rFonts w:ascii="Arial" w:hAnsi="Arial" w:cs="Arial"/>
                <w:noProof/>
                <w:sz w:val="20"/>
                <w:szCs w:val="20"/>
              </w:rPr>
              <w:t xml:space="preserve"> through </w:t>
            </w:r>
            <w:r w:rsidRPr="00531366">
              <w:rPr>
                <w:rFonts w:ascii="Arial" w:hAnsi="Arial" w:cs="Arial"/>
                <w:noProof/>
                <w:sz w:val="20"/>
                <w:szCs w:val="20"/>
              </w:rPr>
              <w:t>17, reported by their parents to have been diagnosed by a health care provider with a mental/behavioral condition (depression, anxiety problems, or behavioral or conduct problems</w:t>
            </w:r>
            <w:r>
              <w:rPr>
                <w:rFonts w:ascii="Arial" w:hAnsi="Arial" w:cs="Arial"/>
                <w:noProof/>
                <w:sz w:val="20"/>
                <w:szCs w:val="20"/>
              </w:rPr>
              <w:t>)</w:t>
            </w:r>
            <w:r w:rsidR="00052FDC">
              <w:rPr>
                <w:rFonts w:ascii="Arial" w:hAnsi="Arial" w:cs="Arial"/>
                <w:noProof/>
                <w:sz w:val="20"/>
                <w:szCs w:val="20"/>
              </w:rPr>
              <w:t xml:space="preserve"> who currently have the condition</w:t>
            </w:r>
          </w:p>
        </w:tc>
      </w:tr>
      <w:tr w:rsidR="0007198D" w:rsidRPr="00515E1C" w14:paraId="67620CB6" w14:textId="77777777" w:rsidTr="000C7A5D">
        <w:tc>
          <w:tcPr>
            <w:tcW w:w="3618" w:type="dxa"/>
            <w:shd w:val="clear" w:color="auto" w:fill="auto"/>
          </w:tcPr>
          <w:p w14:paraId="1091F2BE"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4A1A209D" w14:textId="77777777" w:rsidR="0007198D" w:rsidRPr="00531366" w:rsidRDefault="0007198D" w:rsidP="000C7A5D">
            <w:pPr>
              <w:spacing w:after="0" w:line="240" w:lineRule="auto"/>
              <w:rPr>
                <w:rFonts w:ascii="Arial" w:hAnsi="Arial" w:cs="Arial"/>
                <w:sz w:val="20"/>
                <w:szCs w:val="20"/>
              </w:rPr>
            </w:pPr>
          </w:p>
        </w:tc>
      </w:tr>
      <w:tr w:rsidR="0007198D" w:rsidRPr="00515E1C" w14:paraId="18F61207" w14:textId="77777777" w:rsidTr="000C7A5D">
        <w:tc>
          <w:tcPr>
            <w:tcW w:w="3618" w:type="dxa"/>
            <w:shd w:val="clear" w:color="auto" w:fill="auto"/>
          </w:tcPr>
          <w:p w14:paraId="378E8E9D" w14:textId="77777777" w:rsidR="0007198D" w:rsidRPr="00531366" w:rsidRDefault="0007198D" w:rsidP="000C7A5D">
            <w:pPr>
              <w:spacing w:after="0" w:line="240" w:lineRule="auto"/>
              <w:rPr>
                <w:rFonts w:ascii="Arial" w:hAnsi="Arial" w:cs="Arial"/>
                <w:b/>
                <w:sz w:val="20"/>
                <w:szCs w:val="20"/>
              </w:rPr>
            </w:pPr>
          </w:p>
        </w:tc>
        <w:tc>
          <w:tcPr>
            <w:tcW w:w="3384" w:type="dxa"/>
            <w:shd w:val="clear" w:color="auto" w:fill="auto"/>
          </w:tcPr>
          <w:p w14:paraId="7301F779"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b/>
                <w:sz w:val="20"/>
                <w:szCs w:val="20"/>
              </w:rPr>
              <w:t>Units:</w:t>
            </w:r>
            <w:r w:rsidRPr="00531366">
              <w:rPr>
                <w:rFonts w:ascii="Arial" w:hAnsi="Arial" w:cs="Arial"/>
                <w:sz w:val="20"/>
                <w:szCs w:val="20"/>
              </w:rPr>
              <w:t xml:space="preserve"> </w:t>
            </w:r>
            <w:r w:rsidRPr="00531366">
              <w:rPr>
                <w:rFonts w:ascii="Arial" w:hAnsi="Arial" w:cs="Arial"/>
                <w:noProof/>
                <w:sz w:val="20"/>
                <w:szCs w:val="20"/>
              </w:rPr>
              <w:t>100</w:t>
            </w:r>
          </w:p>
        </w:tc>
        <w:tc>
          <w:tcPr>
            <w:tcW w:w="2556" w:type="dxa"/>
            <w:shd w:val="clear" w:color="auto" w:fill="auto"/>
          </w:tcPr>
          <w:p w14:paraId="2D7FC004"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b/>
                <w:sz w:val="20"/>
                <w:szCs w:val="20"/>
              </w:rPr>
              <w:t>Text:</w:t>
            </w:r>
            <w:r w:rsidRPr="00531366">
              <w:rPr>
                <w:rFonts w:ascii="Arial" w:hAnsi="Arial" w:cs="Arial"/>
                <w:sz w:val="20"/>
                <w:szCs w:val="20"/>
              </w:rPr>
              <w:t xml:space="preserve"> </w:t>
            </w:r>
            <w:r w:rsidRPr="00531366">
              <w:rPr>
                <w:rFonts w:ascii="Arial" w:hAnsi="Arial" w:cs="Arial"/>
                <w:noProof/>
                <w:sz w:val="20"/>
                <w:szCs w:val="20"/>
              </w:rPr>
              <w:t>Percent</w:t>
            </w:r>
          </w:p>
        </w:tc>
      </w:tr>
      <w:tr w:rsidR="0007198D" w:rsidRPr="00515E1C" w14:paraId="3D84BA0A" w14:textId="77777777" w:rsidTr="000C7A5D">
        <w:tc>
          <w:tcPr>
            <w:tcW w:w="3618" w:type="dxa"/>
            <w:shd w:val="clear" w:color="auto" w:fill="auto"/>
          </w:tcPr>
          <w:p w14:paraId="331E4F57"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2CD68A4F" w14:textId="77777777" w:rsidR="0007198D" w:rsidRPr="00531366" w:rsidRDefault="0007198D" w:rsidP="000C7A5D">
            <w:pPr>
              <w:spacing w:after="0" w:line="240" w:lineRule="auto"/>
              <w:rPr>
                <w:rFonts w:ascii="Arial" w:hAnsi="Arial" w:cs="Arial"/>
                <w:sz w:val="20"/>
                <w:szCs w:val="20"/>
              </w:rPr>
            </w:pPr>
          </w:p>
        </w:tc>
      </w:tr>
      <w:tr w:rsidR="0007198D" w:rsidRPr="00515E1C" w14:paraId="1784B5FE" w14:textId="77777777" w:rsidTr="000C7A5D">
        <w:tc>
          <w:tcPr>
            <w:tcW w:w="3618" w:type="dxa"/>
            <w:shd w:val="clear" w:color="auto" w:fill="auto"/>
          </w:tcPr>
          <w:p w14:paraId="27E1D419"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HEALTHY PEOPLE 2020 OBJECTIVE</w:t>
            </w:r>
          </w:p>
        </w:tc>
        <w:tc>
          <w:tcPr>
            <w:tcW w:w="5940" w:type="dxa"/>
            <w:gridSpan w:val="2"/>
            <w:shd w:val="clear" w:color="auto" w:fill="auto"/>
          </w:tcPr>
          <w:p w14:paraId="1D927AFB"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noProof/>
                <w:sz w:val="20"/>
                <w:szCs w:val="20"/>
              </w:rPr>
              <w:t>Related to Mental Health and Mental Disorders Objective 6: Increase the proportion of children with mental health problems who receive treatment (Baseline: 68.9% in 2008, Target: 75.0%)</w:t>
            </w:r>
          </w:p>
        </w:tc>
      </w:tr>
      <w:tr w:rsidR="0007198D" w:rsidRPr="00515E1C" w14:paraId="3B0C4537" w14:textId="77777777" w:rsidTr="000C7A5D">
        <w:tc>
          <w:tcPr>
            <w:tcW w:w="3618" w:type="dxa"/>
            <w:shd w:val="clear" w:color="auto" w:fill="auto"/>
          </w:tcPr>
          <w:p w14:paraId="59469DB3"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051CC05C" w14:textId="77777777" w:rsidR="0007198D" w:rsidRPr="00531366" w:rsidRDefault="0007198D" w:rsidP="000C7A5D">
            <w:pPr>
              <w:spacing w:after="0" w:line="240" w:lineRule="auto"/>
              <w:rPr>
                <w:rFonts w:ascii="Arial" w:hAnsi="Arial" w:cs="Arial"/>
                <w:sz w:val="20"/>
                <w:szCs w:val="20"/>
              </w:rPr>
            </w:pPr>
          </w:p>
        </w:tc>
      </w:tr>
      <w:tr w:rsidR="0007198D" w:rsidRPr="00515E1C" w14:paraId="74A6E299" w14:textId="77777777" w:rsidTr="000C7A5D">
        <w:tc>
          <w:tcPr>
            <w:tcW w:w="3618" w:type="dxa"/>
            <w:shd w:val="clear" w:color="auto" w:fill="auto"/>
          </w:tcPr>
          <w:p w14:paraId="60C826DF"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DATA SOURCES and DATA ISSUES</w:t>
            </w:r>
          </w:p>
        </w:tc>
        <w:tc>
          <w:tcPr>
            <w:tcW w:w="5940" w:type="dxa"/>
            <w:gridSpan w:val="2"/>
            <w:shd w:val="clear" w:color="auto" w:fill="auto"/>
          </w:tcPr>
          <w:p w14:paraId="79881552"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noProof/>
                <w:sz w:val="20"/>
                <w:szCs w:val="20"/>
              </w:rPr>
              <w:t>National Survey of Children's Health (NSCH)</w:t>
            </w:r>
          </w:p>
        </w:tc>
      </w:tr>
      <w:tr w:rsidR="0007198D" w:rsidRPr="00515E1C" w14:paraId="1946759E" w14:textId="77777777" w:rsidTr="000C7A5D">
        <w:tc>
          <w:tcPr>
            <w:tcW w:w="3618" w:type="dxa"/>
            <w:shd w:val="clear" w:color="auto" w:fill="auto"/>
          </w:tcPr>
          <w:p w14:paraId="414FF281"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3317207F" w14:textId="77777777" w:rsidR="0007198D" w:rsidRPr="00531366" w:rsidRDefault="0007198D" w:rsidP="000C7A5D">
            <w:pPr>
              <w:spacing w:after="0" w:line="240" w:lineRule="auto"/>
              <w:rPr>
                <w:rFonts w:ascii="Arial" w:hAnsi="Arial" w:cs="Arial"/>
                <w:sz w:val="20"/>
                <w:szCs w:val="20"/>
              </w:rPr>
            </w:pPr>
          </w:p>
        </w:tc>
      </w:tr>
      <w:tr w:rsidR="0007198D" w:rsidRPr="00515E1C" w14:paraId="57D3002C" w14:textId="77777777" w:rsidTr="000C7A5D">
        <w:tc>
          <w:tcPr>
            <w:tcW w:w="3618" w:type="dxa"/>
            <w:shd w:val="clear" w:color="auto" w:fill="auto"/>
          </w:tcPr>
          <w:p w14:paraId="3F1ADAD5"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SIGNIFICANCE</w:t>
            </w:r>
          </w:p>
        </w:tc>
        <w:tc>
          <w:tcPr>
            <w:tcW w:w="5940" w:type="dxa"/>
            <w:gridSpan w:val="2"/>
            <w:shd w:val="clear" w:color="auto" w:fill="auto"/>
          </w:tcPr>
          <w:p w14:paraId="0449EC35" w14:textId="77777777" w:rsidR="0007198D" w:rsidRDefault="0007198D" w:rsidP="000C7A5D">
            <w:pPr>
              <w:spacing w:after="0" w:line="240" w:lineRule="auto"/>
              <w:rPr>
                <w:rFonts w:ascii="Arial" w:hAnsi="Arial" w:cs="Arial"/>
                <w:sz w:val="20"/>
                <w:szCs w:val="20"/>
              </w:rPr>
            </w:pPr>
            <w:r w:rsidRPr="00531366">
              <w:rPr>
                <w:rFonts w:ascii="Arial" w:hAnsi="Arial" w:cs="Arial"/>
                <w:noProof/>
                <w:sz w:val="20"/>
                <w:szCs w:val="20"/>
              </w:rPr>
              <w:t>The prevalence of mental/behavioral health conditions has been increasing among children and has been found to vary by geographic and sociodemographic factors.  However, a significant portion of children diagnosed with a mental health condition do not receive treatment.  Further, the receipt of treatment is generally dependent on sociodemographic and health-related factors.</w:t>
            </w:r>
            <w:r>
              <w:rPr>
                <w:rFonts w:ascii="Arial" w:hAnsi="Arial" w:cs="Arial"/>
                <w:noProof/>
                <w:sz w:val="20"/>
                <w:szCs w:val="20"/>
              </w:rPr>
              <w:t xml:space="preserve">  </w:t>
            </w:r>
            <w:r>
              <w:rPr>
                <w:rFonts w:ascii="Arial" w:hAnsi="Arial" w:cs="Arial"/>
                <w:sz w:val="20"/>
                <w:szCs w:val="20"/>
              </w:rPr>
              <w:t>Adequate insurance and access to a patient-centered medical home may improve mental health treatment.</w:t>
            </w:r>
          </w:p>
          <w:p w14:paraId="22F76407" w14:textId="77777777" w:rsidR="0007198D" w:rsidRDefault="0007198D" w:rsidP="000C7A5D">
            <w:pPr>
              <w:spacing w:after="0" w:line="240" w:lineRule="auto"/>
              <w:rPr>
                <w:rFonts w:ascii="Arial" w:hAnsi="Arial" w:cs="Arial"/>
                <w:sz w:val="20"/>
                <w:szCs w:val="20"/>
              </w:rPr>
            </w:pPr>
          </w:p>
          <w:p w14:paraId="07C531EB" w14:textId="77777777" w:rsidR="0007198D" w:rsidRDefault="0007198D" w:rsidP="000C7A5D">
            <w:pPr>
              <w:spacing w:after="0" w:line="240" w:lineRule="auto"/>
              <w:rPr>
                <w:rFonts w:ascii="Arial" w:hAnsi="Arial" w:cs="Arial"/>
                <w:sz w:val="20"/>
                <w:szCs w:val="20"/>
              </w:rPr>
            </w:pPr>
            <w:r w:rsidRPr="004C17E4">
              <w:rPr>
                <w:rFonts w:ascii="Arial" w:hAnsi="Arial" w:cs="Arial"/>
                <w:sz w:val="20"/>
                <w:szCs w:val="20"/>
              </w:rPr>
              <w:t>Ghandour RM, Kogan MD, Blumberg SJ, Jones JR, Perrin JM. Mental health</w:t>
            </w:r>
            <w:r>
              <w:rPr>
                <w:rFonts w:ascii="Arial" w:hAnsi="Arial" w:cs="Arial"/>
                <w:sz w:val="20"/>
                <w:szCs w:val="20"/>
              </w:rPr>
              <w:t xml:space="preserve"> </w:t>
            </w:r>
            <w:r w:rsidRPr="004C17E4">
              <w:rPr>
                <w:rFonts w:ascii="Arial" w:hAnsi="Arial" w:cs="Arial"/>
                <w:sz w:val="20"/>
                <w:szCs w:val="20"/>
              </w:rPr>
              <w:t>conditions among school-aged children: geographic and sociodemographic patterns</w:t>
            </w:r>
            <w:r>
              <w:rPr>
                <w:rFonts w:ascii="Arial" w:hAnsi="Arial" w:cs="Arial"/>
                <w:sz w:val="20"/>
                <w:szCs w:val="20"/>
              </w:rPr>
              <w:t xml:space="preserve"> </w:t>
            </w:r>
            <w:r w:rsidRPr="004C17E4">
              <w:rPr>
                <w:rFonts w:ascii="Arial" w:hAnsi="Arial" w:cs="Arial"/>
                <w:sz w:val="20"/>
                <w:szCs w:val="20"/>
              </w:rPr>
              <w:t>in prevalence and treatment. J Dev Behav Pediatr. 2012 Jan;33(1):42-54.</w:t>
            </w:r>
            <w:r>
              <w:rPr>
                <w:rFonts w:ascii="Arial" w:hAnsi="Arial" w:cs="Arial"/>
                <w:sz w:val="20"/>
                <w:szCs w:val="20"/>
              </w:rPr>
              <w:t xml:space="preserve"> </w:t>
            </w:r>
            <w:hyperlink r:id="rId111" w:history="1">
              <w:r w:rsidRPr="00057ED2">
                <w:rPr>
                  <w:rStyle w:val="Hyperlink"/>
                  <w:rFonts w:ascii="Arial" w:hAnsi="Arial" w:cs="Arial"/>
                  <w:sz w:val="20"/>
                  <w:szCs w:val="20"/>
                </w:rPr>
                <w:t>https://www.ncbi.nlm.nih.gov/pubmed/22218014</w:t>
              </w:r>
            </w:hyperlink>
            <w:r>
              <w:rPr>
                <w:rFonts w:ascii="Arial" w:hAnsi="Arial" w:cs="Arial"/>
                <w:sz w:val="20"/>
                <w:szCs w:val="20"/>
              </w:rPr>
              <w:t xml:space="preserve"> </w:t>
            </w:r>
          </w:p>
          <w:p w14:paraId="3318C1E3" w14:textId="77777777" w:rsidR="0007198D" w:rsidRPr="00531366" w:rsidRDefault="0007198D" w:rsidP="000C7A5D">
            <w:pPr>
              <w:spacing w:after="0" w:line="240" w:lineRule="auto"/>
              <w:rPr>
                <w:rFonts w:ascii="Arial" w:hAnsi="Arial" w:cs="Arial"/>
                <w:sz w:val="20"/>
                <w:szCs w:val="20"/>
              </w:rPr>
            </w:pPr>
          </w:p>
        </w:tc>
      </w:tr>
      <w:tr w:rsidR="0007198D" w:rsidRPr="00515E1C" w14:paraId="014B714F" w14:textId="77777777" w:rsidTr="000C7A5D">
        <w:tc>
          <w:tcPr>
            <w:tcW w:w="3618" w:type="dxa"/>
            <w:shd w:val="clear" w:color="auto" w:fill="auto"/>
          </w:tcPr>
          <w:p w14:paraId="54BA889A" w14:textId="77777777" w:rsidR="0007198D" w:rsidRPr="00531366" w:rsidRDefault="0007198D" w:rsidP="000C7A5D">
            <w:pPr>
              <w:spacing w:after="0" w:line="240" w:lineRule="auto"/>
              <w:rPr>
                <w:rFonts w:ascii="Arial" w:hAnsi="Arial" w:cs="Arial"/>
                <w:sz w:val="20"/>
                <w:szCs w:val="20"/>
              </w:rPr>
            </w:pPr>
          </w:p>
        </w:tc>
        <w:tc>
          <w:tcPr>
            <w:tcW w:w="5940" w:type="dxa"/>
            <w:gridSpan w:val="2"/>
            <w:shd w:val="clear" w:color="auto" w:fill="auto"/>
          </w:tcPr>
          <w:p w14:paraId="13175603" w14:textId="77777777" w:rsidR="0007198D" w:rsidRPr="00531366" w:rsidRDefault="0007198D" w:rsidP="000C7A5D">
            <w:pPr>
              <w:spacing w:after="0" w:line="240" w:lineRule="auto"/>
              <w:rPr>
                <w:rFonts w:ascii="Arial" w:hAnsi="Arial" w:cs="Arial"/>
                <w:sz w:val="20"/>
                <w:szCs w:val="20"/>
              </w:rPr>
            </w:pPr>
          </w:p>
        </w:tc>
      </w:tr>
    </w:tbl>
    <w:p w14:paraId="46468A5D" w14:textId="77777777" w:rsidR="0007198D" w:rsidRDefault="0007198D" w:rsidP="0007198D">
      <w:pPr>
        <w:spacing w:after="0" w:line="240" w:lineRule="auto"/>
      </w:pPr>
    </w:p>
    <w:p w14:paraId="1B36E123" w14:textId="77777777" w:rsidR="0007198D" w:rsidRDefault="0007198D" w:rsidP="0007198D">
      <w:pPr>
        <w:spacing w:after="0" w:line="240" w:lineRule="auto"/>
      </w:pPr>
      <w:r>
        <w:br w:type="page"/>
      </w:r>
    </w:p>
    <w:tbl>
      <w:tblPr>
        <w:tblW w:w="0" w:type="auto"/>
        <w:tblLook w:val="04A0" w:firstRow="1" w:lastRow="0" w:firstColumn="1" w:lastColumn="0" w:noHBand="0" w:noVBand="1"/>
      </w:tblPr>
      <w:tblGrid>
        <w:gridCol w:w="3618"/>
        <w:gridCol w:w="5868"/>
      </w:tblGrid>
      <w:tr w:rsidR="0007198D" w:rsidRPr="003F48A1" w14:paraId="158E429D" w14:textId="77777777" w:rsidTr="000C7A5D">
        <w:tc>
          <w:tcPr>
            <w:tcW w:w="3618" w:type="dxa"/>
            <w:shd w:val="clear" w:color="auto" w:fill="auto"/>
          </w:tcPr>
          <w:p w14:paraId="2367C85E" w14:textId="77777777" w:rsidR="0007198D" w:rsidRPr="00531366" w:rsidRDefault="0007198D" w:rsidP="000C7A5D">
            <w:pPr>
              <w:spacing w:after="0" w:line="240" w:lineRule="auto"/>
              <w:rPr>
                <w:rFonts w:ascii="Arial" w:hAnsi="Arial" w:cs="Arial"/>
                <w:b/>
                <w:sz w:val="24"/>
                <w:szCs w:val="24"/>
              </w:rPr>
            </w:pPr>
            <w:r w:rsidRPr="00531366">
              <w:rPr>
                <w:rFonts w:ascii="Arial" w:hAnsi="Arial" w:cs="Arial"/>
                <w:b/>
                <w:sz w:val="24"/>
                <w:szCs w:val="24"/>
              </w:rPr>
              <w:t xml:space="preserve">OUTCOME MEASURE </w:t>
            </w:r>
            <w:r>
              <w:rPr>
                <w:rFonts w:ascii="Arial" w:hAnsi="Arial" w:cs="Arial"/>
                <w:b/>
                <w:sz w:val="24"/>
                <w:szCs w:val="24"/>
              </w:rPr>
              <w:t>1</w:t>
            </w:r>
            <w:r w:rsidRPr="00531366">
              <w:rPr>
                <w:rFonts w:ascii="Arial" w:hAnsi="Arial" w:cs="Arial"/>
                <w:b/>
                <w:noProof/>
                <w:sz w:val="24"/>
                <w:szCs w:val="24"/>
              </w:rPr>
              <w:t>9</w:t>
            </w:r>
          </w:p>
        </w:tc>
        <w:tc>
          <w:tcPr>
            <w:tcW w:w="5868" w:type="dxa"/>
            <w:shd w:val="clear" w:color="auto" w:fill="auto"/>
          </w:tcPr>
          <w:p w14:paraId="5F7E9104" w14:textId="2AE106BB" w:rsidR="0007198D" w:rsidRPr="00531366" w:rsidRDefault="0007198D" w:rsidP="000C7A5D">
            <w:pPr>
              <w:spacing w:after="0" w:line="240" w:lineRule="auto"/>
              <w:rPr>
                <w:rFonts w:ascii="Arial" w:hAnsi="Arial" w:cs="Arial"/>
                <w:b/>
                <w:sz w:val="24"/>
                <w:szCs w:val="24"/>
              </w:rPr>
            </w:pPr>
            <w:r w:rsidRPr="00531366">
              <w:rPr>
                <w:rFonts w:ascii="Arial" w:hAnsi="Arial" w:cs="Arial"/>
                <w:b/>
                <w:noProof/>
                <w:sz w:val="24"/>
                <w:szCs w:val="24"/>
              </w:rPr>
              <w:t>Percent of children</w:t>
            </w:r>
            <w:r w:rsidR="00773411">
              <w:rPr>
                <w:rFonts w:ascii="Arial" w:hAnsi="Arial" w:cs="Arial"/>
                <w:b/>
                <w:noProof/>
                <w:sz w:val="24"/>
                <w:szCs w:val="24"/>
              </w:rPr>
              <w:t>, ages 0 through 17,</w:t>
            </w:r>
            <w:r w:rsidRPr="00531366">
              <w:rPr>
                <w:rFonts w:ascii="Arial" w:hAnsi="Arial" w:cs="Arial"/>
                <w:b/>
                <w:noProof/>
                <w:sz w:val="24"/>
                <w:szCs w:val="24"/>
              </w:rPr>
              <w:t xml:space="preserve"> in excellent or very good health</w:t>
            </w:r>
          </w:p>
        </w:tc>
      </w:tr>
    </w:tbl>
    <w:p w14:paraId="0D9E33B1" w14:textId="77777777" w:rsidR="0007198D" w:rsidRDefault="0007198D" w:rsidP="0007198D">
      <w:pPr>
        <w:spacing w:after="0" w:line="240" w:lineRule="auto"/>
      </w:pPr>
    </w:p>
    <w:p w14:paraId="0931B8B0" w14:textId="77777777" w:rsidR="0007198D" w:rsidRDefault="0007198D" w:rsidP="0007198D">
      <w:pPr>
        <w:spacing w:after="0" w:line="240" w:lineRule="auto"/>
      </w:pPr>
      <w:r>
        <w:rPr>
          <w:noProof/>
        </w:rPr>
        <mc:AlternateContent>
          <mc:Choice Requires="wps">
            <w:drawing>
              <wp:anchor distT="4294967295" distB="4294967295" distL="114300" distR="114300" simplePos="0" relativeHeight="251778048" behindDoc="0" locked="0" layoutInCell="1" allowOverlap="1" wp14:anchorId="5C242AD8" wp14:editId="728C7895">
                <wp:simplePos x="0" y="0"/>
                <wp:positionH relativeFrom="column">
                  <wp:posOffset>-60960</wp:posOffset>
                </wp:positionH>
                <wp:positionV relativeFrom="paragraph">
                  <wp:posOffset>31749</wp:posOffset>
                </wp:positionV>
                <wp:extent cx="6088380" cy="0"/>
                <wp:effectExtent l="0" t="0" r="26670" b="19050"/>
                <wp:wrapNone/>
                <wp:docPr id="42"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CDC704A" id="Straight Connector 15" o:spid="_x0000_s1026" style="position:absolute;z-index:251778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" strokecolor="windowText" strokeweight="1.75pt">
                <o:lock v:ext="edit" shapetype="f"/>
              </v:line>
            </w:pict>
          </mc:Fallback>
        </mc:AlternateContent>
      </w:r>
    </w:p>
    <w:tbl>
      <w:tblPr>
        <w:tblW w:w="0" w:type="auto"/>
        <w:tblLook w:val="04A0" w:firstRow="1" w:lastRow="0" w:firstColumn="1" w:lastColumn="0" w:noHBand="0" w:noVBand="1"/>
      </w:tblPr>
      <w:tblGrid>
        <w:gridCol w:w="3618"/>
        <w:gridCol w:w="3384"/>
        <w:gridCol w:w="2556"/>
      </w:tblGrid>
      <w:tr w:rsidR="0007198D" w:rsidRPr="00515E1C" w14:paraId="3694A197" w14:textId="77777777" w:rsidTr="000C7A5D">
        <w:tc>
          <w:tcPr>
            <w:tcW w:w="3618" w:type="dxa"/>
            <w:shd w:val="clear" w:color="auto" w:fill="auto"/>
          </w:tcPr>
          <w:p w14:paraId="5386F1EE"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GOAL</w:t>
            </w:r>
          </w:p>
        </w:tc>
        <w:tc>
          <w:tcPr>
            <w:tcW w:w="5940" w:type="dxa"/>
            <w:gridSpan w:val="2"/>
            <w:shd w:val="clear" w:color="auto" w:fill="auto"/>
          </w:tcPr>
          <w:p w14:paraId="7AFC27ED"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noProof/>
                <w:sz w:val="20"/>
                <w:szCs w:val="20"/>
              </w:rPr>
              <w:t xml:space="preserve">To </w:t>
            </w:r>
            <w:r>
              <w:rPr>
                <w:rFonts w:ascii="Arial" w:hAnsi="Arial" w:cs="Arial"/>
                <w:noProof/>
                <w:sz w:val="20"/>
                <w:szCs w:val="20"/>
              </w:rPr>
              <w:t>improve</w:t>
            </w:r>
            <w:r w:rsidRPr="00531366">
              <w:rPr>
                <w:rFonts w:ascii="Arial" w:hAnsi="Arial" w:cs="Arial"/>
                <w:noProof/>
                <w:sz w:val="20"/>
                <w:szCs w:val="20"/>
              </w:rPr>
              <w:t xml:space="preserve"> the health status of children.</w:t>
            </w:r>
          </w:p>
        </w:tc>
      </w:tr>
      <w:tr w:rsidR="0007198D" w:rsidRPr="00515E1C" w14:paraId="4CF27B26" w14:textId="77777777" w:rsidTr="000C7A5D">
        <w:tc>
          <w:tcPr>
            <w:tcW w:w="3618" w:type="dxa"/>
            <w:shd w:val="clear" w:color="auto" w:fill="auto"/>
          </w:tcPr>
          <w:p w14:paraId="7F07E64F"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6D1B5756" w14:textId="77777777" w:rsidR="0007198D" w:rsidRPr="00531366" w:rsidRDefault="0007198D" w:rsidP="000C7A5D">
            <w:pPr>
              <w:spacing w:after="0" w:line="240" w:lineRule="auto"/>
              <w:rPr>
                <w:rFonts w:ascii="Arial" w:hAnsi="Arial" w:cs="Arial"/>
                <w:sz w:val="20"/>
                <w:szCs w:val="20"/>
              </w:rPr>
            </w:pPr>
          </w:p>
        </w:tc>
      </w:tr>
      <w:tr w:rsidR="0007198D" w:rsidRPr="00515E1C" w14:paraId="36D164CC" w14:textId="77777777" w:rsidTr="000C7A5D">
        <w:tc>
          <w:tcPr>
            <w:tcW w:w="3618" w:type="dxa"/>
            <w:shd w:val="clear" w:color="auto" w:fill="auto"/>
          </w:tcPr>
          <w:p w14:paraId="0D6B32DB"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DEFINITION</w:t>
            </w:r>
          </w:p>
        </w:tc>
        <w:tc>
          <w:tcPr>
            <w:tcW w:w="5940" w:type="dxa"/>
            <w:gridSpan w:val="2"/>
            <w:shd w:val="clear" w:color="auto" w:fill="auto"/>
          </w:tcPr>
          <w:p w14:paraId="648AAB10"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Numerator:</w:t>
            </w:r>
          </w:p>
        </w:tc>
      </w:tr>
      <w:tr w:rsidR="0007198D" w:rsidRPr="00515E1C" w14:paraId="604D3D7D" w14:textId="77777777" w:rsidTr="000C7A5D">
        <w:tc>
          <w:tcPr>
            <w:tcW w:w="3618" w:type="dxa"/>
            <w:shd w:val="clear" w:color="auto" w:fill="auto"/>
          </w:tcPr>
          <w:p w14:paraId="1A14B3BD"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27401408"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noProof/>
                <w:sz w:val="20"/>
                <w:szCs w:val="20"/>
              </w:rPr>
              <w:t>Number of children ages 0</w:t>
            </w:r>
            <w:r>
              <w:rPr>
                <w:rFonts w:ascii="Arial" w:hAnsi="Arial" w:cs="Arial"/>
                <w:noProof/>
                <w:sz w:val="20"/>
                <w:szCs w:val="20"/>
              </w:rPr>
              <w:t xml:space="preserve"> through </w:t>
            </w:r>
            <w:r w:rsidRPr="00531366">
              <w:rPr>
                <w:rFonts w:ascii="Arial" w:hAnsi="Arial" w:cs="Arial"/>
                <w:noProof/>
                <w:sz w:val="20"/>
                <w:szCs w:val="20"/>
              </w:rPr>
              <w:t>17 reported by their parents to be in excellent or very good health</w:t>
            </w:r>
          </w:p>
        </w:tc>
      </w:tr>
      <w:tr w:rsidR="0007198D" w:rsidRPr="00515E1C" w14:paraId="50958338" w14:textId="77777777" w:rsidTr="000C7A5D">
        <w:tc>
          <w:tcPr>
            <w:tcW w:w="3618" w:type="dxa"/>
            <w:shd w:val="clear" w:color="auto" w:fill="auto"/>
          </w:tcPr>
          <w:p w14:paraId="0E3CC24C"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4BF6A7F0" w14:textId="77777777" w:rsidR="0007198D" w:rsidRPr="00531366" w:rsidRDefault="0007198D" w:rsidP="000C7A5D">
            <w:pPr>
              <w:spacing w:after="0" w:line="240" w:lineRule="auto"/>
              <w:rPr>
                <w:rFonts w:ascii="Arial" w:hAnsi="Arial" w:cs="Arial"/>
                <w:sz w:val="20"/>
                <w:szCs w:val="20"/>
              </w:rPr>
            </w:pPr>
          </w:p>
        </w:tc>
      </w:tr>
      <w:tr w:rsidR="0007198D" w:rsidRPr="00515E1C" w14:paraId="7C613333" w14:textId="77777777" w:rsidTr="000C7A5D">
        <w:tc>
          <w:tcPr>
            <w:tcW w:w="3618" w:type="dxa"/>
            <w:shd w:val="clear" w:color="auto" w:fill="auto"/>
          </w:tcPr>
          <w:p w14:paraId="12D7DDCD"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7E64CEDF"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Denominator:</w:t>
            </w:r>
          </w:p>
        </w:tc>
      </w:tr>
      <w:tr w:rsidR="0007198D" w:rsidRPr="00515E1C" w14:paraId="2A9FC3A1" w14:textId="77777777" w:rsidTr="000C7A5D">
        <w:tc>
          <w:tcPr>
            <w:tcW w:w="3618" w:type="dxa"/>
            <w:shd w:val="clear" w:color="auto" w:fill="auto"/>
          </w:tcPr>
          <w:p w14:paraId="37F624D6"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78F00293"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noProof/>
                <w:sz w:val="20"/>
                <w:szCs w:val="20"/>
              </w:rPr>
              <w:t xml:space="preserve">Number of children </w:t>
            </w:r>
            <w:r>
              <w:rPr>
                <w:rFonts w:ascii="Arial" w:hAnsi="Arial" w:cs="Arial"/>
                <w:noProof/>
                <w:sz w:val="20"/>
                <w:szCs w:val="20"/>
              </w:rPr>
              <w:t>ages</w:t>
            </w:r>
            <w:r w:rsidRPr="00531366">
              <w:rPr>
                <w:rFonts w:ascii="Arial" w:hAnsi="Arial" w:cs="Arial"/>
                <w:noProof/>
                <w:sz w:val="20"/>
                <w:szCs w:val="20"/>
              </w:rPr>
              <w:t xml:space="preserve"> 0</w:t>
            </w:r>
            <w:r>
              <w:rPr>
                <w:rFonts w:ascii="Arial" w:hAnsi="Arial" w:cs="Arial"/>
                <w:noProof/>
                <w:sz w:val="20"/>
                <w:szCs w:val="20"/>
              </w:rPr>
              <w:t xml:space="preserve"> through </w:t>
            </w:r>
            <w:r w:rsidRPr="00531366">
              <w:rPr>
                <w:rFonts w:ascii="Arial" w:hAnsi="Arial" w:cs="Arial"/>
                <w:noProof/>
                <w:sz w:val="20"/>
                <w:szCs w:val="20"/>
              </w:rPr>
              <w:t>17</w:t>
            </w:r>
          </w:p>
        </w:tc>
      </w:tr>
      <w:tr w:rsidR="0007198D" w:rsidRPr="00515E1C" w14:paraId="06E764E3" w14:textId="77777777" w:rsidTr="000C7A5D">
        <w:tc>
          <w:tcPr>
            <w:tcW w:w="3618" w:type="dxa"/>
            <w:shd w:val="clear" w:color="auto" w:fill="auto"/>
          </w:tcPr>
          <w:p w14:paraId="4E20C5A3"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5A4AE95C" w14:textId="77777777" w:rsidR="0007198D" w:rsidRPr="00531366" w:rsidRDefault="0007198D" w:rsidP="000C7A5D">
            <w:pPr>
              <w:spacing w:after="0" w:line="240" w:lineRule="auto"/>
              <w:rPr>
                <w:rFonts w:ascii="Arial" w:hAnsi="Arial" w:cs="Arial"/>
                <w:sz w:val="20"/>
                <w:szCs w:val="20"/>
              </w:rPr>
            </w:pPr>
          </w:p>
        </w:tc>
      </w:tr>
      <w:tr w:rsidR="0007198D" w:rsidRPr="00515E1C" w14:paraId="271D813A" w14:textId="77777777" w:rsidTr="000C7A5D">
        <w:tc>
          <w:tcPr>
            <w:tcW w:w="3618" w:type="dxa"/>
            <w:shd w:val="clear" w:color="auto" w:fill="auto"/>
          </w:tcPr>
          <w:p w14:paraId="7616129B" w14:textId="77777777" w:rsidR="0007198D" w:rsidRPr="00531366" w:rsidRDefault="0007198D" w:rsidP="000C7A5D">
            <w:pPr>
              <w:spacing w:after="0" w:line="240" w:lineRule="auto"/>
              <w:rPr>
                <w:rFonts w:ascii="Arial" w:hAnsi="Arial" w:cs="Arial"/>
                <w:b/>
                <w:sz w:val="20"/>
                <w:szCs w:val="20"/>
              </w:rPr>
            </w:pPr>
          </w:p>
        </w:tc>
        <w:tc>
          <w:tcPr>
            <w:tcW w:w="3384" w:type="dxa"/>
            <w:shd w:val="clear" w:color="auto" w:fill="auto"/>
          </w:tcPr>
          <w:p w14:paraId="47D4C2B6"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b/>
                <w:sz w:val="20"/>
                <w:szCs w:val="20"/>
              </w:rPr>
              <w:t>Units:</w:t>
            </w:r>
            <w:r w:rsidRPr="00531366">
              <w:rPr>
                <w:rFonts w:ascii="Arial" w:hAnsi="Arial" w:cs="Arial"/>
                <w:sz w:val="20"/>
                <w:szCs w:val="20"/>
              </w:rPr>
              <w:t xml:space="preserve"> </w:t>
            </w:r>
            <w:r w:rsidRPr="00531366">
              <w:rPr>
                <w:rFonts w:ascii="Arial" w:hAnsi="Arial" w:cs="Arial"/>
                <w:noProof/>
                <w:sz w:val="20"/>
                <w:szCs w:val="20"/>
              </w:rPr>
              <w:t>100</w:t>
            </w:r>
          </w:p>
        </w:tc>
        <w:tc>
          <w:tcPr>
            <w:tcW w:w="2556" w:type="dxa"/>
            <w:shd w:val="clear" w:color="auto" w:fill="auto"/>
          </w:tcPr>
          <w:p w14:paraId="483EAA71"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b/>
                <w:sz w:val="20"/>
                <w:szCs w:val="20"/>
              </w:rPr>
              <w:t>Text:</w:t>
            </w:r>
            <w:r w:rsidRPr="00531366">
              <w:rPr>
                <w:rFonts w:ascii="Arial" w:hAnsi="Arial" w:cs="Arial"/>
                <w:sz w:val="20"/>
                <w:szCs w:val="20"/>
              </w:rPr>
              <w:t xml:space="preserve"> </w:t>
            </w:r>
            <w:r w:rsidRPr="00531366">
              <w:rPr>
                <w:rFonts w:ascii="Arial" w:hAnsi="Arial" w:cs="Arial"/>
                <w:noProof/>
                <w:sz w:val="20"/>
                <w:szCs w:val="20"/>
              </w:rPr>
              <w:t>Percent</w:t>
            </w:r>
          </w:p>
        </w:tc>
      </w:tr>
      <w:tr w:rsidR="0007198D" w:rsidRPr="00515E1C" w14:paraId="2EBAA7E6" w14:textId="77777777" w:rsidTr="000C7A5D">
        <w:tc>
          <w:tcPr>
            <w:tcW w:w="3618" w:type="dxa"/>
            <w:shd w:val="clear" w:color="auto" w:fill="auto"/>
          </w:tcPr>
          <w:p w14:paraId="31F34F2F"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5E3191FE" w14:textId="77777777" w:rsidR="0007198D" w:rsidRPr="00531366" w:rsidRDefault="0007198D" w:rsidP="000C7A5D">
            <w:pPr>
              <w:spacing w:after="0" w:line="240" w:lineRule="auto"/>
              <w:rPr>
                <w:rFonts w:ascii="Arial" w:hAnsi="Arial" w:cs="Arial"/>
                <w:sz w:val="20"/>
                <w:szCs w:val="20"/>
              </w:rPr>
            </w:pPr>
          </w:p>
        </w:tc>
      </w:tr>
      <w:tr w:rsidR="0007198D" w:rsidRPr="00515E1C" w14:paraId="518E0496" w14:textId="77777777" w:rsidTr="000C7A5D">
        <w:tc>
          <w:tcPr>
            <w:tcW w:w="3618" w:type="dxa"/>
            <w:shd w:val="clear" w:color="auto" w:fill="auto"/>
          </w:tcPr>
          <w:p w14:paraId="49C7E83D"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HEALTHY PEOPLE 2020 OBJECTIVE</w:t>
            </w:r>
          </w:p>
        </w:tc>
        <w:tc>
          <w:tcPr>
            <w:tcW w:w="5940" w:type="dxa"/>
            <w:gridSpan w:val="2"/>
            <w:shd w:val="clear" w:color="auto" w:fill="auto"/>
          </w:tcPr>
          <w:p w14:paraId="5CCE74A1" w14:textId="77777777" w:rsidR="0007198D" w:rsidRDefault="00773411" w:rsidP="000C7A5D">
            <w:pPr>
              <w:spacing w:after="0" w:line="240" w:lineRule="auto"/>
              <w:rPr>
                <w:rFonts w:ascii="Arial" w:hAnsi="Arial" w:cs="Arial"/>
                <w:sz w:val="20"/>
                <w:szCs w:val="20"/>
              </w:rPr>
            </w:pPr>
            <w:r>
              <w:rPr>
                <w:rFonts w:ascii="Arial" w:hAnsi="Arial" w:cs="Arial"/>
                <w:sz w:val="20"/>
                <w:szCs w:val="20"/>
              </w:rPr>
              <w:t>Related to Health-Related Quality of Life and Well-being</w:t>
            </w:r>
          </w:p>
          <w:p w14:paraId="17C1ED63" w14:textId="77777777" w:rsidR="00773411" w:rsidRDefault="00773411" w:rsidP="00773411">
            <w:pPr>
              <w:spacing w:after="0" w:line="240" w:lineRule="auto"/>
              <w:rPr>
                <w:rFonts w:ascii="Arial" w:hAnsi="Arial" w:cs="Arial"/>
                <w:sz w:val="20"/>
                <w:szCs w:val="20"/>
              </w:rPr>
            </w:pPr>
            <w:r>
              <w:rPr>
                <w:rFonts w:ascii="Arial" w:hAnsi="Arial" w:cs="Arial"/>
                <w:sz w:val="20"/>
                <w:szCs w:val="20"/>
              </w:rPr>
              <w:t>Objective 1.1: Increase the proportion of adults who self-report good or better physical health</w:t>
            </w:r>
          </w:p>
          <w:p w14:paraId="2AFA01F2" w14:textId="77777777" w:rsidR="00773411" w:rsidRDefault="00773411" w:rsidP="00773411">
            <w:pPr>
              <w:spacing w:after="0" w:line="240" w:lineRule="auto"/>
              <w:rPr>
                <w:rFonts w:ascii="Arial" w:hAnsi="Arial" w:cs="Arial"/>
                <w:sz w:val="20"/>
                <w:szCs w:val="20"/>
              </w:rPr>
            </w:pPr>
            <w:r>
              <w:rPr>
                <w:rFonts w:ascii="Arial" w:hAnsi="Arial" w:cs="Arial"/>
                <w:sz w:val="20"/>
                <w:szCs w:val="20"/>
              </w:rPr>
              <w:t xml:space="preserve">(Baseline: 78.8%.Target: 79.8%) </w:t>
            </w:r>
          </w:p>
          <w:p w14:paraId="3AB77CE5" w14:textId="77777777" w:rsidR="00773411" w:rsidRDefault="00773411" w:rsidP="00773411">
            <w:pPr>
              <w:spacing w:after="0" w:line="240" w:lineRule="auto"/>
              <w:rPr>
                <w:rFonts w:ascii="Arial" w:hAnsi="Arial" w:cs="Arial"/>
                <w:sz w:val="20"/>
                <w:szCs w:val="20"/>
              </w:rPr>
            </w:pPr>
            <w:r>
              <w:rPr>
                <w:rFonts w:ascii="Arial" w:hAnsi="Arial" w:cs="Arial"/>
                <w:sz w:val="20"/>
                <w:szCs w:val="20"/>
              </w:rPr>
              <w:t xml:space="preserve">and Objective 1.2: Increase the proportion of adults who self-report good or better mental health </w:t>
            </w:r>
          </w:p>
          <w:p w14:paraId="15254328" w14:textId="3F805E89" w:rsidR="00773411" w:rsidRPr="00531366" w:rsidRDefault="00773411" w:rsidP="00773411">
            <w:pPr>
              <w:spacing w:after="0" w:line="240" w:lineRule="auto"/>
              <w:rPr>
                <w:rFonts w:ascii="Arial" w:hAnsi="Arial" w:cs="Arial"/>
                <w:sz w:val="20"/>
                <w:szCs w:val="20"/>
              </w:rPr>
            </w:pPr>
            <w:r>
              <w:rPr>
                <w:rFonts w:ascii="Arial" w:hAnsi="Arial" w:cs="Arial"/>
                <w:sz w:val="20"/>
                <w:szCs w:val="20"/>
              </w:rPr>
              <w:t>(Baseline: 79.1%.Target: 80.1%)</w:t>
            </w:r>
          </w:p>
        </w:tc>
      </w:tr>
      <w:tr w:rsidR="0007198D" w:rsidRPr="00515E1C" w14:paraId="270C7CAE" w14:textId="77777777" w:rsidTr="000C7A5D">
        <w:tc>
          <w:tcPr>
            <w:tcW w:w="3618" w:type="dxa"/>
            <w:shd w:val="clear" w:color="auto" w:fill="auto"/>
          </w:tcPr>
          <w:p w14:paraId="5052CB07"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1343B1E6" w14:textId="77777777" w:rsidR="0007198D" w:rsidRPr="00531366" w:rsidRDefault="0007198D" w:rsidP="000C7A5D">
            <w:pPr>
              <w:spacing w:after="0" w:line="240" w:lineRule="auto"/>
              <w:rPr>
                <w:rFonts w:ascii="Arial" w:hAnsi="Arial" w:cs="Arial"/>
                <w:sz w:val="20"/>
                <w:szCs w:val="20"/>
              </w:rPr>
            </w:pPr>
          </w:p>
        </w:tc>
      </w:tr>
      <w:tr w:rsidR="0007198D" w:rsidRPr="00515E1C" w14:paraId="72454053" w14:textId="77777777" w:rsidTr="000C7A5D">
        <w:tc>
          <w:tcPr>
            <w:tcW w:w="3618" w:type="dxa"/>
            <w:shd w:val="clear" w:color="auto" w:fill="auto"/>
          </w:tcPr>
          <w:p w14:paraId="2517D490"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DATA SOURCES and DATA ISSUES</w:t>
            </w:r>
          </w:p>
        </w:tc>
        <w:tc>
          <w:tcPr>
            <w:tcW w:w="5940" w:type="dxa"/>
            <w:gridSpan w:val="2"/>
            <w:shd w:val="clear" w:color="auto" w:fill="auto"/>
          </w:tcPr>
          <w:p w14:paraId="1E425861"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noProof/>
                <w:sz w:val="20"/>
                <w:szCs w:val="20"/>
              </w:rPr>
              <w:t>National Survey of Children's Health (NSCH)</w:t>
            </w:r>
          </w:p>
        </w:tc>
      </w:tr>
      <w:tr w:rsidR="0007198D" w:rsidRPr="00515E1C" w14:paraId="28C2AA7A" w14:textId="77777777" w:rsidTr="000C7A5D">
        <w:tc>
          <w:tcPr>
            <w:tcW w:w="3618" w:type="dxa"/>
            <w:shd w:val="clear" w:color="auto" w:fill="auto"/>
          </w:tcPr>
          <w:p w14:paraId="65C1AE1B"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524128AF" w14:textId="77777777" w:rsidR="0007198D" w:rsidRPr="00531366" w:rsidRDefault="0007198D" w:rsidP="000C7A5D">
            <w:pPr>
              <w:spacing w:after="0" w:line="240" w:lineRule="auto"/>
              <w:rPr>
                <w:rFonts w:ascii="Arial" w:hAnsi="Arial" w:cs="Arial"/>
                <w:sz w:val="20"/>
                <w:szCs w:val="20"/>
              </w:rPr>
            </w:pPr>
          </w:p>
        </w:tc>
      </w:tr>
      <w:tr w:rsidR="0007198D" w:rsidRPr="00515E1C" w14:paraId="67FE3654" w14:textId="77777777" w:rsidTr="000C7A5D">
        <w:tc>
          <w:tcPr>
            <w:tcW w:w="3618" w:type="dxa"/>
            <w:shd w:val="clear" w:color="auto" w:fill="auto"/>
          </w:tcPr>
          <w:p w14:paraId="4F12C92F"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SIGNIFICANCE</w:t>
            </w:r>
          </w:p>
        </w:tc>
        <w:tc>
          <w:tcPr>
            <w:tcW w:w="5940" w:type="dxa"/>
            <w:gridSpan w:val="2"/>
            <w:shd w:val="clear" w:color="auto" w:fill="auto"/>
          </w:tcPr>
          <w:p w14:paraId="1EBCF920" w14:textId="77777777" w:rsidR="0007198D" w:rsidRDefault="0007198D" w:rsidP="000C7A5D">
            <w:pPr>
              <w:spacing w:after="0" w:line="240" w:lineRule="auto"/>
              <w:rPr>
                <w:rFonts w:ascii="Arial" w:hAnsi="Arial" w:cs="Arial"/>
                <w:noProof/>
                <w:sz w:val="20"/>
                <w:szCs w:val="20"/>
              </w:rPr>
            </w:pPr>
            <w:r w:rsidRPr="00531366">
              <w:rPr>
                <w:rFonts w:ascii="Arial" w:hAnsi="Arial" w:cs="Arial"/>
                <w:noProof/>
                <w:sz w:val="20"/>
                <w:szCs w:val="20"/>
              </w:rPr>
              <w:t>Overall health status for children provides a global, summary measure of children’s health and well-being.  Children reported to be in excellent or very good health are more likely to thrive in a variety of health dimensions, including physical and mental health.</w:t>
            </w:r>
            <w:r>
              <w:rPr>
                <w:rFonts w:ascii="Arial" w:hAnsi="Arial" w:cs="Arial"/>
                <w:noProof/>
                <w:sz w:val="20"/>
                <w:szCs w:val="20"/>
              </w:rPr>
              <w:t xml:space="preserve">  Self or proxy-reported health status is an indicator of health-related quality of life that is often more predictive of morbidity and mortality than objective measures of health.</w:t>
            </w:r>
          </w:p>
          <w:p w14:paraId="52AE0D6D" w14:textId="77777777" w:rsidR="0007198D" w:rsidRDefault="0007198D" w:rsidP="000C7A5D">
            <w:pPr>
              <w:spacing w:after="0" w:line="240" w:lineRule="auto"/>
              <w:rPr>
                <w:rFonts w:ascii="Arial" w:hAnsi="Arial" w:cs="Arial"/>
                <w:noProof/>
                <w:sz w:val="20"/>
                <w:szCs w:val="20"/>
              </w:rPr>
            </w:pPr>
          </w:p>
          <w:p w14:paraId="7A45EF67" w14:textId="77777777" w:rsidR="0007198D" w:rsidRPr="00531366" w:rsidRDefault="0007198D" w:rsidP="000C7A5D">
            <w:pPr>
              <w:spacing w:after="0" w:line="240" w:lineRule="auto"/>
              <w:rPr>
                <w:rFonts w:ascii="Arial" w:hAnsi="Arial" w:cs="Arial"/>
                <w:sz w:val="20"/>
                <w:szCs w:val="20"/>
              </w:rPr>
            </w:pPr>
            <w:r>
              <w:rPr>
                <w:rFonts w:ascii="Arial" w:hAnsi="Arial" w:cs="Arial"/>
                <w:noProof/>
                <w:sz w:val="20"/>
                <w:szCs w:val="20"/>
              </w:rPr>
              <w:t xml:space="preserve">Centers for Disease Control and Prevention.  Health-Related Quality of Life.  </w:t>
            </w:r>
            <w:hyperlink r:id="rId112" w:history="1">
              <w:r w:rsidRPr="00057ED2">
                <w:rPr>
                  <w:rStyle w:val="Hyperlink"/>
                  <w:rFonts w:ascii="Arial" w:hAnsi="Arial" w:cs="Arial"/>
                  <w:noProof/>
                  <w:sz w:val="20"/>
                  <w:szCs w:val="20"/>
                </w:rPr>
                <w:t>https://www.cdc.gov/hrqol/concept.htm</w:t>
              </w:r>
            </w:hyperlink>
            <w:r>
              <w:rPr>
                <w:rFonts w:ascii="Arial" w:hAnsi="Arial" w:cs="Arial"/>
                <w:noProof/>
                <w:sz w:val="20"/>
                <w:szCs w:val="20"/>
              </w:rPr>
              <w:t xml:space="preserve"> </w:t>
            </w:r>
          </w:p>
        </w:tc>
      </w:tr>
      <w:tr w:rsidR="0007198D" w:rsidRPr="00515E1C" w14:paraId="30A0C958" w14:textId="77777777" w:rsidTr="000C7A5D">
        <w:tc>
          <w:tcPr>
            <w:tcW w:w="3618" w:type="dxa"/>
            <w:shd w:val="clear" w:color="auto" w:fill="auto"/>
          </w:tcPr>
          <w:p w14:paraId="1E7734B8" w14:textId="77777777" w:rsidR="0007198D" w:rsidRPr="00531366" w:rsidRDefault="0007198D" w:rsidP="000C7A5D">
            <w:pPr>
              <w:spacing w:after="0" w:line="240" w:lineRule="auto"/>
              <w:rPr>
                <w:rFonts w:ascii="Arial" w:hAnsi="Arial" w:cs="Arial"/>
                <w:sz w:val="20"/>
                <w:szCs w:val="20"/>
              </w:rPr>
            </w:pPr>
          </w:p>
        </w:tc>
        <w:tc>
          <w:tcPr>
            <w:tcW w:w="5940" w:type="dxa"/>
            <w:gridSpan w:val="2"/>
            <w:shd w:val="clear" w:color="auto" w:fill="auto"/>
          </w:tcPr>
          <w:p w14:paraId="5E2E4884" w14:textId="77777777" w:rsidR="0007198D" w:rsidRPr="00531366" w:rsidRDefault="0007198D" w:rsidP="000C7A5D">
            <w:pPr>
              <w:spacing w:after="0" w:line="240" w:lineRule="auto"/>
              <w:rPr>
                <w:rFonts w:ascii="Arial" w:hAnsi="Arial" w:cs="Arial"/>
                <w:sz w:val="20"/>
                <w:szCs w:val="20"/>
              </w:rPr>
            </w:pPr>
          </w:p>
        </w:tc>
      </w:tr>
    </w:tbl>
    <w:p w14:paraId="23590332" w14:textId="77777777" w:rsidR="0007198D" w:rsidRDefault="0007198D" w:rsidP="0007198D">
      <w:pPr>
        <w:spacing w:after="0" w:line="240" w:lineRule="auto"/>
      </w:pPr>
    </w:p>
    <w:p w14:paraId="28DC60EB" w14:textId="77777777" w:rsidR="0007198D" w:rsidRDefault="0007198D" w:rsidP="0007198D">
      <w:pPr>
        <w:spacing w:after="0" w:line="240" w:lineRule="auto"/>
      </w:pPr>
      <w:r>
        <w:br w:type="page"/>
      </w:r>
    </w:p>
    <w:tbl>
      <w:tblPr>
        <w:tblW w:w="0" w:type="auto"/>
        <w:tblLook w:val="04A0" w:firstRow="1" w:lastRow="0" w:firstColumn="1" w:lastColumn="0" w:noHBand="0" w:noVBand="1"/>
      </w:tblPr>
      <w:tblGrid>
        <w:gridCol w:w="3618"/>
        <w:gridCol w:w="5868"/>
      </w:tblGrid>
      <w:tr w:rsidR="0007198D" w:rsidRPr="003F48A1" w14:paraId="76FC487F" w14:textId="77777777" w:rsidTr="000C7A5D">
        <w:tc>
          <w:tcPr>
            <w:tcW w:w="3618" w:type="dxa"/>
            <w:shd w:val="clear" w:color="auto" w:fill="auto"/>
          </w:tcPr>
          <w:p w14:paraId="297EE35A" w14:textId="77777777" w:rsidR="0007198D" w:rsidRPr="00531366" w:rsidRDefault="0007198D" w:rsidP="000C7A5D">
            <w:pPr>
              <w:spacing w:after="0" w:line="240" w:lineRule="auto"/>
              <w:rPr>
                <w:rFonts w:ascii="Arial" w:hAnsi="Arial" w:cs="Arial"/>
                <w:b/>
                <w:sz w:val="24"/>
                <w:szCs w:val="24"/>
              </w:rPr>
            </w:pPr>
            <w:r w:rsidRPr="00531366">
              <w:rPr>
                <w:rFonts w:ascii="Arial" w:hAnsi="Arial" w:cs="Arial"/>
                <w:b/>
                <w:sz w:val="24"/>
                <w:szCs w:val="24"/>
              </w:rPr>
              <w:t xml:space="preserve">OUTCOME MEASURE </w:t>
            </w:r>
            <w:r>
              <w:rPr>
                <w:rFonts w:ascii="Arial" w:hAnsi="Arial" w:cs="Arial"/>
                <w:b/>
                <w:noProof/>
                <w:sz w:val="24"/>
                <w:szCs w:val="24"/>
              </w:rPr>
              <w:t>20</w:t>
            </w:r>
          </w:p>
        </w:tc>
        <w:tc>
          <w:tcPr>
            <w:tcW w:w="5868" w:type="dxa"/>
            <w:shd w:val="clear" w:color="auto" w:fill="auto"/>
          </w:tcPr>
          <w:p w14:paraId="03E4AE38" w14:textId="187F0B3D" w:rsidR="0007198D" w:rsidRPr="00531366" w:rsidRDefault="0007198D" w:rsidP="00B50B20">
            <w:pPr>
              <w:spacing w:after="0" w:line="240" w:lineRule="auto"/>
              <w:rPr>
                <w:rFonts w:ascii="Arial" w:hAnsi="Arial" w:cs="Arial"/>
                <w:b/>
                <w:sz w:val="24"/>
                <w:szCs w:val="24"/>
              </w:rPr>
            </w:pPr>
            <w:r w:rsidRPr="00531366">
              <w:rPr>
                <w:rFonts w:ascii="Arial" w:hAnsi="Arial" w:cs="Arial"/>
                <w:b/>
                <w:noProof/>
                <w:sz w:val="24"/>
                <w:szCs w:val="24"/>
              </w:rPr>
              <w:t>Percent of children</w:t>
            </w:r>
            <w:r w:rsidR="00B50B20">
              <w:rPr>
                <w:rFonts w:ascii="Arial" w:hAnsi="Arial" w:cs="Arial"/>
                <w:b/>
                <w:noProof/>
                <w:sz w:val="24"/>
                <w:szCs w:val="24"/>
              </w:rPr>
              <w:t xml:space="preserve">, ages 2 through 4, </w:t>
            </w:r>
            <w:r w:rsidRPr="00531366">
              <w:rPr>
                <w:rFonts w:ascii="Arial" w:hAnsi="Arial" w:cs="Arial"/>
                <w:b/>
                <w:noProof/>
                <w:sz w:val="24"/>
                <w:szCs w:val="24"/>
              </w:rPr>
              <w:t>and adolescents</w:t>
            </w:r>
            <w:r w:rsidR="00B50B20">
              <w:rPr>
                <w:rFonts w:ascii="Arial" w:hAnsi="Arial" w:cs="Arial"/>
                <w:b/>
                <w:noProof/>
                <w:sz w:val="24"/>
                <w:szCs w:val="24"/>
              </w:rPr>
              <w:t xml:space="preserve">, ages 10 through 17, </w:t>
            </w:r>
            <w:r w:rsidRPr="00531366">
              <w:rPr>
                <w:rFonts w:ascii="Arial" w:hAnsi="Arial" w:cs="Arial"/>
                <w:b/>
                <w:noProof/>
                <w:sz w:val="24"/>
                <w:szCs w:val="24"/>
              </w:rPr>
              <w:t xml:space="preserve">who are obese (BMI at or above the </w:t>
            </w:r>
            <w:r>
              <w:rPr>
                <w:rFonts w:ascii="Arial" w:hAnsi="Arial" w:cs="Arial"/>
                <w:b/>
                <w:noProof/>
                <w:sz w:val="24"/>
                <w:szCs w:val="24"/>
              </w:rPr>
              <w:t>9</w:t>
            </w:r>
            <w:r w:rsidRPr="00531366">
              <w:rPr>
                <w:rFonts w:ascii="Arial" w:hAnsi="Arial" w:cs="Arial"/>
                <w:b/>
                <w:noProof/>
                <w:sz w:val="24"/>
                <w:szCs w:val="24"/>
              </w:rPr>
              <w:t>5th percentile)</w:t>
            </w:r>
          </w:p>
        </w:tc>
      </w:tr>
    </w:tbl>
    <w:p w14:paraId="47762C25" w14:textId="77777777" w:rsidR="0007198D" w:rsidRDefault="0007198D" w:rsidP="0007198D">
      <w:pPr>
        <w:spacing w:after="0" w:line="240" w:lineRule="auto"/>
      </w:pPr>
    </w:p>
    <w:p w14:paraId="1B885299" w14:textId="77777777" w:rsidR="0007198D" w:rsidRDefault="0007198D" w:rsidP="0007198D">
      <w:pPr>
        <w:spacing w:after="0" w:line="240" w:lineRule="auto"/>
      </w:pPr>
      <w:r>
        <w:rPr>
          <w:noProof/>
        </w:rPr>
        <mc:AlternateContent>
          <mc:Choice Requires="wps">
            <w:drawing>
              <wp:anchor distT="4294967295" distB="4294967295" distL="114300" distR="114300" simplePos="0" relativeHeight="251779072" behindDoc="0" locked="0" layoutInCell="1" allowOverlap="1" wp14:anchorId="11FADD59" wp14:editId="600A647D">
                <wp:simplePos x="0" y="0"/>
                <wp:positionH relativeFrom="column">
                  <wp:posOffset>-60960</wp:posOffset>
                </wp:positionH>
                <wp:positionV relativeFrom="paragraph">
                  <wp:posOffset>31749</wp:posOffset>
                </wp:positionV>
                <wp:extent cx="6088380" cy="0"/>
                <wp:effectExtent l="0" t="0" r="2667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9933807" id="Straight Connector 21" o:spid="_x0000_s1026" style="position:absolute;z-index:251779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" strokecolor="windowText" strokeweight="1.75pt">
                <o:lock v:ext="edit" shapetype="f"/>
              </v:line>
            </w:pict>
          </mc:Fallback>
        </mc:AlternateContent>
      </w:r>
    </w:p>
    <w:tbl>
      <w:tblPr>
        <w:tblW w:w="0" w:type="auto"/>
        <w:tblLook w:val="04A0" w:firstRow="1" w:lastRow="0" w:firstColumn="1" w:lastColumn="0" w:noHBand="0" w:noVBand="1"/>
      </w:tblPr>
      <w:tblGrid>
        <w:gridCol w:w="3618"/>
        <w:gridCol w:w="3384"/>
        <w:gridCol w:w="2556"/>
      </w:tblGrid>
      <w:tr w:rsidR="0007198D" w:rsidRPr="00515E1C" w14:paraId="73C1FA43" w14:textId="77777777" w:rsidTr="000C7A5D">
        <w:tc>
          <w:tcPr>
            <w:tcW w:w="3618" w:type="dxa"/>
            <w:shd w:val="clear" w:color="auto" w:fill="auto"/>
          </w:tcPr>
          <w:p w14:paraId="57D5722D"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GOAL</w:t>
            </w:r>
          </w:p>
        </w:tc>
        <w:tc>
          <w:tcPr>
            <w:tcW w:w="5940" w:type="dxa"/>
            <w:gridSpan w:val="2"/>
            <w:shd w:val="clear" w:color="auto" w:fill="auto"/>
          </w:tcPr>
          <w:p w14:paraId="328A03D6" w14:textId="2B32D5D8" w:rsidR="0007198D" w:rsidRPr="00531366" w:rsidRDefault="0007198D" w:rsidP="00FB0985">
            <w:pPr>
              <w:spacing w:after="0" w:line="240" w:lineRule="auto"/>
              <w:rPr>
                <w:rFonts w:ascii="Arial" w:hAnsi="Arial" w:cs="Arial"/>
                <w:sz w:val="20"/>
                <w:szCs w:val="20"/>
              </w:rPr>
            </w:pPr>
            <w:r w:rsidRPr="00531366">
              <w:rPr>
                <w:rFonts w:ascii="Arial" w:hAnsi="Arial" w:cs="Arial"/>
                <w:noProof/>
                <w:sz w:val="20"/>
                <w:szCs w:val="20"/>
              </w:rPr>
              <w:t>To reduce the p</w:t>
            </w:r>
            <w:r w:rsidR="00FB0985">
              <w:rPr>
                <w:rFonts w:ascii="Arial" w:hAnsi="Arial" w:cs="Arial"/>
                <w:noProof/>
                <w:sz w:val="20"/>
                <w:szCs w:val="20"/>
              </w:rPr>
              <w:t>ercent</w:t>
            </w:r>
            <w:r w:rsidRPr="00531366">
              <w:rPr>
                <w:rFonts w:ascii="Arial" w:hAnsi="Arial" w:cs="Arial"/>
                <w:noProof/>
                <w:sz w:val="20"/>
                <w:szCs w:val="20"/>
              </w:rPr>
              <w:t xml:space="preserve"> of children and adolescents who are considered obese.</w:t>
            </w:r>
          </w:p>
        </w:tc>
      </w:tr>
      <w:tr w:rsidR="0007198D" w:rsidRPr="00515E1C" w14:paraId="59B6C9F3" w14:textId="77777777" w:rsidTr="000C7A5D">
        <w:tc>
          <w:tcPr>
            <w:tcW w:w="3618" w:type="dxa"/>
            <w:shd w:val="clear" w:color="auto" w:fill="auto"/>
          </w:tcPr>
          <w:p w14:paraId="73AACE27"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7AB3AB12" w14:textId="77777777" w:rsidR="0007198D" w:rsidRPr="00531366" w:rsidRDefault="0007198D" w:rsidP="000C7A5D">
            <w:pPr>
              <w:spacing w:after="0" w:line="240" w:lineRule="auto"/>
              <w:rPr>
                <w:rFonts w:ascii="Arial" w:hAnsi="Arial" w:cs="Arial"/>
                <w:sz w:val="20"/>
                <w:szCs w:val="20"/>
              </w:rPr>
            </w:pPr>
          </w:p>
        </w:tc>
      </w:tr>
      <w:tr w:rsidR="0007198D" w:rsidRPr="00515E1C" w14:paraId="497B991D" w14:textId="77777777" w:rsidTr="000C7A5D">
        <w:tc>
          <w:tcPr>
            <w:tcW w:w="3618" w:type="dxa"/>
            <w:shd w:val="clear" w:color="auto" w:fill="auto"/>
          </w:tcPr>
          <w:p w14:paraId="546E4538"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DEFINITION</w:t>
            </w:r>
          </w:p>
        </w:tc>
        <w:tc>
          <w:tcPr>
            <w:tcW w:w="5940" w:type="dxa"/>
            <w:gridSpan w:val="2"/>
            <w:shd w:val="clear" w:color="auto" w:fill="auto"/>
          </w:tcPr>
          <w:p w14:paraId="25625C4C"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Numerator:</w:t>
            </w:r>
          </w:p>
        </w:tc>
      </w:tr>
      <w:tr w:rsidR="0007198D" w:rsidRPr="00515E1C" w14:paraId="6D5D4EDD" w14:textId="77777777" w:rsidTr="000C7A5D">
        <w:tc>
          <w:tcPr>
            <w:tcW w:w="3618" w:type="dxa"/>
            <w:shd w:val="clear" w:color="auto" w:fill="auto"/>
          </w:tcPr>
          <w:p w14:paraId="25ADCEA5"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17DD5301" w14:textId="77777777" w:rsidR="0007198D" w:rsidRDefault="0007198D" w:rsidP="000C7A5D">
            <w:pPr>
              <w:spacing w:after="0" w:line="240" w:lineRule="auto"/>
              <w:rPr>
                <w:rFonts w:ascii="Arial" w:hAnsi="Arial" w:cs="Arial"/>
                <w:bCs/>
                <w:sz w:val="20"/>
                <w:szCs w:val="20"/>
              </w:rPr>
            </w:pPr>
            <w:r>
              <w:rPr>
                <w:rFonts w:ascii="Arial" w:hAnsi="Arial" w:cs="Arial"/>
                <w:sz w:val="20"/>
                <w:szCs w:val="20"/>
              </w:rPr>
              <w:t xml:space="preserve">Number of children </w:t>
            </w:r>
            <w:r>
              <w:rPr>
                <w:rFonts w:ascii="Arial" w:hAnsi="Arial" w:cs="Arial"/>
                <w:bCs/>
                <w:sz w:val="20"/>
                <w:szCs w:val="20"/>
              </w:rPr>
              <w:t>ages 2 through 4 who are obese (WIC)</w:t>
            </w:r>
          </w:p>
          <w:p w14:paraId="20C616A5" w14:textId="77777777" w:rsidR="0007198D" w:rsidRDefault="0007198D" w:rsidP="000C7A5D">
            <w:pPr>
              <w:spacing w:after="0" w:line="240" w:lineRule="auto"/>
              <w:rPr>
                <w:rFonts w:ascii="Arial" w:hAnsi="Arial" w:cs="Arial"/>
                <w:sz w:val="20"/>
                <w:szCs w:val="20"/>
              </w:rPr>
            </w:pPr>
            <w:r>
              <w:rPr>
                <w:rFonts w:ascii="Arial" w:hAnsi="Arial" w:cs="Arial"/>
                <w:bCs/>
                <w:sz w:val="20"/>
                <w:szCs w:val="20"/>
              </w:rPr>
              <w:t xml:space="preserve">Number of adolescents ages 10 through 17 </w:t>
            </w:r>
            <w:r>
              <w:rPr>
                <w:rFonts w:ascii="Arial" w:hAnsi="Arial" w:cs="Arial"/>
                <w:sz w:val="20"/>
                <w:szCs w:val="20"/>
              </w:rPr>
              <w:t>who are obese (NSCH)</w:t>
            </w:r>
          </w:p>
          <w:p w14:paraId="6A5F8424" w14:textId="77777777" w:rsidR="0007198D" w:rsidRPr="00531366" w:rsidRDefault="0007198D" w:rsidP="000C7A5D">
            <w:pPr>
              <w:spacing w:after="0" w:line="240" w:lineRule="auto"/>
              <w:rPr>
                <w:rFonts w:ascii="Arial" w:hAnsi="Arial" w:cs="Arial"/>
                <w:sz w:val="20"/>
                <w:szCs w:val="20"/>
              </w:rPr>
            </w:pPr>
            <w:r>
              <w:rPr>
                <w:rFonts w:ascii="Arial" w:hAnsi="Arial" w:cs="Arial"/>
                <w:sz w:val="20"/>
                <w:szCs w:val="20"/>
              </w:rPr>
              <w:t>Number of adolescents in grades 9 through 12 who are obese (YRBSS)</w:t>
            </w:r>
          </w:p>
        </w:tc>
      </w:tr>
      <w:tr w:rsidR="0007198D" w:rsidRPr="00515E1C" w14:paraId="12AB8DB2" w14:textId="77777777" w:rsidTr="000C7A5D">
        <w:tc>
          <w:tcPr>
            <w:tcW w:w="3618" w:type="dxa"/>
            <w:shd w:val="clear" w:color="auto" w:fill="auto"/>
          </w:tcPr>
          <w:p w14:paraId="2FA762CE"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43864FAE" w14:textId="77777777" w:rsidR="0007198D" w:rsidRPr="00531366" w:rsidRDefault="0007198D" w:rsidP="000C7A5D">
            <w:pPr>
              <w:spacing w:after="0" w:line="240" w:lineRule="auto"/>
              <w:rPr>
                <w:rFonts w:ascii="Arial" w:hAnsi="Arial" w:cs="Arial"/>
                <w:sz w:val="20"/>
                <w:szCs w:val="20"/>
              </w:rPr>
            </w:pPr>
          </w:p>
        </w:tc>
      </w:tr>
      <w:tr w:rsidR="0007198D" w:rsidRPr="00515E1C" w14:paraId="273FC22E" w14:textId="77777777" w:rsidTr="000C7A5D">
        <w:tc>
          <w:tcPr>
            <w:tcW w:w="3618" w:type="dxa"/>
            <w:shd w:val="clear" w:color="auto" w:fill="auto"/>
          </w:tcPr>
          <w:p w14:paraId="5A67A414"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550E78DE"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Denominator:</w:t>
            </w:r>
          </w:p>
        </w:tc>
      </w:tr>
      <w:tr w:rsidR="0007198D" w:rsidRPr="00515E1C" w14:paraId="61A27821" w14:textId="77777777" w:rsidTr="000C7A5D">
        <w:tc>
          <w:tcPr>
            <w:tcW w:w="3618" w:type="dxa"/>
            <w:shd w:val="clear" w:color="auto" w:fill="auto"/>
          </w:tcPr>
          <w:p w14:paraId="540916E8"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7BC0A4F5" w14:textId="77777777" w:rsidR="0007198D" w:rsidRDefault="0007198D" w:rsidP="000C7A5D">
            <w:pPr>
              <w:spacing w:after="0" w:line="240" w:lineRule="auto"/>
              <w:rPr>
                <w:rFonts w:ascii="Arial" w:hAnsi="Arial" w:cs="Arial"/>
                <w:bCs/>
                <w:sz w:val="20"/>
                <w:szCs w:val="20"/>
              </w:rPr>
            </w:pPr>
            <w:r>
              <w:rPr>
                <w:rFonts w:ascii="Arial" w:hAnsi="Arial" w:cs="Arial"/>
                <w:sz w:val="20"/>
                <w:szCs w:val="20"/>
              </w:rPr>
              <w:t xml:space="preserve">Number of children </w:t>
            </w:r>
            <w:r>
              <w:rPr>
                <w:rFonts w:ascii="Arial" w:hAnsi="Arial" w:cs="Arial"/>
                <w:bCs/>
                <w:sz w:val="20"/>
                <w:szCs w:val="20"/>
              </w:rPr>
              <w:t xml:space="preserve">ages 2 through 4 (WIC) </w:t>
            </w:r>
          </w:p>
          <w:p w14:paraId="288553AD" w14:textId="77777777" w:rsidR="0007198D" w:rsidRDefault="0007198D" w:rsidP="000C7A5D">
            <w:pPr>
              <w:spacing w:after="0" w:line="240" w:lineRule="auto"/>
              <w:rPr>
                <w:rFonts w:ascii="Arial" w:hAnsi="Arial" w:cs="Arial"/>
                <w:bCs/>
                <w:sz w:val="20"/>
                <w:szCs w:val="20"/>
              </w:rPr>
            </w:pPr>
            <w:r>
              <w:rPr>
                <w:rFonts w:ascii="Arial" w:hAnsi="Arial" w:cs="Arial"/>
                <w:bCs/>
                <w:sz w:val="20"/>
                <w:szCs w:val="20"/>
              </w:rPr>
              <w:t>Number of adolescents ages 10 through 17 (NSCH)</w:t>
            </w:r>
          </w:p>
          <w:p w14:paraId="1DE7D350" w14:textId="77777777" w:rsidR="0007198D" w:rsidRPr="00531366" w:rsidRDefault="0007198D" w:rsidP="000C7A5D">
            <w:pPr>
              <w:spacing w:after="0" w:line="240" w:lineRule="auto"/>
              <w:rPr>
                <w:rFonts w:ascii="Arial" w:hAnsi="Arial" w:cs="Arial"/>
                <w:sz w:val="20"/>
                <w:szCs w:val="20"/>
              </w:rPr>
            </w:pPr>
            <w:r>
              <w:rPr>
                <w:rFonts w:ascii="Arial" w:hAnsi="Arial" w:cs="Arial"/>
                <w:bCs/>
                <w:sz w:val="20"/>
                <w:szCs w:val="20"/>
              </w:rPr>
              <w:t>Number of adolescents in grades 9 through 12 (YRBSS)</w:t>
            </w:r>
          </w:p>
        </w:tc>
      </w:tr>
      <w:tr w:rsidR="0007198D" w:rsidRPr="00515E1C" w14:paraId="4C270980" w14:textId="77777777" w:rsidTr="000C7A5D">
        <w:tc>
          <w:tcPr>
            <w:tcW w:w="3618" w:type="dxa"/>
            <w:shd w:val="clear" w:color="auto" w:fill="auto"/>
          </w:tcPr>
          <w:p w14:paraId="30E7828D"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3C8818AA" w14:textId="77777777" w:rsidR="0007198D" w:rsidRPr="00531366" w:rsidRDefault="0007198D" w:rsidP="000C7A5D">
            <w:pPr>
              <w:spacing w:after="0" w:line="240" w:lineRule="auto"/>
              <w:rPr>
                <w:rFonts w:ascii="Arial" w:hAnsi="Arial" w:cs="Arial"/>
                <w:sz w:val="20"/>
                <w:szCs w:val="20"/>
              </w:rPr>
            </w:pPr>
          </w:p>
        </w:tc>
      </w:tr>
      <w:tr w:rsidR="0007198D" w:rsidRPr="00515E1C" w14:paraId="5FE7C746" w14:textId="77777777" w:rsidTr="000C7A5D">
        <w:tc>
          <w:tcPr>
            <w:tcW w:w="3618" w:type="dxa"/>
            <w:shd w:val="clear" w:color="auto" w:fill="auto"/>
          </w:tcPr>
          <w:p w14:paraId="10A441E1" w14:textId="77777777" w:rsidR="0007198D" w:rsidRPr="00531366" w:rsidRDefault="0007198D" w:rsidP="000C7A5D">
            <w:pPr>
              <w:spacing w:after="0" w:line="240" w:lineRule="auto"/>
              <w:rPr>
                <w:rFonts w:ascii="Arial" w:hAnsi="Arial" w:cs="Arial"/>
                <w:b/>
                <w:sz w:val="20"/>
                <w:szCs w:val="20"/>
              </w:rPr>
            </w:pPr>
          </w:p>
        </w:tc>
        <w:tc>
          <w:tcPr>
            <w:tcW w:w="3384" w:type="dxa"/>
            <w:shd w:val="clear" w:color="auto" w:fill="auto"/>
          </w:tcPr>
          <w:p w14:paraId="08800811"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b/>
                <w:sz w:val="20"/>
                <w:szCs w:val="20"/>
              </w:rPr>
              <w:t>Units:</w:t>
            </w:r>
            <w:r w:rsidRPr="00531366">
              <w:rPr>
                <w:rFonts w:ascii="Arial" w:hAnsi="Arial" w:cs="Arial"/>
                <w:sz w:val="20"/>
                <w:szCs w:val="20"/>
              </w:rPr>
              <w:t xml:space="preserve"> </w:t>
            </w:r>
            <w:r w:rsidRPr="00531366">
              <w:rPr>
                <w:rFonts w:ascii="Arial" w:hAnsi="Arial" w:cs="Arial"/>
                <w:noProof/>
                <w:sz w:val="20"/>
                <w:szCs w:val="20"/>
              </w:rPr>
              <w:t>100</w:t>
            </w:r>
          </w:p>
        </w:tc>
        <w:tc>
          <w:tcPr>
            <w:tcW w:w="2556" w:type="dxa"/>
            <w:shd w:val="clear" w:color="auto" w:fill="auto"/>
          </w:tcPr>
          <w:p w14:paraId="32C237E9"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b/>
                <w:sz w:val="20"/>
                <w:szCs w:val="20"/>
              </w:rPr>
              <w:t>Text:</w:t>
            </w:r>
            <w:r w:rsidRPr="00531366">
              <w:rPr>
                <w:rFonts w:ascii="Arial" w:hAnsi="Arial" w:cs="Arial"/>
                <w:sz w:val="20"/>
                <w:szCs w:val="20"/>
              </w:rPr>
              <w:t xml:space="preserve"> </w:t>
            </w:r>
            <w:r w:rsidRPr="00531366">
              <w:rPr>
                <w:rFonts w:ascii="Arial" w:hAnsi="Arial" w:cs="Arial"/>
                <w:noProof/>
                <w:sz w:val="20"/>
                <w:szCs w:val="20"/>
              </w:rPr>
              <w:t>Percent</w:t>
            </w:r>
          </w:p>
        </w:tc>
      </w:tr>
      <w:tr w:rsidR="0007198D" w:rsidRPr="00515E1C" w14:paraId="3D816E1C" w14:textId="77777777" w:rsidTr="000C7A5D">
        <w:tc>
          <w:tcPr>
            <w:tcW w:w="3618" w:type="dxa"/>
            <w:shd w:val="clear" w:color="auto" w:fill="auto"/>
          </w:tcPr>
          <w:p w14:paraId="59D4BC44"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514775DD" w14:textId="77777777" w:rsidR="0007198D" w:rsidRPr="00531366" w:rsidRDefault="0007198D" w:rsidP="000C7A5D">
            <w:pPr>
              <w:spacing w:after="0" w:line="240" w:lineRule="auto"/>
              <w:rPr>
                <w:rFonts w:ascii="Arial" w:hAnsi="Arial" w:cs="Arial"/>
                <w:sz w:val="20"/>
                <w:szCs w:val="20"/>
              </w:rPr>
            </w:pPr>
          </w:p>
        </w:tc>
      </w:tr>
      <w:tr w:rsidR="0007198D" w:rsidRPr="00515E1C" w14:paraId="44342C62" w14:textId="77777777" w:rsidTr="000C7A5D">
        <w:tc>
          <w:tcPr>
            <w:tcW w:w="3618" w:type="dxa"/>
            <w:shd w:val="clear" w:color="auto" w:fill="auto"/>
          </w:tcPr>
          <w:p w14:paraId="296A054F"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HEALTHY PEOPLE 2020 OBJECTIVE</w:t>
            </w:r>
          </w:p>
        </w:tc>
        <w:tc>
          <w:tcPr>
            <w:tcW w:w="5940" w:type="dxa"/>
            <w:gridSpan w:val="2"/>
            <w:shd w:val="clear" w:color="auto" w:fill="auto"/>
          </w:tcPr>
          <w:p w14:paraId="635A7912" w14:textId="77777777" w:rsidR="0007198D" w:rsidRPr="00531366" w:rsidRDefault="0007198D" w:rsidP="000C7A5D">
            <w:pPr>
              <w:spacing w:after="0" w:line="240" w:lineRule="auto"/>
              <w:rPr>
                <w:rFonts w:ascii="Arial" w:hAnsi="Arial" w:cs="Arial"/>
                <w:noProof/>
                <w:sz w:val="20"/>
                <w:szCs w:val="20"/>
              </w:rPr>
            </w:pPr>
            <w:r w:rsidRPr="00531366">
              <w:rPr>
                <w:rFonts w:ascii="Arial" w:hAnsi="Arial" w:cs="Arial"/>
                <w:noProof/>
                <w:sz w:val="20"/>
                <w:szCs w:val="20"/>
              </w:rPr>
              <w:t>Related to Nutrition and Weigh</w:t>
            </w:r>
            <w:r>
              <w:rPr>
                <w:rFonts w:ascii="Arial" w:hAnsi="Arial" w:cs="Arial"/>
                <w:noProof/>
                <w:sz w:val="20"/>
                <w:szCs w:val="20"/>
              </w:rPr>
              <w:t>t</w:t>
            </w:r>
            <w:r w:rsidRPr="00531366">
              <w:rPr>
                <w:rFonts w:ascii="Arial" w:hAnsi="Arial" w:cs="Arial"/>
                <w:noProof/>
                <w:sz w:val="20"/>
                <w:szCs w:val="20"/>
              </w:rPr>
              <w:t xml:space="preserve"> Status (NWS) 10.4.  Reduce the proportion of children and adolescents </w:t>
            </w:r>
            <w:r>
              <w:rPr>
                <w:rFonts w:ascii="Arial" w:hAnsi="Arial" w:cs="Arial"/>
                <w:noProof/>
                <w:sz w:val="20"/>
                <w:szCs w:val="20"/>
              </w:rPr>
              <w:t>aged</w:t>
            </w:r>
            <w:r w:rsidRPr="00531366">
              <w:rPr>
                <w:rFonts w:ascii="Arial" w:hAnsi="Arial" w:cs="Arial"/>
                <w:noProof/>
                <w:sz w:val="20"/>
                <w:szCs w:val="20"/>
              </w:rPr>
              <w:t xml:space="preserve"> 2 to 19 years who are considered obese. (Baseline: 16.1% in 2005-2008, Target: 14.5%).</w:t>
            </w:r>
          </w:p>
          <w:p w14:paraId="20E38B6C" w14:textId="77777777" w:rsidR="0007198D" w:rsidRPr="00531366" w:rsidRDefault="0007198D" w:rsidP="000C7A5D">
            <w:pPr>
              <w:spacing w:after="0" w:line="240" w:lineRule="auto"/>
              <w:rPr>
                <w:rFonts w:ascii="Arial" w:hAnsi="Arial" w:cs="Arial"/>
                <w:noProof/>
                <w:sz w:val="20"/>
                <w:szCs w:val="20"/>
              </w:rPr>
            </w:pPr>
          </w:p>
          <w:p w14:paraId="54686694" w14:textId="77777777" w:rsidR="0007198D" w:rsidRPr="00531366" w:rsidRDefault="0007198D" w:rsidP="000C7A5D">
            <w:pPr>
              <w:spacing w:after="0" w:line="240" w:lineRule="auto"/>
              <w:rPr>
                <w:rFonts w:ascii="Arial" w:hAnsi="Arial" w:cs="Arial"/>
                <w:sz w:val="20"/>
                <w:szCs w:val="20"/>
              </w:rPr>
            </w:pPr>
            <w:r w:rsidRPr="00531366">
              <w:rPr>
                <w:rFonts w:ascii="Arial" w:hAnsi="Arial" w:cs="Arial"/>
                <w:noProof/>
                <w:sz w:val="20"/>
                <w:szCs w:val="20"/>
              </w:rPr>
              <w:t>Related to NWS 11.  (Developmental) Prevent inappropriate weight gain in youth and adults.</w:t>
            </w:r>
          </w:p>
        </w:tc>
      </w:tr>
      <w:tr w:rsidR="0007198D" w:rsidRPr="00515E1C" w14:paraId="5972FD44" w14:textId="77777777" w:rsidTr="000C7A5D">
        <w:tc>
          <w:tcPr>
            <w:tcW w:w="3618" w:type="dxa"/>
            <w:shd w:val="clear" w:color="auto" w:fill="auto"/>
          </w:tcPr>
          <w:p w14:paraId="209785AB"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6FEFB155" w14:textId="77777777" w:rsidR="0007198D" w:rsidRPr="00531366" w:rsidRDefault="0007198D" w:rsidP="000C7A5D">
            <w:pPr>
              <w:spacing w:after="0" w:line="240" w:lineRule="auto"/>
              <w:rPr>
                <w:rFonts w:ascii="Arial" w:hAnsi="Arial" w:cs="Arial"/>
                <w:sz w:val="20"/>
                <w:szCs w:val="20"/>
              </w:rPr>
            </w:pPr>
          </w:p>
        </w:tc>
      </w:tr>
      <w:tr w:rsidR="0007198D" w:rsidRPr="00515E1C" w14:paraId="7B3B0571" w14:textId="77777777" w:rsidTr="000C7A5D">
        <w:tc>
          <w:tcPr>
            <w:tcW w:w="3618" w:type="dxa"/>
            <w:shd w:val="clear" w:color="auto" w:fill="auto"/>
          </w:tcPr>
          <w:p w14:paraId="2B6B0F6B"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DATA SOURCES and DATA ISSUES</w:t>
            </w:r>
          </w:p>
        </w:tc>
        <w:tc>
          <w:tcPr>
            <w:tcW w:w="5940" w:type="dxa"/>
            <w:gridSpan w:val="2"/>
            <w:shd w:val="clear" w:color="auto" w:fill="auto"/>
          </w:tcPr>
          <w:p w14:paraId="453B3D0F" w14:textId="77777777" w:rsidR="0007198D" w:rsidRDefault="0007198D" w:rsidP="000C7A5D">
            <w:pPr>
              <w:spacing w:after="0" w:line="240" w:lineRule="auto"/>
              <w:rPr>
                <w:rFonts w:ascii="Arial" w:hAnsi="Arial" w:cs="Arial"/>
                <w:noProof/>
                <w:sz w:val="20"/>
                <w:szCs w:val="20"/>
              </w:rPr>
            </w:pPr>
            <w:r>
              <w:rPr>
                <w:rFonts w:ascii="Arial" w:hAnsi="Arial" w:cs="Arial"/>
                <w:noProof/>
                <w:sz w:val="20"/>
                <w:szCs w:val="20"/>
              </w:rPr>
              <w:t>C</w:t>
            </w:r>
            <w:r w:rsidRPr="00531366">
              <w:rPr>
                <w:rFonts w:ascii="Arial" w:hAnsi="Arial" w:cs="Arial"/>
                <w:noProof/>
                <w:sz w:val="20"/>
                <w:szCs w:val="20"/>
              </w:rPr>
              <w:t>hildren 2</w:t>
            </w:r>
            <w:r>
              <w:rPr>
                <w:rFonts w:ascii="Arial" w:hAnsi="Arial" w:cs="Arial"/>
                <w:noProof/>
                <w:sz w:val="20"/>
                <w:szCs w:val="20"/>
              </w:rPr>
              <w:t xml:space="preserve"> through 4</w:t>
            </w:r>
            <w:r w:rsidRPr="00531366">
              <w:rPr>
                <w:rFonts w:ascii="Arial" w:hAnsi="Arial" w:cs="Arial"/>
                <w:noProof/>
                <w:sz w:val="20"/>
                <w:szCs w:val="20"/>
              </w:rPr>
              <w:t xml:space="preserve"> years</w:t>
            </w:r>
            <w:r>
              <w:rPr>
                <w:rFonts w:ascii="Arial" w:hAnsi="Arial" w:cs="Arial"/>
                <w:noProof/>
                <w:sz w:val="20"/>
                <w:szCs w:val="20"/>
              </w:rPr>
              <w:t xml:space="preserve">: Special Supplemental Nutrition Program for </w:t>
            </w:r>
            <w:r w:rsidRPr="00531366">
              <w:rPr>
                <w:rFonts w:ascii="Arial" w:hAnsi="Arial" w:cs="Arial"/>
                <w:noProof/>
                <w:sz w:val="20"/>
                <w:szCs w:val="20"/>
              </w:rPr>
              <w:t>W</w:t>
            </w:r>
            <w:r>
              <w:rPr>
                <w:rFonts w:ascii="Arial" w:hAnsi="Arial" w:cs="Arial"/>
                <w:noProof/>
                <w:sz w:val="20"/>
                <w:szCs w:val="20"/>
              </w:rPr>
              <w:t xml:space="preserve">omen, </w:t>
            </w:r>
            <w:r w:rsidRPr="00531366">
              <w:rPr>
                <w:rFonts w:ascii="Arial" w:hAnsi="Arial" w:cs="Arial"/>
                <w:noProof/>
                <w:sz w:val="20"/>
                <w:szCs w:val="20"/>
              </w:rPr>
              <w:t>I</w:t>
            </w:r>
            <w:r>
              <w:rPr>
                <w:rFonts w:ascii="Arial" w:hAnsi="Arial" w:cs="Arial"/>
                <w:noProof/>
                <w:sz w:val="20"/>
                <w:szCs w:val="20"/>
              </w:rPr>
              <w:t xml:space="preserve">nfants, and </w:t>
            </w:r>
            <w:r w:rsidRPr="00531366">
              <w:rPr>
                <w:rFonts w:ascii="Arial" w:hAnsi="Arial" w:cs="Arial"/>
                <w:noProof/>
                <w:sz w:val="20"/>
                <w:szCs w:val="20"/>
              </w:rPr>
              <w:t>C</w:t>
            </w:r>
            <w:r>
              <w:rPr>
                <w:rFonts w:ascii="Arial" w:hAnsi="Arial" w:cs="Arial"/>
                <w:noProof/>
                <w:sz w:val="20"/>
                <w:szCs w:val="20"/>
              </w:rPr>
              <w:t>hildren (WIC)</w:t>
            </w:r>
            <w:r w:rsidRPr="00531366">
              <w:rPr>
                <w:rFonts w:ascii="Arial" w:hAnsi="Arial" w:cs="Arial"/>
                <w:noProof/>
                <w:sz w:val="20"/>
                <w:szCs w:val="20"/>
              </w:rPr>
              <w:t xml:space="preserve"> </w:t>
            </w:r>
          </w:p>
          <w:p w14:paraId="0CA24357" w14:textId="77777777" w:rsidR="0007198D" w:rsidRDefault="0007198D" w:rsidP="000C7A5D">
            <w:pPr>
              <w:spacing w:after="0" w:line="240" w:lineRule="auto"/>
              <w:rPr>
                <w:rFonts w:ascii="Arial" w:hAnsi="Arial" w:cs="Arial"/>
                <w:noProof/>
                <w:sz w:val="20"/>
                <w:szCs w:val="20"/>
              </w:rPr>
            </w:pPr>
            <w:r>
              <w:rPr>
                <w:rFonts w:ascii="Arial" w:hAnsi="Arial" w:cs="Arial"/>
                <w:noProof/>
                <w:sz w:val="20"/>
                <w:szCs w:val="20"/>
              </w:rPr>
              <w:t>Adolescents</w:t>
            </w:r>
            <w:r w:rsidRPr="00531366">
              <w:rPr>
                <w:rFonts w:ascii="Arial" w:hAnsi="Arial" w:cs="Arial"/>
                <w:noProof/>
                <w:sz w:val="20"/>
                <w:szCs w:val="20"/>
              </w:rPr>
              <w:t xml:space="preserve"> 10</w:t>
            </w:r>
            <w:r>
              <w:rPr>
                <w:rFonts w:ascii="Arial" w:hAnsi="Arial" w:cs="Arial"/>
                <w:noProof/>
                <w:sz w:val="20"/>
                <w:szCs w:val="20"/>
              </w:rPr>
              <w:t xml:space="preserve"> through </w:t>
            </w:r>
            <w:r w:rsidRPr="00531366">
              <w:rPr>
                <w:rFonts w:ascii="Arial" w:hAnsi="Arial" w:cs="Arial"/>
                <w:noProof/>
                <w:sz w:val="20"/>
                <w:szCs w:val="20"/>
              </w:rPr>
              <w:t>17 years (parent</w:t>
            </w:r>
            <w:r>
              <w:rPr>
                <w:rFonts w:ascii="Arial" w:hAnsi="Arial" w:cs="Arial"/>
                <w:noProof/>
                <w:sz w:val="20"/>
                <w:szCs w:val="20"/>
              </w:rPr>
              <w:t xml:space="preserve"> </w:t>
            </w:r>
            <w:r w:rsidRPr="00531366">
              <w:rPr>
                <w:rFonts w:ascii="Arial" w:hAnsi="Arial" w:cs="Arial"/>
                <w:noProof/>
                <w:sz w:val="20"/>
                <w:szCs w:val="20"/>
              </w:rPr>
              <w:t>report)</w:t>
            </w:r>
            <w:r>
              <w:rPr>
                <w:rFonts w:ascii="Arial" w:hAnsi="Arial" w:cs="Arial"/>
                <w:noProof/>
                <w:sz w:val="20"/>
                <w:szCs w:val="20"/>
              </w:rPr>
              <w:t xml:space="preserve">: </w:t>
            </w:r>
            <w:r w:rsidRPr="00531366">
              <w:rPr>
                <w:rFonts w:ascii="Arial" w:hAnsi="Arial" w:cs="Arial"/>
                <w:noProof/>
                <w:sz w:val="20"/>
                <w:szCs w:val="20"/>
              </w:rPr>
              <w:t>N</w:t>
            </w:r>
            <w:r>
              <w:rPr>
                <w:rFonts w:ascii="Arial" w:hAnsi="Arial" w:cs="Arial"/>
                <w:noProof/>
                <w:sz w:val="20"/>
                <w:szCs w:val="20"/>
              </w:rPr>
              <w:t>ational Survey of Children’s Health (N</w:t>
            </w:r>
            <w:r w:rsidRPr="00531366">
              <w:rPr>
                <w:rFonts w:ascii="Arial" w:hAnsi="Arial" w:cs="Arial"/>
                <w:noProof/>
                <w:sz w:val="20"/>
                <w:szCs w:val="20"/>
              </w:rPr>
              <w:t>SCH</w:t>
            </w:r>
            <w:r>
              <w:rPr>
                <w:rFonts w:ascii="Arial" w:hAnsi="Arial" w:cs="Arial"/>
                <w:noProof/>
                <w:sz w:val="20"/>
                <w:szCs w:val="20"/>
              </w:rPr>
              <w:t>)</w:t>
            </w:r>
            <w:r w:rsidRPr="00531366">
              <w:rPr>
                <w:rFonts w:ascii="Arial" w:hAnsi="Arial" w:cs="Arial"/>
                <w:noProof/>
                <w:sz w:val="20"/>
                <w:szCs w:val="20"/>
              </w:rPr>
              <w:t xml:space="preserve"> </w:t>
            </w:r>
          </w:p>
          <w:p w14:paraId="47FE20BE" w14:textId="77777777" w:rsidR="0007198D" w:rsidRPr="00531366" w:rsidRDefault="0007198D" w:rsidP="000C7A5D">
            <w:pPr>
              <w:spacing w:after="0" w:line="240" w:lineRule="auto"/>
              <w:rPr>
                <w:rFonts w:ascii="Arial" w:hAnsi="Arial" w:cs="Arial"/>
                <w:sz w:val="20"/>
                <w:szCs w:val="20"/>
              </w:rPr>
            </w:pPr>
            <w:r>
              <w:rPr>
                <w:rFonts w:ascii="Arial" w:hAnsi="Arial" w:cs="Arial"/>
                <w:noProof/>
                <w:sz w:val="20"/>
                <w:szCs w:val="20"/>
              </w:rPr>
              <w:t>A</w:t>
            </w:r>
            <w:r w:rsidRPr="00531366">
              <w:rPr>
                <w:rFonts w:ascii="Arial" w:hAnsi="Arial" w:cs="Arial"/>
                <w:noProof/>
                <w:sz w:val="20"/>
                <w:szCs w:val="20"/>
              </w:rPr>
              <w:t>dolescents grades 9</w:t>
            </w:r>
            <w:r>
              <w:rPr>
                <w:rFonts w:ascii="Arial" w:hAnsi="Arial" w:cs="Arial"/>
                <w:noProof/>
                <w:sz w:val="20"/>
                <w:szCs w:val="20"/>
              </w:rPr>
              <w:t xml:space="preserve"> through </w:t>
            </w:r>
            <w:r w:rsidRPr="00531366">
              <w:rPr>
                <w:rFonts w:ascii="Arial" w:hAnsi="Arial" w:cs="Arial"/>
                <w:noProof/>
                <w:sz w:val="20"/>
                <w:szCs w:val="20"/>
              </w:rPr>
              <w:t>12</w:t>
            </w:r>
            <w:r>
              <w:rPr>
                <w:rFonts w:ascii="Arial" w:hAnsi="Arial" w:cs="Arial"/>
                <w:noProof/>
                <w:sz w:val="20"/>
                <w:szCs w:val="20"/>
              </w:rPr>
              <w:t xml:space="preserve"> (adolescent report): Youth Risk Behavior Surveillance System (</w:t>
            </w:r>
            <w:r w:rsidRPr="00531366">
              <w:rPr>
                <w:rFonts w:ascii="Arial" w:hAnsi="Arial" w:cs="Arial"/>
                <w:noProof/>
                <w:sz w:val="20"/>
                <w:szCs w:val="20"/>
              </w:rPr>
              <w:t>YRBSS</w:t>
            </w:r>
            <w:r>
              <w:rPr>
                <w:rFonts w:ascii="Arial" w:hAnsi="Arial" w:cs="Arial"/>
                <w:noProof/>
                <w:sz w:val="20"/>
                <w:szCs w:val="20"/>
              </w:rPr>
              <w:t>)</w:t>
            </w:r>
            <w:r w:rsidRPr="00531366">
              <w:rPr>
                <w:rFonts w:ascii="Arial" w:hAnsi="Arial" w:cs="Arial"/>
                <w:noProof/>
                <w:sz w:val="20"/>
                <w:szCs w:val="20"/>
              </w:rPr>
              <w:t xml:space="preserve">  </w:t>
            </w:r>
          </w:p>
        </w:tc>
      </w:tr>
      <w:tr w:rsidR="0007198D" w:rsidRPr="00515E1C" w14:paraId="062B13F3" w14:textId="77777777" w:rsidTr="000C7A5D">
        <w:tc>
          <w:tcPr>
            <w:tcW w:w="3618" w:type="dxa"/>
            <w:shd w:val="clear" w:color="auto" w:fill="auto"/>
          </w:tcPr>
          <w:p w14:paraId="224CB9E3" w14:textId="77777777" w:rsidR="0007198D" w:rsidRPr="00531366" w:rsidRDefault="0007198D" w:rsidP="000C7A5D">
            <w:pPr>
              <w:spacing w:after="0" w:line="240" w:lineRule="auto"/>
              <w:rPr>
                <w:rFonts w:ascii="Arial" w:hAnsi="Arial" w:cs="Arial"/>
                <w:b/>
                <w:sz w:val="20"/>
                <w:szCs w:val="20"/>
              </w:rPr>
            </w:pPr>
          </w:p>
        </w:tc>
        <w:tc>
          <w:tcPr>
            <w:tcW w:w="5940" w:type="dxa"/>
            <w:gridSpan w:val="2"/>
            <w:shd w:val="clear" w:color="auto" w:fill="auto"/>
          </w:tcPr>
          <w:p w14:paraId="7483FA6D" w14:textId="77777777" w:rsidR="0007198D" w:rsidRPr="00531366" w:rsidRDefault="0007198D" w:rsidP="000C7A5D">
            <w:pPr>
              <w:spacing w:after="0" w:line="240" w:lineRule="auto"/>
              <w:rPr>
                <w:rFonts w:ascii="Arial" w:hAnsi="Arial" w:cs="Arial"/>
                <w:sz w:val="20"/>
                <w:szCs w:val="20"/>
              </w:rPr>
            </w:pPr>
          </w:p>
        </w:tc>
      </w:tr>
      <w:tr w:rsidR="0007198D" w:rsidRPr="00515E1C" w14:paraId="48CCF7AF" w14:textId="77777777" w:rsidTr="000C7A5D">
        <w:tc>
          <w:tcPr>
            <w:tcW w:w="3618" w:type="dxa"/>
            <w:shd w:val="clear" w:color="auto" w:fill="auto"/>
          </w:tcPr>
          <w:p w14:paraId="3DA8F791" w14:textId="77777777" w:rsidR="0007198D" w:rsidRPr="00531366" w:rsidRDefault="0007198D" w:rsidP="000C7A5D">
            <w:pPr>
              <w:spacing w:after="0" w:line="240" w:lineRule="auto"/>
              <w:rPr>
                <w:rFonts w:ascii="Arial" w:hAnsi="Arial" w:cs="Arial"/>
                <w:b/>
                <w:sz w:val="20"/>
                <w:szCs w:val="20"/>
              </w:rPr>
            </w:pPr>
            <w:r w:rsidRPr="00531366">
              <w:rPr>
                <w:rFonts w:ascii="Arial" w:hAnsi="Arial" w:cs="Arial"/>
                <w:b/>
                <w:sz w:val="20"/>
                <w:szCs w:val="20"/>
              </w:rPr>
              <w:t>SIGNIFICANCE</w:t>
            </w:r>
          </w:p>
        </w:tc>
        <w:tc>
          <w:tcPr>
            <w:tcW w:w="5940" w:type="dxa"/>
            <w:gridSpan w:val="2"/>
            <w:shd w:val="clear" w:color="auto" w:fill="auto"/>
          </w:tcPr>
          <w:p w14:paraId="162E488D" w14:textId="77777777" w:rsidR="0007198D" w:rsidRDefault="0007198D" w:rsidP="000C7A5D">
            <w:pPr>
              <w:spacing w:after="0" w:line="240" w:lineRule="auto"/>
              <w:rPr>
                <w:rFonts w:ascii="Arial" w:hAnsi="Arial" w:cs="Arial"/>
                <w:noProof/>
                <w:sz w:val="20"/>
                <w:szCs w:val="20"/>
              </w:rPr>
            </w:pPr>
            <w:r w:rsidRPr="00531366">
              <w:rPr>
                <w:rFonts w:ascii="Arial" w:hAnsi="Arial" w:cs="Arial"/>
                <w:noProof/>
                <w:sz w:val="20"/>
                <w:szCs w:val="20"/>
              </w:rPr>
              <w:t xml:space="preserve">Childhood obesity is a serious health problem in the United States, </w:t>
            </w:r>
            <w:r>
              <w:rPr>
                <w:rFonts w:ascii="Arial" w:hAnsi="Arial" w:cs="Arial"/>
                <w:noProof/>
                <w:sz w:val="20"/>
                <w:szCs w:val="20"/>
              </w:rPr>
              <w:t>that has tripled</w:t>
            </w:r>
            <w:r w:rsidRPr="00531366">
              <w:rPr>
                <w:rFonts w:ascii="Arial" w:hAnsi="Arial" w:cs="Arial"/>
                <w:noProof/>
                <w:sz w:val="20"/>
                <w:szCs w:val="20"/>
              </w:rPr>
              <w:t xml:space="preserve"> </w:t>
            </w:r>
            <w:r>
              <w:rPr>
                <w:rFonts w:ascii="Arial" w:hAnsi="Arial" w:cs="Arial"/>
                <w:noProof/>
                <w:sz w:val="20"/>
                <w:szCs w:val="20"/>
              </w:rPr>
              <w:t xml:space="preserve">in prevalence </w:t>
            </w:r>
            <w:r w:rsidRPr="00531366">
              <w:rPr>
                <w:rFonts w:ascii="Arial" w:hAnsi="Arial" w:cs="Arial"/>
                <w:noProof/>
                <w:sz w:val="20"/>
                <w:szCs w:val="20"/>
              </w:rPr>
              <w:t xml:space="preserve">since the 1970s. </w:t>
            </w:r>
            <w:r>
              <w:rPr>
                <w:rFonts w:ascii="Arial" w:hAnsi="Arial" w:cs="Arial"/>
                <w:noProof/>
                <w:sz w:val="20"/>
                <w:szCs w:val="20"/>
              </w:rPr>
              <w:t xml:space="preserve">Currently, about 1 in 5 school-aged children are obese. </w:t>
            </w:r>
            <w:r w:rsidRPr="00531366">
              <w:rPr>
                <w:rFonts w:ascii="Arial" w:hAnsi="Arial" w:cs="Arial"/>
                <w:noProof/>
                <w:sz w:val="20"/>
                <w:szCs w:val="20"/>
              </w:rPr>
              <w:t xml:space="preserve"> Childhood </w:t>
            </w:r>
            <w:r>
              <w:rPr>
                <w:rFonts w:ascii="Arial" w:hAnsi="Arial" w:cs="Arial"/>
                <w:noProof/>
                <w:sz w:val="20"/>
                <w:szCs w:val="20"/>
              </w:rPr>
              <w:t>obesity</w:t>
            </w:r>
            <w:r w:rsidRPr="00531366">
              <w:rPr>
                <w:rFonts w:ascii="Arial" w:hAnsi="Arial" w:cs="Arial"/>
                <w:noProof/>
                <w:sz w:val="20"/>
                <w:szCs w:val="20"/>
              </w:rPr>
              <w:t xml:space="preserve"> is associated with a variety of adverse consequences, including an increased risk of cardiovascular disease, type 2 diabetes, asthma, social stigmatization, low self-esteem</w:t>
            </w:r>
            <w:r>
              <w:rPr>
                <w:rFonts w:ascii="Arial" w:hAnsi="Arial" w:cs="Arial"/>
                <w:noProof/>
                <w:sz w:val="20"/>
                <w:szCs w:val="20"/>
              </w:rPr>
              <w:t>, and adult obesity</w:t>
            </w:r>
            <w:r w:rsidRPr="00531366">
              <w:rPr>
                <w:rFonts w:ascii="Arial" w:hAnsi="Arial" w:cs="Arial"/>
                <w:noProof/>
                <w:sz w:val="20"/>
                <w:szCs w:val="20"/>
              </w:rPr>
              <w:t>.</w:t>
            </w:r>
            <w:r>
              <w:rPr>
                <w:rFonts w:ascii="Arial" w:hAnsi="Arial" w:cs="Arial"/>
                <w:noProof/>
                <w:sz w:val="20"/>
                <w:szCs w:val="20"/>
              </w:rPr>
              <w:t xml:space="preserve">  Obesity in adulthood is linked to cardiovascular disease, type 2 diabetes, and cancer, and obese children are likely to have more severe obesity and attendant health problems in adulthood.</w:t>
            </w:r>
          </w:p>
          <w:p w14:paraId="08A1F8A8" w14:textId="77777777" w:rsidR="0007198D" w:rsidRPr="00531366" w:rsidRDefault="000A3835" w:rsidP="000C7A5D">
            <w:pPr>
              <w:spacing w:after="0" w:line="240" w:lineRule="auto"/>
              <w:rPr>
                <w:rFonts w:ascii="Arial" w:hAnsi="Arial" w:cs="Arial"/>
                <w:sz w:val="20"/>
                <w:szCs w:val="20"/>
              </w:rPr>
            </w:pPr>
            <w:hyperlink r:id="rId113" w:history="1">
              <w:r w:rsidR="0007198D" w:rsidRPr="00057ED2">
                <w:rPr>
                  <w:rStyle w:val="Hyperlink"/>
                  <w:rFonts w:ascii="Arial" w:hAnsi="Arial" w:cs="Arial"/>
                  <w:sz w:val="20"/>
                  <w:szCs w:val="20"/>
                </w:rPr>
                <w:t>https://www.cdc.gov/healthyschools/obesity/facts.htm</w:t>
              </w:r>
            </w:hyperlink>
            <w:r w:rsidR="0007198D">
              <w:rPr>
                <w:rFonts w:ascii="Arial" w:hAnsi="Arial" w:cs="Arial"/>
                <w:sz w:val="20"/>
                <w:szCs w:val="20"/>
              </w:rPr>
              <w:t xml:space="preserve"> </w:t>
            </w:r>
          </w:p>
        </w:tc>
      </w:tr>
      <w:tr w:rsidR="0007198D" w:rsidRPr="00515E1C" w14:paraId="2B32340F" w14:textId="77777777" w:rsidTr="000C7A5D">
        <w:tc>
          <w:tcPr>
            <w:tcW w:w="3618" w:type="dxa"/>
            <w:shd w:val="clear" w:color="auto" w:fill="auto"/>
          </w:tcPr>
          <w:p w14:paraId="7A46C651" w14:textId="77777777" w:rsidR="0007198D" w:rsidRPr="00531366" w:rsidRDefault="0007198D" w:rsidP="000C7A5D">
            <w:pPr>
              <w:spacing w:after="0" w:line="240" w:lineRule="auto"/>
              <w:rPr>
                <w:rFonts w:ascii="Arial" w:hAnsi="Arial" w:cs="Arial"/>
                <w:sz w:val="20"/>
                <w:szCs w:val="20"/>
              </w:rPr>
            </w:pPr>
          </w:p>
        </w:tc>
        <w:tc>
          <w:tcPr>
            <w:tcW w:w="5940" w:type="dxa"/>
            <w:gridSpan w:val="2"/>
            <w:shd w:val="clear" w:color="auto" w:fill="auto"/>
          </w:tcPr>
          <w:p w14:paraId="08331827" w14:textId="77777777" w:rsidR="0007198D" w:rsidRPr="00531366" w:rsidRDefault="0007198D" w:rsidP="000C7A5D">
            <w:pPr>
              <w:spacing w:after="0" w:line="240" w:lineRule="auto"/>
              <w:rPr>
                <w:rFonts w:ascii="Arial" w:hAnsi="Arial" w:cs="Arial"/>
                <w:sz w:val="20"/>
                <w:szCs w:val="20"/>
              </w:rPr>
            </w:pPr>
          </w:p>
        </w:tc>
      </w:tr>
    </w:tbl>
    <w:p w14:paraId="4003FD83" w14:textId="77777777" w:rsidR="0007198D" w:rsidRDefault="0007198D" w:rsidP="0007198D">
      <w:pPr>
        <w:spacing w:after="0" w:line="240" w:lineRule="auto"/>
      </w:pPr>
    </w:p>
    <w:p w14:paraId="1823FECF" w14:textId="634BE315" w:rsidR="00180D4D" w:rsidRDefault="00180D4D" w:rsidP="0007198D">
      <w:pPr>
        <w:spacing w:after="0" w:line="240" w:lineRule="auto"/>
        <w:ind w:hanging="450"/>
      </w:pPr>
    </w:p>
    <w:p w14:paraId="37F3002D" w14:textId="77777777" w:rsidR="00180D4D" w:rsidRDefault="00180D4D" w:rsidP="00180D4D">
      <w:r>
        <w:br w:type="page"/>
      </w:r>
    </w:p>
    <w:tbl>
      <w:tblPr>
        <w:tblW w:w="0" w:type="auto"/>
        <w:tblLook w:val="04A0" w:firstRow="1" w:lastRow="0" w:firstColumn="1" w:lastColumn="0" w:noHBand="0" w:noVBand="1"/>
      </w:tblPr>
      <w:tblGrid>
        <w:gridCol w:w="3618"/>
        <w:gridCol w:w="5868"/>
      </w:tblGrid>
      <w:tr w:rsidR="004106D5" w:rsidRPr="003F48A1" w14:paraId="2D0179E9" w14:textId="77777777" w:rsidTr="000C7A5D">
        <w:tc>
          <w:tcPr>
            <w:tcW w:w="3618" w:type="dxa"/>
            <w:shd w:val="clear" w:color="auto" w:fill="auto"/>
          </w:tcPr>
          <w:p w14:paraId="662AD746" w14:textId="77777777" w:rsidR="004106D5" w:rsidRPr="00531366" w:rsidRDefault="004106D5" w:rsidP="000C7A5D">
            <w:pPr>
              <w:spacing w:after="0" w:line="240" w:lineRule="auto"/>
              <w:rPr>
                <w:rFonts w:ascii="Arial" w:hAnsi="Arial" w:cs="Arial"/>
                <w:b/>
                <w:sz w:val="24"/>
                <w:szCs w:val="24"/>
              </w:rPr>
            </w:pPr>
            <w:r w:rsidRPr="00531366">
              <w:rPr>
                <w:rFonts w:ascii="Arial" w:hAnsi="Arial" w:cs="Arial"/>
                <w:b/>
                <w:sz w:val="24"/>
                <w:szCs w:val="24"/>
              </w:rPr>
              <w:t xml:space="preserve">OUTCOME MEASURE </w:t>
            </w:r>
            <w:r>
              <w:rPr>
                <w:rFonts w:ascii="Arial" w:hAnsi="Arial" w:cs="Arial"/>
                <w:b/>
                <w:noProof/>
                <w:sz w:val="24"/>
                <w:szCs w:val="24"/>
              </w:rPr>
              <w:t>21</w:t>
            </w:r>
          </w:p>
        </w:tc>
        <w:tc>
          <w:tcPr>
            <w:tcW w:w="5868" w:type="dxa"/>
            <w:shd w:val="clear" w:color="auto" w:fill="auto"/>
          </w:tcPr>
          <w:p w14:paraId="149180A8" w14:textId="29B972BC" w:rsidR="004106D5" w:rsidRPr="00531366" w:rsidRDefault="004106D5" w:rsidP="0051645F">
            <w:pPr>
              <w:spacing w:after="0" w:line="240" w:lineRule="auto"/>
              <w:rPr>
                <w:rFonts w:ascii="Arial" w:hAnsi="Arial" w:cs="Arial"/>
                <w:b/>
                <w:sz w:val="24"/>
                <w:szCs w:val="24"/>
              </w:rPr>
            </w:pPr>
            <w:r w:rsidRPr="00531366">
              <w:rPr>
                <w:rFonts w:ascii="Arial" w:hAnsi="Arial" w:cs="Arial"/>
                <w:b/>
                <w:noProof/>
                <w:sz w:val="24"/>
                <w:szCs w:val="24"/>
              </w:rPr>
              <w:t>Percent of children</w:t>
            </w:r>
            <w:r w:rsidR="0051645F">
              <w:rPr>
                <w:rFonts w:ascii="Arial" w:hAnsi="Arial" w:cs="Arial"/>
                <w:b/>
                <w:noProof/>
                <w:sz w:val="24"/>
                <w:szCs w:val="24"/>
              </w:rPr>
              <w:t xml:space="preserve">, ages 0 through 17, </w:t>
            </w:r>
            <w:r w:rsidRPr="00531366">
              <w:rPr>
                <w:rFonts w:ascii="Arial" w:hAnsi="Arial" w:cs="Arial"/>
                <w:b/>
                <w:noProof/>
                <w:sz w:val="24"/>
                <w:szCs w:val="24"/>
              </w:rPr>
              <w:t>without health insurance</w:t>
            </w:r>
          </w:p>
        </w:tc>
      </w:tr>
    </w:tbl>
    <w:p w14:paraId="2CAEA10F" w14:textId="77777777" w:rsidR="004106D5" w:rsidRDefault="004106D5" w:rsidP="004106D5">
      <w:pPr>
        <w:spacing w:after="0" w:line="240" w:lineRule="auto"/>
      </w:pPr>
    </w:p>
    <w:p w14:paraId="426585E1" w14:textId="77777777" w:rsidR="004106D5" w:rsidRDefault="004106D5" w:rsidP="004106D5">
      <w:pPr>
        <w:spacing w:after="0" w:line="240" w:lineRule="auto"/>
      </w:pPr>
      <w:r>
        <w:rPr>
          <w:noProof/>
        </w:rPr>
        <mc:AlternateContent>
          <mc:Choice Requires="wps">
            <w:drawing>
              <wp:anchor distT="4294967295" distB="4294967295" distL="114300" distR="114300" simplePos="0" relativeHeight="251787264" behindDoc="0" locked="0" layoutInCell="1" allowOverlap="1" wp14:anchorId="36399FBE" wp14:editId="5BB208D3">
                <wp:simplePos x="0" y="0"/>
                <wp:positionH relativeFrom="column">
                  <wp:posOffset>-60960</wp:posOffset>
                </wp:positionH>
                <wp:positionV relativeFrom="paragraph">
                  <wp:posOffset>31749</wp:posOffset>
                </wp:positionV>
                <wp:extent cx="6088380" cy="0"/>
                <wp:effectExtent l="0" t="0" r="2667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8938624" id="Straight Connector 23" o:spid="_x0000_s1026" style="position:absolute;z-index:251787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" strokecolor="windowText" strokeweight="1.75pt">
                <o:lock v:ext="edit" shapetype="f"/>
              </v:line>
            </w:pict>
          </mc:Fallback>
        </mc:AlternateContent>
      </w:r>
    </w:p>
    <w:tbl>
      <w:tblPr>
        <w:tblW w:w="0" w:type="auto"/>
        <w:tblLook w:val="04A0" w:firstRow="1" w:lastRow="0" w:firstColumn="1" w:lastColumn="0" w:noHBand="0" w:noVBand="1"/>
      </w:tblPr>
      <w:tblGrid>
        <w:gridCol w:w="3618"/>
        <w:gridCol w:w="3384"/>
        <w:gridCol w:w="2556"/>
      </w:tblGrid>
      <w:tr w:rsidR="004106D5" w:rsidRPr="00515E1C" w14:paraId="04485EA5" w14:textId="77777777" w:rsidTr="000C7A5D">
        <w:tc>
          <w:tcPr>
            <w:tcW w:w="3618" w:type="dxa"/>
            <w:shd w:val="clear" w:color="auto" w:fill="auto"/>
          </w:tcPr>
          <w:p w14:paraId="4BCDE2E0"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GOAL</w:t>
            </w:r>
          </w:p>
        </w:tc>
        <w:tc>
          <w:tcPr>
            <w:tcW w:w="5940" w:type="dxa"/>
            <w:gridSpan w:val="2"/>
            <w:shd w:val="clear" w:color="auto" w:fill="auto"/>
          </w:tcPr>
          <w:p w14:paraId="348598EC"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noProof/>
                <w:sz w:val="20"/>
                <w:szCs w:val="20"/>
              </w:rPr>
              <w:t>To ensure access to needed health care services for children.</w:t>
            </w:r>
          </w:p>
        </w:tc>
      </w:tr>
      <w:tr w:rsidR="004106D5" w:rsidRPr="00515E1C" w14:paraId="738C73A5" w14:textId="77777777" w:rsidTr="000C7A5D">
        <w:tc>
          <w:tcPr>
            <w:tcW w:w="3618" w:type="dxa"/>
            <w:shd w:val="clear" w:color="auto" w:fill="auto"/>
          </w:tcPr>
          <w:p w14:paraId="6763894D"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70973300" w14:textId="77777777" w:rsidR="004106D5" w:rsidRPr="00531366" w:rsidRDefault="004106D5" w:rsidP="000C7A5D">
            <w:pPr>
              <w:spacing w:after="0" w:line="240" w:lineRule="auto"/>
              <w:rPr>
                <w:rFonts w:ascii="Arial" w:hAnsi="Arial" w:cs="Arial"/>
                <w:sz w:val="20"/>
                <w:szCs w:val="20"/>
              </w:rPr>
            </w:pPr>
          </w:p>
        </w:tc>
      </w:tr>
      <w:tr w:rsidR="004106D5" w:rsidRPr="00515E1C" w14:paraId="412A6E6C" w14:textId="77777777" w:rsidTr="000C7A5D">
        <w:tc>
          <w:tcPr>
            <w:tcW w:w="3618" w:type="dxa"/>
            <w:shd w:val="clear" w:color="auto" w:fill="auto"/>
          </w:tcPr>
          <w:p w14:paraId="6E3D6977"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DEFINITION</w:t>
            </w:r>
          </w:p>
        </w:tc>
        <w:tc>
          <w:tcPr>
            <w:tcW w:w="5940" w:type="dxa"/>
            <w:gridSpan w:val="2"/>
            <w:shd w:val="clear" w:color="auto" w:fill="auto"/>
          </w:tcPr>
          <w:p w14:paraId="4503E30E"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Numerator:</w:t>
            </w:r>
          </w:p>
        </w:tc>
      </w:tr>
      <w:tr w:rsidR="004106D5" w:rsidRPr="00515E1C" w14:paraId="6EFC4164" w14:textId="77777777" w:rsidTr="000C7A5D">
        <w:tc>
          <w:tcPr>
            <w:tcW w:w="3618" w:type="dxa"/>
            <w:shd w:val="clear" w:color="auto" w:fill="auto"/>
          </w:tcPr>
          <w:p w14:paraId="13DAF303"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51A98265"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noProof/>
                <w:sz w:val="20"/>
                <w:szCs w:val="20"/>
              </w:rPr>
              <w:t xml:space="preserve">Number of children </w:t>
            </w:r>
            <w:r>
              <w:rPr>
                <w:rFonts w:ascii="Arial" w:hAnsi="Arial" w:cs="Arial"/>
                <w:noProof/>
                <w:sz w:val="20"/>
                <w:szCs w:val="20"/>
              </w:rPr>
              <w:t>ages 0 through 17</w:t>
            </w:r>
            <w:r w:rsidRPr="00531366">
              <w:rPr>
                <w:rFonts w:ascii="Arial" w:hAnsi="Arial" w:cs="Arial"/>
                <w:noProof/>
                <w:sz w:val="20"/>
                <w:szCs w:val="20"/>
              </w:rPr>
              <w:t xml:space="preserve"> who are not </w:t>
            </w:r>
            <w:r>
              <w:rPr>
                <w:rFonts w:ascii="Arial" w:hAnsi="Arial" w:cs="Arial"/>
                <w:noProof/>
                <w:sz w:val="20"/>
                <w:szCs w:val="20"/>
              </w:rPr>
              <w:t xml:space="preserve">currently </w:t>
            </w:r>
            <w:r w:rsidRPr="00531366">
              <w:rPr>
                <w:rFonts w:ascii="Arial" w:hAnsi="Arial" w:cs="Arial"/>
                <w:noProof/>
                <w:sz w:val="20"/>
                <w:szCs w:val="20"/>
              </w:rPr>
              <w:t xml:space="preserve">covered by any private or public health insurance </w:t>
            </w:r>
          </w:p>
        </w:tc>
      </w:tr>
      <w:tr w:rsidR="004106D5" w:rsidRPr="00515E1C" w14:paraId="3C08D987" w14:textId="77777777" w:rsidTr="000C7A5D">
        <w:tc>
          <w:tcPr>
            <w:tcW w:w="3618" w:type="dxa"/>
            <w:shd w:val="clear" w:color="auto" w:fill="auto"/>
          </w:tcPr>
          <w:p w14:paraId="5E659E53"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7B77BFDF" w14:textId="77777777" w:rsidR="004106D5" w:rsidRPr="00531366" w:rsidRDefault="004106D5" w:rsidP="000C7A5D">
            <w:pPr>
              <w:spacing w:after="0" w:line="240" w:lineRule="auto"/>
              <w:rPr>
                <w:rFonts w:ascii="Arial" w:hAnsi="Arial" w:cs="Arial"/>
                <w:sz w:val="20"/>
                <w:szCs w:val="20"/>
              </w:rPr>
            </w:pPr>
          </w:p>
        </w:tc>
      </w:tr>
      <w:tr w:rsidR="004106D5" w:rsidRPr="00515E1C" w14:paraId="3D595D13" w14:textId="77777777" w:rsidTr="000C7A5D">
        <w:tc>
          <w:tcPr>
            <w:tcW w:w="3618" w:type="dxa"/>
            <w:shd w:val="clear" w:color="auto" w:fill="auto"/>
          </w:tcPr>
          <w:p w14:paraId="3A8DF246"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72944649"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Denominator:</w:t>
            </w:r>
          </w:p>
        </w:tc>
      </w:tr>
      <w:tr w:rsidR="004106D5" w:rsidRPr="00515E1C" w14:paraId="3F1F22A5" w14:textId="77777777" w:rsidTr="000C7A5D">
        <w:tc>
          <w:tcPr>
            <w:tcW w:w="3618" w:type="dxa"/>
            <w:shd w:val="clear" w:color="auto" w:fill="auto"/>
          </w:tcPr>
          <w:p w14:paraId="285473CD"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4AEB4767"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noProof/>
                <w:sz w:val="20"/>
                <w:szCs w:val="20"/>
              </w:rPr>
              <w:t xml:space="preserve">Number of children </w:t>
            </w:r>
            <w:r>
              <w:rPr>
                <w:rFonts w:ascii="Arial" w:hAnsi="Arial" w:cs="Arial"/>
                <w:noProof/>
                <w:sz w:val="20"/>
                <w:szCs w:val="20"/>
              </w:rPr>
              <w:t xml:space="preserve">ages 0 through 17 </w:t>
            </w:r>
          </w:p>
        </w:tc>
      </w:tr>
      <w:tr w:rsidR="004106D5" w:rsidRPr="00515E1C" w14:paraId="1D3E57D3" w14:textId="77777777" w:rsidTr="000C7A5D">
        <w:tc>
          <w:tcPr>
            <w:tcW w:w="3618" w:type="dxa"/>
            <w:shd w:val="clear" w:color="auto" w:fill="auto"/>
          </w:tcPr>
          <w:p w14:paraId="2880E0D2"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733D99B3" w14:textId="77777777" w:rsidR="004106D5" w:rsidRPr="00531366" w:rsidRDefault="004106D5" w:rsidP="000C7A5D">
            <w:pPr>
              <w:spacing w:after="0" w:line="240" w:lineRule="auto"/>
              <w:rPr>
                <w:rFonts w:ascii="Arial" w:hAnsi="Arial" w:cs="Arial"/>
                <w:sz w:val="20"/>
                <w:szCs w:val="20"/>
              </w:rPr>
            </w:pPr>
          </w:p>
        </w:tc>
      </w:tr>
      <w:tr w:rsidR="004106D5" w:rsidRPr="00515E1C" w14:paraId="1D84A5E0" w14:textId="77777777" w:rsidTr="000C7A5D">
        <w:tc>
          <w:tcPr>
            <w:tcW w:w="3618" w:type="dxa"/>
            <w:shd w:val="clear" w:color="auto" w:fill="auto"/>
          </w:tcPr>
          <w:p w14:paraId="7BBBED6D" w14:textId="77777777" w:rsidR="004106D5" w:rsidRPr="00531366" w:rsidRDefault="004106D5" w:rsidP="000C7A5D">
            <w:pPr>
              <w:spacing w:after="0" w:line="240" w:lineRule="auto"/>
              <w:rPr>
                <w:rFonts w:ascii="Arial" w:hAnsi="Arial" w:cs="Arial"/>
                <w:b/>
                <w:sz w:val="20"/>
                <w:szCs w:val="20"/>
              </w:rPr>
            </w:pPr>
          </w:p>
        </w:tc>
        <w:tc>
          <w:tcPr>
            <w:tcW w:w="3384" w:type="dxa"/>
            <w:shd w:val="clear" w:color="auto" w:fill="auto"/>
          </w:tcPr>
          <w:p w14:paraId="73905C24"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b/>
                <w:sz w:val="20"/>
                <w:szCs w:val="20"/>
              </w:rPr>
              <w:t>Units:</w:t>
            </w:r>
            <w:r w:rsidRPr="00531366">
              <w:rPr>
                <w:rFonts w:ascii="Arial" w:hAnsi="Arial" w:cs="Arial"/>
                <w:sz w:val="20"/>
                <w:szCs w:val="20"/>
              </w:rPr>
              <w:t xml:space="preserve"> </w:t>
            </w:r>
            <w:r w:rsidRPr="00531366">
              <w:rPr>
                <w:rFonts w:ascii="Arial" w:hAnsi="Arial" w:cs="Arial"/>
                <w:noProof/>
                <w:sz w:val="20"/>
                <w:szCs w:val="20"/>
              </w:rPr>
              <w:t>100</w:t>
            </w:r>
          </w:p>
        </w:tc>
        <w:tc>
          <w:tcPr>
            <w:tcW w:w="2556" w:type="dxa"/>
            <w:shd w:val="clear" w:color="auto" w:fill="auto"/>
          </w:tcPr>
          <w:p w14:paraId="042BC080"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b/>
                <w:sz w:val="20"/>
                <w:szCs w:val="20"/>
              </w:rPr>
              <w:t>Text:</w:t>
            </w:r>
            <w:r w:rsidRPr="00531366">
              <w:rPr>
                <w:rFonts w:ascii="Arial" w:hAnsi="Arial" w:cs="Arial"/>
                <w:sz w:val="20"/>
                <w:szCs w:val="20"/>
              </w:rPr>
              <w:t xml:space="preserve"> </w:t>
            </w:r>
            <w:r w:rsidRPr="00531366">
              <w:rPr>
                <w:rFonts w:ascii="Arial" w:hAnsi="Arial" w:cs="Arial"/>
                <w:noProof/>
                <w:sz w:val="20"/>
                <w:szCs w:val="20"/>
              </w:rPr>
              <w:t>Percent</w:t>
            </w:r>
          </w:p>
        </w:tc>
      </w:tr>
      <w:tr w:rsidR="004106D5" w:rsidRPr="00515E1C" w14:paraId="6CDE0006" w14:textId="77777777" w:rsidTr="000C7A5D">
        <w:tc>
          <w:tcPr>
            <w:tcW w:w="3618" w:type="dxa"/>
            <w:shd w:val="clear" w:color="auto" w:fill="auto"/>
          </w:tcPr>
          <w:p w14:paraId="04DC3EC5"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1060CE7B" w14:textId="77777777" w:rsidR="004106D5" w:rsidRPr="00531366" w:rsidRDefault="004106D5" w:rsidP="000C7A5D">
            <w:pPr>
              <w:spacing w:after="0" w:line="240" w:lineRule="auto"/>
              <w:rPr>
                <w:rFonts w:ascii="Arial" w:hAnsi="Arial" w:cs="Arial"/>
                <w:sz w:val="20"/>
                <w:szCs w:val="20"/>
              </w:rPr>
            </w:pPr>
          </w:p>
        </w:tc>
      </w:tr>
      <w:tr w:rsidR="004106D5" w:rsidRPr="00515E1C" w14:paraId="307DE190" w14:textId="77777777" w:rsidTr="000C7A5D">
        <w:tc>
          <w:tcPr>
            <w:tcW w:w="3618" w:type="dxa"/>
            <w:shd w:val="clear" w:color="auto" w:fill="auto"/>
          </w:tcPr>
          <w:p w14:paraId="1BB3E0FD"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HEALTHY PEOPLE 2020 OBJECTIVE</w:t>
            </w:r>
          </w:p>
        </w:tc>
        <w:tc>
          <w:tcPr>
            <w:tcW w:w="5940" w:type="dxa"/>
            <w:gridSpan w:val="2"/>
            <w:shd w:val="clear" w:color="auto" w:fill="auto"/>
          </w:tcPr>
          <w:p w14:paraId="5ECB18A9"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noProof/>
                <w:sz w:val="20"/>
                <w:szCs w:val="20"/>
              </w:rPr>
              <w:t>Related to Access to Health Services Objective 1: Increase the proportion of persons with health insurance.  (Baseline: 83.2% persons had medical insurance in 2008, Target: 100%)</w:t>
            </w:r>
          </w:p>
        </w:tc>
      </w:tr>
      <w:tr w:rsidR="004106D5" w:rsidRPr="00515E1C" w14:paraId="42923BD6" w14:textId="77777777" w:rsidTr="000C7A5D">
        <w:tc>
          <w:tcPr>
            <w:tcW w:w="3618" w:type="dxa"/>
            <w:shd w:val="clear" w:color="auto" w:fill="auto"/>
          </w:tcPr>
          <w:p w14:paraId="684326CE"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73349057" w14:textId="77777777" w:rsidR="004106D5" w:rsidRPr="00531366" w:rsidRDefault="004106D5" w:rsidP="000C7A5D">
            <w:pPr>
              <w:spacing w:after="0" w:line="240" w:lineRule="auto"/>
              <w:rPr>
                <w:rFonts w:ascii="Arial" w:hAnsi="Arial" w:cs="Arial"/>
                <w:sz w:val="20"/>
                <w:szCs w:val="20"/>
              </w:rPr>
            </w:pPr>
          </w:p>
        </w:tc>
      </w:tr>
      <w:tr w:rsidR="004106D5" w:rsidRPr="00515E1C" w14:paraId="79D8CD93" w14:textId="77777777" w:rsidTr="000C7A5D">
        <w:tc>
          <w:tcPr>
            <w:tcW w:w="3618" w:type="dxa"/>
            <w:shd w:val="clear" w:color="auto" w:fill="auto"/>
          </w:tcPr>
          <w:p w14:paraId="7F0E5FAC"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DATA SOURCES and DATA ISSUES</w:t>
            </w:r>
          </w:p>
        </w:tc>
        <w:tc>
          <w:tcPr>
            <w:tcW w:w="5940" w:type="dxa"/>
            <w:gridSpan w:val="2"/>
            <w:shd w:val="clear" w:color="auto" w:fill="auto"/>
          </w:tcPr>
          <w:p w14:paraId="65794F01"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noProof/>
                <w:sz w:val="20"/>
                <w:szCs w:val="20"/>
              </w:rPr>
              <w:t>American Community Survey</w:t>
            </w:r>
            <w:r>
              <w:rPr>
                <w:rFonts w:ascii="Arial" w:hAnsi="Arial" w:cs="Arial"/>
                <w:noProof/>
                <w:sz w:val="20"/>
                <w:szCs w:val="20"/>
              </w:rPr>
              <w:t xml:space="preserve"> (ACS) and/or </w:t>
            </w:r>
            <w:r w:rsidRPr="00531366">
              <w:rPr>
                <w:rFonts w:ascii="Arial" w:hAnsi="Arial" w:cs="Arial"/>
                <w:noProof/>
                <w:sz w:val="20"/>
                <w:szCs w:val="20"/>
              </w:rPr>
              <w:t xml:space="preserve">National Survey of Children's Health (NSCH) </w:t>
            </w:r>
          </w:p>
        </w:tc>
      </w:tr>
      <w:tr w:rsidR="004106D5" w:rsidRPr="00515E1C" w14:paraId="303962BB" w14:textId="77777777" w:rsidTr="000C7A5D">
        <w:tc>
          <w:tcPr>
            <w:tcW w:w="3618" w:type="dxa"/>
            <w:shd w:val="clear" w:color="auto" w:fill="auto"/>
          </w:tcPr>
          <w:p w14:paraId="0D53760B"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55E43E5D" w14:textId="77777777" w:rsidR="004106D5" w:rsidRPr="00531366" w:rsidRDefault="004106D5" w:rsidP="000C7A5D">
            <w:pPr>
              <w:spacing w:after="0" w:line="240" w:lineRule="auto"/>
              <w:rPr>
                <w:rFonts w:ascii="Arial" w:hAnsi="Arial" w:cs="Arial"/>
                <w:sz w:val="20"/>
                <w:szCs w:val="20"/>
              </w:rPr>
            </w:pPr>
          </w:p>
        </w:tc>
      </w:tr>
      <w:tr w:rsidR="004106D5" w:rsidRPr="00515E1C" w14:paraId="69EEF612" w14:textId="77777777" w:rsidTr="000C7A5D">
        <w:tc>
          <w:tcPr>
            <w:tcW w:w="3618" w:type="dxa"/>
            <w:shd w:val="clear" w:color="auto" w:fill="auto"/>
          </w:tcPr>
          <w:p w14:paraId="248D7DD2"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SIGNIFICANCE</w:t>
            </w:r>
          </w:p>
        </w:tc>
        <w:tc>
          <w:tcPr>
            <w:tcW w:w="5940" w:type="dxa"/>
            <w:gridSpan w:val="2"/>
            <w:shd w:val="clear" w:color="auto" w:fill="auto"/>
          </w:tcPr>
          <w:p w14:paraId="6320AB9E" w14:textId="77777777" w:rsidR="004106D5" w:rsidRDefault="004106D5" w:rsidP="000C7A5D">
            <w:pPr>
              <w:spacing w:after="0" w:line="240" w:lineRule="auto"/>
              <w:rPr>
                <w:rFonts w:ascii="Arial" w:hAnsi="Arial" w:cs="Arial"/>
                <w:noProof/>
                <w:sz w:val="20"/>
                <w:szCs w:val="20"/>
              </w:rPr>
            </w:pPr>
            <w:r w:rsidRPr="00531366">
              <w:rPr>
                <w:rFonts w:ascii="Arial" w:hAnsi="Arial" w:cs="Arial"/>
                <w:noProof/>
                <w:sz w:val="20"/>
                <w:szCs w:val="20"/>
              </w:rPr>
              <w:t xml:space="preserve">There is a well documented benefit for children in having health insurance. Research has shown that children who acquire health insurance are more likely to have access to a usual source of care, receive well child care and immunizations, to have developmental milestones monitored, and receive prescriptions drugs, appropriate care for asthma and basic dental services. Serious childhood problems are more likely to be identified early in children with insurance, and insured children with special health care needs are more likely to have access to specialists.  Insured children not only receive more timely diagnosis of serious health care conditions but experience fewer avoidable hospitalizations, improved asthma outcomes and fewer missed school days.  </w:t>
            </w:r>
          </w:p>
          <w:p w14:paraId="7764AD6D" w14:textId="77777777" w:rsidR="004106D5" w:rsidRDefault="004106D5" w:rsidP="000C7A5D">
            <w:pPr>
              <w:spacing w:after="0" w:line="240" w:lineRule="auto"/>
              <w:rPr>
                <w:rFonts w:ascii="Arial" w:hAnsi="Arial" w:cs="Arial"/>
                <w:noProof/>
                <w:sz w:val="20"/>
                <w:szCs w:val="20"/>
              </w:rPr>
            </w:pPr>
          </w:p>
          <w:p w14:paraId="6C5E376A" w14:textId="77777777" w:rsidR="004106D5" w:rsidRDefault="004106D5" w:rsidP="00296EF7">
            <w:pPr>
              <w:spacing w:after="0" w:line="240" w:lineRule="auto"/>
              <w:rPr>
                <w:rFonts w:ascii="Arial" w:eastAsia="Times New Roman" w:hAnsi="Arial" w:cs="Arial"/>
                <w:sz w:val="18"/>
                <w:szCs w:val="18"/>
              </w:rPr>
            </w:pPr>
            <w:r w:rsidRPr="00296EF7">
              <w:rPr>
                <w:rFonts w:ascii="Arial" w:eastAsia="Times New Roman" w:hAnsi="Arial" w:cs="Arial"/>
                <w:sz w:val="20"/>
                <w:szCs w:val="20"/>
              </w:rPr>
              <w:t>IOM (Institute of Medicine). 2009.  America’s Uninsured Crisis: Consequences for Health and Health Care. Washington, DC: National Academies Press</w:t>
            </w:r>
            <w:r>
              <w:rPr>
                <w:rFonts w:ascii="Arial" w:eastAsia="Times New Roman" w:hAnsi="Arial" w:cs="Arial"/>
                <w:sz w:val="18"/>
                <w:szCs w:val="18"/>
              </w:rPr>
              <w:t xml:space="preserve">. </w:t>
            </w:r>
            <w:hyperlink r:id="rId114" w:history="1">
              <w:r w:rsidRPr="0000075C">
                <w:rPr>
                  <w:rStyle w:val="Hyperlink"/>
                  <w:rFonts w:ascii="Arial" w:eastAsia="Times New Roman" w:hAnsi="Arial" w:cs="Arial"/>
                  <w:sz w:val="18"/>
                  <w:szCs w:val="18"/>
                </w:rPr>
                <w:t>http://www.nationalacademies.org/hmd/Reports/2009/Americas-Uninsured-Crisis-Consequences-for-Health-and-Health-Care.aspx</w:t>
              </w:r>
            </w:hyperlink>
            <w:r>
              <w:rPr>
                <w:rFonts w:ascii="Arial" w:eastAsia="Times New Roman" w:hAnsi="Arial" w:cs="Arial"/>
                <w:sz w:val="18"/>
                <w:szCs w:val="18"/>
              </w:rPr>
              <w:t xml:space="preserve"> </w:t>
            </w:r>
          </w:p>
          <w:p w14:paraId="7580D16B" w14:textId="77777777" w:rsidR="004106D5" w:rsidRPr="00531366" w:rsidRDefault="004106D5" w:rsidP="000C7A5D">
            <w:pPr>
              <w:spacing w:after="0" w:line="240" w:lineRule="auto"/>
              <w:rPr>
                <w:rFonts w:ascii="Arial" w:hAnsi="Arial" w:cs="Arial"/>
                <w:sz w:val="20"/>
                <w:szCs w:val="20"/>
              </w:rPr>
            </w:pPr>
            <w:r w:rsidRPr="00531366" w:rsidDel="00441A5C">
              <w:rPr>
                <w:rFonts w:ascii="Arial" w:hAnsi="Arial" w:cs="Arial"/>
                <w:noProof/>
                <w:sz w:val="20"/>
                <w:szCs w:val="20"/>
              </w:rPr>
              <w:t xml:space="preserve"> </w:t>
            </w:r>
          </w:p>
        </w:tc>
      </w:tr>
      <w:tr w:rsidR="004106D5" w:rsidRPr="00515E1C" w14:paraId="3C064BDD" w14:textId="77777777" w:rsidTr="000C7A5D">
        <w:tc>
          <w:tcPr>
            <w:tcW w:w="3618" w:type="dxa"/>
            <w:shd w:val="clear" w:color="auto" w:fill="auto"/>
          </w:tcPr>
          <w:p w14:paraId="0F6308A7" w14:textId="77777777" w:rsidR="004106D5" w:rsidRPr="00531366" w:rsidRDefault="004106D5" w:rsidP="000C7A5D">
            <w:pPr>
              <w:spacing w:after="0" w:line="240" w:lineRule="auto"/>
              <w:rPr>
                <w:rFonts w:ascii="Arial" w:hAnsi="Arial" w:cs="Arial"/>
                <w:sz w:val="20"/>
                <w:szCs w:val="20"/>
              </w:rPr>
            </w:pPr>
          </w:p>
        </w:tc>
        <w:tc>
          <w:tcPr>
            <w:tcW w:w="5940" w:type="dxa"/>
            <w:gridSpan w:val="2"/>
            <w:shd w:val="clear" w:color="auto" w:fill="auto"/>
          </w:tcPr>
          <w:p w14:paraId="654FA8A9" w14:textId="77777777" w:rsidR="004106D5" w:rsidRPr="00531366" w:rsidRDefault="004106D5" w:rsidP="000C7A5D">
            <w:pPr>
              <w:spacing w:after="0" w:line="240" w:lineRule="auto"/>
              <w:rPr>
                <w:rFonts w:ascii="Arial" w:hAnsi="Arial" w:cs="Arial"/>
                <w:sz w:val="20"/>
                <w:szCs w:val="20"/>
              </w:rPr>
            </w:pPr>
          </w:p>
        </w:tc>
      </w:tr>
    </w:tbl>
    <w:p w14:paraId="58992969" w14:textId="77777777" w:rsidR="004106D5" w:rsidRDefault="004106D5" w:rsidP="004106D5">
      <w:pPr>
        <w:spacing w:after="0" w:line="240" w:lineRule="auto"/>
        <w:sectPr w:rsidR="004106D5" w:rsidSect="008A00F6">
          <w:pgSz w:w="12240" w:h="15840"/>
          <w:pgMar w:top="1440" w:right="1440" w:bottom="1440" w:left="1440" w:header="720" w:footer="720" w:gutter="0"/>
          <w:cols w:space="720"/>
          <w:docGrid w:linePitch="360"/>
        </w:sectPr>
      </w:pPr>
    </w:p>
    <w:tbl>
      <w:tblPr>
        <w:tblW w:w="0" w:type="auto"/>
        <w:tblLook w:val="04A0" w:firstRow="1" w:lastRow="0" w:firstColumn="1" w:lastColumn="0" w:noHBand="0" w:noVBand="1"/>
      </w:tblPr>
      <w:tblGrid>
        <w:gridCol w:w="3618"/>
        <w:gridCol w:w="5868"/>
      </w:tblGrid>
      <w:tr w:rsidR="004106D5" w:rsidRPr="003F48A1" w14:paraId="519E3B5F" w14:textId="77777777" w:rsidTr="000C7A5D">
        <w:tc>
          <w:tcPr>
            <w:tcW w:w="3618" w:type="dxa"/>
            <w:shd w:val="clear" w:color="auto" w:fill="auto"/>
          </w:tcPr>
          <w:p w14:paraId="06D68FF8" w14:textId="77777777" w:rsidR="004106D5" w:rsidRPr="00531366" w:rsidRDefault="004106D5" w:rsidP="000C7A5D">
            <w:pPr>
              <w:spacing w:after="0" w:line="240" w:lineRule="auto"/>
              <w:rPr>
                <w:rFonts w:ascii="Arial" w:hAnsi="Arial" w:cs="Arial"/>
                <w:b/>
                <w:sz w:val="24"/>
                <w:szCs w:val="24"/>
              </w:rPr>
            </w:pPr>
            <w:r w:rsidRPr="00531366">
              <w:rPr>
                <w:rFonts w:ascii="Arial" w:hAnsi="Arial" w:cs="Arial"/>
                <w:b/>
                <w:sz w:val="24"/>
                <w:szCs w:val="24"/>
              </w:rPr>
              <w:t xml:space="preserve">OUTCOME MEASURE </w:t>
            </w:r>
            <w:r>
              <w:rPr>
                <w:rFonts w:ascii="Arial" w:hAnsi="Arial" w:cs="Arial"/>
                <w:b/>
                <w:noProof/>
                <w:sz w:val="24"/>
                <w:szCs w:val="24"/>
              </w:rPr>
              <w:t>22</w:t>
            </w:r>
            <w:r w:rsidRPr="00531366">
              <w:rPr>
                <w:rFonts w:ascii="Arial" w:hAnsi="Arial" w:cs="Arial"/>
                <w:b/>
                <w:noProof/>
                <w:sz w:val="24"/>
                <w:szCs w:val="24"/>
              </w:rPr>
              <w:t>.1</w:t>
            </w:r>
          </w:p>
        </w:tc>
        <w:tc>
          <w:tcPr>
            <w:tcW w:w="5868" w:type="dxa"/>
            <w:shd w:val="clear" w:color="auto" w:fill="auto"/>
          </w:tcPr>
          <w:p w14:paraId="705DC301" w14:textId="77777777" w:rsidR="004106D5" w:rsidRPr="00531366" w:rsidRDefault="004106D5" w:rsidP="000C7A5D">
            <w:pPr>
              <w:spacing w:after="0" w:line="240" w:lineRule="auto"/>
              <w:rPr>
                <w:rFonts w:ascii="Arial" w:hAnsi="Arial" w:cs="Arial"/>
                <w:b/>
                <w:noProof/>
                <w:sz w:val="24"/>
                <w:szCs w:val="24"/>
              </w:rPr>
            </w:pPr>
            <w:r w:rsidRPr="00531366">
              <w:rPr>
                <w:rFonts w:ascii="Arial" w:hAnsi="Arial" w:cs="Arial"/>
                <w:b/>
                <w:noProof/>
                <w:sz w:val="24"/>
                <w:szCs w:val="24"/>
              </w:rPr>
              <w:t>Percent of children</w:t>
            </w:r>
            <w:r>
              <w:rPr>
                <w:rFonts w:ascii="Arial" w:hAnsi="Arial" w:cs="Arial"/>
                <w:b/>
                <w:noProof/>
                <w:sz w:val="24"/>
                <w:szCs w:val="24"/>
              </w:rPr>
              <w:t>,</w:t>
            </w:r>
            <w:r w:rsidRPr="00531366">
              <w:rPr>
                <w:rFonts w:ascii="Arial" w:hAnsi="Arial" w:cs="Arial"/>
                <w:b/>
                <w:noProof/>
                <w:sz w:val="24"/>
                <w:szCs w:val="24"/>
              </w:rPr>
              <w:t xml:space="preserve"> ages 19</w:t>
            </w:r>
            <w:r>
              <w:rPr>
                <w:rFonts w:ascii="Arial" w:hAnsi="Arial" w:cs="Arial"/>
                <w:b/>
                <w:noProof/>
                <w:sz w:val="24"/>
                <w:szCs w:val="24"/>
              </w:rPr>
              <w:t xml:space="preserve"> through </w:t>
            </w:r>
            <w:r w:rsidRPr="00531366">
              <w:rPr>
                <w:rFonts w:ascii="Arial" w:hAnsi="Arial" w:cs="Arial"/>
                <w:b/>
                <w:noProof/>
                <w:sz w:val="24"/>
                <w:szCs w:val="24"/>
              </w:rPr>
              <w:t xml:space="preserve">35 months, </w:t>
            </w:r>
            <w:r>
              <w:rPr>
                <w:rFonts w:ascii="Arial" w:hAnsi="Arial" w:cs="Arial"/>
                <w:b/>
                <w:noProof/>
                <w:sz w:val="24"/>
                <w:szCs w:val="24"/>
              </w:rPr>
              <w:t>who have completed</w:t>
            </w:r>
            <w:r w:rsidRPr="00531366">
              <w:rPr>
                <w:rFonts w:ascii="Arial" w:hAnsi="Arial" w:cs="Arial"/>
                <w:b/>
                <w:noProof/>
                <w:sz w:val="24"/>
                <w:szCs w:val="24"/>
              </w:rPr>
              <w:t xml:space="preserve"> the</w:t>
            </w:r>
            <w:r>
              <w:rPr>
                <w:rFonts w:ascii="Arial" w:hAnsi="Arial" w:cs="Arial"/>
                <w:b/>
                <w:noProof/>
                <w:sz w:val="24"/>
                <w:szCs w:val="24"/>
              </w:rPr>
              <w:t xml:space="preserve"> combined 7-vaccine</w:t>
            </w:r>
            <w:r w:rsidRPr="00531366">
              <w:rPr>
                <w:rFonts w:ascii="Arial" w:hAnsi="Arial" w:cs="Arial"/>
                <w:b/>
                <w:noProof/>
                <w:sz w:val="24"/>
                <w:szCs w:val="24"/>
              </w:rPr>
              <w:t xml:space="preserve"> series </w:t>
            </w:r>
            <w:r>
              <w:rPr>
                <w:rFonts w:ascii="Arial" w:hAnsi="Arial" w:cs="Arial"/>
                <w:b/>
                <w:noProof/>
                <w:sz w:val="24"/>
                <w:szCs w:val="24"/>
              </w:rPr>
              <w:t>(4:3:1:3*</w:t>
            </w:r>
            <w:r w:rsidRPr="00531366">
              <w:rPr>
                <w:rFonts w:ascii="Arial" w:hAnsi="Arial" w:cs="Arial"/>
                <w:b/>
                <w:noProof/>
                <w:sz w:val="24"/>
                <w:szCs w:val="24"/>
              </w:rPr>
              <w:t>:3:1:4</w:t>
            </w:r>
            <w:r>
              <w:rPr>
                <w:rFonts w:ascii="Arial" w:hAnsi="Arial" w:cs="Arial"/>
                <w:b/>
                <w:noProof/>
                <w:sz w:val="24"/>
                <w:szCs w:val="24"/>
              </w:rPr>
              <w:t>)</w:t>
            </w:r>
          </w:p>
          <w:p w14:paraId="580EFA1E" w14:textId="77777777" w:rsidR="004106D5" w:rsidRPr="00531366" w:rsidRDefault="004106D5" w:rsidP="000C7A5D">
            <w:pPr>
              <w:spacing w:after="0" w:line="240" w:lineRule="auto"/>
              <w:rPr>
                <w:rFonts w:ascii="Arial" w:hAnsi="Arial" w:cs="Arial"/>
                <w:b/>
                <w:sz w:val="24"/>
                <w:szCs w:val="24"/>
              </w:rPr>
            </w:pPr>
          </w:p>
        </w:tc>
      </w:tr>
    </w:tbl>
    <w:p w14:paraId="3E58899F" w14:textId="77777777" w:rsidR="004106D5" w:rsidRDefault="004106D5" w:rsidP="004106D5">
      <w:pPr>
        <w:spacing w:after="0" w:line="240" w:lineRule="auto"/>
      </w:pPr>
    </w:p>
    <w:p w14:paraId="65A477FE" w14:textId="77777777" w:rsidR="004106D5" w:rsidRDefault="004106D5" w:rsidP="004106D5">
      <w:pPr>
        <w:spacing w:after="0" w:line="240" w:lineRule="auto"/>
      </w:pPr>
      <w:r>
        <w:rPr>
          <w:noProof/>
        </w:rPr>
        <mc:AlternateContent>
          <mc:Choice Requires="wps">
            <w:drawing>
              <wp:anchor distT="4294967295" distB="4294967295" distL="114300" distR="114300" simplePos="0" relativeHeight="251782144" behindDoc="0" locked="0" layoutInCell="1" allowOverlap="1" wp14:anchorId="58096775" wp14:editId="7BD2E76A">
                <wp:simplePos x="0" y="0"/>
                <wp:positionH relativeFrom="column">
                  <wp:posOffset>-60960</wp:posOffset>
                </wp:positionH>
                <wp:positionV relativeFrom="paragraph">
                  <wp:posOffset>31749</wp:posOffset>
                </wp:positionV>
                <wp:extent cx="6088380" cy="0"/>
                <wp:effectExtent l="0" t="0" r="26670" b="19050"/>
                <wp:wrapNone/>
                <wp:docPr id="41"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F85C123" id="Straight Connector 16" o:spid="_x0000_s1026" style="position:absolute;z-index:251782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" strokecolor="windowText" strokeweight="1.75pt">
                <o:lock v:ext="edit" shapetype="f"/>
              </v:line>
            </w:pict>
          </mc:Fallback>
        </mc:AlternateContent>
      </w:r>
    </w:p>
    <w:tbl>
      <w:tblPr>
        <w:tblW w:w="0" w:type="auto"/>
        <w:tblLook w:val="04A0" w:firstRow="1" w:lastRow="0" w:firstColumn="1" w:lastColumn="0" w:noHBand="0" w:noVBand="1"/>
      </w:tblPr>
      <w:tblGrid>
        <w:gridCol w:w="3618"/>
        <w:gridCol w:w="3384"/>
        <w:gridCol w:w="2556"/>
      </w:tblGrid>
      <w:tr w:rsidR="004106D5" w:rsidRPr="00515E1C" w14:paraId="66505748" w14:textId="77777777" w:rsidTr="000C7A5D">
        <w:tc>
          <w:tcPr>
            <w:tcW w:w="3618" w:type="dxa"/>
            <w:shd w:val="clear" w:color="auto" w:fill="auto"/>
          </w:tcPr>
          <w:p w14:paraId="719C464E"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GOAL</w:t>
            </w:r>
          </w:p>
        </w:tc>
        <w:tc>
          <w:tcPr>
            <w:tcW w:w="5940" w:type="dxa"/>
            <w:gridSpan w:val="2"/>
            <w:shd w:val="clear" w:color="auto" w:fill="auto"/>
          </w:tcPr>
          <w:p w14:paraId="134201EB" w14:textId="11ECCFED" w:rsidR="004106D5" w:rsidRPr="00531366" w:rsidRDefault="004106D5" w:rsidP="00FB0985">
            <w:pPr>
              <w:spacing w:after="0" w:line="240" w:lineRule="auto"/>
              <w:rPr>
                <w:rFonts w:ascii="Arial" w:hAnsi="Arial" w:cs="Arial"/>
                <w:sz w:val="20"/>
                <w:szCs w:val="20"/>
              </w:rPr>
            </w:pPr>
            <w:r w:rsidRPr="00531366">
              <w:rPr>
                <w:rFonts w:ascii="Arial" w:hAnsi="Arial" w:cs="Arial"/>
                <w:noProof/>
                <w:sz w:val="20"/>
                <w:szCs w:val="20"/>
              </w:rPr>
              <w:t xml:space="preserve">To increase the </w:t>
            </w:r>
            <w:r w:rsidR="00FB0985">
              <w:rPr>
                <w:rFonts w:ascii="Arial" w:hAnsi="Arial" w:cs="Arial"/>
                <w:noProof/>
                <w:sz w:val="20"/>
                <w:szCs w:val="20"/>
              </w:rPr>
              <w:t>percent</w:t>
            </w:r>
            <w:r w:rsidRPr="00531366">
              <w:rPr>
                <w:rFonts w:ascii="Arial" w:hAnsi="Arial" w:cs="Arial"/>
                <w:noProof/>
                <w:sz w:val="20"/>
                <w:szCs w:val="20"/>
              </w:rPr>
              <w:t xml:space="preserve"> of children and adolescents who have completed recommended vaccines.</w:t>
            </w:r>
          </w:p>
        </w:tc>
      </w:tr>
      <w:tr w:rsidR="004106D5" w:rsidRPr="00515E1C" w14:paraId="1923B49C" w14:textId="77777777" w:rsidTr="000C7A5D">
        <w:tc>
          <w:tcPr>
            <w:tcW w:w="3618" w:type="dxa"/>
            <w:shd w:val="clear" w:color="auto" w:fill="auto"/>
          </w:tcPr>
          <w:p w14:paraId="333146DD"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047860BC" w14:textId="77777777" w:rsidR="004106D5" w:rsidRPr="00531366" w:rsidRDefault="004106D5" w:rsidP="000C7A5D">
            <w:pPr>
              <w:spacing w:after="0" w:line="240" w:lineRule="auto"/>
              <w:rPr>
                <w:rFonts w:ascii="Arial" w:hAnsi="Arial" w:cs="Arial"/>
                <w:sz w:val="20"/>
                <w:szCs w:val="20"/>
              </w:rPr>
            </w:pPr>
          </w:p>
        </w:tc>
      </w:tr>
      <w:tr w:rsidR="004106D5" w:rsidRPr="00515E1C" w14:paraId="2E79FC42" w14:textId="77777777" w:rsidTr="000C7A5D">
        <w:tc>
          <w:tcPr>
            <w:tcW w:w="3618" w:type="dxa"/>
            <w:shd w:val="clear" w:color="auto" w:fill="auto"/>
          </w:tcPr>
          <w:p w14:paraId="09D493E0"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DEFINITION</w:t>
            </w:r>
          </w:p>
        </w:tc>
        <w:tc>
          <w:tcPr>
            <w:tcW w:w="5940" w:type="dxa"/>
            <w:gridSpan w:val="2"/>
            <w:shd w:val="clear" w:color="auto" w:fill="auto"/>
          </w:tcPr>
          <w:p w14:paraId="3B39ABA0"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Numerator:</w:t>
            </w:r>
          </w:p>
        </w:tc>
      </w:tr>
      <w:tr w:rsidR="004106D5" w:rsidRPr="00515E1C" w14:paraId="72EBCB91" w14:textId="77777777" w:rsidTr="000C7A5D">
        <w:tc>
          <w:tcPr>
            <w:tcW w:w="3618" w:type="dxa"/>
            <w:shd w:val="clear" w:color="auto" w:fill="auto"/>
          </w:tcPr>
          <w:p w14:paraId="18CF2F5E"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5F58F640" w14:textId="77777777" w:rsidR="004106D5" w:rsidRPr="00531366" w:rsidRDefault="004106D5" w:rsidP="000C7A5D">
            <w:pPr>
              <w:spacing w:after="0" w:line="240" w:lineRule="auto"/>
              <w:rPr>
                <w:rFonts w:ascii="Arial" w:hAnsi="Arial" w:cs="Arial"/>
                <w:sz w:val="20"/>
                <w:szCs w:val="20"/>
              </w:rPr>
            </w:pPr>
            <w:r>
              <w:rPr>
                <w:rFonts w:ascii="Arial" w:hAnsi="Arial" w:cs="Arial"/>
                <w:noProof/>
                <w:sz w:val="20"/>
                <w:szCs w:val="20"/>
              </w:rPr>
              <w:t>Number of c</w:t>
            </w:r>
            <w:r w:rsidRPr="00531366">
              <w:rPr>
                <w:rFonts w:ascii="Arial" w:hAnsi="Arial" w:cs="Arial"/>
                <w:noProof/>
                <w:sz w:val="20"/>
                <w:szCs w:val="20"/>
              </w:rPr>
              <w:t>hildren, ages 19</w:t>
            </w:r>
            <w:r>
              <w:rPr>
                <w:rFonts w:ascii="Arial" w:hAnsi="Arial" w:cs="Arial"/>
                <w:noProof/>
                <w:sz w:val="20"/>
                <w:szCs w:val="20"/>
              </w:rPr>
              <w:t xml:space="preserve"> through </w:t>
            </w:r>
            <w:r w:rsidRPr="00531366">
              <w:rPr>
                <w:rFonts w:ascii="Arial" w:hAnsi="Arial" w:cs="Arial"/>
                <w:noProof/>
                <w:sz w:val="20"/>
                <w:szCs w:val="20"/>
              </w:rPr>
              <w:t xml:space="preserve">35 months, </w:t>
            </w:r>
            <w:r>
              <w:rPr>
                <w:rFonts w:ascii="Arial" w:hAnsi="Arial" w:cs="Arial"/>
                <w:noProof/>
                <w:sz w:val="20"/>
                <w:szCs w:val="20"/>
              </w:rPr>
              <w:t>who have completed the</w:t>
            </w:r>
            <w:r w:rsidRPr="00531366">
              <w:rPr>
                <w:rFonts w:ascii="Arial" w:hAnsi="Arial" w:cs="Arial"/>
                <w:noProof/>
                <w:sz w:val="20"/>
                <w:szCs w:val="20"/>
              </w:rPr>
              <w:t xml:space="preserve"> </w:t>
            </w:r>
            <w:r>
              <w:rPr>
                <w:rFonts w:ascii="Arial" w:hAnsi="Arial" w:cs="Arial"/>
                <w:noProof/>
                <w:sz w:val="20"/>
                <w:szCs w:val="20"/>
              </w:rPr>
              <w:t>combined 7-vaccine series of routinely recommended vaccinations (</w:t>
            </w:r>
            <w:r w:rsidRPr="00531366">
              <w:rPr>
                <w:rFonts w:ascii="Arial" w:hAnsi="Arial" w:cs="Arial"/>
                <w:noProof/>
                <w:sz w:val="20"/>
                <w:szCs w:val="20"/>
              </w:rPr>
              <w:t>4:3:1:3</w:t>
            </w:r>
            <w:r>
              <w:rPr>
                <w:rFonts w:ascii="Arial" w:hAnsi="Arial" w:cs="Arial"/>
                <w:noProof/>
                <w:sz w:val="20"/>
                <w:szCs w:val="20"/>
              </w:rPr>
              <w:t>*</w:t>
            </w:r>
            <w:r w:rsidRPr="00531366">
              <w:rPr>
                <w:rFonts w:ascii="Arial" w:hAnsi="Arial" w:cs="Arial"/>
                <w:noProof/>
                <w:sz w:val="20"/>
                <w:szCs w:val="20"/>
              </w:rPr>
              <w:t>:3:1:4</w:t>
            </w:r>
            <w:r>
              <w:rPr>
                <w:rFonts w:ascii="Arial" w:hAnsi="Arial" w:cs="Arial"/>
                <w:noProof/>
                <w:sz w:val="20"/>
                <w:szCs w:val="20"/>
              </w:rPr>
              <w:t>)</w:t>
            </w:r>
          </w:p>
        </w:tc>
      </w:tr>
      <w:tr w:rsidR="004106D5" w:rsidRPr="00515E1C" w14:paraId="77876563" w14:textId="77777777" w:rsidTr="000C7A5D">
        <w:tc>
          <w:tcPr>
            <w:tcW w:w="3618" w:type="dxa"/>
            <w:shd w:val="clear" w:color="auto" w:fill="auto"/>
          </w:tcPr>
          <w:p w14:paraId="5AED5D1B"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5F19B025" w14:textId="77777777" w:rsidR="004106D5" w:rsidRPr="00531366" w:rsidRDefault="004106D5" w:rsidP="000C7A5D">
            <w:pPr>
              <w:spacing w:after="0" w:line="240" w:lineRule="auto"/>
              <w:rPr>
                <w:rFonts w:ascii="Arial" w:hAnsi="Arial" w:cs="Arial"/>
                <w:sz w:val="20"/>
                <w:szCs w:val="20"/>
              </w:rPr>
            </w:pPr>
          </w:p>
        </w:tc>
      </w:tr>
      <w:tr w:rsidR="004106D5" w:rsidRPr="00515E1C" w14:paraId="55E46179" w14:textId="77777777" w:rsidTr="000C7A5D">
        <w:tc>
          <w:tcPr>
            <w:tcW w:w="3618" w:type="dxa"/>
            <w:shd w:val="clear" w:color="auto" w:fill="auto"/>
          </w:tcPr>
          <w:p w14:paraId="20498106"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3EE798F9"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Denominator:</w:t>
            </w:r>
          </w:p>
        </w:tc>
      </w:tr>
      <w:tr w:rsidR="004106D5" w:rsidRPr="00515E1C" w14:paraId="69EBE1C2" w14:textId="77777777" w:rsidTr="000C7A5D">
        <w:tc>
          <w:tcPr>
            <w:tcW w:w="3618" w:type="dxa"/>
            <w:shd w:val="clear" w:color="auto" w:fill="auto"/>
          </w:tcPr>
          <w:p w14:paraId="357C30B4"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786549BF" w14:textId="77777777" w:rsidR="004106D5" w:rsidRPr="00531366" w:rsidRDefault="004106D5" w:rsidP="000C7A5D">
            <w:pPr>
              <w:spacing w:after="0" w:line="240" w:lineRule="auto"/>
              <w:rPr>
                <w:rFonts w:ascii="Arial" w:hAnsi="Arial" w:cs="Arial"/>
                <w:noProof/>
                <w:sz w:val="20"/>
                <w:szCs w:val="20"/>
              </w:rPr>
            </w:pPr>
            <w:r>
              <w:rPr>
                <w:rFonts w:ascii="Arial" w:hAnsi="Arial" w:cs="Arial"/>
                <w:noProof/>
                <w:sz w:val="20"/>
                <w:szCs w:val="20"/>
              </w:rPr>
              <w:t xml:space="preserve">Number of </w:t>
            </w:r>
            <w:r w:rsidRPr="00531366">
              <w:rPr>
                <w:rFonts w:ascii="Arial" w:hAnsi="Arial" w:cs="Arial"/>
                <w:noProof/>
                <w:sz w:val="20"/>
                <w:szCs w:val="20"/>
              </w:rPr>
              <w:t>children, ages 19</w:t>
            </w:r>
            <w:r>
              <w:rPr>
                <w:rFonts w:ascii="Arial" w:hAnsi="Arial" w:cs="Arial"/>
                <w:noProof/>
                <w:sz w:val="20"/>
                <w:szCs w:val="20"/>
              </w:rPr>
              <w:t xml:space="preserve"> through </w:t>
            </w:r>
            <w:r w:rsidRPr="00531366">
              <w:rPr>
                <w:rFonts w:ascii="Arial" w:hAnsi="Arial" w:cs="Arial"/>
                <w:noProof/>
                <w:sz w:val="20"/>
                <w:szCs w:val="20"/>
              </w:rPr>
              <w:t>35 months</w:t>
            </w:r>
          </w:p>
          <w:p w14:paraId="60CB14DA" w14:textId="77777777" w:rsidR="004106D5" w:rsidRPr="00531366" w:rsidRDefault="004106D5" w:rsidP="000C7A5D">
            <w:pPr>
              <w:spacing w:after="0" w:line="240" w:lineRule="auto"/>
              <w:rPr>
                <w:rFonts w:ascii="Arial" w:hAnsi="Arial" w:cs="Arial"/>
                <w:sz w:val="20"/>
                <w:szCs w:val="20"/>
              </w:rPr>
            </w:pPr>
          </w:p>
        </w:tc>
      </w:tr>
      <w:tr w:rsidR="004106D5" w:rsidRPr="00515E1C" w14:paraId="7BA193AF" w14:textId="77777777" w:rsidTr="000C7A5D">
        <w:tc>
          <w:tcPr>
            <w:tcW w:w="3618" w:type="dxa"/>
            <w:shd w:val="clear" w:color="auto" w:fill="auto"/>
          </w:tcPr>
          <w:p w14:paraId="1940C544"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64DC89DB" w14:textId="77777777" w:rsidR="004106D5" w:rsidRPr="00531366" w:rsidRDefault="004106D5" w:rsidP="000C7A5D">
            <w:pPr>
              <w:spacing w:after="0" w:line="240" w:lineRule="auto"/>
              <w:rPr>
                <w:rFonts w:ascii="Arial" w:hAnsi="Arial" w:cs="Arial"/>
                <w:sz w:val="20"/>
                <w:szCs w:val="20"/>
              </w:rPr>
            </w:pPr>
          </w:p>
        </w:tc>
      </w:tr>
      <w:tr w:rsidR="004106D5" w:rsidRPr="00515E1C" w14:paraId="734CD01F" w14:textId="77777777" w:rsidTr="000C7A5D">
        <w:tc>
          <w:tcPr>
            <w:tcW w:w="3618" w:type="dxa"/>
            <w:shd w:val="clear" w:color="auto" w:fill="auto"/>
          </w:tcPr>
          <w:p w14:paraId="00ABADD1" w14:textId="77777777" w:rsidR="004106D5" w:rsidRPr="00531366" w:rsidRDefault="004106D5" w:rsidP="000C7A5D">
            <w:pPr>
              <w:spacing w:after="0" w:line="240" w:lineRule="auto"/>
              <w:rPr>
                <w:rFonts w:ascii="Arial" w:hAnsi="Arial" w:cs="Arial"/>
                <w:b/>
                <w:sz w:val="20"/>
                <w:szCs w:val="20"/>
              </w:rPr>
            </w:pPr>
          </w:p>
        </w:tc>
        <w:tc>
          <w:tcPr>
            <w:tcW w:w="3384" w:type="dxa"/>
            <w:shd w:val="clear" w:color="auto" w:fill="auto"/>
          </w:tcPr>
          <w:p w14:paraId="5537ED89"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b/>
                <w:sz w:val="20"/>
                <w:szCs w:val="20"/>
              </w:rPr>
              <w:t>Units:</w:t>
            </w:r>
            <w:r w:rsidRPr="00531366">
              <w:rPr>
                <w:rFonts w:ascii="Arial" w:hAnsi="Arial" w:cs="Arial"/>
                <w:sz w:val="20"/>
                <w:szCs w:val="20"/>
              </w:rPr>
              <w:t xml:space="preserve"> </w:t>
            </w:r>
            <w:r w:rsidRPr="00531366">
              <w:rPr>
                <w:rFonts w:ascii="Arial" w:hAnsi="Arial" w:cs="Arial"/>
                <w:noProof/>
                <w:sz w:val="20"/>
                <w:szCs w:val="20"/>
              </w:rPr>
              <w:t>100</w:t>
            </w:r>
          </w:p>
        </w:tc>
        <w:tc>
          <w:tcPr>
            <w:tcW w:w="2556" w:type="dxa"/>
            <w:shd w:val="clear" w:color="auto" w:fill="auto"/>
          </w:tcPr>
          <w:p w14:paraId="5DA08CF7"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b/>
                <w:sz w:val="20"/>
                <w:szCs w:val="20"/>
              </w:rPr>
              <w:t>Text:</w:t>
            </w:r>
            <w:r w:rsidRPr="00531366">
              <w:rPr>
                <w:rFonts w:ascii="Arial" w:hAnsi="Arial" w:cs="Arial"/>
                <w:sz w:val="20"/>
                <w:szCs w:val="20"/>
              </w:rPr>
              <w:t xml:space="preserve"> </w:t>
            </w:r>
            <w:r w:rsidRPr="00531366">
              <w:rPr>
                <w:rFonts w:ascii="Arial" w:hAnsi="Arial" w:cs="Arial"/>
                <w:noProof/>
                <w:sz w:val="20"/>
                <w:szCs w:val="20"/>
              </w:rPr>
              <w:t>Percent</w:t>
            </w:r>
          </w:p>
        </w:tc>
      </w:tr>
      <w:tr w:rsidR="004106D5" w:rsidRPr="00515E1C" w14:paraId="33BA185B" w14:textId="77777777" w:rsidTr="000C7A5D">
        <w:tc>
          <w:tcPr>
            <w:tcW w:w="3618" w:type="dxa"/>
            <w:shd w:val="clear" w:color="auto" w:fill="auto"/>
          </w:tcPr>
          <w:p w14:paraId="64D920C8"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78CB8BAB" w14:textId="77777777" w:rsidR="004106D5" w:rsidRPr="00531366" w:rsidRDefault="004106D5" w:rsidP="000C7A5D">
            <w:pPr>
              <w:spacing w:after="0" w:line="240" w:lineRule="auto"/>
              <w:rPr>
                <w:rFonts w:ascii="Arial" w:hAnsi="Arial" w:cs="Arial"/>
                <w:sz w:val="20"/>
                <w:szCs w:val="20"/>
              </w:rPr>
            </w:pPr>
          </w:p>
        </w:tc>
      </w:tr>
      <w:tr w:rsidR="004106D5" w:rsidRPr="00515E1C" w14:paraId="37ECA98D" w14:textId="77777777" w:rsidTr="000C7A5D">
        <w:tc>
          <w:tcPr>
            <w:tcW w:w="3618" w:type="dxa"/>
            <w:shd w:val="clear" w:color="auto" w:fill="auto"/>
          </w:tcPr>
          <w:p w14:paraId="05453101"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HEALTHY PEOPLE 2020 OBJECTIVE</w:t>
            </w:r>
          </w:p>
        </w:tc>
        <w:tc>
          <w:tcPr>
            <w:tcW w:w="5940" w:type="dxa"/>
            <w:gridSpan w:val="2"/>
            <w:shd w:val="clear" w:color="auto" w:fill="auto"/>
          </w:tcPr>
          <w:p w14:paraId="4A75B3F3" w14:textId="77777777" w:rsidR="004106D5" w:rsidRPr="00531366" w:rsidRDefault="004106D5" w:rsidP="000C7A5D">
            <w:pPr>
              <w:spacing w:after="0" w:line="240" w:lineRule="auto"/>
              <w:rPr>
                <w:rFonts w:ascii="Arial" w:hAnsi="Arial" w:cs="Arial"/>
                <w:noProof/>
                <w:sz w:val="20"/>
                <w:szCs w:val="20"/>
              </w:rPr>
            </w:pPr>
            <w:r w:rsidRPr="00531366">
              <w:rPr>
                <w:rFonts w:ascii="Arial" w:hAnsi="Arial" w:cs="Arial"/>
                <w:noProof/>
                <w:sz w:val="20"/>
                <w:szCs w:val="20"/>
              </w:rPr>
              <w:t xml:space="preserve">Identical to Immunization and Infectious Disease (IID) 8.0: Increase the percentage of children </w:t>
            </w:r>
            <w:r>
              <w:rPr>
                <w:rFonts w:ascii="Arial" w:hAnsi="Arial" w:cs="Arial"/>
                <w:noProof/>
                <w:sz w:val="20"/>
                <w:szCs w:val="20"/>
              </w:rPr>
              <w:t>aged</w:t>
            </w:r>
            <w:r w:rsidRPr="00531366">
              <w:rPr>
                <w:rFonts w:ascii="Arial" w:hAnsi="Arial" w:cs="Arial"/>
                <w:noProof/>
                <w:sz w:val="20"/>
                <w:szCs w:val="20"/>
              </w:rPr>
              <w:t xml:space="preserve"> 19 to 35 months who receive the recommended doses of DTaP, polio, MMR, Hib, hepatitis B, varicella and pneumococcal conjugate vaccine (PCV) (Baseline in  2009 of 44.3%, Target of 80.0%)</w:t>
            </w:r>
          </w:p>
          <w:p w14:paraId="20856126" w14:textId="77777777" w:rsidR="004106D5" w:rsidRPr="00531366" w:rsidRDefault="004106D5" w:rsidP="000C7A5D">
            <w:pPr>
              <w:spacing w:after="0" w:line="240" w:lineRule="auto"/>
              <w:rPr>
                <w:rFonts w:ascii="Arial" w:hAnsi="Arial" w:cs="Arial"/>
                <w:sz w:val="20"/>
                <w:szCs w:val="20"/>
              </w:rPr>
            </w:pPr>
          </w:p>
        </w:tc>
      </w:tr>
      <w:tr w:rsidR="004106D5" w:rsidRPr="00515E1C" w14:paraId="2DD70AAD" w14:textId="77777777" w:rsidTr="000C7A5D">
        <w:tc>
          <w:tcPr>
            <w:tcW w:w="3618" w:type="dxa"/>
            <w:shd w:val="clear" w:color="auto" w:fill="auto"/>
          </w:tcPr>
          <w:p w14:paraId="0D314949"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36D53ECD" w14:textId="77777777" w:rsidR="004106D5" w:rsidRPr="00531366" w:rsidRDefault="004106D5" w:rsidP="000C7A5D">
            <w:pPr>
              <w:spacing w:after="0" w:line="240" w:lineRule="auto"/>
              <w:rPr>
                <w:rFonts w:ascii="Arial" w:hAnsi="Arial" w:cs="Arial"/>
                <w:sz w:val="20"/>
                <w:szCs w:val="20"/>
              </w:rPr>
            </w:pPr>
          </w:p>
        </w:tc>
      </w:tr>
      <w:tr w:rsidR="004106D5" w:rsidRPr="00515E1C" w14:paraId="380E3043" w14:textId="77777777" w:rsidTr="000C7A5D">
        <w:tc>
          <w:tcPr>
            <w:tcW w:w="3618" w:type="dxa"/>
            <w:shd w:val="clear" w:color="auto" w:fill="auto"/>
          </w:tcPr>
          <w:p w14:paraId="2DC15E46"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DATA SOURCES and DATA ISSUES</w:t>
            </w:r>
          </w:p>
        </w:tc>
        <w:tc>
          <w:tcPr>
            <w:tcW w:w="5940" w:type="dxa"/>
            <w:gridSpan w:val="2"/>
            <w:shd w:val="clear" w:color="auto" w:fill="auto"/>
          </w:tcPr>
          <w:p w14:paraId="6E4A6B95"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noProof/>
                <w:sz w:val="20"/>
                <w:szCs w:val="20"/>
              </w:rPr>
              <w:t>National Immunization Survey (NIS)</w:t>
            </w:r>
          </w:p>
        </w:tc>
      </w:tr>
      <w:tr w:rsidR="004106D5" w:rsidRPr="00515E1C" w14:paraId="26F19FBB" w14:textId="77777777" w:rsidTr="000C7A5D">
        <w:tc>
          <w:tcPr>
            <w:tcW w:w="3618" w:type="dxa"/>
            <w:shd w:val="clear" w:color="auto" w:fill="auto"/>
          </w:tcPr>
          <w:p w14:paraId="135E3B02"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210A65D7" w14:textId="77777777" w:rsidR="004106D5" w:rsidRPr="00531366" w:rsidRDefault="004106D5" w:rsidP="000C7A5D">
            <w:pPr>
              <w:spacing w:after="0" w:line="240" w:lineRule="auto"/>
              <w:rPr>
                <w:rFonts w:ascii="Arial" w:hAnsi="Arial" w:cs="Arial"/>
                <w:sz w:val="20"/>
                <w:szCs w:val="20"/>
              </w:rPr>
            </w:pPr>
          </w:p>
        </w:tc>
      </w:tr>
      <w:tr w:rsidR="004106D5" w:rsidRPr="00515E1C" w14:paraId="7D145117" w14:textId="77777777" w:rsidTr="000C7A5D">
        <w:tc>
          <w:tcPr>
            <w:tcW w:w="3618" w:type="dxa"/>
            <w:shd w:val="clear" w:color="auto" w:fill="auto"/>
          </w:tcPr>
          <w:p w14:paraId="1E898C5F"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SIGNIFICANCE</w:t>
            </w:r>
          </w:p>
        </w:tc>
        <w:tc>
          <w:tcPr>
            <w:tcW w:w="5940" w:type="dxa"/>
            <w:gridSpan w:val="2"/>
            <w:shd w:val="clear" w:color="auto" w:fill="auto"/>
          </w:tcPr>
          <w:p w14:paraId="1DDADE46" w14:textId="77777777" w:rsidR="004106D5" w:rsidRDefault="004106D5" w:rsidP="000C7A5D">
            <w:pPr>
              <w:spacing w:after="0" w:line="240" w:lineRule="auto"/>
              <w:rPr>
                <w:rFonts w:ascii="Arial" w:hAnsi="Arial" w:cs="Arial"/>
                <w:noProof/>
                <w:sz w:val="20"/>
                <w:szCs w:val="20"/>
              </w:rPr>
            </w:pPr>
            <w:r w:rsidRPr="00531366">
              <w:rPr>
                <w:rFonts w:ascii="Arial" w:hAnsi="Arial" w:cs="Arial"/>
                <w:noProof/>
                <w:sz w:val="20"/>
                <w:szCs w:val="20"/>
              </w:rPr>
              <w:t>Vaccination is one of the greatest public health achievements of the 20th century, resulting in dramatic declines in morbidity and mortality for many infectious diseases. Childhood vaccination in particular is considered among the most cost-effective preventive services available, as it averts a potential lifetime lost to death and disability.</w:t>
            </w:r>
            <w:r>
              <w:rPr>
                <w:rFonts w:ascii="Arial" w:hAnsi="Arial" w:cs="Arial"/>
                <w:noProof/>
                <w:sz w:val="20"/>
                <w:szCs w:val="20"/>
              </w:rPr>
              <w:t xml:space="preserve">  </w:t>
            </w:r>
            <w:r w:rsidRPr="00531366">
              <w:rPr>
                <w:rFonts w:ascii="Arial" w:hAnsi="Arial" w:cs="Arial"/>
                <w:noProof/>
                <w:sz w:val="20"/>
                <w:szCs w:val="20"/>
              </w:rPr>
              <w:t xml:space="preserve">Currently, there are 12 different vaccines recommended by the Centers for Disease Control and Prevention from birth through age 18, many of which require multiple doses for effectiveness as well as boosters to sustain immunity.  </w:t>
            </w:r>
          </w:p>
          <w:p w14:paraId="708DDB06" w14:textId="77777777" w:rsidR="004106D5" w:rsidRDefault="004106D5" w:rsidP="000C7A5D">
            <w:pPr>
              <w:spacing w:after="0" w:line="240" w:lineRule="auto"/>
              <w:rPr>
                <w:rFonts w:ascii="Arial" w:hAnsi="Arial" w:cs="Arial"/>
                <w:noProof/>
                <w:sz w:val="20"/>
                <w:szCs w:val="20"/>
              </w:rPr>
            </w:pPr>
          </w:p>
          <w:p w14:paraId="0D186CD8" w14:textId="77777777" w:rsidR="004106D5" w:rsidRPr="00531366" w:rsidRDefault="000A3835" w:rsidP="000C7A5D">
            <w:pPr>
              <w:spacing w:after="0" w:line="240" w:lineRule="auto"/>
              <w:rPr>
                <w:rFonts w:ascii="Arial" w:hAnsi="Arial" w:cs="Arial"/>
                <w:sz w:val="20"/>
                <w:szCs w:val="20"/>
              </w:rPr>
            </w:pPr>
            <w:hyperlink r:id="rId115" w:history="1">
              <w:r w:rsidR="004106D5" w:rsidRPr="00057ED2">
                <w:rPr>
                  <w:rStyle w:val="Hyperlink"/>
                  <w:rFonts w:ascii="Arial" w:hAnsi="Arial" w:cs="Arial"/>
                  <w:noProof/>
                  <w:sz w:val="20"/>
                  <w:szCs w:val="20"/>
                </w:rPr>
                <w:t>https://www.cdc.gov/vaccines/index.html</w:t>
              </w:r>
            </w:hyperlink>
            <w:r w:rsidR="004106D5">
              <w:rPr>
                <w:rFonts w:ascii="Arial" w:hAnsi="Arial" w:cs="Arial"/>
                <w:noProof/>
                <w:sz w:val="20"/>
                <w:szCs w:val="20"/>
              </w:rPr>
              <w:t xml:space="preserve"> </w:t>
            </w:r>
            <w:r w:rsidR="004106D5" w:rsidRPr="000A0F0B" w:rsidDel="00F814F1">
              <w:rPr>
                <w:rFonts w:ascii="Arial" w:hAnsi="Arial" w:cs="Arial"/>
                <w:noProof/>
                <w:sz w:val="20"/>
                <w:szCs w:val="20"/>
              </w:rPr>
              <w:t xml:space="preserve"> </w:t>
            </w:r>
            <w:r w:rsidR="004106D5">
              <w:rPr>
                <w:rFonts w:ascii="Arial" w:hAnsi="Arial" w:cs="Arial"/>
                <w:noProof/>
                <w:sz w:val="20"/>
                <w:szCs w:val="20"/>
              </w:rPr>
              <w:t xml:space="preserve"> </w:t>
            </w:r>
          </w:p>
        </w:tc>
      </w:tr>
      <w:tr w:rsidR="004106D5" w:rsidRPr="00515E1C" w14:paraId="4572F9D8" w14:textId="77777777" w:rsidTr="000C7A5D">
        <w:tc>
          <w:tcPr>
            <w:tcW w:w="3618" w:type="dxa"/>
            <w:shd w:val="clear" w:color="auto" w:fill="auto"/>
          </w:tcPr>
          <w:p w14:paraId="0F77C928" w14:textId="77777777" w:rsidR="004106D5" w:rsidRPr="00531366" w:rsidRDefault="004106D5" w:rsidP="000C7A5D">
            <w:pPr>
              <w:spacing w:after="0" w:line="240" w:lineRule="auto"/>
              <w:rPr>
                <w:rFonts w:ascii="Arial" w:hAnsi="Arial" w:cs="Arial"/>
                <w:sz w:val="20"/>
                <w:szCs w:val="20"/>
              </w:rPr>
            </w:pPr>
          </w:p>
        </w:tc>
        <w:tc>
          <w:tcPr>
            <w:tcW w:w="5940" w:type="dxa"/>
            <w:gridSpan w:val="2"/>
            <w:shd w:val="clear" w:color="auto" w:fill="auto"/>
          </w:tcPr>
          <w:p w14:paraId="016CC94B" w14:textId="77777777" w:rsidR="004106D5" w:rsidRPr="00531366" w:rsidRDefault="004106D5" w:rsidP="000C7A5D">
            <w:pPr>
              <w:spacing w:after="0" w:line="240" w:lineRule="auto"/>
              <w:rPr>
                <w:rFonts w:ascii="Arial" w:hAnsi="Arial" w:cs="Arial"/>
                <w:sz w:val="20"/>
                <w:szCs w:val="20"/>
              </w:rPr>
            </w:pPr>
          </w:p>
        </w:tc>
      </w:tr>
    </w:tbl>
    <w:p w14:paraId="66E7A4C4" w14:textId="77777777" w:rsidR="004106D5" w:rsidRDefault="004106D5" w:rsidP="004106D5">
      <w:pPr>
        <w:spacing w:after="0" w:line="240" w:lineRule="auto"/>
        <w:sectPr w:rsidR="004106D5" w:rsidSect="00514C00">
          <w:pgSz w:w="12240" w:h="15840"/>
          <w:pgMar w:top="1440" w:right="1440" w:bottom="1440" w:left="1440" w:header="720" w:footer="720" w:gutter="0"/>
          <w:cols w:space="720"/>
          <w:docGrid w:linePitch="360"/>
        </w:sectPr>
      </w:pPr>
    </w:p>
    <w:tbl>
      <w:tblPr>
        <w:tblW w:w="0" w:type="auto"/>
        <w:tblLook w:val="04A0" w:firstRow="1" w:lastRow="0" w:firstColumn="1" w:lastColumn="0" w:noHBand="0" w:noVBand="1"/>
      </w:tblPr>
      <w:tblGrid>
        <w:gridCol w:w="3618"/>
        <w:gridCol w:w="5868"/>
      </w:tblGrid>
      <w:tr w:rsidR="004106D5" w:rsidRPr="003F48A1" w14:paraId="188F9C3B" w14:textId="77777777" w:rsidTr="000C7A5D">
        <w:tc>
          <w:tcPr>
            <w:tcW w:w="3618" w:type="dxa"/>
            <w:shd w:val="clear" w:color="auto" w:fill="auto"/>
          </w:tcPr>
          <w:p w14:paraId="5FA8DB94" w14:textId="77777777" w:rsidR="004106D5" w:rsidRPr="00531366" w:rsidRDefault="004106D5" w:rsidP="000C7A5D">
            <w:pPr>
              <w:spacing w:after="0" w:line="240" w:lineRule="auto"/>
              <w:rPr>
                <w:rFonts w:ascii="Arial" w:hAnsi="Arial" w:cs="Arial"/>
                <w:b/>
                <w:sz w:val="24"/>
                <w:szCs w:val="24"/>
              </w:rPr>
            </w:pPr>
            <w:r w:rsidRPr="00531366">
              <w:rPr>
                <w:rFonts w:ascii="Arial" w:hAnsi="Arial" w:cs="Arial"/>
                <w:b/>
                <w:sz w:val="24"/>
                <w:szCs w:val="24"/>
              </w:rPr>
              <w:t xml:space="preserve">OUTCOME MEASURE </w:t>
            </w:r>
            <w:r>
              <w:rPr>
                <w:rFonts w:ascii="Arial" w:hAnsi="Arial" w:cs="Arial"/>
                <w:b/>
                <w:noProof/>
                <w:sz w:val="24"/>
                <w:szCs w:val="24"/>
              </w:rPr>
              <w:t>22</w:t>
            </w:r>
            <w:r w:rsidRPr="00531366">
              <w:rPr>
                <w:rFonts w:ascii="Arial" w:hAnsi="Arial" w:cs="Arial"/>
                <w:b/>
                <w:noProof/>
                <w:sz w:val="24"/>
                <w:szCs w:val="24"/>
              </w:rPr>
              <w:t>.2</w:t>
            </w:r>
          </w:p>
        </w:tc>
        <w:tc>
          <w:tcPr>
            <w:tcW w:w="5868" w:type="dxa"/>
            <w:shd w:val="clear" w:color="auto" w:fill="auto"/>
          </w:tcPr>
          <w:p w14:paraId="6BFC9794" w14:textId="77777777" w:rsidR="004106D5" w:rsidRPr="00531366" w:rsidRDefault="004106D5" w:rsidP="000C7A5D">
            <w:pPr>
              <w:spacing w:after="0" w:line="240" w:lineRule="auto"/>
              <w:rPr>
                <w:rFonts w:ascii="Arial" w:hAnsi="Arial" w:cs="Arial"/>
                <w:b/>
                <w:noProof/>
                <w:sz w:val="24"/>
                <w:szCs w:val="24"/>
              </w:rPr>
            </w:pPr>
            <w:r w:rsidRPr="00531366">
              <w:rPr>
                <w:rFonts w:ascii="Arial" w:hAnsi="Arial" w:cs="Arial"/>
                <w:b/>
                <w:noProof/>
                <w:sz w:val="24"/>
                <w:szCs w:val="24"/>
              </w:rPr>
              <w:t>Percent of children</w:t>
            </w:r>
            <w:r>
              <w:rPr>
                <w:rFonts w:ascii="Arial" w:hAnsi="Arial" w:cs="Arial"/>
                <w:b/>
                <w:noProof/>
                <w:sz w:val="24"/>
                <w:szCs w:val="24"/>
              </w:rPr>
              <w:t>, ages</w:t>
            </w:r>
            <w:r w:rsidRPr="00531366">
              <w:rPr>
                <w:rFonts w:ascii="Arial" w:hAnsi="Arial" w:cs="Arial"/>
                <w:b/>
                <w:noProof/>
                <w:sz w:val="24"/>
                <w:szCs w:val="24"/>
              </w:rPr>
              <w:t xml:space="preserve"> 6 months </w:t>
            </w:r>
            <w:r>
              <w:rPr>
                <w:rFonts w:ascii="Arial" w:hAnsi="Arial" w:cs="Arial"/>
                <w:b/>
                <w:noProof/>
                <w:sz w:val="24"/>
                <w:szCs w:val="24"/>
              </w:rPr>
              <w:t>through</w:t>
            </w:r>
            <w:r w:rsidRPr="00531366">
              <w:rPr>
                <w:rFonts w:ascii="Arial" w:hAnsi="Arial" w:cs="Arial"/>
                <w:b/>
                <w:noProof/>
                <w:sz w:val="24"/>
                <w:szCs w:val="24"/>
              </w:rPr>
              <w:t xml:space="preserve"> 17 years</w:t>
            </w:r>
            <w:r>
              <w:rPr>
                <w:rFonts w:ascii="Arial" w:hAnsi="Arial" w:cs="Arial"/>
                <w:b/>
                <w:noProof/>
                <w:sz w:val="24"/>
                <w:szCs w:val="24"/>
              </w:rPr>
              <w:t>,</w:t>
            </w:r>
            <w:r w:rsidRPr="00531366">
              <w:rPr>
                <w:rFonts w:ascii="Arial" w:hAnsi="Arial" w:cs="Arial"/>
                <w:b/>
                <w:noProof/>
                <w:sz w:val="24"/>
                <w:szCs w:val="24"/>
              </w:rPr>
              <w:t xml:space="preserve"> who are vaccinated annually against seasonal influenza</w:t>
            </w:r>
          </w:p>
          <w:p w14:paraId="544FE84C" w14:textId="77777777" w:rsidR="004106D5" w:rsidRPr="00531366" w:rsidRDefault="004106D5" w:rsidP="000C7A5D">
            <w:pPr>
              <w:spacing w:after="0" w:line="240" w:lineRule="auto"/>
              <w:rPr>
                <w:rFonts w:ascii="Arial" w:hAnsi="Arial" w:cs="Arial"/>
                <w:b/>
                <w:sz w:val="24"/>
                <w:szCs w:val="24"/>
              </w:rPr>
            </w:pPr>
          </w:p>
        </w:tc>
      </w:tr>
    </w:tbl>
    <w:p w14:paraId="58693722" w14:textId="77777777" w:rsidR="004106D5" w:rsidRDefault="004106D5" w:rsidP="004106D5">
      <w:pPr>
        <w:spacing w:after="0" w:line="240" w:lineRule="auto"/>
      </w:pPr>
    </w:p>
    <w:p w14:paraId="5774F9ED" w14:textId="77777777" w:rsidR="004106D5" w:rsidRDefault="004106D5" w:rsidP="004106D5">
      <w:pPr>
        <w:spacing w:after="0" w:line="240" w:lineRule="auto"/>
      </w:pPr>
      <w:r>
        <w:rPr>
          <w:noProof/>
        </w:rPr>
        <mc:AlternateContent>
          <mc:Choice Requires="wps">
            <w:drawing>
              <wp:anchor distT="4294967295" distB="4294967295" distL="114300" distR="114300" simplePos="0" relativeHeight="251783168" behindDoc="0" locked="0" layoutInCell="1" allowOverlap="1" wp14:anchorId="6504CDA2" wp14:editId="0451B112">
                <wp:simplePos x="0" y="0"/>
                <wp:positionH relativeFrom="column">
                  <wp:posOffset>-60960</wp:posOffset>
                </wp:positionH>
                <wp:positionV relativeFrom="paragraph">
                  <wp:posOffset>31749</wp:posOffset>
                </wp:positionV>
                <wp:extent cx="6088380" cy="0"/>
                <wp:effectExtent l="0" t="0" r="26670" b="19050"/>
                <wp:wrapNone/>
                <wp:docPr id="40"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FEA7435" id="Straight Connector 17" o:spid="_x0000_s1026" style="position:absolute;z-index:251783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" strokecolor="windowText" strokeweight="1.75pt">
                <o:lock v:ext="edit" shapetype="f"/>
              </v:line>
            </w:pict>
          </mc:Fallback>
        </mc:AlternateContent>
      </w:r>
    </w:p>
    <w:tbl>
      <w:tblPr>
        <w:tblW w:w="0" w:type="auto"/>
        <w:tblLook w:val="04A0" w:firstRow="1" w:lastRow="0" w:firstColumn="1" w:lastColumn="0" w:noHBand="0" w:noVBand="1"/>
      </w:tblPr>
      <w:tblGrid>
        <w:gridCol w:w="3618"/>
        <w:gridCol w:w="3384"/>
        <w:gridCol w:w="2556"/>
      </w:tblGrid>
      <w:tr w:rsidR="004106D5" w:rsidRPr="00515E1C" w14:paraId="60D46807" w14:textId="77777777" w:rsidTr="000C7A5D">
        <w:tc>
          <w:tcPr>
            <w:tcW w:w="3618" w:type="dxa"/>
            <w:shd w:val="clear" w:color="auto" w:fill="auto"/>
          </w:tcPr>
          <w:p w14:paraId="3DA4EC7D"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GOAL</w:t>
            </w:r>
          </w:p>
        </w:tc>
        <w:tc>
          <w:tcPr>
            <w:tcW w:w="5940" w:type="dxa"/>
            <w:gridSpan w:val="2"/>
            <w:shd w:val="clear" w:color="auto" w:fill="auto"/>
          </w:tcPr>
          <w:p w14:paraId="7B1146C2" w14:textId="09170AA7" w:rsidR="004106D5" w:rsidRPr="00531366" w:rsidRDefault="004106D5" w:rsidP="00FB0985">
            <w:pPr>
              <w:spacing w:after="0" w:line="240" w:lineRule="auto"/>
              <w:rPr>
                <w:rFonts w:ascii="Arial" w:hAnsi="Arial" w:cs="Arial"/>
                <w:sz w:val="20"/>
                <w:szCs w:val="20"/>
              </w:rPr>
            </w:pPr>
            <w:r w:rsidRPr="00531366">
              <w:rPr>
                <w:rFonts w:ascii="Arial" w:hAnsi="Arial" w:cs="Arial"/>
                <w:noProof/>
                <w:sz w:val="20"/>
                <w:szCs w:val="20"/>
              </w:rPr>
              <w:t xml:space="preserve">To increase the </w:t>
            </w:r>
            <w:r w:rsidR="00FB0985">
              <w:rPr>
                <w:rFonts w:ascii="Arial" w:hAnsi="Arial" w:cs="Arial"/>
                <w:noProof/>
                <w:sz w:val="20"/>
                <w:szCs w:val="20"/>
              </w:rPr>
              <w:t>percent</w:t>
            </w:r>
            <w:r w:rsidRPr="00531366">
              <w:rPr>
                <w:rFonts w:ascii="Arial" w:hAnsi="Arial" w:cs="Arial"/>
                <w:noProof/>
                <w:sz w:val="20"/>
                <w:szCs w:val="20"/>
              </w:rPr>
              <w:t xml:space="preserve"> of children and adolescents who have completed recommended vaccines.</w:t>
            </w:r>
          </w:p>
        </w:tc>
      </w:tr>
      <w:tr w:rsidR="004106D5" w:rsidRPr="00515E1C" w14:paraId="15BF7013" w14:textId="77777777" w:rsidTr="000C7A5D">
        <w:tc>
          <w:tcPr>
            <w:tcW w:w="3618" w:type="dxa"/>
            <w:shd w:val="clear" w:color="auto" w:fill="auto"/>
          </w:tcPr>
          <w:p w14:paraId="4FA7AF95"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6F07B534" w14:textId="77777777" w:rsidR="004106D5" w:rsidRPr="00531366" w:rsidRDefault="004106D5" w:rsidP="000C7A5D">
            <w:pPr>
              <w:spacing w:after="0" w:line="240" w:lineRule="auto"/>
              <w:rPr>
                <w:rFonts w:ascii="Arial" w:hAnsi="Arial" w:cs="Arial"/>
                <w:sz w:val="20"/>
                <w:szCs w:val="20"/>
              </w:rPr>
            </w:pPr>
          </w:p>
        </w:tc>
      </w:tr>
      <w:tr w:rsidR="004106D5" w:rsidRPr="00515E1C" w14:paraId="1CEEF621" w14:textId="77777777" w:rsidTr="000C7A5D">
        <w:tc>
          <w:tcPr>
            <w:tcW w:w="3618" w:type="dxa"/>
            <w:shd w:val="clear" w:color="auto" w:fill="auto"/>
          </w:tcPr>
          <w:p w14:paraId="6C3B36D5"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DEFINITION</w:t>
            </w:r>
          </w:p>
        </w:tc>
        <w:tc>
          <w:tcPr>
            <w:tcW w:w="5940" w:type="dxa"/>
            <w:gridSpan w:val="2"/>
            <w:shd w:val="clear" w:color="auto" w:fill="auto"/>
          </w:tcPr>
          <w:p w14:paraId="36B3707B"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Numerator:</w:t>
            </w:r>
          </w:p>
        </w:tc>
      </w:tr>
      <w:tr w:rsidR="004106D5" w:rsidRPr="00515E1C" w14:paraId="4DE8BFBA" w14:textId="77777777" w:rsidTr="000C7A5D">
        <w:tc>
          <w:tcPr>
            <w:tcW w:w="3618" w:type="dxa"/>
            <w:shd w:val="clear" w:color="auto" w:fill="auto"/>
          </w:tcPr>
          <w:p w14:paraId="1665027E"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3C1D5F96" w14:textId="77777777" w:rsidR="004106D5" w:rsidRPr="00531366" w:rsidRDefault="004106D5" w:rsidP="000C7A5D">
            <w:pPr>
              <w:spacing w:after="0" w:line="240" w:lineRule="auto"/>
              <w:rPr>
                <w:rFonts w:ascii="Arial" w:hAnsi="Arial" w:cs="Arial"/>
                <w:sz w:val="20"/>
                <w:szCs w:val="20"/>
              </w:rPr>
            </w:pPr>
            <w:r>
              <w:rPr>
                <w:rFonts w:ascii="Arial" w:hAnsi="Arial" w:cs="Arial"/>
                <w:noProof/>
                <w:sz w:val="20"/>
                <w:szCs w:val="20"/>
              </w:rPr>
              <w:t>Number of c</w:t>
            </w:r>
            <w:r w:rsidRPr="00531366">
              <w:rPr>
                <w:rFonts w:ascii="Arial" w:hAnsi="Arial" w:cs="Arial"/>
                <w:noProof/>
                <w:sz w:val="20"/>
                <w:szCs w:val="20"/>
              </w:rPr>
              <w:t xml:space="preserve">hildren 6 months </w:t>
            </w:r>
            <w:r>
              <w:rPr>
                <w:rFonts w:ascii="Arial" w:hAnsi="Arial" w:cs="Arial"/>
                <w:noProof/>
                <w:sz w:val="20"/>
                <w:szCs w:val="20"/>
              </w:rPr>
              <w:t>through</w:t>
            </w:r>
            <w:r w:rsidRPr="00531366">
              <w:rPr>
                <w:rFonts w:ascii="Arial" w:hAnsi="Arial" w:cs="Arial"/>
                <w:noProof/>
                <w:sz w:val="20"/>
                <w:szCs w:val="20"/>
              </w:rPr>
              <w:t xml:space="preserve"> 17 years who are vaccinated annually against seasonal influenza</w:t>
            </w:r>
          </w:p>
        </w:tc>
      </w:tr>
      <w:tr w:rsidR="004106D5" w:rsidRPr="00515E1C" w14:paraId="2C1C288A" w14:textId="77777777" w:rsidTr="000C7A5D">
        <w:tc>
          <w:tcPr>
            <w:tcW w:w="3618" w:type="dxa"/>
            <w:shd w:val="clear" w:color="auto" w:fill="auto"/>
          </w:tcPr>
          <w:p w14:paraId="75103249"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0966140F" w14:textId="77777777" w:rsidR="004106D5" w:rsidRPr="00531366" w:rsidRDefault="004106D5" w:rsidP="000C7A5D">
            <w:pPr>
              <w:spacing w:after="0" w:line="240" w:lineRule="auto"/>
              <w:rPr>
                <w:rFonts w:ascii="Arial" w:hAnsi="Arial" w:cs="Arial"/>
                <w:sz w:val="20"/>
                <w:szCs w:val="20"/>
              </w:rPr>
            </w:pPr>
          </w:p>
        </w:tc>
      </w:tr>
      <w:tr w:rsidR="004106D5" w:rsidRPr="00515E1C" w14:paraId="25BE4F4D" w14:textId="77777777" w:rsidTr="000C7A5D">
        <w:tc>
          <w:tcPr>
            <w:tcW w:w="3618" w:type="dxa"/>
            <w:shd w:val="clear" w:color="auto" w:fill="auto"/>
          </w:tcPr>
          <w:p w14:paraId="4F4C0C99"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338C3AF3"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Denominator:</w:t>
            </w:r>
          </w:p>
        </w:tc>
      </w:tr>
      <w:tr w:rsidR="004106D5" w:rsidRPr="00515E1C" w14:paraId="7CC5D7BB" w14:textId="77777777" w:rsidTr="000C7A5D">
        <w:tc>
          <w:tcPr>
            <w:tcW w:w="3618" w:type="dxa"/>
            <w:shd w:val="clear" w:color="auto" w:fill="auto"/>
          </w:tcPr>
          <w:p w14:paraId="10F4FA58"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2134AC61" w14:textId="77777777" w:rsidR="004106D5" w:rsidRPr="00531366" w:rsidRDefault="004106D5" w:rsidP="000C7A5D">
            <w:pPr>
              <w:spacing w:after="0" w:line="240" w:lineRule="auto"/>
              <w:rPr>
                <w:rFonts w:ascii="Arial" w:hAnsi="Arial" w:cs="Arial"/>
                <w:sz w:val="20"/>
                <w:szCs w:val="20"/>
              </w:rPr>
            </w:pPr>
            <w:r>
              <w:rPr>
                <w:rFonts w:ascii="Arial" w:hAnsi="Arial" w:cs="Arial"/>
                <w:noProof/>
                <w:sz w:val="20"/>
                <w:szCs w:val="20"/>
              </w:rPr>
              <w:t xml:space="preserve">Number of </w:t>
            </w:r>
            <w:r w:rsidRPr="00531366">
              <w:rPr>
                <w:rFonts w:ascii="Arial" w:hAnsi="Arial" w:cs="Arial"/>
                <w:noProof/>
                <w:sz w:val="20"/>
                <w:szCs w:val="20"/>
              </w:rPr>
              <w:t>children, ages 6 months through 17 years</w:t>
            </w:r>
          </w:p>
        </w:tc>
      </w:tr>
      <w:tr w:rsidR="004106D5" w:rsidRPr="00515E1C" w14:paraId="6697831E" w14:textId="77777777" w:rsidTr="000C7A5D">
        <w:tc>
          <w:tcPr>
            <w:tcW w:w="3618" w:type="dxa"/>
            <w:shd w:val="clear" w:color="auto" w:fill="auto"/>
          </w:tcPr>
          <w:p w14:paraId="4CF2209C"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7FD9EE4A" w14:textId="77777777" w:rsidR="004106D5" w:rsidRPr="00531366" w:rsidRDefault="004106D5" w:rsidP="000C7A5D">
            <w:pPr>
              <w:spacing w:after="0" w:line="240" w:lineRule="auto"/>
              <w:rPr>
                <w:rFonts w:ascii="Arial" w:hAnsi="Arial" w:cs="Arial"/>
                <w:sz w:val="20"/>
                <w:szCs w:val="20"/>
              </w:rPr>
            </w:pPr>
          </w:p>
        </w:tc>
      </w:tr>
      <w:tr w:rsidR="004106D5" w:rsidRPr="00515E1C" w14:paraId="2E9B13FD" w14:textId="77777777" w:rsidTr="000C7A5D">
        <w:tc>
          <w:tcPr>
            <w:tcW w:w="3618" w:type="dxa"/>
            <w:shd w:val="clear" w:color="auto" w:fill="auto"/>
          </w:tcPr>
          <w:p w14:paraId="5D8E0803" w14:textId="77777777" w:rsidR="004106D5" w:rsidRPr="00531366" w:rsidRDefault="004106D5" w:rsidP="000C7A5D">
            <w:pPr>
              <w:spacing w:after="0" w:line="240" w:lineRule="auto"/>
              <w:rPr>
                <w:rFonts w:ascii="Arial" w:hAnsi="Arial" w:cs="Arial"/>
                <w:b/>
                <w:sz w:val="20"/>
                <w:szCs w:val="20"/>
              </w:rPr>
            </w:pPr>
          </w:p>
        </w:tc>
        <w:tc>
          <w:tcPr>
            <w:tcW w:w="3384" w:type="dxa"/>
            <w:shd w:val="clear" w:color="auto" w:fill="auto"/>
          </w:tcPr>
          <w:p w14:paraId="2CD64D6F"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b/>
                <w:sz w:val="20"/>
                <w:szCs w:val="20"/>
              </w:rPr>
              <w:t>Units:</w:t>
            </w:r>
            <w:r w:rsidRPr="00531366">
              <w:rPr>
                <w:rFonts w:ascii="Arial" w:hAnsi="Arial" w:cs="Arial"/>
                <w:sz w:val="20"/>
                <w:szCs w:val="20"/>
              </w:rPr>
              <w:t xml:space="preserve"> </w:t>
            </w:r>
            <w:r w:rsidRPr="00531366">
              <w:rPr>
                <w:rFonts w:ascii="Arial" w:hAnsi="Arial" w:cs="Arial"/>
                <w:noProof/>
                <w:sz w:val="20"/>
                <w:szCs w:val="20"/>
              </w:rPr>
              <w:t>100</w:t>
            </w:r>
          </w:p>
        </w:tc>
        <w:tc>
          <w:tcPr>
            <w:tcW w:w="2556" w:type="dxa"/>
            <w:shd w:val="clear" w:color="auto" w:fill="auto"/>
          </w:tcPr>
          <w:p w14:paraId="346555D8"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b/>
                <w:sz w:val="20"/>
                <w:szCs w:val="20"/>
              </w:rPr>
              <w:t>Text:</w:t>
            </w:r>
            <w:r w:rsidRPr="00531366">
              <w:rPr>
                <w:rFonts w:ascii="Arial" w:hAnsi="Arial" w:cs="Arial"/>
                <w:sz w:val="20"/>
                <w:szCs w:val="20"/>
              </w:rPr>
              <w:t xml:space="preserve"> </w:t>
            </w:r>
            <w:r w:rsidRPr="00531366">
              <w:rPr>
                <w:rFonts w:ascii="Arial" w:hAnsi="Arial" w:cs="Arial"/>
                <w:noProof/>
                <w:sz w:val="20"/>
                <w:szCs w:val="20"/>
              </w:rPr>
              <w:t>Percent</w:t>
            </w:r>
          </w:p>
        </w:tc>
      </w:tr>
      <w:tr w:rsidR="004106D5" w:rsidRPr="00515E1C" w14:paraId="10ED33C0" w14:textId="77777777" w:rsidTr="000C7A5D">
        <w:tc>
          <w:tcPr>
            <w:tcW w:w="3618" w:type="dxa"/>
            <w:shd w:val="clear" w:color="auto" w:fill="auto"/>
          </w:tcPr>
          <w:p w14:paraId="0E5AA68E"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46B460AA" w14:textId="77777777" w:rsidR="004106D5" w:rsidRPr="00531366" w:rsidRDefault="004106D5" w:rsidP="000C7A5D">
            <w:pPr>
              <w:spacing w:after="0" w:line="240" w:lineRule="auto"/>
              <w:rPr>
                <w:rFonts w:ascii="Arial" w:hAnsi="Arial" w:cs="Arial"/>
                <w:sz w:val="20"/>
                <w:szCs w:val="20"/>
              </w:rPr>
            </w:pPr>
          </w:p>
        </w:tc>
      </w:tr>
      <w:tr w:rsidR="004106D5" w:rsidRPr="00515E1C" w14:paraId="34D26612" w14:textId="77777777" w:rsidTr="000C7A5D">
        <w:tc>
          <w:tcPr>
            <w:tcW w:w="3618" w:type="dxa"/>
            <w:shd w:val="clear" w:color="auto" w:fill="auto"/>
          </w:tcPr>
          <w:p w14:paraId="76E705FE"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HEALTHY PEOPLE 2020 OBJECTIVE</w:t>
            </w:r>
          </w:p>
        </w:tc>
        <w:tc>
          <w:tcPr>
            <w:tcW w:w="5940" w:type="dxa"/>
            <w:gridSpan w:val="2"/>
            <w:shd w:val="clear" w:color="auto" w:fill="auto"/>
          </w:tcPr>
          <w:p w14:paraId="17DDD8C9"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noProof/>
                <w:sz w:val="20"/>
                <w:szCs w:val="20"/>
              </w:rPr>
              <w:t xml:space="preserve">Identical to Immunization and Infectious Disease (IID) 12.11.  Increase the percentage of children </w:t>
            </w:r>
            <w:r>
              <w:rPr>
                <w:rFonts w:ascii="Arial" w:hAnsi="Arial" w:cs="Arial"/>
                <w:noProof/>
                <w:sz w:val="20"/>
                <w:szCs w:val="20"/>
              </w:rPr>
              <w:t>aged</w:t>
            </w:r>
            <w:r w:rsidRPr="00531366">
              <w:rPr>
                <w:rFonts w:ascii="Arial" w:hAnsi="Arial" w:cs="Arial"/>
                <w:noProof/>
                <w:sz w:val="20"/>
                <w:szCs w:val="20"/>
              </w:rPr>
              <w:t xml:space="preserve"> 6 months through 17 years who are vaccinated annually against seasonal influenza (Baseline of 46.9% in 2010-11 flu season, Target of 70%)</w:t>
            </w:r>
          </w:p>
        </w:tc>
      </w:tr>
      <w:tr w:rsidR="004106D5" w:rsidRPr="00515E1C" w14:paraId="40DC32B3" w14:textId="77777777" w:rsidTr="000C7A5D">
        <w:tc>
          <w:tcPr>
            <w:tcW w:w="3618" w:type="dxa"/>
            <w:shd w:val="clear" w:color="auto" w:fill="auto"/>
          </w:tcPr>
          <w:p w14:paraId="06A28C38"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24EA055B" w14:textId="77777777" w:rsidR="004106D5" w:rsidRPr="00531366" w:rsidRDefault="004106D5" w:rsidP="000C7A5D">
            <w:pPr>
              <w:spacing w:after="0" w:line="240" w:lineRule="auto"/>
              <w:rPr>
                <w:rFonts w:ascii="Arial" w:hAnsi="Arial" w:cs="Arial"/>
                <w:sz w:val="20"/>
                <w:szCs w:val="20"/>
              </w:rPr>
            </w:pPr>
          </w:p>
        </w:tc>
      </w:tr>
      <w:tr w:rsidR="004106D5" w:rsidRPr="00515E1C" w14:paraId="06B2B77E" w14:textId="77777777" w:rsidTr="000C7A5D">
        <w:tc>
          <w:tcPr>
            <w:tcW w:w="3618" w:type="dxa"/>
            <w:shd w:val="clear" w:color="auto" w:fill="auto"/>
          </w:tcPr>
          <w:p w14:paraId="5A91D12C"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DATA SOURCES and DATA ISSUES</w:t>
            </w:r>
          </w:p>
        </w:tc>
        <w:tc>
          <w:tcPr>
            <w:tcW w:w="5940" w:type="dxa"/>
            <w:gridSpan w:val="2"/>
            <w:shd w:val="clear" w:color="auto" w:fill="auto"/>
          </w:tcPr>
          <w:p w14:paraId="27125E27"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noProof/>
                <w:sz w:val="20"/>
                <w:szCs w:val="20"/>
              </w:rPr>
              <w:t>National Immunization Survey</w:t>
            </w:r>
            <w:r>
              <w:rPr>
                <w:rFonts w:ascii="Arial" w:hAnsi="Arial" w:cs="Arial"/>
                <w:noProof/>
                <w:sz w:val="20"/>
                <w:szCs w:val="20"/>
              </w:rPr>
              <w:t xml:space="preserve"> - Flu</w:t>
            </w:r>
            <w:r w:rsidRPr="00531366">
              <w:rPr>
                <w:rFonts w:ascii="Arial" w:hAnsi="Arial" w:cs="Arial"/>
                <w:noProof/>
                <w:sz w:val="20"/>
                <w:szCs w:val="20"/>
              </w:rPr>
              <w:t xml:space="preserve"> (NIS</w:t>
            </w:r>
            <w:r>
              <w:rPr>
                <w:rFonts w:ascii="Arial" w:hAnsi="Arial" w:cs="Arial"/>
                <w:noProof/>
                <w:sz w:val="20"/>
                <w:szCs w:val="20"/>
              </w:rPr>
              <w:t>-Flu)</w:t>
            </w:r>
          </w:p>
        </w:tc>
      </w:tr>
      <w:tr w:rsidR="004106D5" w:rsidRPr="00515E1C" w14:paraId="3AB30BA4" w14:textId="77777777" w:rsidTr="000C7A5D">
        <w:tc>
          <w:tcPr>
            <w:tcW w:w="3618" w:type="dxa"/>
            <w:shd w:val="clear" w:color="auto" w:fill="auto"/>
          </w:tcPr>
          <w:p w14:paraId="11360E87"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61D81BE5" w14:textId="77777777" w:rsidR="004106D5" w:rsidRPr="00531366" w:rsidRDefault="004106D5" w:rsidP="000C7A5D">
            <w:pPr>
              <w:spacing w:after="0" w:line="240" w:lineRule="auto"/>
              <w:rPr>
                <w:rFonts w:ascii="Arial" w:hAnsi="Arial" w:cs="Arial"/>
                <w:sz w:val="20"/>
                <w:szCs w:val="20"/>
              </w:rPr>
            </w:pPr>
          </w:p>
        </w:tc>
      </w:tr>
      <w:tr w:rsidR="004106D5" w:rsidRPr="00515E1C" w14:paraId="176D31B9" w14:textId="77777777" w:rsidTr="000C7A5D">
        <w:tc>
          <w:tcPr>
            <w:tcW w:w="3618" w:type="dxa"/>
            <w:shd w:val="clear" w:color="auto" w:fill="auto"/>
          </w:tcPr>
          <w:p w14:paraId="01D25831"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SIGNIFICANCE</w:t>
            </w:r>
          </w:p>
        </w:tc>
        <w:tc>
          <w:tcPr>
            <w:tcW w:w="5940" w:type="dxa"/>
            <w:gridSpan w:val="2"/>
            <w:shd w:val="clear" w:color="auto" w:fill="auto"/>
          </w:tcPr>
          <w:p w14:paraId="7D8DF975" w14:textId="77777777" w:rsidR="004106D5" w:rsidRDefault="004106D5" w:rsidP="000C7A5D">
            <w:pPr>
              <w:spacing w:after="0" w:line="240" w:lineRule="auto"/>
              <w:rPr>
                <w:rFonts w:ascii="Arial" w:hAnsi="Arial" w:cs="Arial"/>
                <w:noProof/>
                <w:sz w:val="20"/>
                <w:szCs w:val="20"/>
              </w:rPr>
            </w:pPr>
            <w:r w:rsidRPr="00531366">
              <w:rPr>
                <w:rFonts w:ascii="Arial" w:hAnsi="Arial" w:cs="Arial"/>
                <w:noProof/>
                <w:sz w:val="20"/>
                <w:szCs w:val="20"/>
              </w:rPr>
              <w:t>Vaccination is one of the greatest public health achievements of the 20th century, resulting in dramatic declines in morbidity and mortality for many infectious diseases. Childhood vaccination in particular is considered among the most cost-effective preventive services available, as it averts a potential lifetime lost to death and disability.</w:t>
            </w:r>
            <w:r>
              <w:rPr>
                <w:rFonts w:ascii="Arial" w:hAnsi="Arial" w:cs="Arial"/>
                <w:noProof/>
                <w:sz w:val="20"/>
                <w:szCs w:val="20"/>
              </w:rPr>
              <w:t xml:space="preserve">  </w:t>
            </w:r>
            <w:r w:rsidRPr="00531366">
              <w:rPr>
                <w:rFonts w:ascii="Arial" w:hAnsi="Arial" w:cs="Arial"/>
                <w:noProof/>
                <w:sz w:val="20"/>
                <w:szCs w:val="20"/>
              </w:rPr>
              <w:t xml:space="preserve">Currently, there are 12 different vaccines recommended by the Centers for Disease Control and Prevention from birth through age 18, many of which require multiple doses for effectiveness as well as boosters to sustain immunity.  </w:t>
            </w:r>
          </w:p>
          <w:p w14:paraId="4AA7FD69" w14:textId="77777777" w:rsidR="004106D5" w:rsidRDefault="004106D5" w:rsidP="000C7A5D">
            <w:pPr>
              <w:spacing w:after="0" w:line="240" w:lineRule="auto"/>
              <w:rPr>
                <w:rFonts w:ascii="Arial" w:hAnsi="Arial" w:cs="Arial"/>
                <w:noProof/>
                <w:sz w:val="20"/>
                <w:szCs w:val="20"/>
              </w:rPr>
            </w:pPr>
          </w:p>
          <w:p w14:paraId="29B171F3" w14:textId="77777777" w:rsidR="004106D5" w:rsidRPr="00531366" w:rsidRDefault="000A3835" w:rsidP="000C7A5D">
            <w:pPr>
              <w:spacing w:after="0" w:line="240" w:lineRule="auto"/>
              <w:rPr>
                <w:rFonts w:ascii="Arial" w:hAnsi="Arial" w:cs="Arial"/>
                <w:sz w:val="20"/>
                <w:szCs w:val="20"/>
              </w:rPr>
            </w:pPr>
            <w:hyperlink r:id="rId116" w:history="1">
              <w:r w:rsidR="004106D5" w:rsidRPr="00057ED2">
                <w:rPr>
                  <w:rStyle w:val="Hyperlink"/>
                  <w:rFonts w:ascii="Arial" w:hAnsi="Arial" w:cs="Arial"/>
                  <w:noProof/>
                  <w:sz w:val="20"/>
                  <w:szCs w:val="20"/>
                </w:rPr>
                <w:t>https://www.cdc.gov/vaccines/index.html</w:t>
              </w:r>
            </w:hyperlink>
            <w:r w:rsidR="004106D5">
              <w:rPr>
                <w:rFonts w:ascii="Arial" w:hAnsi="Arial" w:cs="Arial"/>
                <w:noProof/>
                <w:sz w:val="20"/>
                <w:szCs w:val="20"/>
              </w:rPr>
              <w:t xml:space="preserve"> </w:t>
            </w:r>
            <w:r w:rsidR="004106D5" w:rsidRPr="000A0F0B" w:rsidDel="00F814F1">
              <w:rPr>
                <w:rFonts w:ascii="Arial" w:hAnsi="Arial" w:cs="Arial"/>
                <w:noProof/>
                <w:sz w:val="20"/>
                <w:szCs w:val="20"/>
              </w:rPr>
              <w:t xml:space="preserve"> </w:t>
            </w:r>
            <w:r w:rsidR="004106D5">
              <w:rPr>
                <w:rFonts w:ascii="Arial" w:hAnsi="Arial" w:cs="Arial"/>
                <w:noProof/>
                <w:sz w:val="20"/>
                <w:szCs w:val="20"/>
              </w:rPr>
              <w:t xml:space="preserve"> </w:t>
            </w:r>
          </w:p>
        </w:tc>
      </w:tr>
      <w:tr w:rsidR="004106D5" w:rsidRPr="00515E1C" w14:paraId="1081FC3B" w14:textId="77777777" w:rsidTr="000C7A5D">
        <w:tc>
          <w:tcPr>
            <w:tcW w:w="3618" w:type="dxa"/>
            <w:shd w:val="clear" w:color="auto" w:fill="auto"/>
          </w:tcPr>
          <w:p w14:paraId="531953C2" w14:textId="77777777" w:rsidR="004106D5" w:rsidRPr="00531366" w:rsidRDefault="004106D5" w:rsidP="000C7A5D">
            <w:pPr>
              <w:spacing w:after="0" w:line="240" w:lineRule="auto"/>
              <w:rPr>
                <w:rFonts w:ascii="Arial" w:hAnsi="Arial" w:cs="Arial"/>
                <w:sz w:val="20"/>
                <w:szCs w:val="20"/>
              </w:rPr>
            </w:pPr>
          </w:p>
        </w:tc>
        <w:tc>
          <w:tcPr>
            <w:tcW w:w="5940" w:type="dxa"/>
            <w:gridSpan w:val="2"/>
            <w:shd w:val="clear" w:color="auto" w:fill="auto"/>
          </w:tcPr>
          <w:p w14:paraId="0DAF133E" w14:textId="77777777" w:rsidR="004106D5" w:rsidRPr="00531366" w:rsidRDefault="004106D5" w:rsidP="000C7A5D">
            <w:pPr>
              <w:spacing w:after="0" w:line="240" w:lineRule="auto"/>
              <w:rPr>
                <w:rFonts w:ascii="Arial" w:hAnsi="Arial" w:cs="Arial"/>
                <w:sz w:val="20"/>
                <w:szCs w:val="20"/>
              </w:rPr>
            </w:pPr>
          </w:p>
        </w:tc>
      </w:tr>
    </w:tbl>
    <w:p w14:paraId="65B61A94" w14:textId="77777777" w:rsidR="004106D5" w:rsidRDefault="004106D5" w:rsidP="004106D5">
      <w:pPr>
        <w:spacing w:after="0" w:line="240" w:lineRule="auto"/>
        <w:sectPr w:rsidR="004106D5" w:rsidSect="00514C00">
          <w:pgSz w:w="12240" w:h="15840"/>
          <w:pgMar w:top="1440" w:right="1440" w:bottom="1440" w:left="1440" w:header="720" w:footer="720" w:gutter="0"/>
          <w:cols w:space="720"/>
          <w:docGrid w:linePitch="360"/>
        </w:sectPr>
      </w:pPr>
    </w:p>
    <w:tbl>
      <w:tblPr>
        <w:tblW w:w="0" w:type="auto"/>
        <w:tblLook w:val="04A0" w:firstRow="1" w:lastRow="0" w:firstColumn="1" w:lastColumn="0" w:noHBand="0" w:noVBand="1"/>
      </w:tblPr>
      <w:tblGrid>
        <w:gridCol w:w="3618"/>
        <w:gridCol w:w="5868"/>
      </w:tblGrid>
      <w:tr w:rsidR="004106D5" w:rsidRPr="003F48A1" w14:paraId="04481017" w14:textId="77777777" w:rsidTr="000C7A5D">
        <w:tc>
          <w:tcPr>
            <w:tcW w:w="3618" w:type="dxa"/>
            <w:shd w:val="clear" w:color="auto" w:fill="auto"/>
          </w:tcPr>
          <w:p w14:paraId="162693FB" w14:textId="77777777" w:rsidR="004106D5" w:rsidRPr="00531366" w:rsidRDefault="004106D5" w:rsidP="000C7A5D">
            <w:pPr>
              <w:spacing w:after="0" w:line="240" w:lineRule="auto"/>
              <w:rPr>
                <w:rFonts w:ascii="Arial" w:hAnsi="Arial" w:cs="Arial"/>
                <w:b/>
                <w:sz w:val="24"/>
                <w:szCs w:val="24"/>
              </w:rPr>
            </w:pPr>
            <w:r w:rsidRPr="00531366">
              <w:rPr>
                <w:rFonts w:ascii="Arial" w:hAnsi="Arial" w:cs="Arial"/>
                <w:b/>
                <w:sz w:val="24"/>
                <w:szCs w:val="24"/>
              </w:rPr>
              <w:t xml:space="preserve">OUTCOME MEASURE </w:t>
            </w:r>
            <w:r>
              <w:rPr>
                <w:rFonts w:ascii="Arial" w:hAnsi="Arial" w:cs="Arial"/>
                <w:b/>
                <w:noProof/>
                <w:sz w:val="24"/>
                <w:szCs w:val="24"/>
              </w:rPr>
              <w:t>22</w:t>
            </w:r>
            <w:r w:rsidRPr="00531366">
              <w:rPr>
                <w:rFonts w:ascii="Arial" w:hAnsi="Arial" w:cs="Arial"/>
                <w:b/>
                <w:noProof/>
                <w:sz w:val="24"/>
                <w:szCs w:val="24"/>
              </w:rPr>
              <w:t>.3</w:t>
            </w:r>
          </w:p>
        </w:tc>
        <w:tc>
          <w:tcPr>
            <w:tcW w:w="5868" w:type="dxa"/>
            <w:shd w:val="clear" w:color="auto" w:fill="auto"/>
          </w:tcPr>
          <w:p w14:paraId="6107D375" w14:textId="77777777" w:rsidR="004106D5" w:rsidRPr="00531366" w:rsidRDefault="004106D5" w:rsidP="000C7A5D">
            <w:pPr>
              <w:spacing w:after="0" w:line="240" w:lineRule="auto"/>
              <w:rPr>
                <w:rFonts w:ascii="Arial" w:hAnsi="Arial" w:cs="Arial"/>
                <w:b/>
                <w:sz w:val="24"/>
                <w:szCs w:val="24"/>
              </w:rPr>
            </w:pPr>
            <w:r w:rsidRPr="00531366">
              <w:rPr>
                <w:rFonts w:ascii="Arial" w:hAnsi="Arial" w:cs="Arial"/>
                <w:b/>
                <w:noProof/>
                <w:sz w:val="24"/>
                <w:szCs w:val="24"/>
              </w:rPr>
              <w:t>Percent of adolescents, ages 13</w:t>
            </w:r>
            <w:r>
              <w:rPr>
                <w:rFonts w:ascii="Arial" w:hAnsi="Arial" w:cs="Arial"/>
                <w:b/>
                <w:noProof/>
                <w:sz w:val="24"/>
                <w:szCs w:val="24"/>
              </w:rPr>
              <w:t xml:space="preserve"> through </w:t>
            </w:r>
            <w:r w:rsidRPr="00531366">
              <w:rPr>
                <w:rFonts w:ascii="Arial" w:hAnsi="Arial" w:cs="Arial"/>
                <w:b/>
                <w:noProof/>
                <w:sz w:val="24"/>
                <w:szCs w:val="24"/>
              </w:rPr>
              <w:t>17, who have received at least one dose of the HPV vaccine</w:t>
            </w:r>
          </w:p>
        </w:tc>
      </w:tr>
    </w:tbl>
    <w:p w14:paraId="5B9DFB00" w14:textId="77777777" w:rsidR="004106D5" w:rsidRDefault="004106D5" w:rsidP="004106D5">
      <w:pPr>
        <w:spacing w:after="0" w:line="240" w:lineRule="auto"/>
      </w:pPr>
    </w:p>
    <w:p w14:paraId="56B31520" w14:textId="77777777" w:rsidR="004106D5" w:rsidRDefault="004106D5" w:rsidP="004106D5">
      <w:pPr>
        <w:spacing w:after="0" w:line="240" w:lineRule="auto"/>
      </w:pPr>
      <w:r>
        <w:rPr>
          <w:noProof/>
        </w:rPr>
        <mc:AlternateContent>
          <mc:Choice Requires="wps">
            <w:drawing>
              <wp:anchor distT="4294967295" distB="4294967295" distL="114300" distR="114300" simplePos="0" relativeHeight="251784192" behindDoc="0" locked="0" layoutInCell="1" allowOverlap="1" wp14:anchorId="4D02C49F" wp14:editId="7E3DF3BB">
                <wp:simplePos x="0" y="0"/>
                <wp:positionH relativeFrom="column">
                  <wp:posOffset>-60960</wp:posOffset>
                </wp:positionH>
                <wp:positionV relativeFrom="paragraph">
                  <wp:posOffset>31749</wp:posOffset>
                </wp:positionV>
                <wp:extent cx="6088380" cy="0"/>
                <wp:effectExtent l="0" t="0" r="26670" b="19050"/>
                <wp:wrapNone/>
                <wp:docPr id="39"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8D32E15" id="Straight Connector 18" o:spid="_x0000_s1026" style="position:absolute;z-index:251784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" strokecolor="windowText" strokeweight="1.75pt">
                <o:lock v:ext="edit" shapetype="f"/>
              </v:line>
            </w:pict>
          </mc:Fallback>
        </mc:AlternateContent>
      </w:r>
    </w:p>
    <w:tbl>
      <w:tblPr>
        <w:tblW w:w="0" w:type="auto"/>
        <w:tblLook w:val="04A0" w:firstRow="1" w:lastRow="0" w:firstColumn="1" w:lastColumn="0" w:noHBand="0" w:noVBand="1"/>
      </w:tblPr>
      <w:tblGrid>
        <w:gridCol w:w="3618"/>
        <w:gridCol w:w="3384"/>
        <w:gridCol w:w="2556"/>
      </w:tblGrid>
      <w:tr w:rsidR="004106D5" w:rsidRPr="00515E1C" w14:paraId="60ACC10D" w14:textId="77777777" w:rsidTr="000C7A5D">
        <w:tc>
          <w:tcPr>
            <w:tcW w:w="3618" w:type="dxa"/>
            <w:shd w:val="clear" w:color="auto" w:fill="auto"/>
          </w:tcPr>
          <w:p w14:paraId="2F3E5C92"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GOAL</w:t>
            </w:r>
          </w:p>
        </w:tc>
        <w:tc>
          <w:tcPr>
            <w:tcW w:w="5940" w:type="dxa"/>
            <w:gridSpan w:val="2"/>
            <w:shd w:val="clear" w:color="auto" w:fill="auto"/>
          </w:tcPr>
          <w:p w14:paraId="06720EC1" w14:textId="194A3D3B" w:rsidR="004106D5" w:rsidRPr="00531366" w:rsidRDefault="004106D5" w:rsidP="00FB0985">
            <w:pPr>
              <w:spacing w:after="0" w:line="240" w:lineRule="auto"/>
              <w:rPr>
                <w:rFonts w:ascii="Arial" w:hAnsi="Arial" w:cs="Arial"/>
                <w:sz w:val="20"/>
                <w:szCs w:val="20"/>
              </w:rPr>
            </w:pPr>
            <w:r w:rsidRPr="00531366">
              <w:rPr>
                <w:rFonts w:ascii="Arial" w:hAnsi="Arial" w:cs="Arial"/>
                <w:noProof/>
                <w:sz w:val="20"/>
                <w:szCs w:val="20"/>
              </w:rPr>
              <w:t xml:space="preserve">To increase the </w:t>
            </w:r>
            <w:r w:rsidR="00FB0985">
              <w:rPr>
                <w:rFonts w:ascii="Arial" w:hAnsi="Arial" w:cs="Arial"/>
                <w:noProof/>
                <w:sz w:val="20"/>
                <w:szCs w:val="20"/>
              </w:rPr>
              <w:t>percent</w:t>
            </w:r>
            <w:r w:rsidRPr="00531366">
              <w:rPr>
                <w:rFonts w:ascii="Arial" w:hAnsi="Arial" w:cs="Arial"/>
                <w:noProof/>
                <w:sz w:val="20"/>
                <w:szCs w:val="20"/>
              </w:rPr>
              <w:t xml:space="preserve"> of children and adolescents who have completed recommended vaccines.</w:t>
            </w:r>
          </w:p>
        </w:tc>
      </w:tr>
      <w:tr w:rsidR="004106D5" w:rsidRPr="00515E1C" w14:paraId="5F7BAE92" w14:textId="77777777" w:rsidTr="000C7A5D">
        <w:tc>
          <w:tcPr>
            <w:tcW w:w="3618" w:type="dxa"/>
            <w:shd w:val="clear" w:color="auto" w:fill="auto"/>
          </w:tcPr>
          <w:p w14:paraId="5E76FFBD"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163DE4B5" w14:textId="77777777" w:rsidR="004106D5" w:rsidRPr="00531366" w:rsidRDefault="004106D5" w:rsidP="000C7A5D">
            <w:pPr>
              <w:spacing w:after="0" w:line="240" w:lineRule="auto"/>
              <w:rPr>
                <w:rFonts w:ascii="Arial" w:hAnsi="Arial" w:cs="Arial"/>
                <w:sz w:val="20"/>
                <w:szCs w:val="20"/>
              </w:rPr>
            </w:pPr>
          </w:p>
        </w:tc>
      </w:tr>
      <w:tr w:rsidR="004106D5" w:rsidRPr="00515E1C" w14:paraId="2B154BA0" w14:textId="77777777" w:rsidTr="000C7A5D">
        <w:tc>
          <w:tcPr>
            <w:tcW w:w="3618" w:type="dxa"/>
            <w:shd w:val="clear" w:color="auto" w:fill="auto"/>
          </w:tcPr>
          <w:p w14:paraId="26E5076F"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DEFINITION</w:t>
            </w:r>
          </w:p>
        </w:tc>
        <w:tc>
          <w:tcPr>
            <w:tcW w:w="5940" w:type="dxa"/>
            <w:gridSpan w:val="2"/>
            <w:shd w:val="clear" w:color="auto" w:fill="auto"/>
          </w:tcPr>
          <w:p w14:paraId="3B5AF27C"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Numerator:</w:t>
            </w:r>
          </w:p>
        </w:tc>
      </w:tr>
      <w:tr w:rsidR="004106D5" w:rsidRPr="00515E1C" w14:paraId="7A5EDC24" w14:textId="77777777" w:rsidTr="000C7A5D">
        <w:tc>
          <w:tcPr>
            <w:tcW w:w="3618" w:type="dxa"/>
            <w:shd w:val="clear" w:color="auto" w:fill="auto"/>
          </w:tcPr>
          <w:p w14:paraId="6B030506"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6DE4B774" w14:textId="77777777" w:rsidR="004106D5" w:rsidRPr="00531366" w:rsidRDefault="004106D5" w:rsidP="000C7A5D">
            <w:pPr>
              <w:spacing w:after="0" w:line="240" w:lineRule="auto"/>
              <w:rPr>
                <w:rFonts w:ascii="Arial" w:hAnsi="Arial" w:cs="Arial"/>
                <w:sz w:val="20"/>
                <w:szCs w:val="20"/>
              </w:rPr>
            </w:pPr>
            <w:r>
              <w:rPr>
                <w:rFonts w:ascii="Arial" w:hAnsi="Arial" w:cs="Arial"/>
                <w:noProof/>
                <w:sz w:val="20"/>
                <w:szCs w:val="20"/>
              </w:rPr>
              <w:t>Number of a</w:t>
            </w:r>
            <w:r w:rsidRPr="00531366">
              <w:rPr>
                <w:rFonts w:ascii="Arial" w:hAnsi="Arial" w:cs="Arial"/>
                <w:noProof/>
                <w:sz w:val="20"/>
                <w:szCs w:val="20"/>
              </w:rPr>
              <w:t>dolescents, ages 13</w:t>
            </w:r>
            <w:r>
              <w:rPr>
                <w:rFonts w:ascii="Arial" w:hAnsi="Arial" w:cs="Arial"/>
                <w:noProof/>
                <w:sz w:val="20"/>
                <w:szCs w:val="20"/>
              </w:rPr>
              <w:t xml:space="preserve"> through</w:t>
            </w:r>
            <w:r w:rsidRPr="00531366">
              <w:rPr>
                <w:rFonts w:ascii="Arial" w:hAnsi="Arial" w:cs="Arial"/>
                <w:noProof/>
                <w:sz w:val="20"/>
                <w:szCs w:val="20"/>
              </w:rPr>
              <w:t>17, who have received at least one dose of the HPV vaccine</w:t>
            </w:r>
          </w:p>
        </w:tc>
      </w:tr>
      <w:tr w:rsidR="004106D5" w:rsidRPr="00515E1C" w14:paraId="200094D7" w14:textId="77777777" w:rsidTr="000C7A5D">
        <w:tc>
          <w:tcPr>
            <w:tcW w:w="3618" w:type="dxa"/>
            <w:shd w:val="clear" w:color="auto" w:fill="auto"/>
          </w:tcPr>
          <w:p w14:paraId="24304CC9"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6BFE90A9" w14:textId="77777777" w:rsidR="004106D5" w:rsidRPr="00531366" w:rsidRDefault="004106D5" w:rsidP="000C7A5D">
            <w:pPr>
              <w:spacing w:after="0" w:line="240" w:lineRule="auto"/>
              <w:rPr>
                <w:rFonts w:ascii="Arial" w:hAnsi="Arial" w:cs="Arial"/>
                <w:sz w:val="20"/>
                <w:szCs w:val="20"/>
              </w:rPr>
            </w:pPr>
          </w:p>
        </w:tc>
      </w:tr>
      <w:tr w:rsidR="004106D5" w:rsidRPr="00515E1C" w14:paraId="4BEE116D" w14:textId="77777777" w:rsidTr="000C7A5D">
        <w:tc>
          <w:tcPr>
            <w:tcW w:w="3618" w:type="dxa"/>
            <w:shd w:val="clear" w:color="auto" w:fill="auto"/>
          </w:tcPr>
          <w:p w14:paraId="515AAFE1"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1F1A3849"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Denominator:</w:t>
            </w:r>
          </w:p>
        </w:tc>
      </w:tr>
      <w:tr w:rsidR="004106D5" w:rsidRPr="00515E1C" w14:paraId="1520F993" w14:textId="77777777" w:rsidTr="000C7A5D">
        <w:tc>
          <w:tcPr>
            <w:tcW w:w="3618" w:type="dxa"/>
            <w:shd w:val="clear" w:color="auto" w:fill="auto"/>
          </w:tcPr>
          <w:p w14:paraId="071F5253"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57A5F7D1" w14:textId="77777777" w:rsidR="004106D5" w:rsidRPr="00531366" w:rsidRDefault="004106D5" w:rsidP="000C7A5D">
            <w:pPr>
              <w:spacing w:after="0" w:line="240" w:lineRule="auto"/>
              <w:rPr>
                <w:rFonts w:ascii="Arial" w:hAnsi="Arial" w:cs="Arial"/>
                <w:sz w:val="20"/>
                <w:szCs w:val="20"/>
              </w:rPr>
            </w:pPr>
            <w:r>
              <w:rPr>
                <w:rFonts w:ascii="Arial" w:hAnsi="Arial" w:cs="Arial"/>
                <w:noProof/>
                <w:sz w:val="20"/>
                <w:szCs w:val="20"/>
              </w:rPr>
              <w:t xml:space="preserve">Number of </w:t>
            </w:r>
            <w:r w:rsidRPr="00531366">
              <w:rPr>
                <w:rFonts w:ascii="Arial" w:hAnsi="Arial" w:cs="Arial"/>
                <w:noProof/>
                <w:sz w:val="20"/>
                <w:szCs w:val="20"/>
              </w:rPr>
              <w:t>adolescents, ages 13</w:t>
            </w:r>
            <w:r>
              <w:rPr>
                <w:rFonts w:ascii="Arial" w:hAnsi="Arial" w:cs="Arial"/>
                <w:noProof/>
                <w:sz w:val="20"/>
                <w:szCs w:val="20"/>
              </w:rPr>
              <w:t xml:space="preserve"> through</w:t>
            </w:r>
            <w:r w:rsidRPr="00531366">
              <w:rPr>
                <w:rFonts w:ascii="Arial" w:hAnsi="Arial" w:cs="Arial"/>
                <w:noProof/>
                <w:sz w:val="20"/>
                <w:szCs w:val="20"/>
              </w:rPr>
              <w:t>17 years</w:t>
            </w:r>
          </w:p>
        </w:tc>
      </w:tr>
      <w:tr w:rsidR="004106D5" w:rsidRPr="00515E1C" w14:paraId="13798053" w14:textId="77777777" w:rsidTr="000C7A5D">
        <w:tc>
          <w:tcPr>
            <w:tcW w:w="3618" w:type="dxa"/>
            <w:shd w:val="clear" w:color="auto" w:fill="auto"/>
          </w:tcPr>
          <w:p w14:paraId="2D133E6A"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564E4352" w14:textId="77777777" w:rsidR="004106D5" w:rsidRPr="00531366" w:rsidRDefault="004106D5" w:rsidP="000C7A5D">
            <w:pPr>
              <w:spacing w:after="0" w:line="240" w:lineRule="auto"/>
              <w:rPr>
                <w:rFonts w:ascii="Arial" w:hAnsi="Arial" w:cs="Arial"/>
                <w:sz w:val="20"/>
                <w:szCs w:val="20"/>
              </w:rPr>
            </w:pPr>
          </w:p>
        </w:tc>
      </w:tr>
      <w:tr w:rsidR="004106D5" w:rsidRPr="00515E1C" w14:paraId="1B38232F" w14:textId="77777777" w:rsidTr="000C7A5D">
        <w:tc>
          <w:tcPr>
            <w:tcW w:w="3618" w:type="dxa"/>
            <w:shd w:val="clear" w:color="auto" w:fill="auto"/>
          </w:tcPr>
          <w:p w14:paraId="373CBA55" w14:textId="77777777" w:rsidR="004106D5" w:rsidRPr="00531366" w:rsidRDefault="004106D5" w:rsidP="000C7A5D">
            <w:pPr>
              <w:spacing w:after="0" w:line="240" w:lineRule="auto"/>
              <w:rPr>
                <w:rFonts w:ascii="Arial" w:hAnsi="Arial" w:cs="Arial"/>
                <w:b/>
                <w:sz w:val="20"/>
                <w:szCs w:val="20"/>
              </w:rPr>
            </w:pPr>
          </w:p>
        </w:tc>
        <w:tc>
          <w:tcPr>
            <w:tcW w:w="3384" w:type="dxa"/>
            <w:shd w:val="clear" w:color="auto" w:fill="auto"/>
          </w:tcPr>
          <w:p w14:paraId="2FC521FA"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b/>
                <w:sz w:val="20"/>
                <w:szCs w:val="20"/>
              </w:rPr>
              <w:t>Units:</w:t>
            </w:r>
            <w:r w:rsidRPr="00531366">
              <w:rPr>
                <w:rFonts w:ascii="Arial" w:hAnsi="Arial" w:cs="Arial"/>
                <w:sz w:val="20"/>
                <w:szCs w:val="20"/>
              </w:rPr>
              <w:t xml:space="preserve"> </w:t>
            </w:r>
            <w:r w:rsidRPr="00531366">
              <w:rPr>
                <w:rFonts w:ascii="Arial" w:hAnsi="Arial" w:cs="Arial"/>
                <w:noProof/>
                <w:sz w:val="20"/>
                <w:szCs w:val="20"/>
              </w:rPr>
              <w:t>100</w:t>
            </w:r>
          </w:p>
        </w:tc>
        <w:tc>
          <w:tcPr>
            <w:tcW w:w="2556" w:type="dxa"/>
            <w:shd w:val="clear" w:color="auto" w:fill="auto"/>
          </w:tcPr>
          <w:p w14:paraId="38B53828"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b/>
                <w:sz w:val="20"/>
                <w:szCs w:val="20"/>
              </w:rPr>
              <w:t>Text:</w:t>
            </w:r>
            <w:r w:rsidRPr="00531366">
              <w:rPr>
                <w:rFonts w:ascii="Arial" w:hAnsi="Arial" w:cs="Arial"/>
                <w:sz w:val="20"/>
                <w:szCs w:val="20"/>
              </w:rPr>
              <w:t xml:space="preserve"> </w:t>
            </w:r>
            <w:r w:rsidRPr="00531366">
              <w:rPr>
                <w:rFonts w:ascii="Arial" w:hAnsi="Arial" w:cs="Arial"/>
                <w:noProof/>
                <w:sz w:val="20"/>
                <w:szCs w:val="20"/>
              </w:rPr>
              <w:t>Percent</w:t>
            </w:r>
          </w:p>
        </w:tc>
      </w:tr>
      <w:tr w:rsidR="004106D5" w:rsidRPr="00515E1C" w14:paraId="51E641C5" w14:textId="77777777" w:rsidTr="000C7A5D">
        <w:tc>
          <w:tcPr>
            <w:tcW w:w="3618" w:type="dxa"/>
            <w:shd w:val="clear" w:color="auto" w:fill="auto"/>
          </w:tcPr>
          <w:p w14:paraId="53AA94F2"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5220DDB5" w14:textId="77777777" w:rsidR="004106D5" w:rsidRPr="00531366" w:rsidRDefault="004106D5" w:rsidP="000C7A5D">
            <w:pPr>
              <w:spacing w:after="0" w:line="240" w:lineRule="auto"/>
              <w:rPr>
                <w:rFonts w:ascii="Arial" w:hAnsi="Arial" w:cs="Arial"/>
                <w:sz w:val="20"/>
                <w:szCs w:val="20"/>
              </w:rPr>
            </w:pPr>
          </w:p>
        </w:tc>
      </w:tr>
      <w:tr w:rsidR="004106D5" w:rsidRPr="00515E1C" w14:paraId="32B3D657" w14:textId="77777777" w:rsidTr="000C7A5D">
        <w:tc>
          <w:tcPr>
            <w:tcW w:w="3618" w:type="dxa"/>
            <w:shd w:val="clear" w:color="auto" w:fill="auto"/>
          </w:tcPr>
          <w:p w14:paraId="0975F451"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HEALTHY PEOPLE 2020 OBJECTIVE</w:t>
            </w:r>
          </w:p>
        </w:tc>
        <w:tc>
          <w:tcPr>
            <w:tcW w:w="5940" w:type="dxa"/>
            <w:gridSpan w:val="2"/>
            <w:shd w:val="clear" w:color="auto" w:fill="auto"/>
          </w:tcPr>
          <w:p w14:paraId="0D2A816C"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noProof/>
                <w:sz w:val="20"/>
                <w:szCs w:val="20"/>
              </w:rPr>
              <w:t>Related to Immunization and Infectious Disease (IID) 11.4 Increase the vaccination coverage level of 3 doses of human papillomavirus (HPV) vaccine for females by age 13 to 15 years (Baseline in 2008 of 16.6%, Target of 80%)</w:t>
            </w:r>
          </w:p>
        </w:tc>
      </w:tr>
      <w:tr w:rsidR="004106D5" w:rsidRPr="00515E1C" w14:paraId="307EC764" w14:textId="77777777" w:rsidTr="000C7A5D">
        <w:tc>
          <w:tcPr>
            <w:tcW w:w="3618" w:type="dxa"/>
            <w:shd w:val="clear" w:color="auto" w:fill="auto"/>
          </w:tcPr>
          <w:p w14:paraId="383293BC"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075A5BC2" w14:textId="77777777" w:rsidR="004106D5" w:rsidRPr="00531366" w:rsidRDefault="004106D5" w:rsidP="000C7A5D">
            <w:pPr>
              <w:spacing w:after="0" w:line="240" w:lineRule="auto"/>
              <w:rPr>
                <w:rFonts w:ascii="Arial" w:hAnsi="Arial" w:cs="Arial"/>
                <w:sz w:val="20"/>
                <w:szCs w:val="20"/>
              </w:rPr>
            </w:pPr>
          </w:p>
        </w:tc>
      </w:tr>
      <w:tr w:rsidR="004106D5" w:rsidRPr="00515E1C" w14:paraId="7F2D4FA9" w14:textId="77777777" w:rsidTr="000C7A5D">
        <w:tc>
          <w:tcPr>
            <w:tcW w:w="3618" w:type="dxa"/>
            <w:shd w:val="clear" w:color="auto" w:fill="auto"/>
          </w:tcPr>
          <w:p w14:paraId="0AB41DB9"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DATA SOURCES and DATA ISSUES</w:t>
            </w:r>
          </w:p>
        </w:tc>
        <w:tc>
          <w:tcPr>
            <w:tcW w:w="5940" w:type="dxa"/>
            <w:gridSpan w:val="2"/>
            <w:shd w:val="clear" w:color="auto" w:fill="auto"/>
          </w:tcPr>
          <w:p w14:paraId="3AE5063E"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noProof/>
                <w:sz w:val="20"/>
                <w:szCs w:val="20"/>
              </w:rPr>
              <w:t>National Immunization Survey</w:t>
            </w:r>
            <w:r>
              <w:rPr>
                <w:rFonts w:ascii="Arial" w:hAnsi="Arial" w:cs="Arial"/>
                <w:noProof/>
                <w:sz w:val="20"/>
                <w:szCs w:val="20"/>
              </w:rPr>
              <w:t xml:space="preserve"> - Teen</w:t>
            </w:r>
            <w:r w:rsidRPr="00531366">
              <w:rPr>
                <w:rFonts w:ascii="Arial" w:hAnsi="Arial" w:cs="Arial"/>
                <w:noProof/>
                <w:sz w:val="20"/>
                <w:szCs w:val="20"/>
              </w:rPr>
              <w:t xml:space="preserve"> (NIS</w:t>
            </w:r>
            <w:r>
              <w:rPr>
                <w:rFonts w:ascii="Arial" w:hAnsi="Arial" w:cs="Arial"/>
                <w:noProof/>
                <w:sz w:val="20"/>
                <w:szCs w:val="20"/>
              </w:rPr>
              <w:t>-Teen)</w:t>
            </w:r>
          </w:p>
        </w:tc>
      </w:tr>
      <w:tr w:rsidR="004106D5" w:rsidRPr="00515E1C" w14:paraId="0259F7DD" w14:textId="77777777" w:rsidTr="000C7A5D">
        <w:tc>
          <w:tcPr>
            <w:tcW w:w="3618" w:type="dxa"/>
            <w:shd w:val="clear" w:color="auto" w:fill="auto"/>
          </w:tcPr>
          <w:p w14:paraId="0856101E"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68B4FCFA" w14:textId="77777777" w:rsidR="004106D5" w:rsidRPr="00531366" w:rsidRDefault="004106D5" w:rsidP="000C7A5D">
            <w:pPr>
              <w:spacing w:after="0" w:line="240" w:lineRule="auto"/>
              <w:rPr>
                <w:rFonts w:ascii="Arial" w:hAnsi="Arial" w:cs="Arial"/>
                <w:sz w:val="20"/>
                <w:szCs w:val="20"/>
              </w:rPr>
            </w:pPr>
          </w:p>
        </w:tc>
      </w:tr>
      <w:tr w:rsidR="004106D5" w:rsidRPr="00515E1C" w14:paraId="53E934EF" w14:textId="77777777" w:rsidTr="000C7A5D">
        <w:tc>
          <w:tcPr>
            <w:tcW w:w="3618" w:type="dxa"/>
            <w:shd w:val="clear" w:color="auto" w:fill="auto"/>
          </w:tcPr>
          <w:p w14:paraId="5086821F"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SIGNIFICANCE</w:t>
            </w:r>
          </w:p>
        </w:tc>
        <w:tc>
          <w:tcPr>
            <w:tcW w:w="5940" w:type="dxa"/>
            <w:gridSpan w:val="2"/>
            <w:shd w:val="clear" w:color="auto" w:fill="auto"/>
          </w:tcPr>
          <w:p w14:paraId="533AB8E1" w14:textId="77777777" w:rsidR="004106D5" w:rsidRDefault="004106D5" w:rsidP="000C7A5D">
            <w:pPr>
              <w:spacing w:after="0" w:line="240" w:lineRule="auto"/>
              <w:rPr>
                <w:rFonts w:ascii="Arial" w:hAnsi="Arial" w:cs="Arial"/>
                <w:noProof/>
                <w:sz w:val="20"/>
                <w:szCs w:val="20"/>
              </w:rPr>
            </w:pPr>
            <w:r w:rsidRPr="00531366">
              <w:rPr>
                <w:rFonts w:ascii="Arial" w:hAnsi="Arial" w:cs="Arial"/>
                <w:noProof/>
                <w:sz w:val="20"/>
                <w:szCs w:val="20"/>
              </w:rPr>
              <w:t>Vaccination is one of the greatest public health achievements of the 20th century, resulting in dramatic declines in morbidity and mortality for many infectious diseases. Childhood vaccination in particular is considered among the most cost-effective preventive services available, as it averts a potential lifetime lost to death and disability.</w:t>
            </w:r>
            <w:r>
              <w:rPr>
                <w:rFonts w:ascii="Arial" w:hAnsi="Arial" w:cs="Arial"/>
                <w:noProof/>
                <w:sz w:val="20"/>
                <w:szCs w:val="20"/>
              </w:rPr>
              <w:t xml:space="preserve">  </w:t>
            </w:r>
            <w:r w:rsidRPr="00531366">
              <w:rPr>
                <w:rFonts w:ascii="Arial" w:hAnsi="Arial" w:cs="Arial"/>
                <w:noProof/>
                <w:sz w:val="20"/>
                <w:szCs w:val="20"/>
              </w:rPr>
              <w:t xml:space="preserve">Currently, there are 12 different vaccines recommended by the Centers for Disease Control and Prevention from birth through age 18, many of which require multiple doses for effectiveness as well as boosters to sustain immunity.  </w:t>
            </w:r>
          </w:p>
          <w:p w14:paraId="0ED36383" w14:textId="77777777" w:rsidR="004106D5" w:rsidRDefault="004106D5" w:rsidP="000C7A5D">
            <w:pPr>
              <w:spacing w:after="0" w:line="240" w:lineRule="auto"/>
              <w:rPr>
                <w:rFonts w:ascii="Arial" w:hAnsi="Arial" w:cs="Arial"/>
                <w:noProof/>
                <w:sz w:val="20"/>
                <w:szCs w:val="20"/>
              </w:rPr>
            </w:pPr>
          </w:p>
          <w:p w14:paraId="5E9D4EE9" w14:textId="77777777" w:rsidR="004106D5" w:rsidRPr="00531366" w:rsidRDefault="000A3835" w:rsidP="000C7A5D">
            <w:pPr>
              <w:spacing w:after="0" w:line="240" w:lineRule="auto"/>
              <w:rPr>
                <w:rFonts w:ascii="Arial" w:hAnsi="Arial" w:cs="Arial"/>
                <w:sz w:val="20"/>
                <w:szCs w:val="20"/>
              </w:rPr>
            </w:pPr>
            <w:hyperlink r:id="rId117" w:history="1">
              <w:r w:rsidR="004106D5" w:rsidRPr="00057ED2">
                <w:rPr>
                  <w:rStyle w:val="Hyperlink"/>
                  <w:rFonts w:ascii="Arial" w:hAnsi="Arial" w:cs="Arial"/>
                  <w:noProof/>
                  <w:sz w:val="20"/>
                  <w:szCs w:val="20"/>
                </w:rPr>
                <w:t>https://www.cdc.gov/vaccines/index.html</w:t>
              </w:r>
            </w:hyperlink>
            <w:r w:rsidR="004106D5">
              <w:rPr>
                <w:rFonts w:ascii="Arial" w:hAnsi="Arial" w:cs="Arial"/>
                <w:noProof/>
                <w:sz w:val="20"/>
                <w:szCs w:val="20"/>
              </w:rPr>
              <w:t xml:space="preserve"> </w:t>
            </w:r>
            <w:r w:rsidR="004106D5" w:rsidRPr="000A0F0B" w:rsidDel="00F814F1">
              <w:rPr>
                <w:rFonts w:ascii="Arial" w:hAnsi="Arial" w:cs="Arial"/>
                <w:noProof/>
                <w:sz w:val="20"/>
                <w:szCs w:val="20"/>
              </w:rPr>
              <w:t xml:space="preserve"> </w:t>
            </w:r>
            <w:r w:rsidR="004106D5">
              <w:rPr>
                <w:rFonts w:ascii="Arial" w:hAnsi="Arial" w:cs="Arial"/>
                <w:noProof/>
                <w:sz w:val="20"/>
                <w:szCs w:val="20"/>
              </w:rPr>
              <w:t xml:space="preserve"> </w:t>
            </w:r>
          </w:p>
        </w:tc>
      </w:tr>
      <w:tr w:rsidR="004106D5" w:rsidRPr="00515E1C" w14:paraId="46DA3799" w14:textId="77777777" w:rsidTr="000C7A5D">
        <w:tc>
          <w:tcPr>
            <w:tcW w:w="3618" w:type="dxa"/>
            <w:shd w:val="clear" w:color="auto" w:fill="auto"/>
          </w:tcPr>
          <w:p w14:paraId="34A08B11" w14:textId="77777777" w:rsidR="004106D5" w:rsidRPr="00531366" w:rsidRDefault="004106D5" w:rsidP="000C7A5D">
            <w:pPr>
              <w:spacing w:after="0" w:line="240" w:lineRule="auto"/>
              <w:rPr>
                <w:rFonts w:ascii="Arial" w:hAnsi="Arial" w:cs="Arial"/>
                <w:sz w:val="20"/>
                <w:szCs w:val="20"/>
              </w:rPr>
            </w:pPr>
          </w:p>
        </w:tc>
        <w:tc>
          <w:tcPr>
            <w:tcW w:w="5940" w:type="dxa"/>
            <w:gridSpan w:val="2"/>
            <w:shd w:val="clear" w:color="auto" w:fill="auto"/>
          </w:tcPr>
          <w:p w14:paraId="0E03E7A4" w14:textId="77777777" w:rsidR="004106D5" w:rsidRPr="00531366" w:rsidRDefault="004106D5" w:rsidP="000C7A5D">
            <w:pPr>
              <w:spacing w:after="0" w:line="240" w:lineRule="auto"/>
              <w:rPr>
                <w:rFonts w:ascii="Arial" w:hAnsi="Arial" w:cs="Arial"/>
                <w:sz w:val="20"/>
                <w:szCs w:val="20"/>
              </w:rPr>
            </w:pPr>
          </w:p>
        </w:tc>
      </w:tr>
    </w:tbl>
    <w:p w14:paraId="3C93CB30" w14:textId="77777777" w:rsidR="004106D5" w:rsidRDefault="004106D5" w:rsidP="004106D5">
      <w:pPr>
        <w:spacing w:after="0" w:line="240" w:lineRule="auto"/>
        <w:sectPr w:rsidR="004106D5" w:rsidSect="00514C00">
          <w:pgSz w:w="12240" w:h="15840"/>
          <w:pgMar w:top="1440" w:right="1440" w:bottom="1440" w:left="1440" w:header="720" w:footer="720" w:gutter="0"/>
          <w:cols w:space="720"/>
          <w:docGrid w:linePitch="360"/>
        </w:sectPr>
      </w:pPr>
    </w:p>
    <w:tbl>
      <w:tblPr>
        <w:tblW w:w="0" w:type="auto"/>
        <w:tblLook w:val="04A0" w:firstRow="1" w:lastRow="0" w:firstColumn="1" w:lastColumn="0" w:noHBand="0" w:noVBand="1"/>
      </w:tblPr>
      <w:tblGrid>
        <w:gridCol w:w="3618"/>
        <w:gridCol w:w="5868"/>
      </w:tblGrid>
      <w:tr w:rsidR="004106D5" w:rsidRPr="003F48A1" w14:paraId="3331EB0B" w14:textId="77777777" w:rsidTr="000C7A5D">
        <w:tc>
          <w:tcPr>
            <w:tcW w:w="3618" w:type="dxa"/>
            <w:shd w:val="clear" w:color="auto" w:fill="auto"/>
          </w:tcPr>
          <w:p w14:paraId="0CE6CBC7" w14:textId="77777777" w:rsidR="004106D5" w:rsidRPr="00531366" w:rsidRDefault="004106D5" w:rsidP="000C7A5D">
            <w:pPr>
              <w:spacing w:after="0" w:line="240" w:lineRule="auto"/>
              <w:rPr>
                <w:rFonts w:ascii="Arial" w:hAnsi="Arial" w:cs="Arial"/>
                <w:b/>
                <w:sz w:val="24"/>
                <w:szCs w:val="24"/>
              </w:rPr>
            </w:pPr>
            <w:r w:rsidRPr="00531366">
              <w:rPr>
                <w:rFonts w:ascii="Arial" w:hAnsi="Arial" w:cs="Arial"/>
                <w:b/>
                <w:sz w:val="24"/>
                <w:szCs w:val="24"/>
              </w:rPr>
              <w:t xml:space="preserve">OUTCOME MEASURE </w:t>
            </w:r>
            <w:r>
              <w:rPr>
                <w:rFonts w:ascii="Arial" w:hAnsi="Arial" w:cs="Arial"/>
                <w:b/>
                <w:noProof/>
                <w:sz w:val="24"/>
                <w:szCs w:val="24"/>
              </w:rPr>
              <w:t>22</w:t>
            </w:r>
            <w:r w:rsidRPr="00531366">
              <w:rPr>
                <w:rFonts w:ascii="Arial" w:hAnsi="Arial" w:cs="Arial"/>
                <w:b/>
                <w:noProof/>
                <w:sz w:val="24"/>
                <w:szCs w:val="24"/>
              </w:rPr>
              <w:t>.4</w:t>
            </w:r>
          </w:p>
        </w:tc>
        <w:tc>
          <w:tcPr>
            <w:tcW w:w="5868" w:type="dxa"/>
            <w:shd w:val="clear" w:color="auto" w:fill="auto"/>
          </w:tcPr>
          <w:p w14:paraId="0D2454E2" w14:textId="77777777" w:rsidR="004106D5" w:rsidRPr="00531366" w:rsidRDefault="004106D5" w:rsidP="000C7A5D">
            <w:pPr>
              <w:spacing w:after="0" w:line="240" w:lineRule="auto"/>
              <w:rPr>
                <w:rFonts w:ascii="Arial" w:hAnsi="Arial" w:cs="Arial"/>
                <w:b/>
                <w:noProof/>
                <w:sz w:val="24"/>
                <w:szCs w:val="24"/>
              </w:rPr>
            </w:pPr>
            <w:r w:rsidRPr="00531366">
              <w:rPr>
                <w:rFonts w:ascii="Arial" w:hAnsi="Arial" w:cs="Arial"/>
                <w:b/>
                <w:noProof/>
                <w:sz w:val="24"/>
                <w:szCs w:val="24"/>
              </w:rPr>
              <w:t>Percent of adolescents, ages 13</w:t>
            </w:r>
            <w:r>
              <w:rPr>
                <w:rFonts w:ascii="Arial" w:hAnsi="Arial" w:cs="Arial"/>
                <w:b/>
                <w:noProof/>
                <w:sz w:val="24"/>
                <w:szCs w:val="24"/>
              </w:rPr>
              <w:t xml:space="preserve"> through </w:t>
            </w:r>
            <w:r w:rsidRPr="00531366">
              <w:rPr>
                <w:rFonts w:ascii="Arial" w:hAnsi="Arial" w:cs="Arial"/>
                <w:b/>
                <w:noProof/>
                <w:sz w:val="24"/>
                <w:szCs w:val="24"/>
              </w:rPr>
              <w:t>17, who have received at least one dose of the Tdap vaccine</w:t>
            </w:r>
          </w:p>
          <w:p w14:paraId="45D90F6F" w14:textId="77777777" w:rsidR="004106D5" w:rsidRPr="00531366" w:rsidRDefault="004106D5" w:rsidP="000C7A5D">
            <w:pPr>
              <w:spacing w:after="0" w:line="240" w:lineRule="auto"/>
              <w:rPr>
                <w:rFonts w:ascii="Arial" w:hAnsi="Arial" w:cs="Arial"/>
                <w:b/>
                <w:sz w:val="24"/>
                <w:szCs w:val="24"/>
              </w:rPr>
            </w:pPr>
          </w:p>
        </w:tc>
      </w:tr>
    </w:tbl>
    <w:p w14:paraId="1D12D70C" w14:textId="77777777" w:rsidR="004106D5" w:rsidRDefault="004106D5" w:rsidP="004106D5">
      <w:pPr>
        <w:spacing w:after="0" w:line="240" w:lineRule="auto"/>
      </w:pPr>
    </w:p>
    <w:p w14:paraId="76D096DC" w14:textId="77777777" w:rsidR="004106D5" w:rsidRDefault="004106D5" w:rsidP="004106D5">
      <w:pPr>
        <w:spacing w:after="0" w:line="240" w:lineRule="auto"/>
      </w:pPr>
      <w:r>
        <w:rPr>
          <w:noProof/>
        </w:rPr>
        <mc:AlternateContent>
          <mc:Choice Requires="wps">
            <w:drawing>
              <wp:anchor distT="4294967295" distB="4294967295" distL="114300" distR="114300" simplePos="0" relativeHeight="251785216" behindDoc="0" locked="0" layoutInCell="1" allowOverlap="1" wp14:anchorId="29BC4352" wp14:editId="366F7A54">
                <wp:simplePos x="0" y="0"/>
                <wp:positionH relativeFrom="column">
                  <wp:posOffset>-60960</wp:posOffset>
                </wp:positionH>
                <wp:positionV relativeFrom="paragraph">
                  <wp:posOffset>31749</wp:posOffset>
                </wp:positionV>
                <wp:extent cx="6088380" cy="0"/>
                <wp:effectExtent l="0" t="0" r="26670" b="19050"/>
                <wp:wrapNone/>
                <wp:docPr id="38"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6DDCC92" id="Straight Connector 19" o:spid="_x0000_s1026" style="position:absolute;z-index:251785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" strokecolor="windowText" strokeweight="1.75pt">
                <o:lock v:ext="edit" shapetype="f"/>
              </v:line>
            </w:pict>
          </mc:Fallback>
        </mc:AlternateContent>
      </w:r>
    </w:p>
    <w:tbl>
      <w:tblPr>
        <w:tblW w:w="0" w:type="auto"/>
        <w:tblLook w:val="04A0" w:firstRow="1" w:lastRow="0" w:firstColumn="1" w:lastColumn="0" w:noHBand="0" w:noVBand="1"/>
      </w:tblPr>
      <w:tblGrid>
        <w:gridCol w:w="3556"/>
        <w:gridCol w:w="3301"/>
        <w:gridCol w:w="2503"/>
      </w:tblGrid>
      <w:tr w:rsidR="004106D5" w:rsidRPr="00515E1C" w14:paraId="18CFB6E8" w14:textId="77777777" w:rsidTr="000C7A5D">
        <w:tc>
          <w:tcPr>
            <w:tcW w:w="3556" w:type="dxa"/>
            <w:shd w:val="clear" w:color="auto" w:fill="auto"/>
          </w:tcPr>
          <w:p w14:paraId="3B387C45"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GOAL</w:t>
            </w:r>
          </w:p>
        </w:tc>
        <w:tc>
          <w:tcPr>
            <w:tcW w:w="5804" w:type="dxa"/>
            <w:gridSpan w:val="2"/>
            <w:shd w:val="clear" w:color="auto" w:fill="auto"/>
          </w:tcPr>
          <w:p w14:paraId="010430C5" w14:textId="48DF1CF9" w:rsidR="004106D5" w:rsidRPr="00531366" w:rsidRDefault="004106D5" w:rsidP="00FB0985">
            <w:pPr>
              <w:spacing w:after="0" w:line="240" w:lineRule="auto"/>
              <w:rPr>
                <w:rFonts w:ascii="Arial" w:hAnsi="Arial" w:cs="Arial"/>
                <w:sz w:val="20"/>
                <w:szCs w:val="20"/>
              </w:rPr>
            </w:pPr>
            <w:r w:rsidRPr="00531366">
              <w:rPr>
                <w:rFonts w:ascii="Arial" w:hAnsi="Arial" w:cs="Arial"/>
                <w:noProof/>
                <w:sz w:val="20"/>
                <w:szCs w:val="20"/>
              </w:rPr>
              <w:t xml:space="preserve">To increase the </w:t>
            </w:r>
            <w:r w:rsidR="00FB0985">
              <w:rPr>
                <w:rFonts w:ascii="Arial" w:hAnsi="Arial" w:cs="Arial"/>
                <w:noProof/>
                <w:sz w:val="20"/>
                <w:szCs w:val="20"/>
              </w:rPr>
              <w:t>percent</w:t>
            </w:r>
            <w:r w:rsidRPr="00531366">
              <w:rPr>
                <w:rFonts w:ascii="Arial" w:hAnsi="Arial" w:cs="Arial"/>
                <w:noProof/>
                <w:sz w:val="20"/>
                <w:szCs w:val="20"/>
              </w:rPr>
              <w:t xml:space="preserve"> of children and adolescents who have completed recommended vaccines.</w:t>
            </w:r>
          </w:p>
        </w:tc>
      </w:tr>
      <w:tr w:rsidR="004106D5" w:rsidRPr="00515E1C" w14:paraId="4A3C5283" w14:textId="77777777" w:rsidTr="000C7A5D">
        <w:tc>
          <w:tcPr>
            <w:tcW w:w="3556" w:type="dxa"/>
            <w:shd w:val="clear" w:color="auto" w:fill="auto"/>
          </w:tcPr>
          <w:p w14:paraId="73A8A4BE" w14:textId="77777777" w:rsidR="004106D5" w:rsidRPr="00531366" w:rsidRDefault="004106D5" w:rsidP="000C7A5D">
            <w:pPr>
              <w:spacing w:after="0" w:line="240" w:lineRule="auto"/>
              <w:rPr>
                <w:rFonts w:ascii="Arial" w:hAnsi="Arial" w:cs="Arial"/>
                <w:b/>
                <w:sz w:val="20"/>
                <w:szCs w:val="20"/>
              </w:rPr>
            </w:pPr>
          </w:p>
        </w:tc>
        <w:tc>
          <w:tcPr>
            <w:tcW w:w="5804" w:type="dxa"/>
            <w:gridSpan w:val="2"/>
            <w:shd w:val="clear" w:color="auto" w:fill="auto"/>
          </w:tcPr>
          <w:p w14:paraId="27C4F6C9" w14:textId="77777777" w:rsidR="004106D5" w:rsidRPr="00531366" w:rsidRDefault="004106D5" w:rsidP="000C7A5D">
            <w:pPr>
              <w:spacing w:after="0" w:line="240" w:lineRule="auto"/>
              <w:rPr>
                <w:rFonts w:ascii="Arial" w:hAnsi="Arial" w:cs="Arial"/>
                <w:sz w:val="20"/>
                <w:szCs w:val="20"/>
              </w:rPr>
            </w:pPr>
          </w:p>
        </w:tc>
      </w:tr>
      <w:tr w:rsidR="004106D5" w:rsidRPr="00515E1C" w14:paraId="1540A224" w14:textId="77777777" w:rsidTr="000C7A5D">
        <w:tc>
          <w:tcPr>
            <w:tcW w:w="3556" w:type="dxa"/>
            <w:shd w:val="clear" w:color="auto" w:fill="auto"/>
          </w:tcPr>
          <w:p w14:paraId="07364F19"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DEFINITION</w:t>
            </w:r>
          </w:p>
        </w:tc>
        <w:tc>
          <w:tcPr>
            <w:tcW w:w="5804" w:type="dxa"/>
            <w:gridSpan w:val="2"/>
            <w:shd w:val="clear" w:color="auto" w:fill="auto"/>
          </w:tcPr>
          <w:p w14:paraId="49852DF3"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Numerator:</w:t>
            </w:r>
          </w:p>
        </w:tc>
      </w:tr>
      <w:tr w:rsidR="004106D5" w:rsidRPr="00515E1C" w14:paraId="7FE2BAC5" w14:textId="77777777" w:rsidTr="000C7A5D">
        <w:tc>
          <w:tcPr>
            <w:tcW w:w="3556" w:type="dxa"/>
            <w:shd w:val="clear" w:color="auto" w:fill="auto"/>
          </w:tcPr>
          <w:p w14:paraId="6B98F0E7" w14:textId="77777777" w:rsidR="004106D5" w:rsidRPr="00531366" w:rsidRDefault="004106D5" w:rsidP="000C7A5D">
            <w:pPr>
              <w:spacing w:after="0" w:line="240" w:lineRule="auto"/>
              <w:rPr>
                <w:rFonts w:ascii="Arial" w:hAnsi="Arial" w:cs="Arial"/>
                <w:b/>
                <w:sz w:val="20"/>
                <w:szCs w:val="20"/>
              </w:rPr>
            </w:pPr>
          </w:p>
        </w:tc>
        <w:tc>
          <w:tcPr>
            <w:tcW w:w="5804" w:type="dxa"/>
            <w:gridSpan w:val="2"/>
            <w:shd w:val="clear" w:color="auto" w:fill="auto"/>
          </w:tcPr>
          <w:p w14:paraId="655EC61A" w14:textId="77777777" w:rsidR="004106D5" w:rsidRPr="00531366" w:rsidRDefault="004106D5" w:rsidP="000C7A5D">
            <w:pPr>
              <w:spacing w:after="0" w:line="240" w:lineRule="auto"/>
              <w:rPr>
                <w:rFonts w:ascii="Arial" w:hAnsi="Arial" w:cs="Arial"/>
                <w:sz w:val="20"/>
                <w:szCs w:val="20"/>
              </w:rPr>
            </w:pPr>
            <w:r>
              <w:rPr>
                <w:rFonts w:ascii="Arial" w:hAnsi="Arial" w:cs="Arial"/>
                <w:noProof/>
                <w:sz w:val="20"/>
                <w:szCs w:val="20"/>
              </w:rPr>
              <w:t>Number of a</w:t>
            </w:r>
            <w:r w:rsidRPr="00531366">
              <w:rPr>
                <w:rFonts w:ascii="Arial" w:hAnsi="Arial" w:cs="Arial"/>
                <w:noProof/>
                <w:sz w:val="20"/>
                <w:szCs w:val="20"/>
              </w:rPr>
              <w:t>dolescents, ages 13</w:t>
            </w:r>
            <w:r>
              <w:rPr>
                <w:rFonts w:ascii="Arial" w:hAnsi="Arial" w:cs="Arial"/>
                <w:noProof/>
                <w:sz w:val="20"/>
                <w:szCs w:val="20"/>
              </w:rPr>
              <w:t xml:space="preserve"> through</w:t>
            </w:r>
            <w:r w:rsidRPr="00531366">
              <w:rPr>
                <w:rFonts w:ascii="Arial" w:hAnsi="Arial" w:cs="Arial"/>
                <w:noProof/>
                <w:sz w:val="20"/>
                <w:szCs w:val="20"/>
              </w:rPr>
              <w:t>17, who have received at least one dose of the Tdap vaccine</w:t>
            </w:r>
          </w:p>
        </w:tc>
      </w:tr>
      <w:tr w:rsidR="004106D5" w:rsidRPr="00515E1C" w14:paraId="7DD4CA43" w14:textId="77777777" w:rsidTr="000C7A5D">
        <w:tc>
          <w:tcPr>
            <w:tcW w:w="3556" w:type="dxa"/>
            <w:shd w:val="clear" w:color="auto" w:fill="auto"/>
          </w:tcPr>
          <w:p w14:paraId="382403EA" w14:textId="77777777" w:rsidR="004106D5" w:rsidRPr="00531366" w:rsidRDefault="004106D5" w:rsidP="000C7A5D">
            <w:pPr>
              <w:spacing w:after="0" w:line="240" w:lineRule="auto"/>
              <w:rPr>
                <w:rFonts w:ascii="Arial" w:hAnsi="Arial" w:cs="Arial"/>
                <w:b/>
                <w:sz w:val="20"/>
                <w:szCs w:val="20"/>
              </w:rPr>
            </w:pPr>
          </w:p>
        </w:tc>
        <w:tc>
          <w:tcPr>
            <w:tcW w:w="5804" w:type="dxa"/>
            <w:gridSpan w:val="2"/>
            <w:shd w:val="clear" w:color="auto" w:fill="auto"/>
          </w:tcPr>
          <w:p w14:paraId="58B6F4A9" w14:textId="77777777" w:rsidR="004106D5" w:rsidRPr="00531366" w:rsidRDefault="004106D5" w:rsidP="000C7A5D">
            <w:pPr>
              <w:spacing w:after="0" w:line="240" w:lineRule="auto"/>
              <w:rPr>
                <w:rFonts w:ascii="Arial" w:hAnsi="Arial" w:cs="Arial"/>
                <w:sz w:val="20"/>
                <w:szCs w:val="20"/>
              </w:rPr>
            </w:pPr>
          </w:p>
        </w:tc>
      </w:tr>
      <w:tr w:rsidR="004106D5" w:rsidRPr="00515E1C" w14:paraId="2089EECA" w14:textId="77777777" w:rsidTr="000C7A5D">
        <w:tc>
          <w:tcPr>
            <w:tcW w:w="3556" w:type="dxa"/>
            <w:shd w:val="clear" w:color="auto" w:fill="auto"/>
          </w:tcPr>
          <w:p w14:paraId="6760687E" w14:textId="77777777" w:rsidR="004106D5" w:rsidRPr="00531366" w:rsidRDefault="004106D5" w:rsidP="000C7A5D">
            <w:pPr>
              <w:spacing w:after="0" w:line="240" w:lineRule="auto"/>
              <w:rPr>
                <w:rFonts w:ascii="Arial" w:hAnsi="Arial" w:cs="Arial"/>
                <w:b/>
                <w:sz w:val="20"/>
                <w:szCs w:val="20"/>
              </w:rPr>
            </w:pPr>
          </w:p>
        </w:tc>
        <w:tc>
          <w:tcPr>
            <w:tcW w:w="5804" w:type="dxa"/>
            <w:gridSpan w:val="2"/>
            <w:shd w:val="clear" w:color="auto" w:fill="auto"/>
          </w:tcPr>
          <w:p w14:paraId="7895A939"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Denominator:</w:t>
            </w:r>
          </w:p>
        </w:tc>
      </w:tr>
      <w:tr w:rsidR="004106D5" w:rsidRPr="00515E1C" w14:paraId="16AB4C63" w14:textId="77777777" w:rsidTr="000C7A5D">
        <w:tc>
          <w:tcPr>
            <w:tcW w:w="3556" w:type="dxa"/>
            <w:shd w:val="clear" w:color="auto" w:fill="auto"/>
          </w:tcPr>
          <w:p w14:paraId="669A7141" w14:textId="77777777" w:rsidR="004106D5" w:rsidRPr="00531366" w:rsidRDefault="004106D5" w:rsidP="000C7A5D">
            <w:pPr>
              <w:spacing w:after="0" w:line="240" w:lineRule="auto"/>
              <w:rPr>
                <w:rFonts w:ascii="Arial" w:hAnsi="Arial" w:cs="Arial"/>
                <w:b/>
                <w:sz w:val="20"/>
                <w:szCs w:val="20"/>
              </w:rPr>
            </w:pPr>
          </w:p>
        </w:tc>
        <w:tc>
          <w:tcPr>
            <w:tcW w:w="5804" w:type="dxa"/>
            <w:gridSpan w:val="2"/>
            <w:shd w:val="clear" w:color="auto" w:fill="auto"/>
          </w:tcPr>
          <w:p w14:paraId="4DF7BB74" w14:textId="77777777" w:rsidR="004106D5" w:rsidRPr="00531366" w:rsidRDefault="004106D5" w:rsidP="000C7A5D">
            <w:pPr>
              <w:spacing w:after="0" w:line="240" w:lineRule="auto"/>
              <w:rPr>
                <w:rFonts w:ascii="Arial" w:hAnsi="Arial" w:cs="Arial"/>
                <w:noProof/>
                <w:sz w:val="20"/>
                <w:szCs w:val="20"/>
              </w:rPr>
            </w:pPr>
            <w:r>
              <w:rPr>
                <w:rFonts w:ascii="Arial" w:hAnsi="Arial" w:cs="Arial"/>
                <w:noProof/>
                <w:sz w:val="20"/>
                <w:szCs w:val="20"/>
              </w:rPr>
              <w:t xml:space="preserve">Number of </w:t>
            </w:r>
            <w:r w:rsidRPr="00531366">
              <w:rPr>
                <w:rFonts w:ascii="Arial" w:hAnsi="Arial" w:cs="Arial"/>
                <w:noProof/>
                <w:sz w:val="20"/>
                <w:szCs w:val="20"/>
              </w:rPr>
              <w:t>adolescents, ages 13</w:t>
            </w:r>
            <w:r>
              <w:rPr>
                <w:rFonts w:ascii="Arial" w:hAnsi="Arial" w:cs="Arial"/>
                <w:noProof/>
                <w:sz w:val="20"/>
                <w:szCs w:val="20"/>
              </w:rPr>
              <w:t xml:space="preserve"> through</w:t>
            </w:r>
            <w:r w:rsidRPr="00531366">
              <w:rPr>
                <w:rFonts w:ascii="Arial" w:hAnsi="Arial" w:cs="Arial"/>
                <w:noProof/>
                <w:sz w:val="20"/>
                <w:szCs w:val="20"/>
              </w:rPr>
              <w:t>17 years</w:t>
            </w:r>
          </w:p>
          <w:p w14:paraId="33DF401C" w14:textId="77777777" w:rsidR="004106D5" w:rsidRPr="00531366" w:rsidRDefault="004106D5" w:rsidP="000C7A5D">
            <w:pPr>
              <w:spacing w:after="0" w:line="240" w:lineRule="auto"/>
              <w:rPr>
                <w:rFonts w:ascii="Arial" w:hAnsi="Arial" w:cs="Arial"/>
                <w:sz w:val="20"/>
                <w:szCs w:val="20"/>
              </w:rPr>
            </w:pPr>
          </w:p>
        </w:tc>
      </w:tr>
      <w:tr w:rsidR="004106D5" w:rsidRPr="00515E1C" w14:paraId="75DEA0AB" w14:textId="77777777" w:rsidTr="000C7A5D">
        <w:tc>
          <w:tcPr>
            <w:tcW w:w="3556" w:type="dxa"/>
            <w:shd w:val="clear" w:color="auto" w:fill="auto"/>
          </w:tcPr>
          <w:p w14:paraId="449E401D" w14:textId="77777777" w:rsidR="004106D5" w:rsidRPr="00531366" w:rsidRDefault="004106D5" w:rsidP="000C7A5D">
            <w:pPr>
              <w:spacing w:after="0" w:line="240" w:lineRule="auto"/>
              <w:rPr>
                <w:rFonts w:ascii="Arial" w:hAnsi="Arial" w:cs="Arial"/>
                <w:b/>
                <w:sz w:val="20"/>
                <w:szCs w:val="20"/>
              </w:rPr>
            </w:pPr>
          </w:p>
        </w:tc>
        <w:tc>
          <w:tcPr>
            <w:tcW w:w="5804" w:type="dxa"/>
            <w:gridSpan w:val="2"/>
            <w:shd w:val="clear" w:color="auto" w:fill="auto"/>
          </w:tcPr>
          <w:p w14:paraId="060E83B0" w14:textId="77777777" w:rsidR="004106D5" w:rsidRPr="00531366" w:rsidRDefault="004106D5" w:rsidP="000C7A5D">
            <w:pPr>
              <w:spacing w:after="0" w:line="240" w:lineRule="auto"/>
              <w:rPr>
                <w:rFonts w:ascii="Arial" w:hAnsi="Arial" w:cs="Arial"/>
                <w:sz w:val="20"/>
                <w:szCs w:val="20"/>
              </w:rPr>
            </w:pPr>
          </w:p>
        </w:tc>
      </w:tr>
      <w:tr w:rsidR="004106D5" w:rsidRPr="00515E1C" w14:paraId="06439738" w14:textId="77777777" w:rsidTr="000C7A5D">
        <w:tc>
          <w:tcPr>
            <w:tcW w:w="3556" w:type="dxa"/>
            <w:shd w:val="clear" w:color="auto" w:fill="auto"/>
          </w:tcPr>
          <w:p w14:paraId="78C6C6FD" w14:textId="77777777" w:rsidR="004106D5" w:rsidRPr="00531366" w:rsidRDefault="004106D5" w:rsidP="000C7A5D">
            <w:pPr>
              <w:spacing w:after="0" w:line="240" w:lineRule="auto"/>
              <w:rPr>
                <w:rFonts w:ascii="Arial" w:hAnsi="Arial" w:cs="Arial"/>
                <w:b/>
                <w:sz w:val="20"/>
                <w:szCs w:val="20"/>
              </w:rPr>
            </w:pPr>
          </w:p>
        </w:tc>
        <w:tc>
          <w:tcPr>
            <w:tcW w:w="3301" w:type="dxa"/>
            <w:shd w:val="clear" w:color="auto" w:fill="auto"/>
          </w:tcPr>
          <w:p w14:paraId="7CCCD650"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b/>
                <w:sz w:val="20"/>
                <w:szCs w:val="20"/>
              </w:rPr>
              <w:t>Units:</w:t>
            </w:r>
            <w:r w:rsidRPr="00531366">
              <w:rPr>
                <w:rFonts w:ascii="Arial" w:hAnsi="Arial" w:cs="Arial"/>
                <w:sz w:val="20"/>
                <w:szCs w:val="20"/>
              </w:rPr>
              <w:t xml:space="preserve"> </w:t>
            </w:r>
            <w:r w:rsidRPr="00531366">
              <w:rPr>
                <w:rFonts w:ascii="Arial" w:hAnsi="Arial" w:cs="Arial"/>
                <w:noProof/>
                <w:sz w:val="20"/>
                <w:szCs w:val="20"/>
              </w:rPr>
              <w:t>100</w:t>
            </w:r>
          </w:p>
        </w:tc>
        <w:tc>
          <w:tcPr>
            <w:tcW w:w="2503" w:type="dxa"/>
            <w:shd w:val="clear" w:color="auto" w:fill="auto"/>
          </w:tcPr>
          <w:p w14:paraId="5946A562"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b/>
                <w:sz w:val="20"/>
                <w:szCs w:val="20"/>
              </w:rPr>
              <w:t>Text:</w:t>
            </w:r>
            <w:r w:rsidRPr="00531366">
              <w:rPr>
                <w:rFonts w:ascii="Arial" w:hAnsi="Arial" w:cs="Arial"/>
                <w:sz w:val="20"/>
                <w:szCs w:val="20"/>
              </w:rPr>
              <w:t xml:space="preserve"> </w:t>
            </w:r>
            <w:r w:rsidRPr="00531366">
              <w:rPr>
                <w:rFonts w:ascii="Arial" w:hAnsi="Arial" w:cs="Arial"/>
                <w:noProof/>
                <w:sz w:val="20"/>
                <w:szCs w:val="20"/>
              </w:rPr>
              <w:t>Percent</w:t>
            </w:r>
          </w:p>
        </w:tc>
      </w:tr>
      <w:tr w:rsidR="004106D5" w:rsidRPr="00515E1C" w14:paraId="56C235AB" w14:textId="77777777" w:rsidTr="000C7A5D">
        <w:tc>
          <w:tcPr>
            <w:tcW w:w="3556" w:type="dxa"/>
            <w:shd w:val="clear" w:color="auto" w:fill="auto"/>
          </w:tcPr>
          <w:p w14:paraId="6A0CE10F" w14:textId="77777777" w:rsidR="004106D5" w:rsidRPr="00531366" w:rsidRDefault="004106D5" w:rsidP="000C7A5D">
            <w:pPr>
              <w:spacing w:after="0" w:line="240" w:lineRule="auto"/>
              <w:rPr>
                <w:rFonts w:ascii="Arial" w:hAnsi="Arial" w:cs="Arial"/>
                <w:b/>
                <w:sz w:val="20"/>
                <w:szCs w:val="20"/>
              </w:rPr>
            </w:pPr>
          </w:p>
        </w:tc>
        <w:tc>
          <w:tcPr>
            <w:tcW w:w="5804" w:type="dxa"/>
            <w:gridSpan w:val="2"/>
            <w:shd w:val="clear" w:color="auto" w:fill="auto"/>
          </w:tcPr>
          <w:p w14:paraId="0B22F29D" w14:textId="77777777" w:rsidR="004106D5" w:rsidRPr="00531366" w:rsidRDefault="004106D5" w:rsidP="000C7A5D">
            <w:pPr>
              <w:spacing w:after="0" w:line="240" w:lineRule="auto"/>
              <w:rPr>
                <w:rFonts w:ascii="Arial" w:hAnsi="Arial" w:cs="Arial"/>
                <w:sz w:val="20"/>
                <w:szCs w:val="20"/>
              </w:rPr>
            </w:pPr>
          </w:p>
        </w:tc>
      </w:tr>
      <w:tr w:rsidR="004106D5" w:rsidRPr="00515E1C" w14:paraId="63BB08BE" w14:textId="77777777" w:rsidTr="000C7A5D">
        <w:tc>
          <w:tcPr>
            <w:tcW w:w="3556" w:type="dxa"/>
            <w:shd w:val="clear" w:color="auto" w:fill="auto"/>
          </w:tcPr>
          <w:p w14:paraId="7391C9A5"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HEALTHY PEOPLE 2020 OBJECTIVE</w:t>
            </w:r>
          </w:p>
        </w:tc>
        <w:tc>
          <w:tcPr>
            <w:tcW w:w="5804" w:type="dxa"/>
            <w:gridSpan w:val="2"/>
            <w:shd w:val="clear" w:color="auto" w:fill="auto"/>
          </w:tcPr>
          <w:p w14:paraId="3AF1A7B1"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noProof/>
                <w:sz w:val="20"/>
                <w:szCs w:val="20"/>
              </w:rPr>
              <w:t>Related to Immunization and Infectious Disease (IID) 11.1.  Increase the vaccination coverage level of 1 dose of tetanus-diphtheria-acellular pertussis (Tdap) booster vaccine for adolescents by age 13 to 15 years (Baseline 46.7% in 2008; Target of 80%)</w:t>
            </w:r>
          </w:p>
        </w:tc>
      </w:tr>
      <w:tr w:rsidR="004106D5" w:rsidRPr="00515E1C" w14:paraId="5EAA8CD0" w14:textId="77777777" w:rsidTr="000C7A5D">
        <w:tc>
          <w:tcPr>
            <w:tcW w:w="3556" w:type="dxa"/>
            <w:shd w:val="clear" w:color="auto" w:fill="auto"/>
          </w:tcPr>
          <w:p w14:paraId="194B39E4" w14:textId="77777777" w:rsidR="004106D5" w:rsidRPr="00531366" w:rsidRDefault="004106D5" w:rsidP="000C7A5D">
            <w:pPr>
              <w:spacing w:after="0" w:line="240" w:lineRule="auto"/>
              <w:rPr>
                <w:rFonts w:ascii="Arial" w:hAnsi="Arial" w:cs="Arial"/>
                <w:b/>
                <w:sz w:val="20"/>
                <w:szCs w:val="20"/>
              </w:rPr>
            </w:pPr>
          </w:p>
        </w:tc>
        <w:tc>
          <w:tcPr>
            <w:tcW w:w="5804" w:type="dxa"/>
            <w:gridSpan w:val="2"/>
            <w:shd w:val="clear" w:color="auto" w:fill="auto"/>
          </w:tcPr>
          <w:p w14:paraId="75F8A3A3" w14:textId="77777777" w:rsidR="004106D5" w:rsidRPr="00531366" w:rsidRDefault="004106D5" w:rsidP="000C7A5D">
            <w:pPr>
              <w:spacing w:after="0" w:line="240" w:lineRule="auto"/>
              <w:rPr>
                <w:rFonts w:ascii="Arial" w:hAnsi="Arial" w:cs="Arial"/>
                <w:sz w:val="20"/>
                <w:szCs w:val="20"/>
              </w:rPr>
            </w:pPr>
          </w:p>
        </w:tc>
      </w:tr>
      <w:tr w:rsidR="004106D5" w:rsidRPr="00515E1C" w14:paraId="794059D1" w14:textId="77777777" w:rsidTr="000C7A5D">
        <w:tc>
          <w:tcPr>
            <w:tcW w:w="3556" w:type="dxa"/>
            <w:shd w:val="clear" w:color="auto" w:fill="auto"/>
          </w:tcPr>
          <w:p w14:paraId="4FE8F748"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DATA SOURCES and DATA ISSUES</w:t>
            </w:r>
          </w:p>
        </w:tc>
        <w:tc>
          <w:tcPr>
            <w:tcW w:w="5804" w:type="dxa"/>
            <w:gridSpan w:val="2"/>
            <w:shd w:val="clear" w:color="auto" w:fill="auto"/>
          </w:tcPr>
          <w:p w14:paraId="37635854"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noProof/>
                <w:sz w:val="20"/>
                <w:szCs w:val="20"/>
              </w:rPr>
              <w:t>National Immunization Survey</w:t>
            </w:r>
            <w:r>
              <w:rPr>
                <w:rFonts w:ascii="Arial" w:hAnsi="Arial" w:cs="Arial"/>
                <w:noProof/>
                <w:sz w:val="20"/>
                <w:szCs w:val="20"/>
              </w:rPr>
              <w:t xml:space="preserve"> - Teen</w:t>
            </w:r>
            <w:r w:rsidRPr="00531366">
              <w:rPr>
                <w:rFonts w:ascii="Arial" w:hAnsi="Arial" w:cs="Arial"/>
                <w:noProof/>
                <w:sz w:val="20"/>
                <w:szCs w:val="20"/>
              </w:rPr>
              <w:t xml:space="preserve"> (NIS</w:t>
            </w:r>
            <w:r>
              <w:rPr>
                <w:rFonts w:ascii="Arial" w:hAnsi="Arial" w:cs="Arial"/>
                <w:noProof/>
                <w:sz w:val="20"/>
                <w:szCs w:val="20"/>
              </w:rPr>
              <w:t>-Teen)</w:t>
            </w:r>
          </w:p>
        </w:tc>
      </w:tr>
      <w:tr w:rsidR="004106D5" w:rsidRPr="00515E1C" w14:paraId="4D22960A" w14:textId="77777777" w:rsidTr="000C7A5D">
        <w:tc>
          <w:tcPr>
            <w:tcW w:w="3556" w:type="dxa"/>
            <w:shd w:val="clear" w:color="auto" w:fill="auto"/>
          </w:tcPr>
          <w:p w14:paraId="34C295D2" w14:textId="77777777" w:rsidR="004106D5" w:rsidRPr="00531366" w:rsidRDefault="004106D5" w:rsidP="000C7A5D">
            <w:pPr>
              <w:spacing w:after="0" w:line="240" w:lineRule="auto"/>
              <w:rPr>
                <w:rFonts w:ascii="Arial" w:hAnsi="Arial" w:cs="Arial"/>
                <w:b/>
                <w:sz w:val="20"/>
                <w:szCs w:val="20"/>
              </w:rPr>
            </w:pPr>
          </w:p>
        </w:tc>
        <w:tc>
          <w:tcPr>
            <w:tcW w:w="5804" w:type="dxa"/>
            <w:gridSpan w:val="2"/>
            <w:shd w:val="clear" w:color="auto" w:fill="auto"/>
          </w:tcPr>
          <w:p w14:paraId="27FA6C89" w14:textId="77777777" w:rsidR="004106D5" w:rsidRPr="00531366" w:rsidRDefault="004106D5" w:rsidP="000C7A5D">
            <w:pPr>
              <w:spacing w:after="0" w:line="240" w:lineRule="auto"/>
              <w:rPr>
                <w:rFonts w:ascii="Arial" w:hAnsi="Arial" w:cs="Arial"/>
                <w:sz w:val="20"/>
                <w:szCs w:val="20"/>
              </w:rPr>
            </w:pPr>
          </w:p>
        </w:tc>
      </w:tr>
      <w:tr w:rsidR="004106D5" w:rsidRPr="00515E1C" w14:paraId="5DD608E0" w14:textId="77777777" w:rsidTr="000C7A5D">
        <w:tc>
          <w:tcPr>
            <w:tcW w:w="3556" w:type="dxa"/>
            <w:shd w:val="clear" w:color="auto" w:fill="auto"/>
          </w:tcPr>
          <w:p w14:paraId="42E2E868"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SIGNIFICANCE</w:t>
            </w:r>
          </w:p>
        </w:tc>
        <w:tc>
          <w:tcPr>
            <w:tcW w:w="5804" w:type="dxa"/>
            <w:gridSpan w:val="2"/>
            <w:shd w:val="clear" w:color="auto" w:fill="auto"/>
          </w:tcPr>
          <w:p w14:paraId="15FAB167" w14:textId="77777777" w:rsidR="004106D5" w:rsidRDefault="004106D5" w:rsidP="000C7A5D">
            <w:pPr>
              <w:spacing w:after="0" w:line="240" w:lineRule="auto"/>
              <w:rPr>
                <w:rFonts w:ascii="Arial" w:hAnsi="Arial" w:cs="Arial"/>
                <w:noProof/>
                <w:sz w:val="20"/>
                <w:szCs w:val="20"/>
              </w:rPr>
            </w:pPr>
            <w:r w:rsidRPr="00531366">
              <w:rPr>
                <w:rFonts w:ascii="Arial" w:hAnsi="Arial" w:cs="Arial"/>
                <w:noProof/>
                <w:sz w:val="20"/>
                <w:szCs w:val="20"/>
              </w:rPr>
              <w:t>Vaccination is one of the greatest public health achievements of the 20th century, resulting in dramatic declines in morbidity and mortality for many infectious diseases. Childhood vaccination in particular is considered among the most cost-effective preventive services available, as it averts a potential lifetime lost to death and disability.</w:t>
            </w:r>
            <w:r>
              <w:rPr>
                <w:rFonts w:ascii="Arial" w:hAnsi="Arial" w:cs="Arial"/>
                <w:noProof/>
                <w:sz w:val="20"/>
                <w:szCs w:val="20"/>
              </w:rPr>
              <w:t xml:space="preserve">  </w:t>
            </w:r>
            <w:r w:rsidRPr="00531366">
              <w:rPr>
                <w:rFonts w:ascii="Arial" w:hAnsi="Arial" w:cs="Arial"/>
                <w:noProof/>
                <w:sz w:val="20"/>
                <w:szCs w:val="20"/>
              </w:rPr>
              <w:t xml:space="preserve">Currently, there are 12 different vaccines recommended by the Centers for Disease Control and Prevention from birth through age 18, many of which require multiple doses for effectiveness as well as boosters to sustain immunity.  </w:t>
            </w:r>
          </w:p>
          <w:p w14:paraId="4D748B2B" w14:textId="77777777" w:rsidR="004106D5" w:rsidRDefault="004106D5" w:rsidP="000C7A5D">
            <w:pPr>
              <w:spacing w:after="0" w:line="240" w:lineRule="auto"/>
              <w:rPr>
                <w:rFonts w:ascii="Arial" w:hAnsi="Arial" w:cs="Arial"/>
                <w:noProof/>
                <w:sz w:val="20"/>
                <w:szCs w:val="20"/>
              </w:rPr>
            </w:pPr>
          </w:p>
          <w:p w14:paraId="0B0BC6CB" w14:textId="77777777" w:rsidR="004106D5" w:rsidRPr="00531366" w:rsidRDefault="000A3835" w:rsidP="000C7A5D">
            <w:pPr>
              <w:spacing w:after="0" w:line="240" w:lineRule="auto"/>
              <w:rPr>
                <w:rFonts w:ascii="Arial" w:hAnsi="Arial" w:cs="Arial"/>
                <w:sz w:val="20"/>
                <w:szCs w:val="20"/>
              </w:rPr>
            </w:pPr>
            <w:hyperlink r:id="rId118" w:history="1">
              <w:r w:rsidR="004106D5" w:rsidRPr="00057ED2">
                <w:rPr>
                  <w:rStyle w:val="Hyperlink"/>
                  <w:rFonts w:ascii="Arial" w:hAnsi="Arial" w:cs="Arial"/>
                  <w:noProof/>
                  <w:sz w:val="20"/>
                  <w:szCs w:val="20"/>
                </w:rPr>
                <w:t>https://www.cdc.gov/vaccines/index.html</w:t>
              </w:r>
            </w:hyperlink>
            <w:r w:rsidR="004106D5">
              <w:rPr>
                <w:rFonts w:ascii="Arial" w:hAnsi="Arial" w:cs="Arial"/>
                <w:noProof/>
                <w:sz w:val="20"/>
                <w:szCs w:val="20"/>
              </w:rPr>
              <w:t xml:space="preserve"> </w:t>
            </w:r>
            <w:r w:rsidR="004106D5" w:rsidRPr="000A0F0B" w:rsidDel="00F814F1">
              <w:rPr>
                <w:rFonts w:ascii="Arial" w:hAnsi="Arial" w:cs="Arial"/>
                <w:noProof/>
                <w:sz w:val="20"/>
                <w:szCs w:val="20"/>
              </w:rPr>
              <w:t xml:space="preserve"> </w:t>
            </w:r>
            <w:r w:rsidR="004106D5">
              <w:rPr>
                <w:rFonts w:ascii="Arial" w:hAnsi="Arial" w:cs="Arial"/>
                <w:noProof/>
                <w:sz w:val="20"/>
                <w:szCs w:val="20"/>
              </w:rPr>
              <w:t xml:space="preserve"> </w:t>
            </w:r>
          </w:p>
        </w:tc>
      </w:tr>
      <w:tr w:rsidR="004106D5" w:rsidRPr="00515E1C" w14:paraId="3860DA07" w14:textId="77777777" w:rsidTr="000C7A5D">
        <w:tc>
          <w:tcPr>
            <w:tcW w:w="3556" w:type="dxa"/>
            <w:shd w:val="clear" w:color="auto" w:fill="auto"/>
          </w:tcPr>
          <w:p w14:paraId="771F5CE0" w14:textId="77777777" w:rsidR="004106D5" w:rsidRPr="00531366" w:rsidRDefault="004106D5" w:rsidP="000C7A5D">
            <w:pPr>
              <w:spacing w:after="0" w:line="240" w:lineRule="auto"/>
              <w:rPr>
                <w:rFonts w:ascii="Arial" w:hAnsi="Arial" w:cs="Arial"/>
                <w:sz w:val="20"/>
                <w:szCs w:val="20"/>
              </w:rPr>
            </w:pPr>
          </w:p>
        </w:tc>
        <w:tc>
          <w:tcPr>
            <w:tcW w:w="5804" w:type="dxa"/>
            <w:gridSpan w:val="2"/>
            <w:shd w:val="clear" w:color="auto" w:fill="auto"/>
          </w:tcPr>
          <w:p w14:paraId="093B05F9" w14:textId="77777777" w:rsidR="004106D5" w:rsidRPr="00531366" w:rsidRDefault="004106D5" w:rsidP="000C7A5D">
            <w:pPr>
              <w:spacing w:after="0" w:line="240" w:lineRule="auto"/>
              <w:rPr>
                <w:rFonts w:ascii="Arial" w:hAnsi="Arial" w:cs="Arial"/>
                <w:sz w:val="20"/>
                <w:szCs w:val="20"/>
              </w:rPr>
            </w:pPr>
          </w:p>
        </w:tc>
      </w:tr>
    </w:tbl>
    <w:p w14:paraId="76991DB3" w14:textId="77777777" w:rsidR="004106D5" w:rsidRDefault="004106D5" w:rsidP="004106D5">
      <w:pPr>
        <w:spacing w:after="0" w:line="240" w:lineRule="auto"/>
        <w:sectPr w:rsidR="004106D5" w:rsidSect="00514C00">
          <w:pgSz w:w="12240" w:h="15840"/>
          <w:pgMar w:top="1440" w:right="1440" w:bottom="1440" w:left="1440" w:header="720" w:footer="720" w:gutter="0"/>
          <w:cols w:space="720"/>
          <w:docGrid w:linePitch="360"/>
        </w:sectPr>
      </w:pPr>
    </w:p>
    <w:tbl>
      <w:tblPr>
        <w:tblW w:w="0" w:type="auto"/>
        <w:tblLook w:val="04A0" w:firstRow="1" w:lastRow="0" w:firstColumn="1" w:lastColumn="0" w:noHBand="0" w:noVBand="1"/>
      </w:tblPr>
      <w:tblGrid>
        <w:gridCol w:w="3618"/>
        <w:gridCol w:w="5868"/>
      </w:tblGrid>
      <w:tr w:rsidR="004106D5" w:rsidRPr="003F48A1" w14:paraId="3E45A9AB" w14:textId="77777777" w:rsidTr="000C7A5D">
        <w:tc>
          <w:tcPr>
            <w:tcW w:w="3618" w:type="dxa"/>
            <w:shd w:val="clear" w:color="auto" w:fill="auto"/>
          </w:tcPr>
          <w:p w14:paraId="6B155017" w14:textId="77777777" w:rsidR="004106D5" w:rsidRPr="00531366" w:rsidRDefault="004106D5" w:rsidP="000C7A5D">
            <w:pPr>
              <w:spacing w:after="0" w:line="240" w:lineRule="auto"/>
              <w:rPr>
                <w:rFonts w:ascii="Arial" w:hAnsi="Arial" w:cs="Arial"/>
                <w:b/>
                <w:sz w:val="24"/>
                <w:szCs w:val="24"/>
              </w:rPr>
            </w:pPr>
            <w:r w:rsidRPr="00531366">
              <w:rPr>
                <w:rFonts w:ascii="Arial" w:hAnsi="Arial" w:cs="Arial"/>
                <w:b/>
                <w:sz w:val="24"/>
                <w:szCs w:val="24"/>
              </w:rPr>
              <w:t xml:space="preserve">OUTCOME MEASURE </w:t>
            </w:r>
            <w:r>
              <w:rPr>
                <w:rFonts w:ascii="Arial" w:hAnsi="Arial" w:cs="Arial"/>
                <w:b/>
                <w:noProof/>
                <w:sz w:val="24"/>
                <w:szCs w:val="24"/>
              </w:rPr>
              <w:t>22</w:t>
            </w:r>
            <w:r w:rsidRPr="00531366">
              <w:rPr>
                <w:rFonts w:ascii="Arial" w:hAnsi="Arial" w:cs="Arial"/>
                <w:b/>
                <w:noProof/>
                <w:sz w:val="24"/>
                <w:szCs w:val="24"/>
              </w:rPr>
              <w:t>.5</w:t>
            </w:r>
          </w:p>
        </w:tc>
        <w:tc>
          <w:tcPr>
            <w:tcW w:w="5868" w:type="dxa"/>
            <w:shd w:val="clear" w:color="auto" w:fill="auto"/>
          </w:tcPr>
          <w:p w14:paraId="2BAE6A22" w14:textId="77777777" w:rsidR="004106D5" w:rsidRPr="00531366" w:rsidRDefault="004106D5" w:rsidP="000C7A5D">
            <w:pPr>
              <w:spacing w:after="0" w:line="240" w:lineRule="auto"/>
              <w:rPr>
                <w:rFonts w:ascii="Arial" w:hAnsi="Arial" w:cs="Arial"/>
                <w:b/>
                <w:noProof/>
                <w:sz w:val="24"/>
                <w:szCs w:val="24"/>
              </w:rPr>
            </w:pPr>
            <w:r w:rsidRPr="00531366">
              <w:rPr>
                <w:rFonts w:ascii="Arial" w:hAnsi="Arial" w:cs="Arial"/>
                <w:b/>
                <w:noProof/>
                <w:sz w:val="24"/>
                <w:szCs w:val="24"/>
              </w:rPr>
              <w:t>Percent of adolescents, ages 13</w:t>
            </w:r>
            <w:r>
              <w:rPr>
                <w:rFonts w:ascii="Arial" w:hAnsi="Arial" w:cs="Arial"/>
                <w:b/>
                <w:noProof/>
                <w:sz w:val="24"/>
                <w:szCs w:val="24"/>
              </w:rPr>
              <w:t xml:space="preserve"> through </w:t>
            </w:r>
            <w:r w:rsidRPr="00531366">
              <w:rPr>
                <w:rFonts w:ascii="Arial" w:hAnsi="Arial" w:cs="Arial"/>
                <w:b/>
                <w:noProof/>
                <w:sz w:val="24"/>
                <w:szCs w:val="24"/>
              </w:rPr>
              <w:t>17, who have received at least one dose of the meningococcal conjugate vaccine</w:t>
            </w:r>
          </w:p>
          <w:p w14:paraId="5D2A63DB" w14:textId="77777777" w:rsidR="004106D5" w:rsidRPr="00531366" w:rsidRDefault="004106D5" w:rsidP="000C7A5D">
            <w:pPr>
              <w:spacing w:after="0" w:line="240" w:lineRule="auto"/>
              <w:rPr>
                <w:rFonts w:ascii="Arial" w:hAnsi="Arial" w:cs="Arial"/>
                <w:b/>
                <w:sz w:val="24"/>
                <w:szCs w:val="24"/>
              </w:rPr>
            </w:pPr>
          </w:p>
        </w:tc>
      </w:tr>
    </w:tbl>
    <w:p w14:paraId="118AC82F" w14:textId="77777777" w:rsidR="004106D5" w:rsidRDefault="004106D5" w:rsidP="004106D5">
      <w:pPr>
        <w:spacing w:after="0" w:line="240" w:lineRule="auto"/>
      </w:pPr>
    </w:p>
    <w:p w14:paraId="142E7C5B" w14:textId="77777777" w:rsidR="004106D5" w:rsidRDefault="004106D5" w:rsidP="004106D5">
      <w:pPr>
        <w:spacing w:after="0" w:line="240" w:lineRule="auto"/>
      </w:pPr>
      <w:r>
        <w:rPr>
          <w:noProof/>
        </w:rPr>
        <mc:AlternateContent>
          <mc:Choice Requires="wps">
            <w:drawing>
              <wp:anchor distT="4294967295" distB="4294967295" distL="114300" distR="114300" simplePos="0" relativeHeight="251786240" behindDoc="0" locked="0" layoutInCell="1" allowOverlap="1" wp14:anchorId="6DB4C4AD" wp14:editId="4AEA0AB9">
                <wp:simplePos x="0" y="0"/>
                <wp:positionH relativeFrom="column">
                  <wp:posOffset>-60960</wp:posOffset>
                </wp:positionH>
                <wp:positionV relativeFrom="paragraph">
                  <wp:posOffset>31749</wp:posOffset>
                </wp:positionV>
                <wp:extent cx="6088380" cy="0"/>
                <wp:effectExtent l="0" t="0" r="26670" b="19050"/>
                <wp:wrapNone/>
                <wp:docPr id="37"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FA0058E" id="Straight Connector 20" o:spid="_x0000_s1026" style="position:absolute;z-index:251786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" strokecolor="windowText" strokeweight="1.75pt">
                <o:lock v:ext="edit" shapetype="f"/>
              </v:line>
            </w:pict>
          </mc:Fallback>
        </mc:AlternateContent>
      </w:r>
    </w:p>
    <w:tbl>
      <w:tblPr>
        <w:tblW w:w="0" w:type="auto"/>
        <w:tblLook w:val="04A0" w:firstRow="1" w:lastRow="0" w:firstColumn="1" w:lastColumn="0" w:noHBand="0" w:noVBand="1"/>
      </w:tblPr>
      <w:tblGrid>
        <w:gridCol w:w="3556"/>
        <w:gridCol w:w="3301"/>
        <w:gridCol w:w="2503"/>
      </w:tblGrid>
      <w:tr w:rsidR="004106D5" w:rsidRPr="00515E1C" w14:paraId="5D298F5C" w14:textId="77777777" w:rsidTr="000C7A5D">
        <w:tc>
          <w:tcPr>
            <w:tcW w:w="3556" w:type="dxa"/>
            <w:shd w:val="clear" w:color="auto" w:fill="auto"/>
          </w:tcPr>
          <w:p w14:paraId="56657B42"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GOAL</w:t>
            </w:r>
          </w:p>
        </w:tc>
        <w:tc>
          <w:tcPr>
            <w:tcW w:w="5804" w:type="dxa"/>
            <w:gridSpan w:val="2"/>
            <w:shd w:val="clear" w:color="auto" w:fill="auto"/>
          </w:tcPr>
          <w:p w14:paraId="0E3688C4" w14:textId="022696E9" w:rsidR="004106D5" w:rsidRPr="00531366" w:rsidRDefault="004106D5" w:rsidP="00FB0985">
            <w:pPr>
              <w:spacing w:after="0" w:line="240" w:lineRule="auto"/>
              <w:rPr>
                <w:rFonts w:ascii="Arial" w:hAnsi="Arial" w:cs="Arial"/>
                <w:sz w:val="20"/>
                <w:szCs w:val="20"/>
              </w:rPr>
            </w:pPr>
            <w:r w:rsidRPr="00531366">
              <w:rPr>
                <w:rFonts w:ascii="Arial" w:hAnsi="Arial" w:cs="Arial"/>
                <w:noProof/>
                <w:sz w:val="20"/>
                <w:szCs w:val="20"/>
              </w:rPr>
              <w:t xml:space="preserve">To increase the </w:t>
            </w:r>
            <w:r w:rsidR="00FB0985">
              <w:rPr>
                <w:rFonts w:ascii="Arial" w:hAnsi="Arial" w:cs="Arial"/>
                <w:noProof/>
                <w:sz w:val="20"/>
                <w:szCs w:val="20"/>
              </w:rPr>
              <w:t>percent</w:t>
            </w:r>
            <w:r w:rsidRPr="00531366">
              <w:rPr>
                <w:rFonts w:ascii="Arial" w:hAnsi="Arial" w:cs="Arial"/>
                <w:noProof/>
                <w:sz w:val="20"/>
                <w:szCs w:val="20"/>
              </w:rPr>
              <w:t xml:space="preserve"> of children and adolescents who have completed recommended vaccines.</w:t>
            </w:r>
          </w:p>
        </w:tc>
      </w:tr>
      <w:tr w:rsidR="004106D5" w:rsidRPr="00515E1C" w14:paraId="638508F6" w14:textId="77777777" w:rsidTr="000C7A5D">
        <w:tc>
          <w:tcPr>
            <w:tcW w:w="3556" w:type="dxa"/>
            <w:shd w:val="clear" w:color="auto" w:fill="auto"/>
          </w:tcPr>
          <w:p w14:paraId="1E6D9331" w14:textId="77777777" w:rsidR="004106D5" w:rsidRPr="00531366" w:rsidRDefault="004106D5" w:rsidP="000C7A5D">
            <w:pPr>
              <w:spacing w:after="0" w:line="240" w:lineRule="auto"/>
              <w:rPr>
                <w:rFonts w:ascii="Arial" w:hAnsi="Arial" w:cs="Arial"/>
                <w:b/>
                <w:sz w:val="20"/>
                <w:szCs w:val="20"/>
              </w:rPr>
            </w:pPr>
          </w:p>
        </w:tc>
        <w:tc>
          <w:tcPr>
            <w:tcW w:w="5804" w:type="dxa"/>
            <w:gridSpan w:val="2"/>
            <w:shd w:val="clear" w:color="auto" w:fill="auto"/>
          </w:tcPr>
          <w:p w14:paraId="6CB47F50" w14:textId="77777777" w:rsidR="004106D5" w:rsidRPr="00531366" w:rsidRDefault="004106D5" w:rsidP="000C7A5D">
            <w:pPr>
              <w:spacing w:after="0" w:line="240" w:lineRule="auto"/>
              <w:rPr>
                <w:rFonts w:ascii="Arial" w:hAnsi="Arial" w:cs="Arial"/>
                <w:sz w:val="20"/>
                <w:szCs w:val="20"/>
              </w:rPr>
            </w:pPr>
          </w:p>
        </w:tc>
      </w:tr>
      <w:tr w:rsidR="004106D5" w:rsidRPr="00515E1C" w14:paraId="0F528DE0" w14:textId="77777777" w:rsidTr="000C7A5D">
        <w:tc>
          <w:tcPr>
            <w:tcW w:w="3556" w:type="dxa"/>
            <w:shd w:val="clear" w:color="auto" w:fill="auto"/>
          </w:tcPr>
          <w:p w14:paraId="01B5AA99"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DEFINITION</w:t>
            </w:r>
          </w:p>
        </w:tc>
        <w:tc>
          <w:tcPr>
            <w:tcW w:w="5804" w:type="dxa"/>
            <w:gridSpan w:val="2"/>
            <w:shd w:val="clear" w:color="auto" w:fill="auto"/>
          </w:tcPr>
          <w:p w14:paraId="315E7245"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Numerator:</w:t>
            </w:r>
          </w:p>
        </w:tc>
      </w:tr>
      <w:tr w:rsidR="004106D5" w:rsidRPr="00515E1C" w14:paraId="3999FB6F" w14:textId="77777777" w:rsidTr="000C7A5D">
        <w:tc>
          <w:tcPr>
            <w:tcW w:w="3556" w:type="dxa"/>
            <w:shd w:val="clear" w:color="auto" w:fill="auto"/>
          </w:tcPr>
          <w:p w14:paraId="6D197575" w14:textId="77777777" w:rsidR="004106D5" w:rsidRPr="00531366" w:rsidRDefault="004106D5" w:rsidP="000C7A5D">
            <w:pPr>
              <w:spacing w:after="0" w:line="240" w:lineRule="auto"/>
              <w:rPr>
                <w:rFonts w:ascii="Arial" w:hAnsi="Arial" w:cs="Arial"/>
                <w:b/>
                <w:sz w:val="20"/>
                <w:szCs w:val="20"/>
              </w:rPr>
            </w:pPr>
          </w:p>
        </w:tc>
        <w:tc>
          <w:tcPr>
            <w:tcW w:w="5804" w:type="dxa"/>
            <w:gridSpan w:val="2"/>
            <w:shd w:val="clear" w:color="auto" w:fill="auto"/>
          </w:tcPr>
          <w:p w14:paraId="04BBF45B" w14:textId="77777777" w:rsidR="004106D5" w:rsidRPr="00531366" w:rsidRDefault="004106D5" w:rsidP="000C7A5D">
            <w:pPr>
              <w:spacing w:after="0" w:line="240" w:lineRule="auto"/>
              <w:rPr>
                <w:rFonts w:ascii="Arial" w:hAnsi="Arial" w:cs="Arial"/>
                <w:sz w:val="20"/>
                <w:szCs w:val="20"/>
              </w:rPr>
            </w:pPr>
            <w:r>
              <w:rPr>
                <w:rFonts w:ascii="Arial" w:hAnsi="Arial" w:cs="Arial"/>
                <w:noProof/>
                <w:sz w:val="20"/>
                <w:szCs w:val="20"/>
              </w:rPr>
              <w:t>Number of a</w:t>
            </w:r>
            <w:r w:rsidRPr="00531366">
              <w:rPr>
                <w:rFonts w:ascii="Arial" w:hAnsi="Arial" w:cs="Arial"/>
                <w:noProof/>
                <w:sz w:val="20"/>
                <w:szCs w:val="20"/>
              </w:rPr>
              <w:t>dolescents, ages 13</w:t>
            </w:r>
            <w:r>
              <w:rPr>
                <w:rFonts w:ascii="Arial" w:hAnsi="Arial" w:cs="Arial"/>
                <w:noProof/>
                <w:sz w:val="20"/>
                <w:szCs w:val="20"/>
              </w:rPr>
              <w:t xml:space="preserve"> through</w:t>
            </w:r>
            <w:r w:rsidRPr="00531366">
              <w:rPr>
                <w:rFonts w:ascii="Arial" w:hAnsi="Arial" w:cs="Arial"/>
                <w:noProof/>
                <w:sz w:val="20"/>
                <w:szCs w:val="20"/>
              </w:rPr>
              <w:t>17, who have received at least one dose of the meningococcal conjugate vaccine</w:t>
            </w:r>
          </w:p>
        </w:tc>
      </w:tr>
      <w:tr w:rsidR="004106D5" w:rsidRPr="00515E1C" w14:paraId="5468EAB5" w14:textId="77777777" w:rsidTr="000C7A5D">
        <w:tc>
          <w:tcPr>
            <w:tcW w:w="3556" w:type="dxa"/>
            <w:shd w:val="clear" w:color="auto" w:fill="auto"/>
          </w:tcPr>
          <w:p w14:paraId="634FA9E3" w14:textId="77777777" w:rsidR="004106D5" w:rsidRPr="00531366" w:rsidRDefault="004106D5" w:rsidP="000C7A5D">
            <w:pPr>
              <w:spacing w:after="0" w:line="240" w:lineRule="auto"/>
              <w:rPr>
                <w:rFonts w:ascii="Arial" w:hAnsi="Arial" w:cs="Arial"/>
                <w:b/>
                <w:sz w:val="20"/>
                <w:szCs w:val="20"/>
              </w:rPr>
            </w:pPr>
          </w:p>
        </w:tc>
        <w:tc>
          <w:tcPr>
            <w:tcW w:w="5804" w:type="dxa"/>
            <w:gridSpan w:val="2"/>
            <w:shd w:val="clear" w:color="auto" w:fill="auto"/>
          </w:tcPr>
          <w:p w14:paraId="02355E22" w14:textId="77777777" w:rsidR="004106D5" w:rsidRPr="00531366" w:rsidRDefault="004106D5" w:rsidP="000C7A5D">
            <w:pPr>
              <w:spacing w:after="0" w:line="240" w:lineRule="auto"/>
              <w:rPr>
                <w:rFonts w:ascii="Arial" w:hAnsi="Arial" w:cs="Arial"/>
                <w:sz w:val="20"/>
                <w:szCs w:val="20"/>
              </w:rPr>
            </w:pPr>
          </w:p>
        </w:tc>
      </w:tr>
      <w:tr w:rsidR="004106D5" w:rsidRPr="00515E1C" w14:paraId="050449C7" w14:textId="77777777" w:rsidTr="000C7A5D">
        <w:tc>
          <w:tcPr>
            <w:tcW w:w="3556" w:type="dxa"/>
            <w:shd w:val="clear" w:color="auto" w:fill="auto"/>
          </w:tcPr>
          <w:p w14:paraId="58010FFA" w14:textId="77777777" w:rsidR="004106D5" w:rsidRPr="00531366" w:rsidRDefault="004106D5" w:rsidP="000C7A5D">
            <w:pPr>
              <w:spacing w:after="0" w:line="240" w:lineRule="auto"/>
              <w:rPr>
                <w:rFonts w:ascii="Arial" w:hAnsi="Arial" w:cs="Arial"/>
                <w:b/>
                <w:sz w:val="20"/>
                <w:szCs w:val="20"/>
              </w:rPr>
            </w:pPr>
          </w:p>
        </w:tc>
        <w:tc>
          <w:tcPr>
            <w:tcW w:w="5804" w:type="dxa"/>
            <w:gridSpan w:val="2"/>
            <w:shd w:val="clear" w:color="auto" w:fill="auto"/>
          </w:tcPr>
          <w:p w14:paraId="3BCEBBB8"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Denominator:</w:t>
            </w:r>
          </w:p>
        </w:tc>
      </w:tr>
      <w:tr w:rsidR="004106D5" w:rsidRPr="00515E1C" w14:paraId="07E1DD90" w14:textId="77777777" w:rsidTr="000C7A5D">
        <w:tc>
          <w:tcPr>
            <w:tcW w:w="3556" w:type="dxa"/>
            <w:shd w:val="clear" w:color="auto" w:fill="auto"/>
          </w:tcPr>
          <w:p w14:paraId="108F1928" w14:textId="77777777" w:rsidR="004106D5" w:rsidRPr="00531366" w:rsidRDefault="004106D5" w:rsidP="000C7A5D">
            <w:pPr>
              <w:spacing w:after="0" w:line="240" w:lineRule="auto"/>
              <w:rPr>
                <w:rFonts w:ascii="Arial" w:hAnsi="Arial" w:cs="Arial"/>
                <w:b/>
                <w:sz w:val="20"/>
                <w:szCs w:val="20"/>
              </w:rPr>
            </w:pPr>
          </w:p>
        </w:tc>
        <w:tc>
          <w:tcPr>
            <w:tcW w:w="5804" w:type="dxa"/>
            <w:gridSpan w:val="2"/>
            <w:shd w:val="clear" w:color="auto" w:fill="auto"/>
          </w:tcPr>
          <w:p w14:paraId="5CC4E068" w14:textId="77777777" w:rsidR="004106D5" w:rsidRPr="00531366" w:rsidRDefault="004106D5" w:rsidP="000C7A5D">
            <w:pPr>
              <w:spacing w:after="0" w:line="240" w:lineRule="auto"/>
              <w:rPr>
                <w:rFonts w:ascii="Arial" w:hAnsi="Arial" w:cs="Arial"/>
                <w:sz w:val="20"/>
                <w:szCs w:val="20"/>
              </w:rPr>
            </w:pPr>
            <w:r>
              <w:rPr>
                <w:rFonts w:ascii="Arial" w:hAnsi="Arial" w:cs="Arial"/>
                <w:noProof/>
                <w:sz w:val="20"/>
                <w:szCs w:val="20"/>
              </w:rPr>
              <w:t xml:space="preserve">Number of </w:t>
            </w:r>
            <w:r w:rsidRPr="00531366">
              <w:rPr>
                <w:rFonts w:ascii="Arial" w:hAnsi="Arial" w:cs="Arial"/>
                <w:noProof/>
                <w:sz w:val="20"/>
                <w:szCs w:val="20"/>
              </w:rPr>
              <w:t>adolescents, ages 13</w:t>
            </w:r>
            <w:r>
              <w:rPr>
                <w:rFonts w:ascii="Arial" w:hAnsi="Arial" w:cs="Arial"/>
                <w:noProof/>
                <w:sz w:val="20"/>
                <w:szCs w:val="20"/>
              </w:rPr>
              <w:t xml:space="preserve"> through</w:t>
            </w:r>
            <w:r w:rsidRPr="00531366">
              <w:rPr>
                <w:rFonts w:ascii="Arial" w:hAnsi="Arial" w:cs="Arial"/>
                <w:noProof/>
                <w:sz w:val="20"/>
                <w:szCs w:val="20"/>
              </w:rPr>
              <w:t>17 years</w:t>
            </w:r>
          </w:p>
        </w:tc>
      </w:tr>
      <w:tr w:rsidR="004106D5" w:rsidRPr="00515E1C" w14:paraId="6149C77E" w14:textId="77777777" w:rsidTr="000C7A5D">
        <w:tc>
          <w:tcPr>
            <w:tcW w:w="3556" w:type="dxa"/>
            <w:shd w:val="clear" w:color="auto" w:fill="auto"/>
          </w:tcPr>
          <w:p w14:paraId="7EFD8060" w14:textId="77777777" w:rsidR="004106D5" w:rsidRPr="00531366" w:rsidRDefault="004106D5" w:rsidP="000C7A5D">
            <w:pPr>
              <w:spacing w:after="0" w:line="240" w:lineRule="auto"/>
              <w:rPr>
                <w:rFonts w:ascii="Arial" w:hAnsi="Arial" w:cs="Arial"/>
                <w:b/>
                <w:sz w:val="20"/>
                <w:szCs w:val="20"/>
              </w:rPr>
            </w:pPr>
          </w:p>
        </w:tc>
        <w:tc>
          <w:tcPr>
            <w:tcW w:w="5804" w:type="dxa"/>
            <w:gridSpan w:val="2"/>
            <w:shd w:val="clear" w:color="auto" w:fill="auto"/>
          </w:tcPr>
          <w:p w14:paraId="5E32E360" w14:textId="77777777" w:rsidR="004106D5" w:rsidRPr="00531366" w:rsidRDefault="004106D5" w:rsidP="000C7A5D">
            <w:pPr>
              <w:spacing w:after="0" w:line="240" w:lineRule="auto"/>
              <w:rPr>
                <w:rFonts w:ascii="Arial" w:hAnsi="Arial" w:cs="Arial"/>
                <w:sz w:val="20"/>
                <w:szCs w:val="20"/>
              </w:rPr>
            </w:pPr>
          </w:p>
        </w:tc>
      </w:tr>
      <w:tr w:rsidR="004106D5" w:rsidRPr="00515E1C" w14:paraId="050CC185" w14:textId="77777777" w:rsidTr="000C7A5D">
        <w:tc>
          <w:tcPr>
            <w:tcW w:w="3556" w:type="dxa"/>
            <w:shd w:val="clear" w:color="auto" w:fill="auto"/>
          </w:tcPr>
          <w:p w14:paraId="66772302" w14:textId="77777777" w:rsidR="004106D5" w:rsidRPr="00531366" w:rsidRDefault="004106D5" w:rsidP="000C7A5D">
            <w:pPr>
              <w:spacing w:after="0" w:line="240" w:lineRule="auto"/>
              <w:rPr>
                <w:rFonts w:ascii="Arial" w:hAnsi="Arial" w:cs="Arial"/>
                <w:b/>
                <w:sz w:val="20"/>
                <w:szCs w:val="20"/>
              </w:rPr>
            </w:pPr>
          </w:p>
        </w:tc>
        <w:tc>
          <w:tcPr>
            <w:tcW w:w="3301" w:type="dxa"/>
            <w:shd w:val="clear" w:color="auto" w:fill="auto"/>
          </w:tcPr>
          <w:p w14:paraId="0386F5B2"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b/>
                <w:sz w:val="20"/>
                <w:szCs w:val="20"/>
              </w:rPr>
              <w:t>Units:</w:t>
            </w:r>
            <w:r w:rsidRPr="00531366">
              <w:rPr>
                <w:rFonts w:ascii="Arial" w:hAnsi="Arial" w:cs="Arial"/>
                <w:sz w:val="20"/>
                <w:szCs w:val="20"/>
              </w:rPr>
              <w:t xml:space="preserve"> </w:t>
            </w:r>
            <w:r w:rsidRPr="00531366">
              <w:rPr>
                <w:rFonts w:ascii="Arial" w:hAnsi="Arial" w:cs="Arial"/>
                <w:noProof/>
                <w:sz w:val="20"/>
                <w:szCs w:val="20"/>
              </w:rPr>
              <w:t>100</w:t>
            </w:r>
          </w:p>
        </w:tc>
        <w:tc>
          <w:tcPr>
            <w:tcW w:w="2503" w:type="dxa"/>
            <w:shd w:val="clear" w:color="auto" w:fill="auto"/>
          </w:tcPr>
          <w:p w14:paraId="6B8C6BB4"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b/>
                <w:sz w:val="20"/>
                <w:szCs w:val="20"/>
              </w:rPr>
              <w:t>Text:</w:t>
            </w:r>
            <w:r w:rsidRPr="00531366">
              <w:rPr>
                <w:rFonts w:ascii="Arial" w:hAnsi="Arial" w:cs="Arial"/>
                <w:sz w:val="20"/>
                <w:szCs w:val="20"/>
              </w:rPr>
              <w:t xml:space="preserve"> </w:t>
            </w:r>
            <w:r w:rsidRPr="00531366">
              <w:rPr>
                <w:rFonts w:ascii="Arial" w:hAnsi="Arial" w:cs="Arial"/>
                <w:noProof/>
                <w:sz w:val="20"/>
                <w:szCs w:val="20"/>
              </w:rPr>
              <w:t>Percent</w:t>
            </w:r>
          </w:p>
        </w:tc>
      </w:tr>
      <w:tr w:rsidR="004106D5" w:rsidRPr="00515E1C" w14:paraId="14622203" w14:textId="77777777" w:rsidTr="000C7A5D">
        <w:tc>
          <w:tcPr>
            <w:tcW w:w="3556" w:type="dxa"/>
            <w:shd w:val="clear" w:color="auto" w:fill="auto"/>
          </w:tcPr>
          <w:p w14:paraId="5568B8CC" w14:textId="77777777" w:rsidR="004106D5" w:rsidRPr="00531366" w:rsidRDefault="004106D5" w:rsidP="000C7A5D">
            <w:pPr>
              <w:spacing w:after="0" w:line="240" w:lineRule="auto"/>
              <w:rPr>
                <w:rFonts w:ascii="Arial" w:hAnsi="Arial" w:cs="Arial"/>
                <w:b/>
                <w:sz w:val="20"/>
                <w:szCs w:val="20"/>
              </w:rPr>
            </w:pPr>
          </w:p>
        </w:tc>
        <w:tc>
          <w:tcPr>
            <w:tcW w:w="5804" w:type="dxa"/>
            <w:gridSpan w:val="2"/>
            <w:shd w:val="clear" w:color="auto" w:fill="auto"/>
          </w:tcPr>
          <w:p w14:paraId="2D864DC4" w14:textId="77777777" w:rsidR="004106D5" w:rsidRPr="00531366" w:rsidRDefault="004106D5" w:rsidP="000C7A5D">
            <w:pPr>
              <w:spacing w:after="0" w:line="240" w:lineRule="auto"/>
              <w:rPr>
                <w:rFonts w:ascii="Arial" w:hAnsi="Arial" w:cs="Arial"/>
                <w:sz w:val="20"/>
                <w:szCs w:val="20"/>
              </w:rPr>
            </w:pPr>
          </w:p>
        </w:tc>
      </w:tr>
      <w:tr w:rsidR="004106D5" w:rsidRPr="00515E1C" w14:paraId="0B0D8DB7" w14:textId="77777777" w:rsidTr="000C7A5D">
        <w:tc>
          <w:tcPr>
            <w:tcW w:w="3556" w:type="dxa"/>
            <w:shd w:val="clear" w:color="auto" w:fill="auto"/>
          </w:tcPr>
          <w:p w14:paraId="13BF7D59"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HEALTHY PEOPLE 2020 OBJECTIVE</w:t>
            </w:r>
          </w:p>
        </w:tc>
        <w:tc>
          <w:tcPr>
            <w:tcW w:w="5804" w:type="dxa"/>
            <w:gridSpan w:val="2"/>
            <w:shd w:val="clear" w:color="auto" w:fill="auto"/>
          </w:tcPr>
          <w:p w14:paraId="343871E9" w14:textId="77777777" w:rsidR="004106D5" w:rsidRPr="00531366" w:rsidRDefault="004106D5" w:rsidP="000C7A5D">
            <w:pPr>
              <w:spacing w:after="0" w:line="240" w:lineRule="auto"/>
              <w:rPr>
                <w:rFonts w:ascii="Arial" w:hAnsi="Arial" w:cs="Arial"/>
                <w:noProof/>
                <w:sz w:val="20"/>
                <w:szCs w:val="20"/>
              </w:rPr>
            </w:pPr>
            <w:r w:rsidRPr="00531366">
              <w:rPr>
                <w:rFonts w:ascii="Arial" w:hAnsi="Arial" w:cs="Arial"/>
                <w:noProof/>
                <w:sz w:val="20"/>
                <w:szCs w:val="20"/>
              </w:rPr>
              <w:t>Related to Immunization and Infectious Disease (IID) 11.3.Increase the vaccination coverage level of 1 dose meningococcal conjugate vaccine for adolescents by age 13 to 15 years (Baseline 43.9% in 2008; Target 80%)</w:t>
            </w:r>
          </w:p>
          <w:p w14:paraId="7476C26C" w14:textId="77777777" w:rsidR="004106D5" w:rsidRPr="00531366" w:rsidRDefault="004106D5" w:rsidP="000C7A5D">
            <w:pPr>
              <w:spacing w:after="0" w:line="240" w:lineRule="auto"/>
              <w:rPr>
                <w:rFonts w:ascii="Arial" w:hAnsi="Arial" w:cs="Arial"/>
                <w:sz w:val="20"/>
                <w:szCs w:val="20"/>
              </w:rPr>
            </w:pPr>
          </w:p>
        </w:tc>
      </w:tr>
      <w:tr w:rsidR="004106D5" w:rsidRPr="00515E1C" w14:paraId="4B1B89A8" w14:textId="77777777" w:rsidTr="000C7A5D">
        <w:tc>
          <w:tcPr>
            <w:tcW w:w="3556" w:type="dxa"/>
            <w:shd w:val="clear" w:color="auto" w:fill="auto"/>
          </w:tcPr>
          <w:p w14:paraId="22026F49" w14:textId="77777777" w:rsidR="004106D5" w:rsidRPr="00531366" w:rsidRDefault="004106D5" w:rsidP="000C7A5D">
            <w:pPr>
              <w:spacing w:after="0" w:line="240" w:lineRule="auto"/>
              <w:rPr>
                <w:rFonts w:ascii="Arial" w:hAnsi="Arial" w:cs="Arial"/>
                <w:b/>
                <w:sz w:val="20"/>
                <w:szCs w:val="20"/>
              </w:rPr>
            </w:pPr>
          </w:p>
        </w:tc>
        <w:tc>
          <w:tcPr>
            <w:tcW w:w="5804" w:type="dxa"/>
            <w:gridSpan w:val="2"/>
            <w:shd w:val="clear" w:color="auto" w:fill="auto"/>
          </w:tcPr>
          <w:p w14:paraId="52741A23" w14:textId="77777777" w:rsidR="004106D5" w:rsidRPr="00531366" w:rsidRDefault="004106D5" w:rsidP="000C7A5D">
            <w:pPr>
              <w:spacing w:after="0" w:line="240" w:lineRule="auto"/>
              <w:rPr>
                <w:rFonts w:ascii="Arial" w:hAnsi="Arial" w:cs="Arial"/>
                <w:sz w:val="20"/>
                <w:szCs w:val="20"/>
              </w:rPr>
            </w:pPr>
          </w:p>
        </w:tc>
      </w:tr>
      <w:tr w:rsidR="004106D5" w:rsidRPr="00515E1C" w14:paraId="056C1E05" w14:textId="77777777" w:rsidTr="000C7A5D">
        <w:tc>
          <w:tcPr>
            <w:tcW w:w="3556" w:type="dxa"/>
            <w:shd w:val="clear" w:color="auto" w:fill="auto"/>
          </w:tcPr>
          <w:p w14:paraId="7A7CBCCE"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DATA SOURCES and DATA ISSUES</w:t>
            </w:r>
          </w:p>
        </w:tc>
        <w:tc>
          <w:tcPr>
            <w:tcW w:w="5804" w:type="dxa"/>
            <w:gridSpan w:val="2"/>
            <w:shd w:val="clear" w:color="auto" w:fill="auto"/>
          </w:tcPr>
          <w:p w14:paraId="1E6435AE"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noProof/>
                <w:sz w:val="20"/>
                <w:szCs w:val="20"/>
              </w:rPr>
              <w:t>National Immunization Survey</w:t>
            </w:r>
            <w:r>
              <w:rPr>
                <w:rFonts w:ascii="Arial" w:hAnsi="Arial" w:cs="Arial"/>
                <w:noProof/>
                <w:sz w:val="20"/>
                <w:szCs w:val="20"/>
              </w:rPr>
              <w:t xml:space="preserve"> - Teen</w:t>
            </w:r>
            <w:r w:rsidRPr="00531366">
              <w:rPr>
                <w:rFonts w:ascii="Arial" w:hAnsi="Arial" w:cs="Arial"/>
                <w:noProof/>
                <w:sz w:val="20"/>
                <w:szCs w:val="20"/>
              </w:rPr>
              <w:t xml:space="preserve"> (NIS</w:t>
            </w:r>
            <w:r>
              <w:rPr>
                <w:rFonts w:ascii="Arial" w:hAnsi="Arial" w:cs="Arial"/>
                <w:noProof/>
                <w:sz w:val="20"/>
                <w:szCs w:val="20"/>
              </w:rPr>
              <w:t>-Teen)</w:t>
            </w:r>
          </w:p>
        </w:tc>
      </w:tr>
      <w:tr w:rsidR="004106D5" w:rsidRPr="00515E1C" w14:paraId="44303E76" w14:textId="77777777" w:rsidTr="000C7A5D">
        <w:tc>
          <w:tcPr>
            <w:tcW w:w="3556" w:type="dxa"/>
            <w:shd w:val="clear" w:color="auto" w:fill="auto"/>
          </w:tcPr>
          <w:p w14:paraId="1FC85613" w14:textId="77777777" w:rsidR="004106D5" w:rsidRPr="00531366" w:rsidRDefault="004106D5" w:rsidP="000C7A5D">
            <w:pPr>
              <w:spacing w:after="0" w:line="240" w:lineRule="auto"/>
              <w:rPr>
                <w:rFonts w:ascii="Arial" w:hAnsi="Arial" w:cs="Arial"/>
                <w:b/>
                <w:sz w:val="20"/>
                <w:szCs w:val="20"/>
              </w:rPr>
            </w:pPr>
          </w:p>
        </w:tc>
        <w:tc>
          <w:tcPr>
            <w:tcW w:w="5804" w:type="dxa"/>
            <w:gridSpan w:val="2"/>
            <w:shd w:val="clear" w:color="auto" w:fill="auto"/>
          </w:tcPr>
          <w:p w14:paraId="639AC97A" w14:textId="77777777" w:rsidR="004106D5" w:rsidRPr="00531366" w:rsidRDefault="004106D5" w:rsidP="000C7A5D">
            <w:pPr>
              <w:spacing w:after="0" w:line="240" w:lineRule="auto"/>
              <w:rPr>
                <w:rFonts w:ascii="Arial" w:hAnsi="Arial" w:cs="Arial"/>
                <w:sz w:val="20"/>
                <w:szCs w:val="20"/>
              </w:rPr>
            </w:pPr>
          </w:p>
        </w:tc>
      </w:tr>
      <w:tr w:rsidR="004106D5" w:rsidRPr="00515E1C" w14:paraId="7EE05B06" w14:textId="77777777" w:rsidTr="000C7A5D">
        <w:tc>
          <w:tcPr>
            <w:tcW w:w="3556" w:type="dxa"/>
            <w:shd w:val="clear" w:color="auto" w:fill="auto"/>
          </w:tcPr>
          <w:p w14:paraId="09D9195A"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SIGNIFICANCE</w:t>
            </w:r>
          </w:p>
        </w:tc>
        <w:tc>
          <w:tcPr>
            <w:tcW w:w="5804" w:type="dxa"/>
            <w:gridSpan w:val="2"/>
            <w:shd w:val="clear" w:color="auto" w:fill="auto"/>
          </w:tcPr>
          <w:p w14:paraId="68AE350F" w14:textId="77777777" w:rsidR="004106D5" w:rsidRDefault="004106D5" w:rsidP="000C7A5D">
            <w:pPr>
              <w:spacing w:after="0" w:line="240" w:lineRule="auto"/>
              <w:rPr>
                <w:rFonts w:ascii="Arial" w:hAnsi="Arial" w:cs="Arial"/>
                <w:noProof/>
                <w:sz w:val="20"/>
                <w:szCs w:val="20"/>
              </w:rPr>
            </w:pPr>
            <w:r w:rsidRPr="00531366">
              <w:rPr>
                <w:rFonts w:ascii="Arial" w:hAnsi="Arial" w:cs="Arial"/>
                <w:noProof/>
                <w:sz w:val="20"/>
                <w:szCs w:val="20"/>
              </w:rPr>
              <w:t>Vaccination is one of the greatest public health achievements of the 20th century, resulting in dramatic declines in morbidity and mortality for many infectious diseases. Childhood vaccination in particular is considered among the most cost-effective preventive services available, as it averts a potential lifetime lost to death and disability.</w:t>
            </w:r>
            <w:r>
              <w:rPr>
                <w:rFonts w:ascii="Arial" w:hAnsi="Arial" w:cs="Arial"/>
                <w:noProof/>
                <w:sz w:val="20"/>
                <w:szCs w:val="20"/>
              </w:rPr>
              <w:t xml:space="preserve">  </w:t>
            </w:r>
            <w:r w:rsidRPr="00531366">
              <w:rPr>
                <w:rFonts w:ascii="Arial" w:hAnsi="Arial" w:cs="Arial"/>
                <w:noProof/>
                <w:sz w:val="20"/>
                <w:szCs w:val="20"/>
              </w:rPr>
              <w:t xml:space="preserve">Currently, there are 12 different vaccines recommended by the Centers for Disease Control and Prevention from birth through age 18, many of which require multiple doses for effectiveness as well as boosters to sustain immunity.  </w:t>
            </w:r>
          </w:p>
          <w:p w14:paraId="7E367675" w14:textId="77777777" w:rsidR="004106D5" w:rsidRDefault="004106D5" w:rsidP="000C7A5D">
            <w:pPr>
              <w:spacing w:after="0" w:line="240" w:lineRule="auto"/>
              <w:rPr>
                <w:rFonts w:ascii="Arial" w:hAnsi="Arial" w:cs="Arial"/>
                <w:noProof/>
                <w:sz w:val="20"/>
                <w:szCs w:val="20"/>
              </w:rPr>
            </w:pPr>
          </w:p>
          <w:p w14:paraId="0A6B69EF" w14:textId="77777777" w:rsidR="004106D5" w:rsidRPr="00531366" w:rsidRDefault="000A3835" w:rsidP="000C7A5D">
            <w:pPr>
              <w:spacing w:after="0" w:line="240" w:lineRule="auto"/>
              <w:rPr>
                <w:rFonts w:ascii="Arial" w:hAnsi="Arial" w:cs="Arial"/>
                <w:noProof/>
                <w:sz w:val="20"/>
                <w:szCs w:val="20"/>
              </w:rPr>
            </w:pPr>
            <w:hyperlink r:id="rId119" w:history="1">
              <w:r w:rsidR="004106D5" w:rsidRPr="00057ED2">
                <w:rPr>
                  <w:rStyle w:val="Hyperlink"/>
                  <w:rFonts w:ascii="Arial" w:hAnsi="Arial" w:cs="Arial"/>
                  <w:noProof/>
                  <w:sz w:val="20"/>
                  <w:szCs w:val="20"/>
                </w:rPr>
                <w:t>https://www.cdc.gov/vaccines/index.html</w:t>
              </w:r>
            </w:hyperlink>
            <w:r w:rsidR="004106D5">
              <w:rPr>
                <w:rFonts w:ascii="Arial" w:hAnsi="Arial" w:cs="Arial"/>
                <w:noProof/>
                <w:sz w:val="20"/>
                <w:szCs w:val="20"/>
              </w:rPr>
              <w:t xml:space="preserve"> </w:t>
            </w:r>
            <w:r w:rsidR="004106D5" w:rsidRPr="000A0F0B" w:rsidDel="00F814F1">
              <w:rPr>
                <w:rFonts w:ascii="Arial" w:hAnsi="Arial" w:cs="Arial"/>
                <w:noProof/>
                <w:sz w:val="20"/>
                <w:szCs w:val="20"/>
              </w:rPr>
              <w:t xml:space="preserve"> </w:t>
            </w:r>
            <w:r w:rsidR="004106D5">
              <w:rPr>
                <w:rFonts w:ascii="Arial" w:hAnsi="Arial" w:cs="Arial"/>
                <w:noProof/>
                <w:sz w:val="20"/>
                <w:szCs w:val="20"/>
              </w:rPr>
              <w:t xml:space="preserve"> </w:t>
            </w:r>
          </w:p>
          <w:p w14:paraId="55CB9A03" w14:textId="77777777" w:rsidR="004106D5" w:rsidRPr="00531366" w:rsidRDefault="004106D5" w:rsidP="000C7A5D">
            <w:pPr>
              <w:spacing w:after="0" w:line="240" w:lineRule="auto"/>
              <w:rPr>
                <w:rFonts w:ascii="Arial" w:hAnsi="Arial" w:cs="Arial"/>
                <w:sz w:val="20"/>
                <w:szCs w:val="20"/>
              </w:rPr>
            </w:pPr>
          </w:p>
        </w:tc>
      </w:tr>
    </w:tbl>
    <w:p w14:paraId="0010F1A4" w14:textId="77777777" w:rsidR="004106D5" w:rsidRDefault="004106D5" w:rsidP="004106D5">
      <w:pPr>
        <w:spacing w:after="0" w:line="240" w:lineRule="auto"/>
        <w:rPr>
          <w:rFonts w:ascii="Arial" w:hAnsi="Arial" w:cs="Arial"/>
          <w:sz w:val="28"/>
          <w:szCs w:val="28"/>
        </w:rPr>
      </w:pPr>
      <w:r>
        <w:rPr>
          <w:rFonts w:ascii="Arial" w:hAnsi="Arial" w:cs="Arial"/>
          <w:sz w:val="28"/>
          <w:szCs w:val="28"/>
        </w:rPr>
        <w:br w:type="page"/>
      </w:r>
    </w:p>
    <w:tbl>
      <w:tblPr>
        <w:tblW w:w="0" w:type="auto"/>
        <w:tblLook w:val="04A0" w:firstRow="1" w:lastRow="0" w:firstColumn="1" w:lastColumn="0" w:noHBand="0" w:noVBand="1"/>
      </w:tblPr>
      <w:tblGrid>
        <w:gridCol w:w="3618"/>
        <w:gridCol w:w="5868"/>
      </w:tblGrid>
      <w:tr w:rsidR="004106D5" w:rsidRPr="003F48A1" w14:paraId="481479EC" w14:textId="77777777" w:rsidTr="000C7A5D">
        <w:tc>
          <w:tcPr>
            <w:tcW w:w="3618" w:type="dxa"/>
            <w:shd w:val="clear" w:color="auto" w:fill="auto"/>
          </w:tcPr>
          <w:p w14:paraId="2512C8D1" w14:textId="77777777" w:rsidR="004106D5" w:rsidRPr="00531366" w:rsidRDefault="004106D5" w:rsidP="000C7A5D">
            <w:pPr>
              <w:spacing w:after="0" w:line="240" w:lineRule="auto"/>
              <w:rPr>
                <w:rFonts w:ascii="Arial" w:hAnsi="Arial" w:cs="Arial"/>
                <w:b/>
                <w:sz w:val="24"/>
                <w:szCs w:val="24"/>
              </w:rPr>
            </w:pPr>
            <w:r w:rsidRPr="00531366">
              <w:rPr>
                <w:rFonts w:ascii="Arial" w:hAnsi="Arial" w:cs="Arial"/>
                <w:b/>
                <w:sz w:val="24"/>
                <w:szCs w:val="24"/>
              </w:rPr>
              <w:t xml:space="preserve">OUTCOME MEASURE </w:t>
            </w:r>
            <w:r>
              <w:rPr>
                <w:rFonts w:ascii="Arial" w:hAnsi="Arial" w:cs="Arial"/>
                <w:b/>
                <w:noProof/>
                <w:sz w:val="24"/>
                <w:szCs w:val="24"/>
              </w:rPr>
              <w:t>23</w:t>
            </w:r>
          </w:p>
        </w:tc>
        <w:tc>
          <w:tcPr>
            <w:tcW w:w="5868" w:type="dxa"/>
            <w:shd w:val="clear" w:color="auto" w:fill="auto"/>
          </w:tcPr>
          <w:p w14:paraId="5CAEC228" w14:textId="1DC4C25F" w:rsidR="004106D5" w:rsidRPr="00531366" w:rsidRDefault="004106D5" w:rsidP="000C7A5D">
            <w:pPr>
              <w:spacing w:after="0" w:line="240" w:lineRule="auto"/>
              <w:rPr>
                <w:rFonts w:ascii="Arial" w:hAnsi="Arial" w:cs="Arial"/>
                <w:b/>
                <w:noProof/>
                <w:sz w:val="24"/>
                <w:szCs w:val="24"/>
              </w:rPr>
            </w:pPr>
            <w:r>
              <w:rPr>
                <w:rFonts w:ascii="Arial" w:hAnsi="Arial" w:cs="Arial"/>
                <w:b/>
                <w:noProof/>
                <w:sz w:val="24"/>
                <w:szCs w:val="24"/>
              </w:rPr>
              <w:t>Teen birth rate</w:t>
            </w:r>
            <w:r w:rsidR="0051645F">
              <w:rPr>
                <w:rFonts w:ascii="Arial" w:hAnsi="Arial" w:cs="Arial"/>
                <w:b/>
                <w:noProof/>
                <w:sz w:val="24"/>
                <w:szCs w:val="24"/>
              </w:rPr>
              <w:t xml:space="preserve">, ages 15 through 19, </w:t>
            </w:r>
            <w:r>
              <w:rPr>
                <w:rFonts w:ascii="Arial" w:hAnsi="Arial" w:cs="Arial"/>
                <w:b/>
                <w:noProof/>
                <w:sz w:val="24"/>
                <w:szCs w:val="24"/>
              </w:rPr>
              <w:t>per 1,000 females</w:t>
            </w:r>
          </w:p>
          <w:p w14:paraId="375B63E8" w14:textId="77777777" w:rsidR="004106D5" w:rsidRPr="00531366" w:rsidRDefault="004106D5" w:rsidP="000C7A5D">
            <w:pPr>
              <w:spacing w:after="0" w:line="240" w:lineRule="auto"/>
              <w:rPr>
                <w:rFonts w:ascii="Arial" w:hAnsi="Arial" w:cs="Arial"/>
                <w:b/>
                <w:sz w:val="24"/>
                <w:szCs w:val="24"/>
              </w:rPr>
            </w:pPr>
          </w:p>
        </w:tc>
      </w:tr>
    </w:tbl>
    <w:p w14:paraId="549626E1" w14:textId="77777777" w:rsidR="004106D5" w:rsidRDefault="004106D5" w:rsidP="004106D5">
      <w:pPr>
        <w:spacing w:after="0" w:line="240" w:lineRule="auto"/>
      </w:pPr>
    </w:p>
    <w:p w14:paraId="1F5E5EE8" w14:textId="77777777" w:rsidR="004106D5" w:rsidRDefault="004106D5" w:rsidP="004106D5">
      <w:pPr>
        <w:spacing w:after="0" w:line="240" w:lineRule="auto"/>
      </w:pPr>
      <w:r>
        <w:rPr>
          <w:noProof/>
        </w:rPr>
        <mc:AlternateContent>
          <mc:Choice Requires="wps">
            <w:drawing>
              <wp:anchor distT="4294967295" distB="4294967295" distL="114300" distR="114300" simplePos="0" relativeHeight="251788288" behindDoc="0" locked="0" layoutInCell="1" allowOverlap="1" wp14:anchorId="0FAA2803" wp14:editId="0DCDB58A">
                <wp:simplePos x="0" y="0"/>
                <wp:positionH relativeFrom="column">
                  <wp:posOffset>-60960</wp:posOffset>
                </wp:positionH>
                <wp:positionV relativeFrom="paragraph">
                  <wp:posOffset>31749</wp:posOffset>
                </wp:positionV>
                <wp:extent cx="6088380" cy="0"/>
                <wp:effectExtent l="0" t="0" r="26670" b="19050"/>
                <wp:wrapNone/>
                <wp:docPr id="62"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8FF5F44" id="Straight Connector 20" o:spid="_x0000_s1026" style="position:absolute;z-index:251788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" strokecolor="windowText" strokeweight="1.75pt">
                <o:lock v:ext="edit" shapetype="f"/>
              </v:line>
            </w:pict>
          </mc:Fallback>
        </mc:AlternateContent>
      </w:r>
    </w:p>
    <w:tbl>
      <w:tblPr>
        <w:tblW w:w="0" w:type="auto"/>
        <w:tblLook w:val="04A0" w:firstRow="1" w:lastRow="0" w:firstColumn="1" w:lastColumn="0" w:noHBand="0" w:noVBand="1"/>
      </w:tblPr>
      <w:tblGrid>
        <w:gridCol w:w="3556"/>
        <w:gridCol w:w="3301"/>
        <w:gridCol w:w="2503"/>
      </w:tblGrid>
      <w:tr w:rsidR="004106D5" w:rsidRPr="00515E1C" w14:paraId="46FDE7AB" w14:textId="77777777" w:rsidTr="000C7A5D">
        <w:tc>
          <w:tcPr>
            <w:tcW w:w="3556" w:type="dxa"/>
            <w:shd w:val="clear" w:color="auto" w:fill="auto"/>
          </w:tcPr>
          <w:p w14:paraId="026BA39B"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GOAL</w:t>
            </w:r>
          </w:p>
        </w:tc>
        <w:tc>
          <w:tcPr>
            <w:tcW w:w="5804" w:type="dxa"/>
            <w:gridSpan w:val="2"/>
            <w:shd w:val="clear" w:color="auto" w:fill="auto"/>
          </w:tcPr>
          <w:p w14:paraId="7670230F"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noProof/>
                <w:sz w:val="20"/>
                <w:szCs w:val="20"/>
              </w:rPr>
              <w:t xml:space="preserve">To </w:t>
            </w:r>
            <w:r>
              <w:rPr>
                <w:rFonts w:ascii="Arial" w:hAnsi="Arial" w:cs="Arial"/>
                <w:noProof/>
                <w:sz w:val="20"/>
                <w:szCs w:val="20"/>
              </w:rPr>
              <w:t>reduce pregnancies to teenagers</w:t>
            </w:r>
            <w:r w:rsidRPr="00531366">
              <w:rPr>
                <w:rFonts w:ascii="Arial" w:hAnsi="Arial" w:cs="Arial"/>
                <w:noProof/>
                <w:sz w:val="20"/>
                <w:szCs w:val="20"/>
              </w:rPr>
              <w:t>.</w:t>
            </w:r>
          </w:p>
        </w:tc>
      </w:tr>
      <w:tr w:rsidR="004106D5" w:rsidRPr="00515E1C" w14:paraId="6C4CD8BD" w14:textId="77777777" w:rsidTr="000C7A5D">
        <w:tc>
          <w:tcPr>
            <w:tcW w:w="3556" w:type="dxa"/>
            <w:shd w:val="clear" w:color="auto" w:fill="auto"/>
          </w:tcPr>
          <w:p w14:paraId="15AD6736" w14:textId="77777777" w:rsidR="004106D5" w:rsidRPr="00531366" w:rsidRDefault="004106D5" w:rsidP="000C7A5D">
            <w:pPr>
              <w:spacing w:after="0" w:line="240" w:lineRule="auto"/>
              <w:rPr>
                <w:rFonts w:ascii="Arial" w:hAnsi="Arial" w:cs="Arial"/>
                <w:b/>
                <w:sz w:val="20"/>
                <w:szCs w:val="20"/>
              </w:rPr>
            </w:pPr>
          </w:p>
        </w:tc>
        <w:tc>
          <w:tcPr>
            <w:tcW w:w="5804" w:type="dxa"/>
            <w:gridSpan w:val="2"/>
            <w:shd w:val="clear" w:color="auto" w:fill="auto"/>
          </w:tcPr>
          <w:p w14:paraId="385D3F29" w14:textId="77777777" w:rsidR="004106D5" w:rsidRPr="00531366" w:rsidRDefault="004106D5" w:rsidP="000C7A5D">
            <w:pPr>
              <w:spacing w:after="0" w:line="240" w:lineRule="auto"/>
              <w:rPr>
                <w:rFonts w:ascii="Arial" w:hAnsi="Arial" w:cs="Arial"/>
                <w:sz w:val="20"/>
                <w:szCs w:val="20"/>
              </w:rPr>
            </w:pPr>
          </w:p>
        </w:tc>
      </w:tr>
      <w:tr w:rsidR="004106D5" w:rsidRPr="00515E1C" w14:paraId="563CABAE" w14:textId="77777777" w:rsidTr="000C7A5D">
        <w:tc>
          <w:tcPr>
            <w:tcW w:w="3556" w:type="dxa"/>
            <w:shd w:val="clear" w:color="auto" w:fill="auto"/>
          </w:tcPr>
          <w:p w14:paraId="5B23CA7D"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DEFINITION</w:t>
            </w:r>
          </w:p>
        </w:tc>
        <w:tc>
          <w:tcPr>
            <w:tcW w:w="5804" w:type="dxa"/>
            <w:gridSpan w:val="2"/>
            <w:shd w:val="clear" w:color="auto" w:fill="auto"/>
          </w:tcPr>
          <w:p w14:paraId="071BF2C2"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Numerator:</w:t>
            </w:r>
          </w:p>
        </w:tc>
      </w:tr>
      <w:tr w:rsidR="004106D5" w:rsidRPr="00515E1C" w14:paraId="28F16FCF" w14:textId="77777777" w:rsidTr="000C7A5D">
        <w:tc>
          <w:tcPr>
            <w:tcW w:w="3556" w:type="dxa"/>
            <w:shd w:val="clear" w:color="auto" w:fill="auto"/>
          </w:tcPr>
          <w:p w14:paraId="70931CAE" w14:textId="77777777" w:rsidR="004106D5" w:rsidRPr="00531366" w:rsidRDefault="004106D5" w:rsidP="000C7A5D">
            <w:pPr>
              <w:spacing w:after="0" w:line="240" w:lineRule="auto"/>
              <w:rPr>
                <w:rFonts w:ascii="Arial" w:hAnsi="Arial" w:cs="Arial"/>
                <w:b/>
                <w:sz w:val="20"/>
                <w:szCs w:val="20"/>
              </w:rPr>
            </w:pPr>
          </w:p>
        </w:tc>
        <w:tc>
          <w:tcPr>
            <w:tcW w:w="5804" w:type="dxa"/>
            <w:gridSpan w:val="2"/>
            <w:shd w:val="clear" w:color="auto" w:fill="auto"/>
          </w:tcPr>
          <w:p w14:paraId="56C043AF" w14:textId="77777777" w:rsidR="004106D5" w:rsidRPr="00531366" w:rsidRDefault="004106D5" w:rsidP="000C7A5D">
            <w:pPr>
              <w:spacing w:after="0" w:line="240" w:lineRule="auto"/>
              <w:rPr>
                <w:rFonts w:ascii="Arial" w:hAnsi="Arial" w:cs="Arial"/>
                <w:sz w:val="20"/>
                <w:szCs w:val="20"/>
              </w:rPr>
            </w:pPr>
            <w:r>
              <w:rPr>
                <w:rFonts w:ascii="Arial" w:hAnsi="Arial" w:cs="Arial"/>
                <w:noProof/>
                <w:sz w:val="20"/>
                <w:szCs w:val="20"/>
              </w:rPr>
              <w:t>Number of births to a</w:t>
            </w:r>
            <w:r w:rsidRPr="00531366">
              <w:rPr>
                <w:rFonts w:ascii="Arial" w:hAnsi="Arial" w:cs="Arial"/>
                <w:noProof/>
                <w:sz w:val="20"/>
                <w:szCs w:val="20"/>
              </w:rPr>
              <w:t>dolescents, ages 1</w:t>
            </w:r>
            <w:r>
              <w:rPr>
                <w:rFonts w:ascii="Arial" w:hAnsi="Arial" w:cs="Arial"/>
                <w:noProof/>
                <w:sz w:val="20"/>
                <w:szCs w:val="20"/>
              </w:rPr>
              <w:t>5 through 19 years</w:t>
            </w:r>
          </w:p>
        </w:tc>
      </w:tr>
      <w:tr w:rsidR="004106D5" w:rsidRPr="00515E1C" w14:paraId="58DBAE45" w14:textId="77777777" w:rsidTr="000C7A5D">
        <w:tc>
          <w:tcPr>
            <w:tcW w:w="3556" w:type="dxa"/>
            <w:shd w:val="clear" w:color="auto" w:fill="auto"/>
          </w:tcPr>
          <w:p w14:paraId="515B2CDE" w14:textId="77777777" w:rsidR="004106D5" w:rsidRPr="00531366" w:rsidRDefault="004106D5" w:rsidP="000C7A5D">
            <w:pPr>
              <w:spacing w:after="0" w:line="240" w:lineRule="auto"/>
              <w:rPr>
                <w:rFonts w:ascii="Arial" w:hAnsi="Arial" w:cs="Arial"/>
                <w:b/>
                <w:sz w:val="20"/>
                <w:szCs w:val="20"/>
              </w:rPr>
            </w:pPr>
          </w:p>
        </w:tc>
        <w:tc>
          <w:tcPr>
            <w:tcW w:w="5804" w:type="dxa"/>
            <w:gridSpan w:val="2"/>
            <w:shd w:val="clear" w:color="auto" w:fill="auto"/>
          </w:tcPr>
          <w:p w14:paraId="31D5243B" w14:textId="77777777" w:rsidR="004106D5" w:rsidRPr="00531366" w:rsidRDefault="004106D5" w:rsidP="000C7A5D">
            <w:pPr>
              <w:spacing w:after="0" w:line="240" w:lineRule="auto"/>
              <w:rPr>
                <w:rFonts w:ascii="Arial" w:hAnsi="Arial" w:cs="Arial"/>
                <w:sz w:val="20"/>
                <w:szCs w:val="20"/>
              </w:rPr>
            </w:pPr>
          </w:p>
        </w:tc>
      </w:tr>
      <w:tr w:rsidR="004106D5" w:rsidRPr="00515E1C" w14:paraId="30C497DF" w14:textId="77777777" w:rsidTr="000C7A5D">
        <w:tc>
          <w:tcPr>
            <w:tcW w:w="3556" w:type="dxa"/>
            <w:shd w:val="clear" w:color="auto" w:fill="auto"/>
          </w:tcPr>
          <w:p w14:paraId="7EB967CD" w14:textId="77777777" w:rsidR="004106D5" w:rsidRPr="00531366" w:rsidRDefault="004106D5" w:rsidP="000C7A5D">
            <w:pPr>
              <w:spacing w:after="0" w:line="240" w:lineRule="auto"/>
              <w:rPr>
                <w:rFonts w:ascii="Arial" w:hAnsi="Arial" w:cs="Arial"/>
                <w:b/>
                <w:sz w:val="20"/>
                <w:szCs w:val="20"/>
              </w:rPr>
            </w:pPr>
          </w:p>
        </w:tc>
        <w:tc>
          <w:tcPr>
            <w:tcW w:w="5804" w:type="dxa"/>
            <w:gridSpan w:val="2"/>
            <w:shd w:val="clear" w:color="auto" w:fill="auto"/>
          </w:tcPr>
          <w:p w14:paraId="29D02267"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Denominator:</w:t>
            </w:r>
          </w:p>
        </w:tc>
      </w:tr>
      <w:tr w:rsidR="004106D5" w:rsidRPr="00515E1C" w14:paraId="1BA65D13" w14:textId="77777777" w:rsidTr="000C7A5D">
        <w:tc>
          <w:tcPr>
            <w:tcW w:w="3556" w:type="dxa"/>
            <w:shd w:val="clear" w:color="auto" w:fill="auto"/>
          </w:tcPr>
          <w:p w14:paraId="0103004F" w14:textId="77777777" w:rsidR="004106D5" w:rsidRPr="00531366" w:rsidRDefault="004106D5" w:rsidP="000C7A5D">
            <w:pPr>
              <w:spacing w:after="0" w:line="240" w:lineRule="auto"/>
              <w:rPr>
                <w:rFonts w:ascii="Arial" w:hAnsi="Arial" w:cs="Arial"/>
                <w:b/>
                <w:sz w:val="20"/>
                <w:szCs w:val="20"/>
              </w:rPr>
            </w:pPr>
          </w:p>
        </w:tc>
        <w:tc>
          <w:tcPr>
            <w:tcW w:w="5804" w:type="dxa"/>
            <w:gridSpan w:val="2"/>
            <w:shd w:val="clear" w:color="auto" w:fill="auto"/>
          </w:tcPr>
          <w:p w14:paraId="6B2F9650" w14:textId="77777777" w:rsidR="004106D5" w:rsidRPr="00531366" w:rsidRDefault="004106D5" w:rsidP="000C7A5D">
            <w:pPr>
              <w:spacing w:after="0" w:line="240" w:lineRule="auto"/>
              <w:rPr>
                <w:rFonts w:ascii="Arial" w:hAnsi="Arial" w:cs="Arial"/>
                <w:sz w:val="20"/>
                <w:szCs w:val="20"/>
              </w:rPr>
            </w:pPr>
            <w:r>
              <w:rPr>
                <w:rFonts w:ascii="Arial" w:hAnsi="Arial" w:cs="Arial"/>
                <w:noProof/>
                <w:sz w:val="20"/>
                <w:szCs w:val="20"/>
              </w:rPr>
              <w:t>Number of adolescent females</w:t>
            </w:r>
            <w:r w:rsidRPr="00531366">
              <w:rPr>
                <w:rFonts w:ascii="Arial" w:hAnsi="Arial" w:cs="Arial"/>
                <w:noProof/>
                <w:sz w:val="20"/>
                <w:szCs w:val="20"/>
              </w:rPr>
              <w:t>, ages 1</w:t>
            </w:r>
            <w:r>
              <w:rPr>
                <w:rFonts w:ascii="Arial" w:hAnsi="Arial" w:cs="Arial"/>
                <w:noProof/>
                <w:sz w:val="20"/>
                <w:szCs w:val="20"/>
              </w:rPr>
              <w:t>5 through 19</w:t>
            </w:r>
            <w:r w:rsidRPr="00531366">
              <w:rPr>
                <w:rFonts w:ascii="Arial" w:hAnsi="Arial" w:cs="Arial"/>
                <w:noProof/>
                <w:sz w:val="20"/>
                <w:szCs w:val="20"/>
              </w:rPr>
              <w:t xml:space="preserve"> years</w:t>
            </w:r>
          </w:p>
        </w:tc>
      </w:tr>
      <w:tr w:rsidR="004106D5" w:rsidRPr="00515E1C" w14:paraId="5F003560" w14:textId="77777777" w:rsidTr="000C7A5D">
        <w:tc>
          <w:tcPr>
            <w:tcW w:w="3556" w:type="dxa"/>
            <w:shd w:val="clear" w:color="auto" w:fill="auto"/>
          </w:tcPr>
          <w:p w14:paraId="584D5108" w14:textId="77777777" w:rsidR="004106D5" w:rsidRPr="00531366" w:rsidRDefault="004106D5" w:rsidP="000C7A5D">
            <w:pPr>
              <w:spacing w:after="0" w:line="240" w:lineRule="auto"/>
              <w:rPr>
                <w:rFonts w:ascii="Arial" w:hAnsi="Arial" w:cs="Arial"/>
                <w:b/>
                <w:sz w:val="20"/>
                <w:szCs w:val="20"/>
              </w:rPr>
            </w:pPr>
          </w:p>
        </w:tc>
        <w:tc>
          <w:tcPr>
            <w:tcW w:w="5804" w:type="dxa"/>
            <w:gridSpan w:val="2"/>
            <w:shd w:val="clear" w:color="auto" w:fill="auto"/>
          </w:tcPr>
          <w:p w14:paraId="292A836A" w14:textId="77777777" w:rsidR="004106D5" w:rsidRPr="00531366" w:rsidRDefault="004106D5" w:rsidP="000C7A5D">
            <w:pPr>
              <w:spacing w:after="0" w:line="240" w:lineRule="auto"/>
              <w:rPr>
                <w:rFonts w:ascii="Arial" w:hAnsi="Arial" w:cs="Arial"/>
                <w:sz w:val="20"/>
                <w:szCs w:val="20"/>
              </w:rPr>
            </w:pPr>
          </w:p>
        </w:tc>
      </w:tr>
      <w:tr w:rsidR="004106D5" w:rsidRPr="00515E1C" w14:paraId="6570A5C2" w14:textId="77777777" w:rsidTr="000C7A5D">
        <w:tc>
          <w:tcPr>
            <w:tcW w:w="3556" w:type="dxa"/>
            <w:shd w:val="clear" w:color="auto" w:fill="auto"/>
          </w:tcPr>
          <w:p w14:paraId="260C82BC" w14:textId="77777777" w:rsidR="004106D5" w:rsidRPr="00531366" w:rsidRDefault="004106D5" w:rsidP="000C7A5D">
            <w:pPr>
              <w:spacing w:after="0" w:line="240" w:lineRule="auto"/>
              <w:rPr>
                <w:rFonts w:ascii="Arial" w:hAnsi="Arial" w:cs="Arial"/>
                <w:b/>
                <w:sz w:val="20"/>
                <w:szCs w:val="20"/>
              </w:rPr>
            </w:pPr>
          </w:p>
        </w:tc>
        <w:tc>
          <w:tcPr>
            <w:tcW w:w="3301" w:type="dxa"/>
            <w:shd w:val="clear" w:color="auto" w:fill="auto"/>
          </w:tcPr>
          <w:p w14:paraId="49003E7D"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b/>
                <w:sz w:val="20"/>
                <w:szCs w:val="20"/>
              </w:rPr>
              <w:t>Units:</w:t>
            </w:r>
            <w:r w:rsidRPr="00531366">
              <w:rPr>
                <w:rFonts w:ascii="Arial" w:hAnsi="Arial" w:cs="Arial"/>
                <w:sz w:val="20"/>
                <w:szCs w:val="20"/>
              </w:rPr>
              <w:t xml:space="preserve"> </w:t>
            </w:r>
            <w:r w:rsidRPr="00531366">
              <w:rPr>
                <w:rFonts w:ascii="Arial" w:hAnsi="Arial" w:cs="Arial"/>
                <w:noProof/>
                <w:sz w:val="20"/>
                <w:szCs w:val="20"/>
              </w:rPr>
              <w:t>1</w:t>
            </w:r>
            <w:r>
              <w:rPr>
                <w:rFonts w:ascii="Arial" w:hAnsi="Arial" w:cs="Arial"/>
                <w:noProof/>
                <w:sz w:val="20"/>
                <w:szCs w:val="20"/>
              </w:rPr>
              <w:t>,</w:t>
            </w:r>
            <w:r w:rsidRPr="00531366">
              <w:rPr>
                <w:rFonts w:ascii="Arial" w:hAnsi="Arial" w:cs="Arial"/>
                <w:noProof/>
                <w:sz w:val="20"/>
                <w:szCs w:val="20"/>
              </w:rPr>
              <w:t>00</w:t>
            </w:r>
            <w:r>
              <w:rPr>
                <w:rFonts w:ascii="Arial" w:hAnsi="Arial" w:cs="Arial"/>
                <w:noProof/>
                <w:sz w:val="20"/>
                <w:szCs w:val="20"/>
              </w:rPr>
              <w:t>0</w:t>
            </w:r>
          </w:p>
        </w:tc>
        <w:tc>
          <w:tcPr>
            <w:tcW w:w="2503" w:type="dxa"/>
            <w:shd w:val="clear" w:color="auto" w:fill="auto"/>
          </w:tcPr>
          <w:p w14:paraId="296A133C"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b/>
                <w:sz w:val="20"/>
                <w:szCs w:val="20"/>
              </w:rPr>
              <w:t>Text:</w:t>
            </w:r>
            <w:r w:rsidRPr="00531366">
              <w:rPr>
                <w:rFonts w:ascii="Arial" w:hAnsi="Arial" w:cs="Arial"/>
                <w:sz w:val="20"/>
                <w:szCs w:val="20"/>
              </w:rPr>
              <w:t xml:space="preserve"> </w:t>
            </w:r>
            <w:r>
              <w:rPr>
                <w:rFonts w:ascii="Arial" w:hAnsi="Arial" w:cs="Arial"/>
                <w:noProof/>
                <w:sz w:val="20"/>
                <w:szCs w:val="20"/>
              </w:rPr>
              <w:t>Rate</w:t>
            </w:r>
          </w:p>
        </w:tc>
      </w:tr>
      <w:tr w:rsidR="004106D5" w:rsidRPr="00515E1C" w14:paraId="63B14977" w14:textId="77777777" w:rsidTr="000C7A5D">
        <w:tc>
          <w:tcPr>
            <w:tcW w:w="3556" w:type="dxa"/>
            <w:shd w:val="clear" w:color="auto" w:fill="auto"/>
          </w:tcPr>
          <w:p w14:paraId="2D93EFD3" w14:textId="77777777" w:rsidR="004106D5" w:rsidRPr="00531366" w:rsidRDefault="004106D5" w:rsidP="000C7A5D">
            <w:pPr>
              <w:spacing w:after="0" w:line="240" w:lineRule="auto"/>
              <w:rPr>
                <w:rFonts w:ascii="Arial" w:hAnsi="Arial" w:cs="Arial"/>
                <w:b/>
                <w:sz w:val="20"/>
                <w:szCs w:val="20"/>
              </w:rPr>
            </w:pPr>
          </w:p>
        </w:tc>
        <w:tc>
          <w:tcPr>
            <w:tcW w:w="5804" w:type="dxa"/>
            <w:gridSpan w:val="2"/>
            <w:shd w:val="clear" w:color="auto" w:fill="auto"/>
          </w:tcPr>
          <w:p w14:paraId="1F643E28" w14:textId="77777777" w:rsidR="004106D5" w:rsidRPr="00531366" w:rsidRDefault="004106D5" w:rsidP="000C7A5D">
            <w:pPr>
              <w:spacing w:after="0" w:line="240" w:lineRule="auto"/>
              <w:rPr>
                <w:rFonts w:ascii="Arial" w:hAnsi="Arial" w:cs="Arial"/>
                <w:sz w:val="20"/>
                <w:szCs w:val="20"/>
              </w:rPr>
            </w:pPr>
          </w:p>
        </w:tc>
      </w:tr>
      <w:tr w:rsidR="004106D5" w:rsidRPr="00515E1C" w14:paraId="0B2FDB4F" w14:textId="77777777" w:rsidTr="000C7A5D">
        <w:tc>
          <w:tcPr>
            <w:tcW w:w="3556" w:type="dxa"/>
            <w:shd w:val="clear" w:color="auto" w:fill="auto"/>
          </w:tcPr>
          <w:p w14:paraId="235C3844"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HEALTHY PEOPLE 2020 OBJECTIVE</w:t>
            </w:r>
          </w:p>
        </w:tc>
        <w:tc>
          <w:tcPr>
            <w:tcW w:w="5804" w:type="dxa"/>
            <w:gridSpan w:val="2"/>
            <w:shd w:val="clear" w:color="auto" w:fill="auto"/>
          </w:tcPr>
          <w:p w14:paraId="23E760F8" w14:textId="77777777" w:rsidR="004106D5" w:rsidRPr="00531366" w:rsidRDefault="004106D5" w:rsidP="000C7A5D">
            <w:pPr>
              <w:spacing w:after="0" w:line="240" w:lineRule="auto"/>
              <w:rPr>
                <w:rFonts w:ascii="Arial" w:hAnsi="Arial" w:cs="Arial"/>
                <w:noProof/>
                <w:sz w:val="20"/>
                <w:szCs w:val="20"/>
              </w:rPr>
            </w:pPr>
            <w:r w:rsidRPr="00531366">
              <w:rPr>
                <w:rFonts w:ascii="Arial" w:hAnsi="Arial" w:cs="Arial"/>
                <w:noProof/>
                <w:sz w:val="20"/>
                <w:szCs w:val="20"/>
              </w:rPr>
              <w:t xml:space="preserve">Related to </w:t>
            </w:r>
            <w:r>
              <w:rPr>
                <w:rFonts w:ascii="Arial" w:hAnsi="Arial" w:cs="Arial"/>
                <w:noProof/>
                <w:sz w:val="20"/>
                <w:szCs w:val="20"/>
              </w:rPr>
              <w:t>Family Planning (FP</w:t>
            </w:r>
            <w:r w:rsidRPr="00531366">
              <w:rPr>
                <w:rFonts w:ascii="Arial" w:hAnsi="Arial" w:cs="Arial"/>
                <w:noProof/>
                <w:sz w:val="20"/>
                <w:szCs w:val="20"/>
              </w:rPr>
              <w:t xml:space="preserve">) </w:t>
            </w:r>
            <w:r>
              <w:rPr>
                <w:rFonts w:ascii="Arial" w:hAnsi="Arial" w:cs="Arial"/>
                <w:noProof/>
                <w:sz w:val="20"/>
                <w:szCs w:val="20"/>
              </w:rPr>
              <w:t>8.1: Reduce pregnancies among adolescent females</w:t>
            </w:r>
            <w:r w:rsidRPr="00531366">
              <w:rPr>
                <w:rFonts w:ascii="Arial" w:hAnsi="Arial" w:cs="Arial"/>
                <w:noProof/>
                <w:sz w:val="20"/>
                <w:szCs w:val="20"/>
              </w:rPr>
              <w:t xml:space="preserve"> </w:t>
            </w:r>
            <w:r>
              <w:rPr>
                <w:rFonts w:ascii="Arial" w:hAnsi="Arial" w:cs="Arial"/>
                <w:noProof/>
                <w:sz w:val="20"/>
                <w:szCs w:val="20"/>
              </w:rPr>
              <w:t xml:space="preserve">aged 15 to 17 years </w:t>
            </w:r>
            <w:r w:rsidRPr="00531366">
              <w:rPr>
                <w:rFonts w:ascii="Arial" w:hAnsi="Arial" w:cs="Arial"/>
                <w:noProof/>
                <w:sz w:val="20"/>
                <w:szCs w:val="20"/>
              </w:rPr>
              <w:t>(</w:t>
            </w:r>
            <w:r>
              <w:rPr>
                <w:rFonts w:ascii="Arial" w:hAnsi="Arial" w:cs="Arial"/>
                <w:noProof/>
                <w:sz w:val="20"/>
                <w:szCs w:val="20"/>
              </w:rPr>
              <w:t>Baseline 40.2 per 1,000 in 2005</w:t>
            </w:r>
            <w:r w:rsidRPr="00531366">
              <w:rPr>
                <w:rFonts w:ascii="Arial" w:hAnsi="Arial" w:cs="Arial"/>
                <w:noProof/>
                <w:sz w:val="20"/>
                <w:szCs w:val="20"/>
              </w:rPr>
              <w:t xml:space="preserve">; Target </w:t>
            </w:r>
            <w:r>
              <w:rPr>
                <w:rFonts w:ascii="Arial" w:hAnsi="Arial" w:cs="Arial"/>
                <w:noProof/>
                <w:sz w:val="20"/>
                <w:szCs w:val="20"/>
              </w:rPr>
              <w:t>36.2 per 1,000</w:t>
            </w:r>
            <w:r w:rsidRPr="00531366">
              <w:rPr>
                <w:rFonts w:ascii="Arial" w:hAnsi="Arial" w:cs="Arial"/>
                <w:noProof/>
                <w:sz w:val="20"/>
                <w:szCs w:val="20"/>
              </w:rPr>
              <w:t>)</w:t>
            </w:r>
            <w:r>
              <w:rPr>
                <w:rFonts w:ascii="Arial" w:hAnsi="Arial" w:cs="Arial"/>
                <w:noProof/>
                <w:sz w:val="20"/>
                <w:szCs w:val="20"/>
              </w:rPr>
              <w:t xml:space="preserve"> and FP 8.2: Reduce pregnancies among adolescent females</w:t>
            </w:r>
            <w:r w:rsidRPr="00531366">
              <w:rPr>
                <w:rFonts w:ascii="Arial" w:hAnsi="Arial" w:cs="Arial"/>
                <w:noProof/>
                <w:sz w:val="20"/>
                <w:szCs w:val="20"/>
              </w:rPr>
              <w:t xml:space="preserve"> </w:t>
            </w:r>
            <w:r>
              <w:rPr>
                <w:rFonts w:ascii="Arial" w:hAnsi="Arial" w:cs="Arial"/>
                <w:noProof/>
                <w:sz w:val="20"/>
                <w:szCs w:val="20"/>
              </w:rPr>
              <w:t xml:space="preserve">aged 17 to 19 years </w:t>
            </w:r>
            <w:r w:rsidRPr="00531366">
              <w:rPr>
                <w:rFonts w:ascii="Arial" w:hAnsi="Arial" w:cs="Arial"/>
                <w:noProof/>
                <w:sz w:val="20"/>
                <w:szCs w:val="20"/>
              </w:rPr>
              <w:t>(</w:t>
            </w:r>
            <w:r>
              <w:rPr>
                <w:rFonts w:ascii="Arial" w:hAnsi="Arial" w:cs="Arial"/>
                <w:noProof/>
                <w:sz w:val="20"/>
                <w:szCs w:val="20"/>
              </w:rPr>
              <w:t>Baseline 116.2 per 1,000 in 2005</w:t>
            </w:r>
            <w:r w:rsidRPr="00531366">
              <w:rPr>
                <w:rFonts w:ascii="Arial" w:hAnsi="Arial" w:cs="Arial"/>
                <w:noProof/>
                <w:sz w:val="20"/>
                <w:szCs w:val="20"/>
              </w:rPr>
              <w:t xml:space="preserve">; Target </w:t>
            </w:r>
            <w:r>
              <w:rPr>
                <w:rFonts w:ascii="Arial" w:hAnsi="Arial" w:cs="Arial"/>
                <w:noProof/>
                <w:sz w:val="20"/>
                <w:szCs w:val="20"/>
              </w:rPr>
              <w:t>105.9 per 1,000</w:t>
            </w:r>
            <w:r w:rsidRPr="00531366">
              <w:rPr>
                <w:rFonts w:ascii="Arial" w:hAnsi="Arial" w:cs="Arial"/>
                <w:noProof/>
                <w:sz w:val="20"/>
                <w:szCs w:val="20"/>
              </w:rPr>
              <w:t>)</w:t>
            </w:r>
          </w:p>
          <w:p w14:paraId="7E7FE2E1" w14:textId="77777777" w:rsidR="004106D5" w:rsidRPr="00531366" w:rsidRDefault="004106D5" w:rsidP="000C7A5D">
            <w:pPr>
              <w:spacing w:after="0" w:line="240" w:lineRule="auto"/>
              <w:rPr>
                <w:rFonts w:ascii="Arial" w:hAnsi="Arial" w:cs="Arial"/>
                <w:sz w:val="20"/>
                <w:szCs w:val="20"/>
              </w:rPr>
            </w:pPr>
          </w:p>
        </w:tc>
      </w:tr>
      <w:tr w:rsidR="004106D5" w:rsidRPr="00515E1C" w14:paraId="5C06C6A7" w14:textId="77777777" w:rsidTr="000C7A5D">
        <w:tc>
          <w:tcPr>
            <w:tcW w:w="3556" w:type="dxa"/>
            <w:shd w:val="clear" w:color="auto" w:fill="auto"/>
          </w:tcPr>
          <w:p w14:paraId="45FD2C0F" w14:textId="77777777" w:rsidR="004106D5" w:rsidRPr="00531366" w:rsidRDefault="004106D5" w:rsidP="000C7A5D">
            <w:pPr>
              <w:spacing w:after="0" w:line="240" w:lineRule="auto"/>
              <w:rPr>
                <w:rFonts w:ascii="Arial" w:hAnsi="Arial" w:cs="Arial"/>
                <w:b/>
                <w:sz w:val="20"/>
                <w:szCs w:val="20"/>
              </w:rPr>
            </w:pPr>
          </w:p>
        </w:tc>
        <w:tc>
          <w:tcPr>
            <w:tcW w:w="5804" w:type="dxa"/>
            <w:gridSpan w:val="2"/>
            <w:shd w:val="clear" w:color="auto" w:fill="auto"/>
          </w:tcPr>
          <w:p w14:paraId="1C90046F" w14:textId="77777777" w:rsidR="004106D5" w:rsidRPr="00531366" w:rsidRDefault="004106D5" w:rsidP="000C7A5D">
            <w:pPr>
              <w:spacing w:after="0" w:line="240" w:lineRule="auto"/>
              <w:rPr>
                <w:rFonts w:ascii="Arial" w:hAnsi="Arial" w:cs="Arial"/>
                <w:sz w:val="20"/>
                <w:szCs w:val="20"/>
              </w:rPr>
            </w:pPr>
          </w:p>
        </w:tc>
      </w:tr>
      <w:tr w:rsidR="004106D5" w:rsidRPr="00515E1C" w14:paraId="616659B8" w14:textId="77777777" w:rsidTr="000C7A5D">
        <w:tc>
          <w:tcPr>
            <w:tcW w:w="3556" w:type="dxa"/>
            <w:shd w:val="clear" w:color="auto" w:fill="auto"/>
          </w:tcPr>
          <w:p w14:paraId="0AFFD494"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DATA SOURCES and DATA ISSUES</w:t>
            </w:r>
          </w:p>
        </w:tc>
        <w:tc>
          <w:tcPr>
            <w:tcW w:w="5804" w:type="dxa"/>
            <w:gridSpan w:val="2"/>
            <w:shd w:val="clear" w:color="auto" w:fill="auto"/>
          </w:tcPr>
          <w:p w14:paraId="138AF86D" w14:textId="77777777" w:rsidR="004106D5" w:rsidRDefault="004106D5" w:rsidP="000C7A5D">
            <w:pPr>
              <w:spacing w:after="0" w:line="240" w:lineRule="auto"/>
              <w:rPr>
                <w:rFonts w:ascii="Arial" w:hAnsi="Arial" w:cs="Arial"/>
                <w:noProof/>
                <w:sz w:val="20"/>
                <w:szCs w:val="20"/>
              </w:rPr>
            </w:pPr>
            <w:r w:rsidRPr="00531366">
              <w:rPr>
                <w:rFonts w:ascii="Arial" w:hAnsi="Arial" w:cs="Arial"/>
                <w:noProof/>
                <w:sz w:val="20"/>
                <w:szCs w:val="20"/>
              </w:rPr>
              <w:t>National Vital Statistics System (NVSS)</w:t>
            </w:r>
            <w:r>
              <w:rPr>
                <w:rFonts w:ascii="Arial" w:hAnsi="Arial" w:cs="Arial"/>
                <w:noProof/>
                <w:sz w:val="20"/>
                <w:szCs w:val="20"/>
              </w:rPr>
              <w:t xml:space="preserve"> for states and territories</w:t>
            </w:r>
          </w:p>
          <w:p w14:paraId="55692C16" w14:textId="77777777" w:rsidR="004106D5" w:rsidRDefault="004106D5" w:rsidP="000C7A5D">
            <w:pPr>
              <w:spacing w:after="0" w:line="240" w:lineRule="auto"/>
              <w:rPr>
                <w:rFonts w:ascii="Arial" w:hAnsi="Arial" w:cs="Arial"/>
                <w:noProof/>
                <w:sz w:val="20"/>
                <w:szCs w:val="20"/>
              </w:rPr>
            </w:pPr>
            <w:r>
              <w:rPr>
                <w:rFonts w:ascii="Arial" w:hAnsi="Arial" w:cs="Arial"/>
                <w:noProof/>
                <w:sz w:val="20"/>
                <w:szCs w:val="20"/>
              </w:rPr>
              <w:t>Population estimates</w:t>
            </w:r>
            <w:r w:rsidRPr="00531366">
              <w:rPr>
                <w:rFonts w:ascii="Arial" w:hAnsi="Arial" w:cs="Arial"/>
                <w:noProof/>
                <w:sz w:val="20"/>
                <w:szCs w:val="20"/>
              </w:rPr>
              <w:t xml:space="preserve"> come from the U.S. Census Bureau</w:t>
            </w:r>
          </w:p>
          <w:p w14:paraId="3ECD3490" w14:textId="77777777" w:rsidR="004106D5" w:rsidRPr="00531366" w:rsidRDefault="004106D5" w:rsidP="000C7A5D">
            <w:pPr>
              <w:spacing w:after="0" w:line="240" w:lineRule="auto"/>
              <w:rPr>
                <w:rFonts w:ascii="Arial" w:hAnsi="Arial" w:cs="Arial"/>
                <w:sz w:val="20"/>
                <w:szCs w:val="20"/>
              </w:rPr>
            </w:pPr>
            <w:r>
              <w:rPr>
                <w:rFonts w:ascii="Arial" w:hAnsi="Arial" w:cs="Arial"/>
                <w:noProof/>
                <w:sz w:val="20"/>
                <w:szCs w:val="20"/>
              </w:rPr>
              <w:t xml:space="preserve">United Nations Population Division for the Freely Associated States in the Pacific Basin </w:t>
            </w:r>
          </w:p>
        </w:tc>
      </w:tr>
      <w:tr w:rsidR="004106D5" w:rsidRPr="00515E1C" w14:paraId="049BF2D8" w14:textId="77777777" w:rsidTr="000C7A5D">
        <w:tc>
          <w:tcPr>
            <w:tcW w:w="3556" w:type="dxa"/>
            <w:shd w:val="clear" w:color="auto" w:fill="auto"/>
          </w:tcPr>
          <w:p w14:paraId="2E8CC6C7" w14:textId="77777777" w:rsidR="004106D5" w:rsidRPr="00531366" w:rsidRDefault="004106D5" w:rsidP="000C7A5D">
            <w:pPr>
              <w:spacing w:after="0" w:line="240" w:lineRule="auto"/>
              <w:rPr>
                <w:rFonts w:ascii="Arial" w:hAnsi="Arial" w:cs="Arial"/>
                <w:b/>
                <w:sz w:val="20"/>
                <w:szCs w:val="20"/>
              </w:rPr>
            </w:pPr>
          </w:p>
        </w:tc>
        <w:tc>
          <w:tcPr>
            <w:tcW w:w="5804" w:type="dxa"/>
            <w:gridSpan w:val="2"/>
            <w:shd w:val="clear" w:color="auto" w:fill="auto"/>
          </w:tcPr>
          <w:p w14:paraId="69B29F73" w14:textId="77777777" w:rsidR="004106D5" w:rsidRPr="00531366" w:rsidRDefault="004106D5" w:rsidP="000C7A5D">
            <w:pPr>
              <w:spacing w:after="0" w:line="240" w:lineRule="auto"/>
              <w:rPr>
                <w:rFonts w:ascii="Arial" w:hAnsi="Arial" w:cs="Arial"/>
                <w:sz w:val="20"/>
                <w:szCs w:val="20"/>
              </w:rPr>
            </w:pPr>
          </w:p>
        </w:tc>
      </w:tr>
      <w:tr w:rsidR="004106D5" w:rsidRPr="00515E1C" w14:paraId="23038DBB" w14:textId="77777777" w:rsidTr="000C7A5D">
        <w:tc>
          <w:tcPr>
            <w:tcW w:w="3556" w:type="dxa"/>
            <w:shd w:val="clear" w:color="auto" w:fill="auto"/>
          </w:tcPr>
          <w:p w14:paraId="6DC009CE"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SIGNIFICANCE</w:t>
            </w:r>
          </w:p>
        </w:tc>
        <w:tc>
          <w:tcPr>
            <w:tcW w:w="5804" w:type="dxa"/>
            <w:gridSpan w:val="2"/>
            <w:shd w:val="clear" w:color="auto" w:fill="auto"/>
          </w:tcPr>
          <w:p w14:paraId="7B450CA8" w14:textId="77777777" w:rsidR="004106D5" w:rsidRPr="00531366" w:rsidRDefault="004106D5" w:rsidP="000C7A5D">
            <w:pPr>
              <w:spacing w:after="0" w:line="240" w:lineRule="auto"/>
              <w:rPr>
                <w:rFonts w:ascii="Arial" w:hAnsi="Arial" w:cs="Arial"/>
                <w:sz w:val="20"/>
                <w:szCs w:val="20"/>
              </w:rPr>
            </w:pPr>
            <w:r>
              <w:rPr>
                <w:rFonts w:ascii="Arial" w:hAnsi="Arial" w:cs="Arial"/>
                <w:sz w:val="20"/>
                <w:szCs w:val="20"/>
              </w:rPr>
              <w:t xml:space="preserve">Teen pregnancy and childbearing have substantial social and economic costs for both teens and their children.  Teen mothers are less likely to complete high school and further education which may reduce earning potential and contribute to intergenerational poverty.  Although teen pregnancy and birth rates have declined substantially over the past two decades, rates are still higher than in many other industrialized countries and large racial/ethnic disparities persist.  Birth rates for non-Hispanic Black and Hispanic teens are more than double that of non-Hispanic White teens. </w:t>
            </w:r>
            <w:hyperlink r:id="rId120" w:history="1">
              <w:r w:rsidRPr="0000075C">
                <w:rPr>
                  <w:rStyle w:val="Hyperlink"/>
                  <w:rFonts w:ascii="Arial" w:hAnsi="Arial" w:cs="Arial"/>
                  <w:sz w:val="20"/>
                  <w:szCs w:val="20"/>
                </w:rPr>
                <w:t>https://www.cdc.gov/teenpregnancy/about/index.htm</w:t>
              </w:r>
            </w:hyperlink>
            <w:r>
              <w:rPr>
                <w:rFonts w:ascii="Arial" w:hAnsi="Arial" w:cs="Arial"/>
                <w:sz w:val="20"/>
                <w:szCs w:val="20"/>
              </w:rPr>
              <w:t xml:space="preserve"> </w:t>
            </w:r>
          </w:p>
        </w:tc>
      </w:tr>
    </w:tbl>
    <w:p w14:paraId="5A610CC8" w14:textId="77777777" w:rsidR="004106D5" w:rsidRDefault="004106D5" w:rsidP="004106D5">
      <w:pPr>
        <w:spacing w:after="0" w:line="240" w:lineRule="auto"/>
        <w:rPr>
          <w:rFonts w:ascii="Arial" w:hAnsi="Arial" w:cs="Arial"/>
          <w:sz w:val="28"/>
          <w:szCs w:val="28"/>
        </w:rPr>
      </w:pPr>
      <w:r>
        <w:rPr>
          <w:rFonts w:ascii="Arial" w:hAnsi="Arial" w:cs="Arial"/>
          <w:sz w:val="28"/>
          <w:szCs w:val="28"/>
        </w:rPr>
        <w:br w:type="page"/>
      </w:r>
    </w:p>
    <w:tbl>
      <w:tblPr>
        <w:tblW w:w="0" w:type="auto"/>
        <w:tblLook w:val="04A0" w:firstRow="1" w:lastRow="0" w:firstColumn="1" w:lastColumn="0" w:noHBand="0" w:noVBand="1"/>
      </w:tblPr>
      <w:tblGrid>
        <w:gridCol w:w="3618"/>
        <w:gridCol w:w="5868"/>
      </w:tblGrid>
      <w:tr w:rsidR="004106D5" w:rsidRPr="003F48A1" w14:paraId="61CA974E" w14:textId="77777777" w:rsidTr="000C7A5D">
        <w:tc>
          <w:tcPr>
            <w:tcW w:w="3618" w:type="dxa"/>
            <w:shd w:val="clear" w:color="auto" w:fill="auto"/>
          </w:tcPr>
          <w:p w14:paraId="58344A4B" w14:textId="77777777" w:rsidR="004106D5" w:rsidRPr="00531366" w:rsidRDefault="004106D5" w:rsidP="000C7A5D">
            <w:pPr>
              <w:spacing w:after="0" w:line="240" w:lineRule="auto"/>
              <w:rPr>
                <w:rFonts w:ascii="Arial" w:hAnsi="Arial" w:cs="Arial"/>
                <w:b/>
                <w:sz w:val="24"/>
                <w:szCs w:val="24"/>
              </w:rPr>
            </w:pPr>
            <w:r w:rsidRPr="00531366">
              <w:rPr>
                <w:rFonts w:ascii="Arial" w:hAnsi="Arial" w:cs="Arial"/>
                <w:b/>
                <w:sz w:val="24"/>
                <w:szCs w:val="24"/>
              </w:rPr>
              <w:t xml:space="preserve">OUTCOME MEASURE </w:t>
            </w:r>
            <w:r>
              <w:rPr>
                <w:rFonts w:ascii="Arial" w:hAnsi="Arial" w:cs="Arial"/>
                <w:b/>
                <w:noProof/>
                <w:sz w:val="24"/>
                <w:szCs w:val="24"/>
              </w:rPr>
              <w:t>24</w:t>
            </w:r>
          </w:p>
        </w:tc>
        <w:tc>
          <w:tcPr>
            <w:tcW w:w="5868" w:type="dxa"/>
            <w:shd w:val="clear" w:color="auto" w:fill="auto"/>
          </w:tcPr>
          <w:p w14:paraId="6912FFD4" w14:textId="77777777" w:rsidR="004106D5" w:rsidRPr="00531366" w:rsidRDefault="004106D5" w:rsidP="000C7A5D">
            <w:pPr>
              <w:spacing w:after="0" w:line="240" w:lineRule="auto"/>
              <w:rPr>
                <w:rFonts w:ascii="Arial" w:hAnsi="Arial" w:cs="Arial"/>
                <w:b/>
                <w:noProof/>
                <w:sz w:val="24"/>
                <w:szCs w:val="24"/>
              </w:rPr>
            </w:pPr>
            <w:r>
              <w:rPr>
                <w:rFonts w:ascii="Arial" w:hAnsi="Arial" w:cs="Arial"/>
                <w:b/>
                <w:noProof/>
                <w:sz w:val="24"/>
                <w:szCs w:val="24"/>
              </w:rPr>
              <w:t>Percent of women who experience postpartum depressive symptoms following a recent live birth</w:t>
            </w:r>
          </w:p>
          <w:p w14:paraId="18ED4707" w14:textId="77777777" w:rsidR="004106D5" w:rsidRPr="00531366" w:rsidRDefault="004106D5" w:rsidP="000C7A5D">
            <w:pPr>
              <w:spacing w:after="0" w:line="240" w:lineRule="auto"/>
              <w:rPr>
                <w:rFonts w:ascii="Arial" w:hAnsi="Arial" w:cs="Arial"/>
                <w:b/>
                <w:sz w:val="24"/>
                <w:szCs w:val="24"/>
              </w:rPr>
            </w:pPr>
          </w:p>
        </w:tc>
      </w:tr>
    </w:tbl>
    <w:p w14:paraId="341B7B48" w14:textId="77777777" w:rsidR="004106D5" w:rsidRDefault="004106D5" w:rsidP="004106D5">
      <w:pPr>
        <w:spacing w:after="0" w:line="240" w:lineRule="auto"/>
      </w:pPr>
    </w:p>
    <w:p w14:paraId="1D553ADF" w14:textId="77777777" w:rsidR="004106D5" w:rsidRDefault="004106D5" w:rsidP="004106D5">
      <w:pPr>
        <w:spacing w:after="0" w:line="240" w:lineRule="auto"/>
      </w:pPr>
      <w:r>
        <w:rPr>
          <w:noProof/>
        </w:rPr>
        <mc:AlternateContent>
          <mc:Choice Requires="wps">
            <w:drawing>
              <wp:anchor distT="4294967295" distB="4294967295" distL="114300" distR="114300" simplePos="0" relativeHeight="251789312" behindDoc="0" locked="0" layoutInCell="1" allowOverlap="1" wp14:anchorId="27BA1652" wp14:editId="28F7218E">
                <wp:simplePos x="0" y="0"/>
                <wp:positionH relativeFrom="column">
                  <wp:posOffset>-60960</wp:posOffset>
                </wp:positionH>
                <wp:positionV relativeFrom="paragraph">
                  <wp:posOffset>31749</wp:posOffset>
                </wp:positionV>
                <wp:extent cx="6088380" cy="0"/>
                <wp:effectExtent l="0" t="0" r="26670" b="19050"/>
                <wp:wrapNone/>
                <wp:docPr id="64"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3BC10CA" id="Straight Connector 20" o:spid="_x0000_s1026" style="position:absolute;z-index:251789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" strokecolor="windowText" strokeweight="1.75pt">
                <o:lock v:ext="edit" shapetype="f"/>
              </v:line>
            </w:pict>
          </mc:Fallback>
        </mc:AlternateContent>
      </w:r>
    </w:p>
    <w:tbl>
      <w:tblPr>
        <w:tblW w:w="0" w:type="auto"/>
        <w:tblLook w:val="04A0" w:firstRow="1" w:lastRow="0" w:firstColumn="1" w:lastColumn="0" w:noHBand="0" w:noVBand="1"/>
      </w:tblPr>
      <w:tblGrid>
        <w:gridCol w:w="3556"/>
        <w:gridCol w:w="3301"/>
        <w:gridCol w:w="2503"/>
      </w:tblGrid>
      <w:tr w:rsidR="004106D5" w:rsidRPr="00515E1C" w14:paraId="47DF314A" w14:textId="77777777" w:rsidTr="000C7A5D">
        <w:tc>
          <w:tcPr>
            <w:tcW w:w="3556" w:type="dxa"/>
            <w:shd w:val="clear" w:color="auto" w:fill="auto"/>
          </w:tcPr>
          <w:p w14:paraId="69C03BF3"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GOAL</w:t>
            </w:r>
          </w:p>
        </w:tc>
        <w:tc>
          <w:tcPr>
            <w:tcW w:w="5804" w:type="dxa"/>
            <w:gridSpan w:val="2"/>
            <w:shd w:val="clear" w:color="auto" w:fill="auto"/>
          </w:tcPr>
          <w:p w14:paraId="0EC8C94C"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noProof/>
                <w:sz w:val="20"/>
                <w:szCs w:val="20"/>
              </w:rPr>
              <w:t xml:space="preserve">To </w:t>
            </w:r>
            <w:r>
              <w:rPr>
                <w:rFonts w:ascii="Arial" w:hAnsi="Arial" w:cs="Arial"/>
                <w:noProof/>
                <w:sz w:val="20"/>
                <w:szCs w:val="20"/>
              </w:rPr>
              <w:t>reduce the prevalence of postpartum depression</w:t>
            </w:r>
          </w:p>
        </w:tc>
      </w:tr>
      <w:tr w:rsidR="004106D5" w:rsidRPr="00515E1C" w14:paraId="5EF8A169" w14:textId="77777777" w:rsidTr="000C7A5D">
        <w:tc>
          <w:tcPr>
            <w:tcW w:w="3556" w:type="dxa"/>
            <w:shd w:val="clear" w:color="auto" w:fill="auto"/>
          </w:tcPr>
          <w:p w14:paraId="5872C510" w14:textId="77777777" w:rsidR="004106D5" w:rsidRPr="00531366" w:rsidRDefault="004106D5" w:rsidP="000C7A5D">
            <w:pPr>
              <w:spacing w:after="0" w:line="240" w:lineRule="auto"/>
              <w:rPr>
                <w:rFonts w:ascii="Arial" w:hAnsi="Arial" w:cs="Arial"/>
                <w:b/>
                <w:sz w:val="20"/>
                <w:szCs w:val="20"/>
              </w:rPr>
            </w:pPr>
          </w:p>
        </w:tc>
        <w:tc>
          <w:tcPr>
            <w:tcW w:w="5804" w:type="dxa"/>
            <w:gridSpan w:val="2"/>
            <w:shd w:val="clear" w:color="auto" w:fill="auto"/>
          </w:tcPr>
          <w:p w14:paraId="45FEE734" w14:textId="77777777" w:rsidR="004106D5" w:rsidRPr="00531366" w:rsidRDefault="004106D5" w:rsidP="000C7A5D">
            <w:pPr>
              <w:spacing w:after="0" w:line="240" w:lineRule="auto"/>
              <w:rPr>
                <w:rFonts w:ascii="Arial" w:hAnsi="Arial" w:cs="Arial"/>
                <w:sz w:val="20"/>
                <w:szCs w:val="20"/>
              </w:rPr>
            </w:pPr>
          </w:p>
        </w:tc>
      </w:tr>
      <w:tr w:rsidR="004106D5" w:rsidRPr="00515E1C" w14:paraId="26CD121C" w14:textId="77777777" w:rsidTr="000C7A5D">
        <w:tc>
          <w:tcPr>
            <w:tcW w:w="3556" w:type="dxa"/>
            <w:shd w:val="clear" w:color="auto" w:fill="auto"/>
          </w:tcPr>
          <w:p w14:paraId="03552C17"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DEFINITION</w:t>
            </w:r>
          </w:p>
        </w:tc>
        <w:tc>
          <w:tcPr>
            <w:tcW w:w="5804" w:type="dxa"/>
            <w:gridSpan w:val="2"/>
            <w:shd w:val="clear" w:color="auto" w:fill="auto"/>
          </w:tcPr>
          <w:p w14:paraId="758913E4"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Numerator:</w:t>
            </w:r>
          </w:p>
        </w:tc>
      </w:tr>
      <w:tr w:rsidR="004106D5" w:rsidRPr="00515E1C" w14:paraId="3AE08C49" w14:textId="77777777" w:rsidTr="000C7A5D">
        <w:tc>
          <w:tcPr>
            <w:tcW w:w="3556" w:type="dxa"/>
            <w:shd w:val="clear" w:color="auto" w:fill="auto"/>
          </w:tcPr>
          <w:p w14:paraId="243C8587" w14:textId="77777777" w:rsidR="004106D5" w:rsidRPr="00531366" w:rsidRDefault="004106D5" w:rsidP="000C7A5D">
            <w:pPr>
              <w:spacing w:after="0" w:line="240" w:lineRule="auto"/>
              <w:rPr>
                <w:rFonts w:ascii="Arial" w:hAnsi="Arial" w:cs="Arial"/>
                <w:b/>
                <w:sz w:val="20"/>
                <w:szCs w:val="20"/>
              </w:rPr>
            </w:pPr>
          </w:p>
        </w:tc>
        <w:tc>
          <w:tcPr>
            <w:tcW w:w="5804" w:type="dxa"/>
            <w:gridSpan w:val="2"/>
            <w:shd w:val="clear" w:color="auto" w:fill="auto"/>
          </w:tcPr>
          <w:p w14:paraId="40DB5F37" w14:textId="77777777" w:rsidR="004106D5" w:rsidRPr="00531366" w:rsidRDefault="004106D5" w:rsidP="000C7A5D">
            <w:pPr>
              <w:spacing w:after="0" w:line="240" w:lineRule="auto"/>
              <w:rPr>
                <w:rFonts w:ascii="Arial" w:hAnsi="Arial" w:cs="Arial"/>
                <w:sz w:val="20"/>
                <w:szCs w:val="20"/>
              </w:rPr>
            </w:pPr>
            <w:r>
              <w:rPr>
                <w:rFonts w:ascii="Arial" w:hAnsi="Arial" w:cs="Arial"/>
                <w:noProof/>
                <w:sz w:val="20"/>
                <w:szCs w:val="20"/>
              </w:rPr>
              <w:t>Number of women who report postpartum depressive symptoms following a recent live birth (defined as reporting always/often feeling down, depressed, hopeless or always/often having</w:t>
            </w:r>
            <w:r>
              <w:t xml:space="preserve"> </w:t>
            </w:r>
            <w:r w:rsidRPr="008745C4">
              <w:rPr>
                <w:rFonts w:ascii="Arial" w:hAnsi="Arial" w:cs="Arial"/>
                <w:noProof/>
                <w:sz w:val="20"/>
                <w:szCs w:val="20"/>
              </w:rPr>
              <w:t>little interest or little pleasure in doing things</w:t>
            </w:r>
            <w:r>
              <w:rPr>
                <w:rFonts w:ascii="Arial" w:hAnsi="Arial" w:cs="Arial"/>
                <w:noProof/>
                <w:sz w:val="20"/>
                <w:szCs w:val="20"/>
              </w:rPr>
              <w:t>)</w:t>
            </w:r>
          </w:p>
        </w:tc>
      </w:tr>
      <w:tr w:rsidR="004106D5" w:rsidRPr="00515E1C" w14:paraId="68C58A5D" w14:textId="77777777" w:rsidTr="000C7A5D">
        <w:tc>
          <w:tcPr>
            <w:tcW w:w="3556" w:type="dxa"/>
            <w:shd w:val="clear" w:color="auto" w:fill="auto"/>
          </w:tcPr>
          <w:p w14:paraId="5372950D" w14:textId="77777777" w:rsidR="004106D5" w:rsidRPr="00531366" w:rsidRDefault="004106D5" w:rsidP="000C7A5D">
            <w:pPr>
              <w:spacing w:after="0" w:line="240" w:lineRule="auto"/>
              <w:rPr>
                <w:rFonts w:ascii="Arial" w:hAnsi="Arial" w:cs="Arial"/>
                <w:b/>
                <w:sz w:val="20"/>
                <w:szCs w:val="20"/>
              </w:rPr>
            </w:pPr>
          </w:p>
        </w:tc>
        <w:tc>
          <w:tcPr>
            <w:tcW w:w="5804" w:type="dxa"/>
            <w:gridSpan w:val="2"/>
            <w:shd w:val="clear" w:color="auto" w:fill="auto"/>
          </w:tcPr>
          <w:p w14:paraId="6DCCE6F7" w14:textId="77777777" w:rsidR="004106D5" w:rsidRPr="00531366" w:rsidRDefault="004106D5" w:rsidP="000C7A5D">
            <w:pPr>
              <w:spacing w:after="0" w:line="240" w:lineRule="auto"/>
              <w:rPr>
                <w:rFonts w:ascii="Arial" w:hAnsi="Arial" w:cs="Arial"/>
                <w:sz w:val="20"/>
                <w:szCs w:val="20"/>
              </w:rPr>
            </w:pPr>
          </w:p>
        </w:tc>
      </w:tr>
      <w:tr w:rsidR="004106D5" w:rsidRPr="00515E1C" w14:paraId="4779FCB8" w14:textId="77777777" w:rsidTr="000C7A5D">
        <w:tc>
          <w:tcPr>
            <w:tcW w:w="3556" w:type="dxa"/>
            <w:shd w:val="clear" w:color="auto" w:fill="auto"/>
          </w:tcPr>
          <w:p w14:paraId="7D59FCB4" w14:textId="77777777" w:rsidR="004106D5" w:rsidRPr="00531366" w:rsidRDefault="004106D5" w:rsidP="000C7A5D">
            <w:pPr>
              <w:spacing w:after="0" w:line="240" w:lineRule="auto"/>
              <w:rPr>
                <w:rFonts w:ascii="Arial" w:hAnsi="Arial" w:cs="Arial"/>
                <w:b/>
                <w:sz w:val="20"/>
                <w:szCs w:val="20"/>
              </w:rPr>
            </w:pPr>
          </w:p>
        </w:tc>
        <w:tc>
          <w:tcPr>
            <w:tcW w:w="5804" w:type="dxa"/>
            <w:gridSpan w:val="2"/>
            <w:shd w:val="clear" w:color="auto" w:fill="auto"/>
          </w:tcPr>
          <w:p w14:paraId="00408D51"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Denominator:</w:t>
            </w:r>
          </w:p>
        </w:tc>
      </w:tr>
      <w:tr w:rsidR="004106D5" w:rsidRPr="00515E1C" w14:paraId="3D38B660" w14:textId="77777777" w:rsidTr="000C7A5D">
        <w:tc>
          <w:tcPr>
            <w:tcW w:w="3556" w:type="dxa"/>
            <w:shd w:val="clear" w:color="auto" w:fill="auto"/>
          </w:tcPr>
          <w:p w14:paraId="2DE103B3" w14:textId="77777777" w:rsidR="004106D5" w:rsidRPr="00531366" w:rsidRDefault="004106D5" w:rsidP="000C7A5D">
            <w:pPr>
              <w:spacing w:after="0" w:line="240" w:lineRule="auto"/>
              <w:rPr>
                <w:rFonts w:ascii="Arial" w:hAnsi="Arial" w:cs="Arial"/>
                <w:b/>
                <w:sz w:val="20"/>
                <w:szCs w:val="20"/>
              </w:rPr>
            </w:pPr>
          </w:p>
        </w:tc>
        <w:tc>
          <w:tcPr>
            <w:tcW w:w="5804" w:type="dxa"/>
            <w:gridSpan w:val="2"/>
            <w:shd w:val="clear" w:color="auto" w:fill="auto"/>
          </w:tcPr>
          <w:p w14:paraId="2C57BE9F" w14:textId="77777777" w:rsidR="004106D5" w:rsidRPr="00531366" w:rsidRDefault="004106D5" w:rsidP="000C7A5D">
            <w:pPr>
              <w:spacing w:after="0" w:line="240" w:lineRule="auto"/>
              <w:rPr>
                <w:rFonts w:ascii="Arial" w:hAnsi="Arial" w:cs="Arial"/>
                <w:sz w:val="20"/>
                <w:szCs w:val="20"/>
              </w:rPr>
            </w:pPr>
            <w:r>
              <w:rPr>
                <w:rFonts w:ascii="Arial" w:hAnsi="Arial" w:cs="Arial"/>
                <w:noProof/>
                <w:sz w:val="20"/>
                <w:szCs w:val="20"/>
              </w:rPr>
              <w:t>Number of women with a recent live birth</w:t>
            </w:r>
          </w:p>
        </w:tc>
      </w:tr>
      <w:tr w:rsidR="004106D5" w:rsidRPr="00515E1C" w14:paraId="0E8EA51D" w14:textId="77777777" w:rsidTr="000C7A5D">
        <w:tc>
          <w:tcPr>
            <w:tcW w:w="3556" w:type="dxa"/>
            <w:shd w:val="clear" w:color="auto" w:fill="auto"/>
          </w:tcPr>
          <w:p w14:paraId="43B947D5" w14:textId="77777777" w:rsidR="004106D5" w:rsidRPr="00531366" w:rsidRDefault="004106D5" w:rsidP="000C7A5D">
            <w:pPr>
              <w:spacing w:after="0" w:line="240" w:lineRule="auto"/>
              <w:rPr>
                <w:rFonts w:ascii="Arial" w:hAnsi="Arial" w:cs="Arial"/>
                <w:b/>
                <w:sz w:val="20"/>
                <w:szCs w:val="20"/>
              </w:rPr>
            </w:pPr>
          </w:p>
        </w:tc>
        <w:tc>
          <w:tcPr>
            <w:tcW w:w="5804" w:type="dxa"/>
            <w:gridSpan w:val="2"/>
            <w:shd w:val="clear" w:color="auto" w:fill="auto"/>
          </w:tcPr>
          <w:p w14:paraId="360590BE" w14:textId="77777777" w:rsidR="004106D5" w:rsidRPr="00531366" w:rsidRDefault="004106D5" w:rsidP="000C7A5D">
            <w:pPr>
              <w:spacing w:after="0" w:line="240" w:lineRule="auto"/>
              <w:rPr>
                <w:rFonts w:ascii="Arial" w:hAnsi="Arial" w:cs="Arial"/>
                <w:sz w:val="20"/>
                <w:szCs w:val="20"/>
              </w:rPr>
            </w:pPr>
          </w:p>
        </w:tc>
      </w:tr>
      <w:tr w:rsidR="004106D5" w:rsidRPr="00515E1C" w14:paraId="2F476D32" w14:textId="77777777" w:rsidTr="000C7A5D">
        <w:tc>
          <w:tcPr>
            <w:tcW w:w="3556" w:type="dxa"/>
            <w:shd w:val="clear" w:color="auto" w:fill="auto"/>
          </w:tcPr>
          <w:p w14:paraId="11610615" w14:textId="77777777" w:rsidR="004106D5" w:rsidRPr="00531366" w:rsidRDefault="004106D5" w:rsidP="000C7A5D">
            <w:pPr>
              <w:spacing w:after="0" w:line="240" w:lineRule="auto"/>
              <w:rPr>
                <w:rFonts w:ascii="Arial" w:hAnsi="Arial" w:cs="Arial"/>
                <w:b/>
                <w:sz w:val="20"/>
                <w:szCs w:val="20"/>
              </w:rPr>
            </w:pPr>
          </w:p>
        </w:tc>
        <w:tc>
          <w:tcPr>
            <w:tcW w:w="3301" w:type="dxa"/>
            <w:shd w:val="clear" w:color="auto" w:fill="auto"/>
          </w:tcPr>
          <w:p w14:paraId="5232FE1D"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b/>
                <w:sz w:val="20"/>
                <w:szCs w:val="20"/>
              </w:rPr>
              <w:t>Units:</w:t>
            </w:r>
            <w:r w:rsidRPr="00531366">
              <w:rPr>
                <w:rFonts w:ascii="Arial" w:hAnsi="Arial" w:cs="Arial"/>
                <w:sz w:val="20"/>
                <w:szCs w:val="20"/>
              </w:rPr>
              <w:t xml:space="preserve"> </w:t>
            </w:r>
            <w:r w:rsidRPr="00531366">
              <w:rPr>
                <w:rFonts w:ascii="Arial" w:hAnsi="Arial" w:cs="Arial"/>
                <w:noProof/>
                <w:sz w:val="20"/>
                <w:szCs w:val="20"/>
              </w:rPr>
              <w:t>10</w:t>
            </w:r>
            <w:r>
              <w:rPr>
                <w:rFonts w:ascii="Arial" w:hAnsi="Arial" w:cs="Arial"/>
                <w:noProof/>
                <w:sz w:val="20"/>
                <w:szCs w:val="20"/>
              </w:rPr>
              <w:t>0</w:t>
            </w:r>
          </w:p>
        </w:tc>
        <w:tc>
          <w:tcPr>
            <w:tcW w:w="2503" w:type="dxa"/>
            <w:shd w:val="clear" w:color="auto" w:fill="auto"/>
          </w:tcPr>
          <w:p w14:paraId="094B7801"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b/>
                <w:sz w:val="20"/>
                <w:szCs w:val="20"/>
              </w:rPr>
              <w:t>Text:</w:t>
            </w:r>
            <w:r w:rsidRPr="00531366">
              <w:rPr>
                <w:rFonts w:ascii="Arial" w:hAnsi="Arial" w:cs="Arial"/>
                <w:sz w:val="20"/>
                <w:szCs w:val="20"/>
              </w:rPr>
              <w:t xml:space="preserve"> </w:t>
            </w:r>
            <w:r>
              <w:rPr>
                <w:rFonts w:ascii="Arial" w:hAnsi="Arial" w:cs="Arial"/>
                <w:noProof/>
                <w:sz w:val="20"/>
                <w:szCs w:val="20"/>
              </w:rPr>
              <w:t>Percent</w:t>
            </w:r>
          </w:p>
        </w:tc>
      </w:tr>
      <w:tr w:rsidR="004106D5" w:rsidRPr="00515E1C" w14:paraId="2F3C003B" w14:textId="77777777" w:rsidTr="000C7A5D">
        <w:tc>
          <w:tcPr>
            <w:tcW w:w="3556" w:type="dxa"/>
            <w:shd w:val="clear" w:color="auto" w:fill="auto"/>
          </w:tcPr>
          <w:p w14:paraId="6234DECB" w14:textId="77777777" w:rsidR="004106D5" w:rsidRPr="00531366" w:rsidRDefault="004106D5" w:rsidP="000C7A5D">
            <w:pPr>
              <w:spacing w:after="0" w:line="240" w:lineRule="auto"/>
              <w:rPr>
                <w:rFonts w:ascii="Arial" w:hAnsi="Arial" w:cs="Arial"/>
                <w:b/>
                <w:sz w:val="20"/>
                <w:szCs w:val="20"/>
              </w:rPr>
            </w:pPr>
          </w:p>
        </w:tc>
        <w:tc>
          <w:tcPr>
            <w:tcW w:w="5804" w:type="dxa"/>
            <w:gridSpan w:val="2"/>
            <w:shd w:val="clear" w:color="auto" w:fill="auto"/>
          </w:tcPr>
          <w:p w14:paraId="21540477" w14:textId="77777777" w:rsidR="004106D5" w:rsidRPr="00531366" w:rsidRDefault="004106D5" w:rsidP="000C7A5D">
            <w:pPr>
              <w:spacing w:after="0" w:line="240" w:lineRule="auto"/>
              <w:rPr>
                <w:rFonts w:ascii="Arial" w:hAnsi="Arial" w:cs="Arial"/>
                <w:sz w:val="20"/>
                <w:szCs w:val="20"/>
              </w:rPr>
            </w:pPr>
          </w:p>
        </w:tc>
      </w:tr>
      <w:tr w:rsidR="004106D5" w:rsidRPr="00515E1C" w14:paraId="73A1FBCF" w14:textId="77777777" w:rsidTr="000C7A5D">
        <w:tc>
          <w:tcPr>
            <w:tcW w:w="3556" w:type="dxa"/>
            <w:shd w:val="clear" w:color="auto" w:fill="auto"/>
          </w:tcPr>
          <w:p w14:paraId="2BE19759"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HEALTHY PEOPLE 2020 OBJECTIVE</w:t>
            </w:r>
          </w:p>
        </w:tc>
        <w:tc>
          <w:tcPr>
            <w:tcW w:w="5804" w:type="dxa"/>
            <w:gridSpan w:val="2"/>
            <w:shd w:val="clear" w:color="auto" w:fill="auto"/>
          </w:tcPr>
          <w:p w14:paraId="087808DA" w14:textId="77777777" w:rsidR="004106D5" w:rsidRPr="00531366" w:rsidRDefault="004106D5" w:rsidP="000C7A5D">
            <w:pPr>
              <w:spacing w:after="0" w:line="240" w:lineRule="auto"/>
              <w:rPr>
                <w:rFonts w:ascii="Arial" w:hAnsi="Arial" w:cs="Arial"/>
                <w:noProof/>
                <w:sz w:val="20"/>
                <w:szCs w:val="20"/>
              </w:rPr>
            </w:pPr>
            <w:r w:rsidRPr="00531366">
              <w:rPr>
                <w:rFonts w:ascii="Arial" w:hAnsi="Arial" w:cs="Arial"/>
                <w:noProof/>
                <w:sz w:val="20"/>
                <w:szCs w:val="20"/>
              </w:rPr>
              <w:t xml:space="preserve">Related to </w:t>
            </w:r>
            <w:r>
              <w:rPr>
                <w:rFonts w:ascii="Arial" w:hAnsi="Arial" w:cs="Arial"/>
                <w:noProof/>
                <w:sz w:val="20"/>
                <w:szCs w:val="20"/>
              </w:rPr>
              <w:t xml:space="preserve">Maternal, Infant, and Child Health (MICH) 34: Decrease the proportion of women delivering a live birth who experience postpartum depressive sympoms </w:t>
            </w:r>
            <w:r w:rsidRPr="00531366">
              <w:rPr>
                <w:rFonts w:ascii="Arial" w:hAnsi="Arial" w:cs="Arial"/>
                <w:noProof/>
                <w:sz w:val="20"/>
                <w:szCs w:val="20"/>
              </w:rPr>
              <w:t>(</w:t>
            </w:r>
            <w:r>
              <w:rPr>
                <w:rFonts w:ascii="Arial" w:hAnsi="Arial" w:cs="Arial"/>
                <w:noProof/>
                <w:sz w:val="20"/>
                <w:szCs w:val="20"/>
              </w:rPr>
              <w:t>Developmental)</w:t>
            </w:r>
          </w:p>
          <w:p w14:paraId="7FF84CA9" w14:textId="77777777" w:rsidR="004106D5" w:rsidRPr="00531366" w:rsidRDefault="004106D5" w:rsidP="000C7A5D">
            <w:pPr>
              <w:spacing w:after="0" w:line="240" w:lineRule="auto"/>
              <w:rPr>
                <w:rFonts w:ascii="Arial" w:hAnsi="Arial" w:cs="Arial"/>
                <w:sz w:val="20"/>
                <w:szCs w:val="20"/>
              </w:rPr>
            </w:pPr>
          </w:p>
        </w:tc>
      </w:tr>
      <w:tr w:rsidR="004106D5" w:rsidRPr="00515E1C" w14:paraId="38C8364B" w14:textId="77777777" w:rsidTr="000C7A5D">
        <w:tc>
          <w:tcPr>
            <w:tcW w:w="3556" w:type="dxa"/>
            <w:shd w:val="clear" w:color="auto" w:fill="auto"/>
          </w:tcPr>
          <w:p w14:paraId="28461D53" w14:textId="77777777" w:rsidR="004106D5" w:rsidRPr="00531366" w:rsidRDefault="004106D5" w:rsidP="000C7A5D">
            <w:pPr>
              <w:spacing w:after="0" w:line="240" w:lineRule="auto"/>
              <w:rPr>
                <w:rFonts w:ascii="Arial" w:hAnsi="Arial" w:cs="Arial"/>
                <w:b/>
                <w:sz w:val="20"/>
                <w:szCs w:val="20"/>
              </w:rPr>
            </w:pPr>
          </w:p>
        </w:tc>
        <w:tc>
          <w:tcPr>
            <w:tcW w:w="5804" w:type="dxa"/>
            <w:gridSpan w:val="2"/>
            <w:shd w:val="clear" w:color="auto" w:fill="auto"/>
          </w:tcPr>
          <w:p w14:paraId="24DFCD00" w14:textId="77777777" w:rsidR="004106D5" w:rsidRPr="00531366" w:rsidRDefault="004106D5" w:rsidP="000C7A5D">
            <w:pPr>
              <w:spacing w:after="0" w:line="240" w:lineRule="auto"/>
              <w:rPr>
                <w:rFonts w:ascii="Arial" w:hAnsi="Arial" w:cs="Arial"/>
                <w:sz w:val="20"/>
                <w:szCs w:val="20"/>
              </w:rPr>
            </w:pPr>
          </w:p>
        </w:tc>
      </w:tr>
      <w:tr w:rsidR="004106D5" w:rsidRPr="00515E1C" w14:paraId="2633E9A4" w14:textId="77777777" w:rsidTr="000C7A5D">
        <w:tc>
          <w:tcPr>
            <w:tcW w:w="3556" w:type="dxa"/>
            <w:shd w:val="clear" w:color="auto" w:fill="auto"/>
          </w:tcPr>
          <w:p w14:paraId="73D7A50C"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DATA SOURCES and DATA ISSUES</w:t>
            </w:r>
          </w:p>
        </w:tc>
        <w:tc>
          <w:tcPr>
            <w:tcW w:w="5804" w:type="dxa"/>
            <w:gridSpan w:val="2"/>
            <w:shd w:val="clear" w:color="auto" w:fill="auto"/>
          </w:tcPr>
          <w:p w14:paraId="32E3BA57" w14:textId="77777777" w:rsidR="004106D5" w:rsidRDefault="004106D5" w:rsidP="000C7A5D">
            <w:pPr>
              <w:spacing w:after="0" w:line="240" w:lineRule="auto"/>
              <w:rPr>
                <w:rFonts w:ascii="Arial" w:hAnsi="Arial" w:cs="Arial"/>
                <w:noProof/>
                <w:sz w:val="20"/>
                <w:szCs w:val="20"/>
              </w:rPr>
            </w:pPr>
            <w:r>
              <w:rPr>
                <w:rFonts w:ascii="Arial" w:hAnsi="Arial" w:cs="Arial"/>
                <w:noProof/>
                <w:sz w:val="20"/>
                <w:szCs w:val="20"/>
              </w:rPr>
              <w:t>Pregnancy Risk Assessment Monitoring System (PRAMS)</w:t>
            </w:r>
          </w:p>
          <w:p w14:paraId="6570748B" w14:textId="77777777" w:rsidR="004106D5" w:rsidRPr="00531366" w:rsidRDefault="004106D5" w:rsidP="000C7A5D">
            <w:pPr>
              <w:spacing w:after="0" w:line="240" w:lineRule="auto"/>
              <w:rPr>
                <w:rFonts w:ascii="Arial" w:hAnsi="Arial" w:cs="Arial"/>
                <w:sz w:val="20"/>
                <w:szCs w:val="20"/>
              </w:rPr>
            </w:pPr>
          </w:p>
        </w:tc>
      </w:tr>
      <w:tr w:rsidR="004106D5" w:rsidRPr="00515E1C" w14:paraId="781AF656" w14:textId="77777777" w:rsidTr="000C7A5D">
        <w:tc>
          <w:tcPr>
            <w:tcW w:w="3556" w:type="dxa"/>
            <w:shd w:val="clear" w:color="auto" w:fill="auto"/>
          </w:tcPr>
          <w:p w14:paraId="3096F6B2" w14:textId="77777777" w:rsidR="004106D5" w:rsidRPr="00531366" w:rsidRDefault="004106D5" w:rsidP="000C7A5D">
            <w:pPr>
              <w:spacing w:after="0" w:line="240" w:lineRule="auto"/>
              <w:rPr>
                <w:rFonts w:ascii="Arial" w:hAnsi="Arial" w:cs="Arial"/>
                <w:b/>
                <w:sz w:val="20"/>
                <w:szCs w:val="20"/>
              </w:rPr>
            </w:pPr>
          </w:p>
        </w:tc>
        <w:tc>
          <w:tcPr>
            <w:tcW w:w="5804" w:type="dxa"/>
            <w:gridSpan w:val="2"/>
            <w:shd w:val="clear" w:color="auto" w:fill="auto"/>
          </w:tcPr>
          <w:p w14:paraId="2A82D465" w14:textId="77777777" w:rsidR="004106D5" w:rsidRPr="00531366" w:rsidRDefault="004106D5" w:rsidP="000C7A5D">
            <w:pPr>
              <w:spacing w:after="0" w:line="240" w:lineRule="auto"/>
              <w:rPr>
                <w:rFonts w:ascii="Arial" w:hAnsi="Arial" w:cs="Arial"/>
                <w:sz w:val="20"/>
                <w:szCs w:val="20"/>
              </w:rPr>
            </w:pPr>
          </w:p>
        </w:tc>
      </w:tr>
      <w:tr w:rsidR="004106D5" w:rsidRPr="00515E1C" w14:paraId="45C9D8D5" w14:textId="77777777" w:rsidTr="000C7A5D">
        <w:tc>
          <w:tcPr>
            <w:tcW w:w="3556" w:type="dxa"/>
            <w:shd w:val="clear" w:color="auto" w:fill="auto"/>
          </w:tcPr>
          <w:p w14:paraId="3D6944AB"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SIGNIFICANCE</w:t>
            </w:r>
          </w:p>
        </w:tc>
        <w:tc>
          <w:tcPr>
            <w:tcW w:w="5804" w:type="dxa"/>
            <w:gridSpan w:val="2"/>
            <w:shd w:val="clear" w:color="auto" w:fill="auto"/>
          </w:tcPr>
          <w:p w14:paraId="0A7C1EAE" w14:textId="77777777" w:rsidR="004106D5" w:rsidRDefault="004106D5" w:rsidP="000C7A5D">
            <w:pPr>
              <w:spacing w:after="0" w:line="240" w:lineRule="auto"/>
              <w:rPr>
                <w:rFonts w:ascii="Arial" w:hAnsi="Arial" w:cs="Arial"/>
                <w:sz w:val="20"/>
                <w:szCs w:val="20"/>
              </w:rPr>
            </w:pPr>
            <w:r>
              <w:rPr>
                <w:rFonts w:ascii="Arial" w:hAnsi="Arial" w:cs="Arial"/>
                <w:sz w:val="20"/>
                <w:szCs w:val="20"/>
              </w:rPr>
              <w:t>Postpartum depression is common, affecting as many as 1 in 7 mothers.  It occurs when brief “baby blue” symptoms of crying, sadness, and irritability become severe and result in</w:t>
            </w:r>
            <w:r w:rsidRPr="00C95BEB">
              <w:rPr>
                <w:rFonts w:ascii="Arial" w:hAnsi="Arial" w:cs="Arial"/>
                <w:sz w:val="20"/>
                <w:szCs w:val="20"/>
              </w:rPr>
              <w:t xml:space="preserve"> depressed mood and loss of interest in activities</w:t>
            </w:r>
            <w:r>
              <w:rPr>
                <w:rFonts w:ascii="Arial" w:hAnsi="Arial" w:cs="Arial"/>
                <w:sz w:val="20"/>
                <w:szCs w:val="20"/>
              </w:rPr>
              <w:t xml:space="preserve"> for</w:t>
            </w:r>
            <w:r w:rsidRPr="00C95BEB">
              <w:rPr>
                <w:rFonts w:ascii="Arial" w:hAnsi="Arial" w:cs="Arial"/>
                <w:sz w:val="20"/>
                <w:szCs w:val="20"/>
              </w:rPr>
              <w:t xml:space="preserve"> more than two weeks</w:t>
            </w:r>
            <w:r>
              <w:rPr>
                <w:rFonts w:ascii="Arial" w:hAnsi="Arial" w:cs="Arial"/>
                <w:sz w:val="20"/>
                <w:szCs w:val="20"/>
              </w:rPr>
              <w:t>.  Postpartum depression is associated with poor maternal-infant bonding and may negatively influence child development.  U</w:t>
            </w:r>
            <w:r w:rsidRPr="00BE3BA1">
              <w:rPr>
                <w:rFonts w:ascii="Arial" w:hAnsi="Arial" w:cs="Arial"/>
                <w:sz w:val="20"/>
                <w:szCs w:val="20"/>
              </w:rPr>
              <w:t>niversal screening and treatment for p</w:t>
            </w:r>
            <w:r>
              <w:rPr>
                <w:rFonts w:ascii="Arial" w:hAnsi="Arial" w:cs="Arial"/>
                <w:sz w:val="20"/>
                <w:szCs w:val="20"/>
              </w:rPr>
              <w:t>regnant and postpartum women is</w:t>
            </w:r>
            <w:r w:rsidRPr="00BE3BA1">
              <w:rPr>
                <w:rFonts w:ascii="Arial" w:hAnsi="Arial" w:cs="Arial"/>
                <w:sz w:val="20"/>
                <w:szCs w:val="20"/>
              </w:rPr>
              <w:t xml:space="preserve"> recommended by the American College of Obstetrician</w:t>
            </w:r>
            <w:r>
              <w:rPr>
                <w:rFonts w:ascii="Arial" w:hAnsi="Arial" w:cs="Arial"/>
                <w:sz w:val="20"/>
                <w:szCs w:val="20"/>
              </w:rPr>
              <w:t xml:space="preserve">s and Gynecologists (ACOG), </w:t>
            </w:r>
            <w:r w:rsidRPr="00BE3BA1">
              <w:rPr>
                <w:rFonts w:ascii="Arial" w:hAnsi="Arial" w:cs="Arial"/>
                <w:sz w:val="20"/>
                <w:szCs w:val="20"/>
              </w:rPr>
              <w:t>the American</w:t>
            </w:r>
            <w:r>
              <w:rPr>
                <w:rFonts w:ascii="Arial" w:hAnsi="Arial" w:cs="Arial"/>
                <w:sz w:val="20"/>
                <w:szCs w:val="20"/>
              </w:rPr>
              <w:t xml:space="preserve"> Academy of Pediatrics (AAP)</w:t>
            </w:r>
            <w:r w:rsidRPr="00BE3BA1">
              <w:rPr>
                <w:rFonts w:ascii="Arial" w:hAnsi="Arial" w:cs="Arial"/>
                <w:sz w:val="20"/>
                <w:szCs w:val="20"/>
              </w:rPr>
              <w:t>, and the U.S. Preventive Services Task Force</w:t>
            </w:r>
            <w:r>
              <w:rPr>
                <w:rFonts w:ascii="Arial" w:hAnsi="Arial" w:cs="Arial"/>
                <w:sz w:val="20"/>
                <w:szCs w:val="20"/>
              </w:rPr>
              <w:t>.</w:t>
            </w:r>
          </w:p>
          <w:p w14:paraId="56B1A26C" w14:textId="77777777" w:rsidR="004106D5" w:rsidRDefault="004106D5" w:rsidP="000C7A5D">
            <w:pPr>
              <w:spacing w:after="0" w:line="240" w:lineRule="auto"/>
              <w:rPr>
                <w:rFonts w:ascii="Arial" w:hAnsi="Arial" w:cs="Arial"/>
                <w:sz w:val="20"/>
                <w:szCs w:val="20"/>
              </w:rPr>
            </w:pPr>
          </w:p>
          <w:p w14:paraId="77B0DF53" w14:textId="77777777" w:rsidR="004106D5" w:rsidRDefault="004106D5" w:rsidP="000C7A5D">
            <w:pPr>
              <w:spacing w:after="0" w:line="240" w:lineRule="auto"/>
              <w:rPr>
                <w:rFonts w:ascii="Arial" w:hAnsi="Arial" w:cs="Arial"/>
                <w:sz w:val="20"/>
                <w:szCs w:val="20"/>
              </w:rPr>
            </w:pPr>
            <w:r w:rsidRPr="00BA427E">
              <w:rPr>
                <w:rFonts w:ascii="Arial" w:hAnsi="Arial" w:cs="Arial"/>
                <w:sz w:val="20"/>
                <w:szCs w:val="20"/>
              </w:rPr>
              <w:t>Pearlstein T, Howard M, Salisbury A, Zlotnick C. Postpartum depression. American Journal of Obstetrics &amp; Gynecology. 2009;200(4):357-364</w:t>
            </w:r>
            <w:r>
              <w:rPr>
                <w:rFonts w:ascii="Arial" w:hAnsi="Arial" w:cs="Arial"/>
                <w:sz w:val="20"/>
                <w:szCs w:val="20"/>
              </w:rPr>
              <w:t xml:space="preserve">. </w:t>
            </w:r>
            <w:hyperlink r:id="rId121" w:history="1">
              <w:r w:rsidRPr="00057ED2">
                <w:rPr>
                  <w:rStyle w:val="Hyperlink"/>
                  <w:rFonts w:ascii="Arial" w:hAnsi="Arial" w:cs="Arial"/>
                  <w:sz w:val="20"/>
                  <w:szCs w:val="20"/>
                </w:rPr>
                <w:t>https://www.ncbi.nlm.nih.gov/pmc/articles/PMC3918890/</w:t>
              </w:r>
            </w:hyperlink>
            <w:r>
              <w:rPr>
                <w:rFonts w:ascii="Arial" w:hAnsi="Arial" w:cs="Arial"/>
                <w:sz w:val="20"/>
                <w:szCs w:val="20"/>
              </w:rPr>
              <w:t xml:space="preserve"> </w:t>
            </w:r>
          </w:p>
          <w:p w14:paraId="5774680A" w14:textId="77777777" w:rsidR="004106D5" w:rsidRDefault="004106D5" w:rsidP="000C7A5D">
            <w:pPr>
              <w:spacing w:after="0" w:line="240" w:lineRule="auto"/>
              <w:rPr>
                <w:rFonts w:ascii="Arial" w:hAnsi="Arial" w:cs="Arial"/>
                <w:sz w:val="20"/>
                <w:szCs w:val="20"/>
              </w:rPr>
            </w:pPr>
          </w:p>
          <w:p w14:paraId="27C82F43" w14:textId="77777777" w:rsidR="004106D5" w:rsidRPr="00531366" w:rsidRDefault="004106D5" w:rsidP="000C7A5D">
            <w:pPr>
              <w:spacing w:after="0" w:line="240" w:lineRule="auto"/>
              <w:rPr>
                <w:rFonts w:ascii="Arial" w:hAnsi="Arial" w:cs="Arial"/>
                <w:sz w:val="20"/>
                <w:szCs w:val="20"/>
              </w:rPr>
            </w:pPr>
            <w:r w:rsidRPr="00BA7618">
              <w:rPr>
                <w:rFonts w:ascii="Arial" w:hAnsi="Arial" w:cs="Arial"/>
                <w:sz w:val="20"/>
                <w:szCs w:val="20"/>
              </w:rPr>
              <w:t>Screening for perinatal depression. Committee Opinion No. 630. American College of Obstetricians and Gynecologists. Obstet Gynecol 2015;125:1268–71.</w:t>
            </w:r>
            <w:r>
              <w:rPr>
                <w:rFonts w:ascii="Arial" w:hAnsi="Arial" w:cs="Arial"/>
                <w:sz w:val="20"/>
                <w:szCs w:val="20"/>
              </w:rPr>
              <w:t xml:space="preserve"> </w:t>
            </w:r>
            <w:hyperlink r:id="rId122" w:history="1">
              <w:r w:rsidRPr="00057ED2">
                <w:rPr>
                  <w:rStyle w:val="Hyperlink"/>
                  <w:rFonts w:ascii="Arial" w:hAnsi="Arial" w:cs="Arial"/>
                  <w:sz w:val="20"/>
                  <w:szCs w:val="20"/>
                </w:rPr>
                <w:t>http://www.acog.org/Resources-And-Publications/Committee-Opinions/Committee-on-Obstetric-Practice/Screening-for-Perinatal-Depression</w:t>
              </w:r>
            </w:hyperlink>
            <w:r>
              <w:rPr>
                <w:rFonts w:ascii="Arial" w:hAnsi="Arial" w:cs="Arial"/>
                <w:sz w:val="20"/>
                <w:szCs w:val="20"/>
              </w:rPr>
              <w:t xml:space="preserve"> </w:t>
            </w:r>
          </w:p>
        </w:tc>
      </w:tr>
    </w:tbl>
    <w:p w14:paraId="6B9045C2" w14:textId="77777777" w:rsidR="004106D5" w:rsidRDefault="004106D5" w:rsidP="004106D5">
      <w:pPr>
        <w:spacing w:after="0" w:line="240" w:lineRule="auto"/>
        <w:rPr>
          <w:rFonts w:ascii="Arial" w:hAnsi="Arial" w:cs="Arial"/>
          <w:sz w:val="28"/>
          <w:szCs w:val="28"/>
        </w:rPr>
      </w:pPr>
    </w:p>
    <w:p w14:paraId="18D11046" w14:textId="77777777" w:rsidR="004106D5" w:rsidRDefault="004106D5" w:rsidP="004106D5">
      <w:pPr>
        <w:spacing w:after="0" w:line="240" w:lineRule="auto"/>
        <w:rPr>
          <w:rFonts w:ascii="Arial" w:hAnsi="Arial" w:cs="Arial"/>
          <w:sz w:val="28"/>
          <w:szCs w:val="28"/>
        </w:rPr>
      </w:pPr>
    </w:p>
    <w:p w14:paraId="276A1D61" w14:textId="77777777" w:rsidR="004106D5" w:rsidRDefault="004106D5" w:rsidP="004106D5">
      <w:pPr>
        <w:spacing w:after="0" w:line="240" w:lineRule="auto"/>
        <w:rPr>
          <w:rFonts w:ascii="Arial" w:hAnsi="Arial" w:cs="Arial"/>
          <w:sz w:val="28"/>
          <w:szCs w:val="28"/>
        </w:rPr>
      </w:pPr>
      <w:r>
        <w:rPr>
          <w:rFonts w:ascii="Arial" w:hAnsi="Arial" w:cs="Arial"/>
          <w:sz w:val="28"/>
          <w:szCs w:val="28"/>
        </w:rPr>
        <w:br w:type="page"/>
      </w:r>
    </w:p>
    <w:tbl>
      <w:tblPr>
        <w:tblW w:w="0" w:type="auto"/>
        <w:tblLook w:val="04A0" w:firstRow="1" w:lastRow="0" w:firstColumn="1" w:lastColumn="0" w:noHBand="0" w:noVBand="1"/>
      </w:tblPr>
      <w:tblGrid>
        <w:gridCol w:w="3618"/>
        <w:gridCol w:w="5868"/>
      </w:tblGrid>
      <w:tr w:rsidR="004106D5" w:rsidRPr="003F48A1" w14:paraId="1BFC1453" w14:textId="77777777" w:rsidTr="000C7A5D">
        <w:tc>
          <w:tcPr>
            <w:tcW w:w="3618" w:type="dxa"/>
            <w:shd w:val="clear" w:color="auto" w:fill="auto"/>
          </w:tcPr>
          <w:p w14:paraId="2CF5E4D0" w14:textId="77777777" w:rsidR="004106D5" w:rsidRPr="00531366" w:rsidRDefault="004106D5" w:rsidP="000C7A5D">
            <w:pPr>
              <w:spacing w:after="0" w:line="240" w:lineRule="auto"/>
              <w:rPr>
                <w:rFonts w:ascii="Arial" w:hAnsi="Arial" w:cs="Arial"/>
                <w:b/>
                <w:sz w:val="24"/>
                <w:szCs w:val="24"/>
              </w:rPr>
            </w:pPr>
            <w:r w:rsidRPr="00531366">
              <w:rPr>
                <w:rFonts w:ascii="Arial" w:hAnsi="Arial" w:cs="Arial"/>
                <w:b/>
                <w:sz w:val="24"/>
                <w:szCs w:val="24"/>
              </w:rPr>
              <w:t xml:space="preserve">OUTCOME MEASURE </w:t>
            </w:r>
            <w:r>
              <w:rPr>
                <w:rFonts w:ascii="Arial" w:hAnsi="Arial" w:cs="Arial"/>
                <w:b/>
                <w:noProof/>
                <w:sz w:val="24"/>
                <w:szCs w:val="24"/>
              </w:rPr>
              <w:t>25</w:t>
            </w:r>
          </w:p>
        </w:tc>
        <w:tc>
          <w:tcPr>
            <w:tcW w:w="5868" w:type="dxa"/>
            <w:shd w:val="clear" w:color="auto" w:fill="auto"/>
          </w:tcPr>
          <w:p w14:paraId="7057B97B" w14:textId="124D291C" w:rsidR="004106D5" w:rsidRPr="00531366" w:rsidRDefault="004106D5" w:rsidP="000C7A5D">
            <w:pPr>
              <w:spacing w:after="0" w:line="240" w:lineRule="auto"/>
              <w:rPr>
                <w:rFonts w:ascii="Arial" w:hAnsi="Arial" w:cs="Arial"/>
                <w:b/>
                <w:noProof/>
                <w:sz w:val="24"/>
                <w:szCs w:val="24"/>
              </w:rPr>
            </w:pPr>
            <w:r>
              <w:rPr>
                <w:rFonts w:ascii="Arial" w:hAnsi="Arial" w:cs="Arial"/>
                <w:b/>
                <w:noProof/>
                <w:sz w:val="24"/>
                <w:szCs w:val="24"/>
              </w:rPr>
              <w:t>Percent of children</w:t>
            </w:r>
            <w:r w:rsidR="005455A0">
              <w:rPr>
                <w:rFonts w:ascii="Arial" w:hAnsi="Arial" w:cs="Arial"/>
                <w:b/>
                <w:noProof/>
                <w:sz w:val="24"/>
                <w:szCs w:val="24"/>
              </w:rPr>
              <w:t xml:space="preserve">, ages 0 through 17, </w:t>
            </w:r>
            <w:r>
              <w:rPr>
                <w:rFonts w:ascii="Arial" w:hAnsi="Arial" w:cs="Arial"/>
                <w:b/>
                <w:noProof/>
                <w:sz w:val="24"/>
                <w:szCs w:val="24"/>
              </w:rPr>
              <w:t>who were not able to obtain needed health care in the last year</w:t>
            </w:r>
          </w:p>
          <w:p w14:paraId="70738D2E" w14:textId="77777777" w:rsidR="004106D5" w:rsidRPr="00531366" w:rsidRDefault="004106D5" w:rsidP="000C7A5D">
            <w:pPr>
              <w:spacing w:after="0" w:line="240" w:lineRule="auto"/>
              <w:rPr>
                <w:rFonts w:ascii="Arial" w:hAnsi="Arial" w:cs="Arial"/>
                <w:b/>
                <w:sz w:val="24"/>
                <w:szCs w:val="24"/>
              </w:rPr>
            </w:pPr>
          </w:p>
        </w:tc>
      </w:tr>
    </w:tbl>
    <w:p w14:paraId="30A47C4F" w14:textId="77777777" w:rsidR="004106D5" w:rsidRDefault="004106D5" w:rsidP="004106D5">
      <w:pPr>
        <w:spacing w:after="0" w:line="240" w:lineRule="auto"/>
      </w:pPr>
      <w:r>
        <w:rPr>
          <w:noProof/>
        </w:rPr>
        <mc:AlternateContent>
          <mc:Choice Requires="wps">
            <w:drawing>
              <wp:anchor distT="4294967295" distB="4294967295" distL="114300" distR="114300" simplePos="0" relativeHeight="251790336" behindDoc="0" locked="0" layoutInCell="1" allowOverlap="1" wp14:anchorId="2BCF0F4A" wp14:editId="418A6765">
                <wp:simplePos x="0" y="0"/>
                <wp:positionH relativeFrom="column">
                  <wp:posOffset>-60960</wp:posOffset>
                </wp:positionH>
                <wp:positionV relativeFrom="paragraph">
                  <wp:posOffset>31749</wp:posOffset>
                </wp:positionV>
                <wp:extent cx="6088380" cy="0"/>
                <wp:effectExtent l="0" t="0" r="26670" b="19050"/>
                <wp:wrapNone/>
                <wp:docPr id="66"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C38EFE0" id="Straight Connector 20" o:spid="_x0000_s1026" style="position:absolute;z-index:251790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" strokecolor="windowText" strokeweight="1.75pt">
                <o:lock v:ext="edit" shapetype="f"/>
              </v:line>
            </w:pict>
          </mc:Fallback>
        </mc:AlternateContent>
      </w:r>
    </w:p>
    <w:tbl>
      <w:tblPr>
        <w:tblW w:w="0" w:type="auto"/>
        <w:tblLook w:val="04A0" w:firstRow="1" w:lastRow="0" w:firstColumn="1" w:lastColumn="0" w:noHBand="0" w:noVBand="1"/>
      </w:tblPr>
      <w:tblGrid>
        <w:gridCol w:w="3556"/>
        <w:gridCol w:w="3301"/>
        <w:gridCol w:w="2503"/>
      </w:tblGrid>
      <w:tr w:rsidR="004106D5" w:rsidRPr="00515E1C" w14:paraId="3E5281B5" w14:textId="77777777" w:rsidTr="000C7A5D">
        <w:tc>
          <w:tcPr>
            <w:tcW w:w="3556" w:type="dxa"/>
            <w:shd w:val="clear" w:color="auto" w:fill="auto"/>
          </w:tcPr>
          <w:p w14:paraId="3141B978"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GOAL</w:t>
            </w:r>
          </w:p>
        </w:tc>
        <w:tc>
          <w:tcPr>
            <w:tcW w:w="5804" w:type="dxa"/>
            <w:gridSpan w:val="2"/>
            <w:shd w:val="clear" w:color="auto" w:fill="auto"/>
          </w:tcPr>
          <w:p w14:paraId="4174F11B"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noProof/>
                <w:sz w:val="20"/>
                <w:szCs w:val="20"/>
              </w:rPr>
              <w:t>To ensure access to needed health care services for children.</w:t>
            </w:r>
          </w:p>
        </w:tc>
      </w:tr>
      <w:tr w:rsidR="004106D5" w:rsidRPr="00515E1C" w14:paraId="551821BF" w14:textId="77777777" w:rsidTr="000C7A5D">
        <w:tc>
          <w:tcPr>
            <w:tcW w:w="3556" w:type="dxa"/>
            <w:shd w:val="clear" w:color="auto" w:fill="auto"/>
          </w:tcPr>
          <w:p w14:paraId="7E46E1FB" w14:textId="77777777" w:rsidR="004106D5" w:rsidRPr="00531366" w:rsidRDefault="004106D5" w:rsidP="000C7A5D">
            <w:pPr>
              <w:spacing w:after="0" w:line="240" w:lineRule="auto"/>
              <w:rPr>
                <w:rFonts w:ascii="Arial" w:hAnsi="Arial" w:cs="Arial"/>
                <w:b/>
                <w:sz w:val="20"/>
                <w:szCs w:val="20"/>
              </w:rPr>
            </w:pPr>
          </w:p>
        </w:tc>
        <w:tc>
          <w:tcPr>
            <w:tcW w:w="5804" w:type="dxa"/>
            <w:gridSpan w:val="2"/>
            <w:shd w:val="clear" w:color="auto" w:fill="auto"/>
          </w:tcPr>
          <w:p w14:paraId="0058433D" w14:textId="77777777" w:rsidR="004106D5" w:rsidRPr="00531366" w:rsidRDefault="004106D5" w:rsidP="000C7A5D">
            <w:pPr>
              <w:spacing w:after="0" w:line="240" w:lineRule="auto"/>
              <w:rPr>
                <w:rFonts w:ascii="Arial" w:hAnsi="Arial" w:cs="Arial"/>
                <w:sz w:val="20"/>
                <w:szCs w:val="20"/>
              </w:rPr>
            </w:pPr>
          </w:p>
        </w:tc>
      </w:tr>
      <w:tr w:rsidR="004106D5" w:rsidRPr="00515E1C" w14:paraId="43508114" w14:textId="77777777" w:rsidTr="000C7A5D">
        <w:tc>
          <w:tcPr>
            <w:tcW w:w="3556" w:type="dxa"/>
            <w:shd w:val="clear" w:color="auto" w:fill="auto"/>
          </w:tcPr>
          <w:p w14:paraId="19D38B23"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DEFINITION</w:t>
            </w:r>
          </w:p>
        </w:tc>
        <w:tc>
          <w:tcPr>
            <w:tcW w:w="5804" w:type="dxa"/>
            <w:gridSpan w:val="2"/>
            <w:shd w:val="clear" w:color="auto" w:fill="auto"/>
          </w:tcPr>
          <w:p w14:paraId="638D6B0B"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Numerator:</w:t>
            </w:r>
          </w:p>
        </w:tc>
      </w:tr>
      <w:tr w:rsidR="004106D5" w:rsidRPr="00515E1C" w14:paraId="06737273" w14:textId="77777777" w:rsidTr="000C7A5D">
        <w:tc>
          <w:tcPr>
            <w:tcW w:w="3556" w:type="dxa"/>
            <w:shd w:val="clear" w:color="auto" w:fill="auto"/>
          </w:tcPr>
          <w:p w14:paraId="0274AE51" w14:textId="77777777" w:rsidR="004106D5" w:rsidRPr="00531366" w:rsidRDefault="004106D5" w:rsidP="000C7A5D">
            <w:pPr>
              <w:spacing w:after="0" w:line="240" w:lineRule="auto"/>
              <w:rPr>
                <w:rFonts w:ascii="Arial" w:hAnsi="Arial" w:cs="Arial"/>
                <w:b/>
                <w:sz w:val="20"/>
                <w:szCs w:val="20"/>
              </w:rPr>
            </w:pPr>
          </w:p>
        </w:tc>
        <w:tc>
          <w:tcPr>
            <w:tcW w:w="5804" w:type="dxa"/>
            <w:gridSpan w:val="2"/>
            <w:shd w:val="clear" w:color="auto" w:fill="auto"/>
          </w:tcPr>
          <w:p w14:paraId="515008EE" w14:textId="77777777" w:rsidR="004106D5" w:rsidRPr="00531366" w:rsidRDefault="004106D5" w:rsidP="000C7A5D">
            <w:pPr>
              <w:spacing w:after="0" w:line="240" w:lineRule="auto"/>
              <w:rPr>
                <w:rFonts w:ascii="Arial" w:hAnsi="Arial" w:cs="Arial"/>
                <w:sz w:val="20"/>
                <w:szCs w:val="20"/>
              </w:rPr>
            </w:pPr>
            <w:r>
              <w:rPr>
                <w:rFonts w:ascii="Arial" w:hAnsi="Arial" w:cs="Arial"/>
                <w:noProof/>
                <w:sz w:val="20"/>
                <w:szCs w:val="20"/>
              </w:rPr>
              <w:t>Number of children</w:t>
            </w:r>
            <w:r w:rsidRPr="00531366">
              <w:rPr>
                <w:rFonts w:ascii="Arial" w:hAnsi="Arial" w:cs="Arial"/>
                <w:noProof/>
                <w:sz w:val="20"/>
                <w:szCs w:val="20"/>
              </w:rPr>
              <w:t xml:space="preserve">, ages </w:t>
            </w:r>
            <w:r>
              <w:rPr>
                <w:rFonts w:ascii="Arial" w:hAnsi="Arial" w:cs="Arial"/>
                <w:noProof/>
                <w:sz w:val="20"/>
                <w:szCs w:val="20"/>
              </w:rPr>
              <w:t xml:space="preserve">0 through 17 years, who were reported by a parent to not able to obtain needed health care in the last year </w:t>
            </w:r>
          </w:p>
        </w:tc>
      </w:tr>
      <w:tr w:rsidR="004106D5" w:rsidRPr="00515E1C" w14:paraId="4F642E2A" w14:textId="77777777" w:rsidTr="000C7A5D">
        <w:tc>
          <w:tcPr>
            <w:tcW w:w="3556" w:type="dxa"/>
            <w:shd w:val="clear" w:color="auto" w:fill="auto"/>
          </w:tcPr>
          <w:p w14:paraId="15FA640C" w14:textId="77777777" w:rsidR="004106D5" w:rsidRPr="00531366" w:rsidRDefault="004106D5" w:rsidP="000C7A5D">
            <w:pPr>
              <w:spacing w:after="0" w:line="240" w:lineRule="auto"/>
              <w:rPr>
                <w:rFonts w:ascii="Arial" w:hAnsi="Arial" w:cs="Arial"/>
                <w:b/>
                <w:sz w:val="20"/>
                <w:szCs w:val="20"/>
              </w:rPr>
            </w:pPr>
          </w:p>
        </w:tc>
        <w:tc>
          <w:tcPr>
            <w:tcW w:w="5804" w:type="dxa"/>
            <w:gridSpan w:val="2"/>
            <w:shd w:val="clear" w:color="auto" w:fill="auto"/>
          </w:tcPr>
          <w:p w14:paraId="41DCD1AA" w14:textId="77777777" w:rsidR="004106D5" w:rsidRPr="00531366" w:rsidRDefault="004106D5" w:rsidP="000C7A5D">
            <w:pPr>
              <w:spacing w:after="0" w:line="240" w:lineRule="auto"/>
              <w:rPr>
                <w:rFonts w:ascii="Arial" w:hAnsi="Arial" w:cs="Arial"/>
                <w:sz w:val="20"/>
                <w:szCs w:val="20"/>
              </w:rPr>
            </w:pPr>
          </w:p>
        </w:tc>
      </w:tr>
      <w:tr w:rsidR="004106D5" w:rsidRPr="00515E1C" w14:paraId="745FF4B4" w14:textId="77777777" w:rsidTr="000C7A5D">
        <w:tc>
          <w:tcPr>
            <w:tcW w:w="3556" w:type="dxa"/>
            <w:shd w:val="clear" w:color="auto" w:fill="auto"/>
          </w:tcPr>
          <w:p w14:paraId="514BDF11" w14:textId="77777777" w:rsidR="004106D5" w:rsidRPr="00531366" w:rsidRDefault="004106D5" w:rsidP="000C7A5D">
            <w:pPr>
              <w:spacing w:after="0" w:line="240" w:lineRule="auto"/>
              <w:rPr>
                <w:rFonts w:ascii="Arial" w:hAnsi="Arial" w:cs="Arial"/>
                <w:b/>
                <w:sz w:val="20"/>
                <w:szCs w:val="20"/>
              </w:rPr>
            </w:pPr>
          </w:p>
        </w:tc>
        <w:tc>
          <w:tcPr>
            <w:tcW w:w="5804" w:type="dxa"/>
            <w:gridSpan w:val="2"/>
            <w:shd w:val="clear" w:color="auto" w:fill="auto"/>
          </w:tcPr>
          <w:p w14:paraId="66B978E6"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Denominator:</w:t>
            </w:r>
          </w:p>
        </w:tc>
      </w:tr>
      <w:tr w:rsidR="004106D5" w:rsidRPr="00515E1C" w14:paraId="16A8E110" w14:textId="77777777" w:rsidTr="000C7A5D">
        <w:tc>
          <w:tcPr>
            <w:tcW w:w="3556" w:type="dxa"/>
            <w:shd w:val="clear" w:color="auto" w:fill="auto"/>
          </w:tcPr>
          <w:p w14:paraId="203BA5D6" w14:textId="77777777" w:rsidR="004106D5" w:rsidRPr="00531366" w:rsidRDefault="004106D5" w:rsidP="000C7A5D">
            <w:pPr>
              <w:spacing w:after="0" w:line="240" w:lineRule="auto"/>
              <w:rPr>
                <w:rFonts w:ascii="Arial" w:hAnsi="Arial" w:cs="Arial"/>
                <w:b/>
                <w:sz w:val="20"/>
                <w:szCs w:val="20"/>
              </w:rPr>
            </w:pPr>
          </w:p>
        </w:tc>
        <w:tc>
          <w:tcPr>
            <w:tcW w:w="5804" w:type="dxa"/>
            <w:gridSpan w:val="2"/>
            <w:shd w:val="clear" w:color="auto" w:fill="auto"/>
          </w:tcPr>
          <w:p w14:paraId="2B55D3BE" w14:textId="77777777" w:rsidR="004106D5" w:rsidRPr="00531366" w:rsidRDefault="004106D5" w:rsidP="000C7A5D">
            <w:pPr>
              <w:spacing w:after="0" w:line="240" w:lineRule="auto"/>
              <w:rPr>
                <w:rFonts w:ascii="Arial" w:hAnsi="Arial" w:cs="Arial"/>
                <w:sz w:val="20"/>
                <w:szCs w:val="20"/>
              </w:rPr>
            </w:pPr>
            <w:r>
              <w:rPr>
                <w:rFonts w:ascii="Arial" w:hAnsi="Arial" w:cs="Arial"/>
                <w:noProof/>
                <w:sz w:val="20"/>
                <w:szCs w:val="20"/>
              </w:rPr>
              <w:t>Number of children</w:t>
            </w:r>
            <w:r w:rsidRPr="00531366">
              <w:rPr>
                <w:rFonts w:ascii="Arial" w:hAnsi="Arial" w:cs="Arial"/>
                <w:noProof/>
                <w:sz w:val="20"/>
                <w:szCs w:val="20"/>
              </w:rPr>
              <w:t xml:space="preserve">, ages </w:t>
            </w:r>
            <w:r>
              <w:rPr>
                <w:rFonts w:ascii="Arial" w:hAnsi="Arial" w:cs="Arial"/>
                <w:noProof/>
                <w:sz w:val="20"/>
                <w:szCs w:val="20"/>
              </w:rPr>
              <w:t>0 through 17</w:t>
            </w:r>
            <w:r w:rsidRPr="00531366">
              <w:rPr>
                <w:rFonts w:ascii="Arial" w:hAnsi="Arial" w:cs="Arial"/>
                <w:noProof/>
                <w:sz w:val="20"/>
                <w:szCs w:val="20"/>
              </w:rPr>
              <w:t xml:space="preserve"> years</w:t>
            </w:r>
          </w:p>
        </w:tc>
      </w:tr>
      <w:tr w:rsidR="004106D5" w:rsidRPr="00515E1C" w14:paraId="542A11CD" w14:textId="77777777" w:rsidTr="000C7A5D">
        <w:tc>
          <w:tcPr>
            <w:tcW w:w="3556" w:type="dxa"/>
            <w:shd w:val="clear" w:color="auto" w:fill="auto"/>
          </w:tcPr>
          <w:p w14:paraId="67CEEFC3" w14:textId="77777777" w:rsidR="004106D5" w:rsidRPr="00531366" w:rsidRDefault="004106D5" w:rsidP="000C7A5D">
            <w:pPr>
              <w:spacing w:after="0" w:line="240" w:lineRule="auto"/>
              <w:rPr>
                <w:rFonts w:ascii="Arial" w:hAnsi="Arial" w:cs="Arial"/>
                <w:b/>
                <w:sz w:val="20"/>
                <w:szCs w:val="20"/>
              </w:rPr>
            </w:pPr>
          </w:p>
        </w:tc>
        <w:tc>
          <w:tcPr>
            <w:tcW w:w="5804" w:type="dxa"/>
            <w:gridSpan w:val="2"/>
            <w:shd w:val="clear" w:color="auto" w:fill="auto"/>
          </w:tcPr>
          <w:p w14:paraId="08D0FA96" w14:textId="77777777" w:rsidR="004106D5" w:rsidRPr="00531366" w:rsidRDefault="004106D5" w:rsidP="000C7A5D">
            <w:pPr>
              <w:spacing w:after="0" w:line="240" w:lineRule="auto"/>
              <w:rPr>
                <w:rFonts w:ascii="Arial" w:hAnsi="Arial" w:cs="Arial"/>
                <w:sz w:val="20"/>
                <w:szCs w:val="20"/>
              </w:rPr>
            </w:pPr>
          </w:p>
        </w:tc>
      </w:tr>
      <w:tr w:rsidR="004106D5" w:rsidRPr="00515E1C" w14:paraId="212629DC" w14:textId="77777777" w:rsidTr="000C7A5D">
        <w:tc>
          <w:tcPr>
            <w:tcW w:w="3556" w:type="dxa"/>
            <w:shd w:val="clear" w:color="auto" w:fill="auto"/>
          </w:tcPr>
          <w:p w14:paraId="6CF9BFFC" w14:textId="77777777" w:rsidR="004106D5" w:rsidRPr="00531366" w:rsidRDefault="004106D5" w:rsidP="000C7A5D">
            <w:pPr>
              <w:spacing w:after="0" w:line="240" w:lineRule="auto"/>
              <w:rPr>
                <w:rFonts w:ascii="Arial" w:hAnsi="Arial" w:cs="Arial"/>
                <w:b/>
                <w:sz w:val="20"/>
                <w:szCs w:val="20"/>
              </w:rPr>
            </w:pPr>
          </w:p>
        </w:tc>
        <w:tc>
          <w:tcPr>
            <w:tcW w:w="3301" w:type="dxa"/>
            <w:shd w:val="clear" w:color="auto" w:fill="auto"/>
          </w:tcPr>
          <w:p w14:paraId="44471092"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b/>
                <w:sz w:val="20"/>
                <w:szCs w:val="20"/>
              </w:rPr>
              <w:t>Units:</w:t>
            </w:r>
            <w:r w:rsidRPr="00531366">
              <w:rPr>
                <w:rFonts w:ascii="Arial" w:hAnsi="Arial" w:cs="Arial"/>
                <w:sz w:val="20"/>
                <w:szCs w:val="20"/>
              </w:rPr>
              <w:t xml:space="preserve"> </w:t>
            </w:r>
            <w:r w:rsidRPr="00531366">
              <w:rPr>
                <w:rFonts w:ascii="Arial" w:hAnsi="Arial" w:cs="Arial"/>
                <w:noProof/>
                <w:sz w:val="20"/>
                <w:szCs w:val="20"/>
              </w:rPr>
              <w:t>10</w:t>
            </w:r>
            <w:r>
              <w:rPr>
                <w:rFonts w:ascii="Arial" w:hAnsi="Arial" w:cs="Arial"/>
                <w:noProof/>
                <w:sz w:val="20"/>
                <w:szCs w:val="20"/>
              </w:rPr>
              <w:t>0</w:t>
            </w:r>
          </w:p>
        </w:tc>
        <w:tc>
          <w:tcPr>
            <w:tcW w:w="2503" w:type="dxa"/>
            <w:shd w:val="clear" w:color="auto" w:fill="auto"/>
          </w:tcPr>
          <w:p w14:paraId="75538BC6"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b/>
                <w:sz w:val="20"/>
                <w:szCs w:val="20"/>
              </w:rPr>
              <w:t>Text:</w:t>
            </w:r>
            <w:r w:rsidRPr="00531366">
              <w:rPr>
                <w:rFonts w:ascii="Arial" w:hAnsi="Arial" w:cs="Arial"/>
                <w:sz w:val="20"/>
                <w:szCs w:val="20"/>
              </w:rPr>
              <w:t xml:space="preserve"> </w:t>
            </w:r>
            <w:r>
              <w:rPr>
                <w:rFonts w:ascii="Arial" w:hAnsi="Arial" w:cs="Arial"/>
                <w:noProof/>
                <w:sz w:val="20"/>
                <w:szCs w:val="20"/>
              </w:rPr>
              <w:t>Percent</w:t>
            </w:r>
          </w:p>
        </w:tc>
      </w:tr>
      <w:tr w:rsidR="004106D5" w:rsidRPr="00515E1C" w14:paraId="1720239A" w14:textId="77777777" w:rsidTr="000C7A5D">
        <w:tc>
          <w:tcPr>
            <w:tcW w:w="3556" w:type="dxa"/>
            <w:shd w:val="clear" w:color="auto" w:fill="auto"/>
          </w:tcPr>
          <w:p w14:paraId="5020AB5F" w14:textId="77777777" w:rsidR="004106D5" w:rsidRPr="00531366" w:rsidRDefault="004106D5" w:rsidP="000C7A5D">
            <w:pPr>
              <w:spacing w:after="0" w:line="240" w:lineRule="auto"/>
              <w:rPr>
                <w:rFonts w:ascii="Arial" w:hAnsi="Arial" w:cs="Arial"/>
                <w:b/>
                <w:sz w:val="20"/>
                <w:szCs w:val="20"/>
              </w:rPr>
            </w:pPr>
          </w:p>
        </w:tc>
        <w:tc>
          <w:tcPr>
            <w:tcW w:w="5804" w:type="dxa"/>
            <w:gridSpan w:val="2"/>
            <w:shd w:val="clear" w:color="auto" w:fill="auto"/>
          </w:tcPr>
          <w:p w14:paraId="105B3C2C" w14:textId="77777777" w:rsidR="004106D5" w:rsidRPr="00531366" w:rsidRDefault="004106D5" w:rsidP="000C7A5D">
            <w:pPr>
              <w:spacing w:after="0" w:line="240" w:lineRule="auto"/>
              <w:rPr>
                <w:rFonts w:ascii="Arial" w:hAnsi="Arial" w:cs="Arial"/>
                <w:sz w:val="20"/>
                <w:szCs w:val="20"/>
              </w:rPr>
            </w:pPr>
          </w:p>
        </w:tc>
      </w:tr>
      <w:tr w:rsidR="004106D5" w:rsidRPr="00515E1C" w14:paraId="568039CF" w14:textId="77777777" w:rsidTr="000C7A5D">
        <w:tc>
          <w:tcPr>
            <w:tcW w:w="3556" w:type="dxa"/>
            <w:shd w:val="clear" w:color="auto" w:fill="auto"/>
          </w:tcPr>
          <w:p w14:paraId="47028697"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HEALTHY PEOPLE 2020 OBJECTIVE</w:t>
            </w:r>
          </w:p>
        </w:tc>
        <w:tc>
          <w:tcPr>
            <w:tcW w:w="5804" w:type="dxa"/>
            <w:gridSpan w:val="2"/>
            <w:shd w:val="clear" w:color="auto" w:fill="auto"/>
          </w:tcPr>
          <w:p w14:paraId="46F218CF" w14:textId="77777777" w:rsidR="004106D5" w:rsidRPr="00531366" w:rsidRDefault="004106D5" w:rsidP="000C7A5D">
            <w:pPr>
              <w:spacing w:after="0" w:line="240" w:lineRule="auto"/>
              <w:rPr>
                <w:rFonts w:ascii="Arial" w:hAnsi="Arial" w:cs="Arial"/>
                <w:noProof/>
                <w:sz w:val="20"/>
                <w:szCs w:val="20"/>
              </w:rPr>
            </w:pPr>
            <w:r w:rsidRPr="00531366">
              <w:rPr>
                <w:rFonts w:ascii="Arial" w:hAnsi="Arial" w:cs="Arial"/>
                <w:noProof/>
                <w:sz w:val="20"/>
                <w:szCs w:val="20"/>
              </w:rPr>
              <w:t xml:space="preserve">Related to </w:t>
            </w:r>
            <w:r>
              <w:rPr>
                <w:rFonts w:ascii="Arial" w:hAnsi="Arial" w:cs="Arial"/>
                <w:noProof/>
                <w:sz w:val="20"/>
                <w:szCs w:val="20"/>
              </w:rPr>
              <w:t>Access to Health Services (AHS</w:t>
            </w:r>
            <w:r w:rsidRPr="00531366">
              <w:rPr>
                <w:rFonts w:ascii="Arial" w:hAnsi="Arial" w:cs="Arial"/>
                <w:noProof/>
                <w:sz w:val="20"/>
                <w:szCs w:val="20"/>
              </w:rPr>
              <w:t xml:space="preserve">) </w:t>
            </w:r>
            <w:r>
              <w:rPr>
                <w:rFonts w:ascii="Arial" w:hAnsi="Arial" w:cs="Arial"/>
                <w:noProof/>
                <w:sz w:val="20"/>
                <w:szCs w:val="20"/>
              </w:rPr>
              <w:t xml:space="preserve">6.1: </w:t>
            </w:r>
            <w:r w:rsidRPr="00C14F12">
              <w:rPr>
                <w:rFonts w:ascii="Arial" w:hAnsi="Arial" w:cs="Arial"/>
                <w:noProof/>
                <w:sz w:val="20"/>
                <w:szCs w:val="20"/>
              </w:rPr>
              <w:t xml:space="preserve">Reduce the proportion of persons who are unable to obtain or delay in obtaining necessary medical care, dental care, or prescription medicines </w:t>
            </w:r>
            <w:r w:rsidRPr="00531366">
              <w:rPr>
                <w:rFonts w:ascii="Arial" w:hAnsi="Arial" w:cs="Arial"/>
                <w:noProof/>
                <w:sz w:val="20"/>
                <w:szCs w:val="20"/>
              </w:rPr>
              <w:t>(</w:t>
            </w:r>
            <w:r>
              <w:rPr>
                <w:rFonts w:ascii="Arial" w:hAnsi="Arial" w:cs="Arial"/>
                <w:noProof/>
                <w:sz w:val="20"/>
                <w:szCs w:val="20"/>
              </w:rPr>
              <w:t>Baseline 10% in 2007</w:t>
            </w:r>
            <w:r w:rsidRPr="00531366">
              <w:rPr>
                <w:rFonts w:ascii="Arial" w:hAnsi="Arial" w:cs="Arial"/>
                <w:noProof/>
                <w:sz w:val="20"/>
                <w:szCs w:val="20"/>
              </w:rPr>
              <w:t xml:space="preserve">; Target </w:t>
            </w:r>
            <w:r>
              <w:rPr>
                <w:rFonts w:ascii="Arial" w:hAnsi="Arial" w:cs="Arial"/>
                <w:noProof/>
                <w:sz w:val="20"/>
                <w:szCs w:val="20"/>
              </w:rPr>
              <w:t>9%</w:t>
            </w:r>
            <w:r w:rsidRPr="00531366">
              <w:rPr>
                <w:rFonts w:ascii="Arial" w:hAnsi="Arial" w:cs="Arial"/>
                <w:noProof/>
                <w:sz w:val="20"/>
                <w:szCs w:val="20"/>
              </w:rPr>
              <w:t>)</w:t>
            </w:r>
          </w:p>
          <w:p w14:paraId="50AEA1C1" w14:textId="77777777" w:rsidR="004106D5" w:rsidRPr="00531366" w:rsidRDefault="004106D5" w:rsidP="000C7A5D">
            <w:pPr>
              <w:spacing w:after="0" w:line="240" w:lineRule="auto"/>
              <w:rPr>
                <w:rFonts w:ascii="Arial" w:hAnsi="Arial" w:cs="Arial"/>
                <w:sz w:val="20"/>
                <w:szCs w:val="20"/>
              </w:rPr>
            </w:pPr>
          </w:p>
        </w:tc>
      </w:tr>
      <w:tr w:rsidR="004106D5" w:rsidRPr="00515E1C" w14:paraId="47BAF1A1" w14:textId="77777777" w:rsidTr="000C7A5D">
        <w:tc>
          <w:tcPr>
            <w:tcW w:w="3556" w:type="dxa"/>
            <w:shd w:val="clear" w:color="auto" w:fill="auto"/>
          </w:tcPr>
          <w:p w14:paraId="1036AC18" w14:textId="77777777" w:rsidR="004106D5" w:rsidRPr="00531366" w:rsidRDefault="004106D5" w:rsidP="000C7A5D">
            <w:pPr>
              <w:spacing w:after="0" w:line="240" w:lineRule="auto"/>
              <w:rPr>
                <w:rFonts w:ascii="Arial" w:hAnsi="Arial" w:cs="Arial"/>
                <w:b/>
                <w:sz w:val="20"/>
                <w:szCs w:val="20"/>
              </w:rPr>
            </w:pPr>
          </w:p>
        </w:tc>
        <w:tc>
          <w:tcPr>
            <w:tcW w:w="5804" w:type="dxa"/>
            <w:gridSpan w:val="2"/>
            <w:shd w:val="clear" w:color="auto" w:fill="auto"/>
          </w:tcPr>
          <w:p w14:paraId="1C74CBCB" w14:textId="77777777" w:rsidR="004106D5" w:rsidRPr="00531366" w:rsidRDefault="004106D5" w:rsidP="000C7A5D">
            <w:pPr>
              <w:spacing w:after="0" w:line="240" w:lineRule="auto"/>
              <w:rPr>
                <w:rFonts w:ascii="Arial" w:hAnsi="Arial" w:cs="Arial"/>
                <w:sz w:val="20"/>
                <w:szCs w:val="20"/>
              </w:rPr>
            </w:pPr>
          </w:p>
        </w:tc>
      </w:tr>
      <w:tr w:rsidR="004106D5" w:rsidRPr="00515E1C" w14:paraId="65A03F3A" w14:textId="77777777" w:rsidTr="000C7A5D">
        <w:tc>
          <w:tcPr>
            <w:tcW w:w="3556" w:type="dxa"/>
            <w:shd w:val="clear" w:color="auto" w:fill="auto"/>
          </w:tcPr>
          <w:p w14:paraId="69D480E2"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DATA SOURCES and DATA ISSUES</w:t>
            </w:r>
          </w:p>
        </w:tc>
        <w:tc>
          <w:tcPr>
            <w:tcW w:w="5804" w:type="dxa"/>
            <w:gridSpan w:val="2"/>
            <w:shd w:val="clear" w:color="auto" w:fill="auto"/>
          </w:tcPr>
          <w:p w14:paraId="18613E50" w14:textId="77777777" w:rsidR="004106D5" w:rsidRPr="00531366" w:rsidRDefault="004106D5" w:rsidP="000C7A5D">
            <w:pPr>
              <w:spacing w:after="0" w:line="240" w:lineRule="auto"/>
              <w:rPr>
                <w:rFonts w:ascii="Arial" w:hAnsi="Arial" w:cs="Arial"/>
                <w:sz w:val="20"/>
                <w:szCs w:val="20"/>
              </w:rPr>
            </w:pPr>
            <w:r>
              <w:rPr>
                <w:rFonts w:ascii="Arial" w:hAnsi="Arial" w:cs="Arial"/>
                <w:noProof/>
                <w:sz w:val="20"/>
                <w:szCs w:val="20"/>
              </w:rPr>
              <w:t>National Survey of Children’s Health (NSCH)</w:t>
            </w:r>
          </w:p>
        </w:tc>
      </w:tr>
      <w:tr w:rsidR="004106D5" w:rsidRPr="00515E1C" w14:paraId="673C73D0" w14:textId="77777777" w:rsidTr="000C7A5D">
        <w:tc>
          <w:tcPr>
            <w:tcW w:w="3556" w:type="dxa"/>
            <w:shd w:val="clear" w:color="auto" w:fill="auto"/>
          </w:tcPr>
          <w:p w14:paraId="4FA68ECD" w14:textId="77777777" w:rsidR="004106D5" w:rsidRPr="00531366" w:rsidRDefault="004106D5" w:rsidP="000C7A5D">
            <w:pPr>
              <w:spacing w:after="0" w:line="240" w:lineRule="auto"/>
              <w:rPr>
                <w:rFonts w:ascii="Arial" w:hAnsi="Arial" w:cs="Arial"/>
                <w:b/>
                <w:sz w:val="20"/>
                <w:szCs w:val="20"/>
              </w:rPr>
            </w:pPr>
          </w:p>
        </w:tc>
        <w:tc>
          <w:tcPr>
            <w:tcW w:w="5804" w:type="dxa"/>
            <w:gridSpan w:val="2"/>
            <w:shd w:val="clear" w:color="auto" w:fill="auto"/>
          </w:tcPr>
          <w:p w14:paraId="43C13C8B" w14:textId="77777777" w:rsidR="004106D5" w:rsidRPr="00531366" w:rsidRDefault="004106D5" w:rsidP="000C7A5D">
            <w:pPr>
              <w:spacing w:after="0" w:line="240" w:lineRule="auto"/>
              <w:rPr>
                <w:rFonts w:ascii="Arial" w:hAnsi="Arial" w:cs="Arial"/>
                <w:sz w:val="20"/>
                <w:szCs w:val="20"/>
              </w:rPr>
            </w:pPr>
          </w:p>
        </w:tc>
      </w:tr>
      <w:tr w:rsidR="004106D5" w:rsidRPr="00515E1C" w14:paraId="6A531327" w14:textId="77777777" w:rsidTr="000C7A5D">
        <w:tc>
          <w:tcPr>
            <w:tcW w:w="3556" w:type="dxa"/>
            <w:shd w:val="clear" w:color="auto" w:fill="auto"/>
          </w:tcPr>
          <w:p w14:paraId="1533F22B"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SIGNIFICANCE</w:t>
            </w:r>
          </w:p>
        </w:tc>
        <w:tc>
          <w:tcPr>
            <w:tcW w:w="5804" w:type="dxa"/>
            <w:gridSpan w:val="2"/>
            <w:shd w:val="clear" w:color="auto" w:fill="auto"/>
          </w:tcPr>
          <w:p w14:paraId="04DE1BEA" w14:textId="77777777" w:rsidR="004106D5" w:rsidRDefault="004106D5" w:rsidP="000C7A5D">
            <w:pPr>
              <w:spacing w:after="0" w:line="240" w:lineRule="auto"/>
              <w:rPr>
                <w:rFonts w:ascii="Arial" w:hAnsi="Arial" w:cs="Arial"/>
                <w:sz w:val="20"/>
                <w:szCs w:val="20"/>
              </w:rPr>
            </w:pPr>
            <w:r>
              <w:rPr>
                <w:rFonts w:ascii="Arial" w:hAnsi="Arial" w:cs="Arial"/>
                <w:sz w:val="20"/>
                <w:szCs w:val="20"/>
              </w:rPr>
              <w:t>Improving access to quality health services is essential for optimal health in both preventing and treating health conditions.  When needed care is not received, health may suffer and conditions may not be prevented or may grow in severity.  Common barriers to care include cost, language, logistical, and structural factors, such as not having transportation or scheduling difficulties. Adequate insurance and access to a patient-centered medical home can reduce unmet needs for health care.</w:t>
            </w:r>
          </w:p>
          <w:p w14:paraId="57E18DA3" w14:textId="77777777" w:rsidR="004106D5" w:rsidRDefault="004106D5" w:rsidP="000C7A5D">
            <w:pPr>
              <w:spacing w:after="0" w:line="240" w:lineRule="auto"/>
              <w:rPr>
                <w:rFonts w:ascii="Arial" w:hAnsi="Arial" w:cs="Arial"/>
                <w:sz w:val="20"/>
                <w:szCs w:val="20"/>
              </w:rPr>
            </w:pPr>
          </w:p>
          <w:p w14:paraId="030397CF" w14:textId="77777777" w:rsidR="004106D5" w:rsidRDefault="004106D5" w:rsidP="000C7A5D">
            <w:pPr>
              <w:spacing w:after="0" w:line="240" w:lineRule="auto"/>
              <w:rPr>
                <w:rFonts w:ascii="Arial" w:hAnsi="Arial" w:cs="Arial"/>
                <w:sz w:val="20"/>
                <w:szCs w:val="20"/>
              </w:rPr>
            </w:pPr>
            <w:r w:rsidRPr="0060179A">
              <w:rPr>
                <w:rFonts w:ascii="Arial" w:hAnsi="Arial" w:cs="Arial"/>
                <w:sz w:val="20"/>
                <w:szCs w:val="20"/>
              </w:rPr>
              <w:t xml:space="preserve">Kogan MD, Newacheck PW, Blumberg SJ, Ghandour RM, Singh GK, Strickland BB, van Dyck PC. Underinsurance among children in the United States. N Engl J Med. 2010Aug 26;363(9):841-51. </w:t>
            </w:r>
            <w:hyperlink r:id="rId123" w:history="1">
              <w:r w:rsidRPr="00057ED2">
                <w:rPr>
                  <w:rStyle w:val="Hyperlink"/>
                  <w:rFonts w:ascii="Arial" w:hAnsi="Arial" w:cs="Arial"/>
                  <w:sz w:val="20"/>
                  <w:szCs w:val="20"/>
                </w:rPr>
                <w:t>http://www.nejm.org/doi/full/10.1056/NEJMsa0909994</w:t>
              </w:r>
            </w:hyperlink>
            <w:r>
              <w:rPr>
                <w:rFonts w:ascii="Arial" w:hAnsi="Arial" w:cs="Arial"/>
                <w:sz w:val="20"/>
                <w:szCs w:val="20"/>
              </w:rPr>
              <w:t xml:space="preserve"> </w:t>
            </w:r>
          </w:p>
          <w:p w14:paraId="3BE3A1C3" w14:textId="77777777" w:rsidR="004106D5" w:rsidRDefault="004106D5" w:rsidP="000C7A5D">
            <w:pPr>
              <w:spacing w:after="0" w:line="240" w:lineRule="auto"/>
              <w:rPr>
                <w:rFonts w:ascii="Arial" w:hAnsi="Arial" w:cs="Arial"/>
                <w:sz w:val="20"/>
                <w:szCs w:val="20"/>
              </w:rPr>
            </w:pPr>
          </w:p>
          <w:p w14:paraId="26C18D36" w14:textId="77777777" w:rsidR="004106D5" w:rsidRPr="00531366" w:rsidRDefault="004106D5" w:rsidP="000C7A5D">
            <w:pPr>
              <w:spacing w:after="0" w:line="240" w:lineRule="auto"/>
              <w:rPr>
                <w:rFonts w:ascii="Arial" w:hAnsi="Arial" w:cs="Arial"/>
                <w:sz w:val="20"/>
                <w:szCs w:val="20"/>
              </w:rPr>
            </w:pPr>
            <w:r w:rsidRPr="002331FE">
              <w:rPr>
                <w:rFonts w:ascii="Arial" w:hAnsi="Arial" w:cs="Arial"/>
                <w:sz w:val="20"/>
                <w:szCs w:val="20"/>
              </w:rPr>
              <w:t>Strickland BB, Jones JR, Ghandour RM, Kogan MD, Newacheck PW. The medical</w:t>
            </w:r>
            <w:r>
              <w:rPr>
                <w:rFonts w:ascii="Arial" w:hAnsi="Arial" w:cs="Arial"/>
                <w:sz w:val="20"/>
                <w:szCs w:val="20"/>
              </w:rPr>
              <w:t xml:space="preserve"> </w:t>
            </w:r>
            <w:r w:rsidRPr="002331FE">
              <w:rPr>
                <w:rFonts w:ascii="Arial" w:hAnsi="Arial" w:cs="Arial"/>
                <w:sz w:val="20"/>
                <w:szCs w:val="20"/>
              </w:rPr>
              <w:t>home: health care access and impact for children and youth in the United States. Pediatrics. 2011 Apr;127(4):604-11.</w:t>
            </w:r>
          </w:p>
        </w:tc>
      </w:tr>
    </w:tbl>
    <w:p w14:paraId="0DC3497C" w14:textId="77777777" w:rsidR="004106D5" w:rsidRDefault="004106D5" w:rsidP="004106D5">
      <w:pPr>
        <w:spacing w:after="0" w:line="240" w:lineRule="auto"/>
        <w:rPr>
          <w:rFonts w:ascii="Arial" w:hAnsi="Arial" w:cs="Arial"/>
          <w:sz w:val="28"/>
          <w:szCs w:val="28"/>
        </w:rPr>
      </w:pPr>
    </w:p>
    <w:p w14:paraId="78E34F4C" w14:textId="77777777" w:rsidR="004106D5" w:rsidRDefault="004106D5" w:rsidP="004106D5">
      <w:pPr>
        <w:spacing w:after="0" w:line="240" w:lineRule="auto"/>
        <w:rPr>
          <w:rFonts w:ascii="Arial" w:hAnsi="Arial" w:cs="Arial"/>
          <w:sz w:val="28"/>
          <w:szCs w:val="28"/>
        </w:rPr>
      </w:pPr>
    </w:p>
    <w:p w14:paraId="1AC0BC07" w14:textId="77777777" w:rsidR="004106D5" w:rsidRDefault="004106D5" w:rsidP="004106D5">
      <w:pPr>
        <w:spacing w:after="0" w:line="240" w:lineRule="auto"/>
        <w:rPr>
          <w:rFonts w:ascii="Arial" w:hAnsi="Arial" w:cs="Arial"/>
          <w:sz w:val="28"/>
          <w:szCs w:val="28"/>
        </w:rPr>
      </w:pPr>
    </w:p>
    <w:p w14:paraId="0C7ABAFA" w14:textId="77777777" w:rsidR="004106D5" w:rsidRDefault="004106D5" w:rsidP="004106D5">
      <w:pPr>
        <w:spacing w:after="0" w:line="240" w:lineRule="auto"/>
        <w:rPr>
          <w:rFonts w:ascii="Arial" w:hAnsi="Arial" w:cs="Arial"/>
          <w:sz w:val="28"/>
          <w:szCs w:val="28"/>
        </w:rPr>
      </w:pPr>
    </w:p>
    <w:p w14:paraId="4EE34DF2" w14:textId="77777777" w:rsidR="004106D5" w:rsidRDefault="004106D5" w:rsidP="004106D5">
      <w:pPr>
        <w:spacing w:after="0" w:line="240" w:lineRule="auto"/>
        <w:rPr>
          <w:rFonts w:ascii="Arial" w:hAnsi="Arial" w:cs="Arial"/>
          <w:sz w:val="28"/>
          <w:szCs w:val="28"/>
        </w:rPr>
      </w:pPr>
    </w:p>
    <w:p w14:paraId="4FE255F9" w14:textId="77777777" w:rsidR="004106D5" w:rsidRDefault="004106D5" w:rsidP="004106D5">
      <w:pPr>
        <w:spacing w:after="0" w:line="240" w:lineRule="auto"/>
        <w:rPr>
          <w:rFonts w:ascii="Arial" w:hAnsi="Arial" w:cs="Arial"/>
          <w:sz w:val="28"/>
          <w:szCs w:val="28"/>
        </w:rPr>
      </w:pPr>
    </w:p>
    <w:p w14:paraId="7654C068" w14:textId="77777777" w:rsidR="004106D5" w:rsidRDefault="004106D5" w:rsidP="004106D5">
      <w:pPr>
        <w:spacing w:after="0" w:line="240" w:lineRule="auto"/>
        <w:rPr>
          <w:rFonts w:ascii="Arial" w:hAnsi="Arial" w:cs="Arial"/>
          <w:sz w:val="28"/>
          <w:szCs w:val="28"/>
        </w:rPr>
      </w:pPr>
    </w:p>
    <w:p w14:paraId="1DDCDCA8" w14:textId="77777777" w:rsidR="004106D5" w:rsidRPr="00A93466" w:rsidRDefault="004106D5" w:rsidP="004106D5">
      <w:pPr>
        <w:spacing w:after="0" w:line="240" w:lineRule="auto"/>
        <w:ind w:hanging="360"/>
        <w:rPr>
          <w:rFonts w:asciiTheme="minorHAnsi" w:hAnsiTheme="minorHAnsi" w:cs="Arial"/>
          <w:sz w:val="28"/>
          <w:szCs w:val="28"/>
        </w:rPr>
      </w:pPr>
      <w:r w:rsidRPr="00A93466">
        <w:rPr>
          <w:rFonts w:asciiTheme="minorHAnsi" w:hAnsiTheme="minorHAnsi" w:cs="Arial"/>
          <w:sz w:val="28"/>
          <w:szCs w:val="28"/>
        </w:rPr>
        <w:t>B.</w:t>
      </w:r>
    </w:p>
    <w:tbl>
      <w:tblPr>
        <w:tblStyle w:val="TableGrid"/>
        <w:tblW w:w="8884" w:type="dxa"/>
        <w:tblLook w:val="04A0" w:firstRow="1" w:lastRow="0" w:firstColumn="1" w:lastColumn="0" w:noHBand="0" w:noVBand="1"/>
      </w:tblPr>
      <w:tblGrid>
        <w:gridCol w:w="619"/>
        <w:gridCol w:w="8265"/>
      </w:tblGrid>
      <w:tr w:rsidR="004106D5" w:rsidRPr="00A93466" w14:paraId="5AAB517E" w14:textId="77777777" w:rsidTr="00402E9D">
        <w:trPr>
          <w:trHeight w:val="328"/>
        </w:trPr>
        <w:tc>
          <w:tcPr>
            <w:tcW w:w="8884" w:type="dxa"/>
            <w:gridSpan w:val="2"/>
            <w:tcBorders>
              <w:top w:val="nil"/>
              <w:left w:val="nil"/>
              <w:bottom w:val="single" w:sz="4" w:space="0" w:color="auto"/>
              <w:right w:val="nil"/>
            </w:tcBorders>
            <w:shd w:val="clear" w:color="auto" w:fill="C7E2FA" w:themeFill="accent1" w:themeFillTint="33"/>
            <w:noWrap/>
            <w:hideMark/>
          </w:tcPr>
          <w:p w14:paraId="3D09E0F7" w14:textId="77777777" w:rsidR="004106D5" w:rsidRPr="00402E9D" w:rsidRDefault="004106D5" w:rsidP="00402E9D">
            <w:pPr>
              <w:shd w:val="clear" w:color="auto" w:fill="C7E2FA" w:themeFill="accent1" w:themeFillTint="33"/>
              <w:spacing w:after="0" w:line="240" w:lineRule="auto"/>
              <w:jc w:val="center"/>
              <w:rPr>
                <w:rFonts w:asciiTheme="minorHAnsi" w:eastAsia="Times New Roman" w:hAnsiTheme="minorHAnsi" w:cs="Arial"/>
                <w:b/>
                <w:color w:val="0B5294" w:themeColor="accent1" w:themeShade="BF"/>
                <w:sz w:val="32"/>
                <w:szCs w:val="32"/>
              </w:rPr>
            </w:pPr>
            <w:r w:rsidRPr="00A93466">
              <w:rPr>
                <w:rFonts w:asciiTheme="minorHAnsi" w:hAnsiTheme="minorHAnsi" w:cs="Arial"/>
                <w:sz w:val="28"/>
                <w:szCs w:val="28"/>
              </w:rPr>
              <w:br w:type="page"/>
            </w:r>
            <w:r w:rsidRPr="00402E9D">
              <w:rPr>
                <w:rFonts w:asciiTheme="minorHAnsi" w:eastAsia="Times New Roman" w:hAnsiTheme="minorHAnsi" w:cs="Arial"/>
                <w:b/>
                <w:color w:val="0B5294" w:themeColor="accent1" w:themeShade="BF"/>
                <w:sz w:val="32"/>
                <w:szCs w:val="32"/>
              </w:rPr>
              <w:t>Title V MCH Services Block Grant</w:t>
            </w:r>
          </w:p>
          <w:p w14:paraId="36970519" w14:textId="67FFA41C" w:rsidR="004106D5" w:rsidRPr="00A93466" w:rsidRDefault="00402E9D" w:rsidP="00402E9D">
            <w:pPr>
              <w:shd w:val="clear" w:color="auto" w:fill="C7E2FA" w:themeFill="accent1" w:themeFillTint="33"/>
              <w:spacing w:after="0" w:line="240" w:lineRule="auto"/>
              <w:jc w:val="center"/>
              <w:rPr>
                <w:rFonts w:asciiTheme="minorHAnsi" w:eastAsia="Times New Roman" w:hAnsiTheme="minorHAnsi" w:cs="Arial"/>
                <w:b/>
                <w:color w:val="000000"/>
                <w:sz w:val="32"/>
                <w:szCs w:val="32"/>
              </w:rPr>
            </w:pPr>
            <w:r w:rsidRPr="00402E9D">
              <w:rPr>
                <w:rFonts w:asciiTheme="minorHAnsi" w:eastAsia="Times New Roman" w:hAnsiTheme="minorHAnsi" w:cs="Arial"/>
                <w:b/>
                <w:color w:val="0B5294" w:themeColor="accent1" w:themeShade="BF"/>
                <w:sz w:val="32"/>
                <w:szCs w:val="32"/>
              </w:rPr>
              <w:t>National Performance Measures</w:t>
            </w:r>
          </w:p>
        </w:tc>
      </w:tr>
      <w:tr w:rsidR="004106D5" w:rsidRPr="0072000E" w14:paraId="309C8B2F" w14:textId="77777777" w:rsidTr="00402E9D">
        <w:trPr>
          <w:trHeight w:val="280"/>
        </w:trPr>
        <w:tc>
          <w:tcPr>
            <w:tcW w:w="619" w:type="dxa"/>
            <w:tcBorders>
              <w:top w:val="single" w:sz="4" w:space="0" w:color="auto"/>
            </w:tcBorders>
            <w:shd w:val="clear" w:color="auto" w:fill="0B5294" w:themeFill="accent1" w:themeFillShade="BF"/>
            <w:hideMark/>
          </w:tcPr>
          <w:p w14:paraId="79623E90" w14:textId="77777777" w:rsidR="004106D5" w:rsidRPr="00402E9D" w:rsidRDefault="004106D5" w:rsidP="000C7A5D">
            <w:pPr>
              <w:spacing w:after="0" w:line="240" w:lineRule="auto"/>
              <w:rPr>
                <w:rFonts w:ascii="Arial" w:eastAsia="Times New Roman" w:hAnsi="Arial" w:cs="Arial"/>
                <w:b/>
                <w:color w:val="FFFFFF" w:themeColor="background1"/>
                <w:sz w:val="24"/>
                <w:szCs w:val="24"/>
              </w:rPr>
            </w:pPr>
            <w:r w:rsidRPr="00402E9D">
              <w:rPr>
                <w:rFonts w:ascii="Arial" w:eastAsia="Times New Roman" w:hAnsi="Arial" w:cs="Arial"/>
                <w:b/>
                <w:color w:val="FFFFFF" w:themeColor="background1"/>
                <w:sz w:val="24"/>
                <w:szCs w:val="24"/>
              </w:rPr>
              <w:t>No.</w:t>
            </w:r>
          </w:p>
        </w:tc>
        <w:tc>
          <w:tcPr>
            <w:tcW w:w="8265" w:type="dxa"/>
            <w:tcBorders>
              <w:top w:val="single" w:sz="4" w:space="0" w:color="auto"/>
            </w:tcBorders>
            <w:shd w:val="clear" w:color="auto" w:fill="0B5294" w:themeFill="accent1" w:themeFillShade="BF"/>
            <w:hideMark/>
          </w:tcPr>
          <w:p w14:paraId="49071AD0" w14:textId="77777777" w:rsidR="004106D5" w:rsidRPr="00402E9D" w:rsidRDefault="004106D5" w:rsidP="000C7A5D">
            <w:pPr>
              <w:spacing w:after="0" w:line="240" w:lineRule="auto"/>
              <w:rPr>
                <w:rFonts w:ascii="Arial" w:eastAsia="Times New Roman" w:hAnsi="Arial" w:cs="Arial"/>
                <w:b/>
                <w:bCs/>
                <w:color w:val="FFFFFF" w:themeColor="background1"/>
                <w:sz w:val="24"/>
                <w:szCs w:val="24"/>
              </w:rPr>
            </w:pPr>
            <w:r w:rsidRPr="00402E9D">
              <w:rPr>
                <w:rFonts w:ascii="Arial" w:eastAsia="Times New Roman" w:hAnsi="Arial" w:cs="Arial"/>
                <w:b/>
                <w:bCs/>
                <w:color w:val="FFFFFF" w:themeColor="background1"/>
                <w:sz w:val="24"/>
                <w:szCs w:val="24"/>
              </w:rPr>
              <w:t>National Performance Measure</w:t>
            </w:r>
          </w:p>
        </w:tc>
      </w:tr>
      <w:tr w:rsidR="004106D5" w:rsidRPr="0072000E" w14:paraId="2B1BBE25" w14:textId="77777777" w:rsidTr="000C7A5D">
        <w:trPr>
          <w:trHeight w:val="292"/>
        </w:trPr>
        <w:tc>
          <w:tcPr>
            <w:tcW w:w="619" w:type="dxa"/>
            <w:hideMark/>
          </w:tcPr>
          <w:p w14:paraId="009459F4" w14:textId="77777777" w:rsidR="004106D5" w:rsidRPr="0021721D" w:rsidRDefault="004106D5" w:rsidP="000C7A5D">
            <w:pPr>
              <w:spacing w:after="0" w:line="240" w:lineRule="auto"/>
              <w:rPr>
                <w:rFonts w:ascii="Arial" w:eastAsia="Times New Roman" w:hAnsi="Arial" w:cs="Arial"/>
                <w:sz w:val="20"/>
                <w:szCs w:val="20"/>
              </w:rPr>
            </w:pPr>
            <w:r w:rsidRPr="0021721D">
              <w:rPr>
                <w:rFonts w:ascii="Arial" w:eastAsia="Times New Roman" w:hAnsi="Arial" w:cs="Arial"/>
                <w:sz w:val="20"/>
                <w:szCs w:val="20"/>
              </w:rPr>
              <w:t>1</w:t>
            </w:r>
          </w:p>
        </w:tc>
        <w:tc>
          <w:tcPr>
            <w:tcW w:w="8265" w:type="dxa"/>
            <w:hideMark/>
          </w:tcPr>
          <w:p w14:paraId="564B8AE1" w14:textId="4B6A16E1" w:rsidR="004106D5" w:rsidRPr="0021721D" w:rsidRDefault="004106D5" w:rsidP="005455A0">
            <w:pPr>
              <w:spacing w:after="0" w:line="240" w:lineRule="auto"/>
              <w:rPr>
                <w:rFonts w:ascii="Arial" w:eastAsia="Times New Roman" w:hAnsi="Arial" w:cs="Arial"/>
                <w:sz w:val="20"/>
                <w:szCs w:val="20"/>
              </w:rPr>
            </w:pPr>
            <w:r w:rsidRPr="0021721D">
              <w:rPr>
                <w:rFonts w:ascii="Arial" w:eastAsia="Times New Roman" w:hAnsi="Arial" w:cs="Arial"/>
                <w:sz w:val="20"/>
                <w:szCs w:val="20"/>
              </w:rPr>
              <w:t>Percent of women</w:t>
            </w:r>
            <w:r w:rsidR="005455A0">
              <w:rPr>
                <w:rFonts w:ascii="Arial" w:eastAsia="Times New Roman" w:hAnsi="Arial" w:cs="Arial"/>
                <w:sz w:val="20"/>
                <w:szCs w:val="20"/>
              </w:rPr>
              <w:t xml:space="preserve">, ages 14 through 44, </w:t>
            </w:r>
            <w:r w:rsidRPr="0021721D">
              <w:rPr>
                <w:rFonts w:ascii="Arial" w:eastAsia="Times New Roman" w:hAnsi="Arial" w:cs="Arial"/>
                <w:sz w:val="20"/>
                <w:szCs w:val="20"/>
              </w:rPr>
              <w:t xml:space="preserve">with a </w:t>
            </w:r>
            <w:r w:rsidR="005455A0">
              <w:rPr>
                <w:rFonts w:ascii="Arial" w:eastAsia="Times New Roman" w:hAnsi="Arial" w:cs="Arial"/>
                <w:sz w:val="20"/>
                <w:szCs w:val="20"/>
              </w:rPr>
              <w:t xml:space="preserve">preventive </w:t>
            </w:r>
            <w:r>
              <w:rPr>
                <w:rFonts w:ascii="Arial" w:eastAsia="Times New Roman" w:hAnsi="Arial" w:cs="Arial"/>
                <w:sz w:val="20"/>
                <w:szCs w:val="20"/>
              </w:rPr>
              <w:t xml:space="preserve">medical </w:t>
            </w:r>
            <w:r w:rsidRPr="0021721D">
              <w:rPr>
                <w:rFonts w:ascii="Arial" w:eastAsia="Times New Roman" w:hAnsi="Arial" w:cs="Arial"/>
                <w:sz w:val="20"/>
                <w:szCs w:val="20"/>
              </w:rPr>
              <w:t>visit</w:t>
            </w:r>
            <w:r w:rsidR="005455A0">
              <w:rPr>
                <w:rFonts w:ascii="Arial" w:eastAsia="Times New Roman" w:hAnsi="Arial" w:cs="Arial"/>
                <w:sz w:val="20"/>
                <w:szCs w:val="20"/>
              </w:rPr>
              <w:t xml:space="preserve"> in the past year</w:t>
            </w:r>
          </w:p>
        </w:tc>
      </w:tr>
      <w:tr w:rsidR="004106D5" w:rsidRPr="0072000E" w14:paraId="7E1CD359" w14:textId="77777777" w:rsidTr="000C7A5D">
        <w:trPr>
          <w:trHeight w:val="292"/>
        </w:trPr>
        <w:tc>
          <w:tcPr>
            <w:tcW w:w="619" w:type="dxa"/>
            <w:hideMark/>
          </w:tcPr>
          <w:p w14:paraId="625A5FAA" w14:textId="77777777" w:rsidR="004106D5" w:rsidRPr="0021721D" w:rsidRDefault="004106D5" w:rsidP="000C7A5D">
            <w:pPr>
              <w:spacing w:after="0" w:line="240" w:lineRule="auto"/>
              <w:rPr>
                <w:rFonts w:ascii="Arial" w:eastAsia="Times New Roman" w:hAnsi="Arial" w:cs="Arial"/>
                <w:sz w:val="20"/>
                <w:szCs w:val="20"/>
              </w:rPr>
            </w:pPr>
            <w:r w:rsidRPr="0021721D">
              <w:rPr>
                <w:rFonts w:ascii="Arial" w:eastAsia="Times New Roman" w:hAnsi="Arial" w:cs="Arial"/>
                <w:sz w:val="20"/>
                <w:szCs w:val="20"/>
              </w:rPr>
              <w:t>2</w:t>
            </w:r>
          </w:p>
        </w:tc>
        <w:tc>
          <w:tcPr>
            <w:tcW w:w="8265" w:type="dxa"/>
            <w:hideMark/>
          </w:tcPr>
          <w:p w14:paraId="4014EEE0" w14:textId="77777777" w:rsidR="004106D5" w:rsidRPr="0021721D" w:rsidRDefault="004106D5" w:rsidP="000C7A5D">
            <w:pPr>
              <w:spacing w:after="0" w:line="240" w:lineRule="auto"/>
              <w:rPr>
                <w:rFonts w:ascii="Arial" w:eastAsia="Times New Roman" w:hAnsi="Arial" w:cs="Arial"/>
                <w:sz w:val="20"/>
                <w:szCs w:val="20"/>
              </w:rPr>
            </w:pPr>
            <w:r w:rsidRPr="0021721D">
              <w:rPr>
                <w:rFonts w:ascii="Arial" w:eastAsia="Times New Roman" w:hAnsi="Arial" w:cs="Arial"/>
                <w:sz w:val="20"/>
                <w:szCs w:val="20"/>
              </w:rPr>
              <w:t>Percent of cesarean deliveries among low-risk first births</w:t>
            </w:r>
          </w:p>
        </w:tc>
      </w:tr>
      <w:tr w:rsidR="004106D5" w:rsidRPr="0072000E" w14:paraId="2EE28409" w14:textId="77777777" w:rsidTr="000C7A5D">
        <w:trPr>
          <w:trHeight w:val="327"/>
        </w:trPr>
        <w:tc>
          <w:tcPr>
            <w:tcW w:w="619" w:type="dxa"/>
            <w:hideMark/>
          </w:tcPr>
          <w:p w14:paraId="32E50494" w14:textId="77777777" w:rsidR="004106D5" w:rsidRPr="0021721D" w:rsidRDefault="004106D5" w:rsidP="000C7A5D">
            <w:pPr>
              <w:spacing w:after="0" w:line="240" w:lineRule="auto"/>
              <w:rPr>
                <w:rFonts w:ascii="Arial" w:eastAsia="Times New Roman" w:hAnsi="Arial" w:cs="Arial"/>
                <w:sz w:val="20"/>
                <w:szCs w:val="20"/>
              </w:rPr>
            </w:pPr>
            <w:r w:rsidRPr="0021721D">
              <w:rPr>
                <w:rFonts w:ascii="Arial" w:eastAsia="Times New Roman" w:hAnsi="Arial" w:cs="Arial"/>
                <w:sz w:val="20"/>
                <w:szCs w:val="20"/>
              </w:rPr>
              <w:t>3</w:t>
            </w:r>
          </w:p>
        </w:tc>
        <w:tc>
          <w:tcPr>
            <w:tcW w:w="8265" w:type="dxa"/>
            <w:hideMark/>
          </w:tcPr>
          <w:p w14:paraId="16ED765D" w14:textId="77777777" w:rsidR="004106D5" w:rsidRPr="0021721D" w:rsidRDefault="004106D5" w:rsidP="000C7A5D">
            <w:pPr>
              <w:spacing w:after="0" w:line="240" w:lineRule="auto"/>
              <w:rPr>
                <w:rFonts w:ascii="Arial" w:eastAsia="Times New Roman" w:hAnsi="Arial" w:cs="Arial"/>
                <w:sz w:val="20"/>
                <w:szCs w:val="20"/>
              </w:rPr>
            </w:pPr>
            <w:r w:rsidRPr="0021721D">
              <w:rPr>
                <w:rFonts w:ascii="Arial" w:eastAsia="Times New Roman" w:hAnsi="Arial" w:cs="Arial"/>
                <w:sz w:val="20"/>
                <w:szCs w:val="20"/>
              </w:rPr>
              <w:t>Percent of very low birth weight (VLBW) infants born in a hospital with a Level III+ Neonatal Intensive Care Unit (NICU)</w:t>
            </w:r>
          </w:p>
        </w:tc>
      </w:tr>
      <w:tr w:rsidR="004106D5" w:rsidRPr="0072000E" w14:paraId="5DD6B169" w14:textId="77777777" w:rsidTr="000C7A5D">
        <w:trPr>
          <w:trHeight w:val="292"/>
        </w:trPr>
        <w:tc>
          <w:tcPr>
            <w:tcW w:w="619" w:type="dxa"/>
            <w:hideMark/>
          </w:tcPr>
          <w:p w14:paraId="42F0143A" w14:textId="77777777" w:rsidR="004106D5" w:rsidRPr="0021721D" w:rsidRDefault="004106D5" w:rsidP="000C7A5D">
            <w:pPr>
              <w:spacing w:after="0" w:line="240" w:lineRule="auto"/>
              <w:rPr>
                <w:rFonts w:ascii="Arial" w:eastAsia="Times New Roman" w:hAnsi="Arial" w:cs="Arial"/>
                <w:sz w:val="20"/>
                <w:szCs w:val="20"/>
              </w:rPr>
            </w:pPr>
            <w:r w:rsidRPr="0021721D">
              <w:rPr>
                <w:rFonts w:ascii="Arial" w:eastAsia="Times New Roman" w:hAnsi="Arial" w:cs="Arial"/>
                <w:sz w:val="20"/>
                <w:szCs w:val="20"/>
              </w:rPr>
              <w:t>4</w:t>
            </w:r>
          </w:p>
        </w:tc>
        <w:tc>
          <w:tcPr>
            <w:tcW w:w="8265" w:type="dxa"/>
            <w:hideMark/>
          </w:tcPr>
          <w:p w14:paraId="0F44CF70" w14:textId="77777777" w:rsidR="004106D5" w:rsidRPr="0021721D" w:rsidRDefault="004106D5" w:rsidP="000C7A5D">
            <w:pPr>
              <w:spacing w:after="0" w:line="240" w:lineRule="auto"/>
              <w:rPr>
                <w:rFonts w:ascii="Arial" w:eastAsia="Times New Roman" w:hAnsi="Arial" w:cs="Arial"/>
                <w:sz w:val="20"/>
                <w:szCs w:val="20"/>
              </w:rPr>
            </w:pPr>
            <w:r w:rsidRPr="0021721D">
              <w:rPr>
                <w:rFonts w:ascii="Arial" w:hAnsi="Arial" w:cs="Arial"/>
                <w:noProof/>
                <w:sz w:val="20"/>
                <w:szCs w:val="20"/>
              </w:rPr>
              <w:t xml:space="preserve">A) Percent of infants who are ever breastfed and B) </w:t>
            </w:r>
            <w:r w:rsidRPr="0021721D">
              <w:rPr>
                <w:rFonts w:ascii="Arial" w:hAnsi="Arial" w:cs="Arial"/>
                <w:sz w:val="20"/>
                <w:szCs w:val="20"/>
              </w:rPr>
              <w:t>P</w:t>
            </w:r>
            <w:r w:rsidRPr="0021721D">
              <w:rPr>
                <w:rStyle w:val="field-content8"/>
                <w:rFonts w:ascii="Arial" w:hAnsi="Arial" w:cs="Arial"/>
                <w:sz w:val="20"/>
                <w:szCs w:val="20"/>
              </w:rPr>
              <w:t>ercent of infants breastfed exclusively through 6 months</w:t>
            </w:r>
          </w:p>
        </w:tc>
      </w:tr>
      <w:tr w:rsidR="004106D5" w:rsidRPr="0072000E" w14:paraId="1EC6DD81" w14:textId="77777777" w:rsidTr="000C7A5D">
        <w:trPr>
          <w:trHeight w:val="292"/>
        </w:trPr>
        <w:tc>
          <w:tcPr>
            <w:tcW w:w="619" w:type="dxa"/>
            <w:hideMark/>
          </w:tcPr>
          <w:p w14:paraId="1060EC0E" w14:textId="77777777" w:rsidR="004106D5" w:rsidRPr="0021721D" w:rsidRDefault="004106D5" w:rsidP="000C7A5D">
            <w:pPr>
              <w:spacing w:after="0" w:line="240" w:lineRule="auto"/>
              <w:rPr>
                <w:rFonts w:ascii="Arial" w:eastAsia="Times New Roman" w:hAnsi="Arial" w:cs="Arial"/>
                <w:sz w:val="20"/>
                <w:szCs w:val="20"/>
              </w:rPr>
            </w:pPr>
            <w:r w:rsidRPr="0021721D">
              <w:rPr>
                <w:rFonts w:ascii="Arial" w:eastAsia="Times New Roman" w:hAnsi="Arial" w:cs="Arial"/>
                <w:sz w:val="20"/>
                <w:szCs w:val="20"/>
              </w:rPr>
              <w:t>5</w:t>
            </w:r>
          </w:p>
        </w:tc>
        <w:tc>
          <w:tcPr>
            <w:tcW w:w="8265" w:type="dxa"/>
            <w:hideMark/>
          </w:tcPr>
          <w:p w14:paraId="714C7F91" w14:textId="77777777" w:rsidR="004106D5" w:rsidRPr="0021721D" w:rsidRDefault="004106D5" w:rsidP="000C7A5D">
            <w:pPr>
              <w:spacing w:after="0" w:line="240" w:lineRule="auto"/>
              <w:rPr>
                <w:rFonts w:ascii="Arial" w:eastAsia="Times New Roman" w:hAnsi="Arial" w:cs="Arial"/>
                <w:sz w:val="20"/>
                <w:szCs w:val="20"/>
              </w:rPr>
            </w:pPr>
            <w:r>
              <w:rPr>
                <w:rFonts w:ascii="Arial" w:eastAsia="Times New Roman" w:hAnsi="Arial" w:cs="Arial"/>
                <w:sz w:val="20"/>
                <w:szCs w:val="20"/>
              </w:rPr>
              <w:t xml:space="preserve">A) </w:t>
            </w:r>
            <w:r w:rsidRPr="0021721D">
              <w:rPr>
                <w:rFonts w:ascii="Arial" w:eastAsia="Times New Roman" w:hAnsi="Arial" w:cs="Arial"/>
                <w:sz w:val="20"/>
                <w:szCs w:val="20"/>
              </w:rPr>
              <w:t>Percent of infants placed to sleep on their backs</w:t>
            </w:r>
            <w:r>
              <w:rPr>
                <w:rFonts w:ascii="Arial" w:eastAsia="Times New Roman" w:hAnsi="Arial" w:cs="Arial"/>
                <w:sz w:val="20"/>
                <w:szCs w:val="20"/>
              </w:rPr>
              <w:t>, B) Percent of infants placed to sleep on a separate approved sleep surface, C) Percent of infants placed to sleep without soft objects or loose bedding</w:t>
            </w:r>
          </w:p>
        </w:tc>
      </w:tr>
      <w:tr w:rsidR="004106D5" w:rsidRPr="0072000E" w14:paraId="05E99BC4" w14:textId="77777777" w:rsidTr="000C7A5D">
        <w:trPr>
          <w:trHeight w:val="309"/>
        </w:trPr>
        <w:tc>
          <w:tcPr>
            <w:tcW w:w="619" w:type="dxa"/>
            <w:hideMark/>
          </w:tcPr>
          <w:p w14:paraId="4E2C7335" w14:textId="77777777" w:rsidR="004106D5" w:rsidRPr="0021721D" w:rsidRDefault="004106D5" w:rsidP="000C7A5D">
            <w:pPr>
              <w:spacing w:after="0" w:line="240" w:lineRule="auto"/>
              <w:rPr>
                <w:rFonts w:ascii="Arial" w:eastAsia="Times New Roman" w:hAnsi="Arial" w:cs="Arial"/>
                <w:sz w:val="20"/>
                <w:szCs w:val="20"/>
              </w:rPr>
            </w:pPr>
            <w:r w:rsidRPr="0021721D">
              <w:rPr>
                <w:rFonts w:ascii="Arial" w:eastAsia="Times New Roman" w:hAnsi="Arial" w:cs="Arial"/>
                <w:sz w:val="20"/>
                <w:szCs w:val="20"/>
              </w:rPr>
              <w:t>6</w:t>
            </w:r>
          </w:p>
        </w:tc>
        <w:tc>
          <w:tcPr>
            <w:tcW w:w="8265" w:type="dxa"/>
            <w:hideMark/>
          </w:tcPr>
          <w:p w14:paraId="1A4C8DD3" w14:textId="044C426C" w:rsidR="004106D5" w:rsidRPr="0021721D" w:rsidRDefault="004106D5" w:rsidP="005455A0">
            <w:pPr>
              <w:spacing w:after="0" w:line="240" w:lineRule="auto"/>
              <w:rPr>
                <w:rFonts w:ascii="Arial" w:eastAsia="Times New Roman" w:hAnsi="Arial" w:cs="Arial"/>
                <w:sz w:val="20"/>
                <w:szCs w:val="20"/>
              </w:rPr>
            </w:pPr>
            <w:r w:rsidRPr="0021721D">
              <w:rPr>
                <w:rFonts w:ascii="Arial" w:eastAsia="Times New Roman" w:hAnsi="Arial" w:cs="Arial"/>
                <w:sz w:val="20"/>
                <w:szCs w:val="20"/>
              </w:rPr>
              <w:t xml:space="preserve">Percent of children, ages </w:t>
            </w:r>
            <w:r w:rsidR="005455A0">
              <w:rPr>
                <w:rFonts w:ascii="Arial" w:eastAsia="Times New Roman" w:hAnsi="Arial" w:cs="Arial"/>
                <w:sz w:val="20"/>
                <w:szCs w:val="20"/>
              </w:rPr>
              <w:t>9 t</w:t>
            </w:r>
            <w:r w:rsidRPr="0021721D">
              <w:rPr>
                <w:rFonts w:ascii="Arial" w:eastAsia="Times New Roman" w:hAnsi="Arial" w:cs="Arial"/>
                <w:sz w:val="20"/>
                <w:szCs w:val="20"/>
              </w:rPr>
              <w:t xml:space="preserve">hrough </w:t>
            </w:r>
            <w:r w:rsidR="005455A0">
              <w:rPr>
                <w:rFonts w:ascii="Arial" w:eastAsia="Times New Roman" w:hAnsi="Arial" w:cs="Arial"/>
                <w:sz w:val="20"/>
                <w:szCs w:val="20"/>
              </w:rPr>
              <w:t xml:space="preserve">35 </w:t>
            </w:r>
            <w:r w:rsidRPr="0021721D">
              <w:rPr>
                <w:rFonts w:ascii="Arial" w:eastAsia="Times New Roman" w:hAnsi="Arial" w:cs="Arial"/>
                <w:sz w:val="20"/>
                <w:szCs w:val="20"/>
              </w:rPr>
              <w:t xml:space="preserve">months, </w:t>
            </w:r>
            <w:r w:rsidR="005455A0">
              <w:rPr>
                <w:rFonts w:ascii="Arial" w:eastAsia="Times New Roman" w:hAnsi="Arial" w:cs="Arial"/>
                <w:sz w:val="20"/>
                <w:szCs w:val="20"/>
              </w:rPr>
              <w:t>who received a</w:t>
            </w:r>
            <w:r w:rsidRPr="0021721D">
              <w:rPr>
                <w:rFonts w:ascii="Arial" w:eastAsia="Times New Roman" w:hAnsi="Arial" w:cs="Arial"/>
                <w:sz w:val="20"/>
                <w:szCs w:val="20"/>
              </w:rPr>
              <w:t xml:space="preserve"> developmental screening using a parent-completed screening tool</w:t>
            </w:r>
            <w:r w:rsidR="005455A0">
              <w:rPr>
                <w:rFonts w:ascii="Arial" w:eastAsia="Times New Roman" w:hAnsi="Arial" w:cs="Arial"/>
                <w:sz w:val="20"/>
                <w:szCs w:val="20"/>
              </w:rPr>
              <w:t xml:space="preserve"> in the past year</w:t>
            </w:r>
          </w:p>
        </w:tc>
      </w:tr>
      <w:tr w:rsidR="004106D5" w:rsidRPr="0072000E" w14:paraId="7CCF4855" w14:textId="77777777" w:rsidTr="000C7A5D">
        <w:trPr>
          <w:trHeight w:val="374"/>
        </w:trPr>
        <w:tc>
          <w:tcPr>
            <w:tcW w:w="619" w:type="dxa"/>
            <w:hideMark/>
          </w:tcPr>
          <w:p w14:paraId="6E0965F3" w14:textId="77777777" w:rsidR="004106D5" w:rsidRPr="0021721D" w:rsidRDefault="004106D5" w:rsidP="000C7A5D">
            <w:pPr>
              <w:spacing w:after="0" w:line="240" w:lineRule="auto"/>
              <w:rPr>
                <w:rFonts w:ascii="Arial" w:eastAsia="Times New Roman" w:hAnsi="Arial" w:cs="Arial"/>
                <w:sz w:val="20"/>
                <w:szCs w:val="20"/>
              </w:rPr>
            </w:pPr>
            <w:r w:rsidRPr="0021721D">
              <w:rPr>
                <w:rFonts w:ascii="Arial" w:eastAsia="Times New Roman" w:hAnsi="Arial" w:cs="Arial"/>
                <w:sz w:val="20"/>
                <w:szCs w:val="20"/>
              </w:rPr>
              <w:t>7</w:t>
            </w:r>
          </w:p>
        </w:tc>
        <w:tc>
          <w:tcPr>
            <w:tcW w:w="8265" w:type="dxa"/>
            <w:hideMark/>
          </w:tcPr>
          <w:p w14:paraId="7CC682DD" w14:textId="77777777" w:rsidR="002A4CA1" w:rsidRDefault="002A4CA1" w:rsidP="002A4CA1">
            <w:pPr>
              <w:spacing w:after="0" w:line="240" w:lineRule="auto"/>
              <w:rPr>
                <w:rFonts w:ascii="Arial" w:hAnsi="Arial" w:cs="Arial"/>
                <w:noProof/>
                <w:sz w:val="20"/>
                <w:szCs w:val="20"/>
              </w:rPr>
            </w:pPr>
            <w:r>
              <w:rPr>
                <w:rFonts w:ascii="Arial" w:eastAsia="Times New Roman" w:hAnsi="Arial" w:cs="Arial"/>
                <w:sz w:val="20"/>
                <w:szCs w:val="20"/>
              </w:rPr>
              <w:t xml:space="preserve">7.1 </w:t>
            </w:r>
            <w:r w:rsidR="004106D5" w:rsidRPr="008C07FE">
              <w:rPr>
                <w:rFonts w:ascii="Arial" w:eastAsia="Times New Roman" w:hAnsi="Arial" w:cs="Arial"/>
                <w:sz w:val="20"/>
                <w:szCs w:val="20"/>
              </w:rPr>
              <w:t xml:space="preserve">Rate of </w:t>
            </w:r>
            <w:r w:rsidR="004106D5" w:rsidRPr="008C07FE">
              <w:rPr>
                <w:rFonts w:ascii="Arial" w:hAnsi="Arial" w:cs="Arial"/>
                <w:noProof/>
                <w:sz w:val="20"/>
                <w:szCs w:val="20"/>
              </w:rPr>
              <w:t xml:space="preserve">hospitalization for non-fatal injury </w:t>
            </w:r>
            <w:r w:rsidR="004106D5">
              <w:rPr>
                <w:rFonts w:ascii="Arial" w:hAnsi="Arial" w:cs="Arial"/>
                <w:noProof/>
                <w:sz w:val="20"/>
                <w:szCs w:val="20"/>
              </w:rPr>
              <w:t>per 100,000</w:t>
            </w:r>
            <w:r w:rsidR="004106D5" w:rsidRPr="008C07FE">
              <w:rPr>
                <w:rFonts w:ascii="Arial" w:hAnsi="Arial" w:cs="Arial"/>
                <w:noProof/>
                <w:sz w:val="20"/>
                <w:szCs w:val="20"/>
              </w:rPr>
              <w:t xml:space="preserve"> children</w:t>
            </w:r>
            <w:r w:rsidR="005455A0">
              <w:rPr>
                <w:rFonts w:ascii="Arial" w:hAnsi="Arial" w:cs="Arial"/>
                <w:noProof/>
                <w:sz w:val="20"/>
                <w:szCs w:val="20"/>
              </w:rPr>
              <w:t>,</w:t>
            </w:r>
            <w:r w:rsidR="004106D5">
              <w:rPr>
                <w:rFonts w:ascii="Arial" w:hAnsi="Arial" w:cs="Arial"/>
                <w:noProof/>
                <w:sz w:val="20"/>
                <w:szCs w:val="20"/>
              </w:rPr>
              <w:t xml:space="preserve"> ages 0 through 9</w:t>
            </w:r>
            <w:r>
              <w:rPr>
                <w:rFonts w:ascii="Arial" w:hAnsi="Arial" w:cs="Arial"/>
                <w:noProof/>
                <w:sz w:val="20"/>
                <w:szCs w:val="20"/>
              </w:rPr>
              <w:t xml:space="preserve">; </w:t>
            </w:r>
            <w:r w:rsidR="004106D5">
              <w:rPr>
                <w:rFonts w:ascii="Arial" w:hAnsi="Arial" w:cs="Arial"/>
                <w:noProof/>
                <w:sz w:val="20"/>
                <w:szCs w:val="20"/>
              </w:rPr>
              <w:t>and</w:t>
            </w:r>
          </w:p>
          <w:p w14:paraId="7998FA82" w14:textId="098CB60F" w:rsidR="004106D5" w:rsidRPr="00F02C5D" w:rsidRDefault="002A4CA1" w:rsidP="002A4CA1">
            <w:pPr>
              <w:spacing w:after="0" w:line="240" w:lineRule="auto"/>
              <w:rPr>
                <w:rFonts w:ascii="Arial" w:eastAsia="Times New Roman" w:hAnsi="Arial" w:cs="Arial"/>
                <w:sz w:val="20"/>
                <w:szCs w:val="20"/>
              </w:rPr>
            </w:pPr>
            <w:r>
              <w:rPr>
                <w:rFonts w:ascii="Arial" w:hAnsi="Arial" w:cs="Arial"/>
                <w:noProof/>
                <w:sz w:val="20"/>
                <w:szCs w:val="20"/>
              </w:rPr>
              <w:t xml:space="preserve">7.2 </w:t>
            </w:r>
            <w:r w:rsidRPr="008C07FE">
              <w:rPr>
                <w:rFonts w:ascii="Arial" w:eastAsia="Times New Roman" w:hAnsi="Arial" w:cs="Arial"/>
                <w:sz w:val="20"/>
                <w:szCs w:val="20"/>
              </w:rPr>
              <w:t xml:space="preserve">Rate of </w:t>
            </w:r>
            <w:r w:rsidRPr="008C07FE">
              <w:rPr>
                <w:rFonts w:ascii="Arial" w:hAnsi="Arial" w:cs="Arial"/>
                <w:noProof/>
                <w:sz w:val="20"/>
                <w:szCs w:val="20"/>
              </w:rPr>
              <w:t xml:space="preserve">hospitalization for non-fatal injury </w:t>
            </w:r>
            <w:r>
              <w:rPr>
                <w:rFonts w:ascii="Arial" w:hAnsi="Arial" w:cs="Arial"/>
                <w:noProof/>
                <w:sz w:val="20"/>
                <w:szCs w:val="20"/>
              </w:rPr>
              <w:t>per 100,000</w:t>
            </w:r>
            <w:r w:rsidRPr="008C07FE">
              <w:rPr>
                <w:rFonts w:ascii="Arial" w:hAnsi="Arial" w:cs="Arial"/>
                <w:noProof/>
                <w:sz w:val="20"/>
                <w:szCs w:val="20"/>
              </w:rPr>
              <w:t xml:space="preserve"> </w:t>
            </w:r>
            <w:r w:rsidR="004106D5">
              <w:rPr>
                <w:rFonts w:ascii="Arial" w:hAnsi="Arial" w:cs="Arial"/>
                <w:noProof/>
                <w:sz w:val="20"/>
                <w:szCs w:val="20"/>
              </w:rPr>
              <w:t>adolescents</w:t>
            </w:r>
            <w:r w:rsidR="005455A0">
              <w:rPr>
                <w:rFonts w:ascii="Arial" w:hAnsi="Arial" w:cs="Arial"/>
                <w:noProof/>
                <w:sz w:val="20"/>
                <w:szCs w:val="20"/>
              </w:rPr>
              <w:t>,</w:t>
            </w:r>
            <w:r w:rsidR="004106D5">
              <w:rPr>
                <w:rFonts w:ascii="Arial" w:hAnsi="Arial" w:cs="Arial"/>
                <w:noProof/>
                <w:sz w:val="20"/>
                <w:szCs w:val="20"/>
              </w:rPr>
              <w:t xml:space="preserve"> ages 10 through 19</w:t>
            </w:r>
            <w:r w:rsidR="004106D5" w:rsidRPr="008C07FE">
              <w:rPr>
                <w:rFonts w:ascii="Arial" w:hAnsi="Arial" w:cs="Arial"/>
                <w:noProof/>
                <w:sz w:val="20"/>
                <w:szCs w:val="20"/>
              </w:rPr>
              <w:t xml:space="preserve"> </w:t>
            </w:r>
          </w:p>
        </w:tc>
      </w:tr>
      <w:tr w:rsidR="004106D5" w:rsidRPr="0072000E" w14:paraId="4265AAB9" w14:textId="77777777" w:rsidTr="000C7A5D">
        <w:trPr>
          <w:trHeight w:val="437"/>
        </w:trPr>
        <w:tc>
          <w:tcPr>
            <w:tcW w:w="619" w:type="dxa"/>
            <w:hideMark/>
          </w:tcPr>
          <w:p w14:paraId="3716CF81" w14:textId="77777777" w:rsidR="004106D5" w:rsidRPr="0021721D" w:rsidRDefault="004106D5" w:rsidP="000C7A5D">
            <w:pPr>
              <w:spacing w:after="0" w:line="240" w:lineRule="auto"/>
              <w:rPr>
                <w:rFonts w:ascii="Arial" w:eastAsia="Times New Roman" w:hAnsi="Arial" w:cs="Arial"/>
                <w:sz w:val="20"/>
                <w:szCs w:val="20"/>
              </w:rPr>
            </w:pPr>
            <w:r w:rsidRPr="0021721D">
              <w:rPr>
                <w:rFonts w:ascii="Arial" w:eastAsia="Times New Roman" w:hAnsi="Arial" w:cs="Arial"/>
                <w:sz w:val="20"/>
                <w:szCs w:val="20"/>
              </w:rPr>
              <w:t>8</w:t>
            </w:r>
          </w:p>
        </w:tc>
        <w:tc>
          <w:tcPr>
            <w:tcW w:w="8265" w:type="dxa"/>
            <w:hideMark/>
          </w:tcPr>
          <w:p w14:paraId="4519C7E8" w14:textId="77777777" w:rsidR="00A04F91" w:rsidRDefault="00A04F91" w:rsidP="00A04F91">
            <w:pPr>
              <w:spacing w:after="0" w:line="240" w:lineRule="auto"/>
              <w:ind w:left="348" w:hanging="348"/>
              <w:rPr>
                <w:rFonts w:ascii="Arial" w:eastAsia="Times New Roman" w:hAnsi="Arial" w:cs="Arial"/>
                <w:sz w:val="20"/>
                <w:szCs w:val="20"/>
              </w:rPr>
            </w:pPr>
            <w:r>
              <w:rPr>
                <w:rFonts w:ascii="Arial" w:eastAsia="Times New Roman" w:hAnsi="Arial" w:cs="Arial"/>
                <w:sz w:val="20"/>
                <w:szCs w:val="20"/>
              </w:rPr>
              <w:t xml:space="preserve">8.1 </w:t>
            </w:r>
            <w:r w:rsidR="004106D5" w:rsidRPr="0021721D">
              <w:rPr>
                <w:rFonts w:ascii="Arial" w:eastAsia="Times New Roman" w:hAnsi="Arial" w:cs="Arial"/>
                <w:sz w:val="20"/>
                <w:szCs w:val="20"/>
              </w:rPr>
              <w:t>Percent of children</w:t>
            </w:r>
            <w:r w:rsidR="005455A0">
              <w:rPr>
                <w:rFonts w:ascii="Arial" w:eastAsia="Times New Roman" w:hAnsi="Arial" w:cs="Arial"/>
                <w:sz w:val="20"/>
                <w:szCs w:val="20"/>
              </w:rPr>
              <w:t>,</w:t>
            </w:r>
            <w:r w:rsidR="004106D5" w:rsidRPr="0021721D">
              <w:rPr>
                <w:rFonts w:ascii="Arial" w:eastAsia="Times New Roman" w:hAnsi="Arial" w:cs="Arial"/>
                <w:sz w:val="20"/>
                <w:szCs w:val="20"/>
              </w:rPr>
              <w:t xml:space="preserve"> ages 6 through 11</w:t>
            </w:r>
            <w:r w:rsidR="005455A0">
              <w:rPr>
                <w:rFonts w:ascii="Arial" w:eastAsia="Times New Roman" w:hAnsi="Arial" w:cs="Arial"/>
                <w:sz w:val="20"/>
                <w:szCs w:val="20"/>
              </w:rPr>
              <w:t>,</w:t>
            </w:r>
            <w:r w:rsidR="004106D5" w:rsidRPr="0021721D">
              <w:rPr>
                <w:rFonts w:ascii="Arial" w:eastAsia="Times New Roman" w:hAnsi="Arial" w:cs="Arial"/>
                <w:sz w:val="20"/>
                <w:szCs w:val="20"/>
              </w:rPr>
              <w:t xml:space="preserve"> </w:t>
            </w:r>
            <w:r>
              <w:rPr>
                <w:rFonts w:ascii="Arial" w:eastAsia="Times New Roman" w:hAnsi="Arial" w:cs="Arial"/>
                <w:sz w:val="20"/>
                <w:szCs w:val="20"/>
              </w:rPr>
              <w:t xml:space="preserve">who are </w:t>
            </w:r>
            <w:r w:rsidRPr="0021721D">
              <w:rPr>
                <w:rFonts w:ascii="Arial" w:eastAsia="Times New Roman" w:hAnsi="Arial" w:cs="Arial"/>
                <w:sz w:val="20"/>
                <w:szCs w:val="20"/>
              </w:rPr>
              <w:t>physically act</w:t>
            </w:r>
            <w:r>
              <w:rPr>
                <w:rFonts w:ascii="Arial" w:eastAsia="Times New Roman" w:hAnsi="Arial" w:cs="Arial"/>
                <w:sz w:val="20"/>
                <w:szCs w:val="20"/>
              </w:rPr>
              <w:t xml:space="preserve">ive at least 60 minutes per day; </w:t>
            </w:r>
            <w:r w:rsidR="004106D5" w:rsidRPr="0021721D">
              <w:rPr>
                <w:rFonts w:ascii="Arial" w:eastAsia="Times New Roman" w:hAnsi="Arial" w:cs="Arial"/>
                <w:sz w:val="20"/>
                <w:szCs w:val="20"/>
              </w:rPr>
              <w:t xml:space="preserve">and </w:t>
            </w:r>
          </w:p>
          <w:p w14:paraId="01234DA0" w14:textId="27D02149" w:rsidR="004106D5" w:rsidRPr="0021721D" w:rsidRDefault="00A04F91" w:rsidP="00A04F91">
            <w:pPr>
              <w:spacing w:after="0" w:line="240" w:lineRule="auto"/>
              <w:ind w:left="348" w:hanging="348"/>
              <w:rPr>
                <w:rFonts w:ascii="Arial" w:eastAsia="Times New Roman" w:hAnsi="Arial" w:cs="Arial"/>
                <w:sz w:val="20"/>
                <w:szCs w:val="20"/>
              </w:rPr>
            </w:pPr>
            <w:r>
              <w:rPr>
                <w:rFonts w:ascii="Arial" w:eastAsia="Times New Roman" w:hAnsi="Arial" w:cs="Arial"/>
                <w:sz w:val="20"/>
                <w:szCs w:val="20"/>
              </w:rPr>
              <w:t xml:space="preserve">8.2 Percent of </w:t>
            </w:r>
            <w:r w:rsidR="004106D5" w:rsidRPr="0021721D">
              <w:rPr>
                <w:rFonts w:ascii="Arial" w:eastAsia="Times New Roman" w:hAnsi="Arial" w:cs="Arial"/>
                <w:sz w:val="20"/>
                <w:szCs w:val="20"/>
              </w:rPr>
              <w:t>adolescents</w:t>
            </w:r>
            <w:r w:rsidR="005455A0">
              <w:rPr>
                <w:rFonts w:ascii="Arial" w:eastAsia="Times New Roman" w:hAnsi="Arial" w:cs="Arial"/>
                <w:sz w:val="20"/>
                <w:szCs w:val="20"/>
              </w:rPr>
              <w:t>,</w:t>
            </w:r>
            <w:r w:rsidR="004106D5" w:rsidRPr="0021721D">
              <w:rPr>
                <w:rFonts w:ascii="Arial" w:eastAsia="Times New Roman" w:hAnsi="Arial" w:cs="Arial"/>
                <w:sz w:val="20"/>
                <w:szCs w:val="20"/>
              </w:rPr>
              <w:t xml:space="preserve"> ages 12 through 17</w:t>
            </w:r>
            <w:r w:rsidR="005455A0">
              <w:rPr>
                <w:rFonts w:ascii="Arial" w:eastAsia="Times New Roman" w:hAnsi="Arial" w:cs="Arial"/>
                <w:sz w:val="20"/>
                <w:szCs w:val="20"/>
              </w:rPr>
              <w:t>,</w:t>
            </w:r>
            <w:r w:rsidR="004106D5" w:rsidRPr="0021721D">
              <w:rPr>
                <w:rFonts w:ascii="Arial" w:eastAsia="Times New Roman" w:hAnsi="Arial" w:cs="Arial"/>
                <w:sz w:val="20"/>
                <w:szCs w:val="20"/>
              </w:rPr>
              <w:t xml:space="preserve"> who are physically active at least 60 minutes per day </w:t>
            </w:r>
          </w:p>
        </w:tc>
      </w:tr>
      <w:tr w:rsidR="004106D5" w:rsidRPr="0072000E" w14:paraId="4C5CD3F9" w14:textId="77777777" w:rsidTr="000C7A5D">
        <w:trPr>
          <w:trHeight w:val="292"/>
        </w:trPr>
        <w:tc>
          <w:tcPr>
            <w:tcW w:w="619" w:type="dxa"/>
            <w:hideMark/>
          </w:tcPr>
          <w:p w14:paraId="51534C81" w14:textId="77777777" w:rsidR="004106D5" w:rsidRPr="0021721D" w:rsidRDefault="004106D5" w:rsidP="000C7A5D">
            <w:pPr>
              <w:spacing w:after="0" w:line="240" w:lineRule="auto"/>
              <w:rPr>
                <w:rFonts w:ascii="Arial" w:eastAsia="Times New Roman" w:hAnsi="Arial" w:cs="Arial"/>
                <w:sz w:val="20"/>
                <w:szCs w:val="20"/>
              </w:rPr>
            </w:pPr>
            <w:r w:rsidRPr="0021721D">
              <w:rPr>
                <w:rFonts w:ascii="Arial" w:eastAsia="Times New Roman" w:hAnsi="Arial" w:cs="Arial"/>
                <w:sz w:val="20"/>
                <w:szCs w:val="20"/>
              </w:rPr>
              <w:t>9</w:t>
            </w:r>
          </w:p>
        </w:tc>
        <w:tc>
          <w:tcPr>
            <w:tcW w:w="8265" w:type="dxa"/>
            <w:hideMark/>
          </w:tcPr>
          <w:p w14:paraId="03AAD93E" w14:textId="77777777" w:rsidR="004106D5" w:rsidRPr="0021721D" w:rsidRDefault="004106D5" w:rsidP="000C7A5D">
            <w:pPr>
              <w:spacing w:after="0" w:line="240" w:lineRule="auto"/>
              <w:rPr>
                <w:rFonts w:ascii="Arial" w:eastAsia="Times New Roman" w:hAnsi="Arial" w:cs="Arial"/>
                <w:sz w:val="20"/>
                <w:szCs w:val="20"/>
              </w:rPr>
            </w:pPr>
            <w:r w:rsidRPr="0021721D">
              <w:rPr>
                <w:rFonts w:ascii="Arial" w:eastAsia="Times New Roman" w:hAnsi="Arial" w:cs="Arial"/>
                <w:sz w:val="20"/>
                <w:szCs w:val="20"/>
              </w:rPr>
              <w:t>Percent of adolescents, ages 12 through 17, who are bullied</w:t>
            </w:r>
            <w:r>
              <w:rPr>
                <w:rFonts w:ascii="Arial" w:eastAsia="Times New Roman" w:hAnsi="Arial" w:cs="Arial"/>
                <w:sz w:val="20"/>
                <w:szCs w:val="20"/>
              </w:rPr>
              <w:t xml:space="preserve"> or who bully others</w:t>
            </w:r>
          </w:p>
        </w:tc>
      </w:tr>
      <w:tr w:rsidR="004106D5" w:rsidRPr="0072000E" w14:paraId="6CB56D3C" w14:textId="77777777" w:rsidTr="000C7A5D">
        <w:trPr>
          <w:trHeight w:val="274"/>
        </w:trPr>
        <w:tc>
          <w:tcPr>
            <w:tcW w:w="619" w:type="dxa"/>
            <w:hideMark/>
          </w:tcPr>
          <w:p w14:paraId="203CD6FE" w14:textId="77777777" w:rsidR="004106D5" w:rsidRPr="0021721D" w:rsidRDefault="004106D5" w:rsidP="000C7A5D">
            <w:pPr>
              <w:spacing w:after="0" w:line="240" w:lineRule="auto"/>
              <w:rPr>
                <w:rFonts w:ascii="Arial" w:eastAsia="Times New Roman" w:hAnsi="Arial" w:cs="Arial"/>
                <w:sz w:val="20"/>
                <w:szCs w:val="20"/>
              </w:rPr>
            </w:pPr>
            <w:r w:rsidRPr="0021721D">
              <w:rPr>
                <w:rFonts w:ascii="Arial" w:eastAsia="Times New Roman" w:hAnsi="Arial" w:cs="Arial"/>
                <w:sz w:val="20"/>
                <w:szCs w:val="20"/>
              </w:rPr>
              <w:t>10</w:t>
            </w:r>
          </w:p>
        </w:tc>
        <w:tc>
          <w:tcPr>
            <w:tcW w:w="8265" w:type="dxa"/>
            <w:hideMark/>
          </w:tcPr>
          <w:p w14:paraId="59109874" w14:textId="77777777" w:rsidR="004106D5" w:rsidRPr="0021721D" w:rsidRDefault="004106D5" w:rsidP="000C7A5D">
            <w:pPr>
              <w:spacing w:after="0" w:line="240" w:lineRule="auto"/>
              <w:rPr>
                <w:rFonts w:ascii="Arial" w:eastAsia="Times New Roman" w:hAnsi="Arial" w:cs="Arial"/>
                <w:sz w:val="20"/>
                <w:szCs w:val="20"/>
              </w:rPr>
            </w:pPr>
            <w:r w:rsidRPr="0021721D">
              <w:rPr>
                <w:rFonts w:ascii="Arial" w:eastAsia="Times New Roman" w:hAnsi="Arial" w:cs="Arial"/>
                <w:sz w:val="20"/>
                <w:szCs w:val="20"/>
              </w:rPr>
              <w:t>Percent of adolescents</w:t>
            </w:r>
            <w:r>
              <w:rPr>
                <w:rFonts w:ascii="Arial" w:eastAsia="Times New Roman" w:hAnsi="Arial" w:cs="Arial"/>
                <w:sz w:val="20"/>
                <w:szCs w:val="20"/>
              </w:rPr>
              <w:t>, ages 12 through 17,</w:t>
            </w:r>
            <w:r w:rsidRPr="0021721D">
              <w:rPr>
                <w:rFonts w:ascii="Arial" w:eastAsia="Times New Roman" w:hAnsi="Arial" w:cs="Arial"/>
                <w:sz w:val="20"/>
                <w:szCs w:val="20"/>
              </w:rPr>
              <w:t xml:space="preserve"> with a preventive </w:t>
            </w:r>
            <w:r>
              <w:rPr>
                <w:rFonts w:ascii="Arial" w:eastAsia="Times New Roman" w:hAnsi="Arial" w:cs="Arial"/>
                <w:sz w:val="20"/>
                <w:szCs w:val="20"/>
              </w:rPr>
              <w:t>medical</w:t>
            </w:r>
            <w:r w:rsidRPr="0021721D">
              <w:rPr>
                <w:rFonts w:ascii="Arial" w:eastAsia="Times New Roman" w:hAnsi="Arial" w:cs="Arial"/>
                <w:sz w:val="20"/>
                <w:szCs w:val="20"/>
              </w:rPr>
              <w:t xml:space="preserve"> visit in the </w:t>
            </w:r>
            <w:r>
              <w:rPr>
                <w:rFonts w:ascii="Arial" w:eastAsia="Times New Roman" w:hAnsi="Arial" w:cs="Arial"/>
                <w:sz w:val="20"/>
                <w:szCs w:val="20"/>
              </w:rPr>
              <w:t>p</w:t>
            </w:r>
            <w:r w:rsidRPr="0021721D">
              <w:rPr>
                <w:rFonts w:ascii="Arial" w:eastAsia="Times New Roman" w:hAnsi="Arial" w:cs="Arial"/>
                <w:sz w:val="20"/>
                <w:szCs w:val="20"/>
              </w:rPr>
              <w:t>ast year</w:t>
            </w:r>
          </w:p>
        </w:tc>
      </w:tr>
      <w:tr w:rsidR="004106D5" w:rsidRPr="0072000E" w14:paraId="6B616540" w14:textId="77777777" w:rsidTr="000C7A5D">
        <w:trPr>
          <w:trHeight w:val="300"/>
        </w:trPr>
        <w:tc>
          <w:tcPr>
            <w:tcW w:w="619" w:type="dxa"/>
            <w:hideMark/>
          </w:tcPr>
          <w:p w14:paraId="072C8180" w14:textId="77777777" w:rsidR="004106D5" w:rsidRPr="0021721D" w:rsidRDefault="004106D5" w:rsidP="000C7A5D">
            <w:pPr>
              <w:spacing w:after="0" w:line="240" w:lineRule="auto"/>
              <w:rPr>
                <w:rFonts w:ascii="Arial" w:eastAsia="Times New Roman" w:hAnsi="Arial" w:cs="Arial"/>
                <w:sz w:val="20"/>
                <w:szCs w:val="20"/>
              </w:rPr>
            </w:pPr>
            <w:r w:rsidRPr="0021721D">
              <w:rPr>
                <w:rFonts w:ascii="Arial" w:eastAsia="Times New Roman" w:hAnsi="Arial" w:cs="Arial"/>
                <w:sz w:val="20"/>
                <w:szCs w:val="20"/>
              </w:rPr>
              <w:t>11</w:t>
            </w:r>
          </w:p>
        </w:tc>
        <w:tc>
          <w:tcPr>
            <w:tcW w:w="8265" w:type="dxa"/>
            <w:hideMark/>
          </w:tcPr>
          <w:p w14:paraId="5170B1CA" w14:textId="63DCA9D5" w:rsidR="004106D5" w:rsidRPr="0021721D" w:rsidRDefault="004106D5" w:rsidP="005455A0">
            <w:pPr>
              <w:spacing w:after="0" w:line="240" w:lineRule="auto"/>
              <w:rPr>
                <w:rFonts w:ascii="Arial" w:eastAsia="Times New Roman" w:hAnsi="Arial" w:cs="Arial"/>
                <w:sz w:val="20"/>
                <w:szCs w:val="20"/>
              </w:rPr>
            </w:pPr>
            <w:r w:rsidRPr="0021721D">
              <w:rPr>
                <w:rFonts w:ascii="Arial" w:eastAsia="Times New Roman" w:hAnsi="Arial" w:cs="Arial"/>
                <w:sz w:val="20"/>
                <w:szCs w:val="20"/>
              </w:rPr>
              <w:t>Percent of children with and without special health care needs</w:t>
            </w:r>
            <w:r w:rsidR="005455A0">
              <w:rPr>
                <w:rFonts w:ascii="Arial" w:eastAsia="Times New Roman" w:hAnsi="Arial" w:cs="Arial"/>
                <w:sz w:val="20"/>
                <w:szCs w:val="20"/>
              </w:rPr>
              <w:t xml:space="preserve">, ages 0 through 17, who have </w:t>
            </w:r>
            <w:r w:rsidRPr="0021721D">
              <w:rPr>
                <w:rFonts w:ascii="Arial" w:eastAsia="Times New Roman" w:hAnsi="Arial" w:cs="Arial"/>
                <w:sz w:val="20"/>
                <w:szCs w:val="20"/>
              </w:rPr>
              <w:t>a medical home</w:t>
            </w:r>
          </w:p>
        </w:tc>
      </w:tr>
      <w:tr w:rsidR="004106D5" w:rsidRPr="0072000E" w14:paraId="37E59DBA" w14:textId="77777777" w:rsidTr="000C7A5D">
        <w:trPr>
          <w:trHeight w:val="447"/>
        </w:trPr>
        <w:tc>
          <w:tcPr>
            <w:tcW w:w="619" w:type="dxa"/>
            <w:hideMark/>
          </w:tcPr>
          <w:p w14:paraId="12764469" w14:textId="77777777" w:rsidR="004106D5" w:rsidRPr="0021721D" w:rsidRDefault="004106D5" w:rsidP="000C7A5D">
            <w:pPr>
              <w:spacing w:after="0" w:line="240" w:lineRule="auto"/>
              <w:rPr>
                <w:rFonts w:ascii="Arial" w:eastAsia="Times New Roman" w:hAnsi="Arial" w:cs="Arial"/>
                <w:sz w:val="20"/>
                <w:szCs w:val="20"/>
              </w:rPr>
            </w:pPr>
            <w:r w:rsidRPr="0021721D">
              <w:rPr>
                <w:rFonts w:ascii="Arial" w:eastAsia="Times New Roman" w:hAnsi="Arial" w:cs="Arial"/>
                <w:sz w:val="20"/>
                <w:szCs w:val="20"/>
              </w:rPr>
              <w:t>12</w:t>
            </w:r>
          </w:p>
        </w:tc>
        <w:tc>
          <w:tcPr>
            <w:tcW w:w="8265" w:type="dxa"/>
            <w:hideMark/>
          </w:tcPr>
          <w:p w14:paraId="5E2B22DF" w14:textId="3E410CC0" w:rsidR="004106D5" w:rsidRPr="0021721D" w:rsidRDefault="004106D5" w:rsidP="00DD152F">
            <w:pPr>
              <w:spacing w:after="0" w:line="240" w:lineRule="auto"/>
              <w:rPr>
                <w:rFonts w:ascii="Arial" w:eastAsia="Times New Roman" w:hAnsi="Arial" w:cs="Arial"/>
                <w:sz w:val="20"/>
                <w:szCs w:val="20"/>
              </w:rPr>
            </w:pPr>
            <w:r w:rsidRPr="0021721D">
              <w:rPr>
                <w:rFonts w:ascii="Arial" w:eastAsia="Times New Roman" w:hAnsi="Arial" w:cs="Arial"/>
                <w:sz w:val="20"/>
                <w:szCs w:val="20"/>
              </w:rPr>
              <w:t xml:space="preserve">Percent of </w:t>
            </w:r>
            <w:r>
              <w:rPr>
                <w:rFonts w:ascii="Arial" w:eastAsia="Times New Roman" w:hAnsi="Arial" w:cs="Arial"/>
                <w:sz w:val="20"/>
                <w:szCs w:val="20"/>
              </w:rPr>
              <w:t>adolescents</w:t>
            </w:r>
            <w:r w:rsidR="00DD152F">
              <w:rPr>
                <w:rFonts w:ascii="Arial" w:eastAsia="Times New Roman" w:hAnsi="Arial" w:cs="Arial"/>
                <w:sz w:val="20"/>
                <w:szCs w:val="20"/>
              </w:rPr>
              <w:t xml:space="preserve"> </w:t>
            </w:r>
            <w:r w:rsidRPr="0021721D">
              <w:rPr>
                <w:rFonts w:ascii="Arial" w:eastAsia="Times New Roman" w:hAnsi="Arial" w:cs="Arial"/>
                <w:sz w:val="20"/>
                <w:szCs w:val="20"/>
              </w:rPr>
              <w:t>with and without special health care needs</w:t>
            </w:r>
            <w:r w:rsidR="005455A0">
              <w:rPr>
                <w:rFonts w:ascii="Arial" w:eastAsia="Times New Roman" w:hAnsi="Arial" w:cs="Arial"/>
                <w:sz w:val="20"/>
                <w:szCs w:val="20"/>
              </w:rPr>
              <w:t xml:space="preserve">, ages 12 through 17, who </w:t>
            </w:r>
            <w:r w:rsidRPr="0021721D">
              <w:rPr>
                <w:rFonts w:ascii="Arial" w:eastAsia="Times New Roman" w:hAnsi="Arial" w:cs="Arial"/>
                <w:sz w:val="20"/>
                <w:szCs w:val="20"/>
              </w:rPr>
              <w:t>received services necessary to make transitions to adult health care</w:t>
            </w:r>
          </w:p>
        </w:tc>
      </w:tr>
      <w:tr w:rsidR="004106D5" w:rsidRPr="0072000E" w14:paraId="45F8F2F7" w14:textId="77777777" w:rsidTr="000C7A5D">
        <w:trPr>
          <w:trHeight w:val="547"/>
        </w:trPr>
        <w:tc>
          <w:tcPr>
            <w:tcW w:w="619" w:type="dxa"/>
            <w:hideMark/>
          </w:tcPr>
          <w:p w14:paraId="7EE0C4CE" w14:textId="77777777" w:rsidR="004106D5" w:rsidRPr="0021721D" w:rsidRDefault="004106D5" w:rsidP="000C7A5D">
            <w:pPr>
              <w:spacing w:after="0" w:line="240" w:lineRule="auto"/>
              <w:rPr>
                <w:rFonts w:ascii="Arial" w:eastAsia="Times New Roman" w:hAnsi="Arial" w:cs="Arial"/>
                <w:sz w:val="20"/>
                <w:szCs w:val="20"/>
              </w:rPr>
            </w:pPr>
            <w:r w:rsidRPr="0021721D">
              <w:rPr>
                <w:rFonts w:ascii="Arial" w:eastAsia="Times New Roman" w:hAnsi="Arial" w:cs="Arial"/>
                <w:sz w:val="20"/>
                <w:szCs w:val="20"/>
              </w:rPr>
              <w:t>13</w:t>
            </w:r>
          </w:p>
        </w:tc>
        <w:tc>
          <w:tcPr>
            <w:tcW w:w="8265" w:type="dxa"/>
            <w:hideMark/>
          </w:tcPr>
          <w:p w14:paraId="3ED21175" w14:textId="611A1CA3" w:rsidR="005455A0" w:rsidRDefault="005455A0" w:rsidP="005455A0">
            <w:pPr>
              <w:spacing w:after="0" w:line="240" w:lineRule="auto"/>
              <w:rPr>
                <w:rFonts w:ascii="Arial" w:eastAsia="Times New Roman" w:hAnsi="Arial" w:cs="Arial"/>
                <w:sz w:val="20"/>
                <w:szCs w:val="20"/>
              </w:rPr>
            </w:pPr>
            <w:r>
              <w:rPr>
                <w:rFonts w:ascii="Arial" w:eastAsia="Times New Roman" w:hAnsi="Arial" w:cs="Arial"/>
                <w:sz w:val="20"/>
                <w:szCs w:val="20"/>
              </w:rPr>
              <w:t xml:space="preserve">13.1 </w:t>
            </w:r>
            <w:r w:rsidR="004106D5" w:rsidRPr="0021721D">
              <w:rPr>
                <w:rFonts w:ascii="Arial" w:eastAsia="Times New Roman" w:hAnsi="Arial" w:cs="Arial"/>
                <w:sz w:val="20"/>
                <w:szCs w:val="20"/>
              </w:rPr>
              <w:t>Percent of women who had a dental visit during pregnancy</w:t>
            </w:r>
            <w:r>
              <w:rPr>
                <w:rFonts w:ascii="Arial" w:eastAsia="Times New Roman" w:hAnsi="Arial" w:cs="Arial"/>
                <w:sz w:val="20"/>
                <w:szCs w:val="20"/>
              </w:rPr>
              <w:t>;</w:t>
            </w:r>
            <w:r w:rsidR="004106D5" w:rsidRPr="0021721D">
              <w:rPr>
                <w:rFonts w:ascii="Arial" w:eastAsia="Times New Roman" w:hAnsi="Arial" w:cs="Arial"/>
                <w:sz w:val="20"/>
                <w:szCs w:val="20"/>
              </w:rPr>
              <w:t xml:space="preserve"> and </w:t>
            </w:r>
          </w:p>
          <w:p w14:paraId="0FEB03AE" w14:textId="147D1B14" w:rsidR="004106D5" w:rsidRPr="0021721D" w:rsidRDefault="005455A0" w:rsidP="005455A0">
            <w:pPr>
              <w:spacing w:after="0" w:line="240" w:lineRule="auto"/>
              <w:ind w:left="438" w:hanging="438"/>
              <w:rPr>
                <w:rFonts w:ascii="Arial" w:eastAsia="Times New Roman" w:hAnsi="Arial" w:cs="Arial"/>
                <w:sz w:val="20"/>
                <w:szCs w:val="20"/>
              </w:rPr>
            </w:pPr>
            <w:r>
              <w:rPr>
                <w:rFonts w:ascii="Arial" w:eastAsia="Times New Roman" w:hAnsi="Arial" w:cs="Arial"/>
                <w:sz w:val="20"/>
                <w:szCs w:val="20"/>
              </w:rPr>
              <w:t xml:space="preserve">13.2 </w:t>
            </w:r>
            <w:r w:rsidR="004106D5">
              <w:rPr>
                <w:rFonts w:ascii="Arial" w:eastAsia="Times New Roman" w:hAnsi="Arial" w:cs="Arial"/>
                <w:sz w:val="20"/>
                <w:szCs w:val="20"/>
              </w:rPr>
              <w:t>Percent of children, ages 1 through</w:t>
            </w:r>
            <w:r w:rsidR="004106D5" w:rsidRPr="0021721D">
              <w:rPr>
                <w:rFonts w:ascii="Arial" w:eastAsia="Times New Roman" w:hAnsi="Arial" w:cs="Arial"/>
                <w:sz w:val="20"/>
                <w:szCs w:val="20"/>
              </w:rPr>
              <w:t xml:space="preserve"> </w:t>
            </w:r>
            <w:r w:rsidR="004106D5">
              <w:rPr>
                <w:rFonts w:ascii="Arial" w:eastAsia="Times New Roman" w:hAnsi="Arial" w:cs="Arial"/>
                <w:sz w:val="20"/>
                <w:szCs w:val="20"/>
              </w:rPr>
              <w:t>17</w:t>
            </w:r>
            <w:r w:rsidR="004106D5" w:rsidRPr="0021721D">
              <w:rPr>
                <w:rFonts w:ascii="Arial" w:eastAsia="Times New Roman" w:hAnsi="Arial" w:cs="Arial"/>
                <w:sz w:val="20"/>
                <w:szCs w:val="20"/>
              </w:rPr>
              <w:t xml:space="preserve">, who had a preventive dental visit in the </w:t>
            </w:r>
            <w:r w:rsidR="004106D5">
              <w:rPr>
                <w:rFonts w:ascii="Arial" w:eastAsia="Times New Roman" w:hAnsi="Arial" w:cs="Arial"/>
                <w:sz w:val="20"/>
                <w:szCs w:val="20"/>
              </w:rPr>
              <w:t>p</w:t>
            </w:r>
            <w:r w:rsidR="004106D5" w:rsidRPr="0021721D">
              <w:rPr>
                <w:rFonts w:ascii="Arial" w:eastAsia="Times New Roman" w:hAnsi="Arial" w:cs="Arial"/>
                <w:sz w:val="20"/>
                <w:szCs w:val="20"/>
              </w:rPr>
              <w:t xml:space="preserve">ast year </w:t>
            </w:r>
          </w:p>
        </w:tc>
      </w:tr>
      <w:tr w:rsidR="004106D5" w:rsidRPr="0072000E" w14:paraId="41F409B3" w14:textId="77777777" w:rsidTr="000C7A5D">
        <w:trPr>
          <w:trHeight w:val="547"/>
        </w:trPr>
        <w:tc>
          <w:tcPr>
            <w:tcW w:w="619" w:type="dxa"/>
            <w:hideMark/>
          </w:tcPr>
          <w:p w14:paraId="7A8DD5E1" w14:textId="77777777" w:rsidR="004106D5" w:rsidRPr="0021721D" w:rsidRDefault="004106D5" w:rsidP="000C7A5D">
            <w:pPr>
              <w:spacing w:after="0" w:line="240" w:lineRule="auto"/>
              <w:rPr>
                <w:rFonts w:ascii="Arial" w:eastAsia="Times New Roman" w:hAnsi="Arial" w:cs="Arial"/>
                <w:sz w:val="20"/>
                <w:szCs w:val="20"/>
              </w:rPr>
            </w:pPr>
            <w:r w:rsidRPr="0021721D">
              <w:rPr>
                <w:rFonts w:ascii="Arial" w:eastAsia="Times New Roman" w:hAnsi="Arial" w:cs="Arial"/>
                <w:sz w:val="20"/>
                <w:szCs w:val="20"/>
              </w:rPr>
              <w:t>14</w:t>
            </w:r>
          </w:p>
        </w:tc>
        <w:tc>
          <w:tcPr>
            <w:tcW w:w="8265" w:type="dxa"/>
            <w:hideMark/>
          </w:tcPr>
          <w:p w14:paraId="27B25488" w14:textId="77777777" w:rsidR="005455A0" w:rsidRDefault="005455A0" w:rsidP="005455A0">
            <w:pPr>
              <w:spacing w:after="0" w:line="240" w:lineRule="auto"/>
              <w:rPr>
                <w:rFonts w:ascii="Arial" w:eastAsia="Times New Roman" w:hAnsi="Arial" w:cs="Arial"/>
                <w:sz w:val="20"/>
                <w:szCs w:val="20"/>
              </w:rPr>
            </w:pPr>
            <w:r>
              <w:rPr>
                <w:rFonts w:ascii="Arial" w:eastAsia="Times New Roman" w:hAnsi="Arial" w:cs="Arial"/>
                <w:sz w:val="20"/>
                <w:szCs w:val="20"/>
              </w:rPr>
              <w:t xml:space="preserve">14.1 </w:t>
            </w:r>
            <w:r w:rsidR="004106D5" w:rsidRPr="0021721D">
              <w:rPr>
                <w:rFonts w:ascii="Arial" w:eastAsia="Times New Roman" w:hAnsi="Arial" w:cs="Arial"/>
                <w:sz w:val="20"/>
                <w:szCs w:val="20"/>
              </w:rPr>
              <w:t>Percent of women who smoke during pregnancy</w:t>
            </w:r>
            <w:r>
              <w:rPr>
                <w:rFonts w:ascii="Arial" w:eastAsia="Times New Roman" w:hAnsi="Arial" w:cs="Arial"/>
                <w:sz w:val="20"/>
                <w:szCs w:val="20"/>
              </w:rPr>
              <w:t>;</w:t>
            </w:r>
            <w:r w:rsidR="004106D5" w:rsidRPr="0021721D">
              <w:rPr>
                <w:rFonts w:ascii="Arial" w:eastAsia="Times New Roman" w:hAnsi="Arial" w:cs="Arial"/>
                <w:sz w:val="20"/>
                <w:szCs w:val="20"/>
              </w:rPr>
              <w:t xml:space="preserve"> and</w:t>
            </w:r>
            <w:r>
              <w:rPr>
                <w:rFonts w:ascii="Arial" w:eastAsia="Times New Roman" w:hAnsi="Arial" w:cs="Arial"/>
                <w:sz w:val="20"/>
                <w:szCs w:val="20"/>
              </w:rPr>
              <w:t xml:space="preserve"> </w:t>
            </w:r>
          </w:p>
          <w:p w14:paraId="2E530503" w14:textId="10C8F9BA" w:rsidR="004106D5" w:rsidRPr="0021721D" w:rsidRDefault="00DD152F" w:rsidP="00DD152F">
            <w:pPr>
              <w:spacing w:after="0" w:line="240" w:lineRule="auto"/>
              <w:rPr>
                <w:rFonts w:ascii="Arial" w:eastAsia="Times New Roman" w:hAnsi="Arial" w:cs="Arial"/>
                <w:sz w:val="20"/>
                <w:szCs w:val="20"/>
              </w:rPr>
            </w:pPr>
            <w:r>
              <w:rPr>
                <w:rFonts w:ascii="Arial" w:eastAsia="Times New Roman" w:hAnsi="Arial" w:cs="Arial"/>
                <w:sz w:val="20"/>
                <w:szCs w:val="20"/>
              </w:rPr>
              <w:t xml:space="preserve">14.2 </w:t>
            </w:r>
            <w:r w:rsidR="004106D5" w:rsidRPr="0021721D">
              <w:rPr>
                <w:rFonts w:ascii="Arial" w:eastAsia="Times New Roman" w:hAnsi="Arial" w:cs="Arial"/>
                <w:sz w:val="20"/>
                <w:szCs w:val="20"/>
              </w:rPr>
              <w:t>Percent of children</w:t>
            </w:r>
            <w:r>
              <w:rPr>
                <w:rFonts w:ascii="Arial" w:eastAsia="Times New Roman" w:hAnsi="Arial" w:cs="Arial"/>
                <w:sz w:val="20"/>
                <w:szCs w:val="20"/>
              </w:rPr>
              <w:t xml:space="preserve">, ages 0 through 17, </w:t>
            </w:r>
            <w:r w:rsidR="004106D5" w:rsidRPr="0021721D">
              <w:rPr>
                <w:rFonts w:ascii="Arial" w:eastAsia="Times New Roman" w:hAnsi="Arial" w:cs="Arial"/>
                <w:sz w:val="20"/>
                <w:szCs w:val="20"/>
              </w:rPr>
              <w:t>who live in households where someone smokes</w:t>
            </w:r>
          </w:p>
        </w:tc>
      </w:tr>
      <w:tr w:rsidR="004106D5" w:rsidRPr="0072000E" w14:paraId="30012A81" w14:textId="77777777" w:rsidTr="000C7A5D">
        <w:trPr>
          <w:trHeight w:val="347"/>
        </w:trPr>
        <w:tc>
          <w:tcPr>
            <w:tcW w:w="619" w:type="dxa"/>
            <w:hideMark/>
          </w:tcPr>
          <w:p w14:paraId="4A24E80D" w14:textId="77777777" w:rsidR="004106D5" w:rsidRPr="0021721D" w:rsidRDefault="004106D5" w:rsidP="000C7A5D">
            <w:pPr>
              <w:spacing w:after="0" w:line="240" w:lineRule="auto"/>
              <w:rPr>
                <w:rFonts w:ascii="Arial" w:eastAsia="Times New Roman" w:hAnsi="Arial" w:cs="Arial"/>
                <w:sz w:val="20"/>
                <w:szCs w:val="20"/>
              </w:rPr>
            </w:pPr>
            <w:r w:rsidRPr="0021721D">
              <w:rPr>
                <w:rFonts w:ascii="Arial" w:eastAsia="Times New Roman" w:hAnsi="Arial" w:cs="Arial"/>
                <w:sz w:val="20"/>
                <w:szCs w:val="20"/>
              </w:rPr>
              <w:t>15</w:t>
            </w:r>
          </w:p>
        </w:tc>
        <w:tc>
          <w:tcPr>
            <w:tcW w:w="8265" w:type="dxa"/>
            <w:hideMark/>
          </w:tcPr>
          <w:p w14:paraId="04E71444" w14:textId="1F8666BF" w:rsidR="004106D5" w:rsidRPr="0021721D" w:rsidRDefault="004106D5" w:rsidP="00DD152F">
            <w:pPr>
              <w:spacing w:after="0" w:line="240" w:lineRule="auto"/>
              <w:rPr>
                <w:rFonts w:ascii="Arial" w:eastAsia="Times New Roman" w:hAnsi="Arial" w:cs="Arial"/>
                <w:sz w:val="20"/>
                <w:szCs w:val="20"/>
              </w:rPr>
            </w:pPr>
            <w:r w:rsidRPr="0021721D">
              <w:rPr>
                <w:rFonts w:ascii="Arial" w:eastAsia="Times New Roman" w:hAnsi="Arial" w:cs="Arial"/>
                <w:sz w:val="20"/>
                <w:szCs w:val="20"/>
              </w:rPr>
              <w:t>Percent of children</w:t>
            </w:r>
            <w:r w:rsidR="00DD152F">
              <w:rPr>
                <w:rFonts w:ascii="Arial" w:eastAsia="Times New Roman" w:hAnsi="Arial" w:cs="Arial"/>
                <w:sz w:val="20"/>
                <w:szCs w:val="20"/>
              </w:rPr>
              <w:t xml:space="preserve">, ages 0 through 17, </w:t>
            </w:r>
            <w:r w:rsidRPr="0021721D">
              <w:rPr>
                <w:rFonts w:ascii="Arial" w:eastAsia="Times New Roman" w:hAnsi="Arial" w:cs="Arial"/>
                <w:sz w:val="20"/>
                <w:szCs w:val="20"/>
              </w:rPr>
              <w:t xml:space="preserve">who are </w:t>
            </w:r>
            <w:r w:rsidR="00DD152F">
              <w:rPr>
                <w:rFonts w:ascii="Arial" w:eastAsia="Times New Roman" w:hAnsi="Arial" w:cs="Arial"/>
                <w:sz w:val="20"/>
                <w:szCs w:val="20"/>
              </w:rPr>
              <w:t xml:space="preserve">continuously and </w:t>
            </w:r>
            <w:r w:rsidRPr="0021721D">
              <w:rPr>
                <w:rFonts w:ascii="Arial" w:eastAsia="Times New Roman" w:hAnsi="Arial" w:cs="Arial"/>
                <w:sz w:val="20"/>
                <w:szCs w:val="20"/>
              </w:rPr>
              <w:t>adequately insured</w:t>
            </w:r>
          </w:p>
        </w:tc>
      </w:tr>
    </w:tbl>
    <w:p w14:paraId="37C85A60" w14:textId="77777777" w:rsidR="004106D5" w:rsidRDefault="004106D5" w:rsidP="004106D5">
      <w:pPr>
        <w:spacing w:after="0" w:line="240" w:lineRule="auto"/>
        <w:rPr>
          <w:rFonts w:ascii="Arial" w:hAnsi="Arial" w:cs="Arial"/>
          <w:sz w:val="28"/>
          <w:szCs w:val="28"/>
        </w:rPr>
      </w:pPr>
    </w:p>
    <w:p w14:paraId="1C3FE19B" w14:textId="77777777" w:rsidR="004106D5" w:rsidRDefault="004106D5" w:rsidP="004106D5">
      <w:pPr>
        <w:spacing w:after="0" w:line="240" w:lineRule="auto"/>
        <w:rPr>
          <w:rFonts w:ascii="Arial" w:hAnsi="Arial" w:cs="Arial"/>
          <w:sz w:val="28"/>
          <w:szCs w:val="28"/>
        </w:rPr>
      </w:pPr>
      <w:r>
        <w:rPr>
          <w:rFonts w:ascii="Arial" w:hAnsi="Arial" w:cs="Arial"/>
          <w:sz w:val="28"/>
          <w:szCs w:val="28"/>
        </w:rPr>
        <w:br w:type="page"/>
      </w:r>
    </w:p>
    <w:tbl>
      <w:tblPr>
        <w:tblW w:w="0" w:type="auto"/>
        <w:tblLook w:val="04A0" w:firstRow="1" w:lastRow="0" w:firstColumn="1" w:lastColumn="0" w:noHBand="0" w:noVBand="1"/>
      </w:tblPr>
      <w:tblGrid>
        <w:gridCol w:w="3618"/>
        <w:gridCol w:w="5868"/>
      </w:tblGrid>
      <w:tr w:rsidR="004106D5" w:rsidRPr="003F48A1" w14:paraId="699609B0" w14:textId="77777777" w:rsidTr="000C7A5D">
        <w:tc>
          <w:tcPr>
            <w:tcW w:w="3618" w:type="dxa"/>
            <w:shd w:val="clear" w:color="auto" w:fill="auto"/>
          </w:tcPr>
          <w:p w14:paraId="59BEAAC8" w14:textId="77777777" w:rsidR="004106D5" w:rsidRPr="00531366" w:rsidRDefault="004106D5" w:rsidP="000C7A5D">
            <w:pPr>
              <w:spacing w:after="0" w:line="240" w:lineRule="auto"/>
              <w:ind w:left="-90"/>
              <w:rPr>
                <w:rFonts w:ascii="Arial" w:hAnsi="Arial" w:cs="Arial"/>
                <w:b/>
                <w:sz w:val="24"/>
                <w:szCs w:val="24"/>
              </w:rPr>
            </w:pPr>
            <w:r w:rsidRPr="00531366">
              <w:rPr>
                <w:rFonts w:ascii="Arial" w:hAnsi="Arial" w:cs="Arial"/>
                <w:b/>
                <w:sz w:val="24"/>
                <w:szCs w:val="24"/>
              </w:rPr>
              <w:t xml:space="preserve">PERFORMANCE MEASURE </w:t>
            </w:r>
            <w:r w:rsidRPr="00531366">
              <w:rPr>
                <w:rFonts w:ascii="Arial" w:hAnsi="Arial" w:cs="Arial"/>
                <w:b/>
                <w:noProof/>
                <w:sz w:val="24"/>
                <w:szCs w:val="24"/>
              </w:rPr>
              <w:t>1</w:t>
            </w:r>
          </w:p>
        </w:tc>
        <w:tc>
          <w:tcPr>
            <w:tcW w:w="5868" w:type="dxa"/>
            <w:shd w:val="clear" w:color="auto" w:fill="auto"/>
          </w:tcPr>
          <w:p w14:paraId="02AAB2B2" w14:textId="354B3723" w:rsidR="004106D5" w:rsidRPr="00531366" w:rsidRDefault="004106D5" w:rsidP="002A4CA1">
            <w:pPr>
              <w:spacing w:after="0" w:line="240" w:lineRule="auto"/>
              <w:rPr>
                <w:rFonts w:ascii="Arial" w:hAnsi="Arial" w:cs="Arial"/>
                <w:b/>
                <w:sz w:val="24"/>
                <w:szCs w:val="24"/>
              </w:rPr>
            </w:pPr>
            <w:r w:rsidRPr="00531366">
              <w:rPr>
                <w:rFonts w:ascii="Arial" w:hAnsi="Arial" w:cs="Arial"/>
                <w:b/>
                <w:noProof/>
                <w:sz w:val="24"/>
                <w:szCs w:val="24"/>
              </w:rPr>
              <w:t>Percent of women</w:t>
            </w:r>
            <w:r w:rsidR="002A4CA1">
              <w:rPr>
                <w:rFonts w:ascii="Arial" w:hAnsi="Arial" w:cs="Arial"/>
                <w:b/>
                <w:noProof/>
                <w:sz w:val="24"/>
                <w:szCs w:val="24"/>
              </w:rPr>
              <w:t>, ages 18 through 44,</w:t>
            </w:r>
            <w:r w:rsidRPr="00531366">
              <w:rPr>
                <w:rFonts w:ascii="Arial" w:hAnsi="Arial" w:cs="Arial"/>
                <w:b/>
                <w:noProof/>
                <w:sz w:val="24"/>
                <w:szCs w:val="24"/>
              </w:rPr>
              <w:t xml:space="preserve"> with a preventive</w:t>
            </w:r>
            <w:r>
              <w:rPr>
                <w:rFonts w:ascii="Arial" w:hAnsi="Arial" w:cs="Arial"/>
                <w:b/>
                <w:noProof/>
                <w:sz w:val="24"/>
                <w:szCs w:val="24"/>
              </w:rPr>
              <w:t xml:space="preserve"> medical</w:t>
            </w:r>
            <w:r w:rsidRPr="00531366">
              <w:rPr>
                <w:rFonts w:ascii="Arial" w:hAnsi="Arial" w:cs="Arial"/>
                <w:b/>
                <w:noProof/>
                <w:sz w:val="24"/>
                <w:szCs w:val="24"/>
              </w:rPr>
              <w:t xml:space="preserve"> visit</w:t>
            </w:r>
            <w:r w:rsidR="002A4CA1">
              <w:rPr>
                <w:rFonts w:ascii="Arial" w:hAnsi="Arial" w:cs="Arial"/>
                <w:b/>
                <w:noProof/>
                <w:sz w:val="24"/>
                <w:szCs w:val="24"/>
              </w:rPr>
              <w:t xml:space="preserve"> in the past year</w:t>
            </w:r>
          </w:p>
        </w:tc>
      </w:tr>
    </w:tbl>
    <w:p w14:paraId="3BFE9987" w14:textId="77777777" w:rsidR="004106D5" w:rsidRDefault="004106D5" w:rsidP="004106D5">
      <w:pPr>
        <w:spacing w:after="0" w:line="240" w:lineRule="auto"/>
      </w:pPr>
    </w:p>
    <w:p w14:paraId="3154B2CD" w14:textId="77777777" w:rsidR="004106D5" w:rsidRDefault="004106D5" w:rsidP="004106D5">
      <w:pPr>
        <w:spacing w:after="0" w:line="240" w:lineRule="auto"/>
      </w:pPr>
      <w:r>
        <w:rPr>
          <w:noProof/>
        </w:rPr>
        <mc:AlternateContent>
          <mc:Choice Requires="wps">
            <w:drawing>
              <wp:anchor distT="4294967295" distB="4294967295" distL="114300" distR="114300" simplePos="0" relativeHeight="251792384" behindDoc="0" locked="0" layoutInCell="1" allowOverlap="1" wp14:anchorId="4EAE6E7F" wp14:editId="14D1D67B">
                <wp:simplePos x="0" y="0"/>
                <wp:positionH relativeFrom="column">
                  <wp:posOffset>-60960</wp:posOffset>
                </wp:positionH>
                <wp:positionV relativeFrom="paragraph">
                  <wp:posOffset>31749</wp:posOffset>
                </wp:positionV>
                <wp:extent cx="6088380" cy="0"/>
                <wp:effectExtent l="0" t="0" r="26670" b="19050"/>
                <wp:wrapNone/>
                <wp:docPr id="2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EE3CF77" id="Straight Connector 1" o:spid="_x0000_s1026" style="position:absolute;z-index:251792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" strokecolor="windowText" strokeweight="1.75pt">
                <o:lock v:ext="edit" shapetype="f"/>
              </v:line>
            </w:pict>
          </mc:Fallback>
        </mc:AlternateContent>
      </w:r>
    </w:p>
    <w:tbl>
      <w:tblPr>
        <w:tblW w:w="0" w:type="auto"/>
        <w:tblLook w:val="04A0" w:firstRow="1" w:lastRow="0" w:firstColumn="1" w:lastColumn="0" w:noHBand="0" w:noVBand="1"/>
      </w:tblPr>
      <w:tblGrid>
        <w:gridCol w:w="3618"/>
        <w:gridCol w:w="3384"/>
        <w:gridCol w:w="2556"/>
      </w:tblGrid>
      <w:tr w:rsidR="004106D5" w:rsidRPr="00515E1C" w14:paraId="174C6525" w14:textId="77777777" w:rsidTr="000C7A5D">
        <w:tc>
          <w:tcPr>
            <w:tcW w:w="3618" w:type="dxa"/>
            <w:shd w:val="clear" w:color="auto" w:fill="auto"/>
          </w:tcPr>
          <w:p w14:paraId="195C2563"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GOAL</w:t>
            </w:r>
          </w:p>
        </w:tc>
        <w:tc>
          <w:tcPr>
            <w:tcW w:w="5940" w:type="dxa"/>
            <w:gridSpan w:val="2"/>
            <w:shd w:val="clear" w:color="auto" w:fill="auto"/>
          </w:tcPr>
          <w:p w14:paraId="7F13024E" w14:textId="50C8C53C" w:rsidR="004106D5" w:rsidRPr="00531366" w:rsidRDefault="004106D5" w:rsidP="00FB0985">
            <w:pPr>
              <w:spacing w:after="0" w:line="240" w:lineRule="auto"/>
              <w:rPr>
                <w:rFonts w:ascii="Arial" w:hAnsi="Arial" w:cs="Arial"/>
                <w:sz w:val="20"/>
                <w:szCs w:val="20"/>
              </w:rPr>
            </w:pPr>
            <w:r w:rsidRPr="00531366">
              <w:rPr>
                <w:rFonts w:ascii="Arial" w:hAnsi="Arial" w:cs="Arial"/>
                <w:noProof/>
                <w:sz w:val="20"/>
                <w:szCs w:val="20"/>
              </w:rPr>
              <w:t xml:space="preserve">To increase the </w:t>
            </w:r>
            <w:r w:rsidR="00FB0985">
              <w:rPr>
                <w:rFonts w:ascii="Arial" w:hAnsi="Arial" w:cs="Arial"/>
                <w:noProof/>
                <w:sz w:val="20"/>
                <w:szCs w:val="20"/>
              </w:rPr>
              <w:t>percent</w:t>
            </w:r>
            <w:r w:rsidRPr="00531366">
              <w:rPr>
                <w:rFonts w:ascii="Arial" w:hAnsi="Arial" w:cs="Arial"/>
                <w:noProof/>
                <w:sz w:val="20"/>
                <w:szCs w:val="20"/>
              </w:rPr>
              <w:t xml:space="preserve"> of women who have a</w:t>
            </w:r>
            <w:r>
              <w:rPr>
                <w:rFonts w:ascii="Arial" w:hAnsi="Arial" w:cs="Arial"/>
                <w:noProof/>
                <w:sz w:val="20"/>
                <w:szCs w:val="20"/>
              </w:rPr>
              <w:t>n annual</w:t>
            </w:r>
            <w:r w:rsidRPr="00531366">
              <w:rPr>
                <w:rFonts w:ascii="Arial" w:hAnsi="Arial" w:cs="Arial"/>
                <w:noProof/>
                <w:sz w:val="20"/>
                <w:szCs w:val="20"/>
              </w:rPr>
              <w:t xml:space="preserve"> preventive </w:t>
            </w:r>
            <w:r>
              <w:rPr>
                <w:rFonts w:ascii="Arial" w:hAnsi="Arial" w:cs="Arial"/>
                <w:noProof/>
                <w:sz w:val="20"/>
                <w:szCs w:val="20"/>
              </w:rPr>
              <w:t xml:space="preserve">medical </w:t>
            </w:r>
            <w:r w:rsidRPr="00531366">
              <w:rPr>
                <w:rFonts w:ascii="Arial" w:hAnsi="Arial" w:cs="Arial"/>
                <w:noProof/>
                <w:sz w:val="20"/>
                <w:szCs w:val="20"/>
              </w:rPr>
              <w:t>visit.</w:t>
            </w:r>
          </w:p>
        </w:tc>
      </w:tr>
      <w:tr w:rsidR="004106D5" w:rsidRPr="00515E1C" w14:paraId="4674FB96" w14:textId="77777777" w:rsidTr="000C7A5D">
        <w:tc>
          <w:tcPr>
            <w:tcW w:w="3618" w:type="dxa"/>
            <w:shd w:val="clear" w:color="auto" w:fill="auto"/>
          </w:tcPr>
          <w:p w14:paraId="68D10B30"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36A72CF8" w14:textId="77777777" w:rsidR="004106D5" w:rsidRPr="00531366" w:rsidRDefault="004106D5" w:rsidP="000C7A5D">
            <w:pPr>
              <w:spacing w:after="0" w:line="240" w:lineRule="auto"/>
              <w:rPr>
                <w:rFonts w:ascii="Arial" w:hAnsi="Arial" w:cs="Arial"/>
                <w:sz w:val="20"/>
                <w:szCs w:val="20"/>
              </w:rPr>
            </w:pPr>
          </w:p>
        </w:tc>
      </w:tr>
      <w:tr w:rsidR="004106D5" w:rsidRPr="00515E1C" w14:paraId="051BC783" w14:textId="77777777" w:rsidTr="000C7A5D">
        <w:tc>
          <w:tcPr>
            <w:tcW w:w="3618" w:type="dxa"/>
            <w:shd w:val="clear" w:color="auto" w:fill="auto"/>
          </w:tcPr>
          <w:p w14:paraId="10E48D00"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DEFINITION</w:t>
            </w:r>
          </w:p>
        </w:tc>
        <w:tc>
          <w:tcPr>
            <w:tcW w:w="5940" w:type="dxa"/>
            <w:gridSpan w:val="2"/>
            <w:shd w:val="clear" w:color="auto" w:fill="auto"/>
          </w:tcPr>
          <w:p w14:paraId="2B01F4DF"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Numerator:</w:t>
            </w:r>
          </w:p>
        </w:tc>
      </w:tr>
      <w:tr w:rsidR="004106D5" w:rsidRPr="00515E1C" w14:paraId="25A9ADA1" w14:textId="77777777" w:rsidTr="000C7A5D">
        <w:tc>
          <w:tcPr>
            <w:tcW w:w="3618" w:type="dxa"/>
            <w:shd w:val="clear" w:color="auto" w:fill="auto"/>
          </w:tcPr>
          <w:p w14:paraId="15C19E6C"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3FE740B1" w14:textId="77777777" w:rsidR="004106D5" w:rsidRPr="00531366" w:rsidRDefault="004106D5" w:rsidP="000C7A5D">
            <w:pPr>
              <w:spacing w:after="0" w:line="240" w:lineRule="auto"/>
              <w:rPr>
                <w:rFonts w:ascii="Arial" w:hAnsi="Arial" w:cs="Arial"/>
                <w:sz w:val="20"/>
                <w:szCs w:val="20"/>
              </w:rPr>
            </w:pPr>
            <w:r>
              <w:rPr>
                <w:rFonts w:ascii="Arial" w:hAnsi="Arial" w:cs="Arial"/>
                <w:noProof/>
                <w:sz w:val="20"/>
                <w:szCs w:val="20"/>
              </w:rPr>
              <w:t>Number of w</w:t>
            </w:r>
            <w:r w:rsidRPr="00531366">
              <w:rPr>
                <w:rFonts w:ascii="Arial" w:hAnsi="Arial" w:cs="Arial"/>
                <w:noProof/>
                <w:sz w:val="20"/>
                <w:szCs w:val="20"/>
              </w:rPr>
              <w:t>omen</w:t>
            </w:r>
            <w:r>
              <w:rPr>
                <w:rFonts w:ascii="Arial" w:hAnsi="Arial" w:cs="Arial"/>
                <w:noProof/>
                <w:sz w:val="20"/>
                <w:szCs w:val="20"/>
              </w:rPr>
              <w:t xml:space="preserve">, </w:t>
            </w:r>
            <w:r w:rsidRPr="00531366">
              <w:rPr>
                <w:rFonts w:ascii="Arial" w:hAnsi="Arial" w:cs="Arial"/>
                <w:noProof/>
                <w:sz w:val="20"/>
                <w:szCs w:val="20"/>
              </w:rPr>
              <w:t>ages 18</w:t>
            </w:r>
            <w:r>
              <w:rPr>
                <w:rFonts w:ascii="Arial" w:hAnsi="Arial" w:cs="Arial"/>
                <w:noProof/>
                <w:sz w:val="20"/>
                <w:szCs w:val="20"/>
              </w:rPr>
              <w:t xml:space="preserve"> through </w:t>
            </w:r>
            <w:r w:rsidRPr="00531366">
              <w:rPr>
                <w:rFonts w:ascii="Arial" w:hAnsi="Arial" w:cs="Arial"/>
                <w:noProof/>
                <w:sz w:val="20"/>
                <w:szCs w:val="20"/>
              </w:rPr>
              <w:t>44</w:t>
            </w:r>
            <w:r>
              <w:rPr>
                <w:rFonts w:ascii="Arial" w:hAnsi="Arial" w:cs="Arial"/>
                <w:noProof/>
                <w:sz w:val="20"/>
                <w:szCs w:val="20"/>
              </w:rPr>
              <w:t>,</w:t>
            </w:r>
            <w:r w:rsidRPr="00531366">
              <w:rPr>
                <w:rFonts w:ascii="Arial" w:hAnsi="Arial" w:cs="Arial"/>
                <w:noProof/>
                <w:sz w:val="20"/>
                <w:szCs w:val="20"/>
              </w:rPr>
              <w:t xml:space="preserve"> who </w:t>
            </w:r>
            <w:r>
              <w:rPr>
                <w:rFonts w:ascii="Arial" w:hAnsi="Arial" w:cs="Arial"/>
                <w:sz w:val="20"/>
                <w:szCs w:val="20"/>
              </w:rPr>
              <w:t xml:space="preserve">had a preventive </w:t>
            </w:r>
            <w:r>
              <w:rPr>
                <w:rFonts w:ascii="Arial" w:hAnsi="Arial" w:cs="Arial"/>
                <w:bCs/>
                <w:sz w:val="20"/>
                <w:szCs w:val="20"/>
              </w:rPr>
              <w:t>medical</w:t>
            </w:r>
            <w:r>
              <w:rPr>
                <w:rFonts w:ascii="Arial" w:hAnsi="Arial" w:cs="Arial"/>
                <w:sz w:val="20"/>
                <w:szCs w:val="20"/>
              </w:rPr>
              <w:t xml:space="preserve"> visit in the past year</w:t>
            </w:r>
          </w:p>
        </w:tc>
      </w:tr>
      <w:tr w:rsidR="004106D5" w:rsidRPr="00515E1C" w14:paraId="16EDE0E1" w14:textId="77777777" w:rsidTr="000C7A5D">
        <w:tc>
          <w:tcPr>
            <w:tcW w:w="3618" w:type="dxa"/>
            <w:shd w:val="clear" w:color="auto" w:fill="auto"/>
          </w:tcPr>
          <w:p w14:paraId="7976BF78"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5B9C5175" w14:textId="77777777" w:rsidR="004106D5" w:rsidRPr="00531366" w:rsidRDefault="004106D5" w:rsidP="000C7A5D">
            <w:pPr>
              <w:spacing w:after="0" w:line="240" w:lineRule="auto"/>
              <w:rPr>
                <w:rFonts w:ascii="Arial" w:hAnsi="Arial" w:cs="Arial"/>
                <w:sz w:val="20"/>
                <w:szCs w:val="20"/>
              </w:rPr>
            </w:pPr>
          </w:p>
        </w:tc>
      </w:tr>
      <w:tr w:rsidR="004106D5" w:rsidRPr="00515E1C" w14:paraId="1C1857C5" w14:textId="77777777" w:rsidTr="000C7A5D">
        <w:tc>
          <w:tcPr>
            <w:tcW w:w="3618" w:type="dxa"/>
            <w:shd w:val="clear" w:color="auto" w:fill="auto"/>
          </w:tcPr>
          <w:p w14:paraId="3ED8D661"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1FA51B63"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Denominator:</w:t>
            </w:r>
          </w:p>
        </w:tc>
      </w:tr>
      <w:tr w:rsidR="004106D5" w:rsidRPr="00515E1C" w14:paraId="7B336BFB" w14:textId="77777777" w:rsidTr="000C7A5D">
        <w:tc>
          <w:tcPr>
            <w:tcW w:w="3618" w:type="dxa"/>
            <w:shd w:val="clear" w:color="auto" w:fill="auto"/>
          </w:tcPr>
          <w:p w14:paraId="6CEBD9E2"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2F12B195" w14:textId="77777777" w:rsidR="004106D5" w:rsidRPr="00531366" w:rsidRDefault="004106D5" w:rsidP="000C7A5D">
            <w:pPr>
              <w:spacing w:after="0" w:line="240" w:lineRule="auto"/>
              <w:rPr>
                <w:rFonts w:ascii="Arial" w:hAnsi="Arial" w:cs="Arial"/>
                <w:sz w:val="20"/>
                <w:szCs w:val="20"/>
              </w:rPr>
            </w:pPr>
            <w:r>
              <w:rPr>
                <w:rFonts w:ascii="Arial" w:hAnsi="Arial" w:cs="Arial"/>
                <w:noProof/>
                <w:sz w:val="20"/>
                <w:szCs w:val="20"/>
              </w:rPr>
              <w:t>Number of w</w:t>
            </w:r>
            <w:r w:rsidRPr="00531366">
              <w:rPr>
                <w:rFonts w:ascii="Arial" w:hAnsi="Arial" w:cs="Arial"/>
                <w:noProof/>
                <w:sz w:val="20"/>
                <w:szCs w:val="20"/>
              </w:rPr>
              <w:t>omen, ages 18</w:t>
            </w:r>
            <w:r>
              <w:rPr>
                <w:rFonts w:ascii="Arial" w:hAnsi="Arial" w:cs="Arial"/>
                <w:noProof/>
                <w:sz w:val="20"/>
                <w:szCs w:val="20"/>
              </w:rPr>
              <w:t xml:space="preserve"> through </w:t>
            </w:r>
            <w:r w:rsidRPr="00531366">
              <w:rPr>
                <w:rFonts w:ascii="Arial" w:hAnsi="Arial" w:cs="Arial"/>
                <w:noProof/>
                <w:sz w:val="20"/>
                <w:szCs w:val="20"/>
              </w:rPr>
              <w:t>44</w:t>
            </w:r>
          </w:p>
        </w:tc>
      </w:tr>
      <w:tr w:rsidR="004106D5" w:rsidRPr="00515E1C" w14:paraId="5D0F79B5" w14:textId="77777777" w:rsidTr="000C7A5D">
        <w:tc>
          <w:tcPr>
            <w:tcW w:w="3618" w:type="dxa"/>
            <w:shd w:val="clear" w:color="auto" w:fill="auto"/>
          </w:tcPr>
          <w:p w14:paraId="7EC267A1"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030E779D" w14:textId="77777777" w:rsidR="004106D5" w:rsidRPr="00531366" w:rsidRDefault="004106D5" w:rsidP="000C7A5D">
            <w:pPr>
              <w:spacing w:after="0" w:line="240" w:lineRule="auto"/>
              <w:rPr>
                <w:rFonts w:ascii="Arial" w:hAnsi="Arial" w:cs="Arial"/>
                <w:sz w:val="20"/>
                <w:szCs w:val="20"/>
              </w:rPr>
            </w:pPr>
          </w:p>
        </w:tc>
      </w:tr>
      <w:tr w:rsidR="004106D5" w:rsidRPr="00515E1C" w14:paraId="3DBB0CBF" w14:textId="77777777" w:rsidTr="000C7A5D">
        <w:tc>
          <w:tcPr>
            <w:tcW w:w="3618" w:type="dxa"/>
            <w:shd w:val="clear" w:color="auto" w:fill="auto"/>
          </w:tcPr>
          <w:p w14:paraId="35BCED06" w14:textId="77777777" w:rsidR="004106D5" w:rsidRPr="00531366" w:rsidRDefault="004106D5" w:rsidP="000C7A5D">
            <w:pPr>
              <w:spacing w:after="0" w:line="240" w:lineRule="auto"/>
              <w:rPr>
                <w:rFonts w:ascii="Arial" w:hAnsi="Arial" w:cs="Arial"/>
                <w:b/>
                <w:sz w:val="20"/>
                <w:szCs w:val="20"/>
              </w:rPr>
            </w:pPr>
          </w:p>
        </w:tc>
        <w:tc>
          <w:tcPr>
            <w:tcW w:w="3384" w:type="dxa"/>
            <w:shd w:val="clear" w:color="auto" w:fill="auto"/>
          </w:tcPr>
          <w:p w14:paraId="2BDDC89C"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b/>
                <w:sz w:val="20"/>
                <w:szCs w:val="20"/>
              </w:rPr>
              <w:t>Units:</w:t>
            </w:r>
            <w:r w:rsidRPr="00531366">
              <w:rPr>
                <w:rFonts w:ascii="Arial" w:hAnsi="Arial" w:cs="Arial"/>
                <w:sz w:val="20"/>
                <w:szCs w:val="20"/>
              </w:rPr>
              <w:t xml:space="preserve"> </w:t>
            </w:r>
            <w:r w:rsidRPr="00531366">
              <w:rPr>
                <w:rFonts w:ascii="Arial" w:hAnsi="Arial" w:cs="Arial"/>
                <w:noProof/>
                <w:sz w:val="20"/>
                <w:szCs w:val="20"/>
              </w:rPr>
              <w:t>100</w:t>
            </w:r>
          </w:p>
        </w:tc>
        <w:tc>
          <w:tcPr>
            <w:tcW w:w="2556" w:type="dxa"/>
            <w:shd w:val="clear" w:color="auto" w:fill="auto"/>
          </w:tcPr>
          <w:p w14:paraId="7665E2CF"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b/>
                <w:sz w:val="20"/>
                <w:szCs w:val="20"/>
              </w:rPr>
              <w:t>Text:</w:t>
            </w:r>
            <w:r w:rsidRPr="00531366">
              <w:rPr>
                <w:rFonts w:ascii="Arial" w:hAnsi="Arial" w:cs="Arial"/>
                <w:sz w:val="20"/>
                <w:szCs w:val="20"/>
              </w:rPr>
              <w:t xml:space="preserve"> </w:t>
            </w:r>
            <w:r w:rsidRPr="00531366">
              <w:rPr>
                <w:rFonts w:ascii="Arial" w:hAnsi="Arial" w:cs="Arial"/>
                <w:noProof/>
                <w:sz w:val="20"/>
                <w:szCs w:val="20"/>
              </w:rPr>
              <w:t>Percent</w:t>
            </w:r>
          </w:p>
        </w:tc>
      </w:tr>
      <w:tr w:rsidR="004106D5" w:rsidRPr="00515E1C" w14:paraId="189521E8" w14:textId="77777777" w:rsidTr="000C7A5D">
        <w:tc>
          <w:tcPr>
            <w:tcW w:w="3618" w:type="dxa"/>
            <w:shd w:val="clear" w:color="auto" w:fill="auto"/>
          </w:tcPr>
          <w:p w14:paraId="4BE4C471"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225100B7" w14:textId="77777777" w:rsidR="004106D5" w:rsidRPr="00531366" w:rsidRDefault="004106D5" w:rsidP="000C7A5D">
            <w:pPr>
              <w:spacing w:after="0" w:line="240" w:lineRule="auto"/>
              <w:rPr>
                <w:rFonts w:ascii="Arial" w:hAnsi="Arial" w:cs="Arial"/>
                <w:sz w:val="20"/>
                <w:szCs w:val="20"/>
              </w:rPr>
            </w:pPr>
          </w:p>
        </w:tc>
      </w:tr>
      <w:tr w:rsidR="004106D5" w:rsidRPr="00515E1C" w14:paraId="6ACB4276" w14:textId="77777777" w:rsidTr="000C7A5D">
        <w:tc>
          <w:tcPr>
            <w:tcW w:w="3618" w:type="dxa"/>
            <w:shd w:val="clear" w:color="auto" w:fill="auto"/>
          </w:tcPr>
          <w:p w14:paraId="2C428851"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HEALTHY PEOPLE 2020 OBJECTIVE</w:t>
            </w:r>
          </w:p>
        </w:tc>
        <w:tc>
          <w:tcPr>
            <w:tcW w:w="5940" w:type="dxa"/>
            <w:gridSpan w:val="2"/>
            <w:shd w:val="clear" w:color="auto" w:fill="auto"/>
          </w:tcPr>
          <w:p w14:paraId="0F744666" w14:textId="77777777" w:rsidR="004106D5" w:rsidRPr="00531366" w:rsidRDefault="004106D5" w:rsidP="000C7A5D">
            <w:pPr>
              <w:spacing w:after="0" w:line="240" w:lineRule="auto"/>
              <w:rPr>
                <w:rFonts w:ascii="Arial" w:hAnsi="Arial" w:cs="Arial"/>
                <w:noProof/>
                <w:sz w:val="20"/>
                <w:szCs w:val="20"/>
              </w:rPr>
            </w:pPr>
            <w:r w:rsidRPr="00531366">
              <w:rPr>
                <w:rFonts w:ascii="Arial" w:hAnsi="Arial" w:cs="Arial"/>
                <w:noProof/>
                <w:sz w:val="20"/>
                <w:szCs w:val="20"/>
              </w:rPr>
              <w:t>Related to Maternal, Infant, and Child Health (MICH) Developmental Objective 16.1:  Increase the percentage of women delivering a live birth who discussed preconception health with a health care worker prior to pregnancy</w:t>
            </w:r>
          </w:p>
          <w:p w14:paraId="7ABD68A7" w14:textId="77777777" w:rsidR="004106D5" w:rsidRPr="00531366" w:rsidRDefault="004106D5" w:rsidP="000C7A5D">
            <w:pPr>
              <w:spacing w:after="0" w:line="240" w:lineRule="auto"/>
              <w:rPr>
                <w:rFonts w:ascii="Arial" w:hAnsi="Arial" w:cs="Arial"/>
                <w:noProof/>
                <w:sz w:val="20"/>
                <w:szCs w:val="20"/>
              </w:rPr>
            </w:pPr>
          </w:p>
          <w:p w14:paraId="4F64D850"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noProof/>
                <w:sz w:val="20"/>
                <w:szCs w:val="20"/>
              </w:rPr>
              <w:t>Related to Access to Health Services (AHS) Developmental Objective 7.0: Increase the proportion of persons who receive appropriate clinical preventive services</w:t>
            </w:r>
          </w:p>
        </w:tc>
      </w:tr>
      <w:tr w:rsidR="004106D5" w:rsidRPr="00515E1C" w14:paraId="7AB33C73" w14:textId="77777777" w:rsidTr="000C7A5D">
        <w:tc>
          <w:tcPr>
            <w:tcW w:w="3618" w:type="dxa"/>
            <w:shd w:val="clear" w:color="auto" w:fill="auto"/>
          </w:tcPr>
          <w:p w14:paraId="12C19B10"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28666166" w14:textId="77777777" w:rsidR="004106D5" w:rsidRPr="00531366" w:rsidRDefault="004106D5" w:rsidP="000C7A5D">
            <w:pPr>
              <w:spacing w:after="0" w:line="240" w:lineRule="auto"/>
              <w:rPr>
                <w:rFonts w:ascii="Arial" w:hAnsi="Arial" w:cs="Arial"/>
                <w:sz w:val="20"/>
                <w:szCs w:val="20"/>
              </w:rPr>
            </w:pPr>
          </w:p>
        </w:tc>
      </w:tr>
      <w:tr w:rsidR="004106D5" w:rsidRPr="00515E1C" w14:paraId="0C5AB30A" w14:textId="77777777" w:rsidTr="000C7A5D">
        <w:tc>
          <w:tcPr>
            <w:tcW w:w="3618" w:type="dxa"/>
            <w:shd w:val="clear" w:color="auto" w:fill="auto"/>
          </w:tcPr>
          <w:p w14:paraId="49230309"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DATA SOURCES and DATA ISSUES</w:t>
            </w:r>
          </w:p>
        </w:tc>
        <w:tc>
          <w:tcPr>
            <w:tcW w:w="5940" w:type="dxa"/>
            <w:gridSpan w:val="2"/>
            <w:shd w:val="clear" w:color="auto" w:fill="auto"/>
          </w:tcPr>
          <w:p w14:paraId="5F384277"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noProof/>
                <w:sz w:val="20"/>
                <w:szCs w:val="20"/>
              </w:rPr>
              <w:t>Behavioral Risk Factor Surveillance System (BRFSS)</w:t>
            </w:r>
          </w:p>
        </w:tc>
      </w:tr>
      <w:tr w:rsidR="004106D5" w:rsidRPr="00515E1C" w14:paraId="2A2DFF9F" w14:textId="77777777" w:rsidTr="000C7A5D">
        <w:tc>
          <w:tcPr>
            <w:tcW w:w="3618" w:type="dxa"/>
            <w:shd w:val="clear" w:color="auto" w:fill="auto"/>
          </w:tcPr>
          <w:p w14:paraId="0E933804" w14:textId="77777777" w:rsidR="004106D5" w:rsidRDefault="004106D5" w:rsidP="000C7A5D">
            <w:pPr>
              <w:spacing w:after="0" w:line="240" w:lineRule="auto"/>
              <w:rPr>
                <w:rFonts w:ascii="Arial" w:hAnsi="Arial" w:cs="Arial"/>
                <w:b/>
                <w:sz w:val="20"/>
                <w:szCs w:val="20"/>
              </w:rPr>
            </w:pPr>
          </w:p>
          <w:p w14:paraId="40D89977" w14:textId="77777777" w:rsidR="004106D5" w:rsidRDefault="004106D5" w:rsidP="000C7A5D">
            <w:pPr>
              <w:spacing w:after="0" w:line="240" w:lineRule="auto"/>
              <w:rPr>
                <w:rFonts w:ascii="Arial" w:hAnsi="Arial" w:cs="Arial"/>
                <w:b/>
                <w:sz w:val="20"/>
                <w:szCs w:val="20"/>
              </w:rPr>
            </w:pPr>
            <w:r>
              <w:rPr>
                <w:rFonts w:ascii="Arial" w:hAnsi="Arial" w:cs="Arial"/>
                <w:b/>
                <w:sz w:val="20"/>
                <w:szCs w:val="20"/>
              </w:rPr>
              <w:t>MCH POPULATION DOMAIN</w:t>
            </w:r>
          </w:p>
          <w:p w14:paraId="508443EB"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7D2E7877" w14:textId="77777777" w:rsidR="004106D5" w:rsidRDefault="004106D5" w:rsidP="000C7A5D">
            <w:pPr>
              <w:spacing w:after="0" w:line="240" w:lineRule="auto"/>
              <w:rPr>
                <w:rFonts w:ascii="Arial" w:hAnsi="Arial" w:cs="Arial"/>
                <w:sz w:val="20"/>
                <w:szCs w:val="20"/>
              </w:rPr>
            </w:pPr>
          </w:p>
          <w:p w14:paraId="7AD07539" w14:textId="77777777" w:rsidR="004106D5" w:rsidRPr="00531366" w:rsidRDefault="004106D5" w:rsidP="000C7A5D">
            <w:pPr>
              <w:spacing w:after="0" w:line="240" w:lineRule="auto"/>
              <w:rPr>
                <w:rFonts w:ascii="Arial" w:hAnsi="Arial" w:cs="Arial"/>
                <w:sz w:val="20"/>
                <w:szCs w:val="20"/>
              </w:rPr>
            </w:pPr>
            <w:r w:rsidRPr="00DD16CC">
              <w:rPr>
                <w:rFonts w:ascii="Arial" w:hAnsi="Arial" w:cs="Arial"/>
                <w:sz w:val="20"/>
                <w:szCs w:val="20"/>
              </w:rPr>
              <w:t>Women/Maternal Health</w:t>
            </w:r>
          </w:p>
        </w:tc>
      </w:tr>
      <w:tr w:rsidR="004106D5" w:rsidRPr="00515E1C" w14:paraId="30CF87CA" w14:textId="77777777" w:rsidTr="000C7A5D">
        <w:trPr>
          <w:trHeight w:val="3843"/>
        </w:trPr>
        <w:tc>
          <w:tcPr>
            <w:tcW w:w="3618" w:type="dxa"/>
            <w:shd w:val="clear" w:color="auto" w:fill="auto"/>
          </w:tcPr>
          <w:p w14:paraId="41B4509A"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SIGNIFICANCE</w:t>
            </w:r>
          </w:p>
        </w:tc>
        <w:tc>
          <w:tcPr>
            <w:tcW w:w="5940" w:type="dxa"/>
            <w:gridSpan w:val="2"/>
            <w:shd w:val="clear" w:color="auto" w:fill="auto"/>
          </w:tcPr>
          <w:p w14:paraId="3D84F59E"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noProof/>
                <w:sz w:val="20"/>
                <w:szCs w:val="20"/>
              </w:rPr>
              <w:t xml:space="preserve">A well-woman or preconception visit provides a critical opportunity to receive recommended clinical preventive services, including screening, counseling, and immunizations, which can lead to appropriate identification, treatment, and prevention of disease to optimize the health of women before, between, and beyond potential pregnancies.  For example, screening and management of chronic conditions such as diabetes, and counseling to achieve a healthy weight and smoking cessation, can be advanced within a well woman visit to promote women’s health prior to and between pregnancies and improve subsequent maternal and perinatal outcomes.  The annual well-woman visit </w:t>
            </w:r>
            <w:r>
              <w:rPr>
                <w:rFonts w:ascii="Arial" w:hAnsi="Arial" w:cs="Arial"/>
                <w:noProof/>
                <w:sz w:val="20"/>
                <w:szCs w:val="20"/>
              </w:rPr>
              <w:t>is recommended</w:t>
            </w:r>
            <w:r w:rsidRPr="00531366">
              <w:rPr>
                <w:rFonts w:ascii="Arial" w:hAnsi="Arial" w:cs="Arial"/>
                <w:noProof/>
                <w:sz w:val="20"/>
                <w:szCs w:val="20"/>
              </w:rPr>
              <w:t xml:space="preserve"> by the American College of Obstetrics and Gynecologists (ACOG)</w:t>
            </w:r>
            <w:r>
              <w:rPr>
                <w:rFonts w:ascii="Arial" w:hAnsi="Arial" w:cs="Arial"/>
                <w:noProof/>
                <w:sz w:val="20"/>
                <w:szCs w:val="20"/>
              </w:rPr>
              <w:t xml:space="preserve">. </w:t>
            </w:r>
            <w:hyperlink r:id="rId124" w:history="1">
              <w:r w:rsidRPr="0000075C">
                <w:rPr>
                  <w:rStyle w:val="Hyperlink"/>
                  <w:rFonts w:ascii="Arial" w:hAnsi="Arial" w:cs="Arial"/>
                  <w:noProof/>
                  <w:sz w:val="20"/>
                  <w:szCs w:val="20"/>
                </w:rPr>
                <w:t>http://www.acog.org/Resources-And-Publications/Committee-Opinions/Committee-on-Gynecologic-Practice/Well-Woman-Visit</w:t>
              </w:r>
            </w:hyperlink>
            <w:r>
              <w:rPr>
                <w:rFonts w:ascii="Arial" w:hAnsi="Arial" w:cs="Arial"/>
                <w:noProof/>
                <w:sz w:val="20"/>
                <w:szCs w:val="20"/>
              </w:rPr>
              <w:t xml:space="preserve"> </w:t>
            </w:r>
          </w:p>
        </w:tc>
      </w:tr>
      <w:tr w:rsidR="004106D5" w:rsidRPr="00515E1C" w14:paraId="7F27AB92" w14:textId="77777777" w:rsidTr="000C7A5D">
        <w:tc>
          <w:tcPr>
            <w:tcW w:w="3618" w:type="dxa"/>
            <w:shd w:val="clear" w:color="auto" w:fill="auto"/>
          </w:tcPr>
          <w:p w14:paraId="24991E9C" w14:textId="77777777" w:rsidR="004106D5" w:rsidRPr="00531366" w:rsidRDefault="004106D5" w:rsidP="000C7A5D">
            <w:pPr>
              <w:spacing w:after="0" w:line="240" w:lineRule="auto"/>
              <w:rPr>
                <w:rFonts w:ascii="Arial" w:hAnsi="Arial" w:cs="Arial"/>
                <w:sz w:val="20"/>
                <w:szCs w:val="20"/>
              </w:rPr>
            </w:pPr>
          </w:p>
        </w:tc>
        <w:tc>
          <w:tcPr>
            <w:tcW w:w="5940" w:type="dxa"/>
            <w:gridSpan w:val="2"/>
            <w:shd w:val="clear" w:color="auto" w:fill="auto"/>
          </w:tcPr>
          <w:p w14:paraId="2138126D" w14:textId="77777777" w:rsidR="004106D5" w:rsidRPr="00531366" w:rsidRDefault="004106D5" w:rsidP="000C7A5D">
            <w:pPr>
              <w:spacing w:after="0" w:line="240" w:lineRule="auto"/>
              <w:rPr>
                <w:rFonts w:ascii="Arial" w:hAnsi="Arial" w:cs="Arial"/>
                <w:sz w:val="20"/>
                <w:szCs w:val="20"/>
              </w:rPr>
            </w:pPr>
          </w:p>
        </w:tc>
      </w:tr>
    </w:tbl>
    <w:p w14:paraId="2FEE0749" w14:textId="77777777" w:rsidR="004106D5" w:rsidRDefault="004106D5" w:rsidP="004106D5">
      <w:pPr>
        <w:spacing w:after="0" w:line="240" w:lineRule="auto"/>
        <w:sectPr w:rsidR="004106D5" w:rsidSect="008A00F6">
          <w:pgSz w:w="12240" w:h="15840"/>
          <w:pgMar w:top="1440" w:right="1440" w:bottom="1440" w:left="1440" w:header="720" w:footer="720" w:gutter="0"/>
          <w:cols w:space="720"/>
          <w:docGrid w:linePitch="360"/>
        </w:sectPr>
      </w:pPr>
    </w:p>
    <w:tbl>
      <w:tblPr>
        <w:tblW w:w="0" w:type="auto"/>
        <w:tblLook w:val="04A0" w:firstRow="1" w:lastRow="0" w:firstColumn="1" w:lastColumn="0" w:noHBand="0" w:noVBand="1"/>
      </w:tblPr>
      <w:tblGrid>
        <w:gridCol w:w="3618"/>
        <w:gridCol w:w="5868"/>
      </w:tblGrid>
      <w:tr w:rsidR="004106D5" w:rsidRPr="003F48A1" w14:paraId="756989C2" w14:textId="77777777" w:rsidTr="000C7A5D">
        <w:tc>
          <w:tcPr>
            <w:tcW w:w="3618" w:type="dxa"/>
            <w:shd w:val="clear" w:color="auto" w:fill="auto"/>
          </w:tcPr>
          <w:p w14:paraId="599A501D" w14:textId="77777777" w:rsidR="004106D5" w:rsidRPr="00531366" w:rsidRDefault="004106D5" w:rsidP="000C7A5D">
            <w:pPr>
              <w:spacing w:after="0" w:line="240" w:lineRule="auto"/>
              <w:rPr>
                <w:rFonts w:ascii="Arial" w:hAnsi="Arial" w:cs="Arial"/>
                <w:b/>
                <w:sz w:val="24"/>
                <w:szCs w:val="24"/>
              </w:rPr>
            </w:pPr>
            <w:r w:rsidRPr="00531366">
              <w:rPr>
                <w:rFonts w:ascii="Arial" w:hAnsi="Arial" w:cs="Arial"/>
                <w:b/>
                <w:sz w:val="24"/>
                <w:szCs w:val="24"/>
              </w:rPr>
              <w:t xml:space="preserve">PERFORMANCE MEASURE </w:t>
            </w:r>
            <w:r w:rsidRPr="00531366">
              <w:rPr>
                <w:rFonts w:ascii="Arial" w:hAnsi="Arial" w:cs="Arial"/>
                <w:b/>
                <w:noProof/>
                <w:sz w:val="24"/>
                <w:szCs w:val="24"/>
              </w:rPr>
              <w:t>2</w:t>
            </w:r>
          </w:p>
        </w:tc>
        <w:tc>
          <w:tcPr>
            <w:tcW w:w="5868" w:type="dxa"/>
            <w:shd w:val="clear" w:color="auto" w:fill="auto"/>
          </w:tcPr>
          <w:p w14:paraId="10004526" w14:textId="77777777" w:rsidR="004106D5" w:rsidRPr="00531366" w:rsidRDefault="004106D5" w:rsidP="000C7A5D">
            <w:pPr>
              <w:spacing w:after="0" w:line="240" w:lineRule="auto"/>
              <w:rPr>
                <w:rFonts w:ascii="Arial" w:hAnsi="Arial" w:cs="Arial"/>
                <w:b/>
                <w:sz w:val="24"/>
                <w:szCs w:val="24"/>
              </w:rPr>
            </w:pPr>
            <w:r w:rsidRPr="00531366">
              <w:rPr>
                <w:rFonts w:ascii="Arial" w:hAnsi="Arial" w:cs="Arial"/>
                <w:b/>
                <w:noProof/>
                <w:sz w:val="24"/>
                <w:szCs w:val="24"/>
              </w:rPr>
              <w:t>Percent of cesarean deliveries among low-risk first births</w:t>
            </w:r>
          </w:p>
        </w:tc>
      </w:tr>
    </w:tbl>
    <w:p w14:paraId="6CD6D833" w14:textId="77777777" w:rsidR="004106D5" w:rsidRDefault="004106D5" w:rsidP="004106D5">
      <w:pPr>
        <w:spacing w:after="0" w:line="240" w:lineRule="auto"/>
      </w:pPr>
    </w:p>
    <w:p w14:paraId="09311F22" w14:textId="77777777" w:rsidR="004106D5" w:rsidRDefault="004106D5" w:rsidP="004106D5">
      <w:pPr>
        <w:spacing w:after="0" w:line="240" w:lineRule="auto"/>
      </w:pPr>
      <w:r>
        <w:rPr>
          <w:noProof/>
        </w:rPr>
        <mc:AlternateContent>
          <mc:Choice Requires="wps">
            <w:drawing>
              <wp:anchor distT="4294967295" distB="4294967295" distL="114300" distR="114300" simplePos="0" relativeHeight="251793408" behindDoc="0" locked="0" layoutInCell="1" allowOverlap="1" wp14:anchorId="511DE614" wp14:editId="03106C5B">
                <wp:simplePos x="0" y="0"/>
                <wp:positionH relativeFrom="column">
                  <wp:posOffset>-60960</wp:posOffset>
                </wp:positionH>
                <wp:positionV relativeFrom="paragraph">
                  <wp:posOffset>31749</wp:posOffset>
                </wp:positionV>
                <wp:extent cx="6088380" cy="0"/>
                <wp:effectExtent l="0" t="0" r="26670" b="19050"/>
                <wp:wrapNone/>
                <wp:docPr id="1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E65282B" id="Straight Connector 2" o:spid="_x0000_s1026" style="position:absolute;z-index:251793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" strokecolor="windowText" strokeweight="1.75pt">
                <o:lock v:ext="edit" shapetype="f"/>
              </v:line>
            </w:pict>
          </mc:Fallback>
        </mc:AlternateContent>
      </w:r>
    </w:p>
    <w:tbl>
      <w:tblPr>
        <w:tblW w:w="0" w:type="auto"/>
        <w:tblLook w:val="04A0" w:firstRow="1" w:lastRow="0" w:firstColumn="1" w:lastColumn="0" w:noHBand="0" w:noVBand="1"/>
      </w:tblPr>
      <w:tblGrid>
        <w:gridCol w:w="3618"/>
        <w:gridCol w:w="3384"/>
        <w:gridCol w:w="2556"/>
      </w:tblGrid>
      <w:tr w:rsidR="004106D5" w:rsidRPr="00515E1C" w14:paraId="2C8653A2" w14:textId="77777777" w:rsidTr="000C7A5D">
        <w:tc>
          <w:tcPr>
            <w:tcW w:w="3618" w:type="dxa"/>
            <w:shd w:val="clear" w:color="auto" w:fill="auto"/>
          </w:tcPr>
          <w:p w14:paraId="3C83FF8B"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GOAL</w:t>
            </w:r>
          </w:p>
        </w:tc>
        <w:tc>
          <w:tcPr>
            <w:tcW w:w="5940" w:type="dxa"/>
            <w:gridSpan w:val="2"/>
            <w:shd w:val="clear" w:color="auto" w:fill="auto"/>
          </w:tcPr>
          <w:p w14:paraId="2EEF4712" w14:textId="33105051" w:rsidR="004106D5" w:rsidRPr="00531366" w:rsidRDefault="004106D5" w:rsidP="00FB0985">
            <w:pPr>
              <w:spacing w:after="0" w:line="240" w:lineRule="auto"/>
              <w:rPr>
                <w:rFonts w:ascii="Arial" w:hAnsi="Arial" w:cs="Arial"/>
                <w:sz w:val="20"/>
                <w:szCs w:val="20"/>
              </w:rPr>
            </w:pPr>
            <w:r w:rsidRPr="00531366">
              <w:rPr>
                <w:rFonts w:ascii="Arial" w:hAnsi="Arial" w:cs="Arial"/>
                <w:noProof/>
                <w:sz w:val="20"/>
                <w:szCs w:val="20"/>
              </w:rPr>
              <w:t xml:space="preserve">To reduce the </w:t>
            </w:r>
            <w:r w:rsidR="00FB0985">
              <w:rPr>
                <w:rFonts w:ascii="Arial" w:hAnsi="Arial" w:cs="Arial"/>
                <w:noProof/>
                <w:sz w:val="20"/>
                <w:szCs w:val="20"/>
              </w:rPr>
              <w:t>percent</w:t>
            </w:r>
            <w:r w:rsidRPr="00531366">
              <w:rPr>
                <w:rFonts w:ascii="Arial" w:hAnsi="Arial" w:cs="Arial"/>
                <w:noProof/>
                <w:sz w:val="20"/>
                <w:szCs w:val="20"/>
              </w:rPr>
              <w:t xml:space="preserve"> of cesarean deliveries among low-risk first births.</w:t>
            </w:r>
          </w:p>
        </w:tc>
      </w:tr>
      <w:tr w:rsidR="004106D5" w:rsidRPr="00515E1C" w14:paraId="151C0E5C" w14:textId="77777777" w:rsidTr="000C7A5D">
        <w:tc>
          <w:tcPr>
            <w:tcW w:w="3618" w:type="dxa"/>
            <w:shd w:val="clear" w:color="auto" w:fill="auto"/>
          </w:tcPr>
          <w:p w14:paraId="38433C61"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06701681" w14:textId="77777777" w:rsidR="004106D5" w:rsidRPr="00531366" w:rsidRDefault="004106D5" w:rsidP="000C7A5D">
            <w:pPr>
              <w:spacing w:after="0" w:line="240" w:lineRule="auto"/>
              <w:rPr>
                <w:rFonts w:ascii="Arial" w:hAnsi="Arial" w:cs="Arial"/>
                <w:sz w:val="20"/>
                <w:szCs w:val="20"/>
              </w:rPr>
            </w:pPr>
          </w:p>
        </w:tc>
      </w:tr>
      <w:tr w:rsidR="004106D5" w:rsidRPr="00515E1C" w14:paraId="5347D8FF" w14:textId="77777777" w:rsidTr="000C7A5D">
        <w:tc>
          <w:tcPr>
            <w:tcW w:w="3618" w:type="dxa"/>
            <w:shd w:val="clear" w:color="auto" w:fill="auto"/>
          </w:tcPr>
          <w:p w14:paraId="705F9B70"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DEFINITION</w:t>
            </w:r>
          </w:p>
        </w:tc>
        <w:tc>
          <w:tcPr>
            <w:tcW w:w="5940" w:type="dxa"/>
            <w:gridSpan w:val="2"/>
            <w:shd w:val="clear" w:color="auto" w:fill="auto"/>
          </w:tcPr>
          <w:p w14:paraId="1EDB047C"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Numerator:</w:t>
            </w:r>
          </w:p>
        </w:tc>
      </w:tr>
      <w:tr w:rsidR="004106D5" w:rsidRPr="00515E1C" w14:paraId="1195A746" w14:textId="77777777" w:rsidTr="000C7A5D">
        <w:tc>
          <w:tcPr>
            <w:tcW w:w="3618" w:type="dxa"/>
            <w:shd w:val="clear" w:color="auto" w:fill="auto"/>
          </w:tcPr>
          <w:p w14:paraId="065C8136"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25D5AE8A" w14:textId="77777777" w:rsidR="004106D5" w:rsidRPr="00531366" w:rsidRDefault="004106D5" w:rsidP="000C7A5D">
            <w:pPr>
              <w:spacing w:after="0" w:line="240" w:lineRule="auto"/>
              <w:rPr>
                <w:rFonts w:ascii="Arial" w:hAnsi="Arial" w:cs="Arial"/>
                <w:sz w:val="20"/>
                <w:szCs w:val="20"/>
              </w:rPr>
            </w:pPr>
            <w:r>
              <w:rPr>
                <w:rFonts w:ascii="Arial" w:hAnsi="Arial" w:cs="Arial"/>
                <w:noProof/>
                <w:sz w:val="20"/>
                <w:szCs w:val="20"/>
              </w:rPr>
              <w:t>Number of c</w:t>
            </w:r>
            <w:r w:rsidRPr="00531366">
              <w:rPr>
                <w:rFonts w:ascii="Arial" w:hAnsi="Arial" w:cs="Arial"/>
                <w:noProof/>
                <w:sz w:val="20"/>
                <w:szCs w:val="20"/>
              </w:rPr>
              <w:t>esarean delivery among term (37+ weeks), singleton, vertex births to nulliparous women</w:t>
            </w:r>
          </w:p>
        </w:tc>
      </w:tr>
      <w:tr w:rsidR="004106D5" w:rsidRPr="00515E1C" w14:paraId="036C8C07" w14:textId="77777777" w:rsidTr="000C7A5D">
        <w:tc>
          <w:tcPr>
            <w:tcW w:w="3618" w:type="dxa"/>
            <w:shd w:val="clear" w:color="auto" w:fill="auto"/>
          </w:tcPr>
          <w:p w14:paraId="353ED251"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46173582" w14:textId="77777777" w:rsidR="004106D5" w:rsidRPr="00531366" w:rsidRDefault="004106D5" w:rsidP="000C7A5D">
            <w:pPr>
              <w:spacing w:after="0" w:line="240" w:lineRule="auto"/>
              <w:rPr>
                <w:rFonts w:ascii="Arial" w:hAnsi="Arial" w:cs="Arial"/>
                <w:sz w:val="20"/>
                <w:szCs w:val="20"/>
              </w:rPr>
            </w:pPr>
          </w:p>
        </w:tc>
      </w:tr>
      <w:tr w:rsidR="004106D5" w:rsidRPr="00515E1C" w14:paraId="7E9A76D5" w14:textId="77777777" w:rsidTr="000C7A5D">
        <w:tc>
          <w:tcPr>
            <w:tcW w:w="3618" w:type="dxa"/>
            <w:shd w:val="clear" w:color="auto" w:fill="auto"/>
          </w:tcPr>
          <w:p w14:paraId="7644AD2D"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43B47FDF"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Denominator:</w:t>
            </w:r>
          </w:p>
        </w:tc>
      </w:tr>
      <w:tr w:rsidR="004106D5" w:rsidRPr="00515E1C" w14:paraId="7EA0E340" w14:textId="77777777" w:rsidTr="000C7A5D">
        <w:tc>
          <w:tcPr>
            <w:tcW w:w="3618" w:type="dxa"/>
            <w:shd w:val="clear" w:color="auto" w:fill="auto"/>
          </w:tcPr>
          <w:p w14:paraId="06CDCE01" w14:textId="77777777" w:rsidR="004106D5" w:rsidRPr="00531366" w:rsidRDefault="004106D5" w:rsidP="000C7A5D">
            <w:pPr>
              <w:rPr>
                <w:rFonts w:ascii="Arial" w:hAnsi="Arial" w:cs="Arial"/>
                <w:b/>
                <w:sz w:val="20"/>
                <w:szCs w:val="20"/>
              </w:rPr>
            </w:pPr>
          </w:p>
        </w:tc>
        <w:tc>
          <w:tcPr>
            <w:tcW w:w="5940" w:type="dxa"/>
            <w:gridSpan w:val="2"/>
            <w:shd w:val="clear" w:color="auto" w:fill="auto"/>
          </w:tcPr>
          <w:p w14:paraId="2064C353" w14:textId="77777777" w:rsidR="004106D5" w:rsidRDefault="004106D5" w:rsidP="000C7A5D">
            <w:pPr>
              <w:spacing w:after="0" w:line="240" w:lineRule="auto"/>
              <w:rPr>
                <w:rFonts w:ascii="Arial" w:hAnsi="Arial" w:cs="Arial"/>
                <w:noProof/>
                <w:sz w:val="20"/>
                <w:szCs w:val="20"/>
              </w:rPr>
            </w:pPr>
            <w:r>
              <w:rPr>
                <w:rFonts w:ascii="Arial" w:hAnsi="Arial" w:cs="Arial"/>
                <w:noProof/>
                <w:sz w:val="20"/>
                <w:szCs w:val="20"/>
              </w:rPr>
              <w:t xml:space="preserve">Number of </w:t>
            </w:r>
            <w:r w:rsidRPr="00531366">
              <w:rPr>
                <w:rFonts w:ascii="Arial" w:hAnsi="Arial" w:cs="Arial"/>
                <w:noProof/>
                <w:sz w:val="20"/>
                <w:szCs w:val="20"/>
              </w:rPr>
              <w:t>term (37+ weeks), singleton, vertex births to nulliparous women</w:t>
            </w:r>
          </w:p>
          <w:p w14:paraId="54A5FB27" w14:textId="77777777" w:rsidR="004106D5" w:rsidRPr="00531366" w:rsidRDefault="004106D5" w:rsidP="000C7A5D">
            <w:pPr>
              <w:spacing w:after="0" w:line="240" w:lineRule="auto"/>
              <w:rPr>
                <w:rFonts w:ascii="Arial" w:hAnsi="Arial" w:cs="Arial"/>
                <w:sz w:val="20"/>
                <w:szCs w:val="20"/>
              </w:rPr>
            </w:pPr>
          </w:p>
        </w:tc>
      </w:tr>
      <w:tr w:rsidR="004106D5" w:rsidRPr="00515E1C" w14:paraId="2E253605" w14:textId="77777777" w:rsidTr="000C7A5D">
        <w:trPr>
          <w:trHeight w:val="378"/>
        </w:trPr>
        <w:tc>
          <w:tcPr>
            <w:tcW w:w="3618" w:type="dxa"/>
            <w:shd w:val="clear" w:color="auto" w:fill="auto"/>
          </w:tcPr>
          <w:p w14:paraId="7D3B1784" w14:textId="77777777" w:rsidR="004106D5" w:rsidRPr="00531366" w:rsidRDefault="004106D5" w:rsidP="000C7A5D">
            <w:pPr>
              <w:rPr>
                <w:rFonts w:ascii="Arial" w:hAnsi="Arial" w:cs="Arial"/>
                <w:b/>
                <w:sz w:val="20"/>
                <w:szCs w:val="20"/>
              </w:rPr>
            </w:pPr>
          </w:p>
        </w:tc>
        <w:tc>
          <w:tcPr>
            <w:tcW w:w="3384" w:type="dxa"/>
            <w:shd w:val="clear" w:color="auto" w:fill="auto"/>
          </w:tcPr>
          <w:p w14:paraId="5F021A2A"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b/>
                <w:sz w:val="20"/>
                <w:szCs w:val="20"/>
              </w:rPr>
              <w:t>Units:</w:t>
            </w:r>
            <w:r w:rsidRPr="00531366">
              <w:rPr>
                <w:rFonts w:ascii="Arial" w:hAnsi="Arial" w:cs="Arial"/>
                <w:sz w:val="20"/>
                <w:szCs w:val="20"/>
              </w:rPr>
              <w:t xml:space="preserve"> </w:t>
            </w:r>
            <w:r w:rsidRPr="00531366">
              <w:rPr>
                <w:rFonts w:ascii="Arial" w:hAnsi="Arial" w:cs="Arial"/>
                <w:noProof/>
                <w:sz w:val="20"/>
                <w:szCs w:val="20"/>
              </w:rPr>
              <w:t>100</w:t>
            </w:r>
          </w:p>
        </w:tc>
        <w:tc>
          <w:tcPr>
            <w:tcW w:w="2556" w:type="dxa"/>
            <w:shd w:val="clear" w:color="auto" w:fill="auto"/>
          </w:tcPr>
          <w:p w14:paraId="6EB296CB" w14:textId="77777777" w:rsidR="004106D5" w:rsidRDefault="004106D5" w:rsidP="000C7A5D">
            <w:pPr>
              <w:spacing w:after="0" w:line="240" w:lineRule="auto"/>
              <w:rPr>
                <w:rFonts w:ascii="Arial" w:hAnsi="Arial" w:cs="Arial"/>
                <w:noProof/>
                <w:sz w:val="20"/>
                <w:szCs w:val="20"/>
              </w:rPr>
            </w:pPr>
            <w:r w:rsidRPr="00531366">
              <w:rPr>
                <w:rFonts w:ascii="Arial" w:hAnsi="Arial" w:cs="Arial"/>
                <w:b/>
                <w:sz w:val="20"/>
                <w:szCs w:val="20"/>
              </w:rPr>
              <w:t>Text:</w:t>
            </w:r>
            <w:r w:rsidRPr="00531366">
              <w:rPr>
                <w:rFonts w:ascii="Arial" w:hAnsi="Arial" w:cs="Arial"/>
                <w:sz w:val="20"/>
                <w:szCs w:val="20"/>
              </w:rPr>
              <w:t xml:space="preserve"> </w:t>
            </w:r>
            <w:r w:rsidRPr="00531366">
              <w:rPr>
                <w:rFonts w:ascii="Arial" w:hAnsi="Arial" w:cs="Arial"/>
                <w:noProof/>
                <w:sz w:val="20"/>
                <w:szCs w:val="20"/>
              </w:rPr>
              <w:t>Percent</w:t>
            </w:r>
          </w:p>
          <w:p w14:paraId="544FEC45" w14:textId="77777777" w:rsidR="004106D5" w:rsidRDefault="004106D5" w:rsidP="000C7A5D">
            <w:pPr>
              <w:spacing w:after="0" w:line="240" w:lineRule="auto"/>
              <w:rPr>
                <w:rFonts w:ascii="Arial" w:hAnsi="Arial" w:cs="Arial"/>
                <w:noProof/>
                <w:sz w:val="20"/>
                <w:szCs w:val="20"/>
              </w:rPr>
            </w:pPr>
          </w:p>
          <w:p w14:paraId="1927FD18" w14:textId="77777777" w:rsidR="004106D5" w:rsidRPr="00531366" w:rsidRDefault="004106D5" w:rsidP="000C7A5D">
            <w:pPr>
              <w:spacing w:after="0" w:line="240" w:lineRule="auto"/>
              <w:rPr>
                <w:rFonts w:ascii="Arial" w:hAnsi="Arial" w:cs="Arial"/>
                <w:sz w:val="20"/>
                <w:szCs w:val="20"/>
              </w:rPr>
            </w:pPr>
          </w:p>
        </w:tc>
      </w:tr>
      <w:tr w:rsidR="004106D5" w:rsidRPr="00515E1C" w14:paraId="22F3C7CF" w14:textId="77777777" w:rsidTr="000C7A5D">
        <w:tc>
          <w:tcPr>
            <w:tcW w:w="3618" w:type="dxa"/>
            <w:shd w:val="clear" w:color="auto" w:fill="auto"/>
          </w:tcPr>
          <w:p w14:paraId="64962F69" w14:textId="77777777" w:rsidR="004106D5" w:rsidRPr="00531366" w:rsidRDefault="004106D5" w:rsidP="000C7A5D">
            <w:pPr>
              <w:spacing w:line="240" w:lineRule="auto"/>
              <w:rPr>
                <w:rFonts w:ascii="Arial" w:hAnsi="Arial" w:cs="Arial"/>
                <w:b/>
                <w:sz w:val="20"/>
                <w:szCs w:val="20"/>
              </w:rPr>
            </w:pPr>
            <w:r w:rsidRPr="00531366">
              <w:rPr>
                <w:rFonts w:ascii="Arial" w:hAnsi="Arial" w:cs="Arial"/>
                <w:b/>
                <w:sz w:val="20"/>
                <w:szCs w:val="20"/>
              </w:rPr>
              <w:t>HEALTHY PEOPLE 2020 OBJECTIVE</w:t>
            </w:r>
          </w:p>
        </w:tc>
        <w:tc>
          <w:tcPr>
            <w:tcW w:w="5940" w:type="dxa"/>
            <w:gridSpan w:val="2"/>
            <w:shd w:val="clear" w:color="auto" w:fill="auto"/>
          </w:tcPr>
          <w:p w14:paraId="70A5C7ED" w14:textId="77777777" w:rsidR="004106D5" w:rsidRPr="00531366" w:rsidRDefault="004106D5" w:rsidP="000C7A5D">
            <w:pPr>
              <w:spacing w:line="240" w:lineRule="auto"/>
              <w:rPr>
                <w:rFonts w:ascii="Arial" w:hAnsi="Arial" w:cs="Arial"/>
                <w:sz w:val="20"/>
                <w:szCs w:val="20"/>
              </w:rPr>
            </w:pPr>
            <w:r w:rsidRPr="00531366">
              <w:rPr>
                <w:rFonts w:ascii="Arial" w:hAnsi="Arial" w:cs="Arial"/>
                <w:noProof/>
                <w:sz w:val="20"/>
                <w:szCs w:val="20"/>
              </w:rPr>
              <w:t>Related to Maternal, Infant, and Child Health (MICH) Objective 7.1.  Reduce cesarean births among low-risk women with no prior cesarean (Baseline: 26.5%, Target: 23.9%)</w:t>
            </w:r>
          </w:p>
        </w:tc>
      </w:tr>
      <w:tr w:rsidR="004106D5" w:rsidRPr="00515E1C" w14:paraId="1BD285DF" w14:textId="77777777" w:rsidTr="000C7A5D">
        <w:tc>
          <w:tcPr>
            <w:tcW w:w="3618" w:type="dxa"/>
            <w:shd w:val="clear" w:color="auto" w:fill="auto"/>
          </w:tcPr>
          <w:p w14:paraId="7D451BA6" w14:textId="77777777" w:rsidR="004106D5" w:rsidRPr="00531366" w:rsidRDefault="004106D5" w:rsidP="000C7A5D">
            <w:pPr>
              <w:spacing w:line="240" w:lineRule="auto"/>
              <w:rPr>
                <w:rFonts w:ascii="Arial" w:hAnsi="Arial" w:cs="Arial"/>
                <w:b/>
                <w:sz w:val="20"/>
                <w:szCs w:val="20"/>
              </w:rPr>
            </w:pPr>
            <w:r w:rsidRPr="00531366">
              <w:rPr>
                <w:rFonts w:ascii="Arial" w:hAnsi="Arial" w:cs="Arial"/>
                <w:b/>
                <w:sz w:val="20"/>
                <w:szCs w:val="20"/>
              </w:rPr>
              <w:t>DATA SOURCES and DATA ISSUES</w:t>
            </w:r>
          </w:p>
        </w:tc>
        <w:tc>
          <w:tcPr>
            <w:tcW w:w="5940" w:type="dxa"/>
            <w:gridSpan w:val="2"/>
            <w:shd w:val="clear" w:color="auto" w:fill="auto"/>
          </w:tcPr>
          <w:p w14:paraId="5F42AC22" w14:textId="77777777" w:rsidR="004106D5" w:rsidRPr="00531366" w:rsidRDefault="004106D5" w:rsidP="000C7A5D">
            <w:pPr>
              <w:spacing w:line="240" w:lineRule="auto"/>
              <w:rPr>
                <w:rFonts w:ascii="Arial" w:hAnsi="Arial" w:cs="Arial"/>
                <w:sz w:val="20"/>
                <w:szCs w:val="20"/>
              </w:rPr>
            </w:pPr>
            <w:r w:rsidRPr="00531366">
              <w:rPr>
                <w:rFonts w:ascii="Arial" w:hAnsi="Arial" w:cs="Arial"/>
                <w:noProof/>
                <w:sz w:val="20"/>
                <w:szCs w:val="20"/>
              </w:rPr>
              <w:t>National Vital Statistics System (NVSS)</w:t>
            </w:r>
          </w:p>
        </w:tc>
      </w:tr>
      <w:tr w:rsidR="004106D5" w:rsidRPr="00515E1C" w14:paraId="19461C0B" w14:textId="77777777" w:rsidTr="000C7A5D">
        <w:tc>
          <w:tcPr>
            <w:tcW w:w="3618" w:type="dxa"/>
            <w:shd w:val="clear" w:color="auto" w:fill="auto"/>
          </w:tcPr>
          <w:p w14:paraId="7666769A" w14:textId="77777777" w:rsidR="004106D5" w:rsidRDefault="004106D5" w:rsidP="000C7A5D">
            <w:pPr>
              <w:spacing w:after="0" w:line="240" w:lineRule="auto"/>
              <w:rPr>
                <w:rFonts w:ascii="Arial" w:hAnsi="Arial" w:cs="Arial"/>
                <w:b/>
                <w:sz w:val="20"/>
                <w:szCs w:val="20"/>
              </w:rPr>
            </w:pPr>
          </w:p>
          <w:p w14:paraId="53E0F3CC" w14:textId="77777777" w:rsidR="004106D5" w:rsidRDefault="004106D5" w:rsidP="000C7A5D">
            <w:pPr>
              <w:spacing w:after="0" w:line="240" w:lineRule="auto"/>
              <w:rPr>
                <w:rFonts w:ascii="Arial" w:hAnsi="Arial" w:cs="Arial"/>
                <w:b/>
                <w:sz w:val="20"/>
                <w:szCs w:val="20"/>
              </w:rPr>
            </w:pPr>
            <w:r>
              <w:rPr>
                <w:rFonts w:ascii="Arial" w:hAnsi="Arial" w:cs="Arial"/>
                <w:b/>
                <w:sz w:val="20"/>
                <w:szCs w:val="20"/>
              </w:rPr>
              <w:t>MCH POPULATION DOMAIN</w:t>
            </w:r>
          </w:p>
          <w:p w14:paraId="77F5AAB4"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26A2B42D" w14:textId="77777777" w:rsidR="004106D5" w:rsidRDefault="004106D5" w:rsidP="000C7A5D">
            <w:pPr>
              <w:spacing w:after="0" w:line="240" w:lineRule="auto"/>
              <w:rPr>
                <w:rFonts w:ascii="Arial" w:hAnsi="Arial" w:cs="Arial"/>
                <w:sz w:val="20"/>
                <w:szCs w:val="20"/>
              </w:rPr>
            </w:pPr>
          </w:p>
          <w:p w14:paraId="4AE6F4B2" w14:textId="77777777" w:rsidR="004106D5" w:rsidRPr="00531366" w:rsidRDefault="004106D5" w:rsidP="000C7A5D">
            <w:pPr>
              <w:spacing w:after="0" w:line="240" w:lineRule="auto"/>
              <w:rPr>
                <w:rFonts w:ascii="Arial" w:hAnsi="Arial" w:cs="Arial"/>
                <w:sz w:val="20"/>
                <w:szCs w:val="20"/>
              </w:rPr>
            </w:pPr>
            <w:r w:rsidRPr="00DD16CC">
              <w:rPr>
                <w:rFonts w:ascii="Arial" w:hAnsi="Arial" w:cs="Arial"/>
                <w:sz w:val="20"/>
                <w:szCs w:val="20"/>
              </w:rPr>
              <w:t>Women/Maternal Health</w:t>
            </w:r>
          </w:p>
        </w:tc>
      </w:tr>
      <w:tr w:rsidR="004106D5" w:rsidRPr="00515E1C" w14:paraId="3D8B60FC" w14:textId="77777777" w:rsidTr="000C7A5D">
        <w:tc>
          <w:tcPr>
            <w:tcW w:w="3618" w:type="dxa"/>
            <w:shd w:val="clear" w:color="auto" w:fill="auto"/>
          </w:tcPr>
          <w:p w14:paraId="31AEA17F" w14:textId="77777777" w:rsidR="004106D5" w:rsidRPr="00531366" w:rsidRDefault="004106D5" w:rsidP="000C7A5D">
            <w:pPr>
              <w:spacing w:line="240" w:lineRule="auto"/>
              <w:rPr>
                <w:rFonts w:ascii="Arial" w:hAnsi="Arial" w:cs="Arial"/>
                <w:b/>
                <w:sz w:val="20"/>
                <w:szCs w:val="20"/>
              </w:rPr>
            </w:pPr>
            <w:r w:rsidRPr="00531366">
              <w:rPr>
                <w:rFonts w:ascii="Arial" w:hAnsi="Arial" w:cs="Arial"/>
                <w:b/>
                <w:sz w:val="20"/>
                <w:szCs w:val="20"/>
              </w:rPr>
              <w:t>SIGNIFICANCE</w:t>
            </w:r>
          </w:p>
        </w:tc>
        <w:tc>
          <w:tcPr>
            <w:tcW w:w="5940" w:type="dxa"/>
            <w:gridSpan w:val="2"/>
            <w:shd w:val="clear" w:color="auto" w:fill="auto"/>
          </w:tcPr>
          <w:p w14:paraId="13765444" w14:textId="77777777" w:rsidR="004106D5" w:rsidRPr="00531366" w:rsidRDefault="004106D5" w:rsidP="000C7A5D">
            <w:pPr>
              <w:spacing w:line="240" w:lineRule="auto"/>
              <w:rPr>
                <w:rFonts w:ascii="Arial" w:hAnsi="Arial" w:cs="Arial"/>
                <w:sz w:val="20"/>
                <w:szCs w:val="20"/>
              </w:rPr>
            </w:pPr>
            <w:r w:rsidRPr="00531366">
              <w:rPr>
                <w:rFonts w:ascii="Arial" w:hAnsi="Arial" w:cs="Arial"/>
                <w:noProof/>
                <w:sz w:val="20"/>
                <w:szCs w:val="20"/>
              </w:rPr>
              <w:t xml:space="preserve">Cesarean delivery can be a life-saving procedure for certain medical indications. However, for most low-risk pregnancies, cesarean delivery poses avoidable maternal risks of morbidity and mortality, including hemorrhage, infection, and blood clots—risks that compound with subsequent cesarean deliveries.  Much of the temporal increase in cesarean delivery (over 50% in the past decade), and wide variation across states, hospitals, and practitioners, can be attributed to first-birth cesareans.  Moreover, cesarean delivery in low-risk first births may be most amenable to intervention through quality improvement efforts.  This low-risk cesarean measure, also known as nulliparous term singleton vertex (NTSV) cesarean, is endorsed by the </w:t>
            </w:r>
            <w:r>
              <w:rPr>
                <w:rFonts w:ascii="Arial" w:hAnsi="Arial" w:cs="Arial"/>
                <w:noProof/>
                <w:sz w:val="20"/>
                <w:szCs w:val="20"/>
              </w:rPr>
              <w:t>American College of Obstetrician’s and Gynecologists (</w:t>
            </w:r>
            <w:r w:rsidRPr="00531366">
              <w:rPr>
                <w:rFonts w:ascii="Arial" w:hAnsi="Arial" w:cs="Arial"/>
                <w:noProof/>
                <w:sz w:val="20"/>
                <w:szCs w:val="20"/>
              </w:rPr>
              <w:t>ACOG</w:t>
            </w:r>
            <w:r>
              <w:rPr>
                <w:rFonts w:ascii="Arial" w:hAnsi="Arial" w:cs="Arial"/>
                <w:noProof/>
                <w:sz w:val="20"/>
                <w:szCs w:val="20"/>
              </w:rPr>
              <w:t>)</w:t>
            </w:r>
            <w:r w:rsidRPr="00531366">
              <w:rPr>
                <w:rFonts w:ascii="Arial" w:hAnsi="Arial" w:cs="Arial"/>
                <w:noProof/>
                <w:sz w:val="20"/>
                <w:szCs w:val="20"/>
              </w:rPr>
              <w:t>, The Joint Commission (PC-02), National Quality Forum (#0471), Center for Medicaid and Medicare Services (CMS) – CHIPRA Child Core Set of Maternity Measures, and the American Medical Association-Physician Consortium for Patient Improvement.</w:t>
            </w:r>
            <w:r>
              <w:rPr>
                <w:rFonts w:ascii="Arial" w:hAnsi="Arial" w:cs="Arial"/>
                <w:noProof/>
                <w:sz w:val="20"/>
                <w:szCs w:val="20"/>
              </w:rPr>
              <w:t xml:space="preserve"> </w:t>
            </w:r>
            <w:hyperlink r:id="rId125" w:history="1">
              <w:r w:rsidRPr="002A0ACA">
                <w:rPr>
                  <w:rFonts w:ascii="Arial" w:eastAsia="Times New Roman" w:hAnsi="Arial" w:cs="Arial"/>
                  <w:color w:val="0000FF"/>
                  <w:sz w:val="18"/>
                  <w:szCs w:val="18"/>
                  <w:u w:val="single"/>
                </w:rPr>
                <w:t>http://www.acog.org/Resources-And-Publications/Obstetric-Care-Consensus-Series/Safe-Prevention-of-the-Primary-Cesarean-Delivery</w:t>
              </w:r>
            </w:hyperlink>
          </w:p>
        </w:tc>
      </w:tr>
      <w:tr w:rsidR="004106D5" w:rsidRPr="00515E1C" w14:paraId="3C962109" w14:textId="77777777" w:rsidTr="000C7A5D">
        <w:tc>
          <w:tcPr>
            <w:tcW w:w="3618" w:type="dxa"/>
            <w:shd w:val="clear" w:color="auto" w:fill="auto"/>
          </w:tcPr>
          <w:p w14:paraId="27148ACD" w14:textId="77777777" w:rsidR="004106D5" w:rsidRPr="00531366" w:rsidRDefault="004106D5" w:rsidP="000C7A5D">
            <w:pPr>
              <w:rPr>
                <w:rFonts w:ascii="Arial" w:hAnsi="Arial" w:cs="Arial"/>
                <w:sz w:val="20"/>
                <w:szCs w:val="20"/>
              </w:rPr>
            </w:pPr>
          </w:p>
        </w:tc>
        <w:tc>
          <w:tcPr>
            <w:tcW w:w="5940" w:type="dxa"/>
            <w:gridSpan w:val="2"/>
            <w:shd w:val="clear" w:color="auto" w:fill="auto"/>
          </w:tcPr>
          <w:p w14:paraId="5A1D997C" w14:textId="77777777" w:rsidR="004106D5" w:rsidRPr="00531366" w:rsidRDefault="004106D5" w:rsidP="000C7A5D">
            <w:pPr>
              <w:rPr>
                <w:rFonts w:ascii="Arial" w:hAnsi="Arial" w:cs="Arial"/>
                <w:sz w:val="20"/>
                <w:szCs w:val="20"/>
              </w:rPr>
            </w:pPr>
          </w:p>
        </w:tc>
      </w:tr>
    </w:tbl>
    <w:p w14:paraId="667E1AD4" w14:textId="77777777" w:rsidR="004106D5" w:rsidRDefault="004106D5" w:rsidP="004106D5">
      <w:pPr>
        <w:sectPr w:rsidR="004106D5" w:rsidSect="008A00F6">
          <w:pgSz w:w="12240" w:h="15840"/>
          <w:pgMar w:top="1440" w:right="1440" w:bottom="1440" w:left="1440" w:header="720" w:footer="720" w:gutter="0"/>
          <w:cols w:space="720"/>
          <w:docGrid w:linePitch="360"/>
        </w:sectPr>
      </w:pPr>
    </w:p>
    <w:tbl>
      <w:tblPr>
        <w:tblW w:w="0" w:type="auto"/>
        <w:tblLook w:val="04A0" w:firstRow="1" w:lastRow="0" w:firstColumn="1" w:lastColumn="0" w:noHBand="0" w:noVBand="1"/>
      </w:tblPr>
      <w:tblGrid>
        <w:gridCol w:w="3618"/>
        <w:gridCol w:w="5868"/>
      </w:tblGrid>
      <w:tr w:rsidR="004106D5" w:rsidRPr="003F48A1" w14:paraId="3AA51290" w14:textId="77777777" w:rsidTr="000C7A5D">
        <w:tc>
          <w:tcPr>
            <w:tcW w:w="3618" w:type="dxa"/>
            <w:shd w:val="clear" w:color="auto" w:fill="auto"/>
          </w:tcPr>
          <w:p w14:paraId="0ED81893" w14:textId="77777777" w:rsidR="004106D5" w:rsidRPr="00531366" w:rsidRDefault="004106D5" w:rsidP="000C7A5D">
            <w:pPr>
              <w:spacing w:after="0" w:line="240" w:lineRule="auto"/>
              <w:rPr>
                <w:rFonts w:ascii="Arial" w:hAnsi="Arial" w:cs="Arial"/>
                <w:b/>
                <w:sz w:val="24"/>
                <w:szCs w:val="24"/>
              </w:rPr>
            </w:pPr>
            <w:r w:rsidRPr="00531366">
              <w:rPr>
                <w:rFonts w:ascii="Arial" w:hAnsi="Arial" w:cs="Arial"/>
                <w:b/>
                <w:sz w:val="24"/>
                <w:szCs w:val="24"/>
              </w:rPr>
              <w:t xml:space="preserve">PERFORMANCE MEASURE </w:t>
            </w:r>
            <w:r w:rsidRPr="00531366">
              <w:rPr>
                <w:rFonts w:ascii="Arial" w:hAnsi="Arial" w:cs="Arial"/>
                <w:b/>
                <w:noProof/>
                <w:sz w:val="24"/>
                <w:szCs w:val="24"/>
              </w:rPr>
              <w:t>3</w:t>
            </w:r>
          </w:p>
        </w:tc>
        <w:tc>
          <w:tcPr>
            <w:tcW w:w="5868" w:type="dxa"/>
            <w:shd w:val="clear" w:color="auto" w:fill="auto"/>
          </w:tcPr>
          <w:p w14:paraId="133385EA" w14:textId="77777777" w:rsidR="004106D5" w:rsidRPr="00531366" w:rsidRDefault="004106D5" w:rsidP="000C7A5D">
            <w:pPr>
              <w:spacing w:after="0" w:line="240" w:lineRule="auto"/>
              <w:rPr>
                <w:rFonts w:ascii="Arial" w:hAnsi="Arial" w:cs="Arial"/>
                <w:b/>
                <w:sz w:val="24"/>
                <w:szCs w:val="24"/>
              </w:rPr>
            </w:pPr>
            <w:r w:rsidRPr="00531366">
              <w:rPr>
                <w:rFonts w:ascii="Arial" w:hAnsi="Arial" w:cs="Arial"/>
                <w:b/>
                <w:noProof/>
                <w:sz w:val="24"/>
                <w:szCs w:val="24"/>
              </w:rPr>
              <w:t>Percent of very low birth weight (VLBW) infants born in a hospital with a Level III+ Neonatal Intensive Care Unit (NICU)</w:t>
            </w:r>
          </w:p>
        </w:tc>
      </w:tr>
    </w:tbl>
    <w:p w14:paraId="69C5ECC3" w14:textId="77777777" w:rsidR="004106D5" w:rsidRDefault="004106D5" w:rsidP="004106D5"/>
    <w:p w14:paraId="6918D57F" w14:textId="77777777" w:rsidR="004106D5" w:rsidRDefault="004106D5" w:rsidP="004106D5">
      <w:r>
        <w:rPr>
          <w:noProof/>
        </w:rPr>
        <mc:AlternateContent>
          <mc:Choice Requires="wps">
            <w:drawing>
              <wp:anchor distT="4294967295" distB="4294967295" distL="114300" distR="114300" simplePos="0" relativeHeight="251794432" behindDoc="0" locked="0" layoutInCell="1" allowOverlap="1" wp14:anchorId="28197F6E" wp14:editId="753A646B">
                <wp:simplePos x="0" y="0"/>
                <wp:positionH relativeFrom="column">
                  <wp:posOffset>-60960</wp:posOffset>
                </wp:positionH>
                <wp:positionV relativeFrom="paragraph">
                  <wp:posOffset>31749</wp:posOffset>
                </wp:positionV>
                <wp:extent cx="6088380" cy="0"/>
                <wp:effectExtent l="0" t="0" r="26670" b="19050"/>
                <wp:wrapNone/>
                <wp:docPr id="1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D1CDC88" id="Straight Connector 3" o:spid="_x0000_s1026" style="position:absolute;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" strokecolor="windowText" strokeweight="1.75pt">
                <o:lock v:ext="edit" shapetype="f"/>
              </v:line>
            </w:pict>
          </mc:Fallback>
        </mc:AlternateContent>
      </w:r>
    </w:p>
    <w:tbl>
      <w:tblPr>
        <w:tblW w:w="0" w:type="auto"/>
        <w:tblLook w:val="04A0" w:firstRow="1" w:lastRow="0" w:firstColumn="1" w:lastColumn="0" w:noHBand="0" w:noVBand="1"/>
      </w:tblPr>
      <w:tblGrid>
        <w:gridCol w:w="3542"/>
        <w:gridCol w:w="3192"/>
        <w:gridCol w:w="2626"/>
      </w:tblGrid>
      <w:tr w:rsidR="004106D5" w:rsidRPr="00515E1C" w14:paraId="40A99B68" w14:textId="77777777" w:rsidTr="00FB0985">
        <w:tc>
          <w:tcPr>
            <w:tcW w:w="3542" w:type="dxa"/>
            <w:shd w:val="clear" w:color="auto" w:fill="auto"/>
          </w:tcPr>
          <w:p w14:paraId="78C34F1C" w14:textId="77777777" w:rsidR="004106D5" w:rsidRPr="00531366" w:rsidRDefault="004106D5" w:rsidP="000C7A5D">
            <w:pPr>
              <w:rPr>
                <w:rFonts w:ascii="Arial" w:hAnsi="Arial" w:cs="Arial"/>
                <w:b/>
                <w:sz w:val="20"/>
                <w:szCs w:val="20"/>
              </w:rPr>
            </w:pPr>
            <w:r w:rsidRPr="00531366">
              <w:rPr>
                <w:rFonts w:ascii="Arial" w:hAnsi="Arial" w:cs="Arial"/>
                <w:b/>
                <w:sz w:val="20"/>
                <w:szCs w:val="20"/>
              </w:rPr>
              <w:t>GOAL</w:t>
            </w:r>
          </w:p>
        </w:tc>
        <w:tc>
          <w:tcPr>
            <w:tcW w:w="5818" w:type="dxa"/>
            <w:gridSpan w:val="2"/>
            <w:shd w:val="clear" w:color="auto" w:fill="auto"/>
          </w:tcPr>
          <w:p w14:paraId="77BEED8A" w14:textId="77777777" w:rsidR="004106D5" w:rsidRDefault="004106D5" w:rsidP="000C7A5D">
            <w:pPr>
              <w:spacing w:after="0" w:line="240" w:lineRule="auto"/>
              <w:rPr>
                <w:rFonts w:ascii="Arial" w:hAnsi="Arial" w:cs="Arial"/>
                <w:noProof/>
                <w:sz w:val="20"/>
                <w:szCs w:val="20"/>
              </w:rPr>
            </w:pPr>
            <w:r w:rsidRPr="00531366">
              <w:rPr>
                <w:rFonts w:ascii="Arial" w:hAnsi="Arial" w:cs="Arial"/>
                <w:noProof/>
                <w:sz w:val="20"/>
                <w:szCs w:val="20"/>
              </w:rPr>
              <w:t>To ensure that higher risk mothers and newborns deliver at appropriate level hospitals.</w:t>
            </w:r>
          </w:p>
          <w:p w14:paraId="72ABB773" w14:textId="77777777" w:rsidR="004106D5" w:rsidRPr="00531366" w:rsidRDefault="004106D5" w:rsidP="000C7A5D">
            <w:pPr>
              <w:spacing w:after="0" w:line="240" w:lineRule="auto"/>
              <w:rPr>
                <w:rFonts w:ascii="Arial" w:hAnsi="Arial" w:cs="Arial"/>
                <w:sz w:val="20"/>
                <w:szCs w:val="20"/>
              </w:rPr>
            </w:pPr>
          </w:p>
        </w:tc>
      </w:tr>
      <w:tr w:rsidR="004106D5" w:rsidRPr="00515E1C" w14:paraId="75E605C6" w14:textId="77777777" w:rsidTr="00FB0985">
        <w:trPr>
          <w:trHeight w:val="261"/>
        </w:trPr>
        <w:tc>
          <w:tcPr>
            <w:tcW w:w="3542" w:type="dxa"/>
            <w:shd w:val="clear" w:color="auto" w:fill="auto"/>
          </w:tcPr>
          <w:p w14:paraId="45BBBC86" w14:textId="77777777" w:rsidR="004106D5" w:rsidRPr="00531366" w:rsidRDefault="004106D5" w:rsidP="000C7A5D">
            <w:pPr>
              <w:rPr>
                <w:rFonts w:ascii="Arial" w:hAnsi="Arial" w:cs="Arial"/>
                <w:b/>
                <w:sz w:val="20"/>
                <w:szCs w:val="20"/>
              </w:rPr>
            </w:pPr>
            <w:r w:rsidRPr="00531366">
              <w:rPr>
                <w:rFonts w:ascii="Arial" w:hAnsi="Arial" w:cs="Arial"/>
                <w:b/>
                <w:sz w:val="20"/>
                <w:szCs w:val="20"/>
              </w:rPr>
              <w:t>DEFINITION</w:t>
            </w:r>
          </w:p>
        </w:tc>
        <w:tc>
          <w:tcPr>
            <w:tcW w:w="5818" w:type="dxa"/>
            <w:gridSpan w:val="2"/>
            <w:shd w:val="clear" w:color="auto" w:fill="auto"/>
          </w:tcPr>
          <w:p w14:paraId="4E3C2F0E"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Numerator:</w:t>
            </w:r>
          </w:p>
        </w:tc>
      </w:tr>
      <w:tr w:rsidR="004106D5" w:rsidRPr="00515E1C" w14:paraId="4C5FD173" w14:textId="77777777" w:rsidTr="00FB0985">
        <w:trPr>
          <w:trHeight w:val="360"/>
        </w:trPr>
        <w:tc>
          <w:tcPr>
            <w:tcW w:w="3542" w:type="dxa"/>
            <w:shd w:val="clear" w:color="auto" w:fill="auto"/>
          </w:tcPr>
          <w:p w14:paraId="14786708" w14:textId="77777777" w:rsidR="004106D5" w:rsidRPr="00531366" w:rsidRDefault="004106D5" w:rsidP="000C7A5D">
            <w:pPr>
              <w:rPr>
                <w:rFonts w:ascii="Arial" w:hAnsi="Arial" w:cs="Arial"/>
                <w:b/>
                <w:sz w:val="20"/>
                <w:szCs w:val="20"/>
              </w:rPr>
            </w:pPr>
          </w:p>
        </w:tc>
        <w:tc>
          <w:tcPr>
            <w:tcW w:w="5818" w:type="dxa"/>
            <w:gridSpan w:val="2"/>
            <w:shd w:val="clear" w:color="auto" w:fill="auto"/>
          </w:tcPr>
          <w:p w14:paraId="6A15592C" w14:textId="77777777" w:rsidR="004106D5" w:rsidRDefault="004106D5" w:rsidP="000C7A5D">
            <w:pPr>
              <w:spacing w:after="0" w:line="240" w:lineRule="auto"/>
              <w:rPr>
                <w:rFonts w:ascii="Arial" w:hAnsi="Arial" w:cs="Arial"/>
                <w:noProof/>
                <w:sz w:val="20"/>
                <w:szCs w:val="20"/>
              </w:rPr>
            </w:pPr>
            <w:r>
              <w:rPr>
                <w:rFonts w:ascii="Arial" w:hAnsi="Arial" w:cs="Arial"/>
                <w:noProof/>
                <w:sz w:val="20"/>
                <w:szCs w:val="20"/>
              </w:rPr>
              <w:t xml:space="preserve">Number of </w:t>
            </w:r>
            <w:r w:rsidRPr="00531366">
              <w:rPr>
                <w:rFonts w:ascii="Arial" w:hAnsi="Arial" w:cs="Arial"/>
                <w:noProof/>
                <w:sz w:val="20"/>
                <w:szCs w:val="20"/>
              </w:rPr>
              <w:t>VLBW infants born in a hospital with a level III or higher NICU</w:t>
            </w:r>
          </w:p>
          <w:p w14:paraId="500AE0D3" w14:textId="77777777" w:rsidR="004106D5" w:rsidRPr="00531366" w:rsidRDefault="004106D5" w:rsidP="000C7A5D">
            <w:pPr>
              <w:spacing w:after="0" w:line="240" w:lineRule="auto"/>
              <w:rPr>
                <w:rFonts w:ascii="Arial" w:hAnsi="Arial" w:cs="Arial"/>
                <w:sz w:val="20"/>
                <w:szCs w:val="20"/>
              </w:rPr>
            </w:pPr>
          </w:p>
        </w:tc>
      </w:tr>
      <w:tr w:rsidR="004106D5" w:rsidRPr="00515E1C" w14:paraId="57037300" w14:textId="77777777" w:rsidTr="00FB0985">
        <w:tc>
          <w:tcPr>
            <w:tcW w:w="3542" w:type="dxa"/>
            <w:shd w:val="clear" w:color="auto" w:fill="auto"/>
          </w:tcPr>
          <w:p w14:paraId="12F2F79B" w14:textId="77777777" w:rsidR="004106D5" w:rsidRPr="00531366" w:rsidRDefault="004106D5" w:rsidP="000C7A5D">
            <w:pPr>
              <w:rPr>
                <w:rFonts w:ascii="Arial" w:hAnsi="Arial" w:cs="Arial"/>
                <w:b/>
                <w:sz w:val="20"/>
                <w:szCs w:val="20"/>
              </w:rPr>
            </w:pPr>
          </w:p>
        </w:tc>
        <w:tc>
          <w:tcPr>
            <w:tcW w:w="5818" w:type="dxa"/>
            <w:gridSpan w:val="2"/>
            <w:shd w:val="clear" w:color="auto" w:fill="auto"/>
          </w:tcPr>
          <w:p w14:paraId="0E11AC16"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Denominator:</w:t>
            </w:r>
          </w:p>
        </w:tc>
      </w:tr>
      <w:tr w:rsidR="004106D5" w:rsidRPr="00515E1C" w14:paraId="30ECFE08" w14:textId="77777777" w:rsidTr="00FB0985">
        <w:tc>
          <w:tcPr>
            <w:tcW w:w="3542" w:type="dxa"/>
            <w:shd w:val="clear" w:color="auto" w:fill="auto"/>
          </w:tcPr>
          <w:p w14:paraId="3A5FAAE1" w14:textId="77777777" w:rsidR="004106D5" w:rsidRPr="00531366" w:rsidRDefault="004106D5" w:rsidP="000C7A5D">
            <w:pPr>
              <w:rPr>
                <w:rFonts w:ascii="Arial" w:hAnsi="Arial" w:cs="Arial"/>
                <w:b/>
                <w:sz w:val="20"/>
                <w:szCs w:val="20"/>
              </w:rPr>
            </w:pPr>
          </w:p>
        </w:tc>
        <w:tc>
          <w:tcPr>
            <w:tcW w:w="5818" w:type="dxa"/>
            <w:gridSpan w:val="2"/>
            <w:shd w:val="clear" w:color="auto" w:fill="auto"/>
          </w:tcPr>
          <w:p w14:paraId="032B5874" w14:textId="77777777" w:rsidR="004106D5" w:rsidRPr="00531366" w:rsidRDefault="004106D5" w:rsidP="000C7A5D">
            <w:pPr>
              <w:spacing w:after="0" w:line="240" w:lineRule="auto"/>
              <w:rPr>
                <w:rFonts w:ascii="Arial" w:hAnsi="Arial" w:cs="Arial"/>
                <w:sz w:val="20"/>
                <w:szCs w:val="20"/>
              </w:rPr>
            </w:pPr>
            <w:r>
              <w:rPr>
                <w:rFonts w:ascii="Arial" w:hAnsi="Arial" w:cs="Arial"/>
                <w:noProof/>
                <w:sz w:val="20"/>
                <w:szCs w:val="20"/>
              </w:rPr>
              <w:t xml:space="preserve">Number of </w:t>
            </w:r>
            <w:r w:rsidRPr="00531366">
              <w:rPr>
                <w:rFonts w:ascii="Arial" w:hAnsi="Arial" w:cs="Arial"/>
                <w:noProof/>
                <w:sz w:val="20"/>
                <w:szCs w:val="20"/>
              </w:rPr>
              <w:t>VLBW infants (&lt; 1500 grams)</w:t>
            </w:r>
          </w:p>
        </w:tc>
      </w:tr>
      <w:tr w:rsidR="004106D5" w:rsidRPr="00515E1C" w14:paraId="7B2BA291" w14:textId="77777777" w:rsidTr="00FB0985">
        <w:tc>
          <w:tcPr>
            <w:tcW w:w="3542" w:type="dxa"/>
            <w:shd w:val="clear" w:color="auto" w:fill="auto"/>
          </w:tcPr>
          <w:p w14:paraId="0EDA52FA" w14:textId="77777777" w:rsidR="004106D5" w:rsidRPr="00531366" w:rsidRDefault="004106D5" w:rsidP="000C7A5D">
            <w:pPr>
              <w:rPr>
                <w:rFonts w:ascii="Arial" w:hAnsi="Arial" w:cs="Arial"/>
                <w:b/>
                <w:sz w:val="20"/>
                <w:szCs w:val="20"/>
              </w:rPr>
            </w:pPr>
          </w:p>
        </w:tc>
        <w:tc>
          <w:tcPr>
            <w:tcW w:w="3192" w:type="dxa"/>
            <w:shd w:val="clear" w:color="auto" w:fill="auto"/>
          </w:tcPr>
          <w:p w14:paraId="68ADF1AC"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b/>
                <w:sz w:val="20"/>
                <w:szCs w:val="20"/>
              </w:rPr>
              <w:t>Units:</w:t>
            </w:r>
            <w:r w:rsidRPr="00531366">
              <w:rPr>
                <w:rFonts w:ascii="Arial" w:hAnsi="Arial" w:cs="Arial"/>
                <w:sz w:val="20"/>
                <w:szCs w:val="20"/>
              </w:rPr>
              <w:t xml:space="preserve"> </w:t>
            </w:r>
            <w:r w:rsidRPr="00531366">
              <w:rPr>
                <w:rFonts w:ascii="Arial" w:hAnsi="Arial" w:cs="Arial"/>
                <w:noProof/>
                <w:sz w:val="20"/>
                <w:szCs w:val="20"/>
              </w:rPr>
              <w:t>100</w:t>
            </w:r>
          </w:p>
        </w:tc>
        <w:tc>
          <w:tcPr>
            <w:tcW w:w="2626" w:type="dxa"/>
            <w:shd w:val="clear" w:color="auto" w:fill="auto"/>
          </w:tcPr>
          <w:p w14:paraId="741D3DCE" w14:textId="77777777" w:rsidR="004106D5" w:rsidRDefault="004106D5" w:rsidP="000C7A5D">
            <w:pPr>
              <w:spacing w:after="0" w:line="240" w:lineRule="auto"/>
              <w:rPr>
                <w:rFonts w:ascii="Arial" w:hAnsi="Arial" w:cs="Arial"/>
                <w:noProof/>
                <w:sz w:val="20"/>
                <w:szCs w:val="20"/>
              </w:rPr>
            </w:pPr>
            <w:r w:rsidRPr="00531366">
              <w:rPr>
                <w:rFonts w:ascii="Arial" w:hAnsi="Arial" w:cs="Arial"/>
                <w:b/>
                <w:sz w:val="20"/>
                <w:szCs w:val="20"/>
              </w:rPr>
              <w:t>Text:</w:t>
            </w:r>
            <w:r w:rsidRPr="00531366">
              <w:rPr>
                <w:rFonts w:ascii="Arial" w:hAnsi="Arial" w:cs="Arial"/>
                <w:sz w:val="20"/>
                <w:szCs w:val="20"/>
              </w:rPr>
              <w:t xml:space="preserve"> </w:t>
            </w:r>
            <w:r w:rsidRPr="00531366">
              <w:rPr>
                <w:rFonts w:ascii="Arial" w:hAnsi="Arial" w:cs="Arial"/>
                <w:noProof/>
                <w:sz w:val="20"/>
                <w:szCs w:val="20"/>
              </w:rPr>
              <w:t>Percent</w:t>
            </w:r>
          </w:p>
          <w:p w14:paraId="20D8FE60" w14:textId="77777777" w:rsidR="004106D5" w:rsidRDefault="004106D5" w:rsidP="000C7A5D">
            <w:pPr>
              <w:spacing w:after="0" w:line="240" w:lineRule="auto"/>
              <w:rPr>
                <w:rFonts w:ascii="Arial" w:hAnsi="Arial" w:cs="Arial"/>
                <w:noProof/>
                <w:sz w:val="20"/>
                <w:szCs w:val="20"/>
              </w:rPr>
            </w:pPr>
          </w:p>
          <w:p w14:paraId="3FA36A23" w14:textId="77777777" w:rsidR="004106D5" w:rsidRPr="00531366" w:rsidRDefault="004106D5" w:rsidP="000C7A5D">
            <w:pPr>
              <w:spacing w:after="0" w:line="240" w:lineRule="auto"/>
              <w:rPr>
                <w:rFonts w:ascii="Arial" w:hAnsi="Arial" w:cs="Arial"/>
                <w:sz w:val="20"/>
                <w:szCs w:val="20"/>
              </w:rPr>
            </w:pPr>
          </w:p>
        </w:tc>
      </w:tr>
      <w:tr w:rsidR="004106D5" w:rsidRPr="00515E1C" w14:paraId="3AB895F1" w14:textId="77777777" w:rsidTr="00FB0985">
        <w:tc>
          <w:tcPr>
            <w:tcW w:w="3542" w:type="dxa"/>
            <w:shd w:val="clear" w:color="auto" w:fill="auto"/>
          </w:tcPr>
          <w:p w14:paraId="54089D6B" w14:textId="77777777" w:rsidR="004106D5" w:rsidRPr="00531366" w:rsidRDefault="004106D5" w:rsidP="000C7A5D">
            <w:pPr>
              <w:rPr>
                <w:rFonts w:ascii="Arial" w:hAnsi="Arial" w:cs="Arial"/>
                <w:b/>
                <w:sz w:val="20"/>
                <w:szCs w:val="20"/>
              </w:rPr>
            </w:pPr>
            <w:r w:rsidRPr="00531366">
              <w:rPr>
                <w:rFonts w:ascii="Arial" w:hAnsi="Arial" w:cs="Arial"/>
                <w:b/>
                <w:sz w:val="20"/>
                <w:szCs w:val="20"/>
              </w:rPr>
              <w:t>HEALTHY PEOPLE 2020 OBJECTIVE</w:t>
            </w:r>
          </w:p>
        </w:tc>
        <w:tc>
          <w:tcPr>
            <w:tcW w:w="5818" w:type="dxa"/>
            <w:gridSpan w:val="2"/>
            <w:shd w:val="clear" w:color="auto" w:fill="auto"/>
          </w:tcPr>
          <w:p w14:paraId="698BFEBD"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noProof/>
                <w:sz w:val="20"/>
                <w:szCs w:val="20"/>
              </w:rPr>
              <w:t>Related to Maternal, Infant, and Child Health (MICH) Objective 33:   Increase the proportion of VLBW infants born at level III hospitals or subspecialty perinatal centers (Baseline: 75%, Target: 83.7%)</w:t>
            </w:r>
          </w:p>
        </w:tc>
      </w:tr>
      <w:tr w:rsidR="004106D5" w:rsidRPr="00515E1C" w14:paraId="0CBBA803" w14:textId="77777777" w:rsidTr="00FB0985">
        <w:tc>
          <w:tcPr>
            <w:tcW w:w="3542" w:type="dxa"/>
            <w:shd w:val="clear" w:color="auto" w:fill="auto"/>
          </w:tcPr>
          <w:p w14:paraId="565D0D00" w14:textId="77777777" w:rsidR="004106D5" w:rsidRPr="00531366" w:rsidRDefault="004106D5" w:rsidP="000C7A5D">
            <w:pPr>
              <w:rPr>
                <w:rFonts w:ascii="Arial" w:hAnsi="Arial" w:cs="Arial"/>
                <w:b/>
                <w:sz w:val="20"/>
                <w:szCs w:val="20"/>
              </w:rPr>
            </w:pPr>
          </w:p>
        </w:tc>
        <w:tc>
          <w:tcPr>
            <w:tcW w:w="5818" w:type="dxa"/>
            <w:gridSpan w:val="2"/>
            <w:shd w:val="clear" w:color="auto" w:fill="auto"/>
          </w:tcPr>
          <w:p w14:paraId="4AC899A8" w14:textId="77777777" w:rsidR="004106D5" w:rsidRPr="00531366" w:rsidRDefault="004106D5" w:rsidP="000C7A5D">
            <w:pPr>
              <w:spacing w:after="0" w:line="240" w:lineRule="auto"/>
              <w:rPr>
                <w:rFonts w:ascii="Arial" w:hAnsi="Arial" w:cs="Arial"/>
                <w:sz w:val="20"/>
                <w:szCs w:val="20"/>
              </w:rPr>
            </w:pPr>
          </w:p>
        </w:tc>
      </w:tr>
      <w:tr w:rsidR="004106D5" w:rsidRPr="00515E1C" w14:paraId="2AB53FCE" w14:textId="77777777" w:rsidTr="00FB0985">
        <w:tc>
          <w:tcPr>
            <w:tcW w:w="3542" w:type="dxa"/>
            <w:shd w:val="clear" w:color="auto" w:fill="auto"/>
          </w:tcPr>
          <w:p w14:paraId="162936BC" w14:textId="77777777" w:rsidR="004106D5" w:rsidRPr="00531366" w:rsidRDefault="004106D5" w:rsidP="000C7A5D">
            <w:pPr>
              <w:rPr>
                <w:rFonts w:ascii="Arial" w:hAnsi="Arial" w:cs="Arial"/>
                <w:b/>
                <w:sz w:val="20"/>
                <w:szCs w:val="20"/>
              </w:rPr>
            </w:pPr>
            <w:r w:rsidRPr="00531366">
              <w:rPr>
                <w:rFonts w:ascii="Arial" w:hAnsi="Arial" w:cs="Arial"/>
                <w:b/>
                <w:sz w:val="20"/>
                <w:szCs w:val="20"/>
              </w:rPr>
              <w:t>DATA SOURCES and DATA ISSUES</w:t>
            </w:r>
          </w:p>
        </w:tc>
        <w:tc>
          <w:tcPr>
            <w:tcW w:w="5818" w:type="dxa"/>
            <w:gridSpan w:val="2"/>
            <w:shd w:val="clear" w:color="auto" w:fill="auto"/>
          </w:tcPr>
          <w:p w14:paraId="46259440"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noProof/>
                <w:sz w:val="20"/>
                <w:szCs w:val="20"/>
              </w:rPr>
              <w:t>Linked birth certificate and hospital data on NICU levels from American Academy of Pediatrics (AAP)</w:t>
            </w:r>
          </w:p>
        </w:tc>
      </w:tr>
      <w:tr w:rsidR="004106D5" w:rsidRPr="00515E1C" w14:paraId="3C37FD65" w14:textId="77777777" w:rsidTr="00FB0985">
        <w:tc>
          <w:tcPr>
            <w:tcW w:w="3542" w:type="dxa"/>
            <w:shd w:val="clear" w:color="auto" w:fill="auto"/>
          </w:tcPr>
          <w:p w14:paraId="065D928A" w14:textId="77777777" w:rsidR="004106D5" w:rsidRDefault="004106D5" w:rsidP="000C7A5D">
            <w:pPr>
              <w:spacing w:after="0" w:line="240" w:lineRule="auto"/>
              <w:rPr>
                <w:rFonts w:ascii="Arial" w:hAnsi="Arial" w:cs="Arial"/>
                <w:b/>
                <w:sz w:val="20"/>
                <w:szCs w:val="20"/>
              </w:rPr>
            </w:pPr>
          </w:p>
          <w:p w14:paraId="4ECB5D4C" w14:textId="77777777" w:rsidR="004106D5" w:rsidRDefault="004106D5" w:rsidP="000C7A5D">
            <w:pPr>
              <w:spacing w:after="0" w:line="240" w:lineRule="auto"/>
              <w:rPr>
                <w:rFonts w:ascii="Arial" w:hAnsi="Arial" w:cs="Arial"/>
                <w:b/>
                <w:sz w:val="20"/>
                <w:szCs w:val="20"/>
              </w:rPr>
            </w:pPr>
            <w:r>
              <w:rPr>
                <w:rFonts w:ascii="Arial" w:hAnsi="Arial" w:cs="Arial"/>
                <w:b/>
                <w:sz w:val="20"/>
                <w:szCs w:val="20"/>
              </w:rPr>
              <w:t>MCH POPULATION DOMAIN</w:t>
            </w:r>
          </w:p>
          <w:p w14:paraId="6AC70A0B" w14:textId="77777777" w:rsidR="004106D5" w:rsidRPr="00531366" w:rsidRDefault="004106D5" w:rsidP="000C7A5D">
            <w:pPr>
              <w:spacing w:after="0" w:line="240" w:lineRule="auto"/>
              <w:rPr>
                <w:rFonts w:ascii="Arial" w:hAnsi="Arial" w:cs="Arial"/>
                <w:b/>
                <w:sz w:val="20"/>
                <w:szCs w:val="20"/>
              </w:rPr>
            </w:pPr>
          </w:p>
        </w:tc>
        <w:tc>
          <w:tcPr>
            <w:tcW w:w="5818" w:type="dxa"/>
            <w:gridSpan w:val="2"/>
            <w:shd w:val="clear" w:color="auto" w:fill="auto"/>
          </w:tcPr>
          <w:p w14:paraId="70D9353D" w14:textId="77777777" w:rsidR="004106D5" w:rsidRDefault="004106D5" w:rsidP="000C7A5D">
            <w:pPr>
              <w:spacing w:after="0" w:line="240" w:lineRule="auto"/>
              <w:rPr>
                <w:rFonts w:ascii="Arial" w:hAnsi="Arial" w:cs="Arial"/>
                <w:sz w:val="20"/>
                <w:szCs w:val="20"/>
              </w:rPr>
            </w:pPr>
          </w:p>
          <w:p w14:paraId="57DC5F11" w14:textId="77777777" w:rsidR="004106D5" w:rsidRPr="00531366" w:rsidRDefault="004106D5" w:rsidP="000C7A5D">
            <w:pPr>
              <w:spacing w:after="0" w:line="240" w:lineRule="auto"/>
              <w:rPr>
                <w:rFonts w:ascii="Arial" w:hAnsi="Arial" w:cs="Arial"/>
                <w:sz w:val="20"/>
                <w:szCs w:val="20"/>
              </w:rPr>
            </w:pPr>
            <w:r w:rsidRPr="00DD16CC">
              <w:rPr>
                <w:rFonts w:ascii="Arial" w:hAnsi="Arial" w:cs="Arial"/>
                <w:sz w:val="20"/>
                <w:szCs w:val="20"/>
              </w:rPr>
              <w:t>Perinatal/Infant Health</w:t>
            </w:r>
          </w:p>
        </w:tc>
      </w:tr>
      <w:tr w:rsidR="004106D5" w:rsidRPr="00515E1C" w14:paraId="561EFB54" w14:textId="77777777" w:rsidTr="00FB0985">
        <w:tc>
          <w:tcPr>
            <w:tcW w:w="3542" w:type="dxa"/>
            <w:shd w:val="clear" w:color="auto" w:fill="auto"/>
          </w:tcPr>
          <w:p w14:paraId="4B00ECF3" w14:textId="77777777" w:rsidR="004106D5" w:rsidRPr="00531366" w:rsidRDefault="004106D5" w:rsidP="000C7A5D">
            <w:pPr>
              <w:rPr>
                <w:rFonts w:ascii="Arial" w:hAnsi="Arial" w:cs="Arial"/>
                <w:b/>
                <w:sz w:val="20"/>
                <w:szCs w:val="20"/>
              </w:rPr>
            </w:pPr>
            <w:r w:rsidRPr="00531366">
              <w:rPr>
                <w:rFonts w:ascii="Arial" w:hAnsi="Arial" w:cs="Arial"/>
                <w:b/>
                <w:sz w:val="20"/>
                <w:szCs w:val="20"/>
              </w:rPr>
              <w:t>SIGNIFICANCE</w:t>
            </w:r>
          </w:p>
        </w:tc>
        <w:tc>
          <w:tcPr>
            <w:tcW w:w="5818" w:type="dxa"/>
            <w:gridSpan w:val="2"/>
            <w:shd w:val="clear" w:color="auto" w:fill="auto"/>
          </w:tcPr>
          <w:p w14:paraId="7D8EF745" w14:textId="77777777" w:rsidR="004106D5" w:rsidRDefault="004106D5" w:rsidP="000C7A5D">
            <w:pPr>
              <w:spacing w:after="0" w:line="240" w:lineRule="auto"/>
              <w:rPr>
                <w:rFonts w:ascii="Arial" w:hAnsi="Arial" w:cs="Arial"/>
                <w:noProof/>
                <w:sz w:val="20"/>
                <w:szCs w:val="20"/>
              </w:rPr>
            </w:pPr>
            <w:r w:rsidRPr="00531366">
              <w:rPr>
                <w:rFonts w:ascii="Arial" w:hAnsi="Arial" w:cs="Arial"/>
                <w:noProof/>
                <w:sz w:val="20"/>
                <w:szCs w:val="20"/>
              </w:rPr>
              <w:t xml:space="preserve">Very low birth weight infants (&lt;1,500 grams or 3.25 pounds)  are the most fragile newborns.  Although they represented less than 2% of all births in 2010, VLBW infants accounted for 53% of all infant deaths, with a risk of death over 100 times higher than that of normal birth weight infants (≥2,500 grams or 5.5 pounds).   VLBW infants are significantly more likely to survive and thrive when born in a facility with a level-III Neonatal Intensive Care Unit (NICU), a subspecialty facility equipped to handle high-risk neonates.  In 2012, the AAP provided updated guidelines on the definitions of neonatal levels of care to include Level I (basic care), Level II (specialty care), and Levels III and IV (subspecialty intensive care) based on the availability of appropriate personnel, physical space, equipment, and organization.  Given overwhelming evidence of improved outcomes, the AAP recommends that VLBW and/or very preterm infants (&lt;32 weeks’ gestation) be born in only level III or IV facilities.  </w:t>
            </w:r>
          </w:p>
          <w:p w14:paraId="70B11FD4" w14:textId="77777777" w:rsidR="004106D5" w:rsidRPr="00531366" w:rsidRDefault="004106D5" w:rsidP="000C7A5D">
            <w:pPr>
              <w:spacing w:after="0" w:line="240" w:lineRule="auto"/>
              <w:rPr>
                <w:rFonts w:ascii="Arial" w:hAnsi="Arial" w:cs="Arial"/>
                <w:sz w:val="20"/>
                <w:szCs w:val="20"/>
              </w:rPr>
            </w:pPr>
            <w:r w:rsidRPr="00D14F97">
              <w:rPr>
                <w:rFonts w:ascii="Arial" w:hAnsi="Arial" w:cs="Arial"/>
                <w:sz w:val="20"/>
                <w:szCs w:val="18"/>
              </w:rPr>
              <w:t xml:space="preserve">American Academy of Pediatrics Committee on Fetus And Newborn. Levels of neonatal care. Pediatrics. 2012 Sep;130(3):587-97. </w:t>
            </w:r>
            <w:hyperlink r:id="rId126" w:history="1">
              <w:r w:rsidRPr="00D14F97">
                <w:rPr>
                  <w:rFonts w:ascii="Arial" w:hAnsi="Arial" w:cs="Arial"/>
                  <w:color w:val="0000FF"/>
                  <w:sz w:val="20"/>
                  <w:szCs w:val="18"/>
                  <w:u w:val="single"/>
                </w:rPr>
                <w:t>http://pediatrics.aappublications.org/content/130/3/587</w:t>
              </w:r>
            </w:hyperlink>
          </w:p>
        </w:tc>
      </w:tr>
      <w:tr w:rsidR="004106D5" w:rsidRPr="00515E1C" w14:paraId="605CABDB" w14:textId="77777777" w:rsidTr="00FB0985">
        <w:tc>
          <w:tcPr>
            <w:tcW w:w="3542" w:type="dxa"/>
            <w:shd w:val="clear" w:color="auto" w:fill="auto"/>
          </w:tcPr>
          <w:p w14:paraId="7D9CB455" w14:textId="77777777" w:rsidR="004106D5" w:rsidRPr="00531366" w:rsidRDefault="004106D5" w:rsidP="000C7A5D">
            <w:pPr>
              <w:rPr>
                <w:rFonts w:ascii="Arial" w:hAnsi="Arial" w:cs="Arial"/>
                <w:sz w:val="20"/>
                <w:szCs w:val="20"/>
              </w:rPr>
            </w:pPr>
          </w:p>
        </w:tc>
        <w:tc>
          <w:tcPr>
            <w:tcW w:w="5818" w:type="dxa"/>
            <w:gridSpan w:val="2"/>
            <w:shd w:val="clear" w:color="auto" w:fill="auto"/>
          </w:tcPr>
          <w:p w14:paraId="7FBF1384" w14:textId="77777777" w:rsidR="004106D5" w:rsidRPr="00531366" w:rsidRDefault="004106D5" w:rsidP="000C7A5D">
            <w:pPr>
              <w:rPr>
                <w:rFonts w:ascii="Arial" w:hAnsi="Arial" w:cs="Arial"/>
                <w:sz w:val="20"/>
                <w:szCs w:val="20"/>
              </w:rPr>
            </w:pPr>
          </w:p>
        </w:tc>
      </w:tr>
      <w:tr w:rsidR="004106D5" w:rsidRPr="003F48A1" w14:paraId="6E0BB464" w14:textId="77777777" w:rsidTr="00FB0985">
        <w:tc>
          <w:tcPr>
            <w:tcW w:w="3542" w:type="dxa"/>
            <w:shd w:val="clear" w:color="auto" w:fill="auto"/>
          </w:tcPr>
          <w:p w14:paraId="5E39E8F8" w14:textId="3379048D" w:rsidR="004106D5" w:rsidRPr="00531366" w:rsidRDefault="004106D5" w:rsidP="00CA7D60">
            <w:pPr>
              <w:spacing w:after="0" w:line="240" w:lineRule="auto"/>
              <w:ind w:right="-75"/>
              <w:rPr>
                <w:rFonts w:ascii="Arial" w:hAnsi="Arial" w:cs="Arial"/>
                <w:b/>
                <w:sz w:val="24"/>
                <w:szCs w:val="24"/>
              </w:rPr>
            </w:pPr>
            <w:r w:rsidRPr="00531366">
              <w:rPr>
                <w:rFonts w:ascii="Arial" w:hAnsi="Arial" w:cs="Arial"/>
                <w:b/>
                <w:sz w:val="24"/>
                <w:szCs w:val="24"/>
              </w:rPr>
              <w:t>PERFORMANCE MEASURE</w:t>
            </w:r>
            <w:r w:rsidR="00CA7D60">
              <w:rPr>
                <w:rFonts w:ascii="Arial" w:hAnsi="Arial" w:cs="Arial"/>
                <w:b/>
                <w:sz w:val="24"/>
                <w:szCs w:val="24"/>
              </w:rPr>
              <w:t xml:space="preserve"> 4</w:t>
            </w:r>
            <w:r w:rsidRPr="00531366">
              <w:rPr>
                <w:rFonts w:ascii="Arial" w:hAnsi="Arial" w:cs="Arial"/>
                <w:b/>
                <w:sz w:val="24"/>
                <w:szCs w:val="24"/>
              </w:rPr>
              <w:t xml:space="preserve"> </w:t>
            </w:r>
          </w:p>
        </w:tc>
        <w:tc>
          <w:tcPr>
            <w:tcW w:w="5818" w:type="dxa"/>
            <w:gridSpan w:val="2"/>
            <w:shd w:val="clear" w:color="auto" w:fill="auto"/>
          </w:tcPr>
          <w:p w14:paraId="6EAB47F6" w14:textId="77777777" w:rsidR="004106D5" w:rsidRDefault="004106D5" w:rsidP="000C7A5D">
            <w:pPr>
              <w:pStyle w:val="ListParagraph"/>
              <w:numPr>
                <w:ilvl w:val="0"/>
                <w:numId w:val="36"/>
              </w:numPr>
              <w:rPr>
                <w:rFonts w:ascii="Arial" w:hAnsi="Arial" w:cs="Arial"/>
                <w:b/>
              </w:rPr>
            </w:pPr>
            <w:r w:rsidRPr="005F5E08">
              <w:rPr>
                <w:rFonts w:ascii="Arial" w:hAnsi="Arial" w:cs="Arial"/>
                <w:b/>
                <w:noProof/>
              </w:rPr>
              <w:t xml:space="preserve">Percent of infants who are ever breastfed and </w:t>
            </w:r>
          </w:p>
          <w:p w14:paraId="3BF4885A" w14:textId="77777777" w:rsidR="004106D5" w:rsidRPr="005F5E08" w:rsidRDefault="004106D5" w:rsidP="000C7A5D">
            <w:pPr>
              <w:pStyle w:val="ListParagraph"/>
              <w:numPr>
                <w:ilvl w:val="0"/>
                <w:numId w:val="36"/>
              </w:numPr>
              <w:rPr>
                <w:rStyle w:val="field-content8"/>
                <w:rFonts w:ascii="Arial" w:hAnsi="Arial" w:cs="Arial"/>
                <w:b/>
              </w:rPr>
            </w:pPr>
            <w:r w:rsidRPr="005F5E08">
              <w:rPr>
                <w:rFonts w:ascii="Arial" w:hAnsi="Arial" w:cs="Arial"/>
                <w:b/>
              </w:rPr>
              <w:t>P</w:t>
            </w:r>
            <w:r w:rsidRPr="005F5E08">
              <w:rPr>
                <w:rStyle w:val="field-content8"/>
                <w:rFonts w:ascii="Arial" w:hAnsi="Arial" w:cs="Arial"/>
                <w:b/>
              </w:rPr>
              <w:t>ercent of infants breastfed exclusively through 6 months</w:t>
            </w:r>
          </w:p>
          <w:p w14:paraId="2F1FB266" w14:textId="77777777" w:rsidR="004106D5" w:rsidRPr="005F5E08" w:rsidRDefault="004106D5" w:rsidP="000C7A5D">
            <w:pPr>
              <w:pStyle w:val="ListParagraph"/>
              <w:rPr>
                <w:rFonts w:ascii="Arial" w:hAnsi="Arial" w:cs="Arial"/>
                <w:b/>
              </w:rPr>
            </w:pPr>
          </w:p>
        </w:tc>
      </w:tr>
    </w:tbl>
    <w:p w14:paraId="52144927" w14:textId="77777777" w:rsidR="004106D5" w:rsidRDefault="004106D5" w:rsidP="004106D5">
      <w:pPr>
        <w:spacing w:after="0" w:line="240" w:lineRule="auto"/>
      </w:pPr>
      <w:r>
        <w:rPr>
          <w:noProof/>
        </w:rPr>
        <mc:AlternateContent>
          <mc:Choice Requires="wps">
            <w:drawing>
              <wp:anchor distT="4294967295" distB="4294967295" distL="114300" distR="114300" simplePos="0" relativeHeight="251801600" behindDoc="0" locked="0" layoutInCell="1" allowOverlap="1" wp14:anchorId="5C2B5C53" wp14:editId="0681B4F2">
                <wp:simplePos x="0" y="0"/>
                <wp:positionH relativeFrom="column">
                  <wp:posOffset>-60960</wp:posOffset>
                </wp:positionH>
                <wp:positionV relativeFrom="paragraph">
                  <wp:posOffset>31749</wp:posOffset>
                </wp:positionV>
                <wp:extent cx="6088380" cy="0"/>
                <wp:effectExtent l="0" t="0" r="2667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BF17FF4" id="Straight Connector 10" o:spid="_x0000_s1026" style="position:absolute;z-index:251801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" strokecolor="windowText" strokeweight="1.75pt">
                <o:lock v:ext="edit" shapetype="f"/>
              </v:line>
            </w:pict>
          </mc:Fallback>
        </mc:AlternateContent>
      </w:r>
    </w:p>
    <w:tbl>
      <w:tblPr>
        <w:tblW w:w="0" w:type="auto"/>
        <w:tblLook w:val="04A0" w:firstRow="1" w:lastRow="0" w:firstColumn="1" w:lastColumn="0" w:noHBand="0" w:noVBand="1"/>
      </w:tblPr>
      <w:tblGrid>
        <w:gridCol w:w="3463"/>
        <w:gridCol w:w="3377"/>
        <w:gridCol w:w="2736"/>
      </w:tblGrid>
      <w:tr w:rsidR="004106D5" w:rsidRPr="00515E1C" w14:paraId="355A0909" w14:textId="77777777" w:rsidTr="000C7A5D">
        <w:tc>
          <w:tcPr>
            <w:tcW w:w="3618" w:type="dxa"/>
            <w:shd w:val="clear" w:color="auto" w:fill="auto"/>
          </w:tcPr>
          <w:p w14:paraId="6F473B80"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GOAL</w:t>
            </w:r>
          </w:p>
        </w:tc>
        <w:tc>
          <w:tcPr>
            <w:tcW w:w="5940" w:type="dxa"/>
            <w:gridSpan w:val="2"/>
            <w:shd w:val="clear" w:color="auto" w:fill="auto"/>
          </w:tcPr>
          <w:p w14:paraId="1AC291A4" w14:textId="1FDA7217" w:rsidR="004106D5" w:rsidRPr="00531366" w:rsidRDefault="004106D5" w:rsidP="00326961">
            <w:pPr>
              <w:spacing w:after="0" w:line="240" w:lineRule="auto"/>
              <w:rPr>
                <w:rFonts w:ascii="Arial" w:hAnsi="Arial" w:cs="Arial"/>
                <w:sz w:val="20"/>
                <w:szCs w:val="20"/>
              </w:rPr>
            </w:pPr>
            <w:r w:rsidRPr="00F83E85">
              <w:rPr>
                <w:rFonts w:ascii="Arial" w:hAnsi="Arial" w:cs="Arial"/>
                <w:noProof/>
                <w:sz w:val="20"/>
                <w:szCs w:val="20"/>
              </w:rPr>
              <w:t xml:space="preserve">To increase the </w:t>
            </w:r>
            <w:r w:rsidR="00326961">
              <w:rPr>
                <w:rFonts w:ascii="Arial" w:hAnsi="Arial" w:cs="Arial"/>
                <w:noProof/>
                <w:sz w:val="20"/>
                <w:szCs w:val="20"/>
              </w:rPr>
              <w:t>percent</w:t>
            </w:r>
            <w:r w:rsidRPr="00F83E85">
              <w:rPr>
                <w:rFonts w:ascii="Arial" w:hAnsi="Arial" w:cs="Arial"/>
                <w:noProof/>
                <w:sz w:val="20"/>
                <w:szCs w:val="20"/>
              </w:rPr>
              <w:t xml:space="preserve"> of infants who are breastfed</w:t>
            </w:r>
            <w:r>
              <w:rPr>
                <w:rFonts w:ascii="Arial" w:hAnsi="Arial" w:cs="Arial"/>
                <w:noProof/>
                <w:sz w:val="20"/>
                <w:szCs w:val="20"/>
              </w:rPr>
              <w:t xml:space="preserve"> and who are breastfed exclusively through six months</w:t>
            </w:r>
          </w:p>
        </w:tc>
      </w:tr>
      <w:tr w:rsidR="004106D5" w:rsidRPr="00515E1C" w14:paraId="129BA8A7" w14:textId="77777777" w:rsidTr="000C7A5D">
        <w:tc>
          <w:tcPr>
            <w:tcW w:w="3618" w:type="dxa"/>
            <w:shd w:val="clear" w:color="auto" w:fill="auto"/>
          </w:tcPr>
          <w:p w14:paraId="5A196A8C"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1C195341" w14:textId="77777777" w:rsidR="004106D5" w:rsidRPr="00531366" w:rsidRDefault="004106D5" w:rsidP="000C7A5D">
            <w:pPr>
              <w:spacing w:after="0" w:line="240" w:lineRule="auto"/>
              <w:rPr>
                <w:rFonts w:ascii="Arial" w:hAnsi="Arial" w:cs="Arial"/>
                <w:sz w:val="20"/>
                <w:szCs w:val="20"/>
              </w:rPr>
            </w:pPr>
          </w:p>
        </w:tc>
      </w:tr>
      <w:tr w:rsidR="004106D5" w:rsidRPr="00515E1C" w14:paraId="09DF6904" w14:textId="77777777" w:rsidTr="000C7A5D">
        <w:tc>
          <w:tcPr>
            <w:tcW w:w="3618" w:type="dxa"/>
            <w:shd w:val="clear" w:color="auto" w:fill="auto"/>
          </w:tcPr>
          <w:p w14:paraId="78A1BF71"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DEFINITION</w:t>
            </w:r>
          </w:p>
        </w:tc>
        <w:tc>
          <w:tcPr>
            <w:tcW w:w="5940" w:type="dxa"/>
            <w:gridSpan w:val="2"/>
            <w:shd w:val="clear" w:color="auto" w:fill="auto"/>
          </w:tcPr>
          <w:p w14:paraId="703A5BC4"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Numerator:</w:t>
            </w:r>
          </w:p>
        </w:tc>
      </w:tr>
      <w:tr w:rsidR="004106D5" w:rsidRPr="00515E1C" w14:paraId="7C390750" w14:textId="77777777" w:rsidTr="000C7A5D">
        <w:tc>
          <w:tcPr>
            <w:tcW w:w="3618" w:type="dxa"/>
            <w:shd w:val="clear" w:color="auto" w:fill="auto"/>
          </w:tcPr>
          <w:p w14:paraId="5ACC66D7"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6E921C45" w14:textId="77777777" w:rsidR="004106D5" w:rsidRDefault="004106D5" w:rsidP="000C7A5D">
            <w:pPr>
              <w:pStyle w:val="ListParagraph"/>
              <w:numPr>
                <w:ilvl w:val="0"/>
                <w:numId w:val="34"/>
              </w:numPr>
              <w:rPr>
                <w:rFonts w:ascii="Arial" w:hAnsi="Arial" w:cs="Arial"/>
                <w:sz w:val="20"/>
                <w:szCs w:val="20"/>
              </w:rPr>
            </w:pPr>
            <w:r>
              <w:rPr>
                <w:rFonts w:ascii="Arial" w:hAnsi="Arial" w:cs="Arial"/>
                <w:noProof/>
                <w:sz w:val="20"/>
                <w:szCs w:val="20"/>
              </w:rPr>
              <w:t>Number of i</w:t>
            </w:r>
            <w:r w:rsidRPr="000652C0">
              <w:rPr>
                <w:rFonts w:ascii="Arial" w:hAnsi="Arial" w:cs="Arial"/>
                <w:noProof/>
                <w:sz w:val="20"/>
                <w:szCs w:val="20"/>
              </w:rPr>
              <w:t>nfants who were ever breastfed</w:t>
            </w:r>
            <w:r>
              <w:rPr>
                <w:rFonts w:ascii="Arial" w:hAnsi="Arial" w:cs="Arial"/>
                <w:noProof/>
                <w:sz w:val="20"/>
                <w:szCs w:val="20"/>
              </w:rPr>
              <w:t xml:space="preserve"> </w:t>
            </w:r>
          </w:p>
          <w:p w14:paraId="76537EEB" w14:textId="77777777" w:rsidR="004106D5" w:rsidRPr="00531366" w:rsidRDefault="004106D5" w:rsidP="000C7A5D">
            <w:pPr>
              <w:pStyle w:val="ListParagraph"/>
              <w:numPr>
                <w:ilvl w:val="0"/>
                <w:numId w:val="34"/>
              </w:numPr>
              <w:rPr>
                <w:rFonts w:ascii="Arial" w:hAnsi="Arial" w:cs="Arial"/>
                <w:sz w:val="20"/>
                <w:szCs w:val="20"/>
              </w:rPr>
            </w:pPr>
            <w:r>
              <w:rPr>
                <w:rStyle w:val="field-content8"/>
                <w:rFonts w:ascii="Arial" w:hAnsi="Arial" w:cs="Arial"/>
                <w:sz w:val="20"/>
                <w:szCs w:val="20"/>
              </w:rPr>
              <w:t>Number of i</w:t>
            </w:r>
            <w:r w:rsidRPr="000652C0">
              <w:rPr>
                <w:rStyle w:val="field-content8"/>
                <w:rFonts w:ascii="Arial" w:hAnsi="Arial" w:cs="Arial"/>
                <w:sz w:val="20"/>
                <w:szCs w:val="20"/>
              </w:rPr>
              <w:t>nfants breastfed exclusively through 6 months</w:t>
            </w:r>
          </w:p>
        </w:tc>
      </w:tr>
      <w:tr w:rsidR="004106D5" w:rsidRPr="00515E1C" w14:paraId="48980B98" w14:textId="77777777" w:rsidTr="000C7A5D">
        <w:tc>
          <w:tcPr>
            <w:tcW w:w="3618" w:type="dxa"/>
            <w:shd w:val="clear" w:color="auto" w:fill="auto"/>
          </w:tcPr>
          <w:p w14:paraId="32DA7156"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013AD207" w14:textId="77777777" w:rsidR="004106D5" w:rsidRPr="00531366" w:rsidRDefault="004106D5" w:rsidP="000C7A5D">
            <w:pPr>
              <w:spacing w:after="0" w:line="240" w:lineRule="auto"/>
              <w:rPr>
                <w:rFonts w:ascii="Arial" w:hAnsi="Arial" w:cs="Arial"/>
                <w:sz w:val="20"/>
                <w:szCs w:val="20"/>
              </w:rPr>
            </w:pPr>
          </w:p>
        </w:tc>
      </w:tr>
      <w:tr w:rsidR="004106D5" w:rsidRPr="00515E1C" w14:paraId="4E12B62B" w14:textId="77777777" w:rsidTr="000C7A5D">
        <w:tc>
          <w:tcPr>
            <w:tcW w:w="3618" w:type="dxa"/>
            <w:shd w:val="clear" w:color="auto" w:fill="auto"/>
          </w:tcPr>
          <w:p w14:paraId="0C0190C7"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331BD6F8"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Denominator:</w:t>
            </w:r>
          </w:p>
        </w:tc>
      </w:tr>
      <w:tr w:rsidR="004106D5" w:rsidRPr="00515E1C" w14:paraId="7667B6E2" w14:textId="77777777" w:rsidTr="000C7A5D">
        <w:tc>
          <w:tcPr>
            <w:tcW w:w="3618" w:type="dxa"/>
            <w:shd w:val="clear" w:color="auto" w:fill="auto"/>
          </w:tcPr>
          <w:p w14:paraId="3EE373CD"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36DE53B1" w14:textId="77777777" w:rsidR="004106D5" w:rsidRDefault="004106D5" w:rsidP="000C7A5D">
            <w:pPr>
              <w:pStyle w:val="ListParagraph"/>
              <w:numPr>
                <w:ilvl w:val="0"/>
                <w:numId w:val="35"/>
              </w:numPr>
              <w:rPr>
                <w:rFonts w:ascii="Arial" w:hAnsi="Arial" w:cs="Arial"/>
                <w:sz w:val="20"/>
                <w:szCs w:val="20"/>
              </w:rPr>
            </w:pPr>
            <w:r>
              <w:rPr>
                <w:rFonts w:ascii="Arial" w:hAnsi="Arial" w:cs="Arial"/>
                <w:noProof/>
                <w:sz w:val="20"/>
                <w:szCs w:val="20"/>
              </w:rPr>
              <w:t xml:space="preserve">Number of </w:t>
            </w:r>
            <w:r w:rsidRPr="001D2258">
              <w:rPr>
                <w:rFonts w:ascii="Arial" w:hAnsi="Arial" w:cs="Arial"/>
                <w:noProof/>
                <w:sz w:val="20"/>
                <w:szCs w:val="20"/>
              </w:rPr>
              <w:t>infants born in a calendar year</w:t>
            </w:r>
          </w:p>
          <w:p w14:paraId="0A3D8D70" w14:textId="77777777" w:rsidR="004106D5" w:rsidRPr="00531366" w:rsidRDefault="004106D5" w:rsidP="000C7A5D">
            <w:pPr>
              <w:pStyle w:val="ListParagraph"/>
              <w:numPr>
                <w:ilvl w:val="0"/>
                <w:numId w:val="35"/>
              </w:numPr>
              <w:rPr>
                <w:rFonts w:ascii="Arial" w:hAnsi="Arial" w:cs="Arial"/>
                <w:sz w:val="20"/>
                <w:szCs w:val="20"/>
              </w:rPr>
            </w:pPr>
            <w:r>
              <w:rPr>
                <w:rFonts w:ascii="Arial" w:hAnsi="Arial" w:cs="Arial"/>
                <w:noProof/>
                <w:sz w:val="20"/>
                <w:szCs w:val="20"/>
              </w:rPr>
              <w:t xml:space="preserve">Number of </w:t>
            </w:r>
            <w:r w:rsidRPr="001D2258">
              <w:rPr>
                <w:rFonts w:ascii="Arial" w:hAnsi="Arial" w:cs="Arial"/>
                <w:noProof/>
                <w:sz w:val="20"/>
                <w:szCs w:val="20"/>
              </w:rPr>
              <w:t>infants born in a calendar year</w:t>
            </w:r>
          </w:p>
        </w:tc>
      </w:tr>
      <w:tr w:rsidR="004106D5" w:rsidRPr="00515E1C" w14:paraId="4138A9F4" w14:textId="77777777" w:rsidTr="000C7A5D">
        <w:tc>
          <w:tcPr>
            <w:tcW w:w="3618" w:type="dxa"/>
            <w:shd w:val="clear" w:color="auto" w:fill="auto"/>
          </w:tcPr>
          <w:p w14:paraId="03DFFAF6"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42AB5069" w14:textId="77777777" w:rsidR="004106D5" w:rsidRPr="00531366" w:rsidRDefault="004106D5" w:rsidP="000C7A5D">
            <w:pPr>
              <w:spacing w:after="0" w:line="240" w:lineRule="auto"/>
              <w:rPr>
                <w:rFonts w:ascii="Arial" w:hAnsi="Arial" w:cs="Arial"/>
                <w:sz w:val="20"/>
                <w:szCs w:val="20"/>
              </w:rPr>
            </w:pPr>
          </w:p>
        </w:tc>
      </w:tr>
      <w:tr w:rsidR="004106D5" w:rsidRPr="00515E1C" w14:paraId="6728CC10" w14:textId="77777777" w:rsidTr="000C7A5D">
        <w:tc>
          <w:tcPr>
            <w:tcW w:w="3618" w:type="dxa"/>
            <w:shd w:val="clear" w:color="auto" w:fill="auto"/>
          </w:tcPr>
          <w:p w14:paraId="35DCDF5E" w14:textId="77777777" w:rsidR="004106D5" w:rsidRPr="00531366" w:rsidRDefault="004106D5" w:rsidP="000C7A5D">
            <w:pPr>
              <w:spacing w:after="0" w:line="240" w:lineRule="auto"/>
              <w:rPr>
                <w:rFonts w:ascii="Arial" w:hAnsi="Arial" w:cs="Arial"/>
                <w:b/>
                <w:sz w:val="20"/>
                <w:szCs w:val="20"/>
              </w:rPr>
            </w:pPr>
          </w:p>
        </w:tc>
        <w:tc>
          <w:tcPr>
            <w:tcW w:w="3384" w:type="dxa"/>
            <w:shd w:val="clear" w:color="auto" w:fill="auto"/>
          </w:tcPr>
          <w:p w14:paraId="7571D7EF"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b/>
                <w:sz w:val="20"/>
                <w:szCs w:val="20"/>
              </w:rPr>
              <w:t>Units:</w:t>
            </w:r>
            <w:r w:rsidRPr="00531366">
              <w:rPr>
                <w:rFonts w:ascii="Arial" w:hAnsi="Arial" w:cs="Arial"/>
                <w:sz w:val="20"/>
                <w:szCs w:val="20"/>
              </w:rPr>
              <w:t xml:space="preserve"> </w:t>
            </w:r>
            <w:r w:rsidRPr="00531366">
              <w:rPr>
                <w:rFonts w:ascii="Arial" w:hAnsi="Arial" w:cs="Arial"/>
                <w:noProof/>
                <w:sz w:val="20"/>
                <w:szCs w:val="20"/>
              </w:rPr>
              <w:t>100</w:t>
            </w:r>
          </w:p>
        </w:tc>
        <w:tc>
          <w:tcPr>
            <w:tcW w:w="2556" w:type="dxa"/>
            <w:shd w:val="clear" w:color="auto" w:fill="auto"/>
          </w:tcPr>
          <w:p w14:paraId="2B75F445"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b/>
                <w:sz w:val="20"/>
                <w:szCs w:val="20"/>
              </w:rPr>
              <w:t>Text:</w:t>
            </w:r>
            <w:r w:rsidRPr="00531366">
              <w:rPr>
                <w:rFonts w:ascii="Arial" w:hAnsi="Arial" w:cs="Arial"/>
                <w:sz w:val="20"/>
                <w:szCs w:val="20"/>
              </w:rPr>
              <w:t xml:space="preserve"> </w:t>
            </w:r>
            <w:r w:rsidRPr="00531366">
              <w:rPr>
                <w:rFonts w:ascii="Arial" w:hAnsi="Arial" w:cs="Arial"/>
                <w:noProof/>
                <w:sz w:val="20"/>
                <w:szCs w:val="20"/>
              </w:rPr>
              <w:t>Percent</w:t>
            </w:r>
          </w:p>
        </w:tc>
      </w:tr>
      <w:tr w:rsidR="004106D5" w:rsidRPr="00515E1C" w14:paraId="1659AC35" w14:textId="77777777" w:rsidTr="000C7A5D">
        <w:tc>
          <w:tcPr>
            <w:tcW w:w="3618" w:type="dxa"/>
            <w:shd w:val="clear" w:color="auto" w:fill="auto"/>
          </w:tcPr>
          <w:p w14:paraId="23296937"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06B62FF0" w14:textId="77777777" w:rsidR="004106D5" w:rsidRPr="00531366" w:rsidRDefault="004106D5" w:rsidP="000C7A5D">
            <w:pPr>
              <w:spacing w:after="0" w:line="240" w:lineRule="auto"/>
              <w:rPr>
                <w:rFonts w:ascii="Arial" w:hAnsi="Arial" w:cs="Arial"/>
                <w:sz w:val="20"/>
                <w:szCs w:val="20"/>
              </w:rPr>
            </w:pPr>
          </w:p>
        </w:tc>
      </w:tr>
      <w:tr w:rsidR="004106D5" w:rsidRPr="00515E1C" w14:paraId="6CC38782" w14:textId="77777777" w:rsidTr="000C7A5D">
        <w:tc>
          <w:tcPr>
            <w:tcW w:w="3618" w:type="dxa"/>
            <w:shd w:val="clear" w:color="auto" w:fill="auto"/>
          </w:tcPr>
          <w:p w14:paraId="09303291"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HEALTHY PEOPLE 2020 OBJECTIVE</w:t>
            </w:r>
          </w:p>
        </w:tc>
        <w:tc>
          <w:tcPr>
            <w:tcW w:w="5940" w:type="dxa"/>
            <w:gridSpan w:val="2"/>
            <w:shd w:val="clear" w:color="auto" w:fill="auto"/>
          </w:tcPr>
          <w:p w14:paraId="191098D4" w14:textId="77777777" w:rsidR="004106D5" w:rsidRDefault="004106D5" w:rsidP="000C7A5D">
            <w:pPr>
              <w:spacing w:line="240" w:lineRule="auto"/>
              <w:rPr>
                <w:rFonts w:ascii="Arial" w:hAnsi="Arial" w:cs="Arial"/>
                <w:noProof/>
                <w:sz w:val="20"/>
                <w:szCs w:val="20"/>
              </w:rPr>
            </w:pPr>
            <w:r w:rsidRPr="00F83E85">
              <w:rPr>
                <w:rFonts w:ascii="Arial" w:hAnsi="Arial" w:cs="Arial"/>
                <w:noProof/>
                <w:sz w:val="20"/>
                <w:szCs w:val="20"/>
              </w:rPr>
              <w:t>Related to Maternal, Infant, and Child Health</w:t>
            </w:r>
            <w:r>
              <w:rPr>
                <w:rFonts w:ascii="Arial" w:hAnsi="Arial" w:cs="Arial"/>
                <w:noProof/>
                <w:sz w:val="20"/>
                <w:szCs w:val="20"/>
              </w:rPr>
              <w:t xml:space="preserve"> </w:t>
            </w:r>
            <w:r w:rsidRPr="00F83E85">
              <w:rPr>
                <w:rFonts w:ascii="Arial" w:hAnsi="Arial" w:cs="Arial"/>
                <w:noProof/>
                <w:sz w:val="20"/>
                <w:szCs w:val="20"/>
              </w:rPr>
              <w:t>(MICH) Objective 21.1: Increase the proportion of children who are ever breastfed (Baseline: 74% in 2006, Target: 81</w:t>
            </w:r>
            <w:r>
              <w:rPr>
                <w:rFonts w:ascii="Arial" w:hAnsi="Arial" w:cs="Arial"/>
                <w:noProof/>
                <w:sz w:val="20"/>
                <w:szCs w:val="20"/>
              </w:rPr>
              <w:t>.9</w:t>
            </w:r>
            <w:r w:rsidRPr="00F83E85">
              <w:rPr>
                <w:rFonts w:ascii="Arial" w:hAnsi="Arial" w:cs="Arial"/>
                <w:noProof/>
                <w:sz w:val="20"/>
                <w:szCs w:val="20"/>
              </w:rPr>
              <w:t>%)</w:t>
            </w:r>
            <w:r>
              <w:rPr>
                <w:rFonts w:ascii="Arial" w:hAnsi="Arial" w:cs="Arial"/>
                <w:noProof/>
                <w:sz w:val="20"/>
                <w:szCs w:val="20"/>
              </w:rPr>
              <w:t xml:space="preserve">  </w:t>
            </w:r>
          </w:p>
          <w:p w14:paraId="2CC3C0AD" w14:textId="77777777" w:rsidR="004106D5" w:rsidRPr="00531366" w:rsidRDefault="004106D5" w:rsidP="000C7A5D">
            <w:pPr>
              <w:spacing w:line="240" w:lineRule="auto"/>
              <w:rPr>
                <w:rFonts w:ascii="Arial" w:hAnsi="Arial" w:cs="Arial"/>
                <w:sz w:val="20"/>
                <w:szCs w:val="20"/>
              </w:rPr>
            </w:pPr>
            <w:r w:rsidRPr="00F83E85">
              <w:rPr>
                <w:rFonts w:ascii="Arial" w:hAnsi="Arial" w:cs="Arial"/>
                <w:noProof/>
                <w:sz w:val="20"/>
                <w:szCs w:val="20"/>
              </w:rPr>
              <w:t>Related to Maternal, Infant, and Child Health</w:t>
            </w:r>
            <w:r>
              <w:rPr>
                <w:rFonts w:ascii="Arial" w:hAnsi="Arial" w:cs="Arial"/>
                <w:noProof/>
                <w:sz w:val="20"/>
                <w:szCs w:val="20"/>
              </w:rPr>
              <w:t xml:space="preserve"> </w:t>
            </w:r>
            <w:r w:rsidRPr="00F83E85">
              <w:rPr>
                <w:rFonts w:ascii="Arial" w:hAnsi="Arial" w:cs="Arial"/>
                <w:noProof/>
                <w:sz w:val="20"/>
                <w:szCs w:val="20"/>
              </w:rPr>
              <w:t>(MICH) Objective 21.</w:t>
            </w:r>
            <w:r>
              <w:rPr>
                <w:rFonts w:ascii="Arial" w:hAnsi="Arial" w:cs="Arial"/>
                <w:noProof/>
                <w:sz w:val="20"/>
                <w:szCs w:val="20"/>
              </w:rPr>
              <w:t>5</w:t>
            </w:r>
            <w:r w:rsidRPr="00F83E85">
              <w:rPr>
                <w:rFonts w:ascii="Arial" w:hAnsi="Arial" w:cs="Arial"/>
                <w:noProof/>
                <w:sz w:val="20"/>
                <w:szCs w:val="20"/>
              </w:rPr>
              <w:t>: Increase the proportion of children who are breastfed</w:t>
            </w:r>
            <w:r>
              <w:rPr>
                <w:rFonts w:ascii="Arial" w:hAnsi="Arial" w:cs="Arial"/>
                <w:noProof/>
                <w:sz w:val="20"/>
                <w:szCs w:val="20"/>
              </w:rPr>
              <w:t xml:space="preserve"> exclusively at</w:t>
            </w:r>
            <w:r w:rsidRPr="00F83E85">
              <w:rPr>
                <w:rFonts w:ascii="Arial" w:hAnsi="Arial" w:cs="Arial"/>
                <w:noProof/>
                <w:sz w:val="20"/>
                <w:szCs w:val="20"/>
              </w:rPr>
              <w:t xml:space="preserve"> (Baseline: </w:t>
            </w:r>
            <w:r>
              <w:rPr>
                <w:rFonts w:ascii="Arial" w:hAnsi="Arial" w:cs="Arial"/>
                <w:noProof/>
                <w:sz w:val="20"/>
                <w:szCs w:val="20"/>
              </w:rPr>
              <w:t>14.1</w:t>
            </w:r>
            <w:r w:rsidRPr="00F83E85">
              <w:rPr>
                <w:rFonts w:ascii="Arial" w:hAnsi="Arial" w:cs="Arial"/>
                <w:noProof/>
                <w:sz w:val="20"/>
                <w:szCs w:val="20"/>
              </w:rPr>
              <w:t xml:space="preserve">% in 2006, Target: </w:t>
            </w:r>
            <w:r>
              <w:rPr>
                <w:rFonts w:ascii="Arial" w:hAnsi="Arial" w:cs="Arial"/>
                <w:noProof/>
                <w:sz w:val="20"/>
                <w:szCs w:val="20"/>
              </w:rPr>
              <w:t>25.5</w:t>
            </w:r>
            <w:r w:rsidRPr="00F83E85">
              <w:rPr>
                <w:rFonts w:ascii="Arial" w:hAnsi="Arial" w:cs="Arial"/>
                <w:noProof/>
                <w:sz w:val="20"/>
                <w:szCs w:val="20"/>
              </w:rPr>
              <w:t>%)</w:t>
            </w:r>
          </w:p>
        </w:tc>
      </w:tr>
      <w:tr w:rsidR="004106D5" w:rsidRPr="00515E1C" w14:paraId="1E92AF24" w14:textId="77777777" w:rsidTr="000C7A5D">
        <w:tc>
          <w:tcPr>
            <w:tcW w:w="3618" w:type="dxa"/>
            <w:shd w:val="clear" w:color="auto" w:fill="auto"/>
          </w:tcPr>
          <w:p w14:paraId="24327E30"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401FC9EF" w14:textId="77777777" w:rsidR="004106D5" w:rsidRPr="00531366" w:rsidRDefault="004106D5" w:rsidP="000C7A5D">
            <w:pPr>
              <w:spacing w:after="0" w:line="240" w:lineRule="auto"/>
              <w:rPr>
                <w:rFonts w:ascii="Arial" w:hAnsi="Arial" w:cs="Arial"/>
                <w:sz w:val="20"/>
                <w:szCs w:val="20"/>
              </w:rPr>
            </w:pPr>
          </w:p>
        </w:tc>
      </w:tr>
      <w:tr w:rsidR="004106D5" w:rsidRPr="00515E1C" w14:paraId="26A2FAA6" w14:textId="77777777" w:rsidTr="000C7A5D">
        <w:tc>
          <w:tcPr>
            <w:tcW w:w="3618" w:type="dxa"/>
            <w:shd w:val="clear" w:color="auto" w:fill="auto"/>
          </w:tcPr>
          <w:p w14:paraId="7C55BF55"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DATA SOURCES and DATA ISSUES</w:t>
            </w:r>
          </w:p>
        </w:tc>
        <w:tc>
          <w:tcPr>
            <w:tcW w:w="5940" w:type="dxa"/>
            <w:gridSpan w:val="2"/>
            <w:shd w:val="clear" w:color="auto" w:fill="auto"/>
          </w:tcPr>
          <w:p w14:paraId="009A161F" w14:textId="77777777" w:rsidR="004106D5" w:rsidRDefault="004106D5" w:rsidP="000C7A5D">
            <w:pPr>
              <w:spacing w:after="0" w:line="240" w:lineRule="auto"/>
              <w:rPr>
                <w:rFonts w:ascii="Arial" w:hAnsi="Arial" w:cs="Arial"/>
                <w:noProof/>
                <w:sz w:val="20"/>
                <w:szCs w:val="20"/>
              </w:rPr>
            </w:pPr>
            <w:r>
              <w:rPr>
                <w:rFonts w:ascii="Arial" w:hAnsi="Arial" w:cs="Arial"/>
                <w:noProof/>
                <w:sz w:val="20"/>
                <w:szCs w:val="20"/>
              </w:rPr>
              <w:t xml:space="preserve">A) </w:t>
            </w:r>
            <w:r w:rsidRPr="00531366">
              <w:rPr>
                <w:rFonts w:ascii="Arial" w:hAnsi="Arial" w:cs="Arial"/>
                <w:noProof/>
                <w:sz w:val="20"/>
                <w:szCs w:val="20"/>
              </w:rPr>
              <w:t>National Immunization Survey (NIS)</w:t>
            </w:r>
            <w:r>
              <w:rPr>
                <w:rFonts w:ascii="Arial" w:hAnsi="Arial" w:cs="Arial"/>
                <w:noProof/>
                <w:sz w:val="20"/>
                <w:szCs w:val="20"/>
              </w:rPr>
              <w:t xml:space="preserve"> </w:t>
            </w:r>
          </w:p>
          <w:p w14:paraId="324F48A7" w14:textId="77777777" w:rsidR="004106D5" w:rsidRPr="008C545D" w:rsidRDefault="004106D5" w:rsidP="000C7A5D">
            <w:pPr>
              <w:pStyle w:val="ListParagraph"/>
              <w:numPr>
                <w:ilvl w:val="0"/>
                <w:numId w:val="37"/>
              </w:numPr>
              <w:rPr>
                <w:rFonts w:ascii="Arial" w:hAnsi="Arial" w:cs="Arial"/>
                <w:noProof/>
                <w:sz w:val="20"/>
                <w:szCs w:val="20"/>
              </w:rPr>
            </w:pPr>
            <w:r w:rsidRPr="008C545D">
              <w:rPr>
                <w:rFonts w:ascii="Arial" w:hAnsi="Arial" w:cs="Arial"/>
                <w:noProof/>
                <w:sz w:val="20"/>
                <w:szCs w:val="20"/>
              </w:rPr>
              <w:t>National Immunization Survey (NIS)</w:t>
            </w:r>
          </w:p>
        </w:tc>
      </w:tr>
      <w:tr w:rsidR="004106D5" w:rsidRPr="00515E1C" w14:paraId="21DE9668" w14:textId="77777777" w:rsidTr="000C7A5D">
        <w:tc>
          <w:tcPr>
            <w:tcW w:w="3618" w:type="dxa"/>
            <w:shd w:val="clear" w:color="auto" w:fill="auto"/>
          </w:tcPr>
          <w:p w14:paraId="55767853" w14:textId="77777777" w:rsidR="004106D5" w:rsidRDefault="004106D5" w:rsidP="000C7A5D">
            <w:pPr>
              <w:spacing w:after="0" w:line="240" w:lineRule="auto"/>
              <w:rPr>
                <w:rFonts w:ascii="Arial" w:hAnsi="Arial" w:cs="Arial"/>
                <w:b/>
                <w:sz w:val="20"/>
                <w:szCs w:val="20"/>
              </w:rPr>
            </w:pPr>
          </w:p>
          <w:p w14:paraId="3CF2EB52" w14:textId="77777777" w:rsidR="004106D5" w:rsidRDefault="004106D5" w:rsidP="000C7A5D">
            <w:pPr>
              <w:spacing w:after="0" w:line="240" w:lineRule="auto"/>
              <w:rPr>
                <w:rFonts w:ascii="Arial" w:hAnsi="Arial" w:cs="Arial"/>
                <w:b/>
                <w:sz w:val="20"/>
                <w:szCs w:val="20"/>
              </w:rPr>
            </w:pPr>
            <w:r>
              <w:rPr>
                <w:rFonts w:ascii="Arial" w:hAnsi="Arial" w:cs="Arial"/>
                <w:b/>
                <w:sz w:val="20"/>
                <w:szCs w:val="20"/>
              </w:rPr>
              <w:t>MCH POPULATION DOMAIN</w:t>
            </w:r>
          </w:p>
          <w:p w14:paraId="4E3A7ECE"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351F92C2" w14:textId="77777777" w:rsidR="004106D5" w:rsidRDefault="004106D5" w:rsidP="000C7A5D">
            <w:pPr>
              <w:spacing w:after="0" w:line="240" w:lineRule="auto"/>
              <w:rPr>
                <w:rFonts w:ascii="Arial" w:hAnsi="Arial" w:cs="Arial"/>
                <w:sz w:val="20"/>
                <w:szCs w:val="20"/>
              </w:rPr>
            </w:pPr>
          </w:p>
          <w:p w14:paraId="174DE1DD" w14:textId="77777777" w:rsidR="004106D5" w:rsidRPr="00531366" w:rsidRDefault="004106D5" w:rsidP="000C7A5D">
            <w:pPr>
              <w:spacing w:after="0" w:line="240" w:lineRule="auto"/>
              <w:rPr>
                <w:rFonts w:ascii="Arial" w:hAnsi="Arial" w:cs="Arial"/>
                <w:sz w:val="20"/>
                <w:szCs w:val="20"/>
              </w:rPr>
            </w:pPr>
            <w:r w:rsidRPr="00DD16CC">
              <w:rPr>
                <w:rFonts w:ascii="Arial" w:hAnsi="Arial" w:cs="Arial"/>
                <w:sz w:val="20"/>
                <w:szCs w:val="20"/>
              </w:rPr>
              <w:t>Perinatal/Infant Health</w:t>
            </w:r>
          </w:p>
        </w:tc>
      </w:tr>
      <w:tr w:rsidR="004106D5" w:rsidRPr="00515E1C" w14:paraId="59B69315" w14:textId="77777777" w:rsidTr="000C7A5D">
        <w:tc>
          <w:tcPr>
            <w:tcW w:w="3618" w:type="dxa"/>
            <w:shd w:val="clear" w:color="auto" w:fill="auto"/>
          </w:tcPr>
          <w:p w14:paraId="733CD351"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SIGNIFICANCE</w:t>
            </w:r>
          </w:p>
        </w:tc>
        <w:tc>
          <w:tcPr>
            <w:tcW w:w="5940" w:type="dxa"/>
            <w:gridSpan w:val="2"/>
            <w:shd w:val="clear" w:color="auto" w:fill="auto"/>
          </w:tcPr>
          <w:p w14:paraId="7F83CBD3" w14:textId="77777777" w:rsidR="004106D5" w:rsidRDefault="004106D5" w:rsidP="000C7A5D">
            <w:pPr>
              <w:spacing w:after="0" w:line="240" w:lineRule="auto"/>
              <w:rPr>
                <w:rFonts w:ascii="Arial" w:hAnsi="Arial" w:cs="Arial"/>
                <w:noProof/>
                <w:sz w:val="20"/>
                <w:szCs w:val="20"/>
              </w:rPr>
            </w:pPr>
            <w:r w:rsidRPr="00531366">
              <w:rPr>
                <w:rFonts w:ascii="Arial" w:hAnsi="Arial" w:cs="Arial"/>
                <w:noProof/>
                <w:sz w:val="20"/>
                <w:szCs w:val="20"/>
              </w:rPr>
              <w:t>The American Academy of Pediatrics</w:t>
            </w:r>
            <w:r>
              <w:rPr>
                <w:rFonts w:ascii="Arial" w:hAnsi="Arial" w:cs="Arial"/>
                <w:noProof/>
                <w:sz w:val="20"/>
                <w:szCs w:val="20"/>
              </w:rPr>
              <w:t xml:space="preserve"> (AAP)</w:t>
            </w:r>
            <w:r w:rsidRPr="00531366">
              <w:rPr>
                <w:rFonts w:ascii="Arial" w:hAnsi="Arial" w:cs="Arial"/>
                <w:noProof/>
                <w:sz w:val="20"/>
                <w:szCs w:val="20"/>
              </w:rPr>
              <w:t xml:space="preserve"> recommends all infants (including premature and sick newborns) exclusively breastfeed for about six months as human milk supports optimal growth and development by providing all required nutrients during that time.  Breastfeeding strengthens the immune system</w:t>
            </w:r>
            <w:r>
              <w:rPr>
                <w:rFonts w:ascii="Arial" w:hAnsi="Arial" w:cs="Arial"/>
                <w:noProof/>
                <w:sz w:val="20"/>
                <w:szCs w:val="20"/>
              </w:rPr>
              <w:t>, reduces respiratory infections</w:t>
            </w:r>
            <w:r w:rsidRPr="00531366">
              <w:rPr>
                <w:rFonts w:ascii="Arial" w:hAnsi="Arial" w:cs="Arial"/>
                <w:noProof/>
                <w:sz w:val="20"/>
                <w:szCs w:val="20"/>
              </w:rPr>
              <w:t xml:space="preserve">,  </w:t>
            </w:r>
            <w:r>
              <w:rPr>
                <w:rFonts w:ascii="Arial" w:hAnsi="Arial" w:cs="Arial"/>
                <w:noProof/>
                <w:sz w:val="20"/>
                <w:szCs w:val="20"/>
              </w:rPr>
              <w:t>gastrointestinal illness, and SIDS, and  promotes neurodevelopment</w:t>
            </w:r>
            <w:r w:rsidRPr="00531366">
              <w:rPr>
                <w:rFonts w:ascii="Arial" w:hAnsi="Arial" w:cs="Arial"/>
                <w:noProof/>
                <w:sz w:val="20"/>
                <w:szCs w:val="20"/>
              </w:rPr>
              <w:t xml:space="preserve">.  </w:t>
            </w:r>
            <w:r>
              <w:rPr>
                <w:rFonts w:ascii="Arial" w:hAnsi="Arial" w:cs="Arial"/>
                <w:noProof/>
                <w:sz w:val="20"/>
                <w:szCs w:val="20"/>
              </w:rPr>
              <w:t>B</w:t>
            </w:r>
            <w:r w:rsidRPr="00531366">
              <w:rPr>
                <w:rFonts w:ascii="Arial" w:hAnsi="Arial" w:cs="Arial"/>
                <w:noProof/>
                <w:sz w:val="20"/>
                <w:szCs w:val="20"/>
              </w:rPr>
              <w:t>reastfed children may</w:t>
            </w:r>
            <w:r>
              <w:rPr>
                <w:rFonts w:ascii="Arial" w:hAnsi="Arial" w:cs="Arial"/>
                <w:noProof/>
                <w:sz w:val="20"/>
                <w:szCs w:val="20"/>
              </w:rPr>
              <w:t xml:space="preserve"> also</w:t>
            </w:r>
            <w:r w:rsidRPr="00531366">
              <w:rPr>
                <w:rFonts w:ascii="Arial" w:hAnsi="Arial" w:cs="Arial"/>
                <w:noProof/>
                <w:sz w:val="20"/>
                <w:szCs w:val="20"/>
              </w:rPr>
              <w:t xml:space="preserve"> be less likely to develop diabete</w:t>
            </w:r>
            <w:r>
              <w:rPr>
                <w:rFonts w:ascii="Arial" w:hAnsi="Arial" w:cs="Arial"/>
                <w:noProof/>
                <w:sz w:val="20"/>
                <w:szCs w:val="20"/>
              </w:rPr>
              <w:t xml:space="preserve">s, </w:t>
            </w:r>
            <w:r w:rsidRPr="00531366">
              <w:rPr>
                <w:rFonts w:ascii="Arial" w:hAnsi="Arial" w:cs="Arial"/>
                <w:noProof/>
                <w:sz w:val="20"/>
                <w:szCs w:val="20"/>
              </w:rPr>
              <w:t xml:space="preserve">childhood obesity, and asthma.  </w:t>
            </w:r>
            <w:r>
              <w:rPr>
                <w:rFonts w:ascii="Arial" w:hAnsi="Arial" w:cs="Arial"/>
                <w:noProof/>
                <w:sz w:val="20"/>
                <w:szCs w:val="20"/>
              </w:rPr>
              <w:t xml:space="preserve">Maternal benefits include reduced postpartum blood loss due to oxytocin release and possible protective effects against </w:t>
            </w:r>
            <w:r w:rsidRPr="00531366">
              <w:rPr>
                <w:rFonts w:ascii="Arial" w:hAnsi="Arial" w:cs="Arial"/>
                <w:noProof/>
                <w:sz w:val="20"/>
                <w:szCs w:val="20"/>
              </w:rPr>
              <w:t>breast</w:t>
            </w:r>
            <w:r>
              <w:rPr>
                <w:rFonts w:ascii="Arial" w:hAnsi="Arial" w:cs="Arial"/>
                <w:noProof/>
                <w:sz w:val="20"/>
                <w:szCs w:val="20"/>
              </w:rPr>
              <w:t xml:space="preserve"> </w:t>
            </w:r>
            <w:r w:rsidRPr="00531366">
              <w:rPr>
                <w:rFonts w:ascii="Arial" w:hAnsi="Arial" w:cs="Arial"/>
                <w:noProof/>
                <w:sz w:val="20"/>
                <w:szCs w:val="20"/>
              </w:rPr>
              <w:t>and ovarian cancer</w:t>
            </w:r>
            <w:r>
              <w:rPr>
                <w:rFonts w:ascii="Arial" w:hAnsi="Arial" w:cs="Arial"/>
                <w:noProof/>
                <w:sz w:val="20"/>
                <w:szCs w:val="20"/>
              </w:rPr>
              <w:t xml:space="preserve">. </w:t>
            </w:r>
          </w:p>
          <w:p w14:paraId="7E2F522A" w14:textId="77777777" w:rsidR="004106D5" w:rsidRDefault="004106D5" w:rsidP="000C7A5D">
            <w:pPr>
              <w:spacing w:after="0" w:line="240" w:lineRule="auto"/>
              <w:rPr>
                <w:rFonts w:ascii="Arial" w:hAnsi="Arial" w:cs="Arial"/>
                <w:noProof/>
                <w:sz w:val="20"/>
                <w:szCs w:val="20"/>
              </w:rPr>
            </w:pPr>
          </w:p>
          <w:p w14:paraId="7870007A" w14:textId="77777777" w:rsidR="004106D5" w:rsidRPr="00D14F97" w:rsidRDefault="004106D5" w:rsidP="000C7A5D">
            <w:pPr>
              <w:spacing w:after="0" w:line="240" w:lineRule="auto"/>
              <w:rPr>
                <w:rFonts w:ascii="Arial" w:hAnsi="Arial" w:cs="Arial"/>
                <w:noProof/>
                <w:sz w:val="20"/>
                <w:szCs w:val="20"/>
              </w:rPr>
            </w:pPr>
            <w:r w:rsidRPr="002A0ACA">
              <w:rPr>
                <w:rFonts w:ascii="Arial" w:hAnsi="Arial" w:cs="Arial"/>
                <w:sz w:val="18"/>
                <w:szCs w:val="18"/>
              </w:rPr>
              <w:t>American Academy of Pediatrics Section on Breastfeeding. Breastfeeding and the use of human milk. Pediatrics. 2012 Mar;129(3):e827-41.</w:t>
            </w:r>
            <w:r w:rsidRPr="002A0ACA">
              <w:t xml:space="preserve"> </w:t>
            </w:r>
            <w:hyperlink r:id="rId127" w:history="1">
              <w:r w:rsidRPr="002A0ACA">
                <w:rPr>
                  <w:rFonts w:ascii="Arial" w:hAnsi="Arial" w:cs="Arial"/>
                  <w:color w:val="0000FF"/>
                  <w:sz w:val="18"/>
                  <w:szCs w:val="18"/>
                  <w:u w:val="single"/>
                </w:rPr>
                <w:t>http://pediatrics.aappublications.org/content/early/2012/02/22/peds.2011-3552</w:t>
              </w:r>
            </w:hyperlink>
            <w:r w:rsidRPr="002A0ACA">
              <w:rPr>
                <w:rFonts w:ascii="Arial" w:hAnsi="Arial" w:cs="Arial"/>
                <w:sz w:val="18"/>
                <w:szCs w:val="18"/>
              </w:rPr>
              <w:t xml:space="preserve"> </w:t>
            </w:r>
          </w:p>
          <w:p w14:paraId="7BCF45D2" w14:textId="77777777" w:rsidR="004106D5" w:rsidRPr="00531366" w:rsidRDefault="004106D5" w:rsidP="000C7A5D">
            <w:pPr>
              <w:spacing w:after="0" w:line="240" w:lineRule="auto"/>
              <w:rPr>
                <w:rFonts w:ascii="Arial" w:hAnsi="Arial" w:cs="Arial"/>
                <w:sz w:val="20"/>
                <w:szCs w:val="20"/>
              </w:rPr>
            </w:pPr>
          </w:p>
        </w:tc>
      </w:tr>
      <w:tr w:rsidR="004106D5" w:rsidRPr="00515E1C" w14:paraId="0170DEE9" w14:textId="77777777" w:rsidTr="000C7A5D">
        <w:tc>
          <w:tcPr>
            <w:tcW w:w="3618" w:type="dxa"/>
            <w:shd w:val="clear" w:color="auto" w:fill="auto"/>
          </w:tcPr>
          <w:p w14:paraId="4C3567F7" w14:textId="77777777" w:rsidR="004106D5" w:rsidRPr="00531366" w:rsidRDefault="004106D5" w:rsidP="000C7A5D">
            <w:pPr>
              <w:spacing w:after="0" w:line="240" w:lineRule="auto"/>
              <w:rPr>
                <w:rFonts w:ascii="Arial" w:hAnsi="Arial" w:cs="Arial"/>
                <w:sz w:val="20"/>
                <w:szCs w:val="20"/>
              </w:rPr>
            </w:pPr>
          </w:p>
        </w:tc>
        <w:tc>
          <w:tcPr>
            <w:tcW w:w="5940" w:type="dxa"/>
            <w:gridSpan w:val="2"/>
            <w:shd w:val="clear" w:color="auto" w:fill="auto"/>
          </w:tcPr>
          <w:p w14:paraId="37E258AE" w14:textId="77777777" w:rsidR="004106D5" w:rsidRPr="00531366" w:rsidRDefault="004106D5" w:rsidP="000C7A5D">
            <w:pPr>
              <w:spacing w:after="0" w:line="240" w:lineRule="auto"/>
              <w:rPr>
                <w:rFonts w:ascii="Arial" w:hAnsi="Arial" w:cs="Arial"/>
                <w:sz w:val="20"/>
                <w:szCs w:val="20"/>
              </w:rPr>
            </w:pPr>
          </w:p>
        </w:tc>
      </w:tr>
    </w:tbl>
    <w:p w14:paraId="62243FFF" w14:textId="77777777" w:rsidR="004106D5" w:rsidRDefault="004106D5" w:rsidP="004106D5">
      <w:pPr>
        <w:spacing w:after="0" w:line="240" w:lineRule="auto"/>
        <w:sectPr w:rsidR="004106D5" w:rsidSect="008A00F6">
          <w:pgSz w:w="12240" w:h="15840"/>
          <w:pgMar w:top="1440" w:right="1440" w:bottom="1440" w:left="1440" w:header="720" w:footer="720" w:gutter="0"/>
          <w:cols w:space="720"/>
          <w:docGrid w:linePitch="360"/>
        </w:sectPr>
      </w:pPr>
    </w:p>
    <w:tbl>
      <w:tblPr>
        <w:tblW w:w="0" w:type="auto"/>
        <w:tblLook w:val="04A0" w:firstRow="1" w:lastRow="0" w:firstColumn="1" w:lastColumn="0" w:noHBand="0" w:noVBand="1"/>
      </w:tblPr>
      <w:tblGrid>
        <w:gridCol w:w="3582"/>
        <w:gridCol w:w="5778"/>
      </w:tblGrid>
      <w:tr w:rsidR="004106D5" w:rsidRPr="003F48A1" w14:paraId="71AB58F2" w14:textId="77777777" w:rsidTr="000C7A5D">
        <w:tc>
          <w:tcPr>
            <w:tcW w:w="3582" w:type="dxa"/>
            <w:shd w:val="clear" w:color="auto" w:fill="auto"/>
          </w:tcPr>
          <w:p w14:paraId="23B8120D" w14:textId="77777777" w:rsidR="004106D5" w:rsidRPr="00531366" w:rsidRDefault="004106D5" w:rsidP="000C7A5D">
            <w:pPr>
              <w:spacing w:after="0" w:line="240" w:lineRule="auto"/>
              <w:rPr>
                <w:rFonts w:ascii="Arial" w:hAnsi="Arial" w:cs="Arial"/>
                <w:b/>
                <w:sz w:val="24"/>
                <w:szCs w:val="24"/>
              </w:rPr>
            </w:pPr>
            <w:r w:rsidRPr="00531366">
              <w:rPr>
                <w:rFonts w:ascii="Arial" w:hAnsi="Arial" w:cs="Arial"/>
                <w:b/>
                <w:sz w:val="24"/>
                <w:szCs w:val="24"/>
              </w:rPr>
              <w:t xml:space="preserve">PERFORMANCE MEASURE </w:t>
            </w:r>
            <w:r>
              <w:rPr>
                <w:rFonts w:ascii="Arial" w:hAnsi="Arial" w:cs="Arial"/>
                <w:b/>
                <w:noProof/>
                <w:sz w:val="24"/>
                <w:szCs w:val="24"/>
              </w:rPr>
              <w:t>5</w:t>
            </w:r>
          </w:p>
        </w:tc>
        <w:tc>
          <w:tcPr>
            <w:tcW w:w="5778" w:type="dxa"/>
            <w:shd w:val="clear" w:color="auto" w:fill="auto"/>
          </w:tcPr>
          <w:p w14:paraId="679937B0" w14:textId="77777777" w:rsidR="004106D5" w:rsidRDefault="004106D5" w:rsidP="000C7A5D">
            <w:pPr>
              <w:pStyle w:val="ListParagraph"/>
              <w:numPr>
                <w:ilvl w:val="0"/>
                <w:numId w:val="38"/>
              </w:numPr>
              <w:rPr>
                <w:rFonts w:ascii="Arial" w:hAnsi="Arial" w:cs="Arial"/>
                <w:b/>
              </w:rPr>
            </w:pPr>
            <w:r w:rsidRPr="00DA05DE">
              <w:rPr>
                <w:rFonts w:ascii="Arial" w:hAnsi="Arial" w:cs="Arial"/>
                <w:b/>
                <w:noProof/>
              </w:rPr>
              <w:t>Percent of infants placed to sleep on their backs</w:t>
            </w:r>
          </w:p>
          <w:p w14:paraId="7BFA5943" w14:textId="77777777" w:rsidR="004106D5" w:rsidRDefault="004106D5" w:rsidP="000C7A5D">
            <w:pPr>
              <w:pStyle w:val="ListParagraph"/>
              <w:numPr>
                <w:ilvl w:val="0"/>
                <w:numId w:val="38"/>
              </w:numPr>
              <w:rPr>
                <w:rFonts w:ascii="Arial" w:hAnsi="Arial" w:cs="Arial"/>
                <w:b/>
              </w:rPr>
            </w:pPr>
            <w:r>
              <w:rPr>
                <w:rFonts w:ascii="Arial" w:hAnsi="Arial" w:cs="Arial"/>
                <w:b/>
                <w:noProof/>
              </w:rPr>
              <w:t>Percent of infants placed to sleep on a separate approved sleep surface</w:t>
            </w:r>
          </w:p>
          <w:p w14:paraId="4E3F68FC" w14:textId="77777777" w:rsidR="004106D5" w:rsidRPr="00DA05DE" w:rsidRDefault="004106D5" w:rsidP="000C7A5D">
            <w:pPr>
              <w:pStyle w:val="ListParagraph"/>
              <w:numPr>
                <w:ilvl w:val="0"/>
                <w:numId w:val="38"/>
              </w:numPr>
              <w:rPr>
                <w:rFonts w:ascii="Arial" w:hAnsi="Arial" w:cs="Arial"/>
                <w:b/>
              </w:rPr>
            </w:pPr>
            <w:r>
              <w:rPr>
                <w:rFonts w:ascii="Arial" w:hAnsi="Arial" w:cs="Arial"/>
                <w:b/>
                <w:noProof/>
              </w:rPr>
              <w:t>Percent of infants placed to sleep without soft objects or loose bedding</w:t>
            </w:r>
          </w:p>
        </w:tc>
      </w:tr>
    </w:tbl>
    <w:p w14:paraId="55802E1B" w14:textId="77777777" w:rsidR="004106D5" w:rsidRDefault="004106D5" w:rsidP="004106D5">
      <w:pPr>
        <w:spacing w:after="0" w:line="240" w:lineRule="auto"/>
      </w:pPr>
    </w:p>
    <w:p w14:paraId="317594C1" w14:textId="77777777" w:rsidR="004106D5" w:rsidRDefault="004106D5" w:rsidP="004106D5">
      <w:pPr>
        <w:spacing w:after="0" w:line="240" w:lineRule="auto"/>
      </w:pPr>
      <w:r>
        <w:rPr>
          <w:noProof/>
        </w:rPr>
        <mc:AlternateContent>
          <mc:Choice Requires="wps">
            <w:drawing>
              <wp:anchor distT="4294967295" distB="4294967295" distL="114300" distR="114300" simplePos="0" relativeHeight="251806720" behindDoc="0" locked="0" layoutInCell="1" allowOverlap="1" wp14:anchorId="390764C2" wp14:editId="6BB12CD5">
                <wp:simplePos x="0" y="0"/>
                <wp:positionH relativeFrom="column">
                  <wp:posOffset>-60960</wp:posOffset>
                </wp:positionH>
                <wp:positionV relativeFrom="paragraph">
                  <wp:posOffset>31749</wp:posOffset>
                </wp:positionV>
                <wp:extent cx="6088380" cy="0"/>
                <wp:effectExtent l="0" t="0" r="26670" b="19050"/>
                <wp:wrapNone/>
                <wp:docPr id="6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0E6F5E1" id="Straight Connector 4" o:spid="_x0000_s1026" style="position:absolute;z-index:251806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" strokecolor="windowText" strokeweight="1.75pt">
                <o:lock v:ext="edit" shapetype="f"/>
              </v:line>
            </w:pict>
          </mc:Fallback>
        </mc:AlternateContent>
      </w:r>
    </w:p>
    <w:tbl>
      <w:tblPr>
        <w:tblW w:w="0" w:type="auto"/>
        <w:tblLook w:val="04A0" w:firstRow="1" w:lastRow="0" w:firstColumn="1" w:lastColumn="0" w:noHBand="0" w:noVBand="1"/>
      </w:tblPr>
      <w:tblGrid>
        <w:gridCol w:w="3554"/>
        <w:gridCol w:w="64"/>
        <w:gridCol w:w="3238"/>
        <w:gridCol w:w="2630"/>
      </w:tblGrid>
      <w:tr w:rsidR="004106D5" w:rsidRPr="00515E1C" w14:paraId="11782331" w14:textId="77777777" w:rsidTr="000C7A5D">
        <w:tc>
          <w:tcPr>
            <w:tcW w:w="3554" w:type="dxa"/>
            <w:shd w:val="clear" w:color="auto" w:fill="auto"/>
          </w:tcPr>
          <w:p w14:paraId="06D88CE1"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GOAL</w:t>
            </w:r>
          </w:p>
        </w:tc>
        <w:tc>
          <w:tcPr>
            <w:tcW w:w="5806" w:type="dxa"/>
            <w:gridSpan w:val="3"/>
            <w:shd w:val="clear" w:color="auto" w:fill="auto"/>
          </w:tcPr>
          <w:p w14:paraId="3CA14245" w14:textId="3E5EFA92" w:rsidR="004106D5" w:rsidRPr="00531366" w:rsidRDefault="004106D5" w:rsidP="00326961">
            <w:pPr>
              <w:spacing w:after="0" w:line="240" w:lineRule="auto"/>
              <w:rPr>
                <w:rFonts w:ascii="Arial" w:hAnsi="Arial" w:cs="Arial"/>
                <w:sz w:val="20"/>
                <w:szCs w:val="20"/>
              </w:rPr>
            </w:pPr>
            <w:r w:rsidRPr="00531366">
              <w:rPr>
                <w:rFonts w:ascii="Arial" w:hAnsi="Arial" w:cs="Arial"/>
                <w:noProof/>
                <w:sz w:val="20"/>
                <w:szCs w:val="20"/>
              </w:rPr>
              <w:t xml:space="preserve">To increase the </w:t>
            </w:r>
            <w:r w:rsidR="00326961">
              <w:rPr>
                <w:rFonts w:ascii="Arial" w:hAnsi="Arial" w:cs="Arial"/>
                <w:noProof/>
                <w:sz w:val="20"/>
                <w:szCs w:val="20"/>
              </w:rPr>
              <w:t>percent</w:t>
            </w:r>
            <w:r w:rsidRPr="00531366">
              <w:rPr>
                <w:rFonts w:ascii="Arial" w:hAnsi="Arial" w:cs="Arial"/>
                <w:noProof/>
                <w:sz w:val="20"/>
                <w:szCs w:val="20"/>
              </w:rPr>
              <w:t xml:space="preserve"> of infants placed to sleep on their backs</w:t>
            </w:r>
            <w:r>
              <w:rPr>
                <w:rFonts w:ascii="Arial" w:hAnsi="Arial" w:cs="Arial"/>
                <w:noProof/>
                <w:sz w:val="20"/>
                <w:szCs w:val="20"/>
              </w:rPr>
              <w:t>, on a separate approved sleep surface, without soft objects or loose bedding</w:t>
            </w:r>
          </w:p>
        </w:tc>
      </w:tr>
      <w:tr w:rsidR="004106D5" w:rsidRPr="00515E1C" w14:paraId="788F0D3E" w14:textId="77777777" w:rsidTr="000C7A5D">
        <w:tc>
          <w:tcPr>
            <w:tcW w:w="3554" w:type="dxa"/>
            <w:shd w:val="clear" w:color="auto" w:fill="auto"/>
          </w:tcPr>
          <w:p w14:paraId="48EAC546" w14:textId="77777777" w:rsidR="004106D5" w:rsidRPr="00531366" w:rsidRDefault="004106D5" w:rsidP="000C7A5D">
            <w:pPr>
              <w:spacing w:after="0" w:line="240" w:lineRule="auto"/>
              <w:rPr>
                <w:rFonts w:ascii="Arial" w:hAnsi="Arial" w:cs="Arial"/>
                <w:b/>
                <w:sz w:val="20"/>
                <w:szCs w:val="20"/>
              </w:rPr>
            </w:pPr>
          </w:p>
        </w:tc>
        <w:tc>
          <w:tcPr>
            <w:tcW w:w="5806" w:type="dxa"/>
            <w:gridSpan w:val="3"/>
            <w:shd w:val="clear" w:color="auto" w:fill="auto"/>
          </w:tcPr>
          <w:p w14:paraId="719EEA4A" w14:textId="77777777" w:rsidR="004106D5" w:rsidRPr="00531366" w:rsidRDefault="004106D5" w:rsidP="000C7A5D">
            <w:pPr>
              <w:spacing w:after="0" w:line="240" w:lineRule="auto"/>
              <w:rPr>
                <w:rFonts w:ascii="Arial" w:hAnsi="Arial" w:cs="Arial"/>
                <w:sz w:val="20"/>
                <w:szCs w:val="20"/>
              </w:rPr>
            </w:pPr>
          </w:p>
        </w:tc>
      </w:tr>
      <w:tr w:rsidR="004106D5" w:rsidRPr="00515E1C" w14:paraId="16E3B2C2" w14:textId="77777777" w:rsidTr="000C7A5D">
        <w:tc>
          <w:tcPr>
            <w:tcW w:w="3554" w:type="dxa"/>
            <w:shd w:val="clear" w:color="auto" w:fill="auto"/>
          </w:tcPr>
          <w:p w14:paraId="22FC072D"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DEFINITION</w:t>
            </w:r>
          </w:p>
        </w:tc>
        <w:tc>
          <w:tcPr>
            <w:tcW w:w="5806" w:type="dxa"/>
            <w:gridSpan w:val="3"/>
            <w:shd w:val="clear" w:color="auto" w:fill="auto"/>
          </w:tcPr>
          <w:p w14:paraId="39AC025E"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Numerator:</w:t>
            </w:r>
          </w:p>
        </w:tc>
      </w:tr>
      <w:tr w:rsidR="004106D5" w:rsidRPr="00515E1C" w14:paraId="1CA8B449" w14:textId="77777777" w:rsidTr="000C7A5D">
        <w:tc>
          <w:tcPr>
            <w:tcW w:w="3554" w:type="dxa"/>
            <w:shd w:val="clear" w:color="auto" w:fill="auto"/>
          </w:tcPr>
          <w:p w14:paraId="384D7174" w14:textId="77777777" w:rsidR="004106D5" w:rsidRPr="00531366" w:rsidRDefault="004106D5" w:rsidP="000C7A5D">
            <w:pPr>
              <w:spacing w:after="0" w:line="240" w:lineRule="auto"/>
              <w:rPr>
                <w:rFonts w:ascii="Arial" w:hAnsi="Arial" w:cs="Arial"/>
                <w:b/>
                <w:sz w:val="20"/>
                <w:szCs w:val="20"/>
              </w:rPr>
            </w:pPr>
          </w:p>
        </w:tc>
        <w:tc>
          <w:tcPr>
            <w:tcW w:w="5806" w:type="dxa"/>
            <w:gridSpan w:val="3"/>
            <w:shd w:val="clear" w:color="auto" w:fill="auto"/>
          </w:tcPr>
          <w:p w14:paraId="0E0632BB" w14:textId="77777777" w:rsidR="004106D5" w:rsidRDefault="004106D5" w:rsidP="000C7A5D">
            <w:pPr>
              <w:pStyle w:val="ListParagraph"/>
              <w:numPr>
                <w:ilvl w:val="0"/>
                <w:numId w:val="39"/>
              </w:numPr>
              <w:rPr>
                <w:rFonts w:ascii="Arial" w:hAnsi="Arial" w:cs="Arial"/>
                <w:sz w:val="20"/>
                <w:szCs w:val="20"/>
              </w:rPr>
            </w:pPr>
            <w:r w:rsidRPr="00DA05DE">
              <w:rPr>
                <w:rFonts w:ascii="Arial" w:hAnsi="Arial" w:cs="Arial"/>
                <w:noProof/>
                <w:sz w:val="20"/>
                <w:szCs w:val="20"/>
              </w:rPr>
              <w:t>Number of mothers reporting that they most often place their baby to sleep on their back only</w:t>
            </w:r>
          </w:p>
          <w:p w14:paraId="1ED4DD44" w14:textId="77777777" w:rsidR="004106D5" w:rsidRDefault="004106D5" w:rsidP="000C7A5D">
            <w:pPr>
              <w:pStyle w:val="ListParagraph"/>
              <w:numPr>
                <w:ilvl w:val="0"/>
                <w:numId w:val="39"/>
              </w:numPr>
              <w:rPr>
                <w:rFonts w:ascii="Arial" w:hAnsi="Arial" w:cs="Arial"/>
                <w:sz w:val="20"/>
                <w:szCs w:val="20"/>
              </w:rPr>
            </w:pPr>
            <w:r>
              <w:rPr>
                <w:rFonts w:ascii="Arial" w:hAnsi="Arial" w:cs="Arial"/>
                <w:noProof/>
                <w:sz w:val="20"/>
                <w:szCs w:val="20"/>
              </w:rPr>
              <w:t>Number of mothers reporting that their baby always or often sleeps alone, usually in a crib, bassinet, or pack and play,</w:t>
            </w:r>
            <w:r w:rsidRPr="00DA05DE">
              <w:rPr>
                <w:rFonts w:ascii="Arial" w:hAnsi="Arial" w:cs="Arial"/>
                <w:noProof/>
                <w:sz w:val="20"/>
                <w:szCs w:val="20"/>
              </w:rPr>
              <w:t xml:space="preserve"> </w:t>
            </w:r>
            <w:r>
              <w:rPr>
                <w:rFonts w:ascii="Arial" w:hAnsi="Arial" w:cs="Arial"/>
                <w:noProof/>
                <w:sz w:val="20"/>
                <w:szCs w:val="20"/>
              </w:rPr>
              <w:t>and not usually in a standard bed, couch, sofa, armchair, car seat, or swing</w:t>
            </w:r>
          </w:p>
          <w:p w14:paraId="67394F6B" w14:textId="77777777" w:rsidR="004106D5" w:rsidRPr="00DA05DE" w:rsidRDefault="004106D5" w:rsidP="000C7A5D">
            <w:pPr>
              <w:pStyle w:val="ListParagraph"/>
              <w:numPr>
                <w:ilvl w:val="0"/>
                <w:numId w:val="39"/>
              </w:numPr>
              <w:rPr>
                <w:rFonts w:ascii="Arial" w:hAnsi="Arial" w:cs="Arial"/>
                <w:sz w:val="20"/>
                <w:szCs w:val="20"/>
              </w:rPr>
            </w:pPr>
            <w:r>
              <w:rPr>
                <w:rFonts w:ascii="Arial" w:hAnsi="Arial" w:cs="Arial"/>
                <w:noProof/>
                <w:sz w:val="20"/>
                <w:szCs w:val="20"/>
              </w:rPr>
              <w:t xml:space="preserve">Number of mothers reporting that their baby </w:t>
            </w:r>
            <w:r w:rsidRPr="00DA05DE">
              <w:rPr>
                <w:rFonts w:ascii="Arial" w:hAnsi="Arial" w:cs="Arial"/>
                <w:i/>
                <w:noProof/>
                <w:sz w:val="20"/>
                <w:szCs w:val="20"/>
              </w:rPr>
              <w:t>does not</w:t>
            </w:r>
            <w:r>
              <w:rPr>
                <w:rFonts w:ascii="Arial" w:hAnsi="Arial" w:cs="Arial"/>
                <w:noProof/>
                <w:sz w:val="20"/>
                <w:szCs w:val="20"/>
              </w:rPr>
              <w:t xml:space="preserve"> usually sleep with blankets, toys, cushions, pillows, or crib bumper pads</w:t>
            </w:r>
            <w:r w:rsidRPr="00DA05DE">
              <w:rPr>
                <w:rFonts w:ascii="Arial" w:hAnsi="Arial" w:cs="Arial"/>
                <w:noProof/>
                <w:sz w:val="20"/>
                <w:szCs w:val="20"/>
              </w:rPr>
              <w:t xml:space="preserve"> </w:t>
            </w:r>
          </w:p>
        </w:tc>
      </w:tr>
      <w:tr w:rsidR="004106D5" w:rsidRPr="00515E1C" w14:paraId="49102AE2" w14:textId="77777777" w:rsidTr="000C7A5D">
        <w:tc>
          <w:tcPr>
            <w:tcW w:w="3554" w:type="dxa"/>
            <w:shd w:val="clear" w:color="auto" w:fill="auto"/>
          </w:tcPr>
          <w:p w14:paraId="0F190407" w14:textId="77777777" w:rsidR="004106D5" w:rsidRPr="00531366" w:rsidRDefault="004106D5" w:rsidP="000C7A5D">
            <w:pPr>
              <w:spacing w:after="0" w:line="240" w:lineRule="auto"/>
              <w:rPr>
                <w:rFonts w:ascii="Arial" w:hAnsi="Arial" w:cs="Arial"/>
                <w:b/>
                <w:sz w:val="20"/>
                <w:szCs w:val="20"/>
              </w:rPr>
            </w:pPr>
          </w:p>
        </w:tc>
        <w:tc>
          <w:tcPr>
            <w:tcW w:w="5806" w:type="dxa"/>
            <w:gridSpan w:val="3"/>
            <w:shd w:val="clear" w:color="auto" w:fill="auto"/>
          </w:tcPr>
          <w:p w14:paraId="4DBC3A2A" w14:textId="77777777" w:rsidR="004106D5" w:rsidRPr="00531366" w:rsidRDefault="004106D5" w:rsidP="000C7A5D">
            <w:pPr>
              <w:spacing w:after="0" w:line="240" w:lineRule="auto"/>
              <w:rPr>
                <w:rFonts w:ascii="Arial" w:hAnsi="Arial" w:cs="Arial"/>
                <w:sz w:val="20"/>
                <w:szCs w:val="20"/>
              </w:rPr>
            </w:pPr>
          </w:p>
        </w:tc>
      </w:tr>
      <w:tr w:rsidR="004106D5" w:rsidRPr="00515E1C" w14:paraId="6A8DC609" w14:textId="77777777" w:rsidTr="000C7A5D">
        <w:tc>
          <w:tcPr>
            <w:tcW w:w="3554" w:type="dxa"/>
            <w:shd w:val="clear" w:color="auto" w:fill="auto"/>
          </w:tcPr>
          <w:p w14:paraId="0C4A00D6" w14:textId="77777777" w:rsidR="004106D5" w:rsidRPr="00531366" w:rsidRDefault="004106D5" w:rsidP="000C7A5D">
            <w:pPr>
              <w:spacing w:after="0" w:line="240" w:lineRule="auto"/>
              <w:rPr>
                <w:rFonts w:ascii="Arial" w:hAnsi="Arial" w:cs="Arial"/>
                <w:b/>
                <w:sz w:val="20"/>
                <w:szCs w:val="20"/>
              </w:rPr>
            </w:pPr>
          </w:p>
        </w:tc>
        <w:tc>
          <w:tcPr>
            <w:tcW w:w="5806" w:type="dxa"/>
            <w:gridSpan w:val="3"/>
            <w:shd w:val="clear" w:color="auto" w:fill="auto"/>
          </w:tcPr>
          <w:p w14:paraId="0E0ED854"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Denominator:</w:t>
            </w:r>
          </w:p>
        </w:tc>
      </w:tr>
      <w:tr w:rsidR="004106D5" w:rsidRPr="00515E1C" w14:paraId="3B45321A" w14:textId="77777777" w:rsidTr="000C7A5D">
        <w:tc>
          <w:tcPr>
            <w:tcW w:w="3554" w:type="dxa"/>
            <w:shd w:val="clear" w:color="auto" w:fill="auto"/>
          </w:tcPr>
          <w:p w14:paraId="5BF337F6" w14:textId="77777777" w:rsidR="004106D5" w:rsidRPr="00531366" w:rsidRDefault="004106D5" w:rsidP="000C7A5D">
            <w:pPr>
              <w:spacing w:after="0" w:line="240" w:lineRule="auto"/>
              <w:rPr>
                <w:rFonts w:ascii="Arial" w:hAnsi="Arial" w:cs="Arial"/>
                <w:b/>
                <w:sz w:val="20"/>
                <w:szCs w:val="20"/>
              </w:rPr>
            </w:pPr>
          </w:p>
        </w:tc>
        <w:tc>
          <w:tcPr>
            <w:tcW w:w="5806" w:type="dxa"/>
            <w:gridSpan w:val="3"/>
            <w:shd w:val="clear" w:color="auto" w:fill="auto"/>
          </w:tcPr>
          <w:p w14:paraId="1CB6B967" w14:textId="77777777" w:rsidR="004106D5" w:rsidRDefault="004106D5" w:rsidP="000C7A5D">
            <w:pPr>
              <w:pStyle w:val="ListParagraph"/>
              <w:numPr>
                <w:ilvl w:val="0"/>
                <w:numId w:val="40"/>
              </w:numPr>
              <w:rPr>
                <w:rFonts w:ascii="Arial" w:hAnsi="Arial" w:cs="Arial"/>
                <w:sz w:val="20"/>
                <w:szCs w:val="20"/>
              </w:rPr>
            </w:pPr>
            <w:r w:rsidRPr="00DA05DE">
              <w:rPr>
                <w:rFonts w:ascii="Arial" w:hAnsi="Arial" w:cs="Arial"/>
                <w:noProof/>
                <w:sz w:val="20"/>
                <w:szCs w:val="20"/>
              </w:rPr>
              <w:t>Number of live births</w:t>
            </w:r>
          </w:p>
          <w:p w14:paraId="28F36083" w14:textId="77777777" w:rsidR="004106D5" w:rsidRDefault="004106D5" w:rsidP="000C7A5D">
            <w:pPr>
              <w:pStyle w:val="ListParagraph"/>
              <w:numPr>
                <w:ilvl w:val="0"/>
                <w:numId w:val="40"/>
              </w:numPr>
              <w:rPr>
                <w:rFonts w:ascii="Arial" w:hAnsi="Arial" w:cs="Arial"/>
                <w:sz w:val="20"/>
                <w:szCs w:val="20"/>
              </w:rPr>
            </w:pPr>
            <w:r w:rsidRPr="00595EF5">
              <w:rPr>
                <w:rFonts w:ascii="Arial" w:hAnsi="Arial" w:cs="Arial"/>
                <w:noProof/>
                <w:sz w:val="20"/>
                <w:szCs w:val="20"/>
              </w:rPr>
              <w:t>Number of live births</w:t>
            </w:r>
          </w:p>
          <w:p w14:paraId="1BCA4EFE" w14:textId="77777777" w:rsidR="004106D5" w:rsidRPr="00DA05DE" w:rsidRDefault="004106D5" w:rsidP="000C7A5D">
            <w:pPr>
              <w:pStyle w:val="ListParagraph"/>
              <w:numPr>
                <w:ilvl w:val="0"/>
                <w:numId w:val="40"/>
              </w:numPr>
              <w:rPr>
                <w:rFonts w:ascii="Arial" w:hAnsi="Arial" w:cs="Arial"/>
                <w:sz w:val="20"/>
                <w:szCs w:val="20"/>
              </w:rPr>
            </w:pPr>
            <w:r w:rsidRPr="00595EF5">
              <w:rPr>
                <w:rFonts w:ascii="Arial" w:hAnsi="Arial" w:cs="Arial"/>
                <w:noProof/>
                <w:sz w:val="20"/>
                <w:szCs w:val="20"/>
              </w:rPr>
              <w:t>Number of live births</w:t>
            </w:r>
          </w:p>
        </w:tc>
      </w:tr>
      <w:tr w:rsidR="004106D5" w:rsidRPr="00515E1C" w14:paraId="63C68E3F" w14:textId="77777777" w:rsidTr="000C7A5D">
        <w:tc>
          <w:tcPr>
            <w:tcW w:w="3554" w:type="dxa"/>
            <w:shd w:val="clear" w:color="auto" w:fill="auto"/>
          </w:tcPr>
          <w:p w14:paraId="689FE264" w14:textId="77777777" w:rsidR="004106D5" w:rsidRPr="00531366" w:rsidRDefault="004106D5" w:rsidP="000C7A5D">
            <w:pPr>
              <w:spacing w:after="0" w:line="240" w:lineRule="auto"/>
              <w:rPr>
                <w:rFonts w:ascii="Arial" w:hAnsi="Arial" w:cs="Arial"/>
                <w:b/>
                <w:sz w:val="20"/>
                <w:szCs w:val="20"/>
              </w:rPr>
            </w:pPr>
          </w:p>
        </w:tc>
        <w:tc>
          <w:tcPr>
            <w:tcW w:w="5806" w:type="dxa"/>
            <w:gridSpan w:val="3"/>
            <w:shd w:val="clear" w:color="auto" w:fill="auto"/>
          </w:tcPr>
          <w:p w14:paraId="58BCF317" w14:textId="77777777" w:rsidR="004106D5" w:rsidRPr="00531366" w:rsidRDefault="004106D5" w:rsidP="000C7A5D">
            <w:pPr>
              <w:spacing w:after="0" w:line="240" w:lineRule="auto"/>
              <w:rPr>
                <w:rFonts w:ascii="Arial" w:hAnsi="Arial" w:cs="Arial"/>
                <w:sz w:val="20"/>
                <w:szCs w:val="20"/>
              </w:rPr>
            </w:pPr>
          </w:p>
        </w:tc>
      </w:tr>
      <w:tr w:rsidR="004106D5" w:rsidRPr="00515E1C" w14:paraId="74741229" w14:textId="77777777" w:rsidTr="000C7A5D">
        <w:tc>
          <w:tcPr>
            <w:tcW w:w="3554" w:type="dxa"/>
            <w:shd w:val="clear" w:color="auto" w:fill="auto"/>
          </w:tcPr>
          <w:p w14:paraId="534BFF5F" w14:textId="77777777" w:rsidR="004106D5" w:rsidRPr="00531366" w:rsidRDefault="004106D5" w:rsidP="000C7A5D">
            <w:pPr>
              <w:spacing w:after="0" w:line="240" w:lineRule="auto"/>
              <w:rPr>
                <w:rFonts w:ascii="Arial" w:hAnsi="Arial" w:cs="Arial"/>
                <w:b/>
                <w:sz w:val="20"/>
                <w:szCs w:val="20"/>
              </w:rPr>
            </w:pPr>
          </w:p>
        </w:tc>
        <w:tc>
          <w:tcPr>
            <w:tcW w:w="3302" w:type="dxa"/>
            <w:gridSpan w:val="2"/>
            <w:shd w:val="clear" w:color="auto" w:fill="auto"/>
          </w:tcPr>
          <w:p w14:paraId="2590BC5A"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b/>
                <w:sz w:val="20"/>
                <w:szCs w:val="20"/>
              </w:rPr>
              <w:t>Units:</w:t>
            </w:r>
            <w:r w:rsidRPr="00531366">
              <w:rPr>
                <w:rFonts w:ascii="Arial" w:hAnsi="Arial" w:cs="Arial"/>
                <w:sz w:val="20"/>
                <w:szCs w:val="20"/>
              </w:rPr>
              <w:t xml:space="preserve"> </w:t>
            </w:r>
            <w:r w:rsidRPr="00531366">
              <w:rPr>
                <w:rFonts w:ascii="Arial" w:hAnsi="Arial" w:cs="Arial"/>
                <w:noProof/>
                <w:sz w:val="20"/>
                <w:szCs w:val="20"/>
              </w:rPr>
              <w:t>100</w:t>
            </w:r>
          </w:p>
        </w:tc>
        <w:tc>
          <w:tcPr>
            <w:tcW w:w="2504" w:type="dxa"/>
            <w:shd w:val="clear" w:color="auto" w:fill="auto"/>
          </w:tcPr>
          <w:p w14:paraId="3C967E32"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b/>
                <w:sz w:val="20"/>
                <w:szCs w:val="20"/>
              </w:rPr>
              <w:t>Text:</w:t>
            </w:r>
            <w:r w:rsidRPr="00531366">
              <w:rPr>
                <w:rFonts w:ascii="Arial" w:hAnsi="Arial" w:cs="Arial"/>
                <w:sz w:val="20"/>
                <w:szCs w:val="20"/>
              </w:rPr>
              <w:t xml:space="preserve"> </w:t>
            </w:r>
            <w:r w:rsidRPr="00531366">
              <w:rPr>
                <w:rFonts w:ascii="Arial" w:hAnsi="Arial" w:cs="Arial"/>
                <w:noProof/>
                <w:sz w:val="20"/>
                <w:szCs w:val="20"/>
              </w:rPr>
              <w:t>Percent</w:t>
            </w:r>
          </w:p>
        </w:tc>
      </w:tr>
      <w:tr w:rsidR="004106D5" w:rsidRPr="00515E1C" w14:paraId="119C1996" w14:textId="77777777" w:rsidTr="000C7A5D">
        <w:tc>
          <w:tcPr>
            <w:tcW w:w="3554" w:type="dxa"/>
            <w:shd w:val="clear" w:color="auto" w:fill="auto"/>
          </w:tcPr>
          <w:p w14:paraId="23E9B278" w14:textId="77777777" w:rsidR="004106D5" w:rsidRPr="00531366" w:rsidRDefault="004106D5" w:rsidP="000C7A5D">
            <w:pPr>
              <w:spacing w:after="0" w:line="240" w:lineRule="auto"/>
              <w:rPr>
                <w:rFonts w:ascii="Arial" w:hAnsi="Arial" w:cs="Arial"/>
                <w:b/>
                <w:sz w:val="20"/>
                <w:szCs w:val="20"/>
              </w:rPr>
            </w:pPr>
          </w:p>
        </w:tc>
        <w:tc>
          <w:tcPr>
            <w:tcW w:w="5806" w:type="dxa"/>
            <w:gridSpan w:val="3"/>
            <w:shd w:val="clear" w:color="auto" w:fill="auto"/>
          </w:tcPr>
          <w:p w14:paraId="57707DEF" w14:textId="77777777" w:rsidR="004106D5" w:rsidRPr="00531366" w:rsidRDefault="004106D5" w:rsidP="000C7A5D">
            <w:pPr>
              <w:spacing w:after="0" w:line="240" w:lineRule="auto"/>
              <w:rPr>
                <w:rFonts w:ascii="Arial" w:hAnsi="Arial" w:cs="Arial"/>
                <w:sz w:val="20"/>
                <w:szCs w:val="20"/>
              </w:rPr>
            </w:pPr>
          </w:p>
        </w:tc>
      </w:tr>
      <w:tr w:rsidR="004106D5" w:rsidRPr="00515E1C" w14:paraId="4F412DF0" w14:textId="77777777" w:rsidTr="000C7A5D">
        <w:tc>
          <w:tcPr>
            <w:tcW w:w="3554" w:type="dxa"/>
            <w:shd w:val="clear" w:color="auto" w:fill="auto"/>
          </w:tcPr>
          <w:p w14:paraId="2C8E4837"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HEALTHY PEOPLE 2020 OBJECTIVE</w:t>
            </w:r>
          </w:p>
        </w:tc>
        <w:tc>
          <w:tcPr>
            <w:tcW w:w="5806" w:type="dxa"/>
            <w:gridSpan w:val="3"/>
            <w:shd w:val="clear" w:color="auto" w:fill="auto"/>
          </w:tcPr>
          <w:p w14:paraId="69752CB6" w14:textId="77777777" w:rsidR="004106D5" w:rsidRPr="00531366" w:rsidRDefault="004106D5" w:rsidP="000C7A5D">
            <w:pPr>
              <w:spacing w:after="0" w:line="240" w:lineRule="auto"/>
              <w:rPr>
                <w:rFonts w:ascii="Arial" w:hAnsi="Arial" w:cs="Arial"/>
                <w:sz w:val="20"/>
                <w:szCs w:val="20"/>
              </w:rPr>
            </w:pPr>
            <w:r>
              <w:rPr>
                <w:rFonts w:ascii="Arial" w:hAnsi="Arial" w:cs="Arial"/>
                <w:noProof/>
                <w:sz w:val="20"/>
                <w:szCs w:val="20"/>
              </w:rPr>
              <w:t>Related</w:t>
            </w:r>
            <w:r w:rsidRPr="00531366">
              <w:rPr>
                <w:rFonts w:ascii="Arial" w:hAnsi="Arial" w:cs="Arial"/>
                <w:noProof/>
                <w:sz w:val="20"/>
                <w:szCs w:val="20"/>
              </w:rPr>
              <w:t xml:space="preserve"> to Maternal, Infant, and Child Health (MICH) Objective 20:   Increase the proportion of infants placed to sleep on their backs (Baseline: 69.0%, Target: 75.9%)</w:t>
            </w:r>
          </w:p>
        </w:tc>
      </w:tr>
      <w:tr w:rsidR="004106D5" w:rsidRPr="00515E1C" w14:paraId="5EC4600C" w14:textId="77777777" w:rsidTr="000C7A5D">
        <w:tc>
          <w:tcPr>
            <w:tcW w:w="3554" w:type="dxa"/>
            <w:shd w:val="clear" w:color="auto" w:fill="auto"/>
          </w:tcPr>
          <w:p w14:paraId="128C38A4" w14:textId="77777777" w:rsidR="004106D5" w:rsidRPr="00531366" w:rsidRDefault="004106D5" w:rsidP="000C7A5D">
            <w:pPr>
              <w:spacing w:after="0" w:line="240" w:lineRule="auto"/>
              <w:rPr>
                <w:rFonts w:ascii="Arial" w:hAnsi="Arial" w:cs="Arial"/>
                <w:b/>
                <w:sz w:val="20"/>
                <w:szCs w:val="20"/>
              </w:rPr>
            </w:pPr>
          </w:p>
        </w:tc>
        <w:tc>
          <w:tcPr>
            <w:tcW w:w="5806" w:type="dxa"/>
            <w:gridSpan w:val="3"/>
            <w:shd w:val="clear" w:color="auto" w:fill="auto"/>
          </w:tcPr>
          <w:p w14:paraId="2865A6FF" w14:textId="77777777" w:rsidR="004106D5" w:rsidRPr="00531366" w:rsidRDefault="004106D5" w:rsidP="000C7A5D">
            <w:pPr>
              <w:spacing w:after="0" w:line="240" w:lineRule="auto"/>
              <w:rPr>
                <w:rFonts w:ascii="Arial" w:hAnsi="Arial" w:cs="Arial"/>
                <w:sz w:val="20"/>
                <w:szCs w:val="20"/>
              </w:rPr>
            </w:pPr>
          </w:p>
        </w:tc>
      </w:tr>
      <w:tr w:rsidR="004106D5" w:rsidRPr="00515E1C" w14:paraId="75A2F83D" w14:textId="77777777" w:rsidTr="000C7A5D">
        <w:tc>
          <w:tcPr>
            <w:tcW w:w="3554" w:type="dxa"/>
            <w:shd w:val="clear" w:color="auto" w:fill="auto"/>
          </w:tcPr>
          <w:p w14:paraId="2EA59D47"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DATA SOURCES and DATA ISSUES</w:t>
            </w:r>
          </w:p>
        </w:tc>
        <w:tc>
          <w:tcPr>
            <w:tcW w:w="5806" w:type="dxa"/>
            <w:gridSpan w:val="3"/>
            <w:shd w:val="clear" w:color="auto" w:fill="auto"/>
          </w:tcPr>
          <w:p w14:paraId="228F7C5E" w14:textId="77777777" w:rsidR="004106D5" w:rsidRPr="00D14F97" w:rsidRDefault="004106D5" w:rsidP="000C7A5D">
            <w:pPr>
              <w:rPr>
                <w:rFonts w:ascii="Arial" w:hAnsi="Arial" w:cs="Arial"/>
                <w:sz w:val="20"/>
                <w:szCs w:val="20"/>
              </w:rPr>
            </w:pPr>
            <w:r w:rsidRPr="00D14F97">
              <w:rPr>
                <w:rFonts w:ascii="Arial" w:hAnsi="Arial" w:cs="Arial"/>
                <w:noProof/>
                <w:sz w:val="20"/>
                <w:szCs w:val="20"/>
              </w:rPr>
              <w:t>Pregnancy Risk Assessment Monitoring System (PRAMS)</w:t>
            </w:r>
          </w:p>
        </w:tc>
      </w:tr>
      <w:tr w:rsidR="004106D5" w:rsidRPr="00515E1C" w14:paraId="6E6B8002" w14:textId="77777777" w:rsidTr="000C7A5D">
        <w:tc>
          <w:tcPr>
            <w:tcW w:w="3554" w:type="dxa"/>
            <w:shd w:val="clear" w:color="auto" w:fill="auto"/>
          </w:tcPr>
          <w:p w14:paraId="081A310D" w14:textId="77777777" w:rsidR="004106D5" w:rsidRDefault="004106D5" w:rsidP="000C7A5D">
            <w:pPr>
              <w:spacing w:after="0" w:line="240" w:lineRule="auto"/>
              <w:rPr>
                <w:rFonts w:ascii="Arial" w:hAnsi="Arial" w:cs="Arial"/>
                <w:b/>
                <w:sz w:val="20"/>
                <w:szCs w:val="20"/>
              </w:rPr>
            </w:pPr>
          </w:p>
          <w:p w14:paraId="6FD880FC" w14:textId="77777777" w:rsidR="004106D5" w:rsidRDefault="004106D5" w:rsidP="000C7A5D">
            <w:pPr>
              <w:spacing w:after="0" w:line="240" w:lineRule="auto"/>
              <w:rPr>
                <w:rFonts w:ascii="Arial" w:hAnsi="Arial" w:cs="Arial"/>
                <w:b/>
                <w:sz w:val="20"/>
                <w:szCs w:val="20"/>
              </w:rPr>
            </w:pPr>
            <w:r>
              <w:rPr>
                <w:rFonts w:ascii="Arial" w:hAnsi="Arial" w:cs="Arial"/>
                <w:b/>
                <w:sz w:val="20"/>
                <w:szCs w:val="20"/>
              </w:rPr>
              <w:t>MCH POPULATION DOMAIN</w:t>
            </w:r>
          </w:p>
          <w:p w14:paraId="5FD92567" w14:textId="77777777" w:rsidR="004106D5" w:rsidRPr="00531366" w:rsidRDefault="004106D5" w:rsidP="000C7A5D">
            <w:pPr>
              <w:spacing w:after="0" w:line="240" w:lineRule="auto"/>
              <w:rPr>
                <w:rFonts w:ascii="Arial" w:hAnsi="Arial" w:cs="Arial"/>
                <w:b/>
                <w:sz w:val="20"/>
                <w:szCs w:val="20"/>
              </w:rPr>
            </w:pPr>
          </w:p>
        </w:tc>
        <w:tc>
          <w:tcPr>
            <w:tcW w:w="5806" w:type="dxa"/>
            <w:gridSpan w:val="3"/>
            <w:shd w:val="clear" w:color="auto" w:fill="auto"/>
          </w:tcPr>
          <w:p w14:paraId="287CC2F3" w14:textId="77777777" w:rsidR="004106D5" w:rsidRDefault="004106D5" w:rsidP="000C7A5D">
            <w:pPr>
              <w:spacing w:after="0" w:line="240" w:lineRule="auto"/>
              <w:rPr>
                <w:rFonts w:ascii="Arial" w:hAnsi="Arial" w:cs="Arial"/>
                <w:sz w:val="20"/>
                <w:szCs w:val="20"/>
              </w:rPr>
            </w:pPr>
          </w:p>
          <w:p w14:paraId="554FB8A5" w14:textId="77777777" w:rsidR="004106D5" w:rsidRPr="00531366" w:rsidRDefault="004106D5" w:rsidP="000C7A5D">
            <w:pPr>
              <w:spacing w:after="0" w:line="240" w:lineRule="auto"/>
              <w:rPr>
                <w:rFonts w:ascii="Arial" w:hAnsi="Arial" w:cs="Arial"/>
                <w:sz w:val="20"/>
                <w:szCs w:val="20"/>
              </w:rPr>
            </w:pPr>
            <w:r w:rsidRPr="00DD16CC">
              <w:rPr>
                <w:rFonts w:ascii="Arial" w:hAnsi="Arial" w:cs="Arial"/>
                <w:sz w:val="20"/>
                <w:szCs w:val="20"/>
              </w:rPr>
              <w:t>Perinatal/Infant Health</w:t>
            </w:r>
          </w:p>
        </w:tc>
      </w:tr>
      <w:tr w:rsidR="004106D5" w:rsidRPr="00515E1C" w14:paraId="1ACF2D42" w14:textId="77777777" w:rsidTr="000C7A5D">
        <w:tc>
          <w:tcPr>
            <w:tcW w:w="3554" w:type="dxa"/>
            <w:shd w:val="clear" w:color="auto" w:fill="auto"/>
          </w:tcPr>
          <w:p w14:paraId="2D1AC669"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SIGNIFICANCE</w:t>
            </w:r>
          </w:p>
        </w:tc>
        <w:tc>
          <w:tcPr>
            <w:tcW w:w="5806" w:type="dxa"/>
            <w:gridSpan w:val="3"/>
            <w:shd w:val="clear" w:color="auto" w:fill="auto"/>
          </w:tcPr>
          <w:p w14:paraId="773A8362"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noProof/>
                <w:sz w:val="20"/>
                <w:szCs w:val="20"/>
              </w:rPr>
              <w:t>Sleep-related infant deaths, also called Sudden Unexpected Infant Deaths (SUID), are the leading cause of infant death after the first month of life and the third leading cause of infant death overall.  Sleep-related SUIDs include Sudden Infant Death Syndrome (SIDS), unknown cause, and accidental suffocation and strangulation in bed.  Due to heightened risk of SIDS when infants are placed to sleep in side (lateral) or stomach (prone) sleep positions, the American Academy of Pediatrics</w:t>
            </w:r>
            <w:r>
              <w:rPr>
                <w:rFonts w:ascii="Arial" w:hAnsi="Arial" w:cs="Arial"/>
                <w:noProof/>
                <w:sz w:val="20"/>
                <w:szCs w:val="20"/>
              </w:rPr>
              <w:t xml:space="preserve"> (AAP)</w:t>
            </w:r>
            <w:r w:rsidRPr="00531366">
              <w:rPr>
                <w:rFonts w:ascii="Arial" w:hAnsi="Arial" w:cs="Arial"/>
                <w:noProof/>
                <w:sz w:val="20"/>
                <w:szCs w:val="20"/>
              </w:rPr>
              <w:t xml:space="preserve"> has long recommended the back (supi</w:t>
            </w:r>
            <w:r>
              <w:rPr>
                <w:rFonts w:ascii="Arial" w:hAnsi="Arial" w:cs="Arial"/>
                <w:noProof/>
                <w:sz w:val="20"/>
                <w:szCs w:val="20"/>
              </w:rPr>
              <w:t>ne) sleep position. In</w:t>
            </w:r>
            <w:r w:rsidRPr="00531366">
              <w:rPr>
                <w:rFonts w:ascii="Arial" w:hAnsi="Arial" w:cs="Arial"/>
                <w:noProof/>
                <w:sz w:val="20"/>
                <w:szCs w:val="20"/>
              </w:rPr>
              <w:t xml:space="preserve"> 2011, AAP expanded its recommendations to help reduce the risk of all sleep-related deaths through a safe sleep environment that includes use of the back-sleep position, on a separate firm sleep surface (room-sharing without bed sharing), and without loose bedding.  </w:t>
            </w:r>
            <w:hyperlink r:id="rId128" w:history="1">
              <w:r w:rsidRPr="002A0ACA">
                <w:rPr>
                  <w:rFonts w:ascii="Arial" w:hAnsi="Arial" w:cs="Arial"/>
                  <w:color w:val="0000FF"/>
                  <w:sz w:val="18"/>
                  <w:szCs w:val="18"/>
                  <w:u w:val="single"/>
                </w:rPr>
                <w:t>http://pediatrics.aappublications.org/content/128/5/1030</w:t>
              </w:r>
            </w:hyperlink>
          </w:p>
        </w:tc>
      </w:tr>
      <w:tr w:rsidR="004106D5" w:rsidRPr="003F48A1" w14:paraId="473A8C43" w14:textId="77777777" w:rsidTr="000C7A5D">
        <w:tc>
          <w:tcPr>
            <w:tcW w:w="3618" w:type="dxa"/>
            <w:gridSpan w:val="2"/>
            <w:shd w:val="clear" w:color="auto" w:fill="auto"/>
          </w:tcPr>
          <w:p w14:paraId="1907EAC3" w14:textId="77777777" w:rsidR="004106D5" w:rsidRPr="00531366" w:rsidRDefault="004106D5" w:rsidP="00CA7D60">
            <w:pPr>
              <w:spacing w:after="0" w:line="240" w:lineRule="auto"/>
              <w:ind w:right="-75"/>
              <w:rPr>
                <w:rFonts w:ascii="Arial" w:hAnsi="Arial" w:cs="Arial"/>
                <w:b/>
                <w:sz w:val="24"/>
                <w:szCs w:val="24"/>
              </w:rPr>
            </w:pPr>
            <w:r w:rsidRPr="00531366">
              <w:rPr>
                <w:rFonts w:ascii="Arial" w:hAnsi="Arial" w:cs="Arial"/>
                <w:b/>
                <w:sz w:val="24"/>
                <w:szCs w:val="24"/>
              </w:rPr>
              <w:t xml:space="preserve">PERFORMANCE MEASURE </w:t>
            </w:r>
            <w:r>
              <w:rPr>
                <w:rFonts w:ascii="Arial" w:hAnsi="Arial" w:cs="Arial"/>
                <w:b/>
                <w:noProof/>
                <w:sz w:val="24"/>
                <w:szCs w:val="24"/>
              </w:rPr>
              <w:t>6</w:t>
            </w:r>
          </w:p>
        </w:tc>
        <w:tc>
          <w:tcPr>
            <w:tcW w:w="5868" w:type="dxa"/>
            <w:gridSpan w:val="2"/>
            <w:shd w:val="clear" w:color="auto" w:fill="auto"/>
          </w:tcPr>
          <w:p w14:paraId="5FC5EDA4" w14:textId="3280EFEC" w:rsidR="004106D5" w:rsidRPr="00531366" w:rsidRDefault="004106D5" w:rsidP="00622F88">
            <w:pPr>
              <w:spacing w:after="0" w:line="240" w:lineRule="auto"/>
              <w:rPr>
                <w:rFonts w:ascii="Arial" w:hAnsi="Arial" w:cs="Arial"/>
                <w:b/>
                <w:sz w:val="24"/>
                <w:szCs w:val="24"/>
              </w:rPr>
            </w:pPr>
            <w:r w:rsidRPr="00531366">
              <w:rPr>
                <w:rFonts w:ascii="Arial" w:hAnsi="Arial" w:cs="Arial"/>
                <w:b/>
                <w:noProof/>
                <w:sz w:val="24"/>
                <w:szCs w:val="24"/>
              </w:rPr>
              <w:t xml:space="preserve">Percent of children, ages </w:t>
            </w:r>
            <w:r>
              <w:rPr>
                <w:rFonts w:ascii="Arial" w:hAnsi="Arial" w:cs="Arial"/>
                <w:b/>
                <w:noProof/>
                <w:sz w:val="24"/>
                <w:szCs w:val="24"/>
              </w:rPr>
              <w:t xml:space="preserve">9 </w:t>
            </w:r>
            <w:r w:rsidRPr="00CD5282">
              <w:rPr>
                <w:rFonts w:ascii="Arial" w:eastAsia="Times New Roman" w:hAnsi="Arial" w:cs="Arial"/>
                <w:b/>
                <w:sz w:val="24"/>
                <w:szCs w:val="24"/>
              </w:rPr>
              <w:t>through</w:t>
            </w:r>
            <w:r>
              <w:rPr>
                <w:rFonts w:ascii="Arial" w:eastAsia="Times New Roman" w:hAnsi="Arial" w:cs="Arial"/>
                <w:sz w:val="24"/>
                <w:szCs w:val="24"/>
              </w:rPr>
              <w:t xml:space="preserve"> </w:t>
            </w:r>
            <w:r w:rsidR="00622F88">
              <w:rPr>
                <w:rFonts w:ascii="Arial" w:hAnsi="Arial" w:cs="Arial"/>
                <w:b/>
                <w:noProof/>
                <w:sz w:val="24"/>
                <w:szCs w:val="24"/>
              </w:rPr>
              <w:t>35</w:t>
            </w:r>
            <w:r w:rsidRPr="00531366">
              <w:rPr>
                <w:rFonts w:ascii="Arial" w:hAnsi="Arial" w:cs="Arial"/>
                <w:b/>
                <w:noProof/>
                <w:sz w:val="24"/>
                <w:szCs w:val="24"/>
              </w:rPr>
              <w:t xml:space="preserve"> months, </w:t>
            </w:r>
            <w:r w:rsidR="00622F88">
              <w:rPr>
                <w:rFonts w:ascii="Arial" w:hAnsi="Arial" w:cs="Arial"/>
                <w:b/>
                <w:noProof/>
                <w:sz w:val="24"/>
                <w:szCs w:val="24"/>
              </w:rPr>
              <w:t>who received a d</w:t>
            </w:r>
            <w:r w:rsidRPr="00531366">
              <w:rPr>
                <w:rFonts w:ascii="Arial" w:hAnsi="Arial" w:cs="Arial"/>
                <w:b/>
                <w:noProof/>
                <w:sz w:val="24"/>
                <w:szCs w:val="24"/>
              </w:rPr>
              <w:t>evelopmental screening using a parent-completed screening tool</w:t>
            </w:r>
            <w:r>
              <w:rPr>
                <w:rFonts w:ascii="Arial" w:hAnsi="Arial" w:cs="Arial"/>
                <w:b/>
                <w:noProof/>
                <w:sz w:val="24"/>
                <w:szCs w:val="24"/>
              </w:rPr>
              <w:t xml:space="preserve"> in the past year</w:t>
            </w:r>
          </w:p>
        </w:tc>
      </w:tr>
    </w:tbl>
    <w:p w14:paraId="2C23BE75" w14:textId="77777777" w:rsidR="004106D5" w:rsidRDefault="004106D5" w:rsidP="004106D5">
      <w:pPr>
        <w:spacing w:after="0" w:line="240" w:lineRule="auto"/>
      </w:pPr>
    </w:p>
    <w:p w14:paraId="724E595B" w14:textId="77777777" w:rsidR="004106D5" w:rsidRDefault="004106D5" w:rsidP="004106D5">
      <w:pPr>
        <w:spacing w:after="0" w:line="240" w:lineRule="auto"/>
      </w:pPr>
      <w:r>
        <w:rPr>
          <w:noProof/>
        </w:rPr>
        <mc:AlternateContent>
          <mc:Choice Requires="wps">
            <w:drawing>
              <wp:anchor distT="4294967295" distB="4294967295" distL="114300" distR="114300" simplePos="0" relativeHeight="251795456" behindDoc="0" locked="0" layoutInCell="1" allowOverlap="1" wp14:anchorId="0711D6BA" wp14:editId="52674E0C">
                <wp:simplePos x="0" y="0"/>
                <wp:positionH relativeFrom="column">
                  <wp:posOffset>-60960</wp:posOffset>
                </wp:positionH>
                <wp:positionV relativeFrom="paragraph">
                  <wp:posOffset>31749</wp:posOffset>
                </wp:positionV>
                <wp:extent cx="6088380" cy="0"/>
                <wp:effectExtent l="0" t="0" r="26670" b="19050"/>
                <wp:wrapNone/>
                <wp:docPr id="1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D257A59" id="Straight Connector 5" o:spid="_x0000_s1026" style="position:absolute;z-index:251795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" strokecolor="windowText" strokeweight="1.75pt">
                <o:lock v:ext="edit" shapetype="f"/>
              </v:line>
            </w:pict>
          </mc:Fallback>
        </mc:AlternateContent>
      </w:r>
    </w:p>
    <w:tbl>
      <w:tblPr>
        <w:tblW w:w="0" w:type="auto"/>
        <w:tblLook w:val="04A0" w:firstRow="1" w:lastRow="0" w:firstColumn="1" w:lastColumn="0" w:noHBand="0" w:noVBand="1"/>
      </w:tblPr>
      <w:tblGrid>
        <w:gridCol w:w="3618"/>
        <w:gridCol w:w="3384"/>
        <w:gridCol w:w="2556"/>
      </w:tblGrid>
      <w:tr w:rsidR="004106D5" w:rsidRPr="00515E1C" w14:paraId="60291C81" w14:textId="77777777" w:rsidTr="000C7A5D">
        <w:tc>
          <w:tcPr>
            <w:tcW w:w="3618" w:type="dxa"/>
            <w:shd w:val="clear" w:color="auto" w:fill="auto"/>
          </w:tcPr>
          <w:p w14:paraId="42C6E382"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GOAL</w:t>
            </w:r>
          </w:p>
        </w:tc>
        <w:tc>
          <w:tcPr>
            <w:tcW w:w="5940" w:type="dxa"/>
            <w:gridSpan w:val="2"/>
            <w:shd w:val="clear" w:color="auto" w:fill="auto"/>
          </w:tcPr>
          <w:p w14:paraId="6312B7FC" w14:textId="6A4EC647" w:rsidR="004106D5" w:rsidRPr="00531366" w:rsidRDefault="004106D5" w:rsidP="00326961">
            <w:pPr>
              <w:spacing w:after="0" w:line="240" w:lineRule="auto"/>
              <w:rPr>
                <w:rFonts w:ascii="Arial" w:hAnsi="Arial" w:cs="Arial"/>
                <w:sz w:val="20"/>
                <w:szCs w:val="20"/>
              </w:rPr>
            </w:pPr>
            <w:r w:rsidRPr="00531366">
              <w:rPr>
                <w:rFonts w:ascii="Arial" w:hAnsi="Arial" w:cs="Arial"/>
                <w:noProof/>
                <w:sz w:val="20"/>
                <w:szCs w:val="20"/>
              </w:rPr>
              <w:t xml:space="preserve">To increase the </w:t>
            </w:r>
            <w:r w:rsidR="00326961">
              <w:rPr>
                <w:rFonts w:ascii="Arial" w:hAnsi="Arial" w:cs="Arial"/>
                <w:noProof/>
                <w:sz w:val="20"/>
                <w:szCs w:val="20"/>
              </w:rPr>
              <w:t>percent</w:t>
            </w:r>
            <w:r w:rsidRPr="00531366">
              <w:rPr>
                <w:rFonts w:ascii="Arial" w:hAnsi="Arial" w:cs="Arial"/>
                <w:noProof/>
                <w:sz w:val="20"/>
                <w:szCs w:val="20"/>
              </w:rPr>
              <w:t xml:space="preserve"> of children who receive a developmental screening.</w:t>
            </w:r>
          </w:p>
        </w:tc>
      </w:tr>
      <w:tr w:rsidR="004106D5" w:rsidRPr="00515E1C" w14:paraId="450648B0" w14:textId="77777777" w:rsidTr="000C7A5D">
        <w:tc>
          <w:tcPr>
            <w:tcW w:w="3618" w:type="dxa"/>
            <w:shd w:val="clear" w:color="auto" w:fill="auto"/>
          </w:tcPr>
          <w:p w14:paraId="24377887"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7F178996" w14:textId="77777777" w:rsidR="004106D5" w:rsidRPr="00531366" w:rsidRDefault="004106D5" w:rsidP="000C7A5D">
            <w:pPr>
              <w:spacing w:after="0" w:line="240" w:lineRule="auto"/>
              <w:rPr>
                <w:rFonts w:ascii="Arial" w:hAnsi="Arial" w:cs="Arial"/>
                <w:sz w:val="20"/>
                <w:szCs w:val="20"/>
              </w:rPr>
            </w:pPr>
          </w:p>
        </w:tc>
      </w:tr>
      <w:tr w:rsidR="004106D5" w:rsidRPr="00515E1C" w14:paraId="62D18C4C" w14:textId="77777777" w:rsidTr="000C7A5D">
        <w:tc>
          <w:tcPr>
            <w:tcW w:w="3618" w:type="dxa"/>
            <w:shd w:val="clear" w:color="auto" w:fill="auto"/>
          </w:tcPr>
          <w:p w14:paraId="1D1F51E5"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DEFINITION</w:t>
            </w:r>
          </w:p>
        </w:tc>
        <w:tc>
          <w:tcPr>
            <w:tcW w:w="5940" w:type="dxa"/>
            <w:gridSpan w:val="2"/>
            <w:shd w:val="clear" w:color="auto" w:fill="auto"/>
          </w:tcPr>
          <w:p w14:paraId="55957C62"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Numerator:</w:t>
            </w:r>
          </w:p>
        </w:tc>
      </w:tr>
      <w:tr w:rsidR="004106D5" w:rsidRPr="00515E1C" w14:paraId="66CA3611" w14:textId="77777777" w:rsidTr="000C7A5D">
        <w:tc>
          <w:tcPr>
            <w:tcW w:w="3618" w:type="dxa"/>
            <w:shd w:val="clear" w:color="auto" w:fill="auto"/>
          </w:tcPr>
          <w:p w14:paraId="1C003181"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4E77D8EF" w14:textId="47DAA83E" w:rsidR="004106D5" w:rsidRPr="0082338D" w:rsidRDefault="004106D5" w:rsidP="00622F88">
            <w:pPr>
              <w:spacing w:after="0" w:line="240" w:lineRule="auto"/>
              <w:rPr>
                <w:rFonts w:ascii="Arial" w:hAnsi="Arial" w:cs="Arial"/>
                <w:sz w:val="20"/>
                <w:szCs w:val="20"/>
              </w:rPr>
            </w:pPr>
            <w:r w:rsidRPr="0082338D">
              <w:rPr>
                <w:rFonts w:ascii="Arial" w:hAnsi="Arial" w:cs="Arial"/>
                <w:noProof/>
                <w:sz w:val="20"/>
                <w:szCs w:val="20"/>
              </w:rPr>
              <w:t xml:space="preserve">Number </w:t>
            </w:r>
            <w:r w:rsidRPr="0082338D">
              <w:rPr>
                <w:rFonts w:ascii="Arial" w:hAnsi="Arial" w:cs="Arial"/>
                <w:sz w:val="20"/>
                <w:szCs w:val="20"/>
              </w:rPr>
              <w:t>of children</w:t>
            </w:r>
            <w:r w:rsidR="00622F88">
              <w:rPr>
                <w:rFonts w:ascii="Arial" w:hAnsi="Arial" w:cs="Arial"/>
                <w:sz w:val="20"/>
                <w:szCs w:val="20"/>
              </w:rPr>
              <w:t>, ages</w:t>
            </w:r>
            <w:r w:rsidRPr="0082338D">
              <w:rPr>
                <w:rFonts w:ascii="Arial" w:hAnsi="Arial" w:cs="Arial"/>
                <w:sz w:val="20"/>
                <w:szCs w:val="20"/>
              </w:rPr>
              <w:t xml:space="preserve"> </w:t>
            </w:r>
            <w:r>
              <w:rPr>
                <w:rFonts w:ascii="Arial" w:hAnsi="Arial" w:cs="Arial"/>
                <w:sz w:val="20"/>
                <w:szCs w:val="20"/>
              </w:rPr>
              <w:t>9</w:t>
            </w:r>
            <w:r w:rsidRPr="0082338D">
              <w:rPr>
                <w:rFonts w:ascii="Arial" w:hAnsi="Arial" w:cs="Arial"/>
                <w:sz w:val="20"/>
                <w:szCs w:val="20"/>
              </w:rPr>
              <w:t xml:space="preserve"> through </w:t>
            </w:r>
            <w:r w:rsidR="00622F88">
              <w:rPr>
                <w:rFonts w:ascii="Arial" w:hAnsi="Arial" w:cs="Arial"/>
                <w:sz w:val="20"/>
                <w:szCs w:val="20"/>
              </w:rPr>
              <w:t>35</w:t>
            </w:r>
            <w:r w:rsidRPr="0082338D">
              <w:rPr>
                <w:rFonts w:ascii="Arial" w:hAnsi="Arial" w:cs="Arial"/>
                <w:sz w:val="20"/>
                <w:szCs w:val="20"/>
              </w:rPr>
              <w:t xml:space="preserve"> months (</w:t>
            </w:r>
            <w:r w:rsidR="00622F88">
              <w:rPr>
                <w:rFonts w:ascii="Arial" w:hAnsi="Arial" w:cs="Arial"/>
                <w:sz w:val="20"/>
                <w:szCs w:val="20"/>
              </w:rPr>
              <w:t xml:space="preserve">2 </w:t>
            </w:r>
            <w:r w:rsidRPr="0082338D">
              <w:rPr>
                <w:rFonts w:ascii="Arial" w:hAnsi="Arial" w:cs="Arial"/>
                <w:sz w:val="20"/>
                <w:szCs w:val="20"/>
              </w:rPr>
              <w:t>years)</w:t>
            </w:r>
            <w:r w:rsidR="00622F88">
              <w:rPr>
                <w:rFonts w:ascii="Arial" w:hAnsi="Arial" w:cs="Arial"/>
                <w:sz w:val="20"/>
                <w:szCs w:val="20"/>
              </w:rPr>
              <w:t>,</w:t>
            </w:r>
            <w:r w:rsidRPr="0082338D">
              <w:rPr>
                <w:rFonts w:ascii="Arial" w:hAnsi="Arial" w:cs="Arial"/>
                <w:sz w:val="20"/>
                <w:szCs w:val="20"/>
              </w:rPr>
              <w:t xml:space="preserve"> </w:t>
            </w:r>
            <w:r w:rsidRPr="0082338D">
              <w:rPr>
                <w:rFonts w:ascii="Arial" w:hAnsi="Arial" w:cs="Arial"/>
                <w:bCs/>
                <w:sz w:val="20"/>
                <w:szCs w:val="20"/>
              </w:rPr>
              <w:t>who</w:t>
            </w:r>
            <w:r w:rsidR="00622F88">
              <w:rPr>
                <w:rFonts w:ascii="Arial" w:hAnsi="Arial" w:cs="Arial"/>
                <w:bCs/>
                <w:sz w:val="20"/>
                <w:szCs w:val="20"/>
              </w:rPr>
              <w:t xml:space="preserve">se </w:t>
            </w:r>
            <w:r w:rsidRPr="0082338D">
              <w:rPr>
                <w:rFonts w:ascii="Arial" w:hAnsi="Arial" w:cs="Arial"/>
                <w:sz w:val="20"/>
                <w:szCs w:val="20"/>
              </w:rPr>
              <w:t xml:space="preserve">parents completed a Standardized Developmental Screening tool in the past </w:t>
            </w:r>
            <w:r w:rsidR="00622F88">
              <w:rPr>
                <w:rFonts w:ascii="Arial" w:hAnsi="Arial" w:cs="Arial"/>
                <w:sz w:val="20"/>
                <w:szCs w:val="20"/>
              </w:rPr>
              <w:t>year</w:t>
            </w:r>
          </w:p>
        </w:tc>
      </w:tr>
      <w:tr w:rsidR="004106D5" w:rsidRPr="00515E1C" w14:paraId="2387DD70" w14:textId="77777777" w:rsidTr="000C7A5D">
        <w:tc>
          <w:tcPr>
            <w:tcW w:w="3618" w:type="dxa"/>
            <w:shd w:val="clear" w:color="auto" w:fill="auto"/>
          </w:tcPr>
          <w:p w14:paraId="768923EE"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06346809" w14:textId="77777777" w:rsidR="004106D5" w:rsidRPr="00531366" w:rsidRDefault="004106D5" w:rsidP="000C7A5D">
            <w:pPr>
              <w:spacing w:after="0" w:line="240" w:lineRule="auto"/>
              <w:rPr>
                <w:rFonts w:ascii="Arial" w:hAnsi="Arial" w:cs="Arial"/>
                <w:sz w:val="20"/>
                <w:szCs w:val="20"/>
              </w:rPr>
            </w:pPr>
          </w:p>
        </w:tc>
      </w:tr>
      <w:tr w:rsidR="004106D5" w:rsidRPr="00515E1C" w14:paraId="720AF2D9" w14:textId="77777777" w:rsidTr="000C7A5D">
        <w:tc>
          <w:tcPr>
            <w:tcW w:w="3618" w:type="dxa"/>
            <w:shd w:val="clear" w:color="auto" w:fill="auto"/>
          </w:tcPr>
          <w:p w14:paraId="2E46E60F"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70F49527"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Denominator:</w:t>
            </w:r>
          </w:p>
        </w:tc>
      </w:tr>
      <w:tr w:rsidR="004106D5" w:rsidRPr="00515E1C" w14:paraId="0196F0B1" w14:textId="77777777" w:rsidTr="000C7A5D">
        <w:tc>
          <w:tcPr>
            <w:tcW w:w="3618" w:type="dxa"/>
            <w:shd w:val="clear" w:color="auto" w:fill="auto"/>
          </w:tcPr>
          <w:p w14:paraId="29136E70"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69807F0C" w14:textId="4AE93722" w:rsidR="004106D5" w:rsidRPr="0082338D" w:rsidRDefault="004106D5" w:rsidP="00622F88">
            <w:pPr>
              <w:spacing w:after="0" w:line="240" w:lineRule="auto"/>
              <w:rPr>
                <w:rFonts w:ascii="Arial" w:hAnsi="Arial" w:cs="Arial"/>
                <w:sz w:val="20"/>
                <w:szCs w:val="20"/>
              </w:rPr>
            </w:pPr>
            <w:r w:rsidRPr="0082338D">
              <w:rPr>
                <w:rFonts w:ascii="Arial" w:hAnsi="Arial" w:cs="Arial"/>
                <w:noProof/>
                <w:sz w:val="20"/>
                <w:szCs w:val="20"/>
              </w:rPr>
              <w:t>Number of children</w:t>
            </w:r>
            <w:r w:rsidR="00622F88">
              <w:rPr>
                <w:rFonts w:ascii="Arial" w:hAnsi="Arial" w:cs="Arial"/>
                <w:noProof/>
                <w:sz w:val="20"/>
                <w:szCs w:val="20"/>
              </w:rPr>
              <w:t>,</w:t>
            </w:r>
            <w:r w:rsidRPr="0082338D">
              <w:rPr>
                <w:rFonts w:ascii="Arial" w:hAnsi="Arial" w:cs="Arial"/>
                <w:noProof/>
                <w:sz w:val="20"/>
                <w:szCs w:val="20"/>
              </w:rPr>
              <w:t xml:space="preserve"> ages </w:t>
            </w:r>
            <w:r>
              <w:rPr>
                <w:rFonts w:ascii="Arial" w:hAnsi="Arial" w:cs="Arial"/>
                <w:noProof/>
                <w:sz w:val="20"/>
                <w:szCs w:val="20"/>
              </w:rPr>
              <w:t>9</w:t>
            </w:r>
            <w:r w:rsidRPr="0082338D">
              <w:rPr>
                <w:rFonts w:ascii="Arial" w:hAnsi="Arial" w:cs="Arial"/>
                <w:noProof/>
                <w:sz w:val="20"/>
                <w:szCs w:val="20"/>
              </w:rPr>
              <w:t xml:space="preserve"> </w:t>
            </w:r>
            <w:r w:rsidRPr="0082338D">
              <w:rPr>
                <w:rFonts w:ascii="Arial" w:eastAsia="Times New Roman" w:hAnsi="Arial" w:cs="Arial"/>
                <w:sz w:val="20"/>
                <w:szCs w:val="20"/>
              </w:rPr>
              <w:t xml:space="preserve">through </w:t>
            </w:r>
            <w:r w:rsidR="00622F88">
              <w:rPr>
                <w:rFonts w:ascii="Arial" w:eastAsia="Times New Roman" w:hAnsi="Arial" w:cs="Arial"/>
                <w:sz w:val="20"/>
                <w:szCs w:val="20"/>
              </w:rPr>
              <w:t>35 m</w:t>
            </w:r>
            <w:r w:rsidRPr="0082338D">
              <w:rPr>
                <w:rFonts w:ascii="Arial" w:hAnsi="Arial" w:cs="Arial"/>
                <w:noProof/>
                <w:sz w:val="20"/>
                <w:szCs w:val="20"/>
              </w:rPr>
              <w:t>onths</w:t>
            </w:r>
          </w:p>
        </w:tc>
      </w:tr>
      <w:tr w:rsidR="004106D5" w:rsidRPr="00515E1C" w14:paraId="2E7127F5" w14:textId="77777777" w:rsidTr="000C7A5D">
        <w:tc>
          <w:tcPr>
            <w:tcW w:w="3618" w:type="dxa"/>
            <w:shd w:val="clear" w:color="auto" w:fill="auto"/>
          </w:tcPr>
          <w:p w14:paraId="169C570C"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06C4294D" w14:textId="77777777" w:rsidR="004106D5" w:rsidRPr="00531366" w:rsidRDefault="004106D5" w:rsidP="000C7A5D">
            <w:pPr>
              <w:spacing w:after="0" w:line="240" w:lineRule="auto"/>
              <w:rPr>
                <w:rFonts w:ascii="Arial" w:hAnsi="Arial" w:cs="Arial"/>
                <w:sz w:val="20"/>
                <w:szCs w:val="20"/>
              </w:rPr>
            </w:pPr>
          </w:p>
        </w:tc>
      </w:tr>
      <w:tr w:rsidR="004106D5" w:rsidRPr="00515E1C" w14:paraId="469CF924" w14:textId="77777777" w:rsidTr="000C7A5D">
        <w:tc>
          <w:tcPr>
            <w:tcW w:w="3618" w:type="dxa"/>
            <w:shd w:val="clear" w:color="auto" w:fill="auto"/>
          </w:tcPr>
          <w:p w14:paraId="4616ADF2" w14:textId="77777777" w:rsidR="004106D5" w:rsidRPr="00531366" w:rsidRDefault="004106D5" w:rsidP="000C7A5D">
            <w:pPr>
              <w:spacing w:after="0" w:line="240" w:lineRule="auto"/>
              <w:rPr>
                <w:rFonts w:ascii="Arial" w:hAnsi="Arial" w:cs="Arial"/>
                <w:b/>
                <w:sz w:val="20"/>
                <w:szCs w:val="20"/>
              </w:rPr>
            </w:pPr>
          </w:p>
        </w:tc>
        <w:tc>
          <w:tcPr>
            <w:tcW w:w="3384" w:type="dxa"/>
            <w:shd w:val="clear" w:color="auto" w:fill="auto"/>
          </w:tcPr>
          <w:p w14:paraId="6F1BE721"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b/>
                <w:sz w:val="20"/>
                <w:szCs w:val="20"/>
              </w:rPr>
              <w:t>Units:</w:t>
            </w:r>
            <w:r w:rsidRPr="00531366">
              <w:rPr>
                <w:rFonts w:ascii="Arial" w:hAnsi="Arial" w:cs="Arial"/>
                <w:sz w:val="20"/>
                <w:szCs w:val="20"/>
              </w:rPr>
              <w:t xml:space="preserve"> </w:t>
            </w:r>
            <w:r w:rsidRPr="00531366">
              <w:rPr>
                <w:rFonts w:ascii="Arial" w:hAnsi="Arial" w:cs="Arial"/>
                <w:noProof/>
                <w:sz w:val="20"/>
                <w:szCs w:val="20"/>
              </w:rPr>
              <w:t>100</w:t>
            </w:r>
          </w:p>
        </w:tc>
        <w:tc>
          <w:tcPr>
            <w:tcW w:w="2556" w:type="dxa"/>
            <w:shd w:val="clear" w:color="auto" w:fill="auto"/>
          </w:tcPr>
          <w:p w14:paraId="1C7EC6CA"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b/>
                <w:sz w:val="20"/>
                <w:szCs w:val="20"/>
              </w:rPr>
              <w:t>Text:</w:t>
            </w:r>
            <w:r w:rsidRPr="00531366">
              <w:rPr>
                <w:rFonts w:ascii="Arial" w:hAnsi="Arial" w:cs="Arial"/>
                <w:sz w:val="20"/>
                <w:szCs w:val="20"/>
              </w:rPr>
              <w:t xml:space="preserve"> </w:t>
            </w:r>
            <w:r w:rsidRPr="00531366">
              <w:rPr>
                <w:rFonts w:ascii="Arial" w:hAnsi="Arial" w:cs="Arial"/>
                <w:noProof/>
                <w:sz w:val="20"/>
                <w:szCs w:val="20"/>
              </w:rPr>
              <w:t>Percent</w:t>
            </w:r>
          </w:p>
        </w:tc>
      </w:tr>
      <w:tr w:rsidR="004106D5" w:rsidRPr="00515E1C" w14:paraId="07AA0F60" w14:textId="77777777" w:rsidTr="000C7A5D">
        <w:tc>
          <w:tcPr>
            <w:tcW w:w="3618" w:type="dxa"/>
            <w:shd w:val="clear" w:color="auto" w:fill="auto"/>
          </w:tcPr>
          <w:p w14:paraId="0F0EB80B"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42B728EE" w14:textId="77777777" w:rsidR="004106D5" w:rsidRPr="00531366" w:rsidRDefault="004106D5" w:rsidP="000C7A5D">
            <w:pPr>
              <w:spacing w:after="0" w:line="240" w:lineRule="auto"/>
              <w:rPr>
                <w:rFonts w:ascii="Arial" w:hAnsi="Arial" w:cs="Arial"/>
                <w:sz w:val="20"/>
                <w:szCs w:val="20"/>
              </w:rPr>
            </w:pPr>
          </w:p>
        </w:tc>
      </w:tr>
      <w:tr w:rsidR="004106D5" w:rsidRPr="00515E1C" w14:paraId="1CCB796C" w14:textId="77777777" w:rsidTr="000C7A5D">
        <w:tc>
          <w:tcPr>
            <w:tcW w:w="3618" w:type="dxa"/>
            <w:shd w:val="clear" w:color="auto" w:fill="auto"/>
          </w:tcPr>
          <w:p w14:paraId="221C9258"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HEALTHY PEOPLE 2020 OBJECTIVE</w:t>
            </w:r>
          </w:p>
        </w:tc>
        <w:tc>
          <w:tcPr>
            <w:tcW w:w="5940" w:type="dxa"/>
            <w:gridSpan w:val="2"/>
            <w:shd w:val="clear" w:color="auto" w:fill="auto"/>
          </w:tcPr>
          <w:p w14:paraId="3D2703D9"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noProof/>
                <w:sz w:val="20"/>
                <w:szCs w:val="20"/>
              </w:rPr>
              <w:t>Related to Maternal, Infant, and Child Health (MICH) Objective 29-1:  Increase the proportion of children (</w:t>
            </w:r>
            <w:r>
              <w:rPr>
                <w:rFonts w:ascii="Arial" w:hAnsi="Arial" w:cs="Arial"/>
                <w:noProof/>
                <w:sz w:val="20"/>
                <w:szCs w:val="20"/>
              </w:rPr>
              <w:t>aged</w:t>
            </w:r>
            <w:r w:rsidRPr="00531366">
              <w:rPr>
                <w:rFonts w:ascii="Arial" w:hAnsi="Arial" w:cs="Arial"/>
                <w:noProof/>
                <w:sz w:val="20"/>
                <w:szCs w:val="20"/>
              </w:rPr>
              <w:t xml:space="preserve"> 10-35 months) who have been screened for an Autism Spectrum Disorder and other developmental delays.  (Baseline: 22.6%, Target: 24.9%)</w:t>
            </w:r>
          </w:p>
        </w:tc>
      </w:tr>
      <w:tr w:rsidR="004106D5" w:rsidRPr="00515E1C" w14:paraId="0BC0921A" w14:textId="77777777" w:rsidTr="000C7A5D">
        <w:tc>
          <w:tcPr>
            <w:tcW w:w="3618" w:type="dxa"/>
            <w:shd w:val="clear" w:color="auto" w:fill="auto"/>
          </w:tcPr>
          <w:p w14:paraId="44FDD2B1"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58889B74" w14:textId="77777777" w:rsidR="004106D5" w:rsidRPr="00531366" w:rsidRDefault="004106D5" w:rsidP="000C7A5D">
            <w:pPr>
              <w:spacing w:after="0" w:line="240" w:lineRule="auto"/>
              <w:rPr>
                <w:rFonts w:ascii="Arial" w:hAnsi="Arial" w:cs="Arial"/>
                <w:sz w:val="20"/>
                <w:szCs w:val="20"/>
              </w:rPr>
            </w:pPr>
          </w:p>
        </w:tc>
      </w:tr>
      <w:tr w:rsidR="004106D5" w:rsidRPr="00515E1C" w14:paraId="07B6CDC5" w14:textId="77777777" w:rsidTr="000C7A5D">
        <w:tc>
          <w:tcPr>
            <w:tcW w:w="3618" w:type="dxa"/>
            <w:shd w:val="clear" w:color="auto" w:fill="auto"/>
          </w:tcPr>
          <w:p w14:paraId="75B1A491"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DATA SOURCES and DATA ISSUES</w:t>
            </w:r>
          </w:p>
        </w:tc>
        <w:tc>
          <w:tcPr>
            <w:tcW w:w="5940" w:type="dxa"/>
            <w:gridSpan w:val="2"/>
            <w:shd w:val="clear" w:color="auto" w:fill="auto"/>
          </w:tcPr>
          <w:p w14:paraId="3B034690"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noProof/>
                <w:sz w:val="20"/>
                <w:szCs w:val="20"/>
              </w:rPr>
              <w:t>National Survey of Children's Health (NSCH)</w:t>
            </w:r>
            <w:r>
              <w:rPr>
                <w:rFonts w:ascii="Arial" w:hAnsi="Arial" w:cs="Arial"/>
                <w:noProof/>
                <w:sz w:val="20"/>
                <w:szCs w:val="20"/>
              </w:rPr>
              <w:t xml:space="preserve"> </w:t>
            </w:r>
          </w:p>
        </w:tc>
      </w:tr>
      <w:tr w:rsidR="004106D5" w:rsidRPr="00515E1C" w14:paraId="24411A67" w14:textId="77777777" w:rsidTr="000C7A5D">
        <w:tc>
          <w:tcPr>
            <w:tcW w:w="3618" w:type="dxa"/>
            <w:shd w:val="clear" w:color="auto" w:fill="auto"/>
          </w:tcPr>
          <w:p w14:paraId="0B00AEAD" w14:textId="77777777" w:rsidR="004106D5" w:rsidRDefault="004106D5" w:rsidP="000C7A5D">
            <w:pPr>
              <w:spacing w:after="0" w:line="240" w:lineRule="auto"/>
              <w:rPr>
                <w:rFonts w:ascii="Arial" w:hAnsi="Arial" w:cs="Arial"/>
                <w:b/>
                <w:sz w:val="20"/>
                <w:szCs w:val="20"/>
              </w:rPr>
            </w:pPr>
          </w:p>
          <w:p w14:paraId="3439C77D" w14:textId="77777777" w:rsidR="004106D5" w:rsidRDefault="004106D5" w:rsidP="000C7A5D">
            <w:pPr>
              <w:spacing w:after="0" w:line="240" w:lineRule="auto"/>
              <w:rPr>
                <w:rFonts w:ascii="Arial" w:hAnsi="Arial" w:cs="Arial"/>
                <w:b/>
                <w:sz w:val="20"/>
                <w:szCs w:val="20"/>
              </w:rPr>
            </w:pPr>
            <w:r>
              <w:rPr>
                <w:rFonts w:ascii="Arial" w:hAnsi="Arial" w:cs="Arial"/>
                <w:b/>
                <w:sz w:val="20"/>
                <w:szCs w:val="20"/>
              </w:rPr>
              <w:t>MCH POPULATION DOMAIN</w:t>
            </w:r>
          </w:p>
          <w:p w14:paraId="27A6D96F"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46F034B1" w14:textId="77777777" w:rsidR="004106D5" w:rsidRDefault="004106D5" w:rsidP="000C7A5D">
            <w:pPr>
              <w:spacing w:after="0" w:line="240" w:lineRule="auto"/>
              <w:rPr>
                <w:rFonts w:ascii="Arial" w:hAnsi="Arial" w:cs="Arial"/>
                <w:sz w:val="20"/>
                <w:szCs w:val="20"/>
              </w:rPr>
            </w:pPr>
          </w:p>
          <w:p w14:paraId="08223B14" w14:textId="77777777" w:rsidR="004106D5" w:rsidRPr="00531366" w:rsidRDefault="004106D5" w:rsidP="000C7A5D">
            <w:pPr>
              <w:spacing w:after="0" w:line="240" w:lineRule="auto"/>
              <w:rPr>
                <w:rFonts w:ascii="Arial" w:hAnsi="Arial" w:cs="Arial"/>
                <w:sz w:val="20"/>
                <w:szCs w:val="20"/>
              </w:rPr>
            </w:pPr>
            <w:r w:rsidRPr="00DD16CC">
              <w:rPr>
                <w:rFonts w:ascii="Arial" w:hAnsi="Arial" w:cs="Arial"/>
                <w:sz w:val="20"/>
                <w:szCs w:val="20"/>
              </w:rPr>
              <w:t>Child Health</w:t>
            </w:r>
          </w:p>
        </w:tc>
      </w:tr>
      <w:tr w:rsidR="004106D5" w:rsidRPr="00515E1C" w14:paraId="76AA74DD" w14:textId="77777777" w:rsidTr="000C7A5D">
        <w:tc>
          <w:tcPr>
            <w:tcW w:w="3618" w:type="dxa"/>
            <w:shd w:val="clear" w:color="auto" w:fill="auto"/>
          </w:tcPr>
          <w:p w14:paraId="709E945E"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SIGNIFICANCE</w:t>
            </w:r>
          </w:p>
        </w:tc>
        <w:tc>
          <w:tcPr>
            <w:tcW w:w="5940" w:type="dxa"/>
            <w:gridSpan w:val="2"/>
            <w:shd w:val="clear" w:color="auto" w:fill="auto"/>
          </w:tcPr>
          <w:p w14:paraId="0EAEC7C6" w14:textId="77777777" w:rsidR="004106D5" w:rsidRPr="00167A8F" w:rsidRDefault="004106D5" w:rsidP="000C7A5D">
            <w:pPr>
              <w:spacing w:after="0" w:line="240" w:lineRule="auto"/>
              <w:rPr>
                <w:rFonts w:ascii="Arial" w:hAnsi="Arial" w:cs="Arial"/>
                <w:noProof/>
                <w:sz w:val="20"/>
                <w:szCs w:val="20"/>
              </w:rPr>
            </w:pPr>
            <w:r w:rsidRPr="00167A8F">
              <w:rPr>
                <w:rFonts w:ascii="Arial" w:hAnsi="Arial" w:cs="Arial"/>
                <w:noProof/>
                <w:sz w:val="20"/>
                <w:szCs w:val="20"/>
              </w:rPr>
              <w:t xml:space="preserve">Early identification of developmental disorders is critical to the well-being of children and their families. It is an integral function of the primary care medical home.  The percent of children with a developmental disorder has been increasing, yet overall screening rates have remained low.  The American Academy of Pediatrics </w:t>
            </w:r>
            <w:r w:rsidRPr="00EB6B6C">
              <w:rPr>
                <w:rFonts w:ascii="Arial" w:hAnsi="Arial" w:cs="Arial"/>
                <w:noProof/>
                <w:sz w:val="20"/>
                <w:szCs w:val="20"/>
              </w:rPr>
              <w:t>(AAP) recommends screening tests begin at the nine month visit.</w:t>
            </w:r>
            <w:r>
              <w:rPr>
                <w:rFonts w:ascii="Arial" w:hAnsi="Arial" w:cs="Arial"/>
                <w:noProof/>
                <w:sz w:val="20"/>
                <w:szCs w:val="20"/>
              </w:rPr>
              <w:t xml:space="preserve">  The developmental screening measure is endorsed by the National Quality Forum and is part of the </w:t>
            </w:r>
            <w:r w:rsidRPr="00AD19F9">
              <w:rPr>
                <w:rFonts w:ascii="Arial" w:hAnsi="Arial" w:cs="Arial"/>
                <w:noProof/>
                <w:sz w:val="20"/>
                <w:szCs w:val="20"/>
              </w:rPr>
              <w:t>Core Set of Children’s Health Care Quality Measures for Medicaid and CHIP</w:t>
            </w:r>
            <w:r>
              <w:rPr>
                <w:rFonts w:ascii="Arial" w:hAnsi="Arial" w:cs="Arial"/>
                <w:noProof/>
                <w:sz w:val="20"/>
                <w:szCs w:val="20"/>
              </w:rPr>
              <w:t>.</w:t>
            </w:r>
          </w:p>
          <w:p w14:paraId="6232A083" w14:textId="77777777" w:rsidR="004106D5" w:rsidRPr="00EB6B6C" w:rsidRDefault="004106D5" w:rsidP="000C7A5D">
            <w:pPr>
              <w:spacing w:after="0" w:line="240" w:lineRule="auto"/>
              <w:rPr>
                <w:rFonts w:ascii="Arial" w:hAnsi="Arial" w:cs="Arial"/>
                <w:noProof/>
                <w:sz w:val="20"/>
                <w:szCs w:val="20"/>
              </w:rPr>
            </w:pPr>
          </w:p>
          <w:p w14:paraId="4B44BA86" w14:textId="77777777" w:rsidR="004106D5" w:rsidRPr="00D14F97" w:rsidRDefault="004106D5" w:rsidP="000C7A5D">
            <w:pPr>
              <w:spacing w:after="0" w:line="240" w:lineRule="auto"/>
              <w:rPr>
                <w:rFonts w:ascii="Arial" w:hAnsi="Arial" w:cs="Arial"/>
                <w:sz w:val="20"/>
                <w:szCs w:val="20"/>
              </w:rPr>
            </w:pPr>
            <w:r w:rsidRPr="00D14F97">
              <w:rPr>
                <w:rFonts w:ascii="Arial" w:hAnsi="Arial" w:cs="Arial"/>
                <w:sz w:val="20"/>
                <w:szCs w:val="20"/>
              </w:rPr>
              <w:t xml:space="preserve">Council on Children With Disabilities; Section on Developmental Behavioral Pediatrics; Bright Futures Steering Committee; Medical Home Initiatives for Children With Special Needs Project Advisory Committee. Identifying infants and young children with developmental disorders in the medical home: an algorithm for developmental surveillance and screening. Pediatrics. 2006 Jul;118(1):405-20. </w:t>
            </w:r>
            <w:hyperlink r:id="rId129" w:history="1">
              <w:r w:rsidRPr="00D14F97">
                <w:rPr>
                  <w:rFonts w:ascii="Arial" w:hAnsi="Arial" w:cs="Arial"/>
                  <w:color w:val="0000FF"/>
                  <w:sz w:val="20"/>
                  <w:szCs w:val="20"/>
                  <w:u w:val="single"/>
                </w:rPr>
                <w:t>http://pediatrics.aappublications.org/content/118/1/405</w:t>
              </w:r>
            </w:hyperlink>
          </w:p>
          <w:p w14:paraId="26B486F7" w14:textId="77777777" w:rsidR="004106D5" w:rsidRPr="00167A8F" w:rsidRDefault="004106D5" w:rsidP="000C7A5D">
            <w:pPr>
              <w:spacing w:after="0" w:line="240" w:lineRule="auto"/>
              <w:rPr>
                <w:rFonts w:ascii="Arial" w:hAnsi="Arial" w:cs="Arial"/>
                <w:sz w:val="20"/>
                <w:szCs w:val="20"/>
              </w:rPr>
            </w:pPr>
          </w:p>
        </w:tc>
      </w:tr>
      <w:tr w:rsidR="004106D5" w:rsidRPr="00515E1C" w14:paraId="5E91F7E2" w14:textId="77777777" w:rsidTr="000C7A5D">
        <w:tc>
          <w:tcPr>
            <w:tcW w:w="3618" w:type="dxa"/>
            <w:shd w:val="clear" w:color="auto" w:fill="auto"/>
          </w:tcPr>
          <w:p w14:paraId="045238E7" w14:textId="77777777" w:rsidR="004106D5" w:rsidRPr="00531366" w:rsidRDefault="004106D5" w:rsidP="000C7A5D">
            <w:pPr>
              <w:spacing w:after="0" w:line="240" w:lineRule="auto"/>
              <w:rPr>
                <w:rFonts w:ascii="Arial" w:hAnsi="Arial" w:cs="Arial"/>
                <w:sz w:val="20"/>
                <w:szCs w:val="20"/>
              </w:rPr>
            </w:pPr>
          </w:p>
        </w:tc>
        <w:tc>
          <w:tcPr>
            <w:tcW w:w="5940" w:type="dxa"/>
            <w:gridSpan w:val="2"/>
            <w:shd w:val="clear" w:color="auto" w:fill="auto"/>
          </w:tcPr>
          <w:p w14:paraId="615D97B5" w14:textId="77777777" w:rsidR="004106D5" w:rsidRPr="00531366" w:rsidRDefault="004106D5" w:rsidP="000C7A5D">
            <w:pPr>
              <w:spacing w:after="0" w:line="240" w:lineRule="auto"/>
              <w:rPr>
                <w:rFonts w:ascii="Arial" w:hAnsi="Arial" w:cs="Arial"/>
                <w:sz w:val="20"/>
                <w:szCs w:val="20"/>
              </w:rPr>
            </w:pPr>
          </w:p>
        </w:tc>
      </w:tr>
    </w:tbl>
    <w:p w14:paraId="20DF7FFB" w14:textId="77777777" w:rsidR="004106D5" w:rsidRDefault="004106D5" w:rsidP="004106D5">
      <w:pPr>
        <w:spacing w:after="0" w:line="240" w:lineRule="auto"/>
        <w:sectPr w:rsidR="004106D5" w:rsidSect="008A00F6">
          <w:pgSz w:w="12240" w:h="15840"/>
          <w:pgMar w:top="1440" w:right="1440" w:bottom="1440" w:left="1440" w:header="720" w:footer="720" w:gutter="0"/>
          <w:cols w:space="720"/>
          <w:docGrid w:linePitch="360"/>
        </w:sectPr>
      </w:pPr>
    </w:p>
    <w:tbl>
      <w:tblPr>
        <w:tblW w:w="0" w:type="auto"/>
        <w:tblLook w:val="04A0" w:firstRow="1" w:lastRow="0" w:firstColumn="1" w:lastColumn="0" w:noHBand="0" w:noVBand="1"/>
      </w:tblPr>
      <w:tblGrid>
        <w:gridCol w:w="3618"/>
        <w:gridCol w:w="5868"/>
      </w:tblGrid>
      <w:tr w:rsidR="004106D5" w:rsidRPr="003F48A1" w14:paraId="52D84596" w14:textId="77777777" w:rsidTr="000C7A5D">
        <w:tc>
          <w:tcPr>
            <w:tcW w:w="3618" w:type="dxa"/>
            <w:shd w:val="clear" w:color="auto" w:fill="auto"/>
          </w:tcPr>
          <w:p w14:paraId="393D82B8" w14:textId="77777777" w:rsidR="004106D5" w:rsidRPr="00531366" w:rsidRDefault="004106D5" w:rsidP="000C7A5D">
            <w:pPr>
              <w:spacing w:after="0" w:line="240" w:lineRule="auto"/>
              <w:rPr>
                <w:rFonts w:ascii="Arial" w:hAnsi="Arial" w:cs="Arial"/>
                <w:b/>
                <w:sz w:val="24"/>
                <w:szCs w:val="24"/>
              </w:rPr>
            </w:pPr>
            <w:r w:rsidRPr="00531366">
              <w:rPr>
                <w:rFonts w:ascii="Arial" w:hAnsi="Arial" w:cs="Arial"/>
                <w:b/>
                <w:sz w:val="24"/>
                <w:szCs w:val="24"/>
              </w:rPr>
              <w:t xml:space="preserve">PERFORMANCE MEASURE </w:t>
            </w:r>
            <w:r>
              <w:rPr>
                <w:rFonts w:ascii="Arial" w:hAnsi="Arial" w:cs="Arial"/>
                <w:b/>
                <w:noProof/>
                <w:sz w:val="24"/>
                <w:szCs w:val="24"/>
              </w:rPr>
              <w:t>7</w:t>
            </w:r>
          </w:p>
        </w:tc>
        <w:tc>
          <w:tcPr>
            <w:tcW w:w="5868" w:type="dxa"/>
            <w:shd w:val="clear" w:color="auto" w:fill="auto"/>
          </w:tcPr>
          <w:p w14:paraId="4B1D53DB" w14:textId="77777777" w:rsidR="00C600C3" w:rsidRDefault="00C600C3" w:rsidP="00C600C3">
            <w:pPr>
              <w:spacing w:after="0" w:line="240" w:lineRule="auto"/>
              <w:rPr>
                <w:rFonts w:ascii="Arial" w:hAnsi="Arial" w:cs="Arial"/>
                <w:b/>
                <w:noProof/>
                <w:sz w:val="24"/>
                <w:szCs w:val="24"/>
              </w:rPr>
            </w:pPr>
            <w:r>
              <w:rPr>
                <w:rFonts w:ascii="Arial" w:hAnsi="Arial" w:cs="Arial"/>
                <w:b/>
                <w:noProof/>
                <w:sz w:val="24"/>
                <w:szCs w:val="24"/>
              </w:rPr>
              <w:t xml:space="preserve">7.1 </w:t>
            </w:r>
            <w:r w:rsidR="004106D5" w:rsidRPr="00531366">
              <w:rPr>
                <w:rFonts w:ascii="Arial" w:hAnsi="Arial" w:cs="Arial"/>
                <w:b/>
                <w:noProof/>
                <w:sz w:val="24"/>
                <w:szCs w:val="24"/>
              </w:rPr>
              <w:t xml:space="preserve">Rate </w:t>
            </w:r>
            <w:r w:rsidR="004106D5" w:rsidRPr="00CD5282">
              <w:rPr>
                <w:rFonts w:ascii="Arial" w:hAnsi="Arial" w:cs="Arial"/>
                <w:b/>
                <w:noProof/>
                <w:sz w:val="24"/>
                <w:szCs w:val="24"/>
              </w:rPr>
              <w:t xml:space="preserve">of </w:t>
            </w:r>
            <w:r w:rsidR="004106D5">
              <w:rPr>
                <w:rFonts w:ascii="Arial" w:hAnsi="Arial" w:cs="Arial"/>
                <w:b/>
                <w:noProof/>
                <w:sz w:val="24"/>
                <w:szCs w:val="24"/>
              </w:rPr>
              <w:t>hospitalization for non-fatal injury</w:t>
            </w:r>
            <w:r w:rsidR="004106D5" w:rsidRPr="00CD5282">
              <w:rPr>
                <w:rFonts w:ascii="Arial" w:hAnsi="Arial" w:cs="Arial"/>
                <w:b/>
                <w:noProof/>
                <w:sz w:val="24"/>
                <w:szCs w:val="24"/>
              </w:rPr>
              <w:t xml:space="preserve"> </w:t>
            </w:r>
            <w:r w:rsidR="004106D5">
              <w:rPr>
                <w:rFonts w:ascii="Arial" w:hAnsi="Arial" w:cs="Arial"/>
                <w:b/>
                <w:noProof/>
                <w:sz w:val="24"/>
                <w:szCs w:val="24"/>
              </w:rPr>
              <w:t>per 100,000 children</w:t>
            </w:r>
            <w:r>
              <w:rPr>
                <w:rFonts w:ascii="Arial" w:hAnsi="Arial" w:cs="Arial"/>
                <w:b/>
                <w:noProof/>
                <w:sz w:val="24"/>
                <w:szCs w:val="24"/>
              </w:rPr>
              <w:t xml:space="preserve">, </w:t>
            </w:r>
            <w:r w:rsidR="004106D5" w:rsidRPr="00CD5282">
              <w:rPr>
                <w:rFonts w:ascii="Arial" w:hAnsi="Arial" w:cs="Arial"/>
                <w:b/>
                <w:noProof/>
                <w:sz w:val="24"/>
                <w:szCs w:val="24"/>
              </w:rPr>
              <w:t xml:space="preserve">ages 0 </w:t>
            </w:r>
            <w:r w:rsidR="004106D5" w:rsidRPr="00CD5282">
              <w:rPr>
                <w:rFonts w:ascii="Arial" w:eastAsia="Times New Roman" w:hAnsi="Arial" w:cs="Arial"/>
                <w:b/>
                <w:sz w:val="24"/>
                <w:szCs w:val="24"/>
              </w:rPr>
              <w:t xml:space="preserve">through </w:t>
            </w:r>
            <w:r w:rsidR="004106D5">
              <w:rPr>
                <w:rFonts w:ascii="Arial" w:hAnsi="Arial" w:cs="Arial"/>
                <w:b/>
                <w:noProof/>
                <w:sz w:val="24"/>
                <w:szCs w:val="24"/>
              </w:rPr>
              <w:t>9</w:t>
            </w:r>
          </w:p>
          <w:p w14:paraId="07CCB213" w14:textId="5B168539" w:rsidR="004106D5" w:rsidRPr="00531366" w:rsidRDefault="00C600C3" w:rsidP="00C600C3">
            <w:pPr>
              <w:spacing w:after="0" w:line="240" w:lineRule="auto"/>
              <w:rPr>
                <w:rFonts w:ascii="Arial" w:hAnsi="Arial" w:cs="Arial"/>
                <w:b/>
                <w:sz w:val="24"/>
                <w:szCs w:val="24"/>
              </w:rPr>
            </w:pPr>
            <w:r>
              <w:rPr>
                <w:rFonts w:ascii="Arial" w:hAnsi="Arial" w:cs="Arial"/>
                <w:b/>
                <w:noProof/>
                <w:sz w:val="24"/>
                <w:szCs w:val="24"/>
              </w:rPr>
              <w:t xml:space="preserve">7.2 </w:t>
            </w:r>
            <w:r w:rsidR="004106D5">
              <w:rPr>
                <w:rFonts w:ascii="Arial" w:hAnsi="Arial" w:cs="Arial"/>
                <w:b/>
                <w:noProof/>
                <w:sz w:val="24"/>
                <w:szCs w:val="24"/>
              </w:rPr>
              <w:t xml:space="preserve"> </w:t>
            </w:r>
            <w:r w:rsidRPr="00531366">
              <w:rPr>
                <w:rFonts w:ascii="Arial" w:hAnsi="Arial" w:cs="Arial"/>
                <w:b/>
                <w:noProof/>
                <w:sz w:val="24"/>
                <w:szCs w:val="24"/>
              </w:rPr>
              <w:t xml:space="preserve">Rate </w:t>
            </w:r>
            <w:r w:rsidRPr="00CD5282">
              <w:rPr>
                <w:rFonts w:ascii="Arial" w:hAnsi="Arial" w:cs="Arial"/>
                <w:b/>
                <w:noProof/>
                <w:sz w:val="24"/>
                <w:szCs w:val="24"/>
              </w:rPr>
              <w:t xml:space="preserve">of </w:t>
            </w:r>
            <w:r>
              <w:rPr>
                <w:rFonts w:ascii="Arial" w:hAnsi="Arial" w:cs="Arial"/>
                <w:b/>
                <w:noProof/>
                <w:sz w:val="24"/>
                <w:szCs w:val="24"/>
              </w:rPr>
              <w:t>hospitalization for non-fatal injury</w:t>
            </w:r>
            <w:r w:rsidRPr="00CD5282">
              <w:rPr>
                <w:rFonts w:ascii="Arial" w:hAnsi="Arial" w:cs="Arial"/>
                <w:b/>
                <w:noProof/>
                <w:sz w:val="24"/>
                <w:szCs w:val="24"/>
              </w:rPr>
              <w:t xml:space="preserve"> </w:t>
            </w:r>
            <w:r>
              <w:rPr>
                <w:rFonts w:ascii="Arial" w:hAnsi="Arial" w:cs="Arial"/>
                <w:b/>
                <w:noProof/>
                <w:sz w:val="24"/>
                <w:szCs w:val="24"/>
              </w:rPr>
              <w:t xml:space="preserve">per 100,000 </w:t>
            </w:r>
            <w:r w:rsidR="004106D5">
              <w:rPr>
                <w:rFonts w:ascii="Arial" w:hAnsi="Arial" w:cs="Arial"/>
                <w:b/>
                <w:noProof/>
                <w:sz w:val="24"/>
                <w:szCs w:val="24"/>
              </w:rPr>
              <w:t>adolescents</w:t>
            </w:r>
            <w:r>
              <w:rPr>
                <w:rFonts w:ascii="Arial" w:hAnsi="Arial" w:cs="Arial"/>
                <w:b/>
                <w:noProof/>
                <w:sz w:val="24"/>
                <w:szCs w:val="24"/>
              </w:rPr>
              <w:t xml:space="preserve">, ages </w:t>
            </w:r>
            <w:r w:rsidR="004106D5">
              <w:rPr>
                <w:rFonts w:ascii="Arial" w:hAnsi="Arial" w:cs="Arial"/>
                <w:b/>
                <w:noProof/>
                <w:sz w:val="24"/>
                <w:szCs w:val="24"/>
              </w:rPr>
              <w:t>10 through 19</w:t>
            </w:r>
            <w:r w:rsidR="004106D5" w:rsidRPr="00CD5282">
              <w:rPr>
                <w:rFonts w:ascii="Arial" w:hAnsi="Arial" w:cs="Arial"/>
                <w:b/>
                <w:noProof/>
                <w:sz w:val="24"/>
                <w:szCs w:val="24"/>
              </w:rPr>
              <w:t xml:space="preserve"> </w:t>
            </w:r>
          </w:p>
        </w:tc>
      </w:tr>
    </w:tbl>
    <w:p w14:paraId="4DF27EA8" w14:textId="77777777" w:rsidR="004106D5" w:rsidRDefault="004106D5" w:rsidP="004106D5">
      <w:pPr>
        <w:spacing w:after="0" w:line="240" w:lineRule="auto"/>
      </w:pPr>
    </w:p>
    <w:p w14:paraId="6AF1D3D6" w14:textId="77777777" w:rsidR="004106D5" w:rsidRDefault="004106D5" w:rsidP="004106D5">
      <w:pPr>
        <w:spacing w:after="0" w:line="240" w:lineRule="auto"/>
      </w:pPr>
      <w:r>
        <w:rPr>
          <w:noProof/>
        </w:rPr>
        <mc:AlternateContent>
          <mc:Choice Requires="wps">
            <w:drawing>
              <wp:anchor distT="4294967295" distB="4294967295" distL="114300" distR="114300" simplePos="0" relativeHeight="251796480" behindDoc="0" locked="0" layoutInCell="1" allowOverlap="1" wp14:anchorId="602A1034" wp14:editId="48BC7FAB">
                <wp:simplePos x="0" y="0"/>
                <wp:positionH relativeFrom="column">
                  <wp:posOffset>-60960</wp:posOffset>
                </wp:positionH>
                <wp:positionV relativeFrom="paragraph">
                  <wp:posOffset>31749</wp:posOffset>
                </wp:positionV>
                <wp:extent cx="6088380" cy="0"/>
                <wp:effectExtent l="0" t="0" r="2667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5D0380A" id="Straight Connector 6" o:spid="_x0000_s1026" style="position:absolute;z-index:251796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" strokecolor="windowText" strokeweight="1.75pt">
                <o:lock v:ext="edit" shapetype="f"/>
              </v:line>
            </w:pict>
          </mc:Fallback>
        </mc:AlternateContent>
      </w:r>
    </w:p>
    <w:tbl>
      <w:tblPr>
        <w:tblW w:w="0" w:type="auto"/>
        <w:tblLook w:val="04A0" w:firstRow="1" w:lastRow="0" w:firstColumn="1" w:lastColumn="0" w:noHBand="0" w:noVBand="1"/>
      </w:tblPr>
      <w:tblGrid>
        <w:gridCol w:w="3467"/>
        <w:gridCol w:w="117"/>
        <w:gridCol w:w="3267"/>
        <w:gridCol w:w="2509"/>
      </w:tblGrid>
      <w:tr w:rsidR="004106D5" w:rsidRPr="00515E1C" w14:paraId="577D76AF" w14:textId="77777777" w:rsidTr="005B0F19">
        <w:tc>
          <w:tcPr>
            <w:tcW w:w="3467" w:type="dxa"/>
            <w:shd w:val="clear" w:color="auto" w:fill="auto"/>
          </w:tcPr>
          <w:p w14:paraId="5A58ACA8"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GOAL</w:t>
            </w:r>
          </w:p>
        </w:tc>
        <w:tc>
          <w:tcPr>
            <w:tcW w:w="5893" w:type="dxa"/>
            <w:gridSpan w:val="3"/>
            <w:shd w:val="clear" w:color="auto" w:fill="auto"/>
          </w:tcPr>
          <w:p w14:paraId="16E482E0" w14:textId="1A44E848" w:rsidR="004106D5" w:rsidRPr="00531366" w:rsidRDefault="004106D5" w:rsidP="00326961">
            <w:pPr>
              <w:spacing w:after="0" w:line="240" w:lineRule="auto"/>
              <w:rPr>
                <w:rFonts w:ascii="Arial" w:hAnsi="Arial" w:cs="Arial"/>
                <w:sz w:val="20"/>
                <w:szCs w:val="20"/>
              </w:rPr>
            </w:pPr>
            <w:r w:rsidRPr="00531366">
              <w:rPr>
                <w:rFonts w:ascii="Arial" w:hAnsi="Arial" w:cs="Arial"/>
                <w:noProof/>
                <w:sz w:val="20"/>
                <w:szCs w:val="20"/>
              </w:rPr>
              <w:t xml:space="preserve">To decrease the </w:t>
            </w:r>
            <w:r w:rsidR="00326961">
              <w:rPr>
                <w:rFonts w:ascii="Arial" w:hAnsi="Arial" w:cs="Arial"/>
                <w:noProof/>
                <w:sz w:val="20"/>
                <w:szCs w:val="20"/>
              </w:rPr>
              <w:t>rate</w:t>
            </w:r>
            <w:r w:rsidRPr="00531366">
              <w:rPr>
                <w:rFonts w:ascii="Arial" w:hAnsi="Arial" w:cs="Arial"/>
                <w:noProof/>
                <w:sz w:val="20"/>
                <w:szCs w:val="20"/>
              </w:rPr>
              <w:t xml:space="preserve"> of hospital a</w:t>
            </w:r>
            <w:r>
              <w:rPr>
                <w:rFonts w:ascii="Arial" w:hAnsi="Arial" w:cs="Arial"/>
                <w:noProof/>
                <w:sz w:val="20"/>
                <w:szCs w:val="20"/>
              </w:rPr>
              <w:t xml:space="preserve">dmissions for non-fatal injury among children ages 0 </w:t>
            </w:r>
            <w:r w:rsidRPr="00CD5282">
              <w:rPr>
                <w:rFonts w:ascii="Arial" w:eastAsia="Times New Roman" w:hAnsi="Arial" w:cs="Arial"/>
                <w:sz w:val="20"/>
                <w:szCs w:val="20"/>
              </w:rPr>
              <w:t>through</w:t>
            </w:r>
            <w:r>
              <w:rPr>
                <w:rFonts w:ascii="Arial" w:eastAsia="Times New Roman" w:hAnsi="Arial" w:cs="Arial"/>
                <w:sz w:val="24"/>
                <w:szCs w:val="24"/>
              </w:rPr>
              <w:t xml:space="preserve"> </w:t>
            </w:r>
            <w:r w:rsidRPr="00531366">
              <w:rPr>
                <w:rFonts w:ascii="Arial" w:hAnsi="Arial" w:cs="Arial"/>
                <w:noProof/>
                <w:sz w:val="20"/>
                <w:szCs w:val="20"/>
              </w:rPr>
              <w:t>19.</w:t>
            </w:r>
          </w:p>
        </w:tc>
      </w:tr>
      <w:tr w:rsidR="004106D5" w:rsidRPr="00515E1C" w14:paraId="74EADFC1" w14:textId="77777777" w:rsidTr="005B0F19">
        <w:tc>
          <w:tcPr>
            <w:tcW w:w="3467" w:type="dxa"/>
            <w:shd w:val="clear" w:color="auto" w:fill="auto"/>
          </w:tcPr>
          <w:p w14:paraId="033EF0F8" w14:textId="77777777" w:rsidR="004106D5" w:rsidRPr="00531366" w:rsidRDefault="004106D5" w:rsidP="000C7A5D">
            <w:pPr>
              <w:spacing w:after="0" w:line="240" w:lineRule="auto"/>
              <w:rPr>
                <w:rFonts w:ascii="Arial" w:hAnsi="Arial" w:cs="Arial"/>
                <w:b/>
                <w:sz w:val="20"/>
                <w:szCs w:val="20"/>
              </w:rPr>
            </w:pPr>
          </w:p>
        </w:tc>
        <w:tc>
          <w:tcPr>
            <w:tcW w:w="5893" w:type="dxa"/>
            <w:gridSpan w:val="3"/>
            <w:shd w:val="clear" w:color="auto" w:fill="auto"/>
          </w:tcPr>
          <w:p w14:paraId="20AF01F5" w14:textId="77777777" w:rsidR="004106D5" w:rsidRPr="00531366" w:rsidRDefault="004106D5" w:rsidP="000C7A5D">
            <w:pPr>
              <w:spacing w:after="0" w:line="240" w:lineRule="auto"/>
              <w:rPr>
                <w:rFonts w:ascii="Arial" w:hAnsi="Arial" w:cs="Arial"/>
                <w:sz w:val="20"/>
                <w:szCs w:val="20"/>
              </w:rPr>
            </w:pPr>
          </w:p>
        </w:tc>
      </w:tr>
      <w:tr w:rsidR="004106D5" w:rsidRPr="00515E1C" w14:paraId="24059714" w14:textId="77777777" w:rsidTr="005B0F19">
        <w:tc>
          <w:tcPr>
            <w:tcW w:w="3467" w:type="dxa"/>
            <w:shd w:val="clear" w:color="auto" w:fill="auto"/>
          </w:tcPr>
          <w:p w14:paraId="7196F874"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DEFINITION</w:t>
            </w:r>
          </w:p>
        </w:tc>
        <w:tc>
          <w:tcPr>
            <w:tcW w:w="5893" w:type="dxa"/>
            <w:gridSpan w:val="3"/>
            <w:shd w:val="clear" w:color="auto" w:fill="auto"/>
          </w:tcPr>
          <w:p w14:paraId="47C67865"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Numerator:</w:t>
            </w:r>
          </w:p>
        </w:tc>
      </w:tr>
      <w:tr w:rsidR="004106D5" w:rsidRPr="00515E1C" w14:paraId="228E0927" w14:textId="77777777" w:rsidTr="005B0F19">
        <w:tc>
          <w:tcPr>
            <w:tcW w:w="3467" w:type="dxa"/>
            <w:shd w:val="clear" w:color="auto" w:fill="auto"/>
          </w:tcPr>
          <w:p w14:paraId="0581B2AF" w14:textId="77777777" w:rsidR="004106D5" w:rsidRPr="00531366" w:rsidRDefault="004106D5" w:rsidP="000C7A5D">
            <w:pPr>
              <w:spacing w:after="0" w:line="240" w:lineRule="auto"/>
              <w:rPr>
                <w:rFonts w:ascii="Arial" w:hAnsi="Arial" w:cs="Arial"/>
                <w:b/>
                <w:sz w:val="20"/>
                <w:szCs w:val="20"/>
              </w:rPr>
            </w:pPr>
          </w:p>
        </w:tc>
        <w:tc>
          <w:tcPr>
            <w:tcW w:w="5893" w:type="dxa"/>
            <w:gridSpan w:val="3"/>
            <w:shd w:val="clear" w:color="auto" w:fill="auto"/>
          </w:tcPr>
          <w:p w14:paraId="0BA3F782" w14:textId="351AAB16" w:rsidR="004106D5" w:rsidRDefault="004736F2" w:rsidP="00673EF9">
            <w:pPr>
              <w:spacing w:after="0" w:line="240" w:lineRule="auto"/>
              <w:ind w:left="384" w:hanging="384"/>
              <w:rPr>
                <w:rFonts w:ascii="Arial" w:hAnsi="Arial" w:cs="Arial"/>
                <w:noProof/>
                <w:sz w:val="20"/>
                <w:szCs w:val="20"/>
              </w:rPr>
            </w:pPr>
            <w:r>
              <w:rPr>
                <w:rFonts w:ascii="Arial" w:hAnsi="Arial" w:cs="Arial"/>
                <w:noProof/>
                <w:sz w:val="20"/>
                <w:szCs w:val="20"/>
              </w:rPr>
              <w:t xml:space="preserve">7.1 </w:t>
            </w:r>
            <w:r w:rsidR="00673EF9">
              <w:rPr>
                <w:rFonts w:ascii="Arial" w:hAnsi="Arial" w:cs="Arial"/>
                <w:noProof/>
                <w:sz w:val="20"/>
                <w:szCs w:val="20"/>
              </w:rPr>
              <w:t xml:space="preserve"> </w:t>
            </w:r>
            <w:r w:rsidR="004106D5" w:rsidRPr="00531366">
              <w:rPr>
                <w:rFonts w:ascii="Arial" w:hAnsi="Arial" w:cs="Arial"/>
                <w:noProof/>
                <w:sz w:val="20"/>
                <w:szCs w:val="20"/>
              </w:rPr>
              <w:t>Number of hospital a</w:t>
            </w:r>
            <w:r w:rsidR="004106D5">
              <w:rPr>
                <w:rFonts w:ascii="Arial" w:hAnsi="Arial" w:cs="Arial"/>
                <w:noProof/>
                <w:sz w:val="20"/>
                <w:szCs w:val="20"/>
              </w:rPr>
              <w:t xml:space="preserve">dmissions </w:t>
            </w:r>
            <w:r w:rsidR="004106D5" w:rsidRPr="00531366">
              <w:rPr>
                <w:rFonts w:ascii="Arial" w:hAnsi="Arial" w:cs="Arial"/>
                <w:noProof/>
                <w:sz w:val="20"/>
                <w:szCs w:val="20"/>
              </w:rPr>
              <w:t xml:space="preserve">with a </w:t>
            </w:r>
            <w:r w:rsidR="004106D5">
              <w:rPr>
                <w:rFonts w:ascii="Arial" w:hAnsi="Arial" w:cs="Arial"/>
                <w:noProof/>
                <w:sz w:val="20"/>
                <w:szCs w:val="20"/>
              </w:rPr>
              <w:t xml:space="preserve">primary </w:t>
            </w:r>
            <w:r w:rsidR="004106D5" w:rsidRPr="00531366">
              <w:rPr>
                <w:rFonts w:ascii="Arial" w:hAnsi="Arial" w:cs="Arial"/>
                <w:noProof/>
                <w:sz w:val="20"/>
                <w:szCs w:val="20"/>
              </w:rPr>
              <w:t>diagnosis of unintentional or intentional injury</w:t>
            </w:r>
            <w:r w:rsidR="004106D5">
              <w:rPr>
                <w:rFonts w:ascii="Arial" w:hAnsi="Arial" w:cs="Arial"/>
                <w:noProof/>
                <w:sz w:val="20"/>
                <w:szCs w:val="20"/>
              </w:rPr>
              <w:t xml:space="preserve"> among children ages 0 </w:t>
            </w:r>
            <w:r w:rsidR="004106D5" w:rsidRPr="00CD5282">
              <w:rPr>
                <w:rFonts w:ascii="Arial" w:eastAsia="Times New Roman" w:hAnsi="Arial" w:cs="Arial"/>
                <w:sz w:val="20"/>
                <w:szCs w:val="20"/>
              </w:rPr>
              <w:t>through</w:t>
            </w:r>
            <w:r w:rsidR="004106D5">
              <w:rPr>
                <w:rFonts w:ascii="Arial" w:eastAsia="Times New Roman" w:hAnsi="Arial" w:cs="Arial"/>
                <w:sz w:val="24"/>
                <w:szCs w:val="24"/>
              </w:rPr>
              <w:t xml:space="preserve"> </w:t>
            </w:r>
            <w:r>
              <w:rPr>
                <w:rFonts w:ascii="Arial" w:hAnsi="Arial" w:cs="Arial"/>
                <w:noProof/>
                <w:sz w:val="20"/>
                <w:szCs w:val="20"/>
              </w:rPr>
              <w:t>9</w:t>
            </w:r>
            <w:r w:rsidR="004106D5" w:rsidRPr="00531366">
              <w:rPr>
                <w:rFonts w:ascii="Arial" w:hAnsi="Arial" w:cs="Arial"/>
                <w:noProof/>
                <w:sz w:val="20"/>
                <w:szCs w:val="20"/>
              </w:rPr>
              <w:t xml:space="preserve"> (</w:t>
            </w:r>
            <w:r w:rsidR="004106D5">
              <w:rPr>
                <w:rFonts w:ascii="Arial" w:hAnsi="Arial" w:cs="Arial"/>
                <w:noProof/>
                <w:sz w:val="20"/>
                <w:szCs w:val="20"/>
              </w:rPr>
              <w:t>excludes in-hospital deaths)</w:t>
            </w:r>
          </w:p>
          <w:p w14:paraId="5BB0A3F0" w14:textId="1B5A7B21" w:rsidR="004736F2" w:rsidRPr="00531366" w:rsidRDefault="004736F2" w:rsidP="00673EF9">
            <w:pPr>
              <w:spacing w:after="0" w:line="240" w:lineRule="auto"/>
              <w:ind w:left="384" w:hanging="384"/>
              <w:rPr>
                <w:rFonts w:ascii="Arial" w:hAnsi="Arial" w:cs="Arial"/>
                <w:noProof/>
                <w:sz w:val="20"/>
                <w:szCs w:val="20"/>
              </w:rPr>
            </w:pPr>
            <w:r>
              <w:rPr>
                <w:rFonts w:ascii="Arial" w:hAnsi="Arial" w:cs="Arial"/>
                <w:noProof/>
                <w:sz w:val="20"/>
                <w:szCs w:val="20"/>
              </w:rPr>
              <w:t xml:space="preserve">7.2 </w:t>
            </w:r>
            <w:r w:rsidR="00673EF9">
              <w:rPr>
                <w:rFonts w:ascii="Arial" w:hAnsi="Arial" w:cs="Arial"/>
                <w:noProof/>
                <w:sz w:val="20"/>
                <w:szCs w:val="20"/>
              </w:rPr>
              <w:t xml:space="preserve"> </w:t>
            </w:r>
            <w:r w:rsidRPr="00531366">
              <w:rPr>
                <w:rFonts w:ascii="Arial" w:hAnsi="Arial" w:cs="Arial"/>
                <w:noProof/>
                <w:sz w:val="20"/>
                <w:szCs w:val="20"/>
              </w:rPr>
              <w:t>Number of hospital a</w:t>
            </w:r>
            <w:r>
              <w:rPr>
                <w:rFonts w:ascii="Arial" w:hAnsi="Arial" w:cs="Arial"/>
                <w:noProof/>
                <w:sz w:val="20"/>
                <w:szCs w:val="20"/>
              </w:rPr>
              <w:t xml:space="preserve">dmissions </w:t>
            </w:r>
            <w:r w:rsidRPr="00531366">
              <w:rPr>
                <w:rFonts w:ascii="Arial" w:hAnsi="Arial" w:cs="Arial"/>
                <w:noProof/>
                <w:sz w:val="20"/>
                <w:szCs w:val="20"/>
              </w:rPr>
              <w:t xml:space="preserve">with a </w:t>
            </w:r>
            <w:r>
              <w:rPr>
                <w:rFonts w:ascii="Arial" w:hAnsi="Arial" w:cs="Arial"/>
                <w:noProof/>
                <w:sz w:val="20"/>
                <w:szCs w:val="20"/>
              </w:rPr>
              <w:t xml:space="preserve">primary </w:t>
            </w:r>
            <w:r w:rsidRPr="00531366">
              <w:rPr>
                <w:rFonts w:ascii="Arial" w:hAnsi="Arial" w:cs="Arial"/>
                <w:noProof/>
                <w:sz w:val="20"/>
                <w:szCs w:val="20"/>
              </w:rPr>
              <w:t>diagnosis of unintentional or intentional injury</w:t>
            </w:r>
            <w:r>
              <w:rPr>
                <w:rFonts w:ascii="Arial" w:hAnsi="Arial" w:cs="Arial"/>
                <w:noProof/>
                <w:sz w:val="20"/>
                <w:szCs w:val="20"/>
              </w:rPr>
              <w:t xml:space="preserve"> among adolescents, ages 10 </w:t>
            </w:r>
            <w:r w:rsidRPr="00CD5282">
              <w:rPr>
                <w:rFonts w:ascii="Arial" w:eastAsia="Times New Roman" w:hAnsi="Arial" w:cs="Arial"/>
                <w:sz w:val="20"/>
                <w:szCs w:val="20"/>
              </w:rPr>
              <w:t>through</w:t>
            </w:r>
            <w:r w:rsidR="00326961">
              <w:rPr>
                <w:rFonts w:ascii="Arial" w:eastAsia="Times New Roman" w:hAnsi="Arial" w:cs="Arial"/>
                <w:sz w:val="24"/>
                <w:szCs w:val="24"/>
              </w:rPr>
              <w:t xml:space="preserve"> </w:t>
            </w:r>
            <w:r w:rsidR="00326961" w:rsidRPr="00326961">
              <w:rPr>
                <w:rFonts w:ascii="Arial" w:eastAsia="Times New Roman" w:hAnsi="Arial" w:cs="Arial"/>
                <w:sz w:val="20"/>
                <w:szCs w:val="20"/>
              </w:rPr>
              <w:t>19</w:t>
            </w:r>
            <w:r w:rsidRPr="00531366">
              <w:rPr>
                <w:rFonts w:ascii="Arial" w:hAnsi="Arial" w:cs="Arial"/>
                <w:noProof/>
                <w:sz w:val="20"/>
                <w:szCs w:val="20"/>
              </w:rPr>
              <w:t xml:space="preserve"> (</w:t>
            </w:r>
            <w:r>
              <w:rPr>
                <w:rFonts w:ascii="Arial" w:hAnsi="Arial" w:cs="Arial"/>
                <w:noProof/>
                <w:sz w:val="20"/>
                <w:szCs w:val="20"/>
              </w:rPr>
              <w:t>excludes in-hospital deaths)</w:t>
            </w:r>
          </w:p>
        </w:tc>
      </w:tr>
      <w:tr w:rsidR="004106D5" w:rsidRPr="00515E1C" w14:paraId="1C768EC8" w14:textId="77777777" w:rsidTr="005B0F19">
        <w:tc>
          <w:tcPr>
            <w:tcW w:w="3467" w:type="dxa"/>
            <w:shd w:val="clear" w:color="auto" w:fill="auto"/>
          </w:tcPr>
          <w:p w14:paraId="3E01E446" w14:textId="77777777" w:rsidR="004106D5" w:rsidRPr="00531366" w:rsidRDefault="004106D5" w:rsidP="000C7A5D">
            <w:pPr>
              <w:spacing w:after="0" w:line="240" w:lineRule="auto"/>
              <w:rPr>
                <w:rFonts w:ascii="Arial" w:hAnsi="Arial" w:cs="Arial"/>
                <w:b/>
                <w:sz w:val="20"/>
                <w:szCs w:val="20"/>
              </w:rPr>
            </w:pPr>
          </w:p>
        </w:tc>
        <w:tc>
          <w:tcPr>
            <w:tcW w:w="5893" w:type="dxa"/>
            <w:gridSpan w:val="3"/>
            <w:shd w:val="clear" w:color="auto" w:fill="auto"/>
          </w:tcPr>
          <w:p w14:paraId="699F39BA" w14:textId="77777777" w:rsidR="004106D5" w:rsidRPr="00531366" w:rsidRDefault="004106D5" w:rsidP="000C7A5D">
            <w:pPr>
              <w:spacing w:after="0" w:line="240" w:lineRule="auto"/>
              <w:rPr>
                <w:rFonts w:ascii="Arial" w:hAnsi="Arial" w:cs="Arial"/>
                <w:sz w:val="20"/>
                <w:szCs w:val="20"/>
              </w:rPr>
            </w:pPr>
          </w:p>
        </w:tc>
      </w:tr>
      <w:tr w:rsidR="004106D5" w:rsidRPr="00515E1C" w14:paraId="6811C33E" w14:textId="77777777" w:rsidTr="005B0F19">
        <w:tc>
          <w:tcPr>
            <w:tcW w:w="3467" w:type="dxa"/>
            <w:shd w:val="clear" w:color="auto" w:fill="auto"/>
          </w:tcPr>
          <w:p w14:paraId="0B504BF3" w14:textId="77777777" w:rsidR="004106D5" w:rsidRPr="00531366" w:rsidRDefault="004106D5" w:rsidP="000C7A5D">
            <w:pPr>
              <w:spacing w:after="0" w:line="240" w:lineRule="auto"/>
              <w:rPr>
                <w:rFonts w:ascii="Arial" w:hAnsi="Arial" w:cs="Arial"/>
                <w:b/>
                <w:sz w:val="20"/>
                <w:szCs w:val="20"/>
              </w:rPr>
            </w:pPr>
          </w:p>
        </w:tc>
        <w:tc>
          <w:tcPr>
            <w:tcW w:w="5893" w:type="dxa"/>
            <w:gridSpan w:val="3"/>
            <w:shd w:val="clear" w:color="auto" w:fill="auto"/>
          </w:tcPr>
          <w:p w14:paraId="227E7315"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Denominator:</w:t>
            </w:r>
          </w:p>
        </w:tc>
      </w:tr>
      <w:tr w:rsidR="004106D5" w:rsidRPr="00515E1C" w14:paraId="68AA6339" w14:textId="77777777" w:rsidTr="005B0F19">
        <w:tc>
          <w:tcPr>
            <w:tcW w:w="3467" w:type="dxa"/>
            <w:shd w:val="clear" w:color="auto" w:fill="auto"/>
          </w:tcPr>
          <w:p w14:paraId="0C7C20D4" w14:textId="77777777" w:rsidR="004106D5" w:rsidRPr="00531366" w:rsidRDefault="004106D5" w:rsidP="000C7A5D">
            <w:pPr>
              <w:spacing w:after="0" w:line="240" w:lineRule="auto"/>
              <w:rPr>
                <w:rFonts w:ascii="Arial" w:hAnsi="Arial" w:cs="Arial"/>
                <w:b/>
                <w:sz w:val="20"/>
                <w:szCs w:val="20"/>
              </w:rPr>
            </w:pPr>
          </w:p>
        </w:tc>
        <w:tc>
          <w:tcPr>
            <w:tcW w:w="5893" w:type="dxa"/>
            <w:gridSpan w:val="3"/>
            <w:shd w:val="clear" w:color="auto" w:fill="auto"/>
          </w:tcPr>
          <w:p w14:paraId="2A9ADE82" w14:textId="09F0EC25" w:rsidR="004736F2" w:rsidRDefault="004736F2" w:rsidP="004736F2">
            <w:pPr>
              <w:spacing w:after="0" w:line="240" w:lineRule="auto"/>
              <w:rPr>
                <w:rFonts w:ascii="Arial" w:hAnsi="Arial" w:cs="Arial"/>
                <w:noProof/>
                <w:sz w:val="20"/>
                <w:szCs w:val="20"/>
              </w:rPr>
            </w:pPr>
            <w:r>
              <w:rPr>
                <w:rFonts w:ascii="Arial" w:hAnsi="Arial" w:cs="Arial"/>
                <w:noProof/>
                <w:sz w:val="20"/>
                <w:szCs w:val="20"/>
              </w:rPr>
              <w:t xml:space="preserve">7.1  </w:t>
            </w:r>
            <w:r w:rsidR="004106D5" w:rsidRPr="00531366">
              <w:rPr>
                <w:rFonts w:ascii="Arial" w:hAnsi="Arial" w:cs="Arial"/>
                <w:noProof/>
                <w:sz w:val="20"/>
                <w:szCs w:val="20"/>
              </w:rPr>
              <w:t xml:space="preserve">Number of </w:t>
            </w:r>
            <w:r w:rsidR="004106D5">
              <w:rPr>
                <w:rFonts w:ascii="Arial" w:hAnsi="Arial" w:cs="Arial"/>
                <w:noProof/>
                <w:sz w:val="20"/>
                <w:szCs w:val="20"/>
              </w:rPr>
              <w:t>children</w:t>
            </w:r>
            <w:r>
              <w:rPr>
                <w:rFonts w:ascii="Arial" w:hAnsi="Arial" w:cs="Arial"/>
                <w:noProof/>
                <w:sz w:val="20"/>
                <w:szCs w:val="20"/>
              </w:rPr>
              <w:t>,</w:t>
            </w:r>
            <w:r w:rsidR="004106D5">
              <w:rPr>
                <w:rFonts w:ascii="Arial" w:hAnsi="Arial" w:cs="Arial"/>
                <w:noProof/>
                <w:sz w:val="20"/>
                <w:szCs w:val="20"/>
              </w:rPr>
              <w:t xml:space="preserve"> </w:t>
            </w:r>
            <w:r>
              <w:rPr>
                <w:rFonts w:ascii="Arial" w:hAnsi="Arial" w:cs="Arial"/>
                <w:noProof/>
                <w:sz w:val="20"/>
                <w:szCs w:val="20"/>
              </w:rPr>
              <w:t>a</w:t>
            </w:r>
            <w:r w:rsidR="004106D5">
              <w:rPr>
                <w:rFonts w:ascii="Arial" w:hAnsi="Arial" w:cs="Arial"/>
                <w:noProof/>
                <w:sz w:val="20"/>
                <w:szCs w:val="20"/>
              </w:rPr>
              <w:t xml:space="preserve">ges 0 </w:t>
            </w:r>
            <w:r w:rsidR="004106D5" w:rsidRPr="00CD5282">
              <w:rPr>
                <w:rFonts w:ascii="Arial" w:eastAsia="Times New Roman" w:hAnsi="Arial" w:cs="Arial"/>
                <w:sz w:val="20"/>
                <w:szCs w:val="20"/>
              </w:rPr>
              <w:t>through</w:t>
            </w:r>
            <w:r w:rsidR="004106D5">
              <w:rPr>
                <w:rFonts w:ascii="Arial" w:eastAsia="Times New Roman" w:hAnsi="Arial" w:cs="Arial"/>
                <w:sz w:val="24"/>
                <w:szCs w:val="24"/>
              </w:rPr>
              <w:t xml:space="preserve"> </w:t>
            </w:r>
            <w:r w:rsidR="004106D5" w:rsidRPr="00531366">
              <w:rPr>
                <w:rFonts w:ascii="Arial" w:hAnsi="Arial" w:cs="Arial"/>
                <w:noProof/>
                <w:sz w:val="20"/>
                <w:szCs w:val="20"/>
              </w:rPr>
              <w:t>9</w:t>
            </w:r>
          </w:p>
          <w:p w14:paraId="11042FCC" w14:textId="2F7ADBB2" w:rsidR="004106D5" w:rsidRPr="00531366" w:rsidRDefault="004736F2" w:rsidP="004736F2">
            <w:pPr>
              <w:spacing w:after="0" w:line="240" w:lineRule="auto"/>
              <w:rPr>
                <w:rFonts w:ascii="Arial" w:hAnsi="Arial" w:cs="Arial"/>
                <w:sz w:val="20"/>
                <w:szCs w:val="20"/>
              </w:rPr>
            </w:pPr>
            <w:r>
              <w:rPr>
                <w:rFonts w:ascii="Arial" w:hAnsi="Arial" w:cs="Arial"/>
                <w:noProof/>
                <w:sz w:val="20"/>
                <w:szCs w:val="20"/>
              </w:rPr>
              <w:t xml:space="preserve">7.2 </w:t>
            </w:r>
            <w:r w:rsidR="004106D5" w:rsidRPr="00531366">
              <w:rPr>
                <w:rFonts w:ascii="Arial" w:hAnsi="Arial" w:cs="Arial"/>
                <w:noProof/>
                <w:sz w:val="20"/>
                <w:szCs w:val="20"/>
              </w:rPr>
              <w:t xml:space="preserve"> </w:t>
            </w:r>
            <w:r w:rsidRPr="00531366">
              <w:rPr>
                <w:rFonts w:ascii="Arial" w:hAnsi="Arial" w:cs="Arial"/>
                <w:noProof/>
                <w:sz w:val="20"/>
                <w:szCs w:val="20"/>
              </w:rPr>
              <w:t xml:space="preserve">Number of </w:t>
            </w:r>
            <w:r>
              <w:rPr>
                <w:rFonts w:ascii="Arial" w:hAnsi="Arial" w:cs="Arial"/>
                <w:noProof/>
                <w:sz w:val="20"/>
                <w:szCs w:val="20"/>
              </w:rPr>
              <w:t xml:space="preserve">adolescents, ages 10 </w:t>
            </w:r>
            <w:r w:rsidRPr="00CD5282">
              <w:rPr>
                <w:rFonts w:ascii="Arial" w:eastAsia="Times New Roman" w:hAnsi="Arial" w:cs="Arial"/>
                <w:sz w:val="20"/>
                <w:szCs w:val="20"/>
              </w:rPr>
              <w:t>through</w:t>
            </w:r>
            <w:r>
              <w:rPr>
                <w:rFonts w:ascii="Arial" w:hAnsi="Arial" w:cs="Arial"/>
                <w:noProof/>
                <w:sz w:val="20"/>
                <w:szCs w:val="20"/>
              </w:rPr>
              <w:t>19</w:t>
            </w:r>
          </w:p>
        </w:tc>
      </w:tr>
      <w:tr w:rsidR="004106D5" w:rsidRPr="00515E1C" w14:paraId="56ACA366" w14:textId="77777777" w:rsidTr="005B0F19">
        <w:tc>
          <w:tcPr>
            <w:tcW w:w="3467" w:type="dxa"/>
            <w:shd w:val="clear" w:color="auto" w:fill="auto"/>
          </w:tcPr>
          <w:p w14:paraId="6BAD71CC" w14:textId="77777777" w:rsidR="004106D5" w:rsidRPr="00531366" w:rsidRDefault="004106D5" w:rsidP="000C7A5D">
            <w:pPr>
              <w:spacing w:after="0" w:line="240" w:lineRule="auto"/>
              <w:rPr>
                <w:rFonts w:ascii="Arial" w:hAnsi="Arial" w:cs="Arial"/>
                <w:b/>
                <w:sz w:val="20"/>
                <w:szCs w:val="20"/>
              </w:rPr>
            </w:pPr>
          </w:p>
        </w:tc>
        <w:tc>
          <w:tcPr>
            <w:tcW w:w="5893" w:type="dxa"/>
            <w:gridSpan w:val="3"/>
            <w:shd w:val="clear" w:color="auto" w:fill="auto"/>
          </w:tcPr>
          <w:p w14:paraId="77F3951E" w14:textId="77777777" w:rsidR="004106D5" w:rsidRPr="00531366" w:rsidRDefault="004106D5" w:rsidP="000C7A5D">
            <w:pPr>
              <w:spacing w:after="0" w:line="240" w:lineRule="auto"/>
              <w:rPr>
                <w:rFonts w:ascii="Arial" w:hAnsi="Arial" w:cs="Arial"/>
                <w:sz w:val="20"/>
                <w:szCs w:val="20"/>
              </w:rPr>
            </w:pPr>
          </w:p>
        </w:tc>
      </w:tr>
      <w:tr w:rsidR="004106D5" w:rsidRPr="00515E1C" w14:paraId="7EDECE5C" w14:textId="77777777" w:rsidTr="005B0F19">
        <w:tc>
          <w:tcPr>
            <w:tcW w:w="3467" w:type="dxa"/>
            <w:shd w:val="clear" w:color="auto" w:fill="auto"/>
          </w:tcPr>
          <w:p w14:paraId="38055181" w14:textId="77777777" w:rsidR="004106D5" w:rsidRPr="00531366" w:rsidRDefault="004106D5" w:rsidP="000C7A5D">
            <w:pPr>
              <w:spacing w:after="0" w:line="240" w:lineRule="auto"/>
              <w:rPr>
                <w:rFonts w:ascii="Arial" w:hAnsi="Arial" w:cs="Arial"/>
                <w:b/>
                <w:sz w:val="20"/>
                <w:szCs w:val="20"/>
              </w:rPr>
            </w:pPr>
          </w:p>
        </w:tc>
        <w:tc>
          <w:tcPr>
            <w:tcW w:w="3384" w:type="dxa"/>
            <w:gridSpan w:val="2"/>
            <w:shd w:val="clear" w:color="auto" w:fill="auto"/>
          </w:tcPr>
          <w:p w14:paraId="3F148659"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b/>
                <w:sz w:val="20"/>
                <w:szCs w:val="20"/>
              </w:rPr>
              <w:t>Units:</w:t>
            </w:r>
            <w:r w:rsidRPr="00531366">
              <w:rPr>
                <w:rFonts w:ascii="Arial" w:hAnsi="Arial" w:cs="Arial"/>
                <w:sz w:val="20"/>
                <w:szCs w:val="20"/>
              </w:rPr>
              <w:t xml:space="preserve"> </w:t>
            </w:r>
            <w:r w:rsidRPr="00531366">
              <w:rPr>
                <w:rFonts w:ascii="Arial" w:hAnsi="Arial" w:cs="Arial"/>
                <w:noProof/>
                <w:sz w:val="20"/>
                <w:szCs w:val="20"/>
              </w:rPr>
              <w:t>100</w:t>
            </w:r>
            <w:r>
              <w:rPr>
                <w:rFonts w:ascii="Arial" w:hAnsi="Arial" w:cs="Arial"/>
                <w:noProof/>
                <w:sz w:val="20"/>
                <w:szCs w:val="20"/>
              </w:rPr>
              <w:t>,000</w:t>
            </w:r>
          </w:p>
        </w:tc>
        <w:tc>
          <w:tcPr>
            <w:tcW w:w="2509" w:type="dxa"/>
            <w:shd w:val="clear" w:color="auto" w:fill="auto"/>
          </w:tcPr>
          <w:p w14:paraId="1172DEEC"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b/>
                <w:sz w:val="20"/>
                <w:szCs w:val="20"/>
              </w:rPr>
              <w:t>Text:</w:t>
            </w:r>
            <w:r w:rsidRPr="00531366">
              <w:rPr>
                <w:rFonts w:ascii="Arial" w:hAnsi="Arial" w:cs="Arial"/>
                <w:sz w:val="20"/>
                <w:szCs w:val="20"/>
              </w:rPr>
              <w:t xml:space="preserve"> </w:t>
            </w:r>
            <w:r>
              <w:rPr>
                <w:rFonts w:ascii="Arial" w:hAnsi="Arial" w:cs="Arial"/>
                <w:noProof/>
                <w:sz w:val="20"/>
                <w:szCs w:val="20"/>
              </w:rPr>
              <w:t>Rate</w:t>
            </w:r>
          </w:p>
        </w:tc>
      </w:tr>
      <w:tr w:rsidR="004106D5" w:rsidRPr="00515E1C" w14:paraId="544AAE2E" w14:textId="77777777" w:rsidTr="005B0F19">
        <w:tc>
          <w:tcPr>
            <w:tcW w:w="3467" w:type="dxa"/>
            <w:shd w:val="clear" w:color="auto" w:fill="auto"/>
          </w:tcPr>
          <w:p w14:paraId="449F9C54" w14:textId="77777777" w:rsidR="004106D5" w:rsidRPr="00531366" w:rsidRDefault="004106D5" w:rsidP="000C7A5D">
            <w:pPr>
              <w:spacing w:after="0" w:line="240" w:lineRule="auto"/>
              <w:rPr>
                <w:rFonts w:ascii="Arial" w:hAnsi="Arial" w:cs="Arial"/>
                <w:b/>
                <w:sz w:val="20"/>
                <w:szCs w:val="20"/>
              </w:rPr>
            </w:pPr>
          </w:p>
        </w:tc>
        <w:tc>
          <w:tcPr>
            <w:tcW w:w="5893" w:type="dxa"/>
            <w:gridSpan w:val="3"/>
            <w:shd w:val="clear" w:color="auto" w:fill="auto"/>
          </w:tcPr>
          <w:p w14:paraId="3A3D1490" w14:textId="77777777" w:rsidR="004106D5" w:rsidRPr="00531366" w:rsidRDefault="004106D5" w:rsidP="000C7A5D">
            <w:pPr>
              <w:spacing w:after="0" w:line="240" w:lineRule="auto"/>
              <w:rPr>
                <w:rFonts w:ascii="Arial" w:hAnsi="Arial" w:cs="Arial"/>
                <w:sz w:val="20"/>
                <w:szCs w:val="20"/>
              </w:rPr>
            </w:pPr>
          </w:p>
        </w:tc>
      </w:tr>
      <w:tr w:rsidR="004106D5" w:rsidRPr="00515E1C" w14:paraId="5229939D" w14:textId="77777777" w:rsidTr="005B0F19">
        <w:tc>
          <w:tcPr>
            <w:tcW w:w="3467" w:type="dxa"/>
            <w:shd w:val="clear" w:color="auto" w:fill="auto"/>
          </w:tcPr>
          <w:p w14:paraId="5008FAB2"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HEALTHY PEOPLE 2020 OBJECTIVE</w:t>
            </w:r>
          </w:p>
        </w:tc>
        <w:tc>
          <w:tcPr>
            <w:tcW w:w="5893" w:type="dxa"/>
            <w:gridSpan w:val="3"/>
            <w:shd w:val="clear" w:color="auto" w:fill="auto"/>
          </w:tcPr>
          <w:p w14:paraId="03864C4B"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noProof/>
                <w:sz w:val="20"/>
                <w:szCs w:val="20"/>
              </w:rPr>
              <w:t>Related to Injury and Violence Prevention (IVP) Objective 1.2:  Reduce hospitalizations for nonfatal injuries. (Baseline: 617.6 per 100,000.  Target: 555.8 per 100,000.)</w:t>
            </w:r>
          </w:p>
        </w:tc>
      </w:tr>
      <w:tr w:rsidR="004106D5" w:rsidRPr="00515E1C" w14:paraId="3ED555DE" w14:textId="77777777" w:rsidTr="005B0F19">
        <w:tc>
          <w:tcPr>
            <w:tcW w:w="3467" w:type="dxa"/>
            <w:shd w:val="clear" w:color="auto" w:fill="auto"/>
          </w:tcPr>
          <w:p w14:paraId="2010DAFC" w14:textId="77777777" w:rsidR="004106D5" w:rsidRPr="00531366" w:rsidRDefault="004106D5" w:rsidP="000C7A5D">
            <w:pPr>
              <w:spacing w:after="0" w:line="240" w:lineRule="auto"/>
              <w:rPr>
                <w:rFonts w:ascii="Arial" w:hAnsi="Arial" w:cs="Arial"/>
                <w:b/>
                <w:sz w:val="20"/>
                <w:szCs w:val="20"/>
              </w:rPr>
            </w:pPr>
          </w:p>
        </w:tc>
        <w:tc>
          <w:tcPr>
            <w:tcW w:w="5893" w:type="dxa"/>
            <w:gridSpan w:val="3"/>
            <w:shd w:val="clear" w:color="auto" w:fill="auto"/>
          </w:tcPr>
          <w:p w14:paraId="41ADAD12" w14:textId="77777777" w:rsidR="004106D5" w:rsidRPr="00531366" w:rsidRDefault="004106D5" w:rsidP="000C7A5D">
            <w:pPr>
              <w:spacing w:after="0" w:line="240" w:lineRule="auto"/>
              <w:rPr>
                <w:rFonts w:ascii="Arial" w:hAnsi="Arial" w:cs="Arial"/>
                <w:sz w:val="20"/>
                <w:szCs w:val="20"/>
              </w:rPr>
            </w:pPr>
          </w:p>
        </w:tc>
      </w:tr>
      <w:tr w:rsidR="004106D5" w:rsidRPr="00515E1C" w14:paraId="60E7F481" w14:textId="77777777" w:rsidTr="005B0F19">
        <w:tc>
          <w:tcPr>
            <w:tcW w:w="3467" w:type="dxa"/>
            <w:shd w:val="clear" w:color="auto" w:fill="auto"/>
          </w:tcPr>
          <w:p w14:paraId="194C06AF"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DATA SOURCES and DATA ISSUES</w:t>
            </w:r>
          </w:p>
        </w:tc>
        <w:tc>
          <w:tcPr>
            <w:tcW w:w="5893" w:type="dxa"/>
            <w:gridSpan w:val="3"/>
            <w:shd w:val="clear" w:color="auto" w:fill="auto"/>
          </w:tcPr>
          <w:p w14:paraId="14A923AB" w14:textId="77777777" w:rsidR="004106D5" w:rsidRDefault="004106D5" w:rsidP="000C7A5D">
            <w:pPr>
              <w:spacing w:after="0" w:line="240" w:lineRule="auto"/>
              <w:rPr>
                <w:rFonts w:ascii="Arial" w:hAnsi="Arial" w:cs="Arial"/>
                <w:noProof/>
                <w:sz w:val="20"/>
                <w:szCs w:val="20"/>
              </w:rPr>
            </w:pPr>
            <w:r>
              <w:rPr>
                <w:rFonts w:ascii="Arial" w:hAnsi="Arial" w:cs="Arial"/>
                <w:noProof/>
                <w:sz w:val="20"/>
                <w:szCs w:val="20"/>
              </w:rPr>
              <w:t xml:space="preserve">Healthcare Cost and Utilization Project (HCUP) - </w:t>
            </w:r>
            <w:r w:rsidRPr="00531366">
              <w:rPr>
                <w:rFonts w:ascii="Arial" w:hAnsi="Arial" w:cs="Arial"/>
                <w:noProof/>
                <w:sz w:val="20"/>
                <w:szCs w:val="20"/>
              </w:rPr>
              <w:t>State Inpatient Database (SID)</w:t>
            </w:r>
          </w:p>
          <w:p w14:paraId="37CA2486" w14:textId="77777777" w:rsidR="004106D5" w:rsidRPr="00531366" w:rsidRDefault="004106D5" w:rsidP="000C7A5D">
            <w:pPr>
              <w:spacing w:after="0" w:line="240" w:lineRule="auto"/>
              <w:rPr>
                <w:rFonts w:ascii="Arial" w:hAnsi="Arial" w:cs="Arial"/>
                <w:sz w:val="20"/>
                <w:szCs w:val="20"/>
              </w:rPr>
            </w:pPr>
            <w:r>
              <w:rPr>
                <w:rFonts w:ascii="Arial" w:hAnsi="Arial" w:cs="Arial"/>
                <w:noProof/>
                <w:sz w:val="20"/>
                <w:szCs w:val="20"/>
              </w:rPr>
              <w:t>Population estimates</w:t>
            </w:r>
            <w:r w:rsidRPr="00531366">
              <w:rPr>
                <w:rFonts w:ascii="Arial" w:hAnsi="Arial" w:cs="Arial"/>
                <w:noProof/>
                <w:sz w:val="20"/>
                <w:szCs w:val="20"/>
              </w:rPr>
              <w:t xml:space="preserve"> come from the U.S. Census Bureau</w:t>
            </w:r>
          </w:p>
        </w:tc>
      </w:tr>
      <w:tr w:rsidR="004106D5" w:rsidRPr="00515E1C" w14:paraId="0777FA5B" w14:textId="77777777" w:rsidTr="005B0F19">
        <w:tc>
          <w:tcPr>
            <w:tcW w:w="3467" w:type="dxa"/>
            <w:shd w:val="clear" w:color="auto" w:fill="auto"/>
          </w:tcPr>
          <w:p w14:paraId="3D9BF22C" w14:textId="77777777" w:rsidR="004106D5" w:rsidRDefault="004106D5" w:rsidP="000C7A5D">
            <w:pPr>
              <w:spacing w:after="0" w:line="240" w:lineRule="auto"/>
              <w:rPr>
                <w:rFonts w:ascii="Arial" w:hAnsi="Arial" w:cs="Arial"/>
                <w:b/>
                <w:sz w:val="20"/>
                <w:szCs w:val="20"/>
              </w:rPr>
            </w:pPr>
          </w:p>
          <w:p w14:paraId="22A65EBF" w14:textId="77777777" w:rsidR="004106D5" w:rsidRDefault="004106D5" w:rsidP="000C7A5D">
            <w:pPr>
              <w:spacing w:after="0" w:line="240" w:lineRule="auto"/>
              <w:rPr>
                <w:rFonts w:ascii="Arial" w:hAnsi="Arial" w:cs="Arial"/>
                <w:b/>
                <w:sz w:val="20"/>
                <w:szCs w:val="20"/>
              </w:rPr>
            </w:pPr>
            <w:r>
              <w:rPr>
                <w:rFonts w:ascii="Arial" w:hAnsi="Arial" w:cs="Arial"/>
                <w:b/>
                <w:sz w:val="20"/>
                <w:szCs w:val="20"/>
              </w:rPr>
              <w:t>MCH POPULATION DOMAIN</w:t>
            </w:r>
          </w:p>
          <w:p w14:paraId="638D9A47" w14:textId="77777777" w:rsidR="004106D5" w:rsidRPr="00531366" w:rsidRDefault="004106D5" w:rsidP="000C7A5D">
            <w:pPr>
              <w:spacing w:after="0" w:line="240" w:lineRule="auto"/>
              <w:rPr>
                <w:rFonts w:ascii="Arial" w:hAnsi="Arial" w:cs="Arial"/>
                <w:b/>
                <w:sz w:val="20"/>
                <w:szCs w:val="20"/>
              </w:rPr>
            </w:pPr>
          </w:p>
        </w:tc>
        <w:tc>
          <w:tcPr>
            <w:tcW w:w="5893" w:type="dxa"/>
            <w:gridSpan w:val="3"/>
            <w:shd w:val="clear" w:color="auto" w:fill="auto"/>
          </w:tcPr>
          <w:p w14:paraId="4A648E47" w14:textId="77777777" w:rsidR="004106D5" w:rsidRDefault="004106D5" w:rsidP="000C7A5D">
            <w:pPr>
              <w:spacing w:after="0" w:line="240" w:lineRule="auto"/>
              <w:rPr>
                <w:rFonts w:ascii="Arial" w:hAnsi="Arial" w:cs="Arial"/>
                <w:sz w:val="20"/>
                <w:szCs w:val="20"/>
              </w:rPr>
            </w:pPr>
          </w:p>
          <w:p w14:paraId="0EB316A2" w14:textId="77777777" w:rsidR="004106D5" w:rsidRPr="00531366" w:rsidRDefault="004106D5" w:rsidP="000C7A5D">
            <w:pPr>
              <w:spacing w:after="0" w:line="240" w:lineRule="auto"/>
              <w:rPr>
                <w:rFonts w:ascii="Arial" w:hAnsi="Arial" w:cs="Arial"/>
                <w:sz w:val="20"/>
                <w:szCs w:val="20"/>
              </w:rPr>
            </w:pPr>
            <w:r w:rsidRPr="00DD16CC">
              <w:rPr>
                <w:rFonts w:ascii="Arial" w:hAnsi="Arial" w:cs="Arial"/>
                <w:sz w:val="20"/>
                <w:szCs w:val="20"/>
              </w:rPr>
              <w:t>Child Health</w:t>
            </w:r>
            <w:r>
              <w:rPr>
                <w:rFonts w:ascii="Arial" w:hAnsi="Arial" w:cs="Arial"/>
                <w:sz w:val="20"/>
                <w:szCs w:val="20"/>
              </w:rPr>
              <w:t xml:space="preserve"> and/or Adolescent Health</w:t>
            </w:r>
          </w:p>
        </w:tc>
      </w:tr>
      <w:tr w:rsidR="004106D5" w:rsidRPr="00515E1C" w14:paraId="6D050DCB" w14:textId="77777777" w:rsidTr="005B0F19">
        <w:tc>
          <w:tcPr>
            <w:tcW w:w="3467" w:type="dxa"/>
            <w:shd w:val="clear" w:color="auto" w:fill="auto"/>
          </w:tcPr>
          <w:p w14:paraId="20CC1CB3"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SIGNIFICANCE</w:t>
            </w:r>
          </w:p>
        </w:tc>
        <w:tc>
          <w:tcPr>
            <w:tcW w:w="5893" w:type="dxa"/>
            <w:gridSpan w:val="3"/>
            <w:shd w:val="clear" w:color="auto" w:fill="auto"/>
          </w:tcPr>
          <w:p w14:paraId="5175B5E0" w14:textId="77777777" w:rsidR="004106D5" w:rsidRDefault="004106D5" w:rsidP="000C7A5D">
            <w:pPr>
              <w:spacing w:after="0" w:line="240" w:lineRule="auto"/>
              <w:rPr>
                <w:rFonts w:ascii="Arial" w:hAnsi="Arial" w:cs="Arial"/>
                <w:noProof/>
                <w:sz w:val="20"/>
                <w:szCs w:val="20"/>
              </w:rPr>
            </w:pPr>
            <w:r>
              <w:rPr>
                <w:rFonts w:ascii="Arial" w:hAnsi="Arial" w:cs="Arial"/>
                <w:noProof/>
                <w:sz w:val="20"/>
                <w:szCs w:val="20"/>
              </w:rPr>
              <w:t>Unintential i</w:t>
            </w:r>
            <w:r w:rsidRPr="00531366">
              <w:rPr>
                <w:rFonts w:ascii="Arial" w:hAnsi="Arial" w:cs="Arial"/>
                <w:noProof/>
                <w:sz w:val="20"/>
                <w:szCs w:val="20"/>
              </w:rPr>
              <w:t xml:space="preserve">njury is the leading cause of child </w:t>
            </w:r>
            <w:r>
              <w:rPr>
                <w:rFonts w:ascii="Arial" w:hAnsi="Arial" w:cs="Arial"/>
                <w:noProof/>
                <w:sz w:val="20"/>
                <w:szCs w:val="20"/>
              </w:rPr>
              <w:t xml:space="preserve">and adolescent </w:t>
            </w:r>
            <w:r w:rsidRPr="00531366">
              <w:rPr>
                <w:rFonts w:ascii="Arial" w:hAnsi="Arial" w:cs="Arial"/>
                <w:noProof/>
                <w:sz w:val="20"/>
                <w:szCs w:val="20"/>
              </w:rPr>
              <w:t>mortality</w:t>
            </w:r>
            <w:r>
              <w:rPr>
                <w:rFonts w:ascii="Arial" w:hAnsi="Arial" w:cs="Arial"/>
                <w:noProof/>
                <w:sz w:val="20"/>
                <w:szCs w:val="20"/>
              </w:rPr>
              <w:t>, from age 1 through 19</w:t>
            </w:r>
            <w:r w:rsidRPr="00531366">
              <w:rPr>
                <w:rFonts w:ascii="Arial" w:hAnsi="Arial" w:cs="Arial"/>
                <w:noProof/>
                <w:sz w:val="20"/>
                <w:szCs w:val="20"/>
              </w:rPr>
              <w:t xml:space="preserve">.  </w:t>
            </w:r>
            <w:r>
              <w:rPr>
                <w:rFonts w:ascii="Arial" w:hAnsi="Arial" w:cs="Arial"/>
                <w:noProof/>
                <w:sz w:val="20"/>
                <w:szCs w:val="20"/>
              </w:rPr>
              <w:t xml:space="preserve">Homicide and suicide, violent or intentional injury, are the second and third leading causes of death for adolescents ages 15 through 19.  </w:t>
            </w:r>
            <w:r w:rsidRPr="00531366">
              <w:rPr>
                <w:rFonts w:ascii="Arial" w:hAnsi="Arial" w:cs="Arial"/>
                <w:noProof/>
                <w:sz w:val="20"/>
                <w:szCs w:val="20"/>
              </w:rPr>
              <w:t>For those who suffer non-fatal severe injur</w:t>
            </w:r>
            <w:r>
              <w:rPr>
                <w:rFonts w:ascii="Arial" w:hAnsi="Arial" w:cs="Arial"/>
                <w:noProof/>
                <w:sz w:val="20"/>
                <w:szCs w:val="20"/>
              </w:rPr>
              <w:t>ies</w:t>
            </w:r>
            <w:r w:rsidRPr="00531366">
              <w:rPr>
                <w:rFonts w:ascii="Arial" w:hAnsi="Arial" w:cs="Arial"/>
                <w:noProof/>
                <w:sz w:val="20"/>
                <w:szCs w:val="20"/>
              </w:rPr>
              <w:t>, many will become children with special health care needs. Effective interventions to reduce injury exist but are not fully implemented in systems of care that serve children and their families.  Reducing the burden of nonfatal injury can greatly improve the life course trajectory of infants, children, and adolescents resulting in improved quality of life and cost savings.</w:t>
            </w:r>
          </w:p>
          <w:p w14:paraId="2BCF2AB8" w14:textId="77777777" w:rsidR="004106D5" w:rsidRDefault="004106D5" w:rsidP="000C7A5D">
            <w:pPr>
              <w:spacing w:after="0" w:line="240" w:lineRule="auto"/>
              <w:rPr>
                <w:rFonts w:ascii="Arial" w:hAnsi="Arial" w:cs="Arial"/>
                <w:noProof/>
                <w:sz w:val="20"/>
                <w:szCs w:val="20"/>
              </w:rPr>
            </w:pPr>
          </w:p>
          <w:p w14:paraId="45A68E3D" w14:textId="77777777" w:rsidR="004106D5" w:rsidRDefault="004106D5" w:rsidP="000C7A5D">
            <w:pPr>
              <w:spacing w:after="0" w:line="240" w:lineRule="auto"/>
              <w:rPr>
                <w:rFonts w:ascii="Arial" w:hAnsi="Arial" w:cs="Arial"/>
                <w:noProof/>
                <w:sz w:val="20"/>
                <w:szCs w:val="20"/>
              </w:rPr>
            </w:pPr>
            <w:r>
              <w:rPr>
                <w:rFonts w:ascii="Arial" w:hAnsi="Arial" w:cs="Arial"/>
                <w:noProof/>
                <w:sz w:val="20"/>
                <w:szCs w:val="20"/>
              </w:rPr>
              <w:t xml:space="preserve">Heron M. Deaths: Leading Causes for 2014. National Vital Statistics Reports. 2016 June 30. 65(5). </w:t>
            </w:r>
            <w:hyperlink r:id="rId130" w:history="1">
              <w:r w:rsidRPr="005E5676">
                <w:rPr>
                  <w:rStyle w:val="Hyperlink"/>
                  <w:rFonts w:ascii="Arial" w:hAnsi="Arial" w:cs="Arial"/>
                  <w:noProof/>
                  <w:sz w:val="20"/>
                  <w:szCs w:val="20"/>
                </w:rPr>
                <w:t>https://www.cdc.gov/nchs/data/nvsr/nvsr65/nvsr65_05.pdf</w:t>
              </w:r>
            </w:hyperlink>
            <w:r>
              <w:rPr>
                <w:rFonts w:ascii="Arial" w:hAnsi="Arial" w:cs="Arial"/>
                <w:noProof/>
                <w:sz w:val="20"/>
                <w:szCs w:val="20"/>
              </w:rPr>
              <w:t xml:space="preserve">  </w:t>
            </w:r>
          </w:p>
          <w:p w14:paraId="21AB993F" w14:textId="77777777" w:rsidR="004106D5" w:rsidRDefault="004106D5" w:rsidP="000C7A5D">
            <w:pPr>
              <w:spacing w:after="0" w:line="240" w:lineRule="auto"/>
              <w:rPr>
                <w:rFonts w:ascii="Arial" w:hAnsi="Arial" w:cs="Arial"/>
                <w:noProof/>
                <w:sz w:val="20"/>
                <w:szCs w:val="20"/>
              </w:rPr>
            </w:pPr>
          </w:p>
          <w:p w14:paraId="4F22CC9E" w14:textId="77777777" w:rsidR="004106D5" w:rsidRPr="00D14F97" w:rsidRDefault="004106D5" w:rsidP="000C7A5D">
            <w:pPr>
              <w:spacing w:after="160" w:line="259" w:lineRule="auto"/>
              <w:rPr>
                <w:rFonts w:ascii="Arial" w:hAnsi="Arial" w:cs="Arial"/>
                <w:sz w:val="20"/>
                <w:szCs w:val="18"/>
              </w:rPr>
            </w:pPr>
            <w:r w:rsidRPr="00D14F97">
              <w:rPr>
                <w:rFonts w:ascii="Arial" w:hAnsi="Arial" w:cs="Arial"/>
                <w:sz w:val="20"/>
                <w:szCs w:val="18"/>
              </w:rPr>
              <w:t xml:space="preserve">CDC. VitalSigns: Child Injury.  April 2012. </w:t>
            </w:r>
            <w:hyperlink r:id="rId131" w:history="1">
              <w:r w:rsidRPr="00D14F97">
                <w:rPr>
                  <w:rStyle w:val="Hyperlink"/>
                  <w:rFonts w:ascii="Arial" w:hAnsi="Arial" w:cs="Arial"/>
                  <w:sz w:val="20"/>
                  <w:szCs w:val="18"/>
                </w:rPr>
                <w:t>https://www.cdc.gov/vitalsigns/childinjury/</w:t>
              </w:r>
            </w:hyperlink>
            <w:r w:rsidRPr="00D14F97">
              <w:rPr>
                <w:rFonts w:ascii="Arial" w:hAnsi="Arial" w:cs="Arial"/>
                <w:sz w:val="20"/>
                <w:szCs w:val="18"/>
              </w:rPr>
              <w:t xml:space="preserve"> </w:t>
            </w:r>
          </w:p>
          <w:p w14:paraId="0510B539" w14:textId="77777777" w:rsidR="004106D5" w:rsidRPr="00531366" w:rsidRDefault="004106D5" w:rsidP="000C7A5D">
            <w:pPr>
              <w:spacing w:after="0" w:line="240" w:lineRule="auto"/>
              <w:rPr>
                <w:rFonts w:ascii="Arial" w:hAnsi="Arial" w:cs="Arial"/>
                <w:sz w:val="20"/>
                <w:szCs w:val="20"/>
              </w:rPr>
            </w:pPr>
            <w:r>
              <w:rPr>
                <w:rFonts w:ascii="Arial" w:hAnsi="Arial" w:cs="Arial"/>
                <w:sz w:val="20"/>
                <w:szCs w:val="20"/>
              </w:rPr>
              <w:t xml:space="preserve">CDC. National Action Plan for Injury Prevention.  April 2012. </w:t>
            </w:r>
            <w:hyperlink r:id="rId132" w:history="1">
              <w:r w:rsidRPr="0000075C">
                <w:rPr>
                  <w:rStyle w:val="Hyperlink"/>
                  <w:rFonts w:ascii="Arial" w:hAnsi="Arial" w:cs="Arial"/>
                  <w:sz w:val="20"/>
                  <w:szCs w:val="20"/>
                </w:rPr>
                <w:t>https://www.cdc.gov/safechild/nap/index.html</w:t>
              </w:r>
            </w:hyperlink>
            <w:r>
              <w:rPr>
                <w:rFonts w:ascii="Arial" w:hAnsi="Arial" w:cs="Arial"/>
                <w:sz w:val="20"/>
                <w:szCs w:val="20"/>
              </w:rPr>
              <w:t xml:space="preserve"> </w:t>
            </w:r>
          </w:p>
        </w:tc>
      </w:tr>
      <w:tr w:rsidR="004106D5" w:rsidRPr="00515E1C" w14:paraId="6983E700" w14:textId="77777777" w:rsidTr="005B0F19">
        <w:tc>
          <w:tcPr>
            <w:tcW w:w="3467" w:type="dxa"/>
            <w:shd w:val="clear" w:color="auto" w:fill="auto"/>
          </w:tcPr>
          <w:p w14:paraId="75EF0686" w14:textId="77777777" w:rsidR="004106D5" w:rsidRPr="00531366" w:rsidRDefault="004106D5" w:rsidP="000C7A5D">
            <w:pPr>
              <w:spacing w:after="0" w:line="240" w:lineRule="auto"/>
              <w:rPr>
                <w:rFonts w:ascii="Arial" w:hAnsi="Arial" w:cs="Arial"/>
                <w:sz w:val="20"/>
                <w:szCs w:val="20"/>
              </w:rPr>
            </w:pPr>
          </w:p>
        </w:tc>
        <w:tc>
          <w:tcPr>
            <w:tcW w:w="5893" w:type="dxa"/>
            <w:gridSpan w:val="3"/>
            <w:shd w:val="clear" w:color="auto" w:fill="auto"/>
          </w:tcPr>
          <w:p w14:paraId="6DDA4487" w14:textId="77777777" w:rsidR="004106D5" w:rsidRPr="00531366" w:rsidRDefault="004106D5" w:rsidP="000C7A5D">
            <w:pPr>
              <w:spacing w:after="0" w:line="240" w:lineRule="auto"/>
              <w:rPr>
                <w:rFonts w:ascii="Arial" w:hAnsi="Arial" w:cs="Arial"/>
                <w:sz w:val="20"/>
                <w:szCs w:val="20"/>
              </w:rPr>
            </w:pPr>
          </w:p>
        </w:tc>
      </w:tr>
      <w:tr w:rsidR="004106D5" w:rsidRPr="003F48A1" w14:paraId="76B7ADDB" w14:textId="77777777" w:rsidTr="005B0F19">
        <w:tc>
          <w:tcPr>
            <w:tcW w:w="3584" w:type="dxa"/>
            <w:gridSpan w:val="2"/>
            <w:shd w:val="clear" w:color="auto" w:fill="auto"/>
          </w:tcPr>
          <w:p w14:paraId="2113136B" w14:textId="77777777" w:rsidR="004106D5" w:rsidRPr="00531366" w:rsidRDefault="004106D5" w:rsidP="000C7A5D">
            <w:pPr>
              <w:spacing w:after="0" w:line="240" w:lineRule="auto"/>
              <w:rPr>
                <w:rFonts w:ascii="Arial" w:hAnsi="Arial" w:cs="Arial"/>
                <w:b/>
                <w:sz w:val="24"/>
                <w:szCs w:val="24"/>
              </w:rPr>
            </w:pPr>
            <w:r w:rsidRPr="00531366">
              <w:rPr>
                <w:rFonts w:ascii="Arial" w:hAnsi="Arial" w:cs="Arial"/>
                <w:b/>
                <w:sz w:val="24"/>
                <w:szCs w:val="24"/>
              </w:rPr>
              <w:t xml:space="preserve">PERFORMANCE MEASURE </w:t>
            </w:r>
            <w:r>
              <w:rPr>
                <w:rFonts w:ascii="Arial" w:hAnsi="Arial" w:cs="Arial"/>
                <w:b/>
                <w:noProof/>
                <w:sz w:val="24"/>
                <w:szCs w:val="24"/>
              </w:rPr>
              <w:t>8</w:t>
            </w:r>
          </w:p>
        </w:tc>
        <w:tc>
          <w:tcPr>
            <w:tcW w:w="5776" w:type="dxa"/>
            <w:gridSpan w:val="2"/>
            <w:shd w:val="clear" w:color="auto" w:fill="auto"/>
          </w:tcPr>
          <w:p w14:paraId="48C2244D" w14:textId="71D7ED04" w:rsidR="004106D5" w:rsidRDefault="00C3535C" w:rsidP="00C3535C">
            <w:pPr>
              <w:spacing w:after="0" w:line="240" w:lineRule="auto"/>
              <w:rPr>
                <w:rFonts w:ascii="Arial" w:hAnsi="Arial" w:cs="Arial"/>
                <w:b/>
                <w:noProof/>
                <w:sz w:val="24"/>
                <w:szCs w:val="24"/>
              </w:rPr>
            </w:pPr>
            <w:r>
              <w:rPr>
                <w:rFonts w:ascii="Arial" w:hAnsi="Arial" w:cs="Arial"/>
                <w:b/>
                <w:noProof/>
                <w:sz w:val="24"/>
                <w:szCs w:val="24"/>
              </w:rPr>
              <w:t xml:space="preserve">8.1 </w:t>
            </w:r>
            <w:r w:rsidR="004106D5" w:rsidRPr="00531366">
              <w:rPr>
                <w:rFonts w:ascii="Arial" w:hAnsi="Arial" w:cs="Arial"/>
                <w:b/>
                <w:noProof/>
                <w:sz w:val="24"/>
                <w:szCs w:val="24"/>
              </w:rPr>
              <w:t>Percent of children</w:t>
            </w:r>
            <w:r w:rsidR="005B0F19">
              <w:rPr>
                <w:rFonts w:ascii="Arial" w:hAnsi="Arial" w:cs="Arial"/>
                <w:b/>
                <w:noProof/>
                <w:sz w:val="24"/>
                <w:szCs w:val="24"/>
              </w:rPr>
              <w:t>,</w:t>
            </w:r>
            <w:r w:rsidR="004106D5" w:rsidRPr="00531366">
              <w:rPr>
                <w:rFonts w:ascii="Arial" w:hAnsi="Arial" w:cs="Arial"/>
                <w:b/>
                <w:noProof/>
                <w:sz w:val="24"/>
                <w:szCs w:val="24"/>
              </w:rPr>
              <w:t xml:space="preserve"> ages 6</w:t>
            </w:r>
            <w:r w:rsidR="004106D5">
              <w:rPr>
                <w:rFonts w:ascii="Arial" w:hAnsi="Arial" w:cs="Arial"/>
                <w:b/>
                <w:noProof/>
                <w:sz w:val="24"/>
                <w:szCs w:val="24"/>
              </w:rPr>
              <w:t xml:space="preserve"> </w:t>
            </w:r>
            <w:r w:rsidR="004106D5" w:rsidRPr="00CD5282">
              <w:rPr>
                <w:rFonts w:ascii="Arial" w:eastAsia="Times New Roman" w:hAnsi="Arial" w:cs="Arial"/>
                <w:b/>
                <w:sz w:val="24"/>
                <w:szCs w:val="24"/>
              </w:rPr>
              <w:t xml:space="preserve">through </w:t>
            </w:r>
            <w:r w:rsidR="004106D5" w:rsidRPr="00531366">
              <w:rPr>
                <w:rFonts w:ascii="Arial" w:hAnsi="Arial" w:cs="Arial"/>
                <w:b/>
                <w:noProof/>
                <w:sz w:val="24"/>
                <w:szCs w:val="24"/>
              </w:rPr>
              <w:t>1</w:t>
            </w:r>
            <w:r w:rsidR="004106D5">
              <w:rPr>
                <w:rFonts w:ascii="Arial" w:hAnsi="Arial" w:cs="Arial"/>
                <w:b/>
                <w:noProof/>
                <w:sz w:val="24"/>
                <w:szCs w:val="24"/>
              </w:rPr>
              <w:t>1</w:t>
            </w:r>
            <w:r w:rsidR="005B0F19">
              <w:rPr>
                <w:rFonts w:ascii="Arial" w:hAnsi="Arial" w:cs="Arial"/>
                <w:b/>
                <w:noProof/>
                <w:sz w:val="24"/>
                <w:szCs w:val="24"/>
              </w:rPr>
              <w:t>,</w:t>
            </w:r>
            <w:r w:rsidR="004106D5">
              <w:rPr>
                <w:rFonts w:ascii="Arial" w:hAnsi="Arial" w:cs="Arial"/>
                <w:b/>
                <w:noProof/>
                <w:sz w:val="24"/>
                <w:szCs w:val="24"/>
              </w:rPr>
              <w:t xml:space="preserve"> </w:t>
            </w:r>
            <w:r w:rsidR="004106D5" w:rsidRPr="00531366">
              <w:rPr>
                <w:rFonts w:ascii="Arial" w:hAnsi="Arial" w:cs="Arial"/>
                <w:b/>
                <w:noProof/>
                <w:sz w:val="24"/>
                <w:szCs w:val="24"/>
              </w:rPr>
              <w:t>who are physically active at least 60 minutes per day</w:t>
            </w:r>
          </w:p>
          <w:p w14:paraId="73DCBFD1" w14:textId="2286625F" w:rsidR="00C3535C" w:rsidRPr="00531366" w:rsidRDefault="00C3535C" w:rsidP="00C3535C">
            <w:pPr>
              <w:spacing w:after="0" w:line="240" w:lineRule="auto"/>
              <w:rPr>
                <w:rFonts w:ascii="Arial" w:hAnsi="Arial" w:cs="Arial"/>
                <w:b/>
                <w:sz w:val="24"/>
                <w:szCs w:val="24"/>
              </w:rPr>
            </w:pPr>
            <w:r>
              <w:rPr>
                <w:rFonts w:ascii="Arial" w:hAnsi="Arial" w:cs="Arial"/>
                <w:b/>
                <w:noProof/>
                <w:sz w:val="24"/>
                <w:szCs w:val="24"/>
              </w:rPr>
              <w:t xml:space="preserve">8.2 Percent of adolescents, ages 12 </w:t>
            </w:r>
            <w:r w:rsidRPr="00CD5282">
              <w:rPr>
                <w:rFonts w:ascii="Arial" w:eastAsia="Times New Roman" w:hAnsi="Arial" w:cs="Arial"/>
                <w:b/>
                <w:sz w:val="24"/>
                <w:szCs w:val="24"/>
              </w:rPr>
              <w:t xml:space="preserve">through </w:t>
            </w:r>
            <w:r w:rsidRPr="00531366">
              <w:rPr>
                <w:rFonts w:ascii="Arial" w:hAnsi="Arial" w:cs="Arial"/>
                <w:b/>
                <w:noProof/>
                <w:sz w:val="24"/>
                <w:szCs w:val="24"/>
              </w:rPr>
              <w:t>17</w:t>
            </w:r>
            <w:r>
              <w:rPr>
                <w:rFonts w:ascii="Arial" w:hAnsi="Arial" w:cs="Arial"/>
                <w:b/>
                <w:noProof/>
                <w:sz w:val="24"/>
                <w:szCs w:val="24"/>
              </w:rPr>
              <w:t xml:space="preserve"> </w:t>
            </w:r>
            <w:r w:rsidRPr="00531366">
              <w:rPr>
                <w:rFonts w:ascii="Arial" w:hAnsi="Arial" w:cs="Arial"/>
                <w:b/>
                <w:noProof/>
                <w:sz w:val="24"/>
                <w:szCs w:val="24"/>
              </w:rPr>
              <w:t>who are physically active at least 60 minutes per day</w:t>
            </w:r>
          </w:p>
        </w:tc>
      </w:tr>
    </w:tbl>
    <w:p w14:paraId="7F95B15A" w14:textId="77777777" w:rsidR="004106D5" w:rsidRPr="005B0F19" w:rsidRDefault="004106D5" w:rsidP="004106D5">
      <w:pPr>
        <w:spacing w:after="0" w:line="240" w:lineRule="auto"/>
        <w:rPr>
          <w:sz w:val="10"/>
          <w:szCs w:val="10"/>
        </w:rPr>
      </w:pPr>
    </w:p>
    <w:p w14:paraId="2CC1C135" w14:textId="77777777" w:rsidR="004106D5" w:rsidRDefault="004106D5" w:rsidP="004106D5">
      <w:pPr>
        <w:spacing w:after="0" w:line="240" w:lineRule="auto"/>
      </w:pPr>
      <w:r>
        <w:rPr>
          <w:noProof/>
        </w:rPr>
        <mc:AlternateContent>
          <mc:Choice Requires="wps">
            <w:drawing>
              <wp:anchor distT="4294967295" distB="4294967295" distL="114300" distR="114300" simplePos="0" relativeHeight="251803648" behindDoc="0" locked="0" layoutInCell="1" allowOverlap="1" wp14:anchorId="027AA8BA" wp14:editId="36A7A6BC">
                <wp:simplePos x="0" y="0"/>
                <wp:positionH relativeFrom="column">
                  <wp:posOffset>-60960</wp:posOffset>
                </wp:positionH>
                <wp:positionV relativeFrom="paragraph">
                  <wp:posOffset>31749</wp:posOffset>
                </wp:positionV>
                <wp:extent cx="6088380" cy="0"/>
                <wp:effectExtent l="0" t="0" r="2667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C8D9D63" id="Straight Connector 11" o:spid="_x0000_s1026" style="position:absolute;z-index:251803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" strokecolor="windowText" strokeweight="1.75pt">
                <o:lock v:ext="edit" shapetype="f"/>
              </v:line>
            </w:pict>
          </mc:Fallback>
        </mc:AlternateContent>
      </w:r>
    </w:p>
    <w:tbl>
      <w:tblPr>
        <w:tblW w:w="0" w:type="auto"/>
        <w:tblLook w:val="04A0" w:firstRow="1" w:lastRow="0" w:firstColumn="1" w:lastColumn="0" w:noHBand="0" w:noVBand="1"/>
      </w:tblPr>
      <w:tblGrid>
        <w:gridCol w:w="3618"/>
        <w:gridCol w:w="3384"/>
        <w:gridCol w:w="2556"/>
      </w:tblGrid>
      <w:tr w:rsidR="004106D5" w:rsidRPr="00515E1C" w14:paraId="3BF5EF76" w14:textId="77777777" w:rsidTr="000C7A5D">
        <w:tc>
          <w:tcPr>
            <w:tcW w:w="3618" w:type="dxa"/>
            <w:shd w:val="clear" w:color="auto" w:fill="auto"/>
          </w:tcPr>
          <w:p w14:paraId="201DDD4E"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GOAL</w:t>
            </w:r>
          </w:p>
        </w:tc>
        <w:tc>
          <w:tcPr>
            <w:tcW w:w="5940" w:type="dxa"/>
            <w:gridSpan w:val="2"/>
            <w:shd w:val="clear" w:color="auto" w:fill="auto"/>
          </w:tcPr>
          <w:p w14:paraId="34BFC504" w14:textId="68C1B0A8" w:rsidR="004106D5" w:rsidRPr="00531366" w:rsidRDefault="004106D5" w:rsidP="00326961">
            <w:pPr>
              <w:spacing w:after="0" w:line="240" w:lineRule="auto"/>
              <w:rPr>
                <w:rFonts w:ascii="Arial" w:hAnsi="Arial" w:cs="Arial"/>
                <w:sz w:val="20"/>
                <w:szCs w:val="20"/>
              </w:rPr>
            </w:pPr>
            <w:r w:rsidRPr="00531366">
              <w:rPr>
                <w:rFonts w:ascii="Arial" w:hAnsi="Arial" w:cs="Arial"/>
                <w:noProof/>
                <w:sz w:val="20"/>
                <w:szCs w:val="20"/>
              </w:rPr>
              <w:t xml:space="preserve">To increase the </w:t>
            </w:r>
            <w:r w:rsidR="00326961">
              <w:rPr>
                <w:rFonts w:ascii="Arial" w:hAnsi="Arial" w:cs="Arial"/>
                <w:noProof/>
                <w:sz w:val="20"/>
                <w:szCs w:val="20"/>
              </w:rPr>
              <w:t>percent</w:t>
            </w:r>
            <w:r w:rsidRPr="00531366">
              <w:rPr>
                <w:rFonts w:ascii="Arial" w:hAnsi="Arial" w:cs="Arial"/>
                <w:noProof/>
                <w:sz w:val="20"/>
                <w:szCs w:val="20"/>
              </w:rPr>
              <w:t xml:space="preserve"> of children and adolescents who are physically active.</w:t>
            </w:r>
          </w:p>
        </w:tc>
      </w:tr>
      <w:tr w:rsidR="004106D5" w:rsidRPr="00515E1C" w14:paraId="2E47D0B3" w14:textId="77777777" w:rsidTr="000C7A5D">
        <w:tc>
          <w:tcPr>
            <w:tcW w:w="3618" w:type="dxa"/>
            <w:shd w:val="clear" w:color="auto" w:fill="auto"/>
          </w:tcPr>
          <w:p w14:paraId="64F066DE" w14:textId="77777777" w:rsidR="004106D5" w:rsidRPr="005B0F19" w:rsidRDefault="004106D5" w:rsidP="000C7A5D">
            <w:pPr>
              <w:spacing w:after="0" w:line="240" w:lineRule="auto"/>
              <w:rPr>
                <w:rFonts w:ascii="Arial" w:hAnsi="Arial" w:cs="Arial"/>
                <w:b/>
                <w:sz w:val="16"/>
                <w:szCs w:val="16"/>
              </w:rPr>
            </w:pPr>
          </w:p>
        </w:tc>
        <w:tc>
          <w:tcPr>
            <w:tcW w:w="5940" w:type="dxa"/>
            <w:gridSpan w:val="2"/>
            <w:shd w:val="clear" w:color="auto" w:fill="auto"/>
          </w:tcPr>
          <w:p w14:paraId="75A74D27" w14:textId="77777777" w:rsidR="004106D5" w:rsidRPr="00531366" w:rsidRDefault="004106D5" w:rsidP="000C7A5D">
            <w:pPr>
              <w:spacing w:after="0" w:line="240" w:lineRule="auto"/>
              <w:rPr>
                <w:rFonts w:ascii="Arial" w:hAnsi="Arial" w:cs="Arial"/>
                <w:sz w:val="20"/>
                <w:szCs w:val="20"/>
              </w:rPr>
            </w:pPr>
          </w:p>
        </w:tc>
      </w:tr>
      <w:tr w:rsidR="004106D5" w:rsidRPr="00515E1C" w14:paraId="1D518C6A" w14:textId="77777777" w:rsidTr="000C7A5D">
        <w:tc>
          <w:tcPr>
            <w:tcW w:w="3618" w:type="dxa"/>
            <w:shd w:val="clear" w:color="auto" w:fill="auto"/>
          </w:tcPr>
          <w:p w14:paraId="141E1C80"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DEFINITION</w:t>
            </w:r>
          </w:p>
        </w:tc>
        <w:tc>
          <w:tcPr>
            <w:tcW w:w="5940" w:type="dxa"/>
            <w:gridSpan w:val="2"/>
            <w:shd w:val="clear" w:color="auto" w:fill="auto"/>
          </w:tcPr>
          <w:p w14:paraId="62381A30"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Numerator:</w:t>
            </w:r>
          </w:p>
        </w:tc>
      </w:tr>
      <w:tr w:rsidR="004106D5" w:rsidRPr="00515E1C" w14:paraId="088D1734" w14:textId="77777777" w:rsidTr="000C7A5D">
        <w:tc>
          <w:tcPr>
            <w:tcW w:w="3618" w:type="dxa"/>
            <w:shd w:val="clear" w:color="auto" w:fill="auto"/>
          </w:tcPr>
          <w:p w14:paraId="5C848457"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62D5E288" w14:textId="60F4A85C" w:rsidR="004106D5" w:rsidRDefault="00C3535C" w:rsidP="00673EF9">
            <w:pPr>
              <w:spacing w:after="0" w:line="240" w:lineRule="auto"/>
              <w:ind w:left="336" w:hanging="336"/>
              <w:rPr>
                <w:rFonts w:ascii="Arial" w:hAnsi="Arial" w:cs="Arial"/>
                <w:sz w:val="20"/>
                <w:szCs w:val="20"/>
              </w:rPr>
            </w:pPr>
            <w:r>
              <w:rPr>
                <w:rFonts w:ascii="Arial" w:hAnsi="Arial" w:cs="Arial"/>
                <w:sz w:val="20"/>
                <w:szCs w:val="20"/>
              </w:rPr>
              <w:t xml:space="preserve">8.1 </w:t>
            </w:r>
            <w:r w:rsidR="004106D5">
              <w:rPr>
                <w:rFonts w:ascii="Arial" w:hAnsi="Arial" w:cs="Arial"/>
                <w:sz w:val="20"/>
                <w:szCs w:val="20"/>
              </w:rPr>
              <w:t xml:space="preserve">Number of children, ages 6 through 11, who are reported by their parents to be physically active at least 60 minutes per day in the past week (NSCH) </w:t>
            </w:r>
          </w:p>
          <w:p w14:paraId="42FB6B46" w14:textId="77777777" w:rsidR="00673EF9" w:rsidRDefault="00C3535C" w:rsidP="00673EF9">
            <w:pPr>
              <w:spacing w:after="0" w:line="240" w:lineRule="auto"/>
              <w:ind w:left="336" w:hanging="336"/>
              <w:rPr>
                <w:rFonts w:ascii="Arial" w:hAnsi="Arial" w:cs="Arial"/>
                <w:sz w:val="20"/>
                <w:szCs w:val="20"/>
              </w:rPr>
            </w:pPr>
            <w:r>
              <w:rPr>
                <w:rFonts w:ascii="Arial" w:hAnsi="Arial" w:cs="Arial"/>
                <w:sz w:val="20"/>
                <w:szCs w:val="20"/>
              </w:rPr>
              <w:t xml:space="preserve">8.2 Number of adolescents, ages 12 through 17, who are reported by their parents to be physically active at least 60 minutes </w:t>
            </w:r>
            <w:r w:rsidR="00673EF9">
              <w:rPr>
                <w:rFonts w:ascii="Arial" w:hAnsi="Arial" w:cs="Arial"/>
                <w:sz w:val="20"/>
                <w:szCs w:val="20"/>
              </w:rPr>
              <w:t>per day in the past week (NSCH)</w:t>
            </w:r>
          </w:p>
          <w:p w14:paraId="42606EF2" w14:textId="6FAC2043" w:rsidR="004106D5" w:rsidRPr="00531366" w:rsidRDefault="004106D5" w:rsidP="00673EF9">
            <w:pPr>
              <w:spacing w:after="0" w:line="240" w:lineRule="auto"/>
              <w:ind w:left="336"/>
              <w:rPr>
                <w:rFonts w:ascii="Arial" w:hAnsi="Arial" w:cs="Arial"/>
                <w:sz w:val="20"/>
                <w:szCs w:val="20"/>
              </w:rPr>
            </w:pPr>
            <w:r>
              <w:rPr>
                <w:rFonts w:ascii="Arial" w:hAnsi="Arial" w:cs="Arial"/>
                <w:sz w:val="20"/>
                <w:szCs w:val="20"/>
              </w:rPr>
              <w:t xml:space="preserve">Number of adolescents in </w:t>
            </w:r>
            <w:r>
              <w:rPr>
                <w:rFonts w:ascii="Arial" w:hAnsi="Arial" w:cs="Arial"/>
                <w:bCs/>
                <w:sz w:val="20"/>
                <w:szCs w:val="20"/>
              </w:rPr>
              <w:t>grades 9 through 12 who report being physically active at least 60 minutes per day in the past week</w:t>
            </w:r>
            <w:r>
              <w:rPr>
                <w:rFonts w:ascii="Arial" w:hAnsi="Arial" w:cs="Arial"/>
                <w:noProof/>
                <w:sz w:val="20"/>
                <w:szCs w:val="20"/>
              </w:rPr>
              <w:t xml:space="preserve"> (YRBSS)</w:t>
            </w:r>
          </w:p>
        </w:tc>
      </w:tr>
      <w:tr w:rsidR="004106D5" w:rsidRPr="00515E1C" w14:paraId="2426CFB3" w14:textId="77777777" w:rsidTr="000C7A5D">
        <w:tc>
          <w:tcPr>
            <w:tcW w:w="3618" w:type="dxa"/>
            <w:shd w:val="clear" w:color="auto" w:fill="auto"/>
          </w:tcPr>
          <w:p w14:paraId="27BFDED7"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06D49362" w14:textId="77777777" w:rsidR="004106D5" w:rsidRPr="00531366" w:rsidRDefault="004106D5" w:rsidP="000C7A5D">
            <w:pPr>
              <w:spacing w:after="0" w:line="240" w:lineRule="auto"/>
              <w:rPr>
                <w:rFonts w:ascii="Arial" w:hAnsi="Arial" w:cs="Arial"/>
                <w:sz w:val="20"/>
                <w:szCs w:val="20"/>
              </w:rPr>
            </w:pPr>
          </w:p>
        </w:tc>
      </w:tr>
      <w:tr w:rsidR="004106D5" w:rsidRPr="00515E1C" w14:paraId="4EA64D33" w14:textId="77777777" w:rsidTr="000C7A5D">
        <w:tc>
          <w:tcPr>
            <w:tcW w:w="3618" w:type="dxa"/>
            <w:shd w:val="clear" w:color="auto" w:fill="auto"/>
          </w:tcPr>
          <w:p w14:paraId="7FFAC93C"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53070060"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Denominator:</w:t>
            </w:r>
          </w:p>
        </w:tc>
      </w:tr>
      <w:tr w:rsidR="004106D5" w:rsidRPr="00515E1C" w14:paraId="05129648" w14:textId="77777777" w:rsidTr="000C7A5D">
        <w:tc>
          <w:tcPr>
            <w:tcW w:w="3618" w:type="dxa"/>
            <w:shd w:val="clear" w:color="auto" w:fill="auto"/>
          </w:tcPr>
          <w:p w14:paraId="5CEC6DB3"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75395380" w14:textId="1398CD42" w:rsidR="004106D5" w:rsidRDefault="005B0F19" w:rsidP="005B0F19">
            <w:pPr>
              <w:spacing w:after="0" w:line="240" w:lineRule="auto"/>
              <w:ind w:left="336" w:hanging="336"/>
              <w:rPr>
                <w:rFonts w:ascii="Arial" w:hAnsi="Arial" w:cs="Arial"/>
                <w:noProof/>
                <w:sz w:val="20"/>
                <w:szCs w:val="20"/>
              </w:rPr>
            </w:pPr>
            <w:r>
              <w:rPr>
                <w:rFonts w:ascii="Arial" w:hAnsi="Arial" w:cs="Arial"/>
                <w:noProof/>
                <w:sz w:val="20"/>
                <w:szCs w:val="20"/>
              </w:rPr>
              <w:t xml:space="preserve">8.1 </w:t>
            </w:r>
            <w:r w:rsidR="004106D5">
              <w:rPr>
                <w:rFonts w:ascii="Arial" w:hAnsi="Arial" w:cs="Arial"/>
                <w:noProof/>
                <w:sz w:val="20"/>
                <w:szCs w:val="20"/>
              </w:rPr>
              <w:t xml:space="preserve">Number of children ages 6 </w:t>
            </w:r>
            <w:r w:rsidR="004106D5" w:rsidRPr="00CD5282">
              <w:rPr>
                <w:rFonts w:ascii="Arial" w:eastAsia="Times New Roman" w:hAnsi="Arial" w:cs="Arial"/>
                <w:sz w:val="20"/>
                <w:szCs w:val="20"/>
              </w:rPr>
              <w:t>through</w:t>
            </w:r>
            <w:r w:rsidR="004106D5">
              <w:rPr>
                <w:rFonts w:ascii="Arial" w:eastAsia="Times New Roman" w:hAnsi="Arial" w:cs="Arial"/>
                <w:sz w:val="24"/>
                <w:szCs w:val="24"/>
              </w:rPr>
              <w:t xml:space="preserve"> </w:t>
            </w:r>
            <w:r w:rsidR="004106D5" w:rsidRPr="00531366">
              <w:rPr>
                <w:rFonts w:ascii="Arial" w:hAnsi="Arial" w:cs="Arial"/>
                <w:noProof/>
                <w:sz w:val="20"/>
                <w:szCs w:val="20"/>
              </w:rPr>
              <w:t>1</w:t>
            </w:r>
            <w:r w:rsidR="004106D5">
              <w:rPr>
                <w:rFonts w:ascii="Arial" w:hAnsi="Arial" w:cs="Arial"/>
                <w:noProof/>
                <w:sz w:val="20"/>
                <w:szCs w:val="20"/>
              </w:rPr>
              <w:t xml:space="preserve">1 (NSCH) </w:t>
            </w:r>
          </w:p>
          <w:p w14:paraId="022DA16A" w14:textId="7E7D2569" w:rsidR="005B0F19" w:rsidRDefault="005B0F19" w:rsidP="005B0F19">
            <w:pPr>
              <w:spacing w:after="0" w:line="240" w:lineRule="auto"/>
              <w:ind w:left="336" w:hanging="336"/>
              <w:rPr>
                <w:rFonts w:ascii="Arial" w:hAnsi="Arial" w:cs="Arial"/>
                <w:noProof/>
                <w:sz w:val="20"/>
                <w:szCs w:val="20"/>
              </w:rPr>
            </w:pPr>
            <w:r>
              <w:rPr>
                <w:rFonts w:ascii="Arial" w:hAnsi="Arial" w:cs="Arial"/>
                <w:noProof/>
                <w:sz w:val="20"/>
                <w:szCs w:val="20"/>
              </w:rPr>
              <w:t xml:space="preserve">8.2 Number of adolescents ages 12 </w:t>
            </w:r>
            <w:r w:rsidRPr="00CD5282">
              <w:rPr>
                <w:rFonts w:ascii="Arial" w:eastAsia="Times New Roman" w:hAnsi="Arial" w:cs="Arial"/>
                <w:sz w:val="20"/>
                <w:szCs w:val="20"/>
              </w:rPr>
              <w:t>through</w:t>
            </w:r>
            <w:r>
              <w:rPr>
                <w:rFonts w:ascii="Arial" w:eastAsia="Times New Roman" w:hAnsi="Arial" w:cs="Arial"/>
                <w:sz w:val="24"/>
                <w:szCs w:val="24"/>
              </w:rPr>
              <w:t xml:space="preserve"> </w:t>
            </w:r>
            <w:r w:rsidRPr="00531366">
              <w:rPr>
                <w:rFonts w:ascii="Arial" w:hAnsi="Arial" w:cs="Arial"/>
                <w:noProof/>
                <w:sz w:val="20"/>
                <w:szCs w:val="20"/>
              </w:rPr>
              <w:t>17</w:t>
            </w:r>
            <w:r>
              <w:rPr>
                <w:rFonts w:ascii="Arial" w:hAnsi="Arial" w:cs="Arial"/>
                <w:noProof/>
                <w:sz w:val="20"/>
                <w:szCs w:val="20"/>
              </w:rPr>
              <w:t xml:space="preserve"> (NSCH)</w:t>
            </w:r>
          </w:p>
          <w:p w14:paraId="33454FC9" w14:textId="77777777" w:rsidR="004106D5" w:rsidRPr="00531366" w:rsidRDefault="004106D5" w:rsidP="005B0F19">
            <w:pPr>
              <w:spacing w:after="0" w:line="240" w:lineRule="auto"/>
              <w:ind w:left="426" w:hanging="90"/>
              <w:rPr>
                <w:rFonts w:ascii="Arial" w:hAnsi="Arial" w:cs="Arial"/>
                <w:sz w:val="20"/>
                <w:szCs w:val="20"/>
              </w:rPr>
            </w:pPr>
            <w:r>
              <w:rPr>
                <w:rFonts w:ascii="Arial" w:hAnsi="Arial" w:cs="Arial"/>
                <w:noProof/>
                <w:sz w:val="20"/>
                <w:szCs w:val="20"/>
              </w:rPr>
              <w:t>Number of</w:t>
            </w:r>
            <w:r>
              <w:rPr>
                <w:rFonts w:ascii="Arial" w:hAnsi="Arial" w:cs="Arial"/>
                <w:bCs/>
                <w:sz w:val="20"/>
                <w:szCs w:val="20"/>
              </w:rPr>
              <w:t xml:space="preserve"> adolescents in grades 9 through 12 (YRBSS)</w:t>
            </w:r>
          </w:p>
        </w:tc>
      </w:tr>
      <w:tr w:rsidR="004106D5" w:rsidRPr="00515E1C" w14:paraId="46483C80" w14:textId="77777777" w:rsidTr="000C7A5D">
        <w:tc>
          <w:tcPr>
            <w:tcW w:w="3618" w:type="dxa"/>
            <w:shd w:val="clear" w:color="auto" w:fill="auto"/>
          </w:tcPr>
          <w:p w14:paraId="351C0DD7"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104BC81A" w14:textId="77777777" w:rsidR="004106D5" w:rsidRPr="00531366" w:rsidRDefault="004106D5" w:rsidP="000C7A5D">
            <w:pPr>
              <w:spacing w:after="0" w:line="240" w:lineRule="auto"/>
              <w:rPr>
                <w:rFonts w:ascii="Arial" w:hAnsi="Arial" w:cs="Arial"/>
                <w:sz w:val="20"/>
                <w:szCs w:val="20"/>
              </w:rPr>
            </w:pPr>
          </w:p>
        </w:tc>
      </w:tr>
      <w:tr w:rsidR="004106D5" w:rsidRPr="00515E1C" w14:paraId="3FDEA0AD" w14:textId="77777777" w:rsidTr="000C7A5D">
        <w:tc>
          <w:tcPr>
            <w:tcW w:w="3618" w:type="dxa"/>
            <w:shd w:val="clear" w:color="auto" w:fill="auto"/>
          </w:tcPr>
          <w:p w14:paraId="5C45D709" w14:textId="77777777" w:rsidR="004106D5" w:rsidRPr="00531366" w:rsidRDefault="004106D5" w:rsidP="000C7A5D">
            <w:pPr>
              <w:spacing w:after="0" w:line="240" w:lineRule="auto"/>
              <w:rPr>
                <w:rFonts w:ascii="Arial" w:hAnsi="Arial" w:cs="Arial"/>
                <w:b/>
                <w:sz w:val="20"/>
                <w:szCs w:val="20"/>
              </w:rPr>
            </w:pPr>
          </w:p>
        </w:tc>
        <w:tc>
          <w:tcPr>
            <w:tcW w:w="3384" w:type="dxa"/>
            <w:shd w:val="clear" w:color="auto" w:fill="auto"/>
          </w:tcPr>
          <w:p w14:paraId="7E575A9E"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b/>
                <w:sz w:val="20"/>
                <w:szCs w:val="20"/>
              </w:rPr>
              <w:t>Units:</w:t>
            </w:r>
            <w:r w:rsidRPr="00531366">
              <w:rPr>
                <w:rFonts w:ascii="Arial" w:hAnsi="Arial" w:cs="Arial"/>
                <w:sz w:val="20"/>
                <w:szCs w:val="20"/>
              </w:rPr>
              <w:t xml:space="preserve"> </w:t>
            </w:r>
            <w:r w:rsidRPr="00531366">
              <w:rPr>
                <w:rFonts w:ascii="Arial" w:hAnsi="Arial" w:cs="Arial"/>
                <w:noProof/>
                <w:sz w:val="20"/>
                <w:szCs w:val="20"/>
              </w:rPr>
              <w:t>100</w:t>
            </w:r>
          </w:p>
        </w:tc>
        <w:tc>
          <w:tcPr>
            <w:tcW w:w="2556" w:type="dxa"/>
            <w:shd w:val="clear" w:color="auto" w:fill="auto"/>
          </w:tcPr>
          <w:p w14:paraId="783C643E"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b/>
                <w:sz w:val="20"/>
                <w:szCs w:val="20"/>
              </w:rPr>
              <w:t>Text:</w:t>
            </w:r>
            <w:r w:rsidRPr="00531366">
              <w:rPr>
                <w:rFonts w:ascii="Arial" w:hAnsi="Arial" w:cs="Arial"/>
                <w:sz w:val="20"/>
                <w:szCs w:val="20"/>
              </w:rPr>
              <w:t xml:space="preserve"> </w:t>
            </w:r>
            <w:r w:rsidRPr="00531366">
              <w:rPr>
                <w:rFonts w:ascii="Arial" w:hAnsi="Arial" w:cs="Arial"/>
                <w:noProof/>
                <w:sz w:val="20"/>
                <w:szCs w:val="20"/>
              </w:rPr>
              <w:t>Percent</w:t>
            </w:r>
          </w:p>
        </w:tc>
      </w:tr>
      <w:tr w:rsidR="004106D5" w:rsidRPr="00515E1C" w14:paraId="50DC3465" w14:textId="77777777" w:rsidTr="000C7A5D">
        <w:tc>
          <w:tcPr>
            <w:tcW w:w="3618" w:type="dxa"/>
            <w:shd w:val="clear" w:color="auto" w:fill="auto"/>
          </w:tcPr>
          <w:p w14:paraId="5AC6D3F4"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18BE1FF2" w14:textId="77777777" w:rsidR="004106D5" w:rsidRPr="00531366" w:rsidRDefault="004106D5" w:rsidP="000C7A5D">
            <w:pPr>
              <w:spacing w:after="0" w:line="240" w:lineRule="auto"/>
              <w:rPr>
                <w:rFonts w:ascii="Arial" w:hAnsi="Arial" w:cs="Arial"/>
                <w:sz w:val="20"/>
                <w:szCs w:val="20"/>
              </w:rPr>
            </w:pPr>
          </w:p>
        </w:tc>
      </w:tr>
      <w:tr w:rsidR="004106D5" w:rsidRPr="00515E1C" w14:paraId="68228B11" w14:textId="77777777" w:rsidTr="000C7A5D">
        <w:tc>
          <w:tcPr>
            <w:tcW w:w="3618" w:type="dxa"/>
            <w:shd w:val="clear" w:color="auto" w:fill="auto"/>
          </w:tcPr>
          <w:p w14:paraId="2AD2EA59"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HEALTHY PEOPLE 2020 OBJECTIVE</w:t>
            </w:r>
          </w:p>
        </w:tc>
        <w:tc>
          <w:tcPr>
            <w:tcW w:w="5940" w:type="dxa"/>
            <w:gridSpan w:val="2"/>
            <w:shd w:val="clear" w:color="auto" w:fill="auto"/>
          </w:tcPr>
          <w:p w14:paraId="78752222" w14:textId="77777777" w:rsidR="004106D5" w:rsidRPr="00531366" w:rsidRDefault="004106D5" w:rsidP="000C7A5D">
            <w:pPr>
              <w:spacing w:after="0" w:line="240" w:lineRule="auto"/>
              <w:rPr>
                <w:rFonts w:ascii="Arial" w:hAnsi="Arial" w:cs="Arial"/>
                <w:noProof/>
                <w:sz w:val="20"/>
                <w:szCs w:val="20"/>
              </w:rPr>
            </w:pPr>
            <w:r w:rsidRPr="00531366">
              <w:rPr>
                <w:rFonts w:ascii="Arial" w:hAnsi="Arial" w:cs="Arial"/>
                <w:noProof/>
                <w:sz w:val="20"/>
                <w:szCs w:val="20"/>
              </w:rPr>
              <w:t>Related to Physical Activity (PA) Objective 4.1:  Increase the proportion of the Nation’s public and private elementary schools that require daily physical education for all students. (Baseline: 3.8%, Target: 4.2%)</w:t>
            </w:r>
          </w:p>
          <w:p w14:paraId="40AB6F55" w14:textId="77777777" w:rsidR="004106D5" w:rsidRPr="005B0F19" w:rsidRDefault="004106D5" w:rsidP="000C7A5D">
            <w:pPr>
              <w:spacing w:after="0" w:line="240" w:lineRule="auto"/>
              <w:rPr>
                <w:rFonts w:ascii="Arial" w:hAnsi="Arial" w:cs="Arial"/>
                <w:noProof/>
                <w:sz w:val="16"/>
                <w:szCs w:val="16"/>
              </w:rPr>
            </w:pPr>
          </w:p>
          <w:p w14:paraId="0BDAE8D3"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noProof/>
                <w:sz w:val="20"/>
                <w:szCs w:val="20"/>
              </w:rPr>
              <w:t>Related to Physical Activity (PA) Objective 3:  Increase the proportion of adolescents who meet current Federal physical activity guidelines for aerobic physical activity and for muscle-strengthening activity. (Baseline: 18.4%,  Target: 20.2% for adolescents to meet current physical activity guidelines for aerobic physical activity)</w:t>
            </w:r>
          </w:p>
        </w:tc>
      </w:tr>
      <w:tr w:rsidR="004106D5" w:rsidRPr="00515E1C" w14:paraId="658C0D7D" w14:textId="77777777" w:rsidTr="000C7A5D">
        <w:tc>
          <w:tcPr>
            <w:tcW w:w="3618" w:type="dxa"/>
            <w:shd w:val="clear" w:color="auto" w:fill="auto"/>
          </w:tcPr>
          <w:p w14:paraId="103DEFA8"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331FC9C3" w14:textId="77777777" w:rsidR="004106D5" w:rsidRPr="00531366" w:rsidRDefault="004106D5" w:rsidP="000C7A5D">
            <w:pPr>
              <w:spacing w:after="0" w:line="240" w:lineRule="auto"/>
              <w:rPr>
                <w:rFonts w:ascii="Arial" w:hAnsi="Arial" w:cs="Arial"/>
                <w:sz w:val="20"/>
                <w:szCs w:val="20"/>
              </w:rPr>
            </w:pPr>
          </w:p>
        </w:tc>
      </w:tr>
      <w:tr w:rsidR="004106D5" w:rsidRPr="00515E1C" w14:paraId="7C883B91" w14:textId="77777777" w:rsidTr="000C7A5D">
        <w:tc>
          <w:tcPr>
            <w:tcW w:w="3618" w:type="dxa"/>
            <w:shd w:val="clear" w:color="auto" w:fill="auto"/>
          </w:tcPr>
          <w:p w14:paraId="48EE5179"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DATA SOURCES and DATA ISSUES</w:t>
            </w:r>
          </w:p>
        </w:tc>
        <w:tc>
          <w:tcPr>
            <w:tcW w:w="5940" w:type="dxa"/>
            <w:gridSpan w:val="2"/>
            <w:shd w:val="clear" w:color="auto" w:fill="auto"/>
          </w:tcPr>
          <w:p w14:paraId="79B8595C" w14:textId="77777777" w:rsidR="004106D5" w:rsidRDefault="004106D5" w:rsidP="000C7A5D">
            <w:pPr>
              <w:spacing w:after="0" w:line="240" w:lineRule="auto"/>
              <w:rPr>
                <w:rFonts w:ascii="Arial" w:hAnsi="Arial" w:cs="Arial"/>
                <w:noProof/>
                <w:sz w:val="20"/>
                <w:szCs w:val="20"/>
              </w:rPr>
            </w:pPr>
            <w:r w:rsidRPr="00531366">
              <w:rPr>
                <w:rFonts w:ascii="Arial" w:hAnsi="Arial" w:cs="Arial"/>
                <w:noProof/>
                <w:sz w:val="20"/>
                <w:szCs w:val="20"/>
              </w:rPr>
              <w:t>National Survey of Children's Health (NSCH)</w:t>
            </w:r>
            <w:r>
              <w:rPr>
                <w:rFonts w:ascii="Arial" w:hAnsi="Arial" w:cs="Arial"/>
                <w:noProof/>
                <w:sz w:val="20"/>
                <w:szCs w:val="20"/>
              </w:rPr>
              <w:t xml:space="preserve"> </w:t>
            </w:r>
          </w:p>
          <w:p w14:paraId="3049066C"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noProof/>
                <w:sz w:val="20"/>
                <w:szCs w:val="20"/>
              </w:rPr>
              <w:t>Youth Risk Behavior Surveillance System (YRBSS</w:t>
            </w:r>
            <w:r>
              <w:rPr>
                <w:rFonts w:ascii="Arial" w:hAnsi="Arial" w:cs="Arial"/>
                <w:noProof/>
                <w:sz w:val="20"/>
                <w:szCs w:val="20"/>
              </w:rPr>
              <w:t xml:space="preserve">)  </w:t>
            </w:r>
          </w:p>
        </w:tc>
      </w:tr>
      <w:tr w:rsidR="004106D5" w:rsidRPr="00515E1C" w14:paraId="056A64E4" w14:textId="77777777" w:rsidTr="000C7A5D">
        <w:tc>
          <w:tcPr>
            <w:tcW w:w="3618" w:type="dxa"/>
            <w:shd w:val="clear" w:color="auto" w:fill="auto"/>
          </w:tcPr>
          <w:p w14:paraId="11621DD1" w14:textId="77777777" w:rsidR="004106D5" w:rsidRDefault="004106D5" w:rsidP="000C7A5D">
            <w:pPr>
              <w:spacing w:after="0" w:line="240" w:lineRule="auto"/>
              <w:rPr>
                <w:rFonts w:ascii="Arial" w:hAnsi="Arial" w:cs="Arial"/>
                <w:b/>
                <w:sz w:val="20"/>
                <w:szCs w:val="20"/>
              </w:rPr>
            </w:pPr>
          </w:p>
          <w:p w14:paraId="7C1EA361" w14:textId="77777777" w:rsidR="004106D5" w:rsidRDefault="004106D5" w:rsidP="000C7A5D">
            <w:pPr>
              <w:spacing w:after="0" w:line="240" w:lineRule="auto"/>
              <w:rPr>
                <w:rFonts w:ascii="Arial" w:hAnsi="Arial" w:cs="Arial"/>
                <w:b/>
                <w:sz w:val="20"/>
                <w:szCs w:val="20"/>
              </w:rPr>
            </w:pPr>
            <w:r>
              <w:rPr>
                <w:rFonts w:ascii="Arial" w:hAnsi="Arial" w:cs="Arial"/>
                <w:b/>
                <w:sz w:val="20"/>
                <w:szCs w:val="20"/>
              </w:rPr>
              <w:t>MCH POPULATION DOMAIN</w:t>
            </w:r>
          </w:p>
          <w:p w14:paraId="3E6EB2E1"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37D13848" w14:textId="77777777" w:rsidR="004106D5" w:rsidRDefault="004106D5" w:rsidP="000C7A5D">
            <w:pPr>
              <w:spacing w:after="0" w:line="240" w:lineRule="auto"/>
              <w:rPr>
                <w:rFonts w:ascii="Arial" w:hAnsi="Arial" w:cs="Arial"/>
                <w:sz w:val="20"/>
                <w:szCs w:val="20"/>
              </w:rPr>
            </w:pPr>
          </w:p>
          <w:p w14:paraId="7068F420" w14:textId="77777777" w:rsidR="004106D5" w:rsidRPr="00531366" w:rsidRDefault="004106D5" w:rsidP="000C7A5D">
            <w:pPr>
              <w:spacing w:after="0" w:line="240" w:lineRule="auto"/>
              <w:rPr>
                <w:rFonts w:ascii="Arial" w:hAnsi="Arial" w:cs="Arial"/>
                <w:sz w:val="20"/>
                <w:szCs w:val="20"/>
              </w:rPr>
            </w:pPr>
            <w:r w:rsidRPr="00DD16CC">
              <w:rPr>
                <w:rFonts w:ascii="Arial" w:hAnsi="Arial" w:cs="Arial"/>
                <w:sz w:val="20"/>
                <w:szCs w:val="20"/>
              </w:rPr>
              <w:t>Child Health</w:t>
            </w:r>
            <w:r>
              <w:rPr>
                <w:rFonts w:ascii="Arial" w:hAnsi="Arial" w:cs="Arial"/>
                <w:sz w:val="20"/>
                <w:szCs w:val="20"/>
              </w:rPr>
              <w:t xml:space="preserve"> and/or Adolescent Health</w:t>
            </w:r>
          </w:p>
        </w:tc>
      </w:tr>
      <w:tr w:rsidR="004106D5" w:rsidRPr="00515E1C" w14:paraId="5F49631B" w14:textId="77777777" w:rsidTr="000C7A5D">
        <w:tc>
          <w:tcPr>
            <w:tcW w:w="3618" w:type="dxa"/>
            <w:shd w:val="clear" w:color="auto" w:fill="auto"/>
          </w:tcPr>
          <w:p w14:paraId="5DAD3CA4"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SIGNIFICANCE</w:t>
            </w:r>
          </w:p>
        </w:tc>
        <w:tc>
          <w:tcPr>
            <w:tcW w:w="5940" w:type="dxa"/>
            <w:gridSpan w:val="2"/>
            <w:shd w:val="clear" w:color="auto" w:fill="auto"/>
          </w:tcPr>
          <w:p w14:paraId="59FC5A29" w14:textId="77777777" w:rsidR="004106D5" w:rsidRDefault="004106D5" w:rsidP="000C7A5D">
            <w:pPr>
              <w:spacing w:after="0" w:line="240" w:lineRule="auto"/>
              <w:rPr>
                <w:rFonts w:ascii="Arial" w:hAnsi="Arial" w:cs="Arial"/>
                <w:noProof/>
                <w:sz w:val="20"/>
                <w:szCs w:val="20"/>
              </w:rPr>
            </w:pPr>
            <w:r w:rsidRPr="00531366">
              <w:rPr>
                <w:rFonts w:ascii="Arial" w:hAnsi="Arial" w:cs="Arial"/>
                <w:noProof/>
                <w:sz w:val="20"/>
                <w:szCs w:val="20"/>
              </w:rPr>
              <w:t>Regular physical activity can improve the health and quality of life of Americans of all ages, regardless of the presence of a chronic disease or disability.  Physical activity in children and adolescents reduces the risk of early life risk factors for cardiovascular disease, hypertension, Type II diabetes, and osteoporosis. In addition to aerobic and muscle-strengthening activities, bone-strengthening activities are especially important for children and young adolescents because the majority of peak bone mass is obtained by the end of adolescence.</w:t>
            </w:r>
          </w:p>
          <w:p w14:paraId="411BB707" w14:textId="77777777" w:rsidR="004106D5" w:rsidRPr="00531366" w:rsidRDefault="004106D5" w:rsidP="000C7A5D">
            <w:pPr>
              <w:spacing w:after="0" w:line="240" w:lineRule="auto"/>
              <w:rPr>
                <w:rFonts w:ascii="Arial" w:hAnsi="Arial" w:cs="Arial"/>
                <w:sz w:val="20"/>
                <w:szCs w:val="20"/>
              </w:rPr>
            </w:pPr>
          </w:p>
        </w:tc>
      </w:tr>
      <w:tr w:rsidR="004106D5" w:rsidRPr="00515E1C" w14:paraId="2E51E72E" w14:textId="77777777" w:rsidTr="000C7A5D">
        <w:tc>
          <w:tcPr>
            <w:tcW w:w="3618" w:type="dxa"/>
            <w:shd w:val="clear" w:color="auto" w:fill="auto"/>
          </w:tcPr>
          <w:p w14:paraId="1D6BDB4D" w14:textId="77777777" w:rsidR="004106D5" w:rsidRPr="00531366" w:rsidRDefault="004106D5" w:rsidP="000C7A5D">
            <w:pPr>
              <w:spacing w:after="0" w:line="240" w:lineRule="auto"/>
              <w:rPr>
                <w:rFonts w:ascii="Arial" w:hAnsi="Arial" w:cs="Arial"/>
                <w:sz w:val="20"/>
                <w:szCs w:val="20"/>
              </w:rPr>
            </w:pPr>
          </w:p>
        </w:tc>
        <w:tc>
          <w:tcPr>
            <w:tcW w:w="5940" w:type="dxa"/>
            <w:gridSpan w:val="2"/>
            <w:shd w:val="clear" w:color="auto" w:fill="auto"/>
          </w:tcPr>
          <w:p w14:paraId="4DC8E04E" w14:textId="77777777" w:rsidR="004106D5" w:rsidRPr="00167A8F" w:rsidRDefault="004106D5" w:rsidP="000C7A5D">
            <w:pPr>
              <w:spacing w:after="160" w:line="259" w:lineRule="auto"/>
              <w:rPr>
                <w:rFonts w:ascii="Arial" w:hAnsi="Arial" w:cs="Arial"/>
                <w:sz w:val="20"/>
                <w:szCs w:val="20"/>
              </w:rPr>
            </w:pPr>
            <w:r w:rsidRPr="00D14F97">
              <w:rPr>
                <w:rFonts w:ascii="Arial" w:hAnsi="Arial" w:cs="Arial"/>
                <w:sz w:val="20"/>
                <w:szCs w:val="18"/>
              </w:rPr>
              <w:t xml:space="preserve">U.S. Department of Health and Human Services. 2008 Physical Activity Guidelines for Americans </w:t>
            </w:r>
            <w:hyperlink r:id="rId133" w:history="1">
              <w:r w:rsidRPr="00D14F97">
                <w:rPr>
                  <w:rFonts w:ascii="Arial" w:hAnsi="Arial" w:cs="Arial"/>
                  <w:color w:val="0000FF"/>
                  <w:sz w:val="20"/>
                  <w:szCs w:val="18"/>
                  <w:u w:val="single"/>
                </w:rPr>
                <w:t>https://health.gov/paguidelines/guidelines/</w:t>
              </w:r>
            </w:hyperlink>
          </w:p>
        </w:tc>
      </w:tr>
    </w:tbl>
    <w:p w14:paraId="171E9732" w14:textId="62EE0BF4" w:rsidR="005B0F19" w:rsidRDefault="005B0F19" w:rsidP="004106D5">
      <w:pPr>
        <w:spacing w:after="0" w:line="240" w:lineRule="auto"/>
      </w:pPr>
    </w:p>
    <w:p w14:paraId="614D86ED" w14:textId="77777777" w:rsidR="005B0F19" w:rsidRDefault="005B0F19">
      <w:pPr>
        <w:spacing w:after="0" w:line="240" w:lineRule="auto"/>
      </w:pPr>
      <w:r>
        <w:br w:type="page"/>
      </w:r>
    </w:p>
    <w:tbl>
      <w:tblPr>
        <w:tblW w:w="0" w:type="auto"/>
        <w:tblLook w:val="04A0" w:firstRow="1" w:lastRow="0" w:firstColumn="1" w:lastColumn="0" w:noHBand="0" w:noVBand="1"/>
      </w:tblPr>
      <w:tblGrid>
        <w:gridCol w:w="3584"/>
        <w:gridCol w:w="5776"/>
      </w:tblGrid>
      <w:tr w:rsidR="004106D5" w:rsidRPr="003F48A1" w14:paraId="716AF1AC" w14:textId="77777777" w:rsidTr="005B0F19">
        <w:tc>
          <w:tcPr>
            <w:tcW w:w="3584" w:type="dxa"/>
            <w:shd w:val="clear" w:color="auto" w:fill="auto"/>
          </w:tcPr>
          <w:p w14:paraId="0B9B1795" w14:textId="77777777" w:rsidR="004106D5" w:rsidRPr="00531366" w:rsidRDefault="004106D5" w:rsidP="000C7A5D">
            <w:pPr>
              <w:spacing w:after="0" w:line="240" w:lineRule="auto"/>
              <w:rPr>
                <w:rFonts w:ascii="Arial" w:hAnsi="Arial" w:cs="Arial"/>
                <w:b/>
                <w:sz w:val="24"/>
                <w:szCs w:val="24"/>
              </w:rPr>
            </w:pPr>
            <w:r w:rsidRPr="00531366">
              <w:rPr>
                <w:rFonts w:ascii="Arial" w:hAnsi="Arial" w:cs="Arial"/>
                <w:b/>
                <w:sz w:val="24"/>
                <w:szCs w:val="24"/>
              </w:rPr>
              <w:t xml:space="preserve">PERFORMANCE MEASURE </w:t>
            </w:r>
            <w:r>
              <w:rPr>
                <w:rFonts w:ascii="Arial" w:hAnsi="Arial" w:cs="Arial"/>
                <w:b/>
                <w:noProof/>
                <w:sz w:val="24"/>
                <w:szCs w:val="24"/>
              </w:rPr>
              <w:t>9</w:t>
            </w:r>
          </w:p>
        </w:tc>
        <w:tc>
          <w:tcPr>
            <w:tcW w:w="5776" w:type="dxa"/>
            <w:shd w:val="clear" w:color="auto" w:fill="auto"/>
          </w:tcPr>
          <w:p w14:paraId="57E46E5E" w14:textId="77777777" w:rsidR="004106D5" w:rsidRPr="00531366" w:rsidRDefault="004106D5" w:rsidP="000C7A5D">
            <w:pPr>
              <w:spacing w:after="0" w:line="240" w:lineRule="auto"/>
              <w:rPr>
                <w:rFonts w:ascii="Arial" w:hAnsi="Arial" w:cs="Arial"/>
                <w:b/>
                <w:sz w:val="24"/>
                <w:szCs w:val="24"/>
              </w:rPr>
            </w:pPr>
            <w:r>
              <w:rPr>
                <w:rFonts w:ascii="Arial" w:hAnsi="Arial" w:cs="Arial"/>
                <w:b/>
                <w:noProof/>
                <w:sz w:val="24"/>
                <w:szCs w:val="24"/>
              </w:rPr>
              <w:t xml:space="preserve">Percent of adolescents, ages </w:t>
            </w:r>
            <w:r w:rsidRPr="00CD5282">
              <w:rPr>
                <w:rFonts w:ascii="Arial" w:hAnsi="Arial" w:cs="Arial"/>
                <w:b/>
                <w:noProof/>
                <w:sz w:val="24"/>
                <w:szCs w:val="24"/>
              </w:rPr>
              <w:t xml:space="preserve">12 </w:t>
            </w:r>
            <w:r w:rsidRPr="00CD5282">
              <w:rPr>
                <w:rFonts w:ascii="Arial" w:eastAsia="Times New Roman" w:hAnsi="Arial" w:cs="Arial"/>
                <w:b/>
                <w:sz w:val="24"/>
                <w:szCs w:val="24"/>
              </w:rPr>
              <w:t xml:space="preserve">through </w:t>
            </w:r>
            <w:r w:rsidRPr="00CD5282">
              <w:rPr>
                <w:rFonts w:ascii="Arial" w:hAnsi="Arial" w:cs="Arial"/>
                <w:b/>
                <w:noProof/>
                <w:sz w:val="24"/>
                <w:szCs w:val="24"/>
              </w:rPr>
              <w:t>17</w:t>
            </w:r>
            <w:r w:rsidRPr="00531366">
              <w:rPr>
                <w:rFonts w:ascii="Arial" w:hAnsi="Arial" w:cs="Arial"/>
                <w:b/>
                <w:noProof/>
                <w:sz w:val="24"/>
                <w:szCs w:val="24"/>
              </w:rPr>
              <w:t>, who are bullied</w:t>
            </w:r>
            <w:r>
              <w:rPr>
                <w:rFonts w:ascii="Arial" w:hAnsi="Arial" w:cs="Arial"/>
                <w:b/>
                <w:noProof/>
                <w:sz w:val="24"/>
                <w:szCs w:val="24"/>
              </w:rPr>
              <w:t xml:space="preserve"> or who bully others</w:t>
            </w:r>
          </w:p>
        </w:tc>
      </w:tr>
    </w:tbl>
    <w:p w14:paraId="2EC65869" w14:textId="77777777" w:rsidR="004106D5" w:rsidRDefault="004106D5" w:rsidP="004106D5">
      <w:pPr>
        <w:spacing w:after="0" w:line="240" w:lineRule="auto"/>
      </w:pPr>
    </w:p>
    <w:p w14:paraId="0A3A709E" w14:textId="77777777" w:rsidR="004106D5" w:rsidRDefault="004106D5" w:rsidP="004106D5">
      <w:pPr>
        <w:spacing w:after="0" w:line="240" w:lineRule="auto"/>
      </w:pPr>
      <w:r>
        <w:rPr>
          <w:noProof/>
        </w:rPr>
        <mc:AlternateContent>
          <mc:Choice Requires="wps">
            <w:drawing>
              <wp:anchor distT="4294967295" distB="4294967295" distL="114300" distR="114300" simplePos="0" relativeHeight="251804672" behindDoc="0" locked="0" layoutInCell="1" allowOverlap="1" wp14:anchorId="58B458DC" wp14:editId="19C1C33F">
                <wp:simplePos x="0" y="0"/>
                <wp:positionH relativeFrom="column">
                  <wp:posOffset>-60960</wp:posOffset>
                </wp:positionH>
                <wp:positionV relativeFrom="paragraph">
                  <wp:posOffset>31749</wp:posOffset>
                </wp:positionV>
                <wp:extent cx="6088380" cy="0"/>
                <wp:effectExtent l="0" t="0" r="2667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E71B65B" id="Straight Connector 8" o:spid="_x0000_s1026" style="position:absolute;z-index:251804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" strokecolor="windowText" strokeweight="1.75pt">
                <o:lock v:ext="edit" shapetype="f"/>
              </v:line>
            </w:pict>
          </mc:Fallback>
        </mc:AlternateContent>
      </w:r>
    </w:p>
    <w:tbl>
      <w:tblPr>
        <w:tblW w:w="0" w:type="auto"/>
        <w:tblLook w:val="04A0" w:firstRow="1" w:lastRow="0" w:firstColumn="1" w:lastColumn="0" w:noHBand="0" w:noVBand="1"/>
      </w:tblPr>
      <w:tblGrid>
        <w:gridCol w:w="3618"/>
        <w:gridCol w:w="3384"/>
        <w:gridCol w:w="2556"/>
      </w:tblGrid>
      <w:tr w:rsidR="004106D5" w:rsidRPr="00515E1C" w14:paraId="1218121E" w14:textId="77777777" w:rsidTr="000C7A5D">
        <w:tc>
          <w:tcPr>
            <w:tcW w:w="3618" w:type="dxa"/>
            <w:shd w:val="clear" w:color="auto" w:fill="auto"/>
          </w:tcPr>
          <w:p w14:paraId="7EFF00E9"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GOAL</w:t>
            </w:r>
          </w:p>
        </w:tc>
        <w:tc>
          <w:tcPr>
            <w:tcW w:w="5940" w:type="dxa"/>
            <w:gridSpan w:val="2"/>
            <w:shd w:val="clear" w:color="auto" w:fill="auto"/>
          </w:tcPr>
          <w:p w14:paraId="17D2EE99" w14:textId="062177B5" w:rsidR="004106D5" w:rsidRPr="00531366" w:rsidRDefault="004106D5" w:rsidP="00326961">
            <w:pPr>
              <w:spacing w:after="0" w:line="240" w:lineRule="auto"/>
              <w:rPr>
                <w:rFonts w:ascii="Arial" w:hAnsi="Arial" w:cs="Arial"/>
                <w:sz w:val="20"/>
                <w:szCs w:val="20"/>
              </w:rPr>
            </w:pPr>
            <w:r w:rsidRPr="00531366">
              <w:rPr>
                <w:rFonts w:ascii="Arial" w:hAnsi="Arial" w:cs="Arial"/>
                <w:noProof/>
                <w:sz w:val="20"/>
                <w:szCs w:val="20"/>
              </w:rPr>
              <w:t xml:space="preserve">To reduce the </w:t>
            </w:r>
            <w:r w:rsidR="00326961">
              <w:rPr>
                <w:rFonts w:ascii="Arial" w:hAnsi="Arial" w:cs="Arial"/>
                <w:noProof/>
                <w:sz w:val="20"/>
                <w:szCs w:val="20"/>
              </w:rPr>
              <w:t>percent</w:t>
            </w:r>
            <w:r w:rsidRPr="00531366">
              <w:rPr>
                <w:rFonts w:ascii="Arial" w:hAnsi="Arial" w:cs="Arial"/>
                <w:noProof/>
                <w:sz w:val="20"/>
                <w:szCs w:val="20"/>
              </w:rPr>
              <w:t xml:space="preserve"> of adolescents who are bullied</w:t>
            </w:r>
            <w:r>
              <w:rPr>
                <w:rFonts w:ascii="Arial" w:hAnsi="Arial" w:cs="Arial"/>
                <w:noProof/>
                <w:sz w:val="20"/>
                <w:szCs w:val="20"/>
              </w:rPr>
              <w:t xml:space="preserve"> or who bully others</w:t>
            </w:r>
            <w:r w:rsidRPr="00531366">
              <w:rPr>
                <w:rFonts w:ascii="Arial" w:hAnsi="Arial" w:cs="Arial"/>
                <w:noProof/>
                <w:sz w:val="20"/>
                <w:szCs w:val="20"/>
              </w:rPr>
              <w:t>.</w:t>
            </w:r>
          </w:p>
        </w:tc>
      </w:tr>
      <w:tr w:rsidR="004106D5" w:rsidRPr="00515E1C" w14:paraId="5E59B982" w14:textId="77777777" w:rsidTr="000C7A5D">
        <w:tc>
          <w:tcPr>
            <w:tcW w:w="3618" w:type="dxa"/>
            <w:shd w:val="clear" w:color="auto" w:fill="auto"/>
          </w:tcPr>
          <w:p w14:paraId="407BB4A8"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64CE6DDE" w14:textId="77777777" w:rsidR="004106D5" w:rsidRPr="00531366" w:rsidRDefault="004106D5" w:rsidP="000C7A5D">
            <w:pPr>
              <w:spacing w:after="0" w:line="240" w:lineRule="auto"/>
              <w:rPr>
                <w:rFonts w:ascii="Arial" w:hAnsi="Arial" w:cs="Arial"/>
                <w:sz w:val="20"/>
                <w:szCs w:val="20"/>
              </w:rPr>
            </w:pPr>
          </w:p>
        </w:tc>
      </w:tr>
      <w:tr w:rsidR="004106D5" w:rsidRPr="00515E1C" w14:paraId="365AEE84" w14:textId="77777777" w:rsidTr="000C7A5D">
        <w:tc>
          <w:tcPr>
            <w:tcW w:w="3618" w:type="dxa"/>
            <w:shd w:val="clear" w:color="auto" w:fill="auto"/>
          </w:tcPr>
          <w:p w14:paraId="332EA497"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DEFINITION</w:t>
            </w:r>
          </w:p>
        </w:tc>
        <w:tc>
          <w:tcPr>
            <w:tcW w:w="5940" w:type="dxa"/>
            <w:gridSpan w:val="2"/>
            <w:shd w:val="clear" w:color="auto" w:fill="auto"/>
          </w:tcPr>
          <w:p w14:paraId="1F6D1212"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Numerator:</w:t>
            </w:r>
          </w:p>
        </w:tc>
      </w:tr>
      <w:tr w:rsidR="004106D5" w:rsidRPr="00515E1C" w14:paraId="7689DE93" w14:textId="77777777" w:rsidTr="000C7A5D">
        <w:tc>
          <w:tcPr>
            <w:tcW w:w="3618" w:type="dxa"/>
            <w:shd w:val="clear" w:color="auto" w:fill="auto"/>
          </w:tcPr>
          <w:p w14:paraId="597D1DB6"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2FE9AE34" w14:textId="77777777" w:rsidR="004106D5" w:rsidRDefault="004106D5" w:rsidP="000C7A5D">
            <w:pPr>
              <w:spacing w:after="0" w:line="240" w:lineRule="auto"/>
              <w:rPr>
                <w:rFonts w:ascii="Arial" w:hAnsi="Arial" w:cs="Arial"/>
                <w:sz w:val="20"/>
                <w:szCs w:val="20"/>
              </w:rPr>
            </w:pPr>
            <w:r>
              <w:rPr>
                <w:rFonts w:ascii="Arial" w:hAnsi="Arial" w:cs="Arial"/>
                <w:sz w:val="20"/>
                <w:szCs w:val="20"/>
              </w:rPr>
              <w:t xml:space="preserve">Number of adolescents in grades 9 through 12 who report that they are </w:t>
            </w:r>
            <w:r>
              <w:rPr>
                <w:rFonts w:ascii="Arial" w:hAnsi="Arial" w:cs="Arial"/>
                <w:bCs/>
                <w:sz w:val="20"/>
                <w:szCs w:val="20"/>
              </w:rPr>
              <w:t>bullied on school property or electronically</w:t>
            </w:r>
            <w:r>
              <w:rPr>
                <w:rFonts w:ascii="Arial" w:hAnsi="Arial" w:cs="Arial"/>
                <w:sz w:val="20"/>
                <w:szCs w:val="20"/>
              </w:rPr>
              <w:t xml:space="preserve"> in the past year (YRBSS)</w:t>
            </w:r>
          </w:p>
          <w:p w14:paraId="32CCC7A0" w14:textId="77777777" w:rsidR="004106D5" w:rsidRDefault="004106D5" w:rsidP="000C7A5D">
            <w:pPr>
              <w:spacing w:after="0" w:line="240" w:lineRule="auto"/>
              <w:rPr>
                <w:rFonts w:ascii="Arial" w:hAnsi="Arial" w:cs="Arial"/>
                <w:sz w:val="20"/>
                <w:szCs w:val="20"/>
              </w:rPr>
            </w:pPr>
            <w:r>
              <w:rPr>
                <w:rFonts w:ascii="Arial" w:hAnsi="Arial" w:cs="Arial"/>
                <w:sz w:val="20"/>
                <w:szCs w:val="20"/>
              </w:rPr>
              <w:t>Number of adolescents ages 12 through 17 who are reported by a parent/guardian to be bullied (NSCH)</w:t>
            </w:r>
          </w:p>
          <w:p w14:paraId="75130A95" w14:textId="77777777" w:rsidR="004106D5" w:rsidRPr="00531366" w:rsidRDefault="004106D5" w:rsidP="000C7A5D">
            <w:pPr>
              <w:spacing w:after="0" w:line="240" w:lineRule="auto"/>
              <w:rPr>
                <w:rFonts w:ascii="Arial" w:hAnsi="Arial" w:cs="Arial"/>
                <w:sz w:val="20"/>
                <w:szCs w:val="20"/>
              </w:rPr>
            </w:pPr>
            <w:r>
              <w:rPr>
                <w:rFonts w:ascii="Arial" w:hAnsi="Arial" w:cs="Arial"/>
                <w:sz w:val="20"/>
                <w:szCs w:val="20"/>
              </w:rPr>
              <w:t xml:space="preserve">Number of adolescents ages 12 through 17 who are </w:t>
            </w:r>
            <w:r>
              <w:rPr>
                <w:rFonts w:ascii="Arial" w:hAnsi="Arial" w:cs="Arial"/>
                <w:bCs/>
                <w:sz w:val="20"/>
                <w:szCs w:val="20"/>
              </w:rPr>
              <w:t xml:space="preserve">reported by a parent/guardian to bully others </w:t>
            </w:r>
            <w:r>
              <w:rPr>
                <w:rFonts w:ascii="Arial" w:hAnsi="Arial" w:cs="Arial"/>
                <w:sz w:val="20"/>
                <w:szCs w:val="20"/>
              </w:rPr>
              <w:t xml:space="preserve">(NSCH) </w:t>
            </w:r>
          </w:p>
        </w:tc>
      </w:tr>
      <w:tr w:rsidR="004106D5" w:rsidRPr="00515E1C" w14:paraId="3A70D6A3" w14:textId="77777777" w:rsidTr="000C7A5D">
        <w:tc>
          <w:tcPr>
            <w:tcW w:w="3618" w:type="dxa"/>
            <w:shd w:val="clear" w:color="auto" w:fill="auto"/>
          </w:tcPr>
          <w:p w14:paraId="222CB5B3"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28435717" w14:textId="77777777" w:rsidR="004106D5" w:rsidRPr="00531366" w:rsidRDefault="004106D5" w:rsidP="000C7A5D">
            <w:pPr>
              <w:spacing w:after="0" w:line="240" w:lineRule="auto"/>
              <w:rPr>
                <w:rFonts w:ascii="Arial" w:hAnsi="Arial" w:cs="Arial"/>
                <w:sz w:val="20"/>
                <w:szCs w:val="20"/>
              </w:rPr>
            </w:pPr>
          </w:p>
        </w:tc>
      </w:tr>
      <w:tr w:rsidR="004106D5" w:rsidRPr="00515E1C" w14:paraId="3C5592C4" w14:textId="77777777" w:rsidTr="000C7A5D">
        <w:tc>
          <w:tcPr>
            <w:tcW w:w="3618" w:type="dxa"/>
            <w:shd w:val="clear" w:color="auto" w:fill="auto"/>
          </w:tcPr>
          <w:p w14:paraId="15E6F76B"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58AE934B"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Denominator:</w:t>
            </w:r>
          </w:p>
        </w:tc>
      </w:tr>
      <w:tr w:rsidR="004106D5" w:rsidRPr="00515E1C" w14:paraId="584DF98C" w14:textId="77777777" w:rsidTr="000C7A5D">
        <w:tc>
          <w:tcPr>
            <w:tcW w:w="3618" w:type="dxa"/>
            <w:shd w:val="clear" w:color="auto" w:fill="auto"/>
          </w:tcPr>
          <w:p w14:paraId="39EC3FF9"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375EF3F9" w14:textId="77777777" w:rsidR="004106D5" w:rsidRDefault="004106D5" w:rsidP="000C7A5D">
            <w:pPr>
              <w:spacing w:after="0" w:line="240" w:lineRule="auto"/>
              <w:rPr>
                <w:rFonts w:ascii="Arial" w:hAnsi="Arial" w:cs="Arial"/>
                <w:noProof/>
                <w:sz w:val="20"/>
                <w:szCs w:val="20"/>
              </w:rPr>
            </w:pPr>
            <w:r>
              <w:rPr>
                <w:rFonts w:ascii="Arial" w:hAnsi="Arial" w:cs="Arial"/>
                <w:noProof/>
                <w:sz w:val="20"/>
                <w:szCs w:val="20"/>
              </w:rPr>
              <w:t>Number of adolescents in grades 9 through 12 (YRBSS)</w:t>
            </w:r>
          </w:p>
          <w:p w14:paraId="50C259FE" w14:textId="77777777" w:rsidR="004106D5" w:rsidRDefault="004106D5" w:rsidP="000C7A5D">
            <w:pPr>
              <w:spacing w:after="0" w:line="240" w:lineRule="auto"/>
              <w:rPr>
                <w:rFonts w:ascii="Arial" w:hAnsi="Arial" w:cs="Arial"/>
                <w:noProof/>
                <w:sz w:val="20"/>
                <w:szCs w:val="20"/>
              </w:rPr>
            </w:pPr>
            <w:r>
              <w:rPr>
                <w:rFonts w:ascii="Arial" w:hAnsi="Arial" w:cs="Arial"/>
                <w:noProof/>
                <w:sz w:val="20"/>
                <w:szCs w:val="20"/>
              </w:rPr>
              <w:t xml:space="preserve">Number of adolescents ages 12 </w:t>
            </w:r>
            <w:r w:rsidRPr="00CD5282">
              <w:rPr>
                <w:rFonts w:ascii="Arial" w:eastAsia="Times New Roman" w:hAnsi="Arial" w:cs="Arial"/>
                <w:sz w:val="20"/>
                <w:szCs w:val="20"/>
              </w:rPr>
              <w:t>through</w:t>
            </w:r>
            <w:r>
              <w:rPr>
                <w:rFonts w:ascii="Arial" w:eastAsia="Times New Roman" w:hAnsi="Arial" w:cs="Arial"/>
                <w:sz w:val="24"/>
                <w:szCs w:val="24"/>
              </w:rPr>
              <w:t xml:space="preserve"> </w:t>
            </w:r>
            <w:r w:rsidRPr="00531366">
              <w:rPr>
                <w:rFonts w:ascii="Arial" w:hAnsi="Arial" w:cs="Arial"/>
                <w:noProof/>
                <w:sz w:val="20"/>
                <w:szCs w:val="20"/>
              </w:rPr>
              <w:t xml:space="preserve">17 </w:t>
            </w:r>
            <w:r>
              <w:rPr>
                <w:rFonts w:ascii="Arial" w:hAnsi="Arial" w:cs="Arial"/>
                <w:noProof/>
                <w:sz w:val="20"/>
                <w:szCs w:val="20"/>
              </w:rPr>
              <w:t xml:space="preserve"> (NSCH) </w:t>
            </w:r>
          </w:p>
          <w:p w14:paraId="4B034A80" w14:textId="77777777" w:rsidR="004106D5" w:rsidRPr="00531366" w:rsidRDefault="004106D5" w:rsidP="000C7A5D">
            <w:pPr>
              <w:spacing w:after="0" w:line="240" w:lineRule="auto"/>
              <w:rPr>
                <w:rFonts w:ascii="Arial" w:hAnsi="Arial" w:cs="Arial"/>
                <w:sz w:val="20"/>
                <w:szCs w:val="20"/>
              </w:rPr>
            </w:pPr>
          </w:p>
        </w:tc>
      </w:tr>
      <w:tr w:rsidR="004106D5" w:rsidRPr="00515E1C" w14:paraId="45FF6076" w14:textId="77777777" w:rsidTr="000C7A5D">
        <w:tc>
          <w:tcPr>
            <w:tcW w:w="3618" w:type="dxa"/>
            <w:shd w:val="clear" w:color="auto" w:fill="auto"/>
          </w:tcPr>
          <w:p w14:paraId="426B6306"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2CC2BDFD" w14:textId="77777777" w:rsidR="004106D5" w:rsidRPr="00531366" w:rsidRDefault="004106D5" w:rsidP="000C7A5D">
            <w:pPr>
              <w:spacing w:after="0" w:line="240" w:lineRule="auto"/>
              <w:rPr>
                <w:rFonts w:ascii="Arial" w:hAnsi="Arial" w:cs="Arial"/>
                <w:sz w:val="20"/>
                <w:szCs w:val="20"/>
              </w:rPr>
            </w:pPr>
          </w:p>
        </w:tc>
      </w:tr>
      <w:tr w:rsidR="004106D5" w:rsidRPr="00515E1C" w14:paraId="43963ECE" w14:textId="77777777" w:rsidTr="000C7A5D">
        <w:tc>
          <w:tcPr>
            <w:tcW w:w="3618" w:type="dxa"/>
            <w:shd w:val="clear" w:color="auto" w:fill="auto"/>
          </w:tcPr>
          <w:p w14:paraId="712468A1" w14:textId="77777777" w:rsidR="004106D5" w:rsidRPr="00531366" w:rsidRDefault="004106D5" w:rsidP="000C7A5D">
            <w:pPr>
              <w:spacing w:after="0" w:line="240" w:lineRule="auto"/>
              <w:rPr>
                <w:rFonts w:ascii="Arial" w:hAnsi="Arial" w:cs="Arial"/>
                <w:b/>
                <w:sz w:val="20"/>
                <w:szCs w:val="20"/>
              </w:rPr>
            </w:pPr>
          </w:p>
        </w:tc>
        <w:tc>
          <w:tcPr>
            <w:tcW w:w="3384" w:type="dxa"/>
            <w:shd w:val="clear" w:color="auto" w:fill="auto"/>
          </w:tcPr>
          <w:p w14:paraId="1CCED98F"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b/>
                <w:sz w:val="20"/>
                <w:szCs w:val="20"/>
              </w:rPr>
              <w:t>Units:</w:t>
            </w:r>
            <w:r w:rsidRPr="00531366">
              <w:rPr>
                <w:rFonts w:ascii="Arial" w:hAnsi="Arial" w:cs="Arial"/>
                <w:sz w:val="20"/>
                <w:szCs w:val="20"/>
              </w:rPr>
              <w:t xml:space="preserve"> </w:t>
            </w:r>
            <w:r w:rsidRPr="00531366">
              <w:rPr>
                <w:rFonts w:ascii="Arial" w:hAnsi="Arial" w:cs="Arial"/>
                <w:noProof/>
                <w:sz w:val="20"/>
                <w:szCs w:val="20"/>
              </w:rPr>
              <w:t>100</w:t>
            </w:r>
          </w:p>
        </w:tc>
        <w:tc>
          <w:tcPr>
            <w:tcW w:w="2556" w:type="dxa"/>
            <w:shd w:val="clear" w:color="auto" w:fill="auto"/>
          </w:tcPr>
          <w:p w14:paraId="467CFA2C"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b/>
                <w:sz w:val="20"/>
                <w:szCs w:val="20"/>
              </w:rPr>
              <w:t>Text:</w:t>
            </w:r>
            <w:r w:rsidRPr="00531366">
              <w:rPr>
                <w:rFonts w:ascii="Arial" w:hAnsi="Arial" w:cs="Arial"/>
                <w:sz w:val="20"/>
                <w:szCs w:val="20"/>
              </w:rPr>
              <w:t xml:space="preserve"> </w:t>
            </w:r>
            <w:r w:rsidRPr="00531366">
              <w:rPr>
                <w:rFonts w:ascii="Arial" w:hAnsi="Arial" w:cs="Arial"/>
                <w:noProof/>
                <w:sz w:val="20"/>
                <w:szCs w:val="20"/>
              </w:rPr>
              <w:t>Percent</w:t>
            </w:r>
          </w:p>
        </w:tc>
      </w:tr>
      <w:tr w:rsidR="004106D5" w:rsidRPr="00515E1C" w14:paraId="7B096948" w14:textId="77777777" w:rsidTr="000C7A5D">
        <w:tc>
          <w:tcPr>
            <w:tcW w:w="3618" w:type="dxa"/>
            <w:shd w:val="clear" w:color="auto" w:fill="auto"/>
          </w:tcPr>
          <w:p w14:paraId="75F42FFC"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33E1DDDE" w14:textId="77777777" w:rsidR="004106D5" w:rsidRPr="00531366" w:rsidRDefault="004106D5" w:rsidP="000C7A5D">
            <w:pPr>
              <w:spacing w:after="0" w:line="240" w:lineRule="auto"/>
              <w:rPr>
                <w:rFonts w:ascii="Arial" w:hAnsi="Arial" w:cs="Arial"/>
                <w:sz w:val="20"/>
                <w:szCs w:val="20"/>
              </w:rPr>
            </w:pPr>
          </w:p>
        </w:tc>
      </w:tr>
      <w:tr w:rsidR="004106D5" w:rsidRPr="00515E1C" w14:paraId="0D6A2DA7" w14:textId="77777777" w:rsidTr="000C7A5D">
        <w:tc>
          <w:tcPr>
            <w:tcW w:w="3618" w:type="dxa"/>
            <w:shd w:val="clear" w:color="auto" w:fill="auto"/>
          </w:tcPr>
          <w:p w14:paraId="3318F4FB"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HEALTHY PEOPLE 2020 OBJECTIVE</w:t>
            </w:r>
          </w:p>
        </w:tc>
        <w:tc>
          <w:tcPr>
            <w:tcW w:w="5940" w:type="dxa"/>
            <w:gridSpan w:val="2"/>
            <w:shd w:val="clear" w:color="auto" w:fill="auto"/>
          </w:tcPr>
          <w:p w14:paraId="5F7B048B"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noProof/>
                <w:sz w:val="20"/>
                <w:szCs w:val="20"/>
              </w:rPr>
              <w:t>Related to Injury and Violence Prevention (IVP) Objective 35: Reduce bullying among adolescents. (Baseline:  19.9%,  Target: 17.9%)</w:t>
            </w:r>
          </w:p>
        </w:tc>
      </w:tr>
      <w:tr w:rsidR="004106D5" w:rsidRPr="00515E1C" w14:paraId="4AF865E6" w14:textId="77777777" w:rsidTr="000C7A5D">
        <w:tc>
          <w:tcPr>
            <w:tcW w:w="3618" w:type="dxa"/>
            <w:shd w:val="clear" w:color="auto" w:fill="auto"/>
          </w:tcPr>
          <w:p w14:paraId="3D661B63"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113575E4" w14:textId="77777777" w:rsidR="004106D5" w:rsidRPr="00531366" w:rsidRDefault="004106D5" w:rsidP="000C7A5D">
            <w:pPr>
              <w:spacing w:after="0" w:line="240" w:lineRule="auto"/>
              <w:rPr>
                <w:rFonts w:ascii="Arial" w:hAnsi="Arial" w:cs="Arial"/>
                <w:sz w:val="20"/>
                <w:szCs w:val="20"/>
              </w:rPr>
            </w:pPr>
          </w:p>
        </w:tc>
      </w:tr>
      <w:tr w:rsidR="004106D5" w:rsidRPr="00515E1C" w14:paraId="6B7C87D9" w14:textId="77777777" w:rsidTr="000C7A5D">
        <w:tc>
          <w:tcPr>
            <w:tcW w:w="3618" w:type="dxa"/>
            <w:shd w:val="clear" w:color="auto" w:fill="auto"/>
          </w:tcPr>
          <w:p w14:paraId="3669F9A1"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DATA SOURCES and DATA ISSUES</w:t>
            </w:r>
          </w:p>
        </w:tc>
        <w:tc>
          <w:tcPr>
            <w:tcW w:w="5940" w:type="dxa"/>
            <w:gridSpan w:val="2"/>
            <w:shd w:val="clear" w:color="auto" w:fill="auto"/>
          </w:tcPr>
          <w:p w14:paraId="1A9A5D7F" w14:textId="77777777" w:rsidR="004106D5" w:rsidRDefault="004106D5" w:rsidP="000C7A5D">
            <w:pPr>
              <w:spacing w:after="0" w:line="240" w:lineRule="auto"/>
              <w:rPr>
                <w:rFonts w:ascii="Arial" w:hAnsi="Arial" w:cs="Arial"/>
                <w:noProof/>
                <w:sz w:val="20"/>
                <w:szCs w:val="20"/>
              </w:rPr>
            </w:pPr>
            <w:r w:rsidRPr="00531366">
              <w:rPr>
                <w:rFonts w:ascii="Arial" w:hAnsi="Arial" w:cs="Arial"/>
                <w:noProof/>
                <w:sz w:val="20"/>
                <w:szCs w:val="20"/>
              </w:rPr>
              <w:t xml:space="preserve">Youth Risk Behavior Surveillance System (YRBSS) </w:t>
            </w:r>
            <w:r>
              <w:rPr>
                <w:rFonts w:ascii="Arial" w:hAnsi="Arial" w:cs="Arial"/>
                <w:noProof/>
                <w:sz w:val="20"/>
                <w:szCs w:val="20"/>
              </w:rPr>
              <w:t xml:space="preserve"> </w:t>
            </w:r>
          </w:p>
          <w:p w14:paraId="2F0199F8"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noProof/>
                <w:sz w:val="20"/>
                <w:szCs w:val="20"/>
              </w:rPr>
              <w:t xml:space="preserve">National Survey of Children's Health (NSCH) </w:t>
            </w:r>
          </w:p>
        </w:tc>
      </w:tr>
      <w:tr w:rsidR="004106D5" w:rsidRPr="00515E1C" w14:paraId="3E31B31C" w14:textId="77777777" w:rsidTr="000C7A5D">
        <w:tc>
          <w:tcPr>
            <w:tcW w:w="3618" w:type="dxa"/>
            <w:shd w:val="clear" w:color="auto" w:fill="auto"/>
          </w:tcPr>
          <w:p w14:paraId="237477FC" w14:textId="77777777" w:rsidR="004106D5" w:rsidRDefault="004106D5" w:rsidP="000C7A5D">
            <w:pPr>
              <w:spacing w:after="0" w:line="240" w:lineRule="auto"/>
              <w:rPr>
                <w:rFonts w:ascii="Arial" w:hAnsi="Arial" w:cs="Arial"/>
                <w:b/>
                <w:sz w:val="20"/>
                <w:szCs w:val="20"/>
              </w:rPr>
            </w:pPr>
          </w:p>
          <w:p w14:paraId="462BC49B" w14:textId="77777777" w:rsidR="004106D5" w:rsidRDefault="004106D5" w:rsidP="000C7A5D">
            <w:pPr>
              <w:spacing w:after="0" w:line="240" w:lineRule="auto"/>
              <w:rPr>
                <w:rFonts w:ascii="Arial" w:hAnsi="Arial" w:cs="Arial"/>
                <w:b/>
                <w:sz w:val="20"/>
                <w:szCs w:val="20"/>
              </w:rPr>
            </w:pPr>
            <w:r>
              <w:rPr>
                <w:rFonts w:ascii="Arial" w:hAnsi="Arial" w:cs="Arial"/>
                <w:b/>
                <w:sz w:val="20"/>
                <w:szCs w:val="20"/>
              </w:rPr>
              <w:t>MCH POPULATION DOMAIN</w:t>
            </w:r>
          </w:p>
          <w:p w14:paraId="182241C8"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75425677" w14:textId="77777777" w:rsidR="004106D5" w:rsidRDefault="004106D5" w:rsidP="000C7A5D">
            <w:pPr>
              <w:spacing w:after="0" w:line="240" w:lineRule="auto"/>
              <w:rPr>
                <w:rFonts w:ascii="Arial" w:hAnsi="Arial" w:cs="Arial"/>
                <w:sz w:val="20"/>
                <w:szCs w:val="20"/>
              </w:rPr>
            </w:pPr>
          </w:p>
          <w:p w14:paraId="0CFC1802" w14:textId="77777777" w:rsidR="004106D5" w:rsidRPr="00531366" w:rsidRDefault="004106D5" w:rsidP="000C7A5D">
            <w:pPr>
              <w:spacing w:after="0" w:line="240" w:lineRule="auto"/>
              <w:rPr>
                <w:rFonts w:ascii="Arial" w:hAnsi="Arial" w:cs="Arial"/>
                <w:sz w:val="20"/>
                <w:szCs w:val="20"/>
              </w:rPr>
            </w:pPr>
            <w:r>
              <w:rPr>
                <w:rFonts w:ascii="Arial" w:hAnsi="Arial" w:cs="Arial"/>
                <w:sz w:val="20"/>
                <w:szCs w:val="20"/>
              </w:rPr>
              <w:t>Adolescent Health</w:t>
            </w:r>
          </w:p>
        </w:tc>
      </w:tr>
      <w:tr w:rsidR="004106D5" w:rsidRPr="00515E1C" w14:paraId="25CF6810" w14:textId="77777777" w:rsidTr="000C7A5D">
        <w:tc>
          <w:tcPr>
            <w:tcW w:w="3618" w:type="dxa"/>
            <w:shd w:val="clear" w:color="auto" w:fill="auto"/>
          </w:tcPr>
          <w:p w14:paraId="13B0FD5C"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SIGNIFICANCE</w:t>
            </w:r>
          </w:p>
        </w:tc>
        <w:tc>
          <w:tcPr>
            <w:tcW w:w="5940" w:type="dxa"/>
            <w:gridSpan w:val="2"/>
            <w:shd w:val="clear" w:color="auto" w:fill="auto"/>
          </w:tcPr>
          <w:p w14:paraId="07F47124" w14:textId="77777777" w:rsidR="004106D5" w:rsidRDefault="004106D5" w:rsidP="000C7A5D">
            <w:pPr>
              <w:spacing w:after="0" w:line="240" w:lineRule="auto"/>
              <w:rPr>
                <w:rFonts w:ascii="Arial" w:hAnsi="Arial" w:cs="Arial"/>
                <w:noProof/>
                <w:sz w:val="20"/>
                <w:szCs w:val="20"/>
              </w:rPr>
            </w:pPr>
            <w:r w:rsidRPr="00531366">
              <w:rPr>
                <w:rFonts w:ascii="Arial" w:hAnsi="Arial" w:cs="Arial"/>
                <w:noProof/>
                <w:sz w:val="20"/>
                <w:szCs w:val="20"/>
              </w:rPr>
              <w:t xml:space="preserve">Bullying, particularly among school-age children, is a major public health problem.  </w:t>
            </w:r>
            <w:r>
              <w:rPr>
                <w:rFonts w:ascii="Arial" w:hAnsi="Arial" w:cs="Arial"/>
                <w:noProof/>
                <w:sz w:val="20"/>
                <w:szCs w:val="20"/>
              </w:rPr>
              <w:t>E</w:t>
            </w:r>
            <w:r w:rsidRPr="00531366">
              <w:rPr>
                <w:rFonts w:ascii="Arial" w:hAnsi="Arial" w:cs="Arial"/>
                <w:noProof/>
                <w:sz w:val="20"/>
                <w:szCs w:val="20"/>
              </w:rPr>
              <w:t xml:space="preserve">stimates suggest nearly 30% of American adolescents reported at least moderate bullying experiences as the bully, the victim, or both.  </w:t>
            </w:r>
            <w:r>
              <w:rPr>
                <w:rFonts w:ascii="Arial" w:hAnsi="Arial" w:cs="Arial"/>
                <w:noProof/>
                <w:sz w:val="20"/>
                <w:szCs w:val="20"/>
              </w:rPr>
              <w:t>B</w:t>
            </w:r>
            <w:r w:rsidRPr="00531366">
              <w:rPr>
                <w:rFonts w:ascii="Arial" w:hAnsi="Arial" w:cs="Arial"/>
                <w:noProof/>
                <w:sz w:val="20"/>
                <w:szCs w:val="20"/>
              </w:rPr>
              <w:t xml:space="preserve">ullying experiences are associated with a number of behavioral, emotional, and physical adjustment problems.  Adolescents who bully others tend to exhibit other defiant and delinquent behaviors, have poor school performance, be more likely to drop-out of school, and are more likely to bring weapons to school.  Victims of bullying tend to report feelings of depression, anxiety, low self-esteem, and isolation; poor school performance; suicidal ideation; and suicide attempts.  </w:t>
            </w:r>
            <w:r>
              <w:rPr>
                <w:rFonts w:ascii="Arial" w:hAnsi="Arial" w:cs="Arial"/>
                <w:noProof/>
                <w:sz w:val="20"/>
                <w:szCs w:val="20"/>
              </w:rPr>
              <w:t>B</w:t>
            </w:r>
            <w:r w:rsidRPr="00531366">
              <w:rPr>
                <w:rFonts w:ascii="Arial" w:hAnsi="Arial" w:cs="Arial"/>
                <w:noProof/>
                <w:sz w:val="20"/>
                <w:szCs w:val="20"/>
              </w:rPr>
              <w:t xml:space="preserve">ullying </w:t>
            </w:r>
            <w:r>
              <w:rPr>
                <w:rFonts w:ascii="Arial" w:hAnsi="Arial" w:cs="Arial"/>
                <w:noProof/>
                <w:sz w:val="20"/>
                <w:szCs w:val="20"/>
              </w:rPr>
              <w:t xml:space="preserve">victims </w:t>
            </w:r>
            <w:r w:rsidRPr="00531366">
              <w:rPr>
                <w:rFonts w:ascii="Arial" w:hAnsi="Arial" w:cs="Arial"/>
                <w:noProof/>
                <w:sz w:val="20"/>
                <w:szCs w:val="20"/>
              </w:rPr>
              <w:t>who also perpetrate bullying (i.e., bully-victims) may exhibit the poorest functioning, in comparison with either victims or bullies. Emotional and behavioral problems experienced by victims, bullies, and bully-victims may continue into adulthood and produce long-term negative outcomes, including low self-esteem and self-worth, depression, antisocial behavior, vandalism, drug use and abuse, criminal behavior, gang membership, and suicidal ideation.</w:t>
            </w:r>
          </w:p>
          <w:p w14:paraId="47A526D4" w14:textId="77777777" w:rsidR="004106D5" w:rsidRPr="00531366" w:rsidRDefault="000A3835" w:rsidP="000C7A5D">
            <w:pPr>
              <w:spacing w:after="0" w:line="240" w:lineRule="auto"/>
              <w:rPr>
                <w:rFonts w:ascii="Arial" w:hAnsi="Arial" w:cs="Arial"/>
                <w:sz w:val="20"/>
                <w:szCs w:val="20"/>
              </w:rPr>
            </w:pPr>
            <w:hyperlink r:id="rId134" w:history="1">
              <w:r w:rsidR="004106D5" w:rsidRPr="0000075C">
                <w:rPr>
                  <w:rStyle w:val="Hyperlink"/>
                  <w:rFonts w:ascii="Arial" w:hAnsi="Arial" w:cs="Arial"/>
                  <w:noProof/>
                  <w:sz w:val="20"/>
                  <w:szCs w:val="20"/>
                </w:rPr>
                <w:t>www.stopbullying.gov</w:t>
              </w:r>
            </w:hyperlink>
            <w:r w:rsidR="004106D5">
              <w:rPr>
                <w:rFonts w:ascii="Arial" w:hAnsi="Arial" w:cs="Arial"/>
                <w:noProof/>
                <w:sz w:val="20"/>
                <w:szCs w:val="20"/>
              </w:rPr>
              <w:t xml:space="preserve"> </w:t>
            </w:r>
          </w:p>
        </w:tc>
      </w:tr>
      <w:tr w:rsidR="004106D5" w:rsidRPr="00515E1C" w14:paraId="49B266E6" w14:textId="77777777" w:rsidTr="000C7A5D">
        <w:tc>
          <w:tcPr>
            <w:tcW w:w="3618" w:type="dxa"/>
            <w:shd w:val="clear" w:color="auto" w:fill="auto"/>
          </w:tcPr>
          <w:p w14:paraId="20D7E782" w14:textId="77777777" w:rsidR="004106D5" w:rsidRPr="00531366" w:rsidRDefault="004106D5" w:rsidP="000C7A5D">
            <w:pPr>
              <w:spacing w:after="0" w:line="240" w:lineRule="auto"/>
              <w:rPr>
                <w:rFonts w:ascii="Arial" w:hAnsi="Arial" w:cs="Arial"/>
                <w:sz w:val="20"/>
                <w:szCs w:val="20"/>
              </w:rPr>
            </w:pPr>
          </w:p>
        </w:tc>
        <w:tc>
          <w:tcPr>
            <w:tcW w:w="5940" w:type="dxa"/>
            <w:gridSpan w:val="2"/>
            <w:shd w:val="clear" w:color="auto" w:fill="auto"/>
          </w:tcPr>
          <w:p w14:paraId="15D93AD3" w14:textId="77777777" w:rsidR="004106D5" w:rsidRPr="00531366" w:rsidRDefault="004106D5" w:rsidP="000C7A5D">
            <w:pPr>
              <w:spacing w:after="0" w:line="240" w:lineRule="auto"/>
              <w:rPr>
                <w:rFonts w:ascii="Arial" w:hAnsi="Arial" w:cs="Arial"/>
                <w:sz w:val="20"/>
                <w:szCs w:val="20"/>
              </w:rPr>
            </w:pPr>
          </w:p>
        </w:tc>
      </w:tr>
    </w:tbl>
    <w:p w14:paraId="5C2272E0" w14:textId="77777777" w:rsidR="004106D5" w:rsidRDefault="004106D5" w:rsidP="004106D5">
      <w:pPr>
        <w:spacing w:after="0" w:line="240" w:lineRule="auto"/>
        <w:sectPr w:rsidR="004106D5" w:rsidSect="008A00F6">
          <w:pgSz w:w="12240" w:h="15840"/>
          <w:pgMar w:top="1440" w:right="1440" w:bottom="1440" w:left="1440" w:header="720" w:footer="720" w:gutter="0"/>
          <w:cols w:space="720"/>
          <w:docGrid w:linePitch="360"/>
        </w:sectPr>
      </w:pPr>
    </w:p>
    <w:tbl>
      <w:tblPr>
        <w:tblW w:w="0" w:type="auto"/>
        <w:tblLook w:val="04A0" w:firstRow="1" w:lastRow="0" w:firstColumn="1" w:lastColumn="0" w:noHBand="0" w:noVBand="1"/>
      </w:tblPr>
      <w:tblGrid>
        <w:gridCol w:w="3618"/>
        <w:gridCol w:w="5868"/>
      </w:tblGrid>
      <w:tr w:rsidR="004106D5" w:rsidRPr="003F48A1" w14:paraId="3320754B" w14:textId="77777777" w:rsidTr="000C7A5D">
        <w:tc>
          <w:tcPr>
            <w:tcW w:w="3618" w:type="dxa"/>
            <w:shd w:val="clear" w:color="auto" w:fill="auto"/>
          </w:tcPr>
          <w:p w14:paraId="309DD5BD" w14:textId="77777777" w:rsidR="004106D5" w:rsidRPr="00531366" w:rsidRDefault="004106D5" w:rsidP="000C7A5D">
            <w:pPr>
              <w:spacing w:after="0" w:line="240" w:lineRule="auto"/>
              <w:rPr>
                <w:rFonts w:ascii="Arial" w:hAnsi="Arial" w:cs="Arial"/>
                <w:b/>
                <w:sz w:val="24"/>
                <w:szCs w:val="24"/>
              </w:rPr>
            </w:pPr>
            <w:r w:rsidRPr="00531366">
              <w:rPr>
                <w:rFonts w:ascii="Arial" w:hAnsi="Arial" w:cs="Arial"/>
                <w:b/>
                <w:sz w:val="24"/>
                <w:szCs w:val="24"/>
              </w:rPr>
              <w:t xml:space="preserve">PERFORMANCE MEASURE </w:t>
            </w:r>
            <w:r>
              <w:rPr>
                <w:rFonts w:ascii="Arial" w:hAnsi="Arial" w:cs="Arial"/>
                <w:b/>
                <w:noProof/>
                <w:sz w:val="24"/>
                <w:szCs w:val="24"/>
              </w:rPr>
              <w:t>10</w:t>
            </w:r>
          </w:p>
        </w:tc>
        <w:tc>
          <w:tcPr>
            <w:tcW w:w="5868" w:type="dxa"/>
            <w:shd w:val="clear" w:color="auto" w:fill="auto"/>
          </w:tcPr>
          <w:p w14:paraId="321D8FC0" w14:textId="77777777" w:rsidR="004106D5" w:rsidRPr="00B323B4" w:rsidRDefault="004106D5" w:rsidP="000C7A5D">
            <w:pPr>
              <w:spacing w:after="0" w:line="240" w:lineRule="auto"/>
              <w:rPr>
                <w:rFonts w:ascii="Arial" w:hAnsi="Arial" w:cs="Arial"/>
                <w:b/>
                <w:sz w:val="24"/>
                <w:szCs w:val="24"/>
              </w:rPr>
            </w:pPr>
            <w:r w:rsidRPr="00B323B4">
              <w:rPr>
                <w:rFonts w:ascii="Arial" w:hAnsi="Arial" w:cs="Arial"/>
                <w:b/>
                <w:noProof/>
                <w:sz w:val="24"/>
                <w:szCs w:val="24"/>
              </w:rPr>
              <w:t xml:space="preserve">Percent of adolescents, </w:t>
            </w:r>
            <w:r w:rsidRPr="003773E6">
              <w:rPr>
                <w:rFonts w:ascii="Arial" w:hAnsi="Arial" w:cs="Arial"/>
                <w:b/>
                <w:noProof/>
                <w:sz w:val="24"/>
                <w:szCs w:val="24"/>
              </w:rPr>
              <w:t xml:space="preserve">ages 12 </w:t>
            </w:r>
            <w:r w:rsidRPr="003773E6">
              <w:rPr>
                <w:rFonts w:ascii="Arial" w:eastAsia="Times New Roman" w:hAnsi="Arial" w:cs="Arial"/>
                <w:b/>
                <w:sz w:val="24"/>
                <w:szCs w:val="24"/>
              </w:rPr>
              <w:t xml:space="preserve">through </w:t>
            </w:r>
            <w:r w:rsidRPr="003773E6">
              <w:rPr>
                <w:rFonts w:ascii="Arial" w:hAnsi="Arial" w:cs="Arial"/>
                <w:b/>
                <w:noProof/>
                <w:sz w:val="24"/>
                <w:szCs w:val="24"/>
              </w:rPr>
              <w:t>17,</w:t>
            </w:r>
            <w:r w:rsidRPr="00B323B4">
              <w:rPr>
                <w:rFonts w:ascii="Arial" w:hAnsi="Arial" w:cs="Arial"/>
                <w:b/>
                <w:noProof/>
                <w:sz w:val="24"/>
                <w:szCs w:val="24"/>
              </w:rPr>
              <w:t xml:space="preserve"> with a preventive </w:t>
            </w:r>
            <w:r>
              <w:rPr>
                <w:rFonts w:ascii="Arial" w:hAnsi="Arial" w:cs="Arial"/>
                <w:b/>
                <w:noProof/>
                <w:sz w:val="24"/>
                <w:szCs w:val="24"/>
              </w:rPr>
              <w:t>medical</w:t>
            </w:r>
            <w:r w:rsidRPr="00B323B4">
              <w:rPr>
                <w:rFonts w:ascii="Arial" w:hAnsi="Arial" w:cs="Arial"/>
                <w:b/>
                <w:noProof/>
                <w:sz w:val="24"/>
                <w:szCs w:val="24"/>
              </w:rPr>
              <w:t xml:space="preserve"> visit in the </w:t>
            </w:r>
            <w:r>
              <w:rPr>
                <w:rFonts w:ascii="Arial" w:hAnsi="Arial" w:cs="Arial"/>
                <w:b/>
                <w:noProof/>
                <w:sz w:val="24"/>
                <w:szCs w:val="24"/>
              </w:rPr>
              <w:t>p</w:t>
            </w:r>
            <w:r w:rsidRPr="00B323B4">
              <w:rPr>
                <w:rFonts w:ascii="Arial" w:hAnsi="Arial" w:cs="Arial"/>
                <w:b/>
                <w:noProof/>
                <w:sz w:val="24"/>
                <w:szCs w:val="24"/>
              </w:rPr>
              <w:t>ast year</w:t>
            </w:r>
          </w:p>
        </w:tc>
      </w:tr>
    </w:tbl>
    <w:p w14:paraId="7F408F17" w14:textId="77777777" w:rsidR="004106D5" w:rsidRDefault="004106D5" w:rsidP="004106D5">
      <w:pPr>
        <w:spacing w:after="0" w:line="240" w:lineRule="auto"/>
      </w:pPr>
    </w:p>
    <w:p w14:paraId="6ABE652E" w14:textId="77777777" w:rsidR="004106D5" w:rsidRDefault="004106D5" w:rsidP="004106D5">
      <w:pPr>
        <w:spacing w:after="0" w:line="240" w:lineRule="auto"/>
      </w:pPr>
      <w:r>
        <w:rPr>
          <w:noProof/>
        </w:rPr>
        <mc:AlternateContent>
          <mc:Choice Requires="wps">
            <w:drawing>
              <wp:anchor distT="4294967295" distB="4294967295" distL="114300" distR="114300" simplePos="0" relativeHeight="251797504" behindDoc="0" locked="0" layoutInCell="1" allowOverlap="1" wp14:anchorId="396BFAC4" wp14:editId="7E7FF17D">
                <wp:simplePos x="0" y="0"/>
                <wp:positionH relativeFrom="column">
                  <wp:posOffset>-60960</wp:posOffset>
                </wp:positionH>
                <wp:positionV relativeFrom="paragraph">
                  <wp:posOffset>31749</wp:posOffset>
                </wp:positionV>
                <wp:extent cx="6088380" cy="0"/>
                <wp:effectExtent l="0" t="0" r="2667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0F3478E" id="Straight Connector 7" o:spid="_x0000_s1026" style="position:absolute;z-index:251797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" strokecolor="windowText" strokeweight="1.75pt">
                <o:lock v:ext="edit" shapetype="f"/>
              </v:line>
            </w:pict>
          </mc:Fallback>
        </mc:AlternateContent>
      </w:r>
    </w:p>
    <w:tbl>
      <w:tblPr>
        <w:tblW w:w="0" w:type="auto"/>
        <w:tblLook w:val="04A0" w:firstRow="1" w:lastRow="0" w:firstColumn="1" w:lastColumn="0" w:noHBand="0" w:noVBand="1"/>
      </w:tblPr>
      <w:tblGrid>
        <w:gridCol w:w="3618"/>
        <w:gridCol w:w="3384"/>
        <w:gridCol w:w="2556"/>
      </w:tblGrid>
      <w:tr w:rsidR="004106D5" w:rsidRPr="00515E1C" w14:paraId="60293229" w14:textId="77777777" w:rsidTr="000C7A5D">
        <w:tc>
          <w:tcPr>
            <w:tcW w:w="3618" w:type="dxa"/>
            <w:shd w:val="clear" w:color="auto" w:fill="auto"/>
          </w:tcPr>
          <w:p w14:paraId="253C916B"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GOAL</w:t>
            </w:r>
          </w:p>
        </w:tc>
        <w:tc>
          <w:tcPr>
            <w:tcW w:w="5940" w:type="dxa"/>
            <w:gridSpan w:val="2"/>
            <w:shd w:val="clear" w:color="auto" w:fill="auto"/>
          </w:tcPr>
          <w:p w14:paraId="1FA38B71" w14:textId="57368483" w:rsidR="004106D5" w:rsidRPr="00531366" w:rsidRDefault="004106D5" w:rsidP="00326961">
            <w:pPr>
              <w:spacing w:after="0" w:line="240" w:lineRule="auto"/>
              <w:rPr>
                <w:rFonts w:ascii="Arial" w:hAnsi="Arial" w:cs="Arial"/>
                <w:sz w:val="20"/>
                <w:szCs w:val="20"/>
              </w:rPr>
            </w:pPr>
            <w:r w:rsidRPr="00531366">
              <w:rPr>
                <w:rFonts w:ascii="Arial" w:hAnsi="Arial" w:cs="Arial"/>
                <w:noProof/>
                <w:sz w:val="20"/>
                <w:szCs w:val="20"/>
              </w:rPr>
              <w:t xml:space="preserve">To increase the </w:t>
            </w:r>
            <w:r w:rsidR="00326961">
              <w:rPr>
                <w:rFonts w:ascii="Arial" w:hAnsi="Arial" w:cs="Arial"/>
                <w:noProof/>
                <w:sz w:val="20"/>
                <w:szCs w:val="20"/>
              </w:rPr>
              <w:t>percent</w:t>
            </w:r>
            <w:r w:rsidRPr="00531366">
              <w:rPr>
                <w:rFonts w:ascii="Arial" w:hAnsi="Arial" w:cs="Arial"/>
                <w:noProof/>
                <w:sz w:val="20"/>
                <w:szCs w:val="20"/>
              </w:rPr>
              <w:t xml:space="preserve"> of adolescents who have a preventive </w:t>
            </w:r>
            <w:r>
              <w:rPr>
                <w:rFonts w:ascii="Arial" w:hAnsi="Arial" w:cs="Arial"/>
                <w:noProof/>
                <w:sz w:val="20"/>
                <w:szCs w:val="20"/>
              </w:rPr>
              <w:t>medical</w:t>
            </w:r>
            <w:r w:rsidRPr="00531366">
              <w:rPr>
                <w:rFonts w:ascii="Arial" w:hAnsi="Arial" w:cs="Arial"/>
                <w:noProof/>
                <w:sz w:val="20"/>
                <w:szCs w:val="20"/>
              </w:rPr>
              <w:t xml:space="preserve"> visit.</w:t>
            </w:r>
          </w:p>
        </w:tc>
      </w:tr>
      <w:tr w:rsidR="004106D5" w:rsidRPr="00515E1C" w14:paraId="2B9EE841" w14:textId="77777777" w:rsidTr="000C7A5D">
        <w:tc>
          <w:tcPr>
            <w:tcW w:w="3618" w:type="dxa"/>
            <w:shd w:val="clear" w:color="auto" w:fill="auto"/>
          </w:tcPr>
          <w:p w14:paraId="27762D02"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7BA95E98" w14:textId="77777777" w:rsidR="004106D5" w:rsidRPr="00531366" w:rsidRDefault="004106D5" w:rsidP="000C7A5D">
            <w:pPr>
              <w:spacing w:after="0" w:line="240" w:lineRule="auto"/>
              <w:rPr>
                <w:rFonts w:ascii="Arial" w:hAnsi="Arial" w:cs="Arial"/>
                <w:sz w:val="20"/>
                <w:szCs w:val="20"/>
              </w:rPr>
            </w:pPr>
          </w:p>
        </w:tc>
      </w:tr>
      <w:tr w:rsidR="004106D5" w:rsidRPr="00515E1C" w14:paraId="12C37481" w14:textId="77777777" w:rsidTr="000C7A5D">
        <w:tc>
          <w:tcPr>
            <w:tcW w:w="3618" w:type="dxa"/>
            <w:shd w:val="clear" w:color="auto" w:fill="auto"/>
          </w:tcPr>
          <w:p w14:paraId="0A40C2FC"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DEFINITION</w:t>
            </w:r>
          </w:p>
        </w:tc>
        <w:tc>
          <w:tcPr>
            <w:tcW w:w="5940" w:type="dxa"/>
            <w:gridSpan w:val="2"/>
            <w:shd w:val="clear" w:color="auto" w:fill="auto"/>
          </w:tcPr>
          <w:p w14:paraId="7184E7F4"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Numerator:</w:t>
            </w:r>
          </w:p>
        </w:tc>
      </w:tr>
      <w:tr w:rsidR="004106D5" w:rsidRPr="00515E1C" w14:paraId="4AD71CD7" w14:textId="77777777" w:rsidTr="000C7A5D">
        <w:tc>
          <w:tcPr>
            <w:tcW w:w="3618" w:type="dxa"/>
            <w:shd w:val="clear" w:color="auto" w:fill="auto"/>
          </w:tcPr>
          <w:p w14:paraId="6F592BE3"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4AF5980E" w14:textId="77777777" w:rsidR="004106D5" w:rsidRPr="00531366" w:rsidRDefault="004106D5" w:rsidP="000C7A5D">
            <w:pPr>
              <w:spacing w:after="0" w:line="240" w:lineRule="auto"/>
              <w:rPr>
                <w:rFonts w:ascii="Arial" w:hAnsi="Arial" w:cs="Arial"/>
                <w:sz w:val="20"/>
                <w:szCs w:val="20"/>
              </w:rPr>
            </w:pPr>
            <w:r>
              <w:rPr>
                <w:rFonts w:ascii="Arial" w:hAnsi="Arial" w:cs="Arial"/>
                <w:noProof/>
                <w:sz w:val="20"/>
                <w:szCs w:val="20"/>
              </w:rPr>
              <w:t xml:space="preserve">Number of  adolescents, ages 12 </w:t>
            </w:r>
            <w:r w:rsidRPr="00CD5282">
              <w:rPr>
                <w:rFonts w:ascii="Arial" w:eastAsia="Times New Roman" w:hAnsi="Arial" w:cs="Arial"/>
                <w:sz w:val="20"/>
                <w:szCs w:val="20"/>
              </w:rPr>
              <w:t>through</w:t>
            </w:r>
            <w:r>
              <w:rPr>
                <w:rFonts w:ascii="Arial" w:eastAsia="Times New Roman" w:hAnsi="Arial" w:cs="Arial"/>
                <w:sz w:val="24"/>
                <w:szCs w:val="24"/>
              </w:rPr>
              <w:t xml:space="preserve"> </w:t>
            </w:r>
            <w:r w:rsidRPr="00531366">
              <w:rPr>
                <w:rFonts w:ascii="Arial" w:hAnsi="Arial" w:cs="Arial"/>
                <w:noProof/>
                <w:sz w:val="20"/>
                <w:szCs w:val="20"/>
              </w:rPr>
              <w:t xml:space="preserve">17, with a preventive </w:t>
            </w:r>
            <w:r>
              <w:rPr>
                <w:rFonts w:ascii="Arial" w:hAnsi="Arial" w:cs="Arial"/>
                <w:noProof/>
                <w:sz w:val="20"/>
                <w:szCs w:val="20"/>
              </w:rPr>
              <w:t>medical</w:t>
            </w:r>
            <w:r w:rsidRPr="00531366">
              <w:rPr>
                <w:rFonts w:ascii="Arial" w:hAnsi="Arial" w:cs="Arial"/>
                <w:noProof/>
                <w:sz w:val="20"/>
                <w:szCs w:val="20"/>
              </w:rPr>
              <w:t xml:space="preserve"> visit in the past year </w:t>
            </w:r>
          </w:p>
        </w:tc>
      </w:tr>
      <w:tr w:rsidR="004106D5" w:rsidRPr="00515E1C" w14:paraId="7736541B" w14:textId="77777777" w:rsidTr="000C7A5D">
        <w:tc>
          <w:tcPr>
            <w:tcW w:w="3618" w:type="dxa"/>
            <w:shd w:val="clear" w:color="auto" w:fill="auto"/>
          </w:tcPr>
          <w:p w14:paraId="397A3015"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1F937683" w14:textId="77777777" w:rsidR="004106D5" w:rsidRPr="00531366" w:rsidRDefault="004106D5" w:rsidP="000C7A5D">
            <w:pPr>
              <w:spacing w:after="0" w:line="240" w:lineRule="auto"/>
              <w:rPr>
                <w:rFonts w:ascii="Arial" w:hAnsi="Arial" w:cs="Arial"/>
                <w:sz w:val="20"/>
                <w:szCs w:val="20"/>
              </w:rPr>
            </w:pPr>
          </w:p>
        </w:tc>
      </w:tr>
      <w:tr w:rsidR="004106D5" w:rsidRPr="00515E1C" w14:paraId="139D8C4D" w14:textId="77777777" w:rsidTr="000C7A5D">
        <w:tc>
          <w:tcPr>
            <w:tcW w:w="3618" w:type="dxa"/>
            <w:shd w:val="clear" w:color="auto" w:fill="auto"/>
          </w:tcPr>
          <w:p w14:paraId="7A458BD0"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59119C14"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Denominator:</w:t>
            </w:r>
          </w:p>
        </w:tc>
      </w:tr>
      <w:tr w:rsidR="004106D5" w:rsidRPr="00515E1C" w14:paraId="7E1D0097" w14:textId="77777777" w:rsidTr="000C7A5D">
        <w:tc>
          <w:tcPr>
            <w:tcW w:w="3618" w:type="dxa"/>
            <w:shd w:val="clear" w:color="auto" w:fill="auto"/>
          </w:tcPr>
          <w:p w14:paraId="1E1C2211"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3853B394" w14:textId="77777777" w:rsidR="004106D5" w:rsidRPr="00531366" w:rsidRDefault="004106D5" w:rsidP="000C7A5D">
            <w:pPr>
              <w:spacing w:after="0" w:line="240" w:lineRule="auto"/>
              <w:rPr>
                <w:rFonts w:ascii="Arial" w:hAnsi="Arial" w:cs="Arial"/>
                <w:sz w:val="20"/>
                <w:szCs w:val="20"/>
              </w:rPr>
            </w:pPr>
            <w:r>
              <w:rPr>
                <w:rFonts w:ascii="Arial" w:hAnsi="Arial" w:cs="Arial"/>
                <w:noProof/>
                <w:sz w:val="20"/>
                <w:szCs w:val="20"/>
              </w:rPr>
              <w:t xml:space="preserve">Number of adolescents, ages 12 </w:t>
            </w:r>
            <w:r w:rsidRPr="00CD5282">
              <w:rPr>
                <w:rFonts w:ascii="Arial" w:eastAsia="Times New Roman" w:hAnsi="Arial" w:cs="Arial"/>
                <w:sz w:val="20"/>
                <w:szCs w:val="20"/>
              </w:rPr>
              <w:t>through</w:t>
            </w:r>
            <w:r>
              <w:rPr>
                <w:rFonts w:ascii="Arial" w:eastAsia="Times New Roman" w:hAnsi="Arial" w:cs="Arial"/>
                <w:sz w:val="24"/>
                <w:szCs w:val="24"/>
              </w:rPr>
              <w:t xml:space="preserve"> </w:t>
            </w:r>
            <w:r w:rsidRPr="00531366">
              <w:rPr>
                <w:rFonts w:ascii="Arial" w:hAnsi="Arial" w:cs="Arial"/>
                <w:noProof/>
                <w:sz w:val="20"/>
                <w:szCs w:val="20"/>
              </w:rPr>
              <w:t xml:space="preserve">17 </w:t>
            </w:r>
          </w:p>
        </w:tc>
      </w:tr>
      <w:tr w:rsidR="004106D5" w:rsidRPr="00515E1C" w14:paraId="652CE694" w14:textId="77777777" w:rsidTr="000C7A5D">
        <w:tc>
          <w:tcPr>
            <w:tcW w:w="3618" w:type="dxa"/>
            <w:shd w:val="clear" w:color="auto" w:fill="auto"/>
          </w:tcPr>
          <w:p w14:paraId="39AC9A2A"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2DA31A18" w14:textId="77777777" w:rsidR="004106D5" w:rsidRPr="00531366" w:rsidRDefault="004106D5" w:rsidP="000C7A5D">
            <w:pPr>
              <w:spacing w:after="0" w:line="240" w:lineRule="auto"/>
              <w:rPr>
                <w:rFonts w:ascii="Arial" w:hAnsi="Arial" w:cs="Arial"/>
                <w:sz w:val="20"/>
                <w:szCs w:val="20"/>
              </w:rPr>
            </w:pPr>
          </w:p>
        </w:tc>
      </w:tr>
      <w:tr w:rsidR="004106D5" w:rsidRPr="00515E1C" w14:paraId="3E472768" w14:textId="77777777" w:rsidTr="000C7A5D">
        <w:tc>
          <w:tcPr>
            <w:tcW w:w="3618" w:type="dxa"/>
            <w:shd w:val="clear" w:color="auto" w:fill="auto"/>
          </w:tcPr>
          <w:p w14:paraId="0696B022" w14:textId="77777777" w:rsidR="004106D5" w:rsidRPr="00531366" w:rsidRDefault="004106D5" w:rsidP="000C7A5D">
            <w:pPr>
              <w:spacing w:after="0" w:line="240" w:lineRule="auto"/>
              <w:rPr>
                <w:rFonts w:ascii="Arial" w:hAnsi="Arial" w:cs="Arial"/>
                <w:b/>
                <w:sz w:val="20"/>
                <w:szCs w:val="20"/>
              </w:rPr>
            </w:pPr>
          </w:p>
        </w:tc>
        <w:tc>
          <w:tcPr>
            <w:tcW w:w="3384" w:type="dxa"/>
            <w:shd w:val="clear" w:color="auto" w:fill="auto"/>
          </w:tcPr>
          <w:p w14:paraId="5DEFBF33"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b/>
                <w:sz w:val="20"/>
                <w:szCs w:val="20"/>
              </w:rPr>
              <w:t>Units:</w:t>
            </w:r>
            <w:r w:rsidRPr="00531366">
              <w:rPr>
                <w:rFonts w:ascii="Arial" w:hAnsi="Arial" w:cs="Arial"/>
                <w:sz w:val="20"/>
                <w:szCs w:val="20"/>
              </w:rPr>
              <w:t xml:space="preserve"> </w:t>
            </w:r>
            <w:r w:rsidRPr="00531366">
              <w:rPr>
                <w:rFonts w:ascii="Arial" w:hAnsi="Arial" w:cs="Arial"/>
                <w:noProof/>
                <w:sz w:val="20"/>
                <w:szCs w:val="20"/>
              </w:rPr>
              <w:t>100</w:t>
            </w:r>
          </w:p>
        </w:tc>
        <w:tc>
          <w:tcPr>
            <w:tcW w:w="2556" w:type="dxa"/>
            <w:shd w:val="clear" w:color="auto" w:fill="auto"/>
          </w:tcPr>
          <w:p w14:paraId="5186DFDE"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b/>
                <w:sz w:val="20"/>
                <w:szCs w:val="20"/>
              </w:rPr>
              <w:t>Text:</w:t>
            </w:r>
            <w:r w:rsidRPr="00531366">
              <w:rPr>
                <w:rFonts w:ascii="Arial" w:hAnsi="Arial" w:cs="Arial"/>
                <w:sz w:val="20"/>
                <w:szCs w:val="20"/>
              </w:rPr>
              <w:t xml:space="preserve"> </w:t>
            </w:r>
            <w:r w:rsidRPr="00531366">
              <w:rPr>
                <w:rFonts w:ascii="Arial" w:hAnsi="Arial" w:cs="Arial"/>
                <w:noProof/>
                <w:sz w:val="20"/>
                <w:szCs w:val="20"/>
              </w:rPr>
              <w:t>Percent</w:t>
            </w:r>
          </w:p>
        </w:tc>
      </w:tr>
      <w:tr w:rsidR="004106D5" w:rsidRPr="00515E1C" w14:paraId="1A4E4B10" w14:textId="77777777" w:rsidTr="000C7A5D">
        <w:tc>
          <w:tcPr>
            <w:tcW w:w="3618" w:type="dxa"/>
            <w:shd w:val="clear" w:color="auto" w:fill="auto"/>
          </w:tcPr>
          <w:p w14:paraId="4ABF9FDD"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3464CE62" w14:textId="77777777" w:rsidR="004106D5" w:rsidRPr="00531366" w:rsidRDefault="004106D5" w:rsidP="000C7A5D">
            <w:pPr>
              <w:spacing w:after="0" w:line="240" w:lineRule="auto"/>
              <w:rPr>
                <w:rFonts w:ascii="Arial" w:hAnsi="Arial" w:cs="Arial"/>
                <w:sz w:val="20"/>
                <w:szCs w:val="20"/>
              </w:rPr>
            </w:pPr>
          </w:p>
        </w:tc>
      </w:tr>
      <w:tr w:rsidR="004106D5" w:rsidRPr="00515E1C" w14:paraId="095329A9" w14:textId="77777777" w:rsidTr="000C7A5D">
        <w:tc>
          <w:tcPr>
            <w:tcW w:w="3618" w:type="dxa"/>
            <w:shd w:val="clear" w:color="auto" w:fill="auto"/>
          </w:tcPr>
          <w:p w14:paraId="48A266E6"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HEALTHY PEOPLE 2020 OBJECTIVE</w:t>
            </w:r>
          </w:p>
        </w:tc>
        <w:tc>
          <w:tcPr>
            <w:tcW w:w="5940" w:type="dxa"/>
            <w:gridSpan w:val="2"/>
            <w:shd w:val="clear" w:color="auto" w:fill="auto"/>
          </w:tcPr>
          <w:p w14:paraId="19526757"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noProof/>
                <w:sz w:val="20"/>
                <w:szCs w:val="20"/>
              </w:rPr>
              <w:t>Related to Adolescent Health (AH) Objective 1:  Increase the proportion of adolescents who have had a wellness checkup in the past 12 months.  (Baseline: 68.7%, Target: 75.6%)</w:t>
            </w:r>
          </w:p>
        </w:tc>
      </w:tr>
      <w:tr w:rsidR="004106D5" w:rsidRPr="00515E1C" w14:paraId="46AF0045" w14:textId="77777777" w:rsidTr="000C7A5D">
        <w:tc>
          <w:tcPr>
            <w:tcW w:w="3618" w:type="dxa"/>
            <w:shd w:val="clear" w:color="auto" w:fill="auto"/>
          </w:tcPr>
          <w:p w14:paraId="5671DC95"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69283610" w14:textId="77777777" w:rsidR="004106D5" w:rsidRPr="00531366" w:rsidRDefault="004106D5" w:rsidP="000C7A5D">
            <w:pPr>
              <w:spacing w:after="0" w:line="240" w:lineRule="auto"/>
              <w:rPr>
                <w:rFonts w:ascii="Arial" w:hAnsi="Arial" w:cs="Arial"/>
                <w:sz w:val="20"/>
                <w:szCs w:val="20"/>
              </w:rPr>
            </w:pPr>
          </w:p>
        </w:tc>
      </w:tr>
      <w:tr w:rsidR="004106D5" w:rsidRPr="00515E1C" w14:paraId="4D1FC58A" w14:textId="77777777" w:rsidTr="000C7A5D">
        <w:tc>
          <w:tcPr>
            <w:tcW w:w="3618" w:type="dxa"/>
            <w:shd w:val="clear" w:color="auto" w:fill="auto"/>
          </w:tcPr>
          <w:p w14:paraId="42AA2597"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DATA SOURCES and DATA ISSUES</w:t>
            </w:r>
          </w:p>
        </w:tc>
        <w:tc>
          <w:tcPr>
            <w:tcW w:w="5940" w:type="dxa"/>
            <w:gridSpan w:val="2"/>
            <w:shd w:val="clear" w:color="auto" w:fill="auto"/>
          </w:tcPr>
          <w:p w14:paraId="1470F97C"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noProof/>
                <w:sz w:val="20"/>
                <w:szCs w:val="20"/>
              </w:rPr>
              <w:t xml:space="preserve">National Survey of Children's Health (NSCH) </w:t>
            </w:r>
          </w:p>
        </w:tc>
      </w:tr>
      <w:tr w:rsidR="004106D5" w:rsidRPr="00515E1C" w14:paraId="1C7A3BC1" w14:textId="77777777" w:rsidTr="000C7A5D">
        <w:tc>
          <w:tcPr>
            <w:tcW w:w="3618" w:type="dxa"/>
            <w:shd w:val="clear" w:color="auto" w:fill="auto"/>
          </w:tcPr>
          <w:p w14:paraId="56EA2183" w14:textId="77777777" w:rsidR="004106D5" w:rsidRDefault="004106D5" w:rsidP="000C7A5D">
            <w:pPr>
              <w:spacing w:after="0" w:line="240" w:lineRule="auto"/>
              <w:rPr>
                <w:rFonts w:ascii="Arial" w:hAnsi="Arial" w:cs="Arial"/>
                <w:b/>
                <w:sz w:val="20"/>
                <w:szCs w:val="20"/>
              </w:rPr>
            </w:pPr>
          </w:p>
          <w:p w14:paraId="6F148B62" w14:textId="77777777" w:rsidR="004106D5" w:rsidRDefault="004106D5" w:rsidP="000C7A5D">
            <w:pPr>
              <w:spacing w:after="0" w:line="240" w:lineRule="auto"/>
              <w:rPr>
                <w:rFonts w:ascii="Arial" w:hAnsi="Arial" w:cs="Arial"/>
                <w:b/>
                <w:sz w:val="20"/>
                <w:szCs w:val="20"/>
              </w:rPr>
            </w:pPr>
            <w:r>
              <w:rPr>
                <w:rFonts w:ascii="Arial" w:hAnsi="Arial" w:cs="Arial"/>
                <w:b/>
                <w:sz w:val="20"/>
                <w:szCs w:val="20"/>
              </w:rPr>
              <w:t>MCH POPULATION DOMAIN</w:t>
            </w:r>
          </w:p>
          <w:p w14:paraId="023424EB"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2578F7A8" w14:textId="77777777" w:rsidR="004106D5" w:rsidRDefault="004106D5" w:rsidP="000C7A5D">
            <w:pPr>
              <w:spacing w:after="0" w:line="240" w:lineRule="auto"/>
              <w:rPr>
                <w:rFonts w:ascii="Arial" w:hAnsi="Arial" w:cs="Arial"/>
                <w:sz w:val="20"/>
                <w:szCs w:val="20"/>
              </w:rPr>
            </w:pPr>
          </w:p>
          <w:p w14:paraId="2CC1A8EC" w14:textId="77777777" w:rsidR="004106D5" w:rsidRPr="00531366" w:rsidRDefault="004106D5" w:rsidP="000C7A5D">
            <w:pPr>
              <w:spacing w:after="0" w:line="240" w:lineRule="auto"/>
              <w:rPr>
                <w:rFonts w:ascii="Arial" w:hAnsi="Arial" w:cs="Arial"/>
                <w:sz w:val="20"/>
                <w:szCs w:val="20"/>
              </w:rPr>
            </w:pPr>
            <w:r>
              <w:rPr>
                <w:rFonts w:ascii="Arial" w:hAnsi="Arial" w:cs="Arial"/>
                <w:sz w:val="20"/>
                <w:szCs w:val="20"/>
              </w:rPr>
              <w:t>Adolescent Health</w:t>
            </w:r>
          </w:p>
        </w:tc>
      </w:tr>
      <w:tr w:rsidR="004106D5" w:rsidRPr="00515E1C" w14:paraId="1DC36FDE" w14:textId="77777777" w:rsidTr="000C7A5D">
        <w:tc>
          <w:tcPr>
            <w:tcW w:w="3618" w:type="dxa"/>
            <w:shd w:val="clear" w:color="auto" w:fill="auto"/>
          </w:tcPr>
          <w:p w14:paraId="185322AC"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SIGNIFICANCE</w:t>
            </w:r>
          </w:p>
        </w:tc>
        <w:tc>
          <w:tcPr>
            <w:tcW w:w="5940" w:type="dxa"/>
            <w:gridSpan w:val="2"/>
            <w:shd w:val="clear" w:color="auto" w:fill="auto"/>
          </w:tcPr>
          <w:p w14:paraId="4865E5DE" w14:textId="77777777" w:rsidR="004106D5" w:rsidRDefault="004106D5" w:rsidP="000C7A5D">
            <w:pPr>
              <w:spacing w:after="160" w:line="259" w:lineRule="auto"/>
              <w:rPr>
                <w:rFonts w:ascii="Arial" w:hAnsi="Arial" w:cs="Arial"/>
                <w:noProof/>
                <w:sz w:val="20"/>
                <w:szCs w:val="20"/>
              </w:rPr>
            </w:pPr>
            <w:r w:rsidRPr="00531366">
              <w:rPr>
                <w:rFonts w:ascii="Arial" w:hAnsi="Arial" w:cs="Arial"/>
                <w:noProof/>
                <w:sz w:val="20"/>
                <w:szCs w:val="20"/>
              </w:rPr>
              <w:t>Adolescence is a period of major physical, psychological, and social development. As adolescents move from childhood to adulthood, they assume individual responsibility for health habits, and those who have chronic health problems take on a greater role in managing those conditions. Initiation of risky behaviors</w:t>
            </w:r>
            <w:r>
              <w:rPr>
                <w:rFonts w:ascii="Arial" w:hAnsi="Arial" w:cs="Arial"/>
                <w:noProof/>
                <w:sz w:val="20"/>
                <w:szCs w:val="20"/>
              </w:rPr>
              <w:t xml:space="preserve">, such as </w:t>
            </w:r>
            <w:r w:rsidRPr="00531366">
              <w:rPr>
                <w:rFonts w:ascii="Arial" w:hAnsi="Arial" w:cs="Arial"/>
                <w:noProof/>
                <w:sz w:val="20"/>
                <w:szCs w:val="20"/>
              </w:rPr>
              <w:t xml:space="preserve">unsafe sexual activity, unsafe driving, and </w:t>
            </w:r>
            <w:r>
              <w:rPr>
                <w:rFonts w:ascii="Arial" w:hAnsi="Arial" w:cs="Arial"/>
                <w:noProof/>
                <w:sz w:val="20"/>
                <w:szCs w:val="20"/>
              </w:rPr>
              <w:t>substance use</w:t>
            </w:r>
            <w:r w:rsidRPr="00531366">
              <w:rPr>
                <w:rFonts w:ascii="Arial" w:hAnsi="Arial" w:cs="Arial"/>
                <w:noProof/>
                <w:sz w:val="20"/>
                <w:szCs w:val="20"/>
              </w:rPr>
              <w:t xml:space="preserve">,  is a critical health issue during adolescence, as adolescents try on adult roles and behaviors. </w:t>
            </w:r>
            <w:r>
              <w:rPr>
                <w:rFonts w:ascii="Arial" w:hAnsi="Arial" w:cs="Arial"/>
                <w:noProof/>
                <w:sz w:val="20"/>
                <w:szCs w:val="20"/>
              </w:rPr>
              <w:t>An</w:t>
            </w:r>
            <w:r w:rsidRPr="00531366">
              <w:rPr>
                <w:rFonts w:ascii="Arial" w:hAnsi="Arial" w:cs="Arial"/>
                <w:noProof/>
                <w:sz w:val="20"/>
                <w:szCs w:val="20"/>
              </w:rPr>
              <w:t xml:space="preserve"> annual preventive well visit</w:t>
            </w:r>
            <w:r>
              <w:rPr>
                <w:rFonts w:ascii="Arial" w:hAnsi="Arial" w:cs="Arial"/>
                <w:noProof/>
                <w:sz w:val="20"/>
                <w:szCs w:val="20"/>
              </w:rPr>
              <w:t xml:space="preserve"> may</w:t>
            </w:r>
            <w:r w:rsidRPr="00531366">
              <w:rPr>
                <w:rFonts w:ascii="Arial" w:hAnsi="Arial" w:cs="Arial"/>
                <w:noProof/>
                <w:sz w:val="20"/>
                <w:szCs w:val="20"/>
              </w:rPr>
              <w:t xml:space="preserve"> help adolescents adopt or maintain healthy habits and behaviors, avoid health</w:t>
            </w:r>
            <w:r w:rsidRPr="00531366">
              <w:rPr>
                <w:rFonts w:ascii="Cambria Math" w:hAnsi="Cambria Math" w:cs="Cambria Math"/>
                <w:noProof/>
                <w:sz w:val="20"/>
                <w:szCs w:val="20"/>
              </w:rPr>
              <w:t>‐</w:t>
            </w:r>
            <w:r w:rsidRPr="00531366">
              <w:rPr>
                <w:rFonts w:ascii="Arial" w:hAnsi="Arial" w:cs="Arial"/>
                <w:noProof/>
                <w:sz w:val="20"/>
                <w:szCs w:val="20"/>
              </w:rPr>
              <w:t xml:space="preserve">damaging behaviors, manage chronic conditions, and prevent disease. The Bright Futures guidelines recommends that adolescents have an annual checkup </w:t>
            </w:r>
            <w:r>
              <w:rPr>
                <w:rFonts w:ascii="Arial" w:hAnsi="Arial" w:cs="Arial"/>
                <w:noProof/>
                <w:sz w:val="20"/>
                <w:szCs w:val="20"/>
              </w:rPr>
              <w:t>from age 11 through 21</w:t>
            </w:r>
            <w:r w:rsidRPr="00531366">
              <w:rPr>
                <w:rFonts w:ascii="Arial" w:hAnsi="Arial" w:cs="Arial"/>
                <w:noProof/>
                <w:sz w:val="20"/>
                <w:szCs w:val="20"/>
              </w:rPr>
              <w:t xml:space="preserve">. The visit should cover a comprehensive set of preventive services, such as a physical examination, </w:t>
            </w:r>
            <w:r>
              <w:rPr>
                <w:rFonts w:ascii="Arial" w:hAnsi="Arial" w:cs="Arial"/>
                <w:noProof/>
                <w:sz w:val="20"/>
                <w:szCs w:val="20"/>
              </w:rPr>
              <w:t xml:space="preserve">immunizations, and </w:t>
            </w:r>
            <w:r w:rsidRPr="00531366">
              <w:rPr>
                <w:rFonts w:ascii="Arial" w:hAnsi="Arial" w:cs="Arial"/>
                <w:noProof/>
                <w:sz w:val="20"/>
                <w:szCs w:val="20"/>
              </w:rPr>
              <w:t>discussion of health</w:t>
            </w:r>
            <w:r w:rsidRPr="00531366">
              <w:rPr>
                <w:rFonts w:ascii="Cambria Math" w:hAnsi="Cambria Math" w:cs="Cambria Math"/>
                <w:noProof/>
                <w:sz w:val="20"/>
                <w:szCs w:val="20"/>
              </w:rPr>
              <w:t>‐</w:t>
            </w:r>
            <w:r w:rsidRPr="00531366">
              <w:rPr>
                <w:rFonts w:ascii="Arial" w:hAnsi="Arial" w:cs="Arial"/>
                <w:noProof/>
                <w:sz w:val="20"/>
                <w:szCs w:val="20"/>
              </w:rPr>
              <w:t xml:space="preserve">related behaviors including healthy eating, physical activity, substance use, sexual behavior, violence, and motor vehicle safety.  </w:t>
            </w:r>
            <w:r>
              <w:rPr>
                <w:rFonts w:ascii="Arial" w:hAnsi="Arial" w:cs="Arial"/>
                <w:noProof/>
                <w:sz w:val="20"/>
                <w:szCs w:val="20"/>
              </w:rPr>
              <w:t>The adolescent well-care visit measure for health plans is part of the core measure sets for Medicaid and the National Committee for Quality Assurance.</w:t>
            </w:r>
          </w:p>
          <w:p w14:paraId="08305722" w14:textId="77777777" w:rsidR="004106D5" w:rsidRPr="002A0ACA" w:rsidRDefault="004106D5" w:rsidP="000C7A5D">
            <w:pPr>
              <w:spacing w:after="160" w:line="259" w:lineRule="auto"/>
              <w:rPr>
                <w:rFonts w:ascii="Arial" w:eastAsia="Times New Roman" w:hAnsi="Arial" w:cs="Arial"/>
                <w:sz w:val="18"/>
                <w:szCs w:val="18"/>
              </w:rPr>
            </w:pPr>
            <w:r w:rsidRPr="002A0ACA">
              <w:rPr>
                <w:rFonts w:ascii="Arial" w:eastAsia="Times New Roman" w:hAnsi="Arial" w:cs="Arial"/>
                <w:sz w:val="18"/>
                <w:szCs w:val="18"/>
              </w:rPr>
              <w:t xml:space="preserve">National Adolescent and Young Adult Health Information Center (2016). Summary of Recommended Guidelines for Clinical Preventive Services for Adolescents up to age 18. </w:t>
            </w:r>
            <w:hyperlink r:id="rId135" w:history="1">
              <w:r w:rsidRPr="002A0ACA">
                <w:rPr>
                  <w:rFonts w:ascii="Arial" w:eastAsia="Times New Roman" w:hAnsi="Arial" w:cs="Arial"/>
                  <w:color w:val="0000FF"/>
                  <w:sz w:val="18"/>
                  <w:szCs w:val="18"/>
                  <w:u w:val="single"/>
                </w:rPr>
                <w:t>http://nahic.ucsf.edu/adolescent-guidelines</w:t>
              </w:r>
            </w:hyperlink>
            <w:r w:rsidRPr="002A0ACA">
              <w:rPr>
                <w:rFonts w:ascii="Arial" w:eastAsia="Times New Roman" w:hAnsi="Arial" w:cs="Arial"/>
                <w:sz w:val="18"/>
                <w:szCs w:val="18"/>
              </w:rPr>
              <w:t xml:space="preserve"> </w:t>
            </w:r>
          </w:p>
          <w:p w14:paraId="418B72E4" w14:textId="77777777" w:rsidR="004106D5" w:rsidRPr="00531366" w:rsidRDefault="004106D5" w:rsidP="000C7A5D">
            <w:pPr>
              <w:spacing w:after="0" w:line="240" w:lineRule="auto"/>
              <w:rPr>
                <w:rFonts w:ascii="Arial" w:hAnsi="Arial" w:cs="Arial"/>
                <w:sz w:val="20"/>
                <w:szCs w:val="20"/>
              </w:rPr>
            </w:pPr>
          </w:p>
        </w:tc>
      </w:tr>
      <w:tr w:rsidR="004106D5" w:rsidRPr="00515E1C" w14:paraId="092A0043" w14:textId="77777777" w:rsidTr="000C7A5D">
        <w:tc>
          <w:tcPr>
            <w:tcW w:w="3618" w:type="dxa"/>
            <w:shd w:val="clear" w:color="auto" w:fill="auto"/>
          </w:tcPr>
          <w:p w14:paraId="6DA765B9" w14:textId="77777777" w:rsidR="004106D5" w:rsidRPr="00531366" w:rsidRDefault="004106D5" w:rsidP="000C7A5D">
            <w:pPr>
              <w:spacing w:after="0" w:line="240" w:lineRule="auto"/>
              <w:rPr>
                <w:rFonts w:ascii="Arial" w:hAnsi="Arial" w:cs="Arial"/>
                <w:sz w:val="20"/>
                <w:szCs w:val="20"/>
              </w:rPr>
            </w:pPr>
          </w:p>
        </w:tc>
        <w:tc>
          <w:tcPr>
            <w:tcW w:w="5940" w:type="dxa"/>
            <w:gridSpan w:val="2"/>
            <w:shd w:val="clear" w:color="auto" w:fill="auto"/>
          </w:tcPr>
          <w:p w14:paraId="49F64E63" w14:textId="77777777" w:rsidR="004106D5" w:rsidRPr="00531366" w:rsidRDefault="004106D5" w:rsidP="000C7A5D">
            <w:pPr>
              <w:spacing w:after="0" w:line="240" w:lineRule="auto"/>
              <w:rPr>
                <w:rFonts w:ascii="Arial" w:hAnsi="Arial" w:cs="Arial"/>
                <w:sz w:val="20"/>
                <w:szCs w:val="20"/>
              </w:rPr>
            </w:pPr>
          </w:p>
        </w:tc>
      </w:tr>
    </w:tbl>
    <w:p w14:paraId="2B58CB14" w14:textId="77777777" w:rsidR="004106D5" w:rsidRDefault="004106D5" w:rsidP="004106D5">
      <w:pPr>
        <w:spacing w:after="0" w:line="240" w:lineRule="auto"/>
        <w:sectPr w:rsidR="004106D5" w:rsidSect="008A00F6">
          <w:pgSz w:w="12240" w:h="15840"/>
          <w:pgMar w:top="1440" w:right="1440" w:bottom="1440" w:left="1440" w:header="720" w:footer="720" w:gutter="0"/>
          <w:cols w:space="720"/>
          <w:docGrid w:linePitch="360"/>
        </w:sectPr>
      </w:pPr>
    </w:p>
    <w:tbl>
      <w:tblPr>
        <w:tblW w:w="0" w:type="auto"/>
        <w:tblLook w:val="04A0" w:firstRow="1" w:lastRow="0" w:firstColumn="1" w:lastColumn="0" w:noHBand="0" w:noVBand="1"/>
      </w:tblPr>
      <w:tblGrid>
        <w:gridCol w:w="3618"/>
        <w:gridCol w:w="5868"/>
      </w:tblGrid>
      <w:tr w:rsidR="004106D5" w:rsidRPr="003F48A1" w14:paraId="0A3AAC93" w14:textId="77777777" w:rsidTr="000C7A5D">
        <w:tc>
          <w:tcPr>
            <w:tcW w:w="3618" w:type="dxa"/>
            <w:shd w:val="clear" w:color="auto" w:fill="auto"/>
          </w:tcPr>
          <w:p w14:paraId="087395B6" w14:textId="77777777" w:rsidR="004106D5" w:rsidRPr="00531366" w:rsidRDefault="004106D5" w:rsidP="000C7A5D">
            <w:pPr>
              <w:spacing w:after="0" w:line="240" w:lineRule="auto"/>
              <w:rPr>
                <w:rFonts w:ascii="Arial" w:hAnsi="Arial" w:cs="Arial"/>
                <w:b/>
                <w:sz w:val="24"/>
                <w:szCs w:val="24"/>
              </w:rPr>
            </w:pPr>
            <w:r w:rsidRPr="00531366">
              <w:rPr>
                <w:rFonts w:ascii="Arial" w:hAnsi="Arial" w:cs="Arial"/>
                <w:b/>
                <w:sz w:val="24"/>
                <w:szCs w:val="24"/>
              </w:rPr>
              <w:t xml:space="preserve">PERFORMANCE MEASURE </w:t>
            </w:r>
            <w:r w:rsidRPr="00531366">
              <w:rPr>
                <w:rFonts w:ascii="Arial" w:hAnsi="Arial" w:cs="Arial"/>
                <w:b/>
                <w:noProof/>
                <w:sz w:val="24"/>
                <w:szCs w:val="24"/>
              </w:rPr>
              <w:t>1</w:t>
            </w:r>
            <w:r>
              <w:rPr>
                <w:rFonts w:ascii="Arial" w:hAnsi="Arial" w:cs="Arial"/>
                <w:b/>
                <w:noProof/>
                <w:sz w:val="24"/>
                <w:szCs w:val="24"/>
              </w:rPr>
              <w:t>1</w:t>
            </w:r>
          </w:p>
        </w:tc>
        <w:tc>
          <w:tcPr>
            <w:tcW w:w="5868" w:type="dxa"/>
            <w:shd w:val="clear" w:color="auto" w:fill="auto"/>
          </w:tcPr>
          <w:p w14:paraId="5543199E" w14:textId="4E829E1F" w:rsidR="004106D5" w:rsidRPr="00531366" w:rsidRDefault="004106D5" w:rsidP="005B0F19">
            <w:pPr>
              <w:spacing w:after="0" w:line="240" w:lineRule="auto"/>
              <w:rPr>
                <w:rFonts w:ascii="Arial" w:hAnsi="Arial" w:cs="Arial"/>
                <w:b/>
                <w:sz w:val="24"/>
                <w:szCs w:val="24"/>
              </w:rPr>
            </w:pPr>
            <w:r w:rsidRPr="00531366">
              <w:rPr>
                <w:rFonts w:ascii="Arial" w:hAnsi="Arial" w:cs="Arial"/>
                <w:b/>
                <w:noProof/>
                <w:sz w:val="24"/>
                <w:szCs w:val="24"/>
              </w:rPr>
              <w:t>Percent of children with and without special health care needs</w:t>
            </w:r>
            <w:r w:rsidR="005B0F19">
              <w:rPr>
                <w:rFonts w:ascii="Arial" w:hAnsi="Arial" w:cs="Arial"/>
                <w:b/>
                <w:noProof/>
                <w:sz w:val="24"/>
                <w:szCs w:val="24"/>
              </w:rPr>
              <w:t xml:space="preserve">, ages 0 through 17, who have </w:t>
            </w:r>
            <w:r w:rsidRPr="00531366">
              <w:rPr>
                <w:rFonts w:ascii="Arial" w:hAnsi="Arial" w:cs="Arial"/>
                <w:b/>
                <w:noProof/>
                <w:sz w:val="24"/>
                <w:szCs w:val="24"/>
              </w:rPr>
              <w:t>a medical home</w:t>
            </w:r>
          </w:p>
        </w:tc>
      </w:tr>
    </w:tbl>
    <w:p w14:paraId="07FB45A5" w14:textId="77777777" w:rsidR="004106D5" w:rsidRDefault="004106D5" w:rsidP="004106D5">
      <w:pPr>
        <w:spacing w:after="0" w:line="240" w:lineRule="auto"/>
      </w:pPr>
    </w:p>
    <w:p w14:paraId="4DAB6DEF" w14:textId="77777777" w:rsidR="004106D5" w:rsidRDefault="004106D5" w:rsidP="004106D5">
      <w:pPr>
        <w:spacing w:after="0" w:line="240" w:lineRule="auto"/>
      </w:pPr>
      <w:r>
        <w:rPr>
          <w:noProof/>
        </w:rPr>
        <mc:AlternateContent>
          <mc:Choice Requires="wps">
            <w:drawing>
              <wp:anchor distT="4294967295" distB="4294967295" distL="114300" distR="114300" simplePos="0" relativeHeight="251798528" behindDoc="0" locked="0" layoutInCell="1" allowOverlap="1" wp14:anchorId="0D6042C5" wp14:editId="40EE4ADF">
                <wp:simplePos x="0" y="0"/>
                <wp:positionH relativeFrom="column">
                  <wp:posOffset>-60960</wp:posOffset>
                </wp:positionH>
                <wp:positionV relativeFrom="paragraph">
                  <wp:posOffset>31749</wp:posOffset>
                </wp:positionV>
                <wp:extent cx="6088380" cy="0"/>
                <wp:effectExtent l="0" t="0" r="2667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9245790" id="Straight Connector 13" o:spid="_x0000_s1026" style="position:absolute;z-index:251798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" strokecolor="windowText" strokeweight="1.75pt">
                <o:lock v:ext="edit" shapetype="f"/>
              </v:line>
            </w:pict>
          </mc:Fallback>
        </mc:AlternateContent>
      </w:r>
    </w:p>
    <w:tbl>
      <w:tblPr>
        <w:tblW w:w="0" w:type="auto"/>
        <w:tblLook w:val="04A0" w:firstRow="1" w:lastRow="0" w:firstColumn="1" w:lastColumn="0" w:noHBand="0" w:noVBand="1"/>
      </w:tblPr>
      <w:tblGrid>
        <w:gridCol w:w="3618"/>
        <w:gridCol w:w="3384"/>
        <w:gridCol w:w="2556"/>
      </w:tblGrid>
      <w:tr w:rsidR="004106D5" w:rsidRPr="00515E1C" w14:paraId="35E65F15" w14:textId="77777777" w:rsidTr="000C7A5D">
        <w:tc>
          <w:tcPr>
            <w:tcW w:w="3618" w:type="dxa"/>
            <w:shd w:val="clear" w:color="auto" w:fill="auto"/>
          </w:tcPr>
          <w:p w14:paraId="44A53CFF"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GOAL</w:t>
            </w:r>
          </w:p>
        </w:tc>
        <w:tc>
          <w:tcPr>
            <w:tcW w:w="5940" w:type="dxa"/>
            <w:gridSpan w:val="2"/>
            <w:shd w:val="clear" w:color="auto" w:fill="auto"/>
          </w:tcPr>
          <w:p w14:paraId="1221CDF1" w14:textId="283DCD46" w:rsidR="004106D5" w:rsidRPr="00531366" w:rsidRDefault="004106D5" w:rsidP="00326961">
            <w:pPr>
              <w:spacing w:after="0" w:line="240" w:lineRule="auto"/>
              <w:rPr>
                <w:rFonts w:ascii="Arial" w:hAnsi="Arial" w:cs="Arial"/>
                <w:sz w:val="20"/>
                <w:szCs w:val="20"/>
              </w:rPr>
            </w:pPr>
            <w:r w:rsidRPr="00531366">
              <w:rPr>
                <w:rFonts w:ascii="Arial" w:hAnsi="Arial" w:cs="Arial"/>
                <w:noProof/>
                <w:sz w:val="20"/>
                <w:szCs w:val="20"/>
              </w:rPr>
              <w:t xml:space="preserve">To increase the </w:t>
            </w:r>
            <w:r w:rsidR="00326961">
              <w:rPr>
                <w:rFonts w:ascii="Arial" w:hAnsi="Arial" w:cs="Arial"/>
                <w:noProof/>
                <w:sz w:val="20"/>
                <w:szCs w:val="20"/>
              </w:rPr>
              <w:t xml:space="preserve">percent </w:t>
            </w:r>
            <w:r w:rsidRPr="00531366">
              <w:rPr>
                <w:rFonts w:ascii="Arial" w:hAnsi="Arial" w:cs="Arial"/>
                <w:noProof/>
                <w:sz w:val="20"/>
                <w:szCs w:val="20"/>
              </w:rPr>
              <w:t>of children with and without special health care needs who have a medical home</w:t>
            </w:r>
          </w:p>
        </w:tc>
      </w:tr>
      <w:tr w:rsidR="004106D5" w:rsidRPr="00515E1C" w14:paraId="440B2EB7" w14:textId="77777777" w:rsidTr="000C7A5D">
        <w:tc>
          <w:tcPr>
            <w:tcW w:w="3618" w:type="dxa"/>
            <w:shd w:val="clear" w:color="auto" w:fill="auto"/>
          </w:tcPr>
          <w:p w14:paraId="61DA7BDF"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15CF12A6" w14:textId="77777777" w:rsidR="004106D5" w:rsidRPr="00531366" w:rsidRDefault="004106D5" w:rsidP="000C7A5D">
            <w:pPr>
              <w:spacing w:after="0" w:line="240" w:lineRule="auto"/>
              <w:rPr>
                <w:rFonts w:ascii="Arial" w:hAnsi="Arial" w:cs="Arial"/>
                <w:sz w:val="20"/>
                <w:szCs w:val="20"/>
              </w:rPr>
            </w:pPr>
          </w:p>
        </w:tc>
      </w:tr>
      <w:tr w:rsidR="004106D5" w:rsidRPr="00515E1C" w14:paraId="2EDFDE68" w14:textId="77777777" w:rsidTr="000C7A5D">
        <w:tc>
          <w:tcPr>
            <w:tcW w:w="3618" w:type="dxa"/>
            <w:shd w:val="clear" w:color="auto" w:fill="auto"/>
          </w:tcPr>
          <w:p w14:paraId="7C0BF619"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DEFINITION</w:t>
            </w:r>
          </w:p>
        </w:tc>
        <w:tc>
          <w:tcPr>
            <w:tcW w:w="5940" w:type="dxa"/>
            <w:gridSpan w:val="2"/>
            <w:shd w:val="clear" w:color="auto" w:fill="auto"/>
          </w:tcPr>
          <w:p w14:paraId="71ED1231"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Numerator:</w:t>
            </w:r>
          </w:p>
        </w:tc>
      </w:tr>
      <w:tr w:rsidR="004106D5" w:rsidRPr="00515E1C" w14:paraId="4BE7CDC7" w14:textId="77777777" w:rsidTr="000C7A5D">
        <w:tc>
          <w:tcPr>
            <w:tcW w:w="3618" w:type="dxa"/>
            <w:shd w:val="clear" w:color="auto" w:fill="auto"/>
          </w:tcPr>
          <w:p w14:paraId="5D641851"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6405C1C7" w14:textId="77777777" w:rsidR="004106D5" w:rsidRPr="00531366" w:rsidRDefault="004106D5" w:rsidP="000C7A5D">
            <w:pPr>
              <w:spacing w:after="0" w:line="240" w:lineRule="auto"/>
              <w:rPr>
                <w:rFonts w:ascii="Arial" w:hAnsi="Arial" w:cs="Arial"/>
                <w:sz w:val="20"/>
                <w:szCs w:val="20"/>
              </w:rPr>
            </w:pPr>
            <w:r>
              <w:rPr>
                <w:rFonts w:ascii="Arial" w:hAnsi="Arial" w:cs="Arial"/>
                <w:noProof/>
                <w:sz w:val="20"/>
                <w:szCs w:val="20"/>
              </w:rPr>
              <w:t xml:space="preserve">Number of </w:t>
            </w:r>
            <w:r w:rsidRPr="00531366">
              <w:rPr>
                <w:rFonts w:ascii="Arial" w:hAnsi="Arial" w:cs="Arial"/>
                <w:noProof/>
                <w:sz w:val="20"/>
                <w:szCs w:val="20"/>
              </w:rPr>
              <w:t xml:space="preserve">children with and without special health care needs, ages 0 </w:t>
            </w:r>
            <w:r>
              <w:rPr>
                <w:rFonts w:ascii="Arial" w:hAnsi="Arial" w:cs="Arial"/>
                <w:noProof/>
                <w:sz w:val="20"/>
                <w:szCs w:val="20"/>
              </w:rPr>
              <w:t>through</w:t>
            </w:r>
            <w:r w:rsidRPr="00531366">
              <w:rPr>
                <w:rFonts w:ascii="Arial" w:hAnsi="Arial" w:cs="Arial"/>
                <w:noProof/>
                <w:sz w:val="20"/>
                <w:szCs w:val="20"/>
              </w:rPr>
              <w:t xml:space="preserve"> 1</w:t>
            </w:r>
            <w:r>
              <w:rPr>
                <w:rFonts w:ascii="Arial" w:hAnsi="Arial" w:cs="Arial"/>
                <w:noProof/>
                <w:sz w:val="20"/>
                <w:szCs w:val="20"/>
              </w:rPr>
              <w:t>7</w:t>
            </w:r>
            <w:r w:rsidRPr="00531366">
              <w:rPr>
                <w:rFonts w:ascii="Arial" w:hAnsi="Arial" w:cs="Arial"/>
                <w:noProof/>
                <w:sz w:val="20"/>
                <w:szCs w:val="20"/>
              </w:rPr>
              <w:t>, who meet the criteria for having a medical home</w:t>
            </w:r>
            <w:r>
              <w:rPr>
                <w:rFonts w:ascii="Arial" w:hAnsi="Arial" w:cs="Arial"/>
                <w:noProof/>
                <w:sz w:val="20"/>
                <w:szCs w:val="20"/>
              </w:rPr>
              <w:t xml:space="preserve"> (</w:t>
            </w:r>
            <w:r w:rsidRPr="00167A8F">
              <w:rPr>
                <w:rFonts w:ascii="Arial" w:hAnsi="Arial" w:cs="Arial"/>
                <w:noProof/>
                <w:sz w:val="20"/>
                <w:szCs w:val="20"/>
              </w:rPr>
              <w:t>personal doctor or nurse, usual source for care, and family-centered care</w:t>
            </w:r>
            <w:r>
              <w:rPr>
                <w:rFonts w:ascii="Arial" w:hAnsi="Arial" w:cs="Arial"/>
                <w:noProof/>
                <w:sz w:val="20"/>
                <w:szCs w:val="20"/>
              </w:rPr>
              <w:t>;</w:t>
            </w:r>
            <w:r w:rsidRPr="00167A8F">
              <w:rPr>
                <w:rFonts w:ascii="Arial" w:hAnsi="Arial" w:cs="Arial"/>
                <w:noProof/>
                <w:sz w:val="20"/>
                <w:szCs w:val="20"/>
              </w:rPr>
              <w:t xml:space="preserve"> referrals or care coordination </w:t>
            </w:r>
            <w:r>
              <w:rPr>
                <w:rFonts w:ascii="Arial" w:hAnsi="Arial" w:cs="Arial"/>
                <w:noProof/>
                <w:sz w:val="20"/>
                <w:szCs w:val="20"/>
              </w:rPr>
              <w:t>if needed)</w:t>
            </w:r>
          </w:p>
        </w:tc>
      </w:tr>
      <w:tr w:rsidR="004106D5" w:rsidRPr="00515E1C" w14:paraId="125825D7" w14:textId="77777777" w:rsidTr="000C7A5D">
        <w:tc>
          <w:tcPr>
            <w:tcW w:w="3618" w:type="dxa"/>
            <w:shd w:val="clear" w:color="auto" w:fill="auto"/>
          </w:tcPr>
          <w:p w14:paraId="16CE2702"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7DBB37C9" w14:textId="77777777" w:rsidR="004106D5" w:rsidRPr="00531366" w:rsidRDefault="004106D5" w:rsidP="000C7A5D">
            <w:pPr>
              <w:spacing w:after="0" w:line="240" w:lineRule="auto"/>
              <w:rPr>
                <w:rFonts w:ascii="Arial" w:hAnsi="Arial" w:cs="Arial"/>
                <w:sz w:val="20"/>
                <w:szCs w:val="20"/>
              </w:rPr>
            </w:pPr>
          </w:p>
        </w:tc>
      </w:tr>
      <w:tr w:rsidR="004106D5" w:rsidRPr="00515E1C" w14:paraId="2B1EA9ED" w14:textId="77777777" w:rsidTr="000C7A5D">
        <w:tc>
          <w:tcPr>
            <w:tcW w:w="3618" w:type="dxa"/>
            <w:shd w:val="clear" w:color="auto" w:fill="auto"/>
          </w:tcPr>
          <w:p w14:paraId="5AB05A7B"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3A8C156C"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Denominator:</w:t>
            </w:r>
          </w:p>
        </w:tc>
      </w:tr>
      <w:tr w:rsidR="004106D5" w:rsidRPr="00515E1C" w14:paraId="2DB5C591" w14:textId="77777777" w:rsidTr="000C7A5D">
        <w:tc>
          <w:tcPr>
            <w:tcW w:w="3618" w:type="dxa"/>
            <w:shd w:val="clear" w:color="auto" w:fill="auto"/>
          </w:tcPr>
          <w:p w14:paraId="5269ACD5"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3B184903" w14:textId="3A5FF05B" w:rsidR="004106D5" w:rsidRPr="00531366" w:rsidRDefault="004106D5" w:rsidP="00326961">
            <w:pPr>
              <w:spacing w:after="0" w:line="240" w:lineRule="auto"/>
              <w:rPr>
                <w:rFonts w:ascii="Arial" w:hAnsi="Arial" w:cs="Arial"/>
                <w:sz w:val="20"/>
                <w:szCs w:val="20"/>
              </w:rPr>
            </w:pPr>
            <w:r>
              <w:rPr>
                <w:rFonts w:ascii="Arial" w:hAnsi="Arial" w:cs="Arial"/>
                <w:noProof/>
                <w:sz w:val="20"/>
                <w:szCs w:val="20"/>
              </w:rPr>
              <w:t>Number of</w:t>
            </w:r>
            <w:r w:rsidRPr="00531366">
              <w:rPr>
                <w:rFonts w:ascii="Arial" w:hAnsi="Arial" w:cs="Arial"/>
                <w:noProof/>
                <w:sz w:val="20"/>
                <w:szCs w:val="20"/>
              </w:rPr>
              <w:t xml:space="preserve"> children, ages 0 </w:t>
            </w:r>
            <w:r>
              <w:rPr>
                <w:rFonts w:ascii="Arial" w:hAnsi="Arial" w:cs="Arial"/>
                <w:noProof/>
                <w:sz w:val="20"/>
                <w:szCs w:val="20"/>
              </w:rPr>
              <w:t>through 17</w:t>
            </w:r>
            <w:r w:rsidRPr="00531366">
              <w:rPr>
                <w:rFonts w:ascii="Arial" w:hAnsi="Arial" w:cs="Arial"/>
                <w:noProof/>
                <w:sz w:val="20"/>
                <w:szCs w:val="20"/>
              </w:rPr>
              <w:t xml:space="preserve"> </w:t>
            </w:r>
          </w:p>
        </w:tc>
      </w:tr>
      <w:tr w:rsidR="004106D5" w:rsidRPr="00515E1C" w14:paraId="55B693CB" w14:textId="77777777" w:rsidTr="000C7A5D">
        <w:tc>
          <w:tcPr>
            <w:tcW w:w="3618" w:type="dxa"/>
            <w:shd w:val="clear" w:color="auto" w:fill="auto"/>
          </w:tcPr>
          <w:p w14:paraId="31691E79"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28C2D6C9" w14:textId="77777777" w:rsidR="004106D5" w:rsidRPr="00531366" w:rsidRDefault="004106D5" w:rsidP="000C7A5D">
            <w:pPr>
              <w:spacing w:after="0" w:line="240" w:lineRule="auto"/>
              <w:rPr>
                <w:rFonts w:ascii="Arial" w:hAnsi="Arial" w:cs="Arial"/>
                <w:sz w:val="20"/>
                <w:szCs w:val="20"/>
              </w:rPr>
            </w:pPr>
          </w:p>
        </w:tc>
      </w:tr>
      <w:tr w:rsidR="004106D5" w:rsidRPr="00515E1C" w14:paraId="6988639D" w14:textId="77777777" w:rsidTr="000C7A5D">
        <w:tc>
          <w:tcPr>
            <w:tcW w:w="3618" w:type="dxa"/>
            <w:shd w:val="clear" w:color="auto" w:fill="auto"/>
          </w:tcPr>
          <w:p w14:paraId="5850A41E" w14:textId="77777777" w:rsidR="004106D5" w:rsidRPr="00531366" w:rsidRDefault="004106D5" w:rsidP="000C7A5D">
            <w:pPr>
              <w:spacing w:after="0" w:line="240" w:lineRule="auto"/>
              <w:rPr>
                <w:rFonts w:ascii="Arial" w:hAnsi="Arial" w:cs="Arial"/>
                <w:b/>
                <w:sz w:val="20"/>
                <w:szCs w:val="20"/>
              </w:rPr>
            </w:pPr>
          </w:p>
        </w:tc>
        <w:tc>
          <w:tcPr>
            <w:tcW w:w="3384" w:type="dxa"/>
            <w:shd w:val="clear" w:color="auto" w:fill="auto"/>
          </w:tcPr>
          <w:p w14:paraId="28B4F6C8"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b/>
                <w:sz w:val="20"/>
                <w:szCs w:val="20"/>
              </w:rPr>
              <w:t>Units:</w:t>
            </w:r>
            <w:r w:rsidRPr="00531366">
              <w:rPr>
                <w:rFonts w:ascii="Arial" w:hAnsi="Arial" w:cs="Arial"/>
                <w:sz w:val="20"/>
                <w:szCs w:val="20"/>
              </w:rPr>
              <w:t xml:space="preserve"> </w:t>
            </w:r>
            <w:r w:rsidRPr="00531366">
              <w:rPr>
                <w:rFonts w:ascii="Arial" w:hAnsi="Arial" w:cs="Arial"/>
                <w:noProof/>
                <w:sz w:val="20"/>
                <w:szCs w:val="20"/>
              </w:rPr>
              <w:t>100</w:t>
            </w:r>
          </w:p>
        </w:tc>
        <w:tc>
          <w:tcPr>
            <w:tcW w:w="2556" w:type="dxa"/>
            <w:shd w:val="clear" w:color="auto" w:fill="auto"/>
          </w:tcPr>
          <w:p w14:paraId="416C0F01"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b/>
                <w:sz w:val="20"/>
                <w:szCs w:val="20"/>
              </w:rPr>
              <w:t>Text:</w:t>
            </w:r>
            <w:r w:rsidRPr="00531366">
              <w:rPr>
                <w:rFonts w:ascii="Arial" w:hAnsi="Arial" w:cs="Arial"/>
                <w:sz w:val="20"/>
                <w:szCs w:val="20"/>
              </w:rPr>
              <w:t xml:space="preserve"> </w:t>
            </w:r>
            <w:r w:rsidRPr="00531366">
              <w:rPr>
                <w:rFonts w:ascii="Arial" w:hAnsi="Arial" w:cs="Arial"/>
                <w:noProof/>
                <w:sz w:val="20"/>
                <w:szCs w:val="20"/>
              </w:rPr>
              <w:t>Percent</w:t>
            </w:r>
          </w:p>
        </w:tc>
      </w:tr>
      <w:tr w:rsidR="004106D5" w:rsidRPr="00515E1C" w14:paraId="35B2F171" w14:textId="77777777" w:rsidTr="000C7A5D">
        <w:tc>
          <w:tcPr>
            <w:tcW w:w="3618" w:type="dxa"/>
            <w:shd w:val="clear" w:color="auto" w:fill="auto"/>
          </w:tcPr>
          <w:p w14:paraId="30627E77"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4D9A5B72" w14:textId="77777777" w:rsidR="004106D5" w:rsidRPr="00531366" w:rsidRDefault="004106D5" w:rsidP="000C7A5D">
            <w:pPr>
              <w:spacing w:after="0" w:line="240" w:lineRule="auto"/>
              <w:rPr>
                <w:rFonts w:ascii="Arial" w:hAnsi="Arial" w:cs="Arial"/>
                <w:sz w:val="20"/>
                <w:szCs w:val="20"/>
              </w:rPr>
            </w:pPr>
          </w:p>
        </w:tc>
      </w:tr>
      <w:tr w:rsidR="004106D5" w:rsidRPr="00515E1C" w14:paraId="7BAB420C" w14:textId="77777777" w:rsidTr="000C7A5D">
        <w:tc>
          <w:tcPr>
            <w:tcW w:w="3618" w:type="dxa"/>
            <w:shd w:val="clear" w:color="auto" w:fill="auto"/>
          </w:tcPr>
          <w:p w14:paraId="2CE54B67"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HEALTHY PEOPLE 2020 OBJECTIVE</w:t>
            </w:r>
          </w:p>
        </w:tc>
        <w:tc>
          <w:tcPr>
            <w:tcW w:w="5940" w:type="dxa"/>
            <w:gridSpan w:val="2"/>
            <w:shd w:val="clear" w:color="auto" w:fill="auto"/>
          </w:tcPr>
          <w:p w14:paraId="738A6F9A" w14:textId="77777777" w:rsidR="004106D5" w:rsidRPr="00531366" w:rsidRDefault="004106D5" w:rsidP="000C7A5D">
            <w:pPr>
              <w:spacing w:after="0" w:line="240" w:lineRule="auto"/>
              <w:rPr>
                <w:rFonts w:ascii="Arial" w:hAnsi="Arial" w:cs="Arial"/>
                <w:noProof/>
                <w:sz w:val="20"/>
                <w:szCs w:val="20"/>
              </w:rPr>
            </w:pPr>
            <w:r>
              <w:rPr>
                <w:rFonts w:ascii="Arial" w:hAnsi="Arial" w:cs="Arial"/>
                <w:noProof/>
                <w:sz w:val="20"/>
                <w:szCs w:val="20"/>
              </w:rPr>
              <w:t>Identical</w:t>
            </w:r>
            <w:r w:rsidRPr="00531366">
              <w:rPr>
                <w:rFonts w:ascii="Arial" w:hAnsi="Arial" w:cs="Arial"/>
                <w:noProof/>
                <w:sz w:val="20"/>
                <w:szCs w:val="20"/>
              </w:rPr>
              <w:t xml:space="preserve"> to Maternal, Infant, and Child Health (MICH) Objectives 30.1: Increase the proportion of children who have access to a medical home, (Baseline: 57.5%, Target: 63.3%) and 30.2: Increase the proportion of children with special health care needs who have access to a medical home. (Baseline: 49.8%, Target: 54.8%)</w:t>
            </w:r>
          </w:p>
          <w:p w14:paraId="20E86833" w14:textId="77777777" w:rsidR="004106D5" w:rsidRPr="00531366" w:rsidRDefault="004106D5" w:rsidP="000C7A5D">
            <w:pPr>
              <w:spacing w:after="0" w:line="240" w:lineRule="auto"/>
              <w:rPr>
                <w:rFonts w:ascii="Arial" w:hAnsi="Arial" w:cs="Arial"/>
                <w:noProof/>
                <w:sz w:val="20"/>
                <w:szCs w:val="20"/>
              </w:rPr>
            </w:pPr>
          </w:p>
          <w:p w14:paraId="0EF22CBF"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noProof/>
                <w:sz w:val="20"/>
                <w:szCs w:val="20"/>
              </w:rPr>
              <w:t xml:space="preserve">Related to Objective Maternal, Infant, and Child Health (MICH) Objective 31:  Increase the proportion of children with special health care needs who receive their care in family-centered, comprehensive, coordinated systems. (Baseline: 20.4% for children </w:t>
            </w:r>
            <w:r>
              <w:rPr>
                <w:rFonts w:ascii="Arial" w:hAnsi="Arial" w:cs="Arial"/>
                <w:noProof/>
                <w:sz w:val="20"/>
                <w:szCs w:val="20"/>
              </w:rPr>
              <w:t>aged</w:t>
            </w:r>
            <w:r w:rsidRPr="00531366">
              <w:rPr>
                <w:rFonts w:ascii="Arial" w:hAnsi="Arial" w:cs="Arial"/>
                <w:noProof/>
                <w:sz w:val="20"/>
                <w:szCs w:val="20"/>
              </w:rPr>
              <w:t xml:space="preserve"> 0-11, Target: 22.4%;  Baseline: 13.8% for children </w:t>
            </w:r>
            <w:r>
              <w:rPr>
                <w:rFonts w:ascii="Arial" w:hAnsi="Arial" w:cs="Arial"/>
                <w:noProof/>
                <w:sz w:val="20"/>
                <w:szCs w:val="20"/>
              </w:rPr>
              <w:t>aged</w:t>
            </w:r>
            <w:r w:rsidRPr="00531366">
              <w:rPr>
                <w:rFonts w:ascii="Arial" w:hAnsi="Arial" w:cs="Arial"/>
                <w:noProof/>
                <w:sz w:val="20"/>
                <w:szCs w:val="20"/>
              </w:rPr>
              <w:t xml:space="preserve"> 12 through 17, Target 15.2%)</w:t>
            </w:r>
          </w:p>
        </w:tc>
      </w:tr>
      <w:tr w:rsidR="004106D5" w:rsidRPr="00515E1C" w14:paraId="3E52BB31" w14:textId="77777777" w:rsidTr="000C7A5D">
        <w:tc>
          <w:tcPr>
            <w:tcW w:w="3618" w:type="dxa"/>
            <w:shd w:val="clear" w:color="auto" w:fill="auto"/>
          </w:tcPr>
          <w:p w14:paraId="7411BC12"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6768E62A" w14:textId="77777777" w:rsidR="004106D5" w:rsidRPr="00531366" w:rsidRDefault="004106D5" w:rsidP="000C7A5D">
            <w:pPr>
              <w:spacing w:after="0" w:line="240" w:lineRule="auto"/>
              <w:rPr>
                <w:rFonts w:ascii="Arial" w:hAnsi="Arial" w:cs="Arial"/>
                <w:sz w:val="20"/>
                <w:szCs w:val="20"/>
              </w:rPr>
            </w:pPr>
          </w:p>
        </w:tc>
      </w:tr>
      <w:tr w:rsidR="004106D5" w:rsidRPr="00515E1C" w14:paraId="578318FC" w14:textId="77777777" w:rsidTr="000C7A5D">
        <w:tc>
          <w:tcPr>
            <w:tcW w:w="3618" w:type="dxa"/>
            <w:shd w:val="clear" w:color="auto" w:fill="auto"/>
          </w:tcPr>
          <w:p w14:paraId="06E409CA"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DATA SOURCES and DATA ISSUES</w:t>
            </w:r>
          </w:p>
        </w:tc>
        <w:tc>
          <w:tcPr>
            <w:tcW w:w="5940" w:type="dxa"/>
            <w:gridSpan w:val="2"/>
            <w:shd w:val="clear" w:color="auto" w:fill="auto"/>
          </w:tcPr>
          <w:p w14:paraId="75584CB1"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noProof/>
                <w:sz w:val="20"/>
                <w:szCs w:val="20"/>
              </w:rPr>
              <w:t xml:space="preserve">National Survey of Children's Health (NSCH) </w:t>
            </w:r>
          </w:p>
        </w:tc>
      </w:tr>
      <w:tr w:rsidR="004106D5" w:rsidRPr="00515E1C" w14:paraId="2C1107E8" w14:textId="77777777" w:rsidTr="000C7A5D">
        <w:tc>
          <w:tcPr>
            <w:tcW w:w="3618" w:type="dxa"/>
            <w:shd w:val="clear" w:color="auto" w:fill="auto"/>
          </w:tcPr>
          <w:p w14:paraId="5B6270F5" w14:textId="77777777" w:rsidR="004106D5" w:rsidRDefault="004106D5" w:rsidP="000C7A5D">
            <w:pPr>
              <w:spacing w:after="0" w:line="240" w:lineRule="auto"/>
              <w:rPr>
                <w:rFonts w:ascii="Arial" w:hAnsi="Arial" w:cs="Arial"/>
                <w:b/>
                <w:sz w:val="20"/>
                <w:szCs w:val="20"/>
              </w:rPr>
            </w:pPr>
          </w:p>
          <w:p w14:paraId="6A94590B" w14:textId="77777777" w:rsidR="004106D5" w:rsidRDefault="004106D5" w:rsidP="000C7A5D">
            <w:pPr>
              <w:spacing w:after="0" w:line="240" w:lineRule="auto"/>
              <w:rPr>
                <w:rFonts w:ascii="Arial" w:hAnsi="Arial" w:cs="Arial"/>
                <w:b/>
                <w:sz w:val="20"/>
                <w:szCs w:val="20"/>
              </w:rPr>
            </w:pPr>
            <w:r>
              <w:rPr>
                <w:rFonts w:ascii="Arial" w:hAnsi="Arial" w:cs="Arial"/>
                <w:b/>
                <w:sz w:val="20"/>
                <w:szCs w:val="20"/>
              </w:rPr>
              <w:t>MCH POPULATION DOMAIN</w:t>
            </w:r>
          </w:p>
          <w:p w14:paraId="5828E65E"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341A8927" w14:textId="77777777" w:rsidR="004106D5" w:rsidRDefault="004106D5" w:rsidP="000C7A5D">
            <w:pPr>
              <w:spacing w:after="0" w:line="240" w:lineRule="auto"/>
              <w:rPr>
                <w:rFonts w:ascii="Arial" w:hAnsi="Arial" w:cs="Arial"/>
                <w:sz w:val="20"/>
                <w:szCs w:val="20"/>
              </w:rPr>
            </w:pPr>
          </w:p>
          <w:p w14:paraId="790C714F" w14:textId="77777777" w:rsidR="004106D5" w:rsidRDefault="004106D5" w:rsidP="000C7A5D">
            <w:pPr>
              <w:spacing w:after="0" w:line="240" w:lineRule="auto"/>
              <w:rPr>
                <w:rFonts w:ascii="Arial" w:hAnsi="Arial" w:cs="Arial"/>
                <w:sz w:val="20"/>
                <w:szCs w:val="20"/>
              </w:rPr>
            </w:pPr>
            <w:r w:rsidRPr="00DD16CC">
              <w:rPr>
                <w:rFonts w:ascii="Arial" w:hAnsi="Arial" w:cs="Arial"/>
                <w:sz w:val="20"/>
                <w:szCs w:val="20"/>
              </w:rPr>
              <w:t>Children with Special Health Care Needs</w:t>
            </w:r>
            <w:r>
              <w:rPr>
                <w:rFonts w:ascii="Arial" w:hAnsi="Arial" w:cs="Arial"/>
                <w:sz w:val="20"/>
                <w:szCs w:val="20"/>
              </w:rPr>
              <w:t xml:space="preserve"> or All Children (CSHCN and non-CSHCN)</w:t>
            </w:r>
          </w:p>
          <w:p w14:paraId="6D63E33A" w14:textId="77777777" w:rsidR="004106D5" w:rsidRPr="00531366" w:rsidRDefault="004106D5" w:rsidP="000C7A5D">
            <w:pPr>
              <w:spacing w:after="0" w:line="240" w:lineRule="auto"/>
              <w:rPr>
                <w:rFonts w:ascii="Arial" w:hAnsi="Arial" w:cs="Arial"/>
                <w:sz w:val="20"/>
                <w:szCs w:val="20"/>
              </w:rPr>
            </w:pPr>
          </w:p>
        </w:tc>
      </w:tr>
      <w:tr w:rsidR="004106D5" w:rsidRPr="00515E1C" w14:paraId="112B3AB9" w14:textId="77777777" w:rsidTr="000C7A5D">
        <w:tc>
          <w:tcPr>
            <w:tcW w:w="3618" w:type="dxa"/>
            <w:shd w:val="clear" w:color="auto" w:fill="auto"/>
          </w:tcPr>
          <w:p w14:paraId="24690F0C"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SIGNIFICANCE</w:t>
            </w:r>
          </w:p>
        </w:tc>
        <w:tc>
          <w:tcPr>
            <w:tcW w:w="5940" w:type="dxa"/>
            <w:gridSpan w:val="2"/>
            <w:shd w:val="clear" w:color="auto" w:fill="auto"/>
          </w:tcPr>
          <w:p w14:paraId="6D7308F0" w14:textId="32C4B5A6" w:rsidR="004106D5" w:rsidRDefault="004106D5" w:rsidP="000C7A5D">
            <w:pPr>
              <w:spacing w:after="0" w:line="240" w:lineRule="auto"/>
              <w:rPr>
                <w:rFonts w:ascii="Arial" w:hAnsi="Arial" w:cs="Arial"/>
                <w:noProof/>
                <w:sz w:val="20"/>
                <w:szCs w:val="20"/>
              </w:rPr>
            </w:pPr>
            <w:r w:rsidRPr="00531366">
              <w:rPr>
                <w:rFonts w:ascii="Arial" w:hAnsi="Arial" w:cs="Arial"/>
                <w:noProof/>
                <w:sz w:val="20"/>
                <w:szCs w:val="20"/>
              </w:rPr>
              <w:t>The American Academy of Pediatrics (AAP) specifies seven qualities essential to medical home care</w:t>
            </w:r>
            <w:r>
              <w:rPr>
                <w:rFonts w:ascii="Arial" w:hAnsi="Arial" w:cs="Arial"/>
                <w:noProof/>
                <w:sz w:val="20"/>
                <w:szCs w:val="20"/>
              </w:rPr>
              <w:t>, which include</w:t>
            </w:r>
            <w:r w:rsidRPr="00531366">
              <w:rPr>
                <w:rFonts w:ascii="Arial" w:hAnsi="Arial" w:cs="Arial"/>
                <w:noProof/>
                <w:sz w:val="20"/>
                <w:szCs w:val="20"/>
              </w:rPr>
              <w:t xml:space="preserve"> accessible, family-centered, continuous, comprehensive, coordinated, compassionate and culturally effective.  Providing compr</w:t>
            </w:r>
            <w:r>
              <w:rPr>
                <w:rFonts w:ascii="Arial" w:hAnsi="Arial" w:cs="Arial"/>
                <w:noProof/>
                <w:sz w:val="20"/>
                <w:szCs w:val="20"/>
              </w:rPr>
              <w:t xml:space="preserve">ehensive </w:t>
            </w:r>
            <w:r w:rsidR="009D2976" w:rsidRPr="009D2976">
              <w:rPr>
                <w:rFonts w:ascii="Arial" w:hAnsi="Arial" w:cs="Arial"/>
                <w:noProof/>
                <w:sz w:val="20"/>
                <w:szCs w:val="20"/>
              </w:rPr>
              <w:t xml:space="preserve">and coordinated </w:t>
            </w:r>
            <w:r>
              <w:rPr>
                <w:rFonts w:ascii="Arial" w:hAnsi="Arial" w:cs="Arial"/>
                <w:noProof/>
                <w:sz w:val="20"/>
                <w:szCs w:val="20"/>
              </w:rPr>
              <w:t xml:space="preserve">care to children in a </w:t>
            </w:r>
            <w:r w:rsidRPr="00531366">
              <w:rPr>
                <w:rFonts w:ascii="Arial" w:hAnsi="Arial" w:cs="Arial"/>
                <w:noProof/>
                <w:sz w:val="20"/>
                <w:szCs w:val="20"/>
              </w:rPr>
              <w:t xml:space="preserve">medical home is the standard of pediatric </w:t>
            </w:r>
            <w:r w:rsidR="009D2976" w:rsidRPr="00531366">
              <w:rPr>
                <w:rFonts w:ascii="Arial" w:hAnsi="Arial" w:cs="Arial"/>
                <w:noProof/>
                <w:sz w:val="20"/>
                <w:szCs w:val="20"/>
              </w:rPr>
              <w:t>p</w:t>
            </w:r>
            <w:r w:rsidRPr="00531366">
              <w:rPr>
                <w:rFonts w:ascii="Arial" w:hAnsi="Arial" w:cs="Arial"/>
                <w:noProof/>
                <w:sz w:val="20"/>
                <w:szCs w:val="20"/>
              </w:rPr>
              <w:t>ractice.  Research indicates that children with a stable and continuous source of health care are more likely to receive appropriate preventive care, are less likely to be hospitalized for preventable conditions, and are more likely to be diagnosed early for chronic or disabling conditions.  The Maternal and Child Health Bureau uses the AAP definition of medical home.</w:t>
            </w:r>
          </w:p>
          <w:p w14:paraId="712AC743" w14:textId="77777777" w:rsidR="004106D5" w:rsidRPr="00531366" w:rsidRDefault="000A3835" w:rsidP="000C7A5D">
            <w:pPr>
              <w:spacing w:after="0" w:line="240" w:lineRule="auto"/>
              <w:rPr>
                <w:rFonts w:ascii="Arial" w:hAnsi="Arial" w:cs="Arial"/>
                <w:sz w:val="20"/>
                <w:szCs w:val="20"/>
              </w:rPr>
            </w:pPr>
            <w:hyperlink r:id="rId136" w:history="1">
              <w:r w:rsidR="004106D5" w:rsidRPr="0000075C">
                <w:rPr>
                  <w:rStyle w:val="Hyperlink"/>
                  <w:rFonts w:ascii="Arial" w:hAnsi="Arial" w:cs="Arial"/>
                  <w:noProof/>
                  <w:sz w:val="20"/>
                  <w:szCs w:val="20"/>
                </w:rPr>
                <w:t>www.medicalhomeinfo.aap.org</w:t>
              </w:r>
            </w:hyperlink>
            <w:r w:rsidR="004106D5">
              <w:rPr>
                <w:rFonts w:ascii="Arial" w:hAnsi="Arial" w:cs="Arial"/>
                <w:noProof/>
                <w:sz w:val="20"/>
                <w:szCs w:val="20"/>
              </w:rPr>
              <w:t xml:space="preserve">  </w:t>
            </w:r>
          </w:p>
        </w:tc>
      </w:tr>
      <w:tr w:rsidR="004106D5" w:rsidRPr="00515E1C" w14:paraId="5DF9C09D" w14:textId="77777777" w:rsidTr="000C7A5D">
        <w:tc>
          <w:tcPr>
            <w:tcW w:w="3618" w:type="dxa"/>
            <w:shd w:val="clear" w:color="auto" w:fill="auto"/>
          </w:tcPr>
          <w:p w14:paraId="4278758B" w14:textId="77777777" w:rsidR="004106D5" w:rsidRPr="00531366" w:rsidRDefault="004106D5" w:rsidP="000C7A5D">
            <w:pPr>
              <w:spacing w:after="0" w:line="240" w:lineRule="auto"/>
              <w:rPr>
                <w:rFonts w:ascii="Arial" w:hAnsi="Arial" w:cs="Arial"/>
                <w:sz w:val="20"/>
                <w:szCs w:val="20"/>
              </w:rPr>
            </w:pPr>
          </w:p>
        </w:tc>
        <w:tc>
          <w:tcPr>
            <w:tcW w:w="5940" w:type="dxa"/>
            <w:gridSpan w:val="2"/>
            <w:shd w:val="clear" w:color="auto" w:fill="auto"/>
          </w:tcPr>
          <w:p w14:paraId="22422107" w14:textId="77777777" w:rsidR="004106D5" w:rsidRPr="00531366" w:rsidRDefault="004106D5" w:rsidP="000C7A5D">
            <w:pPr>
              <w:spacing w:after="0" w:line="240" w:lineRule="auto"/>
              <w:rPr>
                <w:rFonts w:ascii="Arial" w:hAnsi="Arial" w:cs="Arial"/>
                <w:sz w:val="20"/>
                <w:szCs w:val="20"/>
              </w:rPr>
            </w:pPr>
          </w:p>
        </w:tc>
      </w:tr>
    </w:tbl>
    <w:p w14:paraId="515F3448" w14:textId="77777777" w:rsidR="004106D5" w:rsidRDefault="004106D5" w:rsidP="004106D5">
      <w:pPr>
        <w:spacing w:after="0" w:line="240" w:lineRule="auto"/>
        <w:sectPr w:rsidR="004106D5" w:rsidSect="008A00F6">
          <w:pgSz w:w="12240" w:h="15840"/>
          <w:pgMar w:top="1440" w:right="1440" w:bottom="1440" w:left="1440" w:header="720" w:footer="720" w:gutter="0"/>
          <w:cols w:space="720"/>
          <w:docGrid w:linePitch="360"/>
        </w:sectPr>
      </w:pPr>
    </w:p>
    <w:tbl>
      <w:tblPr>
        <w:tblW w:w="0" w:type="auto"/>
        <w:tblLook w:val="04A0" w:firstRow="1" w:lastRow="0" w:firstColumn="1" w:lastColumn="0" w:noHBand="0" w:noVBand="1"/>
      </w:tblPr>
      <w:tblGrid>
        <w:gridCol w:w="3618"/>
        <w:gridCol w:w="5868"/>
      </w:tblGrid>
      <w:tr w:rsidR="004106D5" w:rsidRPr="003F48A1" w14:paraId="2D8D047E" w14:textId="77777777" w:rsidTr="000C7A5D">
        <w:tc>
          <w:tcPr>
            <w:tcW w:w="3618" w:type="dxa"/>
            <w:shd w:val="clear" w:color="auto" w:fill="auto"/>
          </w:tcPr>
          <w:p w14:paraId="4C65818D" w14:textId="77777777" w:rsidR="004106D5" w:rsidRPr="00531366" w:rsidRDefault="004106D5" w:rsidP="000C7A5D">
            <w:pPr>
              <w:spacing w:after="0" w:line="240" w:lineRule="auto"/>
              <w:rPr>
                <w:rFonts w:ascii="Arial" w:hAnsi="Arial" w:cs="Arial"/>
                <w:b/>
                <w:sz w:val="24"/>
                <w:szCs w:val="24"/>
              </w:rPr>
            </w:pPr>
            <w:r w:rsidRPr="00531366">
              <w:rPr>
                <w:rFonts w:ascii="Arial" w:hAnsi="Arial" w:cs="Arial"/>
                <w:b/>
                <w:sz w:val="24"/>
                <w:szCs w:val="24"/>
              </w:rPr>
              <w:t xml:space="preserve">PERFORMANCE MEASURE </w:t>
            </w:r>
            <w:r>
              <w:rPr>
                <w:rFonts w:ascii="Arial" w:hAnsi="Arial" w:cs="Arial"/>
                <w:b/>
                <w:noProof/>
                <w:sz w:val="24"/>
                <w:szCs w:val="24"/>
              </w:rPr>
              <w:t>12</w:t>
            </w:r>
          </w:p>
        </w:tc>
        <w:tc>
          <w:tcPr>
            <w:tcW w:w="5868" w:type="dxa"/>
            <w:shd w:val="clear" w:color="auto" w:fill="auto"/>
          </w:tcPr>
          <w:p w14:paraId="6D27DE6E" w14:textId="32AC2B64" w:rsidR="004106D5" w:rsidRPr="00531366" w:rsidRDefault="004106D5" w:rsidP="000C7A5D">
            <w:pPr>
              <w:spacing w:after="0" w:line="240" w:lineRule="auto"/>
              <w:rPr>
                <w:rFonts w:ascii="Arial" w:hAnsi="Arial" w:cs="Arial"/>
                <w:b/>
                <w:sz w:val="24"/>
                <w:szCs w:val="24"/>
              </w:rPr>
            </w:pPr>
            <w:r w:rsidRPr="00531366">
              <w:rPr>
                <w:rFonts w:ascii="Arial" w:hAnsi="Arial" w:cs="Arial"/>
                <w:b/>
                <w:noProof/>
                <w:sz w:val="24"/>
                <w:szCs w:val="24"/>
              </w:rPr>
              <w:t xml:space="preserve">Percent of </w:t>
            </w:r>
            <w:r>
              <w:rPr>
                <w:rFonts w:ascii="Arial" w:hAnsi="Arial" w:cs="Arial"/>
                <w:b/>
                <w:noProof/>
                <w:sz w:val="24"/>
                <w:szCs w:val="24"/>
              </w:rPr>
              <w:t>adolescents</w:t>
            </w:r>
            <w:r w:rsidRPr="00531366">
              <w:rPr>
                <w:rFonts w:ascii="Arial" w:hAnsi="Arial" w:cs="Arial"/>
                <w:b/>
                <w:noProof/>
                <w:sz w:val="24"/>
                <w:szCs w:val="24"/>
              </w:rPr>
              <w:t xml:space="preserve"> with and without special health care needs</w:t>
            </w:r>
            <w:r w:rsidR="00C517C8">
              <w:rPr>
                <w:rFonts w:ascii="Arial" w:hAnsi="Arial" w:cs="Arial"/>
                <w:b/>
                <w:noProof/>
                <w:sz w:val="24"/>
                <w:szCs w:val="24"/>
              </w:rPr>
              <w:t>, ages 12 through 17,</w:t>
            </w:r>
            <w:r w:rsidRPr="00531366">
              <w:rPr>
                <w:rFonts w:ascii="Arial" w:hAnsi="Arial" w:cs="Arial"/>
                <w:b/>
                <w:noProof/>
                <w:sz w:val="24"/>
                <w:szCs w:val="24"/>
              </w:rPr>
              <w:t xml:space="preserve"> who received services necessary to make transitions to adult health care</w:t>
            </w:r>
          </w:p>
        </w:tc>
      </w:tr>
    </w:tbl>
    <w:p w14:paraId="15F22A38" w14:textId="77777777" w:rsidR="004106D5" w:rsidRDefault="004106D5" w:rsidP="004106D5">
      <w:pPr>
        <w:spacing w:after="0" w:line="240" w:lineRule="auto"/>
      </w:pPr>
    </w:p>
    <w:p w14:paraId="064A7506" w14:textId="77777777" w:rsidR="004106D5" w:rsidRDefault="004106D5" w:rsidP="004106D5">
      <w:pPr>
        <w:spacing w:after="0" w:line="240" w:lineRule="auto"/>
      </w:pPr>
      <w:r>
        <w:rPr>
          <w:noProof/>
        </w:rPr>
        <mc:AlternateContent>
          <mc:Choice Requires="wps">
            <w:drawing>
              <wp:anchor distT="4294967295" distB="4294967295" distL="114300" distR="114300" simplePos="0" relativeHeight="251799552" behindDoc="0" locked="0" layoutInCell="1" allowOverlap="1" wp14:anchorId="10BB158C" wp14:editId="743648BD">
                <wp:simplePos x="0" y="0"/>
                <wp:positionH relativeFrom="column">
                  <wp:posOffset>-60960</wp:posOffset>
                </wp:positionH>
                <wp:positionV relativeFrom="paragraph">
                  <wp:posOffset>31749</wp:posOffset>
                </wp:positionV>
                <wp:extent cx="6088380" cy="0"/>
                <wp:effectExtent l="0" t="0" r="2667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7D12AAA" id="Straight Connector 14" o:spid="_x0000_s1026" style="position:absolute;z-index:251799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" strokecolor="windowText" strokeweight="1.75pt">
                <o:lock v:ext="edit" shapetype="f"/>
              </v:line>
            </w:pict>
          </mc:Fallback>
        </mc:AlternateContent>
      </w:r>
    </w:p>
    <w:tbl>
      <w:tblPr>
        <w:tblW w:w="0" w:type="auto"/>
        <w:tblLook w:val="04A0" w:firstRow="1" w:lastRow="0" w:firstColumn="1" w:lastColumn="0" w:noHBand="0" w:noVBand="1"/>
      </w:tblPr>
      <w:tblGrid>
        <w:gridCol w:w="3618"/>
        <w:gridCol w:w="3384"/>
        <w:gridCol w:w="2556"/>
      </w:tblGrid>
      <w:tr w:rsidR="004106D5" w:rsidRPr="00515E1C" w14:paraId="1918C64F" w14:textId="77777777" w:rsidTr="000C7A5D">
        <w:tc>
          <w:tcPr>
            <w:tcW w:w="3618" w:type="dxa"/>
            <w:shd w:val="clear" w:color="auto" w:fill="auto"/>
          </w:tcPr>
          <w:p w14:paraId="71781003"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GOAL</w:t>
            </w:r>
          </w:p>
        </w:tc>
        <w:tc>
          <w:tcPr>
            <w:tcW w:w="5940" w:type="dxa"/>
            <w:gridSpan w:val="2"/>
            <w:shd w:val="clear" w:color="auto" w:fill="auto"/>
          </w:tcPr>
          <w:p w14:paraId="260B4312" w14:textId="1E22C62F" w:rsidR="004106D5" w:rsidRPr="00531366" w:rsidRDefault="004106D5" w:rsidP="009D2976">
            <w:pPr>
              <w:spacing w:after="0" w:line="240" w:lineRule="auto"/>
              <w:rPr>
                <w:rFonts w:ascii="Arial" w:hAnsi="Arial" w:cs="Arial"/>
                <w:sz w:val="20"/>
                <w:szCs w:val="20"/>
              </w:rPr>
            </w:pPr>
            <w:r w:rsidRPr="00531366">
              <w:rPr>
                <w:rFonts w:ascii="Arial" w:hAnsi="Arial" w:cs="Arial"/>
                <w:noProof/>
                <w:sz w:val="20"/>
                <w:szCs w:val="20"/>
              </w:rPr>
              <w:t xml:space="preserve">To increase the percent of </w:t>
            </w:r>
            <w:r>
              <w:rPr>
                <w:rFonts w:ascii="Arial" w:hAnsi="Arial" w:cs="Arial"/>
                <w:noProof/>
                <w:sz w:val="20"/>
                <w:szCs w:val="20"/>
              </w:rPr>
              <w:t>adolescents</w:t>
            </w:r>
            <w:r w:rsidRPr="00531366">
              <w:rPr>
                <w:rFonts w:ascii="Arial" w:hAnsi="Arial" w:cs="Arial"/>
                <w:noProof/>
                <w:sz w:val="20"/>
                <w:szCs w:val="20"/>
              </w:rPr>
              <w:t xml:space="preserve"> with and without special health care needs who have received the services necessary to make transitions to </w:t>
            </w:r>
            <w:r w:rsidR="009D2976">
              <w:rPr>
                <w:rFonts w:ascii="Arial" w:hAnsi="Arial" w:cs="Arial"/>
                <w:noProof/>
                <w:sz w:val="20"/>
                <w:szCs w:val="20"/>
              </w:rPr>
              <w:t>adult health care.</w:t>
            </w:r>
          </w:p>
        </w:tc>
      </w:tr>
      <w:tr w:rsidR="004106D5" w:rsidRPr="00515E1C" w14:paraId="3A96E5D2" w14:textId="77777777" w:rsidTr="000C7A5D">
        <w:tc>
          <w:tcPr>
            <w:tcW w:w="3618" w:type="dxa"/>
            <w:shd w:val="clear" w:color="auto" w:fill="auto"/>
          </w:tcPr>
          <w:p w14:paraId="667C8416"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51E43375" w14:textId="77777777" w:rsidR="004106D5" w:rsidRPr="00531366" w:rsidRDefault="004106D5" w:rsidP="000C7A5D">
            <w:pPr>
              <w:spacing w:after="0" w:line="240" w:lineRule="auto"/>
              <w:rPr>
                <w:rFonts w:ascii="Arial" w:hAnsi="Arial" w:cs="Arial"/>
                <w:sz w:val="20"/>
                <w:szCs w:val="20"/>
              </w:rPr>
            </w:pPr>
          </w:p>
        </w:tc>
      </w:tr>
      <w:tr w:rsidR="004106D5" w:rsidRPr="00515E1C" w14:paraId="39F1D0CA" w14:textId="77777777" w:rsidTr="000C7A5D">
        <w:tc>
          <w:tcPr>
            <w:tcW w:w="3618" w:type="dxa"/>
            <w:shd w:val="clear" w:color="auto" w:fill="auto"/>
          </w:tcPr>
          <w:p w14:paraId="49FB8CB8"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DEFINITION</w:t>
            </w:r>
          </w:p>
        </w:tc>
        <w:tc>
          <w:tcPr>
            <w:tcW w:w="5940" w:type="dxa"/>
            <w:gridSpan w:val="2"/>
            <w:shd w:val="clear" w:color="auto" w:fill="auto"/>
          </w:tcPr>
          <w:p w14:paraId="52524A1B"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Numerator:</w:t>
            </w:r>
          </w:p>
        </w:tc>
      </w:tr>
      <w:tr w:rsidR="004106D5" w:rsidRPr="00515E1C" w14:paraId="44100A94" w14:textId="77777777" w:rsidTr="000C7A5D">
        <w:tc>
          <w:tcPr>
            <w:tcW w:w="3618" w:type="dxa"/>
            <w:shd w:val="clear" w:color="auto" w:fill="auto"/>
          </w:tcPr>
          <w:p w14:paraId="0CE3AD34"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157852E0" w14:textId="77777777" w:rsidR="004106D5" w:rsidRPr="00531366" w:rsidRDefault="004106D5" w:rsidP="000C7A5D">
            <w:pPr>
              <w:spacing w:after="0" w:line="240" w:lineRule="auto"/>
              <w:rPr>
                <w:rFonts w:ascii="Arial" w:hAnsi="Arial" w:cs="Arial"/>
                <w:sz w:val="20"/>
                <w:szCs w:val="20"/>
              </w:rPr>
            </w:pPr>
            <w:r>
              <w:rPr>
                <w:rFonts w:ascii="Arial" w:hAnsi="Arial" w:cs="Arial"/>
                <w:noProof/>
                <w:sz w:val="20"/>
                <w:szCs w:val="20"/>
              </w:rPr>
              <w:t>Number</w:t>
            </w:r>
            <w:r w:rsidRPr="00531366">
              <w:rPr>
                <w:rFonts w:ascii="Arial" w:hAnsi="Arial" w:cs="Arial"/>
                <w:noProof/>
                <w:sz w:val="20"/>
                <w:szCs w:val="20"/>
              </w:rPr>
              <w:t xml:space="preserve"> of </w:t>
            </w:r>
            <w:r>
              <w:rPr>
                <w:rFonts w:ascii="Arial" w:hAnsi="Arial" w:cs="Arial"/>
                <w:noProof/>
                <w:sz w:val="20"/>
                <w:szCs w:val="20"/>
              </w:rPr>
              <w:t>adolescents</w:t>
            </w:r>
            <w:r w:rsidRPr="00531366">
              <w:rPr>
                <w:rFonts w:ascii="Arial" w:hAnsi="Arial" w:cs="Arial"/>
                <w:noProof/>
                <w:sz w:val="20"/>
                <w:szCs w:val="20"/>
              </w:rPr>
              <w:t xml:space="preserve"> with and without spe</w:t>
            </w:r>
            <w:r>
              <w:rPr>
                <w:rFonts w:ascii="Arial" w:hAnsi="Arial" w:cs="Arial"/>
                <w:noProof/>
                <w:sz w:val="20"/>
                <w:szCs w:val="20"/>
              </w:rPr>
              <w:t xml:space="preserve">cial health care needs, ages 12 </w:t>
            </w:r>
            <w:r w:rsidRPr="00CD5282">
              <w:rPr>
                <w:rFonts w:ascii="Arial" w:eastAsia="Times New Roman" w:hAnsi="Arial" w:cs="Arial"/>
                <w:sz w:val="20"/>
                <w:szCs w:val="20"/>
              </w:rPr>
              <w:t>through</w:t>
            </w:r>
            <w:r>
              <w:rPr>
                <w:rFonts w:ascii="Arial" w:eastAsia="Times New Roman" w:hAnsi="Arial" w:cs="Arial"/>
                <w:sz w:val="24"/>
                <w:szCs w:val="24"/>
              </w:rPr>
              <w:t xml:space="preserve"> </w:t>
            </w:r>
            <w:r w:rsidRPr="00531366">
              <w:rPr>
                <w:rFonts w:ascii="Arial" w:hAnsi="Arial" w:cs="Arial"/>
                <w:noProof/>
                <w:sz w:val="20"/>
                <w:szCs w:val="20"/>
              </w:rPr>
              <w:t>17, whose families report that they received the services necessary to transition to adult health care</w:t>
            </w:r>
          </w:p>
        </w:tc>
      </w:tr>
      <w:tr w:rsidR="004106D5" w:rsidRPr="00515E1C" w14:paraId="6FC7FA4C" w14:textId="77777777" w:rsidTr="000C7A5D">
        <w:tc>
          <w:tcPr>
            <w:tcW w:w="3618" w:type="dxa"/>
            <w:shd w:val="clear" w:color="auto" w:fill="auto"/>
          </w:tcPr>
          <w:p w14:paraId="3672BA3D"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6A5F9445" w14:textId="77777777" w:rsidR="004106D5" w:rsidRPr="00531366" w:rsidRDefault="004106D5" w:rsidP="000C7A5D">
            <w:pPr>
              <w:spacing w:after="0" w:line="240" w:lineRule="auto"/>
              <w:rPr>
                <w:rFonts w:ascii="Arial" w:hAnsi="Arial" w:cs="Arial"/>
                <w:sz w:val="20"/>
                <w:szCs w:val="20"/>
              </w:rPr>
            </w:pPr>
          </w:p>
        </w:tc>
      </w:tr>
      <w:tr w:rsidR="004106D5" w:rsidRPr="00515E1C" w14:paraId="651E9278" w14:textId="77777777" w:rsidTr="000C7A5D">
        <w:tc>
          <w:tcPr>
            <w:tcW w:w="3618" w:type="dxa"/>
            <w:shd w:val="clear" w:color="auto" w:fill="auto"/>
          </w:tcPr>
          <w:p w14:paraId="65DA30A4"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7E88E74E"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Denominator:</w:t>
            </w:r>
          </w:p>
        </w:tc>
      </w:tr>
      <w:tr w:rsidR="004106D5" w:rsidRPr="00515E1C" w14:paraId="3183008B" w14:textId="77777777" w:rsidTr="000C7A5D">
        <w:tc>
          <w:tcPr>
            <w:tcW w:w="3618" w:type="dxa"/>
            <w:shd w:val="clear" w:color="auto" w:fill="auto"/>
          </w:tcPr>
          <w:p w14:paraId="60E5FE9A"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72654132" w14:textId="77777777" w:rsidR="004106D5" w:rsidRPr="00531366" w:rsidRDefault="004106D5" w:rsidP="000C7A5D">
            <w:pPr>
              <w:spacing w:after="0" w:line="240" w:lineRule="auto"/>
              <w:rPr>
                <w:rFonts w:ascii="Arial" w:hAnsi="Arial" w:cs="Arial"/>
                <w:sz w:val="20"/>
                <w:szCs w:val="20"/>
              </w:rPr>
            </w:pPr>
            <w:r>
              <w:rPr>
                <w:rFonts w:ascii="Arial" w:hAnsi="Arial" w:cs="Arial"/>
                <w:noProof/>
                <w:sz w:val="20"/>
                <w:szCs w:val="20"/>
              </w:rPr>
              <w:t xml:space="preserve">Number of adolescents, ages 12 </w:t>
            </w:r>
            <w:r w:rsidRPr="00CD5282">
              <w:rPr>
                <w:rFonts w:ascii="Arial" w:eastAsia="Times New Roman" w:hAnsi="Arial" w:cs="Arial"/>
                <w:sz w:val="20"/>
                <w:szCs w:val="20"/>
              </w:rPr>
              <w:t>through</w:t>
            </w:r>
            <w:r>
              <w:rPr>
                <w:rFonts w:ascii="Arial" w:eastAsia="Times New Roman" w:hAnsi="Arial" w:cs="Arial"/>
                <w:sz w:val="24"/>
                <w:szCs w:val="24"/>
              </w:rPr>
              <w:t xml:space="preserve"> </w:t>
            </w:r>
            <w:r w:rsidRPr="00531366">
              <w:rPr>
                <w:rFonts w:ascii="Arial" w:hAnsi="Arial" w:cs="Arial"/>
                <w:noProof/>
                <w:sz w:val="20"/>
                <w:szCs w:val="20"/>
              </w:rPr>
              <w:t>17</w:t>
            </w:r>
          </w:p>
        </w:tc>
      </w:tr>
      <w:tr w:rsidR="004106D5" w:rsidRPr="00515E1C" w14:paraId="032675BE" w14:textId="77777777" w:rsidTr="000C7A5D">
        <w:tc>
          <w:tcPr>
            <w:tcW w:w="3618" w:type="dxa"/>
            <w:shd w:val="clear" w:color="auto" w:fill="auto"/>
          </w:tcPr>
          <w:p w14:paraId="09B8A533"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0BA63AB2" w14:textId="77777777" w:rsidR="004106D5" w:rsidRPr="00531366" w:rsidRDefault="004106D5" w:rsidP="000C7A5D">
            <w:pPr>
              <w:spacing w:after="0" w:line="240" w:lineRule="auto"/>
              <w:rPr>
                <w:rFonts w:ascii="Arial" w:hAnsi="Arial" w:cs="Arial"/>
                <w:sz w:val="20"/>
                <w:szCs w:val="20"/>
              </w:rPr>
            </w:pPr>
          </w:p>
        </w:tc>
      </w:tr>
      <w:tr w:rsidR="004106D5" w:rsidRPr="00515E1C" w14:paraId="22BED419" w14:textId="77777777" w:rsidTr="000C7A5D">
        <w:tc>
          <w:tcPr>
            <w:tcW w:w="3618" w:type="dxa"/>
            <w:shd w:val="clear" w:color="auto" w:fill="auto"/>
          </w:tcPr>
          <w:p w14:paraId="757F9A8A" w14:textId="77777777" w:rsidR="004106D5" w:rsidRPr="00531366" w:rsidRDefault="004106D5" w:rsidP="000C7A5D">
            <w:pPr>
              <w:spacing w:after="0" w:line="240" w:lineRule="auto"/>
              <w:rPr>
                <w:rFonts w:ascii="Arial" w:hAnsi="Arial" w:cs="Arial"/>
                <w:b/>
                <w:sz w:val="20"/>
                <w:szCs w:val="20"/>
              </w:rPr>
            </w:pPr>
          </w:p>
        </w:tc>
        <w:tc>
          <w:tcPr>
            <w:tcW w:w="3384" w:type="dxa"/>
            <w:shd w:val="clear" w:color="auto" w:fill="auto"/>
          </w:tcPr>
          <w:p w14:paraId="3B5899E5"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b/>
                <w:sz w:val="20"/>
                <w:szCs w:val="20"/>
              </w:rPr>
              <w:t>Units:</w:t>
            </w:r>
            <w:r w:rsidRPr="00531366">
              <w:rPr>
                <w:rFonts w:ascii="Arial" w:hAnsi="Arial" w:cs="Arial"/>
                <w:sz w:val="20"/>
                <w:szCs w:val="20"/>
              </w:rPr>
              <w:t xml:space="preserve"> </w:t>
            </w:r>
            <w:r w:rsidRPr="00531366">
              <w:rPr>
                <w:rFonts w:ascii="Arial" w:hAnsi="Arial" w:cs="Arial"/>
                <w:noProof/>
                <w:sz w:val="20"/>
                <w:szCs w:val="20"/>
              </w:rPr>
              <w:t>100</w:t>
            </w:r>
          </w:p>
        </w:tc>
        <w:tc>
          <w:tcPr>
            <w:tcW w:w="2556" w:type="dxa"/>
            <w:shd w:val="clear" w:color="auto" w:fill="auto"/>
          </w:tcPr>
          <w:p w14:paraId="5114B70A"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b/>
                <w:sz w:val="20"/>
                <w:szCs w:val="20"/>
              </w:rPr>
              <w:t>Text:</w:t>
            </w:r>
            <w:r w:rsidRPr="00531366">
              <w:rPr>
                <w:rFonts w:ascii="Arial" w:hAnsi="Arial" w:cs="Arial"/>
                <w:sz w:val="20"/>
                <w:szCs w:val="20"/>
              </w:rPr>
              <w:t xml:space="preserve"> </w:t>
            </w:r>
            <w:r w:rsidRPr="00531366">
              <w:rPr>
                <w:rFonts w:ascii="Arial" w:hAnsi="Arial" w:cs="Arial"/>
                <w:noProof/>
                <w:sz w:val="20"/>
                <w:szCs w:val="20"/>
              </w:rPr>
              <w:t>Percent</w:t>
            </w:r>
          </w:p>
        </w:tc>
      </w:tr>
      <w:tr w:rsidR="004106D5" w:rsidRPr="00515E1C" w14:paraId="552358F3" w14:textId="77777777" w:rsidTr="000C7A5D">
        <w:tc>
          <w:tcPr>
            <w:tcW w:w="3618" w:type="dxa"/>
            <w:shd w:val="clear" w:color="auto" w:fill="auto"/>
          </w:tcPr>
          <w:p w14:paraId="0DDB9847"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3C6DA36D" w14:textId="77777777" w:rsidR="004106D5" w:rsidRPr="00531366" w:rsidRDefault="004106D5" w:rsidP="000C7A5D">
            <w:pPr>
              <w:spacing w:after="0" w:line="240" w:lineRule="auto"/>
              <w:rPr>
                <w:rFonts w:ascii="Arial" w:hAnsi="Arial" w:cs="Arial"/>
                <w:sz w:val="20"/>
                <w:szCs w:val="20"/>
              </w:rPr>
            </w:pPr>
          </w:p>
        </w:tc>
      </w:tr>
      <w:tr w:rsidR="004106D5" w:rsidRPr="00515E1C" w14:paraId="048D574B" w14:textId="77777777" w:rsidTr="000C7A5D">
        <w:tc>
          <w:tcPr>
            <w:tcW w:w="3618" w:type="dxa"/>
            <w:shd w:val="clear" w:color="auto" w:fill="auto"/>
          </w:tcPr>
          <w:p w14:paraId="48183FA3"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HEALTHY PEOPLE 2020 OBJECTIVE</w:t>
            </w:r>
          </w:p>
        </w:tc>
        <w:tc>
          <w:tcPr>
            <w:tcW w:w="5940" w:type="dxa"/>
            <w:gridSpan w:val="2"/>
            <w:shd w:val="clear" w:color="auto" w:fill="auto"/>
          </w:tcPr>
          <w:p w14:paraId="654E367D"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noProof/>
                <w:sz w:val="20"/>
                <w:szCs w:val="20"/>
              </w:rPr>
              <w:t>Related to Disability and Health (DH) Objective 5: Increase the proportion of youth with special health care needs whose health care provider has discussed transition planning from pediatric to adult health care. (Baseline: 41.2%, Target: 45.3%)</w:t>
            </w:r>
          </w:p>
        </w:tc>
      </w:tr>
      <w:tr w:rsidR="004106D5" w:rsidRPr="00515E1C" w14:paraId="2D1BED62" w14:textId="77777777" w:rsidTr="000C7A5D">
        <w:tc>
          <w:tcPr>
            <w:tcW w:w="3618" w:type="dxa"/>
            <w:shd w:val="clear" w:color="auto" w:fill="auto"/>
          </w:tcPr>
          <w:p w14:paraId="3D5A91B7"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5694FF88" w14:textId="77777777" w:rsidR="004106D5" w:rsidRPr="00531366" w:rsidRDefault="004106D5" w:rsidP="000C7A5D">
            <w:pPr>
              <w:spacing w:after="0" w:line="240" w:lineRule="auto"/>
              <w:rPr>
                <w:rFonts w:ascii="Arial" w:hAnsi="Arial" w:cs="Arial"/>
                <w:sz w:val="20"/>
                <w:szCs w:val="20"/>
              </w:rPr>
            </w:pPr>
          </w:p>
        </w:tc>
      </w:tr>
      <w:tr w:rsidR="004106D5" w:rsidRPr="00515E1C" w14:paraId="397E13CA" w14:textId="77777777" w:rsidTr="000C7A5D">
        <w:tc>
          <w:tcPr>
            <w:tcW w:w="3618" w:type="dxa"/>
            <w:shd w:val="clear" w:color="auto" w:fill="auto"/>
          </w:tcPr>
          <w:p w14:paraId="236E8E70"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DATA SOURCES and DATA ISSUES</w:t>
            </w:r>
          </w:p>
        </w:tc>
        <w:tc>
          <w:tcPr>
            <w:tcW w:w="5940" w:type="dxa"/>
            <w:gridSpan w:val="2"/>
            <w:shd w:val="clear" w:color="auto" w:fill="auto"/>
          </w:tcPr>
          <w:p w14:paraId="635B1D40"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noProof/>
                <w:sz w:val="20"/>
                <w:szCs w:val="20"/>
              </w:rPr>
              <w:t xml:space="preserve">National Survey of Children's Health (NSCH) </w:t>
            </w:r>
          </w:p>
        </w:tc>
      </w:tr>
      <w:tr w:rsidR="004106D5" w:rsidRPr="00515E1C" w14:paraId="3FACB71A" w14:textId="77777777" w:rsidTr="000C7A5D">
        <w:tc>
          <w:tcPr>
            <w:tcW w:w="3618" w:type="dxa"/>
            <w:shd w:val="clear" w:color="auto" w:fill="auto"/>
          </w:tcPr>
          <w:p w14:paraId="34CA09AB" w14:textId="77777777" w:rsidR="004106D5" w:rsidRDefault="004106D5" w:rsidP="000C7A5D">
            <w:pPr>
              <w:spacing w:after="0" w:line="240" w:lineRule="auto"/>
              <w:rPr>
                <w:rFonts w:ascii="Arial" w:hAnsi="Arial" w:cs="Arial"/>
                <w:b/>
                <w:sz w:val="20"/>
                <w:szCs w:val="20"/>
              </w:rPr>
            </w:pPr>
          </w:p>
          <w:p w14:paraId="45E1C46E" w14:textId="77777777" w:rsidR="004106D5" w:rsidRDefault="004106D5" w:rsidP="000C7A5D">
            <w:pPr>
              <w:spacing w:after="0" w:line="240" w:lineRule="auto"/>
              <w:rPr>
                <w:rFonts w:ascii="Arial" w:hAnsi="Arial" w:cs="Arial"/>
                <w:b/>
                <w:sz w:val="20"/>
                <w:szCs w:val="20"/>
              </w:rPr>
            </w:pPr>
            <w:r>
              <w:rPr>
                <w:rFonts w:ascii="Arial" w:hAnsi="Arial" w:cs="Arial"/>
                <w:b/>
                <w:sz w:val="20"/>
                <w:szCs w:val="20"/>
              </w:rPr>
              <w:t>MCH POPULATION DOMAIN</w:t>
            </w:r>
          </w:p>
          <w:p w14:paraId="01398B9A"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17AD4C0B" w14:textId="77777777" w:rsidR="004106D5" w:rsidRDefault="004106D5" w:rsidP="000C7A5D">
            <w:pPr>
              <w:spacing w:after="0" w:line="240" w:lineRule="auto"/>
              <w:rPr>
                <w:rFonts w:ascii="Arial" w:hAnsi="Arial" w:cs="Arial"/>
                <w:sz w:val="20"/>
                <w:szCs w:val="20"/>
              </w:rPr>
            </w:pPr>
          </w:p>
          <w:p w14:paraId="6E4B0535" w14:textId="77777777" w:rsidR="004106D5" w:rsidRDefault="004106D5" w:rsidP="000C7A5D">
            <w:pPr>
              <w:spacing w:after="0" w:line="240" w:lineRule="auto"/>
              <w:rPr>
                <w:rFonts w:ascii="Arial" w:hAnsi="Arial" w:cs="Arial"/>
                <w:sz w:val="20"/>
                <w:szCs w:val="20"/>
              </w:rPr>
            </w:pPr>
            <w:r w:rsidRPr="00DD16CC">
              <w:rPr>
                <w:rFonts w:ascii="Arial" w:hAnsi="Arial" w:cs="Arial"/>
                <w:sz w:val="20"/>
                <w:szCs w:val="20"/>
              </w:rPr>
              <w:t>Children with Special Health Care Needs</w:t>
            </w:r>
            <w:r>
              <w:rPr>
                <w:rFonts w:ascii="Arial" w:hAnsi="Arial" w:cs="Arial"/>
                <w:sz w:val="20"/>
                <w:szCs w:val="20"/>
              </w:rPr>
              <w:t xml:space="preserve"> or All Adolescents (CSHCN and non-CSHCN)</w:t>
            </w:r>
          </w:p>
          <w:p w14:paraId="4F13A4F9" w14:textId="77777777" w:rsidR="004106D5" w:rsidRPr="00531366" w:rsidRDefault="004106D5" w:rsidP="000C7A5D">
            <w:pPr>
              <w:spacing w:after="0" w:line="240" w:lineRule="auto"/>
              <w:rPr>
                <w:rFonts w:ascii="Arial" w:hAnsi="Arial" w:cs="Arial"/>
                <w:sz w:val="20"/>
                <w:szCs w:val="20"/>
              </w:rPr>
            </w:pPr>
          </w:p>
        </w:tc>
      </w:tr>
      <w:tr w:rsidR="004106D5" w:rsidRPr="00515E1C" w14:paraId="2956DA59" w14:textId="77777777" w:rsidTr="000C7A5D">
        <w:tc>
          <w:tcPr>
            <w:tcW w:w="3618" w:type="dxa"/>
            <w:shd w:val="clear" w:color="auto" w:fill="auto"/>
          </w:tcPr>
          <w:p w14:paraId="5FF947B2"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SIGNIFICANCE</w:t>
            </w:r>
          </w:p>
        </w:tc>
        <w:tc>
          <w:tcPr>
            <w:tcW w:w="5940" w:type="dxa"/>
            <w:gridSpan w:val="2"/>
            <w:shd w:val="clear" w:color="auto" w:fill="auto"/>
          </w:tcPr>
          <w:p w14:paraId="79405D0A" w14:textId="2E656DAD" w:rsidR="004106D5" w:rsidRDefault="004106D5" w:rsidP="000C7A5D">
            <w:pPr>
              <w:spacing w:after="0" w:line="240" w:lineRule="auto"/>
              <w:rPr>
                <w:rFonts w:ascii="Arial" w:hAnsi="Arial" w:cs="Arial"/>
                <w:noProof/>
                <w:sz w:val="20"/>
                <w:szCs w:val="20"/>
              </w:rPr>
            </w:pPr>
            <w:r w:rsidRPr="00531366">
              <w:rPr>
                <w:rFonts w:ascii="Arial" w:hAnsi="Arial" w:cs="Arial"/>
                <w:noProof/>
                <w:sz w:val="20"/>
                <w:szCs w:val="20"/>
              </w:rPr>
              <w:t>The transition of youth to adulthood</w:t>
            </w:r>
            <w:r w:rsidR="009D2976">
              <w:rPr>
                <w:rFonts w:ascii="Arial" w:hAnsi="Arial" w:cs="Arial"/>
                <w:noProof/>
                <w:sz w:val="20"/>
                <w:szCs w:val="20"/>
              </w:rPr>
              <w:t>, including the movement from a child to an adult model of healthcare,</w:t>
            </w:r>
            <w:r w:rsidRPr="00531366">
              <w:rPr>
                <w:rFonts w:ascii="Arial" w:hAnsi="Arial" w:cs="Arial"/>
                <w:noProof/>
                <w:sz w:val="20"/>
                <w:szCs w:val="20"/>
              </w:rPr>
              <w:t xml:space="preserve"> has become a priority issue nationwide as evidenced by the </w:t>
            </w:r>
            <w:r w:rsidR="009D2976">
              <w:rPr>
                <w:rFonts w:ascii="Arial" w:hAnsi="Arial" w:cs="Arial"/>
                <w:noProof/>
                <w:sz w:val="20"/>
                <w:szCs w:val="20"/>
              </w:rPr>
              <w:t xml:space="preserve">2011 </w:t>
            </w:r>
            <w:r w:rsidRPr="00531366">
              <w:rPr>
                <w:rFonts w:ascii="Arial" w:hAnsi="Arial" w:cs="Arial"/>
                <w:noProof/>
                <w:sz w:val="20"/>
                <w:szCs w:val="20"/>
              </w:rPr>
              <w:t xml:space="preserve">clinical report and algorithm developed jointly by the AAP, American Academy of Family Physicians and American College of Physicians to improve healthcare transitions for all youth and families.  </w:t>
            </w:r>
            <w:r w:rsidR="009D2976">
              <w:rPr>
                <w:rFonts w:ascii="Arial" w:hAnsi="Arial" w:cs="Arial"/>
                <w:noProof/>
                <w:sz w:val="20"/>
                <w:szCs w:val="20"/>
              </w:rPr>
              <w:t xml:space="preserve">Poor health has the potential to impact negatively the youth and </w:t>
            </w:r>
            <w:r w:rsidR="004D449A">
              <w:rPr>
                <w:rFonts w:ascii="Arial" w:hAnsi="Arial" w:cs="Arial"/>
                <w:noProof/>
                <w:sz w:val="20"/>
                <w:szCs w:val="20"/>
              </w:rPr>
              <w:t xml:space="preserve">young </w:t>
            </w:r>
            <w:r w:rsidR="009D2976">
              <w:rPr>
                <w:rFonts w:ascii="Arial" w:hAnsi="Arial" w:cs="Arial"/>
                <w:noProof/>
                <w:sz w:val="20"/>
                <w:szCs w:val="20"/>
              </w:rPr>
              <w:t xml:space="preserve">adults’ </w:t>
            </w:r>
            <w:r w:rsidR="004D449A">
              <w:rPr>
                <w:rFonts w:ascii="Arial" w:hAnsi="Arial" w:cs="Arial"/>
                <w:noProof/>
                <w:sz w:val="20"/>
                <w:szCs w:val="20"/>
              </w:rPr>
              <w:t xml:space="preserve">academic and vocational outcomes.  </w:t>
            </w:r>
            <w:r w:rsidRPr="00531366">
              <w:rPr>
                <w:rFonts w:ascii="Arial" w:hAnsi="Arial" w:cs="Arial"/>
                <w:noProof/>
                <w:sz w:val="20"/>
                <w:szCs w:val="20"/>
              </w:rPr>
              <w:t>Over 90 percent of children with special health care needs now live to adulthood, but are less likely than their non-disabled peers to complete high school, attend college or to be employed.  Health and health care are cited as two of the major barriers to making successful transitions.</w:t>
            </w:r>
          </w:p>
          <w:p w14:paraId="353E3F9F" w14:textId="77777777" w:rsidR="004106D5" w:rsidRDefault="004106D5" w:rsidP="000C7A5D">
            <w:pPr>
              <w:spacing w:after="0" w:line="240" w:lineRule="auto"/>
              <w:rPr>
                <w:rFonts w:ascii="Arial" w:hAnsi="Arial" w:cs="Arial"/>
                <w:noProof/>
                <w:sz w:val="20"/>
                <w:szCs w:val="20"/>
              </w:rPr>
            </w:pPr>
          </w:p>
          <w:p w14:paraId="301B7B53" w14:textId="77777777" w:rsidR="004106D5" w:rsidRPr="00531366" w:rsidRDefault="004106D5" w:rsidP="000C7A5D">
            <w:pPr>
              <w:spacing w:after="0" w:line="240" w:lineRule="auto"/>
              <w:rPr>
                <w:rFonts w:ascii="Arial" w:hAnsi="Arial" w:cs="Arial"/>
                <w:sz w:val="20"/>
                <w:szCs w:val="20"/>
              </w:rPr>
            </w:pPr>
            <w:r w:rsidRPr="002A0ACA">
              <w:rPr>
                <w:rFonts w:ascii="Arial" w:hAnsi="Arial" w:cs="Arial"/>
                <w:sz w:val="18"/>
                <w:szCs w:val="18"/>
              </w:rPr>
              <w:t xml:space="preserve">American Academy of Pediatrics; American Academy of Family Physicians; American College of Physicians-American Society of Internal Medicine. A consensus statement on health care transitions for young adults with special health care needs. Pediatrics. 2002 Dec;110(6 Pt 2):1304-6. </w:t>
            </w:r>
            <w:hyperlink r:id="rId137" w:history="1">
              <w:r w:rsidRPr="002A0ACA">
                <w:rPr>
                  <w:rFonts w:ascii="Arial" w:hAnsi="Arial" w:cs="Arial"/>
                  <w:color w:val="0000FF"/>
                  <w:sz w:val="18"/>
                  <w:szCs w:val="18"/>
                  <w:u w:val="single"/>
                </w:rPr>
                <w:t>http://pediatrics.aappublications.org/content/110/Supplement_3/1304</w:t>
              </w:r>
            </w:hyperlink>
          </w:p>
        </w:tc>
      </w:tr>
      <w:tr w:rsidR="004106D5" w:rsidRPr="00515E1C" w14:paraId="73D465A0" w14:textId="77777777" w:rsidTr="000C7A5D">
        <w:tc>
          <w:tcPr>
            <w:tcW w:w="3618" w:type="dxa"/>
            <w:shd w:val="clear" w:color="auto" w:fill="auto"/>
          </w:tcPr>
          <w:p w14:paraId="04034ED8" w14:textId="77777777" w:rsidR="004106D5" w:rsidRPr="00531366" w:rsidRDefault="004106D5" w:rsidP="000C7A5D">
            <w:pPr>
              <w:spacing w:after="0" w:line="240" w:lineRule="auto"/>
              <w:rPr>
                <w:rFonts w:ascii="Arial" w:hAnsi="Arial" w:cs="Arial"/>
                <w:sz w:val="20"/>
                <w:szCs w:val="20"/>
              </w:rPr>
            </w:pPr>
          </w:p>
        </w:tc>
        <w:tc>
          <w:tcPr>
            <w:tcW w:w="5940" w:type="dxa"/>
            <w:gridSpan w:val="2"/>
            <w:shd w:val="clear" w:color="auto" w:fill="auto"/>
          </w:tcPr>
          <w:p w14:paraId="0DF46507" w14:textId="77777777" w:rsidR="004106D5" w:rsidRPr="00531366" w:rsidRDefault="004106D5" w:rsidP="000C7A5D">
            <w:pPr>
              <w:spacing w:after="0" w:line="240" w:lineRule="auto"/>
              <w:rPr>
                <w:rFonts w:ascii="Arial" w:hAnsi="Arial" w:cs="Arial"/>
                <w:sz w:val="20"/>
                <w:szCs w:val="20"/>
              </w:rPr>
            </w:pPr>
          </w:p>
        </w:tc>
      </w:tr>
    </w:tbl>
    <w:p w14:paraId="364BB226" w14:textId="77777777" w:rsidR="004106D5" w:rsidRDefault="004106D5" w:rsidP="004106D5">
      <w:pPr>
        <w:spacing w:after="0" w:line="240" w:lineRule="auto"/>
      </w:pPr>
    </w:p>
    <w:p w14:paraId="10FE1B92" w14:textId="77777777" w:rsidR="004106D5" w:rsidRDefault="004106D5" w:rsidP="004106D5">
      <w:pPr>
        <w:spacing w:after="0" w:line="240" w:lineRule="auto"/>
      </w:pPr>
      <w:r>
        <w:br w:type="page"/>
      </w:r>
    </w:p>
    <w:tbl>
      <w:tblPr>
        <w:tblW w:w="0" w:type="auto"/>
        <w:tblLook w:val="04A0" w:firstRow="1" w:lastRow="0" w:firstColumn="1" w:lastColumn="0" w:noHBand="0" w:noVBand="1"/>
      </w:tblPr>
      <w:tblGrid>
        <w:gridCol w:w="3618"/>
        <w:gridCol w:w="5868"/>
      </w:tblGrid>
      <w:tr w:rsidR="004106D5" w:rsidRPr="003F48A1" w14:paraId="43F198DD" w14:textId="77777777" w:rsidTr="000C7A5D">
        <w:tc>
          <w:tcPr>
            <w:tcW w:w="3618" w:type="dxa"/>
            <w:shd w:val="clear" w:color="auto" w:fill="auto"/>
          </w:tcPr>
          <w:p w14:paraId="7F74799D" w14:textId="77777777" w:rsidR="004106D5" w:rsidRPr="00531366" w:rsidRDefault="004106D5" w:rsidP="000C7A5D">
            <w:pPr>
              <w:spacing w:after="0" w:line="240" w:lineRule="auto"/>
              <w:rPr>
                <w:rFonts w:ascii="Arial" w:hAnsi="Arial" w:cs="Arial"/>
                <w:b/>
                <w:sz w:val="24"/>
                <w:szCs w:val="24"/>
              </w:rPr>
            </w:pPr>
            <w:r>
              <w:br w:type="page"/>
            </w:r>
            <w:r w:rsidRPr="00531366">
              <w:rPr>
                <w:rFonts w:ascii="Arial" w:hAnsi="Arial" w:cs="Arial"/>
                <w:b/>
                <w:sz w:val="24"/>
                <w:szCs w:val="24"/>
              </w:rPr>
              <w:t xml:space="preserve">PERFORMANCE MEASURE </w:t>
            </w:r>
            <w:r w:rsidRPr="00531366">
              <w:rPr>
                <w:rFonts w:ascii="Arial" w:hAnsi="Arial" w:cs="Arial"/>
                <w:b/>
                <w:noProof/>
                <w:sz w:val="24"/>
                <w:szCs w:val="24"/>
              </w:rPr>
              <w:t>1</w:t>
            </w:r>
            <w:r>
              <w:rPr>
                <w:rFonts w:ascii="Arial" w:hAnsi="Arial" w:cs="Arial"/>
                <w:b/>
                <w:noProof/>
                <w:sz w:val="24"/>
                <w:szCs w:val="24"/>
              </w:rPr>
              <w:t>3</w:t>
            </w:r>
          </w:p>
        </w:tc>
        <w:tc>
          <w:tcPr>
            <w:tcW w:w="5868" w:type="dxa"/>
            <w:shd w:val="clear" w:color="auto" w:fill="auto"/>
          </w:tcPr>
          <w:p w14:paraId="326A8A7A" w14:textId="353DBDCB" w:rsidR="004106D5" w:rsidRPr="00531366" w:rsidRDefault="00CC7C63" w:rsidP="000C7A5D">
            <w:pPr>
              <w:spacing w:after="0" w:line="240" w:lineRule="auto"/>
              <w:rPr>
                <w:rFonts w:ascii="Arial" w:hAnsi="Arial" w:cs="Arial"/>
                <w:b/>
                <w:noProof/>
                <w:sz w:val="24"/>
                <w:szCs w:val="24"/>
              </w:rPr>
            </w:pPr>
            <w:r>
              <w:rPr>
                <w:rFonts w:ascii="Arial" w:hAnsi="Arial" w:cs="Arial"/>
                <w:b/>
                <w:noProof/>
                <w:sz w:val="24"/>
                <w:szCs w:val="24"/>
              </w:rPr>
              <w:t>13.1</w:t>
            </w:r>
            <w:r w:rsidR="004106D5" w:rsidRPr="00531366">
              <w:rPr>
                <w:rFonts w:ascii="Arial" w:hAnsi="Arial" w:cs="Arial"/>
                <w:b/>
                <w:noProof/>
                <w:sz w:val="24"/>
                <w:szCs w:val="24"/>
              </w:rPr>
              <w:t xml:space="preserve"> Percent of women who had a </w:t>
            </w:r>
            <w:r w:rsidR="004106D5">
              <w:rPr>
                <w:rFonts w:ascii="Arial" w:hAnsi="Arial" w:cs="Arial"/>
                <w:b/>
                <w:noProof/>
                <w:sz w:val="24"/>
                <w:szCs w:val="24"/>
              </w:rPr>
              <w:t xml:space="preserve">preventive </w:t>
            </w:r>
            <w:r w:rsidR="004106D5" w:rsidRPr="00531366">
              <w:rPr>
                <w:rFonts w:ascii="Arial" w:hAnsi="Arial" w:cs="Arial"/>
                <w:b/>
                <w:noProof/>
                <w:sz w:val="24"/>
                <w:szCs w:val="24"/>
              </w:rPr>
              <w:t xml:space="preserve">dental visit during pregnancy </w:t>
            </w:r>
          </w:p>
          <w:p w14:paraId="3C4F2956" w14:textId="6514C0E2" w:rsidR="004106D5" w:rsidRPr="00531366" w:rsidRDefault="00CC7C63" w:rsidP="00CC7C63">
            <w:pPr>
              <w:spacing w:after="0" w:line="240" w:lineRule="auto"/>
              <w:rPr>
                <w:rFonts w:ascii="Arial" w:hAnsi="Arial" w:cs="Arial"/>
                <w:b/>
                <w:sz w:val="24"/>
                <w:szCs w:val="24"/>
              </w:rPr>
            </w:pPr>
            <w:r>
              <w:rPr>
                <w:rFonts w:ascii="Arial" w:hAnsi="Arial" w:cs="Arial"/>
                <w:b/>
                <w:noProof/>
                <w:sz w:val="24"/>
                <w:szCs w:val="24"/>
              </w:rPr>
              <w:t>13.2</w:t>
            </w:r>
            <w:r w:rsidR="004106D5" w:rsidRPr="00531366">
              <w:rPr>
                <w:rFonts w:ascii="Arial" w:hAnsi="Arial" w:cs="Arial"/>
                <w:b/>
                <w:noProof/>
                <w:sz w:val="24"/>
                <w:szCs w:val="24"/>
              </w:rPr>
              <w:t xml:space="preserve"> Percent of children, ages 1 </w:t>
            </w:r>
            <w:r w:rsidR="004106D5">
              <w:rPr>
                <w:rFonts w:ascii="Arial" w:hAnsi="Arial" w:cs="Arial"/>
                <w:b/>
                <w:noProof/>
                <w:sz w:val="24"/>
                <w:szCs w:val="24"/>
              </w:rPr>
              <w:t>through 17</w:t>
            </w:r>
            <w:r w:rsidR="004106D5" w:rsidRPr="00531366">
              <w:rPr>
                <w:rFonts w:ascii="Arial" w:hAnsi="Arial" w:cs="Arial"/>
                <w:b/>
                <w:noProof/>
                <w:sz w:val="24"/>
                <w:szCs w:val="24"/>
              </w:rPr>
              <w:t xml:space="preserve">, who had a preventive dental visit in the </w:t>
            </w:r>
            <w:r w:rsidR="004106D5">
              <w:rPr>
                <w:rFonts w:ascii="Arial" w:hAnsi="Arial" w:cs="Arial"/>
                <w:b/>
                <w:noProof/>
                <w:sz w:val="24"/>
                <w:szCs w:val="24"/>
              </w:rPr>
              <w:t>p</w:t>
            </w:r>
            <w:r w:rsidR="004106D5" w:rsidRPr="00531366">
              <w:rPr>
                <w:rFonts w:ascii="Arial" w:hAnsi="Arial" w:cs="Arial"/>
                <w:b/>
                <w:noProof/>
                <w:sz w:val="24"/>
                <w:szCs w:val="24"/>
              </w:rPr>
              <w:t>ast year</w:t>
            </w:r>
          </w:p>
        </w:tc>
      </w:tr>
    </w:tbl>
    <w:p w14:paraId="26824136" w14:textId="77777777" w:rsidR="004106D5" w:rsidRDefault="004106D5" w:rsidP="004106D5">
      <w:pPr>
        <w:spacing w:after="0" w:line="240" w:lineRule="auto"/>
      </w:pPr>
    </w:p>
    <w:p w14:paraId="6E0C6FCF" w14:textId="77777777" w:rsidR="004106D5" w:rsidRDefault="004106D5" w:rsidP="004106D5">
      <w:pPr>
        <w:spacing w:after="0" w:line="240" w:lineRule="auto"/>
      </w:pPr>
      <w:r>
        <w:rPr>
          <w:noProof/>
        </w:rPr>
        <mc:AlternateContent>
          <mc:Choice Requires="wps">
            <w:drawing>
              <wp:anchor distT="4294967295" distB="4294967295" distL="114300" distR="114300" simplePos="0" relativeHeight="251805696" behindDoc="0" locked="0" layoutInCell="1" allowOverlap="1" wp14:anchorId="6191734B" wp14:editId="2400EF2C">
                <wp:simplePos x="0" y="0"/>
                <wp:positionH relativeFrom="column">
                  <wp:posOffset>-60960</wp:posOffset>
                </wp:positionH>
                <wp:positionV relativeFrom="paragraph">
                  <wp:posOffset>31749</wp:posOffset>
                </wp:positionV>
                <wp:extent cx="6088380" cy="0"/>
                <wp:effectExtent l="0" t="0" r="2667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C019528" id="Straight Connector 12" o:spid="_x0000_s1026" style="position:absolute;z-index:251805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" strokecolor="windowText" strokeweight="1.75pt">
                <o:lock v:ext="edit" shapetype="f"/>
              </v:line>
            </w:pict>
          </mc:Fallback>
        </mc:AlternateContent>
      </w:r>
    </w:p>
    <w:tbl>
      <w:tblPr>
        <w:tblW w:w="0" w:type="auto"/>
        <w:tblLook w:val="04A0" w:firstRow="1" w:lastRow="0" w:firstColumn="1" w:lastColumn="0" w:noHBand="0" w:noVBand="1"/>
      </w:tblPr>
      <w:tblGrid>
        <w:gridCol w:w="3618"/>
        <w:gridCol w:w="3384"/>
        <w:gridCol w:w="2556"/>
      </w:tblGrid>
      <w:tr w:rsidR="004106D5" w:rsidRPr="00515E1C" w14:paraId="5E56E30F" w14:textId="77777777" w:rsidTr="000C7A5D">
        <w:tc>
          <w:tcPr>
            <w:tcW w:w="3618" w:type="dxa"/>
            <w:shd w:val="clear" w:color="auto" w:fill="auto"/>
          </w:tcPr>
          <w:p w14:paraId="6E2A4511"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GOAL</w:t>
            </w:r>
          </w:p>
        </w:tc>
        <w:tc>
          <w:tcPr>
            <w:tcW w:w="5940" w:type="dxa"/>
            <w:gridSpan w:val="2"/>
            <w:shd w:val="clear" w:color="auto" w:fill="auto"/>
          </w:tcPr>
          <w:p w14:paraId="66A89A87" w14:textId="6716B9B7" w:rsidR="004106D5" w:rsidRPr="00531366" w:rsidRDefault="00CC7C63" w:rsidP="00CC7C63">
            <w:pPr>
              <w:spacing w:after="0" w:line="240" w:lineRule="auto"/>
              <w:ind w:left="486" w:hanging="486"/>
              <w:rPr>
                <w:rFonts w:ascii="Arial" w:hAnsi="Arial" w:cs="Arial"/>
                <w:noProof/>
                <w:sz w:val="20"/>
                <w:szCs w:val="20"/>
              </w:rPr>
            </w:pPr>
            <w:r>
              <w:rPr>
                <w:rFonts w:ascii="Arial" w:hAnsi="Arial" w:cs="Arial"/>
                <w:noProof/>
                <w:sz w:val="20"/>
                <w:szCs w:val="20"/>
              </w:rPr>
              <w:t>13.1</w:t>
            </w:r>
            <w:r w:rsidR="004106D5" w:rsidRPr="00531366">
              <w:rPr>
                <w:rFonts w:ascii="Arial" w:hAnsi="Arial" w:cs="Arial"/>
                <w:noProof/>
                <w:sz w:val="20"/>
                <w:szCs w:val="20"/>
              </w:rPr>
              <w:t xml:space="preserve"> To increase the number of pregnant women who have a dental visit </w:t>
            </w:r>
            <w:r w:rsidR="004106D5">
              <w:rPr>
                <w:rFonts w:ascii="Arial" w:hAnsi="Arial" w:cs="Arial"/>
                <w:noProof/>
                <w:sz w:val="20"/>
                <w:szCs w:val="20"/>
              </w:rPr>
              <w:t xml:space="preserve">during pregnancy </w:t>
            </w:r>
            <w:r w:rsidR="004106D5" w:rsidRPr="00531366">
              <w:rPr>
                <w:rFonts w:ascii="Arial" w:hAnsi="Arial" w:cs="Arial"/>
                <w:noProof/>
                <w:sz w:val="20"/>
                <w:szCs w:val="20"/>
              </w:rPr>
              <w:t>and</w:t>
            </w:r>
          </w:p>
          <w:p w14:paraId="6D3D28E6" w14:textId="25F2B989" w:rsidR="004106D5" w:rsidRPr="00531366" w:rsidRDefault="00CC7C63" w:rsidP="00CC7C63">
            <w:pPr>
              <w:spacing w:after="0" w:line="240" w:lineRule="auto"/>
              <w:ind w:left="486" w:hanging="486"/>
              <w:rPr>
                <w:rFonts w:ascii="Arial" w:hAnsi="Arial" w:cs="Arial"/>
                <w:sz w:val="20"/>
                <w:szCs w:val="20"/>
              </w:rPr>
            </w:pPr>
            <w:r>
              <w:rPr>
                <w:rFonts w:ascii="Arial" w:hAnsi="Arial" w:cs="Arial"/>
                <w:noProof/>
                <w:sz w:val="20"/>
                <w:szCs w:val="20"/>
              </w:rPr>
              <w:t>13.2</w:t>
            </w:r>
            <w:r w:rsidR="004106D5" w:rsidRPr="00531366">
              <w:rPr>
                <w:rFonts w:ascii="Arial" w:hAnsi="Arial" w:cs="Arial"/>
                <w:noProof/>
                <w:sz w:val="20"/>
                <w:szCs w:val="20"/>
              </w:rPr>
              <w:t xml:space="preserve"> To increase the number of children, ages 1 </w:t>
            </w:r>
            <w:r w:rsidR="004106D5">
              <w:rPr>
                <w:rFonts w:ascii="Arial" w:hAnsi="Arial" w:cs="Arial"/>
                <w:noProof/>
                <w:sz w:val="20"/>
                <w:szCs w:val="20"/>
              </w:rPr>
              <w:t>through 17</w:t>
            </w:r>
            <w:r w:rsidR="004106D5" w:rsidRPr="00531366">
              <w:rPr>
                <w:rFonts w:ascii="Arial" w:hAnsi="Arial" w:cs="Arial"/>
                <w:noProof/>
                <w:sz w:val="20"/>
                <w:szCs w:val="20"/>
              </w:rPr>
              <w:t xml:space="preserve">, who had a preventive dental visit in the </w:t>
            </w:r>
            <w:r w:rsidR="004106D5">
              <w:rPr>
                <w:rFonts w:ascii="Arial" w:hAnsi="Arial" w:cs="Arial"/>
                <w:noProof/>
                <w:sz w:val="20"/>
                <w:szCs w:val="20"/>
              </w:rPr>
              <w:t>p</w:t>
            </w:r>
            <w:r w:rsidR="004106D5" w:rsidRPr="00531366">
              <w:rPr>
                <w:rFonts w:ascii="Arial" w:hAnsi="Arial" w:cs="Arial"/>
                <w:noProof/>
                <w:sz w:val="20"/>
                <w:szCs w:val="20"/>
              </w:rPr>
              <w:t>ast year.</w:t>
            </w:r>
          </w:p>
        </w:tc>
      </w:tr>
      <w:tr w:rsidR="004106D5" w:rsidRPr="00515E1C" w14:paraId="1B69CCBB" w14:textId="77777777" w:rsidTr="000C7A5D">
        <w:tc>
          <w:tcPr>
            <w:tcW w:w="3618" w:type="dxa"/>
            <w:shd w:val="clear" w:color="auto" w:fill="auto"/>
          </w:tcPr>
          <w:p w14:paraId="465198AE"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435B2A12" w14:textId="77777777" w:rsidR="004106D5" w:rsidRPr="00531366" w:rsidRDefault="004106D5" w:rsidP="000C7A5D">
            <w:pPr>
              <w:spacing w:after="0" w:line="240" w:lineRule="auto"/>
              <w:rPr>
                <w:rFonts w:ascii="Arial" w:hAnsi="Arial" w:cs="Arial"/>
                <w:sz w:val="20"/>
                <w:szCs w:val="20"/>
              </w:rPr>
            </w:pPr>
          </w:p>
        </w:tc>
      </w:tr>
      <w:tr w:rsidR="004106D5" w:rsidRPr="00515E1C" w14:paraId="65DE2708" w14:textId="77777777" w:rsidTr="000C7A5D">
        <w:tc>
          <w:tcPr>
            <w:tcW w:w="3618" w:type="dxa"/>
            <w:shd w:val="clear" w:color="auto" w:fill="auto"/>
          </w:tcPr>
          <w:p w14:paraId="44DFF3C1"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DEFINITION</w:t>
            </w:r>
          </w:p>
        </w:tc>
        <w:tc>
          <w:tcPr>
            <w:tcW w:w="5940" w:type="dxa"/>
            <w:gridSpan w:val="2"/>
            <w:shd w:val="clear" w:color="auto" w:fill="auto"/>
          </w:tcPr>
          <w:p w14:paraId="5E971A70"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Numerator:</w:t>
            </w:r>
          </w:p>
        </w:tc>
      </w:tr>
      <w:tr w:rsidR="004106D5" w:rsidRPr="00515E1C" w14:paraId="06752E0F" w14:textId="77777777" w:rsidTr="000C7A5D">
        <w:tc>
          <w:tcPr>
            <w:tcW w:w="3618" w:type="dxa"/>
            <w:shd w:val="clear" w:color="auto" w:fill="auto"/>
          </w:tcPr>
          <w:p w14:paraId="168C50C6"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200380DE" w14:textId="571A598A" w:rsidR="004106D5" w:rsidRPr="00531366" w:rsidRDefault="00CC7C63" w:rsidP="00CC7C63">
            <w:pPr>
              <w:spacing w:after="0" w:line="240" w:lineRule="auto"/>
              <w:ind w:left="486" w:hanging="486"/>
              <w:rPr>
                <w:rFonts w:ascii="Arial" w:hAnsi="Arial" w:cs="Arial"/>
                <w:noProof/>
                <w:sz w:val="20"/>
                <w:szCs w:val="20"/>
              </w:rPr>
            </w:pPr>
            <w:r>
              <w:rPr>
                <w:rFonts w:ascii="Arial" w:hAnsi="Arial" w:cs="Arial"/>
                <w:noProof/>
                <w:sz w:val="20"/>
                <w:szCs w:val="20"/>
              </w:rPr>
              <w:t>13.1</w:t>
            </w:r>
            <w:r w:rsidR="004106D5" w:rsidRPr="00531366">
              <w:rPr>
                <w:rFonts w:ascii="Arial" w:hAnsi="Arial" w:cs="Arial"/>
                <w:noProof/>
                <w:sz w:val="20"/>
                <w:szCs w:val="20"/>
              </w:rPr>
              <w:t xml:space="preserve"> </w:t>
            </w:r>
            <w:r>
              <w:rPr>
                <w:rFonts w:ascii="Arial" w:hAnsi="Arial" w:cs="Arial"/>
                <w:noProof/>
                <w:sz w:val="20"/>
                <w:szCs w:val="20"/>
              </w:rPr>
              <w:t xml:space="preserve"> </w:t>
            </w:r>
            <w:r w:rsidR="004106D5">
              <w:rPr>
                <w:rFonts w:ascii="Arial" w:hAnsi="Arial" w:cs="Arial"/>
                <w:noProof/>
                <w:sz w:val="20"/>
                <w:szCs w:val="20"/>
              </w:rPr>
              <w:t>Number of women who had</w:t>
            </w:r>
            <w:r w:rsidR="004106D5" w:rsidRPr="00531366">
              <w:rPr>
                <w:rFonts w:ascii="Arial" w:hAnsi="Arial" w:cs="Arial"/>
                <w:noProof/>
                <w:sz w:val="20"/>
                <w:szCs w:val="20"/>
              </w:rPr>
              <w:t xml:space="preserve"> a </w:t>
            </w:r>
            <w:r w:rsidR="004106D5">
              <w:rPr>
                <w:rFonts w:ascii="Arial" w:hAnsi="Arial" w:cs="Arial"/>
                <w:noProof/>
                <w:sz w:val="20"/>
                <w:szCs w:val="20"/>
              </w:rPr>
              <w:t xml:space="preserve">preventive </w:t>
            </w:r>
            <w:r w:rsidR="004106D5" w:rsidRPr="00531366">
              <w:rPr>
                <w:rFonts w:ascii="Arial" w:hAnsi="Arial" w:cs="Arial"/>
                <w:noProof/>
                <w:sz w:val="20"/>
                <w:szCs w:val="20"/>
              </w:rPr>
              <w:t>dental visit during pregnancy</w:t>
            </w:r>
          </w:p>
          <w:p w14:paraId="41737C52" w14:textId="74278853" w:rsidR="004106D5" w:rsidRPr="00531366" w:rsidRDefault="00CC7C63" w:rsidP="00CC7C63">
            <w:pPr>
              <w:spacing w:after="0" w:line="240" w:lineRule="auto"/>
              <w:ind w:left="486" w:hanging="486"/>
              <w:rPr>
                <w:rFonts w:ascii="Arial" w:hAnsi="Arial" w:cs="Arial"/>
                <w:sz w:val="20"/>
                <w:szCs w:val="20"/>
              </w:rPr>
            </w:pPr>
            <w:r>
              <w:rPr>
                <w:rFonts w:ascii="Arial" w:hAnsi="Arial" w:cs="Arial"/>
                <w:noProof/>
                <w:sz w:val="20"/>
                <w:szCs w:val="20"/>
              </w:rPr>
              <w:t xml:space="preserve">13.2  </w:t>
            </w:r>
            <w:r w:rsidR="004106D5">
              <w:rPr>
                <w:rFonts w:ascii="Arial" w:hAnsi="Arial" w:cs="Arial"/>
                <w:noProof/>
                <w:sz w:val="20"/>
                <w:szCs w:val="20"/>
              </w:rPr>
              <w:t>Number of infant or child, ages 1 through 17</w:t>
            </w:r>
            <w:r w:rsidR="004106D5" w:rsidRPr="00531366">
              <w:rPr>
                <w:rFonts w:ascii="Arial" w:hAnsi="Arial" w:cs="Arial"/>
                <w:noProof/>
                <w:sz w:val="20"/>
                <w:szCs w:val="20"/>
              </w:rPr>
              <w:t xml:space="preserve">, who had a preventive dental visit in the </w:t>
            </w:r>
            <w:r w:rsidR="004106D5">
              <w:rPr>
                <w:rFonts w:ascii="Arial" w:hAnsi="Arial" w:cs="Arial"/>
                <w:noProof/>
                <w:sz w:val="20"/>
                <w:szCs w:val="20"/>
              </w:rPr>
              <w:t>p</w:t>
            </w:r>
            <w:r w:rsidR="004106D5" w:rsidRPr="00531366">
              <w:rPr>
                <w:rFonts w:ascii="Arial" w:hAnsi="Arial" w:cs="Arial"/>
                <w:noProof/>
                <w:sz w:val="20"/>
                <w:szCs w:val="20"/>
              </w:rPr>
              <w:t>ast year</w:t>
            </w:r>
          </w:p>
        </w:tc>
      </w:tr>
      <w:tr w:rsidR="004106D5" w:rsidRPr="00515E1C" w14:paraId="0C1D5D7D" w14:textId="77777777" w:rsidTr="000C7A5D">
        <w:tc>
          <w:tcPr>
            <w:tcW w:w="3618" w:type="dxa"/>
            <w:shd w:val="clear" w:color="auto" w:fill="auto"/>
          </w:tcPr>
          <w:p w14:paraId="5874A7E0"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0E591F95" w14:textId="77777777" w:rsidR="004106D5" w:rsidRPr="00531366" w:rsidRDefault="004106D5" w:rsidP="000C7A5D">
            <w:pPr>
              <w:spacing w:after="0" w:line="240" w:lineRule="auto"/>
              <w:rPr>
                <w:rFonts w:ascii="Arial" w:hAnsi="Arial" w:cs="Arial"/>
                <w:sz w:val="20"/>
                <w:szCs w:val="20"/>
              </w:rPr>
            </w:pPr>
          </w:p>
        </w:tc>
      </w:tr>
      <w:tr w:rsidR="004106D5" w:rsidRPr="00515E1C" w14:paraId="75E8BBB9" w14:textId="77777777" w:rsidTr="000C7A5D">
        <w:tc>
          <w:tcPr>
            <w:tcW w:w="3618" w:type="dxa"/>
            <w:shd w:val="clear" w:color="auto" w:fill="auto"/>
          </w:tcPr>
          <w:p w14:paraId="5D984D64"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36DDCC05"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Denominator:</w:t>
            </w:r>
          </w:p>
        </w:tc>
      </w:tr>
      <w:tr w:rsidR="004106D5" w:rsidRPr="00515E1C" w14:paraId="5494A394" w14:textId="77777777" w:rsidTr="000C7A5D">
        <w:tc>
          <w:tcPr>
            <w:tcW w:w="3618" w:type="dxa"/>
            <w:shd w:val="clear" w:color="auto" w:fill="auto"/>
          </w:tcPr>
          <w:p w14:paraId="7C769539"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6C47B6FF" w14:textId="075DB7EB" w:rsidR="004106D5" w:rsidRPr="00531366" w:rsidRDefault="00CC7C63" w:rsidP="000C7A5D">
            <w:pPr>
              <w:spacing w:after="0" w:line="240" w:lineRule="auto"/>
              <w:rPr>
                <w:rFonts w:ascii="Arial" w:hAnsi="Arial" w:cs="Arial"/>
                <w:noProof/>
                <w:sz w:val="20"/>
                <w:szCs w:val="20"/>
              </w:rPr>
            </w:pPr>
            <w:r>
              <w:rPr>
                <w:rFonts w:ascii="Arial" w:hAnsi="Arial" w:cs="Arial"/>
                <w:noProof/>
                <w:sz w:val="20"/>
                <w:szCs w:val="20"/>
              </w:rPr>
              <w:t xml:space="preserve">13.1  </w:t>
            </w:r>
            <w:r w:rsidR="004106D5">
              <w:rPr>
                <w:rFonts w:ascii="Arial" w:hAnsi="Arial" w:cs="Arial"/>
                <w:noProof/>
                <w:sz w:val="20"/>
                <w:szCs w:val="20"/>
              </w:rPr>
              <w:t>Number of</w:t>
            </w:r>
            <w:r w:rsidR="004106D5" w:rsidRPr="00531366">
              <w:rPr>
                <w:rFonts w:ascii="Arial" w:hAnsi="Arial" w:cs="Arial"/>
                <w:noProof/>
                <w:sz w:val="20"/>
                <w:szCs w:val="20"/>
              </w:rPr>
              <w:t xml:space="preserve"> live births </w:t>
            </w:r>
          </w:p>
          <w:p w14:paraId="16444841" w14:textId="33A62311" w:rsidR="004106D5" w:rsidRPr="00531366" w:rsidRDefault="00CC7C63" w:rsidP="00326961">
            <w:pPr>
              <w:spacing w:after="0" w:line="240" w:lineRule="auto"/>
              <w:rPr>
                <w:rFonts w:ascii="Arial" w:hAnsi="Arial" w:cs="Arial"/>
                <w:sz w:val="20"/>
                <w:szCs w:val="20"/>
              </w:rPr>
            </w:pPr>
            <w:r>
              <w:rPr>
                <w:rFonts w:ascii="Arial" w:hAnsi="Arial" w:cs="Arial"/>
                <w:noProof/>
                <w:sz w:val="20"/>
                <w:szCs w:val="20"/>
              </w:rPr>
              <w:t xml:space="preserve">13.2  </w:t>
            </w:r>
            <w:r w:rsidR="004106D5">
              <w:rPr>
                <w:rFonts w:ascii="Arial" w:hAnsi="Arial" w:cs="Arial"/>
                <w:noProof/>
                <w:sz w:val="20"/>
                <w:szCs w:val="20"/>
              </w:rPr>
              <w:t>Number of</w:t>
            </w:r>
            <w:r w:rsidR="004106D5" w:rsidRPr="00531366">
              <w:rPr>
                <w:rFonts w:ascii="Arial" w:hAnsi="Arial" w:cs="Arial"/>
                <w:noProof/>
                <w:sz w:val="20"/>
                <w:szCs w:val="20"/>
              </w:rPr>
              <w:t xml:space="preserve"> children, ages 1 </w:t>
            </w:r>
            <w:r w:rsidR="004106D5">
              <w:rPr>
                <w:rFonts w:ascii="Arial" w:hAnsi="Arial" w:cs="Arial"/>
                <w:noProof/>
                <w:sz w:val="20"/>
                <w:szCs w:val="20"/>
              </w:rPr>
              <w:t>through 17</w:t>
            </w:r>
          </w:p>
        </w:tc>
      </w:tr>
      <w:tr w:rsidR="004106D5" w:rsidRPr="00515E1C" w14:paraId="245F0D70" w14:textId="77777777" w:rsidTr="000C7A5D">
        <w:tc>
          <w:tcPr>
            <w:tcW w:w="3618" w:type="dxa"/>
            <w:shd w:val="clear" w:color="auto" w:fill="auto"/>
          </w:tcPr>
          <w:p w14:paraId="655446EB"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6D31A39F" w14:textId="77777777" w:rsidR="004106D5" w:rsidRPr="00531366" w:rsidRDefault="004106D5" w:rsidP="000C7A5D">
            <w:pPr>
              <w:spacing w:after="0" w:line="240" w:lineRule="auto"/>
              <w:rPr>
                <w:rFonts w:ascii="Arial" w:hAnsi="Arial" w:cs="Arial"/>
                <w:sz w:val="20"/>
                <w:szCs w:val="20"/>
              </w:rPr>
            </w:pPr>
          </w:p>
        </w:tc>
      </w:tr>
      <w:tr w:rsidR="004106D5" w:rsidRPr="00515E1C" w14:paraId="6C772644" w14:textId="77777777" w:rsidTr="000C7A5D">
        <w:tc>
          <w:tcPr>
            <w:tcW w:w="3618" w:type="dxa"/>
            <w:shd w:val="clear" w:color="auto" w:fill="auto"/>
          </w:tcPr>
          <w:p w14:paraId="6D935322" w14:textId="77777777" w:rsidR="004106D5" w:rsidRPr="00531366" w:rsidRDefault="004106D5" w:rsidP="000C7A5D">
            <w:pPr>
              <w:spacing w:after="0" w:line="240" w:lineRule="auto"/>
              <w:rPr>
                <w:rFonts w:ascii="Arial" w:hAnsi="Arial" w:cs="Arial"/>
                <w:b/>
                <w:sz w:val="20"/>
                <w:szCs w:val="20"/>
              </w:rPr>
            </w:pPr>
          </w:p>
        </w:tc>
        <w:tc>
          <w:tcPr>
            <w:tcW w:w="3384" w:type="dxa"/>
            <w:shd w:val="clear" w:color="auto" w:fill="auto"/>
          </w:tcPr>
          <w:p w14:paraId="47E92A33"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b/>
                <w:sz w:val="20"/>
                <w:szCs w:val="20"/>
              </w:rPr>
              <w:t>Units:</w:t>
            </w:r>
            <w:r w:rsidRPr="00531366">
              <w:rPr>
                <w:rFonts w:ascii="Arial" w:hAnsi="Arial" w:cs="Arial"/>
                <w:sz w:val="20"/>
                <w:szCs w:val="20"/>
              </w:rPr>
              <w:t xml:space="preserve"> </w:t>
            </w:r>
            <w:r w:rsidRPr="00531366">
              <w:rPr>
                <w:rFonts w:ascii="Arial" w:hAnsi="Arial" w:cs="Arial"/>
                <w:noProof/>
                <w:sz w:val="20"/>
                <w:szCs w:val="20"/>
              </w:rPr>
              <w:t>100</w:t>
            </w:r>
          </w:p>
        </w:tc>
        <w:tc>
          <w:tcPr>
            <w:tcW w:w="2556" w:type="dxa"/>
            <w:shd w:val="clear" w:color="auto" w:fill="auto"/>
          </w:tcPr>
          <w:p w14:paraId="5704C144"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b/>
                <w:sz w:val="20"/>
                <w:szCs w:val="20"/>
              </w:rPr>
              <w:t>Text:</w:t>
            </w:r>
            <w:r w:rsidRPr="00531366">
              <w:rPr>
                <w:rFonts w:ascii="Arial" w:hAnsi="Arial" w:cs="Arial"/>
                <w:sz w:val="20"/>
                <w:szCs w:val="20"/>
              </w:rPr>
              <w:t xml:space="preserve"> </w:t>
            </w:r>
            <w:r w:rsidRPr="00531366">
              <w:rPr>
                <w:rFonts w:ascii="Arial" w:hAnsi="Arial" w:cs="Arial"/>
                <w:noProof/>
                <w:sz w:val="20"/>
                <w:szCs w:val="20"/>
              </w:rPr>
              <w:t>Percent</w:t>
            </w:r>
          </w:p>
        </w:tc>
      </w:tr>
      <w:tr w:rsidR="004106D5" w:rsidRPr="00515E1C" w14:paraId="6EE825BC" w14:textId="77777777" w:rsidTr="000C7A5D">
        <w:tc>
          <w:tcPr>
            <w:tcW w:w="3618" w:type="dxa"/>
            <w:shd w:val="clear" w:color="auto" w:fill="auto"/>
          </w:tcPr>
          <w:p w14:paraId="3203F35E"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5C9C2FF1" w14:textId="77777777" w:rsidR="004106D5" w:rsidRPr="00531366" w:rsidRDefault="004106D5" w:rsidP="000C7A5D">
            <w:pPr>
              <w:spacing w:after="0" w:line="240" w:lineRule="auto"/>
              <w:rPr>
                <w:rFonts w:ascii="Arial" w:hAnsi="Arial" w:cs="Arial"/>
                <w:sz w:val="20"/>
                <w:szCs w:val="20"/>
              </w:rPr>
            </w:pPr>
          </w:p>
        </w:tc>
      </w:tr>
      <w:tr w:rsidR="004106D5" w:rsidRPr="00515E1C" w14:paraId="22E0B8A3" w14:textId="77777777" w:rsidTr="000C7A5D">
        <w:tc>
          <w:tcPr>
            <w:tcW w:w="3618" w:type="dxa"/>
            <w:shd w:val="clear" w:color="auto" w:fill="auto"/>
          </w:tcPr>
          <w:p w14:paraId="5AFCA0CB"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HEALTHY PEOPLE 2020 OBJECTIVE</w:t>
            </w:r>
          </w:p>
        </w:tc>
        <w:tc>
          <w:tcPr>
            <w:tcW w:w="5940" w:type="dxa"/>
            <w:gridSpan w:val="2"/>
            <w:shd w:val="clear" w:color="auto" w:fill="auto"/>
          </w:tcPr>
          <w:p w14:paraId="28B1838F" w14:textId="77777777" w:rsidR="004106D5" w:rsidRPr="00531366" w:rsidRDefault="004106D5" w:rsidP="000C7A5D">
            <w:pPr>
              <w:spacing w:after="0" w:line="240" w:lineRule="auto"/>
              <w:rPr>
                <w:rFonts w:ascii="Arial" w:hAnsi="Arial" w:cs="Arial"/>
                <w:noProof/>
                <w:sz w:val="20"/>
                <w:szCs w:val="20"/>
              </w:rPr>
            </w:pPr>
            <w:r w:rsidRPr="00531366">
              <w:rPr>
                <w:rFonts w:ascii="Arial" w:hAnsi="Arial" w:cs="Arial"/>
                <w:noProof/>
                <w:sz w:val="20"/>
                <w:szCs w:val="20"/>
              </w:rPr>
              <w:t xml:space="preserve">Related to Oral Health (OH) Objective 7.  Increase the proportion of children, adolescents, and adults who used the oral health care system in the past year. (Baseline: 44.5%, Target: 49.0%) </w:t>
            </w:r>
          </w:p>
          <w:p w14:paraId="3D10C96F" w14:textId="77777777" w:rsidR="004106D5" w:rsidRPr="00531366" w:rsidRDefault="004106D5" w:rsidP="000C7A5D">
            <w:pPr>
              <w:spacing w:after="0" w:line="240" w:lineRule="auto"/>
              <w:rPr>
                <w:rFonts w:ascii="Arial" w:hAnsi="Arial" w:cs="Arial"/>
                <w:noProof/>
                <w:sz w:val="20"/>
                <w:szCs w:val="20"/>
              </w:rPr>
            </w:pPr>
          </w:p>
          <w:p w14:paraId="480C81EA"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noProof/>
                <w:sz w:val="20"/>
                <w:szCs w:val="20"/>
              </w:rPr>
              <w:t>Related to Oral Health (OH) Objective 8.  Increase the proportion of low-income children and adolescents who receive any preventive dental service during the past year. (Baseline: 30.2%, Target: 33.2%)</w:t>
            </w:r>
          </w:p>
        </w:tc>
      </w:tr>
      <w:tr w:rsidR="004106D5" w:rsidRPr="00515E1C" w14:paraId="670A11AD" w14:textId="77777777" w:rsidTr="000C7A5D">
        <w:tc>
          <w:tcPr>
            <w:tcW w:w="3618" w:type="dxa"/>
            <w:shd w:val="clear" w:color="auto" w:fill="auto"/>
          </w:tcPr>
          <w:p w14:paraId="22181BC2"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11EDB374" w14:textId="77777777" w:rsidR="004106D5" w:rsidRPr="00531366" w:rsidRDefault="004106D5" w:rsidP="000C7A5D">
            <w:pPr>
              <w:spacing w:after="0" w:line="240" w:lineRule="auto"/>
              <w:rPr>
                <w:rFonts w:ascii="Arial" w:hAnsi="Arial" w:cs="Arial"/>
                <w:sz w:val="20"/>
                <w:szCs w:val="20"/>
              </w:rPr>
            </w:pPr>
          </w:p>
        </w:tc>
      </w:tr>
      <w:tr w:rsidR="004106D5" w:rsidRPr="00515E1C" w14:paraId="75CE52EF" w14:textId="77777777" w:rsidTr="000C7A5D">
        <w:tc>
          <w:tcPr>
            <w:tcW w:w="3618" w:type="dxa"/>
            <w:shd w:val="clear" w:color="auto" w:fill="auto"/>
          </w:tcPr>
          <w:p w14:paraId="0854FDF5"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DATA SOURCES and DATA ISSUES</w:t>
            </w:r>
          </w:p>
        </w:tc>
        <w:tc>
          <w:tcPr>
            <w:tcW w:w="5940" w:type="dxa"/>
            <w:gridSpan w:val="2"/>
            <w:shd w:val="clear" w:color="auto" w:fill="auto"/>
          </w:tcPr>
          <w:p w14:paraId="3F9F46E4" w14:textId="6E0FBBAF" w:rsidR="004106D5" w:rsidRPr="00531366" w:rsidRDefault="00326961" w:rsidP="000C7A5D">
            <w:pPr>
              <w:spacing w:after="0" w:line="240" w:lineRule="auto"/>
              <w:rPr>
                <w:rFonts w:ascii="Arial" w:hAnsi="Arial" w:cs="Arial"/>
                <w:noProof/>
                <w:sz w:val="20"/>
                <w:szCs w:val="20"/>
              </w:rPr>
            </w:pPr>
            <w:r>
              <w:rPr>
                <w:rFonts w:ascii="Arial" w:hAnsi="Arial" w:cs="Arial"/>
                <w:noProof/>
                <w:sz w:val="20"/>
                <w:szCs w:val="20"/>
              </w:rPr>
              <w:t>13.1</w:t>
            </w:r>
            <w:r w:rsidR="004106D5" w:rsidRPr="00531366">
              <w:rPr>
                <w:rFonts w:ascii="Arial" w:hAnsi="Arial" w:cs="Arial"/>
                <w:noProof/>
                <w:sz w:val="20"/>
                <w:szCs w:val="20"/>
              </w:rPr>
              <w:t xml:space="preserve"> Pregnancy Risk Assessment Monitoring System (PRAMS) </w:t>
            </w:r>
          </w:p>
          <w:p w14:paraId="5C6F7D15" w14:textId="3C4C54AB" w:rsidR="004106D5" w:rsidRPr="00531366" w:rsidRDefault="00326961" w:rsidP="000C7A5D">
            <w:pPr>
              <w:spacing w:after="0" w:line="240" w:lineRule="auto"/>
              <w:rPr>
                <w:rFonts w:ascii="Arial" w:hAnsi="Arial" w:cs="Arial"/>
                <w:noProof/>
                <w:sz w:val="20"/>
                <w:szCs w:val="20"/>
              </w:rPr>
            </w:pPr>
            <w:r>
              <w:rPr>
                <w:rFonts w:ascii="Arial" w:hAnsi="Arial" w:cs="Arial"/>
                <w:noProof/>
                <w:sz w:val="20"/>
                <w:szCs w:val="20"/>
              </w:rPr>
              <w:t>13.2</w:t>
            </w:r>
            <w:r w:rsidR="004106D5" w:rsidRPr="00531366">
              <w:rPr>
                <w:rFonts w:ascii="Arial" w:hAnsi="Arial" w:cs="Arial"/>
                <w:noProof/>
                <w:sz w:val="20"/>
                <w:szCs w:val="20"/>
              </w:rPr>
              <w:t xml:space="preserve"> National Survey of Children's Health (NSCH) </w:t>
            </w:r>
          </w:p>
          <w:p w14:paraId="3C1E69D1" w14:textId="77777777" w:rsidR="004106D5" w:rsidRPr="00531366" w:rsidRDefault="004106D5" w:rsidP="000C7A5D">
            <w:pPr>
              <w:spacing w:after="0" w:line="240" w:lineRule="auto"/>
              <w:rPr>
                <w:rFonts w:ascii="Arial" w:hAnsi="Arial" w:cs="Arial"/>
                <w:sz w:val="20"/>
                <w:szCs w:val="20"/>
              </w:rPr>
            </w:pPr>
          </w:p>
        </w:tc>
      </w:tr>
      <w:tr w:rsidR="004106D5" w:rsidRPr="00515E1C" w14:paraId="2C3C8D0D" w14:textId="77777777" w:rsidTr="000C7A5D">
        <w:tc>
          <w:tcPr>
            <w:tcW w:w="3618" w:type="dxa"/>
            <w:shd w:val="clear" w:color="auto" w:fill="auto"/>
          </w:tcPr>
          <w:p w14:paraId="07509D21" w14:textId="77777777" w:rsidR="004106D5" w:rsidRDefault="004106D5" w:rsidP="000C7A5D">
            <w:pPr>
              <w:spacing w:after="0" w:line="240" w:lineRule="auto"/>
              <w:rPr>
                <w:rFonts w:ascii="Arial" w:hAnsi="Arial" w:cs="Arial"/>
                <w:b/>
                <w:sz w:val="20"/>
                <w:szCs w:val="20"/>
              </w:rPr>
            </w:pPr>
          </w:p>
          <w:p w14:paraId="3AA8A9AB" w14:textId="77777777" w:rsidR="004106D5" w:rsidRDefault="004106D5" w:rsidP="000C7A5D">
            <w:pPr>
              <w:spacing w:after="0" w:line="240" w:lineRule="auto"/>
              <w:rPr>
                <w:rFonts w:ascii="Arial" w:hAnsi="Arial" w:cs="Arial"/>
                <w:b/>
                <w:sz w:val="20"/>
                <w:szCs w:val="20"/>
              </w:rPr>
            </w:pPr>
            <w:r>
              <w:rPr>
                <w:rFonts w:ascii="Arial" w:hAnsi="Arial" w:cs="Arial"/>
                <w:b/>
                <w:sz w:val="20"/>
                <w:szCs w:val="20"/>
              </w:rPr>
              <w:t>MCH POPULATION DOMAIN</w:t>
            </w:r>
          </w:p>
          <w:p w14:paraId="7381E52D"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5941EA4E" w14:textId="77777777" w:rsidR="004106D5" w:rsidRDefault="004106D5" w:rsidP="000C7A5D">
            <w:pPr>
              <w:spacing w:after="0" w:line="240" w:lineRule="auto"/>
              <w:rPr>
                <w:rFonts w:ascii="Arial" w:hAnsi="Arial" w:cs="Arial"/>
                <w:sz w:val="20"/>
                <w:szCs w:val="20"/>
              </w:rPr>
            </w:pPr>
          </w:p>
          <w:p w14:paraId="50C68F06" w14:textId="77777777" w:rsidR="004106D5" w:rsidRDefault="004106D5" w:rsidP="000C7A5D">
            <w:pPr>
              <w:spacing w:after="0" w:line="240" w:lineRule="auto"/>
              <w:rPr>
                <w:rFonts w:ascii="Arial" w:hAnsi="Arial" w:cs="Arial"/>
                <w:sz w:val="20"/>
                <w:szCs w:val="20"/>
              </w:rPr>
            </w:pPr>
            <w:r>
              <w:rPr>
                <w:rFonts w:ascii="Arial" w:hAnsi="Arial" w:cs="Arial"/>
                <w:sz w:val="20"/>
                <w:szCs w:val="20"/>
              </w:rPr>
              <w:t>Women/Maternal Health, Child Health, and/or Adolescent Heath</w:t>
            </w:r>
          </w:p>
          <w:p w14:paraId="6C69A71A" w14:textId="77777777" w:rsidR="004106D5" w:rsidRPr="00531366" w:rsidRDefault="004106D5" w:rsidP="000C7A5D">
            <w:pPr>
              <w:spacing w:after="0" w:line="240" w:lineRule="auto"/>
              <w:rPr>
                <w:rFonts w:ascii="Arial" w:hAnsi="Arial" w:cs="Arial"/>
                <w:sz w:val="20"/>
                <w:szCs w:val="20"/>
              </w:rPr>
            </w:pPr>
          </w:p>
        </w:tc>
      </w:tr>
      <w:tr w:rsidR="004106D5" w:rsidRPr="00515E1C" w14:paraId="35F0128C" w14:textId="77777777" w:rsidTr="000C7A5D">
        <w:tc>
          <w:tcPr>
            <w:tcW w:w="3618" w:type="dxa"/>
            <w:shd w:val="clear" w:color="auto" w:fill="auto"/>
          </w:tcPr>
          <w:p w14:paraId="29FC0843"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SIGNIFICANCE</w:t>
            </w:r>
          </w:p>
        </w:tc>
        <w:tc>
          <w:tcPr>
            <w:tcW w:w="5940" w:type="dxa"/>
            <w:gridSpan w:val="2"/>
            <w:shd w:val="clear" w:color="auto" w:fill="auto"/>
          </w:tcPr>
          <w:p w14:paraId="44D5B254" w14:textId="77777777" w:rsidR="004106D5" w:rsidRPr="00531366" w:rsidRDefault="004106D5" w:rsidP="000C7A5D">
            <w:pPr>
              <w:spacing w:after="0" w:line="240" w:lineRule="auto"/>
              <w:rPr>
                <w:rFonts w:ascii="Arial" w:hAnsi="Arial" w:cs="Arial"/>
                <w:noProof/>
                <w:sz w:val="20"/>
                <w:szCs w:val="20"/>
              </w:rPr>
            </w:pPr>
            <w:r w:rsidRPr="00531366">
              <w:rPr>
                <w:rFonts w:ascii="Arial" w:hAnsi="Arial" w:cs="Arial"/>
                <w:noProof/>
                <w:sz w:val="20"/>
                <w:szCs w:val="20"/>
              </w:rPr>
              <w:t>Oral health is a vital component of overall health</w:t>
            </w:r>
            <w:r>
              <w:rPr>
                <w:rFonts w:ascii="Arial" w:hAnsi="Arial" w:cs="Arial"/>
                <w:noProof/>
                <w:sz w:val="20"/>
                <w:szCs w:val="20"/>
              </w:rPr>
              <w:t xml:space="preserve"> and o</w:t>
            </w:r>
            <w:r w:rsidRPr="00531366">
              <w:rPr>
                <w:rFonts w:ascii="Arial" w:hAnsi="Arial" w:cs="Arial"/>
                <w:noProof/>
                <w:sz w:val="20"/>
                <w:szCs w:val="20"/>
              </w:rPr>
              <w:t xml:space="preserve">ral health care remains the greatest unmet health need for children. Insufficient access to oral health care and effective preventive services affects children’s health, education, and ability to prosper. </w:t>
            </w:r>
            <w:r>
              <w:rPr>
                <w:rFonts w:ascii="Arial" w:hAnsi="Arial" w:cs="Arial"/>
                <w:noProof/>
                <w:sz w:val="20"/>
                <w:szCs w:val="20"/>
              </w:rPr>
              <w:t>To prevent tooth decay and oral infection, the American Academy of Pediatric Dentistry (AAPD) recommends preventive dental care for all children after the eruption of the first tooth or by 12 months of age, usually at intervals of every 6 months.</w:t>
            </w:r>
            <w:r w:rsidRPr="00531366">
              <w:rPr>
                <w:rFonts w:ascii="Arial" w:hAnsi="Arial" w:cs="Arial"/>
                <w:noProof/>
                <w:sz w:val="20"/>
                <w:szCs w:val="20"/>
              </w:rPr>
              <w:t xml:space="preserve"> </w:t>
            </w:r>
            <w:r>
              <w:rPr>
                <w:rFonts w:ascii="Arial" w:hAnsi="Arial" w:cs="Arial"/>
                <w:noProof/>
                <w:sz w:val="20"/>
                <w:szCs w:val="20"/>
              </w:rPr>
              <w:t xml:space="preserve">Preventive dental care in pregnancy is also recommended by the American College of Obstetricians and Gynecologists (ACOG) to </w:t>
            </w:r>
            <w:r w:rsidRPr="00EF0B36">
              <w:rPr>
                <w:rFonts w:ascii="Arial" w:hAnsi="Arial" w:cs="Arial"/>
                <w:noProof/>
                <w:sz w:val="20"/>
                <w:szCs w:val="20"/>
              </w:rPr>
              <w:t>improve lifelong oral hygiene habits and dietary behavior for women and their families</w:t>
            </w:r>
            <w:r>
              <w:rPr>
                <w:rFonts w:ascii="Arial" w:hAnsi="Arial" w:cs="Arial"/>
                <w:noProof/>
                <w:sz w:val="20"/>
                <w:szCs w:val="20"/>
              </w:rPr>
              <w:t xml:space="preserve">.  </w:t>
            </w:r>
          </w:p>
          <w:p w14:paraId="55271F00" w14:textId="77777777" w:rsidR="004106D5" w:rsidRPr="00531366" w:rsidRDefault="004106D5" w:rsidP="000C7A5D">
            <w:pPr>
              <w:spacing w:after="0" w:line="240" w:lineRule="auto"/>
              <w:rPr>
                <w:rFonts w:ascii="Arial" w:hAnsi="Arial" w:cs="Arial"/>
                <w:noProof/>
                <w:sz w:val="20"/>
                <w:szCs w:val="20"/>
              </w:rPr>
            </w:pPr>
          </w:p>
          <w:p w14:paraId="58DD1EB6" w14:textId="77777777" w:rsidR="004106D5" w:rsidRPr="00531366" w:rsidRDefault="000A3835" w:rsidP="000C7A5D">
            <w:pPr>
              <w:spacing w:after="0" w:line="240" w:lineRule="auto"/>
              <w:rPr>
                <w:rFonts w:ascii="Arial" w:hAnsi="Arial" w:cs="Arial"/>
                <w:sz w:val="20"/>
                <w:szCs w:val="20"/>
              </w:rPr>
            </w:pPr>
            <w:hyperlink r:id="rId138" w:history="1">
              <w:r w:rsidR="004106D5" w:rsidRPr="0000075C">
                <w:rPr>
                  <w:rStyle w:val="Hyperlink"/>
                  <w:rFonts w:ascii="Arial" w:hAnsi="Arial" w:cs="Arial"/>
                  <w:sz w:val="18"/>
                  <w:szCs w:val="18"/>
                </w:rPr>
                <w:t>https://www.mchoralhealth.org/materials/consensus_statement.php</w:t>
              </w:r>
            </w:hyperlink>
            <w:r w:rsidR="004106D5">
              <w:rPr>
                <w:rFonts w:ascii="Arial" w:hAnsi="Arial" w:cs="Arial"/>
                <w:sz w:val="18"/>
                <w:szCs w:val="18"/>
              </w:rPr>
              <w:t xml:space="preserve"> </w:t>
            </w:r>
            <w:hyperlink r:id="rId139" w:history="1">
              <w:r w:rsidR="004106D5" w:rsidRPr="002A0ACA">
                <w:rPr>
                  <w:rFonts w:ascii="Arial" w:hAnsi="Arial" w:cs="Arial"/>
                  <w:color w:val="0000FF"/>
                  <w:sz w:val="18"/>
                  <w:szCs w:val="18"/>
                  <w:u w:val="single"/>
                </w:rPr>
                <w:t>http://www.aapd.org/media/Policies_Guidelines/G_Periodicity7.pdf</w:t>
              </w:r>
            </w:hyperlink>
          </w:p>
        </w:tc>
      </w:tr>
      <w:tr w:rsidR="004106D5" w:rsidRPr="00515E1C" w14:paraId="77886372" w14:textId="77777777" w:rsidTr="000C7A5D">
        <w:tc>
          <w:tcPr>
            <w:tcW w:w="3618" w:type="dxa"/>
            <w:shd w:val="clear" w:color="auto" w:fill="auto"/>
          </w:tcPr>
          <w:p w14:paraId="560443F3" w14:textId="77777777" w:rsidR="004106D5" w:rsidRPr="00531366" w:rsidRDefault="004106D5" w:rsidP="000C7A5D">
            <w:pPr>
              <w:spacing w:after="0" w:line="240" w:lineRule="auto"/>
              <w:rPr>
                <w:rFonts w:ascii="Arial" w:hAnsi="Arial" w:cs="Arial"/>
                <w:sz w:val="20"/>
                <w:szCs w:val="20"/>
              </w:rPr>
            </w:pPr>
          </w:p>
        </w:tc>
        <w:tc>
          <w:tcPr>
            <w:tcW w:w="5940" w:type="dxa"/>
            <w:gridSpan w:val="2"/>
            <w:shd w:val="clear" w:color="auto" w:fill="auto"/>
          </w:tcPr>
          <w:p w14:paraId="7CAF98DD" w14:textId="77777777" w:rsidR="004106D5" w:rsidRPr="00531366" w:rsidRDefault="004106D5" w:rsidP="000C7A5D">
            <w:pPr>
              <w:spacing w:after="0" w:line="240" w:lineRule="auto"/>
              <w:rPr>
                <w:rFonts w:ascii="Arial" w:hAnsi="Arial" w:cs="Arial"/>
                <w:sz w:val="20"/>
                <w:szCs w:val="20"/>
              </w:rPr>
            </w:pPr>
          </w:p>
        </w:tc>
      </w:tr>
    </w:tbl>
    <w:p w14:paraId="465C14B5" w14:textId="77777777" w:rsidR="004106D5" w:rsidRDefault="004106D5" w:rsidP="004106D5">
      <w:pPr>
        <w:spacing w:after="0" w:line="240" w:lineRule="auto"/>
        <w:sectPr w:rsidR="004106D5" w:rsidSect="008A00F6">
          <w:pgSz w:w="12240" w:h="15840"/>
          <w:pgMar w:top="1440" w:right="1440" w:bottom="1440" w:left="1440" w:header="720" w:footer="720" w:gutter="0"/>
          <w:cols w:space="720"/>
          <w:docGrid w:linePitch="360"/>
        </w:sectPr>
      </w:pPr>
    </w:p>
    <w:tbl>
      <w:tblPr>
        <w:tblW w:w="0" w:type="auto"/>
        <w:tblLook w:val="04A0" w:firstRow="1" w:lastRow="0" w:firstColumn="1" w:lastColumn="0" w:noHBand="0" w:noVBand="1"/>
      </w:tblPr>
      <w:tblGrid>
        <w:gridCol w:w="3618"/>
        <w:gridCol w:w="5868"/>
      </w:tblGrid>
      <w:tr w:rsidR="004106D5" w:rsidRPr="003F48A1" w14:paraId="1C7559BF" w14:textId="77777777" w:rsidTr="000C7A5D">
        <w:tc>
          <w:tcPr>
            <w:tcW w:w="3618" w:type="dxa"/>
            <w:shd w:val="clear" w:color="auto" w:fill="auto"/>
          </w:tcPr>
          <w:p w14:paraId="55934D2D" w14:textId="77777777" w:rsidR="004106D5" w:rsidRPr="00531366" w:rsidRDefault="004106D5" w:rsidP="000C7A5D">
            <w:pPr>
              <w:spacing w:after="0" w:line="240" w:lineRule="auto"/>
              <w:rPr>
                <w:rFonts w:ascii="Arial" w:hAnsi="Arial" w:cs="Arial"/>
                <w:b/>
                <w:sz w:val="24"/>
                <w:szCs w:val="24"/>
              </w:rPr>
            </w:pPr>
            <w:r w:rsidRPr="00531366">
              <w:rPr>
                <w:rFonts w:ascii="Arial" w:hAnsi="Arial" w:cs="Arial"/>
                <w:b/>
                <w:sz w:val="24"/>
                <w:szCs w:val="24"/>
              </w:rPr>
              <w:t xml:space="preserve">PERFORMANCE MEASURE </w:t>
            </w:r>
            <w:r>
              <w:rPr>
                <w:rFonts w:ascii="Arial" w:hAnsi="Arial" w:cs="Arial"/>
                <w:b/>
                <w:noProof/>
                <w:sz w:val="24"/>
                <w:szCs w:val="24"/>
              </w:rPr>
              <w:t>14</w:t>
            </w:r>
          </w:p>
        </w:tc>
        <w:tc>
          <w:tcPr>
            <w:tcW w:w="5868" w:type="dxa"/>
            <w:shd w:val="clear" w:color="auto" w:fill="auto"/>
          </w:tcPr>
          <w:p w14:paraId="0F04A6FE" w14:textId="78EC7B38" w:rsidR="004106D5" w:rsidRPr="00531366" w:rsidRDefault="00CC7C63" w:rsidP="000C7A5D">
            <w:pPr>
              <w:spacing w:after="0" w:line="240" w:lineRule="auto"/>
              <w:rPr>
                <w:rFonts w:ascii="Arial" w:hAnsi="Arial" w:cs="Arial"/>
                <w:b/>
                <w:noProof/>
                <w:sz w:val="24"/>
                <w:szCs w:val="24"/>
              </w:rPr>
            </w:pPr>
            <w:r>
              <w:rPr>
                <w:rFonts w:ascii="Arial" w:hAnsi="Arial" w:cs="Arial"/>
                <w:b/>
                <w:noProof/>
                <w:sz w:val="24"/>
                <w:szCs w:val="24"/>
              </w:rPr>
              <w:t xml:space="preserve">14.1 </w:t>
            </w:r>
            <w:r w:rsidR="004106D5" w:rsidRPr="00531366">
              <w:rPr>
                <w:rFonts w:ascii="Arial" w:hAnsi="Arial" w:cs="Arial"/>
                <w:b/>
                <w:noProof/>
                <w:sz w:val="24"/>
                <w:szCs w:val="24"/>
              </w:rPr>
              <w:t xml:space="preserve">Percent of women who smoke during pregnancy and  </w:t>
            </w:r>
          </w:p>
          <w:p w14:paraId="40872A7A" w14:textId="4C0C252C" w:rsidR="004106D5" w:rsidRPr="00531366" w:rsidRDefault="00CC7C63" w:rsidP="00CC7C63">
            <w:pPr>
              <w:spacing w:after="0" w:line="240" w:lineRule="auto"/>
              <w:rPr>
                <w:rFonts w:ascii="Arial" w:hAnsi="Arial" w:cs="Arial"/>
                <w:b/>
                <w:sz w:val="24"/>
                <w:szCs w:val="24"/>
              </w:rPr>
            </w:pPr>
            <w:r>
              <w:rPr>
                <w:rFonts w:ascii="Arial" w:hAnsi="Arial" w:cs="Arial"/>
                <w:b/>
                <w:noProof/>
                <w:sz w:val="24"/>
                <w:szCs w:val="24"/>
              </w:rPr>
              <w:t>14.2</w:t>
            </w:r>
            <w:r w:rsidR="004106D5" w:rsidRPr="00531366">
              <w:rPr>
                <w:rFonts w:ascii="Arial" w:hAnsi="Arial" w:cs="Arial"/>
                <w:b/>
                <w:noProof/>
                <w:sz w:val="24"/>
                <w:szCs w:val="24"/>
              </w:rPr>
              <w:t xml:space="preserve"> Percent of children</w:t>
            </w:r>
            <w:r>
              <w:rPr>
                <w:rFonts w:ascii="Arial" w:hAnsi="Arial" w:cs="Arial"/>
                <w:b/>
                <w:noProof/>
                <w:sz w:val="24"/>
                <w:szCs w:val="24"/>
              </w:rPr>
              <w:t>, ages 0 through 17,</w:t>
            </w:r>
            <w:r w:rsidR="004106D5" w:rsidRPr="00531366">
              <w:rPr>
                <w:rFonts w:ascii="Arial" w:hAnsi="Arial" w:cs="Arial"/>
                <w:b/>
                <w:noProof/>
                <w:sz w:val="24"/>
                <w:szCs w:val="24"/>
              </w:rPr>
              <w:t xml:space="preserve"> who live in households where someone smokes</w:t>
            </w:r>
          </w:p>
        </w:tc>
      </w:tr>
    </w:tbl>
    <w:p w14:paraId="5D00BC8B" w14:textId="77777777" w:rsidR="004106D5" w:rsidRDefault="004106D5" w:rsidP="004106D5">
      <w:pPr>
        <w:spacing w:after="0" w:line="240" w:lineRule="auto"/>
      </w:pPr>
    </w:p>
    <w:p w14:paraId="004DF744" w14:textId="77777777" w:rsidR="004106D5" w:rsidRDefault="004106D5" w:rsidP="004106D5">
      <w:pPr>
        <w:spacing w:after="0" w:line="240" w:lineRule="auto"/>
      </w:pPr>
      <w:r>
        <w:rPr>
          <w:noProof/>
        </w:rPr>
        <mc:AlternateContent>
          <mc:Choice Requires="wps">
            <w:drawing>
              <wp:anchor distT="4294967295" distB="4294967295" distL="114300" distR="114300" simplePos="0" relativeHeight="251800576" behindDoc="0" locked="0" layoutInCell="1" allowOverlap="1" wp14:anchorId="52E4262D" wp14:editId="15997939">
                <wp:simplePos x="0" y="0"/>
                <wp:positionH relativeFrom="column">
                  <wp:posOffset>-60960</wp:posOffset>
                </wp:positionH>
                <wp:positionV relativeFrom="paragraph">
                  <wp:posOffset>31749</wp:posOffset>
                </wp:positionV>
                <wp:extent cx="6088380" cy="0"/>
                <wp:effectExtent l="0" t="0" r="2667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7E17BAC" id="Straight Connector 15" o:spid="_x0000_s1026" style="position:absolute;z-index:251800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" strokecolor="windowText" strokeweight="1.75pt">
                <o:lock v:ext="edit" shapetype="f"/>
              </v:line>
            </w:pict>
          </mc:Fallback>
        </mc:AlternateContent>
      </w:r>
    </w:p>
    <w:tbl>
      <w:tblPr>
        <w:tblW w:w="0" w:type="auto"/>
        <w:tblLook w:val="04A0" w:firstRow="1" w:lastRow="0" w:firstColumn="1" w:lastColumn="0" w:noHBand="0" w:noVBand="1"/>
      </w:tblPr>
      <w:tblGrid>
        <w:gridCol w:w="3618"/>
        <w:gridCol w:w="3384"/>
        <w:gridCol w:w="2556"/>
      </w:tblGrid>
      <w:tr w:rsidR="004106D5" w:rsidRPr="00515E1C" w14:paraId="37DBB206" w14:textId="77777777" w:rsidTr="000C7A5D">
        <w:tc>
          <w:tcPr>
            <w:tcW w:w="3618" w:type="dxa"/>
            <w:shd w:val="clear" w:color="auto" w:fill="auto"/>
          </w:tcPr>
          <w:p w14:paraId="4A13AC37"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GOAL</w:t>
            </w:r>
          </w:p>
        </w:tc>
        <w:tc>
          <w:tcPr>
            <w:tcW w:w="5940" w:type="dxa"/>
            <w:gridSpan w:val="2"/>
            <w:shd w:val="clear" w:color="auto" w:fill="auto"/>
          </w:tcPr>
          <w:p w14:paraId="6FC2A2E1" w14:textId="3611455A" w:rsidR="004106D5" w:rsidRPr="00531366" w:rsidRDefault="00CC7C63" w:rsidP="00CC7C63">
            <w:pPr>
              <w:spacing w:after="0" w:line="240" w:lineRule="auto"/>
              <w:ind w:left="516" w:hanging="540"/>
              <w:rPr>
                <w:rFonts w:ascii="Arial" w:hAnsi="Arial" w:cs="Arial"/>
                <w:noProof/>
                <w:sz w:val="20"/>
                <w:szCs w:val="20"/>
              </w:rPr>
            </w:pPr>
            <w:r>
              <w:rPr>
                <w:rFonts w:ascii="Arial" w:hAnsi="Arial" w:cs="Arial"/>
                <w:noProof/>
                <w:sz w:val="20"/>
                <w:szCs w:val="20"/>
              </w:rPr>
              <w:t xml:space="preserve">14.1  </w:t>
            </w:r>
            <w:r w:rsidR="004106D5" w:rsidRPr="00531366">
              <w:rPr>
                <w:rFonts w:ascii="Arial" w:hAnsi="Arial" w:cs="Arial"/>
                <w:noProof/>
                <w:sz w:val="20"/>
                <w:szCs w:val="20"/>
              </w:rPr>
              <w:t xml:space="preserve">To decrease the number of women who smoke during pregnancy and </w:t>
            </w:r>
          </w:p>
          <w:p w14:paraId="18EF855B" w14:textId="394D3006" w:rsidR="004106D5" w:rsidRPr="00531366" w:rsidRDefault="00CC7C63" w:rsidP="00CC7C63">
            <w:pPr>
              <w:spacing w:after="0" w:line="240" w:lineRule="auto"/>
              <w:ind w:left="516" w:hanging="540"/>
              <w:rPr>
                <w:rFonts w:ascii="Arial" w:hAnsi="Arial" w:cs="Arial"/>
                <w:sz w:val="20"/>
                <w:szCs w:val="20"/>
              </w:rPr>
            </w:pPr>
            <w:r>
              <w:rPr>
                <w:rFonts w:ascii="Arial" w:hAnsi="Arial" w:cs="Arial"/>
                <w:noProof/>
                <w:sz w:val="20"/>
                <w:szCs w:val="20"/>
              </w:rPr>
              <w:t xml:space="preserve">14.2  </w:t>
            </w:r>
            <w:r w:rsidR="004106D5" w:rsidRPr="00531366">
              <w:rPr>
                <w:rFonts w:ascii="Arial" w:hAnsi="Arial" w:cs="Arial"/>
                <w:noProof/>
                <w:sz w:val="20"/>
                <w:szCs w:val="20"/>
              </w:rPr>
              <w:t>To decrease the numbe</w:t>
            </w:r>
            <w:r>
              <w:rPr>
                <w:rFonts w:ascii="Arial" w:hAnsi="Arial" w:cs="Arial"/>
                <w:noProof/>
                <w:sz w:val="20"/>
                <w:szCs w:val="20"/>
              </w:rPr>
              <w:t>r of households where someone sm</w:t>
            </w:r>
            <w:r w:rsidR="004106D5" w:rsidRPr="00531366">
              <w:rPr>
                <w:rFonts w:ascii="Arial" w:hAnsi="Arial" w:cs="Arial"/>
                <w:noProof/>
                <w:sz w:val="20"/>
                <w:szCs w:val="20"/>
              </w:rPr>
              <w:t>okes.</w:t>
            </w:r>
          </w:p>
        </w:tc>
      </w:tr>
      <w:tr w:rsidR="004106D5" w:rsidRPr="00515E1C" w14:paraId="580165AA" w14:textId="77777777" w:rsidTr="000C7A5D">
        <w:tc>
          <w:tcPr>
            <w:tcW w:w="3618" w:type="dxa"/>
            <w:shd w:val="clear" w:color="auto" w:fill="auto"/>
          </w:tcPr>
          <w:p w14:paraId="02497257"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56B42522" w14:textId="77777777" w:rsidR="004106D5" w:rsidRPr="00531366" w:rsidRDefault="004106D5" w:rsidP="000C7A5D">
            <w:pPr>
              <w:spacing w:after="0" w:line="240" w:lineRule="auto"/>
              <w:rPr>
                <w:rFonts w:ascii="Arial" w:hAnsi="Arial" w:cs="Arial"/>
                <w:sz w:val="20"/>
                <w:szCs w:val="20"/>
              </w:rPr>
            </w:pPr>
          </w:p>
        </w:tc>
      </w:tr>
      <w:tr w:rsidR="004106D5" w:rsidRPr="00515E1C" w14:paraId="5C5CC6AE" w14:textId="77777777" w:rsidTr="000C7A5D">
        <w:tc>
          <w:tcPr>
            <w:tcW w:w="3618" w:type="dxa"/>
            <w:shd w:val="clear" w:color="auto" w:fill="auto"/>
          </w:tcPr>
          <w:p w14:paraId="48A61335"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DEFINITION</w:t>
            </w:r>
          </w:p>
        </w:tc>
        <w:tc>
          <w:tcPr>
            <w:tcW w:w="5940" w:type="dxa"/>
            <w:gridSpan w:val="2"/>
            <w:shd w:val="clear" w:color="auto" w:fill="auto"/>
          </w:tcPr>
          <w:p w14:paraId="263BBA0A"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Numerator:</w:t>
            </w:r>
          </w:p>
        </w:tc>
      </w:tr>
      <w:tr w:rsidR="004106D5" w:rsidRPr="00515E1C" w14:paraId="3816E920" w14:textId="77777777" w:rsidTr="000C7A5D">
        <w:tc>
          <w:tcPr>
            <w:tcW w:w="3618" w:type="dxa"/>
            <w:shd w:val="clear" w:color="auto" w:fill="auto"/>
          </w:tcPr>
          <w:p w14:paraId="6E3EF220"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7FDBAB8F" w14:textId="580DC35A" w:rsidR="004106D5" w:rsidRPr="00531366" w:rsidRDefault="00CC7C63" w:rsidP="000C7A5D">
            <w:pPr>
              <w:spacing w:after="0" w:line="240" w:lineRule="auto"/>
              <w:rPr>
                <w:rFonts w:ascii="Arial" w:hAnsi="Arial" w:cs="Arial"/>
                <w:noProof/>
                <w:sz w:val="20"/>
                <w:szCs w:val="20"/>
              </w:rPr>
            </w:pPr>
            <w:r>
              <w:rPr>
                <w:rFonts w:ascii="Arial" w:hAnsi="Arial" w:cs="Arial"/>
                <w:noProof/>
                <w:sz w:val="20"/>
                <w:szCs w:val="20"/>
              </w:rPr>
              <w:t xml:space="preserve">14.1  </w:t>
            </w:r>
            <w:r w:rsidR="004106D5">
              <w:rPr>
                <w:rFonts w:ascii="Arial" w:hAnsi="Arial" w:cs="Arial"/>
                <w:noProof/>
                <w:sz w:val="20"/>
                <w:szCs w:val="20"/>
              </w:rPr>
              <w:t>Number of w</w:t>
            </w:r>
            <w:r w:rsidR="004106D5" w:rsidRPr="00531366">
              <w:rPr>
                <w:rFonts w:ascii="Arial" w:hAnsi="Arial" w:cs="Arial"/>
                <w:noProof/>
                <w:sz w:val="20"/>
                <w:szCs w:val="20"/>
              </w:rPr>
              <w:t xml:space="preserve">omen who report smoking during pregnancy </w:t>
            </w:r>
          </w:p>
          <w:p w14:paraId="2951898F" w14:textId="3D7F84E8" w:rsidR="004106D5" w:rsidRPr="00531366" w:rsidRDefault="00CC7C63" w:rsidP="00CC7C63">
            <w:pPr>
              <w:spacing w:after="0" w:line="240" w:lineRule="auto"/>
              <w:ind w:left="516" w:hanging="516"/>
              <w:rPr>
                <w:rFonts w:ascii="Arial" w:hAnsi="Arial" w:cs="Arial"/>
                <w:sz w:val="20"/>
                <w:szCs w:val="20"/>
              </w:rPr>
            </w:pPr>
            <w:r>
              <w:rPr>
                <w:rFonts w:ascii="Arial" w:hAnsi="Arial" w:cs="Arial"/>
                <w:noProof/>
                <w:sz w:val="20"/>
                <w:szCs w:val="20"/>
              </w:rPr>
              <w:t xml:space="preserve">14.2  </w:t>
            </w:r>
            <w:r w:rsidR="004106D5">
              <w:rPr>
                <w:rFonts w:ascii="Arial" w:hAnsi="Arial" w:cs="Arial"/>
                <w:noProof/>
                <w:sz w:val="20"/>
                <w:szCs w:val="20"/>
              </w:rPr>
              <w:t>Number of children, ages 0 through 17, who live in households where there is</w:t>
            </w:r>
            <w:r w:rsidR="004106D5" w:rsidRPr="00531366">
              <w:rPr>
                <w:rFonts w:ascii="Arial" w:hAnsi="Arial" w:cs="Arial"/>
                <w:noProof/>
                <w:sz w:val="20"/>
                <w:szCs w:val="20"/>
              </w:rPr>
              <w:t xml:space="preserve"> household member</w:t>
            </w:r>
            <w:r w:rsidR="004106D5">
              <w:rPr>
                <w:rFonts w:ascii="Arial" w:hAnsi="Arial" w:cs="Arial"/>
                <w:noProof/>
                <w:sz w:val="20"/>
                <w:szCs w:val="20"/>
              </w:rPr>
              <w:t xml:space="preserve"> who smokes</w:t>
            </w:r>
          </w:p>
        </w:tc>
      </w:tr>
      <w:tr w:rsidR="004106D5" w:rsidRPr="00515E1C" w14:paraId="51372B07" w14:textId="77777777" w:rsidTr="000C7A5D">
        <w:tc>
          <w:tcPr>
            <w:tcW w:w="3618" w:type="dxa"/>
            <w:shd w:val="clear" w:color="auto" w:fill="auto"/>
          </w:tcPr>
          <w:p w14:paraId="61FA309D"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5627D585" w14:textId="77777777" w:rsidR="004106D5" w:rsidRPr="00531366" w:rsidRDefault="004106D5" w:rsidP="000C7A5D">
            <w:pPr>
              <w:spacing w:after="0" w:line="240" w:lineRule="auto"/>
              <w:rPr>
                <w:rFonts w:ascii="Arial" w:hAnsi="Arial" w:cs="Arial"/>
                <w:sz w:val="20"/>
                <w:szCs w:val="20"/>
              </w:rPr>
            </w:pPr>
          </w:p>
        </w:tc>
      </w:tr>
      <w:tr w:rsidR="004106D5" w:rsidRPr="00515E1C" w14:paraId="22D41E74" w14:textId="77777777" w:rsidTr="000C7A5D">
        <w:tc>
          <w:tcPr>
            <w:tcW w:w="3618" w:type="dxa"/>
            <w:shd w:val="clear" w:color="auto" w:fill="auto"/>
          </w:tcPr>
          <w:p w14:paraId="4C7A91F8"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153EBC8D"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Denominator:</w:t>
            </w:r>
          </w:p>
        </w:tc>
      </w:tr>
      <w:tr w:rsidR="004106D5" w:rsidRPr="00515E1C" w14:paraId="59B1C8C3" w14:textId="77777777" w:rsidTr="000C7A5D">
        <w:tc>
          <w:tcPr>
            <w:tcW w:w="3618" w:type="dxa"/>
            <w:shd w:val="clear" w:color="auto" w:fill="auto"/>
          </w:tcPr>
          <w:p w14:paraId="3EA10894"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42D2F7B2" w14:textId="2C3FF1F3" w:rsidR="004106D5" w:rsidRPr="00531366" w:rsidRDefault="00CC7C63" w:rsidP="000C7A5D">
            <w:pPr>
              <w:spacing w:after="0" w:line="240" w:lineRule="auto"/>
              <w:rPr>
                <w:rFonts w:ascii="Arial" w:hAnsi="Arial" w:cs="Arial"/>
                <w:noProof/>
                <w:sz w:val="20"/>
                <w:szCs w:val="20"/>
              </w:rPr>
            </w:pPr>
            <w:r>
              <w:rPr>
                <w:rFonts w:ascii="Arial" w:hAnsi="Arial" w:cs="Arial"/>
                <w:noProof/>
                <w:sz w:val="20"/>
                <w:szCs w:val="20"/>
              </w:rPr>
              <w:t xml:space="preserve">14.1  </w:t>
            </w:r>
            <w:r w:rsidR="004106D5">
              <w:rPr>
                <w:rFonts w:ascii="Arial" w:hAnsi="Arial" w:cs="Arial"/>
                <w:noProof/>
                <w:sz w:val="20"/>
                <w:szCs w:val="20"/>
              </w:rPr>
              <w:t>Number of</w:t>
            </w:r>
            <w:r w:rsidR="004106D5" w:rsidRPr="00531366">
              <w:rPr>
                <w:rFonts w:ascii="Arial" w:hAnsi="Arial" w:cs="Arial"/>
                <w:noProof/>
                <w:sz w:val="20"/>
                <w:szCs w:val="20"/>
              </w:rPr>
              <w:t xml:space="preserve"> live birth</w:t>
            </w:r>
            <w:r w:rsidR="004106D5">
              <w:rPr>
                <w:rFonts w:ascii="Arial" w:hAnsi="Arial" w:cs="Arial"/>
                <w:noProof/>
                <w:sz w:val="20"/>
                <w:szCs w:val="20"/>
              </w:rPr>
              <w:t>s</w:t>
            </w:r>
            <w:r w:rsidR="004106D5" w:rsidRPr="00531366">
              <w:rPr>
                <w:rFonts w:ascii="Arial" w:hAnsi="Arial" w:cs="Arial"/>
                <w:noProof/>
                <w:sz w:val="20"/>
                <w:szCs w:val="20"/>
              </w:rPr>
              <w:t xml:space="preserve"> </w:t>
            </w:r>
          </w:p>
          <w:p w14:paraId="32755104" w14:textId="67BA7827" w:rsidR="004106D5" w:rsidRPr="00531366" w:rsidRDefault="00CC7C63" w:rsidP="00CC7C63">
            <w:pPr>
              <w:spacing w:after="0" w:line="240" w:lineRule="auto"/>
              <w:rPr>
                <w:rFonts w:ascii="Arial" w:hAnsi="Arial" w:cs="Arial"/>
                <w:sz w:val="20"/>
                <w:szCs w:val="20"/>
              </w:rPr>
            </w:pPr>
            <w:r>
              <w:rPr>
                <w:rFonts w:ascii="Arial" w:hAnsi="Arial" w:cs="Arial"/>
                <w:noProof/>
                <w:sz w:val="20"/>
                <w:szCs w:val="20"/>
              </w:rPr>
              <w:t xml:space="preserve">14.2  </w:t>
            </w:r>
            <w:r w:rsidR="004106D5">
              <w:rPr>
                <w:rFonts w:ascii="Arial" w:hAnsi="Arial" w:cs="Arial"/>
                <w:noProof/>
                <w:sz w:val="20"/>
                <w:szCs w:val="20"/>
              </w:rPr>
              <w:t>Number of</w:t>
            </w:r>
            <w:r w:rsidR="004106D5" w:rsidRPr="00531366">
              <w:rPr>
                <w:rFonts w:ascii="Arial" w:hAnsi="Arial" w:cs="Arial"/>
                <w:noProof/>
                <w:sz w:val="20"/>
                <w:szCs w:val="20"/>
              </w:rPr>
              <w:t xml:space="preserve"> children, ages 0 </w:t>
            </w:r>
            <w:r w:rsidR="004106D5">
              <w:rPr>
                <w:rFonts w:ascii="Arial" w:hAnsi="Arial" w:cs="Arial"/>
                <w:noProof/>
                <w:sz w:val="20"/>
                <w:szCs w:val="20"/>
              </w:rPr>
              <w:t>through 17</w:t>
            </w:r>
          </w:p>
        </w:tc>
      </w:tr>
      <w:tr w:rsidR="004106D5" w:rsidRPr="00515E1C" w14:paraId="6417D565" w14:textId="77777777" w:rsidTr="000C7A5D">
        <w:tc>
          <w:tcPr>
            <w:tcW w:w="3618" w:type="dxa"/>
            <w:shd w:val="clear" w:color="auto" w:fill="auto"/>
          </w:tcPr>
          <w:p w14:paraId="146FD787"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21AC2518" w14:textId="77777777" w:rsidR="004106D5" w:rsidRPr="00531366" w:rsidRDefault="004106D5" w:rsidP="000C7A5D">
            <w:pPr>
              <w:spacing w:after="0" w:line="240" w:lineRule="auto"/>
              <w:rPr>
                <w:rFonts w:ascii="Arial" w:hAnsi="Arial" w:cs="Arial"/>
                <w:sz w:val="20"/>
                <w:szCs w:val="20"/>
              </w:rPr>
            </w:pPr>
          </w:p>
        </w:tc>
      </w:tr>
      <w:tr w:rsidR="004106D5" w:rsidRPr="00515E1C" w14:paraId="3104AA2B" w14:textId="77777777" w:rsidTr="000C7A5D">
        <w:tc>
          <w:tcPr>
            <w:tcW w:w="3618" w:type="dxa"/>
            <w:shd w:val="clear" w:color="auto" w:fill="auto"/>
          </w:tcPr>
          <w:p w14:paraId="01626F11" w14:textId="77777777" w:rsidR="004106D5" w:rsidRPr="00531366" w:rsidRDefault="004106D5" w:rsidP="000C7A5D">
            <w:pPr>
              <w:spacing w:after="0" w:line="240" w:lineRule="auto"/>
              <w:rPr>
                <w:rFonts w:ascii="Arial" w:hAnsi="Arial" w:cs="Arial"/>
                <w:b/>
                <w:sz w:val="20"/>
                <w:szCs w:val="20"/>
              </w:rPr>
            </w:pPr>
          </w:p>
        </w:tc>
        <w:tc>
          <w:tcPr>
            <w:tcW w:w="3384" w:type="dxa"/>
            <w:shd w:val="clear" w:color="auto" w:fill="auto"/>
          </w:tcPr>
          <w:p w14:paraId="384B9DD1"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b/>
                <w:sz w:val="20"/>
                <w:szCs w:val="20"/>
              </w:rPr>
              <w:t>Units:</w:t>
            </w:r>
            <w:r w:rsidRPr="00531366">
              <w:rPr>
                <w:rFonts w:ascii="Arial" w:hAnsi="Arial" w:cs="Arial"/>
                <w:sz w:val="20"/>
                <w:szCs w:val="20"/>
              </w:rPr>
              <w:t xml:space="preserve"> </w:t>
            </w:r>
            <w:r w:rsidRPr="00531366">
              <w:rPr>
                <w:rFonts w:ascii="Arial" w:hAnsi="Arial" w:cs="Arial"/>
                <w:noProof/>
                <w:sz w:val="20"/>
                <w:szCs w:val="20"/>
              </w:rPr>
              <w:t>100</w:t>
            </w:r>
          </w:p>
        </w:tc>
        <w:tc>
          <w:tcPr>
            <w:tcW w:w="2556" w:type="dxa"/>
            <w:shd w:val="clear" w:color="auto" w:fill="auto"/>
          </w:tcPr>
          <w:p w14:paraId="47F22F12"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b/>
                <w:sz w:val="20"/>
                <w:szCs w:val="20"/>
              </w:rPr>
              <w:t>Text:</w:t>
            </w:r>
            <w:r w:rsidRPr="00531366">
              <w:rPr>
                <w:rFonts w:ascii="Arial" w:hAnsi="Arial" w:cs="Arial"/>
                <w:sz w:val="20"/>
                <w:szCs w:val="20"/>
              </w:rPr>
              <w:t xml:space="preserve"> </w:t>
            </w:r>
            <w:r w:rsidRPr="00531366">
              <w:rPr>
                <w:rFonts w:ascii="Arial" w:hAnsi="Arial" w:cs="Arial"/>
                <w:noProof/>
                <w:sz w:val="20"/>
                <w:szCs w:val="20"/>
              </w:rPr>
              <w:t>Percent</w:t>
            </w:r>
          </w:p>
        </w:tc>
      </w:tr>
      <w:tr w:rsidR="004106D5" w:rsidRPr="00515E1C" w14:paraId="2BA83DB2" w14:textId="77777777" w:rsidTr="000C7A5D">
        <w:tc>
          <w:tcPr>
            <w:tcW w:w="3618" w:type="dxa"/>
            <w:shd w:val="clear" w:color="auto" w:fill="auto"/>
          </w:tcPr>
          <w:p w14:paraId="1B010B4A"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121ADD4B" w14:textId="77777777" w:rsidR="004106D5" w:rsidRPr="00531366" w:rsidRDefault="004106D5" w:rsidP="000C7A5D">
            <w:pPr>
              <w:spacing w:after="0" w:line="240" w:lineRule="auto"/>
              <w:rPr>
                <w:rFonts w:ascii="Arial" w:hAnsi="Arial" w:cs="Arial"/>
                <w:sz w:val="20"/>
                <w:szCs w:val="20"/>
              </w:rPr>
            </w:pPr>
          </w:p>
        </w:tc>
      </w:tr>
      <w:tr w:rsidR="004106D5" w:rsidRPr="00515E1C" w14:paraId="0BD67F1D" w14:textId="77777777" w:rsidTr="000C7A5D">
        <w:tc>
          <w:tcPr>
            <w:tcW w:w="3618" w:type="dxa"/>
            <w:shd w:val="clear" w:color="auto" w:fill="auto"/>
          </w:tcPr>
          <w:p w14:paraId="70539906"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HEALTHY PEOPLE 2020 OBJECTIVE</w:t>
            </w:r>
          </w:p>
        </w:tc>
        <w:tc>
          <w:tcPr>
            <w:tcW w:w="5940" w:type="dxa"/>
            <w:gridSpan w:val="2"/>
            <w:shd w:val="clear" w:color="auto" w:fill="auto"/>
          </w:tcPr>
          <w:p w14:paraId="52226055"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noProof/>
                <w:sz w:val="20"/>
                <w:szCs w:val="20"/>
              </w:rPr>
              <w:t xml:space="preserve">Related to Tobacco Use (TU) Objective 6: Increase smoking cessation during pregnancy (Target: 30.0%) and related to Tobacco Use (TU) Objective 11.1: Reduce the proportion of children </w:t>
            </w:r>
            <w:r>
              <w:rPr>
                <w:rFonts w:ascii="Arial" w:hAnsi="Arial" w:cs="Arial"/>
                <w:noProof/>
                <w:sz w:val="20"/>
                <w:szCs w:val="20"/>
              </w:rPr>
              <w:t>aged</w:t>
            </w:r>
            <w:r w:rsidRPr="00531366">
              <w:rPr>
                <w:rFonts w:ascii="Arial" w:hAnsi="Arial" w:cs="Arial"/>
                <w:noProof/>
                <w:sz w:val="20"/>
                <w:szCs w:val="20"/>
              </w:rPr>
              <w:t xml:space="preserve"> 3 to 11 years exposed to secondhand smoke. (Baseline: 52.2% , Target 47%)   </w:t>
            </w:r>
          </w:p>
        </w:tc>
      </w:tr>
      <w:tr w:rsidR="004106D5" w:rsidRPr="00515E1C" w14:paraId="092863E8" w14:textId="77777777" w:rsidTr="000C7A5D">
        <w:tc>
          <w:tcPr>
            <w:tcW w:w="3618" w:type="dxa"/>
            <w:shd w:val="clear" w:color="auto" w:fill="auto"/>
          </w:tcPr>
          <w:p w14:paraId="3ED73408"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60F3EF18" w14:textId="77777777" w:rsidR="004106D5" w:rsidRPr="00531366" w:rsidRDefault="004106D5" w:rsidP="000C7A5D">
            <w:pPr>
              <w:spacing w:after="0" w:line="240" w:lineRule="auto"/>
              <w:rPr>
                <w:rFonts w:ascii="Arial" w:hAnsi="Arial" w:cs="Arial"/>
                <w:sz w:val="20"/>
                <w:szCs w:val="20"/>
              </w:rPr>
            </w:pPr>
          </w:p>
        </w:tc>
      </w:tr>
      <w:tr w:rsidR="004106D5" w:rsidRPr="00515E1C" w14:paraId="2C0C19A1" w14:textId="77777777" w:rsidTr="000C7A5D">
        <w:trPr>
          <w:trHeight w:val="819"/>
        </w:trPr>
        <w:tc>
          <w:tcPr>
            <w:tcW w:w="3618" w:type="dxa"/>
            <w:shd w:val="clear" w:color="auto" w:fill="auto"/>
          </w:tcPr>
          <w:p w14:paraId="6D8D7C3E"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DATA SOURCES and DATA ISSUES</w:t>
            </w:r>
          </w:p>
        </w:tc>
        <w:tc>
          <w:tcPr>
            <w:tcW w:w="5940" w:type="dxa"/>
            <w:gridSpan w:val="2"/>
            <w:shd w:val="clear" w:color="auto" w:fill="auto"/>
          </w:tcPr>
          <w:p w14:paraId="67E442DE" w14:textId="393AC192" w:rsidR="004106D5" w:rsidRPr="00531366" w:rsidRDefault="00326961" w:rsidP="000C7A5D">
            <w:pPr>
              <w:spacing w:after="0" w:line="240" w:lineRule="auto"/>
              <w:rPr>
                <w:rFonts w:ascii="Arial" w:hAnsi="Arial" w:cs="Arial"/>
                <w:noProof/>
                <w:sz w:val="20"/>
                <w:szCs w:val="20"/>
              </w:rPr>
            </w:pPr>
            <w:r>
              <w:rPr>
                <w:rFonts w:ascii="Arial" w:hAnsi="Arial" w:cs="Arial"/>
                <w:noProof/>
                <w:sz w:val="20"/>
                <w:szCs w:val="20"/>
              </w:rPr>
              <w:t>14.1</w:t>
            </w:r>
            <w:r w:rsidR="004106D5" w:rsidRPr="00531366">
              <w:rPr>
                <w:rFonts w:ascii="Arial" w:hAnsi="Arial" w:cs="Arial"/>
                <w:noProof/>
                <w:sz w:val="20"/>
                <w:szCs w:val="20"/>
              </w:rPr>
              <w:t xml:space="preserve"> National Vital Statistics System (NVSS) </w:t>
            </w:r>
          </w:p>
          <w:p w14:paraId="3AE631AA" w14:textId="6B776C8D" w:rsidR="004106D5" w:rsidRPr="00531366" w:rsidRDefault="00326961" w:rsidP="00326961">
            <w:pPr>
              <w:spacing w:after="0" w:line="240" w:lineRule="auto"/>
              <w:rPr>
                <w:rFonts w:ascii="Arial" w:hAnsi="Arial" w:cs="Arial"/>
                <w:sz w:val="20"/>
                <w:szCs w:val="20"/>
              </w:rPr>
            </w:pPr>
            <w:r>
              <w:rPr>
                <w:rFonts w:ascii="Arial" w:hAnsi="Arial" w:cs="Arial"/>
                <w:noProof/>
                <w:sz w:val="20"/>
                <w:szCs w:val="20"/>
              </w:rPr>
              <w:t>14.2</w:t>
            </w:r>
            <w:r w:rsidR="004106D5" w:rsidRPr="00531366">
              <w:rPr>
                <w:rFonts w:ascii="Arial" w:hAnsi="Arial" w:cs="Arial"/>
                <w:noProof/>
                <w:sz w:val="20"/>
                <w:szCs w:val="20"/>
              </w:rPr>
              <w:t xml:space="preserve"> National Survey of Children's Health (NSCH) </w:t>
            </w:r>
          </w:p>
        </w:tc>
      </w:tr>
      <w:tr w:rsidR="004106D5" w:rsidRPr="00515E1C" w14:paraId="405E305A" w14:textId="77777777" w:rsidTr="000C7A5D">
        <w:tc>
          <w:tcPr>
            <w:tcW w:w="3618" w:type="dxa"/>
            <w:shd w:val="clear" w:color="auto" w:fill="auto"/>
          </w:tcPr>
          <w:p w14:paraId="67400B47" w14:textId="77777777" w:rsidR="004106D5" w:rsidRDefault="004106D5" w:rsidP="000C7A5D">
            <w:pPr>
              <w:spacing w:after="0" w:line="240" w:lineRule="auto"/>
              <w:rPr>
                <w:rFonts w:ascii="Arial" w:hAnsi="Arial" w:cs="Arial"/>
                <w:b/>
                <w:sz w:val="20"/>
                <w:szCs w:val="20"/>
              </w:rPr>
            </w:pPr>
            <w:r>
              <w:rPr>
                <w:rFonts w:ascii="Arial" w:hAnsi="Arial" w:cs="Arial"/>
                <w:b/>
                <w:sz w:val="20"/>
                <w:szCs w:val="20"/>
              </w:rPr>
              <w:t>MCH POPULATION DOMAIN</w:t>
            </w:r>
          </w:p>
          <w:p w14:paraId="1EFDA22C"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034343BC" w14:textId="77777777" w:rsidR="004106D5" w:rsidRDefault="004106D5" w:rsidP="000C7A5D">
            <w:pPr>
              <w:spacing w:after="0" w:line="240" w:lineRule="auto"/>
              <w:rPr>
                <w:rFonts w:ascii="Arial" w:hAnsi="Arial" w:cs="Arial"/>
                <w:sz w:val="20"/>
                <w:szCs w:val="20"/>
              </w:rPr>
            </w:pPr>
            <w:r>
              <w:rPr>
                <w:rFonts w:ascii="Arial" w:hAnsi="Arial" w:cs="Arial"/>
                <w:sz w:val="20"/>
                <w:szCs w:val="20"/>
              </w:rPr>
              <w:t>Women/Maternal Health, Child Health, and/or Adolescent Health</w:t>
            </w:r>
          </w:p>
          <w:p w14:paraId="468A3D4B" w14:textId="77777777" w:rsidR="004106D5" w:rsidRPr="00531366" w:rsidRDefault="004106D5" w:rsidP="000C7A5D">
            <w:pPr>
              <w:spacing w:after="0" w:line="240" w:lineRule="auto"/>
              <w:rPr>
                <w:rFonts w:ascii="Arial" w:hAnsi="Arial" w:cs="Arial"/>
                <w:sz w:val="20"/>
                <w:szCs w:val="20"/>
              </w:rPr>
            </w:pPr>
          </w:p>
        </w:tc>
      </w:tr>
      <w:tr w:rsidR="004106D5" w:rsidRPr="00515E1C" w14:paraId="3B68BD29" w14:textId="77777777" w:rsidTr="000C7A5D">
        <w:tc>
          <w:tcPr>
            <w:tcW w:w="3618" w:type="dxa"/>
            <w:shd w:val="clear" w:color="auto" w:fill="auto"/>
          </w:tcPr>
          <w:p w14:paraId="7871CFD3"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SIGNIFICANCE</w:t>
            </w:r>
          </w:p>
        </w:tc>
        <w:tc>
          <w:tcPr>
            <w:tcW w:w="5940" w:type="dxa"/>
            <w:gridSpan w:val="2"/>
            <w:shd w:val="clear" w:color="auto" w:fill="auto"/>
          </w:tcPr>
          <w:p w14:paraId="413EB768" w14:textId="77777777" w:rsidR="004106D5" w:rsidRDefault="004106D5" w:rsidP="000C7A5D">
            <w:pPr>
              <w:spacing w:after="160" w:line="259" w:lineRule="auto"/>
              <w:rPr>
                <w:rFonts w:ascii="Arial" w:hAnsi="Arial" w:cs="Arial"/>
                <w:noProof/>
                <w:sz w:val="20"/>
                <w:szCs w:val="20"/>
              </w:rPr>
            </w:pPr>
            <w:r w:rsidRPr="00531366">
              <w:rPr>
                <w:rFonts w:ascii="Arial" w:hAnsi="Arial" w:cs="Arial"/>
                <w:noProof/>
                <w:sz w:val="20"/>
                <w:szCs w:val="20"/>
              </w:rPr>
              <w:t xml:space="preserve">Women who smoke during pregnancy are more likely to experience a fetal death or deliver a low birth weight baby.  Adverse effects of parental smoking on children have been a clinical and public health concern for decades.  </w:t>
            </w:r>
            <w:r>
              <w:rPr>
                <w:rFonts w:ascii="Arial" w:hAnsi="Arial" w:cs="Arial"/>
                <w:noProof/>
                <w:sz w:val="20"/>
                <w:szCs w:val="20"/>
              </w:rPr>
              <w:t>C</w:t>
            </w:r>
            <w:r w:rsidRPr="00531366">
              <w:rPr>
                <w:rFonts w:ascii="Arial" w:hAnsi="Arial" w:cs="Arial"/>
                <w:noProof/>
                <w:sz w:val="20"/>
                <w:szCs w:val="20"/>
              </w:rPr>
              <w:t>hildren have an increased frequency of ear infections; acute respiratory illnesses and related hospital admissions during infancy; severe asthma and asthma-related problems; lower respiratory tract infections</w:t>
            </w:r>
            <w:r>
              <w:rPr>
                <w:rFonts w:ascii="Arial" w:hAnsi="Arial" w:cs="Arial"/>
                <w:noProof/>
                <w:sz w:val="20"/>
                <w:szCs w:val="20"/>
              </w:rPr>
              <w:t xml:space="preserve">; </w:t>
            </w:r>
            <w:r w:rsidRPr="00531366">
              <w:rPr>
                <w:rFonts w:ascii="Arial" w:hAnsi="Arial" w:cs="Arial"/>
                <w:noProof/>
                <w:sz w:val="20"/>
                <w:szCs w:val="20"/>
              </w:rPr>
              <w:t xml:space="preserve">and SIDS.  </w:t>
            </w:r>
          </w:p>
          <w:p w14:paraId="1E0EDE09" w14:textId="77777777" w:rsidR="004106D5" w:rsidRPr="00531366" w:rsidRDefault="004106D5" w:rsidP="000C7A5D">
            <w:pPr>
              <w:spacing w:after="160" w:line="259" w:lineRule="auto"/>
              <w:rPr>
                <w:rFonts w:ascii="Arial" w:hAnsi="Arial" w:cs="Arial"/>
                <w:sz w:val="20"/>
                <w:szCs w:val="20"/>
              </w:rPr>
            </w:pPr>
            <w:r w:rsidRPr="002A0ACA">
              <w:rPr>
                <w:rFonts w:ascii="Arial" w:hAnsi="Arial" w:cs="Arial"/>
                <w:sz w:val="18"/>
                <w:szCs w:val="18"/>
              </w:rPr>
              <w:t xml:space="preserve">The Health Consequences of Smoking—50 Years of Progress. A Report of the Surgeon General. Atlanta, Georgia: U.S. Department of Health and Human Services, Centers for Disease Control and Prevention, National Center for Chronic Disease Prevention and Health Promotion, Office on Smoking and Health, 2014. </w:t>
            </w:r>
            <w:hyperlink r:id="rId140" w:history="1">
              <w:r w:rsidRPr="002A0ACA">
                <w:rPr>
                  <w:rFonts w:ascii="Arial" w:hAnsi="Arial" w:cs="Arial"/>
                  <w:color w:val="0000FF"/>
                  <w:sz w:val="18"/>
                  <w:szCs w:val="18"/>
                  <w:u w:val="single"/>
                </w:rPr>
                <w:t>https://www.surgeongeneral.gov/library/reports/50-years-of-progress/index.html</w:t>
              </w:r>
            </w:hyperlink>
            <w:r w:rsidRPr="002A0ACA">
              <w:rPr>
                <w:rFonts w:ascii="Arial" w:hAnsi="Arial" w:cs="Arial"/>
                <w:sz w:val="18"/>
                <w:szCs w:val="18"/>
              </w:rPr>
              <w:t xml:space="preserve"> </w:t>
            </w:r>
          </w:p>
        </w:tc>
      </w:tr>
      <w:tr w:rsidR="004106D5" w:rsidRPr="00515E1C" w14:paraId="5CBA7D84" w14:textId="77777777" w:rsidTr="000C7A5D">
        <w:tc>
          <w:tcPr>
            <w:tcW w:w="3618" w:type="dxa"/>
            <w:shd w:val="clear" w:color="auto" w:fill="auto"/>
          </w:tcPr>
          <w:p w14:paraId="3C2DA915" w14:textId="77777777" w:rsidR="004106D5" w:rsidRPr="00531366" w:rsidRDefault="004106D5" w:rsidP="000C7A5D">
            <w:pPr>
              <w:spacing w:after="0" w:line="240" w:lineRule="auto"/>
              <w:rPr>
                <w:rFonts w:ascii="Arial" w:hAnsi="Arial" w:cs="Arial"/>
                <w:sz w:val="20"/>
                <w:szCs w:val="20"/>
              </w:rPr>
            </w:pPr>
          </w:p>
        </w:tc>
        <w:tc>
          <w:tcPr>
            <w:tcW w:w="5940" w:type="dxa"/>
            <w:gridSpan w:val="2"/>
            <w:shd w:val="clear" w:color="auto" w:fill="auto"/>
          </w:tcPr>
          <w:p w14:paraId="3EBC66A4" w14:textId="77777777" w:rsidR="004106D5" w:rsidRPr="00531366" w:rsidRDefault="004106D5" w:rsidP="000C7A5D">
            <w:pPr>
              <w:spacing w:after="0" w:line="240" w:lineRule="auto"/>
              <w:rPr>
                <w:rFonts w:ascii="Arial" w:hAnsi="Arial" w:cs="Arial"/>
                <w:sz w:val="20"/>
                <w:szCs w:val="20"/>
              </w:rPr>
            </w:pPr>
          </w:p>
        </w:tc>
      </w:tr>
    </w:tbl>
    <w:p w14:paraId="0CE607D4" w14:textId="77777777" w:rsidR="004106D5" w:rsidRDefault="004106D5" w:rsidP="004106D5">
      <w:pPr>
        <w:spacing w:after="0" w:line="240" w:lineRule="auto"/>
        <w:rPr>
          <w:rFonts w:ascii="Arial" w:hAnsi="Arial" w:cs="Arial"/>
          <w:sz w:val="24"/>
          <w:szCs w:val="24"/>
        </w:rPr>
      </w:pPr>
      <w:r>
        <w:rPr>
          <w:rFonts w:ascii="Arial" w:hAnsi="Arial" w:cs="Arial"/>
          <w:sz w:val="24"/>
          <w:szCs w:val="24"/>
        </w:rPr>
        <w:br w:type="page"/>
      </w:r>
    </w:p>
    <w:tbl>
      <w:tblPr>
        <w:tblW w:w="0" w:type="auto"/>
        <w:tblLook w:val="04A0" w:firstRow="1" w:lastRow="0" w:firstColumn="1" w:lastColumn="0" w:noHBand="0" w:noVBand="1"/>
      </w:tblPr>
      <w:tblGrid>
        <w:gridCol w:w="3618"/>
        <w:gridCol w:w="5868"/>
      </w:tblGrid>
      <w:tr w:rsidR="004106D5" w:rsidRPr="003F48A1" w14:paraId="0FD28656" w14:textId="77777777" w:rsidTr="000C7A5D">
        <w:tc>
          <w:tcPr>
            <w:tcW w:w="3618" w:type="dxa"/>
            <w:shd w:val="clear" w:color="auto" w:fill="auto"/>
          </w:tcPr>
          <w:p w14:paraId="6FC70271" w14:textId="77777777" w:rsidR="004106D5" w:rsidRPr="00531366" w:rsidRDefault="004106D5" w:rsidP="000C7A5D">
            <w:pPr>
              <w:spacing w:after="0" w:line="240" w:lineRule="auto"/>
              <w:rPr>
                <w:rFonts w:ascii="Arial" w:hAnsi="Arial" w:cs="Arial"/>
                <w:b/>
                <w:sz w:val="24"/>
                <w:szCs w:val="24"/>
              </w:rPr>
            </w:pPr>
            <w:r w:rsidRPr="00531366">
              <w:rPr>
                <w:rFonts w:ascii="Arial" w:hAnsi="Arial" w:cs="Arial"/>
                <w:b/>
                <w:sz w:val="24"/>
                <w:szCs w:val="24"/>
              </w:rPr>
              <w:t xml:space="preserve">PERFORMANCE MEASURE </w:t>
            </w:r>
            <w:r>
              <w:rPr>
                <w:rFonts w:ascii="Arial" w:hAnsi="Arial" w:cs="Arial"/>
                <w:b/>
                <w:noProof/>
                <w:sz w:val="24"/>
                <w:szCs w:val="24"/>
              </w:rPr>
              <w:t>15</w:t>
            </w:r>
          </w:p>
        </w:tc>
        <w:tc>
          <w:tcPr>
            <w:tcW w:w="5868" w:type="dxa"/>
            <w:shd w:val="clear" w:color="auto" w:fill="auto"/>
          </w:tcPr>
          <w:p w14:paraId="40B58C42" w14:textId="4AA417DC" w:rsidR="004106D5" w:rsidRPr="00531366" w:rsidRDefault="004106D5" w:rsidP="0038462F">
            <w:pPr>
              <w:spacing w:after="0" w:line="240" w:lineRule="auto"/>
              <w:rPr>
                <w:rFonts w:ascii="Arial" w:hAnsi="Arial" w:cs="Arial"/>
                <w:b/>
                <w:sz w:val="24"/>
                <w:szCs w:val="24"/>
              </w:rPr>
            </w:pPr>
            <w:r w:rsidRPr="00531366">
              <w:rPr>
                <w:rFonts w:ascii="Arial" w:hAnsi="Arial" w:cs="Arial"/>
                <w:b/>
                <w:noProof/>
                <w:sz w:val="24"/>
                <w:szCs w:val="24"/>
              </w:rPr>
              <w:t>Percent of children</w:t>
            </w:r>
            <w:r w:rsidR="0038462F">
              <w:rPr>
                <w:rFonts w:ascii="Arial" w:hAnsi="Arial" w:cs="Arial"/>
                <w:b/>
                <w:noProof/>
                <w:sz w:val="24"/>
                <w:szCs w:val="24"/>
              </w:rPr>
              <w:t xml:space="preserve">, ages 0 through 17, </w:t>
            </w:r>
            <w:r w:rsidRPr="00531366">
              <w:rPr>
                <w:rFonts w:ascii="Arial" w:hAnsi="Arial" w:cs="Arial"/>
                <w:b/>
                <w:noProof/>
                <w:sz w:val="24"/>
                <w:szCs w:val="24"/>
              </w:rPr>
              <w:t xml:space="preserve">who are </w:t>
            </w:r>
            <w:r w:rsidR="0038462F">
              <w:rPr>
                <w:rFonts w:ascii="Arial" w:hAnsi="Arial" w:cs="Arial"/>
                <w:b/>
                <w:noProof/>
                <w:sz w:val="24"/>
                <w:szCs w:val="24"/>
              </w:rPr>
              <w:t xml:space="preserve">continuously and </w:t>
            </w:r>
            <w:r w:rsidRPr="00531366">
              <w:rPr>
                <w:rFonts w:ascii="Arial" w:hAnsi="Arial" w:cs="Arial"/>
                <w:b/>
                <w:noProof/>
                <w:sz w:val="24"/>
                <w:szCs w:val="24"/>
              </w:rPr>
              <w:t>adequately insured</w:t>
            </w:r>
          </w:p>
        </w:tc>
      </w:tr>
    </w:tbl>
    <w:p w14:paraId="1A785A3A" w14:textId="77777777" w:rsidR="004106D5" w:rsidRDefault="004106D5" w:rsidP="004106D5">
      <w:pPr>
        <w:spacing w:after="0" w:line="240" w:lineRule="auto"/>
      </w:pPr>
    </w:p>
    <w:p w14:paraId="162A1367" w14:textId="77777777" w:rsidR="004106D5" w:rsidRDefault="004106D5" w:rsidP="004106D5">
      <w:pPr>
        <w:spacing w:after="0" w:line="240" w:lineRule="auto"/>
      </w:pPr>
      <w:r>
        <w:rPr>
          <w:noProof/>
        </w:rPr>
        <mc:AlternateContent>
          <mc:Choice Requires="wps">
            <w:drawing>
              <wp:anchor distT="4294967295" distB="4294967295" distL="114300" distR="114300" simplePos="0" relativeHeight="251802624" behindDoc="0" locked="0" layoutInCell="1" allowOverlap="1" wp14:anchorId="3BCC3043" wp14:editId="236448CB">
                <wp:simplePos x="0" y="0"/>
                <wp:positionH relativeFrom="column">
                  <wp:posOffset>-60960</wp:posOffset>
                </wp:positionH>
                <wp:positionV relativeFrom="paragraph">
                  <wp:posOffset>31749</wp:posOffset>
                </wp:positionV>
                <wp:extent cx="6088380" cy="0"/>
                <wp:effectExtent l="0" t="0" r="2667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8380"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508F57F" id="Straight Connector 9" o:spid="_x0000_s1026" style="position:absolute;z-index:251802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2.5pt" to="4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" strokecolor="windowText" strokeweight="1.75pt">
                <o:lock v:ext="edit" shapetype="f"/>
              </v:line>
            </w:pict>
          </mc:Fallback>
        </mc:AlternateContent>
      </w:r>
    </w:p>
    <w:tbl>
      <w:tblPr>
        <w:tblW w:w="0" w:type="auto"/>
        <w:tblLook w:val="04A0" w:firstRow="1" w:lastRow="0" w:firstColumn="1" w:lastColumn="0" w:noHBand="0" w:noVBand="1"/>
      </w:tblPr>
      <w:tblGrid>
        <w:gridCol w:w="3618"/>
        <w:gridCol w:w="3384"/>
        <w:gridCol w:w="2556"/>
      </w:tblGrid>
      <w:tr w:rsidR="004106D5" w:rsidRPr="00515E1C" w14:paraId="417BE3D2" w14:textId="77777777" w:rsidTr="000C7A5D">
        <w:tc>
          <w:tcPr>
            <w:tcW w:w="3618" w:type="dxa"/>
            <w:shd w:val="clear" w:color="auto" w:fill="auto"/>
          </w:tcPr>
          <w:p w14:paraId="67370FF6"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GOAL</w:t>
            </w:r>
          </w:p>
        </w:tc>
        <w:tc>
          <w:tcPr>
            <w:tcW w:w="5940" w:type="dxa"/>
            <w:gridSpan w:val="2"/>
            <w:shd w:val="clear" w:color="auto" w:fill="auto"/>
          </w:tcPr>
          <w:p w14:paraId="466C3D63" w14:textId="33663D76" w:rsidR="004106D5" w:rsidRPr="00531366" w:rsidRDefault="004106D5" w:rsidP="00D65FC2">
            <w:pPr>
              <w:spacing w:after="0" w:line="240" w:lineRule="auto"/>
              <w:rPr>
                <w:rFonts w:ascii="Arial" w:hAnsi="Arial" w:cs="Arial"/>
                <w:sz w:val="20"/>
                <w:szCs w:val="20"/>
              </w:rPr>
            </w:pPr>
            <w:r w:rsidRPr="00531366">
              <w:rPr>
                <w:rFonts w:ascii="Arial" w:hAnsi="Arial" w:cs="Arial"/>
                <w:noProof/>
                <w:sz w:val="20"/>
                <w:szCs w:val="20"/>
              </w:rPr>
              <w:t xml:space="preserve">To increase the </w:t>
            </w:r>
            <w:r w:rsidR="00D65FC2">
              <w:rPr>
                <w:rFonts w:ascii="Arial" w:hAnsi="Arial" w:cs="Arial"/>
                <w:noProof/>
                <w:sz w:val="20"/>
                <w:szCs w:val="20"/>
              </w:rPr>
              <w:t>percent</w:t>
            </w:r>
            <w:r w:rsidRPr="00531366">
              <w:rPr>
                <w:rFonts w:ascii="Arial" w:hAnsi="Arial" w:cs="Arial"/>
                <w:noProof/>
                <w:sz w:val="20"/>
                <w:szCs w:val="20"/>
              </w:rPr>
              <w:t xml:space="preserve"> of children who are adequately insured</w:t>
            </w:r>
          </w:p>
        </w:tc>
      </w:tr>
      <w:tr w:rsidR="004106D5" w:rsidRPr="00515E1C" w14:paraId="1D95756F" w14:textId="77777777" w:rsidTr="000C7A5D">
        <w:tc>
          <w:tcPr>
            <w:tcW w:w="3618" w:type="dxa"/>
            <w:shd w:val="clear" w:color="auto" w:fill="auto"/>
          </w:tcPr>
          <w:p w14:paraId="48DFB57F"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4942AA8B" w14:textId="77777777" w:rsidR="004106D5" w:rsidRPr="00531366" w:rsidRDefault="004106D5" w:rsidP="000C7A5D">
            <w:pPr>
              <w:spacing w:after="0" w:line="240" w:lineRule="auto"/>
              <w:rPr>
                <w:rFonts w:ascii="Arial" w:hAnsi="Arial" w:cs="Arial"/>
                <w:sz w:val="20"/>
                <w:szCs w:val="20"/>
              </w:rPr>
            </w:pPr>
          </w:p>
        </w:tc>
      </w:tr>
      <w:tr w:rsidR="004106D5" w:rsidRPr="00515E1C" w14:paraId="2902EB12" w14:textId="77777777" w:rsidTr="000C7A5D">
        <w:tc>
          <w:tcPr>
            <w:tcW w:w="3618" w:type="dxa"/>
            <w:shd w:val="clear" w:color="auto" w:fill="auto"/>
          </w:tcPr>
          <w:p w14:paraId="09C6DC20"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DEFINITION</w:t>
            </w:r>
          </w:p>
        </w:tc>
        <w:tc>
          <w:tcPr>
            <w:tcW w:w="5940" w:type="dxa"/>
            <w:gridSpan w:val="2"/>
            <w:shd w:val="clear" w:color="auto" w:fill="auto"/>
          </w:tcPr>
          <w:p w14:paraId="2CF75EF7"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Numerator:</w:t>
            </w:r>
          </w:p>
        </w:tc>
      </w:tr>
      <w:tr w:rsidR="004106D5" w:rsidRPr="00515E1C" w14:paraId="10E1EB4D" w14:textId="77777777" w:rsidTr="000C7A5D">
        <w:tc>
          <w:tcPr>
            <w:tcW w:w="3618" w:type="dxa"/>
            <w:shd w:val="clear" w:color="auto" w:fill="auto"/>
          </w:tcPr>
          <w:p w14:paraId="7000D3FF"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6AD1E242" w14:textId="18B7550B" w:rsidR="004106D5" w:rsidRPr="00531366" w:rsidRDefault="004106D5" w:rsidP="00E605F5">
            <w:pPr>
              <w:spacing w:after="0" w:line="240" w:lineRule="auto"/>
              <w:rPr>
                <w:rFonts w:ascii="Arial" w:hAnsi="Arial" w:cs="Arial"/>
                <w:sz w:val="20"/>
                <w:szCs w:val="20"/>
              </w:rPr>
            </w:pPr>
            <w:r>
              <w:rPr>
                <w:rFonts w:ascii="Arial" w:hAnsi="Arial" w:cs="Arial"/>
                <w:noProof/>
                <w:sz w:val="20"/>
                <w:szCs w:val="20"/>
              </w:rPr>
              <w:t>Number</w:t>
            </w:r>
            <w:r w:rsidRPr="00531366">
              <w:rPr>
                <w:rFonts w:ascii="Arial" w:hAnsi="Arial" w:cs="Arial"/>
                <w:noProof/>
                <w:sz w:val="20"/>
                <w:szCs w:val="20"/>
              </w:rPr>
              <w:t xml:space="preserve"> of children, ages 0 through 17, who were reported to be </w:t>
            </w:r>
            <w:r w:rsidR="00E605F5">
              <w:rPr>
                <w:rFonts w:ascii="Arial" w:hAnsi="Arial" w:cs="Arial"/>
                <w:noProof/>
                <w:sz w:val="20"/>
                <w:szCs w:val="20"/>
              </w:rPr>
              <w:t xml:space="preserve">continuously insured in the past year with </w:t>
            </w:r>
            <w:r w:rsidRPr="00531366">
              <w:rPr>
                <w:rFonts w:ascii="Arial" w:hAnsi="Arial" w:cs="Arial"/>
                <w:noProof/>
                <w:sz w:val="20"/>
                <w:szCs w:val="20"/>
              </w:rPr>
              <w:t>adequate</w:t>
            </w:r>
            <w:r w:rsidR="00E605F5">
              <w:rPr>
                <w:rFonts w:ascii="Arial" w:hAnsi="Arial" w:cs="Arial"/>
                <w:noProof/>
                <w:sz w:val="20"/>
                <w:szCs w:val="20"/>
              </w:rPr>
              <w:t xml:space="preserve"> coverage</w:t>
            </w:r>
            <w:r w:rsidRPr="00531366">
              <w:rPr>
                <w:rFonts w:ascii="Arial" w:hAnsi="Arial" w:cs="Arial"/>
                <w:noProof/>
                <w:sz w:val="20"/>
                <w:szCs w:val="20"/>
              </w:rPr>
              <w:t xml:space="preserve">, based on 3 criteria: whether their children’s insurance covers needed services and providers, and reasonably covers costs. If a parent answered “always” or “usually” to all three dimensions of adequacy, then the child was considered to have adequate insurance coverage.  (No out-of-pocket costs were considered to be “always” reasonable.)  </w:t>
            </w:r>
          </w:p>
        </w:tc>
      </w:tr>
      <w:tr w:rsidR="004106D5" w:rsidRPr="00515E1C" w14:paraId="103C994C" w14:textId="77777777" w:rsidTr="000C7A5D">
        <w:tc>
          <w:tcPr>
            <w:tcW w:w="3618" w:type="dxa"/>
            <w:shd w:val="clear" w:color="auto" w:fill="auto"/>
          </w:tcPr>
          <w:p w14:paraId="460C9D0C"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6CF1B86A" w14:textId="77777777" w:rsidR="004106D5" w:rsidRPr="00531366" w:rsidRDefault="004106D5" w:rsidP="000C7A5D">
            <w:pPr>
              <w:spacing w:after="0" w:line="240" w:lineRule="auto"/>
              <w:rPr>
                <w:rFonts w:ascii="Arial" w:hAnsi="Arial" w:cs="Arial"/>
                <w:sz w:val="20"/>
                <w:szCs w:val="20"/>
              </w:rPr>
            </w:pPr>
          </w:p>
        </w:tc>
      </w:tr>
      <w:tr w:rsidR="004106D5" w:rsidRPr="00515E1C" w14:paraId="348FC09D" w14:textId="77777777" w:rsidTr="000C7A5D">
        <w:tc>
          <w:tcPr>
            <w:tcW w:w="3618" w:type="dxa"/>
            <w:shd w:val="clear" w:color="auto" w:fill="auto"/>
          </w:tcPr>
          <w:p w14:paraId="7FD1A38A"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287BE869"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Denominator:</w:t>
            </w:r>
          </w:p>
        </w:tc>
      </w:tr>
      <w:tr w:rsidR="004106D5" w:rsidRPr="00515E1C" w14:paraId="7C42A209" w14:textId="77777777" w:rsidTr="000C7A5D">
        <w:tc>
          <w:tcPr>
            <w:tcW w:w="3618" w:type="dxa"/>
            <w:shd w:val="clear" w:color="auto" w:fill="auto"/>
          </w:tcPr>
          <w:p w14:paraId="09DD10EB"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00DEBE99" w14:textId="77777777" w:rsidR="004106D5" w:rsidRPr="00531366" w:rsidRDefault="004106D5" w:rsidP="000C7A5D">
            <w:pPr>
              <w:spacing w:after="0" w:line="240" w:lineRule="auto"/>
              <w:rPr>
                <w:rFonts w:ascii="Arial" w:hAnsi="Arial" w:cs="Arial"/>
                <w:sz w:val="20"/>
                <w:szCs w:val="20"/>
              </w:rPr>
            </w:pPr>
            <w:r>
              <w:rPr>
                <w:rFonts w:ascii="Arial" w:hAnsi="Arial" w:cs="Arial"/>
                <w:noProof/>
                <w:sz w:val="20"/>
                <w:szCs w:val="20"/>
              </w:rPr>
              <w:t>Number of</w:t>
            </w:r>
            <w:r w:rsidRPr="00531366">
              <w:rPr>
                <w:rFonts w:ascii="Arial" w:hAnsi="Arial" w:cs="Arial"/>
                <w:noProof/>
                <w:sz w:val="20"/>
                <w:szCs w:val="20"/>
              </w:rPr>
              <w:t xml:space="preserve"> children, </w:t>
            </w:r>
            <w:r>
              <w:rPr>
                <w:rFonts w:ascii="Arial" w:hAnsi="Arial" w:cs="Arial"/>
                <w:noProof/>
                <w:sz w:val="20"/>
                <w:szCs w:val="20"/>
              </w:rPr>
              <w:t xml:space="preserve">ages </w:t>
            </w:r>
            <w:r w:rsidRPr="00531366">
              <w:rPr>
                <w:rFonts w:ascii="Arial" w:hAnsi="Arial" w:cs="Arial"/>
                <w:noProof/>
                <w:sz w:val="20"/>
                <w:szCs w:val="20"/>
              </w:rPr>
              <w:t xml:space="preserve">0 through 17 </w:t>
            </w:r>
          </w:p>
        </w:tc>
      </w:tr>
      <w:tr w:rsidR="004106D5" w:rsidRPr="00515E1C" w14:paraId="601FC543" w14:textId="77777777" w:rsidTr="000C7A5D">
        <w:tc>
          <w:tcPr>
            <w:tcW w:w="3618" w:type="dxa"/>
            <w:shd w:val="clear" w:color="auto" w:fill="auto"/>
          </w:tcPr>
          <w:p w14:paraId="234F24CA"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2E431F98" w14:textId="77777777" w:rsidR="004106D5" w:rsidRPr="00531366" w:rsidRDefault="004106D5" w:rsidP="000C7A5D">
            <w:pPr>
              <w:spacing w:after="0" w:line="240" w:lineRule="auto"/>
              <w:rPr>
                <w:rFonts w:ascii="Arial" w:hAnsi="Arial" w:cs="Arial"/>
                <w:sz w:val="20"/>
                <w:szCs w:val="20"/>
              </w:rPr>
            </w:pPr>
          </w:p>
        </w:tc>
      </w:tr>
      <w:tr w:rsidR="004106D5" w:rsidRPr="00515E1C" w14:paraId="3C45C34A" w14:textId="77777777" w:rsidTr="000C7A5D">
        <w:tc>
          <w:tcPr>
            <w:tcW w:w="3618" w:type="dxa"/>
            <w:shd w:val="clear" w:color="auto" w:fill="auto"/>
          </w:tcPr>
          <w:p w14:paraId="3DDF7A46" w14:textId="77777777" w:rsidR="004106D5" w:rsidRPr="00531366" w:rsidRDefault="004106D5" w:rsidP="000C7A5D">
            <w:pPr>
              <w:spacing w:after="0" w:line="240" w:lineRule="auto"/>
              <w:rPr>
                <w:rFonts w:ascii="Arial" w:hAnsi="Arial" w:cs="Arial"/>
                <w:b/>
                <w:sz w:val="20"/>
                <w:szCs w:val="20"/>
              </w:rPr>
            </w:pPr>
          </w:p>
        </w:tc>
        <w:tc>
          <w:tcPr>
            <w:tcW w:w="3384" w:type="dxa"/>
            <w:shd w:val="clear" w:color="auto" w:fill="auto"/>
          </w:tcPr>
          <w:p w14:paraId="4162AE97"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b/>
                <w:sz w:val="20"/>
                <w:szCs w:val="20"/>
              </w:rPr>
              <w:t>Units:</w:t>
            </w:r>
            <w:r w:rsidRPr="00531366">
              <w:rPr>
                <w:rFonts w:ascii="Arial" w:hAnsi="Arial" w:cs="Arial"/>
                <w:sz w:val="20"/>
                <w:szCs w:val="20"/>
              </w:rPr>
              <w:t xml:space="preserve"> </w:t>
            </w:r>
            <w:r w:rsidRPr="00531366">
              <w:rPr>
                <w:rFonts w:ascii="Arial" w:hAnsi="Arial" w:cs="Arial"/>
                <w:noProof/>
                <w:sz w:val="20"/>
                <w:szCs w:val="20"/>
              </w:rPr>
              <w:t>100</w:t>
            </w:r>
          </w:p>
        </w:tc>
        <w:tc>
          <w:tcPr>
            <w:tcW w:w="2556" w:type="dxa"/>
            <w:shd w:val="clear" w:color="auto" w:fill="auto"/>
          </w:tcPr>
          <w:p w14:paraId="01D0A48F"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b/>
                <w:sz w:val="20"/>
                <w:szCs w:val="20"/>
              </w:rPr>
              <w:t>Text:</w:t>
            </w:r>
            <w:r w:rsidRPr="00531366">
              <w:rPr>
                <w:rFonts w:ascii="Arial" w:hAnsi="Arial" w:cs="Arial"/>
                <w:sz w:val="20"/>
                <w:szCs w:val="20"/>
              </w:rPr>
              <w:t xml:space="preserve"> </w:t>
            </w:r>
            <w:r w:rsidRPr="00531366">
              <w:rPr>
                <w:rFonts w:ascii="Arial" w:hAnsi="Arial" w:cs="Arial"/>
                <w:noProof/>
                <w:sz w:val="20"/>
                <w:szCs w:val="20"/>
              </w:rPr>
              <w:t>Percent</w:t>
            </w:r>
          </w:p>
        </w:tc>
      </w:tr>
      <w:tr w:rsidR="004106D5" w:rsidRPr="00515E1C" w14:paraId="03B65C8B" w14:textId="77777777" w:rsidTr="000C7A5D">
        <w:tc>
          <w:tcPr>
            <w:tcW w:w="3618" w:type="dxa"/>
            <w:shd w:val="clear" w:color="auto" w:fill="auto"/>
          </w:tcPr>
          <w:p w14:paraId="5B61B058"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4DB7153B" w14:textId="77777777" w:rsidR="004106D5" w:rsidRPr="00531366" w:rsidRDefault="004106D5" w:rsidP="000C7A5D">
            <w:pPr>
              <w:spacing w:after="0" w:line="240" w:lineRule="auto"/>
              <w:rPr>
                <w:rFonts w:ascii="Arial" w:hAnsi="Arial" w:cs="Arial"/>
                <w:sz w:val="20"/>
                <w:szCs w:val="20"/>
              </w:rPr>
            </w:pPr>
          </w:p>
        </w:tc>
      </w:tr>
      <w:tr w:rsidR="004106D5" w:rsidRPr="00515E1C" w14:paraId="21DF55FE" w14:textId="77777777" w:rsidTr="000C7A5D">
        <w:tc>
          <w:tcPr>
            <w:tcW w:w="3618" w:type="dxa"/>
            <w:shd w:val="clear" w:color="auto" w:fill="auto"/>
          </w:tcPr>
          <w:p w14:paraId="0608E763"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HEALTHY PEOPLE 2020 OBJECTIVE</w:t>
            </w:r>
          </w:p>
        </w:tc>
        <w:tc>
          <w:tcPr>
            <w:tcW w:w="5940" w:type="dxa"/>
            <w:gridSpan w:val="2"/>
            <w:shd w:val="clear" w:color="auto" w:fill="auto"/>
          </w:tcPr>
          <w:p w14:paraId="1EA17EDC" w14:textId="77777777" w:rsidR="004106D5" w:rsidRPr="00531366" w:rsidRDefault="004106D5" w:rsidP="000C7A5D">
            <w:pPr>
              <w:spacing w:after="0" w:line="240" w:lineRule="auto"/>
              <w:rPr>
                <w:rFonts w:ascii="Arial" w:hAnsi="Arial" w:cs="Arial"/>
                <w:noProof/>
                <w:sz w:val="20"/>
                <w:szCs w:val="20"/>
              </w:rPr>
            </w:pPr>
            <w:r w:rsidRPr="00531366">
              <w:rPr>
                <w:rFonts w:ascii="Arial" w:hAnsi="Arial" w:cs="Arial"/>
                <w:noProof/>
                <w:sz w:val="20"/>
                <w:szCs w:val="20"/>
              </w:rPr>
              <w:t>Related to Access to Health Services (AHS) Objective 1:  Increase the proportion of persons with health insurance</w:t>
            </w:r>
          </w:p>
          <w:p w14:paraId="348C72BF" w14:textId="77777777" w:rsidR="004106D5" w:rsidRPr="00531366" w:rsidRDefault="004106D5" w:rsidP="000C7A5D">
            <w:pPr>
              <w:spacing w:after="0" w:line="240" w:lineRule="auto"/>
              <w:rPr>
                <w:rFonts w:ascii="Arial" w:hAnsi="Arial" w:cs="Arial"/>
                <w:noProof/>
                <w:sz w:val="20"/>
                <w:szCs w:val="20"/>
              </w:rPr>
            </w:pPr>
          </w:p>
          <w:p w14:paraId="0B1AE567"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noProof/>
                <w:sz w:val="20"/>
                <w:szCs w:val="20"/>
              </w:rPr>
              <w:t>Related to Access to Health Services (AHS) Objective 6:   Reduce the proportion of persons who are unable to obtain or delay in obtaining necessary medical care, dental care, or prescription medicines</w:t>
            </w:r>
          </w:p>
        </w:tc>
      </w:tr>
      <w:tr w:rsidR="004106D5" w:rsidRPr="00515E1C" w14:paraId="372C8CC0" w14:textId="77777777" w:rsidTr="000C7A5D">
        <w:tc>
          <w:tcPr>
            <w:tcW w:w="3618" w:type="dxa"/>
            <w:shd w:val="clear" w:color="auto" w:fill="auto"/>
          </w:tcPr>
          <w:p w14:paraId="0FF2C63F"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6FAC119C" w14:textId="77777777" w:rsidR="004106D5" w:rsidRPr="00531366" w:rsidRDefault="004106D5" w:rsidP="000C7A5D">
            <w:pPr>
              <w:spacing w:after="0" w:line="240" w:lineRule="auto"/>
              <w:rPr>
                <w:rFonts w:ascii="Arial" w:hAnsi="Arial" w:cs="Arial"/>
                <w:sz w:val="20"/>
                <w:szCs w:val="20"/>
              </w:rPr>
            </w:pPr>
          </w:p>
        </w:tc>
      </w:tr>
      <w:tr w:rsidR="004106D5" w:rsidRPr="00515E1C" w14:paraId="770A4DEE" w14:textId="77777777" w:rsidTr="000C7A5D">
        <w:tc>
          <w:tcPr>
            <w:tcW w:w="3618" w:type="dxa"/>
            <w:shd w:val="clear" w:color="auto" w:fill="auto"/>
          </w:tcPr>
          <w:p w14:paraId="43207DFD"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DATA SOURCES and DATA ISSUES</w:t>
            </w:r>
          </w:p>
        </w:tc>
        <w:tc>
          <w:tcPr>
            <w:tcW w:w="5940" w:type="dxa"/>
            <w:gridSpan w:val="2"/>
            <w:shd w:val="clear" w:color="auto" w:fill="auto"/>
          </w:tcPr>
          <w:p w14:paraId="508E1D63" w14:textId="77777777" w:rsidR="004106D5" w:rsidRPr="00531366" w:rsidRDefault="004106D5" w:rsidP="000C7A5D">
            <w:pPr>
              <w:spacing w:after="0" w:line="240" w:lineRule="auto"/>
              <w:rPr>
                <w:rFonts w:ascii="Arial" w:hAnsi="Arial" w:cs="Arial"/>
                <w:sz w:val="20"/>
                <w:szCs w:val="20"/>
              </w:rPr>
            </w:pPr>
            <w:r w:rsidRPr="00531366">
              <w:rPr>
                <w:rFonts w:ascii="Arial" w:hAnsi="Arial" w:cs="Arial"/>
                <w:noProof/>
                <w:sz w:val="20"/>
                <w:szCs w:val="20"/>
              </w:rPr>
              <w:t>National Survey of Children's Health (NSCH)</w:t>
            </w:r>
          </w:p>
        </w:tc>
      </w:tr>
      <w:tr w:rsidR="004106D5" w:rsidRPr="00515E1C" w14:paraId="5992E49E" w14:textId="77777777" w:rsidTr="000C7A5D">
        <w:tc>
          <w:tcPr>
            <w:tcW w:w="3618" w:type="dxa"/>
            <w:shd w:val="clear" w:color="auto" w:fill="auto"/>
          </w:tcPr>
          <w:p w14:paraId="615CA409" w14:textId="77777777" w:rsidR="004106D5" w:rsidRDefault="004106D5" w:rsidP="000C7A5D">
            <w:pPr>
              <w:spacing w:after="0" w:line="240" w:lineRule="auto"/>
              <w:rPr>
                <w:rFonts w:ascii="Arial" w:hAnsi="Arial" w:cs="Arial"/>
                <w:b/>
                <w:sz w:val="20"/>
                <w:szCs w:val="20"/>
              </w:rPr>
            </w:pPr>
          </w:p>
          <w:p w14:paraId="3A0DE1C9" w14:textId="77777777" w:rsidR="004106D5" w:rsidRDefault="004106D5" w:rsidP="000C7A5D">
            <w:pPr>
              <w:spacing w:after="0" w:line="240" w:lineRule="auto"/>
              <w:rPr>
                <w:rFonts w:ascii="Arial" w:hAnsi="Arial" w:cs="Arial"/>
                <w:b/>
                <w:sz w:val="20"/>
                <w:szCs w:val="20"/>
              </w:rPr>
            </w:pPr>
            <w:r>
              <w:rPr>
                <w:rFonts w:ascii="Arial" w:hAnsi="Arial" w:cs="Arial"/>
                <w:b/>
                <w:sz w:val="20"/>
                <w:szCs w:val="20"/>
              </w:rPr>
              <w:t>MCH POPULATION DOMAIN</w:t>
            </w:r>
          </w:p>
          <w:p w14:paraId="419BA0CE" w14:textId="77777777" w:rsidR="004106D5" w:rsidRPr="00531366" w:rsidRDefault="004106D5" w:rsidP="000C7A5D">
            <w:pPr>
              <w:spacing w:after="0" w:line="240" w:lineRule="auto"/>
              <w:rPr>
                <w:rFonts w:ascii="Arial" w:hAnsi="Arial" w:cs="Arial"/>
                <w:b/>
                <w:sz w:val="20"/>
                <w:szCs w:val="20"/>
              </w:rPr>
            </w:pPr>
          </w:p>
        </w:tc>
        <w:tc>
          <w:tcPr>
            <w:tcW w:w="5940" w:type="dxa"/>
            <w:gridSpan w:val="2"/>
            <w:shd w:val="clear" w:color="auto" w:fill="auto"/>
          </w:tcPr>
          <w:p w14:paraId="0A74CEF0" w14:textId="77777777" w:rsidR="004106D5" w:rsidRDefault="004106D5" w:rsidP="000C7A5D">
            <w:pPr>
              <w:spacing w:after="0" w:line="240" w:lineRule="auto"/>
              <w:rPr>
                <w:rFonts w:ascii="Arial" w:hAnsi="Arial" w:cs="Arial"/>
                <w:sz w:val="20"/>
                <w:szCs w:val="20"/>
              </w:rPr>
            </w:pPr>
          </w:p>
          <w:p w14:paraId="3E338755" w14:textId="77777777" w:rsidR="004106D5" w:rsidRDefault="004106D5" w:rsidP="000C7A5D">
            <w:pPr>
              <w:spacing w:after="0" w:line="240" w:lineRule="auto"/>
              <w:rPr>
                <w:rFonts w:ascii="Arial" w:hAnsi="Arial" w:cs="Arial"/>
                <w:sz w:val="20"/>
                <w:szCs w:val="20"/>
              </w:rPr>
            </w:pPr>
            <w:r>
              <w:rPr>
                <w:rFonts w:ascii="Arial" w:hAnsi="Arial" w:cs="Arial"/>
                <w:sz w:val="20"/>
                <w:szCs w:val="20"/>
              </w:rPr>
              <w:t>Child Health, Adolescent Health, and/or Children with Special Health Care Needs</w:t>
            </w:r>
          </w:p>
          <w:p w14:paraId="59DB9FEB" w14:textId="77777777" w:rsidR="004106D5" w:rsidRPr="00531366" w:rsidRDefault="004106D5" w:rsidP="000C7A5D">
            <w:pPr>
              <w:spacing w:after="0" w:line="240" w:lineRule="auto"/>
              <w:rPr>
                <w:rFonts w:ascii="Arial" w:hAnsi="Arial" w:cs="Arial"/>
                <w:sz w:val="20"/>
                <w:szCs w:val="20"/>
              </w:rPr>
            </w:pPr>
          </w:p>
        </w:tc>
      </w:tr>
      <w:tr w:rsidR="004106D5" w:rsidRPr="00515E1C" w14:paraId="4A640358" w14:textId="77777777" w:rsidTr="000C7A5D">
        <w:tc>
          <w:tcPr>
            <w:tcW w:w="3618" w:type="dxa"/>
            <w:shd w:val="clear" w:color="auto" w:fill="auto"/>
          </w:tcPr>
          <w:p w14:paraId="735970F7" w14:textId="77777777" w:rsidR="004106D5" w:rsidRPr="00531366" w:rsidRDefault="004106D5" w:rsidP="000C7A5D">
            <w:pPr>
              <w:spacing w:after="0" w:line="240" w:lineRule="auto"/>
              <w:rPr>
                <w:rFonts w:ascii="Arial" w:hAnsi="Arial" w:cs="Arial"/>
                <w:b/>
                <w:sz w:val="20"/>
                <w:szCs w:val="20"/>
              </w:rPr>
            </w:pPr>
            <w:r w:rsidRPr="00531366">
              <w:rPr>
                <w:rFonts w:ascii="Arial" w:hAnsi="Arial" w:cs="Arial"/>
                <w:b/>
                <w:sz w:val="20"/>
                <w:szCs w:val="20"/>
              </w:rPr>
              <w:t>SIGNIFICANCE</w:t>
            </w:r>
          </w:p>
        </w:tc>
        <w:tc>
          <w:tcPr>
            <w:tcW w:w="5940" w:type="dxa"/>
            <w:gridSpan w:val="2"/>
            <w:shd w:val="clear" w:color="auto" w:fill="auto"/>
          </w:tcPr>
          <w:p w14:paraId="494F9F54" w14:textId="77777777" w:rsidR="004106D5" w:rsidRPr="00527B46" w:rsidRDefault="004106D5" w:rsidP="000C7A5D">
            <w:pPr>
              <w:spacing w:after="0" w:line="240" w:lineRule="auto"/>
              <w:rPr>
                <w:rFonts w:ascii="Arial" w:hAnsi="Arial" w:cs="Arial"/>
                <w:noProof/>
                <w:sz w:val="20"/>
                <w:szCs w:val="20"/>
              </w:rPr>
            </w:pPr>
            <w:r w:rsidRPr="00167A8F">
              <w:rPr>
                <w:rFonts w:ascii="Arial" w:hAnsi="Arial" w:cs="Arial"/>
                <w:noProof/>
                <w:sz w:val="20"/>
                <w:szCs w:val="20"/>
              </w:rPr>
              <w:t>Almost one-quarter of American children with continuous insurance coverage are not adequately insured. Inadequately insured children are more likely to have delayed or forgone care, lack a medical home, be less likely to receive needed referrals and care coordinati</w:t>
            </w:r>
            <w:r w:rsidRPr="00527B46">
              <w:rPr>
                <w:rFonts w:ascii="Arial" w:hAnsi="Arial" w:cs="Arial"/>
                <w:noProof/>
                <w:sz w:val="20"/>
                <w:szCs w:val="20"/>
              </w:rPr>
              <w:t>on, and receive family-centered care.  The American Academy of Pediatrics (AAP) highlighted the importance of this issue with a policy statement. The major problems cited were cost-sharing requirements that are too high, benefit limitations, and inadequate coverage of needed services.</w:t>
            </w:r>
          </w:p>
          <w:p w14:paraId="0EA02D10" w14:textId="77777777" w:rsidR="004106D5" w:rsidRPr="00527B46" w:rsidRDefault="004106D5" w:rsidP="000C7A5D">
            <w:pPr>
              <w:spacing w:after="0" w:line="240" w:lineRule="auto"/>
              <w:rPr>
                <w:rFonts w:ascii="Arial" w:hAnsi="Arial" w:cs="Arial"/>
                <w:noProof/>
                <w:sz w:val="20"/>
                <w:szCs w:val="20"/>
              </w:rPr>
            </w:pPr>
          </w:p>
          <w:p w14:paraId="31ED8698" w14:textId="77777777" w:rsidR="004106D5" w:rsidRPr="00D14F97" w:rsidRDefault="004106D5" w:rsidP="000C7A5D">
            <w:pPr>
              <w:spacing w:after="160" w:line="259" w:lineRule="auto"/>
              <w:rPr>
                <w:rFonts w:ascii="Arial" w:eastAsia="Times New Roman" w:hAnsi="Arial" w:cs="Arial"/>
                <w:sz w:val="20"/>
                <w:szCs w:val="20"/>
              </w:rPr>
            </w:pPr>
            <w:r w:rsidRPr="00D14F97">
              <w:rPr>
                <w:rFonts w:ascii="Arial" w:eastAsia="Times New Roman" w:hAnsi="Arial" w:cs="Arial"/>
                <w:sz w:val="20"/>
                <w:szCs w:val="20"/>
              </w:rPr>
              <w:t xml:space="preserve">Kogan MD, Newacheck PW, Blumberg SJ, Ghandour RM, Singh GK, Strickland BB, van Dyck PC. Underinsurance among children in the United States. N Engl J Med. 2010Aug 26;363(9):841-51. </w:t>
            </w:r>
            <w:hyperlink r:id="rId141" w:history="1">
              <w:r w:rsidRPr="00D14F97">
                <w:rPr>
                  <w:rFonts w:ascii="Arial" w:eastAsia="Times New Roman" w:hAnsi="Arial" w:cs="Arial"/>
                  <w:color w:val="0000FF"/>
                  <w:sz w:val="20"/>
                  <w:szCs w:val="20"/>
                  <w:u w:val="single"/>
                </w:rPr>
                <w:t>http://www.nejm.org/doi/full/10.1056/NEJMsa0909994</w:t>
              </w:r>
            </w:hyperlink>
            <w:r w:rsidRPr="00D14F97">
              <w:rPr>
                <w:rFonts w:ascii="Arial" w:eastAsia="Times New Roman" w:hAnsi="Arial" w:cs="Arial"/>
                <w:sz w:val="20"/>
                <w:szCs w:val="20"/>
              </w:rPr>
              <w:t xml:space="preserve"> </w:t>
            </w:r>
          </w:p>
          <w:p w14:paraId="00514F83" w14:textId="77777777" w:rsidR="004106D5" w:rsidRPr="00167A8F" w:rsidRDefault="004106D5" w:rsidP="000C7A5D">
            <w:pPr>
              <w:spacing w:after="0" w:line="240" w:lineRule="auto"/>
              <w:rPr>
                <w:rFonts w:ascii="Arial" w:hAnsi="Arial" w:cs="Arial"/>
                <w:sz w:val="20"/>
                <w:szCs w:val="20"/>
              </w:rPr>
            </w:pPr>
          </w:p>
        </w:tc>
      </w:tr>
    </w:tbl>
    <w:p w14:paraId="79E12DFE" w14:textId="4B971CAE" w:rsidR="00357E8E" w:rsidRDefault="00357E8E" w:rsidP="004106D5">
      <w:pPr>
        <w:spacing w:after="0" w:line="240" w:lineRule="auto"/>
        <w:rPr>
          <w:rFonts w:ascii="Arial" w:hAnsi="Arial" w:cs="Arial"/>
          <w:sz w:val="24"/>
          <w:szCs w:val="24"/>
        </w:rPr>
      </w:pPr>
    </w:p>
    <w:p w14:paraId="71F5E9E9" w14:textId="416A02AE" w:rsidR="00357E8E" w:rsidRPr="00F14156" w:rsidRDefault="00357E8E" w:rsidP="00357E8E">
      <w:pPr>
        <w:pStyle w:val="IntenseQuote"/>
        <w:spacing w:before="0" w:after="0" w:line="240" w:lineRule="auto"/>
        <w:ind w:left="0" w:right="0"/>
        <w:rPr>
          <w:rFonts w:asciiTheme="minorHAnsi" w:hAnsiTheme="minorHAnsi"/>
          <w:b w:val="0"/>
          <w:i w:val="0"/>
          <w:color w:val="0B5294" w:themeColor="accent1" w:themeShade="BF"/>
          <w:sz w:val="48"/>
          <w:szCs w:val="48"/>
        </w:rPr>
      </w:pPr>
      <w:r>
        <w:rPr>
          <w:rFonts w:asciiTheme="majorHAnsi" w:hAnsiTheme="majorHAnsi"/>
          <w:b w:val="0"/>
          <w:i w:val="0"/>
          <w:color w:val="0B5294" w:themeColor="accent1" w:themeShade="BF"/>
          <w:sz w:val="48"/>
          <w:szCs w:val="48"/>
        </w:rPr>
        <w:t>APPENDIX D</w:t>
      </w:r>
      <w:r w:rsidRPr="00357E8E">
        <w:rPr>
          <w:rFonts w:asciiTheme="majorHAnsi" w:hAnsiTheme="majorHAnsi"/>
          <w:b w:val="0"/>
          <w:i w:val="0"/>
          <w:color w:val="0B5294" w:themeColor="accent1" w:themeShade="BF"/>
          <w:sz w:val="48"/>
          <w:szCs w:val="48"/>
        </w:rPr>
        <w:t>:</w:t>
      </w:r>
      <w:r w:rsidRPr="00F14156">
        <w:rPr>
          <w:rFonts w:asciiTheme="minorHAnsi" w:hAnsiTheme="minorHAnsi"/>
          <w:b w:val="0"/>
          <w:i w:val="0"/>
          <w:color w:val="0B5294" w:themeColor="accent1" w:themeShade="BF"/>
          <w:sz w:val="48"/>
          <w:szCs w:val="48"/>
        </w:rPr>
        <w:t xml:space="preserve"> </w:t>
      </w:r>
      <w:r w:rsidRPr="00357E8E">
        <w:rPr>
          <w:rFonts w:asciiTheme="majorHAnsi" w:hAnsiTheme="majorHAnsi"/>
          <w:b w:val="0"/>
          <w:bCs w:val="0"/>
          <w:i w:val="0"/>
          <w:iCs w:val="0"/>
          <w:color w:val="0B5294" w:themeColor="accent1" w:themeShade="BF"/>
          <w:spacing w:val="-1"/>
          <w:sz w:val="26"/>
          <w:szCs w:val="26"/>
        </w:rPr>
        <w:t>FAMILY PARTNERSHIP CONTINUUM</w:t>
      </w:r>
    </w:p>
    <w:p w14:paraId="021B7289" w14:textId="77777777" w:rsidR="00357E8E" w:rsidRPr="00664C39" w:rsidRDefault="00357E8E" w:rsidP="00357E8E">
      <w:pPr>
        <w:widowControl w:val="0"/>
        <w:autoSpaceDE w:val="0"/>
        <w:autoSpaceDN w:val="0"/>
        <w:adjustRightInd w:val="0"/>
        <w:spacing w:after="0" w:line="100" w:lineRule="exact"/>
        <w:jc w:val="right"/>
        <w:rPr>
          <w:rFonts w:asciiTheme="minorHAnsi" w:eastAsia="Times New Roman" w:hAnsiTheme="minorHAnsi" w:cs="Arial"/>
          <w:sz w:val="24"/>
          <w:szCs w:val="24"/>
        </w:rPr>
      </w:pPr>
    </w:p>
    <w:p w14:paraId="7205A432" w14:textId="77777777" w:rsidR="00357E8E" w:rsidRPr="00D81F0F" w:rsidRDefault="00357E8E" w:rsidP="00357E8E">
      <w:pPr>
        <w:autoSpaceDE w:val="0"/>
        <w:autoSpaceDN w:val="0"/>
        <w:adjustRightInd w:val="0"/>
        <w:spacing w:after="0" w:line="240" w:lineRule="auto"/>
        <w:rPr>
          <w:rFonts w:ascii="Arial" w:eastAsia="Times New Roman" w:hAnsi="Arial" w:cs="Arial"/>
          <w:sz w:val="10"/>
          <w:szCs w:val="10"/>
        </w:rPr>
      </w:pPr>
    </w:p>
    <w:p w14:paraId="5D78F55F" w14:textId="77777777" w:rsidR="00357E8E" w:rsidRPr="00664C39" w:rsidRDefault="00357E8E" w:rsidP="00357E8E">
      <w:pPr>
        <w:autoSpaceDE w:val="0"/>
        <w:autoSpaceDN w:val="0"/>
        <w:adjustRightInd w:val="0"/>
        <w:spacing w:after="0" w:line="240" w:lineRule="auto"/>
        <w:rPr>
          <w:rFonts w:asciiTheme="minorHAnsi" w:eastAsia="Times New Roman" w:hAnsiTheme="minorHAnsi" w:cs="Arial"/>
          <w:sz w:val="24"/>
          <w:szCs w:val="24"/>
        </w:rPr>
      </w:pPr>
      <w:r w:rsidRPr="006B4FED">
        <w:rPr>
          <w:rFonts w:asciiTheme="minorHAnsi" w:eastAsia="Times New Roman" w:hAnsiTheme="minorHAnsi" w:cs="Arial"/>
          <w:sz w:val="24"/>
          <w:szCs w:val="24"/>
        </w:rPr>
        <w:t>Family partnership is defined as patients, families, their representatives, and health professionals working in active partnership at various levels across the health care system—direct care, organizational design and governance, and policy making—to improve health and health care.</w:t>
      </w:r>
      <w:r>
        <w:rPr>
          <w:rFonts w:asciiTheme="minorHAnsi" w:eastAsia="Times New Roman" w:hAnsiTheme="minorHAnsi" w:cs="Arial"/>
          <w:sz w:val="24"/>
          <w:szCs w:val="24"/>
        </w:rPr>
        <w:t xml:space="preserve">  </w:t>
      </w:r>
      <w:r w:rsidRPr="006B4FED">
        <w:rPr>
          <w:rFonts w:asciiTheme="minorHAnsi" w:eastAsia="Times New Roman" w:hAnsiTheme="minorHAnsi" w:cs="Arial"/>
          <w:sz w:val="24"/>
          <w:szCs w:val="24"/>
        </w:rPr>
        <w:t>This partnership is accomplished through the intentional practice of working with families for the ultimate goal of positive outcomes in all areas through the life course.</w:t>
      </w:r>
      <w:r w:rsidRPr="00664C39">
        <w:rPr>
          <w:rStyle w:val="FootnoteReference"/>
          <w:rFonts w:asciiTheme="minorHAnsi" w:eastAsia="Times New Roman" w:hAnsiTheme="minorHAnsi" w:cs="Arial"/>
          <w:sz w:val="24"/>
          <w:szCs w:val="24"/>
        </w:rPr>
        <w:footnoteReference w:id="5"/>
      </w:r>
      <w:r w:rsidRPr="00664C39">
        <w:rPr>
          <w:rFonts w:asciiTheme="minorHAnsi" w:eastAsia="Times New Roman" w:hAnsiTheme="minorHAnsi" w:cs="Arial"/>
          <w:sz w:val="24"/>
          <w:szCs w:val="24"/>
        </w:rPr>
        <w:t xml:space="preserve">  The Figure below represents a continuum of engagement with families and </w:t>
      </w:r>
      <w:r>
        <w:rPr>
          <w:rFonts w:asciiTheme="minorHAnsi" w:eastAsia="Times New Roman" w:hAnsiTheme="minorHAnsi" w:cs="Arial"/>
          <w:sz w:val="24"/>
          <w:szCs w:val="24"/>
        </w:rPr>
        <w:t>individuals</w:t>
      </w:r>
      <w:r w:rsidRPr="00664C39">
        <w:rPr>
          <w:rFonts w:asciiTheme="minorHAnsi" w:eastAsia="Times New Roman" w:hAnsiTheme="minorHAnsi" w:cs="Arial"/>
          <w:sz w:val="24"/>
          <w:szCs w:val="24"/>
        </w:rPr>
        <w:t xml:space="preserve"> at different levels in the health care system, from the consultation, involvement, and partnership stage.</w:t>
      </w:r>
      <w:r w:rsidRPr="00664C39">
        <w:rPr>
          <w:rStyle w:val="FootnoteReference"/>
          <w:rFonts w:asciiTheme="minorHAnsi" w:eastAsia="Times New Roman" w:hAnsiTheme="minorHAnsi" w:cs="Arial"/>
          <w:sz w:val="24"/>
          <w:szCs w:val="24"/>
        </w:rPr>
        <w:footnoteReference w:id="6"/>
      </w:r>
    </w:p>
    <w:p w14:paraId="046A1AF4" w14:textId="77777777" w:rsidR="00357E8E" w:rsidRDefault="00357E8E" w:rsidP="00357E8E">
      <w:pPr>
        <w:autoSpaceDE w:val="0"/>
        <w:autoSpaceDN w:val="0"/>
        <w:adjustRightInd w:val="0"/>
        <w:spacing w:after="0" w:line="240" w:lineRule="auto"/>
        <w:rPr>
          <w:rFonts w:ascii="Arial" w:eastAsia="Times New Roman" w:hAnsi="Arial" w:cs="Arial"/>
          <w:sz w:val="24"/>
          <w:szCs w:val="24"/>
        </w:rPr>
      </w:pPr>
      <w:r w:rsidRPr="00C9673A">
        <w:rPr>
          <w:noProof/>
        </w:rPr>
        <mc:AlternateContent>
          <mc:Choice Requires="wps">
            <w:drawing>
              <wp:anchor distT="0" distB="0" distL="114300" distR="114300" simplePos="0" relativeHeight="251828224" behindDoc="0" locked="0" layoutInCell="1" allowOverlap="1" wp14:anchorId="19DDBFCE" wp14:editId="6B13F83B">
                <wp:simplePos x="0" y="0"/>
                <wp:positionH relativeFrom="margin">
                  <wp:align>left</wp:align>
                </wp:positionH>
                <wp:positionV relativeFrom="paragraph">
                  <wp:posOffset>61595</wp:posOffset>
                </wp:positionV>
                <wp:extent cx="6385560" cy="281940"/>
                <wp:effectExtent l="0" t="0" r="15240" b="22860"/>
                <wp:wrapNone/>
                <wp:docPr id="4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5560" cy="281940"/>
                        </a:xfrm>
                        <a:prstGeom prst="rect">
                          <a:avLst/>
                        </a:prstGeom>
                        <a:solidFill>
                          <a:sysClr val="window" lastClr="FFFFFF"/>
                        </a:solidFill>
                        <a:ln w="6350">
                          <a:solidFill>
                            <a:prstClr val="black"/>
                          </a:solidFill>
                        </a:ln>
                        <a:effectLst/>
                      </wps:spPr>
                      <wps:txbx>
                        <w:txbxContent>
                          <w:p w14:paraId="0DF7AEB4" w14:textId="77777777" w:rsidR="00FB0985" w:rsidRPr="00D81F0F" w:rsidRDefault="00FB0985" w:rsidP="00357E8E">
                            <w:pPr>
                              <w:jc w:val="center"/>
                              <w:rPr>
                                <w:rFonts w:asciiTheme="minorHAnsi" w:hAnsiTheme="minorHAnsi" w:cs="Arial"/>
                                <w:b/>
                                <w:sz w:val="25"/>
                                <w:szCs w:val="25"/>
                              </w:rPr>
                            </w:pPr>
                            <w:r w:rsidRPr="00D81F0F">
                              <w:rPr>
                                <w:rFonts w:asciiTheme="minorHAnsi" w:hAnsiTheme="minorHAnsi" w:cs="Arial"/>
                                <w:b/>
                                <w:sz w:val="25"/>
                                <w:szCs w:val="25"/>
                              </w:rPr>
                              <w:t>A Multidimensional Framework for Patient and Family Engagement in Health and Health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4.85pt;width:502.8pt;height:22.2pt;z-index:251828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" fillcolor="window" strokeweight=".5pt">
                <v:path arrowok="t"/>
                <v:textbox>
                  <w:txbxContent>
                    <w:p w14:paraId="0DF7AEB4" w14:textId="77777777" w:rsidR="00FB0985" w:rsidRPr="00D81F0F" w:rsidRDefault="00FB0985" w:rsidP="00357E8E">
                      <w:pPr>
                        <w:jc w:val="center"/>
                        <w:rPr>
                          <w:rFonts w:asciiTheme="minorHAnsi" w:hAnsiTheme="minorHAnsi" w:cs="Arial"/>
                          <w:b/>
                          <w:sz w:val="25"/>
                          <w:szCs w:val="25"/>
                        </w:rPr>
                      </w:pPr>
                      <w:r w:rsidRPr="00D81F0F">
                        <w:rPr>
                          <w:rFonts w:asciiTheme="minorHAnsi" w:hAnsiTheme="minorHAnsi" w:cs="Arial"/>
                          <w:b/>
                          <w:sz w:val="25"/>
                          <w:szCs w:val="25"/>
                        </w:rPr>
                        <w:t>A Multidimensional Framework for Patient and Family Engagement in Health and Health Care</w:t>
                      </w:r>
                    </w:p>
                  </w:txbxContent>
                </v:textbox>
                <w10:wrap anchorx="margin"/>
              </v:shape>
            </w:pict>
          </mc:Fallback>
        </mc:AlternateContent>
      </w:r>
    </w:p>
    <w:p w14:paraId="7598A328" w14:textId="77777777" w:rsidR="00357E8E" w:rsidRDefault="00357E8E" w:rsidP="00357E8E">
      <w:pPr>
        <w:autoSpaceDE w:val="0"/>
        <w:autoSpaceDN w:val="0"/>
        <w:adjustRightInd w:val="0"/>
        <w:spacing w:after="0" w:line="240" w:lineRule="auto"/>
        <w:rPr>
          <w:rFonts w:ascii="Arial" w:eastAsia="Times New Roman" w:hAnsi="Arial" w:cs="Arial"/>
          <w:sz w:val="24"/>
          <w:szCs w:val="24"/>
        </w:rPr>
      </w:pPr>
    </w:p>
    <w:tbl>
      <w:tblPr>
        <w:tblStyle w:val="TableGrid"/>
        <w:tblpPr w:leftFromText="180" w:rightFromText="180" w:vertAnchor="text" w:horzAnchor="margin" w:tblpXSpec="center" w:tblpY="236"/>
        <w:tblOverlap w:val="never"/>
        <w:tblW w:w="0" w:type="auto"/>
        <w:tblLook w:val="04A0" w:firstRow="1" w:lastRow="0" w:firstColumn="1" w:lastColumn="0" w:noHBand="0" w:noVBand="1"/>
      </w:tblPr>
      <w:tblGrid>
        <w:gridCol w:w="1792"/>
        <w:gridCol w:w="241"/>
        <w:gridCol w:w="1792"/>
        <w:gridCol w:w="245"/>
        <w:gridCol w:w="1919"/>
        <w:gridCol w:w="254"/>
        <w:gridCol w:w="2093"/>
      </w:tblGrid>
      <w:tr w:rsidR="00357E8E" w14:paraId="30C1D6D5" w14:textId="77777777" w:rsidTr="00357E8E">
        <w:trPr>
          <w:trHeight w:val="401"/>
        </w:trPr>
        <w:tc>
          <w:tcPr>
            <w:tcW w:w="1792" w:type="dxa"/>
            <w:tcBorders>
              <w:top w:val="nil"/>
              <w:left w:val="nil"/>
              <w:bottom w:val="nil"/>
              <w:right w:val="nil"/>
            </w:tcBorders>
          </w:tcPr>
          <w:p w14:paraId="7BB82F49" w14:textId="77777777" w:rsidR="00357E8E" w:rsidRPr="00C86137" w:rsidRDefault="00357E8E" w:rsidP="00357E8E">
            <w:pPr>
              <w:jc w:val="center"/>
              <w:rPr>
                <w:color w:val="0B5294" w:themeColor="accent1" w:themeShade="BF"/>
              </w:rPr>
            </w:pPr>
          </w:p>
        </w:tc>
        <w:tc>
          <w:tcPr>
            <w:tcW w:w="6544" w:type="dxa"/>
            <w:gridSpan w:val="6"/>
            <w:tcBorders>
              <w:top w:val="nil"/>
              <w:left w:val="nil"/>
              <w:bottom w:val="nil"/>
              <w:right w:val="nil"/>
            </w:tcBorders>
          </w:tcPr>
          <w:p w14:paraId="63FB0A2A" w14:textId="77777777" w:rsidR="00357E8E" w:rsidRPr="009E317B" w:rsidRDefault="00357E8E" w:rsidP="00357E8E">
            <w:pPr>
              <w:jc w:val="center"/>
              <w:rPr>
                <w:sz w:val="26"/>
                <w:szCs w:val="26"/>
              </w:rPr>
            </w:pPr>
            <w:r w:rsidRPr="009E317B">
              <w:rPr>
                <w:noProof/>
                <w:sz w:val="26"/>
                <w:szCs w:val="26"/>
              </w:rPr>
              <mc:AlternateContent>
                <mc:Choice Requires="wps">
                  <w:drawing>
                    <wp:anchor distT="0" distB="0" distL="114300" distR="114300" simplePos="0" relativeHeight="251829248" behindDoc="0" locked="0" layoutInCell="1" allowOverlap="1" wp14:anchorId="7826EAB0" wp14:editId="08065A80">
                      <wp:simplePos x="0" y="0"/>
                      <wp:positionH relativeFrom="column">
                        <wp:posOffset>83819</wp:posOffset>
                      </wp:positionH>
                      <wp:positionV relativeFrom="paragraph">
                        <wp:posOffset>185601</wp:posOffset>
                      </wp:positionV>
                      <wp:extent cx="3853543" cy="4355"/>
                      <wp:effectExtent l="0" t="57150" r="33020" b="91440"/>
                      <wp:wrapNone/>
                      <wp:docPr id="17" name="Straight Arrow Connector 17"/>
                      <wp:cNvGraphicFramePr/>
                      <a:graphic xmlns:a="http://schemas.openxmlformats.org/drawingml/2006/main">
                        <a:graphicData uri="http://schemas.microsoft.com/office/word/2010/wordprocessingShape">
                          <wps:wsp>
                            <wps:cNvCnPr/>
                            <wps:spPr>
                              <a:xfrm>
                                <a:off x="0" y="0"/>
                                <a:ext cx="3853543" cy="4355"/>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254D327" id="_x0000_t32" coordsize="21600,21600" o:spt="32" o:oned="t" path="m,l21600,21600e" filled="f">
                      <v:path arrowok="t" fillok="f" o:connecttype="none"/>
                      <o:lock v:ext="edit" shapetype="t"/>
                    </v:shapetype>
                    <v:shape id="Straight Arrow Connector 17" o:spid="_x0000_s1026" type="#_x0000_t32" style="position:absolute;margin-left:6.6pt;margin-top:14.6pt;width:303.45pt;height:.35pt;z-index:251829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" strokecolor="black [3213]" strokeweight="2pt">
                      <v:stroke endarrow="block"/>
                      <v:shadow on="t" color="black" opacity="24903f" origin=",.5" offset="0,.55556mm"/>
                    </v:shape>
                  </w:pict>
                </mc:Fallback>
              </mc:AlternateContent>
            </w:r>
            <w:r w:rsidRPr="009E317B">
              <w:rPr>
                <w:sz w:val="26"/>
                <w:szCs w:val="26"/>
              </w:rPr>
              <w:t>Continuum of Engagement</w:t>
            </w:r>
          </w:p>
        </w:tc>
      </w:tr>
      <w:tr w:rsidR="00357E8E" w14:paraId="52CB94B1" w14:textId="77777777" w:rsidTr="00357E8E">
        <w:trPr>
          <w:trHeight w:val="308"/>
        </w:trPr>
        <w:tc>
          <w:tcPr>
            <w:tcW w:w="1792" w:type="dxa"/>
            <w:tcBorders>
              <w:top w:val="nil"/>
              <w:left w:val="nil"/>
              <w:bottom w:val="nil"/>
              <w:right w:val="nil"/>
            </w:tcBorders>
            <w:shd w:val="clear" w:color="auto" w:fill="auto"/>
            <w:vAlign w:val="center"/>
          </w:tcPr>
          <w:p w14:paraId="175B8099" w14:textId="77777777" w:rsidR="00357E8E" w:rsidRPr="009E317B" w:rsidRDefault="00357E8E" w:rsidP="00357E8E">
            <w:pPr>
              <w:spacing w:after="0" w:line="240" w:lineRule="auto"/>
              <w:jc w:val="center"/>
              <w:rPr>
                <w:sz w:val="24"/>
                <w:szCs w:val="24"/>
              </w:rPr>
            </w:pPr>
            <w:r w:rsidRPr="009E317B">
              <w:rPr>
                <w:b/>
                <w:sz w:val="24"/>
                <w:szCs w:val="24"/>
              </w:rPr>
              <w:t>Levels of Engagement</w:t>
            </w:r>
          </w:p>
        </w:tc>
        <w:tc>
          <w:tcPr>
            <w:tcW w:w="241" w:type="dxa"/>
            <w:tcBorders>
              <w:top w:val="nil"/>
              <w:left w:val="nil"/>
              <w:bottom w:val="nil"/>
              <w:right w:val="nil"/>
            </w:tcBorders>
            <w:vAlign w:val="center"/>
          </w:tcPr>
          <w:p w14:paraId="2C61318B" w14:textId="77777777" w:rsidR="00357E8E" w:rsidRPr="009E317B" w:rsidRDefault="00357E8E" w:rsidP="00357E8E">
            <w:pPr>
              <w:spacing w:after="0" w:line="240" w:lineRule="auto"/>
              <w:jc w:val="center"/>
              <w:rPr>
                <w:sz w:val="24"/>
                <w:szCs w:val="24"/>
              </w:rPr>
            </w:pPr>
          </w:p>
        </w:tc>
        <w:tc>
          <w:tcPr>
            <w:tcW w:w="1792" w:type="dxa"/>
            <w:tcBorders>
              <w:top w:val="nil"/>
              <w:left w:val="nil"/>
              <w:bottom w:val="nil"/>
              <w:right w:val="nil"/>
            </w:tcBorders>
            <w:shd w:val="clear" w:color="auto" w:fill="auto"/>
            <w:vAlign w:val="center"/>
          </w:tcPr>
          <w:p w14:paraId="27B671AC" w14:textId="77777777" w:rsidR="00357E8E" w:rsidRPr="009E317B" w:rsidRDefault="00357E8E" w:rsidP="00357E8E">
            <w:pPr>
              <w:spacing w:after="0" w:line="240" w:lineRule="auto"/>
              <w:jc w:val="center"/>
              <w:rPr>
                <w:b/>
                <w:sz w:val="24"/>
                <w:szCs w:val="24"/>
              </w:rPr>
            </w:pPr>
            <w:r w:rsidRPr="009E317B">
              <w:rPr>
                <w:b/>
                <w:sz w:val="24"/>
                <w:szCs w:val="24"/>
              </w:rPr>
              <w:t>Consultation</w:t>
            </w:r>
          </w:p>
        </w:tc>
        <w:tc>
          <w:tcPr>
            <w:tcW w:w="245" w:type="dxa"/>
            <w:tcBorders>
              <w:top w:val="nil"/>
              <w:left w:val="nil"/>
              <w:bottom w:val="nil"/>
              <w:right w:val="nil"/>
            </w:tcBorders>
            <w:vAlign w:val="center"/>
          </w:tcPr>
          <w:p w14:paraId="1D339499" w14:textId="77777777" w:rsidR="00357E8E" w:rsidRPr="009E317B" w:rsidRDefault="00357E8E" w:rsidP="00357E8E">
            <w:pPr>
              <w:jc w:val="center"/>
              <w:rPr>
                <w:sz w:val="24"/>
                <w:szCs w:val="24"/>
              </w:rPr>
            </w:pPr>
          </w:p>
        </w:tc>
        <w:tc>
          <w:tcPr>
            <w:tcW w:w="1919" w:type="dxa"/>
            <w:tcBorders>
              <w:top w:val="nil"/>
              <w:left w:val="nil"/>
              <w:bottom w:val="nil"/>
              <w:right w:val="nil"/>
            </w:tcBorders>
            <w:shd w:val="clear" w:color="auto" w:fill="auto"/>
            <w:vAlign w:val="center"/>
          </w:tcPr>
          <w:p w14:paraId="5ED88580" w14:textId="77777777" w:rsidR="00357E8E" w:rsidRPr="009E317B" w:rsidRDefault="00357E8E" w:rsidP="00357E8E">
            <w:pPr>
              <w:spacing w:after="0" w:line="240" w:lineRule="auto"/>
              <w:jc w:val="center"/>
              <w:rPr>
                <w:b/>
                <w:sz w:val="24"/>
                <w:szCs w:val="24"/>
              </w:rPr>
            </w:pPr>
            <w:r w:rsidRPr="009E317B">
              <w:rPr>
                <w:b/>
                <w:sz w:val="24"/>
                <w:szCs w:val="24"/>
              </w:rPr>
              <w:t>Involvement</w:t>
            </w:r>
          </w:p>
        </w:tc>
        <w:tc>
          <w:tcPr>
            <w:tcW w:w="254" w:type="dxa"/>
            <w:tcBorders>
              <w:top w:val="nil"/>
              <w:left w:val="nil"/>
              <w:bottom w:val="nil"/>
              <w:right w:val="nil"/>
            </w:tcBorders>
            <w:vAlign w:val="center"/>
          </w:tcPr>
          <w:p w14:paraId="33866A20" w14:textId="77777777" w:rsidR="00357E8E" w:rsidRPr="009E317B" w:rsidRDefault="00357E8E" w:rsidP="00357E8E">
            <w:pPr>
              <w:jc w:val="center"/>
              <w:rPr>
                <w:sz w:val="24"/>
                <w:szCs w:val="24"/>
              </w:rPr>
            </w:pPr>
          </w:p>
        </w:tc>
        <w:tc>
          <w:tcPr>
            <w:tcW w:w="2093" w:type="dxa"/>
            <w:tcBorders>
              <w:top w:val="nil"/>
              <w:left w:val="nil"/>
              <w:bottom w:val="nil"/>
              <w:right w:val="nil"/>
            </w:tcBorders>
            <w:shd w:val="clear" w:color="auto" w:fill="auto"/>
            <w:vAlign w:val="center"/>
          </w:tcPr>
          <w:p w14:paraId="46A2134F" w14:textId="77777777" w:rsidR="00357E8E" w:rsidRPr="009E317B" w:rsidRDefault="00357E8E" w:rsidP="00357E8E">
            <w:pPr>
              <w:spacing w:after="0" w:line="240" w:lineRule="auto"/>
              <w:jc w:val="center"/>
              <w:rPr>
                <w:b/>
                <w:sz w:val="24"/>
                <w:szCs w:val="24"/>
              </w:rPr>
            </w:pPr>
            <w:r w:rsidRPr="009E317B">
              <w:rPr>
                <w:b/>
                <w:sz w:val="24"/>
                <w:szCs w:val="24"/>
              </w:rPr>
              <w:t>Partnership and Shared Leadership</w:t>
            </w:r>
          </w:p>
        </w:tc>
      </w:tr>
      <w:tr w:rsidR="00357E8E" w:rsidRPr="00733C46" w14:paraId="614D3A34" w14:textId="77777777" w:rsidTr="00357E8E">
        <w:trPr>
          <w:trHeight w:val="308"/>
        </w:trPr>
        <w:tc>
          <w:tcPr>
            <w:tcW w:w="1792" w:type="dxa"/>
            <w:tcBorders>
              <w:top w:val="nil"/>
              <w:left w:val="nil"/>
              <w:bottom w:val="nil"/>
              <w:right w:val="nil"/>
            </w:tcBorders>
            <w:shd w:val="clear" w:color="auto" w:fill="B0DFA0" w:themeFill="accent5" w:themeFillTint="99"/>
            <w:vAlign w:val="center"/>
          </w:tcPr>
          <w:p w14:paraId="67141FB8" w14:textId="77777777" w:rsidR="00357E8E" w:rsidRPr="00733C46" w:rsidRDefault="00357E8E" w:rsidP="00357E8E">
            <w:pPr>
              <w:spacing w:after="0" w:line="240" w:lineRule="auto"/>
              <w:jc w:val="center"/>
              <w:rPr>
                <w:b/>
                <w:color w:val="0B5294" w:themeColor="accent1" w:themeShade="BF"/>
              </w:rPr>
            </w:pPr>
            <w:r w:rsidRPr="00733C46">
              <w:rPr>
                <w:b/>
              </w:rPr>
              <w:t>Direct Care</w:t>
            </w:r>
          </w:p>
        </w:tc>
        <w:tc>
          <w:tcPr>
            <w:tcW w:w="241" w:type="dxa"/>
            <w:tcBorders>
              <w:top w:val="nil"/>
              <w:left w:val="nil"/>
              <w:bottom w:val="nil"/>
              <w:right w:val="nil"/>
            </w:tcBorders>
            <w:vAlign w:val="center"/>
          </w:tcPr>
          <w:p w14:paraId="0A11B262" w14:textId="77777777" w:rsidR="00357E8E" w:rsidRPr="00733C46" w:rsidRDefault="00357E8E" w:rsidP="00357E8E">
            <w:pPr>
              <w:spacing w:after="0" w:line="240" w:lineRule="auto"/>
              <w:jc w:val="center"/>
            </w:pPr>
          </w:p>
        </w:tc>
        <w:tc>
          <w:tcPr>
            <w:tcW w:w="1792" w:type="dxa"/>
            <w:tcBorders>
              <w:top w:val="nil"/>
              <w:left w:val="nil"/>
              <w:bottom w:val="nil"/>
              <w:right w:val="nil"/>
            </w:tcBorders>
            <w:shd w:val="clear" w:color="auto" w:fill="CAE9C0" w:themeFill="accent5" w:themeFillTint="66"/>
            <w:vAlign w:val="center"/>
          </w:tcPr>
          <w:p w14:paraId="63F51997" w14:textId="77777777" w:rsidR="00357E8E" w:rsidRPr="00733C46" w:rsidRDefault="00357E8E" w:rsidP="00357E8E">
            <w:pPr>
              <w:spacing w:after="0" w:line="240" w:lineRule="auto"/>
              <w:jc w:val="center"/>
            </w:pPr>
            <w:r w:rsidRPr="00733C46">
              <w:t>Patient receive information</w:t>
            </w:r>
          </w:p>
          <w:p w14:paraId="4CE39457" w14:textId="77777777" w:rsidR="00357E8E" w:rsidRPr="00733C46" w:rsidRDefault="00357E8E" w:rsidP="00357E8E">
            <w:pPr>
              <w:spacing w:after="0" w:line="240" w:lineRule="auto"/>
              <w:jc w:val="center"/>
            </w:pPr>
            <w:r w:rsidRPr="00733C46">
              <w:t>about a</w:t>
            </w:r>
          </w:p>
          <w:p w14:paraId="51BEA951" w14:textId="77777777" w:rsidR="00357E8E" w:rsidRPr="00733C46" w:rsidRDefault="00357E8E" w:rsidP="00357E8E">
            <w:pPr>
              <w:spacing w:after="0" w:line="240" w:lineRule="auto"/>
              <w:jc w:val="center"/>
            </w:pPr>
            <w:r w:rsidRPr="00733C46">
              <w:t>diagnosis</w:t>
            </w:r>
          </w:p>
        </w:tc>
        <w:tc>
          <w:tcPr>
            <w:tcW w:w="245" w:type="dxa"/>
            <w:tcBorders>
              <w:top w:val="nil"/>
              <w:left w:val="nil"/>
              <w:bottom w:val="nil"/>
              <w:right w:val="nil"/>
            </w:tcBorders>
            <w:vAlign w:val="center"/>
          </w:tcPr>
          <w:p w14:paraId="1A726EDB" w14:textId="77777777" w:rsidR="00357E8E" w:rsidRPr="00733C46" w:rsidRDefault="00357E8E" w:rsidP="00357E8E">
            <w:pPr>
              <w:spacing w:after="0" w:line="240" w:lineRule="auto"/>
              <w:jc w:val="center"/>
            </w:pPr>
            <w:r w:rsidRPr="00733C46">
              <w:rPr>
                <w:noProof/>
              </w:rPr>
              <mc:AlternateContent>
                <mc:Choice Requires="wps">
                  <w:drawing>
                    <wp:anchor distT="0" distB="0" distL="114300" distR="114300" simplePos="0" relativeHeight="251830272" behindDoc="0" locked="0" layoutInCell="1" allowOverlap="1" wp14:anchorId="76CA9E03" wp14:editId="561CDE29">
                      <wp:simplePos x="0" y="0"/>
                      <wp:positionH relativeFrom="column">
                        <wp:posOffset>-66040</wp:posOffset>
                      </wp:positionH>
                      <wp:positionV relativeFrom="paragraph">
                        <wp:posOffset>344170</wp:posOffset>
                      </wp:positionV>
                      <wp:extent cx="148045" cy="4354"/>
                      <wp:effectExtent l="0" t="76200" r="23495" b="91440"/>
                      <wp:wrapNone/>
                      <wp:docPr id="46" name="Straight Arrow Connector 46"/>
                      <wp:cNvGraphicFramePr/>
                      <a:graphic xmlns:a="http://schemas.openxmlformats.org/drawingml/2006/main">
                        <a:graphicData uri="http://schemas.microsoft.com/office/word/2010/wordprocessingShape">
                          <wps:wsp>
                            <wps:cNvCnPr/>
                            <wps:spPr>
                              <a:xfrm>
                                <a:off x="0" y="0"/>
                                <a:ext cx="148045" cy="435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EBF2DE8" id="Straight Arrow Connector 46" o:spid="_x0000_s1026" type="#_x0000_t32" style="position:absolute;margin-left:-5.2pt;margin-top:27.1pt;width:11.65pt;height:.35pt;z-index:251830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" strokecolor="black [3213]">
                      <v:stroke endarrow="block"/>
                    </v:shape>
                  </w:pict>
                </mc:Fallback>
              </mc:AlternateContent>
            </w:r>
          </w:p>
        </w:tc>
        <w:tc>
          <w:tcPr>
            <w:tcW w:w="1919" w:type="dxa"/>
            <w:tcBorders>
              <w:top w:val="nil"/>
              <w:left w:val="nil"/>
              <w:bottom w:val="nil"/>
              <w:right w:val="nil"/>
            </w:tcBorders>
            <w:shd w:val="clear" w:color="auto" w:fill="CAE9C0" w:themeFill="accent5" w:themeFillTint="66"/>
            <w:vAlign w:val="center"/>
          </w:tcPr>
          <w:p w14:paraId="331386A6" w14:textId="77777777" w:rsidR="00357E8E" w:rsidRPr="00733C46" w:rsidRDefault="00357E8E" w:rsidP="00357E8E">
            <w:pPr>
              <w:spacing w:after="0" w:line="240" w:lineRule="auto"/>
              <w:jc w:val="center"/>
            </w:pPr>
            <w:r w:rsidRPr="00733C46">
              <w:t>Patients are asked about their preferences in treatment plan</w:t>
            </w:r>
          </w:p>
        </w:tc>
        <w:tc>
          <w:tcPr>
            <w:tcW w:w="254" w:type="dxa"/>
            <w:tcBorders>
              <w:top w:val="nil"/>
              <w:left w:val="nil"/>
              <w:bottom w:val="nil"/>
              <w:right w:val="nil"/>
            </w:tcBorders>
            <w:vAlign w:val="center"/>
          </w:tcPr>
          <w:p w14:paraId="0F2165E6" w14:textId="77777777" w:rsidR="00357E8E" w:rsidRPr="00733C46" w:rsidRDefault="00357E8E" w:rsidP="00357E8E">
            <w:pPr>
              <w:spacing w:after="0" w:line="240" w:lineRule="auto"/>
              <w:jc w:val="center"/>
            </w:pPr>
            <w:r w:rsidRPr="00733C46">
              <w:rPr>
                <w:noProof/>
              </w:rPr>
              <mc:AlternateContent>
                <mc:Choice Requires="wps">
                  <w:drawing>
                    <wp:anchor distT="0" distB="0" distL="114300" distR="114300" simplePos="0" relativeHeight="251831296" behindDoc="0" locked="0" layoutInCell="1" allowOverlap="1" wp14:anchorId="2C83BB83" wp14:editId="54BD6AA7">
                      <wp:simplePos x="0" y="0"/>
                      <wp:positionH relativeFrom="column">
                        <wp:posOffset>-59781</wp:posOffset>
                      </wp:positionH>
                      <wp:positionV relativeFrom="paragraph">
                        <wp:posOffset>342537</wp:posOffset>
                      </wp:positionV>
                      <wp:extent cx="148045" cy="4354"/>
                      <wp:effectExtent l="0" t="76200" r="23495" b="91440"/>
                      <wp:wrapNone/>
                      <wp:docPr id="48" name="Straight Arrow Connector 48"/>
                      <wp:cNvGraphicFramePr/>
                      <a:graphic xmlns:a="http://schemas.openxmlformats.org/drawingml/2006/main">
                        <a:graphicData uri="http://schemas.microsoft.com/office/word/2010/wordprocessingShape">
                          <wps:wsp>
                            <wps:cNvCnPr/>
                            <wps:spPr>
                              <a:xfrm>
                                <a:off x="0" y="0"/>
                                <a:ext cx="148045" cy="4354"/>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26E4FFD" id="Straight Arrow Connector 48" o:spid="_x0000_s1026" type="#_x0000_t32" style="position:absolute;margin-left:-4.7pt;margin-top:26.95pt;width:11.65pt;height:.35pt;z-index:251831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" strokecolor="black [3213]" strokeweight=".5pt">
                      <v:stroke endarrow="block" joinstyle="miter"/>
                    </v:shape>
                  </w:pict>
                </mc:Fallback>
              </mc:AlternateContent>
            </w:r>
          </w:p>
        </w:tc>
        <w:tc>
          <w:tcPr>
            <w:tcW w:w="2093" w:type="dxa"/>
            <w:tcBorders>
              <w:top w:val="nil"/>
              <w:left w:val="nil"/>
              <w:bottom w:val="nil"/>
              <w:right w:val="nil"/>
            </w:tcBorders>
            <w:shd w:val="clear" w:color="auto" w:fill="CAE9C0" w:themeFill="accent5" w:themeFillTint="66"/>
            <w:vAlign w:val="center"/>
          </w:tcPr>
          <w:p w14:paraId="0F4EE8FF" w14:textId="77777777" w:rsidR="00357E8E" w:rsidRPr="00733C46" w:rsidRDefault="00357E8E" w:rsidP="00357E8E">
            <w:pPr>
              <w:spacing w:after="0" w:line="240" w:lineRule="auto"/>
              <w:jc w:val="center"/>
            </w:pPr>
            <w:r w:rsidRPr="00733C46">
              <w:t>Treatment decisions are made based on patients’ preferences, medical evidence, and clinical judgement</w:t>
            </w:r>
          </w:p>
        </w:tc>
      </w:tr>
      <w:tr w:rsidR="00357E8E" w14:paraId="54B286C2" w14:textId="77777777" w:rsidTr="00357E8E">
        <w:trPr>
          <w:trHeight w:val="20"/>
        </w:trPr>
        <w:tc>
          <w:tcPr>
            <w:tcW w:w="1792" w:type="dxa"/>
            <w:tcBorders>
              <w:top w:val="nil"/>
              <w:left w:val="nil"/>
              <w:bottom w:val="nil"/>
              <w:right w:val="nil"/>
            </w:tcBorders>
          </w:tcPr>
          <w:p w14:paraId="6ABEC63D" w14:textId="77777777" w:rsidR="00357E8E" w:rsidRPr="00D81F0F" w:rsidRDefault="00357E8E" w:rsidP="00357E8E">
            <w:pPr>
              <w:spacing w:after="0"/>
              <w:rPr>
                <w:color w:val="0B5294" w:themeColor="accent1" w:themeShade="BF"/>
                <w:sz w:val="12"/>
                <w:szCs w:val="12"/>
              </w:rPr>
            </w:pPr>
          </w:p>
        </w:tc>
        <w:tc>
          <w:tcPr>
            <w:tcW w:w="241" w:type="dxa"/>
            <w:tcBorders>
              <w:top w:val="nil"/>
              <w:left w:val="nil"/>
              <w:bottom w:val="nil"/>
              <w:right w:val="nil"/>
            </w:tcBorders>
          </w:tcPr>
          <w:p w14:paraId="33C7FAD6" w14:textId="77777777" w:rsidR="00357E8E" w:rsidRPr="00D81F0F" w:rsidRDefault="00357E8E" w:rsidP="00357E8E">
            <w:pPr>
              <w:spacing w:after="0"/>
              <w:rPr>
                <w:sz w:val="12"/>
                <w:szCs w:val="12"/>
              </w:rPr>
            </w:pPr>
          </w:p>
        </w:tc>
        <w:tc>
          <w:tcPr>
            <w:tcW w:w="1792" w:type="dxa"/>
            <w:tcBorders>
              <w:top w:val="nil"/>
              <w:left w:val="nil"/>
              <w:bottom w:val="nil"/>
              <w:right w:val="nil"/>
            </w:tcBorders>
          </w:tcPr>
          <w:p w14:paraId="19EEB411" w14:textId="77777777" w:rsidR="00357E8E" w:rsidRPr="00D81F0F" w:rsidRDefault="00357E8E" w:rsidP="00357E8E">
            <w:pPr>
              <w:spacing w:after="0"/>
              <w:rPr>
                <w:sz w:val="12"/>
                <w:szCs w:val="12"/>
              </w:rPr>
            </w:pPr>
          </w:p>
        </w:tc>
        <w:tc>
          <w:tcPr>
            <w:tcW w:w="245" w:type="dxa"/>
            <w:tcBorders>
              <w:top w:val="nil"/>
              <w:left w:val="nil"/>
              <w:bottom w:val="nil"/>
              <w:right w:val="nil"/>
            </w:tcBorders>
          </w:tcPr>
          <w:p w14:paraId="757EBF39" w14:textId="77777777" w:rsidR="00357E8E" w:rsidRPr="00D81F0F" w:rsidRDefault="00357E8E" w:rsidP="00357E8E">
            <w:pPr>
              <w:spacing w:after="0"/>
              <w:rPr>
                <w:sz w:val="12"/>
                <w:szCs w:val="12"/>
              </w:rPr>
            </w:pPr>
          </w:p>
        </w:tc>
        <w:tc>
          <w:tcPr>
            <w:tcW w:w="1919" w:type="dxa"/>
            <w:tcBorders>
              <w:top w:val="nil"/>
              <w:left w:val="nil"/>
              <w:bottom w:val="nil"/>
              <w:right w:val="nil"/>
            </w:tcBorders>
          </w:tcPr>
          <w:p w14:paraId="1A7ADFC0" w14:textId="77777777" w:rsidR="00357E8E" w:rsidRPr="00D81F0F" w:rsidRDefault="00357E8E" w:rsidP="00357E8E">
            <w:pPr>
              <w:spacing w:after="0"/>
              <w:rPr>
                <w:sz w:val="12"/>
                <w:szCs w:val="12"/>
              </w:rPr>
            </w:pPr>
          </w:p>
        </w:tc>
        <w:tc>
          <w:tcPr>
            <w:tcW w:w="254" w:type="dxa"/>
            <w:tcBorders>
              <w:top w:val="nil"/>
              <w:left w:val="nil"/>
              <w:bottom w:val="nil"/>
              <w:right w:val="nil"/>
            </w:tcBorders>
          </w:tcPr>
          <w:p w14:paraId="76E68DE8" w14:textId="77777777" w:rsidR="00357E8E" w:rsidRPr="00D81F0F" w:rsidRDefault="00357E8E" w:rsidP="00357E8E">
            <w:pPr>
              <w:spacing w:after="0"/>
              <w:rPr>
                <w:sz w:val="12"/>
                <w:szCs w:val="12"/>
              </w:rPr>
            </w:pPr>
          </w:p>
        </w:tc>
        <w:tc>
          <w:tcPr>
            <w:tcW w:w="2093" w:type="dxa"/>
            <w:tcBorders>
              <w:top w:val="nil"/>
              <w:left w:val="nil"/>
              <w:bottom w:val="nil"/>
              <w:right w:val="nil"/>
            </w:tcBorders>
          </w:tcPr>
          <w:p w14:paraId="05DEF03A" w14:textId="77777777" w:rsidR="00357E8E" w:rsidRPr="00D81F0F" w:rsidRDefault="00357E8E" w:rsidP="00357E8E">
            <w:pPr>
              <w:spacing w:after="0"/>
              <w:rPr>
                <w:sz w:val="12"/>
                <w:szCs w:val="12"/>
              </w:rPr>
            </w:pPr>
          </w:p>
        </w:tc>
      </w:tr>
      <w:tr w:rsidR="00357E8E" w14:paraId="759725AB" w14:textId="77777777" w:rsidTr="00357E8E">
        <w:trPr>
          <w:trHeight w:val="1286"/>
        </w:trPr>
        <w:tc>
          <w:tcPr>
            <w:tcW w:w="1792" w:type="dxa"/>
            <w:tcBorders>
              <w:top w:val="nil"/>
              <w:left w:val="nil"/>
              <w:bottom w:val="nil"/>
              <w:right w:val="nil"/>
            </w:tcBorders>
            <w:shd w:val="clear" w:color="auto" w:fill="FFA3A3"/>
            <w:vAlign w:val="center"/>
          </w:tcPr>
          <w:p w14:paraId="5FE8A853" w14:textId="77777777" w:rsidR="00357E8E" w:rsidRPr="00733C46" w:rsidRDefault="00357E8E" w:rsidP="00357E8E">
            <w:pPr>
              <w:spacing w:after="0" w:line="240" w:lineRule="auto"/>
              <w:jc w:val="center"/>
              <w:rPr>
                <w:b/>
                <w:color w:val="0B5294" w:themeColor="accent1" w:themeShade="BF"/>
              </w:rPr>
            </w:pPr>
            <w:r w:rsidRPr="00733C46">
              <w:rPr>
                <w:b/>
              </w:rPr>
              <w:t>Organizational Design and Governance</w:t>
            </w:r>
          </w:p>
        </w:tc>
        <w:tc>
          <w:tcPr>
            <w:tcW w:w="241" w:type="dxa"/>
            <w:tcBorders>
              <w:top w:val="nil"/>
              <w:left w:val="nil"/>
              <w:bottom w:val="nil"/>
              <w:right w:val="nil"/>
            </w:tcBorders>
          </w:tcPr>
          <w:p w14:paraId="7B8E6EE9" w14:textId="77777777" w:rsidR="00357E8E" w:rsidRPr="00733C46" w:rsidRDefault="00357E8E" w:rsidP="00357E8E">
            <w:pPr>
              <w:spacing w:after="0" w:line="240" w:lineRule="auto"/>
            </w:pPr>
          </w:p>
        </w:tc>
        <w:tc>
          <w:tcPr>
            <w:tcW w:w="1792" w:type="dxa"/>
            <w:tcBorders>
              <w:top w:val="nil"/>
              <w:left w:val="nil"/>
              <w:bottom w:val="nil"/>
              <w:right w:val="nil"/>
            </w:tcBorders>
            <w:shd w:val="clear" w:color="auto" w:fill="FFC9CA"/>
            <w:vAlign w:val="center"/>
          </w:tcPr>
          <w:p w14:paraId="2241DD07" w14:textId="77777777" w:rsidR="00357E8E" w:rsidRPr="00733C46" w:rsidRDefault="00357E8E" w:rsidP="00357E8E">
            <w:pPr>
              <w:spacing w:after="0" w:line="240" w:lineRule="auto"/>
              <w:jc w:val="center"/>
            </w:pPr>
            <w:r w:rsidRPr="00733C46">
              <w:t>Organization surveys patients about their care experiences</w:t>
            </w:r>
          </w:p>
        </w:tc>
        <w:tc>
          <w:tcPr>
            <w:tcW w:w="245" w:type="dxa"/>
            <w:tcBorders>
              <w:top w:val="nil"/>
              <w:left w:val="nil"/>
              <w:bottom w:val="nil"/>
              <w:right w:val="nil"/>
            </w:tcBorders>
            <w:vAlign w:val="center"/>
          </w:tcPr>
          <w:p w14:paraId="53C91D19" w14:textId="77777777" w:rsidR="00357E8E" w:rsidRPr="00733C46" w:rsidRDefault="00357E8E" w:rsidP="00357E8E">
            <w:pPr>
              <w:spacing w:after="0" w:line="240" w:lineRule="auto"/>
              <w:jc w:val="center"/>
            </w:pPr>
            <w:r w:rsidRPr="00733C46">
              <w:rPr>
                <w:noProof/>
              </w:rPr>
              <mc:AlternateContent>
                <mc:Choice Requires="wps">
                  <w:drawing>
                    <wp:anchor distT="0" distB="0" distL="114300" distR="114300" simplePos="0" relativeHeight="251833344" behindDoc="0" locked="0" layoutInCell="1" allowOverlap="1" wp14:anchorId="01B16F40" wp14:editId="0F0590EB">
                      <wp:simplePos x="0" y="0"/>
                      <wp:positionH relativeFrom="column">
                        <wp:posOffset>-69850</wp:posOffset>
                      </wp:positionH>
                      <wp:positionV relativeFrom="paragraph">
                        <wp:posOffset>51435</wp:posOffset>
                      </wp:positionV>
                      <wp:extent cx="147955" cy="3810"/>
                      <wp:effectExtent l="0" t="76200" r="23495" b="91440"/>
                      <wp:wrapNone/>
                      <wp:docPr id="49" name="Straight Arrow Connector 49"/>
                      <wp:cNvGraphicFramePr/>
                      <a:graphic xmlns:a="http://schemas.openxmlformats.org/drawingml/2006/main">
                        <a:graphicData uri="http://schemas.microsoft.com/office/word/2010/wordprocessingShape">
                          <wps:wsp>
                            <wps:cNvCnPr/>
                            <wps:spPr>
                              <a:xfrm>
                                <a:off x="0" y="0"/>
                                <a:ext cx="147955" cy="3810"/>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680C85E" id="Straight Arrow Connector 49" o:spid="_x0000_s1026" type="#_x0000_t32" style="position:absolute;margin-left:-5.5pt;margin-top:4.05pt;width:11.65pt;height:.3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" strokecolor="black [3213]" strokeweight=".5pt">
                      <v:stroke endarrow="block" joinstyle="miter"/>
                    </v:shape>
                  </w:pict>
                </mc:Fallback>
              </mc:AlternateContent>
            </w:r>
          </w:p>
        </w:tc>
        <w:tc>
          <w:tcPr>
            <w:tcW w:w="1919" w:type="dxa"/>
            <w:tcBorders>
              <w:top w:val="nil"/>
              <w:left w:val="nil"/>
              <w:bottom w:val="nil"/>
              <w:right w:val="nil"/>
            </w:tcBorders>
            <w:shd w:val="clear" w:color="auto" w:fill="FFC9CA"/>
            <w:vAlign w:val="center"/>
          </w:tcPr>
          <w:p w14:paraId="656E33D4" w14:textId="77777777" w:rsidR="00357E8E" w:rsidRPr="00733C46" w:rsidRDefault="00357E8E" w:rsidP="00357E8E">
            <w:pPr>
              <w:spacing w:after="0" w:line="240" w:lineRule="auto"/>
              <w:jc w:val="center"/>
            </w:pPr>
            <w:r w:rsidRPr="00733C46">
              <w:t>Hospital involves patients as advisers or advisory council members</w:t>
            </w:r>
          </w:p>
        </w:tc>
        <w:tc>
          <w:tcPr>
            <w:tcW w:w="254" w:type="dxa"/>
            <w:tcBorders>
              <w:top w:val="nil"/>
              <w:left w:val="nil"/>
              <w:bottom w:val="nil"/>
              <w:right w:val="nil"/>
            </w:tcBorders>
            <w:vAlign w:val="center"/>
          </w:tcPr>
          <w:p w14:paraId="4FC72D7F" w14:textId="77777777" w:rsidR="00357E8E" w:rsidRPr="00733C46" w:rsidRDefault="00357E8E" w:rsidP="00357E8E">
            <w:pPr>
              <w:spacing w:after="0" w:line="240" w:lineRule="auto"/>
              <w:jc w:val="center"/>
            </w:pPr>
            <w:r w:rsidRPr="00733C46">
              <w:rPr>
                <w:noProof/>
              </w:rPr>
              <mc:AlternateContent>
                <mc:Choice Requires="wps">
                  <w:drawing>
                    <wp:anchor distT="0" distB="0" distL="114300" distR="114300" simplePos="0" relativeHeight="251832320" behindDoc="0" locked="0" layoutInCell="1" allowOverlap="1" wp14:anchorId="6395305B" wp14:editId="6D6D119C">
                      <wp:simplePos x="0" y="0"/>
                      <wp:positionH relativeFrom="column">
                        <wp:posOffset>-62865</wp:posOffset>
                      </wp:positionH>
                      <wp:positionV relativeFrom="paragraph">
                        <wp:posOffset>69850</wp:posOffset>
                      </wp:positionV>
                      <wp:extent cx="147955" cy="3810"/>
                      <wp:effectExtent l="0" t="76200" r="23495" b="91440"/>
                      <wp:wrapNone/>
                      <wp:docPr id="67" name="Straight Arrow Connector 67"/>
                      <wp:cNvGraphicFramePr/>
                      <a:graphic xmlns:a="http://schemas.openxmlformats.org/drawingml/2006/main">
                        <a:graphicData uri="http://schemas.microsoft.com/office/word/2010/wordprocessingShape">
                          <wps:wsp>
                            <wps:cNvCnPr/>
                            <wps:spPr>
                              <a:xfrm>
                                <a:off x="0" y="0"/>
                                <a:ext cx="147955" cy="3810"/>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DD131F" id="Straight Arrow Connector 67" o:spid="_x0000_s1026" type="#_x0000_t32" style="position:absolute;margin-left:-4.95pt;margin-top:5.5pt;width:11.65pt;height:.3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" strokecolor="black [3213]" strokeweight=".5pt">
                      <v:stroke endarrow="block" joinstyle="miter"/>
                    </v:shape>
                  </w:pict>
                </mc:Fallback>
              </mc:AlternateContent>
            </w:r>
          </w:p>
        </w:tc>
        <w:tc>
          <w:tcPr>
            <w:tcW w:w="2093" w:type="dxa"/>
            <w:tcBorders>
              <w:top w:val="nil"/>
              <w:left w:val="nil"/>
              <w:bottom w:val="nil"/>
              <w:right w:val="nil"/>
            </w:tcBorders>
            <w:shd w:val="clear" w:color="auto" w:fill="FFC9CA"/>
            <w:vAlign w:val="center"/>
          </w:tcPr>
          <w:p w14:paraId="2729470B" w14:textId="77777777" w:rsidR="00357E8E" w:rsidRPr="00733C46" w:rsidRDefault="00357E8E" w:rsidP="00357E8E">
            <w:pPr>
              <w:spacing w:after="0" w:line="240" w:lineRule="auto"/>
              <w:jc w:val="center"/>
            </w:pPr>
            <w:r w:rsidRPr="00733C46">
              <w:t>Patients co-lead hospital safety and quality improvement committees</w:t>
            </w:r>
          </w:p>
        </w:tc>
      </w:tr>
      <w:tr w:rsidR="00357E8E" w14:paraId="39E7A999" w14:textId="77777777" w:rsidTr="00357E8E">
        <w:trPr>
          <w:trHeight w:val="240"/>
        </w:trPr>
        <w:tc>
          <w:tcPr>
            <w:tcW w:w="1792" w:type="dxa"/>
            <w:tcBorders>
              <w:top w:val="nil"/>
              <w:left w:val="nil"/>
              <w:bottom w:val="nil"/>
              <w:right w:val="nil"/>
            </w:tcBorders>
          </w:tcPr>
          <w:p w14:paraId="428D058F" w14:textId="77777777" w:rsidR="00357E8E" w:rsidRPr="00D81F0F" w:rsidRDefault="00357E8E" w:rsidP="00357E8E">
            <w:pPr>
              <w:spacing w:after="0"/>
              <w:rPr>
                <w:color w:val="0B5294" w:themeColor="accent1" w:themeShade="BF"/>
                <w:sz w:val="12"/>
                <w:szCs w:val="12"/>
              </w:rPr>
            </w:pPr>
          </w:p>
        </w:tc>
        <w:tc>
          <w:tcPr>
            <w:tcW w:w="241" w:type="dxa"/>
            <w:tcBorders>
              <w:top w:val="nil"/>
              <w:left w:val="nil"/>
              <w:bottom w:val="nil"/>
              <w:right w:val="nil"/>
            </w:tcBorders>
          </w:tcPr>
          <w:p w14:paraId="371B2347" w14:textId="77777777" w:rsidR="00357E8E" w:rsidRPr="00D81F0F" w:rsidRDefault="00357E8E" w:rsidP="00357E8E">
            <w:pPr>
              <w:spacing w:after="0"/>
              <w:rPr>
                <w:sz w:val="12"/>
                <w:szCs w:val="12"/>
              </w:rPr>
            </w:pPr>
          </w:p>
        </w:tc>
        <w:tc>
          <w:tcPr>
            <w:tcW w:w="1792" w:type="dxa"/>
            <w:tcBorders>
              <w:top w:val="nil"/>
              <w:left w:val="nil"/>
              <w:bottom w:val="nil"/>
              <w:right w:val="nil"/>
            </w:tcBorders>
          </w:tcPr>
          <w:p w14:paraId="27253CF3" w14:textId="77777777" w:rsidR="00357E8E" w:rsidRPr="00D81F0F" w:rsidRDefault="00357E8E" w:rsidP="00357E8E">
            <w:pPr>
              <w:spacing w:after="0"/>
              <w:rPr>
                <w:sz w:val="12"/>
                <w:szCs w:val="12"/>
              </w:rPr>
            </w:pPr>
          </w:p>
        </w:tc>
        <w:tc>
          <w:tcPr>
            <w:tcW w:w="245" w:type="dxa"/>
            <w:tcBorders>
              <w:top w:val="nil"/>
              <w:left w:val="nil"/>
              <w:bottom w:val="nil"/>
              <w:right w:val="nil"/>
            </w:tcBorders>
          </w:tcPr>
          <w:p w14:paraId="5AA00E2B" w14:textId="77777777" w:rsidR="00357E8E" w:rsidRPr="00D81F0F" w:rsidRDefault="00357E8E" w:rsidP="00357E8E">
            <w:pPr>
              <w:spacing w:after="0"/>
              <w:rPr>
                <w:sz w:val="12"/>
                <w:szCs w:val="12"/>
              </w:rPr>
            </w:pPr>
          </w:p>
        </w:tc>
        <w:tc>
          <w:tcPr>
            <w:tcW w:w="1919" w:type="dxa"/>
            <w:tcBorders>
              <w:top w:val="nil"/>
              <w:left w:val="nil"/>
              <w:bottom w:val="nil"/>
              <w:right w:val="nil"/>
            </w:tcBorders>
          </w:tcPr>
          <w:p w14:paraId="494C63EF" w14:textId="77777777" w:rsidR="00357E8E" w:rsidRPr="00D81F0F" w:rsidRDefault="00357E8E" w:rsidP="00357E8E">
            <w:pPr>
              <w:spacing w:after="0"/>
              <w:rPr>
                <w:sz w:val="12"/>
                <w:szCs w:val="12"/>
              </w:rPr>
            </w:pPr>
          </w:p>
        </w:tc>
        <w:tc>
          <w:tcPr>
            <w:tcW w:w="254" w:type="dxa"/>
            <w:tcBorders>
              <w:top w:val="nil"/>
              <w:left w:val="nil"/>
              <w:bottom w:val="nil"/>
              <w:right w:val="nil"/>
            </w:tcBorders>
          </w:tcPr>
          <w:p w14:paraId="12A29946" w14:textId="77777777" w:rsidR="00357E8E" w:rsidRPr="00D81F0F" w:rsidRDefault="00357E8E" w:rsidP="00357E8E">
            <w:pPr>
              <w:spacing w:after="0"/>
              <w:rPr>
                <w:sz w:val="12"/>
                <w:szCs w:val="12"/>
              </w:rPr>
            </w:pPr>
          </w:p>
        </w:tc>
        <w:tc>
          <w:tcPr>
            <w:tcW w:w="2093" w:type="dxa"/>
            <w:tcBorders>
              <w:top w:val="nil"/>
              <w:left w:val="nil"/>
              <w:bottom w:val="nil"/>
              <w:right w:val="nil"/>
            </w:tcBorders>
          </w:tcPr>
          <w:p w14:paraId="02DED6EB" w14:textId="77777777" w:rsidR="00357E8E" w:rsidRPr="00D81F0F" w:rsidRDefault="00357E8E" w:rsidP="00357E8E">
            <w:pPr>
              <w:spacing w:after="0"/>
              <w:rPr>
                <w:sz w:val="12"/>
                <w:szCs w:val="12"/>
              </w:rPr>
            </w:pPr>
          </w:p>
        </w:tc>
      </w:tr>
      <w:tr w:rsidR="00357E8E" w:rsidRPr="00733C46" w14:paraId="620F8C26" w14:textId="77777777" w:rsidTr="00357E8E">
        <w:trPr>
          <w:trHeight w:val="1652"/>
        </w:trPr>
        <w:tc>
          <w:tcPr>
            <w:tcW w:w="1792" w:type="dxa"/>
            <w:tcBorders>
              <w:top w:val="nil"/>
              <w:left w:val="nil"/>
              <w:bottom w:val="nil"/>
              <w:right w:val="nil"/>
            </w:tcBorders>
            <w:shd w:val="clear" w:color="auto" w:fill="91C6F7"/>
            <w:vAlign w:val="center"/>
          </w:tcPr>
          <w:p w14:paraId="07621D37" w14:textId="77777777" w:rsidR="00357E8E" w:rsidRPr="00733C46" w:rsidRDefault="00357E8E" w:rsidP="00357E8E">
            <w:pPr>
              <w:spacing w:after="0" w:line="240" w:lineRule="auto"/>
              <w:jc w:val="center"/>
              <w:rPr>
                <w:b/>
                <w:color w:val="0B5294" w:themeColor="accent1" w:themeShade="BF"/>
              </w:rPr>
            </w:pPr>
            <w:r w:rsidRPr="00733C46">
              <w:rPr>
                <w:b/>
              </w:rPr>
              <w:t>Policy Making</w:t>
            </w:r>
          </w:p>
        </w:tc>
        <w:tc>
          <w:tcPr>
            <w:tcW w:w="241" w:type="dxa"/>
            <w:tcBorders>
              <w:top w:val="nil"/>
              <w:left w:val="nil"/>
              <w:bottom w:val="nil"/>
              <w:right w:val="nil"/>
            </w:tcBorders>
          </w:tcPr>
          <w:p w14:paraId="5A078E29" w14:textId="77777777" w:rsidR="00357E8E" w:rsidRPr="00733C46" w:rsidRDefault="00357E8E" w:rsidP="00357E8E">
            <w:pPr>
              <w:spacing w:after="0" w:line="240" w:lineRule="auto"/>
            </w:pPr>
          </w:p>
        </w:tc>
        <w:tc>
          <w:tcPr>
            <w:tcW w:w="1792" w:type="dxa"/>
            <w:tcBorders>
              <w:top w:val="nil"/>
              <w:left w:val="nil"/>
              <w:bottom w:val="nil"/>
              <w:right w:val="nil"/>
            </w:tcBorders>
            <w:shd w:val="clear" w:color="auto" w:fill="C7E2FA" w:themeFill="accent1" w:themeFillTint="33"/>
            <w:vAlign w:val="center"/>
          </w:tcPr>
          <w:p w14:paraId="6EE5AA29" w14:textId="77777777" w:rsidR="00357E8E" w:rsidRPr="00733C46" w:rsidRDefault="00357E8E" w:rsidP="00357E8E">
            <w:pPr>
              <w:spacing w:after="0" w:line="240" w:lineRule="auto"/>
              <w:jc w:val="center"/>
            </w:pPr>
            <w:r w:rsidRPr="00733C46">
              <w:t>Public agency conducts focus groups with patients to ask opinions about a health care issue</w:t>
            </w:r>
          </w:p>
        </w:tc>
        <w:tc>
          <w:tcPr>
            <w:tcW w:w="245" w:type="dxa"/>
            <w:tcBorders>
              <w:top w:val="nil"/>
              <w:left w:val="nil"/>
              <w:bottom w:val="nil"/>
              <w:right w:val="nil"/>
            </w:tcBorders>
            <w:vAlign w:val="center"/>
          </w:tcPr>
          <w:p w14:paraId="7BBDDCFA" w14:textId="77777777" w:rsidR="00357E8E" w:rsidRPr="00733C46" w:rsidRDefault="00357E8E" w:rsidP="00357E8E">
            <w:pPr>
              <w:spacing w:after="0" w:line="240" w:lineRule="auto"/>
              <w:jc w:val="center"/>
            </w:pPr>
            <w:r w:rsidRPr="00733C46">
              <w:rPr>
                <w:noProof/>
              </w:rPr>
              <mc:AlternateContent>
                <mc:Choice Requires="wps">
                  <w:drawing>
                    <wp:anchor distT="0" distB="0" distL="114300" distR="114300" simplePos="0" relativeHeight="251834368" behindDoc="0" locked="0" layoutInCell="1" allowOverlap="1" wp14:anchorId="0C4985DC" wp14:editId="7BA109E2">
                      <wp:simplePos x="0" y="0"/>
                      <wp:positionH relativeFrom="column">
                        <wp:posOffset>-64770</wp:posOffset>
                      </wp:positionH>
                      <wp:positionV relativeFrom="paragraph">
                        <wp:posOffset>74930</wp:posOffset>
                      </wp:positionV>
                      <wp:extent cx="147955" cy="3810"/>
                      <wp:effectExtent l="0" t="76200" r="23495" b="91440"/>
                      <wp:wrapNone/>
                      <wp:docPr id="74" name="Straight Arrow Connector 74"/>
                      <wp:cNvGraphicFramePr/>
                      <a:graphic xmlns:a="http://schemas.openxmlformats.org/drawingml/2006/main">
                        <a:graphicData uri="http://schemas.microsoft.com/office/word/2010/wordprocessingShape">
                          <wps:wsp>
                            <wps:cNvCnPr/>
                            <wps:spPr>
                              <a:xfrm>
                                <a:off x="0" y="0"/>
                                <a:ext cx="147955" cy="3810"/>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512F88D" id="Straight Arrow Connector 74" o:spid="_x0000_s1026" type="#_x0000_t32" style="position:absolute;margin-left:-5.1pt;margin-top:5.9pt;width:11.65pt;height:.3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" strokecolor="black [3213]" strokeweight=".5pt">
                      <v:stroke endarrow="block" joinstyle="miter"/>
                    </v:shape>
                  </w:pict>
                </mc:Fallback>
              </mc:AlternateContent>
            </w:r>
          </w:p>
        </w:tc>
        <w:tc>
          <w:tcPr>
            <w:tcW w:w="1919" w:type="dxa"/>
            <w:tcBorders>
              <w:top w:val="nil"/>
              <w:left w:val="nil"/>
              <w:bottom w:val="nil"/>
              <w:right w:val="nil"/>
            </w:tcBorders>
            <w:shd w:val="clear" w:color="auto" w:fill="C7E2FA" w:themeFill="accent1" w:themeFillTint="33"/>
            <w:vAlign w:val="center"/>
          </w:tcPr>
          <w:p w14:paraId="3DD36D37" w14:textId="77777777" w:rsidR="00357E8E" w:rsidRPr="00733C46" w:rsidRDefault="00357E8E" w:rsidP="00357E8E">
            <w:pPr>
              <w:spacing w:after="0" w:line="240" w:lineRule="auto"/>
              <w:jc w:val="center"/>
            </w:pPr>
            <w:r w:rsidRPr="00733C46">
              <w:t>Patients’ recommendations about research priorities are used by public agency to make funding decisions</w:t>
            </w:r>
          </w:p>
        </w:tc>
        <w:tc>
          <w:tcPr>
            <w:tcW w:w="254" w:type="dxa"/>
            <w:tcBorders>
              <w:top w:val="nil"/>
              <w:left w:val="nil"/>
              <w:bottom w:val="nil"/>
              <w:right w:val="nil"/>
            </w:tcBorders>
            <w:vAlign w:val="center"/>
          </w:tcPr>
          <w:p w14:paraId="73119D56" w14:textId="77777777" w:rsidR="00357E8E" w:rsidRPr="00733C46" w:rsidRDefault="00357E8E" w:rsidP="00357E8E">
            <w:pPr>
              <w:spacing w:after="0" w:line="240" w:lineRule="auto"/>
              <w:jc w:val="center"/>
            </w:pPr>
          </w:p>
          <w:p w14:paraId="05CDDB97" w14:textId="77777777" w:rsidR="00357E8E" w:rsidRPr="00733C46" w:rsidRDefault="00357E8E" w:rsidP="00357E8E">
            <w:pPr>
              <w:spacing w:after="0" w:line="240" w:lineRule="auto"/>
            </w:pPr>
            <w:r w:rsidRPr="00733C46">
              <w:rPr>
                <w:noProof/>
              </w:rPr>
              <mc:AlternateContent>
                <mc:Choice Requires="wps">
                  <w:drawing>
                    <wp:anchor distT="0" distB="0" distL="114300" distR="114300" simplePos="0" relativeHeight="251835392" behindDoc="0" locked="0" layoutInCell="1" allowOverlap="1" wp14:anchorId="6C050F72" wp14:editId="192E7B6F">
                      <wp:simplePos x="0" y="0"/>
                      <wp:positionH relativeFrom="column">
                        <wp:posOffset>-67945</wp:posOffset>
                      </wp:positionH>
                      <wp:positionV relativeFrom="paragraph">
                        <wp:posOffset>110490</wp:posOffset>
                      </wp:positionV>
                      <wp:extent cx="147955" cy="3810"/>
                      <wp:effectExtent l="0" t="76200" r="23495" b="91440"/>
                      <wp:wrapNone/>
                      <wp:docPr id="75" name="Straight Arrow Connector 75"/>
                      <wp:cNvGraphicFramePr/>
                      <a:graphic xmlns:a="http://schemas.openxmlformats.org/drawingml/2006/main">
                        <a:graphicData uri="http://schemas.microsoft.com/office/word/2010/wordprocessingShape">
                          <wps:wsp>
                            <wps:cNvCnPr/>
                            <wps:spPr>
                              <a:xfrm>
                                <a:off x="0" y="0"/>
                                <a:ext cx="147955" cy="3810"/>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BAA435A" id="Straight Arrow Connector 75" o:spid="_x0000_s1026" type="#_x0000_t32" style="position:absolute;margin-left:-5.35pt;margin-top:8.7pt;width:11.65pt;height:.3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" strokecolor="black [3213]" strokeweight=".5pt">
                      <v:stroke endarrow="block" joinstyle="miter"/>
                    </v:shape>
                  </w:pict>
                </mc:Fallback>
              </mc:AlternateContent>
            </w:r>
          </w:p>
          <w:p w14:paraId="456DE056" w14:textId="77777777" w:rsidR="00357E8E" w:rsidRPr="00733C46" w:rsidRDefault="00357E8E" w:rsidP="00357E8E">
            <w:pPr>
              <w:spacing w:after="0" w:line="240" w:lineRule="auto"/>
            </w:pPr>
          </w:p>
          <w:p w14:paraId="23440ABA" w14:textId="77777777" w:rsidR="00357E8E" w:rsidRPr="00733C46" w:rsidRDefault="00357E8E" w:rsidP="00357E8E">
            <w:pPr>
              <w:spacing w:after="0" w:line="240" w:lineRule="auto"/>
            </w:pPr>
          </w:p>
        </w:tc>
        <w:tc>
          <w:tcPr>
            <w:tcW w:w="2093" w:type="dxa"/>
            <w:tcBorders>
              <w:top w:val="nil"/>
              <w:left w:val="nil"/>
              <w:bottom w:val="nil"/>
              <w:right w:val="nil"/>
            </w:tcBorders>
            <w:shd w:val="clear" w:color="auto" w:fill="C7E2FA" w:themeFill="accent1" w:themeFillTint="33"/>
            <w:vAlign w:val="center"/>
          </w:tcPr>
          <w:p w14:paraId="045C3FFD" w14:textId="77777777" w:rsidR="00357E8E" w:rsidRPr="00733C46" w:rsidRDefault="00357E8E" w:rsidP="00357E8E">
            <w:pPr>
              <w:spacing w:after="0" w:line="240" w:lineRule="auto"/>
              <w:jc w:val="center"/>
            </w:pPr>
            <w:r w:rsidRPr="00733C46">
              <w:t>Patients have equal representation on agency committee that makes decisions about how to allocate resources to health programs</w:t>
            </w:r>
          </w:p>
        </w:tc>
      </w:tr>
      <w:tr w:rsidR="00357E8E" w:rsidRPr="00BF18AE" w14:paraId="02280975" w14:textId="77777777" w:rsidTr="00357E8E">
        <w:trPr>
          <w:gridAfter w:val="4"/>
          <w:wAfter w:w="4511" w:type="dxa"/>
          <w:trHeight w:val="487"/>
        </w:trPr>
        <w:tc>
          <w:tcPr>
            <w:tcW w:w="1792" w:type="dxa"/>
            <w:tcBorders>
              <w:top w:val="nil"/>
              <w:left w:val="nil"/>
              <w:bottom w:val="nil"/>
              <w:right w:val="nil"/>
            </w:tcBorders>
          </w:tcPr>
          <w:p w14:paraId="09807356" w14:textId="77777777" w:rsidR="00357E8E" w:rsidRPr="0022046A" w:rsidRDefault="00357E8E" w:rsidP="00357E8E">
            <w:pPr>
              <w:rPr>
                <w:color w:val="0B5294" w:themeColor="accent1" w:themeShade="BF"/>
                <w:sz w:val="18"/>
                <w:szCs w:val="18"/>
              </w:rPr>
            </w:pPr>
            <w:r>
              <w:rPr>
                <w:noProof/>
                <w:color w:val="0F6FC6" w:themeColor="accent1"/>
                <w:sz w:val="18"/>
                <w:szCs w:val="18"/>
              </w:rPr>
              <mc:AlternateContent>
                <mc:Choice Requires="wps">
                  <w:drawing>
                    <wp:anchor distT="0" distB="0" distL="114300" distR="114300" simplePos="0" relativeHeight="251839488" behindDoc="0" locked="0" layoutInCell="1" allowOverlap="1" wp14:anchorId="2741FDE9" wp14:editId="29B68A0B">
                      <wp:simplePos x="0" y="0"/>
                      <wp:positionH relativeFrom="column">
                        <wp:posOffset>449580</wp:posOffset>
                      </wp:positionH>
                      <wp:positionV relativeFrom="paragraph">
                        <wp:posOffset>-8164</wp:posOffset>
                      </wp:positionV>
                      <wp:extent cx="4354" cy="309154"/>
                      <wp:effectExtent l="76200" t="38100" r="72390" b="53340"/>
                      <wp:wrapNone/>
                      <wp:docPr id="76" name="Straight Arrow Connector 76"/>
                      <wp:cNvGraphicFramePr/>
                      <a:graphic xmlns:a="http://schemas.openxmlformats.org/drawingml/2006/main">
                        <a:graphicData uri="http://schemas.microsoft.com/office/word/2010/wordprocessingShape">
                          <wps:wsp>
                            <wps:cNvCnPr/>
                            <wps:spPr>
                              <a:xfrm>
                                <a:off x="0" y="0"/>
                                <a:ext cx="4354" cy="309154"/>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5B6CAFA" id="Straight Arrow Connector 76" o:spid="_x0000_s1026" type="#_x0000_t32" style="position:absolute;margin-left:35.4pt;margin-top:-.65pt;width:.35pt;height:24.3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" strokecolor="black [3213]">
                      <v:stroke startarrow="block" endarrow="block"/>
                    </v:shape>
                  </w:pict>
                </mc:Fallback>
              </mc:AlternateContent>
            </w:r>
          </w:p>
        </w:tc>
        <w:tc>
          <w:tcPr>
            <w:tcW w:w="241" w:type="dxa"/>
            <w:tcBorders>
              <w:top w:val="nil"/>
              <w:left w:val="nil"/>
              <w:bottom w:val="nil"/>
              <w:right w:val="nil"/>
            </w:tcBorders>
          </w:tcPr>
          <w:p w14:paraId="1FD56271" w14:textId="77777777" w:rsidR="00357E8E" w:rsidRPr="00BF18AE" w:rsidRDefault="00357E8E" w:rsidP="00357E8E">
            <w:pPr>
              <w:rPr>
                <w:sz w:val="18"/>
                <w:szCs w:val="18"/>
              </w:rPr>
            </w:pPr>
          </w:p>
        </w:tc>
        <w:tc>
          <w:tcPr>
            <w:tcW w:w="1792" w:type="dxa"/>
            <w:tcBorders>
              <w:top w:val="nil"/>
              <w:left w:val="nil"/>
              <w:bottom w:val="nil"/>
              <w:right w:val="nil"/>
            </w:tcBorders>
          </w:tcPr>
          <w:p w14:paraId="582E455E" w14:textId="77777777" w:rsidR="00357E8E" w:rsidRPr="00BF18AE" w:rsidRDefault="00357E8E" w:rsidP="00357E8E">
            <w:pPr>
              <w:rPr>
                <w:sz w:val="18"/>
                <w:szCs w:val="18"/>
              </w:rPr>
            </w:pPr>
            <w:r w:rsidRPr="00BF18AE">
              <w:rPr>
                <w:noProof/>
                <w:sz w:val="18"/>
                <w:szCs w:val="18"/>
              </w:rPr>
              <mc:AlternateContent>
                <mc:Choice Requires="wps">
                  <w:drawing>
                    <wp:anchor distT="0" distB="0" distL="114300" distR="114300" simplePos="0" relativeHeight="251840512" behindDoc="0" locked="0" layoutInCell="1" allowOverlap="1" wp14:anchorId="5ADA9CE3" wp14:editId="0FC1A8F4">
                      <wp:simplePos x="0" y="0"/>
                      <wp:positionH relativeFrom="column">
                        <wp:posOffset>1782082</wp:posOffset>
                      </wp:positionH>
                      <wp:positionV relativeFrom="paragraph">
                        <wp:posOffset>109401</wp:posOffset>
                      </wp:positionV>
                      <wp:extent cx="0" cy="191045"/>
                      <wp:effectExtent l="76200" t="38100" r="57150" b="57150"/>
                      <wp:wrapNone/>
                      <wp:docPr id="77" name="Straight Arrow Connector 77"/>
                      <wp:cNvGraphicFramePr/>
                      <a:graphic xmlns:a="http://schemas.openxmlformats.org/drawingml/2006/main">
                        <a:graphicData uri="http://schemas.microsoft.com/office/word/2010/wordprocessingShape">
                          <wps:wsp>
                            <wps:cNvCnPr/>
                            <wps:spPr>
                              <a:xfrm>
                                <a:off x="0" y="0"/>
                                <a:ext cx="0" cy="19104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A10EA2A" id="Straight Arrow Connector 77" o:spid="_x0000_s1026" type="#_x0000_t32" style="position:absolute;margin-left:140.3pt;margin-top:8.6pt;width:0;height:15.05pt;z-index:251840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" strokecolor="black [3213]">
                      <v:stroke startarrow="block" endarrow="block"/>
                    </v:shape>
                  </w:pict>
                </mc:Fallback>
              </mc:AlternateContent>
            </w:r>
            <w:r w:rsidRPr="00BF18AE">
              <w:rPr>
                <w:noProof/>
                <w:sz w:val="18"/>
                <w:szCs w:val="18"/>
              </w:rPr>
              <mc:AlternateContent>
                <mc:Choice Requires="wps">
                  <w:drawing>
                    <wp:anchor distT="0" distB="0" distL="114300" distR="114300" simplePos="0" relativeHeight="251838464" behindDoc="0" locked="0" layoutInCell="1" allowOverlap="1" wp14:anchorId="137B4F1E" wp14:editId="7C96E765">
                      <wp:simplePos x="0" y="0"/>
                      <wp:positionH relativeFrom="column">
                        <wp:posOffset>3162391</wp:posOffset>
                      </wp:positionH>
                      <wp:positionV relativeFrom="paragraph">
                        <wp:posOffset>-8164</wp:posOffset>
                      </wp:positionV>
                      <wp:extent cx="0" cy="122010"/>
                      <wp:effectExtent l="0" t="0" r="19050" b="11430"/>
                      <wp:wrapNone/>
                      <wp:docPr id="78" name="Straight Connector 78"/>
                      <wp:cNvGraphicFramePr/>
                      <a:graphic xmlns:a="http://schemas.openxmlformats.org/drawingml/2006/main">
                        <a:graphicData uri="http://schemas.microsoft.com/office/word/2010/wordprocessingShape">
                          <wps:wsp>
                            <wps:cNvCnPr/>
                            <wps:spPr>
                              <a:xfrm flipV="1">
                                <a:off x="0" y="0"/>
                                <a:ext cx="0" cy="122010"/>
                              </a:xfrm>
                              <a:prstGeom prst="line">
                                <a:avLst/>
                              </a:prstGeom>
                              <a:ln>
                                <a:solidFill>
                                  <a:schemeClr val="accent1">
                                    <a:lumMod val="75000"/>
                                  </a:schemeClr>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967299E" id="Straight Connector 78" o:spid="_x0000_s1026" style="position:absolute;flip:y;z-index:251838464;visibility:visible;mso-wrap-style:square;mso-wrap-distance-left:9pt;mso-wrap-distance-top:0;mso-wrap-distance-right:9pt;mso-wrap-distance-bottom:0;mso-position-horizontal:absolute;mso-position-horizontal-relative:text;mso-position-vertical:absolute;mso-position-vertical-relative:text" from="249pt,-.65pt" to="24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" strokecolor="#0b5294 [2404]" strokeweight="3pt">
                      <v:shadow on="t" color="black" opacity="22937f" origin=",.5" offset="0,.63889mm"/>
                    </v:line>
                  </w:pict>
                </mc:Fallback>
              </mc:AlternateContent>
            </w:r>
            <w:r w:rsidRPr="00BF18AE">
              <w:rPr>
                <w:noProof/>
                <w:sz w:val="18"/>
                <w:szCs w:val="18"/>
              </w:rPr>
              <mc:AlternateContent>
                <mc:Choice Requires="wps">
                  <w:drawing>
                    <wp:anchor distT="0" distB="0" distL="114300" distR="114300" simplePos="0" relativeHeight="251837440" behindDoc="0" locked="0" layoutInCell="1" allowOverlap="1" wp14:anchorId="4438020E" wp14:editId="33B3B05F">
                      <wp:simplePos x="0" y="0"/>
                      <wp:positionH relativeFrom="column">
                        <wp:posOffset>440963</wp:posOffset>
                      </wp:positionH>
                      <wp:positionV relativeFrom="paragraph">
                        <wp:posOffset>109401</wp:posOffset>
                      </wp:positionV>
                      <wp:extent cx="2729684" cy="4536"/>
                      <wp:effectExtent l="0" t="0" r="33020" b="33655"/>
                      <wp:wrapNone/>
                      <wp:docPr id="79" name="Straight Connector 79"/>
                      <wp:cNvGraphicFramePr/>
                      <a:graphic xmlns:a="http://schemas.openxmlformats.org/drawingml/2006/main">
                        <a:graphicData uri="http://schemas.microsoft.com/office/word/2010/wordprocessingShape">
                          <wps:wsp>
                            <wps:cNvCnPr/>
                            <wps:spPr>
                              <a:xfrm>
                                <a:off x="0" y="0"/>
                                <a:ext cx="2729684" cy="4536"/>
                              </a:xfrm>
                              <a:prstGeom prst="line">
                                <a:avLst/>
                              </a:prstGeom>
                              <a:ln>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B03A7D1" id="Straight Connector 79" o:spid="_x0000_s1026" style="position:absolute;z-index:251837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7pt,8.6pt" to="249.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" strokecolor="black [3213]" strokeweight="3pt">
                      <v:shadow on="t" color="black" opacity="22937f" origin=",.5" offset="0,.63889mm"/>
                    </v:line>
                  </w:pict>
                </mc:Fallback>
              </mc:AlternateContent>
            </w:r>
            <w:r w:rsidRPr="00BF18AE">
              <w:rPr>
                <w:noProof/>
                <w:sz w:val="18"/>
                <w:szCs w:val="18"/>
              </w:rPr>
              <mc:AlternateContent>
                <mc:Choice Requires="wps">
                  <w:drawing>
                    <wp:anchor distT="0" distB="0" distL="114300" distR="114300" simplePos="0" relativeHeight="251836416" behindDoc="0" locked="0" layoutInCell="1" allowOverlap="1" wp14:anchorId="0F820BD3" wp14:editId="0B0C52EE">
                      <wp:simplePos x="0" y="0"/>
                      <wp:positionH relativeFrom="column">
                        <wp:posOffset>445316</wp:posOffset>
                      </wp:positionH>
                      <wp:positionV relativeFrom="paragraph">
                        <wp:posOffset>-3810</wp:posOffset>
                      </wp:positionV>
                      <wp:extent cx="0" cy="113212"/>
                      <wp:effectExtent l="0" t="0" r="19050" b="20320"/>
                      <wp:wrapNone/>
                      <wp:docPr id="80" name="Straight Connector 80"/>
                      <wp:cNvGraphicFramePr/>
                      <a:graphic xmlns:a="http://schemas.openxmlformats.org/drawingml/2006/main">
                        <a:graphicData uri="http://schemas.microsoft.com/office/word/2010/wordprocessingShape">
                          <wps:wsp>
                            <wps:cNvCnPr/>
                            <wps:spPr>
                              <a:xfrm>
                                <a:off x="0" y="0"/>
                                <a:ext cx="0" cy="113212"/>
                              </a:xfrm>
                              <a:prstGeom prst="line">
                                <a:avLst/>
                              </a:prstGeom>
                              <a:ln>
                                <a:solidFill>
                                  <a:schemeClr val="accent1">
                                    <a:lumMod val="75000"/>
                                  </a:schemeClr>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CCF877F" id="Straight Connector 80" o:spid="_x0000_s1026" style="position:absolute;z-index:251836416;visibility:visible;mso-wrap-style:square;mso-wrap-distance-left:9pt;mso-wrap-distance-top:0;mso-wrap-distance-right:9pt;mso-wrap-distance-bottom:0;mso-position-horizontal:absolute;mso-position-horizontal-relative:text;mso-position-vertical:absolute;mso-position-vertical-relative:text" from="35.05pt,-.3pt" to="35.0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" strokecolor="#0b5294 [2404]" strokeweight="3pt">
                      <v:shadow on="t" color="black" opacity="22937f" origin=",.5" offset="0,.63889mm"/>
                    </v:line>
                  </w:pict>
                </mc:Fallback>
              </mc:AlternateContent>
            </w:r>
          </w:p>
        </w:tc>
      </w:tr>
      <w:tr w:rsidR="00357E8E" w14:paraId="4AA6B0A8" w14:textId="77777777" w:rsidTr="00357E8E">
        <w:trPr>
          <w:trHeight w:val="962"/>
        </w:trPr>
        <w:tc>
          <w:tcPr>
            <w:tcW w:w="1792" w:type="dxa"/>
            <w:tcBorders>
              <w:top w:val="nil"/>
              <w:left w:val="nil"/>
              <w:bottom w:val="nil"/>
              <w:right w:val="nil"/>
            </w:tcBorders>
            <w:shd w:val="clear" w:color="auto" w:fill="FFFF66"/>
          </w:tcPr>
          <w:p w14:paraId="54FF8CF8" w14:textId="77777777" w:rsidR="00357E8E" w:rsidRPr="0022046A" w:rsidRDefault="00357E8E" w:rsidP="00357E8E">
            <w:pPr>
              <w:rPr>
                <w:color w:val="0B5294" w:themeColor="accent1" w:themeShade="BF"/>
                <w:sz w:val="18"/>
                <w:szCs w:val="18"/>
              </w:rPr>
            </w:pPr>
          </w:p>
        </w:tc>
        <w:tc>
          <w:tcPr>
            <w:tcW w:w="6544" w:type="dxa"/>
            <w:gridSpan w:val="6"/>
            <w:tcBorders>
              <w:top w:val="nil"/>
              <w:left w:val="nil"/>
              <w:bottom w:val="nil"/>
              <w:right w:val="nil"/>
            </w:tcBorders>
            <w:shd w:val="clear" w:color="auto" w:fill="FFFF66"/>
          </w:tcPr>
          <w:p w14:paraId="6ACFDA2A" w14:textId="77777777" w:rsidR="00357E8E" w:rsidRPr="00733C46" w:rsidRDefault="00357E8E" w:rsidP="00357E8E">
            <w:pPr>
              <w:spacing w:after="0" w:line="240" w:lineRule="auto"/>
              <w:rPr>
                <w:rFonts w:asciiTheme="minorHAnsi" w:hAnsiTheme="minorHAnsi"/>
                <w:b/>
                <w:sz w:val="20"/>
                <w:szCs w:val="20"/>
              </w:rPr>
            </w:pPr>
            <w:r w:rsidRPr="00733C46">
              <w:rPr>
                <w:rFonts w:asciiTheme="minorHAnsi" w:hAnsiTheme="minorHAnsi"/>
                <w:b/>
                <w:sz w:val="20"/>
                <w:szCs w:val="20"/>
              </w:rPr>
              <w:t>Factors influencing engagement:</w:t>
            </w:r>
          </w:p>
          <w:p w14:paraId="42F16675" w14:textId="77777777" w:rsidR="00357E8E" w:rsidRPr="00733C46" w:rsidRDefault="00357E8E" w:rsidP="00357E8E">
            <w:pPr>
              <w:pStyle w:val="ListParagraph"/>
              <w:numPr>
                <w:ilvl w:val="0"/>
                <w:numId w:val="49"/>
              </w:numPr>
              <w:ind w:left="142" w:hanging="142"/>
              <w:rPr>
                <w:rFonts w:asciiTheme="minorHAnsi" w:hAnsiTheme="minorHAnsi"/>
                <w:sz w:val="20"/>
                <w:szCs w:val="20"/>
              </w:rPr>
            </w:pPr>
            <w:r w:rsidRPr="00733C46">
              <w:rPr>
                <w:rFonts w:asciiTheme="minorHAnsi" w:hAnsiTheme="minorHAnsi"/>
                <w:b/>
                <w:sz w:val="20"/>
                <w:szCs w:val="20"/>
              </w:rPr>
              <w:t>Patient</w:t>
            </w:r>
            <w:r w:rsidRPr="00733C46">
              <w:rPr>
                <w:rFonts w:asciiTheme="minorHAnsi" w:hAnsiTheme="minorHAnsi"/>
                <w:sz w:val="20"/>
                <w:szCs w:val="20"/>
              </w:rPr>
              <w:t xml:space="preserve"> (beliefs about the patient role, health literacy, education)</w:t>
            </w:r>
          </w:p>
          <w:p w14:paraId="41F4713E" w14:textId="77777777" w:rsidR="00357E8E" w:rsidRPr="00733C46" w:rsidRDefault="00357E8E" w:rsidP="00357E8E">
            <w:pPr>
              <w:pStyle w:val="ListParagraph"/>
              <w:numPr>
                <w:ilvl w:val="0"/>
                <w:numId w:val="49"/>
              </w:numPr>
              <w:ind w:left="142" w:hanging="142"/>
              <w:rPr>
                <w:rFonts w:asciiTheme="minorHAnsi" w:hAnsiTheme="minorHAnsi"/>
                <w:sz w:val="20"/>
                <w:szCs w:val="20"/>
              </w:rPr>
            </w:pPr>
            <w:r w:rsidRPr="00733C46">
              <w:rPr>
                <w:rFonts w:asciiTheme="minorHAnsi" w:hAnsiTheme="minorHAnsi"/>
                <w:b/>
                <w:sz w:val="20"/>
                <w:szCs w:val="20"/>
              </w:rPr>
              <w:t>Organization</w:t>
            </w:r>
            <w:r w:rsidRPr="00733C46">
              <w:rPr>
                <w:rFonts w:asciiTheme="minorHAnsi" w:hAnsiTheme="minorHAnsi"/>
                <w:sz w:val="20"/>
                <w:szCs w:val="20"/>
              </w:rPr>
              <w:t xml:space="preserve"> (policies and practices, culture)</w:t>
            </w:r>
          </w:p>
          <w:p w14:paraId="59A93016" w14:textId="77777777" w:rsidR="00357E8E" w:rsidRPr="00BF18AE" w:rsidRDefault="00357E8E" w:rsidP="00357E8E">
            <w:pPr>
              <w:pStyle w:val="ListParagraph"/>
              <w:numPr>
                <w:ilvl w:val="0"/>
                <w:numId w:val="49"/>
              </w:numPr>
              <w:ind w:left="142" w:hanging="142"/>
              <w:rPr>
                <w:sz w:val="18"/>
                <w:szCs w:val="18"/>
              </w:rPr>
            </w:pPr>
            <w:r w:rsidRPr="00733C46">
              <w:rPr>
                <w:rFonts w:asciiTheme="minorHAnsi" w:hAnsiTheme="minorHAnsi"/>
                <w:b/>
                <w:sz w:val="20"/>
                <w:szCs w:val="20"/>
              </w:rPr>
              <w:t>Society</w:t>
            </w:r>
            <w:r w:rsidRPr="00733C46">
              <w:rPr>
                <w:rFonts w:asciiTheme="minorHAnsi" w:hAnsiTheme="minorHAnsi"/>
                <w:sz w:val="20"/>
                <w:szCs w:val="20"/>
              </w:rPr>
              <w:t xml:space="preserve"> (social norms, regulations, policy)</w:t>
            </w:r>
          </w:p>
        </w:tc>
      </w:tr>
    </w:tbl>
    <w:tbl>
      <w:tblPr>
        <w:tblW w:w="0" w:type="auto"/>
        <w:tblBorders>
          <w:bottom w:val="single" w:sz="8" w:space="0" w:color="0F6FC6" w:themeColor="accent1"/>
        </w:tblBorders>
        <w:tblLook w:val="04A0" w:firstRow="1" w:lastRow="0" w:firstColumn="1" w:lastColumn="0" w:noHBand="0" w:noVBand="1"/>
      </w:tblPr>
      <w:tblGrid>
        <w:gridCol w:w="2988"/>
        <w:gridCol w:w="6228"/>
      </w:tblGrid>
      <w:tr w:rsidR="00357E8E" w:rsidRPr="00F14156" w14:paraId="08929946" w14:textId="77777777" w:rsidTr="00357E8E">
        <w:trPr>
          <w:trHeight w:val="548"/>
        </w:trPr>
        <w:tc>
          <w:tcPr>
            <w:tcW w:w="2988" w:type="dxa"/>
            <w:vAlign w:val="bottom"/>
          </w:tcPr>
          <w:p w14:paraId="022E01E4" w14:textId="645B3D30" w:rsidR="00357E8E" w:rsidRPr="00F14156" w:rsidRDefault="00357E8E" w:rsidP="00357E8E">
            <w:pPr>
              <w:spacing w:after="120"/>
              <w:contextualSpacing/>
              <w:jc w:val="center"/>
              <w:rPr>
                <w:rFonts w:ascii="Cambria" w:eastAsia="Times New Roman" w:hAnsi="Cambria"/>
                <w:color w:val="0B5294" w:themeColor="accent1" w:themeShade="BF"/>
                <w:sz w:val="48"/>
                <w:szCs w:val="48"/>
              </w:rPr>
            </w:pPr>
            <w:r w:rsidRPr="00F14156">
              <w:rPr>
                <w:rFonts w:ascii="Arial" w:hAnsi="Arial" w:cs="Arial"/>
                <w:color w:val="0B5294" w:themeColor="accent1" w:themeShade="BF"/>
                <w:sz w:val="24"/>
                <w:szCs w:val="24"/>
              </w:rPr>
              <w:br w:type="page"/>
            </w:r>
            <w:r w:rsidRPr="00F14156">
              <w:rPr>
                <w:rFonts w:ascii="Arial" w:hAnsi="Arial" w:cs="Arial"/>
                <w:color w:val="0B5294" w:themeColor="accent1" w:themeShade="BF"/>
                <w:sz w:val="24"/>
                <w:szCs w:val="24"/>
              </w:rPr>
              <w:br w:type="page"/>
            </w:r>
            <w:r w:rsidRPr="00F14156">
              <w:rPr>
                <w:rFonts w:ascii="Cambria" w:hAnsi="Cambria"/>
                <w:color w:val="0B5294" w:themeColor="accent1" w:themeShade="BF"/>
                <w:kern w:val="28"/>
                <w:sz w:val="48"/>
                <w:szCs w:val="48"/>
              </w:rPr>
              <w:t xml:space="preserve">APPENDIX </w:t>
            </w:r>
            <w:r>
              <w:rPr>
                <w:rFonts w:ascii="Cambria" w:hAnsi="Cambria"/>
                <w:color w:val="0B5294" w:themeColor="accent1" w:themeShade="BF"/>
                <w:kern w:val="28"/>
                <w:sz w:val="48"/>
                <w:szCs w:val="48"/>
              </w:rPr>
              <w:t>E</w:t>
            </w:r>
            <w:r w:rsidRPr="00F14156">
              <w:rPr>
                <w:rFonts w:ascii="Cambria" w:hAnsi="Cambria"/>
                <w:color w:val="0B5294" w:themeColor="accent1" w:themeShade="BF"/>
                <w:kern w:val="28"/>
                <w:sz w:val="48"/>
                <w:szCs w:val="48"/>
              </w:rPr>
              <w:t>:</w:t>
            </w:r>
          </w:p>
        </w:tc>
        <w:tc>
          <w:tcPr>
            <w:tcW w:w="6228" w:type="dxa"/>
            <w:vAlign w:val="bottom"/>
          </w:tcPr>
          <w:p w14:paraId="3A0B33A9" w14:textId="77777777" w:rsidR="00357E8E" w:rsidRPr="00F14156" w:rsidRDefault="00357E8E" w:rsidP="00357E8E">
            <w:pPr>
              <w:widowControl w:val="0"/>
              <w:autoSpaceDE w:val="0"/>
              <w:autoSpaceDN w:val="0"/>
              <w:adjustRightInd w:val="0"/>
              <w:spacing w:after="0" w:line="240" w:lineRule="auto"/>
              <w:contextualSpacing/>
              <w:rPr>
                <w:rFonts w:ascii="Cambria" w:eastAsia="Times New Roman" w:hAnsi="Cambria"/>
                <w:color w:val="0B5294" w:themeColor="accent1" w:themeShade="BF"/>
                <w:spacing w:val="5"/>
                <w:kern w:val="28"/>
                <w:sz w:val="26"/>
                <w:szCs w:val="26"/>
              </w:rPr>
            </w:pPr>
            <w:r w:rsidRPr="00F14156">
              <w:rPr>
                <w:rFonts w:ascii="Cambria" w:eastAsia="Times New Roman" w:hAnsi="Cambria"/>
                <w:color w:val="0B5294" w:themeColor="accent1" w:themeShade="BF"/>
                <w:spacing w:val="5"/>
                <w:kern w:val="28"/>
                <w:sz w:val="26"/>
                <w:szCs w:val="26"/>
              </w:rPr>
              <w:t>NEEDS ASSESSMENT − BACKGROUND AND CONCEPTUAL FRAMEWORK</w:t>
            </w:r>
          </w:p>
          <w:p w14:paraId="5AC9BE33" w14:textId="77777777" w:rsidR="00357E8E" w:rsidRPr="00F14156" w:rsidRDefault="00357E8E" w:rsidP="00357E8E">
            <w:pPr>
              <w:widowControl w:val="0"/>
              <w:autoSpaceDE w:val="0"/>
              <w:autoSpaceDN w:val="0"/>
              <w:adjustRightInd w:val="0"/>
              <w:spacing w:after="0" w:line="240" w:lineRule="auto"/>
              <w:ind w:left="-18"/>
              <w:contextualSpacing/>
              <w:rPr>
                <w:rFonts w:ascii="Times New Roman" w:eastAsia="Times New Roman" w:hAnsi="Times New Roman"/>
                <w:color w:val="0B5294" w:themeColor="accent1" w:themeShade="BF"/>
                <w:sz w:val="10"/>
                <w:szCs w:val="10"/>
              </w:rPr>
            </w:pPr>
          </w:p>
        </w:tc>
      </w:tr>
    </w:tbl>
    <w:p w14:paraId="7B0ED7BC" w14:textId="77777777" w:rsidR="00357E8E" w:rsidRPr="001E4725" w:rsidRDefault="00357E8E" w:rsidP="00357E8E">
      <w:pPr>
        <w:autoSpaceDE w:val="0"/>
        <w:autoSpaceDN w:val="0"/>
        <w:adjustRightInd w:val="0"/>
        <w:spacing w:after="0" w:line="240" w:lineRule="auto"/>
        <w:rPr>
          <w:rFonts w:ascii="Arial" w:eastAsia="Times New Roman" w:hAnsi="Arial"/>
          <w:sz w:val="24"/>
          <w:szCs w:val="24"/>
        </w:rPr>
      </w:pPr>
    </w:p>
    <w:p w14:paraId="0377482D" w14:textId="77777777" w:rsidR="00357E8E" w:rsidRPr="00CE61F2" w:rsidRDefault="00357E8E" w:rsidP="00357E8E">
      <w:pPr>
        <w:spacing w:after="0" w:line="240" w:lineRule="auto"/>
        <w:rPr>
          <w:rFonts w:asciiTheme="minorHAnsi" w:hAnsiTheme="minorHAnsi" w:cs="Arial"/>
          <w:sz w:val="24"/>
          <w:szCs w:val="24"/>
        </w:rPr>
      </w:pPr>
      <w:r>
        <w:rPr>
          <w:rFonts w:asciiTheme="minorHAnsi" w:hAnsiTheme="minorHAnsi" w:cs="Arial"/>
          <w:sz w:val="24"/>
          <w:szCs w:val="24"/>
        </w:rPr>
        <w:t xml:space="preserve">Conducting a </w:t>
      </w:r>
      <w:r w:rsidRPr="00CE61F2">
        <w:rPr>
          <w:rFonts w:asciiTheme="minorHAnsi" w:hAnsiTheme="minorHAnsi" w:cs="Arial"/>
          <w:sz w:val="24"/>
          <w:szCs w:val="24"/>
        </w:rPr>
        <w:t xml:space="preserve">Needs Assessment is a systematic process to acquire an accurate, thorough picture of the strengths and weaknesses of a state’s public health system that can be used in response to the preventive and primary care services needs for ALL pregnant women, mothers, infants (up to age one), </w:t>
      </w:r>
      <w:r>
        <w:rPr>
          <w:rFonts w:asciiTheme="minorHAnsi" w:hAnsiTheme="minorHAnsi" w:cs="Arial"/>
          <w:sz w:val="24"/>
          <w:szCs w:val="24"/>
        </w:rPr>
        <w:t xml:space="preserve">and </w:t>
      </w:r>
      <w:r w:rsidRPr="00CE61F2">
        <w:rPr>
          <w:rFonts w:asciiTheme="minorHAnsi" w:hAnsiTheme="minorHAnsi" w:cs="Arial"/>
          <w:sz w:val="24"/>
          <w:szCs w:val="24"/>
        </w:rPr>
        <w:t>children</w:t>
      </w:r>
      <w:r>
        <w:rPr>
          <w:rFonts w:asciiTheme="minorHAnsi" w:hAnsiTheme="minorHAnsi" w:cs="Arial"/>
          <w:sz w:val="24"/>
          <w:szCs w:val="24"/>
        </w:rPr>
        <w:t>,</w:t>
      </w:r>
      <w:r w:rsidRPr="00CE61F2">
        <w:rPr>
          <w:rFonts w:asciiTheme="minorHAnsi" w:hAnsiTheme="minorHAnsi" w:cs="Arial"/>
          <w:sz w:val="24"/>
          <w:szCs w:val="24"/>
        </w:rPr>
        <w:t xml:space="preserve"> including children with special health care needs [Section 505 (a)(1)].  The Needs Assessment process includes the collection and examination of information about the state’s capacity and infrastructure, needs and desired outcomes for the MCH population, and legislative mandates, etc.  This information is utilized to determine priority goals, develop a plan of action, and to allocate funds and resources.  The Needs Assessment is a collaborative process that should include the HRSA/MCHB, the state Department of Health, families, practitioners, the community, and other agencies and organizations within each state and jurisdiction that have an interest in the well</w:t>
      </w:r>
      <w:r>
        <w:rPr>
          <w:rFonts w:asciiTheme="minorHAnsi" w:hAnsiTheme="minorHAnsi" w:cs="Arial"/>
          <w:sz w:val="24"/>
          <w:szCs w:val="24"/>
        </w:rPr>
        <w:t>-</w:t>
      </w:r>
      <w:r w:rsidRPr="00CE61F2">
        <w:rPr>
          <w:rFonts w:asciiTheme="minorHAnsi" w:hAnsiTheme="minorHAnsi" w:cs="Arial"/>
          <w:sz w:val="24"/>
          <w:szCs w:val="24"/>
        </w:rPr>
        <w:t>being of the MCH population.</w:t>
      </w:r>
    </w:p>
    <w:p w14:paraId="1218AA03" w14:textId="77777777" w:rsidR="00357E8E" w:rsidRPr="00CE61F2" w:rsidRDefault="00357E8E" w:rsidP="00357E8E">
      <w:pPr>
        <w:spacing w:after="0" w:line="240" w:lineRule="auto"/>
        <w:rPr>
          <w:rFonts w:asciiTheme="minorHAnsi" w:hAnsiTheme="minorHAnsi" w:cs="Arial"/>
          <w:sz w:val="24"/>
          <w:szCs w:val="24"/>
        </w:rPr>
      </w:pPr>
    </w:p>
    <w:p w14:paraId="573EE964" w14:textId="77777777" w:rsidR="00357E8E" w:rsidRPr="00CE61F2" w:rsidRDefault="00357E8E" w:rsidP="00357E8E">
      <w:pPr>
        <w:spacing w:after="0" w:line="240" w:lineRule="auto"/>
        <w:ind w:right="240"/>
        <w:rPr>
          <w:rFonts w:asciiTheme="minorHAnsi" w:hAnsiTheme="minorHAnsi" w:cs="Arial"/>
          <w:sz w:val="24"/>
          <w:szCs w:val="24"/>
        </w:rPr>
      </w:pPr>
      <w:r w:rsidRPr="00CE61F2">
        <w:rPr>
          <w:rFonts w:asciiTheme="minorHAnsi" w:hAnsiTheme="minorHAnsi" w:cs="Arial"/>
          <w:sz w:val="24"/>
          <w:szCs w:val="24"/>
        </w:rPr>
        <w:t>Title V of the Social Security Act requires states to conduct a statewide Needs Assessment every five years.  States will report on the next Five-year Needs Assessment in calendar year 2020 as part of the FY 2021 MCH Block Grant Application process.</w:t>
      </w:r>
      <w:r>
        <w:rPr>
          <w:rFonts w:asciiTheme="minorHAnsi" w:hAnsiTheme="minorHAnsi" w:cs="Arial"/>
          <w:sz w:val="24"/>
          <w:szCs w:val="24"/>
        </w:rPr>
        <w:t xml:space="preserve">  </w:t>
      </w:r>
      <w:r>
        <w:rPr>
          <w:sz w:val="23"/>
          <w:szCs w:val="23"/>
        </w:rPr>
        <w:t xml:space="preserve">Rather than submitting a comprehensive “stand-alone document”, as was required prior to 2015, states now submit a Five-year Needs Assessment Summary that concisely describes the process and findings.  </w:t>
      </w:r>
      <w:r w:rsidRPr="00CE61F2">
        <w:rPr>
          <w:rFonts w:asciiTheme="minorHAnsi" w:hAnsiTheme="minorHAnsi" w:cs="Arial"/>
          <w:sz w:val="24"/>
          <w:szCs w:val="24"/>
        </w:rPr>
        <w:t xml:space="preserve">As the Needs Assessment document may serve multiple purposes, a state may wish to develop a more comprehensive document to meets its broader needs.  This document </w:t>
      </w:r>
      <w:r w:rsidRPr="00CE61F2">
        <w:rPr>
          <w:rFonts w:asciiTheme="minorHAnsi" w:hAnsiTheme="minorHAnsi" w:cs="Arial"/>
          <w:sz w:val="24"/>
          <w:szCs w:val="24"/>
          <w:u w:val="single"/>
        </w:rPr>
        <w:t>cannot</w:t>
      </w:r>
      <w:r w:rsidRPr="00CE61F2">
        <w:rPr>
          <w:rFonts w:asciiTheme="minorHAnsi" w:hAnsiTheme="minorHAnsi" w:cs="Arial"/>
          <w:sz w:val="24"/>
          <w:szCs w:val="24"/>
        </w:rPr>
        <w:t xml:space="preserve"> be submitted in place of the required Five-year Needs Assessment Summary, but states may include a URL, if the document is posted online, in the Five-year Needs Assessment Summary or they may submit the document as an attachment to the Application/Annual Report in the electronic application system.  Over the five-year reporting period, states are encouraged to continuously revisit the Five-Year Needs Assessment Summary and to provide updates, as needed, in the interim year Applications/Annual Reports.  Furthermore, it is expected that states will have ongoing communication with stakeholders and partners throughout the Needs Assessment process and continue to engage with such partners during the interim reporting years.</w:t>
      </w:r>
    </w:p>
    <w:p w14:paraId="238C72ED" w14:textId="77777777" w:rsidR="00357E8E" w:rsidRPr="00CE61F2" w:rsidRDefault="00357E8E" w:rsidP="00357E8E">
      <w:pPr>
        <w:spacing w:after="0" w:line="240" w:lineRule="auto"/>
        <w:ind w:right="240"/>
        <w:rPr>
          <w:rFonts w:asciiTheme="minorHAnsi" w:hAnsiTheme="minorHAnsi" w:cs="Arial"/>
          <w:sz w:val="24"/>
          <w:szCs w:val="24"/>
        </w:rPr>
      </w:pPr>
    </w:p>
    <w:p w14:paraId="5E21C084" w14:textId="77777777" w:rsidR="00357E8E" w:rsidRPr="00CE61F2" w:rsidRDefault="00357E8E" w:rsidP="00357E8E">
      <w:pPr>
        <w:spacing w:after="0" w:line="240" w:lineRule="auto"/>
        <w:rPr>
          <w:rFonts w:asciiTheme="minorHAnsi" w:hAnsiTheme="minorHAnsi" w:cs="Arial"/>
          <w:sz w:val="24"/>
          <w:szCs w:val="24"/>
        </w:rPr>
      </w:pPr>
      <w:r w:rsidRPr="00CE61F2">
        <w:rPr>
          <w:rFonts w:asciiTheme="minorHAnsi" w:hAnsiTheme="minorHAnsi" w:cs="Arial"/>
          <w:sz w:val="24"/>
          <w:szCs w:val="24"/>
        </w:rPr>
        <w:t xml:space="preserve">The primary goal of the statewide Needs Assessment is to improve MCH outcomes and to strengthen its state, local and community partnerships for addressing the needs of its MCH population.  The following figure illustrates the continuity of the Needs Assessment process and its relationship to the planning and monitoring functions of Title V and the population that it serves.  </w:t>
      </w:r>
    </w:p>
    <w:p w14:paraId="4FE380A9" w14:textId="77777777" w:rsidR="00357E8E" w:rsidRPr="00CE61F2" w:rsidRDefault="00357E8E" w:rsidP="00357E8E">
      <w:pPr>
        <w:spacing w:after="0" w:line="240" w:lineRule="auto"/>
        <w:rPr>
          <w:rFonts w:asciiTheme="minorHAnsi" w:hAnsiTheme="minorHAnsi" w:cs="Arial"/>
          <w:sz w:val="24"/>
          <w:szCs w:val="24"/>
        </w:rPr>
      </w:pPr>
    </w:p>
    <w:p w14:paraId="65CBC522" w14:textId="77777777" w:rsidR="00357E8E" w:rsidRDefault="00357E8E" w:rsidP="00357E8E">
      <w:pPr>
        <w:spacing w:after="0" w:line="240" w:lineRule="auto"/>
        <w:rPr>
          <w:rFonts w:ascii="Arial" w:hAnsi="Arial" w:cs="Arial"/>
          <w:sz w:val="24"/>
          <w:szCs w:val="24"/>
        </w:rPr>
      </w:pPr>
    </w:p>
    <w:p w14:paraId="55569F36" w14:textId="77777777" w:rsidR="00357E8E" w:rsidRDefault="00357E8E" w:rsidP="00357E8E">
      <w:pPr>
        <w:spacing w:after="0" w:line="240" w:lineRule="auto"/>
        <w:rPr>
          <w:rFonts w:ascii="Arial" w:hAnsi="Arial" w:cs="Arial"/>
          <w:sz w:val="24"/>
          <w:szCs w:val="24"/>
        </w:rPr>
      </w:pPr>
    </w:p>
    <w:p w14:paraId="7726D01A" w14:textId="77777777" w:rsidR="00357E8E" w:rsidRDefault="00357E8E" w:rsidP="00357E8E">
      <w:pPr>
        <w:spacing w:after="0" w:line="240" w:lineRule="auto"/>
        <w:rPr>
          <w:rFonts w:ascii="Arial" w:hAnsi="Arial" w:cs="Arial"/>
          <w:sz w:val="24"/>
          <w:szCs w:val="24"/>
        </w:rPr>
      </w:pPr>
    </w:p>
    <w:p w14:paraId="270A6E75" w14:textId="77777777" w:rsidR="00357E8E" w:rsidRDefault="00357E8E" w:rsidP="00357E8E">
      <w:pPr>
        <w:spacing w:after="0" w:line="240" w:lineRule="auto"/>
        <w:rPr>
          <w:rFonts w:ascii="Arial" w:hAnsi="Arial" w:cs="Arial"/>
          <w:sz w:val="24"/>
          <w:szCs w:val="24"/>
        </w:rPr>
      </w:pPr>
    </w:p>
    <w:p w14:paraId="563C3F77" w14:textId="77777777" w:rsidR="00357E8E" w:rsidRDefault="00357E8E" w:rsidP="00357E8E">
      <w:pPr>
        <w:spacing w:after="0" w:line="240" w:lineRule="auto"/>
        <w:rPr>
          <w:rFonts w:ascii="Arial" w:hAnsi="Arial" w:cs="Arial"/>
          <w:sz w:val="24"/>
          <w:szCs w:val="24"/>
        </w:rPr>
      </w:pPr>
    </w:p>
    <w:p w14:paraId="605BA493" w14:textId="77777777" w:rsidR="00357E8E" w:rsidRPr="001E4725" w:rsidRDefault="00357E8E" w:rsidP="00357E8E">
      <w:pPr>
        <w:spacing w:after="0" w:line="240" w:lineRule="auto"/>
        <w:rPr>
          <w:rFonts w:ascii="Arial" w:hAnsi="Arial" w:cs="Arial"/>
          <w:sz w:val="24"/>
          <w:szCs w:val="24"/>
        </w:rPr>
      </w:pPr>
    </w:p>
    <w:p w14:paraId="36C58E45" w14:textId="77777777" w:rsidR="00357E8E" w:rsidRDefault="00357E8E" w:rsidP="00357E8E">
      <w:pPr>
        <w:tabs>
          <w:tab w:val="left" w:pos="720"/>
          <w:tab w:val="left" w:pos="1440"/>
        </w:tabs>
        <w:autoSpaceDE w:val="0"/>
        <w:autoSpaceDN w:val="0"/>
        <w:adjustRightInd w:val="0"/>
        <w:spacing w:after="0" w:line="240" w:lineRule="auto"/>
        <w:ind w:left="1440"/>
        <w:rPr>
          <w:rFonts w:ascii="Arial" w:eastAsia="Times New Roman" w:hAnsi="Arial"/>
          <w:sz w:val="24"/>
          <w:szCs w:val="24"/>
        </w:rPr>
      </w:pPr>
      <w:r w:rsidRPr="001E4725">
        <w:rPr>
          <w:rFonts w:ascii="Arial" w:eastAsia="Times New Roman" w:hAnsi="Arial"/>
          <w:sz w:val="24"/>
          <w:szCs w:val="24"/>
        </w:rPr>
        <w:t xml:space="preserve"> </w:t>
      </w:r>
    </w:p>
    <w:p w14:paraId="53EFB200" w14:textId="77777777" w:rsidR="00357E8E" w:rsidRDefault="00357E8E" w:rsidP="00357E8E">
      <w:pPr>
        <w:tabs>
          <w:tab w:val="left" w:pos="720"/>
          <w:tab w:val="left" w:pos="1440"/>
        </w:tabs>
        <w:autoSpaceDE w:val="0"/>
        <w:autoSpaceDN w:val="0"/>
        <w:adjustRightInd w:val="0"/>
        <w:spacing w:after="0" w:line="240" w:lineRule="auto"/>
        <w:ind w:left="1440"/>
        <w:rPr>
          <w:rFonts w:ascii="Arial" w:eastAsia="Times New Roman" w:hAnsi="Arial"/>
          <w:sz w:val="24"/>
          <w:szCs w:val="24"/>
        </w:rPr>
      </w:pPr>
    </w:p>
    <w:p w14:paraId="2D8C8809" w14:textId="77777777" w:rsidR="00357E8E" w:rsidRDefault="00357E8E" w:rsidP="00357E8E">
      <w:pPr>
        <w:autoSpaceDE w:val="0"/>
        <w:autoSpaceDN w:val="0"/>
        <w:adjustRightInd w:val="0"/>
        <w:spacing w:after="0" w:line="240" w:lineRule="auto"/>
        <w:ind w:left="720"/>
        <w:rPr>
          <w:rFonts w:ascii="Arial" w:eastAsia="Times New Roman" w:hAnsi="Arial"/>
          <w:sz w:val="24"/>
          <w:szCs w:val="24"/>
        </w:rPr>
      </w:pPr>
      <w:r>
        <w:rPr>
          <w:noProof/>
        </w:rPr>
        <mc:AlternateContent>
          <mc:Choice Requires="wps">
            <w:drawing>
              <wp:anchor distT="0" distB="0" distL="114300" distR="114300" simplePos="0" relativeHeight="251842560" behindDoc="0" locked="0" layoutInCell="1" allowOverlap="1" wp14:anchorId="136164C6" wp14:editId="1A63BF3F">
                <wp:simplePos x="0" y="0"/>
                <wp:positionH relativeFrom="column">
                  <wp:posOffset>472440</wp:posOffset>
                </wp:positionH>
                <wp:positionV relativeFrom="paragraph">
                  <wp:posOffset>15240</wp:posOffset>
                </wp:positionV>
                <wp:extent cx="5547360" cy="563880"/>
                <wp:effectExtent l="0" t="0" r="15240" b="26670"/>
                <wp:wrapNone/>
                <wp:docPr id="5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7360" cy="563880"/>
                        </a:xfrm>
                        <a:prstGeom prst="rect">
                          <a:avLst/>
                        </a:prstGeom>
                        <a:solidFill>
                          <a:sysClr val="window" lastClr="FFFFFF"/>
                        </a:solidFill>
                        <a:ln w="6350">
                          <a:solidFill>
                            <a:prstClr val="black"/>
                          </a:solidFill>
                        </a:ln>
                        <a:effectLst/>
                      </wps:spPr>
                      <wps:txbx>
                        <w:txbxContent>
                          <w:p w14:paraId="5EFF4604" w14:textId="77777777" w:rsidR="00FB0985" w:rsidRPr="00CE61F2" w:rsidRDefault="00FB0985" w:rsidP="00357E8E">
                            <w:pPr>
                              <w:jc w:val="center"/>
                              <w:rPr>
                                <w:rFonts w:asciiTheme="minorHAnsi" w:hAnsiTheme="minorHAnsi" w:cs="Arial"/>
                                <w:sz w:val="28"/>
                                <w:szCs w:val="28"/>
                              </w:rPr>
                            </w:pPr>
                            <w:r w:rsidRPr="00CE61F2">
                              <w:rPr>
                                <w:rFonts w:asciiTheme="minorHAnsi" w:hAnsiTheme="minorHAnsi" w:cs="Arial"/>
                                <w:sz w:val="28"/>
                                <w:szCs w:val="28"/>
                              </w:rPr>
                              <w:t xml:space="preserve">State </w:t>
                            </w:r>
                            <w:r>
                              <w:rPr>
                                <w:rFonts w:asciiTheme="minorHAnsi" w:hAnsiTheme="minorHAnsi" w:cs="Arial"/>
                                <w:sz w:val="28"/>
                                <w:szCs w:val="28"/>
                              </w:rPr>
                              <w:t>M</w:t>
                            </w:r>
                            <w:r w:rsidRPr="00CE61F2">
                              <w:rPr>
                                <w:rFonts w:asciiTheme="minorHAnsi" w:hAnsiTheme="minorHAnsi" w:cs="Arial"/>
                                <w:sz w:val="28"/>
                                <w:szCs w:val="28"/>
                              </w:rPr>
                              <w:t xml:space="preserve">CH </w:t>
                            </w:r>
                            <w:r>
                              <w:rPr>
                                <w:rFonts w:asciiTheme="minorHAnsi" w:hAnsiTheme="minorHAnsi" w:cs="Arial"/>
                                <w:sz w:val="28"/>
                                <w:szCs w:val="28"/>
                              </w:rPr>
                              <w:t xml:space="preserve">Block Grant </w:t>
                            </w:r>
                            <w:r w:rsidRPr="00CE61F2">
                              <w:rPr>
                                <w:rFonts w:asciiTheme="minorHAnsi" w:hAnsiTheme="minorHAnsi" w:cs="Arial"/>
                                <w:sz w:val="28"/>
                                <w:szCs w:val="28"/>
                              </w:rPr>
                              <w:t>Needs Assessment, Planning, Implementation and Monitoring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7.2pt;margin-top:1.2pt;width:436.8pt;height:44.4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" fillcolor="window" strokeweight=".5pt">
                <v:path arrowok="t"/>
                <v:textbox>
                  <w:txbxContent>
                    <w:p w14:paraId="5EFF4604" w14:textId="77777777" w:rsidR="00FB0985" w:rsidRPr="00CE61F2" w:rsidRDefault="00FB0985" w:rsidP="00357E8E">
                      <w:pPr>
                        <w:jc w:val="center"/>
                        <w:rPr>
                          <w:rFonts w:asciiTheme="minorHAnsi" w:hAnsiTheme="minorHAnsi" w:cs="Arial"/>
                          <w:sz w:val="28"/>
                          <w:szCs w:val="28"/>
                        </w:rPr>
                      </w:pPr>
                      <w:r w:rsidRPr="00CE61F2">
                        <w:rPr>
                          <w:rFonts w:asciiTheme="minorHAnsi" w:hAnsiTheme="minorHAnsi" w:cs="Arial"/>
                          <w:sz w:val="28"/>
                          <w:szCs w:val="28"/>
                        </w:rPr>
                        <w:t xml:space="preserve">State </w:t>
                      </w:r>
                      <w:r>
                        <w:rPr>
                          <w:rFonts w:asciiTheme="minorHAnsi" w:hAnsiTheme="minorHAnsi" w:cs="Arial"/>
                          <w:sz w:val="28"/>
                          <w:szCs w:val="28"/>
                        </w:rPr>
                        <w:t>M</w:t>
                      </w:r>
                      <w:r w:rsidRPr="00CE61F2">
                        <w:rPr>
                          <w:rFonts w:asciiTheme="minorHAnsi" w:hAnsiTheme="minorHAnsi" w:cs="Arial"/>
                          <w:sz w:val="28"/>
                          <w:szCs w:val="28"/>
                        </w:rPr>
                        <w:t xml:space="preserve">CH </w:t>
                      </w:r>
                      <w:r>
                        <w:rPr>
                          <w:rFonts w:asciiTheme="minorHAnsi" w:hAnsiTheme="minorHAnsi" w:cs="Arial"/>
                          <w:sz w:val="28"/>
                          <w:szCs w:val="28"/>
                        </w:rPr>
                        <w:t xml:space="preserve">Block Grant </w:t>
                      </w:r>
                      <w:r w:rsidRPr="00CE61F2">
                        <w:rPr>
                          <w:rFonts w:asciiTheme="minorHAnsi" w:hAnsiTheme="minorHAnsi" w:cs="Arial"/>
                          <w:sz w:val="28"/>
                          <w:szCs w:val="28"/>
                        </w:rPr>
                        <w:t>Needs Assessment, Planning, Implementation and Monitoring Process</w:t>
                      </w:r>
                    </w:p>
                  </w:txbxContent>
                </v:textbox>
              </v:shape>
            </w:pict>
          </mc:Fallback>
        </mc:AlternateContent>
      </w:r>
    </w:p>
    <w:p w14:paraId="034B998A" w14:textId="77777777" w:rsidR="00357E8E" w:rsidRPr="001E4725" w:rsidRDefault="00357E8E" w:rsidP="00357E8E">
      <w:pPr>
        <w:tabs>
          <w:tab w:val="left" w:pos="720"/>
          <w:tab w:val="left" w:pos="1440"/>
        </w:tabs>
        <w:autoSpaceDE w:val="0"/>
        <w:autoSpaceDN w:val="0"/>
        <w:adjustRightInd w:val="0"/>
        <w:spacing w:after="0" w:line="240" w:lineRule="auto"/>
        <w:ind w:left="1440"/>
        <w:rPr>
          <w:rFonts w:ascii="Arial" w:eastAsia="Times New Roman" w:hAnsi="Arial"/>
          <w:sz w:val="24"/>
          <w:szCs w:val="24"/>
        </w:rPr>
      </w:pPr>
    </w:p>
    <w:p w14:paraId="064DF590" w14:textId="77777777" w:rsidR="00357E8E" w:rsidRPr="001E4725" w:rsidRDefault="00357E8E" w:rsidP="00357E8E">
      <w:pPr>
        <w:spacing w:after="0" w:line="240" w:lineRule="auto"/>
        <w:rPr>
          <w:rFonts w:ascii="Arial" w:hAnsi="Arial"/>
        </w:rPr>
      </w:pPr>
    </w:p>
    <w:p w14:paraId="77D25227" w14:textId="77777777" w:rsidR="00357E8E" w:rsidRDefault="00357E8E" w:rsidP="00357E8E">
      <w:pPr>
        <w:autoSpaceDE w:val="0"/>
        <w:autoSpaceDN w:val="0"/>
        <w:adjustRightInd w:val="0"/>
        <w:spacing w:after="0" w:line="240" w:lineRule="auto"/>
        <w:rPr>
          <w:rFonts w:ascii="Arial" w:eastAsia="Times New Roman" w:hAnsi="Arial"/>
          <w:sz w:val="24"/>
          <w:szCs w:val="24"/>
        </w:rPr>
      </w:pPr>
    </w:p>
    <w:p w14:paraId="5AA6A5E2" w14:textId="77777777" w:rsidR="00357E8E" w:rsidRDefault="00357E8E" w:rsidP="00357E8E">
      <w:pPr>
        <w:autoSpaceDE w:val="0"/>
        <w:autoSpaceDN w:val="0"/>
        <w:adjustRightInd w:val="0"/>
        <w:spacing w:after="0" w:line="240" w:lineRule="auto"/>
        <w:ind w:left="360" w:hanging="180"/>
        <w:jc w:val="center"/>
        <w:rPr>
          <w:rFonts w:ascii="Arial" w:eastAsia="Times New Roman" w:hAnsi="Arial"/>
          <w:sz w:val="24"/>
          <w:szCs w:val="24"/>
        </w:rPr>
      </w:pPr>
      <w:r w:rsidRPr="00A913D6">
        <w:rPr>
          <w:rFonts w:ascii="Arial" w:eastAsia="Times New Roman" w:hAnsi="Arial"/>
          <w:noProof/>
          <w:sz w:val="24"/>
          <w:szCs w:val="24"/>
        </w:rPr>
        <w:drawing>
          <wp:inline distT="0" distB="0" distL="0" distR="0" wp14:anchorId="7FAC9A04" wp14:editId="1B9D8C42">
            <wp:extent cx="5943600" cy="4457700"/>
            <wp:effectExtent l="0" t="0" r="0" b="0"/>
            <wp:docPr id="3087" name="Picture 3087" descr="C:\Users\MLawler\Documents\5_25_17 Final Needs Assessment 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awler\Documents\5_25_17 Final Needs Assessment Graphic.jpg"/>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4636A63E" w14:textId="77777777" w:rsidR="00357E8E" w:rsidRDefault="00357E8E" w:rsidP="00357E8E">
      <w:pPr>
        <w:autoSpaceDE w:val="0"/>
        <w:autoSpaceDN w:val="0"/>
        <w:adjustRightInd w:val="0"/>
        <w:spacing w:after="0" w:line="240" w:lineRule="auto"/>
        <w:ind w:left="180"/>
        <w:rPr>
          <w:rFonts w:ascii="Arial" w:eastAsia="Times New Roman" w:hAnsi="Arial"/>
          <w:sz w:val="24"/>
          <w:szCs w:val="24"/>
        </w:rPr>
      </w:pPr>
    </w:p>
    <w:p w14:paraId="39947BE1" w14:textId="77777777" w:rsidR="00357E8E" w:rsidRPr="00CE61F2" w:rsidRDefault="00357E8E" w:rsidP="00357E8E">
      <w:pPr>
        <w:autoSpaceDE w:val="0"/>
        <w:autoSpaceDN w:val="0"/>
        <w:adjustRightInd w:val="0"/>
        <w:spacing w:after="0" w:line="240" w:lineRule="auto"/>
        <w:rPr>
          <w:rFonts w:asciiTheme="minorHAnsi" w:eastAsia="Times New Roman" w:hAnsiTheme="minorHAnsi"/>
          <w:sz w:val="24"/>
          <w:szCs w:val="24"/>
        </w:rPr>
      </w:pPr>
      <w:r w:rsidRPr="00CE61F2">
        <w:rPr>
          <w:rFonts w:asciiTheme="minorHAnsi" w:eastAsia="Times New Roman" w:hAnsiTheme="minorHAnsi"/>
          <w:sz w:val="24"/>
          <w:szCs w:val="24"/>
        </w:rPr>
        <w:t xml:space="preserve">A brief description of the steps involved in the </w:t>
      </w:r>
      <w:r>
        <w:rPr>
          <w:rFonts w:asciiTheme="minorHAnsi" w:eastAsia="Times New Roman" w:hAnsiTheme="minorHAnsi"/>
          <w:sz w:val="24"/>
          <w:szCs w:val="24"/>
        </w:rPr>
        <w:t xml:space="preserve">Public Health Planning Cycle to inform ongoing needs assessment </w:t>
      </w:r>
      <w:r w:rsidRPr="00CE61F2">
        <w:rPr>
          <w:rFonts w:asciiTheme="minorHAnsi" w:eastAsia="Times New Roman" w:hAnsiTheme="minorHAnsi"/>
          <w:sz w:val="24"/>
          <w:szCs w:val="24"/>
        </w:rPr>
        <w:t>is presented in the following sections.</w:t>
      </w:r>
    </w:p>
    <w:p w14:paraId="10613B09" w14:textId="77777777" w:rsidR="00357E8E" w:rsidRPr="00CE61F2" w:rsidRDefault="00357E8E" w:rsidP="00357E8E">
      <w:pPr>
        <w:autoSpaceDE w:val="0"/>
        <w:autoSpaceDN w:val="0"/>
        <w:adjustRightInd w:val="0"/>
        <w:spacing w:after="0" w:line="240" w:lineRule="auto"/>
        <w:ind w:left="180"/>
        <w:rPr>
          <w:rFonts w:asciiTheme="minorHAnsi" w:eastAsia="Times New Roman" w:hAnsiTheme="minorHAnsi"/>
          <w:sz w:val="24"/>
          <w:szCs w:val="24"/>
        </w:rPr>
      </w:pPr>
    </w:p>
    <w:p w14:paraId="7D228901" w14:textId="77777777" w:rsidR="00357E8E" w:rsidRPr="00CE61F2" w:rsidRDefault="00357E8E" w:rsidP="00357E8E">
      <w:pPr>
        <w:numPr>
          <w:ilvl w:val="0"/>
          <w:numId w:val="2"/>
        </w:numPr>
        <w:autoSpaceDE w:val="0"/>
        <w:autoSpaceDN w:val="0"/>
        <w:adjustRightInd w:val="0"/>
        <w:spacing w:after="0" w:line="240" w:lineRule="auto"/>
        <w:ind w:left="900"/>
        <w:rPr>
          <w:rFonts w:asciiTheme="minorHAnsi" w:eastAsia="Times New Roman" w:hAnsiTheme="minorHAnsi"/>
          <w:b/>
          <w:sz w:val="24"/>
          <w:szCs w:val="24"/>
        </w:rPr>
      </w:pPr>
      <w:r w:rsidRPr="00CE61F2">
        <w:rPr>
          <w:rFonts w:asciiTheme="minorHAnsi" w:eastAsia="Times New Roman" w:hAnsiTheme="minorHAnsi"/>
          <w:b/>
          <w:sz w:val="24"/>
          <w:szCs w:val="24"/>
        </w:rPr>
        <w:t>Engage Stakeholders</w:t>
      </w:r>
    </w:p>
    <w:p w14:paraId="30EEE92B" w14:textId="77777777" w:rsidR="00357E8E" w:rsidRPr="00CE61F2" w:rsidRDefault="00357E8E" w:rsidP="00357E8E">
      <w:pPr>
        <w:autoSpaceDE w:val="0"/>
        <w:autoSpaceDN w:val="0"/>
        <w:adjustRightInd w:val="0"/>
        <w:spacing w:after="0" w:line="240" w:lineRule="auto"/>
        <w:ind w:left="180"/>
        <w:rPr>
          <w:rFonts w:asciiTheme="minorHAnsi" w:eastAsia="Times New Roman" w:hAnsiTheme="minorHAnsi"/>
          <w:sz w:val="24"/>
          <w:szCs w:val="24"/>
          <w:u w:val="single"/>
        </w:rPr>
      </w:pPr>
    </w:p>
    <w:p w14:paraId="5873EF8F" w14:textId="77777777" w:rsidR="00357E8E" w:rsidRPr="00CE61F2" w:rsidRDefault="00357E8E" w:rsidP="00357E8E">
      <w:pPr>
        <w:autoSpaceDE w:val="0"/>
        <w:autoSpaceDN w:val="0"/>
        <w:adjustRightInd w:val="0"/>
        <w:spacing w:after="0" w:line="240" w:lineRule="auto"/>
        <w:ind w:left="900"/>
        <w:rPr>
          <w:rFonts w:asciiTheme="minorHAnsi" w:eastAsia="Times New Roman" w:hAnsiTheme="minorHAnsi"/>
          <w:sz w:val="24"/>
          <w:szCs w:val="24"/>
        </w:rPr>
      </w:pPr>
      <w:r w:rsidRPr="00CE61F2">
        <w:rPr>
          <w:rFonts w:asciiTheme="minorHAnsi" w:eastAsia="Times New Roman" w:hAnsiTheme="minorHAnsi"/>
          <w:sz w:val="24"/>
          <w:szCs w:val="24"/>
        </w:rPr>
        <w:t xml:space="preserve">As depicted, the starting point for the Needs Assessment process is to </w:t>
      </w:r>
      <w:r w:rsidRPr="00CE61F2">
        <w:rPr>
          <w:rFonts w:asciiTheme="minorHAnsi" w:eastAsia="Times New Roman" w:hAnsiTheme="minorHAnsi"/>
          <w:b/>
          <w:sz w:val="24"/>
          <w:szCs w:val="24"/>
        </w:rPr>
        <w:t>engage stakeholders</w:t>
      </w:r>
      <w:r w:rsidRPr="00CE61F2">
        <w:rPr>
          <w:rFonts w:asciiTheme="minorHAnsi" w:eastAsia="Times New Roman" w:hAnsiTheme="minorHAnsi"/>
          <w:sz w:val="24"/>
          <w:szCs w:val="24"/>
        </w:rPr>
        <w:t>.  Engaging stakeholders and strengthening partnerships is a continuous and on-going activity.  The state needs strong partnerships with its stakeholders throughout the Needs Assessment process.  Effective coalitions can help the state to realistically assess needs and identify desired outcomes and mandates, assess strengths and examine capacity, select priorities, seek resources, set performance objectives, develop an action plan, allocate resources, and monitor progress for impact on targeted outcomes.</w:t>
      </w:r>
    </w:p>
    <w:p w14:paraId="72BA3217" w14:textId="77777777" w:rsidR="00357E8E" w:rsidRPr="00CE61F2" w:rsidRDefault="00357E8E" w:rsidP="00357E8E">
      <w:pPr>
        <w:autoSpaceDE w:val="0"/>
        <w:autoSpaceDN w:val="0"/>
        <w:adjustRightInd w:val="0"/>
        <w:spacing w:after="0" w:line="240" w:lineRule="auto"/>
        <w:ind w:left="1440"/>
        <w:rPr>
          <w:rFonts w:asciiTheme="minorHAnsi" w:eastAsia="Times New Roman" w:hAnsiTheme="minorHAnsi"/>
          <w:sz w:val="24"/>
          <w:szCs w:val="24"/>
        </w:rPr>
      </w:pPr>
    </w:p>
    <w:p w14:paraId="6C2080D5" w14:textId="77777777" w:rsidR="00357E8E" w:rsidRPr="00CE61F2" w:rsidRDefault="00357E8E" w:rsidP="00357E8E">
      <w:pPr>
        <w:autoSpaceDE w:val="0"/>
        <w:autoSpaceDN w:val="0"/>
        <w:adjustRightInd w:val="0"/>
        <w:spacing w:after="0" w:line="240" w:lineRule="auto"/>
        <w:ind w:left="1440"/>
        <w:rPr>
          <w:rFonts w:asciiTheme="minorHAnsi" w:eastAsia="Times New Roman" w:hAnsiTheme="minorHAnsi"/>
          <w:sz w:val="24"/>
          <w:szCs w:val="24"/>
        </w:rPr>
      </w:pPr>
    </w:p>
    <w:p w14:paraId="35FB5B8C" w14:textId="77777777" w:rsidR="00357E8E" w:rsidRPr="00CE61F2" w:rsidRDefault="00357E8E" w:rsidP="00357E8E">
      <w:pPr>
        <w:pStyle w:val="ListParagraph"/>
        <w:numPr>
          <w:ilvl w:val="0"/>
          <w:numId w:val="2"/>
        </w:numPr>
        <w:autoSpaceDE w:val="0"/>
        <w:autoSpaceDN w:val="0"/>
        <w:adjustRightInd w:val="0"/>
        <w:ind w:left="900"/>
        <w:rPr>
          <w:rFonts w:asciiTheme="minorHAnsi" w:hAnsiTheme="minorHAnsi"/>
          <w:b/>
        </w:rPr>
      </w:pPr>
      <w:r w:rsidRPr="00CE61F2">
        <w:rPr>
          <w:rFonts w:asciiTheme="minorHAnsi" w:hAnsiTheme="minorHAnsi"/>
          <w:b/>
        </w:rPr>
        <w:t>Assess Needs and Identify Desired Outcomes and Mandates</w:t>
      </w:r>
    </w:p>
    <w:p w14:paraId="06F3E08E" w14:textId="77777777" w:rsidR="00357E8E" w:rsidRPr="00CE61F2" w:rsidRDefault="00357E8E" w:rsidP="00357E8E">
      <w:pPr>
        <w:tabs>
          <w:tab w:val="left" w:pos="720"/>
          <w:tab w:val="left" w:pos="1440"/>
        </w:tabs>
        <w:autoSpaceDE w:val="0"/>
        <w:autoSpaceDN w:val="0"/>
        <w:adjustRightInd w:val="0"/>
        <w:spacing w:after="0" w:line="240" w:lineRule="auto"/>
        <w:ind w:left="1440"/>
        <w:rPr>
          <w:rFonts w:asciiTheme="minorHAnsi" w:eastAsia="Times New Roman" w:hAnsiTheme="minorHAnsi"/>
          <w:sz w:val="24"/>
          <w:szCs w:val="24"/>
        </w:rPr>
      </w:pPr>
    </w:p>
    <w:p w14:paraId="54FA6121" w14:textId="77777777" w:rsidR="00357E8E" w:rsidRPr="00CE61F2" w:rsidRDefault="00357E8E" w:rsidP="00357E8E">
      <w:pPr>
        <w:autoSpaceDE w:val="0"/>
        <w:autoSpaceDN w:val="0"/>
        <w:adjustRightInd w:val="0"/>
        <w:spacing w:after="0" w:line="240" w:lineRule="auto"/>
        <w:ind w:left="900"/>
        <w:rPr>
          <w:rFonts w:asciiTheme="minorHAnsi" w:eastAsia="Times New Roman" w:hAnsiTheme="minorHAnsi"/>
          <w:sz w:val="24"/>
          <w:szCs w:val="24"/>
        </w:rPr>
      </w:pPr>
      <w:r w:rsidRPr="00CE61F2">
        <w:rPr>
          <w:rFonts w:asciiTheme="minorHAnsi" w:eastAsia="Times New Roman" w:hAnsiTheme="minorHAnsi"/>
          <w:sz w:val="24"/>
          <w:szCs w:val="24"/>
        </w:rPr>
        <w:t xml:space="preserve">The second stage in the process is to </w:t>
      </w:r>
      <w:r w:rsidRPr="00CE61F2">
        <w:rPr>
          <w:rFonts w:asciiTheme="minorHAnsi" w:eastAsia="Times New Roman" w:hAnsiTheme="minorHAnsi"/>
          <w:b/>
          <w:sz w:val="24"/>
          <w:szCs w:val="24"/>
        </w:rPr>
        <w:t>assess needs</w:t>
      </w:r>
      <w:r w:rsidRPr="00CE61F2">
        <w:rPr>
          <w:rFonts w:asciiTheme="minorHAnsi" w:eastAsia="Times New Roman" w:hAnsiTheme="minorHAnsi"/>
          <w:sz w:val="24"/>
          <w:szCs w:val="24"/>
        </w:rPr>
        <w:t xml:space="preserve"> of the MCH population groups using the Title V National Outcome Measures (NOMs), national, state and strategy performance measures and other available state-level quantitative and qualitative data.  States should assess MCH population needs based on the following five population health domains:  1) Women/Maternal Health; 2) Perinatal/Infant Health; </w:t>
      </w:r>
      <w:r>
        <w:rPr>
          <w:rFonts w:asciiTheme="minorHAnsi" w:eastAsia="Times New Roman" w:hAnsiTheme="minorHAnsi"/>
          <w:sz w:val="24"/>
          <w:szCs w:val="24"/>
        </w:rPr>
        <w:t xml:space="preserve"> </w:t>
      </w:r>
      <w:r w:rsidRPr="00CE61F2">
        <w:rPr>
          <w:rFonts w:asciiTheme="minorHAnsi" w:eastAsia="Times New Roman" w:hAnsiTheme="minorHAnsi"/>
          <w:sz w:val="24"/>
          <w:szCs w:val="24"/>
        </w:rPr>
        <w:t xml:space="preserve">3) Child Health; 4) Adolescent Health; and 5) Children with Special Health Care Needs (CSHCN).  These population health domains fall with the three MCH population groups that are defined in Section 505(a)(1) of the Title V legislation.  The anticipated outcome of this assessment is to identify community/system needs and </w:t>
      </w:r>
      <w:r w:rsidRPr="00CE61F2">
        <w:rPr>
          <w:rFonts w:asciiTheme="minorHAnsi" w:eastAsia="Times New Roman" w:hAnsiTheme="minorHAnsi"/>
          <w:b/>
          <w:sz w:val="24"/>
          <w:szCs w:val="24"/>
        </w:rPr>
        <w:t>desired outcomes</w:t>
      </w:r>
      <w:r w:rsidRPr="00CE61F2">
        <w:rPr>
          <w:rFonts w:asciiTheme="minorHAnsi" w:eastAsia="Times New Roman" w:hAnsiTheme="minorHAnsi"/>
          <w:sz w:val="24"/>
          <w:szCs w:val="24"/>
        </w:rPr>
        <w:t xml:space="preserve"> by specific MCH population groups.  </w:t>
      </w:r>
      <w:r>
        <w:rPr>
          <w:rFonts w:asciiTheme="minorHAnsi" w:eastAsia="Times New Roman" w:hAnsiTheme="minorHAnsi"/>
          <w:sz w:val="24"/>
          <w:szCs w:val="24"/>
        </w:rPr>
        <w:t>In addition, the s</w:t>
      </w:r>
      <w:r w:rsidRPr="00CE61F2">
        <w:rPr>
          <w:rFonts w:asciiTheme="minorHAnsi" w:eastAsia="Times New Roman" w:hAnsiTheme="minorHAnsi"/>
          <w:sz w:val="24"/>
          <w:szCs w:val="24"/>
        </w:rPr>
        <w:t xml:space="preserve">tate will need to identify needs and </w:t>
      </w:r>
      <w:r w:rsidRPr="00CE61F2">
        <w:rPr>
          <w:rFonts w:asciiTheme="minorHAnsi" w:eastAsia="Times New Roman" w:hAnsiTheme="minorHAnsi"/>
          <w:b/>
          <w:sz w:val="24"/>
          <w:szCs w:val="24"/>
        </w:rPr>
        <w:t>desired outcomes</w:t>
      </w:r>
      <w:r w:rsidRPr="00CE61F2">
        <w:rPr>
          <w:rFonts w:asciiTheme="minorHAnsi" w:eastAsia="Times New Roman" w:hAnsiTheme="minorHAnsi"/>
          <w:sz w:val="24"/>
          <w:szCs w:val="24"/>
        </w:rPr>
        <w:t xml:space="preserve"> for cross-cutting and systems issues.  The state will also need to </w:t>
      </w:r>
      <w:r w:rsidRPr="00CE61F2">
        <w:rPr>
          <w:rFonts w:asciiTheme="minorHAnsi" w:eastAsia="Times New Roman" w:hAnsiTheme="minorHAnsi"/>
          <w:b/>
          <w:sz w:val="24"/>
          <w:szCs w:val="24"/>
        </w:rPr>
        <w:t>identify</w:t>
      </w:r>
      <w:r w:rsidRPr="00CE61F2">
        <w:rPr>
          <w:rFonts w:asciiTheme="minorHAnsi" w:eastAsia="Times New Roman" w:hAnsiTheme="minorHAnsi"/>
          <w:sz w:val="24"/>
          <w:szCs w:val="24"/>
        </w:rPr>
        <w:t xml:space="preserve"> legislative, political, community-driven, financial, and/or other internal and external </w:t>
      </w:r>
      <w:r w:rsidRPr="00CE61F2">
        <w:rPr>
          <w:rFonts w:asciiTheme="minorHAnsi" w:eastAsia="Times New Roman" w:hAnsiTheme="minorHAnsi"/>
          <w:b/>
          <w:sz w:val="24"/>
          <w:szCs w:val="24"/>
        </w:rPr>
        <w:t>mandates</w:t>
      </w:r>
      <w:r w:rsidRPr="00CE61F2">
        <w:rPr>
          <w:rFonts w:asciiTheme="minorHAnsi" w:eastAsia="Times New Roman" w:hAnsiTheme="minorHAnsi"/>
          <w:sz w:val="24"/>
          <w:szCs w:val="24"/>
        </w:rPr>
        <w:t xml:space="preserve"> which may go beyond the findings identified through the Needs Assessment process but are priorities for implementation within the state.</w:t>
      </w:r>
    </w:p>
    <w:p w14:paraId="246D1C03" w14:textId="77777777" w:rsidR="00357E8E" w:rsidRPr="00CE61F2" w:rsidRDefault="00357E8E" w:rsidP="00357E8E">
      <w:pPr>
        <w:autoSpaceDE w:val="0"/>
        <w:autoSpaceDN w:val="0"/>
        <w:adjustRightInd w:val="0"/>
        <w:spacing w:after="0" w:line="240" w:lineRule="auto"/>
        <w:rPr>
          <w:rFonts w:asciiTheme="minorHAnsi" w:eastAsia="Times New Roman" w:hAnsiTheme="minorHAnsi"/>
          <w:sz w:val="24"/>
          <w:szCs w:val="24"/>
        </w:rPr>
      </w:pPr>
    </w:p>
    <w:p w14:paraId="08D85D95" w14:textId="77777777" w:rsidR="00357E8E" w:rsidRPr="00CE61F2" w:rsidRDefault="00357E8E" w:rsidP="00357E8E">
      <w:pPr>
        <w:numPr>
          <w:ilvl w:val="0"/>
          <w:numId w:val="2"/>
        </w:numPr>
        <w:autoSpaceDE w:val="0"/>
        <w:autoSpaceDN w:val="0"/>
        <w:adjustRightInd w:val="0"/>
        <w:spacing w:after="0" w:line="240" w:lineRule="auto"/>
        <w:ind w:left="900"/>
        <w:rPr>
          <w:rFonts w:asciiTheme="minorHAnsi" w:eastAsia="Times New Roman" w:hAnsiTheme="minorHAnsi"/>
          <w:b/>
          <w:sz w:val="24"/>
          <w:szCs w:val="24"/>
        </w:rPr>
      </w:pPr>
      <w:r w:rsidRPr="00CE61F2">
        <w:rPr>
          <w:rFonts w:asciiTheme="minorHAnsi" w:eastAsia="Times New Roman" w:hAnsiTheme="minorHAnsi"/>
          <w:b/>
          <w:sz w:val="24"/>
          <w:szCs w:val="24"/>
        </w:rPr>
        <w:t>Examine Strengths and Capacity</w:t>
      </w:r>
    </w:p>
    <w:p w14:paraId="6F8AE356" w14:textId="77777777" w:rsidR="00357E8E" w:rsidRPr="00CE61F2" w:rsidRDefault="00357E8E" w:rsidP="00357E8E">
      <w:pPr>
        <w:tabs>
          <w:tab w:val="left" w:pos="720"/>
          <w:tab w:val="left" w:pos="1440"/>
        </w:tabs>
        <w:autoSpaceDE w:val="0"/>
        <w:autoSpaceDN w:val="0"/>
        <w:adjustRightInd w:val="0"/>
        <w:spacing w:after="0" w:line="240" w:lineRule="auto"/>
        <w:ind w:left="1440"/>
        <w:rPr>
          <w:rFonts w:asciiTheme="minorHAnsi" w:eastAsia="Times New Roman" w:hAnsiTheme="minorHAnsi"/>
          <w:sz w:val="24"/>
          <w:szCs w:val="24"/>
        </w:rPr>
      </w:pPr>
    </w:p>
    <w:p w14:paraId="3E403BA6" w14:textId="77777777" w:rsidR="00357E8E" w:rsidRPr="00CE61F2" w:rsidRDefault="00357E8E" w:rsidP="00357E8E">
      <w:pPr>
        <w:autoSpaceDE w:val="0"/>
        <w:autoSpaceDN w:val="0"/>
        <w:adjustRightInd w:val="0"/>
        <w:spacing w:after="0" w:line="240" w:lineRule="auto"/>
        <w:ind w:left="900"/>
        <w:rPr>
          <w:rFonts w:asciiTheme="minorHAnsi" w:eastAsia="Times New Roman" w:hAnsiTheme="minorHAnsi"/>
          <w:sz w:val="24"/>
          <w:szCs w:val="24"/>
        </w:rPr>
      </w:pPr>
      <w:r w:rsidRPr="00CE61F2">
        <w:rPr>
          <w:rFonts w:asciiTheme="minorHAnsi" w:eastAsia="Times New Roman" w:hAnsiTheme="minorHAnsi"/>
          <w:sz w:val="24"/>
          <w:szCs w:val="24"/>
        </w:rPr>
        <w:t xml:space="preserve">The third stage in the Needs Assessment process is </w:t>
      </w:r>
      <w:r w:rsidRPr="00CE61F2">
        <w:rPr>
          <w:rFonts w:asciiTheme="minorHAnsi" w:eastAsia="Times New Roman" w:hAnsiTheme="minorHAnsi"/>
          <w:b/>
          <w:sz w:val="24"/>
          <w:szCs w:val="24"/>
        </w:rPr>
        <w:t>examining strengths and capacity</w:t>
      </w:r>
      <w:r w:rsidRPr="00CE61F2">
        <w:rPr>
          <w:rFonts w:asciiTheme="minorHAnsi" w:eastAsia="Times New Roman" w:hAnsiTheme="minorHAnsi"/>
          <w:sz w:val="24"/>
          <w:szCs w:val="24"/>
        </w:rPr>
        <w:t>.  Thi</w:t>
      </w:r>
      <w:r>
        <w:rPr>
          <w:rFonts w:asciiTheme="minorHAnsi" w:eastAsia="Times New Roman" w:hAnsiTheme="minorHAnsi"/>
          <w:sz w:val="24"/>
          <w:szCs w:val="24"/>
        </w:rPr>
        <w:t>s stage involves examining the s</w:t>
      </w:r>
      <w:r w:rsidRPr="00CE61F2">
        <w:rPr>
          <w:rFonts w:asciiTheme="minorHAnsi" w:eastAsia="Times New Roman" w:hAnsiTheme="minorHAnsi"/>
          <w:sz w:val="24"/>
          <w:szCs w:val="24"/>
        </w:rPr>
        <w:t xml:space="preserve">tate’s capacity to engage in various activities, including conducting the statewide Five-year Needs Assessment and collecting/reporting annual performance data based on the </w:t>
      </w:r>
      <w:r>
        <w:rPr>
          <w:rFonts w:asciiTheme="minorHAnsi" w:eastAsia="Times New Roman" w:hAnsiTheme="minorHAnsi"/>
          <w:sz w:val="24"/>
          <w:szCs w:val="24"/>
        </w:rPr>
        <w:t xml:space="preserve">five </w:t>
      </w:r>
      <w:r w:rsidRPr="00CE61F2">
        <w:rPr>
          <w:rFonts w:asciiTheme="minorHAnsi" w:eastAsia="Times New Roman" w:hAnsiTheme="minorHAnsi"/>
          <w:sz w:val="24"/>
          <w:szCs w:val="24"/>
        </w:rPr>
        <w:t xml:space="preserve">identified MCH population health domains and the types of MCH services provided.  </w:t>
      </w:r>
    </w:p>
    <w:p w14:paraId="413D2E3D" w14:textId="77777777" w:rsidR="00357E8E" w:rsidRPr="00CE61F2" w:rsidRDefault="00357E8E" w:rsidP="00357E8E">
      <w:pPr>
        <w:tabs>
          <w:tab w:val="left" w:pos="720"/>
          <w:tab w:val="left" w:pos="1440"/>
        </w:tabs>
        <w:autoSpaceDE w:val="0"/>
        <w:autoSpaceDN w:val="0"/>
        <w:adjustRightInd w:val="0"/>
        <w:spacing w:after="0" w:line="240" w:lineRule="auto"/>
        <w:ind w:left="1440"/>
        <w:rPr>
          <w:rFonts w:asciiTheme="minorHAnsi" w:eastAsia="Times New Roman" w:hAnsiTheme="minorHAnsi"/>
          <w:sz w:val="24"/>
          <w:szCs w:val="24"/>
        </w:rPr>
      </w:pPr>
    </w:p>
    <w:p w14:paraId="6323B951" w14:textId="77777777" w:rsidR="00357E8E" w:rsidRPr="00CE61F2" w:rsidRDefault="00357E8E" w:rsidP="00357E8E">
      <w:pPr>
        <w:tabs>
          <w:tab w:val="left" w:pos="990"/>
          <w:tab w:val="left" w:pos="1440"/>
        </w:tabs>
        <w:autoSpaceDE w:val="0"/>
        <w:autoSpaceDN w:val="0"/>
        <w:adjustRightInd w:val="0"/>
        <w:spacing w:after="0" w:line="240" w:lineRule="auto"/>
        <w:ind w:left="900"/>
        <w:rPr>
          <w:rFonts w:asciiTheme="minorHAnsi" w:eastAsia="Times New Roman" w:hAnsiTheme="minorHAnsi"/>
          <w:sz w:val="24"/>
          <w:szCs w:val="24"/>
        </w:rPr>
      </w:pPr>
      <w:r w:rsidRPr="00CE61F2">
        <w:rPr>
          <w:rFonts w:asciiTheme="minorHAnsi" w:eastAsia="Times New Roman" w:hAnsiTheme="minorHAnsi"/>
          <w:sz w:val="24"/>
          <w:szCs w:val="24"/>
        </w:rPr>
        <w:t xml:space="preserve">This stage involves describing and assessing the state’s current resources, activities, and services as well as the state’s ability to continue to provide quality services by each of the three MCH service levels.  These levels include 1) Direct Services; </w:t>
      </w:r>
      <w:r>
        <w:rPr>
          <w:rFonts w:asciiTheme="minorHAnsi" w:eastAsia="Times New Roman" w:hAnsiTheme="minorHAnsi"/>
          <w:sz w:val="24"/>
          <w:szCs w:val="24"/>
        </w:rPr>
        <w:t xml:space="preserve">              </w:t>
      </w:r>
      <w:r w:rsidRPr="00CE61F2">
        <w:rPr>
          <w:rFonts w:asciiTheme="minorHAnsi" w:eastAsia="Times New Roman" w:hAnsiTheme="minorHAnsi"/>
          <w:sz w:val="24"/>
          <w:szCs w:val="24"/>
        </w:rPr>
        <w:t>2) Enabling Services; and 3) Public Health Services and Systems.  The anticipated outcome is a better understanding of the relationship of the state’s existing program/system capacity to its identified strengths and needs.  This examination may reveal strengths and weaknesses in capacity not previously identified.</w:t>
      </w:r>
    </w:p>
    <w:p w14:paraId="6C894C7D" w14:textId="77777777" w:rsidR="00357E8E" w:rsidRPr="00CE61F2" w:rsidRDefault="00357E8E" w:rsidP="00357E8E">
      <w:pPr>
        <w:tabs>
          <w:tab w:val="left" w:pos="720"/>
          <w:tab w:val="left" w:pos="1440"/>
        </w:tabs>
        <w:autoSpaceDE w:val="0"/>
        <w:autoSpaceDN w:val="0"/>
        <w:adjustRightInd w:val="0"/>
        <w:spacing w:after="0" w:line="240" w:lineRule="auto"/>
        <w:ind w:left="1440"/>
        <w:rPr>
          <w:rFonts w:asciiTheme="minorHAnsi" w:eastAsia="Times New Roman" w:hAnsiTheme="minorHAnsi"/>
          <w:sz w:val="24"/>
          <w:szCs w:val="24"/>
        </w:rPr>
      </w:pPr>
    </w:p>
    <w:p w14:paraId="6A483F1C" w14:textId="77777777" w:rsidR="00357E8E" w:rsidRPr="00CE61F2" w:rsidRDefault="00357E8E" w:rsidP="00357E8E">
      <w:pPr>
        <w:numPr>
          <w:ilvl w:val="0"/>
          <w:numId w:val="2"/>
        </w:numPr>
        <w:autoSpaceDE w:val="0"/>
        <w:autoSpaceDN w:val="0"/>
        <w:adjustRightInd w:val="0"/>
        <w:spacing w:after="0" w:line="240" w:lineRule="auto"/>
        <w:ind w:left="900"/>
        <w:rPr>
          <w:rFonts w:asciiTheme="minorHAnsi" w:eastAsia="Times New Roman" w:hAnsiTheme="minorHAnsi"/>
          <w:b/>
          <w:sz w:val="24"/>
          <w:szCs w:val="24"/>
        </w:rPr>
      </w:pPr>
      <w:r w:rsidRPr="00CE61F2">
        <w:rPr>
          <w:rFonts w:asciiTheme="minorHAnsi" w:eastAsia="Times New Roman" w:hAnsiTheme="minorHAnsi"/>
          <w:b/>
          <w:sz w:val="24"/>
          <w:szCs w:val="24"/>
        </w:rPr>
        <w:t>Select Priorities</w:t>
      </w:r>
    </w:p>
    <w:p w14:paraId="70A9FDFE" w14:textId="77777777" w:rsidR="00357E8E" w:rsidRPr="00CE61F2" w:rsidRDefault="00357E8E" w:rsidP="00357E8E">
      <w:pPr>
        <w:tabs>
          <w:tab w:val="left" w:pos="720"/>
          <w:tab w:val="left" w:pos="1440"/>
        </w:tabs>
        <w:autoSpaceDE w:val="0"/>
        <w:autoSpaceDN w:val="0"/>
        <w:adjustRightInd w:val="0"/>
        <w:spacing w:after="0" w:line="240" w:lineRule="auto"/>
        <w:ind w:left="1440"/>
        <w:rPr>
          <w:rFonts w:asciiTheme="minorHAnsi" w:eastAsia="Times New Roman" w:hAnsiTheme="minorHAnsi"/>
          <w:sz w:val="24"/>
          <w:szCs w:val="24"/>
        </w:rPr>
      </w:pPr>
    </w:p>
    <w:p w14:paraId="4481FDE6" w14:textId="77777777" w:rsidR="00357E8E" w:rsidRPr="00CE61F2" w:rsidRDefault="00357E8E" w:rsidP="00357E8E">
      <w:pPr>
        <w:tabs>
          <w:tab w:val="left" w:pos="720"/>
        </w:tabs>
        <w:autoSpaceDE w:val="0"/>
        <w:autoSpaceDN w:val="0"/>
        <w:adjustRightInd w:val="0"/>
        <w:spacing w:after="0" w:line="240" w:lineRule="auto"/>
        <w:ind w:left="900"/>
        <w:rPr>
          <w:rFonts w:asciiTheme="minorHAnsi" w:eastAsia="Times New Roman" w:hAnsiTheme="minorHAnsi"/>
          <w:sz w:val="24"/>
          <w:szCs w:val="24"/>
        </w:rPr>
      </w:pPr>
      <w:r w:rsidRPr="00CE61F2">
        <w:rPr>
          <w:rFonts w:asciiTheme="minorHAnsi" w:eastAsia="Times New Roman" w:hAnsiTheme="minorHAnsi"/>
          <w:sz w:val="24"/>
          <w:szCs w:val="24"/>
        </w:rPr>
        <w:t xml:space="preserve">In the </w:t>
      </w:r>
      <w:r w:rsidRPr="00CE61F2">
        <w:rPr>
          <w:rFonts w:asciiTheme="minorHAnsi" w:eastAsia="Times New Roman" w:hAnsiTheme="minorHAnsi"/>
          <w:b/>
          <w:sz w:val="24"/>
          <w:szCs w:val="24"/>
        </w:rPr>
        <w:t>select priorities</w:t>
      </w:r>
      <w:r w:rsidRPr="00CE61F2">
        <w:rPr>
          <w:rFonts w:asciiTheme="minorHAnsi" w:eastAsia="Times New Roman" w:hAnsiTheme="minorHAnsi"/>
          <w:sz w:val="24"/>
          <w:szCs w:val="24"/>
        </w:rPr>
        <w:t xml:space="preserve"> stage, each state examines the identified needs and matches them to the desired outcomes, required mandates and level of existing capacity.  As a result, states will select seven to ten priority areas for targeted focus in promoting continued improvement and progress.  Examples of inputs include: the Needs Assessment process, the opinions of stakeholders, the examination of program capacity and the p</w:t>
      </w:r>
      <w:r>
        <w:rPr>
          <w:rFonts w:asciiTheme="minorHAnsi" w:eastAsia="Times New Roman" w:hAnsiTheme="minorHAnsi"/>
          <w:sz w:val="24"/>
          <w:szCs w:val="24"/>
        </w:rPr>
        <w:t>olitical priorities within the s</w:t>
      </w:r>
      <w:r w:rsidRPr="00CE61F2">
        <w:rPr>
          <w:rFonts w:asciiTheme="minorHAnsi" w:eastAsia="Times New Roman" w:hAnsiTheme="minorHAnsi"/>
          <w:sz w:val="24"/>
          <w:szCs w:val="24"/>
        </w:rPr>
        <w:t xml:space="preserve">tate.  The anticipated outcome is the development of a set of priority needs (between seven and ten), which are unique to the individual state based on its Needs Assessment findings.  Priorities identified should address areas in which the state believes there is reasonable opportunity for a focused programmatic effort (e.g., new or enhanced interventions, initiatives, or systems of care) to lead to an improved outcome. </w:t>
      </w:r>
    </w:p>
    <w:p w14:paraId="49F62783" w14:textId="77777777" w:rsidR="00357E8E" w:rsidRPr="00CE61F2" w:rsidRDefault="00357E8E" w:rsidP="00357E8E">
      <w:pPr>
        <w:autoSpaceDE w:val="0"/>
        <w:autoSpaceDN w:val="0"/>
        <w:adjustRightInd w:val="0"/>
        <w:spacing w:after="0" w:line="240" w:lineRule="auto"/>
        <w:ind w:left="1440"/>
        <w:rPr>
          <w:rFonts w:asciiTheme="minorHAnsi" w:eastAsia="Times New Roman" w:hAnsiTheme="minorHAnsi"/>
          <w:sz w:val="24"/>
          <w:szCs w:val="24"/>
        </w:rPr>
      </w:pPr>
    </w:p>
    <w:p w14:paraId="0356A6F5" w14:textId="77777777" w:rsidR="00357E8E" w:rsidRPr="00CE61F2" w:rsidRDefault="00357E8E" w:rsidP="00357E8E">
      <w:pPr>
        <w:numPr>
          <w:ilvl w:val="0"/>
          <w:numId w:val="2"/>
        </w:numPr>
        <w:autoSpaceDE w:val="0"/>
        <w:autoSpaceDN w:val="0"/>
        <w:adjustRightInd w:val="0"/>
        <w:spacing w:after="0" w:line="240" w:lineRule="auto"/>
        <w:ind w:left="900"/>
        <w:rPr>
          <w:rFonts w:asciiTheme="minorHAnsi" w:eastAsia="Times New Roman" w:hAnsiTheme="minorHAnsi"/>
          <w:b/>
          <w:sz w:val="24"/>
          <w:szCs w:val="24"/>
        </w:rPr>
      </w:pPr>
      <w:r w:rsidRPr="00CE61F2">
        <w:rPr>
          <w:rFonts w:asciiTheme="minorHAnsi" w:eastAsia="Times New Roman" w:hAnsiTheme="minorHAnsi"/>
          <w:b/>
          <w:sz w:val="24"/>
          <w:szCs w:val="24"/>
        </w:rPr>
        <w:t>Set Performance Objectives</w:t>
      </w:r>
    </w:p>
    <w:p w14:paraId="2E4FBABB" w14:textId="77777777" w:rsidR="00357E8E" w:rsidRPr="00CE61F2" w:rsidRDefault="00357E8E" w:rsidP="00357E8E">
      <w:pPr>
        <w:tabs>
          <w:tab w:val="left" w:pos="1440"/>
        </w:tabs>
        <w:autoSpaceDE w:val="0"/>
        <w:autoSpaceDN w:val="0"/>
        <w:adjustRightInd w:val="0"/>
        <w:spacing w:after="0" w:line="240" w:lineRule="auto"/>
        <w:ind w:left="1440"/>
        <w:rPr>
          <w:rFonts w:asciiTheme="minorHAnsi" w:eastAsia="Times New Roman" w:hAnsiTheme="minorHAnsi"/>
          <w:sz w:val="24"/>
          <w:szCs w:val="24"/>
        </w:rPr>
      </w:pPr>
    </w:p>
    <w:p w14:paraId="43BB547A" w14:textId="77777777" w:rsidR="00357E8E" w:rsidRPr="00CE61F2" w:rsidRDefault="00357E8E" w:rsidP="00357E8E">
      <w:pPr>
        <w:autoSpaceDE w:val="0"/>
        <w:autoSpaceDN w:val="0"/>
        <w:adjustRightInd w:val="0"/>
        <w:spacing w:after="0" w:line="240" w:lineRule="auto"/>
        <w:ind w:left="900"/>
        <w:rPr>
          <w:rFonts w:asciiTheme="minorHAnsi" w:eastAsia="Times New Roman" w:hAnsiTheme="minorHAnsi"/>
          <w:sz w:val="24"/>
          <w:szCs w:val="24"/>
        </w:rPr>
      </w:pPr>
      <w:r w:rsidRPr="00CE61F2">
        <w:rPr>
          <w:rFonts w:asciiTheme="minorHAnsi" w:eastAsia="Times New Roman" w:hAnsiTheme="minorHAnsi"/>
          <w:b/>
          <w:sz w:val="24"/>
          <w:szCs w:val="24"/>
        </w:rPr>
        <w:t>Setting performance objectives</w:t>
      </w:r>
      <w:r w:rsidRPr="00CE61F2">
        <w:rPr>
          <w:rFonts w:asciiTheme="minorHAnsi" w:eastAsia="Times New Roman" w:hAnsiTheme="minorHAnsi"/>
          <w:sz w:val="24"/>
          <w:szCs w:val="24"/>
        </w:rPr>
        <w:t xml:space="preserve"> consists of two phases.  In the first phase, each state will develop action strategies to address their identified priority needs.  Based on the priority needs and program strategies developed, the state will select five National Performance Measures (NPMs), Evidence-based or –informed Strategy Measures (ESMs) for addressing each of the selected NPMs and State Performance Measures (SPMs).  SPMs should be based on the state’s identified MCH priorities and target those priority needs that are not fully addressed by the selected NPMs and their related ESMs. </w:t>
      </w:r>
    </w:p>
    <w:p w14:paraId="04A49D2C" w14:textId="77777777" w:rsidR="00357E8E" w:rsidRPr="00CE61F2" w:rsidRDefault="00357E8E" w:rsidP="00357E8E">
      <w:pPr>
        <w:tabs>
          <w:tab w:val="left" w:pos="1440"/>
        </w:tabs>
        <w:autoSpaceDE w:val="0"/>
        <w:autoSpaceDN w:val="0"/>
        <w:adjustRightInd w:val="0"/>
        <w:spacing w:after="0" w:line="240" w:lineRule="auto"/>
        <w:ind w:left="1440"/>
        <w:rPr>
          <w:rFonts w:asciiTheme="minorHAnsi" w:eastAsia="Times New Roman" w:hAnsiTheme="minorHAnsi"/>
          <w:sz w:val="24"/>
          <w:szCs w:val="24"/>
        </w:rPr>
      </w:pPr>
    </w:p>
    <w:p w14:paraId="3A2E5416" w14:textId="77777777" w:rsidR="00357E8E" w:rsidRPr="00CE61F2" w:rsidRDefault="00357E8E" w:rsidP="00357E8E">
      <w:pPr>
        <w:autoSpaceDE w:val="0"/>
        <w:autoSpaceDN w:val="0"/>
        <w:adjustRightInd w:val="0"/>
        <w:spacing w:after="0" w:line="240" w:lineRule="auto"/>
        <w:ind w:left="900"/>
        <w:rPr>
          <w:rFonts w:asciiTheme="minorHAnsi" w:hAnsiTheme="minorHAnsi" w:cs="Arial"/>
          <w:sz w:val="24"/>
          <w:szCs w:val="24"/>
        </w:rPr>
      </w:pPr>
      <w:r w:rsidRPr="00CE61F2">
        <w:rPr>
          <w:rFonts w:asciiTheme="minorHAnsi" w:eastAsia="Times New Roman" w:hAnsiTheme="minorHAnsi"/>
          <w:sz w:val="24"/>
          <w:szCs w:val="24"/>
        </w:rPr>
        <w:t xml:space="preserve">Secondly, the state will set five-year targets (i.e., performance objectives) for the five selected NPMs, the ESMs and the SPMs.  The anticipated results of this stage are the identification of NOMs, NPMs, ESMs and SPMs </w:t>
      </w:r>
      <w:r>
        <w:rPr>
          <w:rFonts w:asciiTheme="minorHAnsi" w:eastAsia="Times New Roman" w:hAnsiTheme="minorHAnsi"/>
          <w:sz w:val="24"/>
          <w:szCs w:val="24"/>
        </w:rPr>
        <w:t>that directly relate to the s</w:t>
      </w:r>
      <w:r w:rsidRPr="00CE61F2">
        <w:rPr>
          <w:rFonts w:asciiTheme="minorHAnsi" w:eastAsia="Times New Roman" w:hAnsiTheme="minorHAnsi"/>
          <w:sz w:val="24"/>
          <w:szCs w:val="24"/>
        </w:rPr>
        <w:t xml:space="preserve">tate priorities and </w:t>
      </w:r>
      <w:r w:rsidRPr="00CE61F2">
        <w:rPr>
          <w:rFonts w:asciiTheme="minorHAnsi" w:hAnsiTheme="minorHAnsi" w:cs="Arial"/>
          <w:sz w:val="24"/>
          <w:szCs w:val="24"/>
        </w:rPr>
        <w:t>establish a level of accountability for achieving measureable progress.</w:t>
      </w:r>
    </w:p>
    <w:p w14:paraId="1E5CA530" w14:textId="77777777" w:rsidR="00357E8E" w:rsidRPr="00CE61F2" w:rsidRDefault="00357E8E" w:rsidP="00357E8E">
      <w:pPr>
        <w:autoSpaceDE w:val="0"/>
        <w:autoSpaceDN w:val="0"/>
        <w:adjustRightInd w:val="0"/>
        <w:spacing w:after="0" w:line="240" w:lineRule="auto"/>
        <w:ind w:left="1440"/>
        <w:rPr>
          <w:rFonts w:asciiTheme="minorHAnsi" w:eastAsia="Times New Roman" w:hAnsiTheme="minorHAnsi"/>
          <w:sz w:val="24"/>
          <w:szCs w:val="24"/>
        </w:rPr>
      </w:pPr>
    </w:p>
    <w:p w14:paraId="6339EA11" w14:textId="77777777" w:rsidR="00357E8E" w:rsidRPr="00CE61F2" w:rsidRDefault="00357E8E" w:rsidP="00357E8E">
      <w:pPr>
        <w:numPr>
          <w:ilvl w:val="0"/>
          <w:numId w:val="2"/>
        </w:numPr>
        <w:autoSpaceDE w:val="0"/>
        <w:autoSpaceDN w:val="0"/>
        <w:adjustRightInd w:val="0"/>
        <w:spacing w:after="0" w:line="240" w:lineRule="auto"/>
        <w:ind w:left="900"/>
        <w:rPr>
          <w:rFonts w:asciiTheme="minorHAnsi" w:eastAsia="Times New Roman" w:hAnsiTheme="minorHAnsi"/>
          <w:b/>
          <w:sz w:val="24"/>
          <w:szCs w:val="24"/>
        </w:rPr>
      </w:pPr>
      <w:r w:rsidRPr="00CE61F2">
        <w:rPr>
          <w:rFonts w:asciiTheme="minorHAnsi" w:eastAsia="Times New Roman" w:hAnsiTheme="minorHAnsi"/>
          <w:b/>
          <w:sz w:val="24"/>
          <w:szCs w:val="24"/>
        </w:rPr>
        <w:t>Develop an Action Plan</w:t>
      </w:r>
    </w:p>
    <w:p w14:paraId="3FD580E4" w14:textId="77777777" w:rsidR="00357E8E" w:rsidRPr="00CE61F2" w:rsidRDefault="00357E8E" w:rsidP="00357E8E">
      <w:pPr>
        <w:tabs>
          <w:tab w:val="left" w:pos="1440"/>
        </w:tabs>
        <w:autoSpaceDE w:val="0"/>
        <w:autoSpaceDN w:val="0"/>
        <w:adjustRightInd w:val="0"/>
        <w:spacing w:after="0" w:line="240" w:lineRule="auto"/>
        <w:ind w:left="1440"/>
        <w:rPr>
          <w:rFonts w:asciiTheme="minorHAnsi" w:eastAsia="Times New Roman" w:hAnsiTheme="minorHAnsi"/>
          <w:sz w:val="24"/>
          <w:szCs w:val="24"/>
        </w:rPr>
      </w:pPr>
    </w:p>
    <w:p w14:paraId="7CBE882F" w14:textId="77777777" w:rsidR="00357E8E" w:rsidRPr="00CE61F2" w:rsidRDefault="00357E8E" w:rsidP="00357E8E">
      <w:pPr>
        <w:autoSpaceDE w:val="0"/>
        <w:autoSpaceDN w:val="0"/>
        <w:adjustRightInd w:val="0"/>
        <w:spacing w:after="0" w:line="240" w:lineRule="auto"/>
        <w:ind w:left="900"/>
        <w:rPr>
          <w:rFonts w:asciiTheme="minorHAnsi" w:eastAsia="Times New Roman" w:hAnsiTheme="minorHAnsi"/>
          <w:sz w:val="24"/>
          <w:szCs w:val="24"/>
        </w:rPr>
      </w:pPr>
      <w:r w:rsidRPr="00CE61F2">
        <w:rPr>
          <w:rFonts w:asciiTheme="minorHAnsi" w:eastAsia="Times New Roman" w:hAnsiTheme="minorHAnsi"/>
          <w:sz w:val="24"/>
          <w:szCs w:val="24"/>
        </w:rPr>
        <w:t xml:space="preserve">The next stage is to </w:t>
      </w:r>
      <w:r w:rsidRPr="00CE61F2">
        <w:rPr>
          <w:rFonts w:asciiTheme="minorHAnsi" w:eastAsia="Times New Roman" w:hAnsiTheme="minorHAnsi"/>
          <w:b/>
          <w:sz w:val="24"/>
          <w:szCs w:val="24"/>
        </w:rPr>
        <w:t>develop an action plan</w:t>
      </w:r>
      <w:r w:rsidRPr="00CE61F2">
        <w:rPr>
          <w:rFonts w:asciiTheme="minorHAnsi" w:eastAsia="Times New Roman" w:hAnsiTheme="minorHAnsi"/>
          <w:sz w:val="24"/>
          <w:szCs w:val="24"/>
        </w:rPr>
        <w:t xml:space="preserve">, which involves the planning and identification of specific activities for implementing the program strategies which were developed in Stage 5 to address the identified priority needs and selected national/state measures.  In developing an Action Plan, states will create the Five-year State Action Plan Table.  As a planning tool, states will have flexibility in how they format the Table provided that the information is organized around the </w:t>
      </w:r>
      <w:r>
        <w:rPr>
          <w:rFonts w:asciiTheme="minorHAnsi" w:eastAsia="Times New Roman" w:hAnsiTheme="minorHAnsi"/>
          <w:sz w:val="24"/>
          <w:szCs w:val="24"/>
        </w:rPr>
        <w:t xml:space="preserve">five </w:t>
      </w:r>
      <w:r w:rsidRPr="00CE61F2">
        <w:rPr>
          <w:rFonts w:asciiTheme="minorHAnsi" w:eastAsia="Times New Roman" w:hAnsiTheme="minorHAnsi"/>
          <w:sz w:val="24"/>
          <w:szCs w:val="24"/>
        </w:rPr>
        <w:t>identified population health domains.  At a minimum, the Five-year State Action Plan Table should include the relevant priority needs, key strategies and measures (i.e., NOMs, NPMs, SPMs and ESMs) for each of the MCH health domains.  Based on the identified priorities, measures and strategies, the state will develop a five-year program plan that includes specific activities for achieving the targeted outcomes and performance specific to each health domain.</w:t>
      </w:r>
    </w:p>
    <w:p w14:paraId="347B7FB7" w14:textId="77777777" w:rsidR="00357E8E" w:rsidRPr="00CE61F2" w:rsidRDefault="00357E8E" w:rsidP="00357E8E">
      <w:pPr>
        <w:tabs>
          <w:tab w:val="left" w:pos="1440"/>
        </w:tabs>
        <w:autoSpaceDE w:val="0"/>
        <w:autoSpaceDN w:val="0"/>
        <w:adjustRightInd w:val="0"/>
        <w:spacing w:after="0" w:line="240" w:lineRule="auto"/>
        <w:ind w:left="1440"/>
        <w:rPr>
          <w:rFonts w:asciiTheme="minorHAnsi" w:eastAsia="Times New Roman" w:hAnsiTheme="minorHAnsi"/>
          <w:sz w:val="24"/>
          <w:szCs w:val="24"/>
        </w:rPr>
      </w:pPr>
    </w:p>
    <w:p w14:paraId="00DF6713" w14:textId="77777777" w:rsidR="00357E8E" w:rsidRPr="00CE61F2" w:rsidRDefault="00357E8E" w:rsidP="00357E8E">
      <w:pPr>
        <w:autoSpaceDE w:val="0"/>
        <w:autoSpaceDN w:val="0"/>
        <w:adjustRightInd w:val="0"/>
        <w:spacing w:after="0" w:line="240" w:lineRule="auto"/>
        <w:ind w:left="900"/>
        <w:rPr>
          <w:rFonts w:asciiTheme="minorHAnsi" w:eastAsia="Times New Roman" w:hAnsiTheme="minorHAnsi"/>
          <w:sz w:val="24"/>
          <w:szCs w:val="24"/>
        </w:rPr>
      </w:pPr>
      <w:r w:rsidRPr="00CE61F2">
        <w:rPr>
          <w:rFonts w:asciiTheme="minorHAnsi" w:eastAsia="Times New Roman" w:hAnsiTheme="minorHAnsi"/>
          <w:sz w:val="24"/>
          <w:szCs w:val="24"/>
        </w:rPr>
        <w:t xml:space="preserve">In developing the Action Plan, the state shall complete a Five-year State Action Plan Table as part of the first year Application/Annual Report in the five year cycle.  This Table is a tool to assist states in aligning their program strategies, NPMs, SPMs and ESMs with the priority needs that were identified in the Five-year Needs Assessment.  Updates to the strategies, activities and measures will be provided by the state, as needed, in subsequent interim year Applications/Annual Reports.  </w:t>
      </w:r>
      <w:r w:rsidRPr="00253990">
        <w:rPr>
          <w:rFonts w:asciiTheme="minorHAnsi" w:eastAsia="Times New Roman" w:hAnsiTheme="minorHAnsi"/>
          <w:sz w:val="24"/>
          <w:szCs w:val="24"/>
        </w:rPr>
        <w:t xml:space="preserve">Figure </w:t>
      </w:r>
      <w:r>
        <w:rPr>
          <w:rFonts w:asciiTheme="minorHAnsi" w:eastAsia="Times New Roman" w:hAnsiTheme="minorHAnsi"/>
          <w:sz w:val="24"/>
          <w:szCs w:val="24"/>
        </w:rPr>
        <w:t>4</w:t>
      </w:r>
      <w:r w:rsidRPr="00CE61F2">
        <w:rPr>
          <w:rFonts w:asciiTheme="minorHAnsi" w:eastAsia="Times New Roman" w:hAnsiTheme="minorHAnsi"/>
          <w:sz w:val="24"/>
          <w:szCs w:val="24"/>
        </w:rPr>
        <w:t xml:space="preserve"> in </w:t>
      </w:r>
      <w:r>
        <w:rPr>
          <w:rFonts w:asciiTheme="minorHAnsi" w:eastAsia="Times New Roman" w:hAnsiTheme="minorHAnsi"/>
          <w:sz w:val="24"/>
          <w:szCs w:val="24"/>
        </w:rPr>
        <w:t xml:space="preserve">          </w:t>
      </w:r>
      <w:r w:rsidRPr="00CE61F2">
        <w:rPr>
          <w:rFonts w:asciiTheme="minorHAnsi" w:eastAsia="Times New Roman" w:hAnsiTheme="minorHAnsi"/>
          <w:sz w:val="24"/>
          <w:szCs w:val="24"/>
        </w:rPr>
        <w:t xml:space="preserve">Part Two, Section II of the Application/Annual Report Guidance depicts the steps involved in the development of, and the annual reporting on, the implementation of the Five-year State Action Plan. </w:t>
      </w:r>
    </w:p>
    <w:p w14:paraId="15820458" w14:textId="77777777" w:rsidR="00357E8E" w:rsidRPr="00CE61F2" w:rsidRDefault="00357E8E" w:rsidP="00357E8E">
      <w:pPr>
        <w:tabs>
          <w:tab w:val="left" w:pos="1440"/>
        </w:tabs>
        <w:autoSpaceDE w:val="0"/>
        <w:autoSpaceDN w:val="0"/>
        <w:adjustRightInd w:val="0"/>
        <w:spacing w:after="0" w:line="240" w:lineRule="auto"/>
        <w:ind w:left="1440"/>
        <w:rPr>
          <w:rFonts w:asciiTheme="minorHAnsi" w:eastAsia="Times New Roman" w:hAnsiTheme="minorHAnsi"/>
          <w:sz w:val="24"/>
          <w:szCs w:val="24"/>
        </w:rPr>
      </w:pPr>
    </w:p>
    <w:p w14:paraId="37ED5F8A" w14:textId="77777777" w:rsidR="00357E8E" w:rsidRPr="00CE61F2" w:rsidRDefault="00357E8E" w:rsidP="00357E8E">
      <w:pPr>
        <w:numPr>
          <w:ilvl w:val="0"/>
          <w:numId w:val="2"/>
        </w:numPr>
        <w:autoSpaceDE w:val="0"/>
        <w:autoSpaceDN w:val="0"/>
        <w:adjustRightInd w:val="0"/>
        <w:spacing w:after="0" w:line="240" w:lineRule="auto"/>
        <w:ind w:left="900"/>
        <w:rPr>
          <w:rFonts w:asciiTheme="minorHAnsi" w:eastAsia="Times New Roman" w:hAnsiTheme="minorHAnsi"/>
          <w:b/>
          <w:sz w:val="24"/>
          <w:szCs w:val="24"/>
        </w:rPr>
      </w:pPr>
      <w:r w:rsidRPr="00CE61F2">
        <w:rPr>
          <w:rFonts w:asciiTheme="minorHAnsi" w:eastAsia="Times New Roman" w:hAnsiTheme="minorHAnsi"/>
          <w:b/>
          <w:sz w:val="24"/>
          <w:szCs w:val="24"/>
        </w:rPr>
        <w:t>Seek and Allocate Resources</w:t>
      </w:r>
    </w:p>
    <w:p w14:paraId="2876FF9F" w14:textId="77777777" w:rsidR="00357E8E" w:rsidRPr="00CE61F2" w:rsidRDefault="00357E8E" w:rsidP="00357E8E">
      <w:pPr>
        <w:tabs>
          <w:tab w:val="left" w:pos="1440"/>
        </w:tabs>
        <w:autoSpaceDE w:val="0"/>
        <w:autoSpaceDN w:val="0"/>
        <w:adjustRightInd w:val="0"/>
        <w:spacing w:after="0" w:line="240" w:lineRule="auto"/>
        <w:ind w:left="1440"/>
        <w:rPr>
          <w:rFonts w:asciiTheme="minorHAnsi" w:eastAsia="Times New Roman" w:hAnsiTheme="minorHAnsi"/>
          <w:sz w:val="24"/>
          <w:szCs w:val="24"/>
        </w:rPr>
      </w:pPr>
    </w:p>
    <w:p w14:paraId="783947AE" w14:textId="77777777" w:rsidR="00357E8E" w:rsidRPr="00CE61F2" w:rsidRDefault="00357E8E" w:rsidP="00357E8E">
      <w:pPr>
        <w:autoSpaceDE w:val="0"/>
        <w:autoSpaceDN w:val="0"/>
        <w:adjustRightInd w:val="0"/>
        <w:spacing w:after="0" w:line="240" w:lineRule="auto"/>
        <w:ind w:left="900"/>
        <w:rPr>
          <w:rFonts w:asciiTheme="minorHAnsi" w:eastAsia="Times New Roman" w:hAnsiTheme="minorHAnsi"/>
          <w:sz w:val="24"/>
          <w:szCs w:val="24"/>
        </w:rPr>
      </w:pPr>
      <w:r w:rsidRPr="00CE61F2">
        <w:rPr>
          <w:rFonts w:asciiTheme="minorHAnsi" w:eastAsia="Times New Roman" w:hAnsiTheme="minorHAnsi"/>
          <w:sz w:val="24"/>
          <w:szCs w:val="24"/>
        </w:rPr>
        <w:t>Following the identification of program activities is the allocation of resources stage.  In this stage, the focus is on the funding of planned activities to address state priorities.  Inputs include the five-year State Action Plan, current budgets, political priorities, and partnerships.  The anticipated outcome is the development of a program budget and plan that directs available resources towards the activities identified in Stage Six as the most important for addressing the state's priorities.</w:t>
      </w:r>
    </w:p>
    <w:p w14:paraId="487FE502" w14:textId="77777777" w:rsidR="00357E8E" w:rsidRPr="00CE61F2" w:rsidRDefault="00357E8E" w:rsidP="00357E8E">
      <w:pPr>
        <w:tabs>
          <w:tab w:val="left" w:pos="1440"/>
        </w:tabs>
        <w:autoSpaceDE w:val="0"/>
        <w:autoSpaceDN w:val="0"/>
        <w:adjustRightInd w:val="0"/>
        <w:spacing w:after="0" w:line="240" w:lineRule="auto"/>
        <w:ind w:left="1440"/>
        <w:rPr>
          <w:rFonts w:asciiTheme="minorHAnsi" w:eastAsia="Times New Roman" w:hAnsiTheme="minorHAnsi"/>
          <w:sz w:val="24"/>
          <w:szCs w:val="24"/>
        </w:rPr>
      </w:pPr>
    </w:p>
    <w:p w14:paraId="6D814EDF" w14:textId="77777777" w:rsidR="00357E8E" w:rsidRPr="00CE61F2" w:rsidRDefault="00357E8E" w:rsidP="00357E8E">
      <w:pPr>
        <w:numPr>
          <w:ilvl w:val="1"/>
          <w:numId w:val="1"/>
        </w:numPr>
        <w:tabs>
          <w:tab w:val="clear" w:pos="1440"/>
        </w:tabs>
        <w:autoSpaceDE w:val="0"/>
        <w:autoSpaceDN w:val="0"/>
        <w:adjustRightInd w:val="0"/>
        <w:spacing w:after="0" w:line="240" w:lineRule="auto"/>
        <w:ind w:left="900"/>
        <w:rPr>
          <w:rFonts w:asciiTheme="minorHAnsi" w:eastAsia="Times New Roman" w:hAnsiTheme="minorHAnsi"/>
          <w:b/>
          <w:sz w:val="24"/>
          <w:szCs w:val="24"/>
        </w:rPr>
      </w:pPr>
      <w:r w:rsidRPr="00CE61F2">
        <w:rPr>
          <w:rFonts w:asciiTheme="minorHAnsi" w:eastAsia="Times New Roman" w:hAnsiTheme="minorHAnsi"/>
          <w:b/>
          <w:sz w:val="24"/>
          <w:szCs w:val="24"/>
        </w:rPr>
        <w:t>Monitor Progress for Impact on Outcomes</w:t>
      </w:r>
    </w:p>
    <w:p w14:paraId="14BBB65A" w14:textId="77777777" w:rsidR="00357E8E" w:rsidRPr="00CE61F2" w:rsidRDefault="00357E8E" w:rsidP="00357E8E">
      <w:pPr>
        <w:tabs>
          <w:tab w:val="left" w:pos="1440"/>
        </w:tabs>
        <w:autoSpaceDE w:val="0"/>
        <w:autoSpaceDN w:val="0"/>
        <w:adjustRightInd w:val="0"/>
        <w:spacing w:after="0" w:line="240" w:lineRule="auto"/>
        <w:ind w:left="1440"/>
        <w:rPr>
          <w:rFonts w:asciiTheme="minorHAnsi" w:eastAsia="Times New Roman" w:hAnsiTheme="minorHAnsi"/>
          <w:sz w:val="24"/>
          <w:szCs w:val="24"/>
        </w:rPr>
      </w:pPr>
    </w:p>
    <w:p w14:paraId="004F5F8F" w14:textId="77777777" w:rsidR="00357E8E" w:rsidRPr="00CE61F2" w:rsidRDefault="00357E8E" w:rsidP="00357E8E">
      <w:pPr>
        <w:autoSpaceDE w:val="0"/>
        <w:autoSpaceDN w:val="0"/>
        <w:adjustRightInd w:val="0"/>
        <w:spacing w:after="0" w:line="240" w:lineRule="auto"/>
        <w:ind w:left="900"/>
        <w:rPr>
          <w:rFonts w:asciiTheme="minorHAnsi" w:eastAsia="Times New Roman" w:hAnsiTheme="minorHAnsi"/>
          <w:sz w:val="24"/>
          <w:szCs w:val="24"/>
        </w:rPr>
      </w:pPr>
      <w:r w:rsidRPr="00CE61F2">
        <w:rPr>
          <w:rFonts w:asciiTheme="minorHAnsi" w:eastAsia="Times New Roman" w:hAnsiTheme="minorHAnsi"/>
          <w:sz w:val="24"/>
          <w:szCs w:val="24"/>
        </w:rPr>
        <w:t xml:space="preserve">In </w:t>
      </w:r>
      <w:r w:rsidRPr="00CE61F2">
        <w:rPr>
          <w:rFonts w:asciiTheme="minorHAnsi" w:eastAsia="Times New Roman" w:hAnsiTheme="minorHAnsi"/>
          <w:b/>
          <w:sz w:val="24"/>
          <w:szCs w:val="24"/>
        </w:rPr>
        <w:t>monitoring progress for impact on outcomes</w:t>
      </w:r>
      <w:r w:rsidRPr="00CE61F2">
        <w:rPr>
          <w:rFonts w:asciiTheme="minorHAnsi" w:eastAsia="Times New Roman" w:hAnsiTheme="minorHAnsi"/>
          <w:sz w:val="24"/>
          <w:szCs w:val="24"/>
        </w:rPr>
        <w:t>, the states examine the results of their efforts to see if there has been improvement.  Inputs include NOMs, NPMs, SPMs and ESMs, performance objectives and other quantitative and qualitative information.  Potential outcomes may include altered activities and shifting of resource allocations to address current levels of performance and availability of resources.  Feedback loops between various stages of the process allow for continuous input and re-evaluation of the outputs.</w:t>
      </w:r>
    </w:p>
    <w:p w14:paraId="0011A1A8" w14:textId="77777777" w:rsidR="00357E8E" w:rsidRPr="00CE61F2" w:rsidRDefault="00357E8E" w:rsidP="00357E8E">
      <w:pPr>
        <w:tabs>
          <w:tab w:val="left" w:pos="1440"/>
        </w:tabs>
        <w:autoSpaceDE w:val="0"/>
        <w:autoSpaceDN w:val="0"/>
        <w:adjustRightInd w:val="0"/>
        <w:spacing w:after="0" w:line="240" w:lineRule="auto"/>
        <w:ind w:left="1440"/>
        <w:rPr>
          <w:rFonts w:asciiTheme="minorHAnsi" w:eastAsia="Times New Roman" w:hAnsiTheme="minorHAnsi"/>
          <w:sz w:val="24"/>
          <w:szCs w:val="24"/>
        </w:rPr>
      </w:pPr>
    </w:p>
    <w:p w14:paraId="3F73600E" w14:textId="77777777" w:rsidR="00357E8E" w:rsidRPr="00CE61F2" w:rsidRDefault="00357E8E" w:rsidP="00357E8E">
      <w:pPr>
        <w:numPr>
          <w:ilvl w:val="1"/>
          <w:numId w:val="1"/>
        </w:numPr>
        <w:tabs>
          <w:tab w:val="clear" w:pos="1440"/>
          <w:tab w:val="num" w:pos="1080"/>
        </w:tabs>
        <w:autoSpaceDE w:val="0"/>
        <w:autoSpaceDN w:val="0"/>
        <w:adjustRightInd w:val="0"/>
        <w:spacing w:after="0" w:line="240" w:lineRule="auto"/>
        <w:ind w:left="900" w:hanging="270"/>
        <w:rPr>
          <w:rFonts w:asciiTheme="minorHAnsi" w:eastAsia="Times New Roman" w:hAnsiTheme="minorHAnsi"/>
          <w:b/>
          <w:sz w:val="24"/>
          <w:szCs w:val="24"/>
        </w:rPr>
      </w:pPr>
      <w:r w:rsidRPr="00CE61F2">
        <w:rPr>
          <w:rFonts w:asciiTheme="minorHAnsi" w:eastAsia="Times New Roman" w:hAnsiTheme="minorHAnsi"/>
          <w:b/>
          <w:sz w:val="24"/>
          <w:szCs w:val="24"/>
        </w:rPr>
        <w:t>Report Back to Stakeholders</w:t>
      </w:r>
    </w:p>
    <w:p w14:paraId="4838DFE0" w14:textId="77777777" w:rsidR="00357E8E" w:rsidRPr="00CE61F2" w:rsidRDefault="00357E8E" w:rsidP="00357E8E">
      <w:pPr>
        <w:autoSpaceDE w:val="0"/>
        <w:autoSpaceDN w:val="0"/>
        <w:adjustRightInd w:val="0"/>
        <w:spacing w:after="0" w:line="240" w:lineRule="auto"/>
        <w:ind w:left="1440"/>
        <w:rPr>
          <w:rFonts w:asciiTheme="minorHAnsi" w:eastAsia="Times New Roman" w:hAnsiTheme="minorHAnsi"/>
          <w:sz w:val="24"/>
          <w:szCs w:val="24"/>
        </w:rPr>
      </w:pPr>
    </w:p>
    <w:p w14:paraId="48F16FF0" w14:textId="77777777" w:rsidR="00357E8E" w:rsidRPr="00CE61F2" w:rsidRDefault="00357E8E" w:rsidP="00357E8E">
      <w:pPr>
        <w:autoSpaceDE w:val="0"/>
        <w:autoSpaceDN w:val="0"/>
        <w:adjustRightInd w:val="0"/>
        <w:spacing w:after="0" w:line="240" w:lineRule="auto"/>
        <w:ind w:left="900"/>
        <w:rPr>
          <w:rFonts w:asciiTheme="minorHAnsi" w:eastAsia="Times New Roman" w:hAnsiTheme="minorHAnsi"/>
          <w:sz w:val="24"/>
          <w:szCs w:val="24"/>
        </w:rPr>
      </w:pPr>
      <w:r w:rsidRPr="00CE61F2">
        <w:rPr>
          <w:rFonts w:asciiTheme="minorHAnsi" w:eastAsia="Times New Roman" w:hAnsiTheme="minorHAnsi"/>
          <w:sz w:val="24"/>
          <w:szCs w:val="24"/>
        </w:rPr>
        <w:t>This final step assures accountability to the stakeholders and partners who have worked with the MCH staff throughout the Needs Assessment process.  It also assures the continued involvement of all stakeholders and partners in the ongoing Needs Assessment processes.</w:t>
      </w:r>
    </w:p>
    <w:p w14:paraId="716022AD" w14:textId="77777777" w:rsidR="00357E8E" w:rsidRPr="00EE6D60" w:rsidRDefault="00357E8E" w:rsidP="00357E8E">
      <w:pPr>
        <w:spacing w:after="0" w:line="240" w:lineRule="auto"/>
      </w:pPr>
    </w:p>
    <w:p w14:paraId="101F348C" w14:textId="77777777" w:rsidR="00357E8E" w:rsidRDefault="00357E8E" w:rsidP="00357E8E">
      <w:pPr>
        <w:spacing w:after="0" w:line="240" w:lineRule="auto"/>
        <w:rPr>
          <w:rFonts w:ascii="Arial" w:eastAsia="Times New Roman" w:hAnsi="Arial"/>
          <w:sz w:val="24"/>
          <w:szCs w:val="24"/>
        </w:rPr>
      </w:pPr>
    </w:p>
    <w:p w14:paraId="182F8F57" w14:textId="77777777" w:rsidR="00357E8E" w:rsidRDefault="00357E8E" w:rsidP="00357E8E">
      <w:pPr>
        <w:spacing w:after="0" w:line="240" w:lineRule="auto"/>
        <w:rPr>
          <w:rFonts w:ascii="Arial" w:eastAsia="Times New Roman" w:hAnsi="Arial"/>
          <w:sz w:val="24"/>
          <w:szCs w:val="24"/>
          <w:u w:val="single"/>
        </w:rPr>
      </w:pPr>
    </w:p>
    <w:p w14:paraId="739AC416" w14:textId="77777777" w:rsidR="00357E8E" w:rsidRDefault="00357E8E" w:rsidP="00357E8E">
      <w:pPr>
        <w:spacing w:after="0" w:line="240" w:lineRule="auto"/>
        <w:rPr>
          <w:rFonts w:ascii="Arial" w:eastAsia="Times New Roman" w:hAnsi="Arial"/>
          <w:sz w:val="24"/>
          <w:szCs w:val="24"/>
          <w:u w:val="single"/>
        </w:rPr>
      </w:pPr>
    </w:p>
    <w:p w14:paraId="7F341C0B" w14:textId="24F423CD" w:rsidR="00357E8E" w:rsidRPr="00357E8E" w:rsidRDefault="00357E8E" w:rsidP="00357E8E">
      <w:r>
        <w:rPr>
          <w:rFonts w:ascii="Arial" w:hAnsi="Arial" w:cs="Arial"/>
          <w:sz w:val="24"/>
          <w:szCs w:val="24"/>
        </w:rPr>
        <w:br w:type="page"/>
      </w:r>
    </w:p>
    <w:p w14:paraId="126456B8" w14:textId="52C99DE9" w:rsidR="00357E8E" w:rsidRPr="00F14156" w:rsidRDefault="00357E8E" w:rsidP="00357E8E">
      <w:pPr>
        <w:pStyle w:val="IntenseQuote"/>
        <w:ind w:left="0"/>
        <w:rPr>
          <w:rFonts w:asciiTheme="majorHAnsi" w:hAnsiTheme="majorHAnsi"/>
          <w:b w:val="0"/>
          <w:i w:val="0"/>
          <w:color w:val="0B5294" w:themeColor="accent1" w:themeShade="BF"/>
          <w:sz w:val="48"/>
          <w:szCs w:val="48"/>
        </w:rPr>
      </w:pPr>
      <w:r>
        <w:rPr>
          <w:rFonts w:asciiTheme="majorHAnsi" w:hAnsiTheme="majorHAnsi"/>
          <w:b w:val="0"/>
          <w:i w:val="0"/>
          <w:color w:val="0B5294" w:themeColor="accent1" w:themeShade="BF"/>
          <w:sz w:val="48"/>
          <w:szCs w:val="48"/>
        </w:rPr>
        <w:t>APPENDIX F</w:t>
      </w:r>
      <w:r w:rsidRPr="00F14156">
        <w:rPr>
          <w:rFonts w:asciiTheme="majorHAnsi" w:hAnsiTheme="majorHAnsi"/>
          <w:b w:val="0"/>
          <w:i w:val="0"/>
          <w:color w:val="0B5294" w:themeColor="accent1" w:themeShade="BF"/>
          <w:sz w:val="48"/>
          <w:szCs w:val="48"/>
        </w:rPr>
        <w:t xml:space="preserve">: </w:t>
      </w:r>
      <w:r w:rsidRPr="00F14156">
        <w:rPr>
          <w:rFonts w:asciiTheme="majorHAnsi" w:hAnsiTheme="majorHAnsi"/>
          <w:b w:val="0"/>
          <w:i w:val="0"/>
          <w:color w:val="0B5294" w:themeColor="accent1" w:themeShade="BF"/>
          <w:sz w:val="26"/>
          <w:szCs w:val="26"/>
        </w:rPr>
        <w:t>ASSURANCES AND CERTIFICATIONS</w:t>
      </w:r>
    </w:p>
    <w:p w14:paraId="2E5F9AF3" w14:textId="77777777" w:rsidR="00357E8E" w:rsidRDefault="00357E8E" w:rsidP="00357E8E">
      <w:pPr>
        <w:spacing w:after="0" w:line="240" w:lineRule="auto"/>
        <w:rPr>
          <w:rFonts w:ascii="Arial" w:hAnsi="Arial" w:cs="Arial"/>
          <w:sz w:val="24"/>
          <w:szCs w:val="24"/>
        </w:rPr>
      </w:pPr>
      <w:r>
        <w:rPr>
          <w:noProof/>
        </w:rPr>
        <w:drawing>
          <wp:inline distT="0" distB="0" distL="0" distR="0" wp14:anchorId="17BE42E7" wp14:editId="791954E8">
            <wp:extent cx="5943600" cy="7208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5943600" cy="7208520"/>
                    </a:xfrm>
                    <a:prstGeom prst="rect">
                      <a:avLst/>
                    </a:prstGeom>
                    <a:noFill/>
                    <a:ln>
                      <a:noFill/>
                    </a:ln>
                  </pic:spPr>
                </pic:pic>
              </a:graphicData>
            </a:graphic>
          </wp:inline>
        </w:drawing>
      </w:r>
      <w:r>
        <w:rPr>
          <w:rFonts w:ascii="Arial" w:hAnsi="Arial" w:cs="Arial"/>
          <w:sz w:val="24"/>
          <w:szCs w:val="24"/>
        </w:rPr>
        <w:br w:type="page"/>
      </w:r>
      <w:r>
        <w:rPr>
          <w:noProof/>
        </w:rPr>
        <w:drawing>
          <wp:inline distT="0" distB="0" distL="0" distR="0" wp14:anchorId="5BDB42F0" wp14:editId="05A3D85E">
            <wp:extent cx="5943600" cy="4846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5943600" cy="4846320"/>
                    </a:xfrm>
                    <a:prstGeom prst="rect">
                      <a:avLst/>
                    </a:prstGeom>
                    <a:noFill/>
                    <a:ln>
                      <a:noFill/>
                    </a:ln>
                  </pic:spPr>
                </pic:pic>
              </a:graphicData>
            </a:graphic>
          </wp:inline>
        </w:drawing>
      </w:r>
    </w:p>
    <w:p w14:paraId="24C82868" w14:textId="77777777" w:rsidR="00357E8E" w:rsidRDefault="00357E8E" w:rsidP="00357E8E">
      <w:pPr>
        <w:rPr>
          <w:rFonts w:ascii="Arial" w:hAnsi="Arial" w:cs="Arial"/>
          <w:sz w:val="24"/>
          <w:szCs w:val="24"/>
        </w:rPr>
      </w:pPr>
      <w:r>
        <w:rPr>
          <w:noProof/>
        </w:rPr>
        <mc:AlternateContent>
          <mc:Choice Requires="wps">
            <w:drawing>
              <wp:anchor distT="0" distB="0" distL="114300" distR="114300" simplePos="0" relativeHeight="251825152" behindDoc="0" locked="0" layoutInCell="1" allowOverlap="1" wp14:anchorId="79B04631" wp14:editId="7A81C0E8">
                <wp:simplePos x="0" y="0"/>
                <wp:positionH relativeFrom="column">
                  <wp:posOffset>2971800</wp:posOffset>
                </wp:positionH>
                <wp:positionV relativeFrom="paragraph">
                  <wp:posOffset>22860</wp:posOffset>
                </wp:positionV>
                <wp:extent cx="7620" cy="898525"/>
                <wp:effectExtent l="9525" t="13335" r="11430" b="12065"/>
                <wp:wrapNone/>
                <wp:docPr id="5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898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0F8DA5E" id="AutoShape 27" o:spid="_x0000_s1026" type="#_x0000_t32" style="position:absolute;margin-left:234pt;margin-top:1.8pt;width:.6pt;height:70.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J1IQIAAD8EAAAOAAAAZHJzL2Uyb0RvYy54bWysU02P2jAQvVfqf7B8h3w0s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"/>
            </w:pict>
          </mc:Fallback>
        </mc:AlternateContent>
      </w:r>
      <w:r>
        <w:rPr>
          <w:noProof/>
        </w:rPr>
        <w:drawing>
          <wp:anchor distT="0" distB="0" distL="114300" distR="114300" simplePos="0" relativeHeight="251824128" behindDoc="0" locked="0" layoutInCell="1" allowOverlap="1" wp14:anchorId="5ED26EE7" wp14:editId="49F5800A">
            <wp:simplePos x="0" y="0"/>
            <wp:positionH relativeFrom="column">
              <wp:posOffset>0</wp:posOffset>
            </wp:positionH>
            <wp:positionV relativeFrom="paragraph">
              <wp:posOffset>0</wp:posOffset>
            </wp:positionV>
            <wp:extent cx="5941695" cy="955675"/>
            <wp:effectExtent l="0" t="0" r="1905" b="0"/>
            <wp:wrapNone/>
            <wp:docPr id="5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5941695" cy="955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C2E63D" w14:textId="77777777" w:rsidR="00357E8E" w:rsidRPr="002E74AA" w:rsidRDefault="00357E8E" w:rsidP="00357E8E">
      <w:pPr>
        <w:rPr>
          <w:rFonts w:ascii="Arial" w:hAnsi="Arial" w:cs="Arial"/>
          <w:sz w:val="24"/>
          <w:szCs w:val="24"/>
        </w:rPr>
      </w:pPr>
      <w:r>
        <w:rPr>
          <w:noProof/>
        </w:rPr>
        <mc:AlternateContent>
          <mc:Choice Requires="wps">
            <w:drawing>
              <wp:anchor distT="0" distB="0" distL="114300" distR="114300" simplePos="0" relativeHeight="251826176" behindDoc="0" locked="0" layoutInCell="1" allowOverlap="1" wp14:anchorId="6A3DDD97" wp14:editId="626AE184">
                <wp:simplePos x="0" y="0"/>
                <wp:positionH relativeFrom="column">
                  <wp:posOffset>0</wp:posOffset>
                </wp:positionH>
                <wp:positionV relativeFrom="paragraph">
                  <wp:posOffset>135890</wp:posOffset>
                </wp:positionV>
                <wp:extent cx="5903595" cy="635"/>
                <wp:effectExtent l="0" t="0" r="20955" b="37465"/>
                <wp:wrapNone/>
                <wp:docPr id="6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35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7A92E3B" id="AutoShape 28" o:spid="_x0000_s1026" type="#_x0000_t32" style="position:absolute;margin-left:0;margin-top:10.7pt;width:464.85pt;height:.0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WbiIgIAAD8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"/>
            </w:pict>
          </mc:Fallback>
        </mc:AlternateContent>
      </w:r>
    </w:p>
    <w:p w14:paraId="29077E70" w14:textId="77777777" w:rsidR="00357E8E" w:rsidRDefault="00357E8E" w:rsidP="00357E8E">
      <w:pPr>
        <w:rPr>
          <w:rFonts w:ascii="Arial" w:hAnsi="Arial" w:cs="Arial"/>
          <w:sz w:val="24"/>
          <w:szCs w:val="24"/>
        </w:rPr>
      </w:pPr>
    </w:p>
    <w:p w14:paraId="1F8A6515" w14:textId="77777777" w:rsidR="00357E8E" w:rsidRPr="002E74AA" w:rsidRDefault="00357E8E" w:rsidP="00357E8E">
      <w:pPr>
        <w:jc w:val="right"/>
        <w:rPr>
          <w:rFonts w:ascii="Arial" w:eastAsia="Times New Roman" w:hAnsi="Arial" w:cs="Arial"/>
          <w:sz w:val="14"/>
          <w:szCs w:val="14"/>
        </w:rPr>
      </w:pPr>
      <w:r>
        <w:rPr>
          <w:rFonts w:ascii="Arial" w:hAnsi="Arial" w:cs="Arial"/>
          <w:sz w:val="24"/>
          <w:szCs w:val="24"/>
        </w:rPr>
        <w:tab/>
      </w:r>
      <w:r w:rsidRPr="002E74AA">
        <w:rPr>
          <w:rFonts w:ascii="Arial" w:eastAsia="Times New Roman" w:hAnsi="Arial" w:cs="Arial"/>
          <w:b/>
          <w:bCs/>
          <w:color w:val="010101"/>
          <w:sz w:val="14"/>
          <w:szCs w:val="14"/>
        </w:rPr>
        <w:t>Standard</w:t>
      </w:r>
      <w:r w:rsidRPr="002E74AA">
        <w:rPr>
          <w:rFonts w:ascii="Arial" w:eastAsia="Times New Roman" w:hAnsi="Arial" w:cs="Arial"/>
          <w:b/>
          <w:bCs/>
          <w:color w:val="010101"/>
          <w:spacing w:val="-8"/>
          <w:sz w:val="14"/>
          <w:szCs w:val="14"/>
        </w:rPr>
        <w:t xml:space="preserve"> </w:t>
      </w:r>
      <w:r>
        <w:rPr>
          <w:rFonts w:ascii="Arial" w:eastAsia="Times New Roman" w:hAnsi="Arial" w:cs="Arial"/>
          <w:b/>
          <w:bCs/>
          <w:color w:val="010101"/>
          <w:sz w:val="14"/>
          <w:szCs w:val="14"/>
        </w:rPr>
        <w:t>Form</w:t>
      </w:r>
      <w:r w:rsidRPr="002E74AA">
        <w:rPr>
          <w:rFonts w:ascii="Arial" w:eastAsia="Times New Roman" w:hAnsi="Arial" w:cs="Arial"/>
          <w:b/>
          <w:bCs/>
          <w:color w:val="010101"/>
          <w:spacing w:val="12"/>
          <w:sz w:val="14"/>
          <w:szCs w:val="14"/>
        </w:rPr>
        <w:t xml:space="preserve"> </w:t>
      </w:r>
      <w:r w:rsidRPr="002E74AA">
        <w:rPr>
          <w:rFonts w:ascii="Arial" w:eastAsia="Times New Roman" w:hAnsi="Arial" w:cs="Arial"/>
          <w:b/>
          <w:bCs/>
          <w:color w:val="010101"/>
          <w:sz w:val="14"/>
          <w:szCs w:val="14"/>
        </w:rPr>
        <w:t>4248</w:t>
      </w:r>
      <w:r w:rsidRPr="002E74AA">
        <w:rPr>
          <w:rFonts w:ascii="Arial" w:eastAsia="Times New Roman" w:hAnsi="Arial" w:cs="Arial"/>
          <w:b/>
          <w:bCs/>
          <w:color w:val="010101"/>
          <w:spacing w:val="18"/>
          <w:sz w:val="14"/>
          <w:szCs w:val="14"/>
        </w:rPr>
        <w:t xml:space="preserve"> </w:t>
      </w:r>
      <w:r w:rsidRPr="002E74AA">
        <w:rPr>
          <w:rFonts w:ascii="Arial" w:eastAsia="Times New Roman" w:hAnsi="Arial" w:cs="Arial"/>
          <w:b/>
          <w:bCs/>
          <w:color w:val="010101"/>
          <w:sz w:val="14"/>
          <w:szCs w:val="14"/>
        </w:rPr>
        <w:t>(Rev.</w:t>
      </w:r>
      <w:r w:rsidRPr="002E74AA">
        <w:rPr>
          <w:rFonts w:ascii="Arial" w:eastAsia="Times New Roman" w:hAnsi="Arial" w:cs="Arial"/>
          <w:b/>
          <w:bCs/>
          <w:color w:val="010101"/>
          <w:spacing w:val="-1"/>
          <w:sz w:val="14"/>
          <w:szCs w:val="14"/>
        </w:rPr>
        <w:t xml:space="preserve"> </w:t>
      </w:r>
      <w:r w:rsidRPr="002E74AA">
        <w:rPr>
          <w:rFonts w:ascii="Arial" w:eastAsia="Times New Roman" w:hAnsi="Arial" w:cs="Arial"/>
          <w:b/>
          <w:bCs/>
          <w:color w:val="010101"/>
          <w:sz w:val="14"/>
          <w:szCs w:val="14"/>
        </w:rPr>
        <w:t>7-97)</w:t>
      </w:r>
      <w:r w:rsidRPr="002E74AA">
        <w:rPr>
          <w:rFonts w:ascii="Arial" w:eastAsia="Times New Roman" w:hAnsi="Arial" w:cs="Arial"/>
          <w:b/>
          <w:bCs/>
          <w:color w:val="010101"/>
          <w:spacing w:val="-9"/>
          <w:sz w:val="14"/>
          <w:szCs w:val="14"/>
        </w:rPr>
        <w:t xml:space="preserve"> </w:t>
      </w:r>
      <w:r w:rsidRPr="002E74AA">
        <w:rPr>
          <w:rFonts w:ascii="Arial" w:eastAsia="Times New Roman" w:hAnsi="Arial" w:cs="Arial"/>
          <w:b/>
          <w:bCs/>
          <w:color w:val="010101"/>
          <w:sz w:val="14"/>
          <w:szCs w:val="14"/>
        </w:rPr>
        <w:t>Back</w:t>
      </w:r>
    </w:p>
    <w:p w14:paraId="0B63B29D" w14:textId="1B549AAB" w:rsidR="007174EF" w:rsidRDefault="00357E8E" w:rsidP="00357E8E">
      <w:pPr>
        <w:spacing w:after="0" w:line="240" w:lineRule="auto"/>
        <w:sectPr w:rsidR="007174EF" w:rsidSect="008A00F6">
          <w:headerReference w:type="default" r:id="rId146"/>
          <w:footerReference w:type="first" r:id="rId147"/>
          <w:pgSz w:w="12240" w:h="15840"/>
          <w:pgMar w:top="1440" w:right="1440" w:bottom="1440" w:left="1440" w:header="720" w:footer="720" w:gutter="0"/>
          <w:cols w:space="720"/>
          <w:docGrid w:linePitch="360"/>
        </w:sectPr>
      </w:pPr>
      <w:r>
        <w:rPr>
          <w:rFonts w:ascii="Arial" w:hAnsi="Arial" w:cs="Arial"/>
          <w:sz w:val="24"/>
          <w:szCs w:val="24"/>
        </w:rPr>
        <w:br w:type="page"/>
      </w:r>
      <w:r>
        <w:rPr>
          <w:noProof/>
        </w:rPr>
        <w:drawing>
          <wp:inline distT="0" distB="0" distL="0" distR="0" wp14:anchorId="395A61DD" wp14:editId="5B693E1D">
            <wp:extent cx="5935980" cy="81610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5935980" cy="8161020"/>
                    </a:xfrm>
                    <a:prstGeom prst="rect">
                      <a:avLst/>
                    </a:prstGeom>
                    <a:noFill/>
                    <a:ln>
                      <a:noFill/>
                    </a:ln>
                  </pic:spPr>
                </pic:pic>
              </a:graphicData>
            </a:graphic>
          </wp:inline>
        </w:drawing>
      </w:r>
      <w:r>
        <w:br w:type="page"/>
      </w:r>
    </w:p>
    <w:tbl>
      <w:tblPr>
        <w:tblW w:w="0" w:type="auto"/>
        <w:tblBorders>
          <w:bottom w:val="single" w:sz="8" w:space="0" w:color="0F6FC6" w:themeColor="accent1"/>
        </w:tblBorders>
        <w:tblLook w:val="04A0" w:firstRow="1" w:lastRow="0" w:firstColumn="1" w:lastColumn="0" w:noHBand="0" w:noVBand="1"/>
      </w:tblPr>
      <w:tblGrid>
        <w:gridCol w:w="2988"/>
        <w:gridCol w:w="7200"/>
      </w:tblGrid>
      <w:tr w:rsidR="005C6B05" w:rsidRPr="00B4393A" w14:paraId="221175EF" w14:textId="77777777" w:rsidTr="00E14CC3">
        <w:trPr>
          <w:trHeight w:val="548"/>
        </w:trPr>
        <w:tc>
          <w:tcPr>
            <w:tcW w:w="2988" w:type="dxa"/>
            <w:vAlign w:val="bottom"/>
          </w:tcPr>
          <w:p w14:paraId="36052888" w14:textId="77777777" w:rsidR="005C6B05" w:rsidRPr="00B4393A" w:rsidRDefault="005C6B05" w:rsidP="00C46CAE">
            <w:pPr>
              <w:spacing w:after="120"/>
              <w:contextualSpacing/>
              <w:jc w:val="center"/>
              <w:rPr>
                <w:rFonts w:ascii="Cambria" w:eastAsia="Times New Roman" w:hAnsi="Cambria"/>
                <w:color w:val="0B5294" w:themeColor="accent1" w:themeShade="BF"/>
                <w:sz w:val="48"/>
                <w:szCs w:val="48"/>
              </w:rPr>
            </w:pPr>
            <w:r w:rsidRPr="00B4393A">
              <w:rPr>
                <w:rFonts w:ascii="Arial" w:hAnsi="Arial" w:cs="Arial"/>
                <w:color w:val="0B5294" w:themeColor="accent1" w:themeShade="BF"/>
                <w:sz w:val="24"/>
                <w:szCs w:val="24"/>
              </w:rPr>
              <w:br w:type="page"/>
            </w:r>
            <w:r w:rsidRPr="00B4393A">
              <w:rPr>
                <w:rFonts w:ascii="Arial" w:hAnsi="Arial" w:cs="Arial"/>
                <w:color w:val="0B5294" w:themeColor="accent1" w:themeShade="BF"/>
                <w:sz w:val="24"/>
                <w:szCs w:val="24"/>
              </w:rPr>
              <w:br w:type="page"/>
            </w:r>
            <w:r w:rsidRPr="00B4393A">
              <w:rPr>
                <w:rFonts w:ascii="Cambria" w:hAnsi="Cambria"/>
                <w:color w:val="0B5294" w:themeColor="accent1" w:themeShade="BF"/>
                <w:kern w:val="28"/>
                <w:sz w:val="48"/>
                <w:szCs w:val="48"/>
              </w:rPr>
              <w:t>APPENDIX G:</w:t>
            </w:r>
          </w:p>
        </w:tc>
        <w:tc>
          <w:tcPr>
            <w:tcW w:w="7200" w:type="dxa"/>
            <w:vAlign w:val="bottom"/>
          </w:tcPr>
          <w:p w14:paraId="7EF0C4E4" w14:textId="77777777" w:rsidR="005C6B05" w:rsidRPr="00B4393A" w:rsidRDefault="00E14CC3" w:rsidP="00C46CAE">
            <w:pPr>
              <w:widowControl w:val="0"/>
              <w:autoSpaceDE w:val="0"/>
              <w:autoSpaceDN w:val="0"/>
              <w:adjustRightInd w:val="0"/>
              <w:spacing w:after="0" w:line="240" w:lineRule="auto"/>
              <w:contextualSpacing/>
              <w:rPr>
                <w:rFonts w:ascii="Cambria" w:eastAsia="Times New Roman" w:hAnsi="Cambria"/>
                <w:color w:val="0B5294" w:themeColor="accent1" w:themeShade="BF"/>
                <w:spacing w:val="5"/>
                <w:kern w:val="28"/>
                <w:sz w:val="26"/>
                <w:szCs w:val="26"/>
              </w:rPr>
            </w:pPr>
            <w:r w:rsidRPr="00B4393A">
              <w:rPr>
                <w:rFonts w:ascii="Cambria" w:eastAsia="Times New Roman" w:hAnsi="Cambria"/>
                <w:color w:val="0B5294" w:themeColor="accent1" w:themeShade="BF"/>
                <w:spacing w:val="5"/>
                <w:kern w:val="28"/>
                <w:sz w:val="26"/>
                <w:szCs w:val="26"/>
              </w:rPr>
              <w:t>REQUIRED APPLICATION/ANNUAL REPORT COMPONENTS AND TIMELINE</w:t>
            </w:r>
          </w:p>
          <w:p w14:paraId="75BE56B6" w14:textId="77777777" w:rsidR="005C6B05" w:rsidRPr="00B4393A" w:rsidRDefault="005C6B05" w:rsidP="00C46CAE">
            <w:pPr>
              <w:widowControl w:val="0"/>
              <w:autoSpaceDE w:val="0"/>
              <w:autoSpaceDN w:val="0"/>
              <w:adjustRightInd w:val="0"/>
              <w:spacing w:after="0" w:line="240" w:lineRule="auto"/>
              <w:ind w:left="-18"/>
              <w:contextualSpacing/>
              <w:rPr>
                <w:rFonts w:ascii="Times New Roman" w:eastAsia="Times New Roman" w:hAnsi="Times New Roman"/>
                <w:color w:val="0B5294" w:themeColor="accent1" w:themeShade="BF"/>
                <w:sz w:val="10"/>
                <w:szCs w:val="10"/>
              </w:rPr>
            </w:pPr>
          </w:p>
        </w:tc>
      </w:tr>
    </w:tbl>
    <w:p w14:paraId="12E6285F" w14:textId="77777777" w:rsidR="005C6B05" w:rsidRPr="00B4393A" w:rsidRDefault="005C6B05" w:rsidP="005C6B05">
      <w:pPr>
        <w:spacing w:after="0" w:line="240" w:lineRule="auto"/>
        <w:rPr>
          <w:rFonts w:ascii="Arial" w:hAnsi="Arial" w:cs="Arial"/>
          <w:color w:val="0B5294" w:themeColor="accent1" w:themeShade="BF"/>
          <w:sz w:val="8"/>
          <w:szCs w:val="8"/>
        </w:rPr>
      </w:pPr>
    </w:p>
    <w:p w14:paraId="22A7701F" w14:textId="77777777" w:rsidR="009A4BD8" w:rsidRDefault="009A4BD8" w:rsidP="005C6B05">
      <w:pPr>
        <w:spacing w:after="0" w:line="240" w:lineRule="auto"/>
        <w:rPr>
          <w:rFonts w:ascii="Arial" w:hAnsi="Arial" w:cs="Arial"/>
          <w:sz w:val="24"/>
          <w:szCs w:val="24"/>
        </w:rPr>
      </w:pPr>
    </w:p>
    <w:tbl>
      <w:tblPr>
        <w:tblStyle w:val="MediumShading2-Accent1"/>
        <w:tblW w:w="11072" w:type="dxa"/>
        <w:tblLayout w:type="fixed"/>
        <w:tblLook w:val="04A0" w:firstRow="1" w:lastRow="0" w:firstColumn="1" w:lastColumn="0" w:noHBand="0" w:noVBand="1"/>
      </w:tblPr>
      <w:tblGrid>
        <w:gridCol w:w="1568"/>
        <w:gridCol w:w="4752"/>
        <w:gridCol w:w="4752"/>
      </w:tblGrid>
      <w:tr w:rsidR="00DA7C0F" w:rsidRPr="00DA7C0F" w14:paraId="4A7BB994" w14:textId="77777777" w:rsidTr="00452AF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68" w:type="dxa"/>
            <w:tcBorders>
              <w:right w:val="single" w:sz="18" w:space="0" w:color="auto"/>
            </w:tcBorders>
            <w:shd w:val="clear" w:color="auto" w:fill="C7E2FA" w:themeFill="accent1" w:themeFillTint="33"/>
          </w:tcPr>
          <w:p w14:paraId="0C85242A" w14:textId="77777777" w:rsidR="00DA7C0F" w:rsidRPr="00452AFE" w:rsidRDefault="00DA7C0F" w:rsidP="00DA7C0F">
            <w:pPr>
              <w:spacing w:after="0" w:line="240" w:lineRule="auto"/>
              <w:jc w:val="center"/>
              <w:rPr>
                <w:color w:val="0B5294" w:themeColor="accent1" w:themeShade="BF"/>
                <w:sz w:val="24"/>
                <w:szCs w:val="24"/>
              </w:rPr>
            </w:pPr>
            <w:r w:rsidRPr="00452AFE">
              <w:rPr>
                <w:color w:val="0B5294" w:themeColor="accent1" w:themeShade="BF"/>
                <w:sz w:val="24"/>
                <w:szCs w:val="24"/>
              </w:rPr>
              <w:t>Submission Date</w:t>
            </w:r>
          </w:p>
        </w:tc>
        <w:tc>
          <w:tcPr>
            <w:tcW w:w="4752" w:type="dxa"/>
            <w:tcBorders>
              <w:left w:val="single" w:sz="18" w:space="0" w:color="auto"/>
              <w:right w:val="single" w:sz="8" w:space="0" w:color="0B5294" w:themeColor="accent1" w:themeShade="BF"/>
            </w:tcBorders>
            <w:shd w:val="clear" w:color="auto" w:fill="C7E2FA" w:themeFill="accent1" w:themeFillTint="33"/>
          </w:tcPr>
          <w:p w14:paraId="6AC91CFF" w14:textId="77777777" w:rsidR="00DA7C0F" w:rsidRPr="00452AFE" w:rsidRDefault="00DA7C0F" w:rsidP="00DA7C0F">
            <w:pPr>
              <w:spacing w:after="0" w:line="240" w:lineRule="auto"/>
              <w:jc w:val="center"/>
              <w:cnfStyle w:val="100000000000" w:firstRow="1" w:lastRow="0" w:firstColumn="0" w:lastColumn="0" w:oddVBand="0" w:evenVBand="0" w:oddHBand="0" w:evenHBand="0" w:firstRowFirstColumn="0" w:firstRowLastColumn="0" w:lastRowFirstColumn="0" w:lastRowLastColumn="0"/>
              <w:rPr>
                <w:color w:val="0B5294" w:themeColor="accent1" w:themeShade="BF"/>
                <w:sz w:val="24"/>
                <w:szCs w:val="24"/>
              </w:rPr>
            </w:pPr>
            <w:r w:rsidRPr="00452AFE">
              <w:rPr>
                <w:color w:val="0B5294" w:themeColor="accent1" w:themeShade="BF"/>
                <w:sz w:val="24"/>
                <w:szCs w:val="24"/>
              </w:rPr>
              <w:t>Application Year</w:t>
            </w:r>
          </w:p>
        </w:tc>
        <w:tc>
          <w:tcPr>
            <w:tcW w:w="4752" w:type="dxa"/>
            <w:tcBorders>
              <w:left w:val="single" w:sz="8" w:space="0" w:color="0B5294" w:themeColor="accent1" w:themeShade="BF"/>
              <w:right w:val="single" w:sz="18" w:space="0" w:color="auto"/>
            </w:tcBorders>
            <w:shd w:val="clear" w:color="auto" w:fill="C7E2FA" w:themeFill="accent1" w:themeFillTint="33"/>
          </w:tcPr>
          <w:p w14:paraId="406A5640" w14:textId="77777777" w:rsidR="00DA7C0F" w:rsidRPr="00452AFE" w:rsidRDefault="00DA7C0F" w:rsidP="00DA7C0F">
            <w:pPr>
              <w:spacing w:after="0" w:line="240" w:lineRule="auto"/>
              <w:jc w:val="center"/>
              <w:cnfStyle w:val="100000000000" w:firstRow="1" w:lastRow="0" w:firstColumn="0" w:lastColumn="0" w:oddVBand="0" w:evenVBand="0" w:oddHBand="0" w:evenHBand="0" w:firstRowFirstColumn="0" w:firstRowLastColumn="0" w:lastRowFirstColumn="0" w:lastRowLastColumn="0"/>
              <w:rPr>
                <w:color w:val="0B5294" w:themeColor="accent1" w:themeShade="BF"/>
                <w:sz w:val="24"/>
                <w:szCs w:val="24"/>
              </w:rPr>
            </w:pPr>
            <w:r w:rsidRPr="00452AFE">
              <w:rPr>
                <w:color w:val="0B5294" w:themeColor="accent1" w:themeShade="BF"/>
                <w:sz w:val="24"/>
                <w:szCs w:val="24"/>
              </w:rPr>
              <w:t>Annual Report Year</w:t>
            </w:r>
          </w:p>
        </w:tc>
      </w:tr>
      <w:tr w:rsidR="00DA7C0F" w:rsidRPr="00DA7C0F" w14:paraId="5BF847DA" w14:textId="77777777" w:rsidTr="0045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8" w:type="dxa"/>
            <w:tcBorders>
              <w:top w:val="single" w:sz="18" w:space="0" w:color="auto"/>
              <w:bottom w:val="single" w:sz="8" w:space="0" w:color="0B5294" w:themeColor="accent1" w:themeShade="BF"/>
              <w:right w:val="single" w:sz="18" w:space="0" w:color="auto"/>
            </w:tcBorders>
            <w:shd w:val="clear" w:color="auto" w:fill="C7E2FA" w:themeFill="accent1" w:themeFillTint="33"/>
          </w:tcPr>
          <w:p w14:paraId="078B44ED" w14:textId="0C90DE7B" w:rsidR="00DA7C0F" w:rsidRPr="00452AFE" w:rsidRDefault="009F2A8D" w:rsidP="00DA7C0F">
            <w:pPr>
              <w:spacing w:after="0" w:line="240" w:lineRule="auto"/>
              <w:rPr>
                <w:color w:val="0B5294" w:themeColor="accent1" w:themeShade="BF"/>
                <w:sz w:val="24"/>
                <w:szCs w:val="24"/>
              </w:rPr>
            </w:pPr>
            <w:r w:rsidRPr="00452AFE">
              <w:rPr>
                <w:color w:val="0B5294" w:themeColor="accent1" w:themeShade="BF"/>
                <w:sz w:val="24"/>
                <w:szCs w:val="24"/>
              </w:rPr>
              <w:t>July 15, 2018</w:t>
            </w:r>
          </w:p>
        </w:tc>
        <w:tc>
          <w:tcPr>
            <w:tcW w:w="4752" w:type="dxa"/>
            <w:tcBorders>
              <w:top w:val="single" w:sz="8" w:space="0" w:color="0B5294" w:themeColor="accent1" w:themeShade="BF"/>
              <w:left w:val="single" w:sz="18" w:space="0" w:color="auto"/>
              <w:bottom w:val="single" w:sz="8" w:space="0" w:color="0B5294" w:themeColor="accent1" w:themeShade="BF"/>
              <w:right w:val="single" w:sz="8" w:space="0" w:color="0B5294" w:themeColor="accent1" w:themeShade="BF"/>
            </w:tcBorders>
            <w:shd w:val="clear" w:color="auto" w:fill="auto"/>
          </w:tcPr>
          <w:p w14:paraId="04DFE9A1" w14:textId="5E5F552D" w:rsidR="00DA7C0F" w:rsidRPr="00DA7C0F" w:rsidRDefault="00DA7C0F" w:rsidP="00DA7C0F">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DA7C0F">
              <w:rPr>
                <w:b/>
                <w:sz w:val="24"/>
                <w:szCs w:val="24"/>
              </w:rPr>
              <w:t>Fiscal Year (FY) 201</w:t>
            </w:r>
            <w:r w:rsidR="009F2A8D">
              <w:rPr>
                <w:b/>
                <w:sz w:val="24"/>
                <w:szCs w:val="24"/>
              </w:rPr>
              <w:t>9</w:t>
            </w:r>
          </w:p>
          <w:p w14:paraId="1D127B70" w14:textId="3007AA63" w:rsidR="00DA7C0F" w:rsidRPr="00DA7C0F" w:rsidRDefault="00DA7C0F" w:rsidP="00DA7C0F">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DA7C0F">
              <w:rPr>
                <w:sz w:val="24"/>
                <w:szCs w:val="24"/>
              </w:rPr>
              <w:t>(</w:t>
            </w:r>
            <w:r w:rsidR="009F2A8D">
              <w:rPr>
                <w:sz w:val="24"/>
                <w:szCs w:val="24"/>
              </w:rPr>
              <w:t>Interim Year 04</w:t>
            </w:r>
            <w:r w:rsidR="009F2A8D" w:rsidRPr="009F2A8D">
              <w:rPr>
                <w:sz w:val="24"/>
                <w:szCs w:val="24"/>
              </w:rPr>
              <w:t xml:space="preserve"> Application of Five-year Reporting Cycle</w:t>
            </w:r>
            <w:r w:rsidRPr="00DA7C0F">
              <w:rPr>
                <w:sz w:val="24"/>
                <w:szCs w:val="24"/>
              </w:rPr>
              <w:t>.)</w:t>
            </w:r>
          </w:p>
          <w:p w14:paraId="69164922" w14:textId="77777777" w:rsidR="00DA7C0F" w:rsidRPr="0044319E" w:rsidRDefault="00DA7C0F" w:rsidP="00DA7C0F">
            <w:pPr>
              <w:spacing w:after="0" w:line="240" w:lineRule="auto"/>
              <w:cnfStyle w:val="000000100000" w:firstRow="0" w:lastRow="0" w:firstColumn="0" w:lastColumn="0" w:oddVBand="0" w:evenVBand="0" w:oddHBand="1" w:evenHBand="0" w:firstRowFirstColumn="0" w:firstRowLastColumn="0" w:lastRowFirstColumn="0" w:lastRowLastColumn="0"/>
              <w:rPr>
                <w:sz w:val="8"/>
                <w:szCs w:val="8"/>
              </w:rPr>
            </w:pPr>
          </w:p>
          <w:p w14:paraId="17008834" w14:textId="29F6FD4B" w:rsidR="00DA7C0F" w:rsidRPr="00DA7C0F" w:rsidRDefault="00E56579" w:rsidP="00DA7C0F">
            <w:pPr>
              <w:numPr>
                <w:ilvl w:val="0"/>
                <w:numId w:val="32"/>
              </w:numPr>
              <w:spacing w:after="0" w:line="240" w:lineRule="auto"/>
              <w:ind w:left="322" w:hanging="322"/>
              <w:contextualSpacing/>
              <w:cnfStyle w:val="000000100000" w:firstRow="0" w:lastRow="0" w:firstColumn="0" w:lastColumn="0" w:oddVBand="0" w:evenVBand="0" w:oddHBand="1" w:evenHBand="0" w:firstRowFirstColumn="0" w:firstRowLastColumn="0" w:lastRowFirstColumn="0" w:lastRowLastColumn="0"/>
              <w:rPr>
                <w:sz w:val="24"/>
                <w:szCs w:val="24"/>
              </w:rPr>
            </w:pPr>
            <w:r w:rsidRPr="00E56579">
              <w:rPr>
                <w:sz w:val="24"/>
                <w:szCs w:val="24"/>
              </w:rPr>
              <w:t>Complete SF-424</w:t>
            </w:r>
          </w:p>
          <w:p w14:paraId="0A75E71F" w14:textId="77777777" w:rsidR="00DA7C0F" w:rsidRPr="00DA7C0F" w:rsidRDefault="00DA7C0F" w:rsidP="00DA7C0F">
            <w:pPr>
              <w:spacing w:after="0" w:line="240" w:lineRule="auto"/>
              <w:ind w:left="322"/>
              <w:contextualSpacing/>
              <w:cnfStyle w:val="000000100000" w:firstRow="0" w:lastRow="0" w:firstColumn="0" w:lastColumn="0" w:oddVBand="0" w:evenVBand="0" w:oddHBand="1" w:evenHBand="0" w:firstRowFirstColumn="0" w:firstRowLastColumn="0" w:lastRowFirstColumn="0" w:lastRowLastColumn="0"/>
              <w:rPr>
                <w:sz w:val="8"/>
                <w:szCs w:val="8"/>
              </w:rPr>
            </w:pPr>
          </w:p>
          <w:p w14:paraId="68303486" w14:textId="66D28C09" w:rsidR="00DA7C0F" w:rsidRPr="00DA7C0F" w:rsidRDefault="004D6267" w:rsidP="00DA7C0F">
            <w:pPr>
              <w:numPr>
                <w:ilvl w:val="0"/>
                <w:numId w:val="32"/>
              </w:numPr>
              <w:spacing w:after="0" w:line="240" w:lineRule="auto"/>
              <w:ind w:left="322" w:hanging="322"/>
              <w:contextualSpacing/>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Update</w:t>
            </w:r>
            <w:r w:rsidR="00DA7C0F" w:rsidRPr="00DA7C0F">
              <w:rPr>
                <w:sz w:val="24"/>
                <w:szCs w:val="24"/>
              </w:rPr>
              <w:t xml:space="preserve"> Executive Summary </w:t>
            </w:r>
          </w:p>
          <w:p w14:paraId="1C5BF596" w14:textId="77777777" w:rsidR="00DA7C0F" w:rsidRPr="00DA7C0F" w:rsidRDefault="00DA7C0F" w:rsidP="00DA7C0F">
            <w:pPr>
              <w:spacing w:after="0" w:line="240" w:lineRule="auto"/>
              <w:cnfStyle w:val="000000100000" w:firstRow="0" w:lastRow="0" w:firstColumn="0" w:lastColumn="0" w:oddVBand="0" w:evenVBand="0" w:oddHBand="1" w:evenHBand="0" w:firstRowFirstColumn="0" w:firstRowLastColumn="0" w:lastRowFirstColumn="0" w:lastRowLastColumn="0"/>
              <w:rPr>
                <w:sz w:val="8"/>
                <w:szCs w:val="8"/>
              </w:rPr>
            </w:pPr>
          </w:p>
          <w:p w14:paraId="0EE94D78" w14:textId="30745CC7" w:rsidR="00DA7C0F" w:rsidRPr="00DA7C0F" w:rsidRDefault="004D6267" w:rsidP="00DA7C0F">
            <w:pPr>
              <w:numPr>
                <w:ilvl w:val="0"/>
                <w:numId w:val="32"/>
              </w:numPr>
              <w:spacing w:after="0" w:line="240" w:lineRule="auto"/>
              <w:ind w:left="322" w:hanging="322"/>
              <w:contextualSpacing/>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Update</w:t>
            </w:r>
            <w:r w:rsidR="00DA7C0F" w:rsidRPr="00DA7C0F">
              <w:rPr>
                <w:sz w:val="24"/>
                <w:szCs w:val="24"/>
              </w:rPr>
              <w:t xml:space="preserve"> Needs Assessment Summary </w:t>
            </w:r>
          </w:p>
          <w:p w14:paraId="274D9D22" w14:textId="77777777" w:rsidR="00DA7C0F" w:rsidRPr="00DA7C0F" w:rsidRDefault="00DA7C0F" w:rsidP="00DA7C0F">
            <w:pPr>
              <w:spacing w:after="0" w:line="240" w:lineRule="auto"/>
              <w:cnfStyle w:val="000000100000" w:firstRow="0" w:lastRow="0" w:firstColumn="0" w:lastColumn="0" w:oddVBand="0" w:evenVBand="0" w:oddHBand="1" w:evenHBand="0" w:firstRowFirstColumn="0" w:firstRowLastColumn="0" w:lastRowFirstColumn="0" w:lastRowLastColumn="0"/>
              <w:rPr>
                <w:sz w:val="8"/>
                <w:szCs w:val="8"/>
              </w:rPr>
            </w:pPr>
          </w:p>
          <w:p w14:paraId="6791DF17" w14:textId="098EA626" w:rsidR="00DA7C0F" w:rsidRPr="00DA7C0F" w:rsidRDefault="00E56579" w:rsidP="00DA7C0F">
            <w:pPr>
              <w:numPr>
                <w:ilvl w:val="0"/>
                <w:numId w:val="32"/>
              </w:numPr>
              <w:spacing w:after="0" w:line="240" w:lineRule="auto"/>
              <w:ind w:left="322" w:hanging="322"/>
              <w:contextualSpacing/>
              <w:cnfStyle w:val="000000100000" w:firstRow="0" w:lastRow="0" w:firstColumn="0" w:lastColumn="0" w:oddVBand="0" w:evenVBand="0" w:oddHBand="1" w:evenHBand="0" w:firstRowFirstColumn="0" w:firstRowLastColumn="0" w:lastRowFirstColumn="0" w:lastRowLastColumn="0"/>
              <w:rPr>
                <w:sz w:val="24"/>
                <w:szCs w:val="24"/>
              </w:rPr>
            </w:pPr>
            <w:r w:rsidRPr="00E56579">
              <w:rPr>
                <w:sz w:val="24"/>
                <w:szCs w:val="24"/>
              </w:rPr>
              <w:t>Add FY 202</w:t>
            </w:r>
            <w:r>
              <w:rPr>
                <w:sz w:val="24"/>
                <w:szCs w:val="24"/>
              </w:rPr>
              <w:t>3</w:t>
            </w:r>
            <w:r w:rsidRPr="00E56579">
              <w:rPr>
                <w:sz w:val="24"/>
                <w:szCs w:val="24"/>
              </w:rPr>
              <w:t xml:space="preserve"> Performance Objective for each selected NPM, SPM, and ESM on Form #10A</w:t>
            </w:r>
          </w:p>
          <w:p w14:paraId="622868F8" w14:textId="77777777" w:rsidR="00DA7C0F" w:rsidRPr="00DA7C0F" w:rsidRDefault="00DA7C0F" w:rsidP="00DA7C0F">
            <w:pPr>
              <w:spacing w:after="0" w:line="240" w:lineRule="auto"/>
              <w:cnfStyle w:val="000000100000" w:firstRow="0" w:lastRow="0" w:firstColumn="0" w:lastColumn="0" w:oddVBand="0" w:evenVBand="0" w:oddHBand="1" w:evenHBand="0" w:firstRowFirstColumn="0" w:firstRowLastColumn="0" w:lastRowFirstColumn="0" w:lastRowLastColumn="0"/>
              <w:rPr>
                <w:sz w:val="8"/>
                <w:szCs w:val="8"/>
              </w:rPr>
            </w:pPr>
          </w:p>
          <w:p w14:paraId="68DEEF85" w14:textId="77777777" w:rsidR="00DA7C0F" w:rsidRPr="00DA7C0F" w:rsidRDefault="00DA7C0F" w:rsidP="00DA7C0F">
            <w:pPr>
              <w:spacing w:after="0" w:line="240" w:lineRule="auto"/>
              <w:cnfStyle w:val="000000100000" w:firstRow="0" w:lastRow="0" w:firstColumn="0" w:lastColumn="0" w:oddVBand="0" w:evenVBand="0" w:oddHBand="1" w:evenHBand="0" w:firstRowFirstColumn="0" w:firstRowLastColumn="0" w:lastRowFirstColumn="0" w:lastRowLastColumn="0"/>
              <w:rPr>
                <w:sz w:val="8"/>
                <w:szCs w:val="8"/>
              </w:rPr>
            </w:pPr>
          </w:p>
          <w:p w14:paraId="4B979D54" w14:textId="571A68A4" w:rsidR="00DA7C0F" w:rsidRPr="00DA7C0F" w:rsidRDefault="00E56579" w:rsidP="00DA7C0F">
            <w:pPr>
              <w:numPr>
                <w:ilvl w:val="0"/>
                <w:numId w:val="32"/>
              </w:numPr>
              <w:spacing w:after="0" w:line="240" w:lineRule="auto"/>
              <w:ind w:left="322" w:hanging="322"/>
              <w:contextualSpacing/>
              <w:cnfStyle w:val="000000100000" w:firstRow="0" w:lastRow="0" w:firstColumn="0" w:lastColumn="0" w:oddVBand="0" w:evenVBand="0" w:oddHBand="1" w:evenHBand="0" w:firstRowFirstColumn="0" w:firstRowLastColumn="0" w:lastRowFirstColumn="0" w:lastRowLastColumn="0"/>
              <w:rPr>
                <w:sz w:val="24"/>
                <w:szCs w:val="24"/>
              </w:rPr>
            </w:pPr>
            <w:r w:rsidRPr="00E56579">
              <w:rPr>
                <w:sz w:val="24"/>
                <w:szCs w:val="24"/>
              </w:rPr>
              <w:t>Update State Action Plan as needed</w:t>
            </w:r>
          </w:p>
          <w:p w14:paraId="127B7B75" w14:textId="77777777" w:rsidR="00DA7C0F" w:rsidRPr="00DA7C0F" w:rsidRDefault="00DA7C0F" w:rsidP="00DA7C0F">
            <w:pPr>
              <w:spacing w:after="0" w:line="240" w:lineRule="auto"/>
              <w:cnfStyle w:val="000000100000" w:firstRow="0" w:lastRow="0" w:firstColumn="0" w:lastColumn="0" w:oddVBand="0" w:evenVBand="0" w:oddHBand="1" w:evenHBand="0" w:firstRowFirstColumn="0" w:firstRowLastColumn="0" w:lastRowFirstColumn="0" w:lastRowLastColumn="0"/>
              <w:rPr>
                <w:sz w:val="8"/>
                <w:szCs w:val="8"/>
              </w:rPr>
            </w:pPr>
          </w:p>
          <w:p w14:paraId="263BE61C" w14:textId="4102745E" w:rsidR="00DA7C0F" w:rsidRPr="00DA7C0F" w:rsidRDefault="00E56579" w:rsidP="00DA7C0F">
            <w:pPr>
              <w:numPr>
                <w:ilvl w:val="0"/>
                <w:numId w:val="32"/>
              </w:numPr>
              <w:spacing w:after="0" w:line="240" w:lineRule="auto"/>
              <w:ind w:left="322" w:hanging="322"/>
              <w:contextualSpacing/>
              <w:cnfStyle w:val="000000100000" w:firstRow="0" w:lastRow="0" w:firstColumn="0" w:lastColumn="0" w:oddVBand="0" w:evenVBand="0" w:oddHBand="1" w:evenHBand="0" w:firstRowFirstColumn="0" w:firstRowLastColumn="0" w:lastRowFirstColumn="0" w:lastRowLastColumn="0"/>
              <w:rPr>
                <w:sz w:val="24"/>
                <w:szCs w:val="24"/>
              </w:rPr>
            </w:pPr>
            <w:r w:rsidRPr="00E56579">
              <w:rPr>
                <w:sz w:val="24"/>
                <w:szCs w:val="24"/>
              </w:rPr>
              <w:t>Complete Narrative Sections of Application, including Presentation of the State’s Five-year Action Plan by MCH Health Domain</w:t>
            </w:r>
          </w:p>
          <w:p w14:paraId="62F79943" w14:textId="77777777" w:rsidR="00DA7C0F" w:rsidRPr="00DA7C0F" w:rsidRDefault="00DA7C0F" w:rsidP="00DA7C0F">
            <w:pPr>
              <w:spacing w:after="0" w:line="240" w:lineRule="auto"/>
              <w:cnfStyle w:val="000000100000" w:firstRow="0" w:lastRow="0" w:firstColumn="0" w:lastColumn="0" w:oddVBand="0" w:evenVBand="0" w:oddHBand="1" w:evenHBand="0" w:firstRowFirstColumn="0" w:firstRowLastColumn="0" w:lastRowFirstColumn="0" w:lastRowLastColumn="0"/>
              <w:rPr>
                <w:sz w:val="8"/>
                <w:szCs w:val="8"/>
              </w:rPr>
            </w:pPr>
          </w:p>
          <w:p w14:paraId="4FBF780E" w14:textId="77777777" w:rsidR="00DA7C0F" w:rsidRPr="00DA7C0F" w:rsidRDefault="00DA7C0F" w:rsidP="00DA7C0F">
            <w:pPr>
              <w:numPr>
                <w:ilvl w:val="0"/>
                <w:numId w:val="32"/>
              </w:numPr>
              <w:spacing w:after="0" w:line="240" w:lineRule="auto"/>
              <w:ind w:left="322" w:hanging="322"/>
              <w:contextualSpacing/>
              <w:cnfStyle w:val="000000100000" w:firstRow="0" w:lastRow="0" w:firstColumn="0" w:lastColumn="0" w:oddVBand="0" w:evenVBand="0" w:oddHBand="1" w:evenHBand="0" w:firstRowFirstColumn="0" w:firstRowLastColumn="0" w:lastRowFirstColumn="0" w:lastRowLastColumn="0"/>
              <w:rPr>
                <w:sz w:val="24"/>
                <w:szCs w:val="24"/>
              </w:rPr>
            </w:pPr>
            <w:r w:rsidRPr="00DA7C0F">
              <w:rPr>
                <w:sz w:val="24"/>
                <w:szCs w:val="24"/>
              </w:rPr>
              <w:t>Enter Budgeted Data for Application Year on Forms #2, #3a and #3b</w:t>
            </w:r>
          </w:p>
          <w:p w14:paraId="7F6D8D52" w14:textId="77777777" w:rsidR="00DA7C0F" w:rsidRPr="00DA7C0F" w:rsidRDefault="00DA7C0F" w:rsidP="00DA7C0F">
            <w:pPr>
              <w:spacing w:after="0" w:line="240" w:lineRule="auto"/>
              <w:cnfStyle w:val="000000100000" w:firstRow="0" w:lastRow="0" w:firstColumn="0" w:lastColumn="0" w:oddVBand="0" w:evenVBand="0" w:oddHBand="1" w:evenHBand="0" w:firstRowFirstColumn="0" w:firstRowLastColumn="0" w:lastRowFirstColumn="0" w:lastRowLastColumn="0"/>
              <w:rPr>
                <w:sz w:val="8"/>
                <w:szCs w:val="8"/>
              </w:rPr>
            </w:pPr>
          </w:p>
          <w:p w14:paraId="28D373A2" w14:textId="04BDCCAC" w:rsidR="00DA7C0F" w:rsidRPr="00DA7C0F" w:rsidRDefault="00E56579" w:rsidP="00DA7C0F">
            <w:pPr>
              <w:numPr>
                <w:ilvl w:val="0"/>
                <w:numId w:val="32"/>
              </w:numPr>
              <w:spacing w:after="0" w:line="240" w:lineRule="auto"/>
              <w:ind w:left="322" w:hanging="322"/>
              <w:contextualSpacing/>
              <w:cnfStyle w:val="000000100000" w:firstRow="0" w:lastRow="0" w:firstColumn="0" w:lastColumn="0" w:oddVBand="0" w:evenVBand="0" w:oddHBand="1" w:evenHBand="0" w:firstRowFirstColumn="0" w:firstRowLastColumn="0" w:lastRowFirstColumn="0" w:lastRowLastColumn="0"/>
              <w:rPr>
                <w:sz w:val="24"/>
                <w:szCs w:val="24"/>
              </w:rPr>
            </w:pPr>
            <w:r w:rsidRPr="00E56579">
              <w:rPr>
                <w:sz w:val="24"/>
                <w:szCs w:val="24"/>
              </w:rPr>
              <w:t>Update Listed Names of MCH Director, CSHSN Director and Family/Youth Leader on  Form #8</w:t>
            </w:r>
          </w:p>
          <w:p w14:paraId="5307D69B" w14:textId="77777777" w:rsidR="00DA7C0F" w:rsidRPr="00DA7C0F" w:rsidRDefault="00DA7C0F" w:rsidP="00DA7C0F">
            <w:pPr>
              <w:spacing w:after="0" w:line="240" w:lineRule="auto"/>
              <w:cnfStyle w:val="000000100000" w:firstRow="0" w:lastRow="0" w:firstColumn="0" w:lastColumn="0" w:oddVBand="0" w:evenVBand="0" w:oddHBand="1" w:evenHBand="0" w:firstRowFirstColumn="0" w:firstRowLastColumn="0" w:lastRowFirstColumn="0" w:lastRowLastColumn="0"/>
              <w:rPr>
                <w:sz w:val="8"/>
                <w:szCs w:val="8"/>
              </w:rPr>
            </w:pPr>
          </w:p>
          <w:p w14:paraId="6EC0E075" w14:textId="77777777" w:rsidR="00DA7C0F" w:rsidRPr="00DA7C0F" w:rsidRDefault="00DA7C0F" w:rsidP="00DA7C0F">
            <w:pPr>
              <w:numPr>
                <w:ilvl w:val="0"/>
                <w:numId w:val="32"/>
              </w:numPr>
              <w:spacing w:after="0" w:line="240" w:lineRule="auto"/>
              <w:ind w:left="322" w:hanging="322"/>
              <w:contextualSpacing/>
              <w:cnfStyle w:val="000000100000" w:firstRow="0" w:lastRow="0" w:firstColumn="0" w:lastColumn="0" w:oddVBand="0" w:evenVBand="0" w:oddHBand="1" w:evenHBand="0" w:firstRowFirstColumn="0" w:firstRowLastColumn="0" w:lastRowFirstColumn="0" w:lastRowLastColumn="0"/>
              <w:rPr>
                <w:sz w:val="24"/>
                <w:szCs w:val="24"/>
              </w:rPr>
            </w:pPr>
            <w:r w:rsidRPr="00DA7C0F">
              <w:rPr>
                <w:sz w:val="24"/>
                <w:szCs w:val="24"/>
              </w:rPr>
              <w:t>Review Other State Data (OSD) on       Form #11 and Form #10A for National Outcome Measures (NOMs)</w:t>
            </w:r>
          </w:p>
          <w:p w14:paraId="786FD4C6" w14:textId="77777777" w:rsidR="00DA7C0F" w:rsidRPr="00DA7C0F" w:rsidRDefault="00DA7C0F" w:rsidP="00DA7C0F">
            <w:pPr>
              <w:spacing w:after="0" w:line="240" w:lineRule="auto"/>
              <w:ind w:left="322"/>
              <w:contextualSpacing/>
              <w:cnfStyle w:val="000000100000" w:firstRow="0" w:lastRow="0" w:firstColumn="0" w:lastColumn="0" w:oddVBand="0" w:evenVBand="0" w:oddHBand="1" w:evenHBand="0" w:firstRowFirstColumn="0" w:firstRowLastColumn="0" w:lastRowFirstColumn="0" w:lastRowLastColumn="0"/>
              <w:rPr>
                <w:sz w:val="8"/>
                <w:szCs w:val="8"/>
              </w:rPr>
            </w:pPr>
          </w:p>
        </w:tc>
        <w:tc>
          <w:tcPr>
            <w:tcW w:w="4752" w:type="dxa"/>
            <w:tcBorders>
              <w:top w:val="single" w:sz="18" w:space="0" w:color="auto"/>
              <w:left w:val="single" w:sz="8" w:space="0" w:color="0B5294" w:themeColor="accent1" w:themeShade="BF"/>
              <w:bottom w:val="single" w:sz="8" w:space="0" w:color="0B5294" w:themeColor="accent1" w:themeShade="BF"/>
              <w:right w:val="single" w:sz="18" w:space="0" w:color="auto"/>
            </w:tcBorders>
            <w:shd w:val="clear" w:color="auto" w:fill="auto"/>
          </w:tcPr>
          <w:p w14:paraId="75429BE6" w14:textId="2BA63A30" w:rsidR="00DA7C0F" w:rsidRPr="00DA7C0F" w:rsidRDefault="00DA7C0F" w:rsidP="00DA7C0F">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DA7C0F">
              <w:rPr>
                <w:b/>
                <w:sz w:val="24"/>
                <w:szCs w:val="24"/>
              </w:rPr>
              <w:t>FY 201</w:t>
            </w:r>
            <w:r w:rsidR="009F2A8D">
              <w:rPr>
                <w:b/>
                <w:sz w:val="24"/>
                <w:szCs w:val="24"/>
              </w:rPr>
              <w:t>7</w:t>
            </w:r>
          </w:p>
          <w:p w14:paraId="1763BD05" w14:textId="2CFEFF14" w:rsidR="00DA7C0F" w:rsidRPr="00DA7C0F" w:rsidRDefault="00DA7C0F" w:rsidP="00DA7C0F">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DA7C0F">
              <w:rPr>
                <w:sz w:val="24"/>
                <w:szCs w:val="24"/>
              </w:rPr>
              <w:t>(Interim Year 0</w:t>
            </w:r>
            <w:r w:rsidR="009F2A8D">
              <w:rPr>
                <w:sz w:val="24"/>
                <w:szCs w:val="24"/>
              </w:rPr>
              <w:t>2</w:t>
            </w:r>
            <w:r w:rsidRPr="00DA7C0F">
              <w:rPr>
                <w:sz w:val="24"/>
                <w:szCs w:val="24"/>
              </w:rPr>
              <w:t xml:space="preserve"> of Previous Reporting Cycle)</w:t>
            </w:r>
          </w:p>
          <w:p w14:paraId="68572309" w14:textId="77777777" w:rsidR="00DA7C0F" w:rsidRPr="00DA7C0F" w:rsidRDefault="00DA7C0F" w:rsidP="00DA7C0F">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p w14:paraId="71E7EF47" w14:textId="77777777" w:rsidR="00DA7C0F" w:rsidRPr="0044319E" w:rsidRDefault="00DA7C0F" w:rsidP="00DA7C0F">
            <w:pPr>
              <w:spacing w:after="0" w:line="240" w:lineRule="auto"/>
              <w:cnfStyle w:val="000000100000" w:firstRow="0" w:lastRow="0" w:firstColumn="0" w:lastColumn="0" w:oddVBand="0" w:evenVBand="0" w:oddHBand="1" w:evenHBand="0" w:firstRowFirstColumn="0" w:firstRowLastColumn="0" w:lastRowFirstColumn="0" w:lastRowLastColumn="0"/>
              <w:rPr>
                <w:sz w:val="8"/>
                <w:szCs w:val="8"/>
              </w:rPr>
            </w:pPr>
          </w:p>
          <w:p w14:paraId="69D35CEB" w14:textId="683EC9A1" w:rsidR="00DA7C0F" w:rsidRPr="00DA7C0F" w:rsidRDefault="00DA7C0F" w:rsidP="00DA7C0F">
            <w:pPr>
              <w:numPr>
                <w:ilvl w:val="0"/>
                <w:numId w:val="32"/>
              </w:numPr>
              <w:spacing w:after="0" w:line="240" w:lineRule="auto"/>
              <w:ind w:left="322" w:hanging="322"/>
              <w:contextualSpacing/>
              <w:cnfStyle w:val="000000100000" w:firstRow="0" w:lastRow="0" w:firstColumn="0" w:lastColumn="0" w:oddVBand="0" w:evenVBand="0" w:oddHBand="1" w:evenHBand="0" w:firstRowFirstColumn="0" w:firstRowLastColumn="0" w:lastRowFirstColumn="0" w:lastRowLastColumn="0"/>
              <w:rPr>
                <w:sz w:val="24"/>
                <w:szCs w:val="24"/>
              </w:rPr>
            </w:pPr>
            <w:r w:rsidRPr="00DA7C0F">
              <w:rPr>
                <w:sz w:val="24"/>
                <w:szCs w:val="24"/>
              </w:rPr>
              <w:t>Enter the FY 201</w:t>
            </w:r>
            <w:r w:rsidR="009F2A8D">
              <w:rPr>
                <w:sz w:val="24"/>
                <w:szCs w:val="24"/>
              </w:rPr>
              <w:t>7</w:t>
            </w:r>
            <w:r w:rsidRPr="00DA7C0F">
              <w:rPr>
                <w:sz w:val="24"/>
                <w:szCs w:val="24"/>
              </w:rPr>
              <w:t xml:space="preserve"> Annual Indicator Data (specifically, the Numerator, Denominator, Data Source and Data Note) for the </w:t>
            </w:r>
            <w:r w:rsidR="009F2A8D" w:rsidRPr="00DA7C0F">
              <w:rPr>
                <w:sz w:val="24"/>
                <w:szCs w:val="24"/>
              </w:rPr>
              <w:t>Selected NPMs, ESMs and SPMs</w:t>
            </w:r>
            <w:r w:rsidR="00826009">
              <w:rPr>
                <w:sz w:val="24"/>
                <w:szCs w:val="24"/>
              </w:rPr>
              <w:t>.</w:t>
            </w:r>
            <w:r w:rsidRPr="00DA7C0F">
              <w:rPr>
                <w:sz w:val="24"/>
                <w:szCs w:val="24"/>
              </w:rPr>
              <w:t xml:space="preserve">   </w:t>
            </w:r>
          </w:p>
          <w:p w14:paraId="6CA09363" w14:textId="77777777" w:rsidR="00DA7C0F" w:rsidRPr="00DA7C0F" w:rsidRDefault="00DA7C0F" w:rsidP="00DA7C0F">
            <w:pPr>
              <w:spacing w:after="0" w:line="240" w:lineRule="auto"/>
              <w:ind w:left="322"/>
              <w:contextualSpacing/>
              <w:cnfStyle w:val="000000100000" w:firstRow="0" w:lastRow="0" w:firstColumn="0" w:lastColumn="0" w:oddVBand="0" w:evenVBand="0" w:oddHBand="1" w:evenHBand="0" w:firstRowFirstColumn="0" w:firstRowLastColumn="0" w:lastRowFirstColumn="0" w:lastRowLastColumn="0"/>
              <w:rPr>
                <w:sz w:val="8"/>
                <w:szCs w:val="8"/>
              </w:rPr>
            </w:pPr>
            <w:r w:rsidRPr="00DA7C0F">
              <w:rPr>
                <w:sz w:val="8"/>
                <w:szCs w:val="8"/>
              </w:rPr>
              <w:t xml:space="preserve"> </w:t>
            </w:r>
          </w:p>
          <w:p w14:paraId="67432C02" w14:textId="0DF4FF14" w:rsidR="00DA7C0F" w:rsidRPr="00DA7C0F" w:rsidRDefault="009F2A8D" w:rsidP="009F2A8D">
            <w:pPr>
              <w:numPr>
                <w:ilvl w:val="0"/>
                <w:numId w:val="32"/>
              </w:numPr>
              <w:tabs>
                <w:tab w:val="left" w:pos="556"/>
              </w:tabs>
              <w:spacing w:after="0" w:line="240" w:lineRule="auto"/>
              <w:ind w:left="322" w:hanging="322"/>
              <w:contextualSpacing/>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Report on FY 2017</w:t>
            </w:r>
            <w:r w:rsidR="00DA7C0F" w:rsidRPr="00DA7C0F">
              <w:rPr>
                <w:sz w:val="24"/>
                <w:szCs w:val="24"/>
              </w:rPr>
              <w:t xml:space="preserve"> Program Activities and Analyze Performance, by </w:t>
            </w:r>
            <w:r w:rsidR="003D1F2D">
              <w:rPr>
                <w:sz w:val="24"/>
                <w:szCs w:val="24"/>
              </w:rPr>
              <w:t>MCH</w:t>
            </w:r>
            <w:r w:rsidR="00DA7C0F" w:rsidRPr="00DA7C0F">
              <w:rPr>
                <w:sz w:val="24"/>
                <w:szCs w:val="24"/>
              </w:rPr>
              <w:t xml:space="preserve"> Health Domain, using New Narrative Format  </w:t>
            </w:r>
          </w:p>
          <w:p w14:paraId="16FC2A10" w14:textId="77777777" w:rsidR="00DA7C0F" w:rsidRPr="00DA7C0F" w:rsidRDefault="00DA7C0F" w:rsidP="00DA7C0F">
            <w:pPr>
              <w:spacing w:after="0" w:line="240" w:lineRule="auto"/>
              <w:cnfStyle w:val="000000100000" w:firstRow="0" w:lastRow="0" w:firstColumn="0" w:lastColumn="0" w:oddVBand="0" w:evenVBand="0" w:oddHBand="1" w:evenHBand="0" w:firstRowFirstColumn="0" w:firstRowLastColumn="0" w:lastRowFirstColumn="0" w:lastRowLastColumn="0"/>
              <w:rPr>
                <w:sz w:val="8"/>
                <w:szCs w:val="8"/>
              </w:rPr>
            </w:pPr>
          </w:p>
          <w:p w14:paraId="62E6596A" w14:textId="77777777" w:rsidR="00DA7C0F" w:rsidRPr="00DA7C0F" w:rsidRDefault="00DA7C0F" w:rsidP="00DA7C0F">
            <w:pPr>
              <w:numPr>
                <w:ilvl w:val="0"/>
                <w:numId w:val="32"/>
              </w:numPr>
              <w:spacing w:after="0" w:line="240" w:lineRule="auto"/>
              <w:ind w:left="322" w:hanging="322"/>
              <w:contextualSpacing/>
              <w:cnfStyle w:val="000000100000" w:firstRow="0" w:lastRow="0" w:firstColumn="0" w:lastColumn="0" w:oddVBand="0" w:evenVBand="0" w:oddHBand="1" w:evenHBand="0" w:firstRowFirstColumn="0" w:firstRowLastColumn="0" w:lastRowFirstColumn="0" w:lastRowLastColumn="0"/>
              <w:rPr>
                <w:sz w:val="24"/>
                <w:szCs w:val="24"/>
              </w:rPr>
            </w:pPr>
            <w:r w:rsidRPr="00DA7C0F">
              <w:rPr>
                <w:sz w:val="24"/>
                <w:szCs w:val="24"/>
              </w:rPr>
              <w:t>Enter Expenditure Data on Forms #2, #3a, and #3b</w:t>
            </w:r>
          </w:p>
          <w:p w14:paraId="3A011ACA" w14:textId="77777777" w:rsidR="00DA7C0F" w:rsidRPr="00DA7C0F" w:rsidRDefault="00DA7C0F" w:rsidP="00DA7C0F">
            <w:pPr>
              <w:spacing w:after="0" w:line="240" w:lineRule="auto"/>
              <w:cnfStyle w:val="000000100000" w:firstRow="0" w:lastRow="0" w:firstColumn="0" w:lastColumn="0" w:oddVBand="0" w:evenVBand="0" w:oddHBand="1" w:evenHBand="0" w:firstRowFirstColumn="0" w:firstRowLastColumn="0" w:lastRowFirstColumn="0" w:lastRowLastColumn="0"/>
              <w:rPr>
                <w:sz w:val="8"/>
                <w:szCs w:val="8"/>
              </w:rPr>
            </w:pPr>
          </w:p>
          <w:p w14:paraId="576D84B5" w14:textId="77777777" w:rsidR="00DA7C0F" w:rsidRPr="00DA7C0F" w:rsidRDefault="00DA7C0F" w:rsidP="00DA7C0F">
            <w:pPr>
              <w:numPr>
                <w:ilvl w:val="0"/>
                <w:numId w:val="32"/>
              </w:numPr>
              <w:spacing w:after="0" w:line="240" w:lineRule="auto"/>
              <w:ind w:left="322" w:hanging="322"/>
              <w:contextualSpacing/>
              <w:cnfStyle w:val="000000100000" w:firstRow="0" w:lastRow="0" w:firstColumn="0" w:lastColumn="0" w:oddVBand="0" w:evenVBand="0" w:oddHBand="1" w:evenHBand="0" w:firstRowFirstColumn="0" w:firstRowLastColumn="0" w:lastRowFirstColumn="0" w:lastRowLastColumn="0"/>
              <w:rPr>
                <w:sz w:val="24"/>
                <w:szCs w:val="24"/>
              </w:rPr>
            </w:pPr>
            <w:r w:rsidRPr="00DA7C0F">
              <w:rPr>
                <w:sz w:val="24"/>
                <w:szCs w:val="24"/>
              </w:rPr>
              <w:t xml:space="preserve">Enter Required Data (i.e., Newborn and Others Screening, Unduplicated Count and Total Encounters of Individuals Served, Deliveries and Infants Served by Title V and Entitled to Benefits Under Title XIX and State Toll-free Hotline and Other Appropriate Methods Data) on Forms #4, #5a, #5b, #6 and #7 for the Reporting Year. </w:t>
            </w:r>
          </w:p>
          <w:p w14:paraId="1F88FEFB" w14:textId="77777777" w:rsidR="00DA7C0F" w:rsidRPr="00DA7C0F" w:rsidRDefault="00DA7C0F" w:rsidP="00DA7C0F">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p w14:paraId="65AA93E3" w14:textId="77777777" w:rsidR="00DA7C0F" w:rsidRPr="00DA7C0F" w:rsidRDefault="00DA7C0F" w:rsidP="00DA7C0F">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DA7C0F" w:rsidRPr="00DA7C0F" w14:paraId="365C88FA" w14:textId="77777777" w:rsidTr="00452AFE">
        <w:tc>
          <w:tcPr>
            <w:cnfStyle w:val="001000000000" w:firstRow="0" w:lastRow="0" w:firstColumn="1" w:lastColumn="0" w:oddVBand="0" w:evenVBand="0" w:oddHBand="0" w:evenHBand="0" w:firstRowFirstColumn="0" w:firstRowLastColumn="0" w:lastRowFirstColumn="0" w:lastRowLastColumn="0"/>
            <w:tcW w:w="1568" w:type="dxa"/>
            <w:tcBorders>
              <w:top w:val="single" w:sz="8" w:space="0" w:color="0B5294" w:themeColor="accent1" w:themeShade="BF"/>
              <w:bottom w:val="single" w:sz="8" w:space="0" w:color="0B5294" w:themeColor="accent1" w:themeShade="BF"/>
              <w:right w:val="single" w:sz="18" w:space="0" w:color="auto"/>
            </w:tcBorders>
            <w:shd w:val="clear" w:color="auto" w:fill="C7E2FA" w:themeFill="accent1" w:themeFillTint="33"/>
          </w:tcPr>
          <w:p w14:paraId="5EE94E9C" w14:textId="55304DA7" w:rsidR="00DA7C0F" w:rsidRPr="00452AFE" w:rsidRDefault="004D6267" w:rsidP="00DA7C0F">
            <w:pPr>
              <w:spacing w:after="0" w:line="240" w:lineRule="auto"/>
              <w:rPr>
                <w:color w:val="0B5294" w:themeColor="accent1" w:themeShade="BF"/>
                <w:sz w:val="24"/>
                <w:szCs w:val="24"/>
              </w:rPr>
            </w:pPr>
            <w:r w:rsidRPr="00452AFE">
              <w:rPr>
                <w:color w:val="0B5294" w:themeColor="accent1" w:themeShade="BF"/>
                <w:sz w:val="24"/>
                <w:szCs w:val="24"/>
              </w:rPr>
              <w:t>July 15, 2019</w:t>
            </w:r>
          </w:p>
        </w:tc>
        <w:tc>
          <w:tcPr>
            <w:tcW w:w="4752" w:type="dxa"/>
            <w:tcBorders>
              <w:top w:val="single" w:sz="8" w:space="0" w:color="0B5294" w:themeColor="accent1" w:themeShade="BF"/>
              <w:left w:val="single" w:sz="18" w:space="0" w:color="auto"/>
              <w:bottom w:val="single" w:sz="8" w:space="0" w:color="0B5294" w:themeColor="accent1" w:themeShade="BF"/>
              <w:right w:val="single" w:sz="8" w:space="0" w:color="0B5294" w:themeColor="accent1" w:themeShade="BF"/>
            </w:tcBorders>
            <w:shd w:val="clear" w:color="auto" w:fill="auto"/>
          </w:tcPr>
          <w:p w14:paraId="37799D66" w14:textId="6E767753" w:rsidR="00DA7C0F" w:rsidRPr="00DA7C0F" w:rsidRDefault="009F2A8D" w:rsidP="00DA7C0F">
            <w:pPr>
              <w:spacing w:after="0" w:line="240" w:lineRule="auto"/>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FY 2020</w:t>
            </w:r>
          </w:p>
          <w:p w14:paraId="4F982D04" w14:textId="7679A7D5" w:rsidR="00DA7C0F" w:rsidRPr="00DA7C0F" w:rsidRDefault="009F2A8D" w:rsidP="00DA7C0F">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(Interim Year 05</w:t>
            </w:r>
            <w:r w:rsidRPr="009F2A8D">
              <w:rPr>
                <w:sz w:val="24"/>
                <w:szCs w:val="24"/>
              </w:rPr>
              <w:t xml:space="preserve"> Application </w:t>
            </w:r>
            <w:r w:rsidR="00DA7C0F" w:rsidRPr="00DA7C0F">
              <w:rPr>
                <w:sz w:val="24"/>
                <w:szCs w:val="24"/>
              </w:rPr>
              <w:t>of Five-year Reporting Cycle)</w:t>
            </w:r>
          </w:p>
          <w:p w14:paraId="1C03DFED" w14:textId="77777777" w:rsidR="00DA7C0F" w:rsidRPr="0044319E" w:rsidRDefault="00DA7C0F" w:rsidP="00DA7C0F">
            <w:pPr>
              <w:spacing w:after="0" w:line="240" w:lineRule="auto"/>
              <w:cnfStyle w:val="000000000000" w:firstRow="0" w:lastRow="0" w:firstColumn="0" w:lastColumn="0" w:oddVBand="0" w:evenVBand="0" w:oddHBand="0" w:evenHBand="0" w:firstRowFirstColumn="0" w:firstRowLastColumn="0" w:lastRowFirstColumn="0" w:lastRowLastColumn="0"/>
              <w:rPr>
                <w:sz w:val="8"/>
                <w:szCs w:val="8"/>
              </w:rPr>
            </w:pPr>
          </w:p>
          <w:p w14:paraId="5BB24908" w14:textId="77777777" w:rsidR="00DA7C0F" w:rsidRPr="00DA7C0F" w:rsidRDefault="00DA7C0F" w:rsidP="00DA7C0F">
            <w:pPr>
              <w:numPr>
                <w:ilvl w:val="0"/>
                <w:numId w:val="32"/>
              </w:numPr>
              <w:spacing w:after="0" w:line="240" w:lineRule="auto"/>
              <w:ind w:left="322" w:hanging="322"/>
              <w:contextualSpacing/>
              <w:cnfStyle w:val="000000000000" w:firstRow="0" w:lastRow="0" w:firstColumn="0" w:lastColumn="0" w:oddVBand="0" w:evenVBand="0" w:oddHBand="0" w:evenHBand="0" w:firstRowFirstColumn="0" w:firstRowLastColumn="0" w:lastRowFirstColumn="0" w:lastRowLastColumn="0"/>
              <w:rPr>
                <w:sz w:val="24"/>
                <w:szCs w:val="24"/>
              </w:rPr>
            </w:pPr>
            <w:r w:rsidRPr="00DA7C0F">
              <w:rPr>
                <w:sz w:val="24"/>
                <w:szCs w:val="24"/>
              </w:rPr>
              <w:t>Complete SF-424</w:t>
            </w:r>
          </w:p>
          <w:p w14:paraId="61A8B21D" w14:textId="77777777" w:rsidR="00DA7C0F" w:rsidRPr="00DA7C0F" w:rsidRDefault="00DA7C0F" w:rsidP="00DA7C0F">
            <w:pPr>
              <w:spacing w:after="0" w:line="240" w:lineRule="auto"/>
              <w:ind w:left="322"/>
              <w:contextualSpacing/>
              <w:cnfStyle w:val="000000000000" w:firstRow="0" w:lastRow="0" w:firstColumn="0" w:lastColumn="0" w:oddVBand="0" w:evenVBand="0" w:oddHBand="0" w:evenHBand="0" w:firstRowFirstColumn="0" w:firstRowLastColumn="0" w:lastRowFirstColumn="0" w:lastRowLastColumn="0"/>
              <w:rPr>
                <w:sz w:val="8"/>
                <w:szCs w:val="8"/>
              </w:rPr>
            </w:pPr>
          </w:p>
          <w:p w14:paraId="1FC5E631" w14:textId="77777777" w:rsidR="00DA7C0F" w:rsidRPr="00DA7C0F" w:rsidRDefault="00DA7C0F" w:rsidP="00DA7C0F">
            <w:pPr>
              <w:numPr>
                <w:ilvl w:val="0"/>
                <w:numId w:val="32"/>
              </w:numPr>
              <w:spacing w:after="0" w:line="240" w:lineRule="auto"/>
              <w:ind w:left="322" w:hanging="322"/>
              <w:contextualSpacing/>
              <w:cnfStyle w:val="000000000000" w:firstRow="0" w:lastRow="0" w:firstColumn="0" w:lastColumn="0" w:oddVBand="0" w:evenVBand="0" w:oddHBand="0" w:evenHBand="0" w:firstRowFirstColumn="0" w:firstRowLastColumn="0" w:lastRowFirstColumn="0" w:lastRowLastColumn="0"/>
              <w:rPr>
                <w:sz w:val="24"/>
                <w:szCs w:val="24"/>
              </w:rPr>
            </w:pPr>
            <w:r w:rsidRPr="00DA7C0F">
              <w:rPr>
                <w:sz w:val="24"/>
                <w:szCs w:val="24"/>
              </w:rPr>
              <w:t>Update Executive Summary</w:t>
            </w:r>
          </w:p>
          <w:p w14:paraId="061CAF9C" w14:textId="77777777" w:rsidR="00DA7C0F" w:rsidRPr="00DA7C0F" w:rsidRDefault="00DA7C0F" w:rsidP="00DA7C0F">
            <w:pPr>
              <w:spacing w:after="0" w:line="240" w:lineRule="auto"/>
              <w:cnfStyle w:val="000000000000" w:firstRow="0" w:lastRow="0" w:firstColumn="0" w:lastColumn="0" w:oddVBand="0" w:evenVBand="0" w:oddHBand="0" w:evenHBand="0" w:firstRowFirstColumn="0" w:firstRowLastColumn="0" w:lastRowFirstColumn="0" w:lastRowLastColumn="0"/>
              <w:rPr>
                <w:sz w:val="8"/>
                <w:szCs w:val="8"/>
              </w:rPr>
            </w:pPr>
            <w:r w:rsidRPr="00DA7C0F">
              <w:rPr>
                <w:sz w:val="24"/>
                <w:szCs w:val="24"/>
              </w:rPr>
              <w:t xml:space="preserve"> </w:t>
            </w:r>
          </w:p>
          <w:p w14:paraId="5C629409" w14:textId="02A3A819" w:rsidR="0044319E" w:rsidRPr="00E56579" w:rsidRDefault="0044319E" w:rsidP="0044319E">
            <w:pPr>
              <w:numPr>
                <w:ilvl w:val="0"/>
                <w:numId w:val="32"/>
              </w:numPr>
              <w:spacing w:after="0" w:line="240" w:lineRule="auto"/>
              <w:ind w:left="322" w:hanging="322"/>
              <w:contextualSpacing/>
              <w:cnfStyle w:val="000000000000" w:firstRow="0" w:lastRow="0" w:firstColumn="0" w:lastColumn="0" w:oddVBand="0" w:evenVBand="0" w:oddHBand="0" w:evenHBand="0" w:firstRowFirstColumn="0" w:firstRowLastColumn="0" w:lastRowFirstColumn="0" w:lastRowLastColumn="0"/>
              <w:rPr>
                <w:sz w:val="24"/>
                <w:szCs w:val="24"/>
              </w:rPr>
            </w:pPr>
            <w:r w:rsidRPr="00DA7C0F">
              <w:rPr>
                <w:sz w:val="24"/>
                <w:szCs w:val="24"/>
              </w:rPr>
              <w:t>Update Needs Assessment Summary</w:t>
            </w:r>
          </w:p>
          <w:p w14:paraId="1054F452" w14:textId="75E4DB42" w:rsidR="00DA7C0F" w:rsidRPr="00DA7C0F" w:rsidRDefault="00E56579" w:rsidP="00DA7C0F">
            <w:pPr>
              <w:numPr>
                <w:ilvl w:val="0"/>
                <w:numId w:val="32"/>
              </w:numPr>
              <w:spacing w:after="0" w:line="240" w:lineRule="auto"/>
              <w:ind w:left="322" w:hanging="322"/>
              <w:contextual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w:t>
            </w:r>
            <w:r w:rsidR="004D6267">
              <w:rPr>
                <w:sz w:val="24"/>
                <w:szCs w:val="24"/>
              </w:rPr>
              <w:t>dd FY 2024</w:t>
            </w:r>
            <w:r w:rsidR="00DA7C0F" w:rsidRPr="00DA7C0F">
              <w:rPr>
                <w:sz w:val="24"/>
                <w:szCs w:val="24"/>
              </w:rPr>
              <w:t xml:space="preserve"> Performance Objective for </w:t>
            </w:r>
            <w:r w:rsidR="00AF4AED">
              <w:rPr>
                <w:sz w:val="24"/>
                <w:szCs w:val="24"/>
              </w:rPr>
              <w:t>e</w:t>
            </w:r>
            <w:r w:rsidR="00DA7C0F" w:rsidRPr="00DA7C0F">
              <w:rPr>
                <w:sz w:val="24"/>
                <w:szCs w:val="24"/>
              </w:rPr>
              <w:t xml:space="preserve">ach </w:t>
            </w:r>
            <w:r w:rsidR="00AF4AED">
              <w:rPr>
                <w:sz w:val="24"/>
                <w:szCs w:val="24"/>
              </w:rPr>
              <w:t>selected NPM, SPM, and ESM</w:t>
            </w:r>
            <w:r w:rsidR="00DA7C0F" w:rsidRPr="00DA7C0F">
              <w:rPr>
                <w:sz w:val="24"/>
                <w:szCs w:val="24"/>
              </w:rPr>
              <w:t xml:space="preserve"> on Form #10A </w:t>
            </w:r>
          </w:p>
          <w:p w14:paraId="7BE797A3" w14:textId="77777777" w:rsidR="00DA7C0F" w:rsidRPr="00DA7C0F" w:rsidRDefault="00DA7C0F" w:rsidP="00DA7C0F">
            <w:pPr>
              <w:spacing w:after="0" w:line="240" w:lineRule="auto"/>
              <w:cnfStyle w:val="000000000000" w:firstRow="0" w:lastRow="0" w:firstColumn="0" w:lastColumn="0" w:oddVBand="0" w:evenVBand="0" w:oddHBand="0" w:evenHBand="0" w:firstRowFirstColumn="0" w:firstRowLastColumn="0" w:lastRowFirstColumn="0" w:lastRowLastColumn="0"/>
              <w:rPr>
                <w:sz w:val="8"/>
                <w:szCs w:val="8"/>
              </w:rPr>
            </w:pPr>
          </w:p>
          <w:p w14:paraId="206AB66A" w14:textId="7D05E04E" w:rsidR="00AF4AED" w:rsidRDefault="00AF4AED" w:rsidP="00AF4AED">
            <w:pPr>
              <w:numPr>
                <w:ilvl w:val="0"/>
                <w:numId w:val="32"/>
              </w:numPr>
              <w:spacing w:after="0" w:line="240" w:lineRule="auto"/>
              <w:ind w:left="322" w:hanging="322"/>
              <w:contextual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Update State Action Plan as needed</w:t>
            </w:r>
          </w:p>
          <w:p w14:paraId="657B04EC" w14:textId="31302F00" w:rsidR="00E56579" w:rsidRDefault="00E56579" w:rsidP="00E56579">
            <w:pPr>
              <w:spacing w:after="0" w:line="240" w:lineRule="auto"/>
              <w:contextualSpacing/>
              <w:cnfStyle w:val="000000000000" w:firstRow="0" w:lastRow="0" w:firstColumn="0" w:lastColumn="0" w:oddVBand="0" w:evenVBand="0" w:oddHBand="0" w:evenHBand="0" w:firstRowFirstColumn="0" w:firstRowLastColumn="0" w:lastRowFirstColumn="0" w:lastRowLastColumn="0"/>
              <w:rPr>
                <w:sz w:val="24"/>
                <w:szCs w:val="24"/>
              </w:rPr>
            </w:pPr>
          </w:p>
          <w:p w14:paraId="2087EF3D" w14:textId="77777777" w:rsidR="00E56579" w:rsidRDefault="00E56579" w:rsidP="00E56579">
            <w:pPr>
              <w:spacing w:after="0" w:line="240" w:lineRule="auto"/>
              <w:contextualSpacing/>
              <w:cnfStyle w:val="000000000000" w:firstRow="0" w:lastRow="0" w:firstColumn="0" w:lastColumn="0" w:oddVBand="0" w:evenVBand="0" w:oddHBand="0" w:evenHBand="0" w:firstRowFirstColumn="0" w:firstRowLastColumn="0" w:lastRowFirstColumn="0" w:lastRowLastColumn="0"/>
              <w:rPr>
                <w:sz w:val="24"/>
                <w:szCs w:val="24"/>
              </w:rPr>
            </w:pPr>
          </w:p>
          <w:p w14:paraId="3B428CE3" w14:textId="2EE6B06C" w:rsidR="00E56579" w:rsidRPr="00DA7C0F" w:rsidRDefault="00E56579" w:rsidP="00E56579">
            <w:pPr>
              <w:spacing w:after="0" w:line="240" w:lineRule="auto"/>
              <w:ind w:left="322"/>
              <w:contextualSpacing/>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FY 2020</w:t>
            </w:r>
            <w:r w:rsidRPr="00DA7C0F">
              <w:rPr>
                <w:b/>
                <w:sz w:val="24"/>
                <w:szCs w:val="24"/>
              </w:rPr>
              <w:t xml:space="preserve"> (Continued)</w:t>
            </w:r>
          </w:p>
          <w:p w14:paraId="0BC4ABB4" w14:textId="77777777" w:rsidR="00E56579" w:rsidRPr="00E56579" w:rsidRDefault="00E56579" w:rsidP="00E56579">
            <w:pPr>
              <w:spacing w:after="0" w:line="240" w:lineRule="auto"/>
              <w:contextualSpacing/>
              <w:cnfStyle w:val="000000000000" w:firstRow="0" w:lastRow="0" w:firstColumn="0" w:lastColumn="0" w:oddVBand="0" w:evenVBand="0" w:oddHBand="0" w:evenHBand="0" w:firstRowFirstColumn="0" w:firstRowLastColumn="0" w:lastRowFirstColumn="0" w:lastRowLastColumn="0"/>
              <w:rPr>
                <w:sz w:val="24"/>
                <w:szCs w:val="24"/>
              </w:rPr>
            </w:pPr>
          </w:p>
          <w:p w14:paraId="7EB14A36" w14:textId="0521EBB0" w:rsidR="00DA7C0F" w:rsidRPr="00DA7C0F" w:rsidRDefault="00DA7C0F" w:rsidP="00DA7C0F">
            <w:pPr>
              <w:numPr>
                <w:ilvl w:val="0"/>
                <w:numId w:val="32"/>
              </w:numPr>
              <w:spacing w:after="0" w:line="240" w:lineRule="auto"/>
              <w:ind w:left="322" w:hanging="322"/>
              <w:contextualSpacing/>
              <w:cnfStyle w:val="000000000000" w:firstRow="0" w:lastRow="0" w:firstColumn="0" w:lastColumn="0" w:oddVBand="0" w:evenVBand="0" w:oddHBand="0" w:evenHBand="0" w:firstRowFirstColumn="0" w:firstRowLastColumn="0" w:lastRowFirstColumn="0" w:lastRowLastColumn="0"/>
              <w:rPr>
                <w:sz w:val="24"/>
                <w:szCs w:val="24"/>
              </w:rPr>
            </w:pPr>
            <w:r w:rsidRPr="00DA7C0F">
              <w:rPr>
                <w:sz w:val="24"/>
                <w:szCs w:val="24"/>
              </w:rPr>
              <w:t xml:space="preserve">Complete Narrative Sections of Application, including Presentation of the State’s Five-year Action Plan by </w:t>
            </w:r>
            <w:r w:rsidR="00AF4AED">
              <w:rPr>
                <w:sz w:val="24"/>
                <w:szCs w:val="24"/>
              </w:rPr>
              <w:t>MCH</w:t>
            </w:r>
            <w:r w:rsidRPr="00DA7C0F">
              <w:rPr>
                <w:sz w:val="24"/>
                <w:szCs w:val="24"/>
              </w:rPr>
              <w:t xml:space="preserve"> Health Domain</w:t>
            </w:r>
          </w:p>
          <w:p w14:paraId="7278FF83" w14:textId="77777777" w:rsidR="00DA7C0F" w:rsidRPr="00DA7C0F" w:rsidRDefault="00DA7C0F" w:rsidP="00DA7C0F">
            <w:pPr>
              <w:spacing w:after="0" w:line="240" w:lineRule="auto"/>
              <w:cnfStyle w:val="000000000000" w:firstRow="0" w:lastRow="0" w:firstColumn="0" w:lastColumn="0" w:oddVBand="0" w:evenVBand="0" w:oddHBand="0" w:evenHBand="0" w:firstRowFirstColumn="0" w:firstRowLastColumn="0" w:lastRowFirstColumn="0" w:lastRowLastColumn="0"/>
              <w:rPr>
                <w:sz w:val="8"/>
                <w:szCs w:val="8"/>
              </w:rPr>
            </w:pPr>
          </w:p>
          <w:p w14:paraId="26EF3535" w14:textId="77777777" w:rsidR="00DA7C0F" w:rsidRPr="00DA7C0F" w:rsidRDefault="00DA7C0F" w:rsidP="00DA7C0F">
            <w:pPr>
              <w:numPr>
                <w:ilvl w:val="0"/>
                <w:numId w:val="32"/>
              </w:numPr>
              <w:spacing w:after="0" w:line="240" w:lineRule="auto"/>
              <w:ind w:left="322" w:hanging="322"/>
              <w:contextualSpacing/>
              <w:cnfStyle w:val="000000000000" w:firstRow="0" w:lastRow="0" w:firstColumn="0" w:lastColumn="0" w:oddVBand="0" w:evenVBand="0" w:oddHBand="0" w:evenHBand="0" w:firstRowFirstColumn="0" w:firstRowLastColumn="0" w:lastRowFirstColumn="0" w:lastRowLastColumn="0"/>
              <w:rPr>
                <w:sz w:val="24"/>
                <w:szCs w:val="24"/>
              </w:rPr>
            </w:pPr>
            <w:r w:rsidRPr="00DA7C0F">
              <w:rPr>
                <w:sz w:val="24"/>
                <w:szCs w:val="24"/>
              </w:rPr>
              <w:t>Enter Budgeted Data for Application Year on Forms #2, #3a and #3b</w:t>
            </w:r>
          </w:p>
          <w:p w14:paraId="41D90C65" w14:textId="77777777" w:rsidR="00DA7C0F" w:rsidRPr="00DA7C0F" w:rsidRDefault="00DA7C0F" w:rsidP="00DA7C0F">
            <w:pPr>
              <w:spacing w:after="0" w:line="240" w:lineRule="auto"/>
              <w:cnfStyle w:val="000000000000" w:firstRow="0" w:lastRow="0" w:firstColumn="0" w:lastColumn="0" w:oddVBand="0" w:evenVBand="0" w:oddHBand="0" w:evenHBand="0" w:firstRowFirstColumn="0" w:firstRowLastColumn="0" w:lastRowFirstColumn="0" w:lastRowLastColumn="0"/>
              <w:rPr>
                <w:sz w:val="8"/>
                <w:szCs w:val="8"/>
              </w:rPr>
            </w:pPr>
          </w:p>
          <w:p w14:paraId="3EBD45E0" w14:textId="77777777" w:rsidR="00DA7C0F" w:rsidRPr="00DA7C0F" w:rsidRDefault="00DA7C0F" w:rsidP="00DA7C0F">
            <w:pPr>
              <w:numPr>
                <w:ilvl w:val="0"/>
                <w:numId w:val="32"/>
              </w:numPr>
              <w:spacing w:after="0" w:line="240" w:lineRule="auto"/>
              <w:ind w:left="322" w:hanging="322"/>
              <w:contextualSpacing/>
              <w:cnfStyle w:val="000000000000" w:firstRow="0" w:lastRow="0" w:firstColumn="0" w:lastColumn="0" w:oddVBand="0" w:evenVBand="0" w:oddHBand="0" w:evenHBand="0" w:firstRowFirstColumn="0" w:firstRowLastColumn="0" w:lastRowFirstColumn="0" w:lastRowLastColumn="0"/>
              <w:rPr>
                <w:sz w:val="24"/>
                <w:szCs w:val="24"/>
              </w:rPr>
            </w:pPr>
            <w:r w:rsidRPr="00DA7C0F">
              <w:rPr>
                <w:sz w:val="24"/>
                <w:szCs w:val="24"/>
              </w:rPr>
              <w:t>Update Listed Names of MCH Director, CSHSN Director and Family/Youth Leader on  Form #8</w:t>
            </w:r>
          </w:p>
          <w:p w14:paraId="7E2E6B47" w14:textId="77777777" w:rsidR="00DA7C0F" w:rsidRPr="00DA7C0F" w:rsidRDefault="00DA7C0F" w:rsidP="00DA7C0F">
            <w:pPr>
              <w:spacing w:after="0" w:line="240" w:lineRule="auto"/>
              <w:cnfStyle w:val="000000000000" w:firstRow="0" w:lastRow="0" w:firstColumn="0" w:lastColumn="0" w:oddVBand="0" w:evenVBand="0" w:oddHBand="0" w:evenHBand="0" w:firstRowFirstColumn="0" w:firstRowLastColumn="0" w:lastRowFirstColumn="0" w:lastRowLastColumn="0"/>
              <w:rPr>
                <w:sz w:val="8"/>
                <w:szCs w:val="8"/>
              </w:rPr>
            </w:pPr>
          </w:p>
          <w:p w14:paraId="55D678E1" w14:textId="77777777" w:rsidR="00DA7C0F" w:rsidRPr="00DA7C0F" w:rsidRDefault="00DA7C0F" w:rsidP="00DA7C0F">
            <w:pPr>
              <w:numPr>
                <w:ilvl w:val="0"/>
                <w:numId w:val="32"/>
              </w:numPr>
              <w:spacing w:after="0" w:line="240" w:lineRule="auto"/>
              <w:ind w:left="322" w:hanging="322"/>
              <w:contextualSpacing/>
              <w:cnfStyle w:val="000000000000" w:firstRow="0" w:lastRow="0" w:firstColumn="0" w:lastColumn="0" w:oddVBand="0" w:evenVBand="0" w:oddHBand="0" w:evenHBand="0" w:firstRowFirstColumn="0" w:firstRowLastColumn="0" w:lastRowFirstColumn="0" w:lastRowLastColumn="0"/>
              <w:rPr>
                <w:sz w:val="24"/>
                <w:szCs w:val="24"/>
              </w:rPr>
            </w:pPr>
            <w:r w:rsidRPr="00DA7C0F">
              <w:rPr>
                <w:sz w:val="24"/>
                <w:szCs w:val="24"/>
              </w:rPr>
              <w:t>Review Other State Data (OSD) on       Form #11 and Form #10A for NOMs</w:t>
            </w:r>
          </w:p>
          <w:p w14:paraId="1FE833C5" w14:textId="77777777" w:rsidR="00DA7C0F" w:rsidRPr="00DA7C0F" w:rsidRDefault="00DA7C0F" w:rsidP="00DA7C0F">
            <w:pPr>
              <w:spacing w:after="0" w:line="240" w:lineRule="auto"/>
              <w:cnfStyle w:val="000000000000" w:firstRow="0" w:lastRow="0" w:firstColumn="0" w:lastColumn="0" w:oddVBand="0" w:evenVBand="0" w:oddHBand="0" w:evenHBand="0" w:firstRowFirstColumn="0" w:firstRowLastColumn="0" w:lastRowFirstColumn="0" w:lastRowLastColumn="0"/>
              <w:rPr>
                <w:sz w:val="8"/>
                <w:szCs w:val="8"/>
              </w:rPr>
            </w:pPr>
          </w:p>
        </w:tc>
        <w:tc>
          <w:tcPr>
            <w:tcW w:w="4752" w:type="dxa"/>
            <w:tcBorders>
              <w:top w:val="single" w:sz="8" w:space="0" w:color="0B5294" w:themeColor="accent1" w:themeShade="BF"/>
              <w:left w:val="single" w:sz="8" w:space="0" w:color="0B5294" w:themeColor="accent1" w:themeShade="BF"/>
              <w:bottom w:val="single" w:sz="8" w:space="0" w:color="0B5294" w:themeColor="accent1" w:themeShade="BF"/>
              <w:right w:val="single" w:sz="18" w:space="0" w:color="auto"/>
            </w:tcBorders>
            <w:shd w:val="clear" w:color="auto" w:fill="auto"/>
          </w:tcPr>
          <w:p w14:paraId="2A16D2DA" w14:textId="6F61F6F4" w:rsidR="00DA7C0F" w:rsidRPr="00DA7C0F" w:rsidRDefault="009F2A8D" w:rsidP="00DA7C0F">
            <w:pPr>
              <w:spacing w:after="0" w:line="240" w:lineRule="auto"/>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FY 2018</w:t>
            </w:r>
          </w:p>
          <w:p w14:paraId="48A3B735" w14:textId="1D0F7253" w:rsidR="00DA7C0F" w:rsidRPr="00DA7C0F" w:rsidRDefault="00DA7C0F" w:rsidP="00DA7C0F">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DA7C0F">
              <w:rPr>
                <w:sz w:val="24"/>
                <w:szCs w:val="24"/>
              </w:rPr>
              <w:t>(</w:t>
            </w:r>
            <w:r w:rsidR="009F2A8D">
              <w:rPr>
                <w:sz w:val="24"/>
                <w:szCs w:val="24"/>
              </w:rPr>
              <w:t>Interim Year 03</w:t>
            </w:r>
            <w:r w:rsidR="009F2A8D" w:rsidRPr="009F2A8D">
              <w:rPr>
                <w:sz w:val="24"/>
                <w:szCs w:val="24"/>
              </w:rPr>
              <w:t xml:space="preserve"> of Previous Reporting Cycle</w:t>
            </w:r>
            <w:r w:rsidRPr="00DA7C0F">
              <w:rPr>
                <w:sz w:val="24"/>
                <w:szCs w:val="24"/>
              </w:rPr>
              <w:t>)</w:t>
            </w:r>
          </w:p>
          <w:p w14:paraId="4BB84711" w14:textId="77777777" w:rsidR="00DA7C0F" w:rsidRPr="0044319E" w:rsidRDefault="00DA7C0F" w:rsidP="00DA7C0F">
            <w:pPr>
              <w:spacing w:after="0" w:line="240" w:lineRule="auto"/>
              <w:cnfStyle w:val="000000000000" w:firstRow="0" w:lastRow="0" w:firstColumn="0" w:lastColumn="0" w:oddVBand="0" w:evenVBand="0" w:oddHBand="0" w:evenHBand="0" w:firstRowFirstColumn="0" w:firstRowLastColumn="0" w:lastRowFirstColumn="0" w:lastRowLastColumn="0"/>
              <w:rPr>
                <w:sz w:val="8"/>
                <w:szCs w:val="8"/>
              </w:rPr>
            </w:pPr>
          </w:p>
          <w:p w14:paraId="32BEAE4C" w14:textId="125BDA3F" w:rsidR="00DA7C0F" w:rsidRPr="00E56579" w:rsidRDefault="00826009" w:rsidP="00E56579">
            <w:pPr>
              <w:numPr>
                <w:ilvl w:val="0"/>
                <w:numId w:val="32"/>
              </w:numPr>
              <w:spacing w:after="0" w:line="240" w:lineRule="auto"/>
              <w:ind w:left="322" w:hanging="322"/>
              <w:contextual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Enter the FY 2018</w:t>
            </w:r>
            <w:r w:rsidR="00DA7C0F" w:rsidRPr="00DA7C0F">
              <w:rPr>
                <w:sz w:val="24"/>
                <w:szCs w:val="24"/>
              </w:rPr>
              <w:t xml:space="preserve"> Annual Indicator Data (specifically, the Numerator, Denominator, Data Source and Data Note) for the </w:t>
            </w:r>
            <w:r w:rsidRPr="00826009">
              <w:rPr>
                <w:sz w:val="24"/>
                <w:szCs w:val="24"/>
              </w:rPr>
              <w:t>Selected NPMs, ESMs and SPMs</w:t>
            </w:r>
          </w:p>
          <w:p w14:paraId="58316CDB" w14:textId="77777777" w:rsidR="00DA7C0F" w:rsidRPr="00DA7C0F" w:rsidRDefault="00DA7C0F" w:rsidP="00DA7C0F">
            <w:pPr>
              <w:spacing w:after="0" w:line="240" w:lineRule="auto"/>
              <w:jc w:val="center"/>
              <w:cnfStyle w:val="000000000000" w:firstRow="0" w:lastRow="0" w:firstColumn="0" w:lastColumn="0" w:oddVBand="0" w:evenVBand="0" w:oddHBand="0" w:evenHBand="0" w:firstRowFirstColumn="0" w:firstRowLastColumn="0" w:lastRowFirstColumn="0" w:lastRowLastColumn="0"/>
              <w:rPr>
                <w:sz w:val="8"/>
                <w:szCs w:val="8"/>
              </w:rPr>
            </w:pPr>
          </w:p>
          <w:p w14:paraId="7B29DFD4" w14:textId="1234ED36" w:rsidR="00DA7C0F" w:rsidRPr="00DA7C0F" w:rsidRDefault="00DA7C0F" w:rsidP="00DA7C0F">
            <w:pPr>
              <w:numPr>
                <w:ilvl w:val="0"/>
                <w:numId w:val="32"/>
              </w:numPr>
              <w:spacing w:after="0" w:line="240" w:lineRule="auto"/>
              <w:ind w:left="322" w:hanging="322"/>
              <w:contextualSpacing/>
              <w:cnfStyle w:val="000000000000" w:firstRow="0" w:lastRow="0" w:firstColumn="0" w:lastColumn="0" w:oddVBand="0" w:evenVBand="0" w:oddHBand="0" w:evenHBand="0" w:firstRowFirstColumn="0" w:firstRowLastColumn="0" w:lastRowFirstColumn="0" w:lastRowLastColumn="0"/>
              <w:rPr>
                <w:sz w:val="24"/>
                <w:szCs w:val="24"/>
              </w:rPr>
            </w:pPr>
            <w:r w:rsidRPr="00DA7C0F">
              <w:rPr>
                <w:sz w:val="24"/>
                <w:szCs w:val="24"/>
              </w:rPr>
              <w:t>R</w:t>
            </w:r>
            <w:r w:rsidR="00826009">
              <w:rPr>
                <w:sz w:val="24"/>
                <w:szCs w:val="24"/>
              </w:rPr>
              <w:t>eport on FY 2018</w:t>
            </w:r>
            <w:r w:rsidRPr="00DA7C0F">
              <w:rPr>
                <w:sz w:val="24"/>
                <w:szCs w:val="24"/>
              </w:rPr>
              <w:t xml:space="preserve"> Program Activities and Analyze Performance, by </w:t>
            </w:r>
            <w:r w:rsidR="00826009">
              <w:rPr>
                <w:sz w:val="24"/>
                <w:szCs w:val="24"/>
              </w:rPr>
              <w:t>MCH</w:t>
            </w:r>
            <w:r w:rsidRPr="00DA7C0F">
              <w:rPr>
                <w:sz w:val="24"/>
                <w:szCs w:val="24"/>
              </w:rPr>
              <w:t xml:space="preserve"> Health Domain, using New Narrative Format </w:t>
            </w:r>
          </w:p>
          <w:p w14:paraId="107CB2CB" w14:textId="77777777" w:rsidR="00DA7C0F" w:rsidRPr="00DA7C0F" w:rsidRDefault="00DA7C0F" w:rsidP="00DA7C0F">
            <w:pPr>
              <w:spacing w:after="0" w:line="240" w:lineRule="auto"/>
              <w:cnfStyle w:val="000000000000" w:firstRow="0" w:lastRow="0" w:firstColumn="0" w:lastColumn="0" w:oddVBand="0" w:evenVBand="0" w:oddHBand="0" w:evenHBand="0" w:firstRowFirstColumn="0" w:firstRowLastColumn="0" w:lastRowFirstColumn="0" w:lastRowLastColumn="0"/>
              <w:rPr>
                <w:sz w:val="8"/>
                <w:szCs w:val="8"/>
              </w:rPr>
            </w:pPr>
            <w:r w:rsidRPr="00DA7C0F">
              <w:rPr>
                <w:sz w:val="24"/>
                <w:szCs w:val="24"/>
              </w:rPr>
              <w:t xml:space="preserve"> </w:t>
            </w:r>
          </w:p>
          <w:p w14:paraId="1AE3C315" w14:textId="77777777" w:rsidR="00DA7C0F" w:rsidRPr="00DA7C0F" w:rsidRDefault="00DA7C0F" w:rsidP="00DA7C0F">
            <w:pPr>
              <w:numPr>
                <w:ilvl w:val="0"/>
                <w:numId w:val="32"/>
              </w:numPr>
              <w:spacing w:after="0" w:line="240" w:lineRule="auto"/>
              <w:ind w:left="322" w:hanging="322"/>
              <w:contextualSpacing/>
              <w:cnfStyle w:val="000000000000" w:firstRow="0" w:lastRow="0" w:firstColumn="0" w:lastColumn="0" w:oddVBand="0" w:evenVBand="0" w:oddHBand="0" w:evenHBand="0" w:firstRowFirstColumn="0" w:firstRowLastColumn="0" w:lastRowFirstColumn="0" w:lastRowLastColumn="0"/>
              <w:rPr>
                <w:sz w:val="24"/>
                <w:szCs w:val="24"/>
              </w:rPr>
            </w:pPr>
            <w:r w:rsidRPr="00DA7C0F">
              <w:rPr>
                <w:sz w:val="24"/>
                <w:szCs w:val="24"/>
              </w:rPr>
              <w:t>Enter Expenditure Data on Forms #2, #3a, and #3b</w:t>
            </w:r>
          </w:p>
          <w:p w14:paraId="2EBFABFC" w14:textId="77777777" w:rsidR="00DA7C0F" w:rsidRPr="00DA7C0F" w:rsidRDefault="00DA7C0F" w:rsidP="00DA7C0F">
            <w:pPr>
              <w:spacing w:after="0" w:line="240" w:lineRule="auto"/>
              <w:cnfStyle w:val="000000000000" w:firstRow="0" w:lastRow="0" w:firstColumn="0" w:lastColumn="0" w:oddVBand="0" w:evenVBand="0" w:oddHBand="0" w:evenHBand="0" w:firstRowFirstColumn="0" w:firstRowLastColumn="0" w:lastRowFirstColumn="0" w:lastRowLastColumn="0"/>
              <w:rPr>
                <w:sz w:val="8"/>
                <w:szCs w:val="8"/>
              </w:rPr>
            </w:pPr>
          </w:p>
          <w:p w14:paraId="209B93B8" w14:textId="77777777" w:rsidR="00E56579" w:rsidRDefault="00E56579" w:rsidP="00E56579">
            <w:pPr>
              <w:spacing w:after="0" w:line="240" w:lineRule="auto"/>
              <w:contextualSpacing/>
              <w:cnfStyle w:val="000000000000" w:firstRow="0" w:lastRow="0" w:firstColumn="0" w:lastColumn="0" w:oddVBand="0" w:evenVBand="0" w:oddHBand="0" w:evenHBand="0" w:firstRowFirstColumn="0" w:firstRowLastColumn="0" w:lastRowFirstColumn="0" w:lastRowLastColumn="0"/>
              <w:rPr>
                <w:sz w:val="24"/>
                <w:szCs w:val="24"/>
              </w:rPr>
            </w:pPr>
          </w:p>
          <w:p w14:paraId="12BE0100" w14:textId="77777777" w:rsidR="00E56579" w:rsidRPr="00DA7C0F" w:rsidRDefault="00E56579" w:rsidP="00E56579">
            <w:pPr>
              <w:spacing w:after="0" w:line="240" w:lineRule="auto"/>
              <w:ind w:left="322"/>
              <w:contextualSpacing/>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FY 2018</w:t>
            </w:r>
            <w:r w:rsidRPr="00DA7C0F">
              <w:rPr>
                <w:b/>
                <w:sz w:val="24"/>
                <w:szCs w:val="24"/>
              </w:rPr>
              <w:t xml:space="preserve"> (Continued)</w:t>
            </w:r>
          </w:p>
          <w:p w14:paraId="5CBC4563" w14:textId="77777777" w:rsidR="00E56579" w:rsidRDefault="00E56579" w:rsidP="00E56579">
            <w:pPr>
              <w:spacing w:after="0" w:line="240" w:lineRule="auto"/>
              <w:contextualSpacing/>
              <w:cnfStyle w:val="000000000000" w:firstRow="0" w:lastRow="0" w:firstColumn="0" w:lastColumn="0" w:oddVBand="0" w:evenVBand="0" w:oddHBand="0" w:evenHBand="0" w:firstRowFirstColumn="0" w:firstRowLastColumn="0" w:lastRowFirstColumn="0" w:lastRowLastColumn="0"/>
              <w:rPr>
                <w:sz w:val="24"/>
                <w:szCs w:val="24"/>
              </w:rPr>
            </w:pPr>
          </w:p>
          <w:p w14:paraId="0A35B499" w14:textId="36AE6DEF" w:rsidR="00DA7C0F" w:rsidRPr="00DA7C0F" w:rsidRDefault="00DA7C0F" w:rsidP="00DA7C0F">
            <w:pPr>
              <w:numPr>
                <w:ilvl w:val="0"/>
                <w:numId w:val="32"/>
              </w:numPr>
              <w:spacing w:after="0" w:line="240" w:lineRule="auto"/>
              <w:ind w:left="322" w:hanging="322"/>
              <w:contextualSpacing/>
              <w:cnfStyle w:val="000000000000" w:firstRow="0" w:lastRow="0" w:firstColumn="0" w:lastColumn="0" w:oddVBand="0" w:evenVBand="0" w:oddHBand="0" w:evenHBand="0" w:firstRowFirstColumn="0" w:firstRowLastColumn="0" w:lastRowFirstColumn="0" w:lastRowLastColumn="0"/>
              <w:rPr>
                <w:sz w:val="24"/>
                <w:szCs w:val="24"/>
              </w:rPr>
            </w:pPr>
            <w:r w:rsidRPr="00DA7C0F">
              <w:rPr>
                <w:sz w:val="24"/>
                <w:szCs w:val="24"/>
              </w:rPr>
              <w:t xml:space="preserve">Enter Required Data (i.e., Newborn and Others Screening, Unduplicated Count and Total Encounters of Individuals Served, Deliveries and Infants Served by Title V and Entitled to Benefits Under Title XIX and State Toll-free Hotline and Other Appropriate Methods Data) on Forms #4, #5a, #5b, #6 and #7 for the Reporting Year. </w:t>
            </w:r>
          </w:p>
          <w:p w14:paraId="495E0116" w14:textId="77777777" w:rsidR="00DA7C0F" w:rsidRPr="00DA7C0F" w:rsidRDefault="00DA7C0F" w:rsidP="00DA7C0F">
            <w:pPr>
              <w:spacing w:after="0" w:line="240" w:lineRule="auto"/>
              <w:cnfStyle w:val="000000000000" w:firstRow="0" w:lastRow="0" w:firstColumn="0" w:lastColumn="0" w:oddVBand="0" w:evenVBand="0" w:oddHBand="0" w:evenHBand="0" w:firstRowFirstColumn="0" w:firstRowLastColumn="0" w:lastRowFirstColumn="0" w:lastRowLastColumn="0"/>
              <w:rPr>
                <w:sz w:val="8"/>
                <w:szCs w:val="8"/>
              </w:rPr>
            </w:pPr>
          </w:p>
        </w:tc>
      </w:tr>
      <w:tr w:rsidR="00DA7C0F" w:rsidRPr="00DA7C0F" w14:paraId="130B894C" w14:textId="77777777" w:rsidTr="0045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8" w:type="dxa"/>
            <w:tcBorders>
              <w:top w:val="single" w:sz="8" w:space="0" w:color="0B5294" w:themeColor="accent1" w:themeShade="BF"/>
              <w:right w:val="single" w:sz="18" w:space="0" w:color="auto"/>
            </w:tcBorders>
            <w:shd w:val="clear" w:color="auto" w:fill="C7E2FA" w:themeFill="accent1" w:themeFillTint="33"/>
          </w:tcPr>
          <w:p w14:paraId="16FFAC73" w14:textId="516C4A9F" w:rsidR="00DA7C0F" w:rsidRPr="00452AFE" w:rsidRDefault="004D6267" w:rsidP="00DA7C0F">
            <w:pPr>
              <w:spacing w:after="0" w:line="240" w:lineRule="auto"/>
              <w:rPr>
                <w:color w:val="0B5294" w:themeColor="accent1" w:themeShade="BF"/>
                <w:sz w:val="24"/>
                <w:szCs w:val="24"/>
              </w:rPr>
            </w:pPr>
            <w:r w:rsidRPr="00452AFE">
              <w:rPr>
                <w:color w:val="0B5294" w:themeColor="accent1" w:themeShade="BF"/>
                <w:sz w:val="24"/>
                <w:szCs w:val="24"/>
              </w:rPr>
              <w:t>July 15, 2020</w:t>
            </w:r>
          </w:p>
        </w:tc>
        <w:tc>
          <w:tcPr>
            <w:tcW w:w="4752" w:type="dxa"/>
            <w:tcBorders>
              <w:top w:val="single" w:sz="8" w:space="0" w:color="0B5294" w:themeColor="accent1" w:themeShade="BF"/>
              <w:left w:val="single" w:sz="18" w:space="0" w:color="auto"/>
              <w:bottom w:val="single" w:sz="18" w:space="0" w:color="auto"/>
              <w:right w:val="single" w:sz="8" w:space="0" w:color="0B5294" w:themeColor="accent1" w:themeShade="BF"/>
            </w:tcBorders>
            <w:shd w:val="clear" w:color="auto" w:fill="auto"/>
          </w:tcPr>
          <w:p w14:paraId="69877225" w14:textId="658000B3" w:rsidR="00DA7C0F" w:rsidRPr="00DA7C0F" w:rsidRDefault="009F2A8D" w:rsidP="00DA7C0F">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b/>
                <w:sz w:val="24"/>
                <w:szCs w:val="24"/>
              </w:rPr>
              <w:t>FY 2021</w:t>
            </w:r>
          </w:p>
          <w:p w14:paraId="0C32E264" w14:textId="29778F6C" w:rsidR="00DA7C0F" w:rsidRPr="00DA7C0F" w:rsidRDefault="00DA7C0F" w:rsidP="00DA7C0F">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DA7C0F">
              <w:rPr>
                <w:sz w:val="24"/>
                <w:szCs w:val="24"/>
              </w:rPr>
              <w:t>(</w:t>
            </w:r>
            <w:r w:rsidR="009F2A8D">
              <w:rPr>
                <w:sz w:val="24"/>
                <w:szCs w:val="24"/>
              </w:rPr>
              <w:t xml:space="preserve">First </w:t>
            </w:r>
            <w:r w:rsidR="009F2A8D" w:rsidRPr="00DA7C0F">
              <w:rPr>
                <w:sz w:val="24"/>
                <w:szCs w:val="24"/>
              </w:rPr>
              <w:t>Application Year of New Five-year Reporting Cycle</w:t>
            </w:r>
            <w:r w:rsidRPr="00DA7C0F">
              <w:rPr>
                <w:sz w:val="24"/>
                <w:szCs w:val="24"/>
              </w:rPr>
              <w:t>)</w:t>
            </w:r>
          </w:p>
          <w:p w14:paraId="433A1082" w14:textId="77777777" w:rsidR="004D6267" w:rsidRPr="00DA7C0F" w:rsidRDefault="004D6267" w:rsidP="004D6267">
            <w:pPr>
              <w:numPr>
                <w:ilvl w:val="0"/>
                <w:numId w:val="32"/>
              </w:numPr>
              <w:spacing w:after="0" w:line="240" w:lineRule="auto"/>
              <w:ind w:left="322" w:hanging="322"/>
              <w:contextualSpacing/>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Complete Application for Fede</w:t>
            </w:r>
            <w:r w:rsidRPr="00DA7C0F">
              <w:rPr>
                <w:sz w:val="24"/>
                <w:szCs w:val="24"/>
              </w:rPr>
              <w:t>ral Assistance (Standard Form - 424)</w:t>
            </w:r>
          </w:p>
          <w:p w14:paraId="259820F2" w14:textId="77777777" w:rsidR="004D6267" w:rsidRPr="00DA7C0F" w:rsidRDefault="004D6267" w:rsidP="004D6267">
            <w:pPr>
              <w:spacing w:after="0" w:line="240" w:lineRule="auto"/>
              <w:ind w:left="322"/>
              <w:contextualSpacing/>
              <w:cnfStyle w:val="000000100000" w:firstRow="0" w:lastRow="0" w:firstColumn="0" w:lastColumn="0" w:oddVBand="0" w:evenVBand="0" w:oddHBand="1" w:evenHBand="0" w:firstRowFirstColumn="0" w:firstRowLastColumn="0" w:lastRowFirstColumn="0" w:lastRowLastColumn="0"/>
              <w:rPr>
                <w:sz w:val="8"/>
                <w:szCs w:val="8"/>
              </w:rPr>
            </w:pPr>
          </w:p>
          <w:p w14:paraId="5834B5F6" w14:textId="77777777" w:rsidR="004D6267" w:rsidRPr="00DA7C0F" w:rsidRDefault="004D6267" w:rsidP="004D6267">
            <w:pPr>
              <w:numPr>
                <w:ilvl w:val="0"/>
                <w:numId w:val="32"/>
              </w:numPr>
              <w:spacing w:after="0" w:line="240" w:lineRule="auto"/>
              <w:ind w:left="322" w:hanging="322"/>
              <w:contextualSpacing/>
              <w:cnfStyle w:val="000000100000" w:firstRow="0" w:lastRow="0" w:firstColumn="0" w:lastColumn="0" w:oddVBand="0" w:evenVBand="0" w:oddHBand="1" w:evenHBand="0" w:firstRowFirstColumn="0" w:firstRowLastColumn="0" w:lastRowFirstColumn="0" w:lastRowLastColumn="0"/>
              <w:rPr>
                <w:sz w:val="24"/>
                <w:szCs w:val="24"/>
              </w:rPr>
            </w:pPr>
            <w:r w:rsidRPr="00DA7C0F">
              <w:rPr>
                <w:sz w:val="24"/>
                <w:szCs w:val="24"/>
              </w:rPr>
              <w:t>Develop Executive Summary for Application</w:t>
            </w:r>
          </w:p>
          <w:p w14:paraId="7935743B" w14:textId="77777777" w:rsidR="004D6267" w:rsidRPr="00DA7C0F" w:rsidRDefault="004D6267" w:rsidP="004D6267">
            <w:pPr>
              <w:spacing w:after="0" w:line="240" w:lineRule="auto"/>
              <w:cnfStyle w:val="000000100000" w:firstRow="0" w:lastRow="0" w:firstColumn="0" w:lastColumn="0" w:oddVBand="0" w:evenVBand="0" w:oddHBand="1" w:evenHBand="0" w:firstRowFirstColumn="0" w:firstRowLastColumn="0" w:lastRowFirstColumn="0" w:lastRowLastColumn="0"/>
              <w:rPr>
                <w:sz w:val="8"/>
                <w:szCs w:val="8"/>
              </w:rPr>
            </w:pPr>
          </w:p>
          <w:p w14:paraId="12B901C8" w14:textId="77777777" w:rsidR="004D6267" w:rsidRPr="00DA7C0F" w:rsidRDefault="004D6267" w:rsidP="004D6267">
            <w:pPr>
              <w:numPr>
                <w:ilvl w:val="0"/>
                <w:numId w:val="32"/>
              </w:numPr>
              <w:spacing w:after="0" w:line="240" w:lineRule="auto"/>
              <w:ind w:left="322" w:hanging="322"/>
              <w:contextualSpacing/>
              <w:cnfStyle w:val="000000100000" w:firstRow="0" w:lastRow="0" w:firstColumn="0" w:lastColumn="0" w:oddVBand="0" w:evenVBand="0" w:oddHBand="1" w:evenHBand="0" w:firstRowFirstColumn="0" w:firstRowLastColumn="0" w:lastRowFirstColumn="0" w:lastRowLastColumn="0"/>
              <w:rPr>
                <w:sz w:val="24"/>
                <w:szCs w:val="24"/>
              </w:rPr>
            </w:pPr>
            <w:r w:rsidRPr="00DA7C0F">
              <w:rPr>
                <w:sz w:val="24"/>
                <w:szCs w:val="24"/>
              </w:rPr>
              <w:t>Include Needs Assessment Summary in the Application</w:t>
            </w:r>
          </w:p>
          <w:p w14:paraId="5E86235B" w14:textId="77777777" w:rsidR="004D6267" w:rsidRPr="00DA7C0F" w:rsidRDefault="004D6267" w:rsidP="004D6267">
            <w:pPr>
              <w:spacing w:after="0" w:line="240" w:lineRule="auto"/>
              <w:cnfStyle w:val="000000100000" w:firstRow="0" w:lastRow="0" w:firstColumn="0" w:lastColumn="0" w:oddVBand="0" w:evenVBand="0" w:oddHBand="1" w:evenHBand="0" w:firstRowFirstColumn="0" w:firstRowLastColumn="0" w:lastRowFirstColumn="0" w:lastRowLastColumn="0"/>
              <w:rPr>
                <w:sz w:val="8"/>
                <w:szCs w:val="8"/>
              </w:rPr>
            </w:pPr>
          </w:p>
          <w:p w14:paraId="5B0741C2" w14:textId="77777777" w:rsidR="004D6267" w:rsidRPr="00DA7C0F" w:rsidRDefault="004D6267" w:rsidP="004D6267">
            <w:pPr>
              <w:numPr>
                <w:ilvl w:val="0"/>
                <w:numId w:val="32"/>
              </w:numPr>
              <w:spacing w:after="0" w:line="240" w:lineRule="auto"/>
              <w:ind w:left="322" w:hanging="322"/>
              <w:contextualSpacing/>
              <w:cnfStyle w:val="000000100000" w:firstRow="0" w:lastRow="0" w:firstColumn="0" w:lastColumn="0" w:oddVBand="0" w:evenVBand="0" w:oddHBand="1" w:evenHBand="0" w:firstRowFirstColumn="0" w:firstRowLastColumn="0" w:lastRowFirstColumn="0" w:lastRowLastColumn="0"/>
              <w:rPr>
                <w:sz w:val="24"/>
                <w:szCs w:val="24"/>
              </w:rPr>
            </w:pPr>
            <w:r w:rsidRPr="00DA7C0F">
              <w:rPr>
                <w:sz w:val="24"/>
                <w:szCs w:val="24"/>
              </w:rPr>
              <w:t>Identify 7-10 Priority Needs (Form #9)</w:t>
            </w:r>
          </w:p>
          <w:p w14:paraId="4072984D" w14:textId="77777777" w:rsidR="004D6267" w:rsidRPr="00DA7C0F" w:rsidRDefault="004D6267" w:rsidP="004D6267">
            <w:pPr>
              <w:spacing w:after="0" w:line="240" w:lineRule="auto"/>
              <w:cnfStyle w:val="000000100000" w:firstRow="0" w:lastRow="0" w:firstColumn="0" w:lastColumn="0" w:oddVBand="0" w:evenVBand="0" w:oddHBand="1" w:evenHBand="0" w:firstRowFirstColumn="0" w:firstRowLastColumn="0" w:lastRowFirstColumn="0" w:lastRowLastColumn="0"/>
              <w:rPr>
                <w:sz w:val="8"/>
                <w:szCs w:val="8"/>
              </w:rPr>
            </w:pPr>
          </w:p>
          <w:p w14:paraId="0749A03C" w14:textId="4A36CA57" w:rsidR="004D6267" w:rsidRDefault="004D6267" w:rsidP="004D6267">
            <w:pPr>
              <w:numPr>
                <w:ilvl w:val="0"/>
                <w:numId w:val="32"/>
              </w:numPr>
              <w:spacing w:after="0" w:line="240" w:lineRule="auto"/>
              <w:ind w:left="322" w:hanging="322"/>
              <w:contextualSpacing/>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Select </w:t>
            </w:r>
            <w:r w:rsidR="00AF4AED">
              <w:rPr>
                <w:sz w:val="24"/>
                <w:szCs w:val="24"/>
              </w:rPr>
              <w:t xml:space="preserve">at least </w:t>
            </w:r>
            <w:r>
              <w:rPr>
                <w:sz w:val="24"/>
                <w:szCs w:val="24"/>
              </w:rPr>
              <w:t>5</w:t>
            </w:r>
            <w:r w:rsidRPr="00DA7C0F">
              <w:rPr>
                <w:sz w:val="24"/>
                <w:szCs w:val="24"/>
              </w:rPr>
              <w:t xml:space="preserve"> National Performance Measures (NPMs) and Enter Five-year Performance Objectives on Form #10A</w:t>
            </w:r>
          </w:p>
          <w:p w14:paraId="715A3B03" w14:textId="77777777" w:rsidR="00AF4AED" w:rsidRPr="00AF4AED" w:rsidRDefault="00AF4AED" w:rsidP="00AF4AED">
            <w:pPr>
              <w:spacing w:after="0" w:line="240" w:lineRule="auto"/>
              <w:contextualSpacing/>
              <w:cnfStyle w:val="000000100000" w:firstRow="0" w:lastRow="0" w:firstColumn="0" w:lastColumn="0" w:oddVBand="0" w:evenVBand="0" w:oddHBand="1" w:evenHBand="0" w:firstRowFirstColumn="0" w:firstRowLastColumn="0" w:lastRowFirstColumn="0" w:lastRowLastColumn="0"/>
              <w:rPr>
                <w:sz w:val="8"/>
                <w:szCs w:val="8"/>
              </w:rPr>
            </w:pPr>
          </w:p>
          <w:p w14:paraId="1C9A94A4" w14:textId="5CA9BFCC" w:rsidR="004D6267" w:rsidRDefault="004D6267" w:rsidP="004D6267">
            <w:pPr>
              <w:numPr>
                <w:ilvl w:val="0"/>
                <w:numId w:val="32"/>
              </w:numPr>
              <w:spacing w:after="0" w:line="240" w:lineRule="auto"/>
              <w:ind w:left="322" w:hanging="322"/>
              <w:contextualSpacing/>
              <w:cnfStyle w:val="000000100000" w:firstRow="0" w:lastRow="0" w:firstColumn="0" w:lastColumn="0" w:oddVBand="0" w:evenVBand="0" w:oddHBand="1" w:evenHBand="0" w:firstRowFirstColumn="0" w:firstRowLastColumn="0" w:lastRowFirstColumn="0" w:lastRowLastColumn="0"/>
              <w:rPr>
                <w:sz w:val="24"/>
                <w:szCs w:val="24"/>
              </w:rPr>
            </w:pPr>
            <w:r w:rsidRPr="004D6267">
              <w:rPr>
                <w:sz w:val="24"/>
                <w:szCs w:val="24"/>
              </w:rPr>
              <w:t>Develop Evidence-based or -informed Strategy Measures (ESMs) for Each Selected NPM; Prepare Detail Sheet for each ESM on Form #10C; and Enter Five-year Performance Objectives for Each ESM on Form #10A</w:t>
            </w:r>
          </w:p>
          <w:p w14:paraId="772FD504" w14:textId="77777777" w:rsidR="00AF4AED" w:rsidRPr="00AF4AED" w:rsidRDefault="00AF4AED" w:rsidP="00AF4AED">
            <w:pPr>
              <w:spacing w:after="0" w:line="240" w:lineRule="auto"/>
              <w:ind w:left="322"/>
              <w:contextualSpacing/>
              <w:cnfStyle w:val="000000100000" w:firstRow="0" w:lastRow="0" w:firstColumn="0" w:lastColumn="0" w:oddVBand="0" w:evenVBand="0" w:oddHBand="1" w:evenHBand="0" w:firstRowFirstColumn="0" w:firstRowLastColumn="0" w:lastRowFirstColumn="0" w:lastRowLastColumn="0"/>
              <w:rPr>
                <w:sz w:val="8"/>
                <w:szCs w:val="8"/>
              </w:rPr>
            </w:pPr>
          </w:p>
          <w:p w14:paraId="26A1E0D7" w14:textId="6EC88230" w:rsidR="00AF4AED" w:rsidRPr="00DA7C0F" w:rsidRDefault="00AF4AED" w:rsidP="004D6267">
            <w:pPr>
              <w:numPr>
                <w:ilvl w:val="0"/>
                <w:numId w:val="32"/>
              </w:numPr>
              <w:spacing w:after="0" w:line="240" w:lineRule="auto"/>
              <w:ind w:left="322" w:hanging="322"/>
              <w:contextualSpacing/>
              <w:cnfStyle w:val="000000100000" w:firstRow="0" w:lastRow="0" w:firstColumn="0" w:lastColumn="0" w:oddVBand="0" w:evenVBand="0" w:oddHBand="1" w:evenHBand="0" w:firstRowFirstColumn="0" w:firstRowLastColumn="0" w:lastRowFirstColumn="0" w:lastRowLastColumn="0"/>
              <w:rPr>
                <w:sz w:val="24"/>
                <w:szCs w:val="24"/>
              </w:rPr>
            </w:pPr>
            <w:r w:rsidRPr="00DA7C0F">
              <w:rPr>
                <w:sz w:val="24"/>
                <w:szCs w:val="24"/>
              </w:rPr>
              <w:t>Develop SPMs to Address Priority Needs Not Addressed Through the NPMs and ESMs; Prepare Detail Sheet for Each SPM on Form #10B; and Enter Five-year Performance Objectives for Each SPM on Form #10A</w:t>
            </w:r>
          </w:p>
          <w:p w14:paraId="2E94E49B" w14:textId="77777777" w:rsidR="004D6267" w:rsidRPr="00DA7C0F" w:rsidRDefault="004D6267" w:rsidP="004D6267">
            <w:pPr>
              <w:spacing w:after="0" w:line="240" w:lineRule="auto"/>
              <w:cnfStyle w:val="000000100000" w:firstRow="0" w:lastRow="0" w:firstColumn="0" w:lastColumn="0" w:oddVBand="0" w:evenVBand="0" w:oddHBand="1" w:evenHBand="0" w:firstRowFirstColumn="0" w:firstRowLastColumn="0" w:lastRowFirstColumn="0" w:lastRowLastColumn="0"/>
              <w:rPr>
                <w:sz w:val="8"/>
                <w:szCs w:val="8"/>
              </w:rPr>
            </w:pPr>
          </w:p>
          <w:p w14:paraId="2112DABD" w14:textId="559F0118" w:rsidR="004D6267" w:rsidRPr="00DA7C0F" w:rsidRDefault="004D6267" w:rsidP="004D6267">
            <w:pPr>
              <w:numPr>
                <w:ilvl w:val="0"/>
                <w:numId w:val="32"/>
              </w:numPr>
              <w:spacing w:after="0" w:line="240" w:lineRule="auto"/>
              <w:ind w:left="322" w:hanging="322"/>
              <w:contextualSpacing/>
              <w:cnfStyle w:val="000000100000" w:firstRow="0" w:lastRow="0" w:firstColumn="0" w:lastColumn="0" w:oddVBand="0" w:evenVBand="0" w:oddHBand="1" w:evenHBand="0" w:firstRowFirstColumn="0" w:firstRowLastColumn="0" w:lastRowFirstColumn="0" w:lastRowLastColumn="0"/>
              <w:rPr>
                <w:sz w:val="24"/>
                <w:szCs w:val="24"/>
              </w:rPr>
            </w:pPr>
            <w:r w:rsidRPr="00DA7C0F">
              <w:rPr>
                <w:sz w:val="24"/>
                <w:szCs w:val="24"/>
              </w:rPr>
              <w:t>Prepare Five-Year State Action Plan Table</w:t>
            </w:r>
          </w:p>
          <w:p w14:paraId="6B5E42A0" w14:textId="77777777" w:rsidR="004D6267" w:rsidRPr="00DA7C0F" w:rsidRDefault="004D6267" w:rsidP="004D6267">
            <w:pPr>
              <w:spacing w:after="0" w:line="240" w:lineRule="auto"/>
              <w:cnfStyle w:val="000000100000" w:firstRow="0" w:lastRow="0" w:firstColumn="0" w:lastColumn="0" w:oddVBand="0" w:evenVBand="0" w:oddHBand="1" w:evenHBand="0" w:firstRowFirstColumn="0" w:firstRowLastColumn="0" w:lastRowFirstColumn="0" w:lastRowLastColumn="0"/>
              <w:rPr>
                <w:sz w:val="8"/>
                <w:szCs w:val="8"/>
              </w:rPr>
            </w:pPr>
          </w:p>
          <w:p w14:paraId="20F763C0" w14:textId="2195D298" w:rsidR="00E56579" w:rsidRPr="00DA7C0F" w:rsidRDefault="00E56579" w:rsidP="00E56579">
            <w:pPr>
              <w:spacing w:after="0" w:line="240" w:lineRule="auto"/>
              <w:ind w:left="322"/>
              <w:contextualSpacing/>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FY 2021</w:t>
            </w:r>
            <w:r w:rsidRPr="00DA7C0F">
              <w:rPr>
                <w:b/>
                <w:sz w:val="24"/>
                <w:szCs w:val="24"/>
              </w:rPr>
              <w:t xml:space="preserve"> (Continued)</w:t>
            </w:r>
          </w:p>
          <w:p w14:paraId="2333A21A" w14:textId="77777777" w:rsidR="00E56579" w:rsidRDefault="00E56579" w:rsidP="00E56579">
            <w:pPr>
              <w:spacing w:after="0" w:line="240" w:lineRule="auto"/>
              <w:contextualSpacing/>
              <w:cnfStyle w:val="000000100000" w:firstRow="0" w:lastRow="0" w:firstColumn="0" w:lastColumn="0" w:oddVBand="0" w:evenVBand="0" w:oddHBand="1" w:evenHBand="0" w:firstRowFirstColumn="0" w:firstRowLastColumn="0" w:lastRowFirstColumn="0" w:lastRowLastColumn="0"/>
              <w:rPr>
                <w:sz w:val="24"/>
                <w:szCs w:val="24"/>
              </w:rPr>
            </w:pPr>
          </w:p>
          <w:p w14:paraId="1A2ED649" w14:textId="63CBF99B" w:rsidR="004D6267" w:rsidRPr="00DA7C0F" w:rsidRDefault="004D6267" w:rsidP="004D6267">
            <w:pPr>
              <w:numPr>
                <w:ilvl w:val="0"/>
                <w:numId w:val="32"/>
              </w:numPr>
              <w:spacing w:after="0" w:line="240" w:lineRule="auto"/>
              <w:ind w:left="322" w:hanging="322"/>
              <w:contextualSpacing/>
              <w:cnfStyle w:val="000000100000" w:firstRow="0" w:lastRow="0" w:firstColumn="0" w:lastColumn="0" w:oddVBand="0" w:evenVBand="0" w:oddHBand="1" w:evenHBand="0" w:firstRowFirstColumn="0" w:firstRowLastColumn="0" w:lastRowFirstColumn="0" w:lastRowLastColumn="0"/>
              <w:rPr>
                <w:sz w:val="24"/>
                <w:szCs w:val="24"/>
              </w:rPr>
            </w:pPr>
            <w:r w:rsidRPr="00DA7C0F">
              <w:rPr>
                <w:sz w:val="24"/>
                <w:szCs w:val="24"/>
              </w:rPr>
              <w:t xml:space="preserve">Complete Narrative Sections of Application, including Presentation of the State’s Five-year Action Plan by </w:t>
            </w:r>
            <w:r>
              <w:rPr>
                <w:sz w:val="24"/>
                <w:szCs w:val="24"/>
              </w:rPr>
              <w:t>MCH</w:t>
            </w:r>
            <w:r w:rsidRPr="00DA7C0F">
              <w:rPr>
                <w:sz w:val="24"/>
                <w:szCs w:val="24"/>
              </w:rPr>
              <w:t xml:space="preserve"> Health Domain</w:t>
            </w:r>
          </w:p>
          <w:p w14:paraId="11DF6033" w14:textId="77777777" w:rsidR="004D6267" w:rsidRPr="00DA7C0F" w:rsidRDefault="004D6267" w:rsidP="004D6267">
            <w:pPr>
              <w:spacing w:after="0" w:line="240" w:lineRule="auto"/>
              <w:cnfStyle w:val="000000100000" w:firstRow="0" w:lastRow="0" w:firstColumn="0" w:lastColumn="0" w:oddVBand="0" w:evenVBand="0" w:oddHBand="1" w:evenHBand="0" w:firstRowFirstColumn="0" w:firstRowLastColumn="0" w:lastRowFirstColumn="0" w:lastRowLastColumn="0"/>
              <w:rPr>
                <w:sz w:val="8"/>
                <w:szCs w:val="8"/>
              </w:rPr>
            </w:pPr>
          </w:p>
          <w:p w14:paraId="417A486A" w14:textId="77777777" w:rsidR="004D6267" w:rsidRPr="00DA7C0F" w:rsidRDefault="004D6267" w:rsidP="004D6267">
            <w:pPr>
              <w:numPr>
                <w:ilvl w:val="0"/>
                <w:numId w:val="32"/>
              </w:numPr>
              <w:spacing w:after="0" w:line="240" w:lineRule="auto"/>
              <w:ind w:left="322" w:hanging="322"/>
              <w:contextualSpacing/>
              <w:cnfStyle w:val="000000100000" w:firstRow="0" w:lastRow="0" w:firstColumn="0" w:lastColumn="0" w:oddVBand="0" w:evenVBand="0" w:oddHBand="1" w:evenHBand="0" w:firstRowFirstColumn="0" w:firstRowLastColumn="0" w:lastRowFirstColumn="0" w:lastRowLastColumn="0"/>
              <w:rPr>
                <w:sz w:val="24"/>
                <w:szCs w:val="24"/>
              </w:rPr>
            </w:pPr>
            <w:r w:rsidRPr="00DA7C0F">
              <w:rPr>
                <w:sz w:val="24"/>
                <w:szCs w:val="24"/>
              </w:rPr>
              <w:t>Enter Budgeted Data for Application Year on Forms #2, #3a and #3b</w:t>
            </w:r>
          </w:p>
          <w:p w14:paraId="0B38D3B7" w14:textId="77777777" w:rsidR="004D6267" w:rsidRPr="00DA7C0F" w:rsidRDefault="004D6267" w:rsidP="004D6267">
            <w:pPr>
              <w:spacing w:after="0" w:line="240" w:lineRule="auto"/>
              <w:cnfStyle w:val="000000100000" w:firstRow="0" w:lastRow="0" w:firstColumn="0" w:lastColumn="0" w:oddVBand="0" w:evenVBand="0" w:oddHBand="1" w:evenHBand="0" w:firstRowFirstColumn="0" w:firstRowLastColumn="0" w:lastRowFirstColumn="0" w:lastRowLastColumn="0"/>
              <w:rPr>
                <w:sz w:val="8"/>
                <w:szCs w:val="8"/>
              </w:rPr>
            </w:pPr>
          </w:p>
          <w:p w14:paraId="5E60BEA8" w14:textId="4742C2E6" w:rsidR="00AF4AED" w:rsidRDefault="004D6267" w:rsidP="004D6267">
            <w:pPr>
              <w:numPr>
                <w:ilvl w:val="0"/>
                <w:numId w:val="32"/>
              </w:numPr>
              <w:spacing w:after="0" w:line="240" w:lineRule="auto"/>
              <w:ind w:left="322" w:hanging="322"/>
              <w:contextualSpacing/>
              <w:cnfStyle w:val="000000100000" w:firstRow="0" w:lastRow="0" w:firstColumn="0" w:lastColumn="0" w:oddVBand="0" w:evenVBand="0" w:oddHBand="1" w:evenHBand="0" w:firstRowFirstColumn="0" w:firstRowLastColumn="0" w:lastRowFirstColumn="0" w:lastRowLastColumn="0"/>
              <w:rPr>
                <w:sz w:val="24"/>
                <w:szCs w:val="24"/>
              </w:rPr>
            </w:pPr>
            <w:r w:rsidRPr="00DA7C0F">
              <w:rPr>
                <w:sz w:val="24"/>
                <w:szCs w:val="24"/>
              </w:rPr>
              <w:t>List Names of MCH Director, CSHSN Director and Family/Youth Leader on  Form #8</w:t>
            </w:r>
          </w:p>
          <w:p w14:paraId="673BDDF9" w14:textId="77777777" w:rsidR="00AF4AED" w:rsidRPr="00AF4AED" w:rsidRDefault="00AF4AED" w:rsidP="00AF4AED">
            <w:pPr>
              <w:spacing w:after="0" w:line="240" w:lineRule="auto"/>
              <w:ind w:left="322"/>
              <w:contextualSpacing/>
              <w:cnfStyle w:val="000000100000" w:firstRow="0" w:lastRow="0" w:firstColumn="0" w:lastColumn="0" w:oddVBand="0" w:evenVBand="0" w:oddHBand="1" w:evenHBand="0" w:firstRowFirstColumn="0" w:firstRowLastColumn="0" w:lastRowFirstColumn="0" w:lastRowLastColumn="0"/>
              <w:rPr>
                <w:sz w:val="8"/>
                <w:szCs w:val="8"/>
              </w:rPr>
            </w:pPr>
          </w:p>
          <w:p w14:paraId="1723CDDA" w14:textId="521A84AD" w:rsidR="00DA7C0F" w:rsidRPr="00AF4AED" w:rsidRDefault="004D6267" w:rsidP="004D6267">
            <w:pPr>
              <w:numPr>
                <w:ilvl w:val="0"/>
                <w:numId w:val="32"/>
              </w:numPr>
              <w:spacing w:after="0" w:line="240" w:lineRule="auto"/>
              <w:ind w:left="322" w:hanging="322"/>
              <w:contextualSpacing/>
              <w:cnfStyle w:val="000000100000" w:firstRow="0" w:lastRow="0" w:firstColumn="0" w:lastColumn="0" w:oddVBand="0" w:evenVBand="0" w:oddHBand="1" w:evenHBand="0" w:firstRowFirstColumn="0" w:firstRowLastColumn="0" w:lastRowFirstColumn="0" w:lastRowLastColumn="0"/>
              <w:rPr>
                <w:sz w:val="24"/>
                <w:szCs w:val="24"/>
              </w:rPr>
            </w:pPr>
            <w:r w:rsidRPr="00AF4AED">
              <w:rPr>
                <w:sz w:val="24"/>
                <w:szCs w:val="24"/>
              </w:rPr>
              <w:t>Review Other State Data (OSD) on       Form #11 and Form #10A for National Outcome Measures (NOMs)</w:t>
            </w:r>
          </w:p>
          <w:p w14:paraId="539CEE86" w14:textId="77777777" w:rsidR="00DA7C0F" w:rsidRPr="009D0B01" w:rsidRDefault="00DA7C0F" w:rsidP="00DA7C0F">
            <w:pPr>
              <w:spacing w:after="0" w:line="240" w:lineRule="auto"/>
              <w:jc w:val="center"/>
              <w:cnfStyle w:val="000000100000" w:firstRow="0" w:lastRow="0" w:firstColumn="0" w:lastColumn="0" w:oddVBand="0" w:evenVBand="0" w:oddHBand="1" w:evenHBand="0" w:firstRowFirstColumn="0" w:firstRowLastColumn="0" w:lastRowFirstColumn="0" w:lastRowLastColumn="0"/>
              <w:rPr>
                <w:sz w:val="8"/>
                <w:szCs w:val="8"/>
              </w:rPr>
            </w:pPr>
          </w:p>
          <w:p w14:paraId="68B1BBB9" w14:textId="77777777" w:rsidR="00DA7C0F" w:rsidRPr="00DA7C0F" w:rsidRDefault="00DA7C0F" w:rsidP="00DA7C0F">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4752" w:type="dxa"/>
            <w:tcBorders>
              <w:top w:val="single" w:sz="8" w:space="0" w:color="0B5294" w:themeColor="accent1" w:themeShade="BF"/>
              <w:left w:val="single" w:sz="8" w:space="0" w:color="0B5294" w:themeColor="accent1" w:themeShade="BF"/>
              <w:bottom w:val="single" w:sz="18" w:space="0" w:color="auto"/>
              <w:right w:val="single" w:sz="18" w:space="0" w:color="auto"/>
            </w:tcBorders>
            <w:shd w:val="clear" w:color="auto" w:fill="auto"/>
          </w:tcPr>
          <w:p w14:paraId="057B9036" w14:textId="5CD65468" w:rsidR="00DA7C0F" w:rsidRPr="00DA7C0F" w:rsidRDefault="009F2A8D" w:rsidP="00DA7C0F">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FY 2019</w:t>
            </w:r>
          </w:p>
          <w:p w14:paraId="70581F96" w14:textId="35A486E8" w:rsidR="00DA7C0F" w:rsidRPr="00DA7C0F" w:rsidRDefault="00DA7C0F" w:rsidP="00DA7C0F">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DA7C0F">
              <w:rPr>
                <w:sz w:val="24"/>
                <w:szCs w:val="24"/>
              </w:rPr>
              <w:t>(</w:t>
            </w:r>
            <w:r w:rsidR="009F2A8D">
              <w:rPr>
                <w:sz w:val="24"/>
                <w:szCs w:val="24"/>
              </w:rPr>
              <w:t>Interim Year 0</w:t>
            </w:r>
            <w:r w:rsidR="00826009">
              <w:rPr>
                <w:sz w:val="24"/>
                <w:szCs w:val="24"/>
              </w:rPr>
              <w:t>4</w:t>
            </w:r>
            <w:r w:rsidR="009F2A8D" w:rsidRPr="009F2A8D">
              <w:rPr>
                <w:sz w:val="24"/>
                <w:szCs w:val="24"/>
              </w:rPr>
              <w:t xml:space="preserve"> of Previous Reporting Cycle</w:t>
            </w:r>
            <w:r w:rsidRPr="00DA7C0F">
              <w:rPr>
                <w:sz w:val="24"/>
                <w:szCs w:val="24"/>
              </w:rPr>
              <w:t>)</w:t>
            </w:r>
          </w:p>
          <w:p w14:paraId="7FC0B1A1" w14:textId="77777777" w:rsidR="00DA7C0F" w:rsidRPr="009D0B01" w:rsidRDefault="00DA7C0F" w:rsidP="00DA7C0F">
            <w:pPr>
              <w:spacing w:after="0" w:line="240" w:lineRule="auto"/>
              <w:jc w:val="center"/>
              <w:cnfStyle w:val="000000100000" w:firstRow="0" w:lastRow="0" w:firstColumn="0" w:lastColumn="0" w:oddVBand="0" w:evenVBand="0" w:oddHBand="1" w:evenHBand="0" w:firstRowFirstColumn="0" w:firstRowLastColumn="0" w:lastRowFirstColumn="0" w:lastRowLastColumn="0"/>
              <w:rPr>
                <w:sz w:val="8"/>
                <w:szCs w:val="8"/>
              </w:rPr>
            </w:pPr>
          </w:p>
          <w:p w14:paraId="110C6177" w14:textId="6AA68E9E" w:rsidR="00E56579" w:rsidRPr="00E56579" w:rsidRDefault="00826009" w:rsidP="00E56579">
            <w:pPr>
              <w:numPr>
                <w:ilvl w:val="0"/>
                <w:numId w:val="32"/>
              </w:numPr>
              <w:spacing w:after="0" w:line="240" w:lineRule="auto"/>
              <w:ind w:left="322" w:hanging="322"/>
              <w:contextualSpacing/>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Enter the FY 2019</w:t>
            </w:r>
            <w:r w:rsidR="00DA7C0F" w:rsidRPr="00DA7C0F">
              <w:rPr>
                <w:sz w:val="24"/>
                <w:szCs w:val="24"/>
              </w:rPr>
              <w:t xml:space="preserve"> Annual Indicator Data (specifically, the Numerator, Denominator, Data Source and Data Note) for the Selected NPMs, ESMs and SPMs</w:t>
            </w:r>
          </w:p>
          <w:p w14:paraId="296C4E38" w14:textId="7C0BFF7C" w:rsidR="00DA7C0F" w:rsidRPr="00DA7C0F" w:rsidRDefault="00826009" w:rsidP="00DA7C0F">
            <w:pPr>
              <w:numPr>
                <w:ilvl w:val="0"/>
                <w:numId w:val="32"/>
              </w:numPr>
              <w:spacing w:after="0" w:line="240" w:lineRule="auto"/>
              <w:ind w:left="322" w:hanging="322"/>
              <w:contextualSpacing/>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Report on FY 2019</w:t>
            </w:r>
            <w:r w:rsidR="00DA7C0F" w:rsidRPr="00DA7C0F">
              <w:rPr>
                <w:sz w:val="24"/>
                <w:szCs w:val="24"/>
              </w:rPr>
              <w:t xml:space="preserve"> Program Activities and Analyze Performance, by Population Health Domain, in the State Action Plan</w:t>
            </w:r>
          </w:p>
          <w:p w14:paraId="3B018100" w14:textId="77777777" w:rsidR="00DA7C0F" w:rsidRPr="00DA7C0F" w:rsidRDefault="00DA7C0F" w:rsidP="00DA7C0F">
            <w:pPr>
              <w:spacing w:after="0" w:line="240" w:lineRule="auto"/>
              <w:cnfStyle w:val="000000100000" w:firstRow="0" w:lastRow="0" w:firstColumn="0" w:lastColumn="0" w:oddVBand="0" w:evenVBand="0" w:oddHBand="1" w:evenHBand="0" w:firstRowFirstColumn="0" w:firstRowLastColumn="0" w:lastRowFirstColumn="0" w:lastRowLastColumn="0"/>
              <w:rPr>
                <w:sz w:val="8"/>
                <w:szCs w:val="8"/>
              </w:rPr>
            </w:pPr>
          </w:p>
          <w:p w14:paraId="43BEC1DB" w14:textId="77777777" w:rsidR="00DA7C0F" w:rsidRPr="00DA7C0F" w:rsidRDefault="00DA7C0F" w:rsidP="00DA7C0F">
            <w:pPr>
              <w:numPr>
                <w:ilvl w:val="0"/>
                <w:numId w:val="32"/>
              </w:numPr>
              <w:spacing w:after="0" w:line="240" w:lineRule="auto"/>
              <w:ind w:left="322" w:hanging="322"/>
              <w:contextualSpacing/>
              <w:cnfStyle w:val="000000100000" w:firstRow="0" w:lastRow="0" w:firstColumn="0" w:lastColumn="0" w:oddVBand="0" w:evenVBand="0" w:oddHBand="1" w:evenHBand="0" w:firstRowFirstColumn="0" w:firstRowLastColumn="0" w:lastRowFirstColumn="0" w:lastRowLastColumn="0"/>
              <w:rPr>
                <w:sz w:val="24"/>
                <w:szCs w:val="24"/>
              </w:rPr>
            </w:pPr>
            <w:r w:rsidRPr="00DA7C0F">
              <w:rPr>
                <w:sz w:val="24"/>
                <w:szCs w:val="24"/>
              </w:rPr>
              <w:t>Enter Expenditure Data on Forms #2, #3a, and #3b</w:t>
            </w:r>
          </w:p>
          <w:p w14:paraId="081FB4C5" w14:textId="77777777" w:rsidR="00DA7C0F" w:rsidRPr="00DA7C0F" w:rsidRDefault="00DA7C0F" w:rsidP="00DA7C0F">
            <w:pPr>
              <w:spacing w:after="0" w:line="240" w:lineRule="auto"/>
              <w:ind w:left="720"/>
              <w:contextualSpacing/>
              <w:cnfStyle w:val="000000100000" w:firstRow="0" w:lastRow="0" w:firstColumn="0" w:lastColumn="0" w:oddVBand="0" w:evenVBand="0" w:oddHBand="1" w:evenHBand="0" w:firstRowFirstColumn="0" w:firstRowLastColumn="0" w:lastRowFirstColumn="0" w:lastRowLastColumn="0"/>
              <w:rPr>
                <w:sz w:val="8"/>
                <w:szCs w:val="8"/>
              </w:rPr>
            </w:pPr>
          </w:p>
          <w:p w14:paraId="4366A49C" w14:textId="77777777" w:rsidR="00DA7C0F" w:rsidRPr="00DA7C0F" w:rsidRDefault="00DA7C0F" w:rsidP="00DA7C0F">
            <w:pPr>
              <w:numPr>
                <w:ilvl w:val="0"/>
                <w:numId w:val="32"/>
              </w:numPr>
              <w:spacing w:after="0" w:line="240" w:lineRule="auto"/>
              <w:ind w:left="322" w:hanging="322"/>
              <w:contextualSpacing/>
              <w:cnfStyle w:val="000000100000" w:firstRow="0" w:lastRow="0" w:firstColumn="0" w:lastColumn="0" w:oddVBand="0" w:evenVBand="0" w:oddHBand="1" w:evenHBand="0" w:firstRowFirstColumn="0" w:firstRowLastColumn="0" w:lastRowFirstColumn="0" w:lastRowLastColumn="0"/>
              <w:rPr>
                <w:sz w:val="24"/>
                <w:szCs w:val="24"/>
              </w:rPr>
            </w:pPr>
            <w:r w:rsidRPr="00DA7C0F">
              <w:rPr>
                <w:sz w:val="24"/>
                <w:szCs w:val="24"/>
              </w:rPr>
              <w:t>Enter Required Data (i.e., Newborn and Others Screening, Unduplicated Count and Total Encounters of Individuals Served, Deliveries and Infants Served by Title V and Entitled to Benefits Under Title XIX and State Toll-free Hotline and Other Appropriate Methods Data) on Forms #4, #5a, #5b, #6 and #7 for the Reporting Year</w:t>
            </w:r>
          </w:p>
          <w:p w14:paraId="53C5D39B" w14:textId="77777777" w:rsidR="00DA7C0F" w:rsidRPr="00DA7C0F" w:rsidRDefault="00DA7C0F" w:rsidP="00DA7C0F">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p>
          <w:p w14:paraId="6753C077" w14:textId="77777777" w:rsidR="00DA7C0F" w:rsidRPr="00DA7C0F" w:rsidRDefault="00DA7C0F" w:rsidP="00DA7C0F">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bl>
    <w:p w14:paraId="3C9EE9F3" w14:textId="77777777" w:rsidR="001A0351" w:rsidRDefault="001A0351" w:rsidP="005C6B05">
      <w:pPr>
        <w:spacing w:after="0" w:line="240" w:lineRule="auto"/>
        <w:rPr>
          <w:rFonts w:ascii="Arial" w:hAnsi="Arial" w:cs="Arial"/>
          <w:sz w:val="24"/>
          <w:szCs w:val="24"/>
        </w:rPr>
        <w:sectPr w:rsidR="001A0351" w:rsidSect="00F00DDC">
          <w:pgSz w:w="12240" w:h="15840"/>
          <w:pgMar w:top="720" w:right="720" w:bottom="720" w:left="720" w:header="720" w:footer="720" w:gutter="0"/>
          <w:cols w:space="720"/>
          <w:docGrid w:linePitch="360"/>
        </w:sectPr>
      </w:pPr>
    </w:p>
    <w:p w14:paraId="3781D1BD" w14:textId="77777777" w:rsidR="00924066" w:rsidRPr="00192BDC" w:rsidRDefault="000D4A19" w:rsidP="00924066">
      <w:pPr>
        <w:widowControl w:val="0"/>
        <w:pBdr>
          <w:bottom w:val="single" w:sz="8" w:space="4" w:color="0F6FC6" w:themeColor="accent1"/>
        </w:pBdr>
        <w:autoSpaceDE w:val="0"/>
        <w:autoSpaceDN w:val="0"/>
        <w:adjustRightInd w:val="0"/>
        <w:spacing w:after="300" w:line="240" w:lineRule="auto"/>
        <w:contextualSpacing/>
        <w:rPr>
          <w:rFonts w:asciiTheme="majorHAnsi" w:eastAsiaTheme="majorEastAsia" w:hAnsiTheme="majorHAnsi" w:cstheme="majorBidi"/>
          <w:color w:val="0B5294" w:themeColor="accent1" w:themeShade="BF"/>
          <w:spacing w:val="5"/>
          <w:kern w:val="28"/>
          <w:sz w:val="52"/>
          <w:szCs w:val="52"/>
        </w:rPr>
      </w:pPr>
      <w:r w:rsidRPr="00192BDC">
        <w:rPr>
          <w:rFonts w:asciiTheme="majorHAnsi" w:eastAsiaTheme="majorEastAsia" w:hAnsiTheme="majorHAnsi" w:cstheme="majorBidi"/>
          <w:color w:val="0B5294" w:themeColor="accent1" w:themeShade="BF"/>
          <w:spacing w:val="5"/>
          <w:kern w:val="28"/>
          <w:sz w:val="48"/>
          <w:szCs w:val="48"/>
        </w:rPr>
        <w:t>A</w:t>
      </w:r>
      <w:r w:rsidR="00924066" w:rsidRPr="00192BDC">
        <w:rPr>
          <w:rFonts w:asciiTheme="majorHAnsi" w:eastAsiaTheme="majorEastAsia" w:hAnsiTheme="majorHAnsi" w:cstheme="majorBidi"/>
          <w:color w:val="0B5294" w:themeColor="accent1" w:themeShade="BF"/>
          <w:spacing w:val="5"/>
          <w:kern w:val="28"/>
          <w:sz w:val="48"/>
          <w:szCs w:val="48"/>
        </w:rPr>
        <w:t>PPENDIX H:</w:t>
      </w:r>
      <w:r w:rsidR="00924066" w:rsidRPr="00192BDC">
        <w:rPr>
          <w:rFonts w:asciiTheme="majorHAnsi" w:eastAsiaTheme="majorEastAsia" w:hAnsiTheme="majorHAnsi" w:cstheme="majorBidi"/>
          <w:color w:val="0B5294" w:themeColor="accent1" w:themeShade="BF"/>
          <w:spacing w:val="5"/>
          <w:kern w:val="28"/>
          <w:sz w:val="52"/>
          <w:szCs w:val="52"/>
        </w:rPr>
        <w:t xml:space="preserve"> </w:t>
      </w:r>
      <w:r w:rsidR="00924066" w:rsidRPr="00192BDC">
        <w:rPr>
          <w:rFonts w:asciiTheme="majorHAnsi" w:eastAsiaTheme="majorEastAsia" w:hAnsiTheme="majorHAnsi" w:cstheme="majorBidi"/>
          <w:color w:val="0B5294" w:themeColor="accent1" w:themeShade="BF"/>
          <w:spacing w:val="5"/>
          <w:kern w:val="28"/>
          <w:sz w:val="26"/>
          <w:szCs w:val="26"/>
        </w:rPr>
        <w:t xml:space="preserve"> </w:t>
      </w:r>
      <w:r w:rsidR="00924066" w:rsidRPr="00192BDC">
        <w:rPr>
          <w:rFonts w:asciiTheme="majorHAnsi" w:eastAsiaTheme="majorEastAsia" w:hAnsiTheme="majorHAnsi" w:cstheme="majorBidi"/>
          <w:caps/>
          <w:color w:val="0B5294" w:themeColor="accent1" w:themeShade="BF"/>
          <w:spacing w:val="5"/>
          <w:kern w:val="28"/>
          <w:sz w:val="26"/>
          <w:szCs w:val="26"/>
        </w:rPr>
        <w:t>GLOSSARY</w:t>
      </w:r>
    </w:p>
    <w:p w14:paraId="0A581DEC" w14:textId="77777777" w:rsidR="005C6B05" w:rsidRPr="00B95C8E" w:rsidRDefault="005C6B05" w:rsidP="005C6B05">
      <w:pPr>
        <w:spacing w:after="0" w:line="240" w:lineRule="auto"/>
        <w:rPr>
          <w:rFonts w:ascii="Arial" w:hAnsi="Arial" w:cs="Arial"/>
          <w:sz w:val="20"/>
          <w:szCs w:val="20"/>
        </w:rPr>
      </w:pPr>
    </w:p>
    <w:p w14:paraId="7180AD8A" w14:textId="0226395B" w:rsidR="005C618C" w:rsidRPr="003C2840"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r w:rsidRPr="003C2840">
        <w:rPr>
          <w:rFonts w:asciiTheme="minorHAnsi" w:eastAsia="Times New Roman" w:hAnsiTheme="minorHAnsi"/>
          <w:sz w:val="24"/>
          <w:szCs w:val="20"/>
        </w:rPr>
        <w:t xml:space="preserve">A comprehensive glossary of terms relevant to maternal and child health (MCH) practice, including services for children with special health care needs (CSHCN), is available on the MCH Navigator site.  To access the Glossary, click on: </w:t>
      </w:r>
      <w:r w:rsidR="00932BA2" w:rsidRPr="003C2840">
        <w:rPr>
          <w:rFonts w:asciiTheme="minorHAnsi" w:eastAsia="Times New Roman" w:hAnsiTheme="minorHAnsi"/>
          <w:color w:val="0000FF"/>
          <w:sz w:val="24"/>
          <w:szCs w:val="20"/>
          <w:u w:val="single"/>
        </w:rPr>
        <w:t>(</w:t>
      </w:r>
      <w:hyperlink r:id="rId149" w:history="1">
        <w:r w:rsidR="00932BA2" w:rsidRPr="003C2840">
          <w:rPr>
            <w:rStyle w:val="Hyperlink"/>
            <w:rFonts w:asciiTheme="minorHAnsi" w:eastAsia="Times New Roman" w:hAnsiTheme="minorHAnsi"/>
            <w:sz w:val="24"/>
            <w:szCs w:val="20"/>
          </w:rPr>
          <w:t>https://www.mchnavigator.org/documents/Glossary_of_MCH_Terms_and_Acronyms_2012-11-17.pdf</w:t>
        </w:r>
      </w:hyperlink>
      <w:r w:rsidR="00932BA2" w:rsidRPr="003C2840">
        <w:rPr>
          <w:rFonts w:asciiTheme="minorHAnsi" w:eastAsia="Times New Roman" w:hAnsiTheme="minorHAnsi"/>
          <w:color w:val="0000FF"/>
          <w:sz w:val="24"/>
          <w:szCs w:val="20"/>
          <w:u w:val="single"/>
        </w:rPr>
        <w:t>)</w:t>
      </w:r>
      <w:r w:rsidRPr="003C2840">
        <w:rPr>
          <w:rFonts w:asciiTheme="minorHAnsi" w:eastAsia="Times New Roman" w:hAnsiTheme="minorHAnsi"/>
          <w:sz w:val="24"/>
          <w:szCs w:val="20"/>
        </w:rPr>
        <w:t xml:space="preserve">.  This project is administered by Georgetown University through funding provided by the Health Resources and Services Administration’s (HRSA) Maternal and Child Health Bureau (MCHB.)  The MCH Navigator is a learning portal for MCH professionals, students, and others working to improve the health and well-being of women, children, adolescents, and families.        </w:t>
      </w:r>
    </w:p>
    <w:p w14:paraId="708E79EC"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b/>
          <w:sz w:val="20"/>
          <w:szCs w:val="20"/>
        </w:rPr>
      </w:pPr>
    </w:p>
    <w:p w14:paraId="24E83711" w14:textId="40373668" w:rsidR="005C618C" w:rsidRPr="003C2840"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r w:rsidRPr="003C2840">
        <w:rPr>
          <w:rFonts w:asciiTheme="minorHAnsi" w:eastAsia="Times New Roman" w:hAnsiTheme="minorHAnsi"/>
          <w:sz w:val="24"/>
          <w:szCs w:val="20"/>
        </w:rPr>
        <w:t>Definitions included in this Glossary are intended to supplement the broader set of terms that are included in the MCH Navigator Glossary.  The following list of terms and their definitions have specific relevance to the State Title V MCH Block Grant</w:t>
      </w:r>
      <w:r w:rsidR="00CC1478">
        <w:rPr>
          <w:rFonts w:asciiTheme="minorHAnsi" w:eastAsia="Times New Roman" w:hAnsiTheme="minorHAnsi"/>
          <w:sz w:val="24"/>
          <w:szCs w:val="20"/>
        </w:rPr>
        <w:t>s</w:t>
      </w:r>
      <w:r w:rsidRPr="003C2840">
        <w:rPr>
          <w:rFonts w:asciiTheme="minorHAnsi" w:eastAsia="Times New Roman" w:hAnsiTheme="minorHAnsi"/>
          <w:sz w:val="24"/>
          <w:szCs w:val="20"/>
        </w:rPr>
        <w:t>.</w:t>
      </w:r>
    </w:p>
    <w:p w14:paraId="7B95430A"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sz w:val="28"/>
          <w:szCs w:val="28"/>
        </w:rPr>
      </w:pPr>
    </w:p>
    <w:p w14:paraId="2839DBDB" w14:textId="77777777" w:rsidR="005C618C" w:rsidRPr="00192BDC" w:rsidRDefault="005C618C" w:rsidP="005C618C">
      <w:pPr>
        <w:widowControl w:val="0"/>
        <w:pBdr>
          <w:bottom w:val="single" w:sz="4" w:space="4" w:color="0F6FC6" w:themeColor="accent1"/>
        </w:pBdr>
        <w:autoSpaceDE w:val="0"/>
        <w:autoSpaceDN w:val="0"/>
        <w:adjustRightInd w:val="0"/>
        <w:spacing w:line="240" w:lineRule="auto"/>
        <w:ind w:right="936"/>
        <w:rPr>
          <w:rFonts w:asciiTheme="minorHAnsi" w:eastAsia="Times New Roman" w:hAnsiTheme="minorHAnsi" w:cs="Arial"/>
          <w:b/>
          <w:bCs/>
          <w:i/>
          <w:iCs/>
          <w:color w:val="0B5294" w:themeColor="accent1" w:themeShade="BF"/>
          <w:sz w:val="28"/>
          <w:szCs w:val="28"/>
        </w:rPr>
      </w:pPr>
      <w:r w:rsidRPr="00192BDC">
        <w:rPr>
          <w:rFonts w:asciiTheme="minorHAnsi" w:eastAsia="Times New Roman" w:hAnsiTheme="minorHAnsi" w:cs="Arial"/>
          <w:b/>
          <w:bCs/>
          <w:i/>
          <w:iCs/>
          <w:color w:val="0B5294" w:themeColor="accent1" w:themeShade="BF"/>
          <w:sz w:val="28"/>
          <w:szCs w:val="28"/>
        </w:rPr>
        <w:t>MCH Working Framework:  MCH Pyramid of Services</w:t>
      </w:r>
    </w:p>
    <w:p w14:paraId="4EB438E6" w14:textId="5BC18076" w:rsidR="005C618C" w:rsidRPr="005C618C" w:rsidRDefault="001A3DFE" w:rsidP="005C618C">
      <w:pPr>
        <w:widowControl w:val="0"/>
        <w:autoSpaceDE w:val="0"/>
        <w:autoSpaceDN w:val="0"/>
        <w:adjustRightInd w:val="0"/>
        <w:spacing w:after="120" w:line="240" w:lineRule="auto"/>
        <w:rPr>
          <w:rFonts w:ascii="Arial" w:eastAsia="Times New Roman" w:hAnsi="Arial"/>
          <w:color w:val="0F6FC6" w:themeColor="accent1"/>
          <w:sz w:val="24"/>
          <w:szCs w:val="20"/>
        </w:rPr>
      </w:pPr>
      <w:r>
        <w:rPr>
          <w:noProof/>
        </w:rPr>
        <w:drawing>
          <wp:inline distT="0" distB="0" distL="0" distR="0" wp14:anchorId="296A118D" wp14:editId="45CD81EB">
            <wp:extent cx="5341620" cy="4699968"/>
            <wp:effectExtent l="0" t="0" r="0" b="5715"/>
            <wp:docPr id="1" name="Picture 1" descr="Pict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Picture3.png"/>
                    <pic:cNvPicPr>
                      <a:picLocks noChangeAspect="1"/>
                    </pic:cNvPicPr>
                  </pic:nvPicPr>
                  <pic:blipFill>
                    <a:blip r:embed="rId150" cstate="print"/>
                    <a:stretch>
                      <a:fillRect/>
                    </a:stretch>
                  </pic:blipFill>
                  <pic:spPr>
                    <a:xfrm>
                      <a:off x="0" y="0"/>
                      <a:ext cx="5345397" cy="4703291"/>
                    </a:xfrm>
                    <a:prstGeom prst="rect">
                      <a:avLst/>
                    </a:prstGeom>
                  </pic:spPr>
                </pic:pic>
              </a:graphicData>
            </a:graphic>
          </wp:inline>
        </w:drawing>
      </w:r>
    </w:p>
    <w:p w14:paraId="556DCB9C" w14:textId="26650D2C" w:rsidR="00B95C8E" w:rsidRPr="003C2840" w:rsidRDefault="005C618C" w:rsidP="005C618C">
      <w:pPr>
        <w:widowControl w:val="0"/>
        <w:autoSpaceDE w:val="0"/>
        <w:autoSpaceDN w:val="0"/>
        <w:adjustRightInd w:val="0"/>
        <w:spacing w:after="0" w:line="240" w:lineRule="auto"/>
        <w:rPr>
          <w:rFonts w:asciiTheme="minorHAnsi" w:eastAsia="Times New Roman" w:hAnsiTheme="minorHAnsi" w:cs="Arial"/>
          <w:color w:val="191919" w:themeColor="text1" w:themeTint="E6"/>
          <w:sz w:val="24"/>
          <w:szCs w:val="24"/>
        </w:rPr>
      </w:pPr>
      <w:r w:rsidRPr="003C2840">
        <w:rPr>
          <w:rFonts w:asciiTheme="minorHAnsi" w:eastAsia="Times New Roman" w:hAnsiTheme="minorHAnsi" w:cs="Arial"/>
          <w:color w:val="191919" w:themeColor="text1" w:themeTint="E6"/>
          <w:sz w:val="24"/>
          <w:szCs w:val="24"/>
        </w:rPr>
        <w:t xml:space="preserve">As depicted on the Revised MCH Pyramid, the working framework for the MCH Block Grant aligns with the 10 MCH Essential Services and consists of three levels.  Definitions are provided </w:t>
      </w:r>
      <w:r w:rsidR="000A4BAE">
        <w:rPr>
          <w:rFonts w:asciiTheme="minorHAnsi" w:eastAsia="Times New Roman" w:hAnsiTheme="minorHAnsi" w:cs="Arial"/>
          <w:color w:val="191919" w:themeColor="text1" w:themeTint="E6"/>
          <w:sz w:val="24"/>
          <w:szCs w:val="24"/>
        </w:rPr>
        <w:t>below</w:t>
      </w:r>
      <w:r w:rsidRPr="003C2840">
        <w:rPr>
          <w:rFonts w:asciiTheme="minorHAnsi" w:eastAsia="Times New Roman" w:hAnsiTheme="minorHAnsi" w:cs="Arial"/>
          <w:color w:val="191919" w:themeColor="text1" w:themeTint="E6"/>
          <w:sz w:val="24"/>
          <w:szCs w:val="24"/>
        </w:rPr>
        <w:t xml:space="preserve"> for each level of service.</w:t>
      </w:r>
      <w:r w:rsidR="008B1CB2">
        <w:rPr>
          <w:rFonts w:asciiTheme="minorHAnsi" w:eastAsia="Times New Roman" w:hAnsiTheme="minorHAnsi" w:cs="Arial"/>
          <w:color w:val="191919" w:themeColor="text1" w:themeTint="E6"/>
          <w:sz w:val="24"/>
          <w:szCs w:val="24"/>
        </w:rPr>
        <w:t xml:space="preserve">  </w:t>
      </w:r>
      <w:r w:rsidR="002A4C6C">
        <w:rPr>
          <w:rFonts w:asciiTheme="minorHAnsi" w:eastAsia="Times New Roman" w:hAnsiTheme="minorHAnsi"/>
          <w:bCs/>
          <w:iCs/>
          <w:sz w:val="24"/>
          <w:szCs w:val="20"/>
        </w:rPr>
        <w:t>In developing systems of care, s</w:t>
      </w:r>
      <w:r w:rsidR="00B95C8E" w:rsidRPr="003C2840">
        <w:rPr>
          <w:rFonts w:asciiTheme="minorHAnsi" w:eastAsia="Times New Roman" w:hAnsiTheme="minorHAnsi"/>
          <w:bCs/>
          <w:iCs/>
          <w:sz w:val="24"/>
          <w:szCs w:val="20"/>
        </w:rPr>
        <w:t xml:space="preserve">tates should assure </w:t>
      </w:r>
      <w:r w:rsidR="004D449A" w:rsidRPr="003C2840">
        <w:rPr>
          <w:rFonts w:asciiTheme="minorHAnsi" w:eastAsia="Times New Roman" w:hAnsiTheme="minorHAnsi"/>
          <w:bCs/>
          <w:iCs/>
          <w:sz w:val="24"/>
          <w:szCs w:val="20"/>
        </w:rPr>
        <w:t>that they are family-</w:t>
      </w:r>
      <w:r w:rsidR="00B95C8E" w:rsidRPr="003C2840">
        <w:rPr>
          <w:rFonts w:asciiTheme="minorHAnsi" w:eastAsia="Times New Roman" w:hAnsiTheme="minorHAnsi"/>
          <w:bCs/>
          <w:iCs/>
          <w:sz w:val="24"/>
          <w:szCs w:val="20"/>
        </w:rPr>
        <w:t>centered, c</w:t>
      </w:r>
      <w:r w:rsidR="004D449A" w:rsidRPr="003C2840">
        <w:rPr>
          <w:rFonts w:asciiTheme="minorHAnsi" w:eastAsia="Times New Roman" w:hAnsiTheme="minorHAnsi"/>
          <w:bCs/>
          <w:iCs/>
          <w:sz w:val="24"/>
          <w:szCs w:val="20"/>
        </w:rPr>
        <w:t>ommunity-</w:t>
      </w:r>
      <w:r w:rsidR="00B95C8E" w:rsidRPr="003C2840">
        <w:rPr>
          <w:rFonts w:asciiTheme="minorHAnsi" w:eastAsia="Times New Roman" w:hAnsiTheme="minorHAnsi"/>
          <w:bCs/>
          <w:iCs/>
          <w:sz w:val="24"/>
          <w:szCs w:val="20"/>
        </w:rPr>
        <w:t>based and culturally competent.</w:t>
      </w:r>
    </w:p>
    <w:p w14:paraId="70291276"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cs="Arial"/>
          <w:b/>
          <w:bCs/>
          <w:iCs/>
          <w:color w:val="0B5294" w:themeColor="accent1" w:themeShade="BF"/>
          <w:sz w:val="24"/>
          <w:szCs w:val="20"/>
        </w:rPr>
      </w:pPr>
    </w:p>
    <w:p w14:paraId="72B61D32" w14:textId="77777777" w:rsidR="00B10701" w:rsidRPr="003C2840" w:rsidRDefault="005C618C" w:rsidP="00B10701">
      <w:pPr>
        <w:widowControl w:val="0"/>
        <w:autoSpaceDE w:val="0"/>
        <w:autoSpaceDN w:val="0"/>
        <w:adjustRightInd w:val="0"/>
        <w:spacing w:after="0" w:line="240" w:lineRule="auto"/>
        <w:rPr>
          <w:rFonts w:asciiTheme="minorHAnsi" w:eastAsia="Times New Roman" w:hAnsiTheme="minorHAnsi" w:cs="Arial"/>
          <w:sz w:val="24"/>
          <w:szCs w:val="24"/>
        </w:rPr>
      </w:pPr>
      <w:r w:rsidRPr="00192BDC">
        <w:rPr>
          <w:rFonts w:asciiTheme="minorHAnsi" w:eastAsia="Times New Roman" w:hAnsiTheme="minorHAnsi" w:cs="Arial"/>
          <w:b/>
          <w:bCs/>
          <w:iCs/>
          <w:color w:val="0B5294" w:themeColor="accent1" w:themeShade="BF"/>
          <w:sz w:val="24"/>
          <w:szCs w:val="20"/>
        </w:rPr>
        <w:t xml:space="preserve">Direct Services – </w:t>
      </w:r>
      <w:r w:rsidR="00B10701" w:rsidRPr="003C2840">
        <w:rPr>
          <w:rFonts w:asciiTheme="minorHAnsi" w:eastAsia="Times New Roman" w:hAnsiTheme="minorHAnsi" w:cs="Arial"/>
          <w:bCs/>
          <w:iCs/>
          <w:sz w:val="24"/>
          <w:szCs w:val="20"/>
        </w:rPr>
        <w:t>D</w:t>
      </w:r>
      <w:r w:rsidR="00B10701" w:rsidRPr="003C2840">
        <w:rPr>
          <w:rFonts w:asciiTheme="minorHAnsi" w:eastAsia="Times New Roman" w:hAnsiTheme="minorHAnsi" w:cs="Arial"/>
          <w:sz w:val="24"/>
          <w:szCs w:val="24"/>
        </w:rPr>
        <w:t>irect services are preventive, primary, or specialty clinical services to pregnant women and children, including children with special health care needs, where MCH Services Block Grant funds are used to reimburse or fund providers for these services through a formal process similar to paying a medical billing claim or managed care contracts.  State reporting on direct services should not include the costs of clinical services which are delivered with Title V dollars but reimbursed by Medicaid, CHIP or other public or private payers.  Examples include, but are not limited to, preventive, primary or specialty care visits, emergency department visits, inpatient services, outpatient and inpatient mental and behavioral health services, prescription drugs, occupational and physical therapy, speech therapy, durable medical equipment and medical supplies, medical foods, dental care, and vision care.</w:t>
      </w:r>
    </w:p>
    <w:p w14:paraId="4F8AE965" w14:textId="77777777" w:rsidR="005C618C" w:rsidRPr="005C618C" w:rsidRDefault="005C618C" w:rsidP="005C618C">
      <w:pPr>
        <w:widowControl w:val="0"/>
        <w:autoSpaceDE w:val="0"/>
        <w:autoSpaceDN w:val="0"/>
        <w:adjustRightInd w:val="0"/>
        <w:spacing w:after="0" w:line="240" w:lineRule="auto"/>
        <w:rPr>
          <w:rFonts w:ascii="Arial" w:eastAsia="Times New Roman" w:hAnsi="Arial" w:cs="Arial"/>
          <w:b/>
          <w:bCs/>
          <w:iCs/>
          <w:sz w:val="24"/>
          <w:szCs w:val="20"/>
        </w:rPr>
      </w:pPr>
      <w:r w:rsidRPr="005C618C">
        <w:rPr>
          <w:rFonts w:ascii="Arial" w:eastAsia="Times New Roman" w:hAnsi="Arial" w:cs="Arial"/>
          <w:b/>
          <w:bCs/>
          <w:iCs/>
          <w:sz w:val="24"/>
          <w:szCs w:val="20"/>
        </w:rPr>
        <w:t xml:space="preserve"> </w:t>
      </w:r>
    </w:p>
    <w:p w14:paraId="1F28A6A1" w14:textId="5BDDF63F" w:rsidR="005C618C" w:rsidRPr="003C2840" w:rsidRDefault="005C618C" w:rsidP="005C618C">
      <w:pPr>
        <w:widowControl w:val="0"/>
        <w:autoSpaceDE w:val="0"/>
        <w:autoSpaceDN w:val="0"/>
        <w:adjustRightInd w:val="0"/>
        <w:spacing w:after="0" w:line="240" w:lineRule="auto"/>
        <w:rPr>
          <w:rFonts w:asciiTheme="minorHAnsi" w:eastAsia="Times New Roman" w:hAnsiTheme="minorHAnsi" w:cs="Arial"/>
          <w:color w:val="C00000"/>
          <w:sz w:val="24"/>
          <w:szCs w:val="24"/>
        </w:rPr>
      </w:pPr>
      <w:r w:rsidRPr="00192BDC">
        <w:rPr>
          <w:rFonts w:asciiTheme="minorHAnsi" w:eastAsia="Times New Roman" w:hAnsiTheme="minorHAnsi" w:cs="Arial"/>
          <w:b/>
          <w:color w:val="0B5294" w:themeColor="accent1" w:themeShade="BF"/>
          <w:sz w:val="24"/>
          <w:szCs w:val="24"/>
        </w:rPr>
        <w:t>Enabling Services –</w:t>
      </w:r>
      <w:r w:rsidR="00763D08" w:rsidRPr="00192BDC">
        <w:rPr>
          <w:rFonts w:asciiTheme="minorHAnsi" w:eastAsia="Times New Roman" w:hAnsiTheme="minorHAnsi" w:cs="Arial"/>
          <w:color w:val="0B5294" w:themeColor="accent1" w:themeShade="BF"/>
          <w:sz w:val="24"/>
          <w:szCs w:val="24"/>
        </w:rPr>
        <w:t xml:space="preserve"> </w:t>
      </w:r>
      <w:r w:rsidR="00763D08" w:rsidRPr="003C2840">
        <w:rPr>
          <w:rFonts w:asciiTheme="minorHAnsi" w:eastAsia="Times New Roman" w:hAnsiTheme="minorHAnsi" w:cs="Arial"/>
          <w:sz w:val="24"/>
          <w:szCs w:val="24"/>
        </w:rPr>
        <w:t>Enabling services are non-clinical services (i.e., not included as direct or public health services) that enable individuals to access health care and improve health outcomes where MCH Services Block Grant funds are used to finance these services.  Enabling services include, but are not limited to: case management, care coordination, referrals, translation/interpretation, transportation, eligibility assistance, health education for individuals or families, environmental health risk reduction, health literacy, and outreach.</w:t>
      </w:r>
      <w:r w:rsidR="002C0614" w:rsidRPr="003C2840">
        <w:rPr>
          <w:rFonts w:asciiTheme="minorHAnsi" w:eastAsia="Times New Roman" w:hAnsiTheme="minorHAnsi" w:cs="Arial"/>
          <w:sz w:val="24"/>
          <w:szCs w:val="24"/>
        </w:rPr>
        <w:t xml:space="preserve">  State reporting on enabling services should </w:t>
      </w:r>
      <w:r w:rsidR="00763D08" w:rsidRPr="003C2840">
        <w:rPr>
          <w:rFonts w:asciiTheme="minorHAnsi" w:eastAsia="Times New Roman" w:hAnsiTheme="minorHAnsi" w:cs="Arial"/>
          <w:sz w:val="24"/>
          <w:szCs w:val="24"/>
        </w:rPr>
        <w:t xml:space="preserve">not include </w:t>
      </w:r>
      <w:r w:rsidR="002C0614" w:rsidRPr="003C2840">
        <w:rPr>
          <w:rFonts w:asciiTheme="minorHAnsi" w:eastAsia="Times New Roman" w:hAnsiTheme="minorHAnsi" w:cs="Arial"/>
          <w:sz w:val="24"/>
          <w:szCs w:val="24"/>
        </w:rPr>
        <w:t xml:space="preserve">the </w:t>
      </w:r>
      <w:r w:rsidR="00763D08" w:rsidRPr="003C2840">
        <w:rPr>
          <w:rFonts w:asciiTheme="minorHAnsi" w:eastAsia="Times New Roman" w:hAnsiTheme="minorHAnsi" w:cs="Arial"/>
          <w:sz w:val="24"/>
          <w:szCs w:val="24"/>
        </w:rPr>
        <w:t xml:space="preserve">costs </w:t>
      </w:r>
      <w:r w:rsidR="002C0614" w:rsidRPr="003C2840">
        <w:rPr>
          <w:rFonts w:asciiTheme="minorHAnsi" w:eastAsia="Times New Roman" w:hAnsiTheme="minorHAnsi" w:cs="Arial"/>
          <w:sz w:val="24"/>
          <w:szCs w:val="24"/>
        </w:rPr>
        <w:t>for</w:t>
      </w:r>
      <w:r w:rsidR="00763D08" w:rsidRPr="003C2840">
        <w:rPr>
          <w:rFonts w:asciiTheme="minorHAnsi" w:eastAsia="Times New Roman" w:hAnsiTheme="minorHAnsi" w:cs="Arial"/>
          <w:sz w:val="24"/>
          <w:szCs w:val="24"/>
        </w:rPr>
        <w:t xml:space="preserve"> enabling services that are reimbursed by Medicaid, CHIP, or other public and private payers. </w:t>
      </w:r>
      <w:r w:rsidR="002C0614" w:rsidRPr="003C2840">
        <w:rPr>
          <w:rFonts w:asciiTheme="minorHAnsi" w:eastAsia="Times New Roman" w:hAnsiTheme="minorHAnsi" w:cs="Arial"/>
          <w:sz w:val="24"/>
          <w:szCs w:val="24"/>
        </w:rPr>
        <w:t xml:space="preserve"> </w:t>
      </w:r>
      <w:r w:rsidR="00763D08" w:rsidRPr="003C2840">
        <w:rPr>
          <w:rFonts w:asciiTheme="minorHAnsi" w:eastAsia="Times New Roman" w:hAnsiTheme="minorHAnsi" w:cs="Arial"/>
          <w:sz w:val="24"/>
          <w:szCs w:val="24"/>
        </w:rPr>
        <w:t>This category may include salary and operational support to a clinic that enable individuals to access health care or improve health outcomes.</w:t>
      </w:r>
      <w:r w:rsidR="002C0614" w:rsidRPr="003C2840">
        <w:rPr>
          <w:rFonts w:asciiTheme="minorHAnsi" w:eastAsia="Times New Roman" w:hAnsiTheme="minorHAnsi" w:cs="Arial"/>
          <w:sz w:val="24"/>
          <w:szCs w:val="24"/>
        </w:rPr>
        <w:t xml:space="preserve">  Examples include the salary of a public health nurse who provides prenatal care in a local clinic or compensation provided to a specialist pediatrician who provides services for children with special health care needs.</w:t>
      </w:r>
      <w:r w:rsidR="001952F3" w:rsidRPr="003C2840">
        <w:rPr>
          <w:rFonts w:asciiTheme="minorHAnsi" w:eastAsia="Times New Roman" w:hAnsiTheme="minorHAnsi" w:cs="Arial"/>
          <w:sz w:val="24"/>
          <w:szCs w:val="24"/>
        </w:rPr>
        <w:t xml:space="preserve"> </w:t>
      </w:r>
    </w:p>
    <w:p w14:paraId="758D2748" w14:textId="77777777" w:rsidR="00763D08" w:rsidRPr="00763D08" w:rsidRDefault="00763D08" w:rsidP="005C618C">
      <w:pPr>
        <w:widowControl w:val="0"/>
        <w:autoSpaceDE w:val="0"/>
        <w:autoSpaceDN w:val="0"/>
        <w:adjustRightInd w:val="0"/>
        <w:spacing w:after="0" w:line="240" w:lineRule="auto"/>
        <w:rPr>
          <w:rFonts w:ascii="Arial" w:eastAsia="Times New Roman" w:hAnsi="Arial" w:cs="Arial"/>
          <w:b/>
          <w:bCs/>
          <w:iCs/>
          <w:color w:val="0B5294" w:themeColor="accent1" w:themeShade="BF"/>
          <w:sz w:val="24"/>
          <w:szCs w:val="24"/>
        </w:rPr>
      </w:pPr>
    </w:p>
    <w:p w14:paraId="4328E938" w14:textId="57420F18" w:rsidR="005C618C" w:rsidRPr="003C2840" w:rsidRDefault="005C618C" w:rsidP="005C618C">
      <w:pPr>
        <w:widowControl w:val="0"/>
        <w:autoSpaceDE w:val="0"/>
        <w:autoSpaceDN w:val="0"/>
        <w:adjustRightInd w:val="0"/>
        <w:spacing w:after="0" w:line="240" w:lineRule="auto"/>
        <w:rPr>
          <w:rFonts w:asciiTheme="minorHAnsi" w:eastAsia="Times New Roman" w:hAnsiTheme="minorHAnsi"/>
          <w:bCs/>
          <w:iCs/>
          <w:sz w:val="24"/>
          <w:szCs w:val="24"/>
        </w:rPr>
      </w:pPr>
      <w:r w:rsidRPr="00192BDC">
        <w:rPr>
          <w:rFonts w:asciiTheme="minorHAnsi" w:eastAsia="Times New Roman" w:hAnsiTheme="minorHAnsi"/>
          <w:b/>
          <w:bCs/>
          <w:iCs/>
          <w:color w:val="0B5294" w:themeColor="accent1" w:themeShade="BF"/>
          <w:sz w:val="24"/>
          <w:szCs w:val="20"/>
        </w:rPr>
        <w:t xml:space="preserve">Public Health Services and Systems </w:t>
      </w:r>
      <w:r w:rsidRPr="00192BDC">
        <w:rPr>
          <w:rFonts w:asciiTheme="minorHAnsi" w:eastAsia="Times New Roman" w:hAnsiTheme="minorHAnsi"/>
          <w:bCs/>
          <w:iCs/>
          <w:color w:val="0B5294" w:themeColor="accent1" w:themeShade="BF"/>
          <w:sz w:val="24"/>
          <w:szCs w:val="20"/>
        </w:rPr>
        <w:t>–</w:t>
      </w:r>
      <w:r w:rsidR="0081287F" w:rsidRPr="00192BDC">
        <w:rPr>
          <w:rFonts w:asciiTheme="minorHAnsi" w:eastAsia="Times New Roman" w:hAnsiTheme="minorHAnsi"/>
          <w:bCs/>
          <w:iCs/>
          <w:color w:val="0B5294" w:themeColor="accent1" w:themeShade="BF"/>
          <w:sz w:val="24"/>
          <w:szCs w:val="20"/>
        </w:rPr>
        <w:t xml:space="preserve"> </w:t>
      </w:r>
      <w:r w:rsidR="0081287F" w:rsidRPr="003C2840">
        <w:rPr>
          <w:rFonts w:asciiTheme="minorHAnsi" w:eastAsia="Times New Roman" w:hAnsiTheme="minorHAnsi"/>
          <w:bCs/>
          <w:iCs/>
          <w:sz w:val="24"/>
          <w:szCs w:val="20"/>
        </w:rPr>
        <w:t>P</w:t>
      </w:r>
      <w:r w:rsidR="0081287F" w:rsidRPr="003C2840">
        <w:rPr>
          <w:rFonts w:asciiTheme="minorHAnsi" w:eastAsia="Times New Roman" w:hAnsiTheme="minorHAnsi" w:cs="Arial"/>
          <w:sz w:val="24"/>
          <w:szCs w:val="24"/>
        </w:rPr>
        <w:t xml:space="preserve">ublic health services and systems are activities and infrastructure to carry out the core public health functions of assessment, assurance, and policy development, and the 10 essential public health services. </w:t>
      </w:r>
      <w:r w:rsidR="009B4BEE">
        <w:rPr>
          <w:rFonts w:asciiTheme="minorHAnsi" w:eastAsia="Times New Roman" w:hAnsiTheme="minorHAnsi" w:cs="Arial"/>
          <w:sz w:val="24"/>
          <w:szCs w:val="24"/>
        </w:rPr>
        <w:t xml:space="preserve"> </w:t>
      </w:r>
      <w:r w:rsidR="0081287F" w:rsidRPr="003C2840">
        <w:rPr>
          <w:rFonts w:asciiTheme="minorHAnsi" w:eastAsia="Times New Roman" w:hAnsiTheme="minorHAnsi" w:cs="Arial"/>
          <w:sz w:val="24"/>
          <w:szCs w:val="24"/>
        </w:rPr>
        <w:t>Examples include the development of standards and guidelines, needs assessment, program planning, implementation, and evaluation, policy development, quality assurance and improvement, workforce development, and population-based disease prevention and health promotion campaigns for services such as newborn screening, immunization, injury prevention, safe-sleep education and anti-smoking.  State reporting on public health services and systems should not include costs for direct clinical preventive services, such as immunization, newborn screening tests, or smoking cessation.</w:t>
      </w:r>
    </w:p>
    <w:p w14:paraId="0681504E" w14:textId="77777777" w:rsidR="00440F82" w:rsidRPr="00192BDC" w:rsidRDefault="00440F82" w:rsidP="00440F82">
      <w:pPr>
        <w:widowControl w:val="0"/>
        <w:pBdr>
          <w:bottom w:val="single" w:sz="4" w:space="4" w:color="0F6FC6" w:themeColor="accent1"/>
        </w:pBdr>
        <w:autoSpaceDE w:val="0"/>
        <w:autoSpaceDN w:val="0"/>
        <w:adjustRightInd w:val="0"/>
        <w:spacing w:before="200" w:after="280" w:line="240" w:lineRule="auto"/>
        <w:ind w:right="936"/>
        <w:rPr>
          <w:rFonts w:eastAsia="Times New Roman" w:cs="Arial"/>
          <w:b/>
          <w:bCs/>
          <w:i/>
          <w:iCs/>
          <w:color w:val="0B5294" w:themeColor="accent1" w:themeShade="BF"/>
          <w:sz w:val="28"/>
          <w:szCs w:val="28"/>
        </w:rPr>
      </w:pPr>
      <w:r w:rsidRPr="00192BDC">
        <w:rPr>
          <w:rFonts w:eastAsia="Times New Roman" w:cs="Arial"/>
          <w:b/>
          <w:bCs/>
          <w:i/>
          <w:iCs/>
          <w:color w:val="0B5294" w:themeColor="accent1" w:themeShade="BF"/>
          <w:sz w:val="28"/>
          <w:szCs w:val="28"/>
        </w:rPr>
        <w:t xml:space="preserve">Number of Individuals and Percentage of Populations Served by Title V (Form 5)  </w:t>
      </w:r>
    </w:p>
    <w:p w14:paraId="29F26820" w14:textId="0701A236" w:rsidR="00440F82" w:rsidRPr="003C2840" w:rsidRDefault="00440F82" w:rsidP="00440F82">
      <w:pPr>
        <w:widowControl w:val="0"/>
        <w:autoSpaceDE w:val="0"/>
        <w:autoSpaceDN w:val="0"/>
        <w:adjustRightInd w:val="0"/>
        <w:spacing w:after="0" w:line="240" w:lineRule="auto"/>
        <w:rPr>
          <w:rFonts w:asciiTheme="minorHAnsi" w:eastAsia="Times New Roman" w:hAnsiTheme="minorHAnsi"/>
          <w:bCs/>
          <w:iCs/>
          <w:sz w:val="24"/>
          <w:szCs w:val="24"/>
        </w:rPr>
      </w:pPr>
      <w:r w:rsidRPr="0062347A">
        <w:rPr>
          <w:rFonts w:asciiTheme="minorHAnsi" w:eastAsia="Times New Roman" w:hAnsiTheme="minorHAnsi"/>
          <w:b/>
          <w:bCs/>
          <w:iCs/>
          <w:sz w:val="24"/>
          <w:szCs w:val="24"/>
        </w:rPr>
        <w:t xml:space="preserve">Form 5a, </w:t>
      </w:r>
      <w:r w:rsidRPr="0062347A">
        <w:rPr>
          <w:rFonts w:asciiTheme="minorHAnsi" w:eastAsia="Times New Roman" w:hAnsiTheme="minorHAnsi"/>
          <w:b/>
          <w:bCs/>
          <w:i/>
          <w:iCs/>
          <w:sz w:val="24"/>
          <w:szCs w:val="24"/>
        </w:rPr>
        <w:t>Count of Individuals Served by Title V</w:t>
      </w:r>
      <w:r w:rsidR="002A4C6C">
        <w:rPr>
          <w:rFonts w:asciiTheme="minorHAnsi" w:eastAsia="Times New Roman" w:hAnsiTheme="minorHAnsi"/>
          <w:bCs/>
          <w:iCs/>
          <w:sz w:val="24"/>
          <w:szCs w:val="24"/>
        </w:rPr>
        <w:t>, enables the s</w:t>
      </w:r>
      <w:r w:rsidRPr="003C2840">
        <w:rPr>
          <w:rFonts w:asciiTheme="minorHAnsi" w:eastAsia="Times New Roman" w:hAnsiTheme="minorHAnsi"/>
          <w:bCs/>
          <w:iCs/>
          <w:sz w:val="24"/>
          <w:szCs w:val="24"/>
        </w:rPr>
        <w:t xml:space="preserve">tate to track and report on the number of who received an individually-delivered service funded in part or in full by the Title V program within the top two levels of the MCH Pyramid (direct and enabling services).  This includes individuals receiving services funded by total Federal and State dollars reported on line 8 of Form 2, and should align with the combined totals on Form 3a and 3b for direct and enabling services. </w:t>
      </w:r>
      <w:r w:rsidR="009B4BEE">
        <w:rPr>
          <w:rFonts w:asciiTheme="minorHAnsi" w:eastAsia="Times New Roman" w:hAnsiTheme="minorHAnsi"/>
          <w:bCs/>
          <w:iCs/>
          <w:sz w:val="24"/>
          <w:szCs w:val="24"/>
        </w:rPr>
        <w:t xml:space="preserve"> </w:t>
      </w:r>
      <w:r w:rsidRPr="003C2840">
        <w:rPr>
          <w:rFonts w:asciiTheme="minorHAnsi" w:eastAsia="Times New Roman" w:hAnsiTheme="minorHAnsi"/>
          <w:bCs/>
          <w:iCs/>
          <w:sz w:val="24"/>
          <w:szCs w:val="24"/>
        </w:rPr>
        <w:t xml:space="preserve">Data sources are typically reimbursement or individual client records.  Pregnant women may also receive non-pregnancy related services and be counted in other participant categories (i.e. children ages </w:t>
      </w:r>
      <w:r w:rsidR="008B1CB2">
        <w:rPr>
          <w:rFonts w:asciiTheme="minorHAnsi" w:eastAsia="Times New Roman" w:hAnsiTheme="minorHAnsi"/>
          <w:bCs/>
          <w:iCs/>
          <w:sz w:val="24"/>
          <w:szCs w:val="24"/>
        </w:rPr>
        <w:t>one (</w:t>
      </w:r>
      <w:r w:rsidRPr="003C2840">
        <w:rPr>
          <w:rFonts w:asciiTheme="minorHAnsi" w:eastAsia="Times New Roman" w:hAnsiTheme="minorHAnsi"/>
          <w:bCs/>
          <w:iCs/>
          <w:sz w:val="24"/>
          <w:szCs w:val="24"/>
        </w:rPr>
        <w:t>1</w:t>
      </w:r>
      <w:r w:rsidR="008B1CB2">
        <w:rPr>
          <w:rFonts w:asciiTheme="minorHAnsi" w:eastAsia="Times New Roman" w:hAnsiTheme="minorHAnsi"/>
          <w:bCs/>
          <w:iCs/>
          <w:sz w:val="24"/>
          <w:szCs w:val="24"/>
        </w:rPr>
        <w:t>)</w:t>
      </w:r>
      <w:r w:rsidRPr="003C2840">
        <w:rPr>
          <w:rFonts w:asciiTheme="minorHAnsi" w:eastAsia="Times New Roman" w:hAnsiTheme="minorHAnsi"/>
          <w:bCs/>
          <w:iCs/>
          <w:sz w:val="24"/>
          <w:szCs w:val="24"/>
        </w:rPr>
        <w:t xml:space="preserve"> through 21 and others).  All remaining categories are mutually exclusive with CSHCN reported as a subset of all children ages </w:t>
      </w:r>
      <w:r w:rsidR="008B1CB2">
        <w:rPr>
          <w:rFonts w:asciiTheme="minorHAnsi" w:eastAsia="Times New Roman" w:hAnsiTheme="minorHAnsi"/>
          <w:bCs/>
          <w:iCs/>
          <w:sz w:val="24"/>
          <w:szCs w:val="24"/>
        </w:rPr>
        <w:t>one (</w:t>
      </w:r>
      <w:r w:rsidRPr="003C2840">
        <w:rPr>
          <w:rFonts w:asciiTheme="minorHAnsi" w:eastAsia="Times New Roman" w:hAnsiTheme="minorHAnsi"/>
          <w:bCs/>
          <w:iCs/>
          <w:sz w:val="24"/>
          <w:szCs w:val="24"/>
        </w:rPr>
        <w:t>1</w:t>
      </w:r>
      <w:r w:rsidR="008B1CB2">
        <w:rPr>
          <w:rFonts w:asciiTheme="minorHAnsi" w:eastAsia="Times New Roman" w:hAnsiTheme="minorHAnsi"/>
          <w:bCs/>
          <w:iCs/>
          <w:sz w:val="24"/>
          <w:szCs w:val="24"/>
        </w:rPr>
        <w:t>)</w:t>
      </w:r>
      <w:r w:rsidRPr="003C2840">
        <w:rPr>
          <w:rFonts w:asciiTheme="minorHAnsi" w:eastAsia="Times New Roman" w:hAnsiTheme="minorHAnsi"/>
          <w:bCs/>
          <w:iCs/>
          <w:sz w:val="24"/>
          <w:szCs w:val="24"/>
        </w:rPr>
        <w:t xml:space="preserve"> through 21.  Within each reporting category, the count of individuals served should be unduplicated to the fullest extent possible.  Examples of direct and enabling services by participant category that Title V may fund in part or in full are provided below.</w:t>
      </w:r>
    </w:p>
    <w:p w14:paraId="698F7E32" w14:textId="77777777" w:rsidR="00440F82" w:rsidRPr="003C2840" w:rsidRDefault="00440F82" w:rsidP="00440F82">
      <w:pPr>
        <w:widowControl w:val="0"/>
        <w:autoSpaceDE w:val="0"/>
        <w:autoSpaceDN w:val="0"/>
        <w:adjustRightInd w:val="0"/>
        <w:spacing w:after="0" w:line="240" w:lineRule="auto"/>
        <w:rPr>
          <w:rFonts w:asciiTheme="minorHAnsi" w:eastAsia="Times New Roman" w:hAnsiTheme="minorHAnsi"/>
          <w:bCs/>
          <w:i/>
          <w:iCs/>
          <w:sz w:val="24"/>
          <w:szCs w:val="24"/>
          <w:u w:val="single"/>
        </w:rPr>
      </w:pPr>
    </w:p>
    <w:p w14:paraId="53915869" w14:textId="7285C8E2" w:rsidR="00440F82" w:rsidRDefault="00440F82" w:rsidP="00440F82">
      <w:pPr>
        <w:widowControl w:val="0"/>
        <w:autoSpaceDE w:val="0"/>
        <w:autoSpaceDN w:val="0"/>
        <w:adjustRightInd w:val="0"/>
        <w:spacing w:after="0" w:line="240" w:lineRule="auto"/>
        <w:rPr>
          <w:rFonts w:asciiTheme="minorHAnsi" w:eastAsia="Times New Roman" w:hAnsiTheme="minorHAnsi"/>
          <w:bCs/>
          <w:iCs/>
          <w:sz w:val="24"/>
          <w:szCs w:val="24"/>
        </w:rPr>
      </w:pPr>
      <w:r w:rsidRPr="003C2840">
        <w:rPr>
          <w:rFonts w:asciiTheme="minorHAnsi" w:eastAsia="Times New Roman" w:hAnsiTheme="minorHAnsi"/>
          <w:bCs/>
          <w:i/>
          <w:iCs/>
          <w:sz w:val="24"/>
          <w:szCs w:val="24"/>
          <w:u w:val="single"/>
        </w:rPr>
        <w:t>Pregnant women (through 60 days postpartum)</w:t>
      </w:r>
      <w:r w:rsidRPr="003C2840">
        <w:rPr>
          <w:rFonts w:asciiTheme="minorHAnsi" w:eastAsia="Times New Roman" w:hAnsiTheme="minorHAnsi"/>
          <w:bCs/>
          <w:iCs/>
          <w:sz w:val="24"/>
          <w:szCs w:val="24"/>
        </w:rPr>
        <w:t xml:space="preserve"> – payment for prenatal, delivery, or postpartum care, case management, insurance eligibility assistance</w:t>
      </w:r>
      <w:r w:rsidR="00283A38">
        <w:rPr>
          <w:rFonts w:asciiTheme="minorHAnsi" w:eastAsia="Times New Roman" w:hAnsiTheme="minorHAnsi"/>
          <w:bCs/>
          <w:iCs/>
          <w:sz w:val="24"/>
          <w:szCs w:val="24"/>
        </w:rPr>
        <w:t>.</w:t>
      </w:r>
    </w:p>
    <w:p w14:paraId="117885DC" w14:textId="77777777" w:rsidR="00283A38" w:rsidRPr="003C2840" w:rsidRDefault="00283A38" w:rsidP="00440F82">
      <w:pPr>
        <w:widowControl w:val="0"/>
        <w:autoSpaceDE w:val="0"/>
        <w:autoSpaceDN w:val="0"/>
        <w:adjustRightInd w:val="0"/>
        <w:spacing w:after="0" w:line="240" w:lineRule="auto"/>
        <w:rPr>
          <w:rFonts w:asciiTheme="minorHAnsi" w:eastAsia="Times New Roman" w:hAnsiTheme="minorHAnsi"/>
          <w:bCs/>
          <w:iCs/>
          <w:sz w:val="24"/>
          <w:szCs w:val="24"/>
        </w:rPr>
      </w:pPr>
    </w:p>
    <w:p w14:paraId="09F9843F" w14:textId="490A16AF" w:rsidR="00440F82" w:rsidRDefault="00440F82" w:rsidP="00440F82">
      <w:pPr>
        <w:widowControl w:val="0"/>
        <w:autoSpaceDE w:val="0"/>
        <w:autoSpaceDN w:val="0"/>
        <w:adjustRightInd w:val="0"/>
        <w:spacing w:after="0" w:line="240" w:lineRule="auto"/>
        <w:rPr>
          <w:rFonts w:asciiTheme="minorHAnsi" w:eastAsia="Times New Roman" w:hAnsiTheme="minorHAnsi"/>
          <w:bCs/>
          <w:iCs/>
          <w:sz w:val="24"/>
          <w:szCs w:val="24"/>
        </w:rPr>
      </w:pPr>
      <w:r w:rsidRPr="003C2840">
        <w:rPr>
          <w:rFonts w:asciiTheme="minorHAnsi" w:eastAsia="Times New Roman" w:hAnsiTheme="minorHAnsi"/>
          <w:bCs/>
          <w:i/>
          <w:iCs/>
          <w:sz w:val="24"/>
          <w:szCs w:val="24"/>
          <w:u w:val="single"/>
        </w:rPr>
        <w:t xml:space="preserve">Infants </w:t>
      </w:r>
      <w:r w:rsidR="009B4BEE">
        <w:rPr>
          <w:rFonts w:asciiTheme="minorHAnsi" w:eastAsia="Times New Roman" w:hAnsiTheme="minorHAnsi"/>
          <w:bCs/>
          <w:i/>
          <w:iCs/>
          <w:sz w:val="24"/>
          <w:szCs w:val="24"/>
          <w:u w:val="single"/>
        </w:rPr>
        <w:t>(</w:t>
      </w:r>
      <w:r w:rsidRPr="003C2840">
        <w:rPr>
          <w:rFonts w:asciiTheme="minorHAnsi" w:eastAsia="Times New Roman" w:hAnsiTheme="minorHAnsi"/>
          <w:bCs/>
          <w:i/>
          <w:iCs/>
          <w:sz w:val="24"/>
          <w:szCs w:val="24"/>
          <w:u w:val="single"/>
        </w:rPr>
        <w:t>less than</w:t>
      </w:r>
      <w:r w:rsidR="009B4BEE">
        <w:rPr>
          <w:rFonts w:asciiTheme="minorHAnsi" w:eastAsia="Times New Roman" w:hAnsiTheme="minorHAnsi"/>
          <w:bCs/>
          <w:i/>
          <w:iCs/>
          <w:sz w:val="24"/>
          <w:szCs w:val="24"/>
          <w:u w:val="single"/>
        </w:rPr>
        <w:t xml:space="preserve"> age one)</w:t>
      </w:r>
      <w:r w:rsidRPr="003C2840">
        <w:rPr>
          <w:rFonts w:asciiTheme="minorHAnsi" w:eastAsia="Times New Roman" w:hAnsiTheme="minorHAnsi"/>
          <w:bCs/>
          <w:iCs/>
          <w:sz w:val="24"/>
          <w:szCs w:val="24"/>
        </w:rPr>
        <w:t xml:space="preserve"> – payment for well child visits, immunization, case management</w:t>
      </w:r>
      <w:r w:rsidR="00283A38">
        <w:rPr>
          <w:rFonts w:asciiTheme="minorHAnsi" w:eastAsia="Times New Roman" w:hAnsiTheme="minorHAnsi"/>
          <w:bCs/>
          <w:iCs/>
          <w:sz w:val="24"/>
          <w:szCs w:val="24"/>
        </w:rPr>
        <w:t>.</w:t>
      </w:r>
    </w:p>
    <w:p w14:paraId="326DE0FB" w14:textId="77777777" w:rsidR="00283A38" w:rsidRPr="003C2840" w:rsidRDefault="00283A38" w:rsidP="00440F82">
      <w:pPr>
        <w:widowControl w:val="0"/>
        <w:autoSpaceDE w:val="0"/>
        <w:autoSpaceDN w:val="0"/>
        <w:adjustRightInd w:val="0"/>
        <w:spacing w:after="0" w:line="240" w:lineRule="auto"/>
        <w:rPr>
          <w:rFonts w:asciiTheme="minorHAnsi" w:eastAsia="Times New Roman" w:hAnsiTheme="minorHAnsi"/>
          <w:bCs/>
          <w:iCs/>
          <w:sz w:val="24"/>
          <w:szCs w:val="24"/>
        </w:rPr>
      </w:pPr>
    </w:p>
    <w:p w14:paraId="44531F08" w14:textId="64BE0F2F" w:rsidR="00440F82" w:rsidRDefault="00440F82" w:rsidP="00440F82">
      <w:pPr>
        <w:widowControl w:val="0"/>
        <w:autoSpaceDE w:val="0"/>
        <w:autoSpaceDN w:val="0"/>
        <w:adjustRightInd w:val="0"/>
        <w:spacing w:after="0" w:line="240" w:lineRule="auto"/>
        <w:rPr>
          <w:rFonts w:asciiTheme="minorHAnsi" w:eastAsia="Times New Roman" w:hAnsiTheme="minorHAnsi"/>
          <w:bCs/>
          <w:iCs/>
          <w:sz w:val="24"/>
          <w:szCs w:val="24"/>
        </w:rPr>
      </w:pPr>
      <w:r w:rsidRPr="003C2840">
        <w:rPr>
          <w:rFonts w:asciiTheme="minorHAnsi" w:eastAsia="Times New Roman" w:hAnsiTheme="minorHAnsi"/>
          <w:bCs/>
          <w:i/>
          <w:iCs/>
          <w:sz w:val="24"/>
          <w:szCs w:val="24"/>
          <w:u w:val="single"/>
        </w:rPr>
        <w:t xml:space="preserve">Children ages </w:t>
      </w:r>
      <w:r w:rsidR="009B4BEE">
        <w:rPr>
          <w:rFonts w:asciiTheme="minorHAnsi" w:eastAsia="Times New Roman" w:hAnsiTheme="minorHAnsi"/>
          <w:bCs/>
          <w:i/>
          <w:iCs/>
          <w:sz w:val="24"/>
          <w:szCs w:val="24"/>
          <w:u w:val="single"/>
        </w:rPr>
        <w:t>one (</w:t>
      </w:r>
      <w:r w:rsidRPr="003C2840">
        <w:rPr>
          <w:rFonts w:asciiTheme="minorHAnsi" w:eastAsia="Times New Roman" w:hAnsiTheme="minorHAnsi"/>
          <w:bCs/>
          <w:i/>
          <w:iCs/>
          <w:sz w:val="24"/>
          <w:szCs w:val="24"/>
          <w:u w:val="single"/>
        </w:rPr>
        <w:t>1</w:t>
      </w:r>
      <w:r w:rsidR="009B4BEE">
        <w:rPr>
          <w:rFonts w:asciiTheme="minorHAnsi" w:eastAsia="Times New Roman" w:hAnsiTheme="minorHAnsi"/>
          <w:bCs/>
          <w:i/>
          <w:iCs/>
          <w:sz w:val="24"/>
          <w:szCs w:val="24"/>
          <w:u w:val="single"/>
        </w:rPr>
        <w:t>)</w:t>
      </w:r>
      <w:r w:rsidRPr="003C2840">
        <w:rPr>
          <w:rFonts w:asciiTheme="minorHAnsi" w:eastAsia="Times New Roman" w:hAnsiTheme="minorHAnsi"/>
          <w:bCs/>
          <w:i/>
          <w:iCs/>
          <w:sz w:val="24"/>
          <w:szCs w:val="24"/>
          <w:u w:val="single"/>
        </w:rPr>
        <w:t xml:space="preserve"> through 21, including CSHCN</w:t>
      </w:r>
      <w:r w:rsidRPr="003C2840">
        <w:rPr>
          <w:rFonts w:asciiTheme="minorHAnsi" w:eastAsia="Times New Roman" w:hAnsiTheme="minorHAnsi"/>
          <w:bCs/>
          <w:iCs/>
          <w:sz w:val="24"/>
          <w:szCs w:val="24"/>
        </w:rPr>
        <w:t xml:space="preserve"> – payment for well child visits, immunization, dental sealants, school-based health center services, specialty care services</w:t>
      </w:r>
      <w:r w:rsidR="00283A38">
        <w:rPr>
          <w:rFonts w:asciiTheme="minorHAnsi" w:eastAsia="Times New Roman" w:hAnsiTheme="minorHAnsi"/>
          <w:bCs/>
          <w:iCs/>
          <w:sz w:val="24"/>
          <w:szCs w:val="24"/>
        </w:rPr>
        <w:t xml:space="preserve"> and </w:t>
      </w:r>
      <w:r w:rsidRPr="003C2840">
        <w:rPr>
          <w:rFonts w:asciiTheme="minorHAnsi" w:eastAsia="Times New Roman" w:hAnsiTheme="minorHAnsi"/>
          <w:bCs/>
          <w:iCs/>
          <w:sz w:val="24"/>
          <w:szCs w:val="24"/>
        </w:rPr>
        <w:t>care coordination</w:t>
      </w:r>
      <w:r w:rsidR="00283A38">
        <w:rPr>
          <w:rFonts w:asciiTheme="minorHAnsi" w:eastAsia="Times New Roman" w:hAnsiTheme="minorHAnsi"/>
          <w:bCs/>
          <w:iCs/>
          <w:sz w:val="24"/>
          <w:szCs w:val="24"/>
        </w:rPr>
        <w:t>.</w:t>
      </w:r>
    </w:p>
    <w:p w14:paraId="71587CAA" w14:textId="77777777" w:rsidR="00283A38" w:rsidRPr="003C2840" w:rsidRDefault="00283A38" w:rsidP="00440F82">
      <w:pPr>
        <w:widowControl w:val="0"/>
        <w:autoSpaceDE w:val="0"/>
        <w:autoSpaceDN w:val="0"/>
        <w:adjustRightInd w:val="0"/>
        <w:spacing w:after="0" w:line="240" w:lineRule="auto"/>
        <w:rPr>
          <w:rFonts w:asciiTheme="minorHAnsi" w:eastAsia="Times New Roman" w:hAnsiTheme="minorHAnsi"/>
          <w:bCs/>
          <w:iCs/>
          <w:sz w:val="24"/>
          <w:szCs w:val="24"/>
        </w:rPr>
      </w:pPr>
    </w:p>
    <w:p w14:paraId="43DA4DF2" w14:textId="5FA68E6E" w:rsidR="00440F82" w:rsidRPr="003C2840" w:rsidRDefault="00440F82" w:rsidP="00440F82">
      <w:pPr>
        <w:widowControl w:val="0"/>
        <w:autoSpaceDE w:val="0"/>
        <w:autoSpaceDN w:val="0"/>
        <w:adjustRightInd w:val="0"/>
        <w:spacing w:after="0" w:line="240" w:lineRule="auto"/>
        <w:rPr>
          <w:rFonts w:asciiTheme="minorHAnsi" w:eastAsia="Times New Roman" w:hAnsiTheme="minorHAnsi"/>
          <w:bCs/>
          <w:iCs/>
          <w:sz w:val="24"/>
          <w:szCs w:val="24"/>
        </w:rPr>
      </w:pPr>
      <w:r w:rsidRPr="003C2840">
        <w:rPr>
          <w:rFonts w:asciiTheme="minorHAnsi" w:eastAsia="Times New Roman" w:hAnsiTheme="minorHAnsi"/>
          <w:bCs/>
          <w:i/>
          <w:iCs/>
          <w:sz w:val="24"/>
          <w:szCs w:val="24"/>
          <w:u w:val="single"/>
        </w:rPr>
        <w:t>Others (women and men over 21)</w:t>
      </w:r>
      <w:r w:rsidRPr="003C2840">
        <w:rPr>
          <w:rFonts w:asciiTheme="minorHAnsi" w:eastAsia="Times New Roman" w:hAnsiTheme="minorHAnsi"/>
          <w:bCs/>
          <w:iCs/>
          <w:sz w:val="24"/>
          <w:szCs w:val="24"/>
        </w:rPr>
        <w:t xml:space="preserve"> – payment for well-woman visits, education or family-centered care provided to parents/guardians of children</w:t>
      </w:r>
      <w:r w:rsidR="00283A38">
        <w:rPr>
          <w:rFonts w:asciiTheme="minorHAnsi" w:eastAsia="Times New Roman" w:hAnsiTheme="minorHAnsi"/>
          <w:bCs/>
          <w:iCs/>
          <w:sz w:val="24"/>
          <w:szCs w:val="24"/>
        </w:rPr>
        <w:t>.</w:t>
      </w:r>
    </w:p>
    <w:p w14:paraId="28ED272A" w14:textId="77777777" w:rsidR="00440F82" w:rsidRPr="003C2840" w:rsidRDefault="00440F82" w:rsidP="00440F82">
      <w:pPr>
        <w:widowControl w:val="0"/>
        <w:autoSpaceDE w:val="0"/>
        <w:autoSpaceDN w:val="0"/>
        <w:adjustRightInd w:val="0"/>
        <w:spacing w:after="0" w:line="240" w:lineRule="auto"/>
        <w:rPr>
          <w:rFonts w:asciiTheme="minorHAnsi" w:eastAsia="Times New Roman" w:hAnsiTheme="minorHAnsi"/>
          <w:bCs/>
          <w:iCs/>
          <w:sz w:val="24"/>
          <w:szCs w:val="24"/>
        </w:rPr>
      </w:pPr>
    </w:p>
    <w:p w14:paraId="17037D78" w14:textId="7AE19D7E" w:rsidR="00440F82" w:rsidRPr="003C2840" w:rsidRDefault="00440F82" w:rsidP="00440F82">
      <w:pPr>
        <w:widowControl w:val="0"/>
        <w:autoSpaceDE w:val="0"/>
        <w:autoSpaceDN w:val="0"/>
        <w:adjustRightInd w:val="0"/>
        <w:spacing w:after="0" w:line="240" w:lineRule="auto"/>
        <w:rPr>
          <w:rFonts w:asciiTheme="minorHAnsi" w:eastAsia="Times New Roman" w:hAnsiTheme="minorHAnsi"/>
          <w:bCs/>
          <w:iCs/>
          <w:sz w:val="24"/>
          <w:szCs w:val="24"/>
        </w:rPr>
      </w:pPr>
      <w:r w:rsidRPr="0062347A">
        <w:rPr>
          <w:rFonts w:asciiTheme="minorHAnsi" w:eastAsia="Times New Roman" w:hAnsiTheme="minorHAnsi"/>
          <w:b/>
          <w:bCs/>
          <w:iCs/>
          <w:sz w:val="24"/>
          <w:szCs w:val="24"/>
        </w:rPr>
        <w:t xml:space="preserve">Form 5b, </w:t>
      </w:r>
      <w:r w:rsidRPr="0062347A">
        <w:rPr>
          <w:rFonts w:asciiTheme="minorHAnsi" w:eastAsia="Times New Roman" w:hAnsiTheme="minorHAnsi"/>
          <w:b/>
          <w:bCs/>
          <w:i/>
          <w:iCs/>
          <w:sz w:val="24"/>
          <w:szCs w:val="24"/>
        </w:rPr>
        <w:t>Total Percentage of Populations Served by Title V</w:t>
      </w:r>
      <w:r w:rsidR="002A4C6C">
        <w:rPr>
          <w:rFonts w:asciiTheme="minorHAnsi" w:eastAsia="Times New Roman" w:hAnsiTheme="minorHAnsi"/>
          <w:bCs/>
          <w:iCs/>
          <w:sz w:val="24"/>
          <w:szCs w:val="24"/>
        </w:rPr>
        <w:t>, enables the s</w:t>
      </w:r>
      <w:r w:rsidRPr="003C2840">
        <w:rPr>
          <w:rFonts w:asciiTheme="minorHAnsi" w:eastAsia="Times New Roman" w:hAnsiTheme="minorHAnsi"/>
          <w:bCs/>
          <w:iCs/>
          <w:sz w:val="24"/>
          <w:szCs w:val="24"/>
        </w:rPr>
        <w:t xml:space="preserve">tate to track and report on the total percentage who received a Title V-supported service within all levels of the MCH Pyramid (direct services, enabling services, and public health services and systems).  The purpose of this form is to better capture the breadth of the State’s Title V program and its reach in serving the MCH population.  </w:t>
      </w:r>
      <w:r w:rsidR="008B1CB2">
        <w:rPr>
          <w:rFonts w:asciiTheme="minorHAnsi" w:eastAsia="Times New Roman" w:hAnsiTheme="minorHAnsi"/>
          <w:bCs/>
          <w:iCs/>
          <w:sz w:val="24"/>
          <w:szCs w:val="24"/>
        </w:rPr>
        <w:t>Included in t</w:t>
      </w:r>
      <w:r w:rsidRPr="003C2840">
        <w:rPr>
          <w:rFonts w:asciiTheme="minorHAnsi" w:eastAsia="Times New Roman" w:hAnsiTheme="minorHAnsi"/>
          <w:bCs/>
          <w:iCs/>
          <w:sz w:val="24"/>
          <w:szCs w:val="24"/>
        </w:rPr>
        <w:t xml:space="preserve">his </w:t>
      </w:r>
      <w:r w:rsidR="008B1CB2">
        <w:rPr>
          <w:rFonts w:asciiTheme="minorHAnsi" w:eastAsia="Times New Roman" w:hAnsiTheme="minorHAnsi"/>
          <w:bCs/>
          <w:iCs/>
          <w:sz w:val="24"/>
          <w:szCs w:val="24"/>
        </w:rPr>
        <w:t xml:space="preserve">reporting are </w:t>
      </w:r>
      <w:r w:rsidRPr="003C2840">
        <w:rPr>
          <w:rFonts w:asciiTheme="minorHAnsi" w:eastAsia="Times New Roman" w:hAnsiTheme="minorHAnsi"/>
          <w:bCs/>
          <w:iCs/>
          <w:sz w:val="24"/>
          <w:szCs w:val="24"/>
        </w:rPr>
        <w:t>all individuals and populations served by the total Federal and State dollars</w:t>
      </w:r>
      <w:r w:rsidR="0062347A">
        <w:rPr>
          <w:rFonts w:asciiTheme="minorHAnsi" w:eastAsia="Times New Roman" w:hAnsiTheme="minorHAnsi"/>
          <w:bCs/>
          <w:iCs/>
          <w:sz w:val="24"/>
          <w:szCs w:val="24"/>
        </w:rPr>
        <w:t>, as</w:t>
      </w:r>
      <w:r w:rsidRPr="003C2840">
        <w:rPr>
          <w:rFonts w:asciiTheme="minorHAnsi" w:eastAsia="Times New Roman" w:hAnsiTheme="minorHAnsi"/>
          <w:bCs/>
          <w:iCs/>
          <w:sz w:val="24"/>
          <w:szCs w:val="24"/>
        </w:rPr>
        <w:t xml:space="preserve"> reported on line 8 of Form 2</w:t>
      </w:r>
      <w:r w:rsidR="0062347A">
        <w:rPr>
          <w:rFonts w:asciiTheme="minorHAnsi" w:eastAsia="Times New Roman" w:hAnsiTheme="minorHAnsi"/>
          <w:bCs/>
          <w:iCs/>
          <w:sz w:val="24"/>
          <w:szCs w:val="24"/>
        </w:rPr>
        <w:t>,</w:t>
      </w:r>
      <w:r w:rsidRPr="003C2840">
        <w:rPr>
          <w:rFonts w:asciiTheme="minorHAnsi" w:eastAsia="Times New Roman" w:hAnsiTheme="minorHAnsi"/>
          <w:bCs/>
          <w:iCs/>
          <w:sz w:val="24"/>
          <w:szCs w:val="24"/>
        </w:rPr>
        <w:t xml:space="preserve"> and the combined totals on Form 3a and 3b for all service levels.  </w:t>
      </w:r>
      <w:r w:rsidR="00640CF9">
        <w:rPr>
          <w:rFonts w:asciiTheme="minorHAnsi" w:eastAsia="Times New Roman" w:hAnsiTheme="minorHAnsi"/>
          <w:bCs/>
          <w:iCs/>
          <w:sz w:val="24"/>
          <w:szCs w:val="24"/>
        </w:rPr>
        <w:t xml:space="preserve">Non-Title V programs that provide direct and enabling services (e.g., WIC and Home Visiting) may be included if Title V funds or staff time are used to promote or enhance services.  (Individual services that are Title V-funded may also be counted in Form 5a.)  </w:t>
      </w:r>
      <w:r w:rsidRPr="003C2840">
        <w:rPr>
          <w:rFonts w:asciiTheme="minorHAnsi" w:eastAsia="Times New Roman" w:hAnsiTheme="minorHAnsi"/>
          <w:bCs/>
          <w:iCs/>
          <w:sz w:val="24"/>
          <w:szCs w:val="24"/>
        </w:rPr>
        <w:t>To avoid duplication, numerators for the percentage estimate should focus on the programs and services that have the largest reach for a given population, which generally involves the public health services and systems level of the MCH Pyramid.  Approximate denominators for each population group will be provided to facilitate percentage estimation.  Within public health services and systems, only those reached by activities directly connected to promoting the access or quality of specific population-based services and systems should be counted.  Examples of these public health services and systems activities, as well as direct/enabling service partnerships, are provided below by participant category.</w:t>
      </w:r>
    </w:p>
    <w:p w14:paraId="5097F514" w14:textId="77777777" w:rsidR="0062347A" w:rsidRPr="003C2840" w:rsidRDefault="0062347A" w:rsidP="00440F82">
      <w:pPr>
        <w:widowControl w:val="0"/>
        <w:autoSpaceDE w:val="0"/>
        <w:autoSpaceDN w:val="0"/>
        <w:adjustRightInd w:val="0"/>
        <w:spacing w:after="0" w:line="240" w:lineRule="auto"/>
        <w:rPr>
          <w:rFonts w:asciiTheme="minorHAnsi" w:eastAsia="Times New Roman" w:hAnsiTheme="minorHAnsi"/>
          <w:bCs/>
          <w:i/>
          <w:iCs/>
          <w:sz w:val="24"/>
          <w:szCs w:val="24"/>
          <w:u w:val="single"/>
        </w:rPr>
      </w:pPr>
    </w:p>
    <w:p w14:paraId="3D2DC8CB" w14:textId="466091A8" w:rsidR="0062347A" w:rsidRPr="003C2840" w:rsidRDefault="00440F82" w:rsidP="00440F82">
      <w:pPr>
        <w:widowControl w:val="0"/>
        <w:autoSpaceDE w:val="0"/>
        <w:autoSpaceDN w:val="0"/>
        <w:adjustRightInd w:val="0"/>
        <w:spacing w:after="0" w:line="240" w:lineRule="auto"/>
        <w:rPr>
          <w:rFonts w:asciiTheme="minorHAnsi" w:eastAsia="Times New Roman" w:hAnsiTheme="minorHAnsi"/>
          <w:bCs/>
          <w:iCs/>
          <w:sz w:val="24"/>
          <w:szCs w:val="24"/>
        </w:rPr>
      </w:pPr>
      <w:r w:rsidRPr="003C2840">
        <w:rPr>
          <w:rFonts w:asciiTheme="minorHAnsi" w:eastAsia="Times New Roman" w:hAnsiTheme="minorHAnsi"/>
          <w:bCs/>
          <w:i/>
          <w:iCs/>
          <w:sz w:val="24"/>
          <w:szCs w:val="24"/>
          <w:u w:val="single"/>
        </w:rPr>
        <w:t>Pregnant women (through 60 days postpartum)</w:t>
      </w:r>
      <w:r w:rsidRPr="003C2840">
        <w:rPr>
          <w:rFonts w:asciiTheme="minorHAnsi" w:eastAsia="Times New Roman" w:hAnsiTheme="minorHAnsi"/>
          <w:bCs/>
          <w:iCs/>
          <w:sz w:val="24"/>
          <w:szCs w:val="24"/>
        </w:rPr>
        <w:t xml:space="preserve"> </w:t>
      </w:r>
    </w:p>
    <w:p w14:paraId="6A43C712" w14:textId="17DCC22F" w:rsidR="00440F82" w:rsidRDefault="00440F82" w:rsidP="00440F82">
      <w:pPr>
        <w:pStyle w:val="ListParagraph"/>
        <w:widowControl w:val="0"/>
        <w:numPr>
          <w:ilvl w:val="0"/>
          <w:numId w:val="42"/>
        </w:numPr>
        <w:autoSpaceDE w:val="0"/>
        <w:autoSpaceDN w:val="0"/>
        <w:adjustRightInd w:val="0"/>
        <w:rPr>
          <w:rFonts w:asciiTheme="minorHAnsi" w:hAnsiTheme="minorHAnsi"/>
          <w:bCs/>
          <w:iCs/>
        </w:rPr>
      </w:pPr>
      <w:r w:rsidRPr="003C2840">
        <w:rPr>
          <w:rFonts w:asciiTheme="minorHAnsi" w:hAnsiTheme="minorHAnsi"/>
          <w:bCs/>
          <w:iCs/>
        </w:rPr>
        <w:t>Develop and/or maintain a system of risk-appropriate perinatal care designations and transfer protocols (count 100%)</w:t>
      </w:r>
      <w:r w:rsidR="00283A38">
        <w:rPr>
          <w:rFonts w:asciiTheme="minorHAnsi" w:hAnsiTheme="minorHAnsi"/>
          <w:bCs/>
          <w:iCs/>
        </w:rPr>
        <w:t>.</w:t>
      </w:r>
    </w:p>
    <w:p w14:paraId="5C101F9A" w14:textId="6C9B22AB" w:rsidR="00283A38" w:rsidRPr="003C2840" w:rsidRDefault="00283A38" w:rsidP="00440F82">
      <w:pPr>
        <w:pStyle w:val="ListParagraph"/>
        <w:widowControl w:val="0"/>
        <w:numPr>
          <w:ilvl w:val="0"/>
          <w:numId w:val="42"/>
        </w:numPr>
        <w:autoSpaceDE w:val="0"/>
        <w:autoSpaceDN w:val="0"/>
        <w:adjustRightInd w:val="0"/>
        <w:rPr>
          <w:rFonts w:asciiTheme="minorHAnsi" w:hAnsiTheme="minorHAnsi"/>
          <w:bCs/>
          <w:iCs/>
        </w:rPr>
      </w:pPr>
      <w:r>
        <w:rPr>
          <w:rFonts w:asciiTheme="minorHAnsi" w:hAnsiTheme="minorHAnsi"/>
          <w:bCs/>
          <w:iCs/>
        </w:rPr>
        <w:t>Fund local health departments to engage provider groups and promote screening for perinatal depression, smoking or substance use (count number or percent of births in funded counties).</w:t>
      </w:r>
    </w:p>
    <w:p w14:paraId="4538FE57" w14:textId="6279A2F4" w:rsidR="00440F82" w:rsidRPr="003C2840" w:rsidRDefault="00440F82" w:rsidP="00440F82">
      <w:pPr>
        <w:pStyle w:val="ListParagraph"/>
        <w:widowControl w:val="0"/>
        <w:numPr>
          <w:ilvl w:val="0"/>
          <w:numId w:val="42"/>
        </w:numPr>
        <w:autoSpaceDE w:val="0"/>
        <w:autoSpaceDN w:val="0"/>
        <w:adjustRightInd w:val="0"/>
        <w:rPr>
          <w:rFonts w:asciiTheme="minorHAnsi" w:hAnsiTheme="minorHAnsi"/>
          <w:bCs/>
          <w:iCs/>
        </w:rPr>
      </w:pPr>
      <w:r w:rsidRPr="003C2840">
        <w:rPr>
          <w:rFonts w:asciiTheme="minorHAnsi" w:hAnsiTheme="minorHAnsi"/>
          <w:bCs/>
          <w:iCs/>
        </w:rPr>
        <w:t>Partner with Medicaid or other health plans to implement a policy/procedural change to reduce low-risk cesarean delivery or promote smoking cessation (count number or % served by Medicaid or other health plans)</w:t>
      </w:r>
      <w:r w:rsidR="00283A38">
        <w:rPr>
          <w:rFonts w:asciiTheme="minorHAnsi" w:hAnsiTheme="minorHAnsi"/>
          <w:bCs/>
          <w:iCs/>
        </w:rPr>
        <w:t>.</w:t>
      </w:r>
    </w:p>
    <w:p w14:paraId="368232A9" w14:textId="58614A5B" w:rsidR="00440F82" w:rsidRPr="003C2840" w:rsidRDefault="00440F82" w:rsidP="00440F82">
      <w:pPr>
        <w:pStyle w:val="ListParagraph"/>
        <w:widowControl w:val="0"/>
        <w:numPr>
          <w:ilvl w:val="0"/>
          <w:numId w:val="42"/>
        </w:numPr>
        <w:autoSpaceDE w:val="0"/>
        <w:autoSpaceDN w:val="0"/>
        <w:adjustRightInd w:val="0"/>
        <w:rPr>
          <w:rFonts w:asciiTheme="minorHAnsi" w:hAnsiTheme="minorHAnsi"/>
          <w:bCs/>
          <w:iCs/>
        </w:rPr>
      </w:pPr>
      <w:r w:rsidRPr="003C2840">
        <w:rPr>
          <w:rFonts w:asciiTheme="minorHAnsi" w:hAnsiTheme="minorHAnsi"/>
          <w:bCs/>
          <w:iCs/>
        </w:rPr>
        <w:t>Outreach to hospitals to institute a safe sleep or baby friendly policy, distribute educational materials, or participate in a QI collaborative (count number or % of births in participating hospitals)</w:t>
      </w:r>
      <w:r w:rsidR="00283A38">
        <w:rPr>
          <w:rFonts w:asciiTheme="minorHAnsi" w:hAnsiTheme="minorHAnsi"/>
          <w:bCs/>
          <w:iCs/>
        </w:rPr>
        <w:t>.</w:t>
      </w:r>
    </w:p>
    <w:p w14:paraId="3BDE5C2E" w14:textId="7C0C4DA9" w:rsidR="00440F82" w:rsidRDefault="00440F82" w:rsidP="00440F82">
      <w:pPr>
        <w:pStyle w:val="ListParagraph"/>
        <w:widowControl w:val="0"/>
        <w:numPr>
          <w:ilvl w:val="0"/>
          <w:numId w:val="42"/>
        </w:numPr>
        <w:autoSpaceDE w:val="0"/>
        <w:autoSpaceDN w:val="0"/>
        <w:adjustRightInd w:val="0"/>
        <w:rPr>
          <w:rFonts w:asciiTheme="minorHAnsi" w:hAnsiTheme="minorHAnsi"/>
          <w:bCs/>
          <w:iCs/>
        </w:rPr>
      </w:pPr>
      <w:r w:rsidRPr="003C2840">
        <w:rPr>
          <w:rFonts w:asciiTheme="minorHAnsi" w:hAnsiTheme="minorHAnsi"/>
          <w:bCs/>
          <w:iCs/>
        </w:rPr>
        <w:t>Partner with WIC or home visiting programs to provide staff training or otherwise promote education, screening, or referrals on smoking cessation or preventive dental services (count number or % of pregnant/postpartum women served)</w:t>
      </w:r>
      <w:r w:rsidR="00283A38">
        <w:rPr>
          <w:rFonts w:asciiTheme="minorHAnsi" w:hAnsiTheme="minorHAnsi"/>
          <w:bCs/>
          <w:iCs/>
        </w:rPr>
        <w:t>.</w:t>
      </w:r>
    </w:p>
    <w:p w14:paraId="7F0C4181" w14:textId="77777777" w:rsidR="00283A38" w:rsidRPr="003C2840" w:rsidRDefault="00283A38" w:rsidP="00283A38">
      <w:pPr>
        <w:pStyle w:val="ListParagraph"/>
        <w:widowControl w:val="0"/>
        <w:autoSpaceDE w:val="0"/>
        <w:autoSpaceDN w:val="0"/>
        <w:adjustRightInd w:val="0"/>
        <w:rPr>
          <w:rFonts w:asciiTheme="minorHAnsi" w:hAnsiTheme="minorHAnsi"/>
          <w:bCs/>
          <w:iCs/>
        </w:rPr>
      </w:pPr>
    </w:p>
    <w:p w14:paraId="5C8321EF" w14:textId="74A54D49" w:rsidR="00440F82" w:rsidRPr="003C2840" w:rsidRDefault="00440F82" w:rsidP="00440F82">
      <w:pPr>
        <w:widowControl w:val="0"/>
        <w:autoSpaceDE w:val="0"/>
        <w:autoSpaceDN w:val="0"/>
        <w:adjustRightInd w:val="0"/>
        <w:spacing w:after="0" w:line="240" w:lineRule="auto"/>
        <w:rPr>
          <w:rFonts w:asciiTheme="minorHAnsi" w:eastAsia="Times New Roman" w:hAnsiTheme="minorHAnsi"/>
          <w:bCs/>
          <w:i/>
          <w:iCs/>
          <w:sz w:val="24"/>
          <w:szCs w:val="24"/>
          <w:u w:val="single"/>
        </w:rPr>
      </w:pPr>
      <w:r w:rsidRPr="003C2840">
        <w:rPr>
          <w:rFonts w:asciiTheme="minorHAnsi" w:eastAsia="Times New Roman" w:hAnsiTheme="minorHAnsi"/>
          <w:bCs/>
          <w:i/>
          <w:iCs/>
          <w:sz w:val="24"/>
          <w:szCs w:val="24"/>
          <w:u w:val="single"/>
        </w:rPr>
        <w:t xml:space="preserve">Infants </w:t>
      </w:r>
      <w:r w:rsidR="009B4BEE">
        <w:rPr>
          <w:rFonts w:asciiTheme="minorHAnsi" w:eastAsia="Times New Roman" w:hAnsiTheme="minorHAnsi"/>
          <w:bCs/>
          <w:i/>
          <w:iCs/>
          <w:sz w:val="24"/>
          <w:szCs w:val="24"/>
          <w:u w:val="single"/>
        </w:rPr>
        <w:t>(</w:t>
      </w:r>
      <w:r w:rsidRPr="003C2840">
        <w:rPr>
          <w:rFonts w:asciiTheme="minorHAnsi" w:eastAsia="Times New Roman" w:hAnsiTheme="minorHAnsi"/>
          <w:bCs/>
          <w:i/>
          <w:iCs/>
          <w:sz w:val="24"/>
          <w:szCs w:val="24"/>
          <w:u w:val="single"/>
        </w:rPr>
        <w:t xml:space="preserve">less than </w:t>
      </w:r>
      <w:r w:rsidR="009B4BEE">
        <w:rPr>
          <w:rFonts w:asciiTheme="minorHAnsi" w:eastAsia="Times New Roman" w:hAnsiTheme="minorHAnsi"/>
          <w:bCs/>
          <w:i/>
          <w:iCs/>
          <w:sz w:val="24"/>
          <w:szCs w:val="24"/>
          <w:u w:val="single"/>
        </w:rPr>
        <w:t>age one)</w:t>
      </w:r>
    </w:p>
    <w:p w14:paraId="2DB9A3C5" w14:textId="72FD2172" w:rsidR="00440F82" w:rsidRDefault="00440F82" w:rsidP="00440F82">
      <w:pPr>
        <w:pStyle w:val="ListParagraph"/>
        <w:widowControl w:val="0"/>
        <w:numPr>
          <w:ilvl w:val="0"/>
          <w:numId w:val="43"/>
        </w:numPr>
        <w:autoSpaceDE w:val="0"/>
        <w:autoSpaceDN w:val="0"/>
        <w:adjustRightInd w:val="0"/>
        <w:rPr>
          <w:rFonts w:asciiTheme="minorHAnsi" w:hAnsiTheme="minorHAnsi"/>
          <w:bCs/>
          <w:iCs/>
        </w:rPr>
      </w:pPr>
      <w:r w:rsidRPr="003C2840">
        <w:rPr>
          <w:rFonts w:asciiTheme="minorHAnsi" w:hAnsiTheme="minorHAnsi"/>
          <w:bCs/>
          <w:iCs/>
        </w:rPr>
        <w:t>Administer, develop guidelines/standards/policies, or otherwise assure the newborn screening program (count 100%)</w:t>
      </w:r>
      <w:r w:rsidR="00283A38">
        <w:rPr>
          <w:rFonts w:asciiTheme="minorHAnsi" w:hAnsiTheme="minorHAnsi"/>
          <w:bCs/>
          <w:iCs/>
        </w:rPr>
        <w:t>.</w:t>
      </w:r>
    </w:p>
    <w:p w14:paraId="73F8FD09" w14:textId="79957BEA" w:rsidR="00283A38" w:rsidRPr="003C2840" w:rsidRDefault="00283A38" w:rsidP="00440F82">
      <w:pPr>
        <w:pStyle w:val="ListParagraph"/>
        <w:widowControl w:val="0"/>
        <w:numPr>
          <w:ilvl w:val="0"/>
          <w:numId w:val="43"/>
        </w:numPr>
        <w:autoSpaceDE w:val="0"/>
        <w:autoSpaceDN w:val="0"/>
        <w:adjustRightInd w:val="0"/>
        <w:rPr>
          <w:rFonts w:asciiTheme="minorHAnsi" w:hAnsiTheme="minorHAnsi"/>
          <w:bCs/>
          <w:iCs/>
        </w:rPr>
      </w:pPr>
      <w:r>
        <w:rPr>
          <w:rFonts w:asciiTheme="minorHAnsi" w:hAnsiTheme="minorHAnsi"/>
          <w:bCs/>
          <w:iCs/>
        </w:rPr>
        <w:t>Develop and/or maintain a system of risk-appropriate perinatal care designations and transfer protocols (count 100%).</w:t>
      </w:r>
    </w:p>
    <w:p w14:paraId="45CC7D28" w14:textId="291F1FC4" w:rsidR="00440F82" w:rsidRPr="003C2840" w:rsidRDefault="00440F82" w:rsidP="00440F82">
      <w:pPr>
        <w:pStyle w:val="ListParagraph"/>
        <w:widowControl w:val="0"/>
        <w:numPr>
          <w:ilvl w:val="0"/>
          <w:numId w:val="43"/>
        </w:numPr>
        <w:autoSpaceDE w:val="0"/>
        <w:autoSpaceDN w:val="0"/>
        <w:adjustRightInd w:val="0"/>
        <w:rPr>
          <w:rFonts w:asciiTheme="minorHAnsi" w:hAnsiTheme="minorHAnsi"/>
          <w:bCs/>
          <w:iCs/>
        </w:rPr>
      </w:pPr>
      <w:r w:rsidRPr="003C2840">
        <w:rPr>
          <w:rFonts w:asciiTheme="minorHAnsi" w:hAnsiTheme="minorHAnsi"/>
          <w:bCs/>
          <w:iCs/>
        </w:rPr>
        <w:t xml:space="preserve">Outreach to hospitals to institute a safe sleep or baby friendly policy, distribute educational materials, or participate in a QI collaborative (count number or % of </w:t>
      </w:r>
      <w:r w:rsidR="00A544B9">
        <w:rPr>
          <w:rFonts w:asciiTheme="minorHAnsi" w:hAnsiTheme="minorHAnsi"/>
          <w:bCs/>
          <w:iCs/>
        </w:rPr>
        <w:t>infants served</w:t>
      </w:r>
      <w:r w:rsidRPr="003C2840">
        <w:rPr>
          <w:rFonts w:asciiTheme="minorHAnsi" w:hAnsiTheme="minorHAnsi"/>
          <w:bCs/>
          <w:iCs/>
        </w:rPr>
        <w:t>)</w:t>
      </w:r>
      <w:r w:rsidR="00283A38">
        <w:rPr>
          <w:rFonts w:asciiTheme="minorHAnsi" w:hAnsiTheme="minorHAnsi"/>
          <w:bCs/>
          <w:iCs/>
        </w:rPr>
        <w:t>.</w:t>
      </w:r>
    </w:p>
    <w:p w14:paraId="50EA3109" w14:textId="1198FF62" w:rsidR="00440F82" w:rsidRDefault="00440F82" w:rsidP="00440F82">
      <w:pPr>
        <w:pStyle w:val="ListParagraph"/>
        <w:widowControl w:val="0"/>
        <w:numPr>
          <w:ilvl w:val="0"/>
          <w:numId w:val="43"/>
        </w:numPr>
        <w:autoSpaceDE w:val="0"/>
        <w:autoSpaceDN w:val="0"/>
        <w:adjustRightInd w:val="0"/>
        <w:rPr>
          <w:rFonts w:asciiTheme="minorHAnsi" w:hAnsiTheme="minorHAnsi"/>
          <w:bCs/>
          <w:iCs/>
        </w:rPr>
      </w:pPr>
      <w:r w:rsidRPr="003C2840">
        <w:rPr>
          <w:rFonts w:asciiTheme="minorHAnsi" w:hAnsiTheme="minorHAnsi"/>
          <w:bCs/>
          <w:iCs/>
        </w:rPr>
        <w:t>Partner with WIC or home visiting programs to provide staff training or otherwise promote education/counseling on safe sleep practices  (count number or % of pregnant/postpartum women served)</w:t>
      </w:r>
      <w:r w:rsidR="00283A38">
        <w:rPr>
          <w:rFonts w:asciiTheme="minorHAnsi" w:hAnsiTheme="minorHAnsi"/>
          <w:bCs/>
          <w:iCs/>
        </w:rPr>
        <w:t>.</w:t>
      </w:r>
    </w:p>
    <w:p w14:paraId="358A0C72" w14:textId="2B2A2956" w:rsidR="00A544B9" w:rsidRDefault="007655F0" w:rsidP="00440F82">
      <w:pPr>
        <w:pStyle w:val="ListParagraph"/>
        <w:widowControl w:val="0"/>
        <w:numPr>
          <w:ilvl w:val="0"/>
          <w:numId w:val="43"/>
        </w:numPr>
        <w:autoSpaceDE w:val="0"/>
        <w:autoSpaceDN w:val="0"/>
        <w:adjustRightInd w:val="0"/>
        <w:rPr>
          <w:rFonts w:asciiTheme="minorHAnsi" w:hAnsiTheme="minorHAnsi"/>
          <w:bCs/>
          <w:iCs/>
        </w:rPr>
      </w:pPr>
      <w:r>
        <w:rPr>
          <w:rFonts w:asciiTheme="minorHAnsi" w:hAnsiTheme="minorHAnsi"/>
          <w:bCs/>
          <w:iCs/>
        </w:rPr>
        <w:t>Implement a statewide campaign to promote safe sleep practices (count number of Web hits).</w:t>
      </w:r>
    </w:p>
    <w:p w14:paraId="0B8097E5" w14:textId="77777777" w:rsidR="0057279E" w:rsidRPr="003C2840" w:rsidRDefault="0057279E" w:rsidP="0057279E">
      <w:pPr>
        <w:pStyle w:val="ListParagraph"/>
        <w:widowControl w:val="0"/>
        <w:autoSpaceDE w:val="0"/>
        <w:autoSpaceDN w:val="0"/>
        <w:adjustRightInd w:val="0"/>
        <w:rPr>
          <w:rFonts w:asciiTheme="minorHAnsi" w:hAnsiTheme="minorHAnsi"/>
          <w:bCs/>
          <w:iCs/>
        </w:rPr>
      </w:pPr>
    </w:p>
    <w:p w14:paraId="43680760" w14:textId="566CD41C" w:rsidR="00440F82" w:rsidRPr="003C2840" w:rsidRDefault="00440F82" w:rsidP="00440F82">
      <w:pPr>
        <w:widowControl w:val="0"/>
        <w:autoSpaceDE w:val="0"/>
        <w:autoSpaceDN w:val="0"/>
        <w:adjustRightInd w:val="0"/>
        <w:spacing w:after="0" w:line="240" w:lineRule="auto"/>
        <w:rPr>
          <w:rFonts w:asciiTheme="minorHAnsi" w:eastAsia="Times New Roman" w:hAnsiTheme="minorHAnsi"/>
          <w:bCs/>
          <w:iCs/>
          <w:sz w:val="24"/>
          <w:szCs w:val="24"/>
        </w:rPr>
      </w:pPr>
      <w:r w:rsidRPr="003C2840">
        <w:rPr>
          <w:rFonts w:asciiTheme="minorHAnsi" w:eastAsia="Times New Roman" w:hAnsiTheme="minorHAnsi"/>
          <w:bCs/>
          <w:i/>
          <w:iCs/>
          <w:sz w:val="24"/>
          <w:szCs w:val="24"/>
          <w:u w:val="single"/>
        </w:rPr>
        <w:t xml:space="preserve">Children ages </w:t>
      </w:r>
      <w:r w:rsidR="009B4BEE">
        <w:rPr>
          <w:rFonts w:asciiTheme="minorHAnsi" w:eastAsia="Times New Roman" w:hAnsiTheme="minorHAnsi"/>
          <w:bCs/>
          <w:i/>
          <w:iCs/>
          <w:sz w:val="24"/>
          <w:szCs w:val="24"/>
          <w:u w:val="single"/>
        </w:rPr>
        <w:t>one (1)</w:t>
      </w:r>
      <w:r w:rsidRPr="003C2840">
        <w:rPr>
          <w:rFonts w:asciiTheme="minorHAnsi" w:eastAsia="Times New Roman" w:hAnsiTheme="minorHAnsi"/>
          <w:bCs/>
          <w:i/>
          <w:iCs/>
          <w:sz w:val="24"/>
          <w:szCs w:val="24"/>
          <w:u w:val="single"/>
        </w:rPr>
        <w:t xml:space="preserve"> through 21, including CSHCN</w:t>
      </w:r>
      <w:r w:rsidRPr="003C2840">
        <w:rPr>
          <w:rFonts w:asciiTheme="minorHAnsi" w:eastAsia="Times New Roman" w:hAnsiTheme="minorHAnsi"/>
          <w:bCs/>
          <w:iCs/>
          <w:sz w:val="24"/>
          <w:szCs w:val="24"/>
        </w:rPr>
        <w:t xml:space="preserve"> </w:t>
      </w:r>
    </w:p>
    <w:p w14:paraId="08EFD74E" w14:textId="42AE5233" w:rsidR="00440F82" w:rsidRPr="003C2840" w:rsidRDefault="00440F82" w:rsidP="00440F82">
      <w:pPr>
        <w:pStyle w:val="ListParagraph"/>
        <w:widowControl w:val="0"/>
        <w:numPr>
          <w:ilvl w:val="0"/>
          <w:numId w:val="43"/>
        </w:numPr>
        <w:autoSpaceDE w:val="0"/>
        <w:autoSpaceDN w:val="0"/>
        <w:adjustRightInd w:val="0"/>
        <w:rPr>
          <w:rFonts w:asciiTheme="minorHAnsi" w:hAnsiTheme="minorHAnsi"/>
          <w:bCs/>
          <w:iCs/>
        </w:rPr>
      </w:pPr>
      <w:r w:rsidRPr="003C2840">
        <w:rPr>
          <w:rFonts w:asciiTheme="minorHAnsi" w:hAnsiTheme="minorHAnsi"/>
          <w:bCs/>
          <w:iCs/>
        </w:rPr>
        <w:t xml:space="preserve">Develop and maintain a statewide registry for developmental screening and follow-up (count number of children age </w:t>
      </w:r>
      <w:r w:rsidR="009B4BEE">
        <w:rPr>
          <w:rFonts w:asciiTheme="minorHAnsi" w:hAnsiTheme="minorHAnsi"/>
          <w:bCs/>
          <w:iCs/>
        </w:rPr>
        <w:t>one</w:t>
      </w:r>
      <w:r w:rsidR="008B1CB2">
        <w:rPr>
          <w:rFonts w:asciiTheme="minorHAnsi" w:hAnsiTheme="minorHAnsi"/>
          <w:bCs/>
          <w:iCs/>
        </w:rPr>
        <w:t xml:space="preserve"> (1)</w:t>
      </w:r>
      <w:r w:rsidR="009B4BEE">
        <w:rPr>
          <w:rFonts w:asciiTheme="minorHAnsi" w:hAnsiTheme="minorHAnsi"/>
          <w:bCs/>
          <w:iCs/>
        </w:rPr>
        <w:t xml:space="preserve"> </w:t>
      </w:r>
      <w:r w:rsidRPr="003C2840">
        <w:rPr>
          <w:rFonts w:asciiTheme="minorHAnsi" w:hAnsiTheme="minorHAnsi"/>
          <w:bCs/>
          <w:iCs/>
        </w:rPr>
        <w:t>through 5)</w:t>
      </w:r>
      <w:r w:rsidR="00DD14EE">
        <w:rPr>
          <w:rFonts w:asciiTheme="minorHAnsi" w:hAnsiTheme="minorHAnsi"/>
          <w:bCs/>
          <w:iCs/>
        </w:rPr>
        <w:t>.</w:t>
      </w:r>
    </w:p>
    <w:p w14:paraId="74236E40" w14:textId="7143376E" w:rsidR="00440F82" w:rsidRPr="003C2840" w:rsidRDefault="00440F82" w:rsidP="00440F82">
      <w:pPr>
        <w:pStyle w:val="ListParagraph"/>
        <w:widowControl w:val="0"/>
        <w:numPr>
          <w:ilvl w:val="0"/>
          <w:numId w:val="43"/>
        </w:numPr>
        <w:autoSpaceDE w:val="0"/>
        <w:autoSpaceDN w:val="0"/>
        <w:adjustRightInd w:val="0"/>
        <w:rPr>
          <w:rFonts w:asciiTheme="minorHAnsi" w:hAnsiTheme="minorHAnsi"/>
          <w:bCs/>
          <w:iCs/>
        </w:rPr>
      </w:pPr>
      <w:r w:rsidRPr="003C2840">
        <w:rPr>
          <w:rFonts w:asciiTheme="minorHAnsi" w:hAnsiTheme="minorHAnsi"/>
          <w:bCs/>
          <w:iCs/>
        </w:rPr>
        <w:t>Develop or promote school-based injury prevention, oral health, or physical activity programs (count number of children in participating schools)</w:t>
      </w:r>
      <w:r w:rsidR="00DD14EE">
        <w:rPr>
          <w:rFonts w:asciiTheme="minorHAnsi" w:hAnsiTheme="minorHAnsi"/>
          <w:bCs/>
          <w:iCs/>
        </w:rPr>
        <w:t>.</w:t>
      </w:r>
    </w:p>
    <w:p w14:paraId="0E497FD2" w14:textId="62CF3F57" w:rsidR="00440F82" w:rsidRDefault="00440F82" w:rsidP="00440F82">
      <w:pPr>
        <w:pStyle w:val="ListParagraph"/>
        <w:widowControl w:val="0"/>
        <w:numPr>
          <w:ilvl w:val="0"/>
          <w:numId w:val="43"/>
        </w:numPr>
        <w:autoSpaceDE w:val="0"/>
        <w:autoSpaceDN w:val="0"/>
        <w:adjustRightInd w:val="0"/>
        <w:rPr>
          <w:rFonts w:asciiTheme="minorHAnsi" w:hAnsiTheme="minorHAnsi"/>
          <w:bCs/>
          <w:iCs/>
        </w:rPr>
      </w:pPr>
      <w:r w:rsidRPr="003C2840">
        <w:rPr>
          <w:rFonts w:asciiTheme="minorHAnsi" w:hAnsiTheme="minorHAnsi"/>
          <w:bCs/>
          <w:iCs/>
        </w:rPr>
        <w:t>Partner with Medicaid, health plans, pediatric practices, or schools to implement a policy/procedural change, QI collaborative, or other campaign to promote the adolescent well visit (count number of adolescents enrolled or served by plan/practice/school)</w:t>
      </w:r>
      <w:r w:rsidR="00DD14EE">
        <w:rPr>
          <w:rFonts w:asciiTheme="minorHAnsi" w:hAnsiTheme="minorHAnsi"/>
          <w:bCs/>
          <w:iCs/>
        </w:rPr>
        <w:t>.</w:t>
      </w:r>
    </w:p>
    <w:p w14:paraId="43BDDC2D" w14:textId="3AD7A401" w:rsidR="00DD00BC" w:rsidRPr="003C2840" w:rsidRDefault="00DD00BC" w:rsidP="00440F82">
      <w:pPr>
        <w:pStyle w:val="ListParagraph"/>
        <w:widowControl w:val="0"/>
        <w:numPr>
          <w:ilvl w:val="0"/>
          <w:numId w:val="43"/>
        </w:numPr>
        <w:autoSpaceDE w:val="0"/>
        <w:autoSpaceDN w:val="0"/>
        <w:adjustRightInd w:val="0"/>
        <w:rPr>
          <w:rFonts w:asciiTheme="minorHAnsi" w:hAnsiTheme="minorHAnsi"/>
          <w:bCs/>
          <w:iCs/>
        </w:rPr>
      </w:pPr>
      <w:r>
        <w:rPr>
          <w:rFonts w:asciiTheme="minorHAnsi" w:hAnsiTheme="minorHAnsi"/>
          <w:bCs/>
          <w:iCs/>
        </w:rPr>
        <w:t>Fund local health departments to promote and advance the medical home model among all pediatric providers (count number of children in local counties).</w:t>
      </w:r>
    </w:p>
    <w:p w14:paraId="34B9446D" w14:textId="0B276124" w:rsidR="00440F82" w:rsidRDefault="00440F82" w:rsidP="00440F82">
      <w:pPr>
        <w:pStyle w:val="ListParagraph"/>
        <w:widowControl w:val="0"/>
        <w:numPr>
          <w:ilvl w:val="0"/>
          <w:numId w:val="43"/>
        </w:numPr>
        <w:autoSpaceDE w:val="0"/>
        <w:autoSpaceDN w:val="0"/>
        <w:adjustRightInd w:val="0"/>
        <w:rPr>
          <w:rFonts w:asciiTheme="minorHAnsi" w:hAnsiTheme="minorHAnsi"/>
          <w:bCs/>
          <w:iCs/>
        </w:rPr>
      </w:pPr>
      <w:r w:rsidRPr="003C2840">
        <w:rPr>
          <w:rFonts w:asciiTheme="minorHAnsi" w:hAnsiTheme="minorHAnsi"/>
          <w:bCs/>
          <w:iCs/>
        </w:rPr>
        <w:t>Develop and maintain a comprehensive system of services for CSHCN (count number of CSHCN served; if percentage served is lower than other population-based services for all children, report service percentage for all children as CSHCN are not excluded from general services)</w:t>
      </w:r>
      <w:r w:rsidR="00DD14EE">
        <w:rPr>
          <w:rFonts w:asciiTheme="minorHAnsi" w:hAnsiTheme="minorHAnsi"/>
          <w:bCs/>
          <w:iCs/>
        </w:rPr>
        <w:t>.</w:t>
      </w:r>
    </w:p>
    <w:p w14:paraId="65148E52" w14:textId="77777777" w:rsidR="00DD14EE" w:rsidRPr="003C2840" w:rsidRDefault="00DD14EE" w:rsidP="00DD14EE">
      <w:pPr>
        <w:pStyle w:val="ListParagraph"/>
        <w:widowControl w:val="0"/>
        <w:autoSpaceDE w:val="0"/>
        <w:autoSpaceDN w:val="0"/>
        <w:adjustRightInd w:val="0"/>
        <w:rPr>
          <w:rFonts w:asciiTheme="minorHAnsi" w:hAnsiTheme="minorHAnsi"/>
          <w:bCs/>
          <w:iCs/>
        </w:rPr>
      </w:pPr>
    </w:p>
    <w:p w14:paraId="4282D8B9" w14:textId="4F4C6BEB" w:rsidR="00440F82" w:rsidRPr="003C2840" w:rsidRDefault="00440F82" w:rsidP="00440F82">
      <w:pPr>
        <w:widowControl w:val="0"/>
        <w:autoSpaceDE w:val="0"/>
        <w:autoSpaceDN w:val="0"/>
        <w:adjustRightInd w:val="0"/>
        <w:spacing w:after="0" w:line="240" w:lineRule="auto"/>
        <w:rPr>
          <w:rFonts w:asciiTheme="minorHAnsi" w:eastAsia="Times New Roman" w:hAnsiTheme="minorHAnsi"/>
          <w:bCs/>
          <w:iCs/>
          <w:sz w:val="24"/>
          <w:szCs w:val="24"/>
        </w:rPr>
      </w:pPr>
      <w:r w:rsidRPr="003C2840">
        <w:rPr>
          <w:rFonts w:asciiTheme="minorHAnsi" w:eastAsia="Times New Roman" w:hAnsiTheme="minorHAnsi"/>
          <w:bCs/>
          <w:i/>
          <w:iCs/>
          <w:sz w:val="24"/>
          <w:szCs w:val="24"/>
          <w:u w:val="single"/>
        </w:rPr>
        <w:t xml:space="preserve">Others (women and men over </w:t>
      </w:r>
      <w:r w:rsidR="00111FF8">
        <w:rPr>
          <w:rFonts w:asciiTheme="minorHAnsi" w:eastAsia="Times New Roman" w:hAnsiTheme="minorHAnsi"/>
          <w:bCs/>
          <w:i/>
          <w:iCs/>
          <w:sz w:val="24"/>
          <w:szCs w:val="24"/>
          <w:u w:val="single"/>
        </w:rPr>
        <w:t xml:space="preserve">age </w:t>
      </w:r>
      <w:r w:rsidRPr="003C2840">
        <w:rPr>
          <w:rFonts w:asciiTheme="minorHAnsi" w:eastAsia="Times New Roman" w:hAnsiTheme="minorHAnsi"/>
          <w:bCs/>
          <w:i/>
          <w:iCs/>
          <w:sz w:val="24"/>
          <w:szCs w:val="24"/>
          <w:u w:val="single"/>
        </w:rPr>
        <w:t>21)</w:t>
      </w:r>
      <w:r w:rsidRPr="003C2840">
        <w:rPr>
          <w:rFonts w:asciiTheme="minorHAnsi" w:eastAsia="Times New Roman" w:hAnsiTheme="minorHAnsi"/>
          <w:bCs/>
          <w:iCs/>
          <w:sz w:val="24"/>
          <w:szCs w:val="24"/>
        </w:rPr>
        <w:t xml:space="preserve"> </w:t>
      </w:r>
    </w:p>
    <w:p w14:paraId="30C103DB" w14:textId="77777777" w:rsidR="00440F82" w:rsidRPr="003C2840" w:rsidRDefault="00440F82" w:rsidP="00440F82">
      <w:pPr>
        <w:pStyle w:val="ListParagraph"/>
        <w:widowControl w:val="0"/>
        <w:numPr>
          <w:ilvl w:val="0"/>
          <w:numId w:val="44"/>
        </w:numPr>
        <w:autoSpaceDE w:val="0"/>
        <w:autoSpaceDN w:val="0"/>
        <w:adjustRightInd w:val="0"/>
        <w:rPr>
          <w:rFonts w:asciiTheme="minorHAnsi" w:hAnsiTheme="minorHAnsi"/>
          <w:bCs/>
          <w:iCs/>
        </w:rPr>
      </w:pPr>
      <w:r w:rsidRPr="003C2840">
        <w:rPr>
          <w:rFonts w:asciiTheme="minorHAnsi" w:hAnsiTheme="minorHAnsi"/>
          <w:bCs/>
          <w:iCs/>
        </w:rPr>
        <w:t>Implement a statewide campaign to promote the well-woman visit (count number of web hits)</w:t>
      </w:r>
    </w:p>
    <w:p w14:paraId="77BDA972" w14:textId="6F45E61B" w:rsidR="00440F82" w:rsidRPr="003C2840" w:rsidRDefault="00440F82" w:rsidP="00440F82">
      <w:pPr>
        <w:pStyle w:val="ListParagraph"/>
        <w:widowControl w:val="0"/>
        <w:numPr>
          <w:ilvl w:val="0"/>
          <w:numId w:val="44"/>
        </w:numPr>
        <w:autoSpaceDE w:val="0"/>
        <w:autoSpaceDN w:val="0"/>
        <w:adjustRightInd w:val="0"/>
        <w:rPr>
          <w:rFonts w:asciiTheme="minorHAnsi" w:hAnsiTheme="minorHAnsi"/>
          <w:bCs/>
          <w:iCs/>
        </w:rPr>
      </w:pPr>
      <w:r w:rsidRPr="003C2840">
        <w:rPr>
          <w:rFonts w:asciiTheme="minorHAnsi" w:hAnsiTheme="minorHAnsi"/>
          <w:bCs/>
          <w:iCs/>
        </w:rPr>
        <w:t xml:space="preserve">Partner with WIC or Home Visiting to improve screening/counseling for smoking cessation (count number of women with a child age </w:t>
      </w:r>
      <w:r w:rsidR="00111FF8">
        <w:rPr>
          <w:rFonts w:asciiTheme="minorHAnsi" w:hAnsiTheme="minorHAnsi"/>
          <w:bCs/>
          <w:iCs/>
        </w:rPr>
        <w:t>one</w:t>
      </w:r>
      <w:r w:rsidR="008B1CB2">
        <w:rPr>
          <w:rFonts w:asciiTheme="minorHAnsi" w:hAnsiTheme="minorHAnsi"/>
          <w:bCs/>
          <w:iCs/>
        </w:rPr>
        <w:t xml:space="preserve"> (1)</w:t>
      </w:r>
      <w:r w:rsidR="00111FF8">
        <w:rPr>
          <w:rFonts w:asciiTheme="minorHAnsi" w:hAnsiTheme="minorHAnsi"/>
          <w:bCs/>
          <w:iCs/>
        </w:rPr>
        <w:t xml:space="preserve"> </w:t>
      </w:r>
      <w:r w:rsidRPr="003C2840">
        <w:rPr>
          <w:rFonts w:asciiTheme="minorHAnsi" w:hAnsiTheme="minorHAnsi"/>
          <w:bCs/>
          <w:iCs/>
        </w:rPr>
        <w:t>or more to avoid duplication with pregnant women)</w:t>
      </w:r>
    </w:p>
    <w:p w14:paraId="421A5FCB" w14:textId="74B871D2" w:rsidR="00440F82" w:rsidRDefault="00440F82" w:rsidP="00440F82">
      <w:pPr>
        <w:pStyle w:val="ListParagraph"/>
        <w:widowControl w:val="0"/>
        <w:numPr>
          <w:ilvl w:val="0"/>
          <w:numId w:val="44"/>
        </w:numPr>
        <w:autoSpaceDE w:val="0"/>
        <w:autoSpaceDN w:val="0"/>
        <w:adjustRightInd w:val="0"/>
        <w:rPr>
          <w:rFonts w:asciiTheme="minorHAnsi" w:hAnsiTheme="minorHAnsi"/>
          <w:bCs/>
          <w:iCs/>
        </w:rPr>
      </w:pPr>
      <w:r w:rsidRPr="003C2840">
        <w:rPr>
          <w:rFonts w:asciiTheme="minorHAnsi" w:hAnsiTheme="minorHAnsi"/>
          <w:bCs/>
          <w:iCs/>
        </w:rPr>
        <w:t>Partner to promote family engagement services (count number of parents over 21 served)</w:t>
      </w:r>
    </w:p>
    <w:p w14:paraId="1361D63B" w14:textId="4D389B2C" w:rsidR="00283A38" w:rsidRPr="00DD00BC" w:rsidRDefault="00283A38" w:rsidP="00DD00BC">
      <w:pPr>
        <w:widowControl w:val="0"/>
        <w:autoSpaceDE w:val="0"/>
        <w:autoSpaceDN w:val="0"/>
        <w:adjustRightInd w:val="0"/>
        <w:spacing w:after="0" w:line="240" w:lineRule="auto"/>
        <w:rPr>
          <w:rFonts w:asciiTheme="minorHAnsi" w:hAnsiTheme="minorHAnsi"/>
          <w:bCs/>
          <w:iCs/>
        </w:rPr>
      </w:pPr>
    </w:p>
    <w:p w14:paraId="1387F11F" w14:textId="77777777" w:rsidR="005C618C" w:rsidRPr="00192BDC" w:rsidRDefault="005C618C" w:rsidP="005C618C">
      <w:pPr>
        <w:widowControl w:val="0"/>
        <w:pBdr>
          <w:bottom w:val="single" w:sz="4" w:space="4" w:color="0F6FC6" w:themeColor="accent1"/>
        </w:pBdr>
        <w:autoSpaceDE w:val="0"/>
        <w:autoSpaceDN w:val="0"/>
        <w:adjustRightInd w:val="0"/>
        <w:spacing w:before="200" w:after="280" w:line="240" w:lineRule="auto"/>
        <w:ind w:right="936"/>
        <w:rPr>
          <w:rFonts w:asciiTheme="minorHAnsi" w:eastAsia="Times New Roman" w:hAnsiTheme="minorHAnsi" w:cs="Arial"/>
          <w:b/>
          <w:bCs/>
          <w:i/>
          <w:iCs/>
          <w:color w:val="0B5294" w:themeColor="accent1" w:themeShade="BF"/>
          <w:sz w:val="28"/>
          <w:szCs w:val="28"/>
        </w:rPr>
      </w:pPr>
      <w:r w:rsidRPr="00192BDC">
        <w:rPr>
          <w:rFonts w:asciiTheme="minorHAnsi" w:eastAsia="Times New Roman" w:hAnsiTheme="minorHAnsi" w:cs="Arial"/>
          <w:b/>
          <w:bCs/>
          <w:i/>
          <w:iCs/>
          <w:color w:val="0B5294" w:themeColor="accent1" w:themeShade="BF"/>
          <w:sz w:val="28"/>
          <w:szCs w:val="28"/>
        </w:rPr>
        <w:t xml:space="preserve">Title V Program Administration  </w:t>
      </w:r>
    </w:p>
    <w:p w14:paraId="6139FBB1" w14:textId="218860E8" w:rsidR="005C618C" w:rsidRPr="003C2840" w:rsidRDefault="005C618C" w:rsidP="005C618C">
      <w:pPr>
        <w:widowControl w:val="0"/>
        <w:autoSpaceDE w:val="0"/>
        <w:autoSpaceDN w:val="0"/>
        <w:adjustRightInd w:val="0"/>
        <w:spacing w:after="0" w:line="240" w:lineRule="auto"/>
        <w:rPr>
          <w:rFonts w:asciiTheme="minorHAnsi" w:eastAsia="Times New Roman" w:hAnsiTheme="minorHAnsi"/>
          <w:b/>
          <w:sz w:val="24"/>
          <w:szCs w:val="20"/>
        </w:rPr>
      </w:pPr>
      <w:r w:rsidRPr="003C2840">
        <w:rPr>
          <w:rFonts w:asciiTheme="minorHAnsi" w:eastAsia="Times New Roman" w:hAnsiTheme="minorHAnsi"/>
          <w:sz w:val="24"/>
          <w:szCs w:val="20"/>
          <w:u w:val="single"/>
        </w:rPr>
        <w:t>Administrative Title V Funds</w:t>
      </w:r>
      <w:r w:rsidR="002A4C6C">
        <w:rPr>
          <w:rFonts w:asciiTheme="minorHAnsi" w:eastAsia="Times New Roman" w:hAnsiTheme="minorHAnsi"/>
          <w:sz w:val="24"/>
          <w:szCs w:val="20"/>
        </w:rPr>
        <w:t xml:space="preserve"> - The amount of funds the s</w:t>
      </w:r>
      <w:r w:rsidRPr="003C2840">
        <w:rPr>
          <w:rFonts w:asciiTheme="minorHAnsi" w:eastAsia="Times New Roman" w:hAnsiTheme="minorHAnsi"/>
          <w:sz w:val="24"/>
          <w:szCs w:val="20"/>
        </w:rPr>
        <w:t>tate uses for the management of the Title V allocation.  This amount is limited by statute to 10 percent of the Federal Title V allotment.</w:t>
      </w:r>
    </w:p>
    <w:p w14:paraId="08798F71"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p>
    <w:p w14:paraId="74E92BB3" w14:textId="4CE65B64" w:rsidR="005C618C" w:rsidRPr="003C2840"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r w:rsidRPr="003C2840">
        <w:rPr>
          <w:rFonts w:asciiTheme="minorHAnsi" w:eastAsia="Times New Roman" w:hAnsiTheme="minorHAnsi"/>
          <w:sz w:val="24"/>
          <w:szCs w:val="20"/>
          <w:u w:val="single"/>
        </w:rPr>
        <w:t>Capacity</w:t>
      </w:r>
      <w:r w:rsidRPr="003C2840">
        <w:rPr>
          <w:rFonts w:asciiTheme="minorHAnsi" w:eastAsia="Times New Roman" w:hAnsiTheme="minorHAnsi"/>
          <w:sz w:val="24"/>
          <w:szCs w:val="20"/>
        </w:rPr>
        <w:t xml:space="preserve"> – Program capacity includes delivery systems, workforce, policies, and support systems (e.g., training, research, technical assistance, and information systems) and other infrastructure needed to maintain service delivery and policy making activities.  Program capacity results measure the strength of the human and material resources necessary to meet public health obligations.  As program capacity sets the stage for other activities, program capacity results are closely related to the results for process, health outcome, and risk factors.  Program capacity results should answe</w:t>
      </w:r>
      <w:r w:rsidR="002A4C6C">
        <w:rPr>
          <w:rFonts w:asciiTheme="minorHAnsi" w:eastAsia="Times New Roman" w:hAnsiTheme="minorHAnsi"/>
          <w:sz w:val="24"/>
          <w:szCs w:val="20"/>
        </w:rPr>
        <w:t>r the question, “What does the s</w:t>
      </w:r>
      <w:r w:rsidRPr="003C2840">
        <w:rPr>
          <w:rFonts w:asciiTheme="minorHAnsi" w:eastAsia="Times New Roman" w:hAnsiTheme="minorHAnsi"/>
          <w:sz w:val="24"/>
          <w:szCs w:val="20"/>
        </w:rPr>
        <w:t>tate need to achieve the results we want?”</w:t>
      </w:r>
    </w:p>
    <w:p w14:paraId="303E681E"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p>
    <w:p w14:paraId="5DB66B12" w14:textId="352E87F8" w:rsidR="00D31CF4" w:rsidRPr="00D31CF4" w:rsidRDefault="00D31CF4" w:rsidP="005C618C">
      <w:pPr>
        <w:widowControl w:val="0"/>
        <w:autoSpaceDE w:val="0"/>
        <w:autoSpaceDN w:val="0"/>
        <w:adjustRightInd w:val="0"/>
        <w:spacing w:after="0" w:line="240" w:lineRule="auto"/>
        <w:rPr>
          <w:rFonts w:asciiTheme="minorHAnsi" w:eastAsia="Times New Roman" w:hAnsiTheme="minorHAnsi"/>
          <w:sz w:val="24"/>
          <w:szCs w:val="24"/>
        </w:rPr>
      </w:pPr>
      <w:r>
        <w:rPr>
          <w:rFonts w:asciiTheme="minorHAnsi" w:eastAsia="Times New Roman" w:hAnsiTheme="minorHAnsi"/>
          <w:sz w:val="24"/>
          <w:szCs w:val="20"/>
          <w:u w:val="single"/>
        </w:rPr>
        <w:t>Budget Period</w:t>
      </w:r>
      <w:r>
        <w:rPr>
          <w:rFonts w:asciiTheme="minorHAnsi" w:eastAsia="Times New Roman" w:hAnsiTheme="minorHAnsi"/>
          <w:sz w:val="24"/>
          <w:szCs w:val="20"/>
        </w:rPr>
        <w:t xml:space="preserve"> – Grant period for </w:t>
      </w:r>
      <w:r w:rsidRPr="00D31CF4">
        <w:rPr>
          <w:rFonts w:asciiTheme="minorHAnsi" w:eastAsia="Times New Roman" w:hAnsiTheme="minorHAnsi"/>
          <w:sz w:val="24"/>
          <w:szCs w:val="24"/>
        </w:rPr>
        <w:t xml:space="preserve">which funds are available for use by the state.  </w:t>
      </w:r>
      <w:r w:rsidRPr="00D31CF4">
        <w:rPr>
          <w:sz w:val="24"/>
          <w:szCs w:val="24"/>
        </w:rPr>
        <w:t>For the MCH Block Grant, th</w:t>
      </w:r>
      <w:r>
        <w:rPr>
          <w:sz w:val="24"/>
          <w:szCs w:val="24"/>
        </w:rPr>
        <w:t xml:space="preserve">e budget period </w:t>
      </w:r>
      <w:r w:rsidRPr="00D31CF4">
        <w:rPr>
          <w:sz w:val="24"/>
          <w:szCs w:val="24"/>
        </w:rPr>
        <w:t xml:space="preserve">is </w:t>
      </w:r>
      <w:r>
        <w:rPr>
          <w:sz w:val="24"/>
          <w:szCs w:val="24"/>
        </w:rPr>
        <w:t xml:space="preserve">24 </w:t>
      </w:r>
      <w:r w:rsidRPr="00D31CF4">
        <w:rPr>
          <w:sz w:val="24"/>
          <w:szCs w:val="24"/>
        </w:rPr>
        <w:t>month</w:t>
      </w:r>
      <w:r>
        <w:rPr>
          <w:sz w:val="24"/>
          <w:szCs w:val="24"/>
        </w:rPr>
        <w:t xml:space="preserve">s, </w:t>
      </w:r>
      <w:r w:rsidRPr="00D31CF4">
        <w:rPr>
          <w:sz w:val="24"/>
          <w:szCs w:val="24"/>
        </w:rPr>
        <w:t xml:space="preserve">beginning on October 1 </w:t>
      </w:r>
      <w:r>
        <w:rPr>
          <w:sz w:val="24"/>
          <w:szCs w:val="24"/>
        </w:rPr>
        <w:t>of the</w:t>
      </w:r>
      <w:r w:rsidR="00A77A60">
        <w:rPr>
          <w:sz w:val="24"/>
          <w:szCs w:val="24"/>
        </w:rPr>
        <w:t xml:space="preserve"> federal fiscal year in which the funds are awarded </w:t>
      </w:r>
      <w:r w:rsidRPr="00D31CF4">
        <w:rPr>
          <w:sz w:val="24"/>
          <w:szCs w:val="24"/>
        </w:rPr>
        <w:t xml:space="preserve">and ending </w:t>
      </w:r>
      <w:r w:rsidR="00A77A60">
        <w:rPr>
          <w:sz w:val="24"/>
          <w:szCs w:val="24"/>
        </w:rPr>
        <w:t xml:space="preserve">on </w:t>
      </w:r>
      <w:r w:rsidRPr="00D31CF4">
        <w:rPr>
          <w:sz w:val="24"/>
          <w:szCs w:val="24"/>
        </w:rPr>
        <w:t>September 30 of the following federal fiscal year.</w:t>
      </w:r>
      <w:r w:rsidRPr="00D31CF4">
        <w:rPr>
          <w:rFonts w:asciiTheme="minorHAnsi" w:eastAsia="Times New Roman" w:hAnsiTheme="minorHAnsi"/>
          <w:sz w:val="24"/>
          <w:szCs w:val="24"/>
        </w:rPr>
        <w:t xml:space="preserve">  </w:t>
      </w:r>
    </w:p>
    <w:p w14:paraId="62A088B5" w14:textId="77777777" w:rsidR="00D31CF4" w:rsidRDefault="00D31CF4" w:rsidP="005C618C">
      <w:pPr>
        <w:widowControl w:val="0"/>
        <w:autoSpaceDE w:val="0"/>
        <w:autoSpaceDN w:val="0"/>
        <w:adjustRightInd w:val="0"/>
        <w:spacing w:after="0" w:line="240" w:lineRule="auto"/>
        <w:rPr>
          <w:rFonts w:asciiTheme="minorHAnsi" w:eastAsia="Times New Roman" w:hAnsiTheme="minorHAnsi"/>
          <w:sz w:val="24"/>
          <w:szCs w:val="20"/>
          <w:u w:val="single"/>
        </w:rPr>
      </w:pPr>
    </w:p>
    <w:p w14:paraId="652D0490" w14:textId="1DBFD023" w:rsidR="005C618C" w:rsidRPr="003C2840"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r w:rsidRPr="003C2840">
        <w:rPr>
          <w:rFonts w:asciiTheme="minorHAnsi" w:eastAsia="Times New Roman" w:hAnsiTheme="minorHAnsi"/>
          <w:sz w:val="24"/>
          <w:szCs w:val="20"/>
          <w:u w:val="single"/>
        </w:rPr>
        <w:t>Children</w:t>
      </w:r>
      <w:r w:rsidRPr="003C2840">
        <w:rPr>
          <w:rFonts w:asciiTheme="minorHAnsi" w:eastAsia="Times New Roman" w:hAnsiTheme="minorHAnsi"/>
          <w:sz w:val="24"/>
          <w:szCs w:val="20"/>
        </w:rPr>
        <w:t xml:space="preserve"> – A child </w:t>
      </w:r>
      <w:r w:rsidR="00734C5F">
        <w:rPr>
          <w:rFonts w:asciiTheme="minorHAnsi" w:eastAsia="Times New Roman" w:hAnsiTheme="minorHAnsi"/>
          <w:sz w:val="24"/>
          <w:szCs w:val="20"/>
        </w:rPr>
        <w:t xml:space="preserve">from age </w:t>
      </w:r>
      <w:r w:rsidR="00365FB5">
        <w:rPr>
          <w:rFonts w:asciiTheme="minorHAnsi" w:eastAsia="Times New Roman" w:hAnsiTheme="minorHAnsi"/>
          <w:sz w:val="24"/>
          <w:szCs w:val="20"/>
        </w:rPr>
        <w:t>one</w:t>
      </w:r>
      <w:r w:rsidR="009B4BEE">
        <w:rPr>
          <w:rFonts w:asciiTheme="minorHAnsi" w:eastAsia="Times New Roman" w:hAnsiTheme="minorHAnsi"/>
          <w:sz w:val="24"/>
          <w:szCs w:val="20"/>
        </w:rPr>
        <w:t xml:space="preserve"> (1)</w:t>
      </w:r>
      <w:r w:rsidR="00734C5F">
        <w:rPr>
          <w:rFonts w:asciiTheme="minorHAnsi" w:eastAsia="Times New Roman" w:hAnsiTheme="minorHAnsi"/>
          <w:sz w:val="24"/>
          <w:szCs w:val="20"/>
        </w:rPr>
        <w:t xml:space="preserve"> through 21 years.</w:t>
      </w:r>
    </w:p>
    <w:p w14:paraId="0B14F4F6"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p>
    <w:p w14:paraId="3E064361" w14:textId="21995630" w:rsidR="005C618C" w:rsidRDefault="005C618C" w:rsidP="005C618C">
      <w:pPr>
        <w:widowControl w:val="0"/>
        <w:autoSpaceDE w:val="0"/>
        <w:autoSpaceDN w:val="0"/>
        <w:adjustRightInd w:val="0"/>
        <w:spacing w:after="0" w:line="240" w:lineRule="auto"/>
        <w:rPr>
          <w:rFonts w:asciiTheme="minorHAnsi" w:eastAsia="Times New Roman" w:hAnsiTheme="minorHAnsi" w:cs="Arial"/>
          <w:sz w:val="24"/>
          <w:szCs w:val="24"/>
        </w:rPr>
      </w:pPr>
      <w:r w:rsidRPr="003C2840">
        <w:rPr>
          <w:rFonts w:asciiTheme="minorHAnsi" w:eastAsia="Times New Roman" w:hAnsiTheme="minorHAnsi" w:cs="Arial"/>
          <w:sz w:val="24"/>
          <w:szCs w:val="24"/>
          <w:u w:val="single"/>
        </w:rPr>
        <w:t>Data Systems Development</w:t>
      </w:r>
      <w:r w:rsidRPr="003C2840">
        <w:rPr>
          <w:rFonts w:asciiTheme="minorHAnsi" w:eastAsia="Times New Roman" w:hAnsiTheme="minorHAnsi" w:cs="Arial"/>
          <w:sz w:val="24"/>
          <w:szCs w:val="24"/>
        </w:rPr>
        <w:t xml:space="preserve"> – Development of data management systems (electronic or other) or linking of</w:t>
      </w:r>
      <w:r w:rsidR="002A4C6C">
        <w:rPr>
          <w:rFonts w:asciiTheme="minorHAnsi" w:eastAsia="Times New Roman" w:hAnsiTheme="minorHAnsi" w:cs="Arial"/>
          <w:sz w:val="24"/>
          <w:szCs w:val="24"/>
        </w:rPr>
        <w:t xml:space="preserve"> existing databases to support s</w:t>
      </w:r>
      <w:r w:rsidRPr="003C2840">
        <w:rPr>
          <w:rFonts w:asciiTheme="minorHAnsi" w:eastAsia="Times New Roman" w:hAnsiTheme="minorHAnsi" w:cs="Arial"/>
          <w:sz w:val="24"/>
          <w:szCs w:val="24"/>
        </w:rPr>
        <w:t>tates’ ability to collect, tabulate, analyze, and report data accura</w:t>
      </w:r>
      <w:r w:rsidR="00FE300E" w:rsidRPr="003C2840">
        <w:rPr>
          <w:rFonts w:asciiTheme="minorHAnsi" w:eastAsia="Times New Roman" w:hAnsiTheme="minorHAnsi" w:cs="Arial"/>
          <w:sz w:val="24"/>
          <w:szCs w:val="24"/>
        </w:rPr>
        <w:t>tely.</w:t>
      </w:r>
    </w:p>
    <w:p w14:paraId="3DE0F0E0" w14:textId="3D177709" w:rsidR="00734C5F" w:rsidRDefault="00734C5F" w:rsidP="005C618C">
      <w:pPr>
        <w:widowControl w:val="0"/>
        <w:autoSpaceDE w:val="0"/>
        <w:autoSpaceDN w:val="0"/>
        <w:adjustRightInd w:val="0"/>
        <w:spacing w:after="0" w:line="240" w:lineRule="auto"/>
        <w:rPr>
          <w:rFonts w:asciiTheme="minorHAnsi" w:eastAsia="Times New Roman" w:hAnsiTheme="minorHAnsi" w:cs="Arial"/>
          <w:sz w:val="24"/>
          <w:szCs w:val="24"/>
        </w:rPr>
      </w:pPr>
    </w:p>
    <w:p w14:paraId="483E7946" w14:textId="41D0686D" w:rsidR="00734C5F" w:rsidRPr="003C2840" w:rsidRDefault="00734C5F" w:rsidP="005C618C">
      <w:pPr>
        <w:widowControl w:val="0"/>
        <w:autoSpaceDE w:val="0"/>
        <w:autoSpaceDN w:val="0"/>
        <w:adjustRightInd w:val="0"/>
        <w:spacing w:after="0" w:line="240" w:lineRule="auto"/>
        <w:rPr>
          <w:rFonts w:asciiTheme="minorHAnsi" w:eastAsia="Times New Roman" w:hAnsiTheme="minorHAnsi" w:cs="Arial"/>
          <w:sz w:val="24"/>
          <w:szCs w:val="24"/>
        </w:rPr>
      </w:pPr>
      <w:r w:rsidRPr="00734C5F">
        <w:rPr>
          <w:rFonts w:asciiTheme="minorHAnsi" w:eastAsia="Times New Roman" w:hAnsiTheme="minorHAnsi" w:cs="Arial"/>
          <w:sz w:val="24"/>
          <w:szCs w:val="24"/>
          <w:u w:val="single"/>
        </w:rPr>
        <w:t>Early Neonatal Period</w:t>
      </w:r>
      <w:r>
        <w:rPr>
          <w:rFonts w:asciiTheme="minorHAnsi" w:eastAsia="Times New Roman" w:hAnsiTheme="minorHAnsi" w:cs="Arial"/>
          <w:sz w:val="24"/>
          <w:szCs w:val="24"/>
        </w:rPr>
        <w:t xml:space="preserve"> – </w:t>
      </w:r>
      <w:r w:rsidR="00516ECB">
        <w:rPr>
          <w:rFonts w:asciiTheme="minorHAnsi" w:eastAsia="Times New Roman" w:hAnsiTheme="minorHAnsi" w:cs="Arial"/>
          <w:sz w:val="24"/>
          <w:szCs w:val="24"/>
        </w:rPr>
        <w:t xml:space="preserve">Period covered by the first week after birth or an age of less than seven days. </w:t>
      </w:r>
    </w:p>
    <w:p w14:paraId="1153BB0E"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b/>
          <w:sz w:val="24"/>
          <w:szCs w:val="20"/>
        </w:rPr>
      </w:pPr>
    </w:p>
    <w:p w14:paraId="783834D2" w14:textId="2721D986" w:rsidR="005C618C" w:rsidRPr="003C2840"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r w:rsidRPr="003C2840">
        <w:rPr>
          <w:rFonts w:asciiTheme="minorHAnsi" w:eastAsia="Times New Roman" w:hAnsiTheme="minorHAnsi"/>
          <w:sz w:val="24"/>
          <w:szCs w:val="20"/>
          <w:u w:val="single"/>
        </w:rPr>
        <w:t>Federal Allocation</w:t>
      </w:r>
      <w:r w:rsidR="002A4C6C">
        <w:rPr>
          <w:rFonts w:asciiTheme="minorHAnsi" w:eastAsia="Times New Roman" w:hAnsiTheme="minorHAnsi"/>
          <w:sz w:val="24"/>
          <w:szCs w:val="20"/>
        </w:rPr>
        <w:t xml:space="preserve"> – The funding provided to the s</w:t>
      </w:r>
      <w:r w:rsidRPr="003C2840">
        <w:rPr>
          <w:rFonts w:asciiTheme="minorHAnsi" w:eastAsia="Times New Roman" w:hAnsiTheme="minorHAnsi"/>
          <w:sz w:val="24"/>
          <w:szCs w:val="20"/>
        </w:rPr>
        <w:t>tates under the Federal Title V Block Grant in any given fiscal year; applies specifically to the Application Face Sheet</w:t>
      </w:r>
      <w:r w:rsidR="009B4BEE">
        <w:rPr>
          <w:rFonts w:asciiTheme="minorHAnsi" w:eastAsia="Times New Roman" w:hAnsiTheme="minorHAnsi"/>
          <w:sz w:val="24"/>
          <w:szCs w:val="20"/>
        </w:rPr>
        <w:t xml:space="preserve"> </w:t>
      </w:r>
      <w:r w:rsidRPr="003C2840">
        <w:rPr>
          <w:rFonts w:asciiTheme="minorHAnsi" w:eastAsia="Times New Roman" w:hAnsiTheme="minorHAnsi"/>
          <w:sz w:val="24"/>
          <w:szCs w:val="20"/>
        </w:rPr>
        <w:t>(SF</w:t>
      </w:r>
      <w:r w:rsidR="005B2C70" w:rsidRPr="003C2840">
        <w:rPr>
          <w:rFonts w:asciiTheme="minorHAnsi" w:eastAsia="Times New Roman" w:hAnsiTheme="minorHAnsi"/>
          <w:sz w:val="24"/>
          <w:szCs w:val="20"/>
        </w:rPr>
        <w:t>-</w:t>
      </w:r>
      <w:r w:rsidRPr="003C2840">
        <w:rPr>
          <w:rFonts w:asciiTheme="minorHAnsi" w:eastAsia="Times New Roman" w:hAnsiTheme="minorHAnsi"/>
          <w:sz w:val="24"/>
          <w:szCs w:val="20"/>
        </w:rPr>
        <w:t>424) and Form 2.</w:t>
      </w:r>
      <w:r w:rsidR="00176F6A" w:rsidRPr="003C2840">
        <w:rPr>
          <w:rFonts w:asciiTheme="minorHAnsi" w:eastAsia="Times New Roman" w:hAnsiTheme="minorHAnsi"/>
          <w:sz w:val="24"/>
          <w:szCs w:val="20"/>
        </w:rPr>
        <w:t xml:space="preserve">  </w:t>
      </w:r>
    </w:p>
    <w:p w14:paraId="1F4F4F4E" w14:textId="77777777" w:rsidR="0045133A" w:rsidRPr="003C2840" w:rsidRDefault="0045133A" w:rsidP="005C618C">
      <w:pPr>
        <w:widowControl w:val="0"/>
        <w:autoSpaceDE w:val="0"/>
        <w:autoSpaceDN w:val="0"/>
        <w:adjustRightInd w:val="0"/>
        <w:spacing w:after="0" w:line="240" w:lineRule="auto"/>
        <w:rPr>
          <w:rFonts w:asciiTheme="minorHAnsi" w:eastAsia="Times New Roman" w:hAnsiTheme="minorHAnsi"/>
          <w:sz w:val="24"/>
          <w:szCs w:val="20"/>
        </w:rPr>
      </w:pPr>
    </w:p>
    <w:p w14:paraId="437F807D" w14:textId="6996F1CF" w:rsidR="00F41F6B" w:rsidRPr="00F41F6B" w:rsidRDefault="00F41F6B" w:rsidP="00F41F6B">
      <w:pPr>
        <w:widowControl w:val="0"/>
        <w:autoSpaceDE w:val="0"/>
        <w:autoSpaceDN w:val="0"/>
        <w:adjustRightInd w:val="0"/>
        <w:spacing w:after="0" w:line="240" w:lineRule="auto"/>
        <w:rPr>
          <w:rFonts w:asciiTheme="minorHAnsi" w:eastAsia="Times New Roman" w:hAnsiTheme="minorHAnsi"/>
          <w:sz w:val="24"/>
          <w:szCs w:val="20"/>
        </w:rPr>
      </w:pPr>
      <w:r w:rsidRPr="00F41F6B">
        <w:rPr>
          <w:rFonts w:asciiTheme="minorHAnsi" w:eastAsia="Times New Roman" w:hAnsiTheme="minorHAnsi"/>
          <w:sz w:val="24"/>
          <w:szCs w:val="20"/>
          <w:u w:val="single"/>
        </w:rPr>
        <w:t>Federal Fiscal Year</w:t>
      </w:r>
      <w:r w:rsidRPr="00F41F6B">
        <w:rPr>
          <w:rFonts w:asciiTheme="minorHAnsi" w:eastAsia="Times New Roman" w:hAnsiTheme="minorHAnsi"/>
          <w:sz w:val="24"/>
          <w:szCs w:val="20"/>
        </w:rPr>
        <w:t>:  The federal government</w:t>
      </w:r>
      <w:r>
        <w:rPr>
          <w:rFonts w:asciiTheme="minorHAnsi" w:eastAsia="Times New Roman" w:hAnsiTheme="minorHAnsi"/>
          <w:sz w:val="24"/>
          <w:szCs w:val="20"/>
        </w:rPr>
        <w:t>’s</w:t>
      </w:r>
      <w:r w:rsidRPr="00F41F6B">
        <w:rPr>
          <w:rFonts w:asciiTheme="minorHAnsi" w:eastAsia="Times New Roman" w:hAnsiTheme="minorHAnsi"/>
          <w:sz w:val="24"/>
          <w:szCs w:val="20"/>
        </w:rPr>
        <w:t xml:space="preserve"> fiscal year </w:t>
      </w:r>
      <w:r>
        <w:rPr>
          <w:rFonts w:asciiTheme="minorHAnsi" w:eastAsia="Times New Roman" w:hAnsiTheme="minorHAnsi"/>
          <w:sz w:val="24"/>
          <w:szCs w:val="20"/>
        </w:rPr>
        <w:t xml:space="preserve">begins on </w:t>
      </w:r>
      <w:r w:rsidRPr="00F41F6B">
        <w:rPr>
          <w:rFonts w:asciiTheme="minorHAnsi" w:eastAsia="Times New Roman" w:hAnsiTheme="minorHAnsi"/>
          <w:sz w:val="24"/>
          <w:szCs w:val="20"/>
        </w:rPr>
        <w:t xml:space="preserve">October 1 </w:t>
      </w:r>
      <w:r>
        <w:rPr>
          <w:rFonts w:asciiTheme="minorHAnsi" w:eastAsia="Times New Roman" w:hAnsiTheme="minorHAnsi"/>
          <w:sz w:val="24"/>
          <w:szCs w:val="20"/>
        </w:rPr>
        <w:t>and ends on September 30 of the following year.</w:t>
      </w:r>
      <w:r w:rsidRPr="00F41F6B">
        <w:rPr>
          <w:rFonts w:asciiTheme="minorHAnsi" w:eastAsia="Times New Roman" w:hAnsiTheme="minorHAnsi"/>
          <w:sz w:val="24"/>
          <w:szCs w:val="20"/>
        </w:rPr>
        <w:t xml:space="preserve"> </w:t>
      </w:r>
    </w:p>
    <w:p w14:paraId="40A23648"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b/>
          <w:sz w:val="24"/>
          <w:szCs w:val="20"/>
        </w:rPr>
      </w:pPr>
      <w:r w:rsidRPr="003C2840">
        <w:rPr>
          <w:rFonts w:asciiTheme="minorHAnsi" w:eastAsia="Times New Roman" w:hAnsiTheme="minorHAnsi"/>
          <w:sz w:val="24"/>
          <w:szCs w:val="20"/>
          <w:u w:val="single"/>
        </w:rPr>
        <w:t>Government Performance and Results Act (GPRA)</w:t>
      </w:r>
      <w:r w:rsidRPr="003C2840">
        <w:rPr>
          <w:rFonts w:asciiTheme="minorHAnsi" w:eastAsia="Times New Roman" w:hAnsiTheme="minorHAnsi"/>
          <w:sz w:val="24"/>
          <w:szCs w:val="20"/>
        </w:rPr>
        <w:t xml:space="preserve"> – Federal legislation enacted in 1993 that requires Federal agencies to develop strategic plans, prepare annual plans setting performance goals, and report annually on actual performance.</w:t>
      </w:r>
    </w:p>
    <w:p w14:paraId="2A0944EB"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p>
    <w:p w14:paraId="40A5C044" w14:textId="748050CF" w:rsidR="005C618C" w:rsidRPr="003C2840" w:rsidRDefault="005C618C" w:rsidP="005C618C">
      <w:pPr>
        <w:widowControl w:val="0"/>
        <w:autoSpaceDE w:val="0"/>
        <w:autoSpaceDN w:val="0"/>
        <w:adjustRightInd w:val="0"/>
        <w:spacing w:after="0" w:line="240" w:lineRule="auto"/>
        <w:rPr>
          <w:rFonts w:asciiTheme="minorHAnsi" w:eastAsia="Times New Roman" w:hAnsiTheme="minorHAnsi"/>
          <w:b/>
          <w:sz w:val="24"/>
          <w:szCs w:val="20"/>
        </w:rPr>
      </w:pPr>
      <w:r w:rsidRPr="003C2840">
        <w:rPr>
          <w:rFonts w:asciiTheme="minorHAnsi" w:eastAsia="Times New Roman" w:hAnsiTheme="minorHAnsi"/>
          <w:sz w:val="24"/>
          <w:szCs w:val="20"/>
          <w:u w:val="single"/>
        </w:rPr>
        <w:t>Infants</w:t>
      </w:r>
      <w:r w:rsidRPr="003C2840">
        <w:rPr>
          <w:rFonts w:asciiTheme="minorHAnsi" w:eastAsia="Times New Roman" w:hAnsiTheme="minorHAnsi"/>
          <w:sz w:val="24"/>
          <w:szCs w:val="20"/>
        </w:rPr>
        <w:t xml:space="preserve"> – Children </w:t>
      </w:r>
      <w:r w:rsidR="009B4BEE">
        <w:rPr>
          <w:rFonts w:asciiTheme="minorHAnsi" w:eastAsia="Times New Roman" w:hAnsiTheme="minorHAnsi"/>
          <w:sz w:val="24"/>
          <w:szCs w:val="20"/>
        </w:rPr>
        <w:t>in their first year of life (</w:t>
      </w:r>
      <w:r w:rsidR="00EB577C">
        <w:rPr>
          <w:rFonts w:asciiTheme="minorHAnsi" w:eastAsia="Times New Roman" w:hAnsiTheme="minorHAnsi"/>
          <w:sz w:val="24"/>
          <w:szCs w:val="20"/>
        </w:rPr>
        <w:t xml:space="preserve">&lt;365 days). </w:t>
      </w:r>
      <w:r w:rsidR="00F601EF">
        <w:rPr>
          <w:rFonts w:asciiTheme="minorHAnsi" w:eastAsia="Times New Roman" w:hAnsiTheme="minorHAnsi"/>
          <w:sz w:val="24"/>
          <w:szCs w:val="20"/>
        </w:rPr>
        <w:t xml:space="preserve"> </w:t>
      </w:r>
      <w:r w:rsidR="00B50F83">
        <w:rPr>
          <w:rFonts w:asciiTheme="minorHAnsi" w:eastAsia="Times New Roman" w:hAnsiTheme="minorHAnsi"/>
          <w:sz w:val="24"/>
          <w:szCs w:val="20"/>
        </w:rPr>
        <w:t xml:space="preserve">  </w:t>
      </w:r>
    </w:p>
    <w:p w14:paraId="31CDC2D3"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p>
    <w:p w14:paraId="3DB7F57D" w14:textId="6FFC2A90" w:rsidR="005C618C" w:rsidRPr="003C2840"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r w:rsidRPr="003C2840">
        <w:rPr>
          <w:rFonts w:asciiTheme="minorHAnsi" w:eastAsia="Times New Roman" w:hAnsiTheme="minorHAnsi"/>
          <w:sz w:val="24"/>
          <w:szCs w:val="20"/>
          <w:u w:val="single"/>
        </w:rPr>
        <w:t>Jurisdictions</w:t>
      </w:r>
      <w:r w:rsidRPr="003C2840">
        <w:rPr>
          <w:rFonts w:asciiTheme="minorHAnsi" w:eastAsia="Times New Roman" w:hAnsiTheme="minorHAnsi"/>
          <w:sz w:val="24"/>
          <w:szCs w:val="20"/>
        </w:rPr>
        <w:t xml:space="preserve"> – The following </w:t>
      </w:r>
      <w:r w:rsidR="00EA4A8A">
        <w:rPr>
          <w:rFonts w:asciiTheme="minorHAnsi" w:eastAsia="Times New Roman" w:hAnsiTheme="minorHAnsi"/>
          <w:sz w:val="24"/>
          <w:szCs w:val="20"/>
        </w:rPr>
        <w:t xml:space="preserve">nine </w:t>
      </w:r>
      <w:r w:rsidRPr="003C2840">
        <w:rPr>
          <w:rFonts w:asciiTheme="minorHAnsi" w:eastAsia="Times New Roman" w:hAnsiTheme="minorHAnsi"/>
          <w:sz w:val="24"/>
          <w:szCs w:val="20"/>
        </w:rPr>
        <w:t xml:space="preserve">jurisdictions receive Title V Maternal and Child Health Block Grant Program funding:  the District of Columbia, the Republic of the Marshall Islands, the Federated States of Micronesia, the Republic of Palau and the U.S. territories of the Commonwealth of Puerto Rico, the Virgin Islands, Guam, American Samoa, and the Commonwealth of the Northern Mariana Islands. </w:t>
      </w:r>
    </w:p>
    <w:p w14:paraId="55519845"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p>
    <w:p w14:paraId="364B836E" w14:textId="440C4849" w:rsidR="00112085" w:rsidRPr="003C2840" w:rsidRDefault="00112085" w:rsidP="00112085">
      <w:pPr>
        <w:widowControl w:val="0"/>
        <w:autoSpaceDE w:val="0"/>
        <w:autoSpaceDN w:val="0"/>
        <w:adjustRightInd w:val="0"/>
        <w:spacing w:after="0" w:line="240" w:lineRule="auto"/>
        <w:rPr>
          <w:rFonts w:asciiTheme="minorHAnsi" w:eastAsia="Times New Roman" w:hAnsiTheme="minorHAnsi"/>
          <w:color w:val="C00000"/>
          <w:sz w:val="24"/>
          <w:szCs w:val="20"/>
        </w:rPr>
      </w:pPr>
      <w:r w:rsidRPr="003C2840">
        <w:rPr>
          <w:rFonts w:asciiTheme="minorHAnsi" w:eastAsia="Times New Roman" w:hAnsiTheme="minorHAnsi"/>
          <w:sz w:val="24"/>
          <w:szCs w:val="20"/>
          <w:u w:val="single"/>
        </w:rPr>
        <w:t>Life Course Theory (LCT)</w:t>
      </w:r>
      <w:r w:rsidRPr="003C2840">
        <w:rPr>
          <w:rFonts w:asciiTheme="minorHAnsi" w:eastAsia="Times New Roman" w:hAnsiTheme="minorHAnsi"/>
          <w:sz w:val="24"/>
          <w:szCs w:val="20"/>
        </w:rPr>
        <w:t xml:space="preserve"> – A conceptual framework that helps explain health and disease patterns</w:t>
      </w:r>
      <w:r w:rsidR="00111FF8">
        <w:rPr>
          <w:rFonts w:asciiTheme="minorHAnsi" w:eastAsia="Times New Roman" w:hAnsiTheme="minorHAnsi"/>
          <w:sz w:val="24"/>
          <w:szCs w:val="20"/>
        </w:rPr>
        <w:t xml:space="preserve">, </w:t>
      </w:r>
      <w:r w:rsidRPr="003C2840">
        <w:rPr>
          <w:rFonts w:asciiTheme="minorHAnsi" w:eastAsia="Times New Roman" w:hAnsiTheme="minorHAnsi"/>
          <w:sz w:val="24"/>
          <w:szCs w:val="20"/>
        </w:rPr>
        <w:t>particularly health disparities</w:t>
      </w:r>
      <w:r w:rsidR="00111FF8">
        <w:rPr>
          <w:rFonts w:asciiTheme="minorHAnsi" w:eastAsia="Times New Roman" w:hAnsiTheme="minorHAnsi"/>
          <w:sz w:val="24"/>
          <w:szCs w:val="20"/>
        </w:rPr>
        <w:t xml:space="preserve">, </w:t>
      </w:r>
      <w:r w:rsidRPr="003C2840">
        <w:rPr>
          <w:rFonts w:asciiTheme="minorHAnsi" w:eastAsia="Times New Roman" w:hAnsiTheme="minorHAnsi"/>
          <w:sz w:val="24"/>
          <w:szCs w:val="20"/>
        </w:rPr>
        <w:t>across populations and over time.  Instead of focusing on differences in health patterns based on one disease or condition at a time, LCT points to broad social, economic and environmental factors as underlying causes of persistent inequalities in health for a wide range of diseases and conditions across population groups.  LCT is population focused, and firmly rooted in social determinants and social equity models.  Though not often explicitly state</w:t>
      </w:r>
      <w:r w:rsidR="00F62B30">
        <w:rPr>
          <w:rFonts w:asciiTheme="minorHAnsi" w:eastAsia="Times New Roman" w:hAnsiTheme="minorHAnsi"/>
          <w:sz w:val="24"/>
          <w:szCs w:val="20"/>
        </w:rPr>
        <w:t>d</w:t>
      </w:r>
      <w:r w:rsidRPr="003C2840">
        <w:rPr>
          <w:rFonts w:asciiTheme="minorHAnsi" w:eastAsia="Times New Roman" w:hAnsiTheme="minorHAnsi"/>
          <w:sz w:val="24"/>
          <w:szCs w:val="20"/>
        </w:rPr>
        <w:t>, LCT is also community (or “place”) focused, since social, economic and environmental patterns are closely linked to community and neighborhood settings.</w:t>
      </w:r>
      <w:r w:rsidRPr="003C2840">
        <w:rPr>
          <w:rFonts w:asciiTheme="minorHAnsi" w:eastAsia="Times New Roman" w:hAnsiTheme="minorHAnsi"/>
          <w:sz w:val="24"/>
          <w:szCs w:val="20"/>
          <w:vertAlign w:val="superscript"/>
        </w:rPr>
        <w:footnoteReference w:id="7"/>
      </w:r>
      <w:r w:rsidRPr="003C2840">
        <w:rPr>
          <w:rFonts w:asciiTheme="minorHAnsi" w:eastAsia="Times New Roman" w:hAnsiTheme="minorHAnsi"/>
          <w:sz w:val="24"/>
          <w:szCs w:val="20"/>
        </w:rPr>
        <w:t xml:space="preserve">  </w:t>
      </w:r>
      <w:r w:rsidRPr="003C2840">
        <w:rPr>
          <w:rFonts w:asciiTheme="minorHAnsi" w:eastAsia="Times New Roman" w:hAnsiTheme="minorHAnsi"/>
          <w:color w:val="C00000"/>
          <w:sz w:val="24"/>
          <w:szCs w:val="20"/>
        </w:rPr>
        <w:t xml:space="preserve">   </w:t>
      </w:r>
    </w:p>
    <w:p w14:paraId="09FDF02D" w14:textId="77777777" w:rsidR="00112085" w:rsidRPr="003C2840" w:rsidRDefault="00112085" w:rsidP="005C618C">
      <w:pPr>
        <w:widowControl w:val="0"/>
        <w:autoSpaceDE w:val="0"/>
        <w:autoSpaceDN w:val="0"/>
        <w:adjustRightInd w:val="0"/>
        <w:spacing w:after="0" w:line="240" w:lineRule="auto"/>
        <w:rPr>
          <w:rFonts w:asciiTheme="minorHAnsi" w:eastAsia="Times New Roman" w:hAnsiTheme="minorHAnsi"/>
          <w:sz w:val="24"/>
          <w:szCs w:val="20"/>
        </w:rPr>
      </w:pPr>
    </w:p>
    <w:p w14:paraId="6DF3A053" w14:textId="2BE005F5" w:rsidR="005C618C" w:rsidRPr="003C2840" w:rsidRDefault="005C618C" w:rsidP="005C618C">
      <w:pPr>
        <w:widowControl w:val="0"/>
        <w:autoSpaceDE w:val="0"/>
        <w:autoSpaceDN w:val="0"/>
        <w:adjustRightInd w:val="0"/>
        <w:spacing w:after="0" w:line="240" w:lineRule="auto"/>
        <w:rPr>
          <w:rFonts w:asciiTheme="minorHAnsi" w:eastAsia="Times New Roman" w:hAnsiTheme="minorHAnsi"/>
          <w:b/>
          <w:sz w:val="24"/>
          <w:szCs w:val="20"/>
        </w:rPr>
      </w:pPr>
      <w:r w:rsidRPr="003C2840">
        <w:rPr>
          <w:rFonts w:asciiTheme="minorHAnsi" w:eastAsia="Times New Roman" w:hAnsiTheme="minorHAnsi"/>
          <w:sz w:val="24"/>
          <w:szCs w:val="20"/>
          <w:u w:val="single"/>
        </w:rPr>
        <w:t>Local</w:t>
      </w:r>
      <w:r w:rsidRPr="003C2840">
        <w:rPr>
          <w:rFonts w:asciiTheme="minorHAnsi" w:eastAsia="Times New Roman" w:hAnsiTheme="minorHAnsi"/>
          <w:sz w:val="24"/>
          <w:szCs w:val="20"/>
        </w:rPr>
        <w:t xml:space="preserve"> – Funds derived from local </w:t>
      </w:r>
      <w:r w:rsidR="006756E2" w:rsidRPr="003C2840">
        <w:rPr>
          <w:rFonts w:asciiTheme="minorHAnsi" w:eastAsia="Times New Roman" w:hAnsiTheme="minorHAnsi"/>
          <w:sz w:val="24"/>
          <w:szCs w:val="20"/>
        </w:rPr>
        <w:t xml:space="preserve">health </w:t>
      </w:r>
      <w:r w:rsidR="0014435A">
        <w:rPr>
          <w:rFonts w:asciiTheme="minorHAnsi" w:eastAsia="Times New Roman" w:hAnsiTheme="minorHAnsi"/>
          <w:sz w:val="24"/>
          <w:szCs w:val="20"/>
        </w:rPr>
        <w:t>jurisdictions within the s</w:t>
      </w:r>
      <w:r w:rsidRPr="003C2840">
        <w:rPr>
          <w:rFonts w:asciiTheme="minorHAnsi" w:eastAsia="Times New Roman" w:hAnsiTheme="minorHAnsi"/>
          <w:sz w:val="24"/>
          <w:szCs w:val="20"/>
        </w:rPr>
        <w:t xml:space="preserve">tate, which are used for MCH program activities and reported on the Application Face Sheet (SF 424) and Form 2. </w:t>
      </w:r>
    </w:p>
    <w:p w14:paraId="365A6FE9"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b/>
          <w:sz w:val="24"/>
          <w:szCs w:val="20"/>
        </w:rPr>
      </w:pPr>
    </w:p>
    <w:p w14:paraId="46841CE1" w14:textId="515919A7" w:rsidR="005C618C" w:rsidRPr="003C2840" w:rsidRDefault="005C618C" w:rsidP="005C618C">
      <w:pPr>
        <w:widowControl w:val="0"/>
        <w:autoSpaceDE w:val="0"/>
        <w:autoSpaceDN w:val="0"/>
        <w:adjustRightInd w:val="0"/>
        <w:spacing w:after="0" w:line="240" w:lineRule="auto"/>
        <w:rPr>
          <w:rFonts w:asciiTheme="minorHAnsi" w:eastAsia="Times New Roman" w:hAnsiTheme="minorHAnsi"/>
          <w:i/>
          <w:sz w:val="24"/>
          <w:szCs w:val="20"/>
        </w:rPr>
      </w:pPr>
      <w:r w:rsidRPr="003C2840">
        <w:rPr>
          <w:rFonts w:asciiTheme="minorHAnsi" w:eastAsia="Times New Roman" w:hAnsiTheme="minorHAnsi"/>
          <w:sz w:val="24"/>
          <w:szCs w:val="20"/>
          <w:u w:val="single"/>
        </w:rPr>
        <w:t>Low Income</w:t>
      </w:r>
      <w:r w:rsidRPr="003C2840">
        <w:rPr>
          <w:rFonts w:asciiTheme="minorHAnsi" w:eastAsia="Times New Roman" w:hAnsiTheme="minorHAnsi"/>
          <w:sz w:val="24"/>
          <w:szCs w:val="20"/>
        </w:rPr>
        <w:t xml:space="preserve"> – An individual or family with an income that is determined to be below the income official </w:t>
      </w:r>
      <w:r w:rsidR="001906A8" w:rsidRPr="003C2840">
        <w:rPr>
          <w:rFonts w:asciiTheme="minorHAnsi" w:eastAsia="Times New Roman" w:hAnsiTheme="minorHAnsi"/>
          <w:sz w:val="24"/>
          <w:szCs w:val="20"/>
        </w:rPr>
        <w:t xml:space="preserve">federal </w:t>
      </w:r>
      <w:r w:rsidRPr="003C2840">
        <w:rPr>
          <w:rFonts w:asciiTheme="minorHAnsi" w:eastAsia="Times New Roman" w:hAnsiTheme="minorHAnsi"/>
          <w:sz w:val="24"/>
          <w:szCs w:val="20"/>
        </w:rPr>
        <w:t>poverty line, as defined by the Office of Management and Budget and revis</w:t>
      </w:r>
      <w:r w:rsidRPr="003C2840">
        <w:rPr>
          <w:rFonts w:asciiTheme="minorHAnsi" w:eastAsia="Times New Roman" w:hAnsiTheme="minorHAnsi"/>
          <w:sz w:val="24"/>
          <w:szCs w:val="20"/>
        </w:rPr>
        <w:softHyphen/>
        <w:t>ed annually in accordance with section 673(2) of the Omnibus Budget Reconciliation Act of 1981.  [Title V, Sec. 501 (b)(2)]</w:t>
      </w:r>
    </w:p>
    <w:p w14:paraId="5554B868"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p>
    <w:p w14:paraId="58C013E3" w14:textId="4540C7E1" w:rsidR="00D31CF4" w:rsidRPr="00D31CF4" w:rsidRDefault="00D31CF4" w:rsidP="005C618C">
      <w:pPr>
        <w:widowControl w:val="0"/>
        <w:autoSpaceDE w:val="0"/>
        <w:autoSpaceDN w:val="0"/>
        <w:adjustRightInd w:val="0"/>
        <w:spacing w:after="0" w:line="240" w:lineRule="auto"/>
        <w:rPr>
          <w:rFonts w:asciiTheme="minorHAnsi" w:eastAsia="Times New Roman" w:hAnsiTheme="minorHAnsi"/>
          <w:sz w:val="24"/>
          <w:szCs w:val="20"/>
        </w:rPr>
      </w:pPr>
      <w:r>
        <w:rPr>
          <w:rFonts w:asciiTheme="minorHAnsi" w:eastAsia="Times New Roman" w:hAnsiTheme="minorHAnsi"/>
          <w:sz w:val="24"/>
          <w:szCs w:val="20"/>
          <w:u w:val="single"/>
        </w:rPr>
        <w:t>Maintenance of Effort</w:t>
      </w:r>
      <w:r>
        <w:rPr>
          <w:rFonts w:asciiTheme="minorHAnsi" w:eastAsia="Times New Roman" w:hAnsiTheme="minorHAnsi"/>
          <w:sz w:val="24"/>
          <w:szCs w:val="20"/>
        </w:rPr>
        <w:t xml:space="preserve"> – </w:t>
      </w:r>
      <w:r w:rsidRPr="00D31CF4">
        <w:rPr>
          <w:rFonts w:asciiTheme="minorHAnsi" w:eastAsia="Times New Roman" w:hAnsiTheme="minorHAnsi"/>
          <w:sz w:val="24"/>
          <w:szCs w:val="20"/>
        </w:rPr>
        <w:t>State will maintain the level of funds</w:t>
      </w:r>
      <w:r>
        <w:rPr>
          <w:rFonts w:asciiTheme="minorHAnsi" w:eastAsia="Times New Roman" w:hAnsiTheme="minorHAnsi"/>
          <w:sz w:val="24"/>
          <w:szCs w:val="20"/>
        </w:rPr>
        <w:t xml:space="preserve"> being provided solely by such s</w:t>
      </w:r>
      <w:r w:rsidRPr="00D31CF4">
        <w:rPr>
          <w:rFonts w:asciiTheme="minorHAnsi" w:eastAsia="Times New Roman" w:hAnsiTheme="minorHAnsi"/>
          <w:sz w:val="24"/>
          <w:szCs w:val="20"/>
        </w:rPr>
        <w:t xml:space="preserve">tate for maternal and child health programs at a level at least equal to the level provided in </w:t>
      </w:r>
      <w:r>
        <w:rPr>
          <w:rFonts w:asciiTheme="minorHAnsi" w:eastAsia="Times New Roman" w:hAnsiTheme="minorHAnsi"/>
          <w:sz w:val="24"/>
          <w:szCs w:val="20"/>
        </w:rPr>
        <w:t xml:space="preserve">  </w:t>
      </w:r>
      <w:r w:rsidRPr="00D31CF4">
        <w:rPr>
          <w:rFonts w:asciiTheme="minorHAnsi" w:eastAsia="Times New Roman" w:hAnsiTheme="minorHAnsi"/>
          <w:sz w:val="24"/>
          <w:szCs w:val="20"/>
        </w:rPr>
        <w:t>FY 1989</w:t>
      </w:r>
      <w:r>
        <w:rPr>
          <w:rFonts w:asciiTheme="minorHAnsi" w:eastAsia="Times New Roman" w:hAnsiTheme="minorHAnsi"/>
          <w:sz w:val="24"/>
          <w:szCs w:val="20"/>
        </w:rPr>
        <w:t>.</w:t>
      </w:r>
    </w:p>
    <w:p w14:paraId="3C33BA61" w14:textId="77777777" w:rsidR="00D31CF4" w:rsidRDefault="00D31CF4" w:rsidP="005C618C">
      <w:pPr>
        <w:widowControl w:val="0"/>
        <w:autoSpaceDE w:val="0"/>
        <w:autoSpaceDN w:val="0"/>
        <w:adjustRightInd w:val="0"/>
        <w:spacing w:after="0" w:line="240" w:lineRule="auto"/>
        <w:rPr>
          <w:rFonts w:asciiTheme="minorHAnsi" w:eastAsia="Times New Roman" w:hAnsiTheme="minorHAnsi"/>
          <w:sz w:val="24"/>
          <w:szCs w:val="20"/>
          <w:u w:val="single"/>
        </w:rPr>
      </w:pPr>
    </w:p>
    <w:p w14:paraId="2E33515D" w14:textId="077C0761" w:rsidR="005C618C" w:rsidRPr="003C2840"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r w:rsidRPr="003C2840">
        <w:rPr>
          <w:rFonts w:asciiTheme="minorHAnsi" w:eastAsia="Times New Roman" w:hAnsiTheme="minorHAnsi"/>
          <w:sz w:val="24"/>
          <w:szCs w:val="20"/>
          <w:u w:val="single"/>
        </w:rPr>
        <w:t>Needs Assessment</w:t>
      </w:r>
      <w:r w:rsidRPr="003C2840">
        <w:rPr>
          <w:rFonts w:asciiTheme="minorHAnsi" w:eastAsia="Times New Roman" w:hAnsiTheme="minorHAnsi"/>
          <w:sz w:val="24"/>
          <w:szCs w:val="20"/>
        </w:rPr>
        <w:t xml:space="preserve"> – A process to understand the strengths and needs of the health service system within a community or population.  For maternal and child health purposes, needs assessment efforts consider the following components: 1) health status, 2) health service utilization, 3) health systems capacity, and 4) population/ community characteristics and contextual characteristics.</w:t>
      </w:r>
    </w:p>
    <w:p w14:paraId="3D06D69B" w14:textId="77777777" w:rsidR="00440F82" w:rsidRPr="003C2840" w:rsidRDefault="00440F82" w:rsidP="00440F82">
      <w:pPr>
        <w:widowControl w:val="0"/>
        <w:autoSpaceDE w:val="0"/>
        <w:autoSpaceDN w:val="0"/>
        <w:adjustRightInd w:val="0"/>
        <w:spacing w:after="0" w:line="240" w:lineRule="auto"/>
        <w:rPr>
          <w:rFonts w:asciiTheme="minorHAnsi" w:eastAsia="Times New Roman" w:hAnsiTheme="minorHAnsi" w:cs="Arial"/>
          <w:sz w:val="24"/>
          <w:szCs w:val="24"/>
          <w:u w:val="single"/>
        </w:rPr>
      </w:pPr>
    </w:p>
    <w:p w14:paraId="2CEBF4B9" w14:textId="0DAC15A8" w:rsidR="00440F82" w:rsidRPr="003C2840" w:rsidRDefault="00440F82" w:rsidP="00440F82">
      <w:pPr>
        <w:widowControl w:val="0"/>
        <w:autoSpaceDE w:val="0"/>
        <w:autoSpaceDN w:val="0"/>
        <w:adjustRightInd w:val="0"/>
        <w:spacing w:after="0" w:line="240" w:lineRule="auto"/>
        <w:rPr>
          <w:rFonts w:asciiTheme="minorHAnsi" w:eastAsia="Times New Roman" w:hAnsiTheme="minorHAnsi" w:cs="Arial"/>
          <w:color w:val="000000"/>
          <w:sz w:val="24"/>
          <w:szCs w:val="24"/>
        </w:rPr>
      </w:pPr>
      <w:r w:rsidRPr="003C2840">
        <w:rPr>
          <w:rFonts w:asciiTheme="minorHAnsi" w:eastAsia="Times New Roman" w:hAnsiTheme="minorHAnsi" w:cs="Arial"/>
          <w:sz w:val="24"/>
          <w:szCs w:val="24"/>
          <w:u w:val="single"/>
        </w:rPr>
        <w:t>Neonatal Period</w:t>
      </w:r>
      <w:r w:rsidRPr="003C2840">
        <w:rPr>
          <w:rFonts w:asciiTheme="minorHAnsi" w:eastAsia="Times New Roman" w:hAnsiTheme="minorHAnsi" w:cs="Arial"/>
          <w:sz w:val="24"/>
          <w:szCs w:val="24"/>
        </w:rPr>
        <w:t xml:space="preserve"> – </w:t>
      </w:r>
      <w:r w:rsidR="00516ECB">
        <w:rPr>
          <w:rFonts w:asciiTheme="minorHAnsi" w:eastAsia="Times New Roman" w:hAnsiTheme="minorHAnsi" w:cs="Arial"/>
          <w:sz w:val="24"/>
          <w:szCs w:val="24"/>
        </w:rPr>
        <w:t>period covered by the first month after birth or an age of less than 28 days</w:t>
      </w:r>
      <w:r w:rsidRPr="003C2840">
        <w:rPr>
          <w:rFonts w:asciiTheme="minorHAnsi" w:eastAsia="Times New Roman" w:hAnsiTheme="minorHAnsi" w:cs="Arial"/>
          <w:color w:val="000000"/>
          <w:sz w:val="24"/>
          <w:szCs w:val="24"/>
        </w:rPr>
        <w:t>.</w:t>
      </w:r>
    </w:p>
    <w:p w14:paraId="73183565" w14:textId="77777777" w:rsidR="00440F82" w:rsidRPr="003C2840" w:rsidRDefault="00440F82" w:rsidP="00440F82">
      <w:pPr>
        <w:widowControl w:val="0"/>
        <w:autoSpaceDE w:val="0"/>
        <w:autoSpaceDN w:val="0"/>
        <w:adjustRightInd w:val="0"/>
        <w:spacing w:after="0" w:line="240" w:lineRule="auto"/>
        <w:rPr>
          <w:rFonts w:asciiTheme="minorHAnsi" w:eastAsia="Times New Roman" w:hAnsiTheme="minorHAnsi" w:cs="Arial"/>
          <w:color w:val="000000"/>
          <w:sz w:val="24"/>
          <w:szCs w:val="24"/>
        </w:rPr>
      </w:pPr>
    </w:p>
    <w:p w14:paraId="02C55BE1" w14:textId="36DA7B3E" w:rsidR="00440F82" w:rsidRPr="003C2840" w:rsidRDefault="00440F82" w:rsidP="00440F82">
      <w:pPr>
        <w:widowControl w:val="0"/>
        <w:autoSpaceDE w:val="0"/>
        <w:autoSpaceDN w:val="0"/>
        <w:adjustRightInd w:val="0"/>
        <w:spacing w:after="0" w:line="240" w:lineRule="auto"/>
        <w:rPr>
          <w:rFonts w:asciiTheme="minorHAnsi" w:eastAsia="Times New Roman" w:hAnsiTheme="minorHAnsi"/>
          <w:color w:val="000000"/>
          <w:sz w:val="20"/>
          <w:szCs w:val="20"/>
        </w:rPr>
      </w:pPr>
      <w:r w:rsidRPr="003C2840">
        <w:rPr>
          <w:rFonts w:asciiTheme="minorHAnsi" w:eastAsia="Times New Roman" w:hAnsiTheme="minorHAnsi" w:cs="Arial"/>
          <w:sz w:val="24"/>
          <w:szCs w:val="24"/>
          <w:u w:val="single"/>
        </w:rPr>
        <w:t>Newborn</w:t>
      </w:r>
      <w:r w:rsidRPr="003C2840">
        <w:rPr>
          <w:rFonts w:asciiTheme="minorHAnsi" w:eastAsia="Times New Roman" w:hAnsiTheme="minorHAnsi" w:cs="Arial"/>
          <w:sz w:val="24"/>
          <w:szCs w:val="24"/>
        </w:rPr>
        <w:t xml:space="preserve"> – A </w:t>
      </w:r>
      <w:r w:rsidR="00EB577C">
        <w:rPr>
          <w:rFonts w:asciiTheme="minorHAnsi" w:eastAsia="Times New Roman" w:hAnsiTheme="minorHAnsi" w:cs="Arial"/>
          <w:sz w:val="24"/>
          <w:szCs w:val="24"/>
        </w:rPr>
        <w:t>recently born infant, usually less than one month old</w:t>
      </w:r>
      <w:r w:rsidRPr="003C2840">
        <w:rPr>
          <w:rFonts w:asciiTheme="minorHAnsi" w:eastAsia="Times New Roman" w:hAnsiTheme="minorHAnsi" w:cs="Arial"/>
          <w:color w:val="000000"/>
          <w:sz w:val="24"/>
          <w:szCs w:val="24"/>
        </w:rPr>
        <w:t>.</w:t>
      </w:r>
      <w:r w:rsidRPr="003C2840">
        <w:rPr>
          <w:rFonts w:asciiTheme="minorHAnsi" w:eastAsia="Times New Roman" w:hAnsiTheme="minorHAnsi"/>
          <w:color w:val="000000"/>
          <w:sz w:val="20"/>
          <w:szCs w:val="20"/>
        </w:rPr>
        <w:t xml:space="preserve"> </w:t>
      </w:r>
    </w:p>
    <w:p w14:paraId="01C51FA0" w14:textId="7DB79A50" w:rsidR="005C618C"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p>
    <w:p w14:paraId="1F6A713F" w14:textId="02FA1F4E" w:rsidR="005A6E57" w:rsidRPr="005A6E57" w:rsidRDefault="005A6E57" w:rsidP="005C618C">
      <w:pPr>
        <w:widowControl w:val="0"/>
        <w:autoSpaceDE w:val="0"/>
        <w:autoSpaceDN w:val="0"/>
        <w:adjustRightInd w:val="0"/>
        <w:spacing w:after="0" w:line="240" w:lineRule="auto"/>
        <w:rPr>
          <w:rFonts w:asciiTheme="minorHAnsi" w:eastAsia="Times New Roman" w:hAnsiTheme="minorHAnsi"/>
          <w:sz w:val="24"/>
          <w:szCs w:val="20"/>
        </w:rPr>
      </w:pPr>
      <w:r>
        <w:rPr>
          <w:rFonts w:asciiTheme="minorHAnsi" w:eastAsia="Times New Roman" w:hAnsiTheme="minorHAnsi"/>
          <w:sz w:val="24"/>
          <w:szCs w:val="20"/>
          <w:u w:val="single"/>
        </w:rPr>
        <w:t>Objectives</w:t>
      </w:r>
      <w:r w:rsidRPr="005A6E57">
        <w:rPr>
          <w:rFonts w:asciiTheme="minorHAnsi" w:eastAsia="Times New Roman" w:hAnsiTheme="minorHAnsi"/>
          <w:sz w:val="24"/>
          <w:szCs w:val="20"/>
        </w:rPr>
        <w:t xml:space="preserve"> – A statement of intention with </w:t>
      </w:r>
      <w:r>
        <w:rPr>
          <w:rFonts w:asciiTheme="minorHAnsi" w:eastAsia="Times New Roman" w:hAnsiTheme="minorHAnsi"/>
          <w:sz w:val="24"/>
          <w:szCs w:val="20"/>
        </w:rPr>
        <w:t xml:space="preserve">which </w:t>
      </w:r>
      <w:r w:rsidRPr="005A6E57">
        <w:rPr>
          <w:rFonts w:asciiTheme="minorHAnsi" w:eastAsia="Times New Roman" w:hAnsiTheme="minorHAnsi"/>
          <w:sz w:val="24"/>
          <w:szCs w:val="20"/>
        </w:rPr>
        <w:t>actual achievement</w:t>
      </w:r>
      <w:r>
        <w:rPr>
          <w:rFonts w:asciiTheme="minorHAnsi" w:eastAsia="Times New Roman" w:hAnsiTheme="minorHAnsi"/>
          <w:sz w:val="24"/>
          <w:szCs w:val="20"/>
        </w:rPr>
        <w:t xml:space="preserve"> and results can be measured and compared.  SMART objectives are Specific, Measurable, Achievable, Relevant and Time-phased.  See also Objectives and Performance Objectives within the Performance Measurement Section.  </w:t>
      </w:r>
      <w:r w:rsidRPr="005A6E57">
        <w:rPr>
          <w:rFonts w:asciiTheme="minorHAnsi" w:eastAsia="Times New Roman" w:hAnsiTheme="minorHAnsi"/>
          <w:sz w:val="24"/>
          <w:szCs w:val="20"/>
        </w:rPr>
        <w:t xml:space="preserve">  </w:t>
      </w:r>
    </w:p>
    <w:p w14:paraId="65ED55C5" w14:textId="77777777" w:rsidR="005A6E57" w:rsidRPr="005A6E57" w:rsidRDefault="005A6E57" w:rsidP="005C618C">
      <w:pPr>
        <w:widowControl w:val="0"/>
        <w:autoSpaceDE w:val="0"/>
        <w:autoSpaceDN w:val="0"/>
        <w:adjustRightInd w:val="0"/>
        <w:spacing w:after="0" w:line="240" w:lineRule="auto"/>
        <w:rPr>
          <w:rFonts w:asciiTheme="minorHAnsi" w:eastAsia="Times New Roman" w:hAnsiTheme="minorHAnsi"/>
          <w:sz w:val="24"/>
          <w:szCs w:val="20"/>
        </w:rPr>
      </w:pPr>
    </w:p>
    <w:p w14:paraId="7ABC966F" w14:textId="3AD058D9" w:rsidR="005C618C" w:rsidRPr="003C2840"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r w:rsidRPr="003C2840">
        <w:rPr>
          <w:rFonts w:asciiTheme="minorHAnsi" w:eastAsia="Times New Roman" w:hAnsiTheme="minorHAnsi"/>
          <w:sz w:val="24"/>
          <w:szCs w:val="20"/>
          <w:u w:val="single"/>
        </w:rPr>
        <w:t>Other Federal Funds</w:t>
      </w:r>
      <w:r w:rsidRPr="003C2840">
        <w:rPr>
          <w:rFonts w:asciiTheme="minorHAnsi" w:eastAsia="Times New Roman" w:hAnsiTheme="minorHAnsi"/>
          <w:sz w:val="24"/>
          <w:szCs w:val="20"/>
        </w:rPr>
        <w:t xml:space="preserve"> – Federal funds other than the Title V Block Grant that are under the control of the person responsible for administration of the Title V program and reported on the Application Face Sheet (SF 424) and Form 2.  These funds may include, but are not limited to: WIC, EMSC, Healthy Start, SPRANS, HIV/AIDs monies, CISS funds, </w:t>
      </w:r>
      <w:r w:rsidR="006756E2" w:rsidRPr="003C2840">
        <w:rPr>
          <w:rFonts w:asciiTheme="minorHAnsi" w:eastAsia="Times New Roman" w:hAnsiTheme="minorHAnsi"/>
          <w:sz w:val="24"/>
          <w:szCs w:val="20"/>
        </w:rPr>
        <w:t>MCH</w:t>
      </w:r>
      <w:r w:rsidRPr="003C2840">
        <w:rPr>
          <w:rFonts w:asciiTheme="minorHAnsi" w:eastAsia="Times New Roman" w:hAnsiTheme="minorHAnsi"/>
          <w:sz w:val="24"/>
          <w:szCs w:val="20"/>
        </w:rPr>
        <w:t xml:space="preserve"> targeted funds from CDC, MCH Education funds</w:t>
      </w:r>
      <w:r w:rsidR="006878BB" w:rsidRPr="003C2840">
        <w:rPr>
          <w:rFonts w:asciiTheme="minorHAnsi" w:eastAsia="Times New Roman" w:hAnsiTheme="minorHAnsi"/>
          <w:sz w:val="24"/>
          <w:szCs w:val="20"/>
        </w:rPr>
        <w:t xml:space="preserve"> and Medicaid Federal Medical Assistance Percentage (FMAP)</w:t>
      </w:r>
      <w:r w:rsidRPr="003C2840">
        <w:rPr>
          <w:rFonts w:asciiTheme="minorHAnsi" w:eastAsia="Times New Roman" w:hAnsiTheme="minorHAnsi"/>
          <w:sz w:val="24"/>
          <w:szCs w:val="20"/>
        </w:rPr>
        <w:t xml:space="preserve">.  </w:t>
      </w:r>
    </w:p>
    <w:p w14:paraId="2FE40E9F"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b/>
          <w:sz w:val="24"/>
          <w:szCs w:val="20"/>
        </w:rPr>
      </w:pPr>
    </w:p>
    <w:p w14:paraId="132DFE0D" w14:textId="77777777" w:rsidR="007840DC" w:rsidRPr="003C2840" w:rsidRDefault="007840DC" w:rsidP="007840DC">
      <w:pPr>
        <w:widowControl w:val="0"/>
        <w:autoSpaceDE w:val="0"/>
        <w:autoSpaceDN w:val="0"/>
        <w:adjustRightInd w:val="0"/>
        <w:spacing w:after="0" w:line="240" w:lineRule="auto"/>
        <w:rPr>
          <w:rFonts w:asciiTheme="minorHAnsi" w:eastAsia="Times New Roman" w:hAnsiTheme="minorHAnsi"/>
          <w:sz w:val="24"/>
          <w:szCs w:val="20"/>
        </w:rPr>
      </w:pPr>
      <w:r w:rsidRPr="003C2840">
        <w:rPr>
          <w:rFonts w:asciiTheme="minorHAnsi" w:eastAsia="Times New Roman" w:hAnsiTheme="minorHAnsi"/>
          <w:sz w:val="24"/>
          <w:szCs w:val="20"/>
          <w:u w:val="single"/>
        </w:rPr>
        <w:t>Others</w:t>
      </w:r>
      <w:r w:rsidRPr="003C2840">
        <w:rPr>
          <w:rFonts w:asciiTheme="minorHAnsi" w:eastAsia="Times New Roman" w:hAnsiTheme="minorHAnsi"/>
          <w:sz w:val="24"/>
          <w:szCs w:val="20"/>
        </w:rPr>
        <w:t xml:space="preserve"> (Class of Individuals) – Women and men, over age 21. </w:t>
      </w:r>
    </w:p>
    <w:p w14:paraId="6677E767" w14:textId="77777777" w:rsidR="007840DC" w:rsidRPr="003C2840" w:rsidRDefault="007840DC" w:rsidP="007840DC">
      <w:pPr>
        <w:widowControl w:val="0"/>
        <w:autoSpaceDE w:val="0"/>
        <w:autoSpaceDN w:val="0"/>
        <w:adjustRightInd w:val="0"/>
        <w:spacing w:after="0" w:line="240" w:lineRule="auto"/>
        <w:rPr>
          <w:rFonts w:asciiTheme="minorHAnsi" w:eastAsia="Times New Roman" w:hAnsiTheme="minorHAnsi"/>
          <w:sz w:val="24"/>
          <w:szCs w:val="20"/>
        </w:rPr>
      </w:pPr>
    </w:p>
    <w:p w14:paraId="20F53A7A" w14:textId="54EA8FF4" w:rsidR="007840DC" w:rsidRPr="003C2840" w:rsidRDefault="007840DC" w:rsidP="007840DC">
      <w:pPr>
        <w:widowControl w:val="0"/>
        <w:autoSpaceDE w:val="0"/>
        <w:autoSpaceDN w:val="0"/>
        <w:adjustRightInd w:val="0"/>
        <w:spacing w:after="0" w:line="240" w:lineRule="auto"/>
        <w:rPr>
          <w:rFonts w:asciiTheme="minorHAnsi" w:eastAsia="Times New Roman" w:hAnsiTheme="minorHAnsi"/>
          <w:sz w:val="24"/>
          <w:szCs w:val="20"/>
        </w:rPr>
      </w:pPr>
      <w:r w:rsidRPr="003C2840">
        <w:rPr>
          <w:rFonts w:asciiTheme="minorHAnsi" w:eastAsia="Times New Roman" w:hAnsiTheme="minorHAnsi"/>
          <w:sz w:val="24"/>
          <w:szCs w:val="20"/>
          <w:u w:val="single"/>
        </w:rPr>
        <w:t>Perinatal</w:t>
      </w:r>
      <w:r w:rsidRPr="003C2840">
        <w:rPr>
          <w:rFonts w:asciiTheme="minorHAnsi" w:eastAsia="Times New Roman" w:hAnsiTheme="minorHAnsi"/>
          <w:sz w:val="24"/>
          <w:szCs w:val="20"/>
        </w:rPr>
        <w:t xml:space="preserve"> – </w:t>
      </w:r>
      <w:r w:rsidR="00587E82">
        <w:rPr>
          <w:rFonts w:asciiTheme="minorHAnsi" w:eastAsia="Times New Roman" w:hAnsiTheme="minorHAnsi"/>
          <w:sz w:val="24"/>
          <w:szCs w:val="20"/>
        </w:rPr>
        <w:t>P</w:t>
      </w:r>
      <w:r w:rsidRPr="003C2840">
        <w:rPr>
          <w:rFonts w:asciiTheme="minorHAnsi" w:eastAsia="Times New Roman" w:hAnsiTheme="minorHAnsi"/>
          <w:sz w:val="24"/>
          <w:szCs w:val="20"/>
        </w:rPr>
        <w:t xml:space="preserve">eriod </w:t>
      </w:r>
      <w:r w:rsidR="00587E82">
        <w:rPr>
          <w:rFonts w:asciiTheme="minorHAnsi" w:eastAsia="Times New Roman" w:hAnsiTheme="minorHAnsi"/>
          <w:sz w:val="24"/>
          <w:szCs w:val="20"/>
        </w:rPr>
        <w:t xml:space="preserve">pertaining to immediately before and after birth.  For example, the definition of perinatal mortality refers to fetal and early neonatal death between 28 weeks or more gestation through the first week of life (less than seven days after birth).  </w:t>
      </w:r>
      <w:r w:rsidRPr="003C2840">
        <w:rPr>
          <w:rFonts w:asciiTheme="minorHAnsi" w:eastAsia="Times New Roman" w:hAnsiTheme="minorHAnsi"/>
          <w:sz w:val="24"/>
          <w:szCs w:val="20"/>
        </w:rPr>
        <w:t xml:space="preserve"> </w:t>
      </w:r>
    </w:p>
    <w:p w14:paraId="7AD12EE9" w14:textId="77777777" w:rsidR="007840DC" w:rsidRPr="003C2840" w:rsidRDefault="007840DC" w:rsidP="007840DC">
      <w:pPr>
        <w:widowControl w:val="0"/>
        <w:autoSpaceDE w:val="0"/>
        <w:autoSpaceDN w:val="0"/>
        <w:adjustRightInd w:val="0"/>
        <w:spacing w:after="0" w:line="240" w:lineRule="auto"/>
        <w:rPr>
          <w:rFonts w:asciiTheme="minorHAnsi" w:eastAsia="Times New Roman" w:hAnsiTheme="minorHAnsi"/>
          <w:sz w:val="24"/>
          <w:szCs w:val="20"/>
        </w:rPr>
      </w:pPr>
    </w:p>
    <w:p w14:paraId="4601A39E" w14:textId="2AC7E497" w:rsidR="007840DC" w:rsidRPr="003C2840" w:rsidRDefault="007840DC" w:rsidP="007840DC">
      <w:pPr>
        <w:widowControl w:val="0"/>
        <w:autoSpaceDE w:val="0"/>
        <w:autoSpaceDN w:val="0"/>
        <w:adjustRightInd w:val="0"/>
        <w:spacing w:after="0" w:line="240" w:lineRule="auto"/>
        <w:rPr>
          <w:rFonts w:asciiTheme="minorHAnsi" w:eastAsia="Times New Roman" w:hAnsiTheme="minorHAnsi" w:cs="Arial"/>
          <w:color w:val="C00000"/>
          <w:sz w:val="24"/>
          <w:szCs w:val="24"/>
        </w:rPr>
      </w:pPr>
      <w:r w:rsidRPr="003C2840">
        <w:rPr>
          <w:rFonts w:asciiTheme="minorHAnsi" w:eastAsia="Times New Roman" w:hAnsiTheme="minorHAnsi" w:cs="Arial"/>
          <w:sz w:val="24"/>
          <w:szCs w:val="24"/>
          <w:u w:val="single"/>
        </w:rPr>
        <w:t>Postneonatal Period</w:t>
      </w:r>
      <w:r w:rsidRPr="003C2840">
        <w:rPr>
          <w:rFonts w:asciiTheme="minorHAnsi" w:eastAsia="Times New Roman" w:hAnsiTheme="minorHAnsi" w:cs="Arial"/>
          <w:sz w:val="24"/>
          <w:szCs w:val="24"/>
        </w:rPr>
        <w:t xml:space="preserve"> – </w:t>
      </w:r>
      <w:r w:rsidR="00587E82">
        <w:rPr>
          <w:rFonts w:asciiTheme="minorHAnsi" w:eastAsia="Times New Roman" w:hAnsiTheme="minorHAnsi" w:cs="Arial"/>
          <w:sz w:val="24"/>
          <w:szCs w:val="24"/>
        </w:rPr>
        <w:t>P</w:t>
      </w:r>
      <w:r w:rsidRPr="003C2840">
        <w:rPr>
          <w:rFonts w:asciiTheme="minorHAnsi" w:eastAsia="Times New Roman" w:hAnsiTheme="minorHAnsi" w:cs="Arial"/>
          <w:sz w:val="24"/>
          <w:szCs w:val="24"/>
        </w:rPr>
        <w:t xml:space="preserve">eriod </w:t>
      </w:r>
      <w:r w:rsidR="00587E82">
        <w:rPr>
          <w:rFonts w:asciiTheme="minorHAnsi" w:eastAsia="Times New Roman" w:hAnsiTheme="minorHAnsi" w:cs="Arial"/>
          <w:sz w:val="24"/>
          <w:szCs w:val="24"/>
        </w:rPr>
        <w:t xml:space="preserve">of infant age from one month (28 days) </w:t>
      </w:r>
      <w:r w:rsidR="00324E9B">
        <w:rPr>
          <w:rFonts w:asciiTheme="minorHAnsi" w:eastAsia="Times New Roman" w:hAnsiTheme="minorHAnsi" w:cs="Arial"/>
          <w:sz w:val="24"/>
          <w:szCs w:val="24"/>
        </w:rPr>
        <w:t>up to one year (&lt;365 days).</w:t>
      </w:r>
      <w:r w:rsidRPr="003C2840">
        <w:rPr>
          <w:rFonts w:asciiTheme="minorHAnsi" w:eastAsia="Times New Roman" w:hAnsiTheme="minorHAnsi" w:cs="Arial"/>
          <w:color w:val="C00000"/>
          <w:sz w:val="24"/>
          <w:szCs w:val="24"/>
        </w:rPr>
        <w:t xml:space="preserve">  </w:t>
      </w:r>
    </w:p>
    <w:p w14:paraId="454B8084" w14:textId="77777777" w:rsidR="003D380E" w:rsidRPr="003C2840" w:rsidRDefault="003D380E" w:rsidP="005C618C">
      <w:pPr>
        <w:widowControl w:val="0"/>
        <w:autoSpaceDE w:val="0"/>
        <w:autoSpaceDN w:val="0"/>
        <w:adjustRightInd w:val="0"/>
        <w:spacing w:after="0" w:line="240" w:lineRule="auto"/>
        <w:rPr>
          <w:rFonts w:asciiTheme="minorHAnsi" w:eastAsia="Times New Roman" w:hAnsiTheme="minorHAnsi"/>
          <w:sz w:val="24"/>
          <w:szCs w:val="20"/>
        </w:rPr>
      </w:pPr>
    </w:p>
    <w:p w14:paraId="7C8E10DB"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r w:rsidRPr="003C2840">
        <w:rPr>
          <w:rFonts w:asciiTheme="minorHAnsi" w:eastAsia="Times New Roman" w:hAnsiTheme="minorHAnsi"/>
          <w:sz w:val="24"/>
          <w:szCs w:val="20"/>
          <w:u w:val="single"/>
        </w:rPr>
        <w:t xml:space="preserve">Pregnant Woman </w:t>
      </w:r>
      <w:r w:rsidRPr="003C2840">
        <w:rPr>
          <w:rFonts w:asciiTheme="minorHAnsi" w:eastAsia="Times New Roman" w:hAnsiTheme="minorHAnsi"/>
          <w:sz w:val="24"/>
          <w:szCs w:val="20"/>
        </w:rPr>
        <w:t>– A female from the time that she conceives to 60 days after birth, delivery, or expulsion of fetus.</w:t>
      </w:r>
    </w:p>
    <w:p w14:paraId="712997A5"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p>
    <w:p w14:paraId="63AB78F8"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cs="Arial"/>
          <w:b/>
          <w:sz w:val="24"/>
          <w:szCs w:val="24"/>
        </w:rPr>
      </w:pPr>
      <w:r w:rsidRPr="003C2840">
        <w:rPr>
          <w:rFonts w:asciiTheme="minorHAnsi" w:eastAsia="Times New Roman" w:hAnsiTheme="minorHAnsi" w:cs="Arial"/>
          <w:sz w:val="24"/>
          <w:szCs w:val="24"/>
          <w:u w:val="single"/>
        </w:rPr>
        <w:t>Prenatal</w:t>
      </w:r>
      <w:r w:rsidRPr="003C2840">
        <w:rPr>
          <w:rFonts w:asciiTheme="minorHAnsi" w:eastAsia="Times New Roman" w:hAnsiTheme="minorHAnsi" w:cs="Arial"/>
          <w:sz w:val="24"/>
          <w:szCs w:val="24"/>
        </w:rPr>
        <w:t xml:space="preserve"> – Occurring</w:t>
      </w:r>
      <w:r w:rsidRPr="003C2840">
        <w:rPr>
          <w:rFonts w:asciiTheme="minorHAnsi" w:eastAsia="Times New Roman" w:hAnsiTheme="minorHAnsi" w:cs="Arial"/>
          <w:color w:val="000000"/>
          <w:sz w:val="24"/>
          <w:szCs w:val="24"/>
        </w:rPr>
        <w:t xml:space="preserve"> or existing before birth, referring to both the care of the woman during pregnancy and the growth and development of the fetus. </w:t>
      </w:r>
    </w:p>
    <w:p w14:paraId="444CAED1"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p>
    <w:p w14:paraId="64701438" w14:textId="1D0C4138" w:rsidR="00324E9B" w:rsidRPr="00324E9B" w:rsidRDefault="00324E9B" w:rsidP="005C618C">
      <w:pPr>
        <w:widowControl w:val="0"/>
        <w:autoSpaceDE w:val="0"/>
        <w:autoSpaceDN w:val="0"/>
        <w:adjustRightInd w:val="0"/>
        <w:spacing w:after="0" w:line="240" w:lineRule="auto"/>
        <w:rPr>
          <w:rFonts w:asciiTheme="minorHAnsi" w:eastAsia="Times New Roman" w:hAnsiTheme="minorHAnsi"/>
          <w:sz w:val="24"/>
          <w:szCs w:val="20"/>
        </w:rPr>
      </w:pPr>
      <w:r>
        <w:rPr>
          <w:rFonts w:asciiTheme="minorHAnsi" w:eastAsia="Times New Roman" w:hAnsiTheme="minorHAnsi"/>
          <w:sz w:val="24"/>
          <w:szCs w:val="20"/>
          <w:u w:val="single"/>
        </w:rPr>
        <w:t>Priority Needs</w:t>
      </w:r>
      <w:r>
        <w:rPr>
          <w:rFonts w:asciiTheme="minorHAnsi" w:eastAsia="Times New Roman" w:hAnsiTheme="minorHAnsi"/>
          <w:sz w:val="24"/>
          <w:szCs w:val="20"/>
        </w:rPr>
        <w:t xml:space="preserve"> – Title V legislation direct states to conduct a statewide, comprehensive MCH Needs Assessment every five years to identify the need for preventive and primary care services for pregnant women, mothers, infants, children and children with special health care needs.  From this assessment, states select seven to ten priorities for focused programmatic efforts over the five-year reporting cycle.  </w:t>
      </w:r>
    </w:p>
    <w:p w14:paraId="52354B80" w14:textId="77777777" w:rsidR="00324E9B" w:rsidRDefault="00324E9B" w:rsidP="005C618C">
      <w:pPr>
        <w:widowControl w:val="0"/>
        <w:autoSpaceDE w:val="0"/>
        <w:autoSpaceDN w:val="0"/>
        <w:adjustRightInd w:val="0"/>
        <w:spacing w:after="0" w:line="240" w:lineRule="auto"/>
        <w:rPr>
          <w:rFonts w:asciiTheme="minorHAnsi" w:eastAsia="Times New Roman" w:hAnsiTheme="minorHAnsi"/>
          <w:sz w:val="24"/>
          <w:szCs w:val="20"/>
          <w:u w:val="single"/>
        </w:rPr>
      </w:pPr>
    </w:p>
    <w:p w14:paraId="4CDB50E8" w14:textId="13B99928" w:rsidR="005C618C" w:rsidRPr="003C2840"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r w:rsidRPr="003C2840">
        <w:rPr>
          <w:rFonts w:asciiTheme="minorHAnsi" w:eastAsia="Times New Roman" w:hAnsiTheme="minorHAnsi"/>
          <w:sz w:val="24"/>
          <w:szCs w:val="20"/>
          <w:u w:val="single"/>
        </w:rPr>
        <w:t>Program Income</w:t>
      </w:r>
      <w:r w:rsidRPr="003C2840">
        <w:rPr>
          <w:rFonts w:asciiTheme="minorHAnsi" w:eastAsia="Times New Roman" w:hAnsiTheme="minorHAnsi"/>
          <w:sz w:val="24"/>
          <w:szCs w:val="20"/>
        </w:rPr>
        <w:t xml:space="preserve"> – Funds collected by State MCH agencies from sources generated by the State’s MCH program to include insurance payments, Medicaid reimbursements, HMO payments, etc., as reported on the Application Face Sheet [SF 424] and Form 2.</w:t>
      </w:r>
    </w:p>
    <w:p w14:paraId="14BBAAFA"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p>
    <w:p w14:paraId="7E9AF25D" w14:textId="4C83AC74" w:rsidR="005C618C" w:rsidRPr="003C2840"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r w:rsidRPr="003C2840">
        <w:rPr>
          <w:rFonts w:asciiTheme="minorHAnsi" w:eastAsia="Times New Roman" w:hAnsiTheme="minorHAnsi"/>
          <w:sz w:val="24"/>
          <w:szCs w:val="20"/>
          <w:u w:val="single"/>
        </w:rPr>
        <w:t>State</w:t>
      </w:r>
      <w:r w:rsidRPr="003C2840">
        <w:rPr>
          <w:rFonts w:asciiTheme="minorHAnsi" w:eastAsia="Times New Roman" w:hAnsiTheme="minorHAnsi"/>
          <w:sz w:val="24"/>
          <w:szCs w:val="20"/>
        </w:rPr>
        <w:t xml:space="preserve"> – Terminology used in thi</w:t>
      </w:r>
      <w:r w:rsidR="0014435A">
        <w:rPr>
          <w:rFonts w:asciiTheme="minorHAnsi" w:eastAsia="Times New Roman" w:hAnsiTheme="minorHAnsi"/>
          <w:sz w:val="24"/>
          <w:szCs w:val="20"/>
        </w:rPr>
        <w:t>s Guidance to reference the 50 s</w:t>
      </w:r>
      <w:r w:rsidRPr="003C2840">
        <w:rPr>
          <w:rFonts w:asciiTheme="minorHAnsi" w:eastAsia="Times New Roman" w:hAnsiTheme="minorHAnsi"/>
          <w:sz w:val="24"/>
          <w:szCs w:val="20"/>
        </w:rPr>
        <w:t>tates and the nine jurisdictions.  (See also “Jurisdictions”)</w:t>
      </w:r>
    </w:p>
    <w:p w14:paraId="1950C6CF"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cs="Arial"/>
          <w:sz w:val="24"/>
          <w:szCs w:val="24"/>
        </w:rPr>
      </w:pPr>
    </w:p>
    <w:p w14:paraId="4AE7B1C4" w14:textId="64C2E271" w:rsidR="005C618C" w:rsidRPr="003C2840" w:rsidRDefault="005C618C" w:rsidP="005C618C">
      <w:pPr>
        <w:widowControl w:val="0"/>
        <w:autoSpaceDE w:val="0"/>
        <w:autoSpaceDN w:val="0"/>
        <w:adjustRightInd w:val="0"/>
        <w:spacing w:after="0" w:line="240" w:lineRule="auto"/>
        <w:rPr>
          <w:rFonts w:asciiTheme="minorHAnsi" w:eastAsia="Times New Roman" w:hAnsiTheme="minorHAnsi" w:cs="Arial"/>
          <w:sz w:val="24"/>
          <w:szCs w:val="24"/>
        </w:rPr>
      </w:pPr>
      <w:r w:rsidRPr="003C2840">
        <w:rPr>
          <w:rFonts w:asciiTheme="minorHAnsi" w:eastAsia="Times New Roman" w:hAnsiTheme="minorHAnsi" w:cs="Arial"/>
          <w:sz w:val="24"/>
          <w:szCs w:val="24"/>
          <w:u w:val="single"/>
        </w:rPr>
        <w:t>State Funds</w:t>
      </w:r>
      <w:r w:rsidR="0014435A">
        <w:rPr>
          <w:rFonts w:asciiTheme="minorHAnsi" w:eastAsia="Times New Roman" w:hAnsiTheme="minorHAnsi" w:cs="Arial"/>
          <w:sz w:val="24"/>
          <w:szCs w:val="24"/>
        </w:rPr>
        <w:t xml:space="preserve"> – The s</w:t>
      </w:r>
      <w:r w:rsidRPr="003C2840">
        <w:rPr>
          <w:rFonts w:asciiTheme="minorHAnsi" w:eastAsia="Times New Roman" w:hAnsiTheme="minorHAnsi" w:cs="Arial"/>
          <w:sz w:val="24"/>
          <w:szCs w:val="24"/>
        </w:rPr>
        <w:t>tate’s required matching funds (including overmatch) in any given year, as reported on the</w:t>
      </w:r>
      <w:r w:rsidRPr="003C2840">
        <w:rPr>
          <w:rFonts w:asciiTheme="minorHAnsi" w:eastAsia="Times New Roman" w:hAnsiTheme="minorHAnsi"/>
          <w:sz w:val="24"/>
          <w:szCs w:val="20"/>
        </w:rPr>
        <w:t xml:space="preserve"> Application Face Sheet [SF 424] and Form 2.</w:t>
      </w:r>
    </w:p>
    <w:p w14:paraId="359B7961"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p>
    <w:p w14:paraId="4013A21B" w14:textId="26D9F7C3" w:rsidR="007E4354" w:rsidRPr="007E4354" w:rsidRDefault="007E4354" w:rsidP="005C618C">
      <w:pPr>
        <w:widowControl w:val="0"/>
        <w:autoSpaceDE w:val="0"/>
        <w:autoSpaceDN w:val="0"/>
        <w:adjustRightInd w:val="0"/>
        <w:spacing w:after="0" w:line="240" w:lineRule="auto"/>
        <w:rPr>
          <w:rFonts w:asciiTheme="minorHAnsi" w:eastAsia="Times New Roman" w:hAnsiTheme="minorHAnsi" w:cs="Arial"/>
          <w:sz w:val="24"/>
          <w:szCs w:val="24"/>
        </w:rPr>
      </w:pPr>
      <w:r>
        <w:rPr>
          <w:rFonts w:asciiTheme="minorHAnsi" w:eastAsia="Times New Roman" w:hAnsiTheme="minorHAnsi" w:cs="Arial"/>
          <w:sz w:val="24"/>
          <w:szCs w:val="24"/>
          <w:u w:val="single"/>
        </w:rPr>
        <w:t>Strategies</w:t>
      </w:r>
      <w:r>
        <w:rPr>
          <w:rFonts w:asciiTheme="minorHAnsi" w:eastAsia="Times New Roman" w:hAnsiTheme="minorHAnsi" w:cs="Arial"/>
          <w:sz w:val="24"/>
          <w:szCs w:val="24"/>
        </w:rPr>
        <w:t xml:space="preserve"> – General approaches taken to achieve objectives: activities are specific actions to implement the strategies.  For example, a strategy may be to improve provider training with activities that could include developing a training module, delivering or promoting the training, and monitoring utilization and/or knowledge improvement.  Program activities for implementing the identified program strategies are discussed and updated annually as part of the State Action Plan narrative. </w:t>
      </w:r>
    </w:p>
    <w:p w14:paraId="0D7700E6" w14:textId="77777777" w:rsidR="007E4354" w:rsidRDefault="007E4354" w:rsidP="005C618C">
      <w:pPr>
        <w:widowControl w:val="0"/>
        <w:autoSpaceDE w:val="0"/>
        <w:autoSpaceDN w:val="0"/>
        <w:adjustRightInd w:val="0"/>
        <w:spacing w:after="0" w:line="240" w:lineRule="auto"/>
        <w:rPr>
          <w:rFonts w:asciiTheme="minorHAnsi" w:eastAsia="Times New Roman" w:hAnsiTheme="minorHAnsi" w:cs="Arial"/>
          <w:sz w:val="24"/>
          <w:szCs w:val="24"/>
          <w:u w:val="single"/>
        </w:rPr>
      </w:pPr>
    </w:p>
    <w:p w14:paraId="288C5B87" w14:textId="69BCDCFF" w:rsidR="005C618C" w:rsidRPr="003C2840" w:rsidRDefault="005C618C" w:rsidP="005C618C">
      <w:pPr>
        <w:widowControl w:val="0"/>
        <w:autoSpaceDE w:val="0"/>
        <w:autoSpaceDN w:val="0"/>
        <w:adjustRightInd w:val="0"/>
        <w:spacing w:after="0" w:line="240" w:lineRule="auto"/>
        <w:rPr>
          <w:rFonts w:asciiTheme="minorHAnsi" w:eastAsia="ComicSansMS-Identity-H" w:hAnsiTheme="minorHAnsi" w:cs="Arial"/>
          <w:sz w:val="24"/>
          <w:szCs w:val="24"/>
        </w:rPr>
      </w:pPr>
      <w:r w:rsidRPr="003C2840">
        <w:rPr>
          <w:rFonts w:asciiTheme="minorHAnsi" w:eastAsia="Times New Roman" w:hAnsiTheme="minorHAnsi" w:cs="Arial"/>
          <w:sz w:val="24"/>
          <w:szCs w:val="24"/>
          <w:u w:val="single"/>
        </w:rPr>
        <w:t>Technical Assistance (TA)</w:t>
      </w:r>
      <w:r w:rsidRPr="003C2840">
        <w:rPr>
          <w:rFonts w:asciiTheme="minorHAnsi" w:eastAsia="Times New Roman" w:hAnsiTheme="minorHAnsi" w:cs="Arial"/>
          <w:sz w:val="24"/>
          <w:szCs w:val="24"/>
        </w:rPr>
        <w:t xml:space="preserve"> – The process of providing advice, assistance, and training by an </w:t>
      </w:r>
      <w:r w:rsidRPr="003C2840">
        <w:rPr>
          <w:rFonts w:asciiTheme="minorHAnsi" w:eastAsia="ComicSansMS-Identity-H" w:hAnsiTheme="minorHAnsi" w:cs="Arial"/>
          <w:sz w:val="24"/>
          <w:szCs w:val="24"/>
        </w:rPr>
        <w:t>expert with specific technical/content knowledge to address an identified need.  Technical Assistance relationships are program-focused, and may use an interactive, on-site/hands-on approach as well as telephone or email assistance.  Technical Assist</w:t>
      </w:r>
      <w:r w:rsidRPr="003C2840">
        <w:rPr>
          <w:rFonts w:asciiTheme="minorHAnsi" w:eastAsia="ComicSansMS-Identity-H" w:hAnsiTheme="minorHAnsi" w:cs="Arial"/>
          <w:sz w:val="24"/>
          <w:szCs w:val="24"/>
        </w:rPr>
        <w:softHyphen/>
        <w:t>ance delivery is short in duration, customized to meet the needs of the client, and offers prescriptive solutions to a specific issue.</w:t>
      </w:r>
    </w:p>
    <w:p w14:paraId="2BA002FD" w14:textId="77777777" w:rsidR="005B2C70" w:rsidRPr="003C2840" w:rsidRDefault="005B2C70" w:rsidP="005C618C">
      <w:pPr>
        <w:widowControl w:val="0"/>
        <w:autoSpaceDE w:val="0"/>
        <w:autoSpaceDN w:val="0"/>
        <w:adjustRightInd w:val="0"/>
        <w:spacing w:after="0" w:line="240" w:lineRule="auto"/>
        <w:rPr>
          <w:rFonts w:asciiTheme="minorHAnsi" w:eastAsia="Times New Roman" w:hAnsiTheme="minorHAnsi" w:cs="Arial"/>
          <w:sz w:val="24"/>
          <w:szCs w:val="24"/>
          <w:u w:val="single"/>
        </w:rPr>
      </w:pPr>
    </w:p>
    <w:p w14:paraId="349F7F8C"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cs="Arial"/>
          <w:sz w:val="24"/>
          <w:szCs w:val="24"/>
        </w:rPr>
      </w:pPr>
      <w:r w:rsidRPr="003C2840">
        <w:rPr>
          <w:rFonts w:asciiTheme="minorHAnsi" w:eastAsia="Times New Roman" w:hAnsiTheme="minorHAnsi" w:cs="Arial"/>
          <w:sz w:val="24"/>
          <w:szCs w:val="24"/>
          <w:u w:val="single"/>
        </w:rPr>
        <w:t>Title V of the Social Security Act</w:t>
      </w:r>
      <w:r w:rsidRPr="003C2840">
        <w:rPr>
          <w:rFonts w:asciiTheme="minorHAnsi" w:eastAsia="Times New Roman" w:hAnsiTheme="minorHAnsi" w:cs="Arial"/>
          <w:sz w:val="24"/>
          <w:szCs w:val="24"/>
        </w:rPr>
        <w:t xml:space="preserve"> – The authorizing legislation for the Maternal and Child Health Services Block Grant to States Program.</w:t>
      </w:r>
    </w:p>
    <w:p w14:paraId="65ECFD51"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cs="Arial"/>
          <w:sz w:val="24"/>
          <w:szCs w:val="24"/>
        </w:rPr>
      </w:pPr>
    </w:p>
    <w:p w14:paraId="4FBEF600" w14:textId="05FECA3A" w:rsidR="005C618C" w:rsidRPr="003C2840" w:rsidRDefault="005C618C" w:rsidP="005C618C">
      <w:pPr>
        <w:widowControl w:val="0"/>
        <w:autoSpaceDE w:val="0"/>
        <w:autoSpaceDN w:val="0"/>
        <w:adjustRightInd w:val="0"/>
        <w:spacing w:after="0" w:line="240" w:lineRule="auto"/>
        <w:rPr>
          <w:rFonts w:asciiTheme="minorHAnsi" w:eastAsia="Times New Roman" w:hAnsiTheme="minorHAnsi" w:cs="Arial"/>
          <w:sz w:val="24"/>
          <w:szCs w:val="24"/>
        </w:rPr>
      </w:pPr>
      <w:r w:rsidRPr="003C2840">
        <w:rPr>
          <w:rFonts w:asciiTheme="minorHAnsi" w:eastAsia="Times New Roman" w:hAnsiTheme="minorHAnsi" w:cs="Arial"/>
          <w:sz w:val="24"/>
          <w:szCs w:val="24"/>
          <w:u w:val="single"/>
        </w:rPr>
        <w:t>Title V Reporting Form 6, Deliveries to Pregnant Women</w:t>
      </w:r>
      <w:r w:rsidR="007840DC" w:rsidRPr="003C2840">
        <w:rPr>
          <w:rFonts w:asciiTheme="minorHAnsi" w:eastAsia="Times New Roman" w:hAnsiTheme="minorHAnsi" w:cs="Arial"/>
          <w:sz w:val="24"/>
          <w:szCs w:val="24"/>
          <w:u w:val="single"/>
        </w:rPr>
        <w:t xml:space="preserve"> Served by Title V</w:t>
      </w:r>
      <w:r w:rsidRPr="003C2840">
        <w:rPr>
          <w:rFonts w:asciiTheme="minorHAnsi" w:eastAsia="Times New Roman" w:hAnsiTheme="minorHAnsi" w:cs="Arial"/>
          <w:sz w:val="24"/>
          <w:szCs w:val="24"/>
        </w:rPr>
        <w:t xml:space="preserve"> – Unduplicated number of deliveries to pregnant women who were provided prenatal, deli</w:t>
      </w:r>
      <w:r w:rsidRPr="003C2840">
        <w:rPr>
          <w:rFonts w:asciiTheme="minorHAnsi" w:eastAsia="Times New Roman" w:hAnsiTheme="minorHAnsi" w:cs="Arial"/>
          <w:sz w:val="24"/>
          <w:szCs w:val="24"/>
        </w:rPr>
        <w:softHyphen/>
        <w:t>very, or post-partum services through the Title V program during the reporting period.</w:t>
      </w:r>
    </w:p>
    <w:p w14:paraId="6BF03537"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cs="Arial"/>
          <w:sz w:val="24"/>
          <w:szCs w:val="24"/>
        </w:rPr>
      </w:pPr>
    </w:p>
    <w:p w14:paraId="7936694D"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cs="Arial"/>
          <w:sz w:val="24"/>
          <w:szCs w:val="24"/>
        </w:rPr>
      </w:pPr>
      <w:r w:rsidRPr="003C2840">
        <w:rPr>
          <w:rFonts w:asciiTheme="minorHAnsi" w:eastAsia="Times New Roman" w:hAnsiTheme="minorHAnsi" w:cs="Arial"/>
          <w:sz w:val="24"/>
          <w:szCs w:val="24"/>
          <w:u w:val="single"/>
        </w:rPr>
        <w:t>Title V Reporting Form 6, Infants Served by Title V</w:t>
      </w:r>
      <w:r w:rsidRPr="003C2840">
        <w:rPr>
          <w:rFonts w:asciiTheme="minorHAnsi" w:eastAsia="Times New Roman" w:hAnsiTheme="minorHAnsi" w:cs="Arial"/>
          <w:sz w:val="24"/>
          <w:szCs w:val="24"/>
        </w:rPr>
        <w:t xml:space="preserve"> – The unduplicated count of infants provided a direct service by the State’s Title V program during the reporting period.</w:t>
      </w:r>
    </w:p>
    <w:p w14:paraId="3772A596"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cs="Arial"/>
          <w:sz w:val="24"/>
          <w:szCs w:val="24"/>
        </w:rPr>
      </w:pPr>
    </w:p>
    <w:p w14:paraId="444733A6"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cs="Arial"/>
          <w:sz w:val="24"/>
          <w:szCs w:val="24"/>
        </w:rPr>
      </w:pPr>
      <w:r w:rsidRPr="003C2840">
        <w:rPr>
          <w:rFonts w:asciiTheme="minorHAnsi" w:eastAsia="Times New Roman" w:hAnsiTheme="minorHAnsi" w:cs="Arial"/>
          <w:sz w:val="24"/>
          <w:szCs w:val="24"/>
          <w:u w:val="single"/>
        </w:rPr>
        <w:t>Title XIX of the Social Security Act</w:t>
      </w:r>
      <w:r w:rsidRPr="003C2840">
        <w:rPr>
          <w:rFonts w:asciiTheme="minorHAnsi" w:eastAsia="Times New Roman" w:hAnsiTheme="minorHAnsi" w:cs="Arial"/>
          <w:sz w:val="24"/>
          <w:szCs w:val="24"/>
        </w:rPr>
        <w:t xml:space="preserve"> – The authorizing legislation for the Medicaid program.</w:t>
      </w:r>
    </w:p>
    <w:p w14:paraId="7A953E12"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cs="Arial"/>
          <w:sz w:val="24"/>
          <w:szCs w:val="24"/>
        </w:rPr>
      </w:pPr>
    </w:p>
    <w:p w14:paraId="4A7B1F6A"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cs="Arial"/>
          <w:sz w:val="24"/>
          <w:szCs w:val="24"/>
        </w:rPr>
      </w:pPr>
      <w:r w:rsidRPr="003C2840">
        <w:rPr>
          <w:rFonts w:asciiTheme="minorHAnsi" w:eastAsia="Times New Roman" w:hAnsiTheme="minorHAnsi" w:cs="Arial"/>
          <w:sz w:val="24"/>
          <w:szCs w:val="24"/>
          <w:u w:val="single"/>
        </w:rPr>
        <w:t>Title XIX Reporting on Form 6, Pregnant Women Eligible for Title XIX</w:t>
      </w:r>
      <w:r w:rsidRPr="003C2840">
        <w:rPr>
          <w:rFonts w:asciiTheme="minorHAnsi" w:eastAsia="Times New Roman" w:hAnsiTheme="minorHAnsi" w:cs="Arial"/>
          <w:sz w:val="24"/>
          <w:szCs w:val="24"/>
        </w:rPr>
        <w:t xml:space="preserve"> – The number of pregnant women who delivered during the reporting period and were eligible for the State’s Title XIX (Medicaid) program.</w:t>
      </w:r>
    </w:p>
    <w:p w14:paraId="70710E7B"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cs="Arial"/>
          <w:sz w:val="24"/>
          <w:szCs w:val="24"/>
        </w:rPr>
      </w:pPr>
    </w:p>
    <w:p w14:paraId="3C4570E1"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cs="Arial"/>
          <w:sz w:val="24"/>
          <w:szCs w:val="24"/>
        </w:rPr>
      </w:pPr>
      <w:r w:rsidRPr="003C2840">
        <w:rPr>
          <w:rFonts w:asciiTheme="minorHAnsi" w:eastAsia="Times New Roman" w:hAnsiTheme="minorHAnsi" w:cs="Arial"/>
          <w:sz w:val="24"/>
          <w:szCs w:val="24"/>
          <w:u w:val="single"/>
        </w:rPr>
        <w:t>Title XIX Reporting on Form 6, Infants Eligible for Title XIX</w:t>
      </w:r>
      <w:r w:rsidRPr="003C2840">
        <w:rPr>
          <w:rFonts w:asciiTheme="minorHAnsi" w:eastAsia="Times New Roman" w:hAnsiTheme="minorHAnsi" w:cs="Arial"/>
          <w:sz w:val="24"/>
          <w:szCs w:val="24"/>
        </w:rPr>
        <w:t xml:space="preserve"> – The number of infants eligible for the State’s Title XIX (Medicaid) program.</w:t>
      </w:r>
    </w:p>
    <w:p w14:paraId="4F084CAB"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cs="Arial"/>
          <w:sz w:val="24"/>
          <w:szCs w:val="24"/>
        </w:rPr>
      </w:pPr>
    </w:p>
    <w:p w14:paraId="0DDB85E6" w14:textId="1606C2FC" w:rsidR="005C618C" w:rsidRPr="003C2840" w:rsidRDefault="005C618C" w:rsidP="005C618C">
      <w:pPr>
        <w:widowControl w:val="0"/>
        <w:autoSpaceDE w:val="0"/>
        <w:autoSpaceDN w:val="0"/>
        <w:adjustRightInd w:val="0"/>
        <w:spacing w:after="0" w:line="240" w:lineRule="auto"/>
        <w:rPr>
          <w:rFonts w:asciiTheme="minorHAnsi" w:eastAsia="Times New Roman" w:hAnsiTheme="minorHAnsi" w:cs="Arial"/>
          <w:sz w:val="24"/>
          <w:szCs w:val="24"/>
        </w:rPr>
      </w:pPr>
      <w:r w:rsidRPr="003C2840">
        <w:rPr>
          <w:rFonts w:asciiTheme="minorHAnsi" w:eastAsia="Times New Roman" w:hAnsiTheme="minorHAnsi" w:cs="Arial"/>
          <w:sz w:val="24"/>
          <w:szCs w:val="24"/>
          <w:u w:val="single"/>
        </w:rPr>
        <w:t>Title XXI</w:t>
      </w:r>
      <w:r w:rsidR="00E10427">
        <w:rPr>
          <w:rFonts w:asciiTheme="minorHAnsi" w:eastAsia="Times New Roman" w:hAnsiTheme="minorHAnsi" w:cs="Arial"/>
          <w:sz w:val="24"/>
          <w:szCs w:val="24"/>
          <w:u w:val="single"/>
        </w:rPr>
        <w:t xml:space="preserve"> of the Social Security Act</w:t>
      </w:r>
      <w:r w:rsidRPr="003C2840">
        <w:rPr>
          <w:rFonts w:asciiTheme="minorHAnsi" w:eastAsia="Times New Roman" w:hAnsiTheme="minorHAnsi" w:cs="Arial"/>
          <w:sz w:val="24"/>
          <w:szCs w:val="24"/>
        </w:rPr>
        <w:t xml:space="preserve"> – Children’s Health Insurance Program (CHIP) financed via the Centers for Medicare and Medicaid Services (CMS)</w:t>
      </w:r>
      <w:r w:rsidR="009B321E" w:rsidRPr="003C2840">
        <w:rPr>
          <w:rFonts w:asciiTheme="minorHAnsi" w:eastAsia="Times New Roman" w:hAnsiTheme="minorHAnsi" w:cs="Arial"/>
          <w:sz w:val="24"/>
          <w:szCs w:val="24"/>
        </w:rPr>
        <w:t xml:space="preserve">.  </w:t>
      </w:r>
      <w:r w:rsidRPr="003C2840">
        <w:rPr>
          <w:rFonts w:asciiTheme="minorHAnsi" w:eastAsia="Times New Roman" w:hAnsiTheme="minorHAnsi" w:cs="Arial"/>
          <w:sz w:val="24"/>
          <w:szCs w:val="24"/>
        </w:rPr>
        <w:t>The purpose of thi</w:t>
      </w:r>
      <w:r w:rsidR="0014435A">
        <w:rPr>
          <w:rFonts w:asciiTheme="minorHAnsi" w:eastAsia="Times New Roman" w:hAnsiTheme="minorHAnsi" w:cs="Arial"/>
          <w:sz w:val="24"/>
          <w:szCs w:val="24"/>
        </w:rPr>
        <w:t>s title is to provide funds to s</w:t>
      </w:r>
      <w:r w:rsidRPr="003C2840">
        <w:rPr>
          <w:rFonts w:asciiTheme="minorHAnsi" w:eastAsia="Times New Roman" w:hAnsiTheme="minorHAnsi" w:cs="Arial"/>
          <w:sz w:val="24"/>
          <w:szCs w:val="24"/>
        </w:rPr>
        <w:t>tates to enable them to initiate and expand the provision of child health assistance to uninsured, low-income children in an effective and efficient manner that is coordinated with other sources of health benefits coverage for children.</w:t>
      </w:r>
      <w:r w:rsidR="00111FF8">
        <w:rPr>
          <w:rFonts w:asciiTheme="minorHAnsi" w:eastAsia="Times New Roman" w:hAnsiTheme="minorHAnsi" w:cs="Arial"/>
          <w:sz w:val="24"/>
          <w:szCs w:val="24"/>
        </w:rPr>
        <w:t xml:space="preserve">  </w:t>
      </w:r>
      <w:r w:rsidRPr="003C2840">
        <w:rPr>
          <w:rFonts w:asciiTheme="minorHAnsi" w:eastAsia="Times New Roman" w:hAnsiTheme="minorHAnsi" w:cs="Arial"/>
          <w:sz w:val="24"/>
          <w:szCs w:val="24"/>
        </w:rPr>
        <w:t>(Sec. </w:t>
      </w:r>
      <w:bookmarkStart w:id="1" w:name="act-2101"/>
      <w:r w:rsidRPr="003C2840">
        <w:rPr>
          <w:rFonts w:asciiTheme="minorHAnsi" w:eastAsia="Times New Roman" w:hAnsiTheme="minorHAnsi" w:cs="Arial"/>
          <w:sz w:val="24"/>
          <w:szCs w:val="24"/>
        </w:rPr>
        <w:t>2101</w:t>
      </w:r>
      <w:bookmarkEnd w:id="1"/>
      <w:r w:rsidRPr="003C2840">
        <w:rPr>
          <w:rFonts w:asciiTheme="minorHAnsi" w:eastAsia="Times New Roman" w:hAnsiTheme="minorHAnsi" w:cs="Arial"/>
          <w:sz w:val="24"/>
          <w:szCs w:val="24"/>
        </w:rPr>
        <w:t>. </w:t>
      </w:r>
      <w:r w:rsidRPr="003C2840">
        <w:rPr>
          <w:rFonts w:asciiTheme="minorHAnsi" w:eastAsia="Times New Roman" w:hAnsiTheme="minorHAnsi" w:cs="Arial"/>
          <w:bCs/>
          <w:sz w:val="24"/>
          <w:szCs w:val="24"/>
        </w:rPr>
        <w:t>[</w:t>
      </w:r>
      <w:r w:rsidRPr="003C2840">
        <w:rPr>
          <w:rFonts w:asciiTheme="minorHAnsi" w:eastAsia="Times New Roman" w:hAnsiTheme="minorHAnsi" w:cs="Arial"/>
          <w:sz w:val="24"/>
          <w:szCs w:val="24"/>
        </w:rPr>
        <w:t>42 U.S.C. 1397aa</w:t>
      </w:r>
      <w:r w:rsidRPr="003C2840">
        <w:rPr>
          <w:rFonts w:asciiTheme="minorHAnsi" w:eastAsia="Times New Roman" w:hAnsiTheme="minorHAnsi" w:cs="Arial"/>
          <w:bCs/>
          <w:sz w:val="24"/>
          <w:szCs w:val="24"/>
        </w:rPr>
        <w:t>])</w:t>
      </w:r>
    </w:p>
    <w:p w14:paraId="39AC8180"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cs="Arial"/>
          <w:sz w:val="24"/>
          <w:szCs w:val="24"/>
        </w:rPr>
      </w:pPr>
    </w:p>
    <w:p w14:paraId="29F0E724" w14:textId="4074B717" w:rsidR="005C618C" w:rsidRPr="003C2840" w:rsidRDefault="005C618C" w:rsidP="005C618C">
      <w:pPr>
        <w:widowControl w:val="0"/>
        <w:autoSpaceDE w:val="0"/>
        <w:autoSpaceDN w:val="0"/>
        <w:adjustRightInd w:val="0"/>
        <w:spacing w:after="0" w:line="240" w:lineRule="auto"/>
        <w:rPr>
          <w:rFonts w:asciiTheme="minorHAnsi" w:eastAsia="Times New Roman" w:hAnsiTheme="minorHAnsi" w:cs="Arial"/>
          <w:sz w:val="24"/>
          <w:szCs w:val="24"/>
        </w:rPr>
      </w:pPr>
      <w:r w:rsidRPr="003C2840">
        <w:rPr>
          <w:rFonts w:asciiTheme="minorHAnsi" w:eastAsia="Times New Roman" w:hAnsiTheme="minorHAnsi" w:cs="Arial"/>
          <w:sz w:val="24"/>
          <w:szCs w:val="24"/>
          <w:u w:val="single"/>
        </w:rPr>
        <w:t>Total MCH Funding</w:t>
      </w:r>
      <w:r w:rsidRPr="003C2840">
        <w:rPr>
          <w:rFonts w:asciiTheme="minorHAnsi" w:eastAsia="Times New Roman" w:hAnsiTheme="minorHAnsi" w:cs="Arial"/>
          <w:sz w:val="24"/>
          <w:szCs w:val="24"/>
        </w:rPr>
        <w:t xml:space="preserve"> – All of the MCH funds administered by a State MCH program.  Included in this sum total are:  1) the </w:t>
      </w:r>
      <w:r w:rsidRPr="003C2840">
        <w:rPr>
          <w:rFonts w:asciiTheme="minorHAnsi" w:eastAsia="Times New Roman" w:hAnsiTheme="minorHAnsi" w:cs="Arial"/>
          <w:i/>
          <w:sz w:val="24"/>
          <w:szCs w:val="24"/>
        </w:rPr>
        <w:t xml:space="preserve">Federal </w:t>
      </w:r>
      <w:r w:rsidRPr="003C2840">
        <w:rPr>
          <w:rFonts w:asciiTheme="minorHAnsi" w:eastAsia="Times New Roman" w:hAnsiTheme="minorHAnsi" w:cs="Arial"/>
          <w:sz w:val="24"/>
          <w:szCs w:val="24"/>
        </w:rPr>
        <w:t xml:space="preserve">Title V Block grant allocation; 2) the </w:t>
      </w:r>
      <w:r w:rsidRPr="003C2840">
        <w:rPr>
          <w:rFonts w:asciiTheme="minorHAnsi" w:eastAsia="Times New Roman" w:hAnsiTheme="minorHAnsi" w:cs="Arial"/>
          <w:i/>
          <w:sz w:val="24"/>
          <w:szCs w:val="24"/>
        </w:rPr>
        <w:t>Applicant’s</w:t>
      </w:r>
      <w:r w:rsidRPr="003C2840">
        <w:rPr>
          <w:rFonts w:asciiTheme="minorHAnsi" w:eastAsia="Times New Roman" w:hAnsiTheme="minorHAnsi" w:cs="Arial"/>
          <w:sz w:val="24"/>
          <w:szCs w:val="24"/>
        </w:rPr>
        <w:t xml:space="preserve"> funds, which consists of the unobligated balance from the previous year’s MCH Block Grant allocation, the </w:t>
      </w:r>
      <w:r w:rsidR="0014435A">
        <w:rPr>
          <w:rFonts w:asciiTheme="minorHAnsi" w:eastAsia="Times New Roman" w:hAnsiTheme="minorHAnsi" w:cs="Arial"/>
          <w:sz w:val="24"/>
          <w:szCs w:val="24"/>
        </w:rPr>
        <w:t>s</w:t>
      </w:r>
      <w:r w:rsidRPr="003C2840">
        <w:rPr>
          <w:rFonts w:asciiTheme="minorHAnsi" w:eastAsia="Times New Roman" w:hAnsiTheme="minorHAnsi" w:cs="Arial"/>
          <w:i/>
          <w:sz w:val="24"/>
          <w:szCs w:val="24"/>
        </w:rPr>
        <w:t>tate</w:t>
      </w:r>
      <w:r w:rsidRPr="003C2840">
        <w:rPr>
          <w:rFonts w:asciiTheme="minorHAnsi" w:eastAsia="Times New Roman" w:hAnsiTheme="minorHAnsi" w:cs="Arial"/>
          <w:sz w:val="24"/>
          <w:szCs w:val="24"/>
        </w:rPr>
        <w:t xml:space="preserve">’s total matching funds for the Title V allocation (match and overmatch); 3) the </w:t>
      </w:r>
      <w:r w:rsidRPr="003C2840">
        <w:rPr>
          <w:rFonts w:asciiTheme="minorHAnsi" w:eastAsia="Times New Roman" w:hAnsiTheme="minorHAnsi" w:cs="Arial"/>
          <w:i/>
          <w:sz w:val="24"/>
          <w:szCs w:val="24"/>
        </w:rPr>
        <w:t>Local</w:t>
      </w:r>
      <w:r w:rsidRPr="003C2840">
        <w:rPr>
          <w:rFonts w:asciiTheme="minorHAnsi" w:eastAsia="Times New Roman" w:hAnsiTheme="minorHAnsi" w:cs="Arial"/>
          <w:sz w:val="24"/>
          <w:szCs w:val="24"/>
        </w:rPr>
        <w:t xml:space="preserve"> funds, which are the total amount of MCH dedicated funds fr</w:t>
      </w:r>
      <w:r w:rsidR="0014435A">
        <w:rPr>
          <w:rFonts w:asciiTheme="minorHAnsi" w:eastAsia="Times New Roman" w:hAnsiTheme="minorHAnsi" w:cs="Arial"/>
          <w:sz w:val="24"/>
          <w:szCs w:val="24"/>
        </w:rPr>
        <w:t>om local government within the s</w:t>
      </w:r>
      <w:r w:rsidRPr="003C2840">
        <w:rPr>
          <w:rFonts w:asciiTheme="minorHAnsi" w:eastAsia="Times New Roman" w:hAnsiTheme="minorHAnsi" w:cs="Arial"/>
          <w:sz w:val="24"/>
          <w:szCs w:val="24"/>
        </w:rPr>
        <w:t xml:space="preserve">tate); 4) </w:t>
      </w:r>
      <w:r w:rsidRPr="003C2840">
        <w:rPr>
          <w:rFonts w:asciiTheme="minorHAnsi" w:eastAsia="Times New Roman" w:hAnsiTheme="minorHAnsi" w:cs="Arial"/>
          <w:i/>
          <w:sz w:val="24"/>
          <w:szCs w:val="24"/>
        </w:rPr>
        <w:t>Other</w:t>
      </w:r>
      <w:r w:rsidRPr="003C2840">
        <w:rPr>
          <w:rFonts w:asciiTheme="minorHAnsi" w:eastAsia="Times New Roman" w:hAnsiTheme="minorHAnsi" w:cs="Arial"/>
          <w:sz w:val="24"/>
          <w:szCs w:val="24"/>
        </w:rPr>
        <w:t xml:space="preserve"> Federal funds (monies </w:t>
      </w:r>
      <w:r w:rsidRPr="003C2840">
        <w:rPr>
          <w:rFonts w:asciiTheme="minorHAnsi" w:eastAsia="Times New Roman" w:hAnsiTheme="minorHAnsi" w:cs="Arial"/>
          <w:sz w:val="24"/>
          <w:szCs w:val="24"/>
          <w:u w:val="single"/>
        </w:rPr>
        <w:t>other</w:t>
      </w:r>
      <w:r w:rsidRPr="003C2840">
        <w:rPr>
          <w:rFonts w:asciiTheme="minorHAnsi" w:eastAsia="Times New Roman" w:hAnsiTheme="minorHAnsi" w:cs="Arial"/>
          <w:sz w:val="24"/>
          <w:szCs w:val="24"/>
        </w:rPr>
        <w:t xml:space="preserve"> than the Title V Block Grant that are under the control of the person responsible for administration of the Title V program), and 5) </w:t>
      </w:r>
      <w:r w:rsidRPr="003C2840">
        <w:rPr>
          <w:rFonts w:asciiTheme="minorHAnsi" w:eastAsia="Times New Roman" w:hAnsiTheme="minorHAnsi" w:cs="Arial"/>
          <w:i/>
          <w:sz w:val="24"/>
          <w:szCs w:val="24"/>
        </w:rPr>
        <w:t>Program Income</w:t>
      </w:r>
      <w:r w:rsidRPr="003C2840">
        <w:rPr>
          <w:rFonts w:asciiTheme="minorHAnsi" w:eastAsia="Times New Roman" w:hAnsiTheme="minorHAnsi" w:cs="Arial"/>
          <w:sz w:val="24"/>
          <w:szCs w:val="24"/>
        </w:rPr>
        <w:t xml:space="preserve"> (funds</w:t>
      </w:r>
      <w:r w:rsidR="00E97B87">
        <w:rPr>
          <w:rFonts w:asciiTheme="minorHAnsi" w:eastAsia="Times New Roman" w:hAnsiTheme="minorHAnsi" w:cs="Arial"/>
          <w:sz w:val="24"/>
          <w:szCs w:val="24"/>
        </w:rPr>
        <w:t xml:space="preserve"> </w:t>
      </w:r>
      <w:r w:rsidRPr="003C2840">
        <w:rPr>
          <w:rFonts w:asciiTheme="minorHAnsi" w:eastAsia="Times New Roman" w:hAnsiTheme="minorHAnsi" w:cs="Arial"/>
          <w:sz w:val="24"/>
          <w:szCs w:val="24"/>
        </w:rPr>
        <w:t xml:space="preserve">collected by State MCH agencies from insurance payments, Medicaid, HMO’s, </w:t>
      </w:r>
      <w:r w:rsidR="00A23E49" w:rsidRPr="003C2840">
        <w:rPr>
          <w:rFonts w:asciiTheme="minorHAnsi" w:eastAsia="Times New Roman" w:hAnsiTheme="minorHAnsi" w:cs="Arial"/>
          <w:sz w:val="24"/>
          <w:szCs w:val="24"/>
        </w:rPr>
        <w:t xml:space="preserve">private grants, </w:t>
      </w:r>
      <w:r w:rsidRPr="003C2840">
        <w:rPr>
          <w:rFonts w:asciiTheme="minorHAnsi" w:eastAsia="Times New Roman" w:hAnsiTheme="minorHAnsi" w:cs="Arial"/>
          <w:sz w:val="24"/>
          <w:szCs w:val="24"/>
        </w:rPr>
        <w:t>etc.)</w:t>
      </w:r>
    </w:p>
    <w:p w14:paraId="19E0092D"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p>
    <w:p w14:paraId="42CCC68F" w14:textId="416E01C5" w:rsidR="005C618C" w:rsidRPr="003C2840"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r w:rsidRPr="003C2840">
        <w:rPr>
          <w:rFonts w:asciiTheme="minorHAnsi" w:eastAsia="Times New Roman" w:hAnsiTheme="minorHAnsi"/>
          <w:sz w:val="24"/>
          <w:szCs w:val="20"/>
          <w:u w:val="single"/>
        </w:rPr>
        <w:t>Unobligated Balance</w:t>
      </w:r>
      <w:r w:rsidRPr="003C2840">
        <w:rPr>
          <w:rFonts w:asciiTheme="minorHAnsi" w:eastAsia="Times New Roman" w:hAnsiTheme="minorHAnsi"/>
          <w:sz w:val="24"/>
          <w:szCs w:val="20"/>
        </w:rPr>
        <w:t xml:space="preserve"> – The amount of unexpended funds from the previous </w:t>
      </w:r>
      <w:r w:rsidR="00B5231B" w:rsidRPr="003C2840">
        <w:rPr>
          <w:rFonts w:asciiTheme="minorHAnsi" w:eastAsia="Times New Roman" w:hAnsiTheme="minorHAnsi"/>
          <w:sz w:val="24"/>
          <w:szCs w:val="20"/>
        </w:rPr>
        <w:t xml:space="preserve">project period for </w:t>
      </w:r>
      <w:r w:rsidRPr="003C2840">
        <w:rPr>
          <w:rFonts w:asciiTheme="minorHAnsi" w:eastAsia="Times New Roman" w:hAnsiTheme="minorHAnsi"/>
          <w:sz w:val="24"/>
          <w:szCs w:val="20"/>
        </w:rPr>
        <w:t xml:space="preserve">Title V MCH Block Grant, as reported as </w:t>
      </w:r>
      <w:r w:rsidRPr="003C2840">
        <w:rPr>
          <w:rFonts w:asciiTheme="minorHAnsi" w:eastAsia="Times New Roman" w:hAnsiTheme="minorHAnsi"/>
          <w:i/>
          <w:sz w:val="24"/>
          <w:szCs w:val="20"/>
        </w:rPr>
        <w:t>Applicant</w:t>
      </w:r>
      <w:r w:rsidRPr="003C2840">
        <w:rPr>
          <w:rFonts w:asciiTheme="minorHAnsi" w:eastAsia="Times New Roman" w:hAnsiTheme="minorHAnsi"/>
          <w:sz w:val="24"/>
          <w:szCs w:val="20"/>
        </w:rPr>
        <w:t xml:space="preserve"> funds on </w:t>
      </w:r>
      <w:r w:rsidRPr="003C2840">
        <w:rPr>
          <w:rFonts w:asciiTheme="minorHAnsi" w:eastAsia="Times New Roman" w:hAnsiTheme="minorHAnsi" w:cs="Arial"/>
          <w:sz w:val="24"/>
          <w:szCs w:val="24"/>
        </w:rPr>
        <w:t>the</w:t>
      </w:r>
      <w:r w:rsidRPr="003C2840">
        <w:rPr>
          <w:rFonts w:asciiTheme="minorHAnsi" w:eastAsia="Times New Roman" w:hAnsiTheme="minorHAnsi"/>
          <w:sz w:val="24"/>
          <w:szCs w:val="20"/>
        </w:rPr>
        <w:t xml:space="preserve"> Application Face Sheet [SF 424] and as </w:t>
      </w:r>
      <w:r w:rsidRPr="003C2840">
        <w:rPr>
          <w:rFonts w:asciiTheme="minorHAnsi" w:eastAsia="Times New Roman" w:hAnsiTheme="minorHAnsi"/>
          <w:i/>
          <w:sz w:val="24"/>
          <w:szCs w:val="20"/>
        </w:rPr>
        <w:t>Unobligated Balance</w:t>
      </w:r>
      <w:r w:rsidRPr="003C2840">
        <w:rPr>
          <w:rFonts w:asciiTheme="minorHAnsi" w:eastAsia="Times New Roman" w:hAnsiTheme="minorHAnsi"/>
          <w:sz w:val="24"/>
          <w:szCs w:val="20"/>
        </w:rPr>
        <w:t xml:space="preserve"> on Form 2.</w:t>
      </w:r>
    </w:p>
    <w:p w14:paraId="44EA332A" w14:textId="77777777" w:rsidR="005C618C" w:rsidRPr="005C618C" w:rsidRDefault="005C618C" w:rsidP="005C618C">
      <w:pPr>
        <w:widowControl w:val="0"/>
        <w:autoSpaceDE w:val="0"/>
        <w:autoSpaceDN w:val="0"/>
        <w:adjustRightInd w:val="0"/>
        <w:spacing w:after="0" w:line="240" w:lineRule="auto"/>
        <w:rPr>
          <w:rFonts w:ascii="Arial" w:eastAsia="Times New Roman" w:hAnsi="Arial"/>
          <w:sz w:val="24"/>
          <w:szCs w:val="20"/>
        </w:rPr>
      </w:pPr>
    </w:p>
    <w:p w14:paraId="67B9BC94" w14:textId="77777777" w:rsidR="005C618C" w:rsidRPr="00192BDC" w:rsidRDefault="005C618C" w:rsidP="005C618C">
      <w:pPr>
        <w:widowControl w:val="0"/>
        <w:pBdr>
          <w:bottom w:val="single" w:sz="4" w:space="4" w:color="0F6FC6" w:themeColor="accent1"/>
        </w:pBdr>
        <w:autoSpaceDE w:val="0"/>
        <w:autoSpaceDN w:val="0"/>
        <w:adjustRightInd w:val="0"/>
        <w:spacing w:before="200" w:after="280" w:line="240" w:lineRule="auto"/>
        <w:ind w:right="936"/>
        <w:rPr>
          <w:rFonts w:asciiTheme="minorHAnsi" w:eastAsia="Times New Roman" w:hAnsiTheme="minorHAnsi" w:cs="Arial"/>
          <w:b/>
          <w:bCs/>
          <w:i/>
          <w:iCs/>
          <w:color w:val="0B5294" w:themeColor="accent1" w:themeShade="BF"/>
          <w:sz w:val="28"/>
          <w:szCs w:val="28"/>
        </w:rPr>
      </w:pPr>
      <w:r w:rsidRPr="00192BDC">
        <w:rPr>
          <w:rFonts w:asciiTheme="minorHAnsi" w:eastAsia="Times New Roman" w:hAnsiTheme="minorHAnsi" w:cs="Arial"/>
          <w:b/>
          <w:bCs/>
          <w:i/>
          <w:iCs/>
          <w:color w:val="0B5294" w:themeColor="accent1" w:themeShade="BF"/>
          <w:sz w:val="28"/>
          <w:szCs w:val="28"/>
        </w:rPr>
        <w:t>Performance Measurement</w:t>
      </w:r>
    </w:p>
    <w:p w14:paraId="47658892" w14:textId="77777777" w:rsidR="00F35D00" w:rsidRPr="003C2840" w:rsidRDefault="00F35D00" w:rsidP="00F35D00">
      <w:pPr>
        <w:spacing w:after="0" w:line="240" w:lineRule="auto"/>
        <w:rPr>
          <w:rFonts w:asciiTheme="minorHAnsi" w:hAnsiTheme="minorHAnsi" w:cs="Calibri"/>
          <w:color w:val="C00000"/>
          <w:sz w:val="24"/>
        </w:rPr>
      </w:pPr>
      <w:r w:rsidRPr="003C2840">
        <w:rPr>
          <w:rFonts w:asciiTheme="minorHAnsi" w:hAnsiTheme="minorHAnsi" w:cs="Arial"/>
          <w:sz w:val="24"/>
          <w:szCs w:val="24"/>
          <w:u w:val="single"/>
        </w:rPr>
        <w:t>Evidence-based or –Informed Strategy Measure (ESM)</w:t>
      </w:r>
      <w:r>
        <w:rPr>
          <w:rFonts w:asciiTheme="minorHAnsi" w:hAnsiTheme="minorHAnsi" w:cs="Arial"/>
          <w:sz w:val="24"/>
          <w:szCs w:val="24"/>
        </w:rPr>
        <w:t xml:space="preserve"> –Developed by the s</w:t>
      </w:r>
      <w:r w:rsidRPr="003C2840">
        <w:rPr>
          <w:rFonts w:asciiTheme="minorHAnsi" w:hAnsiTheme="minorHAnsi" w:cs="Arial"/>
          <w:sz w:val="24"/>
          <w:szCs w:val="24"/>
        </w:rPr>
        <w:t>tate, ESMs assess the outputs of State Title V strategies and activities contained in the State Action Plan.  The development of ESMs is guided through an examination of evidenced-based or evidence-informed strategies, and determining what components are meaningful, measurable, and achievable.</w:t>
      </w:r>
      <w:r>
        <w:rPr>
          <w:rFonts w:asciiTheme="minorHAnsi" w:hAnsiTheme="minorHAnsi" w:cs="Arial"/>
          <w:sz w:val="24"/>
          <w:szCs w:val="24"/>
        </w:rPr>
        <w:t xml:space="preserve">  </w:t>
      </w:r>
      <w:r w:rsidRPr="003C2840">
        <w:rPr>
          <w:rFonts w:asciiTheme="minorHAnsi" w:hAnsiTheme="minorHAnsi" w:cs="Arial"/>
          <w:sz w:val="24"/>
          <w:szCs w:val="24"/>
        </w:rPr>
        <w:t xml:space="preserve">The main criteria for ESMs are in being meaningfully related to the selected NPM through scientific evidence or theory and being measurable by the state with improvement achievable in multiple years of the five-year reporting cycle. </w:t>
      </w:r>
    </w:p>
    <w:p w14:paraId="1D351D1C" w14:textId="77777777" w:rsidR="00F35D00" w:rsidRPr="003C2840" w:rsidRDefault="00F35D00" w:rsidP="00F35D00">
      <w:pPr>
        <w:spacing w:after="0" w:line="240" w:lineRule="auto"/>
        <w:rPr>
          <w:rFonts w:asciiTheme="minorHAnsi" w:hAnsiTheme="minorHAnsi" w:cs="Calibri"/>
          <w:b/>
          <w:sz w:val="24"/>
        </w:rPr>
      </w:pPr>
    </w:p>
    <w:p w14:paraId="19AA8D5F" w14:textId="3E17555E" w:rsidR="00F35D00" w:rsidRDefault="00F35D00" w:rsidP="00F35D00">
      <w:pPr>
        <w:spacing w:after="0" w:line="240" w:lineRule="auto"/>
        <w:rPr>
          <w:rFonts w:asciiTheme="minorHAnsi" w:hAnsiTheme="minorHAnsi" w:cs="Calibri"/>
          <w:sz w:val="24"/>
        </w:rPr>
      </w:pPr>
      <w:r w:rsidRPr="003C2840">
        <w:rPr>
          <w:rFonts w:asciiTheme="minorHAnsi" w:hAnsiTheme="minorHAnsi" w:cs="Arial"/>
          <w:sz w:val="24"/>
          <w:szCs w:val="24"/>
          <w:u w:val="single"/>
        </w:rPr>
        <w:t>Evidence-based or –Informed Strategy Measure (ESM) O</w:t>
      </w:r>
      <w:r w:rsidRPr="003C2840">
        <w:rPr>
          <w:rFonts w:asciiTheme="minorHAnsi" w:hAnsiTheme="minorHAnsi" w:cs="Calibri"/>
          <w:sz w:val="24"/>
          <w:u w:val="single"/>
        </w:rPr>
        <w:t>bjectives</w:t>
      </w:r>
      <w:r w:rsidRPr="003C2840">
        <w:rPr>
          <w:rFonts w:asciiTheme="minorHAnsi" w:hAnsiTheme="minorHAnsi" w:cs="Calibri"/>
          <w:sz w:val="24"/>
        </w:rPr>
        <w:t xml:space="preserve"> – The objectives for activities and interventions that drive the achievement of higher-level objectives by the State Title V program.</w:t>
      </w:r>
    </w:p>
    <w:p w14:paraId="2032B9E9" w14:textId="77777777" w:rsidR="00F35D00" w:rsidRPr="003C2840" w:rsidRDefault="00F35D00" w:rsidP="00F35D00">
      <w:pPr>
        <w:spacing w:after="0" w:line="240" w:lineRule="auto"/>
        <w:rPr>
          <w:rFonts w:asciiTheme="minorHAnsi" w:hAnsiTheme="minorHAnsi" w:cs="Calibri"/>
          <w:sz w:val="24"/>
        </w:rPr>
      </w:pPr>
    </w:p>
    <w:p w14:paraId="5B84704D" w14:textId="77777777" w:rsidR="005C618C" w:rsidRPr="003C2840" w:rsidRDefault="005C618C" w:rsidP="005C618C">
      <w:pPr>
        <w:spacing w:after="0" w:line="240" w:lineRule="auto"/>
        <w:rPr>
          <w:rFonts w:asciiTheme="minorHAnsi" w:hAnsiTheme="minorHAnsi" w:cs="Arial"/>
          <w:sz w:val="24"/>
          <w:szCs w:val="24"/>
        </w:rPr>
      </w:pPr>
      <w:r w:rsidRPr="003C2840">
        <w:rPr>
          <w:rFonts w:asciiTheme="minorHAnsi" w:hAnsiTheme="minorHAnsi" w:cs="Arial"/>
          <w:sz w:val="24"/>
          <w:szCs w:val="24"/>
          <w:u w:val="single"/>
        </w:rPr>
        <w:t>Objectives</w:t>
      </w:r>
      <w:r w:rsidRPr="003C2840">
        <w:rPr>
          <w:rFonts w:asciiTheme="minorHAnsi" w:hAnsiTheme="minorHAnsi" w:cs="Arial"/>
          <w:sz w:val="24"/>
          <w:szCs w:val="24"/>
        </w:rPr>
        <w:t xml:space="preserve"> – The yardsticks by which an agency can measure its efforts to accomplish a goal.  (See also Performance Objectives)</w:t>
      </w:r>
    </w:p>
    <w:p w14:paraId="02D52174" w14:textId="77777777" w:rsidR="005C618C" w:rsidRPr="003C2840" w:rsidRDefault="005C618C" w:rsidP="005C618C">
      <w:pPr>
        <w:spacing w:after="0" w:line="240" w:lineRule="auto"/>
        <w:rPr>
          <w:rFonts w:asciiTheme="minorHAnsi" w:hAnsiTheme="minorHAnsi" w:cs="Arial"/>
          <w:sz w:val="24"/>
          <w:szCs w:val="24"/>
        </w:rPr>
      </w:pPr>
    </w:p>
    <w:p w14:paraId="45710CB2" w14:textId="795DA881" w:rsidR="00A23E49" w:rsidRPr="003C2840" w:rsidRDefault="005C618C" w:rsidP="005C618C">
      <w:pPr>
        <w:spacing w:after="0" w:line="240" w:lineRule="auto"/>
        <w:rPr>
          <w:rFonts w:asciiTheme="minorHAnsi" w:hAnsiTheme="minorHAnsi" w:cs="Arial"/>
          <w:sz w:val="24"/>
          <w:szCs w:val="24"/>
        </w:rPr>
      </w:pPr>
      <w:r w:rsidRPr="003C2840">
        <w:rPr>
          <w:rFonts w:asciiTheme="minorHAnsi" w:hAnsiTheme="minorHAnsi" w:cs="Arial"/>
          <w:sz w:val="24"/>
          <w:szCs w:val="24"/>
          <w:u w:val="single"/>
        </w:rPr>
        <w:t>Outcome Measure</w:t>
      </w:r>
      <w:r w:rsidRPr="003C2840">
        <w:rPr>
          <w:rFonts w:asciiTheme="minorHAnsi" w:hAnsiTheme="minorHAnsi" w:cs="Arial"/>
          <w:sz w:val="24"/>
          <w:szCs w:val="24"/>
        </w:rPr>
        <w:t xml:space="preserve"> – The ultimate focus and desired result of any set of public health program activities and interventions is an improved health and well-being outcome.  Health and well-being outcomes are usually longer term and tied to the ultimate program goal.</w:t>
      </w:r>
      <w:r w:rsidR="00111FF8">
        <w:rPr>
          <w:rFonts w:asciiTheme="minorHAnsi" w:hAnsiTheme="minorHAnsi" w:cs="Arial"/>
          <w:sz w:val="24"/>
          <w:szCs w:val="24"/>
        </w:rPr>
        <w:t xml:space="preserve">  </w:t>
      </w:r>
      <w:r w:rsidRPr="003C2840">
        <w:rPr>
          <w:rFonts w:asciiTheme="minorHAnsi" w:hAnsiTheme="minorHAnsi" w:cs="Arial"/>
          <w:sz w:val="24"/>
          <w:szCs w:val="24"/>
        </w:rPr>
        <w:t xml:space="preserve">Morbidity and mortality statistics are indicators of achievement of health outcomes.  Other outcomes reflect commonly accepted indicators of a highly functioning system of care for children with special health care needs and their families, positive outcomes, outcomes which are legislatively mandated or are a legislative focus, outcomes where the prevalence is increasing, and developmental outcomes where a fully </w:t>
      </w:r>
      <w:r w:rsidR="007840DC" w:rsidRPr="003C2840">
        <w:rPr>
          <w:rFonts w:asciiTheme="minorHAnsi" w:hAnsiTheme="minorHAnsi" w:cs="Arial"/>
          <w:sz w:val="24"/>
          <w:szCs w:val="24"/>
        </w:rPr>
        <w:t>established measure d</w:t>
      </w:r>
      <w:r w:rsidRPr="003C2840">
        <w:rPr>
          <w:rFonts w:asciiTheme="minorHAnsi" w:hAnsiTheme="minorHAnsi" w:cs="Arial"/>
          <w:sz w:val="24"/>
          <w:szCs w:val="24"/>
        </w:rPr>
        <w:t>oes not exist.</w:t>
      </w:r>
      <w:r w:rsidR="00A23E49" w:rsidRPr="003C2840">
        <w:rPr>
          <w:rFonts w:asciiTheme="minorHAnsi" w:hAnsiTheme="minorHAnsi" w:cs="Arial"/>
          <w:sz w:val="24"/>
          <w:szCs w:val="24"/>
        </w:rPr>
        <w:t xml:space="preserve"> </w:t>
      </w:r>
    </w:p>
    <w:p w14:paraId="1D00F34B" w14:textId="77777777" w:rsidR="00A23E49" w:rsidRPr="003C2840" w:rsidRDefault="00A23E49" w:rsidP="005C618C">
      <w:pPr>
        <w:spacing w:after="0" w:line="240" w:lineRule="auto"/>
        <w:rPr>
          <w:rFonts w:asciiTheme="minorHAnsi" w:hAnsiTheme="minorHAnsi" w:cs="Arial"/>
          <w:sz w:val="24"/>
          <w:szCs w:val="24"/>
        </w:rPr>
      </w:pPr>
    </w:p>
    <w:p w14:paraId="48823A92" w14:textId="77777777" w:rsidR="005C618C" w:rsidRPr="003C2840" w:rsidRDefault="005C618C" w:rsidP="005C618C">
      <w:pPr>
        <w:spacing w:after="0" w:line="240" w:lineRule="auto"/>
        <w:rPr>
          <w:rFonts w:asciiTheme="minorHAnsi" w:hAnsiTheme="minorHAnsi" w:cs="Arial"/>
          <w:sz w:val="24"/>
          <w:szCs w:val="24"/>
        </w:rPr>
      </w:pPr>
      <w:r w:rsidRPr="003C2840">
        <w:rPr>
          <w:rFonts w:asciiTheme="minorHAnsi" w:hAnsiTheme="minorHAnsi" w:cs="Arial"/>
          <w:sz w:val="24"/>
          <w:szCs w:val="24"/>
          <w:u w:val="single"/>
        </w:rPr>
        <w:t>Performance Indicator</w:t>
      </w:r>
      <w:r w:rsidRPr="003C2840">
        <w:rPr>
          <w:rFonts w:asciiTheme="minorHAnsi" w:hAnsiTheme="minorHAnsi" w:cs="Arial"/>
          <w:sz w:val="24"/>
          <w:szCs w:val="24"/>
        </w:rPr>
        <w:t xml:space="preserve"> – The statistical or quantitative value that expresses the result of a performance objective.</w:t>
      </w:r>
    </w:p>
    <w:p w14:paraId="470DC0F7" w14:textId="77777777" w:rsidR="005C618C" w:rsidRPr="003C2840" w:rsidRDefault="005C618C" w:rsidP="005C618C">
      <w:pPr>
        <w:spacing w:after="0" w:line="240" w:lineRule="auto"/>
        <w:rPr>
          <w:rFonts w:asciiTheme="minorHAnsi" w:hAnsiTheme="minorHAnsi" w:cs="Arial"/>
          <w:sz w:val="24"/>
          <w:szCs w:val="24"/>
        </w:rPr>
      </w:pPr>
    </w:p>
    <w:p w14:paraId="4E6C48FB" w14:textId="6C25CD0B" w:rsidR="007840DC" w:rsidRPr="003C2840" w:rsidRDefault="007840DC" w:rsidP="007840DC">
      <w:pPr>
        <w:spacing w:after="0" w:line="240" w:lineRule="auto"/>
        <w:rPr>
          <w:rFonts w:asciiTheme="minorHAnsi" w:hAnsiTheme="minorHAnsi" w:cs="Arial"/>
          <w:sz w:val="24"/>
          <w:szCs w:val="24"/>
        </w:rPr>
      </w:pPr>
      <w:r w:rsidRPr="003C2840">
        <w:rPr>
          <w:rFonts w:asciiTheme="minorHAnsi" w:hAnsiTheme="minorHAnsi" w:cs="Arial"/>
          <w:sz w:val="24"/>
          <w:szCs w:val="24"/>
          <w:u w:val="single"/>
        </w:rPr>
        <w:t>Performance Measure</w:t>
      </w:r>
      <w:r w:rsidRPr="003C2840">
        <w:rPr>
          <w:rFonts w:asciiTheme="minorHAnsi" w:hAnsiTheme="minorHAnsi" w:cs="Arial"/>
          <w:sz w:val="24"/>
          <w:szCs w:val="24"/>
        </w:rPr>
        <w:t xml:space="preserve"> – An intermediate outcome on the path toward a longer term outcome measure of health and well-being that is used to more directly assess the impact of a program.  Positive health behaviors and access to quality health care are common intermediate outcomes that may lead to health, reduced morbidity and mortality, or highly functioning systems of care.  For example, to reduce infant mortality, State Title V programs may work to promote safe sleep practices or access to quality well-woman care.  The performance measure is phrased as a quantitative indicator, such as a rate or percentage.  For example, </w:t>
      </w:r>
      <w:r w:rsidR="00DB756B">
        <w:rPr>
          <w:rFonts w:asciiTheme="minorHAnsi" w:hAnsiTheme="minorHAnsi" w:cs="Arial"/>
          <w:sz w:val="24"/>
          <w:szCs w:val="24"/>
        </w:rPr>
        <w:t>“P</w:t>
      </w:r>
      <w:r w:rsidRPr="003C2840">
        <w:rPr>
          <w:rFonts w:asciiTheme="minorHAnsi" w:hAnsiTheme="minorHAnsi" w:cs="Arial"/>
          <w:sz w:val="24"/>
          <w:szCs w:val="24"/>
        </w:rPr>
        <w:t>ercentage of infants placed to sleep on their backs.</w:t>
      </w:r>
      <w:r w:rsidR="00DB756B">
        <w:rPr>
          <w:rFonts w:asciiTheme="minorHAnsi" w:hAnsiTheme="minorHAnsi" w:cs="Arial"/>
          <w:sz w:val="24"/>
          <w:szCs w:val="24"/>
        </w:rPr>
        <w:t>”</w:t>
      </w:r>
    </w:p>
    <w:p w14:paraId="573B0A2C" w14:textId="77777777" w:rsidR="007840DC" w:rsidRPr="003C2840" w:rsidRDefault="007840DC" w:rsidP="005C618C">
      <w:pPr>
        <w:spacing w:after="0" w:line="240" w:lineRule="auto"/>
        <w:rPr>
          <w:rFonts w:asciiTheme="minorHAnsi" w:hAnsiTheme="minorHAnsi" w:cs="Arial"/>
          <w:sz w:val="24"/>
          <w:szCs w:val="24"/>
          <w:u w:val="single"/>
        </w:rPr>
      </w:pPr>
    </w:p>
    <w:p w14:paraId="5E8F33E7" w14:textId="36F7B081" w:rsidR="005C618C" w:rsidRPr="003C2840" w:rsidRDefault="005C618C" w:rsidP="005C618C">
      <w:pPr>
        <w:spacing w:after="0" w:line="240" w:lineRule="auto"/>
        <w:rPr>
          <w:rFonts w:asciiTheme="minorHAnsi" w:hAnsiTheme="minorHAnsi" w:cs="Arial"/>
          <w:sz w:val="24"/>
          <w:szCs w:val="24"/>
        </w:rPr>
      </w:pPr>
      <w:r w:rsidRPr="003C2840">
        <w:rPr>
          <w:rFonts w:asciiTheme="minorHAnsi" w:hAnsiTheme="minorHAnsi" w:cs="Arial"/>
          <w:sz w:val="24"/>
          <w:szCs w:val="24"/>
          <w:u w:val="single"/>
        </w:rPr>
        <w:t>Performance Measurement</w:t>
      </w:r>
      <w:r w:rsidRPr="003C2840">
        <w:rPr>
          <w:rFonts w:asciiTheme="minorHAnsi" w:hAnsiTheme="minorHAnsi" w:cs="Arial"/>
          <w:sz w:val="24"/>
          <w:szCs w:val="24"/>
        </w:rPr>
        <w:t xml:space="preserve"> – The collection of data on, recording of, or tabulation of results or achievements, usually for comparison to a benchmark.</w:t>
      </w:r>
    </w:p>
    <w:p w14:paraId="36C71576" w14:textId="77777777" w:rsidR="005C618C" w:rsidRPr="003C2840" w:rsidRDefault="005C618C" w:rsidP="005C618C">
      <w:pPr>
        <w:spacing w:after="0" w:line="240" w:lineRule="auto"/>
        <w:rPr>
          <w:rFonts w:asciiTheme="minorHAnsi" w:hAnsiTheme="minorHAnsi" w:cs="Arial"/>
          <w:sz w:val="24"/>
          <w:szCs w:val="24"/>
        </w:rPr>
      </w:pPr>
    </w:p>
    <w:p w14:paraId="36402E78" w14:textId="77777777" w:rsidR="007840DC" w:rsidRPr="003C2840" w:rsidRDefault="007840DC" w:rsidP="007840DC">
      <w:pPr>
        <w:spacing w:after="0" w:line="240" w:lineRule="auto"/>
        <w:rPr>
          <w:rFonts w:asciiTheme="minorHAnsi" w:hAnsiTheme="minorHAnsi" w:cs="Arial"/>
          <w:sz w:val="24"/>
          <w:szCs w:val="24"/>
        </w:rPr>
      </w:pPr>
      <w:r w:rsidRPr="003C2840">
        <w:rPr>
          <w:rFonts w:asciiTheme="minorHAnsi" w:hAnsiTheme="minorHAnsi" w:cs="Arial"/>
          <w:sz w:val="24"/>
          <w:szCs w:val="24"/>
          <w:u w:val="single"/>
        </w:rPr>
        <w:t>Performance Objectives</w:t>
      </w:r>
      <w:r w:rsidRPr="003C2840">
        <w:rPr>
          <w:rFonts w:asciiTheme="minorHAnsi" w:hAnsiTheme="minorHAnsi" w:cs="Arial"/>
          <w:sz w:val="24"/>
          <w:szCs w:val="24"/>
        </w:rPr>
        <w:t xml:space="preserve"> – A statement of intention with which actual achievement and results can be measured and compared.  Performance objective statements clearly describe what is to be achieved, when it is to be achieved, the extent of the achievement, and the target populations.  For example: “Increase the percentage of infants placed to sleep on their backs in State </w:t>
      </w:r>
      <w:r w:rsidRPr="00DB756B">
        <w:rPr>
          <w:rFonts w:asciiTheme="minorHAnsi" w:hAnsiTheme="minorHAnsi" w:cs="Arial"/>
          <w:sz w:val="24"/>
          <w:szCs w:val="24"/>
          <w:u w:val="single"/>
        </w:rPr>
        <w:t>X</w:t>
      </w:r>
      <w:r w:rsidRPr="003C2840">
        <w:rPr>
          <w:rFonts w:asciiTheme="minorHAnsi" w:hAnsiTheme="minorHAnsi" w:cs="Arial"/>
          <w:sz w:val="24"/>
          <w:szCs w:val="24"/>
        </w:rPr>
        <w:t xml:space="preserve"> by 10% over the next 5 years.”</w:t>
      </w:r>
    </w:p>
    <w:p w14:paraId="57436F7C" w14:textId="77777777" w:rsidR="007840DC" w:rsidRPr="003C2840" w:rsidRDefault="007840DC" w:rsidP="007840DC">
      <w:pPr>
        <w:spacing w:after="0" w:line="240" w:lineRule="auto"/>
        <w:rPr>
          <w:rFonts w:asciiTheme="minorHAnsi" w:hAnsiTheme="minorHAnsi" w:cs="Arial"/>
          <w:sz w:val="24"/>
          <w:szCs w:val="24"/>
        </w:rPr>
      </w:pPr>
    </w:p>
    <w:p w14:paraId="0B6E9D06" w14:textId="57295326" w:rsidR="005C618C" w:rsidRPr="003C2840" w:rsidRDefault="005C618C" w:rsidP="005C618C">
      <w:pPr>
        <w:spacing w:after="0" w:line="240" w:lineRule="auto"/>
        <w:rPr>
          <w:rFonts w:asciiTheme="minorHAnsi" w:hAnsiTheme="minorHAnsi" w:cs="Calibri"/>
          <w:sz w:val="24"/>
        </w:rPr>
      </w:pPr>
      <w:r w:rsidRPr="003C2840">
        <w:rPr>
          <w:rFonts w:asciiTheme="minorHAnsi" w:hAnsiTheme="minorHAnsi" w:cs="Calibri"/>
          <w:sz w:val="24"/>
          <w:u w:val="single"/>
        </w:rPr>
        <w:t>Risk Factors</w:t>
      </w:r>
      <w:r w:rsidRPr="003C2840">
        <w:rPr>
          <w:rFonts w:asciiTheme="minorHAnsi" w:hAnsiTheme="minorHAnsi" w:cs="Calibri"/>
          <w:sz w:val="24"/>
        </w:rPr>
        <w:t xml:space="preserve"> – Public health activities and programs that focus on reduction of scientifically established direct causes of, and contributors to, morbidity and mortality (i.e., risk factors) are essential steps toward achieving desired health outcomes.  Changes in behavior or physiological conditions are the indicators of achievement of risk factor results.  Results focused on risk factors tend to be intermediate term.  Risk factor results should answer the qu</w:t>
      </w:r>
      <w:r w:rsidR="0014435A">
        <w:rPr>
          <w:rFonts w:asciiTheme="minorHAnsi" w:hAnsiTheme="minorHAnsi" w:cs="Calibri"/>
          <w:sz w:val="24"/>
        </w:rPr>
        <w:t>estion, “Why should the s</w:t>
      </w:r>
      <w:r w:rsidRPr="003C2840">
        <w:rPr>
          <w:rFonts w:asciiTheme="minorHAnsi" w:hAnsiTheme="minorHAnsi" w:cs="Calibri"/>
          <w:sz w:val="24"/>
        </w:rPr>
        <w:t>tate address this risk factor (i.e., what health outcome will this result support)?”</w:t>
      </w:r>
    </w:p>
    <w:p w14:paraId="2D8AA92D" w14:textId="77777777" w:rsidR="005C618C" w:rsidRPr="003C2840" w:rsidRDefault="005C618C" w:rsidP="005C618C">
      <w:pPr>
        <w:spacing w:after="0" w:line="240" w:lineRule="auto"/>
        <w:rPr>
          <w:rFonts w:asciiTheme="minorHAnsi" w:hAnsiTheme="minorHAnsi" w:cs="Calibri"/>
          <w:sz w:val="24"/>
        </w:rPr>
      </w:pPr>
    </w:p>
    <w:p w14:paraId="3B88ED74" w14:textId="77777777" w:rsidR="005C618C" w:rsidRPr="003C2840" w:rsidRDefault="005C618C" w:rsidP="005C618C">
      <w:pPr>
        <w:spacing w:after="0" w:line="240" w:lineRule="auto"/>
        <w:rPr>
          <w:rFonts w:asciiTheme="minorHAnsi" w:hAnsiTheme="minorHAnsi" w:cs="Calibri"/>
          <w:b/>
          <w:sz w:val="24"/>
        </w:rPr>
      </w:pPr>
      <w:r w:rsidRPr="003C2840">
        <w:rPr>
          <w:rFonts w:asciiTheme="minorHAnsi" w:hAnsiTheme="minorHAnsi" w:cs="Calibri"/>
          <w:sz w:val="24"/>
          <w:u w:val="single"/>
        </w:rPr>
        <w:t>Risk Factor Objectives</w:t>
      </w:r>
      <w:r w:rsidRPr="003C2840">
        <w:rPr>
          <w:rFonts w:asciiTheme="minorHAnsi" w:hAnsiTheme="minorHAnsi" w:cs="Calibri"/>
          <w:sz w:val="24"/>
        </w:rPr>
        <w:t xml:space="preserve"> – Objectives that describe an improvement in risk factors (usually behavioral or physiological) that are associated with morbidity and mortality.</w:t>
      </w:r>
    </w:p>
    <w:p w14:paraId="0F0A4745" w14:textId="77777777" w:rsidR="005C618C" w:rsidRPr="003C2840" w:rsidRDefault="005C618C" w:rsidP="005C618C">
      <w:pPr>
        <w:spacing w:after="0" w:line="240" w:lineRule="auto"/>
        <w:rPr>
          <w:rFonts w:asciiTheme="minorHAnsi" w:hAnsiTheme="minorHAnsi" w:cs="Calibri"/>
          <w:sz w:val="24"/>
        </w:rPr>
      </w:pPr>
    </w:p>
    <w:p w14:paraId="185CEA86" w14:textId="54D8E804" w:rsidR="005C618C" w:rsidRPr="003C2840" w:rsidRDefault="005C618C" w:rsidP="005C618C">
      <w:pPr>
        <w:spacing w:after="0" w:line="240" w:lineRule="auto"/>
        <w:rPr>
          <w:rFonts w:asciiTheme="minorHAnsi" w:hAnsiTheme="minorHAnsi" w:cs="Arial"/>
          <w:b/>
          <w:sz w:val="24"/>
          <w:szCs w:val="24"/>
        </w:rPr>
      </w:pPr>
      <w:r w:rsidRPr="003C2840">
        <w:rPr>
          <w:rFonts w:asciiTheme="minorHAnsi" w:hAnsiTheme="minorHAnsi" w:cs="Arial"/>
          <w:sz w:val="24"/>
          <w:szCs w:val="24"/>
          <w:u w:val="single"/>
        </w:rPr>
        <w:t>Targets</w:t>
      </w:r>
      <w:r w:rsidRPr="003C2840">
        <w:rPr>
          <w:rFonts w:asciiTheme="minorHAnsi" w:hAnsiTheme="minorHAnsi" w:cs="Arial"/>
          <w:sz w:val="24"/>
          <w:szCs w:val="24"/>
        </w:rPr>
        <w:t xml:space="preserve"> – An aspired outcome that is explicitly stated, e.g. </w:t>
      </w:r>
      <w:r w:rsidR="00DB756B">
        <w:rPr>
          <w:rFonts w:asciiTheme="minorHAnsi" w:hAnsiTheme="minorHAnsi" w:cs="Arial"/>
          <w:sz w:val="24"/>
          <w:szCs w:val="24"/>
        </w:rPr>
        <w:t xml:space="preserve">“Attain 90% of timeliness in reporting” or ”Achieve </w:t>
      </w:r>
      <w:r w:rsidRPr="003C2840">
        <w:rPr>
          <w:rFonts w:asciiTheme="minorHAnsi" w:hAnsiTheme="minorHAnsi" w:cs="Arial"/>
          <w:sz w:val="24"/>
          <w:szCs w:val="24"/>
        </w:rPr>
        <w:t>100% completeness of reporting</w:t>
      </w:r>
      <w:r w:rsidR="00DB756B">
        <w:rPr>
          <w:rFonts w:asciiTheme="minorHAnsi" w:hAnsiTheme="minorHAnsi" w:cs="Arial"/>
          <w:sz w:val="24"/>
          <w:szCs w:val="24"/>
        </w:rPr>
        <w:t>”</w:t>
      </w:r>
      <w:r w:rsidRPr="003C2840">
        <w:rPr>
          <w:rFonts w:asciiTheme="minorHAnsi" w:hAnsiTheme="minorHAnsi" w:cs="Arial"/>
          <w:sz w:val="24"/>
          <w:szCs w:val="24"/>
        </w:rPr>
        <w:t>, etc.  In this Guidance, “Targets” is often used interchangeably with “Objectives.”</w:t>
      </w:r>
    </w:p>
    <w:p w14:paraId="3F9DE2F5" w14:textId="77777777" w:rsidR="005C618C" w:rsidRPr="005C618C" w:rsidRDefault="005C618C" w:rsidP="005C618C">
      <w:pPr>
        <w:spacing w:after="0" w:line="240" w:lineRule="auto"/>
        <w:rPr>
          <w:rFonts w:cs="Calibri"/>
        </w:rPr>
      </w:pPr>
    </w:p>
    <w:p w14:paraId="2718A766" w14:textId="77777777" w:rsidR="005C618C" w:rsidRPr="00192BDC" w:rsidRDefault="005C618C" w:rsidP="005C618C">
      <w:pPr>
        <w:widowControl w:val="0"/>
        <w:pBdr>
          <w:bottom w:val="single" w:sz="4" w:space="4" w:color="0F6FC6" w:themeColor="accent1"/>
        </w:pBdr>
        <w:autoSpaceDE w:val="0"/>
        <w:autoSpaceDN w:val="0"/>
        <w:adjustRightInd w:val="0"/>
        <w:spacing w:before="200" w:after="280" w:line="240" w:lineRule="auto"/>
        <w:ind w:right="936"/>
        <w:rPr>
          <w:rFonts w:asciiTheme="minorHAnsi" w:eastAsia="Times New Roman" w:hAnsiTheme="minorHAnsi" w:cs="Arial"/>
          <w:b/>
          <w:bCs/>
          <w:i/>
          <w:iCs/>
          <w:color w:val="0B5294" w:themeColor="accent1" w:themeShade="BF"/>
          <w:sz w:val="28"/>
          <w:szCs w:val="28"/>
        </w:rPr>
      </w:pPr>
      <w:r w:rsidRPr="00192BDC">
        <w:rPr>
          <w:rFonts w:asciiTheme="minorHAnsi" w:eastAsia="Times New Roman" w:hAnsiTheme="minorHAnsi" w:cs="Arial"/>
          <w:b/>
          <w:bCs/>
          <w:i/>
          <w:iCs/>
          <w:color w:val="0B5294" w:themeColor="accent1" w:themeShade="BF"/>
          <w:sz w:val="28"/>
          <w:szCs w:val="28"/>
        </w:rPr>
        <w:t>Collaborative Learning, Innovation and Quality Improvement</w:t>
      </w:r>
    </w:p>
    <w:p w14:paraId="77DAB816"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r w:rsidRPr="003C2840">
        <w:rPr>
          <w:rFonts w:asciiTheme="minorHAnsi" w:eastAsia="Times New Roman" w:hAnsiTheme="minorHAnsi"/>
          <w:sz w:val="24"/>
          <w:szCs w:val="20"/>
          <w:u w:val="single"/>
        </w:rPr>
        <w:t>Aim Statement</w:t>
      </w:r>
      <w:r w:rsidRPr="003C2840">
        <w:rPr>
          <w:rFonts w:asciiTheme="minorHAnsi" w:eastAsia="Times New Roman" w:hAnsiTheme="minorHAnsi"/>
          <w:sz w:val="24"/>
          <w:szCs w:val="20"/>
        </w:rPr>
        <w:t xml:space="preserve"> – A written measureable description of desired outcomes used in a quality improvement initiative.  A strong AIM statement outlines what is to be accomplished, quantifies the changes that are to be achieved and sets a date by which the goals will be reached.  </w:t>
      </w:r>
    </w:p>
    <w:p w14:paraId="1CD52180"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p>
    <w:p w14:paraId="3772E891"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r w:rsidRPr="003C2840">
        <w:rPr>
          <w:rFonts w:asciiTheme="minorHAnsi" w:eastAsia="Times New Roman" w:hAnsiTheme="minorHAnsi"/>
          <w:sz w:val="24"/>
          <w:szCs w:val="20"/>
          <w:u w:val="single"/>
        </w:rPr>
        <w:t>Blueprint for Change</w:t>
      </w:r>
      <w:r w:rsidRPr="003C2840">
        <w:rPr>
          <w:rFonts w:asciiTheme="minorHAnsi" w:eastAsia="Times New Roman" w:hAnsiTheme="minorHAnsi"/>
          <w:sz w:val="24"/>
          <w:szCs w:val="20"/>
        </w:rPr>
        <w:t xml:space="preserve"> – A tool to help define action steps for a team’s strategic priorities.</w:t>
      </w:r>
    </w:p>
    <w:p w14:paraId="4E50DDF0"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p>
    <w:p w14:paraId="0F5F232C"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r w:rsidRPr="003C2840">
        <w:rPr>
          <w:rFonts w:asciiTheme="minorHAnsi" w:eastAsia="Times New Roman" w:hAnsiTheme="minorHAnsi"/>
          <w:sz w:val="24"/>
          <w:szCs w:val="20"/>
          <w:u w:val="single"/>
        </w:rPr>
        <w:t>CoIIN versus COIN</w:t>
      </w:r>
      <w:r w:rsidR="00D96FC6" w:rsidRPr="003C2840">
        <w:rPr>
          <w:rFonts w:asciiTheme="minorHAnsi" w:eastAsia="Times New Roman" w:hAnsiTheme="minorHAnsi"/>
          <w:sz w:val="24"/>
          <w:szCs w:val="20"/>
        </w:rPr>
        <w:t xml:space="preserve"> – The Collaborative Impro</w:t>
      </w:r>
      <w:r w:rsidRPr="003C2840">
        <w:rPr>
          <w:rFonts w:asciiTheme="minorHAnsi" w:eastAsia="Times New Roman" w:hAnsiTheme="minorHAnsi"/>
          <w:sz w:val="24"/>
          <w:szCs w:val="20"/>
        </w:rPr>
        <w:t xml:space="preserve">vement and Innovation Network (CoIIN) initiative extends the Collaboration Innovation Network (COIN) model to include the concept of </w:t>
      </w:r>
      <w:r w:rsidRPr="003C2840">
        <w:rPr>
          <w:rFonts w:asciiTheme="minorHAnsi" w:eastAsia="Times New Roman" w:hAnsiTheme="minorHAnsi"/>
          <w:i/>
          <w:sz w:val="24"/>
          <w:szCs w:val="20"/>
        </w:rPr>
        <w:t>improvement</w:t>
      </w:r>
      <w:r w:rsidRPr="003C2840">
        <w:rPr>
          <w:rFonts w:asciiTheme="minorHAnsi" w:eastAsia="Times New Roman" w:hAnsiTheme="minorHAnsi"/>
          <w:sz w:val="24"/>
          <w:szCs w:val="20"/>
        </w:rPr>
        <w:t xml:space="preserve"> in recognition of the need to strengthen existing investments in maternal and infant health as well as to develop innovative, new approaches. </w:t>
      </w:r>
    </w:p>
    <w:p w14:paraId="4FD50070" w14:textId="112DAD27" w:rsidR="005C618C"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p>
    <w:p w14:paraId="20587CEC" w14:textId="77777777" w:rsidR="002C7718" w:rsidRPr="003C2840" w:rsidRDefault="002C7718" w:rsidP="005C618C">
      <w:pPr>
        <w:widowControl w:val="0"/>
        <w:autoSpaceDE w:val="0"/>
        <w:autoSpaceDN w:val="0"/>
        <w:adjustRightInd w:val="0"/>
        <w:spacing w:after="0" w:line="240" w:lineRule="auto"/>
        <w:rPr>
          <w:rFonts w:asciiTheme="minorHAnsi" w:eastAsia="Times New Roman" w:hAnsiTheme="minorHAnsi"/>
          <w:sz w:val="24"/>
          <w:szCs w:val="20"/>
        </w:rPr>
      </w:pPr>
    </w:p>
    <w:p w14:paraId="397E9E08" w14:textId="2461FF60" w:rsidR="005C618C" w:rsidRPr="003C2840"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r w:rsidRPr="003C2840">
        <w:rPr>
          <w:rFonts w:asciiTheme="minorHAnsi" w:eastAsia="Times New Roman" w:hAnsiTheme="minorHAnsi"/>
          <w:sz w:val="24"/>
          <w:szCs w:val="20"/>
          <w:u w:val="single"/>
        </w:rPr>
        <w:t>Collaborative Innovation Network (COIN)</w:t>
      </w:r>
      <w:r w:rsidRPr="003C2840">
        <w:rPr>
          <w:rFonts w:asciiTheme="minorHAnsi" w:eastAsia="Times New Roman" w:hAnsiTheme="minorHAnsi"/>
          <w:sz w:val="24"/>
          <w:szCs w:val="20"/>
        </w:rPr>
        <w:t xml:space="preserve"> – A cyberteam of self-motivated people with a collective vision, enabled by the Web to collaborate in achieving a common goal by sharing ideas, information and work.</w:t>
      </w:r>
      <w:r w:rsidRPr="003C2840">
        <w:rPr>
          <w:rFonts w:asciiTheme="minorHAnsi" w:eastAsia="Times New Roman" w:hAnsiTheme="minorHAnsi"/>
          <w:sz w:val="24"/>
          <w:szCs w:val="20"/>
          <w:vertAlign w:val="superscript"/>
        </w:rPr>
        <w:footnoteReference w:id="8"/>
      </w:r>
    </w:p>
    <w:p w14:paraId="49816E79"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p>
    <w:p w14:paraId="0578026F"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r w:rsidRPr="003C2840">
        <w:rPr>
          <w:rFonts w:asciiTheme="minorHAnsi" w:eastAsia="Times New Roman" w:hAnsiTheme="minorHAnsi"/>
          <w:sz w:val="24"/>
          <w:szCs w:val="20"/>
          <w:u w:val="single"/>
        </w:rPr>
        <w:t>Collaborative Learning</w:t>
      </w:r>
      <w:r w:rsidRPr="003C2840">
        <w:rPr>
          <w:rFonts w:asciiTheme="minorHAnsi" w:eastAsia="Times New Roman" w:hAnsiTheme="minorHAnsi"/>
          <w:sz w:val="24"/>
          <w:szCs w:val="20"/>
        </w:rPr>
        <w:t xml:space="preserve"> – Projects using this model enable learners of different abilities and interests to work jointly in small groups to complete a project or solve a problem.</w:t>
      </w:r>
    </w:p>
    <w:p w14:paraId="68021412"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p>
    <w:p w14:paraId="32C8D5C6"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r w:rsidRPr="003C2840">
        <w:rPr>
          <w:rFonts w:asciiTheme="minorHAnsi" w:eastAsia="Times New Roman" w:hAnsiTheme="minorHAnsi"/>
          <w:sz w:val="24"/>
          <w:szCs w:val="20"/>
          <w:u w:val="single"/>
        </w:rPr>
        <w:t>Collective Impact</w:t>
      </w:r>
      <w:r w:rsidRPr="003C2840">
        <w:rPr>
          <w:rFonts w:asciiTheme="minorHAnsi" w:eastAsia="Times New Roman" w:hAnsiTheme="minorHAnsi"/>
          <w:sz w:val="24"/>
          <w:szCs w:val="20"/>
        </w:rPr>
        <w:t xml:space="preserve"> – A concept that provides a framework for bringing diverse people and organizations together in a structured way to achieve social change.</w:t>
      </w:r>
      <w:r w:rsidRPr="003C2840">
        <w:rPr>
          <w:rFonts w:asciiTheme="minorHAnsi" w:eastAsia="Times New Roman" w:hAnsiTheme="minorHAnsi"/>
          <w:sz w:val="24"/>
          <w:szCs w:val="20"/>
          <w:vertAlign w:val="superscript"/>
        </w:rPr>
        <w:footnoteReference w:id="9"/>
      </w:r>
    </w:p>
    <w:p w14:paraId="5DBDE199"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p>
    <w:p w14:paraId="58848E29"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r w:rsidRPr="003C2840">
        <w:rPr>
          <w:rFonts w:asciiTheme="minorHAnsi" w:eastAsia="Times New Roman" w:hAnsiTheme="minorHAnsi"/>
          <w:sz w:val="24"/>
          <w:szCs w:val="20"/>
          <w:u w:val="single"/>
        </w:rPr>
        <w:t>Driver Diagram</w:t>
      </w:r>
      <w:r w:rsidRPr="003C2840">
        <w:rPr>
          <w:rFonts w:asciiTheme="minorHAnsi" w:eastAsia="Times New Roman" w:hAnsiTheme="minorHAnsi"/>
          <w:sz w:val="24"/>
          <w:szCs w:val="20"/>
        </w:rPr>
        <w:t xml:space="preserve"> – A logic chart that organizes the different aspects of an improvement project so key interventions and relationships between these interventions may be clearly understood by all involved. </w:t>
      </w:r>
    </w:p>
    <w:p w14:paraId="704EA417"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p>
    <w:p w14:paraId="13FA0776"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r w:rsidRPr="003C2840">
        <w:rPr>
          <w:rFonts w:asciiTheme="minorHAnsi" w:eastAsia="Times New Roman" w:hAnsiTheme="minorHAnsi"/>
          <w:sz w:val="24"/>
          <w:szCs w:val="20"/>
          <w:u w:val="single"/>
        </w:rPr>
        <w:t>Infant Mortality CoIIN Framework</w:t>
      </w:r>
      <w:r w:rsidRPr="003C2840">
        <w:rPr>
          <w:rFonts w:asciiTheme="minorHAnsi" w:eastAsia="Times New Roman" w:hAnsiTheme="minorHAnsi"/>
          <w:sz w:val="24"/>
          <w:szCs w:val="20"/>
        </w:rPr>
        <w:t xml:space="preserve"> – A framework that presents a theory of the relationships between (1) key domains of influence (e.g., engaged leadership or innovation), (2) the periods of engagement, and (3) the strategies priorities that will be employed to reduce infant mortality rates in the U.S.  </w:t>
      </w:r>
    </w:p>
    <w:p w14:paraId="79FCEC24"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p>
    <w:p w14:paraId="76FC1CB5"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r w:rsidRPr="003C2840">
        <w:rPr>
          <w:rFonts w:asciiTheme="minorHAnsi" w:eastAsia="Times New Roman" w:hAnsiTheme="minorHAnsi"/>
          <w:sz w:val="24"/>
          <w:szCs w:val="20"/>
          <w:u w:val="single"/>
        </w:rPr>
        <w:t>Learning Collaborative</w:t>
      </w:r>
      <w:r w:rsidRPr="003C2840">
        <w:rPr>
          <w:rFonts w:asciiTheme="minorHAnsi" w:eastAsia="Times New Roman" w:hAnsiTheme="minorHAnsi"/>
          <w:sz w:val="24"/>
          <w:szCs w:val="20"/>
        </w:rPr>
        <w:t xml:space="preserve"> – A group of individuals or organizations that come together for a defined period of time to work together to improve process relevant to a specific topic.  Members of a learning collaborative generally agree upon a shared set of data to measure and meet regularly to learn from each other and project experts.</w:t>
      </w:r>
    </w:p>
    <w:p w14:paraId="40E640DE"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p>
    <w:p w14:paraId="5C535AE4" w14:textId="77777777" w:rsidR="005C618C" w:rsidRPr="003C2840" w:rsidRDefault="005C618C" w:rsidP="003C2840">
      <w:pPr>
        <w:widowControl w:val="0"/>
        <w:autoSpaceDE w:val="0"/>
        <w:autoSpaceDN w:val="0"/>
        <w:adjustRightInd w:val="0"/>
        <w:spacing w:after="0" w:line="240" w:lineRule="auto"/>
        <w:rPr>
          <w:rFonts w:asciiTheme="minorHAnsi" w:eastAsia="Times New Roman" w:hAnsiTheme="minorHAnsi"/>
          <w:sz w:val="24"/>
          <w:szCs w:val="20"/>
        </w:rPr>
      </w:pPr>
      <w:r w:rsidRPr="003C2840">
        <w:rPr>
          <w:rFonts w:asciiTheme="minorHAnsi" w:eastAsia="Times New Roman" w:hAnsiTheme="minorHAnsi"/>
          <w:sz w:val="24"/>
          <w:szCs w:val="20"/>
          <w:u w:val="single"/>
        </w:rPr>
        <w:t>Learning Sessions</w:t>
      </w:r>
      <w:r w:rsidRPr="003C2840">
        <w:rPr>
          <w:rFonts w:asciiTheme="minorHAnsi" w:eastAsia="Times New Roman" w:hAnsiTheme="minorHAnsi"/>
          <w:sz w:val="24"/>
          <w:szCs w:val="20"/>
        </w:rPr>
        <w:t xml:space="preserve"> – Members of learning collaboratives generally agree to a regular schedule of multi-day meetings throughout the collaborative.  These meetings may be in person or virtual.  The learning sessions allow Collaborative faculty and partners to share latest research or important information on the topic of the collaborative, and they allow participants to share their work and to learn from each other.  </w:t>
      </w:r>
    </w:p>
    <w:p w14:paraId="04D2B94B" w14:textId="77777777" w:rsidR="00112085" w:rsidRPr="003C2840" w:rsidRDefault="00112085" w:rsidP="003C2840">
      <w:pPr>
        <w:widowControl w:val="0"/>
        <w:autoSpaceDE w:val="0"/>
        <w:autoSpaceDN w:val="0"/>
        <w:adjustRightInd w:val="0"/>
        <w:spacing w:after="0" w:line="240" w:lineRule="auto"/>
        <w:rPr>
          <w:rFonts w:asciiTheme="minorHAnsi" w:eastAsia="Times New Roman" w:hAnsiTheme="minorHAnsi"/>
          <w:sz w:val="24"/>
          <w:szCs w:val="20"/>
        </w:rPr>
      </w:pPr>
    </w:p>
    <w:p w14:paraId="231B2B45" w14:textId="77777777" w:rsidR="005C618C" w:rsidRPr="003C2840" w:rsidRDefault="005C618C" w:rsidP="003C2840">
      <w:pPr>
        <w:widowControl w:val="0"/>
        <w:autoSpaceDE w:val="0"/>
        <w:autoSpaceDN w:val="0"/>
        <w:adjustRightInd w:val="0"/>
        <w:spacing w:after="0" w:line="240" w:lineRule="auto"/>
        <w:rPr>
          <w:rFonts w:asciiTheme="minorHAnsi" w:eastAsia="Times New Roman" w:hAnsiTheme="minorHAnsi"/>
          <w:sz w:val="24"/>
          <w:szCs w:val="20"/>
        </w:rPr>
      </w:pPr>
      <w:r w:rsidRPr="003C2840">
        <w:rPr>
          <w:rFonts w:asciiTheme="minorHAnsi" w:eastAsia="Times New Roman" w:hAnsiTheme="minorHAnsi"/>
          <w:sz w:val="24"/>
          <w:szCs w:val="20"/>
          <w:u w:val="single"/>
        </w:rPr>
        <w:t>Perinatal Periods of Risk (PPOR</w:t>
      </w:r>
      <w:r w:rsidRPr="003C2840">
        <w:rPr>
          <w:rFonts w:asciiTheme="minorHAnsi" w:eastAsia="Times New Roman" w:hAnsiTheme="minorHAnsi"/>
          <w:sz w:val="24"/>
          <w:szCs w:val="20"/>
        </w:rPr>
        <w:t>) – Both a community approach and an analytic framework for investigating and addressing high infant mortality rates in urban settings.  The overall intent of the PPOR approach is to develop a simple method that can be used by communities to mobilize and prioritize prevention efforts.  PPOR brings community stakeholders together to build consensus, support and partnership around infant mortality rates.</w:t>
      </w:r>
      <w:r w:rsidRPr="003C2840">
        <w:rPr>
          <w:rFonts w:asciiTheme="minorHAnsi" w:eastAsia="Times New Roman" w:hAnsiTheme="minorHAnsi"/>
          <w:sz w:val="24"/>
          <w:szCs w:val="20"/>
          <w:vertAlign w:val="superscript"/>
        </w:rPr>
        <w:footnoteReference w:id="10"/>
      </w:r>
      <w:r w:rsidRPr="003C2840">
        <w:rPr>
          <w:rFonts w:asciiTheme="minorHAnsi" w:eastAsia="Times New Roman" w:hAnsiTheme="minorHAnsi"/>
          <w:sz w:val="24"/>
          <w:szCs w:val="20"/>
        </w:rPr>
        <w:t xml:space="preserve">   </w:t>
      </w:r>
    </w:p>
    <w:p w14:paraId="6457B24F" w14:textId="77777777" w:rsidR="005C618C" w:rsidRPr="003C2840" w:rsidRDefault="005C618C" w:rsidP="003C2840">
      <w:pPr>
        <w:widowControl w:val="0"/>
        <w:autoSpaceDE w:val="0"/>
        <w:autoSpaceDN w:val="0"/>
        <w:adjustRightInd w:val="0"/>
        <w:spacing w:after="0" w:line="240" w:lineRule="auto"/>
        <w:rPr>
          <w:rFonts w:asciiTheme="minorHAnsi" w:eastAsia="Times New Roman" w:hAnsiTheme="minorHAnsi"/>
          <w:sz w:val="24"/>
          <w:szCs w:val="20"/>
        </w:rPr>
      </w:pPr>
    </w:p>
    <w:p w14:paraId="01F0CAD3" w14:textId="77777777" w:rsidR="002C7718"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r w:rsidRPr="003C2840">
        <w:rPr>
          <w:rFonts w:asciiTheme="minorHAnsi" w:eastAsia="Times New Roman" w:hAnsiTheme="minorHAnsi"/>
          <w:sz w:val="24"/>
          <w:szCs w:val="20"/>
          <w:u w:val="single"/>
        </w:rPr>
        <w:t>Primary Drivers</w:t>
      </w:r>
      <w:r w:rsidRPr="003C2840">
        <w:rPr>
          <w:rFonts w:asciiTheme="minorHAnsi" w:eastAsia="Times New Roman" w:hAnsiTheme="minorHAnsi"/>
          <w:sz w:val="24"/>
          <w:szCs w:val="20"/>
        </w:rPr>
        <w:t xml:space="preserve"> – Found in the CoIIN framework and driver diagrams, drivers are system components, factors or broad improvement areas that contribute directly to achieving the stated outcome.  For example, if the outcome is reducing infant mortality, a strategic </w:t>
      </w:r>
    </w:p>
    <w:p w14:paraId="5796DC21" w14:textId="77777777" w:rsidR="002C7718" w:rsidRDefault="002C7718" w:rsidP="005C618C">
      <w:pPr>
        <w:widowControl w:val="0"/>
        <w:autoSpaceDE w:val="0"/>
        <w:autoSpaceDN w:val="0"/>
        <w:adjustRightInd w:val="0"/>
        <w:spacing w:after="0" w:line="240" w:lineRule="auto"/>
        <w:rPr>
          <w:rFonts w:asciiTheme="minorHAnsi" w:eastAsia="Times New Roman" w:hAnsiTheme="minorHAnsi"/>
          <w:sz w:val="24"/>
          <w:szCs w:val="20"/>
        </w:rPr>
      </w:pPr>
    </w:p>
    <w:p w14:paraId="13605C0A" w14:textId="47097519" w:rsidR="005C618C" w:rsidRPr="003C2840"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r w:rsidRPr="003C2840">
        <w:rPr>
          <w:rFonts w:asciiTheme="minorHAnsi" w:eastAsia="Times New Roman" w:hAnsiTheme="minorHAnsi"/>
          <w:sz w:val="24"/>
          <w:szCs w:val="20"/>
        </w:rPr>
        <w:t>priority/primary driver might be to improve access to and qualit</w:t>
      </w:r>
      <w:r w:rsidR="002C7718">
        <w:rPr>
          <w:rFonts w:asciiTheme="minorHAnsi" w:eastAsia="Times New Roman" w:hAnsiTheme="minorHAnsi"/>
          <w:sz w:val="24"/>
          <w:szCs w:val="20"/>
        </w:rPr>
        <w:t>y of prenatal care for women. (See Strategic Priorities.)</w:t>
      </w:r>
      <w:r w:rsidRPr="003C2840">
        <w:rPr>
          <w:rFonts w:asciiTheme="minorHAnsi" w:eastAsia="Times New Roman" w:hAnsiTheme="minorHAnsi"/>
          <w:sz w:val="24"/>
          <w:szCs w:val="20"/>
        </w:rPr>
        <w:t xml:space="preserve"> </w:t>
      </w:r>
    </w:p>
    <w:p w14:paraId="72B7AF37"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p>
    <w:p w14:paraId="0BC9CB0B"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r w:rsidRPr="003C2840">
        <w:rPr>
          <w:rFonts w:asciiTheme="minorHAnsi" w:eastAsia="Times New Roman" w:hAnsiTheme="minorHAnsi"/>
          <w:sz w:val="24"/>
          <w:szCs w:val="20"/>
          <w:u w:val="single"/>
        </w:rPr>
        <w:t>Potential Action/Change Concept</w:t>
      </w:r>
      <w:r w:rsidRPr="003C2840">
        <w:rPr>
          <w:rFonts w:asciiTheme="minorHAnsi" w:eastAsia="Times New Roman" w:hAnsiTheme="minorHAnsi"/>
          <w:sz w:val="24"/>
          <w:szCs w:val="20"/>
        </w:rPr>
        <w:t xml:space="preserve"> – Actionable steps for change targeted at improving specific processes, often originating from brainstorming sessions with the team and evidence-based best practices.  </w:t>
      </w:r>
    </w:p>
    <w:p w14:paraId="577F146D"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p>
    <w:p w14:paraId="413F729D" w14:textId="23B457E4" w:rsidR="005C618C" w:rsidRPr="003C2840" w:rsidRDefault="005C618C" w:rsidP="005B2C70">
      <w:pPr>
        <w:autoSpaceDE w:val="0"/>
        <w:autoSpaceDN w:val="0"/>
        <w:adjustRightInd w:val="0"/>
        <w:spacing w:after="0" w:line="240" w:lineRule="auto"/>
        <w:rPr>
          <w:rFonts w:asciiTheme="minorHAnsi" w:eastAsia="Times New Roman" w:hAnsiTheme="minorHAnsi"/>
          <w:sz w:val="24"/>
          <w:szCs w:val="20"/>
        </w:rPr>
      </w:pPr>
      <w:r w:rsidRPr="003C2840">
        <w:rPr>
          <w:rFonts w:asciiTheme="minorHAnsi" w:eastAsia="Times New Roman" w:hAnsiTheme="minorHAnsi"/>
          <w:sz w:val="24"/>
          <w:szCs w:val="20"/>
          <w:u w:val="single"/>
        </w:rPr>
        <w:t>Quality Improvement in Public Health</w:t>
      </w:r>
      <w:r w:rsidRPr="003C2840">
        <w:rPr>
          <w:rFonts w:asciiTheme="minorHAnsi" w:eastAsia="Times New Roman" w:hAnsiTheme="minorHAnsi"/>
          <w:sz w:val="24"/>
          <w:szCs w:val="20"/>
        </w:rPr>
        <w:t xml:space="preserve"> – The use of a deliberate and defined improvement process, which is focused on activities that are responsive to community needs and improving population health.  This effort is continuous and ongoing to achieve measureable improvements in the efficiency, effectiveness, performance, accountability, outcomes and other indicators of quality in services or processes, which achieve equity and improve the health of the community.</w:t>
      </w:r>
    </w:p>
    <w:p w14:paraId="3A1CC2C8" w14:textId="77777777" w:rsidR="005C618C" w:rsidRPr="003C2840"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p>
    <w:p w14:paraId="7C695303" w14:textId="0D7973C2" w:rsidR="005C618C"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r w:rsidRPr="003C2840">
        <w:rPr>
          <w:rFonts w:asciiTheme="minorHAnsi" w:eastAsia="Times New Roman" w:hAnsiTheme="minorHAnsi"/>
          <w:sz w:val="24"/>
          <w:szCs w:val="20"/>
          <w:u w:val="single"/>
        </w:rPr>
        <w:t>Strategic Priorities</w:t>
      </w:r>
      <w:r w:rsidRPr="003C2840">
        <w:rPr>
          <w:rFonts w:asciiTheme="minorHAnsi" w:eastAsia="Times New Roman" w:hAnsiTheme="minorHAnsi"/>
          <w:sz w:val="24"/>
          <w:szCs w:val="20"/>
        </w:rPr>
        <w:t xml:space="preserve"> – Found in the CoIIN framework and driver diagrams, these priorities are system components, factors or broad improvement areas that contribute directly to achieving the stated outcome.  </w:t>
      </w:r>
      <w:r w:rsidRPr="00DB756B">
        <w:rPr>
          <w:rFonts w:asciiTheme="minorHAnsi" w:eastAsia="Times New Roman" w:hAnsiTheme="minorHAnsi"/>
          <w:sz w:val="24"/>
          <w:szCs w:val="20"/>
        </w:rPr>
        <w:t xml:space="preserve">For example, if the outcome is reducing infant mortality, a strategic priority/primary driver might be to improve access to and quality of prenatal care for women.  </w:t>
      </w:r>
    </w:p>
    <w:p w14:paraId="075A8982" w14:textId="77777777" w:rsidR="00DB756B" w:rsidRPr="00DB756B" w:rsidRDefault="00DB756B" w:rsidP="005C618C">
      <w:pPr>
        <w:widowControl w:val="0"/>
        <w:autoSpaceDE w:val="0"/>
        <w:autoSpaceDN w:val="0"/>
        <w:adjustRightInd w:val="0"/>
        <w:spacing w:after="0" w:line="240" w:lineRule="auto"/>
        <w:rPr>
          <w:rFonts w:asciiTheme="minorHAnsi" w:eastAsia="Times New Roman" w:hAnsiTheme="minorHAnsi"/>
          <w:sz w:val="24"/>
          <w:szCs w:val="20"/>
        </w:rPr>
      </w:pPr>
    </w:p>
    <w:p w14:paraId="49AA5C27" w14:textId="4A8057AA" w:rsidR="005C618C" w:rsidRPr="00192BDC" w:rsidRDefault="004D449A" w:rsidP="005C618C">
      <w:pPr>
        <w:widowControl w:val="0"/>
        <w:pBdr>
          <w:bottom w:val="single" w:sz="4" w:space="4" w:color="0F6FC6" w:themeColor="accent1"/>
        </w:pBdr>
        <w:autoSpaceDE w:val="0"/>
        <w:autoSpaceDN w:val="0"/>
        <w:adjustRightInd w:val="0"/>
        <w:spacing w:before="200" w:after="280" w:line="240" w:lineRule="auto"/>
        <w:ind w:right="936"/>
        <w:rPr>
          <w:rFonts w:asciiTheme="minorHAnsi" w:eastAsia="Times New Roman" w:hAnsiTheme="minorHAnsi" w:cs="Arial"/>
          <w:b/>
          <w:bCs/>
          <w:i/>
          <w:iCs/>
          <w:color w:val="0B5294" w:themeColor="accent1" w:themeShade="BF"/>
          <w:sz w:val="28"/>
          <w:szCs w:val="28"/>
        </w:rPr>
      </w:pPr>
      <w:r w:rsidRPr="00192BDC">
        <w:rPr>
          <w:rFonts w:asciiTheme="minorHAnsi" w:eastAsia="Times New Roman" w:hAnsiTheme="minorHAnsi" w:cs="Arial"/>
          <w:b/>
          <w:bCs/>
          <w:i/>
          <w:iCs/>
          <w:color w:val="0B5294" w:themeColor="accent1" w:themeShade="BF"/>
          <w:sz w:val="28"/>
          <w:szCs w:val="28"/>
        </w:rPr>
        <w:t>Family Partnership</w:t>
      </w:r>
    </w:p>
    <w:p w14:paraId="279E13AB" w14:textId="77777777" w:rsidR="005C618C" w:rsidRPr="00A940D2" w:rsidRDefault="005C618C" w:rsidP="00AC247C">
      <w:pPr>
        <w:widowControl w:val="0"/>
        <w:autoSpaceDE w:val="0"/>
        <w:autoSpaceDN w:val="0"/>
        <w:adjustRightInd w:val="0"/>
        <w:spacing w:after="0" w:line="240" w:lineRule="auto"/>
        <w:rPr>
          <w:rFonts w:eastAsia="Times New Roman"/>
          <w:bCs/>
          <w:sz w:val="24"/>
          <w:szCs w:val="20"/>
        </w:rPr>
      </w:pPr>
      <w:r w:rsidRPr="00A940D2">
        <w:rPr>
          <w:rFonts w:eastAsia="Times New Roman"/>
          <w:sz w:val="24"/>
          <w:szCs w:val="20"/>
          <w:u w:val="single"/>
        </w:rPr>
        <w:t>Cultural Competence</w:t>
      </w:r>
      <w:r w:rsidRPr="00A940D2">
        <w:rPr>
          <w:rFonts w:eastAsia="Times New Roman"/>
          <w:sz w:val="24"/>
          <w:szCs w:val="20"/>
        </w:rPr>
        <w:t xml:space="preserve"> – </w:t>
      </w:r>
      <w:r w:rsidR="009028D5" w:rsidRPr="00A940D2">
        <w:rPr>
          <w:rFonts w:eastAsia="Times New Roman"/>
          <w:sz w:val="24"/>
          <w:szCs w:val="20"/>
        </w:rPr>
        <w:t>A</w:t>
      </w:r>
      <w:r w:rsidRPr="00A940D2">
        <w:rPr>
          <w:rFonts w:eastAsia="Times New Roman"/>
          <w:sz w:val="24"/>
          <w:szCs w:val="20"/>
        </w:rPr>
        <w:t xml:space="preserve"> </w:t>
      </w:r>
      <w:r w:rsidRPr="00A940D2">
        <w:rPr>
          <w:rFonts w:eastAsia="Times New Roman"/>
          <w:bCs/>
          <w:sz w:val="24"/>
          <w:szCs w:val="20"/>
        </w:rPr>
        <w:t>set of values, behaviors, attitudes, and practices within a system, organization, program or among individuals and which enables them to work effectively cross culturally.  Further, cultural competence refers to the ability to honor and respect the beliefs, language, inter-personal styles and behaviors of individuals and families receiv</w:t>
      </w:r>
      <w:r w:rsidRPr="00A940D2">
        <w:rPr>
          <w:rFonts w:eastAsia="Times New Roman"/>
          <w:bCs/>
          <w:sz w:val="24"/>
          <w:szCs w:val="20"/>
        </w:rPr>
        <w:softHyphen/>
        <w:t>ing services, as well as staff who are providing such services</w:t>
      </w:r>
      <w:r w:rsidR="00AC247C" w:rsidRPr="00A940D2">
        <w:rPr>
          <w:rFonts w:eastAsia="Times New Roman"/>
          <w:bCs/>
          <w:sz w:val="24"/>
          <w:szCs w:val="20"/>
        </w:rPr>
        <w:t>.</w:t>
      </w:r>
    </w:p>
    <w:p w14:paraId="7665563E" w14:textId="77777777" w:rsidR="005C618C" w:rsidRPr="00A940D2" w:rsidRDefault="005C618C" w:rsidP="005C618C">
      <w:pPr>
        <w:widowControl w:val="0"/>
        <w:autoSpaceDE w:val="0"/>
        <w:autoSpaceDN w:val="0"/>
        <w:adjustRightInd w:val="0"/>
        <w:spacing w:after="0" w:line="240" w:lineRule="auto"/>
        <w:rPr>
          <w:rFonts w:eastAsia="Times New Roman"/>
          <w:sz w:val="24"/>
          <w:szCs w:val="20"/>
        </w:rPr>
      </w:pPr>
    </w:p>
    <w:p w14:paraId="28AA8189" w14:textId="77777777" w:rsidR="005C618C" w:rsidRPr="00A940D2" w:rsidRDefault="005C618C" w:rsidP="005C618C">
      <w:pPr>
        <w:widowControl w:val="0"/>
        <w:autoSpaceDE w:val="0"/>
        <w:autoSpaceDN w:val="0"/>
        <w:adjustRightInd w:val="0"/>
        <w:spacing w:after="0" w:line="240" w:lineRule="auto"/>
        <w:rPr>
          <w:rFonts w:eastAsia="Times New Roman"/>
          <w:sz w:val="24"/>
          <w:szCs w:val="20"/>
        </w:rPr>
      </w:pPr>
      <w:r w:rsidRPr="00A940D2">
        <w:rPr>
          <w:rFonts w:eastAsia="Times New Roman"/>
          <w:sz w:val="24"/>
          <w:szCs w:val="20"/>
          <w:u w:val="single"/>
        </w:rPr>
        <w:t>Culturally Sensitive</w:t>
      </w:r>
      <w:r w:rsidR="009028D5" w:rsidRPr="00A940D2">
        <w:rPr>
          <w:rFonts w:eastAsia="Times New Roman"/>
          <w:sz w:val="24"/>
          <w:szCs w:val="20"/>
        </w:rPr>
        <w:t xml:space="preserve"> – T</w:t>
      </w:r>
      <w:r w:rsidRPr="00A940D2">
        <w:rPr>
          <w:rFonts w:eastAsia="Times New Roman"/>
          <w:sz w:val="24"/>
          <w:szCs w:val="20"/>
        </w:rPr>
        <w:t>he recognition and understanding that different cultures may have different concepts and practices with regard to health care; the respect of those differences and the development of approaches to health care with those differences in mind.</w:t>
      </w:r>
    </w:p>
    <w:p w14:paraId="77498DA8" w14:textId="77777777" w:rsidR="005C618C" w:rsidRPr="00A940D2" w:rsidRDefault="005C618C" w:rsidP="005C618C">
      <w:pPr>
        <w:widowControl w:val="0"/>
        <w:autoSpaceDE w:val="0"/>
        <w:autoSpaceDN w:val="0"/>
        <w:adjustRightInd w:val="0"/>
        <w:spacing w:after="0" w:line="240" w:lineRule="auto"/>
        <w:rPr>
          <w:rFonts w:eastAsia="Times New Roman"/>
          <w:b/>
          <w:color w:val="0B5294" w:themeColor="accent1" w:themeShade="BF"/>
          <w:sz w:val="24"/>
          <w:szCs w:val="20"/>
        </w:rPr>
      </w:pPr>
    </w:p>
    <w:p w14:paraId="5BCC5167" w14:textId="1503F5AA" w:rsidR="005C618C" w:rsidRDefault="005C618C" w:rsidP="003E1347">
      <w:pPr>
        <w:widowControl w:val="0"/>
        <w:autoSpaceDE w:val="0"/>
        <w:autoSpaceDN w:val="0"/>
        <w:adjustRightInd w:val="0"/>
        <w:spacing w:after="0" w:line="240" w:lineRule="auto"/>
        <w:rPr>
          <w:rStyle w:val="Hyperlink"/>
          <w:rFonts w:eastAsia="Times New Roman"/>
          <w:sz w:val="24"/>
          <w:szCs w:val="20"/>
        </w:rPr>
      </w:pPr>
      <w:r w:rsidRPr="006254C7">
        <w:rPr>
          <w:rFonts w:eastAsia="Times New Roman"/>
          <w:sz w:val="24"/>
          <w:szCs w:val="20"/>
          <w:u w:val="single"/>
        </w:rPr>
        <w:t>Family</w:t>
      </w:r>
      <w:r w:rsidR="009D4973">
        <w:rPr>
          <w:rFonts w:eastAsia="Times New Roman"/>
          <w:sz w:val="24"/>
          <w:szCs w:val="20"/>
          <w:u w:val="single"/>
        </w:rPr>
        <w:t xml:space="preserve"> </w:t>
      </w:r>
      <w:r w:rsidRPr="006254C7">
        <w:rPr>
          <w:rFonts w:eastAsia="Times New Roman"/>
          <w:sz w:val="24"/>
          <w:szCs w:val="20"/>
          <w:u w:val="single"/>
        </w:rPr>
        <w:t>Partnership</w:t>
      </w:r>
      <w:r w:rsidRPr="006254C7">
        <w:rPr>
          <w:rFonts w:eastAsia="Times New Roman"/>
          <w:sz w:val="24"/>
          <w:szCs w:val="20"/>
        </w:rPr>
        <w:t xml:space="preserve"> –</w:t>
      </w:r>
      <w:r w:rsidR="00F831BA" w:rsidRPr="006254C7">
        <w:rPr>
          <w:rFonts w:eastAsia="Times New Roman"/>
          <w:sz w:val="24"/>
          <w:szCs w:val="20"/>
        </w:rPr>
        <w:t xml:space="preserve"> </w:t>
      </w:r>
      <w:r w:rsidR="006254C7" w:rsidRPr="006254C7">
        <w:rPr>
          <w:rFonts w:eastAsia="Times New Roman"/>
          <w:sz w:val="24"/>
          <w:szCs w:val="20"/>
        </w:rPr>
        <w:t>For purposes of the MCH Block Grant</w:t>
      </w:r>
      <w:r w:rsidR="00D00BCC">
        <w:rPr>
          <w:rFonts w:eastAsia="Times New Roman"/>
          <w:sz w:val="24"/>
          <w:szCs w:val="20"/>
        </w:rPr>
        <w:t xml:space="preserve">, </w:t>
      </w:r>
      <w:r w:rsidR="006254C7" w:rsidRPr="006254C7">
        <w:rPr>
          <w:rFonts w:eastAsia="Times New Roman"/>
          <w:sz w:val="24"/>
          <w:szCs w:val="20"/>
        </w:rPr>
        <w:t>family partnership is defined as patients, families, their representatives, and health professionals working in active partnership at various levels across the health care system—direct care, organizational design and governance, and policy making—to improve health and health care. This partnership is accomplished through the intentional practice of working with families for the ultimate goal of positive outcomes in all areas through the life course.</w:t>
      </w:r>
      <w:r w:rsidR="003E1347" w:rsidRPr="006254C7">
        <w:rPr>
          <w:rFonts w:eastAsia="Times New Roman"/>
          <w:sz w:val="24"/>
          <w:szCs w:val="20"/>
          <w:vertAlign w:val="superscript"/>
        </w:rPr>
        <w:footnoteReference w:id="11"/>
      </w:r>
      <w:r w:rsidR="003E1347" w:rsidRPr="006254C7">
        <w:rPr>
          <w:rFonts w:eastAsia="Times New Roman"/>
          <w:sz w:val="24"/>
          <w:szCs w:val="20"/>
        </w:rPr>
        <w:t xml:space="preserve"> </w:t>
      </w:r>
      <w:r w:rsidR="00232622" w:rsidRPr="006254C7">
        <w:rPr>
          <w:rFonts w:eastAsia="Times New Roman"/>
          <w:sz w:val="24"/>
          <w:szCs w:val="20"/>
        </w:rPr>
        <w:t xml:space="preserve"> </w:t>
      </w:r>
      <w:r w:rsidR="003E1347" w:rsidRPr="006254C7">
        <w:rPr>
          <w:rFonts w:eastAsia="Times New Roman"/>
          <w:sz w:val="24"/>
          <w:szCs w:val="20"/>
        </w:rPr>
        <w:t>Additional references include</w:t>
      </w:r>
      <w:r w:rsidR="00A86406" w:rsidRPr="006254C7">
        <w:rPr>
          <w:rFonts w:eastAsia="Times New Roman"/>
          <w:sz w:val="24"/>
          <w:szCs w:val="20"/>
        </w:rPr>
        <w:t xml:space="preserve">, but are not limited to, </w:t>
      </w:r>
      <w:r w:rsidR="003E1347" w:rsidRPr="006254C7">
        <w:rPr>
          <w:rFonts w:eastAsia="Times New Roman"/>
          <w:sz w:val="24"/>
          <w:szCs w:val="20"/>
        </w:rPr>
        <w:t xml:space="preserve">several comprehensive reports written by the Association of Maternal and Child Health Programs (AMCHP) </w:t>
      </w:r>
      <w:r w:rsidR="00232622" w:rsidRPr="006254C7">
        <w:rPr>
          <w:rFonts w:eastAsia="Times New Roman"/>
          <w:sz w:val="24"/>
          <w:szCs w:val="20"/>
        </w:rPr>
        <w:t xml:space="preserve">that describe </w:t>
      </w:r>
      <w:r w:rsidR="003E1347" w:rsidRPr="006254C7">
        <w:rPr>
          <w:rFonts w:eastAsia="Times New Roman"/>
          <w:sz w:val="24"/>
          <w:szCs w:val="20"/>
        </w:rPr>
        <w:t>family engagement eff</w:t>
      </w:r>
      <w:r w:rsidR="00F831BA" w:rsidRPr="006254C7">
        <w:rPr>
          <w:rFonts w:eastAsia="Times New Roman"/>
          <w:sz w:val="24"/>
          <w:szCs w:val="20"/>
        </w:rPr>
        <w:t>orts i</w:t>
      </w:r>
      <w:r w:rsidR="0014435A" w:rsidRPr="006254C7">
        <w:rPr>
          <w:rFonts w:eastAsia="Times New Roman"/>
          <w:sz w:val="24"/>
          <w:szCs w:val="20"/>
        </w:rPr>
        <w:t>n S</w:t>
      </w:r>
      <w:r w:rsidR="00F831BA" w:rsidRPr="006254C7">
        <w:rPr>
          <w:rFonts w:eastAsia="Times New Roman"/>
          <w:sz w:val="24"/>
          <w:szCs w:val="20"/>
        </w:rPr>
        <w:t>tate Title V programs</w:t>
      </w:r>
      <w:r w:rsidR="00232622" w:rsidRPr="006254C7">
        <w:rPr>
          <w:rFonts w:eastAsia="Times New Roman"/>
          <w:sz w:val="24"/>
          <w:szCs w:val="20"/>
        </w:rPr>
        <w:t>.  These references are available at:</w:t>
      </w:r>
      <w:r w:rsidR="00F831BA" w:rsidRPr="006254C7">
        <w:rPr>
          <w:rFonts w:eastAsia="Times New Roman"/>
          <w:sz w:val="24"/>
          <w:szCs w:val="20"/>
        </w:rPr>
        <w:t xml:space="preserve"> </w:t>
      </w:r>
      <w:hyperlink r:id="rId151" w:history="1">
        <w:r w:rsidR="00F831BA" w:rsidRPr="006254C7">
          <w:rPr>
            <w:rStyle w:val="Hyperlink"/>
            <w:rFonts w:eastAsia="Times New Roman"/>
            <w:sz w:val="24"/>
            <w:szCs w:val="20"/>
          </w:rPr>
          <w:t>http://www.amchp.org/programsandtopics/family-engagement/Pages/default.aspx</w:t>
        </w:r>
      </w:hyperlink>
      <w:r w:rsidR="007838DA" w:rsidRPr="006254C7">
        <w:rPr>
          <w:rStyle w:val="Hyperlink"/>
          <w:rFonts w:eastAsia="Times New Roman"/>
          <w:sz w:val="24"/>
          <w:szCs w:val="20"/>
        </w:rPr>
        <w:t>.</w:t>
      </w:r>
    </w:p>
    <w:p w14:paraId="6B6EA15C" w14:textId="77777777" w:rsidR="007838DA" w:rsidRPr="00A940D2" w:rsidRDefault="007838DA" w:rsidP="003E1347">
      <w:pPr>
        <w:widowControl w:val="0"/>
        <w:autoSpaceDE w:val="0"/>
        <w:autoSpaceDN w:val="0"/>
        <w:adjustRightInd w:val="0"/>
        <w:spacing w:after="0" w:line="240" w:lineRule="auto"/>
        <w:rPr>
          <w:rFonts w:eastAsia="Times New Roman"/>
          <w:sz w:val="24"/>
          <w:szCs w:val="20"/>
        </w:rPr>
      </w:pPr>
    </w:p>
    <w:p w14:paraId="164DF7F6" w14:textId="77777777" w:rsidR="00DB641A" w:rsidRPr="00A940D2" w:rsidRDefault="003E1347" w:rsidP="00514E41">
      <w:pPr>
        <w:widowControl w:val="0"/>
        <w:pBdr>
          <w:bottom w:val="single" w:sz="4" w:space="4" w:color="0F6FC6" w:themeColor="accent1"/>
        </w:pBdr>
        <w:autoSpaceDE w:val="0"/>
        <w:autoSpaceDN w:val="0"/>
        <w:adjustRightInd w:val="0"/>
        <w:spacing w:after="0" w:line="240" w:lineRule="auto"/>
        <w:ind w:right="936"/>
        <w:rPr>
          <w:rFonts w:eastAsia="Times New Roman" w:cs="Arial"/>
          <w:bCs/>
          <w:iCs/>
          <w:sz w:val="24"/>
          <w:szCs w:val="24"/>
        </w:rPr>
      </w:pPr>
      <w:r w:rsidRPr="00A940D2">
        <w:rPr>
          <w:rFonts w:eastAsia="Times New Roman" w:cs="Arial"/>
          <w:bCs/>
          <w:iCs/>
          <w:sz w:val="24"/>
          <w:szCs w:val="24"/>
          <w:u w:val="single"/>
        </w:rPr>
        <w:t>Patient- and Family-Centered Care</w:t>
      </w:r>
      <w:r w:rsidRPr="00A940D2">
        <w:rPr>
          <w:rFonts w:eastAsia="Times New Roman" w:cs="Arial"/>
          <w:bCs/>
          <w:iCs/>
          <w:sz w:val="24"/>
          <w:szCs w:val="24"/>
        </w:rPr>
        <w:t xml:space="preserve"> – “An approach to the planning, delivery, and evaluation of health care that is grounded in a mutually beneficial partnership among patients, families, and providers that recognizes the importance of the family in the patient’s life.”</w:t>
      </w:r>
      <w:r w:rsidRPr="00A940D2">
        <w:rPr>
          <w:rFonts w:eastAsia="Times New Roman" w:cs="Arial"/>
          <w:bCs/>
          <w:iCs/>
          <w:sz w:val="24"/>
          <w:szCs w:val="24"/>
          <w:vertAlign w:val="superscript"/>
        </w:rPr>
        <w:footnoteReference w:id="12"/>
      </w:r>
      <w:r w:rsidRPr="00A940D2">
        <w:rPr>
          <w:rFonts w:eastAsia="Times New Roman" w:cs="Arial"/>
          <w:bCs/>
          <w:iCs/>
          <w:sz w:val="24"/>
          <w:szCs w:val="24"/>
        </w:rPr>
        <w:t xml:space="preserve">  “This approach recognizes that the perspectives and information provided by families, children, and young adults are essential components of high-quality clinical decision-making, and that patients and family are integral partners with the health care team.”</w:t>
      </w:r>
      <w:r w:rsidRPr="00A940D2">
        <w:rPr>
          <w:rFonts w:eastAsia="Times New Roman" w:cs="Arial"/>
          <w:bCs/>
          <w:iCs/>
          <w:sz w:val="24"/>
          <w:szCs w:val="24"/>
          <w:vertAlign w:val="superscript"/>
        </w:rPr>
        <w:footnoteReference w:id="13"/>
      </w:r>
      <w:r w:rsidRPr="00A940D2">
        <w:rPr>
          <w:rFonts w:eastAsia="Times New Roman" w:cs="Arial"/>
          <w:bCs/>
          <w:iCs/>
          <w:sz w:val="24"/>
          <w:szCs w:val="24"/>
        </w:rPr>
        <w:t xml:space="preserve"> </w:t>
      </w:r>
    </w:p>
    <w:p w14:paraId="03D5DC02" w14:textId="77777777" w:rsidR="00514E41" w:rsidRPr="00514E41" w:rsidRDefault="00514E41" w:rsidP="00514E41">
      <w:pPr>
        <w:widowControl w:val="0"/>
        <w:pBdr>
          <w:bottom w:val="single" w:sz="4" w:space="4" w:color="0F6FC6" w:themeColor="accent1"/>
        </w:pBdr>
        <w:autoSpaceDE w:val="0"/>
        <w:autoSpaceDN w:val="0"/>
        <w:adjustRightInd w:val="0"/>
        <w:spacing w:after="0" w:line="240" w:lineRule="auto"/>
        <w:ind w:right="936"/>
        <w:rPr>
          <w:rFonts w:asciiTheme="minorHAnsi" w:eastAsia="Times New Roman" w:hAnsiTheme="minorHAnsi" w:cs="Arial"/>
          <w:bCs/>
          <w:iCs/>
          <w:color w:val="0B5294" w:themeColor="accent1" w:themeShade="BF"/>
          <w:sz w:val="24"/>
          <w:szCs w:val="24"/>
        </w:rPr>
      </w:pPr>
    </w:p>
    <w:p w14:paraId="3DE56C4B" w14:textId="4328807C" w:rsidR="005C618C" w:rsidRPr="00192BDC" w:rsidRDefault="005C618C" w:rsidP="005C618C">
      <w:pPr>
        <w:widowControl w:val="0"/>
        <w:pBdr>
          <w:bottom w:val="single" w:sz="4" w:space="4" w:color="0F6FC6" w:themeColor="accent1"/>
        </w:pBdr>
        <w:autoSpaceDE w:val="0"/>
        <w:autoSpaceDN w:val="0"/>
        <w:adjustRightInd w:val="0"/>
        <w:spacing w:before="200" w:after="280" w:line="240" w:lineRule="auto"/>
        <w:ind w:right="936"/>
        <w:rPr>
          <w:rFonts w:asciiTheme="minorHAnsi" w:eastAsia="Times New Roman" w:hAnsiTheme="minorHAnsi" w:cs="Arial"/>
          <w:b/>
          <w:bCs/>
          <w:i/>
          <w:iCs/>
          <w:color w:val="0B5294" w:themeColor="accent1" w:themeShade="BF"/>
          <w:sz w:val="28"/>
          <w:szCs w:val="28"/>
        </w:rPr>
      </w:pPr>
      <w:r w:rsidRPr="00192BDC">
        <w:rPr>
          <w:rFonts w:asciiTheme="minorHAnsi" w:eastAsia="Times New Roman" w:hAnsiTheme="minorHAnsi" w:cs="Arial"/>
          <w:b/>
          <w:bCs/>
          <w:i/>
          <w:iCs/>
          <w:color w:val="0B5294" w:themeColor="accent1" w:themeShade="BF"/>
          <w:sz w:val="28"/>
          <w:szCs w:val="28"/>
        </w:rPr>
        <w:t xml:space="preserve">Children with Special Health Care Needs </w:t>
      </w:r>
    </w:p>
    <w:p w14:paraId="1506F0F0" w14:textId="08BD9C1B" w:rsidR="005C618C" w:rsidRPr="00A940D2" w:rsidRDefault="005C618C" w:rsidP="00F831BA">
      <w:pPr>
        <w:widowControl w:val="0"/>
        <w:autoSpaceDE w:val="0"/>
        <w:autoSpaceDN w:val="0"/>
        <w:adjustRightInd w:val="0"/>
        <w:spacing w:after="0" w:line="240" w:lineRule="auto"/>
        <w:rPr>
          <w:rFonts w:asciiTheme="minorHAnsi" w:eastAsia="Times New Roman" w:hAnsiTheme="minorHAnsi"/>
          <w:sz w:val="24"/>
          <w:szCs w:val="20"/>
        </w:rPr>
      </w:pPr>
      <w:r w:rsidRPr="00A940D2">
        <w:rPr>
          <w:rFonts w:asciiTheme="minorHAnsi" w:eastAsia="Times New Roman" w:hAnsiTheme="minorHAnsi"/>
          <w:sz w:val="24"/>
          <w:szCs w:val="20"/>
          <w:u w:val="single"/>
        </w:rPr>
        <w:t>Care Coordination Services</w:t>
      </w:r>
      <w:r w:rsidR="009028D5" w:rsidRPr="00A940D2">
        <w:rPr>
          <w:rFonts w:asciiTheme="minorHAnsi" w:eastAsia="Times New Roman" w:hAnsiTheme="minorHAnsi"/>
          <w:sz w:val="24"/>
          <w:szCs w:val="20"/>
        </w:rPr>
        <w:t xml:space="preserve"> – S</w:t>
      </w:r>
      <w:r w:rsidRPr="00A940D2">
        <w:rPr>
          <w:rFonts w:asciiTheme="minorHAnsi" w:eastAsia="Times New Roman" w:hAnsiTheme="minorHAnsi"/>
          <w:sz w:val="24"/>
          <w:szCs w:val="20"/>
        </w:rPr>
        <w:t>ervices that promote the effective and efficient organization and utilization of resources to assure access to necessary comprehensive services for children with special health care needs and their families.</w:t>
      </w:r>
      <w:r w:rsidR="00514E41">
        <w:rPr>
          <w:rFonts w:asciiTheme="minorHAnsi" w:eastAsia="Times New Roman" w:hAnsiTheme="minorHAnsi"/>
          <w:sz w:val="24"/>
          <w:szCs w:val="20"/>
        </w:rPr>
        <w:t xml:space="preserve">  </w:t>
      </w:r>
      <w:r w:rsidRPr="00A940D2">
        <w:rPr>
          <w:rFonts w:asciiTheme="minorHAnsi" w:eastAsia="Times New Roman" w:hAnsiTheme="minorHAnsi"/>
          <w:i/>
          <w:sz w:val="24"/>
          <w:szCs w:val="20"/>
        </w:rPr>
        <w:t>[Title V Sec. 501(b)(3)</w:t>
      </w:r>
      <w:r w:rsidRPr="00A940D2">
        <w:rPr>
          <w:rFonts w:asciiTheme="minorHAnsi" w:eastAsia="Times New Roman" w:hAnsiTheme="minorHAnsi"/>
          <w:sz w:val="24"/>
          <w:szCs w:val="20"/>
        </w:rPr>
        <w:t>]</w:t>
      </w:r>
      <w:r w:rsidR="00112085" w:rsidRPr="00A940D2">
        <w:rPr>
          <w:rFonts w:asciiTheme="minorHAnsi" w:eastAsia="Times New Roman" w:hAnsiTheme="minorHAnsi"/>
          <w:sz w:val="24"/>
          <w:szCs w:val="20"/>
        </w:rPr>
        <w:t xml:space="preserve">  </w:t>
      </w:r>
      <w:r w:rsidR="00F831BA" w:rsidRPr="00A940D2">
        <w:rPr>
          <w:rFonts w:asciiTheme="minorHAnsi" w:eastAsia="Times New Roman" w:hAnsiTheme="minorHAnsi"/>
          <w:sz w:val="24"/>
          <w:szCs w:val="20"/>
        </w:rPr>
        <w:t>Pediatric care coordination is “patient and family centered, assessment driven, team based.</w:t>
      </w:r>
      <w:r w:rsidR="00F831BA" w:rsidRPr="00A940D2">
        <w:rPr>
          <w:rFonts w:asciiTheme="minorHAnsi" w:eastAsia="Times New Roman" w:hAnsiTheme="minorHAnsi"/>
          <w:sz w:val="24"/>
          <w:szCs w:val="20"/>
          <w:vertAlign w:val="superscript"/>
        </w:rPr>
        <w:footnoteReference w:id="14"/>
      </w:r>
      <w:r w:rsidR="00F831BA" w:rsidRPr="00A940D2">
        <w:rPr>
          <w:rFonts w:asciiTheme="minorHAnsi" w:eastAsia="Times New Roman" w:hAnsiTheme="minorHAnsi"/>
          <w:sz w:val="24"/>
          <w:szCs w:val="20"/>
        </w:rPr>
        <w:t xml:space="preserve">  Care coordination services facilitate linkage of children and their families with appropriate services and resources that meet their health and social needs to achieve optimal health.  This</w:t>
      </w:r>
      <w:r w:rsidR="00994AE6">
        <w:rPr>
          <w:rFonts w:asciiTheme="minorHAnsi" w:eastAsia="Times New Roman" w:hAnsiTheme="minorHAnsi"/>
          <w:sz w:val="24"/>
          <w:szCs w:val="20"/>
        </w:rPr>
        <w:t xml:space="preserve"> care </w:t>
      </w:r>
      <w:r w:rsidR="00F831BA" w:rsidRPr="00A940D2">
        <w:rPr>
          <w:rFonts w:asciiTheme="minorHAnsi" w:eastAsia="Times New Roman" w:hAnsiTheme="minorHAnsi"/>
          <w:sz w:val="24"/>
          <w:szCs w:val="20"/>
        </w:rPr>
        <w:t>is to be distinguished from case management which primarily focuses on the children’s medical issues.</w:t>
      </w:r>
      <w:r w:rsidR="00F831BA" w:rsidRPr="00A940D2">
        <w:rPr>
          <w:rFonts w:asciiTheme="minorHAnsi" w:eastAsia="Times New Roman" w:hAnsiTheme="minorHAnsi"/>
          <w:sz w:val="24"/>
          <w:szCs w:val="20"/>
          <w:vertAlign w:val="superscript"/>
        </w:rPr>
        <w:footnoteReference w:id="15"/>
      </w:r>
    </w:p>
    <w:p w14:paraId="4655D45F" w14:textId="77777777" w:rsidR="005C618C" w:rsidRPr="00A940D2"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p>
    <w:p w14:paraId="65C1084B" w14:textId="5EF419F3" w:rsidR="00D3696B" w:rsidRPr="00A940D2" w:rsidRDefault="00D3696B" w:rsidP="00D3696B">
      <w:pPr>
        <w:widowControl w:val="0"/>
        <w:autoSpaceDE w:val="0"/>
        <w:autoSpaceDN w:val="0"/>
        <w:adjustRightInd w:val="0"/>
        <w:spacing w:after="0" w:line="240" w:lineRule="auto"/>
        <w:rPr>
          <w:rFonts w:asciiTheme="minorHAnsi" w:eastAsia="Times New Roman" w:hAnsiTheme="minorHAnsi"/>
          <w:b/>
          <w:color w:val="C00000"/>
          <w:sz w:val="24"/>
          <w:szCs w:val="20"/>
        </w:rPr>
      </w:pPr>
      <w:r w:rsidRPr="00A940D2">
        <w:rPr>
          <w:rFonts w:asciiTheme="minorHAnsi" w:eastAsia="Times New Roman" w:hAnsiTheme="minorHAnsi"/>
          <w:sz w:val="24"/>
          <w:szCs w:val="20"/>
          <w:u w:val="single"/>
        </w:rPr>
        <w:t>Case Management Services</w:t>
      </w:r>
      <w:r w:rsidRPr="00A940D2">
        <w:rPr>
          <w:rFonts w:asciiTheme="minorHAnsi" w:eastAsia="Times New Roman" w:hAnsiTheme="minorHAnsi"/>
          <w:sz w:val="24"/>
          <w:szCs w:val="20"/>
        </w:rPr>
        <w:t xml:space="preserve"> – Services that assure access to quality prenatal, delivery and postpartum care for pregnant women; </w:t>
      </w:r>
      <w:r w:rsidR="00232622">
        <w:rPr>
          <w:rFonts w:asciiTheme="minorHAnsi" w:eastAsia="Times New Roman" w:hAnsiTheme="minorHAnsi"/>
          <w:sz w:val="24"/>
          <w:szCs w:val="20"/>
        </w:rPr>
        <w:t>and s</w:t>
      </w:r>
      <w:r w:rsidRPr="00A940D2">
        <w:rPr>
          <w:rFonts w:asciiTheme="minorHAnsi" w:eastAsia="Times New Roman" w:hAnsiTheme="minorHAnsi"/>
          <w:sz w:val="24"/>
          <w:szCs w:val="20"/>
        </w:rPr>
        <w:t>ervices that assure access to quality preventive and primary care services for infants up to age one</w:t>
      </w:r>
      <w:r w:rsidR="004C576D">
        <w:rPr>
          <w:rFonts w:asciiTheme="minorHAnsi" w:eastAsia="Times New Roman" w:hAnsiTheme="minorHAnsi"/>
          <w:sz w:val="24"/>
          <w:szCs w:val="20"/>
        </w:rPr>
        <w:t xml:space="preserve"> (1)</w:t>
      </w:r>
      <w:r w:rsidRPr="00A940D2">
        <w:rPr>
          <w:rFonts w:asciiTheme="minorHAnsi" w:eastAsia="Times New Roman" w:hAnsiTheme="minorHAnsi"/>
          <w:sz w:val="24"/>
          <w:szCs w:val="20"/>
        </w:rPr>
        <w:t>.  [</w:t>
      </w:r>
      <w:r w:rsidRPr="00A940D2">
        <w:rPr>
          <w:rFonts w:asciiTheme="minorHAnsi" w:eastAsia="Times New Roman" w:hAnsiTheme="minorHAnsi"/>
          <w:i/>
          <w:sz w:val="24"/>
          <w:szCs w:val="20"/>
        </w:rPr>
        <w:t>Title V Sec. 501(b)(4)]</w:t>
      </w:r>
      <w:r w:rsidRPr="00A940D2">
        <w:rPr>
          <w:rFonts w:asciiTheme="minorHAnsi" w:eastAsia="Times New Roman" w:hAnsiTheme="minorHAnsi"/>
          <w:sz w:val="24"/>
          <w:szCs w:val="20"/>
        </w:rPr>
        <w:t xml:space="preserve"> </w:t>
      </w:r>
    </w:p>
    <w:p w14:paraId="3967FF89" w14:textId="77777777" w:rsidR="00D3696B" w:rsidRPr="00A940D2" w:rsidRDefault="00D3696B" w:rsidP="005C618C">
      <w:pPr>
        <w:widowControl w:val="0"/>
        <w:autoSpaceDE w:val="0"/>
        <w:autoSpaceDN w:val="0"/>
        <w:adjustRightInd w:val="0"/>
        <w:spacing w:after="0" w:line="240" w:lineRule="auto"/>
        <w:rPr>
          <w:rFonts w:asciiTheme="minorHAnsi" w:eastAsia="Times New Roman" w:hAnsiTheme="minorHAnsi"/>
          <w:sz w:val="24"/>
          <w:szCs w:val="20"/>
        </w:rPr>
      </w:pPr>
    </w:p>
    <w:p w14:paraId="65C2FFE3" w14:textId="58E691B6" w:rsidR="005C618C" w:rsidRPr="00A940D2"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r w:rsidRPr="00A940D2">
        <w:rPr>
          <w:rFonts w:asciiTheme="minorHAnsi" w:eastAsia="Times New Roman" w:hAnsiTheme="minorHAnsi"/>
          <w:sz w:val="24"/>
          <w:szCs w:val="20"/>
          <w:u w:val="single"/>
        </w:rPr>
        <w:t>Children With Special Health Care Needs (CSHCN)</w:t>
      </w:r>
      <w:r w:rsidR="00D3696B" w:rsidRPr="00A940D2">
        <w:rPr>
          <w:rFonts w:asciiTheme="minorHAnsi" w:eastAsia="Times New Roman" w:hAnsiTheme="minorHAnsi"/>
          <w:sz w:val="24"/>
          <w:szCs w:val="20"/>
        </w:rPr>
        <w:t xml:space="preserve"> </w:t>
      </w:r>
      <w:r w:rsidR="00F831BA" w:rsidRPr="00A940D2">
        <w:rPr>
          <w:rFonts w:asciiTheme="minorHAnsi" w:eastAsia="Times New Roman" w:hAnsiTheme="minorHAnsi"/>
          <w:sz w:val="24"/>
          <w:szCs w:val="20"/>
        </w:rPr>
        <w:t>– Children with special health care needs are those who have or are at increased risk for a chronic physical, developmental, behavioral, or emotional condition and who also require health and related services of a type or amount beyond that required by children generally.</w:t>
      </w:r>
      <w:r w:rsidR="00F831BA" w:rsidRPr="00A940D2">
        <w:rPr>
          <w:rFonts w:asciiTheme="minorHAnsi" w:eastAsia="Times New Roman" w:hAnsiTheme="minorHAnsi"/>
          <w:sz w:val="24"/>
          <w:szCs w:val="20"/>
          <w:vertAlign w:val="superscript"/>
        </w:rPr>
        <w:footnoteReference w:id="16"/>
      </w:r>
      <w:r w:rsidR="00F831BA" w:rsidRPr="00A940D2">
        <w:rPr>
          <w:rFonts w:asciiTheme="minorHAnsi" w:eastAsia="Times New Roman" w:hAnsiTheme="minorHAnsi"/>
          <w:sz w:val="24"/>
          <w:szCs w:val="20"/>
        </w:rPr>
        <w:t xml:space="preserve"> </w:t>
      </w:r>
      <w:r w:rsidR="00112085" w:rsidRPr="00A940D2">
        <w:rPr>
          <w:rFonts w:asciiTheme="minorHAnsi" w:eastAsia="Times New Roman" w:hAnsiTheme="minorHAnsi"/>
          <w:sz w:val="24"/>
          <w:szCs w:val="20"/>
        </w:rPr>
        <w:t xml:space="preserve"> </w:t>
      </w:r>
      <w:r w:rsidR="007840DC" w:rsidRPr="00A940D2">
        <w:rPr>
          <w:rFonts w:asciiTheme="minorHAnsi" w:eastAsia="Times New Roman" w:hAnsiTheme="minorHAnsi"/>
          <w:sz w:val="24"/>
          <w:szCs w:val="20"/>
        </w:rPr>
        <w:t xml:space="preserve">For Form 5 reporting, only CSHCN ages </w:t>
      </w:r>
      <w:r w:rsidR="004C576D">
        <w:rPr>
          <w:rFonts w:asciiTheme="minorHAnsi" w:eastAsia="Times New Roman" w:hAnsiTheme="minorHAnsi"/>
          <w:sz w:val="24"/>
          <w:szCs w:val="20"/>
        </w:rPr>
        <w:t>one (</w:t>
      </w:r>
      <w:r w:rsidR="007840DC" w:rsidRPr="00A940D2">
        <w:rPr>
          <w:rFonts w:asciiTheme="minorHAnsi" w:eastAsia="Times New Roman" w:hAnsiTheme="minorHAnsi"/>
          <w:sz w:val="24"/>
          <w:szCs w:val="20"/>
        </w:rPr>
        <w:t>1</w:t>
      </w:r>
      <w:r w:rsidR="004C576D">
        <w:rPr>
          <w:rFonts w:asciiTheme="minorHAnsi" w:eastAsia="Times New Roman" w:hAnsiTheme="minorHAnsi"/>
          <w:sz w:val="24"/>
          <w:szCs w:val="20"/>
        </w:rPr>
        <w:t>)</w:t>
      </w:r>
      <w:r w:rsidR="007840DC" w:rsidRPr="00A940D2">
        <w:rPr>
          <w:rFonts w:asciiTheme="minorHAnsi" w:eastAsia="Times New Roman" w:hAnsiTheme="minorHAnsi"/>
          <w:sz w:val="24"/>
          <w:szCs w:val="20"/>
        </w:rPr>
        <w:t xml:space="preserve"> through 21 are captured separately as a subset of all children to avoid duplication with infants who are commonly served universally through newborn screening</w:t>
      </w:r>
    </w:p>
    <w:p w14:paraId="0F6A4840" w14:textId="77777777" w:rsidR="003D380E" w:rsidRPr="00A940D2" w:rsidRDefault="003D380E" w:rsidP="005C618C">
      <w:pPr>
        <w:widowControl w:val="0"/>
        <w:autoSpaceDE w:val="0"/>
        <w:autoSpaceDN w:val="0"/>
        <w:adjustRightInd w:val="0"/>
        <w:spacing w:after="0" w:line="240" w:lineRule="auto"/>
        <w:rPr>
          <w:rFonts w:asciiTheme="minorHAnsi" w:eastAsia="Times New Roman" w:hAnsiTheme="minorHAnsi"/>
          <w:b/>
          <w:color w:val="0B5294" w:themeColor="accent1" w:themeShade="BF"/>
          <w:sz w:val="24"/>
          <w:szCs w:val="20"/>
        </w:rPr>
      </w:pPr>
    </w:p>
    <w:p w14:paraId="79B13E99" w14:textId="4743B2D5" w:rsidR="00B52A50" w:rsidRPr="00A940D2" w:rsidRDefault="00F831BA" w:rsidP="007838DA">
      <w:pPr>
        <w:widowControl w:val="0"/>
        <w:autoSpaceDE w:val="0"/>
        <w:autoSpaceDN w:val="0"/>
        <w:adjustRightInd w:val="0"/>
        <w:spacing w:after="0" w:line="240" w:lineRule="auto"/>
        <w:rPr>
          <w:rFonts w:asciiTheme="minorHAnsi" w:eastAsia="Times New Roman" w:hAnsiTheme="minorHAnsi" w:cs="Arial"/>
          <w:sz w:val="24"/>
          <w:szCs w:val="24"/>
        </w:rPr>
      </w:pPr>
      <w:r w:rsidRPr="00A940D2">
        <w:rPr>
          <w:rFonts w:asciiTheme="minorHAnsi" w:eastAsia="Times New Roman" w:hAnsiTheme="minorHAnsi" w:cs="Arial"/>
          <w:sz w:val="24"/>
          <w:szCs w:val="24"/>
          <w:u w:val="single"/>
        </w:rPr>
        <w:t>Systems of Services for Children with Special Health Care Needs</w:t>
      </w:r>
      <w:r w:rsidR="00994AE6" w:rsidRPr="00994AE6">
        <w:rPr>
          <w:rFonts w:asciiTheme="minorHAnsi" w:eastAsia="Times New Roman" w:hAnsiTheme="minorHAnsi" w:cs="Arial"/>
          <w:sz w:val="24"/>
          <w:szCs w:val="24"/>
        </w:rPr>
        <w:t xml:space="preserve"> – </w:t>
      </w:r>
      <w:r w:rsidR="00B52A50" w:rsidRPr="00A940D2">
        <w:rPr>
          <w:rFonts w:asciiTheme="minorHAnsi" w:eastAsia="Times New Roman" w:hAnsiTheme="minorHAnsi" w:cs="Arial"/>
          <w:sz w:val="24"/>
          <w:szCs w:val="24"/>
        </w:rPr>
        <w:t>A system of services for children with special health care needs is a “family-centered coordinated network of community-based services designed to promote the healthy development and well-being of children and their families”.</w:t>
      </w:r>
      <w:r w:rsidR="00B52A50" w:rsidRPr="00A940D2">
        <w:rPr>
          <w:rFonts w:asciiTheme="minorHAnsi" w:eastAsia="Times New Roman" w:hAnsiTheme="minorHAnsi" w:cs="Arial"/>
          <w:sz w:val="24"/>
          <w:szCs w:val="24"/>
          <w:vertAlign w:val="superscript"/>
        </w:rPr>
        <w:footnoteReference w:id="17"/>
      </w:r>
      <w:r w:rsidR="00B52A50" w:rsidRPr="00A940D2">
        <w:rPr>
          <w:rFonts w:asciiTheme="minorHAnsi" w:eastAsia="Times New Roman" w:hAnsiTheme="minorHAnsi" w:cs="Arial"/>
          <w:sz w:val="24"/>
          <w:szCs w:val="24"/>
        </w:rPr>
        <w:t xml:space="preserve"> </w:t>
      </w:r>
      <w:r w:rsidR="00232622">
        <w:rPr>
          <w:rFonts w:asciiTheme="minorHAnsi" w:eastAsia="Times New Roman" w:hAnsiTheme="minorHAnsi" w:cs="Arial"/>
          <w:sz w:val="24"/>
          <w:szCs w:val="24"/>
        </w:rPr>
        <w:t xml:space="preserve"> </w:t>
      </w:r>
      <w:r w:rsidR="00B52A50" w:rsidRPr="00A940D2">
        <w:rPr>
          <w:rFonts w:asciiTheme="minorHAnsi" w:eastAsia="Times New Roman" w:hAnsiTheme="minorHAnsi" w:cs="Arial"/>
          <w:sz w:val="24"/>
          <w:szCs w:val="24"/>
        </w:rPr>
        <w:t>Additionally, a “well-functioning system of services will coordinate and integrate the full range of needed child and family</w:t>
      </w:r>
      <w:r w:rsidR="00994AE6">
        <w:rPr>
          <w:rFonts w:asciiTheme="minorHAnsi" w:eastAsia="Times New Roman" w:hAnsiTheme="minorHAnsi" w:cs="Arial"/>
          <w:sz w:val="24"/>
          <w:szCs w:val="24"/>
        </w:rPr>
        <w:t xml:space="preserve"> </w:t>
      </w:r>
      <w:r w:rsidR="00B52A50" w:rsidRPr="00A940D2">
        <w:rPr>
          <w:rFonts w:asciiTheme="minorHAnsi" w:eastAsia="Times New Roman" w:hAnsiTheme="minorHAnsi" w:cs="Arial"/>
          <w:sz w:val="24"/>
          <w:szCs w:val="24"/>
        </w:rPr>
        <w:t>services, including health care, education, and social services, with the goal of optimizing outcomes for the children and families it serves.”</w:t>
      </w:r>
      <w:r w:rsidR="00B52A50" w:rsidRPr="00A940D2">
        <w:rPr>
          <w:rFonts w:asciiTheme="minorHAnsi" w:eastAsia="Times New Roman" w:hAnsiTheme="minorHAnsi" w:cs="Arial"/>
          <w:sz w:val="24"/>
          <w:szCs w:val="24"/>
          <w:vertAlign w:val="superscript"/>
        </w:rPr>
        <w:footnoteReference w:id="18"/>
      </w:r>
    </w:p>
    <w:p w14:paraId="1FBB7EA7" w14:textId="77777777" w:rsidR="00B52A50" w:rsidRPr="00A940D2" w:rsidRDefault="00B52A50" w:rsidP="007838DA">
      <w:pPr>
        <w:widowControl w:val="0"/>
        <w:autoSpaceDE w:val="0"/>
        <w:autoSpaceDN w:val="0"/>
        <w:adjustRightInd w:val="0"/>
        <w:spacing w:after="0" w:line="240" w:lineRule="auto"/>
        <w:rPr>
          <w:rFonts w:asciiTheme="minorHAnsi" w:eastAsia="Times New Roman" w:hAnsiTheme="minorHAnsi" w:cs="Arial"/>
          <w:sz w:val="24"/>
          <w:szCs w:val="24"/>
        </w:rPr>
      </w:pPr>
    </w:p>
    <w:p w14:paraId="76F684F0" w14:textId="3AD60CA5" w:rsidR="00B52A50" w:rsidRPr="007838DA" w:rsidRDefault="00B52A50" w:rsidP="007838DA">
      <w:pPr>
        <w:widowControl w:val="0"/>
        <w:autoSpaceDE w:val="0"/>
        <w:autoSpaceDN w:val="0"/>
        <w:adjustRightInd w:val="0"/>
        <w:spacing w:after="0" w:line="240" w:lineRule="auto"/>
        <w:rPr>
          <w:rFonts w:asciiTheme="minorHAnsi" w:eastAsia="Times New Roman" w:hAnsiTheme="minorHAnsi" w:cs="Arial"/>
          <w:sz w:val="24"/>
          <w:szCs w:val="24"/>
        </w:rPr>
      </w:pPr>
      <w:r w:rsidRPr="007838DA">
        <w:rPr>
          <w:rFonts w:asciiTheme="minorHAnsi" w:eastAsia="Times New Roman" w:hAnsiTheme="minorHAnsi" w:cs="Arial"/>
          <w:sz w:val="24"/>
          <w:szCs w:val="24"/>
        </w:rPr>
        <w:t>Key frameworks describing the system of services for CSHCN:</w:t>
      </w:r>
    </w:p>
    <w:p w14:paraId="200248BF" w14:textId="6ED04BC8" w:rsidR="007838DA" w:rsidRPr="008B1CB2" w:rsidRDefault="00B52A50" w:rsidP="008B1CB2">
      <w:pPr>
        <w:numPr>
          <w:ilvl w:val="0"/>
          <w:numId w:val="47"/>
        </w:numPr>
        <w:autoSpaceDE w:val="0"/>
        <w:autoSpaceDN w:val="0"/>
        <w:adjustRightInd w:val="0"/>
        <w:spacing w:after="0" w:line="240" w:lineRule="auto"/>
        <w:rPr>
          <w:rFonts w:asciiTheme="minorHAnsi" w:hAnsiTheme="minorHAnsi" w:cs="Arial"/>
          <w:sz w:val="24"/>
          <w:szCs w:val="24"/>
        </w:rPr>
      </w:pPr>
      <w:r w:rsidRPr="007838DA">
        <w:rPr>
          <w:rFonts w:asciiTheme="minorHAnsi" w:hAnsiTheme="minorHAnsi" w:cs="Arial"/>
          <w:sz w:val="24"/>
          <w:szCs w:val="24"/>
        </w:rPr>
        <w:t>Six Core Outcomes for CSHCN</w:t>
      </w:r>
      <w:r w:rsidRPr="007838DA">
        <w:rPr>
          <w:rFonts w:asciiTheme="minorHAnsi" w:hAnsiTheme="minorHAnsi" w:cs="Arial"/>
          <w:sz w:val="24"/>
          <w:szCs w:val="24"/>
          <w:vertAlign w:val="superscript"/>
        </w:rPr>
        <w:footnoteReference w:id="19"/>
      </w:r>
      <w:r w:rsidRPr="007838DA">
        <w:rPr>
          <w:rFonts w:asciiTheme="minorHAnsi" w:hAnsiTheme="minorHAnsi" w:cs="Arial"/>
          <w:sz w:val="24"/>
          <w:szCs w:val="24"/>
          <w:vertAlign w:val="superscript"/>
        </w:rPr>
        <w:t>,</w:t>
      </w:r>
      <w:r w:rsidRPr="007838DA">
        <w:rPr>
          <w:rFonts w:asciiTheme="minorHAnsi" w:hAnsiTheme="minorHAnsi" w:cs="Arial"/>
          <w:sz w:val="24"/>
          <w:szCs w:val="24"/>
          <w:vertAlign w:val="superscript"/>
        </w:rPr>
        <w:footnoteReference w:id="20"/>
      </w:r>
    </w:p>
    <w:p w14:paraId="202FF414" w14:textId="77777777" w:rsidR="00B52A50" w:rsidRPr="007838DA" w:rsidRDefault="00B52A50" w:rsidP="007838DA">
      <w:pPr>
        <w:numPr>
          <w:ilvl w:val="1"/>
          <w:numId w:val="47"/>
        </w:numPr>
        <w:autoSpaceDE w:val="0"/>
        <w:autoSpaceDN w:val="0"/>
        <w:adjustRightInd w:val="0"/>
        <w:spacing w:after="0" w:line="240" w:lineRule="auto"/>
        <w:rPr>
          <w:rFonts w:asciiTheme="minorHAnsi" w:hAnsiTheme="minorHAnsi" w:cs="Arial"/>
          <w:sz w:val="24"/>
          <w:szCs w:val="24"/>
        </w:rPr>
      </w:pPr>
      <w:r w:rsidRPr="007838DA">
        <w:rPr>
          <w:rFonts w:asciiTheme="minorHAnsi" w:hAnsiTheme="minorHAnsi" w:cs="Arial"/>
          <w:sz w:val="24"/>
          <w:szCs w:val="24"/>
        </w:rPr>
        <w:t>Family Professional Partnership</w:t>
      </w:r>
    </w:p>
    <w:p w14:paraId="6AB3710A" w14:textId="77777777" w:rsidR="00B52A50" w:rsidRPr="007838DA" w:rsidRDefault="00B52A50" w:rsidP="007838DA">
      <w:pPr>
        <w:numPr>
          <w:ilvl w:val="1"/>
          <w:numId w:val="47"/>
        </w:numPr>
        <w:autoSpaceDE w:val="0"/>
        <w:autoSpaceDN w:val="0"/>
        <w:adjustRightInd w:val="0"/>
        <w:spacing w:after="0" w:line="240" w:lineRule="auto"/>
        <w:rPr>
          <w:rFonts w:asciiTheme="minorHAnsi" w:hAnsiTheme="minorHAnsi" w:cs="Arial"/>
          <w:sz w:val="24"/>
          <w:szCs w:val="24"/>
        </w:rPr>
      </w:pPr>
      <w:r w:rsidRPr="007838DA">
        <w:rPr>
          <w:rFonts w:asciiTheme="minorHAnsi" w:hAnsiTheme="minorHAnsi" w:cs="Arial"/>
          <w:sz w:val="24"/>
          <w:szCs w:val="24"/>
        </w:rPr>
        <w:t>Medical Home</w:t>
      </w:r>
    </w:p>
    <w:p w14:paraId="01047B4E" w14:textId="77777777" w:rsidR="00B52A50" w:rsidRPr="007838DA" w:rsidRDefault="00B52A50" w:rsidP="007838DA">
      <w:pPr>
        <w:numPr>
          <w:ilvl w:val="1"/>
          <w:numId w:val="47"/>
        </w:numPr>
        <w:autoSpaceDE w:val="0"/>
        <w:autoSpaceDN w:val="0"/>
        <w:adjustRightInd w:val="0"/>
        <w:spacing w:after="0" w:line="240" w:lineRule="auto"/>
        <w:rPr>
          <w:rFonts w:asciiTheme="minorHAnsi" w:hAnsiTheme="minorHAnsi" w:cs="Arial"/>
          <w:sz w:val="24"/>
          <w:szCs w:val="24"/>
        </w:rPr>
      </w:pPr>
      <w:r w:rsidRPr="007838DA">
        <w:rPr>
          <w:rFonts w:asciiTheme="minorHAnsi" w:hAnsiTheme="minorHAnsi" w:cs="Arial"/>
          <w:sz w:val="24"/>
          <w:szCs w:val="24"/>
        </w:rPr>
        <w:t>Adequate Health Insurance</w:t>
      </w:r>
    </w:p>
    <w:p w14:paraId="23FB1DAE" w14:textId="77777777" w:rsidR="00B52A50" w:rsidRPr="007838DA" w:rsidRDefault="00B52A50" w:rsidP="007838DA">
      <w:pPr>
        <w:numPr>
          <w:ilvl w:val="1"/>
          <w:numId w:val="47"/>
        </w:numPr>
        <w:autoSpaceDE w:val="0"/>
        <w:autoSpaceDN w:val="0"/>
        <w:adjustRightInd w:val="0"/>
        <w:spacing w:after="0" w:line="240" w:lineRule="auto"/>
        <w:rPr>
          <w:rFonts w:asciiTheme="minorHAnsi" w:hAnsiTheme="minorHAnsi" w:cs="Arial"/>
          <w:sz w:val="24"/>
          <w:szCs w:val="24"/>
        </w:rPr>
      </w:pPr>
      <w:r w:rsidRPr="007838DA">
        <w:rPr>
          <w:rFonts w:asciiTheme="minorHAnsi" w:hAnsiTheme="minorHAnsi" w:cs="Arial"/>
          <w:sz w:val="24"/>
          <w:szCs w:val="24"/>
        </w:rPr>
        <w:t>Early and Continuous Screening and Surveillance</w:t>
      </w:r>
    </w:p>
    <w:p w14:paraId="73AE547B" w14:textId="77777777" w:rsidR="00B52A50" w:rsidRPr="007838DA" w:rsidRDefault="00B52A50" w:rsidP="007838DA">
      <w:pPr>
        <w:numPr>
          <w:ilvl w:val="1"/>
          <w:numId w:val="47"/>
        </w:numPr>
        <w:autoSpaceDE w:val="0"/>
        <w:autoSpaceDN w:val="0"/>
        <w:adjustRightInd w:val="0"/>
        <w:spacing w:after="0" w:line="240" w:lineRule="auto"/>
        <w:rPr>
          <w:rFonts w:asciiTheme="minorHAnsi" w:hAnsiTheme="minorHAnsi" w:cs="Arial"/>
          <w:sz w:val="24"/>
          <w:szCs w:val="24"/>
        </w:rPr>
      </w:pPr>
      <w:r w:rsidRPr="007838DA">
        <w:rPr>
          <w:rFonts w:asciiTheme="minorHAnsi" w:hAnsiTheme="minorHAnsi" w:cs="Arial"/>
          <w:sz w:val="24"/>
          <w:szCs w:val="24"/>
        </w:rPr>
        <w:t>Easy to Use Services and Supports</w:t>
      </w:r>
    </w:p>
    <w:p w14:paraId="01EBE7D7" w14:textId="3D0F1F30" w:rsidR="00B52A50" w:rsidRPr="007838DA" w:rsidRDefault="00B52A50" w:rsidP="007838DA">
      <w:pPr>
        <w:numPr>
          <w:ilvl w:val="1"/>
          <w:numId w:val="47"/>
        </w:numPr>
        <w:autoSpaceDE w:val="0"/>
        <w:autoSpaceDN w:val="0"/>
        <w:adjustRightInd w:val="0"/>
        <w:spacing w:after="0" w:line="240" w:lineRule="auto"/>
        <w:ind w:left="1526"/>
        <w:rPr>
          <w:rFonts w:asciiTheme="minorHAnsi" w:hAnsiTheme="minorHAnsi" w:cs="Arial"/>
          <w:sz w:val="24"/>
          <w:szCs w:val="24"/>
        </w:rPr>
      </w:pPr>
      <w:r w:rsidRPr="007838DA">
        <w:rPr>
          <w:rFonts w:asciiTheme="minorHAnsi" w:hAnsiTheme="minorHAnsi" w:cs="Arial"/>
          <w:sz w:val="24"/>
          <w:szCs w:val="24"/>
        </w:rPr>
        <w:t>Transition to Adult Health Care</w:t>
      </w:r>
    </w:p>
    <w:p w14:paraId="082C565F" w14:textId="77777777" w:rsidR="007838DA" w:rsidRPr="007838DA" w:rsidRDefault="007838DA" w:rsidP="007838DA">
      <w:pPr>
        <w:autoSpaceDE w:val="0"/>
        <w:autoSpaceDN w:val="0"/>
        <w:adjustRightInd w:val="0"/>
        <w:spacing w:after="0" w:line="240" w:lineRule="auto"/>
        <w:ind w:left="1526"/>
        <w:rPr>
          <w:rFonts w:asciiTheme="minorHAnsi" w:hAnsiTheme="minorHAnsi" w:cs="Arial"/>
          <w:sz w:val="24"/>
          <w:szCs w:val="24"/>
        </w:rPr>
      </w:pPr>
    </w:p>
    <w:p w14:paraId="1E7F811F" w14:textId="77777777" w:rsidR="00B52A50" w:rsidRPr="007838DA" w:rsidRDefault="00B52A50" w:rsidP="00D2672E">
      <w:pPr>
        <w:widowControl w:val="0"/>
        <w:numPr>
          <w:ilvl w:val="0"/>
          <w:numId w:val="47"/>
        </w:numPr>
        <w:autoSpaceDE w:val="0"/>
        <w:autoSpaceDN w:val="0"/>
        <w:adjustRightInd w:val="0"/>
        <w:spacing w:after="0" w:line="240" w:lineRule="auto"/>
        <w:rPr>
          <w:rFonts w:asciiTheme="minorHAnsi" w:eastAsia="Times New Roman" w:hAnsiTheme="minorHAnsi" w:cs="Arial"/>
          <w:sz w:val="24"/>
          <w:szCs w:val="24"/>
        </w:rPr>
      </w:pPr>
      <w:r w:rsidRPr="007838DA">
        <w:rPr>
          <w:rFonts w:asciiTheme="minorHAnsi" w:hAnsiTheme="minorHAnsi" w:cs="Arial"/>
          <w:sz w:val="24"/>
          <w:szCs w:val="24"/>
        </w:rPr>
        <w:t>National Standards for Systems of Care for Children and Youth with Special Health Care Needs</w:t>
      </w:r>
    </w:p>
    <w:p w14:paraId="582D51EE" w14:textId="77777777" w:rsidR="004C576D" w:rsidRDefault="00B52A50" w:rsidP="00B52A50">
      <w:pPr>
        <w:widowControl w:val="0"/>
        <w:numPr>
          <w:ilvl w:val="1"/>
          <w:numId w:val="47"/>
        </w:numPr>
        <w:autoSpaceDE w:val="0"/>
        <w:autoSpaceDN w:val="0"/>
        <w:adjustRightInd w:val="0"/>
        <w:spacing w:after="0" w:line="240" w:lineRule="auto"/>
        <w:rPr>
          <w:rFonts w:asciiTheme="minorHAnsi" w:eastAsia="Times New Roman" w:hAnsiTheme="minorHAnsi" w:cs="Arial"/>
          <w:sz w:val="24"/>
          <w:szCs w:val="24"/>
        </w:rPr>
      </w:pPr>
      <w:r w:rsidRPr="007838DA">
        <w:rPr>
          <w:rFonts w:asciiTheme="minorHAnsi" w:eastAsia="Times New Roman" w:hAnsiTheme="minorHAnsi" w:cs="Arial"/>
          <w:sz w:val="24"/>
          <w:szCs w:val="24"/>
        </w:rPr>
        <w:t>The National Systems Standards describe the process and provide a framework necessary to build an effective</w:t>
      </w:r>
      <w:r w:rsidRPr="00A940D2">
        <w:rPr>
          <w:rFonts w:asciiTheme="minorHAnsi" w:eastAsia="Times New Roman" w:hAnsiTheme="minorHAnsi" w:cs="Arial"/>
          <w:sz w:val="24"/>
          <w:szCs w:val="24"/>
        </w:rPr>
        <w:t xml:space="preserve"> system of services for CSHCN. </w:t>
      </w:r>
      <w:r w:rsidR="007838DA">
        <w:rPr>
          <w:rFonts w:asciiTheme="minorHAnsi" w:eastAsia="Times New Roman" w:hAnsiTheme="minorHAnsi" w:cs="Arial"/>
          <w:sz w:val="24"/>
          <w:szCs w:val="24"/>
        </w:rPr>
        <w:t xml:space="preserve"> </w:t>
      </w:r>
      <w:r w:rsidRPr="00A940D2">
        <w:rPr>
          <w:rFonts w:asciiTheme="minorHAnsi" w:eastAsia="Times New Roman" w:hAnsiTheme="minorHAnsi" w:cs="Arial"/>
          <w:sz w:val="24"/>
          <w:szCs w:val="24"/>
        </w:rPr>
        <w:t xml:space="preserve">The standards are </w:t>
      </w:r>
    </w:p>
    <w:p w14:paraId="03EBF126" w14:textId="77777777" w:rsidR="004C576D" w:rsidRDefault="004C576D" w:rsidP="004C576D">
      <w:pPr>
        <w:widowControl w:val="0"/>
        <w:autoSpaceDE w:val="0"/>
        <w:autoSpaceDN w:val="0"/>
        <w:adjustRightInd w:val="0"/>
        <w:spacing w:after="0" w:line="240" w:lineRule="auto"/>
        <w:ind w:left="1170"/>
        <w:rPr>
          <w:rFonts w:asciiTheme="minorHAnsi" w:eastAsia="Times New Roman" w:hAnsiTheme="minorHAnsi" w:cs="Arial"/>
          <w:sz w:val="24"/>
          <w:szCs w:val="24"/>
        </w:rPr>
      </w:pPr>
    </w:p>
    <w:p w14:paraId="5717EFBE" w14:textId="77777777" w:rsidR="004C576D" w:rsidRDefault="004C576D" w:rsidP="004C576D">
      <w:pPr>
        <w:widowControl w:val="0"/>
        <w:autoSpaceDE w:val="0"/>
        <w:autoSpaceDN w:val="0"/>
        <w:adjustRightInd w:val="0"/>
        <w:spacing w:after="0" w:line="240" w:lineRule="auto"/>
        <w:ind w:left="1170"/>
        <w:rPr>
          <w:rFonts w:asciiTheme="minorHAnsi" w:eastAsia="Times New Roman" w:hAnsiTheme="minorHAnsi" w:cs="Arial"/>
          <w:sz w:val="24"/>
          <w:szCs w:val="24"/>
        </w:rPr>
      </w:pPr>
    </w:p>
    <w:p w14:paraId="14E907A9" w14:textId="3F9F233F" w:rsidR="005C618C" w:rsidRPr="00A940D2" w:rsidRDefault="00B52A50" w:rsidP="004C576D">
      <w:pPr>
        <w:widowControl w:val="0"/>
        <w:autoSpaceDE w:val="0"/>
        <w:autoSpaceDN w:val="0"/>
        <w:adjustRightInd w:val="0"/>
        <w:spacing w:after="0" w:line="240" w:lineRule="auto"/>
        <w:ind w:left="1530"/>
        <w:rPr>
          <w:rFonts w:asciiTheme="minorHAnsi" w:eastAsia="Times New Roman" w:hAnsiTheme="minorHAnsi" w:cs="Arial"/>
          <w:sz w:val="24"/>
          <w:szCs w:val="24"/>
        </w:rPr>
      </w:pPr>
      <w:r w:rsidRPr="00A940D2">
        <w:rPr>
          <w:rFonts w:asciiTheme="minorHAnsi" w:eastAsia="Times New Roman" w:hAnsiTheme="minorHAnsi" w:cs="Arial"/>
          <w:sz w:val="24"/>
          <w:szCs w:val="24"/>
        </w:rPr>
        <w:t xml:space="preserve">divided into ten core domains, and </w:t>
      </w:r>
      <w:r w:rsidR="007838DA">
        <w:rPr>
          <w:rFonts w:asciiTheme="minorHAnsi" w:eastAsia="Times New Roman" w:hAnsiTheme="minorHAnsi" w:cs="Arial"/>
          <w:sz w:val="24"/>
          <w:szCs w:val="24"/>
        </w:rPr>
        <w:t xml:space="preserve">they </w:t>
      </w:r>
      <w:r w:rsidRPr="00A940D2">
        <w:rPr>
          <w:rFonts w:asciiTheme="minorHAnsi" w:eastAsia="Times New Roman" w:hAnsiTheme="minorHAnsi" w:cs="Arial"/>
          <w:sz w:val="24"/>
          <w:szCs w:val="24"/>
        </w:rPr>
        <w:t xml:space="preserve">are based on the six core outcomes </w:t>
      </w:r>
      <w:r w:rsidR="00813C42">
        <w:rPr>
          <w:rFonts w:asciiTheme="minorHAnsi" w:eastAsia="Times New Roman" w:hAnsiTheme="minorHAnsi" w:cs="Arial"/>
          <w:sz w:val="24"/>
          <w:szCs w:val="24"/>
        </w:rPr>
        <w:t xml:space="preserve">listed above </w:t>
      </w:r>
      <w:r w:rsidRPr="00A940D2">
        <w:rPr>
          <w:rFonts w:asciiTheme="minorHAnsi" w:eastAsia="Times New Roman" w:hAnsiTheme="minorHAnsi" w:cs="Arial"/>
          <w:sz w:val="24"/>
          <w:szCs w:val="24"/>
        </w:rPr>
        <w:t>for CSHCN</w:t>
      </w:r>
      <w:r w:rsidR="00813C42">
        <w:rPr>
          <w:rFonts w:asciiTheme="minorHAnsi" w:eastAsia="Times New Roman" w:hAnsiTheme="minorHAnsi" w:cs="Arial"/>
          <w:sz w:val="24"/>
          <w:szCs w:val="24"/>
        </w:rPr>
        <w:t>.  Additional information is available at:</w:t>
      </w:r>
      <w:r w:rsidRPr="00A940D2">
        <w:rPr>
          <w:rFonts w:asciiTheme="minorHAnsi" w:eastAsia="Times New Roman" w:hAnsiTheme="minorHAnsi" w:cs="Arial"/>
          <w:sz w:val="24"/>
          <w:szCs w:val="24"/>
        </w:rPr>
        <w:t xml:space="preserve"> </w:t>
      </w:r>
      <w:r w:rsidR="00813C42">
        <w:rPr>
          <w:rFonts w:asciiTheme="minorHAnsi" w:eastAsia="Times New Roman" w:hAnsiTheme="minorHAnsi" w:cs="Arial"/>
          <w:sz w:val="24"/>
          <w:szCs w:val="24"/>
        </w:rPr>
        <w:t xml:space="preserve"> </w:t>
      </w:r>
      <w:hyperlink r:id="rId152" w:history="1">
        <w:r w:rsidRPr="00A940D2">
          <w:rPr>
            <w:rStyle w:val="Hyperlink"/>
            <w:rFonts w:asciiTheme="minorHAnsi" w:eastAsia="Times New Roman" w:hAnsiTheme="minorHAnsi" w:cs="Arial"/>
            <w:sz w:val="24"/>
            <w:szCs w:val="24"/>
          </w:rPr>
          <w:t>http://www.amchp.org/AboutTitleV/Resources/Documents/Standards%20Charts%20FINAL.pdf</w:t>
        </w:r>
      </w:hyperlink>
      <w:r w:rsidRPr="00A940D2">
        <w:rPr>
          <w:rFonts w:asciiTheme="minorHAnsi" w:eastAsia="Times New Roman" w:hAnsiTheme="minorHAnsi" w:cs="Arial"/>
          <w:sz w:val="24"/>
          <w:szCs w:val="24"/>
        </w:rPr>
        <w:t>.</w:t>
      </w:r>
    </w:p>
    <w:p w14:paraId="4AD79671" w14:textId="77777777" w:rsidR="005C618C" w:rsidRPr="00813C42" w:rsidRDefault="005C618C" w:rsidP="005C618C">
      <w:pPr>
        <w:widowControl w:val="0"/>
        <w:autoSpaceDE w:val="0"/>
        <w:autoSpaceDN w:val="0"/>
        <w:adjustRightInd w:val="0"/>
        <w:spacing w:after="0" w:line="240" w:lineRule="auto"/>
        <w:rPr>
          <w:rFonts w:asciiTheme="minorHAnsi" w:eastAsia="Times New Roman" w:hAnsiTheme="minorHAnsi" w:cs="Arial"/>
          <w:b/>
          <w:color w:val="0B5294" w:themeColor="accent1" w:themeShade="BF"/>
          <w:sz w:val="24"/>
          <w:szCs w:val="24"/>
        </w:rPr>
      </w:pPr>
    </w:p>
    <w:p w14:paraId="4BB341CB" w14:textId="77777777" w:rsidR="005C618C" w:rsidRPr="00192BDC" w:rsidRDefault="005C618C" w:rsidP="005C618C">
      <w:pPr>
        <w:widowControl w:val="0"/>
        <w:pBdr>
          <w:bottom w:val="single" w:sz="4" w:space="4" w:color="0F6FC6" w:themeColor="accent1"/>
        </w:pBdr>
        <w:autoSpaceDE w:val="0"/>
        <w:autoSpaceDN w:val="0"/>
        <w:adjustRightInd w:val="0"/>
        <w:spacing w:before="200" w:after="280" w:line="240" w:lineRule="auto"/>
        <w:ind w:right="936"/>
        <w:rPr>
          <w:rFonts w:asciiTheme="minorHAnsi" w:eastAsia="Times New Roman" w:hAnsiTheme="minorHAnsi" w:cs="Arial"/>
          <w:b/>
          <w:bCs/>
          <w:i/>
          <w:iCs/>
          <w:color w:val="0B5294" w:themeColor="accent1" w:themeShade="BF"/>
          <w:sz w:val="28"/>
          <w:szCs w:val="28"/>
        </w:rPr>
      </w:pPr>
      <w:r w:rsidRPr="00192BDC">
        <w:rPr>
          <w:rFonts w:asciiTheme="minorHAnsi" w:eastAsia="Times New Roman" w:hAnsiTheme="minorHAnsi" w:cs="Arial"/>
          <w:b/>
          <w:bCs/>
          <w:i/>
          <w:iCs/>
          <w:color w:val="0B5294" w:themeColor="accent1" w:themeShade="BF"/>
          <w:sz w:val="28"/>
          <w:szCs w:val="28"/>
        </w:rPr>
        <w:t>Additional MCH Terms</w:t>
      </w:r>
    </w:p>
    <w:p w14:paraId="36EFF34C" w14:textId="446CEDFB" w:rsidR="005C618C" w:rsidRPr="00A940D2" w:rsidRDefault="005C618C" w:rsidP="005C618C">
      <w:pPr>
        <w:widowControl w:val="0"/>
        <w:autoSpaceDE w:val="0"/>
        <w:autoSpaceDN w:val="0"/>
        <w:adjustRightInd w:val="0"/>
        <w:spacing w:after="0" w:line="240" w:lineRule="auto"/>
        <w:rPr>
          <w:rFonts w:asciiTheme="minorHAnsi" w:eastAsia="Times New Roman" w:hAnsiTheme="minorHAnsi" w:cs="Arial"/>
          <w:sz w:val="24"/>
          <w:szCs w:val="24"/>
        </w:rPr>
      </w:pPr>
      <w:r w:rsidRPr="00A940D2">
        <w:rPr>
          <w:rFonts w:asciiTheme="minorHAnsi" w:eastAsia="Times New Roman" w:hAnsiTheme="minorHAnsi" w:cs="Arial"/>
          <w:sz w:val="24"/>
          <w:szCs w:val="24"/>
          <w:u w:val="single"/>
        </w:rPr>
        <w:t>Acquired Brain Injury</w:t>
      </w:r>
      <w:r w:rsidRPr="00A940D2">
        <w:rPr>
          <w:rFonts w:asciiTheme="minorHAnsi" w:eastAsia="Times New Roman" w:hAnsiTheme="minorHAnsi" w:cs="Arial"/>
          <w:sz w:val="24"/>
          <w:szCs w:val="24"/>
        </w:rPr>
        <w:t xml:space="preserve"> – </w:t>
      </w:r>
      <w:r w:rsidR="00603225" w:rsidRPr="00A940D2">
        <w:rPr>
          <w:rFonts w:asciiTheme="minorHAnsi" w:eastAsia="Times New Roman" w:hAnsiTheme="minorHAnsi" w:cs="Arial"/>
          <w:sz w:val="24"/>
          <w:szCs w:val="24"/>
        </w:rPr>
        <w:t>I</w:t>
      </w:r>
      <w:r w:rsidRPr="00A940D2">
        <w:rPr>
          <w:rFonts w:asciiTheme="minorHAnsi" w:eastAsia="Times New Roman" w:hAnsiTheme="minorHAnsi" w:cs="Arial"/>
          <w:sz w:val="24"/>
          <w:szCs w:val="24"/>
        </w:rPr>
        <w:t xml:space="preserve">njury to the brain </w:t>
      </w:r>
      <w:r w:rsidR="00994AE6">
        <w:rPr>
          <w:rFonts w:asciiTheme="minorHAnsi" w:eastAsia="Times New Roman" w:hAnsiTheme="minorHAnsi" w:cs="Arial"/>
          <w:sz w:val="24"/>
          <w:szCs w:val="24"/>
        </w:rPr>
        <w:t xml:space="preserve">that </w:t>
      </w:r>
      <w:r w:rsidRPr="00A940D2">
        <w:rPr>
          <w:rFonts w:asciiTheme="minorHAnsi" w:eastAsia="Times New Roman" w:hAnsiTheme="minorHAnsi" w:cs="Arial"/>
          <w:sz w:val="24"/>
          <w:szCs w:val="24"/>
        </w:rPr>
        <w:t>is not hereditary, congenital,</w:t>
      </w:r>
      <w:r w:rsidRPr="00603225">
        <w:rPr>
          <w:rFonts w:ascii="Arial" w:eastAsia="Times New Roman" w:hAnsi="Arial" w:cs="Arial"/>
          <w:sz w:val="24"/>
          <w:szCs w:val="24"/>
        </w:rPr>
        <w:t xml:space="preserve"> </w:t>
      </w:r>
      <w:r w:rsidRPr="00A940D2">
        <w:rPr>
          <w:rFonts w:asciiTheme="minorHAnsi" w:eastAsia="Times New Roman" w:hAnsiTheme="minorHAnsi" w:cs="Arial"/>
          <w:sz w:val="24"/>
          <w:szCs w:val="24"/>
        </w:rPr>
        <w:t>degenerative, or induced by birth trauma.  Traumatic brain injury is a type of acquired brain injury.</w:t>
      </w:r>
    </w:p>
    <w:p w14:paraId="2E556953" w14:textId="77777777" w:rsidR="005C618C" w:rsidRPr="00A940D2" w:rsidRDefault="005C618C" w:rsidP="005C618C">
      <w:pPr>
        <w:widowControl w:val="0"/>
        <w:autoSpaceDE w:val="0"/>
        <w:autoSpaceDN w:val="0"/>
        <w:adjustRightInd w:val="0"/>
        <w:spacing w:after="0" w:line="240" w:lineRule="auto"/>
        <w:rPr>
          <w:rFonts w:asciiTheme="minorHAnsi" w:eastAsia="Times New Roman" w:hAnsiTheme="minorHAnsi" w:cs="Arial"/>
          <w:b/>
          <w:color w:val="0B5294" w:themeColor="accent1" w:themeShade="BF"/>
          <w:sz w:val="24"/>
          <w:szCs w:val="24"/>
        </w:rPr>
      </w:pPr>
    </w:p>
    <w:p w14:paraId="1DB67044" w14:textId="77777777" w:rsidR="005C618C" w:rsidRPr="00A940D2" w:rsidRDefault="005C618C" w:rsidP="005C618C">
      <w:pPr>
        <w:widowControl w:val="0"/>
        <w:autoSpaceDE w:val="0"/>
        <w:autoSpaceDN w:val="0"/>
        <w:adjustRightInd w:val="0"/>
        <w:spacing w:after="0" w:line="240" w:lineRule="auto"/>
        <w:rPr>
          <w:rFonts w:asciiTheme="minorHAnsi" w:eastAsia="Times New Roman" w:hAnsiTheme="minorHAnsi" w:cs="Arial"/>
          <w:sz w:val="24"/>
          <w:szCs w:val="24"/>
        </w:rPr>
      </w:pPr>
      <w:r w:rsidRPr="00A940D2">
        <w:rPr>
          <w:rFonts w:asciiTheme="minorHAnsi" w:eastAsia="Times New Roman" w:hAnsiTheme="minorHAnsi" w:cs="Arial"/>
          <w:sz w:val="24"/>
          <w:szCs w:val="24"/>
          <w:u w:val="single"/>
        </w:rPr>
        <w:t>Bullying</w:t>
      </w:r>
      <w:r w:rsidRPr="00A940D2">
        <w:rPr>
          <w:rFonts w:asciiTheme="minorHAnsi" w:eastAsia="Times New Roman" w:hAnsiTheme="minorHAnsi" w:cs="Arial"/>
          <w:b/>
          <w:sz w:val="24"/>
          <w:szCs w:val="24"/>
        </w:rPr>
        <w:t xml:space="preserve"> </w:t>
      </w:r>
      <w:r w:rsidRPr="00A940D2">
        <w:rPr>
          <w:rFonts w:asciiTheme="minorHAnsi" w:eastAsia="Times New Roman" w:hAnsiTheme="minorHAnsi" w:cs="Arial"/>
          <w:sz w:val="24"/>
          <w:szCs w:val="24"/>
        </w:rPr>
        <w:t>–</w:t>
      </w:r>
      <w:r w:rsidRPr="00A940D2">
        <w:rPr>
          <w:rFonts w:asciiTheme="minorHAnsi" w:eastAsia="Times New Roman" w:hAnsiTheme="minorHAnsi" w:cs="Arial"/>
          <w:b/>
          <w:sz w:val="24"/>
          <w:szCs w:val="24"/>
        </w:rPr>
        <w:t xml:space="preserve"> </w:t>
      </w:r>
      <w:r w:rsidR="00603225" w:rsidRPr="00A940D2">
        <w:rPr>
          <w:rFonts w:asciiTheme="minorHAnsi" w:eastAsia="Times New Roman" w:hAnsiTheme="minorHAnsi" w:cs="Arial"/>
          <w:sz w:val="24"/>
          <w:szCs w:val="24"/>
        </w:rPr>
        <w:t>U</w:t>
      </w:r>
      <w:r w:rsidRPr="00A940D2">
        <w:rPr>
          <w:rFonts w:asciiTheme="minorHAnsi" w:eastAsia="Times New Roman" w:hAnsiTheme="minorHAnsi" w:cs="Arial"/>
          <w:sz w:val="24"/>
          <w:szCs w:val="24"/>
        </w:rPr>
        <w:t xml:space="preserve">nwanted, aggressive behavior among school aged children that involves a real or perceived power imbalance.  The behavior is repeated, or has the potential to be repeated, over time.  Additional guidance on bullying surveillance is available at: </w:t>
      </w:r>
      <w:hyperlink r:id="rId153" w:history="1">
        <w:r w:rsidRPr="00A940D2">
          <w:rPr>
            <w:rFonts w:asciiTheme="minorHAnsi" w:eastAsia="Times New Roman" w:hAnsiTheme="minorHAnsi" w:cs="Arial"/>
            <w:color w:val="0000FF"/>
            <w:sz w:val="24"/>
            <w:szCs w:val="24"/>
            <w:u w:val="single"/>
          </w:rPr>
          <w:t>http://www.cdc.gov/violenceprevention/pdf/bullying-definitions-final-a.pdf</w:t>
        </w:r>
      </w:hyperlink>
      <w:r w:rsidRPr="00A940D2">
        <w:rPr>
          <w:rFonts w:asciiTheme="minorHAnsi" w:eastAsia="Times New Roman" w:hAnsiTheme="minorHAnsi" w:cs="Arial"/>
          <w:sz w:val="24"/>
          <w:szCs w:val="24"/>
        </w:rPr>
        <w:t>.</w:t>
      </w:r>
    </w:p>
    <w:p w14:paraId="7AFDB5BE" w14:textId="0585DD60" w:rsidR="005C618C" w:rsidRDefault="005C618C" w:rsidP="005C618C">
      <w:pPr>
        <w:widowControl w:val="0"/>
        <w:autoSpaceDE w:val="0"/>
        <w:autoSpaceDN w:val="0"/>
        <w:adjustRightInd w:val="0"/>
        <w:spacing w:after="0" w:line="240" w:lineRule="auto"/>
        <w:rPr>
          <w:rFonts w:asciiTheme="minorHAnsi" w:eastAsia="Times New Roman" w:hAnsiTheme="minorHAnsi" w:cs="Arial"/>
          <w:b/>
          <w:sz w:val="24"/>
          <w:szCs w:val="24"/>
        </w:rPr>
      </w:pPr>
    </w:p>
    <w:p w14:paraId="7B8A5442" w14:textId="77777777" w:rsidR="002C7718" w:rsidRPr="00A940D2" w:rsidRDefault="002C7718" w:rsidP="005C618C">
      <w:pPr>
        <w:widowControl w:val="0"/>
        <w:autoSpaceDE w:val="0"/>
        <w:autoSpaceDN w:val="0"/>
        <w:adjustRightInd w:val="0"/>
        <w:spacing w:after="0" w:line="240" w:lineRule="auto"/>
        <w:rPr>
          <w:rFonts w:asciiTheme="minorHAnsi" w:eastAsia="Times New Roman" w:hAnsiTheme="minorHAnsi" w:cs="Arial"/>
          <w:b/>
          <w:sz w:val="24"/>
          <w:szCs w:val="24"/>
        </w:rPr>
      </w:pPr>
    </w:p>
    <w:p w14:paraId="72324071" w14:textId="582D7346" w:rsidR="005C618C" w:rsidRPr="00A940D2"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r w:rsidRPr="00A940D2">
        <w:rPr>
          <w:rFonts w:asciiTheme="minorHAnsi" w:eastAsia="Times New Roman" w:hAnsiTheme="minorHAnsi"/>
          <w:sz w:val="24"/>
          <w:szCs w:val="20"/>
          <w:u w:val="single"/>
        </w:rPr>
        <w:t>Clinical Genetics</w:t>
      </w:r>
      <w:r w:rsidRPr="00A940D2">
        <w:rPr>
          <w:rFonts w:asciiTheme="minorHAnsi" w:eastAsia="Times New Roman" w:hAnsiTheme="minorHAnsi"/>
          <w:sz w:val="24"/>
          <w:szCs w:val="20"/>
        </w:rPr>
        <w:t xml:space="preserve"> – Clinical and laboratory services for individuals and families with, or at risk for, health problems with a heritable component. </w:t>
      </w:r>
      <w:r w:rsidR="00232622">
        <w:rPr>
          <w:rFonts w:asciiTheme="minorHAnsi" w:eastAsia="Times New Roman" w:hAnsiTheme="minorHAnsi"/>
          <w:sz w:val="24"/>
          <w:szCs w:val="20"/>
        </w:rPr>
        <w:t xml:space="preserve"> </w:t>
      </w:r>
      <w:r w:rsidRPr="00A940D2">
        <w:rPr>
          <w:rFonts w:asciiTheme="minorHAnsi" w:eastAsia="Times New Roman" w:hAnsiTheme="minorHAnsi"/>
          <w:sz w:val="24"/>
          <w:szCs w:val="20"/>
        </w:rPr>
        <w:t xml:space="preserve">The application of the principles of </w:t>
      </w:r>
      <w:r w:rsidR="00B52A50" w:rsidRPr="00A940D2">
        <w:rPr>
          <w:rFonts w:asciiTheme="minorHAnsi" w:eastAsia="Times New Roman" w:hAnsiTheme="minorHAnsi"/>
          <w:sz w:val="24"/>
          <w:szCs w:val="20"/>
        </w:rPr>
        <w:t xml:space="preserve">genetics and genomics </w:t>
      </w:r>
      <w:r w:rsidRPr="00A940D2">
        <w:rPr>
          <w:rFonts w:asciiTheme="minorHAnsi" w:eastAsia="Times New Roman" w:hAnsiTheme="minorHAnsi"/>
          <w:sz w:val="24"/>
          <w:szCs w:val="20"/>
        </w:rPr>
        <w:t xml:space="preserve">to </w:t>
      </w:r>
      <w:r w:rsidR="00B52A50" w:rsidRPr="00A940D2">
        <w:rPr>
          <w:rFonts w:asciiTheme="minorHAnsi" w:eastAsia="Times New Roman" w:hAnsiTheme="minorHAnsi"/>
          <w:sz w:val="24"/>
          <w:szCs w:val="20"/>
        </w:rPr>
        <w:t xml:space="preserve">predict, </w:t>
      </w:r>
      <w:r w:rsidRPr="00A940D2">
        <w:rPr>
          <w:rFonts w:asciiTheme="minorHAnsi" w:eastAsia="Times New Roman" w:hAnsiTheme="minorHAnsi"/>
          <w:sz w:val="24"/>
          <w:szCs w:val="20"/>
        </w:rPr>
        <w:t>diagnose</w:t>
      </w:r>
      <w:r w:rsidR="00B52A50" w:rsidRPr="00A940D2">
        <w:rPr>
          <w:rFonts w:asciiTheme="minorHAnsi" w:eastAsia="Times New Roman" w:hAnsiTheme="minorHAnsi"/>
          <w:sz w:val="24"/>
          <w:szCs w:val="20"/>
        </w:rPr>
        <w:t>, and treat</w:t>
      </w:r>
      <w:r w:rsidRPr="00A940D2">
        <w:rPr>
          <w:rFonts w:asciiTheme="minorHAnsi" w:eastAsia="Times New Roman" w:hAnsiTheme="minorHAnsi"/>
          <w:sz w:val="24"/>
          <w:szCs w:val="20"/>
        </w:rPr>
        <w:t xml:space="preserve"> disease and improve health.</w:t>
      </w:r>
    </w:p>
    <w:p w14:paraId="0CDF2A29" w14:textId="77777777" w:rsidR="005C618C" w:rsidRPr="00A940D2" w:rsidRDefault="005C618C" w:rsidP="005C618C">
      <w:pPr>
        <w:widowControl w:val="0"/>
        <w:autoSpaceDE w:val="0"/>
        <w:autoSpaceDN w:val="0"/>
        <w:adjustRightInd w:val="0"/>
        <w:spacing w:after="0" w:line="240" w:lineRule="auto"/>
        <w:rPr>
          <w:rFonts w:asciiTheme="minorHAnsi" w:eastAsia="Times New Roman" w:hAnsiTheme="minorHAnsi"/>
          <w:b/>
          <w:sz w:val="24"/>
          <w:szCs w:val="20"/>
        </w:rPr>
      </w:pPr>
    </w:p>
    <w:p w14:paraId="68612B27" w14:textId="77777777" w:rsidR="005C618C" w:rsidRPr="00A940D2" w:rsidRDefault="005C618C" w:rsidP="001A0351">
      <w:pPr>
        <w:autoSpaceDE w:val="0"/>
        <w:autoSpaceDN w:val="0"/>
        <w:adjustRightInd w:val="0"/>
        <w:spacing w:after="0" w:line="240" w:lineRule="auto"/>
        <w:rPr>
          <w:rFonts w:asciiTheme="minorHAnsi" w:eastAsia="Times New Roman" w:hAnsiTheme="minorHAnsi"/>
          <w:b/>
          <w:color w:val="0B5294" w:themeColor="accent1" w:themeShade="BF"/>
          <w:sz w:val="24"/>
          <w:szCs w:val="20"/>
        </w:rPr>
      </w:pPr>
      <w:r w:rsidRPr="00A940D2">
        <w:rPr>
          <w:rFonts w:asciiTheme="minorHAnsi" w:eastAsia="Times New Roman" w:hAnsiTheme="minorHAnsi"/>
          <w:sz w:val="24"/>
          <w:szCs w:val="20"/>
          <w:u w:val="single"/>
        </w:rPr>
        <w:t>Community</w:t>
      </w:r>
      <w:r w:rsidRPr="00A940D2">
        <w:rPr>
          <w:rFonts w:asciiTheme="minorHAnsi" w:eastAsia="Times New Roman" w:hAnsiTheme="minorHAnsi"/>
          <w:sz w:val="24"/>
          <w:szCs w:val="20"/>
        </w:rPr>
        <w:t xml:space="preserve"> – </w:t>
      </w:r>
      <w:r w:rsidR="00603225" w:rsidRPr="00A940D2">
        <w:rPr>
          <w:rFonts w:asciiTheme="minorHAnsi" w:eastAsia="Times New Roman" w:hAnsiTheme="minorHAnsi"/>
          <w:sz w:val="24"/>
          <w:szCs w:val="20"/>
        </w:rPr>
        <w:t>A</w:t>
      </w:r>
      <w:r w:rsidRPr="00A940D2">
        <w:rPr>
          <w:rFonts w:asciiTheme="minorHAnsi" w:eastAsia="Times New Roman" w:hAnsiTheme="minorHAnsi"/>
          <w:sz w:val="24"/>
          <w:szCs w:val="20"/>
        </w:rPr>
        <w:t xml:space="preserve"> group of individuals living as a smaller social unit within the confines of a larger one due to common geographic boundaries, a common work environment, common interests and other uniting factors.</w:t>
      </w:r>
    </w:p>
    <w:p w14:paraId="72C16336" w14:textId="77777777" w:rsidR="005C618C" w:rsidRPr="00A940D2" w:rsidRDefault="005C618C" w:rsidP="005C618C">
      <w:pPr>
        <w:widowControl w:val="0"/>
        <w:autoSpaceDE w:val="0"/>
        <w:autoSpaceDN w:val="0"/>
        <w:adjustRightInd w:val="0"/>
        <w:spacing w:after="0" w:line="240" w:lineRule="auto"/>
        <w:rPr>
          <w:rFonts w:asciiTheme="minorHAnsi" w:eastAsia="Times New Roman" w:hAnsiTheme="minorHAnsi"/>
          <w:b/>
          <w:color w:val="0B5294" w:themeColor="accent1" w:themeShade="BF"/>
          <w:sz w:val="24"/>
          <w:szCs w:val="20"/>
        </w:rPr>
      </w:pPr>
    </w:p>
    <w:p w14:paraId="00080BFA" w14:textId="56AA5991" w:rsidR="005C618C" w:rsidRPr="00A940D2" w:rsidRDefault="005C618C" w:rsidP="005C618C">
      <w:pPr>
        <w:widowControl w:val="0"/>
        <w:autoSpaceDE w:val="0"/>
        <w:autoSpaceDN w:val="0"/>
        <w:adjustRightInd w:val="0"/>
        <w:spacing w:after="0" w:line="240" w:lineRule="auto"/>
        <w:rPr>
          <w:rFonts w:asciiTheme="minorHAnsi" w:eastAsia="Times New Roman" w:hAnsiTheme="minorHAnsi"/>
          <w:b/>
          <w:color w:val="0B5294" w:themeColor="accent1" w:themeShade="BF"/>
          <w:sz w:val="24"/>
          <w:szCs w:val="20"/>
        </w:rPr>
      </w:pPr>
      <w:r w:rsidRPr="00A940D2">
        <w:rPr>
          <w:rFonts w:asciiTheme="minorHAnsi" w:eastAsia="Times New Roman" w:hAnsiTheme="minorHAnsi"/>
          <w:sz w:val="24"/>
          <w:szCs w:val="20"/>
          <w:u w:val="single"/>
        </w:rPr>
        <w:t>Community-based Care</w:t>
      </w:r>
      <w:r w:rsidRPr="00A940D2">
        <w:rPr>
          <w:rFonts w:asciiTheme="minorHAnsi" w:eastAsia="Times New Roman" w:hAnsiTheme="minorHAnsi"/>
          <w:sz w:val="24"/>
          <w:szCs w:val="20"/>
        </w:rPr>
        <w:t xml:space="preserve"> – </w:t>
      </w:r>
      <w:r w:rsidR="00603225" w:rsidRPr="00A940D2">
        <w:rPr>
          <w:rFonts w:asciiTheme="minorHAnsi" w:eastAsia="Times New Roman" w:hAnsiTheme="minorHAnsi"/>
          <w:sz w:val="24"/>
          <w:szCs w:val="20"/>
        </w:rPr>
        <w:t>S</w:t>
      </w:r>
      <w:r w:rsidRPr="00A940D2">
        <w:rPr>
          <w:rFonts w:asciiTheme="minorHAnsi" w:eastAsia="Times New Roman" w:hAnsiTheme="minorHAnsi"/>
          <w:sz w:val="24"/>
          <w:szCs w:val="20"/>
        </w:rPr>
        <w:t>ervices provided within the context of a defined community</w:t>
      </w:r>
      <w:r w:rsidR="00B52A50" w:rsidRPr="00A940D2">
        <w:rPr>
          <w:rFonts w:asciiTheme="minorHAnsi" w:eastAsia="Times New Roman" w:hAnsiTheme="minorHAnsi"/>
          <w:sz w:val="24"/>
          <w:szCs w:val="20"/>
        </w:rPr>
        <w:t>.</w:t>
      </w:r>
    </w:p>
    <w:p w14:paraId="4FC024F3" w14:textId="77777777" w:rsidR="005C618C" w:rsidRPr="00A940D2" w:rsidRDefault="005C618C" w:rsidP="005C618C">
      <w:pPr>
        <w:widowControl w:val="0"/>
        <w:autoSpaceDE w:val="0"/>
        <w:autoSpaceDN w:val="0"/>
        <w:adjustRightInd w:val="0"/>
        <w:spacing w:after="0" w:line="240" w:lineRule="auto"/>
        <w:rPr>
          <w:rFonts w:asciiTheme="minorHAnsi" w:eastAsia="Times New Roman" w:hAnsiTheme="minorHAnsi"/>
          <w:b/>
          <w:color w:val="0B5294" w:themeColor="accent1" w:themeShade="BF"/>
          <w:sz w:val="24"/>
          <w:szCs w:val="20"/>
        </w:rPr>
      </w:pPr>
    </w:p>
    <w:p w14:paraId="195661C9" w14:textId="254E7809" w:rsidR="005C618C" w:rsidRPr="00A940D2"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r w:rsidRPr="00A940D2">
        <w:rPr>
          <w:rFonts w:asciiTheme="minorHAnsi" w:eastAsia="Times New Roman" w:hAnsiTheme="minorHAnsi"/>
          <w:sz w:val="24"/>
          <w:szCs w:val="20"/>
          <w:u w:val="single"/>
        </w:rPr>
        <w:t>Community-based Service System</w:t>
      </w:r>
      <w:r w:rsidR="00603225" w:rsidRPr="00A940D2">
        <w:rPr>
          <w:rFonts w:asciiTheme="minorHAnsi" w:eastAsia="Times New Roman" w:hAnsiTheme="minorHAnsi"/>
          <w:sz w:val="24"/>
          <w:szCs w:val="20"/>
        </w:rPr>
        <w:t xml:space="preserve"> – </w:t>
      </w:r>
      <w:r w:rsidR="00B52A50" w:rsidRPr="00A940D2">
        <w:rPr>
          <w:rFonts w:asciiTheme="minorHAnsi" w:eastAsia="Times New Roman" w:hAnsiTheme="minorHAnsi"/>
          <w:sz w:val="24"/>
          <w:szCs w:val="20"/>
        </w:rPr>
        <w:t>An infrastructure that operates across service sectors that facilitates the integration of services in several dimensions</w:t>
      </w:r>
      <w:r w:rsidR="00232622">
        <w:rPr>
          <w:rFonts w:asciiTheme="minorHAnsi" w:eastAsia="Times New Roman" w:hAnsiTheme="minorHAnsi"/>
          <w:sz w:val="24"/>
          <w:szCs w:val="20"/>
        </w:rPr>
        <w:t xml:space="preserve">, which includes </w:t>
      </w:r>
      <w:r w:rsidR="00B52A50" w:rsidRPr="00A940D2">
        <w:rPr>
          <w:rFonts w:asciiTheme="minorHAnsi" w:eastAsia="Times New Roman" w:hAnsiTheme="minorHAnsi"/>
          <w:sz w:val="24"/>
          <w:szCs w:val="20"/>
        </w:rPr>
        <w:t>organization, delivery, and financing.</w:t>
      </w:r>
      <w:r w:rsidR="00B52A50" w:rsidRPr="00A940D2">
        <w:rPr>
          <w:rFonts w:asciiTheme="minorHAnsi" w:eastAsia="Times New Roman" w:hAnsiTheme="minorHAnsi"/>
          <w:sz w:val="24"/>
          <w:szCs w:val="20"/>
          <w:vertAlign w:val="superscript"/>
        </w:rPr>
        <w:footnoteReference w:id="21"/>
      </w:r>
    </w:p>
    <w:p w14:paraId="21F22587" w14:textId="77777777" w:rsidR="005C618C" w:rsidRPr="00A940D2" w:rsidRDefault="005C618C" w:rsidP="005C618C">
      <w:pPr>
        <w:widowControl w:val="0"/>
        <w:autoSpaceDE w:val="0"/>
        <w:autoSpaceDN w:val="0"/>
        <w:adjustRightInd w:val="0"/>
        <w:spacing w:after="0" w:line="240" w:lineRule="auto"/>
        <w:rPr>
          <w:rFonts w:asciiTheme="minorHAnsi" w:eastAsia="Times New Roman" w:hAnsiTheme="minorHAnsi"/>
          <w:b/>
          <w:color w:val="0B5294" w:themeColor="accent1" w:themeShade="BF"/>
          <w:sz w:val="24"/>
          <w:szCs w:val="20"/>
        </w:rPr>
      </w:pPr>
    </w:p>
    <w:p w14:paraId="619666C9" w14:textId="63E9386F" w:rsidR="005C618C" w:rsidRPr="00A940D2"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r w:rsidRPr="00A940D2">
        <w:rPr>
          <w:rFonts w:asciiTheme="minorHAnsi" w:eastAsia="Times New Roman" w:hAnsiTheme="minorHAnsi"/>
          <w:sz w:val="24"/>
          <w:szCs w:val="20"/>
          <w:u w:val="single"/>
        </w:rPr>
        <w:t>Genetic Counseling:</w:t>
      </w:r>
      <w:r w:rsidRPr="00A940D2">
        <w:rPr>
          <w:rFonts w:asciiTheme="minorHAnsi" w:eastAsia="Times New Roman" w:hAnsiTheme="minorHAnsi"/>
          <w:sz w:val="24"/>
          <w:szCs w:val="20"/>
        </w:rPr>
        <w:t xml:space="preserve"> The process of helping people to understand and adapt to the medical, psychological, and familial implications of genetic contributions to disease.</w:t>
      </w:r>
      <w:r w:rsidR="004C576D">
        <w:rPr>
          <w:rFonts w:asciiTheme="minorHAnsi" w:eastAsia="Times New Roman" w:hAnsiTheme="minorHAnsi"/>
          <w:sz w:val="24"/>
          <w:szCs w:val="20"/>
        </w:rPr>
        <w:t xml:space="preserve">  </w:t>
      </w:r>
      <w:r w:rsidRPr="00A940D2">
        <w:rPr>
          <w:rFonts w:asciiTheme="minorHAnsi" w:eastAsia="Times New Roman" w:hAnsiTheme="minorHAnsi"/>
          <w:sz w:val="24"/>
          <w:szCs w:val="20"/>
        </w:rPr>
        <w:t>This process integrates: interpretation of family and medical history to assess the chance of disease occurrence or recurrence; education about inheritance, testing, management, prevention, resources and research; counseling to promote informed choices; and adaptation to the risk or condition.</w:t>
      </w:r>
    </w:p>
    <w:p w14:paraId="1360FEFF" w14:textId="31AF449B" w:rsidR="0062347A" w:rsidRDefault="0062347A" w:rsidP="005C618C">
      <w:pPr>
        <w:widowControl w:val="0"/>
        <w:autoSpaceDE w:val="0"/>
        <w:autoSpaceDN w:val="0"/>
        <w:adjustRightInd w:val="0"/>
        <w:spacing w:after="0" w:line="240" w:lineRule="auto"/>
        <w:rPr>
          <w:rFonts w:asciiTheme="minorHAnsi" w:eastAsia="Times New Roman" w:hAnsiTheme="minorHAnsi"/>
          <w:b/>
          <w:color w:val="0B5294" w:themeColor="accent1" w:themeShade="BF"/>
          <w:sz w:val="24"/>
          <w:szCs w:val="20"/>
        </w:rPr>
      </w:pPr>
    </w:p>
    <w:p w14:paraId="1F53DCB2" w14:textId="77777777" w:rsidR="005C618C" w:rsidRPr="00A940D2"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r w:rsidRPr="00A940D2">
        <w:rPr>
          <w:rFonts w:asciiTheme="minorHAnsi" w:eastAsia="Times New Roman" w:hAnsiTheme="minorHAnsi"/>
          <w:sz w:val="24"/>
          <w:szCs w:val="20"/>
          <w:u w:val="single"/>
        </w:rPr>
        <w:t>Health Care System</w:t>
      </w:r>
      <w:r w:rsidR="00603225" w:rsidRPr="00A940D2">
        <w:rPr>
          <w:rFonts w:asciiTheme="minorHAnsi" w:eastAsia="Times New Roman" w:hAnsiTheme="minorHAnsi"/>
          <w:sz w:val="24"/>
          <w:szCs w:val="20"/>
        </w:rPr>
        <w:t xml:space="preserve"> – T</w:t>
      </w:r>
      <w:r w:rsidRPr="00A940D2">
        <w:rPr>
          <w:rFonts w:asciiTheme="minorHAnsi" w:eastAsia="Times New Roman" w:hAnsiTheme="minorHAnsi"/>
          <w:sz w:val="24"/>
          <w:szCs w:val="20"/>
        </w:rPr>
        <w:t>he entirety of the agencies, services, and providers involved or potentially involved in the health care of community members and the interactions among those agencies, services and providers.</w:t>
      </w:r>
    </w:p>
    <w:p w14:paraId="6F4664DD" w14:textId="77777777" w:rsidR="005C618C" w:rsidRPr="00A940D2" w:rsidRDefault="005C618C" w:rsidP="005C618C">
      <w:pPr>
        <w:widowControl w:val="0"/>
        <w:autoSpaceDE w:val="0"/>
        <w:autoSpaceDN w:val="0"/>
        <w:adjustRightInd w:val="0"/>
        <w:spacing w:after="0" w:line="240" w:lineRule="auto"/>
        <w:rPr>
          <w:rFonts w:asciiTheme="minorHAnsi" w:eastAsia="Times New Roman" w:hAnsiTheme="minorHAnsi"/>
          <w:b/>
          <w:color w:val="0B5294" w:themeColor="accent1" w:themeShade="BF"/>
          <w:sz w:val="24"/>
          <w:szCs w:val="20"/>
        </w:rPr>
      </w:pPr>
    </w:p>
    <w:p w14:paraId="7A986812" w14:textId="5B92B6B2" w:rsidR="005C618C" w:rsidRPr="00A940D2"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r w:rsidRPr="00A940D2">
        <w:rPr>
          <w:rFonts w:asciiTheme="minorHAnsi" w:eastAsia="Times New Roman" w:hAnsiTheme="minorHAnsi"/>
          <w:sz w:val="24"/>
          <w:szCs w:val="20"/>
          <w:u w:val="single"/>
        </w:rPr>
        <w:t>Human Genetics:</w:t>
      </w:r>
      <w:r w:rsidRPr="00A940D2">
        <w:rPr>
          <w:rFonts w:asciiTheme="minorHAnsi" w:eastAsia="Times New Roman" w:hAnsiTheme="minorHAnsi"/>
          <w:sz w:val="24"/>
          <w:szCs w:val="20"/>
        </w:rPr>
        <w:t xml:space="preserve"> The science of genes, heredity and variation in human organisms</w:t>
      </w:r>
    </w:p>
    <w:p w14:paraId="43DD690F" w14:textId="77777777" w:rsidR="005C618C" w:rsidRPr="00A940D2"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p>
    <w:p w14:paraId="20143B4B" w14:textId="01692E01" w:rsidR="005C618C" w:rsidRPr="00A940D2"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r w:rsidRPr="00A940D2">
        <w:rPr>
          <w:rFonts w:asciiTheme="minorHAnsi" w:eastAsia="Times New Roman" w:hAnsiTheme="minorHAnsi"/>
          <w:sz w:val="24"/>
          <w:szCs w:val="20"/>
          <w:u w:val="single"/>
        </w:rPr>
        <w:t>Health Care Transition</w:t>
      </w:r>
      <w:r w:rsidR="00301FDC" w:rsidRPr="00A940D2">
        <w:rPr>
          <w:rFonts w:asciiTheme="minorHAnsi" w:eastAsia="Times New Roman" w:hAnsiTheme="minorHAnsi"/>
          <w:sz w:val="24"/>
          <w:szCs w:val="20"/>
        </w:rPr>
        <w:t xml:space="preserve"> – T</w:t>
      </w:r>
      <w:r w:rsidRPr="00A940D2">
        <w:rPr>
          <w:rFonts w:asciiTheme="minorHAnsi" w:eastAsia="Times New Roman" w:hAnsiTheme="minorHAnsi"/>
          <w:sz w:val="24"/>
          <w:szCs w:val="20"/>
        </w:rPr>
        <w:t xml:space="preserve">he process of </w:t>
      </w:r>
      <w:r w:rsidR="000D3B1A" w:rsidRPr="00A940D2">
        <w:rPr>
          <w:rFonts w:asciiTheme="minorHAnsi" w:eastAsia="Times New Roman" w:hAnsiTheme="minorHAnsi"/>
          <w:sz w:val="24"/>
          <w:szCs w:val="20"/>
        </w:rPr>
        <w:t>moving</w:t>
      </w:r>
      <w:r w:rsidRPr="00A940D2">
        <w:rPr>
          <w:rFonts w:asciiTheme="minorHAnsi" w:eastAsia="Times New Roman" w:hAnsiTheme="minorHAnsi"/>
          <w:sz w:val="24"/>
          <w:szCs w:val="20"/>
        </w:rPr>
        <w:t xml:space="preserve"> from a </w:t>
      </w:r>
      <w:r w:rsidR="000D3B1A" w:rsidRPr="00A940D2">
        <w:rPr>
          <w:rFonts w:asciiTheme="minorHAnsi" w:eastAsia="Times New Roman" w:hAnsiTheme="minorHAnsi"/>
          <w:sz w:val="24"/>
          <w:szCs w:val="20"/>
        </w:rPr>
        <w:t>child</w:t>
      </w:r>
      <w:r w:rsidRPr="00A940D2">
        <w:rPr>
          <w:rFonts w:asciiTheme="minorHAnsi" w:eastAsia="Times New Roman" w:hAnsiTheme="minorHAnsi"/>
          <w:sz w:val="24"/>
          <w:szCs w:val="20"/>
        </w:rPr>
        <w:t xml:space="preserve"> to an adult model of health care.  The goal of health care transition (HCT) is to optimize health and assist youth in reaching their full potential</w:t>
      </w:r>
      <w:r w:rsidR="000D3B1A" w:rsidRPr="00A940D2">
        <w:rPr>
          <w:rFonts w:asciiTheme="minorHAnsi" w:eastAsia="Times New Roman" w:hAnsiTheme="minorHAnsi"/>
          <w:sz w:val="24"/>
          <w:szCs w:val="20"/>
        </w:rPr>
        <w:t xml:space="preserve">, which requires an active </w:t>
      </w:r>
      <w:r w:rsidRPr="00A940D2">
        <w:rPr>
          <w:rFonts w:asciiTheme="minorHAnsi" w:eastAsia="Times New Roman" w:hAnsiTheme="minorHAnsi"/>
          <w:sz w:val="24"/>
          <w:szCs w:val="20"/>
        </w:rPr>
        <w:t>process over time that addresses many aspects of a youth’s life, including medical, psychosocial, educational, and vocational needs</w:t>
      </w:r>
      <w:r w:rsidR="000D3B1A" w:rsidRPr="00A940D2">
        <w:rPr>
          <w:rFonts w:asciiTheme="minorHAnsi" w:eastAsia="Times New Roman" w:hAnsiTheme="minorHAnsi"/>
          <w:sz w:val="24"/>
          <w:szCs w:val="20"/>
        </w:rPr>
        <w:t>.  This process also</w:t>
      </w:r>
      <w:r w:rsidRPr="00A940D2">
        <w:rPr>
          <w:rFonts w:asciiTheme="minorHAnsi" w:eastAsia="Times New Roman" w:hAnsiTheme="minorHAnsi"/>
          <w:sz w:val="24"/>
          <w:szCs w:val="20"/>
        </w:rPr>
        <w:t xml:space="preserve"> ensures continuity of developmental and age appropriate health care services.  Successful transition involves the engagement and participation of the pediatric and adult medical home team, the family and other care givers, and the individual youth collaborating in a positive and mutually respectful relationship.</w:t>
      </w:r>
      <w:r w:rsidR="000D3B1A" w:rsidRPr="00A940D2">
        <w:rPr>
          <w:rStyle w:val="FootnoteReference"/>
          <w:rFonts w:asciiTheme="minorHAnsi" w:eastAsia="Times New Roman" w:hAnsiTheme="minorHAnsi"/>
          <w:sz w:val="24"/>
          <w:szCs w:val="20"/>
        </w:rPr>
        <w:footnoteReference w:id="22"/>
      </w:r>
      <w:r w:rsidR="000D3B1A" w:rsidRPr="00A940D2">
        <w:rPr>
          <w:rFonts w:asciiTheme="minorHAnsi" w:eastAsia="Times New Roman" w:hAnsiTheme="minorHAnsi"/>
          <w:sz w:val="24"/>
          <w:szCs w:val="20"/>
        </w:rPr>
        <w:t xml:space="preserve">  For more information see </w:t>
      </w:r>
      <w:hyperlink r:id="rId154" w:history="1">
        <w:r w:rsidR="000D3B1A" w:rsidRPr="00A940D2">
          <w:rPr>
            <w:rStyle w:val="Hyperlink"/>
            <w:rFonts w:asciiTheme="minorHAnsi" w:eastAsia="Times New Roman" w:hAnsiTheme="minorHAnsi"/>
            <w:sz w:val="24"/>
            <w:szCs w:val="20"/>
          </w:rPr>
          <w:t>http://www.gottransition.org/</w:t>
        </w:r>
      </w:hyperlink>
    </w:p>
    <w:p w14:paraId="433373BA" w14:textId="77777777" w:rsidR="005C618C" w:rsidRPr="00A940D2" w:rsidRDefault="005C618C" w:rsidP="005C618C">
      <w:pPr>
        <w:widowControl w:val="0"/>
        <w:autoSpaceDE w:val="0"/>
        <w:autoSpaceDN w:val="0"/>
        <w:adjustRightInd w:val="0"/>
        <w:spacing w:after="0" w:line="240" w:lineRule="auto"/>
        <w:rPr>
          <w:rFonts w:asciiTheme="minorHAnsi" w:eastAsia="Times New Roman" w:hAnsiTheme="minorHAnsi"/>
          <w:b/>
          <w:color w:val="0B5294" w:themeColor="accent1" w:themeShade="BF"/>
          <w:sz w:val="24"/>
          <w:szCs w:val="20"/>
        </w:rPr>
      </w:pPr>
    </w:p>
    <w:p w14:paraId="27EB8B5A" w14:textId="0D34CA76" w:rsidR="005C618C" w:rsidRPr="00A940D2"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r w:rsidRPr="00A940D2">
        <w:rPr>
          <w:rFonts w:asciiTheme="minorHAnsi" w:eastAsia="Times New Roman" w:hAnsiTheme="minorHAnsi"/>
          <w:sz w:val="24"/>
          <w:szCs w:val="20"/>
          <w:u w:val="single"/>
        </w:rPr>
        <w:t>Medical Home</w:t>
      </w:r>
      <w:r w:rsidRPr="00A940D2">
        <w:rPr>
          <w:rFonts w:asciiTheme="minorHAnsi" w:eastAsia="Times New Roman" w:hAnsiTheme="minorHAnsi"/>
          <w:sz w:val="24"/>
          <w:szCs w:val="20"/>
        </w:rPr>
        <w:t xml:space="preserve"> – An approach to providing </w:t>
      </w:r>
      <w:r w:rsidR="000D3B1A" w:rsidRPr="00A940D2">
        <w:rPr>
          <w:rFonts w:asciiTheme="minorHAnsi" w:eastAsia="Times New Roman" w:hAnsiTheme="minorHAnsi"/>
          <w:sz w:val="24"/>
          <w:szCs w:val="20"/>
        </w:rPr>
        <w:t xml:space="preserve">comprehensive, high quality </w:t>
      </w:r>
      <w:r w:rsidRPr="00A940D2">
        <w:rPr>
          <w:rFonts w:asciiTheme="minorHAnsi" w:eastAsia="Times New Roman" w:hAnsiTheme="minorHAnsi"/>
          <w:sz w:val="24"/>
          <w:szCs w:val="20"/>
        </w:rPr>
        <w:t xml:space="preserve">health care that is accessible, family-centered, continuous, comprehensive, coordinated </w:t>
      </w:r>
      <w:r w:rsidR="002569F4" w:rsidRPr="00A940D2">
        <w:rPr>
          <w:rFonts w:asciiTheme="minorHAnsi" w:eastAsia="Times New Roman" w:hAnsiTheme="minorHAnsi"/>
          <w:sz w:val="24"/>
          <w:szCs w:val="20"/>
        </w:rPr>
        <w:t xml:space="preserve">and </w:t>
      </w:r>
      <w:r w:rsidRPr="00A940D2">
        <w:rPr>
          <w:rFonts w:asciiTheme="minorHAnsi" w:eastAsia="Times New Roman" w:hAnsiTheme="minorHAnsi"/>
          <w:sz w:val="24"/>
          <w:szCs w:val="20"/>
        </w:rPr>
        <w:t>compassionate.</w:t>
      </w:r>
      <w:r w:rsidR="000D3B1A" w:rsidRPr="00A940D2">
        <w:rPr>
          <w:rStyle w:val="FootnoteReference"/>
          <w:rFonts w:asciiTheme="minorHAnsi" w:eastAsia="Times New Roman" w:hAnsiTheme="minorHAnsi"/>
          <w:sz w:val="24"/>
          <w:szCs w:val="20"/>
        </w:rPr>
        <w:footnoteReference w:id="23"/>
      </w:r>
      <w:r w:rsidRPr="00A940D2">
        <w:rPr>
          <w:rFonts w:asciiTheme="minorHAnsi" w:eastAsia="Times New Roman" w:hAnsiTheme="minorHAnsi"/>
          <w:sz w:val="24"/>
          <w:szCs w:val="20"/>
        </w:rPr>
        <w:t xml:space="preserve">  Care occurs in an environment of trust and mutual responsibility between the family, patient, and primary care provider.  The principle of family-centered care defines the care to be received in a medical home while a team-based approach is central to delivering care in the medical home.  Within the medical home, care coordination addresses interrelated medical, dental, mental and behavioral, social, educational, and financial needs to achieve optimal health and wellness outcomes.</w:t>
      </w:r>
      <w:r w:rsidR="000D3B1A" w:rsidRPr="00A940D2">
        <w:rPr>
          <w:rFonts w:asciiTheme="minorHAnsi" w:eastAsia="Times New Roman" w:hAnsiTheme="minorHAnsi"/>
          <w:sz w:val="24"/>
          <w:szCs w:val="20"/>
        </w:rPr>
        <w:t xml:space="preserve">  </w:t>
      </w:r>
      <w:r w:rsidR="007838DA">
        <w:rPr>
          <w:rFonts w:asciiTheme="minorHAnsi" w:eastAsia="Times New Roman" w:hAnsiTheme="minorHAnsi"/>
          <w:sz w:val="24"/>
          <w:szCs w:val="20"/>
        </w:rPr>
        <w:t xml:space="preserve">Additional </w:t>
      </w:r>
      <w:r w:rsidR="000D3B1A" w:rsidRPr="00A940D2">
        <w:rPr>
          <w:rFonts w:asciiTheme="minorHAnsi" w:eastAsia="Times New Roman" w:hAnsiTheme="minorHAnsi"/>
          <w:sz w:val="24"/>
          <w:szCs w:val="20"/>
        </w:rPr>
        <w:t>information</w:t>
      </w:r>
      <w:r w:rsidR="007838DA">
        <w:rPr>
          <w:rFonts w:asciiTheme="minorHAnsi" w:eastAsia="Times New Roman" w:hAnsiTheme="minorHAnsi"/>
          <w:sz w:val="24"/>
          <w:szCs w:val="20"/>
        </w:rPr>
        <w:t xml:space="preserve"> is available at: </w:t>
      </w:r>
      <w:hyperlink r:id="rId155" w:history="1">
        <w:r w:rsidR="000D3B1A" w:rsidRPr="00A940D2">
          <w:rPr>
            <w:rStyle w:val="Hyperlink"/>
            <w:rFonts w:asciiTheme="minorHAnsi" w:eastAsia="Times New Roman" w:hAnsiTheme="minorHAnsi"/>
            <w:sz w:val="24"/>
            <w:szCs w:val="20"/>
          </w:rPr>
          <w:t>https://medicalhomeinfo.aap.org/Pages/default.aspx</w:t>
        </w:r>
      </w:hyperlink>
      <w:r w:rsidR="000D3B1A" w:rsidRPr="00A940D2">
        <w:rPr>
          <w:rFonts w:asciiTheme="minorHAnsi" w:eastAsia="Times New Roman" w:hAnsiTheme="minorHAnsi"/>
          <w:sz w:val="24"/>
          <w:szCs w:val="20"/>
        </w:rPr>
        <w:t>.</w:t>
      </w:r>
    </w:p>
    <w:p w14:paraId="124DBAF0" w14:textId="77777777" w:rsidR="005C618C" w:rsidRPr="00A940D2" w:rsidRDefault="005C618C" w:rsidP="005C618C">
      <w:pPr>
        <w:widowControl w:val="0"/>
        <w:autoSpaceDE w:val="0"/>
        <w:autoSpaceDN w:val="0"/>
        <w:adjustRightInd w:val="0"/>
        <w:spacing w:after="0" w:line="240" w:lineRule="auto"/>
        <w:rPr>
          <w:rFonts w:asciiTheme="minorHAnsi" w:eastAsia="Times New Roman" w:hAnsiTheme="minorHAnsi"/>
          <w:b/>
          <w:color w:val="0B5294" w:themeColor="accent1" w:themeShade="BF"/>
          <w:sz w:val="24"/>
          <w:szCs w:val="20"/>
        </w:rPr>
      </w:pPr>
    </w:p>
    <w:p w14:paraId="4B09485A" w14:textId="77777777" w:rsidR="005C618C" w:rsidRPr="00A940D2" w:rsidRDefault="005C618C" w:rsidP="005C618C">
      <w:pPr>
        <w:widowControl w:val="0"/>
        <w:autoSpaceDE w:val="0"/>
        <w:autoSpaceDN w:val="0"/>
        <w:adjustRightInd w:val="0"/>
        <w:spacing w:after="0" w:line="240" w:lineRule="auto"/>
        <w:rPr>
          <w:rFonts w:asciiTheme="minorHAnsi" w:eastAsia="Times New Roman" w:hAnsiTheme="minorHAnsi"/>
          <w:b/>
          <w:sz w:val="24"/>
          <w:szCs w:val="20"/>
        </w:rPr>
      </w:pPr>
      <w:r w:rsidRPr="00A940D2">
        <w:rPr>
          <w:rFonts w:asciiTheme="minorHAnsi" w:eastAsia="Times New Roman" w:hAnsiTheme="minorHAnsi"/>
          <w:sz w:val="24"/>
          <w:szCs w:val="20"/>
          <w:u w:val="single"/>
        </w:rPr>
        <w:t>Morbidity</w:t>
      </w:r>
      <w:r w:rsidRPr="00A940D2">
        <w:rPr>
          <w:rFonts w:asciiTheme="minorHAnsi" w:eastAsia="Times New Roman" w:hAnsiTheme="minorHAnsi"/>
          <w:sz w:val="24"/>
          <w:szCs w:val="20"/>
        </w:rPr>
        <w:t xml:space="preserve"> – A general term for any health condition that encompasses diseases, injuries, and impairments in a population or group.</w:t>
      </w:r>
    </w:p>
    <w:p w14:paraId="3E298341" w14:textId="77777777" w:rsidR="005C618C" w:rsidRPr="00A940D2" w:rsidRDefault="005C618C" w:rsidP="005C618C">
      <w:pPr>
        <w:widowControl w:val="0"/>
        <w:autoSpaceDE w:val="0"/>
        <w:autoSpaceDN w:val="0"/>
        <w:adjustRightInd w:val="0"/>
        <w:spacing w:after="0" w:line="240" w:lineRule="auto"/>
        <w:rPr>
          <w:rFonts w:asciiTheme="minorHAnsi" w:eastAsia="Times New Roman" w:hAnsiTheme="minorHAnsi"/>
          <w:b/>
          <w:sz w:val="24"/>
          <w:szCs w:val="20"/>
        </w:rPr>
      </w:pPr>
    </w:p>
    <w:p w14:paraId="599D374B" w14:textId="77777777" w:rsidR="005C618C" w:rsidRPr="00A940D2"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r w:rsidRPr="00A940D2">
        <w:rPr>
          <w:rFonts w:asciiTheme="minorHAnsi" w:eastAsia="Times New Roman" w:hAnsiTheme="minorHAnsi"/>
          <w:sz w:val="24"/>
          <w:szCs w:val="20"/>
          <w:u w:val="single"/>
        </w:rPr>
        <w:t>Mortality</w:t>
      </w:r>
      <w:r w:rsidRPr="00A940D2">
        <w:rPr>
          <w:rFonts w:asciiTheme="minorHAnsi" w:eastAsia="Times New Roman" w:hAnsiTheme="minorHAnsi"/>
          <w:sz w:val="24"/>
          <w:szCs w:val="20"/>
        </w:rPr>
        <w:t xml:space="preserve"> – A general term for the incidence of deaths in a population or group.  The number of deaths may be reported by age, sex, race/ethnicity, geographic area, and cause of death.</w:t>
      </w:r>
    </w:p>
    <w:p w14:paraId="7F5F1A8C" w14:textId="77777777" w:rsidR="005C618C" w:rsidRPr="00A940D2"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p>
    <w:p w14:paraId="7E8A790C" w14:textId="77777777" w:rsidR="005C618C" w:rsidRPr="00A940D2" w:rsidRDefault="005C618C" w:rsidP="005C618C">
      <w:pPr>
        <w:widowControl w:val="0"/>
        <w:autoSpaceDE w:val="0"/>
        <w:autoSpaceDN w:val="0"/>
        <w:adjustRightInd w:val="0"/>
        <w:spacing w:after="0" w:line="240" w:lineRule="auto"/>
        <w:rPr>
          <w:rFonts w:asciiTheme="minorHAnsi" w:eastAsia="Times New Roman" w:hAnsiTheme="minorHAnsi" w:cs="Arial"/>
          <w:b/>
          <w:bCs/>
          <w:sz w:val="24"/>
          <w:szCs w:val="24"/>
        </w:rPr>
      </w:pPr>
      <w:r w:rsidRPr="00A940D2">
        <w:rPr>
          <w:rFonts w:asciiTheme="minorHAnsi" w:eastAsia="Times New Roman" w:hAnsiTheme="minorHAnsi"/>
          <w:sz w:val="24"/>
          <w:szCs w:val="20"/>
          <w:u w:val="single"/>
        </w:rPr>
        <w:t>Mortality Rate</w:t>
      </w:r>
      <w:r w:rsidRPr="00A940D2">
        <w:rPr>
          <w:rFonts w:asciiTheme="minorHAnsi" w:eastAsia="Times New Roman" w:hAnsiTheme="minorHAnsi"/>
          <w:b/>
          <w:sz w:val="24"/>
          <w:szCs w:val="20"/>
        </w:rPr>
        <w:t xml:space="preserve"> – </w:t>
      </w:r>
      <w:r w:rsidRPr="00A940D2">
        <w:rPr>
          <w:rFonts w:asciiTheme="minorHAnsi" w:eastAsia="Times New Roman" w:hAnsiTheme="minorHAnsi"/>
          <w:sz w:val="24"/>
          <w:szCs w:val="20"/>
        </w:rPr>
        <w:t xml:space="preserve">The number of deaths occurring in a particular population  during a specific time period, as calculated by the number of deaths in that group (numerator) divided by the total population (denominator) and expressed as per 1,000 live births (infant mortality rate only) or per 100,000 population, </w:t>
      </w:r>
      <w:r w:rsidRPr="00A940D2">
        <w:rPr>
          <w:rFonts w:asciiTheme="minorHAnsi" w:eastAsia="Times New Roman" w:hAnsiTheme="minorHAnsi" w:cs="Arial"/>
          <w:sz w:val="24"/>
          <w:szCs w:val="24"/>
        </w:rPr>
        <w:t>generally at mid-year.</w:t>
      </w:r>
    </w:p>
    <w:p w14:paraId="2152BBDF" w14:textId="77777777" w:rsidR="005C618C" w:rsidRPr="00A940D2"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p>
    <w:p w14:paraId="7DFE0CE2" w14:textId="051DD859" w:rsidR="005C618C" w:rsidRPr="00A940D2"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r w:rsidRPr="00A940D2">
        <w:rPr>
          <w:rFonts w:asciiTheme="minorHAnsi" w:eastAsia="Times New Roman" w:hAnsiTheme="minorHAnsi"/>
          <w:sz w:val="24"/>
          <w:szCs w:val="20"/>
          <w:u w:val="single"/>
        </w:rPr>
        <w:t>National Improvement Partnership Network (NIPN)</w:t>
      </w:r>
      <w:r w:rsidRPr="00A940D2">
        <w:rPr>
          <w:rFonts w:asciiTheme="minorHAnsi" w:eastAsia="Times New Roman" w:hAnsiTheme="minorHAnsi"/>
          <w:sz w:val="24"/>
          <w:szCs w:val="20"/>
        </w:rPr>
        <w:t xml:space="preserve"> – A networ</w:t>
      </w:r>
      <w:r w:rsidR="0014435A">
        <w:rPr>
          <w:rFonts w:asciiTheme="minorHAnsi" w:eastAsia="Times New Roman" w:hAnsiTheme="minorHAnsi"/>
          <w:sz w:val="24"/>
          <w:szCs w:val="20"/>
        </w:rPr>
        <w:t>k of s</w:t>
      </w:r>
      <w:r w:rsidRPr="00A940D2">
        <w:rPr>
          <w:rFonts w:asciiTheme="minorHAnsi" w:eastAsia="Times New Roman" w:hAnsiTheme="minorHAnsi"/>
          <w:sz w:val="24"/>
          <w:szCs w:val="20"/>
        </w:rPr>
        <w:t>tates who have an Improvement Partnership</w:t>
      </w:r>
      <w:r w:rsidR="004C576D">
        <w:rPr>
          <w:rFonts w:asciiTheme="minorHAnsi" w:eastAsia="Times New Roman" w:hAnsiTheme="minorHAnsi"/>
          <w:sz w:val="24"/>
          <w:szCs w:val="20"/>
        </w:rPr>
        <w:t xml:space="preserve"> (IP)</w:t>
      </w:r>
      <w:r w:rsidR="00813C42">
        <w:rPr>
          <w:rFonts w:asciiTheme="minorHAnsi" w:eastAsia="Times New Roman" w:hAnsiTheme="minorHAnsi"/>
          <w:sz w:val="24"/>
          <w:szCs w:val="20"/>
        </w:rPr>
        <w:t xml:space="preserve">, </w:t>
      </w:r>
      <w:r w:rsidRPr="00A940D2">
        <w:rPr>
          <w:rFonts w:asciiTheme="minorHAnsi" w:eastAsia="Times New Roman" w:hAnsiTheme="minorHAnsi"/>
          <w:sz w:val="24"/>
          <w:szCs w:val="20"/>
        </w:rPr>
        <w:t>which is a durable collaborative of public and private partners that use the science of quality improvement and a systems approach to improve health</w:t>
      </w:r>
      <w:r w:rsidR="00813C42">
        <w:rPr>
          <w:rFonts w:asciiTheme="minorHAnsi" w:eastAsia="Times New Roman" w:hAnsiTheme="minorHAnsi"/>
          <w:sz w:val="24"/>
          <w:szCs w:val="20"/>
        </w:rPr>
        <w:t xml:space="preserve"> </w:t>
      </w:r>
      <w:r w:rsidRPr="00A940D2">
        <w:rPr>
          <w:rFonts w:asciiTheme="minorHAnsi" w:eastAsia="Times New Roman" w:hAnsiTheme="minorHAnsi"/>
          <w:sz w:val="24"/>
          <w:szCs w:val="20"/>
        </w:rPr>
        <w:t>care infrastructure and practice.  Established in 2009, NIPN is led by the Vermont Child Health Improvement Program (VCHIP).</w:t>
      </w:r>
    </w:p>
    <w:p w14:paraId="1641471F" w14:textId="77777777" w:rsidR="005C618C" w:rsidRPr="00A940D2"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p>
    <w:p w14:paraId="1CD5F386" w14:textId="24001F2A" w:rsidR="007840DC" w:rsidRPr="00A940D2" w:rsidRDefault="007840DC" w:rsidP="007840DC">
      <w:pPr>
        <w:widowControl w:val="0"/>
        <w:autoSpaceDE w:val="0"/>
        <w:autoSpaceDN w:val="0"/>
        <w:adjustRightInd w:val="0"/>
        <w:spacing w:after="0" w:line="240" w:lineRule="auto"/>
        <w:rPr>
          <w:rFonts w:asciiTheme="minorHAnsi" w:eastAsia="Times New Roman" w:hAnsiTheme="minorHAnsi"/>
          <w:sz w:val="24"/>
          <w:szCs w:val="20"/>
        </w:rPr>
      </w:pPr>
      <w:r w:rsidRPr="00A940D2">
        <w:rPr>
          <w:rFonts w:asciiTheme="minorHAnsi" w:eastAsia="Times New Roman" w:hAnsiTheme="minorHAnsi"/>
          <w:sz w:val="24"/>
          <w:szCs w:val="20"/>
          <w:u w:val="single"/>
        </w:rPr>
        <w:t>National Survey of Children’s Health (NSCH)</w:t>
      </w:r>
      <w:r w:rsidRPr="00A940D2">
        <w:rPr>
          <w:rFonts w:asciiTheme="minorHAnsi" w:eastAsia="Times New Roman" w:hAnsiTheme="minorHAnsi"/>
          <w:b/>
          <w:sz w:val="24"/>
          <w:szCs w:val="20"/>
        </w:rPr>
        <w:t xml:space="preserve"> – </w:t>
      </w:r>
      <w:r w:rsidRPr="00A940D2">
        <w:rPr>
          <w:rFonts w:asciiTheme="minorHAnsi" w:eastAsia="Times New Roman" w:hAnsiTheme="minorHAnsi"/>
          <w:sz w:val="24"/>
          <w:szCs w:val="20"/>
        </w:rPr>
        <w:t>Sponsored by the Maternal and Child Health Bureau of the Health Resources and Services Administration, the NSCH examines the physical and emotional health status and health service needs and utilization patterns of children ages 0-17 years of age.  Special emphasis is placed on factors that may relate to well-being of children, including medical homes, family interactions, parental health, school and after-school experiences, and safe neighborhoods.  The NSCH was fielded three times as a telephone-based survey, in 2003, 200</w:t>
      </w:r>
      <w:r w:rsidR="0014435A">
        <w:rPr>
          <w:rFonts w:asciiTheme="minorHAnsi" w:eastAsia="Times New Roman" w:hAnsiTheme="minorHAnsi"/>
          <w:sz w:val="24"/>
          <w:szCs w:val="20"/>
        </w:rPr>
        <w:t>7 and 2011-2012, yielding both s</w:t>
      </w:r>
      <w:r w:rsidRPr="00A940D2">
        <w:rPr>
          <w:rFonts w:asciiTheme="minorHAnsi" w:eastAsia="Times New Roman" w:hAnsiTheme="minorHAnsi"/>
          <w:sz w:val="24"/>
          <w:szCs w:val="20"/>
        </w:rPr>
        <w:t xml:space="preserve">tate- and nationally-representative data.  In 2016, the NSCH underwent a significant redesign, becoming an annual address-based mailed survey with a web-based response option that merged content from the previous NSCH and National Survey of Children with Special Health Care Needs (NS-CSHCN).  </w:t>
      </w:r>
      <w:hyperlink r:id="rId156" w:history="1">
        <w:r w:rsidRPr="00A940D2">
          <w:rPr>
            <w:rStyle w:val="Hyperlink"/>
            <w:rFonts w:asciiTheme="minorHAnsi" w:eastAsia="Times New Roman" w:hAnsiTheme="minorHAnsi"/>
            <w:sz w:val="24"/>
            <w:szCs w:val="20"/>
          </w:rPr>
          <w:t>https://mchb.hrsa.gov/data/national-surveys</w:t>
        </w:r>
      </w:hyperlink>
      <w:r w:rsidRPr="00A940D2">
        <w:rPr>
          <w:rFonts w:asciiTheme="minorHAnsi" w:eastAsia="Times New Roman" w:hAnsiTheme="minorHAnsi"/>
          <w:sz w:val="24"/>
          <w:szCs w:val="20"/>
        </w:rPr>
        <w:t xml:space="preserve"> </w:t>
      </w:r>
    </w:p>
    <w:p w14:paraId="61320E35" w14:textId="77777777" w:rsidR="007840DC" w:rsidRPr="00A940D2" w:rsidRDefault="007840DC" w:rsidP="005C618C">
      <w:pPr>
        <w:widowControl w:val="0"/>
        <w:autoSpaceDE w:val="0"/>
        <w:autoSpaceDN w:val="0"/>
        <w:adjustRightInd w:val="0"/>
        <w:spacing w:after="0" w:line="240" w:lineRule="auto"/>
        <w:rPr>
          <w:rFonts w:asciiTheme="minorHAnsi" w:eastAsia="Times New Roman" w:hAnsiTheme="minorHAnsi"/>
          <w:sz w:val="24"/>
          <w:szCs w:val="20"/>
          <w:u w:val="single"/>
        </w:rPr>
      </w:pPr>
    </w:p>
    <w:p w14:paraId="3A367993" w14:textId="1FFB0D6C" w:rsidR="007840DC" w:rsidRPr="00A940D2" w:rsidRDefault="007840DC" w:rsidP="007840DC">
      <w:pPr>
        <w:widowControl w:val="0"/>
        <w:autoSpaceDE w:val="0"/>
        <w:autoSpaceDN w:val="0"/>
        <w:adjustRightInd w:val="0"/>
        <w:spacing w:after="0" w:line="240" w:lineRule="auto"/>
        <w:rPr>
          <w:rFonts w:asciiTheme="minorHAnsi" w:eastAsia="Times New Roman" w:hAnsiTheme="minorHAnsi"/>
          <w:sz w:val="24"/>
          <w:szCs w:val="20"/>
        </w:rPr>
      </w:pPr>
      <w:r w:rsidRPr="00A940D2">
        <w:rPr>
          <w:rFonts w:asciiTheme="minorHAnsi" w:eastAsia="Times New Roman" w:hAnsiTheme="minorHAnsi"/>
          <w:sz w:val="24"/>
          <w:szCs w:val="20"/>
          <w:u w:val="single"/>
        </w:rPr>
        <w:t>National Survey of Children with Special Health Care Needs (NS-CSHCN)</w:t>
      </w:r>
      <w:r w:rsidRPr="00A940D2">
        <w:rPr>
          <w:rFonts w:asciiTheme="minorHAnsi" w:eastAsia="Times New Roman" w:hAnsiTheme="minorHAnsi"/>
          <w:sz w:val="24"/>
          <w:szCs w:val="20"/>
        </w:rPr>
        <w:t xml:space="preserve"> – This survey was sponsored by the Maternal and Child Health Bureau of the Health Resources and Services Administration.  The NS-CSHCN was conducted three times as a telephone-based survey, in 2001, 2005-2</w:t>
      </w:r>
      <w:r w:rsidR="0014435A">
        <w:rPr>
          <w:rFonts w:asciiTheme="minorHAnsi" w:eastAsia="Times New Roman" w:hAnsiTheme="minorHAnsi"/>
          <w:sz w:val="24"/>
          <w:szCs w:val="20"/>
        </w:rPr>
        <w:t>006 and 2009-2010, and yielded s</w:t>
      </w:r>
      <w:r w:rsidRPr="00A940D2">
        <w:rPr>
          <w:rFonts w:asciiTheme="minorHAnsi" w:eastAsia="Times New Roman" w:hAnsiTheme="minorHAnsi"/>
          <w:sz w:val="24"/>
          <w:szCs w:val="20"/>
        </w:rPr>
        <w:t xml:space="preserve">tate- and nationally-representative data on the health care experiences of CSHCN and their families.  In 2016, the NS-CSHCN was merged with the NSCH to provide one unified survey administered annually by mail with a web-based response option. </w:t>
      </w:r>
      <w:r w:rsidR="00C838F1">
        <w:rPr>
          <w:rFonts w:asciiTheme="minorHAnsi" w:eastAsia="Times New Roman" w:hAnsiTheme="minorHAnsi"/>
          <w:sz w:val="24"/>
          <w:szCs w:val="20"/>
        </w:rPr>
        <w:t>Additional information is available at:</w:t>
      </w:r>
      <w:r w:rsidR="004C576D">
        <w:rPr>
          <w:rFonts w:asciiTheme="minorHAnsi" w:eastAsia="Times New Roman" w:hAnsiTheme="minorHAnsi"/>
          <w:sz w:val="24"/>
          <w:szCs w:val="20"/>
        </w:rPr>
        <w:t xml:space="preserve"> </w:t>
      </w:r>
      <w:r w:rsidR="00C838F1">
        <w:rPr>
          <w:rFonts w:asciiTheme="minorHAnsi" w:eastAsia="Times New Roman" w:hAnsiTheme="minorHAnsi"/>
          <w:sz w:val="24"/>
          <w:szCs w:val="20"/>
        </w:rPr>
        <w:t xml:space="preserve"> </w:t>
      </w:r>
      <w:hyperlink r:id="rId157" w:history="1">
        <w:r w:rsidRPr="00A940D2">
          <w:rPr>
            <w:rStyle w:val="Hyperlink"/>
            <w:rFonts w:asciiTheme="minorHAnsi" w:eastAsia="Times New Roman" w:hAnsiTheme="minorHAnsi"/>
            <w:sz w:val="24"/>
            <w:szCs w:val="20"/>
          </w:rPr>
          <w:t>https://mchb.hrsa.gov/data/national-surveys</w:t>
        </w:r>
      </w:hyperlink>
      <w:r w:rsidR="00813C42">
        <w:rPr>
          <w:rStyle w:val="Hyperlink"/>
          <w:rFonts w:asciiTheme="minorHAnsi" w:eastAsia="Times New Roman" w:hAnsiTheme="minorHAnsi"/>
          <w:sz w:val="24"/>
          <w:szCs w:val="20"/>
        </w:rPr>
        <w:t>.</w:t>
      </w:r>
      <w:r w:rsidRPr="00A940D2">
        <w:rPr>
          <w:rFonts w:asciiTheme="minorHAnsi" w:eastAsia="Times New Roman" w:hAnsiTheme="minorHAnsi"/>
          <w:sz w:val="24"/>
          <w:szCs w:val="20"/>
        </w:rPr>
        <w:t xml:space="preserve">        </w:t>
      </w:r>
      <w:r w:rsidRPr="00A940D2">
        <w:rPr>
          <w:rFonts w:asciiTheme="minorHAnsi" w:eastAsia="Times New Roman" w:hAnsiTheme="minorHAnsi"/>
          <w:b/>
          <w:sz w:val="24"/>
          <w:szCs w:val="20"/>
        </w:rPr>
        <w:t xml:space="preserve"> </w:t>
      </w:r>
    </w:p>
    <w:p w14:paraId="3ED2C6E2" w14:textId="77777777" w:rsidR="005C618C" w:rsidRPr="00A940D2"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p>
    <w:p w14:paraId="372496F5" w14:textId="6E128EF3" w:rsidR="005C618C" w:rsidRPr="00A940D2" w:rsidRDefault="005C618C" w:rsidP="005C618C">
      <w:pPr>
        <w:widowControl w:val="0"/>
        <w:autoSpaceDE w:val="0"/>
        <w:autoSpaceDN w:val="0"/>
        <w:adjustRightInd w:val="0"/>
        <w:spacing w:after="0" w:line="240" w:lineRule="auto"/>
        <w:rPr>
          <w:rFonts w:asciiTheme="minorHAnsi" w:eastAsia="Times New Roman" w:hAnsiTheme="minorHAnsi" w:cs="Arial"/>
          <w:sz w:val="24"/>
          <w:szCs w:val="24"/>
        </w:rPr>
      </w:pPr>
      <w:r w:rsidRPr="00A940D2">
        <w:rPr>
          <w:rFonts w:asciiTheme="minorHAnsi" w:eastAsia="Times New Roman" w:hAnsiTheme="minorHAnsi" w:cs="Arial"/>
          <w:sz w:val="24"/>
          <w:szCs w:val="24"/>
          <w:u w:val="single"/>
        </w:rPr>
        <w:t>Newborn Screening (NBS)</w:t>
      </w:r>
      <w:r w:rsidRPr="00A940D2">
        <w:rPr>
          <w:rFonts w:asciiTheme="minorHAnsi" w:eastAsia="Times New Roman" w:hAnsiTheme="minorHAnsi" w:cs="Arial"/>
          <w:sz w:val="24"/>
          <w:szCs w:val="24"/>
        </w:rPr>
        <w:t xml:space="preserve"> – The process of testing newborn babies for some serio</w:t>
      </w:r>
      <w:r w:rsidR="000D3B1A" w:rsidRPr="00A940D2">
        <w:rPr>
          <w:rFonts w:asciiTheme="minorHAnsi" w:eastAsia="Times New Roman" w:hAnsiTheme="minorHAnsi" w:cs="Arial"/>
          <w:sz w:val="24"/>
          <w:szCs w:val="24"/>
        </w:rPr>
        <w:t xml:space="preserve">us, but treatable, conditions.  Four million newborns each year are tested for conditions on the Recommended Uniform Screening Panel (a set of conditions recommended by the Secretary of HHS for NBS) that are not apparent at birth but require early intervention and treatment to mitigate brain and organ damage, severe illness, and life-threatening complications associated with these conditions. </w:t>
      </w:r>
      <w:r w:rsidR="004C576D">
        <w:rPr>
          <w:rFonts w:asciiTheme="minorHAnsi" w:eastAsia="Times New Roman" w:hAnsiTheme="minorHAnsi" w:cs="Arial"/>
          <w:sz w:val="24"/>
          <w:szCs w:val="24"/>
        </w:rPr>
        <w:t xml:space="preserve"> </w:t>
      </w:r>
      <w:r w:rsidRPr="00A940D2">
        <w:rPr>
          <w:rFonts w:asciiTheme="minorHAnsi" w:eastAsia="Times New Roman" w:hAnsiTheme="minorHAnsi" w:cs="Arial"/>
          <w:sz w:val="24"/>
          <w:szCs w:val="24"/>
        </w:rPr>
        <w:t>NBS can include a heel stick, hearing screen, and pulse oximetry.  The conditions that newborn babies are screened for varies by state.</w:t>
      </w:r>
      <w:r w:rsidR="004C576D">
        <w:rPr>
          <w:rFonts w:asciiTheme="minorHAnsi" w:eastAsia="Times New Roman" w:hAnsiTheme="minorHAnsi" w:cs="Arial"/>
          <w:sz w:val="24"/>
          <w:szCs w:val="24"/>
        </w:rPr>
        <w:t xml:space="preserve">  </w:t>
      </w:r>
      <w:r w:rsidRPr="00A940D2">
        <w:rPr>
          <w:rFonts w:asciiTheme="minorHAnsi" w:eastAsia="Times New Roman" w:hAnsiTheme="minorHAnsi" w:cs="Arial"/>
          <w:sz w:val="24"/>
          <w:szCs w:val="24"/>
        </w:rPr>
        <w:t xml:space="preserve">When a newborn screening result is </w:t>
      </w:r>
      <w:r w:rsidR="000D3B1A" w:rsidRPr="00A940D2">
        <w:rPr>
          <w:rFonts w:asciiTheme="minorHAnsi" w:eastAsia="Times New Roman" w:hAnsiTheme="minorHAnsi" w:cs="Arial"/>
          <w:sz w:val="24"/>
          <w:szCs w:val="24"/>
        </w:rPr>
        <w:t>out-of-range</w:t>
      </w:r>
      <w:r w:rsidRPr="00A940D2">
        <w:rPr>
          <w:rFonts w:asciiTheme="minorHAnsi" w:eastAsia="Times New Roman" w:hAnsiTheme="minorHAnsi" w:cs="Arial"/>
          <w:sz w:val="24"/>
          <w:szCs w:val="24"/>
        </w:rPr>
        <w:t xml:space="preserve">, further diagnostic testing is required to confirm or specify the results. </w:t>
      </w:r>
    </w:p>
    <w:p w14:paraId="11C01118" w14:textId="77777777" w:rsidR="003D380E" w:rsidRPr="00A940D2" w:rsidRDefault="003D380E" w:rsidP="005C618C">
      <w:pPr>
        <w:widowControl w:val="0"/>
        <w:autoSpaceDE w:val="0"/>
        <w:autoSpaceDN w:val="0"/>
        <w:adjustRightInd w:val="0"/>
        <w:spacing w:after="0" w:line="240" w:lineRule="auto"/>
        <w:rPr>
          <w:rFonts w:asciiTheme="minorHAnsi" w:eastAsia="Times New Roman" w:hAnsiTheme="minorHAnsi" w:cs="Arial"/>
          <w:sz w:val="24"/>
          <w:szCs w:val="24"/>
        </w:rPr>
      </w:pPr>
    </w:p>
    <w:p w14:paraId="105C8244" w14:textId="3F758694" w:rsidR="005C618C" w:rsidRPr="00A940D2" w:rsidRDefault="005C618C" w:rsidP="005C618C">
      <w:pPr>
        <w:widowControl w:val="0"/>
        <w:autoSpaceDE w:val="0"/>
        <w:autoSpaceDN w:val="0"/>
        <w:adjustRightInd w:val="0"/>
        <w:spacing w:after="0" w:line="240" w:lineRule="auto"/>
        <w:rPr>
          <w:rFonts w:asciiTheme="minorHAnsi" w:eastAsia="Times New Roman" w:hAnsiTheme="minorHAnsi" w:cs="Arial"/>
          <w:sz w:val="24"/>
          <w:szCs w:val="24"/>
        </w:rPr>
      </w:pPr>
      <w:r w:rsidRPr="00A940D2">
        <w:rPr>
          <w:rFonts w:asciiTheme="minorHAnsi" w:eastAsia="Times New Roman" w:hAnsiTheme="minorHAnsi" w:cs="Arial"/>
          <w:bCs/>
          <w:sz w:val="24"/>
          <w:szCs w:val="24"/>
          <w:u w:val="single"/>
        </w:rPr>
        <w:t>Newborn Screening</w:t>
      </w:r>
      <w:r w:rsidRPr="00A940D2">
        <w:rPr>
          <w:rFonts w:asciiTheme="minorHAnsi" w:eastAsia="Times New Roman" w:hAnsiTheme="minorHAnsi" w:cs="Arial"/>
          <w:sz w:val="24"/>
          <w:szCs w:val="24"/>
          <w:u w:val="single"/>
        </w:rPr>
        <w:t xml:space="preserve"> </w:t>
      </w:r>
      <w:r w:rsidRPr="00A940D2">
        <w:rPr>
          <w:rFonts w:asciiTheme="minorHAnsi" w:eastAsia="Times New Roman" w:hAnsiTheme="minorHAnsi" w:cs="Arial"/>
          <w:bCs/>
          <w:sz w:val="24"/>
          <w:szCs w:val="24"/>
          <w:u w:val="single"/>
        </w:rPr>
        <w:t>Long-term Follow-up</w:t>
      </w:r>
      <w:r w:rsidRPr="00A940D2">
        <w:rPr>
          <w:rFonts w:asciiTheme="minorHAnsi" w:eastAsia="Times New Roman" w:hAnsiTheme="minorHAnsi" w:cs="Arial"/>
          <w:bCs/>
          <w:sz w:val="24"/>
          <w:szCs w:val="24"/>
        </w:rPr>
        <w:t xml:space="preserve"> – Comprises </w:t>
      </w:r>
      <w:r w:rsidRPr="00A940D2">
        <w:rPr>
          <w:rFonts w:asciiTheme="minorHAnsi" w:eastAsia="Times New Roman" w:hAnsiTheme="minorHAnsi" w:cs="Arial"/>
          <w:sz w:val="24"/>
          <w:szCs w:val="24"/>
        </w:rPr>
        <w:t xml:space="preserve">the assurance and provision of </w:t>
      </w:r>
      <w:r w:rsidR="00DF370E" w:rsidRPr="00A940D2">
        <w:rPr>
          <w:rFonts w:asciiTheme="minorHAnsi" w:eastAsia="Times New Roman" w:hAnsiTheme="minorHAnsi" w:cs="Arial"/>
          <w:sz w:val="24"/>
          <w:szCs w:val="24"/>
        </w:rPr>
        <w:t xml:space="preserve">ongoing </w:t>
      </w:r>
      <w:r w:rsidRPr="00A940D2">
        <w:rPr>
          <w:rFonts w:asciiTheme="minorHAnsi" w:eastAsia="Times New Roman" w:hAnsiTheme="minorHAnsi" w:cs="Arial"/>
          <w:sz w:val="24"/>
          <w:szCs w:val="24"/>
        </w:rPr>
        <w:t xml:space="preserve">quality chronic disease management, condition-specific treatment, and age-appropriate care throughout the lifespan of individuals identified with a condition included in newborn screening.  </w:t>
      </w:r>
      <w:r w:rsidR="008A5DFE" w:rsidRPr="00A940D2">
        <w:rPr>
          <w:rFonts w:asciiTheme="minorHAnsi" w:eastAsia="Times New Roman" w:hAnsiTheme="minorHAnsi" w:cs="Arial"/>
          <w:sz w:val="24"/>
          <w:szCs w:val="24"/>
        </w:rPr>
        <w:t xml:space="preserve">  </w:t>
      </w:r>
    </w:p>
    <w:p w14:paraId="47FE1530" w14:textId="77777777" w:rsidR="003576DD" w:rsidRPr="00A940D2" w:rsidRDefault="003576DD" w:rsidP="005C618C">
      <w:pPr>
        <w:widowControl w:val="0"/>
        <w:autoSpaceDE w:val="0"/>
        <w:autoSpaceDN w:val="0"/>
        <w:adjustRightInd w:val="0"/>
        <w:spacing w:after="0" w:line="240" w:lineRule="auto"/>
        <w:rPr>
          <w:rFonts w:asciiTheme="minorHAnsi" w:eastAsia="Times New Roman" w:hAnsiTheme="minorHAnsi" w:cs="Arial"/>
          <w:sz w:val="24"/>
          <w:szCs w:val="24"/>
        </w:rPr>
      </w:pPr>
    </w:p>
    <w:p w14:paraId="797FABE6" w14:textId="4C754212" w:rsidR="005C618C" w:rsidRPr="00A940D2" w:rsidRDefault="005C618C" w:rsidP="005C618C">
      <w:pPr>
        <w:widowControl w:val="0"/>
        <w:autoSpaceDE w:val="0"/>
        <w:autoSpaceDN w:val="0"/>
        <w:adjustRightInd w:val="0"/>
        <w:spacing w:after="0" w:line="240" w:lineRule="auto"/>
        <w:rPr>
          <w:rFonts w:asciiTheme="minorHAnsi" w:eastAsia="Times New Roman" w:hAnsiTheme="minorHAnsi" w:cs="Arial"/>
          <w:sz w:val="24"/>
          <w:szCs w:val="24"/>
        </w:rPr>
      </w:pPr>
      <w:r w:rsidRPr="00A940D2">
        <w:rPr>
          <w:rFonts w:asciiTheme="minorHAnsi" w:eastAsia="Times New Roman" w:hAnsiTheme="minorHAnsi" w:cs="Arial"/>
          <w:sz w:val="24"/>
          <w:szCs w:val="24"/>
          <w:u w:val="single"/>
        </w:rPr>
        <w:t xml:space="preserve">Newborn Screening </w:t>
      </w:r>
      <w:r w:rsidRPr="00A940D2">
        <w:rPr>
          <w:rFonts w:asciiTheme="minorHAnsi" w:eastAsia="Times New Roman" w:hAnsiTheme="minorHAnsi" w:cs="Arial"/>
          <w:bCs/>
          <w:sz w:val="24"/>
          <w:szCs w:val="24"/>
          <w:u w:val="single"/>
        </w:rPr>
        <w:t>Short-term Follow-up</w:t>
      </w:r>
      <w:r w:rsidRPr="00A940D2">
        <w:rPr>
          <w:rFonts w:asciiTheme="minorHAnsi" w:eastAsia="Times New Roman" w:hAnsiTheme="minorHAnsi" w:cs="Arial"/>
          <w:bCs/>
          <w:sz w:val="24"/>
          <w:szCs w:val="24"/>
        </w:rPr>
        <w:t xml:space="preserve"> – The </w:t>
      </w:r>
      <w:r w:rsidRPr="00A940D2">
        <w:rPr>
          <w:rFonts w:asciiTheme="minorHAnsi" w:eastAsia="Times New Roman" w:hAnsiTheme="minorHAnsi" w:cs="Arial"/>
          <w:sz w:val="24"/>
          <w:szCs w:val="24"/>
        </w:rPr>
        <w:t>process of ensuring that all newborns are screened, that an appropriate follow-up caregiver is informed of results, that confirmatory testing has been completed, and that the infant has received a diagnosis and, if necessary, treatment</w:t>
      </w:r>
      <w:r w:rsidR="00DF370E" w:rsidRPr="00A940D2">
        <w:rPr>
          <w:rFonts w:asciiTheme="minorHAnsi" w:eastAsia="Times New Roman" w:hAnsiTheme="minorHAnsi" w:cs="Arial"/>
          <w:sz w:val="24"/>
          <w:szCs w:val="24"/>
        </w:rPr>
        <w:t xml:space="preserve"> is initiated</w:t>
      </w:r>
      <w:r w:rsidRPr="00A940D2">
        <w:rPr>
          <w:rFonts w:asciiTheme="minorHAnsi" w:eastAsia="Times New Roman" w:hAnsiTheme="minorHAnsi" w:cs="Arial"/>
          <w:sz w:val="24"/>
          <w:szCs w:val="24"/>
        </w:rPr>
        <w:t>.</w:t>
      </w:r>
      <w:r w:rsidR="003576DD" w:rsidRPr="00A940D2">
        <w:rPr>
          <w:rFonts w:asciiTheme="minorHAnsi" w:eastAsia="Times New Roman" w:hAnsiTheme="minorHAnsi" w:cs="Arial"/>
          <w:sz w:val="24"/>
          <w:szCs w:val="24"/>
        </w:rPr>
        <w:t xml:space="preserve">  </w:t>
      </w:r>
    </w:p>
    <w:p w14:paraId="31F2921D" w14:textId="3C70F24A" w:rsidR="003D380E" w:rsidRDefault="003D380E" w:rsidP="005C618C">
      <w:pPr>
        <w:widowControl w:val="0"/>
        <w:autoSpaceDE w:val="0"/>
        <w:autoSpaceDN w:val="0"/>
        <w:adjustRightInd w:val="0"/>
        <w:spacing w:after="0" w:line="240" w:lineRule="auto"/>
        <w:rPr>
          <w:rFonts w:asciiTheme="minorHAnsi" w:eastAsia="Times New Roman" w:hAnsiTheme="minorHAnsi"/>
          <w:b/>
          <w:color w:val="0B5294" w:themeColor="accent1" w:themeShade="BF"/>
          <w:sz w:val="24"/>
          <w:szCs w:val="20"/>
        </w:rPr>
      </w:pPr>
    </w:p>
    <w:p w14:paraId="41DC2A3E" w14:textId="77777777" w:rsidR="005C618C" w:rsidRPr="00A940D2"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r w:rsidRPr="00A940D2">
        <w:rPr>
          <w:rFonts w:asciiTheme="minorHAnsi" w:eastAsia="Times New Roman" w:hAnsiTheme="minorHAnsi"/>
          <w:sz w:val="24"/>
          <w:szCs w:val="20"/>
          <w:u w:val="single"/>
        </w:rPr>
        <w:t>Preventive Services</w:t>
      </w:r>
      <w:r w:rsidRPr="00A940D2">
        <w:rPr>
          <w:rFonts w:asciiTheme="minorHAnsi" w:eastAsia="Times New Roman" w:hAnsiTheme="minorHAnsi"/>
          <w:sz w:val="24"/>
          <w:szCs w:val="20"/>
        </w:rPr>
        <w:t xml:space="preserve"> – Activities aimed at reducing the incidence of health problems or disease prevalence in the community, or the personal risk factors for such diseases or conditions.</w:t>
      </w:r>
    </w:p>
    <w:p w14:paraId="364D5FD8" w14:textId="77777777" w:rsidR="005C618C" w:rsidRPr="00A940D2" w:rsidRDefault="005C618C" w:rsidP="005C618C">
      <w:pPr>
        <w:widowControl w:val="0"/>
        <w:autoSpaceDE w:val="0"/>
        <w:autoSpaceDN w:val="0"/>
        <w:adjustRightInd w:val="0"/>
        <w:spacing w:after="0" w:line="240" w:lineRule="auto"/>
        <w:rPr>
          <w:rFonts w:asciiTheme="minorHAnsi" w:eastAsia="Times New Roman" w:hAnsiTheme="minorHAnsi"/>
          <w:b/>
          <w:sz w:val="24"/>
          <w:szCs w:val="20"/>
        </w:rPr>
      </w:pPr>
    </w:p>
    <w:p w14:paraId="5162BAB5" w14:textId="77777777" w:rsidR="005C618C" w:rsidRPr="00A940D2"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r w:rsidRPr="00A940D2">
        <w:rPr>
          <w:rFonts w:asciiTheme="minorHAnsi" w:eastAsia="Times New Roman" w:hAnsiTheme="minorHAnsi"/>
          <w:bCs/>
          <w:sz w:val="24"/>
          <w:szCs w:val="20"/>
          <w:u w:val="single"/>
        </w:rPr>
        <w:t>Preventive Oral Health Services</w:t>
      </w:r>
      <w:r w:rsidRPr="00A940D2">
        <w:rPr>
          <w:rFonts w:asciiTheme="minorHAnsi" w:eastAsia="Times New Roman" w:hAnsiTheme="minorHAnsi"/>
          <w:bCs/>
          <w:sz w:val="24"/>
          <w:szCs w:val="20"/>
        </w:rPr>
        <w:t xml:space="preserve"> – Activities </w:t>
      </w:r>
      <w:r w:rsidRPr="00A940D2">
        <w:rPr>
          <w:rFonts w:asciiTheme="minorHAnsi" w:eastAsia="Times New Roman" w:hAnsiTheme="minorHAnsi"/>
          <w:sz w:val="24"/>
          <w:szCs w:val="20"/>
        </w:rPr>
        <w:t>that aim to improve and maintain good oral health and function by reducing the onset and/or development of oral diseases or deformities and the occurrence of oro-facial injuries.  Examples of preventive oral health services include, but are not limited to, oral hygiene instructions, fluoride treatment, and Dental Sealants.</w:t>
      </w:r>
    </w:p>
    <w:p w14:paraId="53A19868" w14:textId="77777777" w:rsidR="005C618C" w:rsidRPr="00A940D2" w:rsidRDefault="005C618C" w:rsidP="005C618C">
      <w:pPr>
        <w:widowControl w:val="0"/>
        <w:autoSpaceDE w:val="0"/>
        <w:autoSpaceDN w:val="0"/>
        <w:adjustRightInd w:val="0"/>
        <w:spacing w:after="0" w:line="240" w:lineRule="auto"/>
        <w:rPr>
          <w:rFonts w:asciiTheme="minorHAnsi" w:eastAsia="Times New Roman" w:hAnsiTheme="minorHAnsi"/>
          <w:b/>
          <w:sz w:val="24"/>
          <w:szCs w:val="20"/>
        </w:rPr>
      </w:pPr>
    </w:p>
    <w:p w14:paraId="7960A1C6" w14:textId="77777777" w:rsidR="005C618C" w:rsidRPr="00A940D2"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r w:rsidRPr="00A940D2">
        <w:rPr>
          <w:rFonts w:asciiTheme="minorHAnsi" w:eastAsia="Times New Roman" w:hAnsiTheme="minorHAnsi"/>
          <w:sz w:val="24"/>
          <w:szCs w:val="20"/>
          <w:u w:val="single"/>
        </w:rPr>
        <w:t>Primary Care/Primary Care Services</w:t>
      </w:r>
      <w:r w:rsidRPr="00A940D2">
        <w:rPr>
          <w:rFonts w:asciiTheme="minorHAnsi" w:eastAsia="Times New Roman" w:hAnsiTheme="minorHAnsi"/>
          <w:sz w:val="24"/>
          <w:szCs w:val="20"/>
        </w:rPr>
        <w:t xml:space="preserve"> – The provision of comprehensive personal health services that include health maintenance and preventive services, initial assessment of health problems, treatment of uncomplicated and diagnosed chronic health problems, and the overall management of an individual’s or family’s health care services.</w:t>
      </w:r>
    </w:p>
    <w:p w14:paraId="0B2B1A86" w14:textId="77777777" w:rsidR="005C618C" w:rsidRPr="00A940D2" w:rsidRDefault="005C618C" w:rsidP="005C618C">
      <w:pPr>
        <w:widowControl w:val="0"/>
        <w:autoSpaceDE w:val="0"/>
        <w:autoSpaceDN w:val="0"/>
        <w:adjustRightInd w:val="0"/>
        <w:spacing w:after="0" w:line="240" w:lineRule="auto"/>
        <w:rPr>
          <w:rFonts w:asciiTheme="minorHAnsi" w:eastAsia="Times New Roman" w:hAnsiTheme="minorHAnsi"/>
          <w:b/>
          <w:color w:val="0B5294" w:themeColor="accent1" w:themeShade="BF"/>
          <w:sz w:val="24"/>
          <w:szCs w:val="20"/>
        </w:rPr>
      </w:pPr>
    </w:p>
    <w:p w14:paraId="0FA5483F" w14:textId="1F3FA776" w:rsidR="005C618C" w:rsidRPr="00A940D2"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r w:rsidRPr="00A940D2">
        <w:rPr>
          <w:rFonts w:asciiTheme="minorHAnsi" w:eastAsia="Times New Roman" w:hAnsiTheme="minorHAnsi"/>
          <w:bCs/>
          <w:sz w:val="24"/>
          <w:szCs w:val="20"/>
          <w:u w:val="single"/>
        </w:rPr>
        <w:t>Recommended Uniform Screening Panel (RUSP)</w:t>
      </w:r>
      <w:r w:rsidRPr="00A940D2">
        <w:rPr>
          <w:rFonts w:asciiTheme="minorHAnsi" w:eastAsia="Times New Roman" w:hAnsiTheme="minorHAnsi"/>
          <w:sz w:val="24"/>
          <w:szCs w:val="20"/>
        </w:rPr>
        <w:t xml:space="preserve"> – The RUSP is a list of disorders that are recommended by the Secretary of the Department of Healt</w:t>
      </w:r>
      <w:r w:rsidR="0014435A">
        <w:rPr>
          <w:rFonts w:asciiTheme="minorHAnsi" w:eastAsia="Times New Roman" w:hAnsiTheme="minorHAnsi"/>
          <w:sz w:val="24"/>
          <w:szCs w:val="20"/>
        </w:rPr>
        <w:t>h and Human Services (HHS) for s</w:t>
      </w:r>
      <w:r w:rsidRPr="00A940D2">
        <w:rPr>
          <w:rFonts w:asciiTheme="minorHAnsi" w:eastAsia="Times New Roman" w:hAnsiTheme="minorHAnsi"/>
          <w:sz w:val="24"/>
          <w:szCs w:val="20"/>
        </w:rPr>
        <w:t>ta</w:t>
      </w:r>
      <w:r w:rsidR="0014435A">
        <w:rPr>
          <w:rFonts w:asciiTheme="minorHAnsi" w:eastAsia="Times New Roman" w:hAnsiTheme="minorHAnsi"/>
          <w:sz w:val="24"/>
          <w:szCs w:val="20"/>
        </w:rPr>
        <w:t>tes to screen as part of their s</w:t>
      </w:r>
      <w:r w:rsidRPr="00A940D2">
        <w:rPr>
          <w:rFonts w:asciiTheme="minorHAnsi" w:eastAsia="Times New Roman" w:hAnsiTheme="minorHAnsi"/>
          <w:sz w:val="24"/>
          <w:szCs w:val="20"/>
        </w:rPr>
        <w:t xml:space="preserve">tate universal newborn screening (NBS) programs.  Disorders on the RUSP are chosen based on evidence that supports the potential net benefit of screening, the ability of states to screen for the disorder, and the availability of effective treatments.  It is recommended that every newborn be screened for all disorders on the RUSP.  Most </w:t>
      </w:r>
      <w:r w:rsidR="0014435A">
        <w:rPr>
          <w:rFonts w:asciiTheme="minorHAnsi" w:eastAsia="Times New Roman" w:hAnsiTheme="minorHAnsi"/>
          <w:sz w:val="24"/>
          <w:szCs w:val="20"/>
        </w:rPr>
        <w:t>s</w:t>
      </w:r>
      <w:r w:rsidRPr="00A940D2">
        <w:rPr>
          <w:rFonts w:asciiTheme="minorHAnsi" w:eastAsia="Times New Roman" w:hAnsiTheme="minorHAnsi"/>
          <w:sz w:val="24"/>
          <w:szCs w:val="20"/>
        </w:rPr>
        <w:t>tates screen for the majority of disorders on the RUSP; newer conditions are still in process of adoption. Some states also screen for a</w:t>
      </w:r>
      <w:r w:rsidR="0014435A">
        <w:rPr>
          <w:rFonts w:asciiTheme="minorHAnsi" w:eastAsia="Times New Roman" w:hAnsiTheme="minorHAnsi"/>
          <w:sz w:val="24"/>
          <w:szCs w:val="20"/>
        </w:rPr>
        <w:t>dditional disorders.  Although s</w:t>
      </w:r>
      <w:r w:rsidRPr="00A940D2">
        <w:rPr>
          <w:rFonts w:asciiTheme="minorHAnsi" w:eastAsia="Times New Roman" w:hAnsiTheme="minorHAnsi"/>
          <w:sz w:val="24"/>
          <w:szCs w:val="20"/>
        </w:rPr>
        <w:t>tates ultimately determine what disorders their NBS program will screen for, the RUSP establishes a standardized list of disorders that have been supported by the Advisory Committee on Heritable Disor</w:t>
      </w:r>
      <w:r w:rsidR="00DF370E" w:rsidRPr="00A940D2">
        <w:rPr>
          <w:rFonts w:asciiTheme="minorHAnsi" w:eastAsia="Times New Roman" w:hAnsiTheme="minorHAnsi"/>
          <w:sz w:val="24"/>
          <w:szCs w:val="20"/>
        </w:rPr>
        <w:t>ders in Newborns and Children</w:t>
      </w:r>
      <w:r w:rsidRPr="00A940D2">
        <w:rPr>
          <w:rFonts w:asciiTheme="minorHAnsi" w:eastAsia="Times New Roman" w:hAnsiTheme="minorHAnsi"/>
          <w:sz w:val="24"/>
          <w:szCs w:val="20"/>
        </w:rPr>
        <w:t xml:space="preserve"> and the Secretary of HHS.</w:t>
      </w:r>
    </w:p>
    <w:p w14:paraId="52D149E4" w14:textId="77777777" w:rsidR="005C618C" w:rsidRPr="00A940D2" w:rsidRDefault="005C618C" w:rsidP="005C618C">
      <w:pPr>
        <w:widowControl w:val="0"/>
        <w:autoSpaceDE w:val="0"/>
        <w:autoSpaceDN w:val="0"/>
        <w:adjustRightInd w:val="0"/>
        <w:spacing w:after="0" w:line="240" w:lineRule="auto"/>
        <w:rPr>
          <w:rFonts w:asciiTheme="minorHAnsi" w:eastAsia="Times New Roman" w:hAnsiTheme="minorHAnsi"/>
          <w:b/>
          <w:color w:val="0B5294" w:themeColor="accent1" w:themeShade="BF"/>
          <w:sz w:val="24"/>
          <w:szCs w:val="20"/>
        </w:rPr>
      </w:pPr>
    </w:p>
    <w:p w14:paraId="420C81BA" w14:textId="7ECF64D4" w:rsidR="005C618C" w:rsidRPr="00A940D2" w:rsidRDefault="005C618C" w:rsidP="005C618C">
      <w:pPr>
        <w:widowControl w:val="0"/>
        <w:autoSpaceDE w:val="0"/>
        <w:autoSpaceDN w:val="0"/>
        <w:adjustRightInd w:val="0"/>
        <w:spacing w:after="0" w:line="240" w:lineRule="auto"/>
        <w:rPr>
          <w:rFonts w:asciiTheme="minorHAnsi" w:eastAsia="Times New Roman" w:hAnsiTheme="minorHAnsi"/>
          <w:sz w:val="24"/>
          <w:szCs w:val="20"/>
        </w:rPr>
      </w:pPr>
      <w:r w:rsidRPr="00A940D2">
        <w:rPr>
          <w:rFonts w:asciiTheme="minorHAnsi" w:eastAsia="Times New Roman" w:hAnsiTheme="minorHAnsi"/>
          <w:sz w:val="24"/>
          <w:szCs w:val="20"/>
          <w:u w:val="single"/>
        </w:rPr>
        <w:t>Safe Infant Sleep Environment</w:t>
      </w:r>
      <w:r w:rsidRPr="00A940D2">
        <w:rPr>
          <w:rFonts w:asciiTheme="minorHAnsi" w:eastAsia="Times New Roman" w:hAnsiTheme="minorHAnsi"/>
          <w:sz w:val="24"/>
          <w:szCs w:val="20"/>
        </w:rPr>
        <w:t xml:space="preserve"> – Infant is placed to sleep on its back, in its own crib without blankets or soft items or bed-sharing.</w:t>
      </w:r>
      <w:r w:rsidR="004C576D">
        <w:rPr>
          <w:rFonts w:asciiTheme="minorHAnsi" w:eastAsia="Times New Roman" w:hAnsiTheme="minorHAnsi"/>
          <w:sz w:val="24"/>
          <w:szCs w:val="20"/>
        </w:rPr>
        <w:t xml:space="preserve">  Additional information is available at: </w:t>
      </w:r>
      <w:r w:rsidRPr="00A940D2">
        <w:rPr>
          <w:rFonts w:asciiTheme="minorHAnsi" w:eastAsia="Times New Roman" w:hAnsiTheme="minorHAnsi"/>
          <w:sz w:val="24"/>
          <w:szCs w:val="20"/>
        </w:rPr>
        <w:t xml:space="preserve"> </w:t>
      </w:r>
      <w:hyperlink r:id="rId158" w:history="1">
        <w:r w:rsidRPr="00A940D2">
          <w:rPr>
            <w:rFonts w:asciiTheme="minorHAnsi" w:eastAsia="Times New Roman" w:hAnsiTheme="minorHAnsi"/>
            <w:color w:val="0000FF"/>
            <w:sz w:val="24"/>
            <w:szCs w:val="20"/>
            <w:u w:val="single"/>
          </w:rPr>
          <w:t>http://pediatrics.aappublications.org/content/early/2011/10/12/peds.2011-2284</w:t>
        </w:r>
      </w:hyperlink>
    </w:p>
    <w:p w14:paraId="74D98480" w14:textId="77777777" w:rsidR="005C618C" w:rsidRPr="00A940D2" w:rsidRDefault="005C618C" w:rsidP="005C618C">
      <w:pPr>
        <w:widowControl w:val="0"/>
        <w:autoSpaceDE w:val="0"/>
        <w:autoSpaceDN w:val="0"/>
        <w:adjustRightInd w:val="0"/>
        <w:spacing w:after="0" w:line="240" w:lineRule="auto"/>
        <w:rPr>
          <w:rFonts w:asciiTheme="minorHAnsi" w:eastAsia="Times New Roman" w:hAnsiTheme="minorHAnsi"/>
          <w:b/>
          <w:color w:val="0B5294" w:themeColor="accent1" w:themeShade="BF"/>
          <w:sz w:val="24"/>
          <w:szCs w:val="20"/>
        </w:rPr>
      </w:pPr>
    </w:p>
    <w:p w14:paraId="57BD0AB9" w14:textId="77777777" w:rsidR="005C618C" w:rsidRPr="00A940D2" w:rsidRDefault="005C618C" w:rsidP="005C618C">
      <w:pPr>
        <w:widowControl w:val="0"/>
        <w:autoSpaceDE w:val="0"/>
        <w:autoSpaceDN w:val="0"/>
        <w:adjustRightInd w:val="0"/>
        <w:spacing w:after="0" w:line="240" w:lineRule="auto"/>
        <w:rPr>
          <w:rFonts w:asciiTheme="minorHAnsi" w:eastAsia="Times New Roman" w:hAnsiTheme="minorHAnsi" w:cs="Arial"/>
          <w:color w:val="000000"/>
          <w:sz w:val="24"/>
          <w:szCs w:val="24"/>
        </w:rPr>
      </w:pPr>
      <w:r w:rsidRPr="00A940D2">
        <w:rPr>
          <w:rFonts w:asciiTheme="minorHAnsi" w:eastAsia="Times New Roman" w:hAnsiTheme="minorHAnsi" w:cs="Arial"/>
          <w:sz w:val="24"/>
          <w:szCs w:val="24"/>
          <w:u w:val="single"/>
        </w:rPr>
        <w:t xml:space="preserve">Sudden </w:t>
      </w:r>
      <w:r w:rsidRPr="00A940D2">
        <w:rPr>
          <w:rFonts w:asciiTheme="minorHAnsi" w:eastAsia="Times New Roman" w:hAnsiTheme="minorHAnsi" w:cs="Arial"/>
          <w:color w:val="000000"/>
          <w:sz w:val="24"/>
          <w:szCs w:val="24"/>
          <w:u w:val="single"/>
        </w:rPr>
        <w:t>Unexpected Infant Deaths (SUID)</w:t>
      </w:r>
      <w:r w:rsidRPr="00A940D2">
        <w:rPr>
          <w:rFonts w:asciiTheme="minorHAnsi" w:eastAsia="Times New Roman" w:hAnsiTheme="minorHAnsi" w:cs="Arial"/>
          <w:color w:val="000000"/>
          <w:sz w:val="24"/>
          <w:szCs w:val="24"/>
        </w:rPr>
        <w:t> - D</w:t>
      </w:r>
      <w:r w:rsidRPr="00A940D2">
        <w:rPr>
          <w:rFonts w:asciiTheme="minorHAnsi" w:eastAsia="Times New Roman" w:hAnsiTheme="minorHAnsi" w:cs="Arial"/>
          <w:color w:val="000000"/>
          <w:sz w:val="24"/>
          <w:szCs w:val="24"/>
          <w:shd w:val="clear" w:color="auto" w:fill="FFFFFF"/>
        </w:rPr>
        <w:t xml:space="preserve">eaths in infants less than one year of age that occur suddenly and unexpectedly, and in whom the cause of death is not immediately obvious prior to investigation. </w:t>
      </w:r>
    </w:p>
    <w:p w14:paraId="0A514E86" w14:textId="77777777" w:rsidR="005C618C" w:rsidRPr="00A940D2" w:rsidRDefault="005C618C" w:rsidP="005C618C">
      <w:pPr>
        <w:spacing w:after="0" w:line="240" w:lineRule="auto"/>
        <w:rPr>
          <w:rFonts w:asciiTheme="minorHAnsi" w:eastAsia="Times New Roman" w:hAnsiTheme="minorHAnsi" w:cs="Arial"/>
          <w:bCs/>
          <w:color w:val="000000"/>
          <w:sz w:val="24"/>
          <w:szCs w:val="24"/>
        </w:rPr>
      </w:pPr>
    </w:p>
    <w:p w14:paraId="6C3E330F" w14:textId="77777777" w:rsidR="005C618C" w:rsidRPr="00A940D2" w:rsidRDefault="005C618C" w:rsidP="005C618C">
      <w:pPr>
        <w:spacing w:after="0" w:line="240" w:lineRule="auto"/>
        <w:rPr>
          <w:rFonts w:asciiTheme="minorHAnsi" w:eastAsia="Times New Roman" w:hAnsiTheme="minorHAnsi" w:cs="Arial"/>
          <w:color w:val="000000"/>
          <w:sz w:val="24"/>
          <w:szCs w:val="24"/>
        </w:rPr>
      </w:pPr>
      <w:r w:rsidRPr="00A940D2">
        <w:rPr>
          <w:rFonts w:asciiTheme="minorHAnsi" w:eastAsia="Times New Roman" w:hAnsiTheme="minorHAnsi" w:cs="Arial"/>
          <w:bCs/>
          <w:color w:val="000000"/>
          <w:sz w:val="24"/>
          <w:szCs w:val="24"/>
          <w:u w:val="single"/>
        </w:rPr>
        <w:t>Sudden Infant Death Syndrome (SIDS)</w:t>
      </w:r>
      <w:r w:rsidRPr="00A940D2">
        <w:rPr>
          <w:rFonts w:asciiTheme="minorHAnsi" w:eastAsia="Times New Roman" w:hAnsiTheme="minorHAnsi" w:cs="Arial"/>
          <w:bCs/>
          <w:color w:val="000000"/>
          <w:sz w:val="24"/>
          <w:szCs w:val="24"/>
        </w:rPr>
        <w:t xml:space="preserve"> – The </w:t>
      </w:r>
      <w:r w:rsidRPr="00A940D2">
        <w:rPr>
          <w:rFonts w:asciiTheme="minorHAnsi" w:eastAsia="Times New Roman" w:hAnsiTheme="minorHAnsi" w:cs="Arial"/>
          <w:color w:val="000000"/>
          <w:sz w:val="24"/>
          <w:szCs w:val="24"/>
        </w:rPr>
        <w:t>sudden death of an infant less than one year of age that cannot be explained after a thorough investigation is conducted, including a complete autopsy, examination of the death scene, and review of the clinical history.</w:t>
      </w:r>
    </w:p>
    <w:p w14:paraId="2939B21F" w14:textId="77777777" w:rsidR="005C618C" w:rsidRPr="00A940D2" w:rsidRDefault="005C618C" w:rsidP="005C618C">
      <w:pPr>
        <w:widowControl w:val="0"/>
        <w:autoSpaceDE w:val="0"/>
        <w:autoSpaceDN w:val="0"/>
        <w:adjustRightInd w:val="0"/>
        <w:spacing w:after="0" w:line="240" w:lineRule="auto"/>
        <w:rPr>
          <w:rFonts w:asciiTheme="minorHAnsi" w:eastAsia="Times New Roman" w:hAnsiTheme="minorHAnsi"/>
          <w:b/>
          <w:color w:val="0B5294" w:themeColor="accent1" w:themeShade="BF"/>
          <w:sz w:val="24"/>
          <w:szCs w:val="20"/>
        </w:rPr>
      </w:pPr>
    </w:p>
    <w:p w14:paraId="257329DA" w14:textId="77777777" w:rsidR="005C618C" w:rsidRPr="00A940D2" w:rsidRDefault="005C618C" w:rsidP="005C618C">
      <w:pPr>
        <w:widowControl w:val="0"/>
        <w:autoSpaceDE w:val="0"/>
        <w:autoSpaceDN w:val="0"/>
        <w:adjustRightInd w:val="0"/>
        <w:spacing w:after="0" w:line="240" w:lineRule="auto"/>
        <w:rPr>
          <w:rFonts w:asciiTheme="minorHAnsi" w:eastAsia="Times New Roman" w:hAnsiTheme="minorHAnsi" w:cs="Arial"/>
          <w:sz w:val="24"/>
          <w:szCs w:val="24"/>
        </w:rPr>
      </w:pPr>
      <w:r w:rsidRPr="00A940D2">
        <w:rPr>
          <w:rFonts w:asciiTheme="minorHAnsi" w:eastAsia="Times New Roman" w:hAnsiTheme="minorHAnsi" w:cs="Arial"/>
          <w:sz w:val="24"/>
          <w:szCs w:val="24"/>
          <w:u w:val="single"/>
        </w:rPr>
        <w:t>Systems Development</w:t>
      </w:r>
      <w:r w:rsidRPr="00A940D2">
        <w:rPr>
          <w:rFonts w:asciiTheme="minorHAnsi" w:eastAsia="Times New Roman" w:hAnsiTheme="minorHAnsi" w:cs="Arial"/>
          <w:sz w:val="24"/>
          <w:szCs w:val="24"/>
        </w:rPr>
        <w:t xml:space="preserve"> – Activities involving the creation or enhancement of organizational infrastructures at the community level for the delivery of health services and other needed ancillary services to individuals in the community by improving the service capacity of health care service providers.</w:t>
      </w:r>
    </w:p>
    <w:p w14:paraId="4E195AD3" w14:textId="77777777" w:rsidR="005C618C" w:rsidRPr="00A940D2" w:rsidRDefault="005C618C" w:rsidP="005C618C">
      <w:pPr>
        <w:widowControl w:val="0"/>
        <w:autoSpaceDE w:val="0"/>
        <w:autoSpaceDN w:val="0"/>
        <w:adjustRightInd w:val="0"/>
        <w:spacing w:after="0" w:line="240" w:lineRule="auto"/>
        <w:rPr>
          <w:rFonts w:asciiTheme="minorHAnsi" w:eastAsia="Times New Roman" w:hAnsiTheme="minorHAnsi" w:cs="Arial"/>
          <w:sz w:val="24"/>
          <w:szCs w:val="24"/>
        </w:rPr>
      </w:pPr>
    </w:p>
    <w:p w14:paraId="78D2B723" w14:textId="504D61E7" w:rsidR="00603225" w:rsidRPr="00A9756D" w:rsidRDefault="005C618C" w:rsidP="00813C42">
      <w:pPr>
        <w:widowControl w:val="0"/>
        <w:autoSpaceDE w:val="0"/>
        <w:autoSpaceDN w:val="0"/>
        <w:adjustRightInd w:val="0"/>
        <w:spacing w:after="0" w:line="240" w:lineRule="auto"/>
        <w:rPr>
          <w:rFonts w:ascii="Arial" w:hAnsi="Arial" w:cs="Arial"/>
          <w:sz w:val="24"/>
          <w:szCs w:val="24"/>
        </w:rPr>
      </w:pPr>
      <w:r w:rsidRPr="00A940D2">
        <w:rPr>
          <w:rFonts w:asciiTheme="minorHAnsi" w:eastAsia="Times New Roman" w:hAnsiTheme="minorHAnsi" w:cs="Arial"/>
          <w:sz w:val="24"/>
          <w:szCs w:val="24"/>
          <w:u w:val="single"/>
        </w:rPr>
        <w:t>Traumatic Brain Injury</w:t>
      </w:r>
      <w:r w:rsidRPr="00A940D2">
        <w:rPr>
          <w:rFonts w:asciiTheme="minorHAnsi" w:eastAsia="Times New Roman" w:hAnsiTheme="minorHAnsi" w:cs="Arial"/>
          <w:sz w:val="24"/>
          <w:szCs w:val="24"/>
        </w:rPr>
        <w:t xml:space="preserve"> – An alteration in brain function, or other evidence of brain pathology caused by an external force.</w:t>
      </w:r>
    </w:p>
    <w:sectPr w:rsidR="00603225" w:rsidRPr="00A9756D" w:rsidSect="009240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EE7091" w14:textId="77777777" w:rsidR="00FB0985" w:rsidRDefault="00FB0985" w:rsidP="00B025E5">
      <w:pPr>
        <w:spacing w:after="0" w:line="240" w:lineRule="auto"/>
      </w:pPr>
      <w:r>
        <w:separator/>
      </w:r>
    </w:p>
  </w:endnote>
  <w:endnote w:type="continuationSeparator" w:id="0">
    <w:p w14:paraId="549D03FF" w14:textId="77777777" w:rsidR="00FB0985" w:rsidRDefault="00FB0985" w:rsidP="00B02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omicSansMS-Identity-H">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E62DD" w14:textId="5C15ABEC" w:rsidR="00FB0985" w:rsidRDefault="00FB0985">
    <w:pPr>
      <w:pStyle w:val="Footer"/>
      <w:jc w:val="center"/>
    </w:pPr>
    <w:r>
      <w:fldChar w:fldCharType="begin"/>
    </w:r>
    <w:r>
      <w:instrText xml:space="preserve"> PAGE   \* MERGEFORMAT </w:instrText>
    </w:r>
    <w:r>
      <w:fldChar w:fldCharType="separate"/>
    </w:r>
    <w:r w:rsidR="000A3835">
      <w:rPr>
        <w:noProof/>
      </w:rPr>
      <w:t>2</w:t>
    </w:r>
    <w:r>
      <w:rPr>
        <w:noProof/>
      </w:rPr>
      <w:fldChar w:fldCharType="end"/>
    </w:r>
  </w:p>
  <w:p w14:paraId="2AD397BF" w14:textId="77777777" w:rsidR="00FB0985" w:rsidRDefault="00FB09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4EDCD" w14:textId="77777777" w:rsidR="00FB0985" w:rsidRDefault="00FB0985">
    <w:pPr>
      <w:pStyle w:val="Footer"/>
      <w:jc w:val="center"/>
    </w:pPr>
  </w:p>
  <w:p w14:paraId="5E33956E" w14:textId="77777777" w:rsidR="00FB0985" w:rsidRDefault="00FB09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5A390" w14:textId="5927F2FF" w:rsidR="00FB0985" w:rsidRDefault="00FB0985">
    <w:pPr>
      <w:pStyle w:val="Footer"/>
      <w:jc w:val="center"/>
    </w:pPr>
    <w:r>
      <w:fldChar w:fldCharType="begin"/>
    </w:r>
    <w:r>
      <w:instrText xml:space="preserve"> PAGE   \* MERGEFORMAT </w:instrText>
    </w:r>
    <w:r>
      <w:fldChar w:fldCharType="separate"/>
    </w:r>
    <w:r w:rsidR="005D0402">
      <w:rPr>
        <w:noProof/>
      </w:rPr>
      <w:t>29</w:t>
    </w:r>
    <w:r>
      <w:rPr>
        <w:noProof/>
      </w:rPr>
      <w:fldChar w:fldCharType="end"/>
    </w:r>
  </w:p>
  <w:p w14:paraId="3CE09EB5" w14:textId="77777777" w:rsidR="00FB0985" w:rsidRDefault="00FB098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570E5" w14:textId="77777777" w:rsidR="00FB0985" w:rsidRDefault="00FB0985">
    <w:pPr>
      <w:pStyle w:val="Footer"/>
      <w:jc w:val="center"/>
    </w:pPr>
  </w:p>
  <w:p w14:paraId="5F18FBEC" w14:textId="77777777" w:rsidR="00FB0985" w:rsidRDefault="00FB098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70614" w14:textId="6E353037" w:rsidR="00FB0985" w:rsidRDefault="00FB0985">
    <w:pPr>
      <w:pStyle w:val="Footer"/>
      <w:jc w:val="center"/>
    </w:pPr>
    <w:r>
      <w:fldChar w:fldCharType="begin"/>
    </w:r>
    <w:r>
      <w:instrText xml:space="preserve"> PAGE   \* MERGEFORMAT </w:instrText>
    </w:r>
    <w:r>
      <w:fldChar w:fldCharType="separate"/>
    </w:r>
    <w:r w:rsidR="005D0402">
      <w:rPr>
        <w:noProof/>
      </w:rPr>
      <w:t>111</w:t>
    </w:r>
    <w:r>
      <w:rPr>
        <w:noProof/>
      </w:rPr>
      <w:fldChar w:fldCharType="end"/>
    </w:r>
  </w:p>
  <w:p w14:paraId="73C0F5A5" w14:textId="77777777" w:rsidR="00FB0985" w:rsidRDefault="00FB098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0AFA0" w14:textId="77777777" w:rsidR="00FB0985" w:rsidRDefault="00FB0985">
    <w:pPr>
      <w:pStyle w:val="Footer"/>
      <w:jc w:val="center"/>
    </w:pPr>
  </w:p>
  <w:p w14:paraId="054E57C2" w14:textId="77777777" w:rsidR="00FB0985" w:rsidRDefault="00FB098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99DAB" w14:textId="77777777" w:rsidR="00FB0985" w:rsidRDefault="00FB0985">
    <w:pPr>
      <w:pStyle w:val="Footer"/>
      <w:jc w:val="center"/>
    </w:pPr>
  </w:p>
  <w:p w14:paraId="1D026704" w14:textId="77777777" w:rsidR="00FB0985" w:rsidRDefault="00FB098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74790" w14:textId="77777777" w:rsidR="00FB0985" w:rsidRDefault="00FB0985">
    <w:pPr>
      <w:pStyle w:val="Footer"/>
      <w:jc w:val="center"/>
    </w:pPr>
  </w:p>
  <w:p w14:paraId="19C12BF8" w14:textId="77777777" w:rsidR="00FB0985" w:rsidRDefault="00FB09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7CD66" w14:textId="77777777" w:rsidR="00FB0985" w:rsidRDefault="00FB0985" w:rsidP="00B025E5">
      <w:pPr>
        <w:spacing w:after="0" w:line="240" w:lineRule="auto"/>
      </w:pPr>
      <w:r>
        <w:separator/>
      </w:r>
    </w:p>
  </w:footnote>
  <w:footnote w:type="continuationSeparator" w:id="0">
    <w:p w14:paraId="071DD85A" w14:textId="77777777" w:rsidR="00FB0985" w:rsidRDefault="00FB0985" w:rsidP="00B025E5">
      <w:pPr>
        <w:spacing w:after="0" w:line="240" w:lineRule="auto"/>
      </w:pPr>
      <w:r>
        <w:continuationSeparator/>
      </w:r>
    </w:p>
  </w:footnote>
  <w:footnote w:id="1">
    <w:p w14:paraId="5163899E" w14:textId="5F11355A" w:rsidR="00FB0985" w:rsidRDefault="00FB0985" w:rsidP="009656E7">
      <w:pPr>
        <w:pStyle w:val="CommentText"/>
      </w:pPr>
      <w:r>
        <w:rPr>
          <w:rStyle w:val="FootnoteReference"/>
        </w:rPr>
        <w:footnoteRef/>
      </w:r>
      <w:r>
        <w:t xml:space="preserve"> </w:t>
      </w:r>
      <w:r>
        <w:rPr>
          <w:rFonts w:ascii="Arial" w:hAnsi="Arial" w:cs="Arial"/>
          <w:color w:val="515151"/>
        </w:rPr>
        <w:t xml:space="preserve">McMaster University. Health Evidence Glossary. Available </w:t>
      </w:r>
      <w:hyperlink r:id="rId1" w:anchor="E" w:history="1">
        <w:r w:rsidRPr="0079084F">
          <w:rPr>
            <w:rStyle w:val="Hyperlink"/>
            <w:rFonts w:ascii="Arial" w:hAnsi="Arial" w:cs="Arial"/>
          </w:rPr>
          <w:t>http://www.healthevidence.org/glossary.aspx#E</w:t>
        </w:r>
      </w:hyperlink>
      <w:r>
        <w:rPr>
          <w:rFonts w:ascii="Arial" w:hAnsi="Arial" w:cs="Arial"/>
          <w:color w:val="515151"/>
        </w:rPr>
        <w:t>, Accessed 9/9/15</w:t>
      </w:r>
    </w:p>
    <w:p w14:paraId="7B73C582" w14:textId="270A4629" w:rsidR="00FB0985" w:rsidRDefault="00FB0985">
      <w:pPr>
        <w:pStyle w:val="FootnoteText"/>
      </w:pPr>
    </w:p>
  </w:footnote>
  <w:footnote w:id="2">
    <w:p w14:paraId="3C0BEB3A" w14:textId="6DC735A3" w:rsidR="00FB0985" w:rsidRDefault="00FB0985">
      <w:pPr>
        <w:pStyle w:val="FootnoteText"/>
      </w:pPr>
      <w:r>
        <w:rPr>
          <w:rStyle w:val="FootnoteReference"/>
        </w:rPr>
        <w:footnoteRef/>
      </w:r>
      <w:r>
        <w:t xml:space="preserve"> </w:t>
      </w:r>
      <w:r>
        <w:rPr>
          <w:rFonts w:ascii="Arial" w:hAnsi="Arial" w:cs="Arial"/>
          <w:color w:val="515151"/>
        </w:rPr>
        <w:t xml:space="preserve">Adapted from the Robert Wood Johnson </w:t>
      </w:r>
      <w:r>
        <w:rPr>
          <w:rStyle w:val="Emphasis"/>
          <w:rFonts w:ascii="Arial" w:hAnsi="Arial" w:cs="Arial"/>
          <w:color w:val="515151"/>
        </w:rPr>
        <w:t>What Works for Health</w:t>
      </w:r>
      <w:r>
        <w:rPr>
          <w:rFonts w:ascii="Arial" w:hAnsi="Arial" w:cs="Arial"/>
          <w:color w:val="515151"/>
        </w:rPr>
        <w:t xml:space="preserve"> project.  Available at: </w:t>
      </w:r>
      <w:hyperlink r:id="rId2" w:tgtFrame="_blank" w:history="1">
        <w:r>
          <w:rPr>
            <w:rStyle w:val="Hyperlink"/>
            <w:rFonts w:ascii="Arial" w:hAnsi="Arial" w:cs="Arial"/>
          </w:rPr>
          <w:t>http://www.countyhealthrankings.org/roadmaps/what-works-for-health</w:t>
        </w:r>
      </w:hyperlink>
      <w:r>
        <w:rPr>
          <w:rFonts w:ascii="Arial" w:hAnsi="Arial" w:cs="Arial"/>
          <w:color w:val="515151"/>
        </w:rPr>
        <w:t>, accessed 9/9/15</w:t>
      </w:r>
    </w:p>
  </w:footnote>
  <w:footnote w:id="3">
    <w:p w14:paraId="21591356" w14:textId="5863DED1" w:rsidR="00FB0985" w:rsidRDefault="00FB0985" w:rsidP="00DE36C8">
      <w:pPr>
        <w:pStyle w:val="FootnoteText"/>
        <w:ind w:left="0"/>
      </w:pPr>
      <w:r>
        <w:rPr>
          <w:rStyle w:val="FootnoteReference"/>
        </w:rPr>
        <w:footnoteRef/>
      </w:r>
      <w:r>
        <w:t xml:space="preserve"> </w:t>
      </w:r>
      <w:r w:rsidRPr="00DE36C8">
        <w:t xml:space="preserve">: Kogan MD, Dykton C, Hirai AH, Strickland BB, Bethell CD, Naqvi I, Cano CE, Downing-Futrell SL, Lu MC. A new performance measurement system for maternal and child health in the United States. Matern Child Health J. 2015 May;19(5):945-57. </w:t>
      </w:r>
      <w:hyperlink r:id="rId3" w:history="1">
        <w:r w:rsidRPr="00DE36C8">
          <w:rPr>
            <w:rStyle w:val="Hyperlink"/>
          </w:rPr>
          <w:t>https</w:t>
        </w:r>
      </w:hyperlink>
      <w:hyperlink r:id="rId4" w:history="1">
        <w:r w:rsidRPr="00DE36C8">
          <w:rPr>
            <w:rStyle w:val="Hyperlink"/>
          </w:rPr>
          <w:t>://www.ncbi.nlm.nih.gov/pmc/articles/PMC4428536</w:t>
        </w:r>
      </w:hyperlink>
    </w:p>
  </w:footnote>
  <w:footnote w:id="4">
    <w:p w14:paraId="64AA1C91" w14:textId="77777777" w:rsidR="00FB0985" w:rsidRPr="007C262E" w:rsidRDefault="00FB0985" w:rsidP="00382475">
      <w:pPr>
        <w:pStyle w:val="FootnoteText"/>
        <w:ind w:left="0"/>
      </w:pPr>
      <w:r>
        <w:rPr>
          <w:rStyle w:val="FootnoteReference"/>
        </w:rPr>
        <w:footnoteRef/>
      </w:r>
      <w:r>
        <w:t xml:space="preserve"> </w:t>
      </w:r>
      <w:r w:rsidRPr="007C262E">
        <w:t xml:space="preserve">Carman K., Dardess, P., Maurer, M., Sofaer, S., Adams, K., Bechtcl, C., Sweeney, J. “Patient and Family Engagement: A framework for understanding the elements and developing interventions and policies.” </w:t>
      </w:r>
      <w:r w:rsidRPr="007C262E">
        <w:rPr>
          <w:i/>
        </w:rPr>
        <w:t>Health Affairs</w:t>
      </w:r>
      <w:r w:rsidRPr="007C262E">
        <w:t>. 2013; 32:223-231. </w:t>
      </w:r>
    </w:p>
    <w:p w14:paraId="6D16DE2F" w14:textId="77777777" w:rsidR="00FB0985" w:rsidRDefault="00FB0985" w:rsidP="0098445A">
      <w:pPr>
        <w:pStyle w:val="FootnoteText"/>
      </w:pPr>
    </w:p>
  </w:footnote>
  <w:footnote w:id="5">
    <w:p w14:paraId="72D62D8E" w14:textId="77777777" w:rsidR="00FB0985" w:rsidRPr="00664C39" w:rsidRDefault="00FB0985" w:rsidP="00357E8E">
      <w:pPr>
        <w:pStyle w:val="FootnoteText"/>
        <w:rPr>
          <w:rFonts w:asciiTheme="minorHAnsi" w:hAnsiTheme="minorHAnsi"/>
        </w:rPr>
      </w:pPr>
      <w:r w:rsidRPr="00664C39">
        <w:rPr>
          <w:rStyle w:val="FootnoteReference"/>
          <w:rFonts w:asciiTheme="minorHAnsi" w:hAnsiTheme="minorHAnsi"/>
        </w:rPr>
        <w:footnoteRef/>
      </w:r>
      <w:r w:rsidRPr="00664C39">
        <w:rPr>
          <w:rFonts w:asciiTheme="minorHAnsi" w:hAnsiTheme="minorHAnsi"/>
        </w:rPr>
        <w:t xml:space="preserve"> </w:t>
      </w:r>
      <w:r w:rsidRPr="00664C39">
        <w:rPr>
          <w:rFonts w:asciiTheme="minorHAnsi" w:hAnsiTheme="minorHAnsi" w:cs="Arial"/>
        </w:rPr>
        <w:t>Carman K., Dardess, P., Maurer, M., Sofaer, S., Adams, K., Bechtcl, C., Sweeney, J. Patient and Family Engagement: A framework for understanding the elements and developing interventions and policies. Health Affairs. 2013; 32:223-231</w:t>
      </w:r>
    </w:p>
  </w:footnote>
  <w:footnote w:id="6">
    <w:p w14:paraId="1D9E8A2A" w14:textId="77777777" w:rsidR="00FB0985" w:rsidRDefault="00FB0985" w:rsidP="00357E8E">
      <w:pPr>
        <w:pStyle w:val="FootnoteText"/>
      </w:pPr>
      <w:r w:rsidRPr="00664C39">
        <w:rPr>
          <w:rStyle w:val="FootnoteReference"/>
          <w:rFonts w:asciiTheme="minorHAnsi" w:hAnsiTheme="minorHAnsi"/>
        </w:rPr>
        <w:footnoteRef/>
      </w:r>
      <w:r w:rsidRPr="00664C39">
        <w:rPr>
          <w:rFonts w:asciiTheme="minorHAnsi" w:hAnsiTheme="minorHAnsi"/>
        </w:rPr>
        <w:t xml:space="preserve"> Ibid.</w:t>
      </w:r>
    </w:p>
  </w:footnote>
  <w:footnote w:id="7">
    <w:p w14:paraId="7647ADAC" w14:textId="2DEDF2FA" w:rsidR="00FB0985" w:rsidRDefault="00FB0985" w:rsidP="00112085">
      <w:pPr>
        <w:pStyle w:val="FootnoteText"/>
        <w:ind w:left="360" w:hanging="360"/>
      </w:pPr>
      <w:r w:rsidRPr="0027389A">
        <w:rPr>
          <w:rStyle w:val="FootnoteReference"/>
          <w:rFonts w:ascii="Arial" w:hAnsi="Arial" w:cs="Arial"/>
        </w:rPr>
        <w:footnoteRef/>
      </w:r>
      <w:r w:rsidRPr="0027389A">
        <w:rPr>
          <w:rFonts w:ascii="Arial" w:hAnsi="Arial" w:cs="Arial"/>
        </w:rPr>
        <w:t xml:space="preserve"> </w:t>
      </w:r>
      <w:r>
        <w:rPr>
          <w:rFonts w:ascii="Arial" w:hAnsi="Arial" w:cs="Arial"/>
        </w:rPr>
        <w:tab/>
      </w:r>
      <w:hyperlink r:id="rId5" w:history="1">
        <w:r w:rsidRPr="004A4577">
          <w:rPr>
            <w:rStyle w:val="Hyperlink"/>
          </w:rPr>
          <w:t>https://mchb.hrsa.gov/training/lifecourse.asp</w:t>
        </w:r>
      </w:hyperlink>
    </w:p>
    <w:p w14:paraId="2F787451" w14:textId="77777777" w:rsidR="00FB0985" w:rsidRPr="0027389A" w:rsidRDefault="00FB0985" w:rsidP="00112085">
      <w:pPr>
        <w:pStyle w:val="FootnoteText"/>
        <w:ind w:left="360" w:hanging="360"/>
        <w:rPr>
          <w:rFonts w:ascii="Arial" w:hAnsi="Arial" w:cs="Arial"/>
        </w:rPr>
      </w:pPr>
    </w:p>
  </w:footnote>
  <w:footnote w:id="8">
    <w:p w14:paraId="36DE9798" w14:textId="77777777" w:rsidR="00FB0985" w:rsidRPr="004919E8" w:rsidRDefault="00FB0985" w:rsidP="005C618C">
      <w:pPr>
        <w:pStyle w:val="FootnoteText"/>
        <w:ind w:left="360" w:hanging="360"/>
        <w:rPr>
          <w:rFonts w:ascii="Arial" w:hAnsi="Arial" w:cs="Arial"/>
        </w:rPr>
      </w:pPr>
      <w:r w:rsidRPr="004919E8">
        <w:rPr>
          <w:rStyle w:val="FootnoteReference"/>
          <w:rFonts w:ascii="Arial" w:hAnsi="Arial" w:cs="Arial"/>
        </w:rPr>
        <w:footnoteRef/>
      </w:r>
      <w:r w:rsidRPr="004919E8">
        <w:rPr>
          <w:rFonts w:ascii="Arial" w:hAnsi="Arial" w:cs="Arial"/>
        </w:rPr>
        <w:t xml:space="preserve"> </w:t>
      </w:r>
      <w:r>
        <w:rPr>
          <w:rFonts w:ascii="Arial" w:hAnsi="Arial" w:cs="Arial"/>
        </w:rPr>
        <w:tab/>
      </w:r>
      <w:r w:rsidRPr="004919E8">
        <w:rPr>
          <w:rFonts w:ascii="Arial" w:hAnsi="Arial" w:cs="Arial"/>
        </w:rPr>
        <w:t xml:space="preserve">Gloor, Peter A.  “Swarm Creativity.”  </w:t>
      </w:r>
      <w:r w:rsidRPr="004919E8">
        <w:rPr>
          <w:rFonts w:ascii="Arial" w:hAnsi="Arial" w:cs="Arial"/>
          <w:i/>
        </w:rPr>
        <w:t>Competitive Advantage through Collaborative Innovation Network</w:t>
      </w:r>
      <w:r w:rsidRPr="004919E8">
        <w:rPr>
          <w:rFonts w:ascii="Arial" w:hAnsi="Arial" w:cs="Arial"/>
        </w:rPr>
        <w:t>s. (2006)</w:t>
      </w:r>
    </w:p>
  </w:footnote>
  <w:footnote w:id="9">
    <w:p w14:paraId="146A82A8" w14:textId="77777777" w:rsidR="00FB0985" w:rsidRPr="00EF1A7A" w:rsidRDefault="00FB0985" w:rsidP="005C618C">
      <w:pPr>
        <w:pStyle w:val="FootnoteText"/>
        <w:ind w:left="360" w:hanging="360"/>
        <w:rPr>
          <w:rFonts w:ascii="Arial" w:hAnsi="Arial" w:cs="Arial"/>
        </w:rPr>
      </w:pPr>
      <w:r w:rsidRPr="00EF1A7A">
        <w:rPr>
          <w:rStyle w:val="FootnoteReference"/>
          <w:rFonts w:ascii="Arial" w:hAnsi="Arial" w:cs="Arial"/>
        </w:rPr>
        <w:footnoteRef/>
      </w:r>
      <w:r w:rsidRPr="00EF1A7A">
        <w:rPr>
          <w:rFonts w:ascii="Arial" w:hAnsi="Arial" w:cs="Arial"/>
        </w:rPr>
        <w:t xml:space="preserve"> </w:t>
      </w:r>
      <w:r>
        <w:rPr>
          <w:rFonts w:ascii="Arial" w:hAnsi="Arial" w:cs="Arial"/>
        </w:rPr>
        <w:tab/>
      </w:r>
      <w:hyperlink r:id="rId6" w:history="1">
        <w:r w:rsidRPr="0069752E">
          <w:rPr>
            <w:rStyle w:val="Hyperlink"/>
            <w:rFonts w:ascii="Arial" w:hAnsi="Arial" w:cs="Arial"/>
          </w:rPr>
          <w:t>http://collectiveimpactforum.org/what-collective-impact</w:t>
        </w:r>
      </w:hyperlink>
    </w:p>
  </w:footnote>
  <w:footnote w:id="10">
    <w:p w14:paraId="552311BD" w14:textId="77777777" w:rsidR="00FB0985" w:rsidRPr="006E0BCC" w:rsidRDefault="00FB0985" w:rsidP="005C618C">
      <w:pPr>
        <w:pStyle w:val="FootnoteText"/>
        <w:ind w:left="360" w:hanging="360"/>
        <w:rPr>
          <w:rFonts w:ascii="Arial" w:hAnsi="Arial" w:cs="Arial"/>
        </w:rPr>
      </w:pPr>
      <w:r w:rsidRPr="006E0BCC">
        <w:rPr>
          <w:rStyle w:val="FootnoteReference"/>
          <w:rFonts w:ascii="Arial" w:hAnsi="Arial" w:cs="Arial"/>
        </w:rPr>
        <w:footnoteRef/>
      </w:r>
      <w:r w:rsidRPr="006E0BCC">
        <w:rPr>
          <w:rFonts w:ascii="Arial" w:hAnsi="Arial" w:cs="Arial"/>
        </w:rPr>
        <w:t xml:space="preserve"> </w:t>
      </w:r>
      <w:r>
        <w:rPr>
          <w:rFonts w:ascii="Arial" w:hAnsi="Arial" w:cs="Arial"/>
        </w:rPr>
        <w:tab/>
      </w:r>
      <w:hyperlink r:id="rId7" w:history="1">
        <w:r w:rsidRPr="0069752E">
          <w:rPr>
            <w:rStyle w:val="Hyperlink"/>
            <w:rFonts w:ascii="Arial" w:hAnsi="Arial" w:cs="Arial"/>
          </w:rPr>
          <w:t>http://www.citymatch.org/projects/perinatal-periods-risk-ppor</w:t>
        </w:r>
      </w:hyperlink>
    </w:p>
  </w:footnote>
  <w:footnote w:id="11">
    <w:p w14:paraId="0296129C" w14:textId="77777777" w:rsidR="00FB0985" w:rsidRPr="003C2840" w:rsidRDefault="00FB0985" w:rsidP="00F831BA">
      <w:pPr>
        <w:pStyle w:val="FootnoteText"/>
        <w:ind w:left="0"/>
        <w:rPr>
          <w:rFonts w:asciiTheme="minorHAnsi" w:hAnsiTheme="minorHAnsi" w:cs="Arial"/>
        </w:rPr>
      </w:pPr>
      <w:r w:rsidRPr="003C2840">
        <w:rPr>
          <w:rStyle w:val="FootnoteReference"/>
          <w:rFonts w:asciiTheme="minorHAnsi" w:hAnsiTheme="minorHAnsi"/>
        </w:rPr>
        <w:footnoteRef/>
      </w:r>
      <w:r w:rsidRPr="003C2840">
        <w:rPr>
          <w:rFonts w:asciiTheme="minorHAnsi" w:hAnsiTheme="minorHAnsi"/>
        </w:rPr>
        <w:t xml:space="preserve"> </w:t>
      </w:r>
      <w:r w:rsidRPr="003C2840">
        <w:rPr>
          <w:rFonts w:asciiTheme="minorHAnsi" w:hAnsiTheme="minorHAnsi" w:cs="Arial"/>
        </w:rPr>
        <w:t>Carman K., Dardess, P., Maurer, M., Sofaer, S., Adams, K., Bechtcl, C., Sweeney, J. Patient and Family Engagement: A framework for understanding the elements and developing interventions and policies. Health Affairs. 2013; 32:223-231.</w:t>
      </w:r>
    </w:p>
  </w:footnote>
  <w:footnote w:id="12">
    <w:p w14:paraId="270BF987" w14:textId="77777777" w:rsidR="00FB0985" w:rsidRPr="00A940D2" w:rsidRDefault="00FB0985" w:rsidP="003E1347">
      <w:pPr>
        <w:pStyle w:val="FootnoteText"/>
        <w:ind w:left="0"/>
        <w:rPr>
          <w:rFonts w:asciiTheme="minorHAnsi" w:hAnsiTheme="minorHAnsi"/>
        </w:rPr>
      </w:pPr>
      <w:r w:rsidRPr="00A940D2">
        <w:rPr>
          <w:rStyle w:val="FootnoteReference"/>
          <w:rFonts w:asciiTheme="minorHAnsi" w:hAnsiTheme="minorHAnsi"/>
        </w:rPr>
        <w:footnoteRef/>
      </w:r>
      <w:r w:rsidRPr="00A940D2">
        <w:rPr>
          <w:rFonts w:asciiTheme="minorHAnsi" w:hAnsiTheme="minorHAnsi"/>
        </w:rPr>
        <w:t xml:space="preserve"> Committee on Hospital Care and Institute for Patient- and Family-Centered Care. </w:t>
      </w:r>
      <w:r w:rsidRPr="00A940D2">
        <w:rPr>
          <w:rFonts w:asciiTheme="minorHAnsi" w:hAnsiTheme="minorHAnsi"/>
          <w:i/>
        </w:rPr>
        <w:t>Patient- and Family-Centered Care and the Pediatrician’s Role</w:t>
      </w:r>
      <w:r w:rsidRPr="00A940D2">
        <w:rPr>
          <w:rFonts w:asciiTheme="minorHAnsi" w:hAnsiTheme="minorHAnsi"/>
        </w:rPr>
        <w:t>. Pediatrics. 2012; 129: 394</w:t>
      </w:r>
    </w:p>
  </w:footnote>
  <w:footnote w:id="13">
    <w:p w14:paraId="11706578" w14:textId="77777777" w:rsidR="00FB0985" w:rsidRPr="00A940D2" w:rsidRDefault="00FB0985" w:rsidP="003E1347">
      <w:pPr>
        <w:pStyle w:val="FootnoteText"/>
        <w:ind w:left="0"/>
        <w:rPr>
          <w:rFonts w:asciiTheme="minorHAnsi" w:hAnsiTheme="minorHAnsi"/>
        </w:rPr>
      </w:pPr>
      <w:r w:rsidRPr="00A940D2">
        <w:rPr>
          <w:rStyle w:val="FootnoteReference"/>
          <w:rFonts w:asciiTheme="minorHAnsi" w:hAnsiTheme="minorHAnsi"/>
        </w:rPr>
        <w:footnoteRef/>
      </w:r>
      <w:r w:rsidRPr="00A940D2">
        <w:rPr>
          <w:rFonts w:asciiTheme="minorHAnsi" w:hAnsiTheme="minorHAnsi"/>
        </w:rPr>
        <w:t xml:space="preserve"> Ibid.</w:t>
      </w:r>
    </w:p>
  </w:footnote>
  <w:footnote w:id="14">
    <w:p w14:paraId="6BC20B6B" w14:textId="77777777" w:rsidR="00FB0985" w:rsidRPr="00A940D2" w:rsidRDefault="00FB0985" w:rsidP="00B52A50">
      <w:pPr>
        <w:pStyle w:val="FootnoteText"/>
        <w:ind w:left="0"/>
        <w:rPr>
          <w:rFonts w:asciiTheme="minorHAnsi" w:hAnsiTheme="minorHAnsi"/>
        </w:rPr>
      </w:pPr>
      <w:r w:rsidRPr="00A940D2">
        <w:rPr>
          <w:rStyle w:val="FootnoteReference"/>
          <w:rFonts w:asciiTheme="minorHAnsi" w:hAnsiTheme="minorHAnsi"/>
        </w:rPr>
        <w:footnoteRef/>
      </w:r>
      <w:r w:rsidRPr="00A940D2">
        <w:rPr>
          <w:rFonts w:asciiTheme="minorHAnsi" w:hAnsiTheme="minorHAnsi"/>
        </w:rPr>
        <w:t xml:space="preserve"> Antonelli RC, McAllister J, Popp J.  2009. Developing Care Coordination as a critical component of a high performance pediatric health care system.  Washington DC: The Commonwealth Fund</w:t>
      </w:r>
    </w:p>
  </w:footnote>
  <w:footnote w:id="15">
    <w:p w14:paraId="0E3D09E0" w14:textId="77777777" w:rsidR="00FB0985" w:rsidRPr="00A940D2" w:rsidRDefault="00FB0985" w:rsidP="00B52A50">
      <w:pPr>
        <w:pStyle w:val="FootnoteText"/>
        <w:ind w:left="0"/>
        <w:rPr>
          <w:rFonts w:asciiTheme="minorHAnsi" w:hAnsiTheme="minorHAnsi"/>
        </w:rPr>
      </w:pPr>
      <w:r w:rsidRPr="00A940D2">
        <w:rPr>
          <w:rStyle w:val="FootnoteReference"/>
          <w:rFonts w:asciiTheme="minorHAnsi" w:hAnsiTheme="minorHAnsi"/>
        </w:rPr>
        <w:footnoteRef/>
      </w:r>
      <w:r w:rsidRPr="00A940D2">
        <w:rPr>
          <w:rFonts w:asciiTheme="minorHAnsi" w:hAnsiTheme="minorHAnsi"/>
        </w:rPr>
        <w:t xml:space="preserve"> Turchi RM, Mann M.  Building a medical home for children and youth with special health care needs.  In:  Hollar D, ed. Handbook of Children with Special Health care Needs.  New York, NY:  Springer-Verlag; 2013:399-418.</w:t>
      </w:r>
    </w:p>
  </w:footnote>
  <w:footnote w:id="16">
    <w:p w14:paraId="698D918F" w14:textId="77777777" w:rsidR="00FB0985" w:rsidRPr="00A940D2" w:rsidRDefault="00FB0985" w:rsidP="00B52A50">
      <w:pPr>
        <w:pStyle w:val="FootnoteText"/>
        <w:ind w:left="0"/>
        <w:rPr>
          <w:rFonts w:asciiTheme="minorHAnsi" w:hAnsiTheme="minorHAnsi"/>
        </w:rPr>
      </w:pPr>
      <w:r w:rsidRPr="00A940D2">
        <w:rPr>
          <w:rStyle w:val="FootnoteReference"/>
          <w:rFonts w:asciiTheme="minorHAnsi" w:hAnsiTheme="minorHAnsi"/>
        </w:rPr>
        <w:footnoteRef/>
      </w:r>
      <w:r w:rsidRPr="00A940D2">
        <w:rPr>
          <w:rFonts w:asciiTheme="minorHAnsi" w:hAnsiTheme="minorHAnsi"/>
        </w:rPr>
        <w:t xml:space="preserve"> </w:t>
      </w:r>
      <w:r w:rsidRPr="00A940D2">
        <w:rPr>
          <w:rFonts w:asciiTheme="minorHAnsi" w:hAnsiTheme="minorHAnsi" w:cs="Arial"/>
          <w:sz w:val="16"/>
        </w:rPr>
        <w:t>McPherson M., Arango P., Fox H. A new definition of children with special health care needs. Pediatrics. 1998; 102: 137-140.</w:t>
      </w:r>
    </w:p>
  </w:footnote>
  <w:footnote w:id="17">
    <w:p w14:paraId="1B4E6814" w14:textId="77777777" w:rsidR="00FB0985" w:rsidRPr="00A940D2" w:rsidRDefault="00FB0985" w:rsidP="00B52A50">
      <w:pPr>
        <w:pStyle w:val="FootnoteText"/>
        <w:ind w:left="0"/>
        <w:rPr>
          <w:rFonts w:asciiTheme="minorHAnsi" w:hAnsiTheme="minorHAnsi"/>
        </w:rPr>
      </w:pPr>
      <w:r w:rsidRPr="00A940D2">
        <w:rPr>
          <w:rStyle w:val="FootnoteReference"/>
          <w:rFonts w:asciiTheme="minorHAnsi" w:hAnsiTheme="minorHAnsi"/>
        </w:rPr>
        <w:footnoteRef/>
      </w:r>
      <w:r w:rsidRPr="00A940D2">
        <w:rPr>
          <w:rFonts w:asciiTheme="minorHAnsi" w:hAnsiTheme="minorHAnsi"/>
        </w:rPr>
        <w:t xml:space="preserve"> </w:t>
      </w:r>
      <w:r w:rsidRPr="00A940D2">
        <w:rPr>
          <w:rFonts w:asciiTheme="minorHAnsi" w:hAnsiTheme="minorHAnsi" w:cs="Arial"/>
          <w:sz w:val="16"/>
        </w:rPr>
        <w:t>Perrin, J., Romm, D., Bloom, S., Homer, C., Kuhlthau, K., Cooley, C., Duncan, P., Roberts, R., Sloyer, P., Wells, N., Newacheck, P. A family-centered, community-based system of services for children and youth with special health care needs. 2007; 161 (10): 933-936.</w:t>
      </w:r>
    </w:p>
  </w:footnote>
  <w:footnote w:id="18">
    <w:p w14:paraId="29FB787F" w14:textId="77777777" w:rsidR="00FB0985" w:rsidRPr="00A940D2" w:rsidRDefault="00FB0985" w:rsidP="00B52A50">
      <w:pPr>
        <w:pStyle w:val="FootnoteText"/>
        <w:ind w:left="0"/>
        <w:rPr>
          <w:rFonts w:asciiTheme="minorHAnsi" w:hAnsiTheme="minorHAnsi" w:cs="Arial"/>
          <w:sz w:val="18"/>
          <w:szCs w:val="18"/>
        </w:rPr>
      </w:pPr>
      <w:r w:rsidRPr="00A940D2">
        <w:rPr>
          <w:rStyle w:val="FootnoteReference"/>
          <w:rFonts w:asciiTheme="minorHAnsi" w:hAnsiTheme="minorHAnsi" w:cs="Arial"/>
          <w:sz w:val="18"/>
          <w:szCs w:val="18"/>
        </w:rPr>
        <w:footnoteRef/>
      </w:r>
      <w:r w:rsidRPr="00A940D2">
        <w:rPr>
          <w:rFonts w:asciiTheme="minorHAnsi" w:hAnsiTheme="minorHAnsi" w:cs="Arial"/>
          <w:sz w:val="18"/>
          <w:szCs w:val="18"/>
        </w:rPr>
        <w:t xml:space="preserve"> Ibid.</w:t>
      </w:r>
    </w:p>
  </w:footnote>
  <w:footnote w:id="19">
    <w:p w14:paraId="2F4A6094" w14:textId="77777777" w:rsidR="00FB0985" w:rsidRPr="00A940D2" w:rsidRDefault="00FB0985" w:rsidP="00B52A50">
      <w:pPr>
        <w:pStyle w:val="FootnoteText"/>
        <w:ind w:left="0"/>
        <w:rPr>
          <w:rFonts w:asciiTheme="minorHAnsi" w:hAnsiTheme="minorHAnsi" w:cs="Arial"/>
          <w:sz w:val="18"/>
          <w:szCs w:val="18"/>
        </w:rPr>
      </w:pPr>
      <w:r w:rsidRPr="00A940D2">
        <w:rPr>
          <w:rStyle w:val="FootnoteReference"/>
          <w:rFonts w:asciiTheme="minorHAnsi" w:hAnsiTheme="minorHAnsi" w:cs="Arial"/>
          <w:sz w:val="18"/>
          <w:szCs w:val="18"/>
        </w:rPr>
        <w:footnoteRef/>
      </w:r>
      <w:r w:rsidRPr="00A940D2">
        <w:rPr>
          <w:rFonts w:asciiTheme="minorHAnsi" w:hAnsiTheme="minorHAnsi" w:cs="Arial"/>
          <w:sz w:val="18"/>
          <w:szCs w:val="18"/>
        </w:rPr>
        <w:t xml:space="preserve"> National Agenda for Children with Special Health Care Needs: Achieving the Goals 2000. Washington, D.C.: Health Resources Services Administration; 1999.</w:t>
      </w:r>
    </w:p>
  </w:footnote>
  <w:footnote w:id="20">
    <w:p w14:paraId="5367C955" w14:textId="77777777" w:rsidR="00FB0985" w:rsidRPr="00CD0FBB" w:rsidRDefault="00FB0985" w:rsidP="00B52A50">
      <w:pPr>
        <w:pStyle w:val="FootnoteText"/>
        <w:ind w:left="0"/>
        <w:rPr>
          <w:rFonts w:ascii="Arial" w:hAnsi="Arial" w:cs="Arial"/>
          <w:sz w:val="16"/>
          <w:szCs w:val="16"/>
        </w:rPr>
      </w:pPr>
      <w:r w:rsidRPr="00A940D2">
        <w:rPr>
          <w:rStyle w:val="FootnoteReference"/>
          <w:rFonts w:asciiTheme="minorHAnsi" w:hAnsiTheme="minorHAnsi" w:cs="Arial"/>
          <w:sz w:val="18"/>
          <w:szCs w:val="18"/>
        </w:rPr>
        <w:footnoteRef/>
      </w:r>
      <w:r w:rsidRPr="00A940D2">
        <w:rPr>
          <w:rFonts w:asciiTheme="minorHAnsi" w:hAnsiTheme="minorHAnsi" w:cs="Arial"/>
          <w:sz w:val="18"/>
          <w:szCs w:val="18"/>
        </w:rPr>
        <w:t xml:space="preserve"> Strickland, B., van Dyck, P., Kogan, M., Lauver, C., Blumberg, S., Bethell, C., Newacheck, P. Assessing and ensuring a comprehensive system of services for children with special health care needs: a public health approach. 2011; 101 (2): 224-231.</w:t>
      </w:r>
    </w:p>
  </w:footnote>
  <w:footnote w:id="21">
    <w:p w14:paraId="43E179A4" w14:textId="77777777" w:rsidR="00FB0985" w:rsidRPr="00A940D2" w:rsidRDefault="00FB0985" w:rsidP="00B52A50">
      <w:pPr>
        <w:pStyle w:val="FootnoteText"/>
        <w:ind w:left="0"/>
        <w:rPr>
          <w:rFonts w:asciiTheme="minorHAnsi" w:hAnsiTheme="minorHAnsi"/>
          <w:sz w:val="18"/>
          <w:szCs w:val="18"/>
        </w:rPr>
      </w:pPr>
      <w:r w:rsidRPr="00A940D2">
        <w:rPr>
          <w:rStyle w:val="FootnoteReference"/>
          <w:rFonts w:asciiTheme="minorHAnsi" w:hAnsiTheme="minorHAnsi"/>
          <w:sz w:val="18"/>
          <w:szCs w:val="18"/>
        </w:rPr>
        <w:footnoteRef/>
      </w:r>
      <w:r w:rsidRPr="00A940D2">
        <w:rPr>
          <w:rFonts w:asciiTheme="minorHAnsi" w:hAnsiTheme="minorHAnsi"/>
          <w:sz w:val="18"/>
          <w:szCs w:val="18"/>
        </w:rPr>
        <w:t xml:space="preserve"> </w:t>
      </w:r>
      <w:r w:rsidRPr="00A940D2">
        <w:rPr>
          <w:rFonts w:asciiTheme="minorHAnsi" w:hAnsiTheme="minorHAnsi" w:cs="Arial"/>
          <w:sz w:val="18"/>
          <w:szCs w:val="18"/>
        </w:rPr>
        <w:t>U.S. Department of Health and Human Services, Health Resources and Services Administration, Maternal and Child Health Bureau. The National Survey of Children with Special Health Care Needs Chartbook 2009–2010. Rockville, Maryland: U.S. Department of Health and Human Services, 2013.</w:t>
      </w:r>
    </w:p>
  </w:footnote>
  <w:footnote w:id="22">
    <w:p w14:paraId="15D4315E" w14:textId="5E12F5EB" w:rsidR="00FB0985" w:rsidRPr="00A940D2" w:rsidRDefault="00FB0985" w:rsidP="000D3B1A">
      <w:pPr>
        <w:pStyle w:val="FootnoteText"/>
        <w:ind w:left="0"/>
        <w:rPr>
          <w:rFonts w:asciiTheme="minorHAnsi" w:hAnsiTheme="minorHAnsi"/>
          <w:sz w:val="18"/>
          <w:szCs w:val="18"/>
        </w:rPr>
      </w:pPr>
      <w:r w:rsidRPr="00A940D2">
        <w:rPr>
          <w:rStyle w:val="FootnoteReference"/>
          <w:rFonts w:asciiTheme="minorHAnsi" w:hAnsiTheme="minorHAnsi"/>
          <w:sz w:val="18"/>
          <w:szCs w:val="18"/>
        </w:rPr>
        <w:footnoteRef/>
      </w:r>
      <w:r w:rsidRPr="00A940D2">
        <w:rPr>
          <w:rFonts w:asciiTheme="minorHAnsi" w:hAnsiTheme="minorHAnsi"/>
          <w:sz w:val="18"/>
          <w:szCs w:val="18"/>
        </w:rPr>
        <w:t xml:space="preserve"> American Academy of Pediatrics. American Academy of Family Physicians and American College of Physicians. Transitions Clinical Report Authoring Group. Supporting the health care transition from adolescence to adulthood in the medical home. Pediatrics. 2011;</w:t>
      </w:r>
    </w:p>
  </w:footnote>
  <w:footnote w:id="23">
    <w:p w14:paraId="07BF4D87" w14:textId="5C95B726" w:rsidR="00FB0985" w:rsidRDefault="00FB0985" w:rsidP="000D3B1A">
      <w:pPr>
        <w:pStyle w:val="FootnoteText"/>
        <w:ind w:left="0"/>
      </w:pPr>
      <w:r w:rsidRPr="00A940D2">
        <w:rPr>
          <w:rStyle w:val="FootnoteReference"/>
          <w:rFonts w:asciiTheme="minorHAnsi" w:hAnsiTheme="minorHAnsi"/>
          <w:sz w:val="18"/>
          <w:szCs w:val="18"/>
        </w:rPr>
        <w:footnoteRef/>
      </w:r>
      <w:r w:rsidRPr="00A940D2">
        <w:rPr>
          <w:rFonts w:asciiTheme="minorHAnsi" w:hAnsiTheme="minorHAnsi"/>
          <w:sz w:val="18"/>
          <w:szCs w:val="18"/>
        </w:rPr>
        <w:t xml:space="preserve"> American Academy of Pediatrics. Organizational principles to guide and define the child health care system and/or improve the health of all children. Pediatrics; 110 (1): 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2853F" w14:textId="77777777" w:rsidR="00FB0985" w:rsidRDefault="00FB0985">
    <w:pPr>
      <w:pStyle w:val="Header"/>
    </w:pPr>
  </w:p>
  <w:p w14:paraId="451E78CF" w14:textId="77777777" w:rsidR="00FB0985" w:rsidRDefault="00FB09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C9150" w14:textId="77777777" w:rsidR="00FB0985" w:rsidRDefault="00FB0985">
    <w:pPr>
      <w:pStyle w:val="Header"/>
    </w:pPr>
  </w:p>
  <w:p w14:paraId="25EF8C98" w14:textId="77777777" w:rsidR="00FB0985" w:rsidRDefault="00FB09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AC3E7" w14:textId="77777777" w:rsidR="00FB0985" w:rsidRDefault="00FB0985">
    <w:pPr>
      <w:pStyle w:val="Header"/>
    </w:pPr>
  </w:p>
  <w:p w14:paraId="08CA1F8E" w14:textId="77777777" w:rsidR="00FB0985" w:rsidRDefault="00FB098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AC801" w14:textId="77777777" w:rsidR="00FB0985" w:rsidRDefault="00FB0985">
    <w:pPr>
      <w:pStyle w:val="Header"/>
    </w:pPr>
  </w:p>
  <w:p w14:paraId="05379D44" w14:textId="77777777" w:rsidR="00FB0985" w:rsidRDefault="00FB098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3769C" w14:textId="77777777" w:rsidR="00FB0985" w:rsidRDefault="00FB0985">
    <w:pPr>
      <w:pStyle w:val="Header"/>
    </w:pPr>
  </w:p>
  <w:p w14:paraId="1079E27E" w14:textId="77777777" w:rsidR="00FB0985" w:rsidRDefault="00FB09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EDD"/>
    <w:multiLevelType w:val="hybridMultilevel"/>
    <w:tmpl w:val="487ACDE2"/>
    <w:lvl w:ilvl="0" w:tplc="9D764A1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222E5A"/>
    <w:multiLevelType w:val="hybridMultilevel"/>
    <w:tmpl w:val="403A5B3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C752FC"/>
    <w:multiLevelType w:val="hybridMultilevel"/>
    <w:tmpl w:val="83CCBB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8A54B35"/>
    <w:multiLevelType w:val="hybridMultilevel"/>
    <w:tmpl w:val="F03A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19522E"/>
    <w:multiLevelType w:val="multilevel"/>
    <w:tmpl w:val="46582DA2"/>
    <w:lvl w:ilvl="0">
      <w:start w:val="1"/>
      <w:numFmt w:val="upperRoman"/>
      <w:lvlText w:val="%1."/>
      <w:lvlJc w:val="left"/>
      <w:pPr>
        <w:tabs>
          <w:tab w:val="num" w:pos="720"/>
        </w:tabs>
        <w:ind w:left="720" w:hanging="720"/>
      </w:pPr>
      <w:rPr>
        <w:rFonts w:hint="default"/>
        <w:b/>
        <w:bCs/>
      </w:rPr>
    </w:lvl>
    <w:lvl w:ilvl="1">
      <w:start w:val="1"/>
      <w:numFmt w:val="upperLetter"/>
      <w:lvlText w:val="%2."/>
      <w:lvlJc w:val="left"/>
      <w:pPr>
        <w:tabs>
          <w:tab w:val="num" w:pos="1440"/>
        </w:tabs>
        <w:ind w:left="1440" w:hanging="720"/>
      </w:pPr>
      <w:rPr>
        <w:rFonts w:hint="default"/>
        <w:b/>
        <w:bCs/>
      </w:rPr>
    </w:lvl>
    <w:lvl w:ilvl="2">
      <w:start w:val="1"/>
      <w:numFmt w:val="lowerRoman"/>
      <w:lvlText w:val="%3."/>
      <w:lvlJc w:val="left"/>
      <w:pPr>
        <w:tabs>
          <w:tab w:val="num" w:pos="216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C73582B"/>
    <w:multiLevelType w:val="hybridMultilevel"/>
    <w:tmpl w:val="597C6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DAA7471"/>
    <w:multiLevelType w:val="hybridMultilevel"/>
    <w:tmpl w:val="BBBCC642"/>
    <w:lvl w:ilvl="0" w:tplc="A9665950">
      <w:start w:val="1"/>
      <w:numFmt w:val="upperLetter"/>
      <w:lvlText w:val="%1."/>
      <w:lvlJc w:val="left"/>
      <w:pPr>
        <w:tabs>
          <w:tab w:val="num" w:pos="1440"/>
        </w:tabs>
        <w:ind w:left="1440" w:hanging="720"/>
      </w:pPr>
      <w:rPr>
        <w:rFonts w:hint="default"/>
        <w:b w:val="0"/>
        <w:bCs/>
        <w:i w:val="0"/>
      </w:rPr>
    </w:lvl>
    <w:lvl w:ilvl="1" w:tplc="941EDE8E">
      <w:start w:val="8"/>
      <w:numFmt w:val="decimal"/>
      <w:lvlText w:val="%2."/>
      <w:lvlJc w:val="left"/>
      <w:pPr>
        <w:tabs>
          <w:tab w:val="num" w:pos="1440"/>
        </w:tabs>
        <w:ind w:left="1440" w:hanging="360"/>
      </w:pPr>
      <w:rPr>
        <w:rFonts w:hint="default"/>
        <w:b/>
        <w:u w:val="none"/>
      </w:rPr>
    </w:lvl>
    <w:lvl w:ilvl="2" w:tplc="7D163B16">
      <w:start w:val="3"/>
      <w:numFmt w:val="lowerLetter"/>
      <w:lvlText w:val="%3."/>
      <w:lvlJc w:val="left"/>
      <w:pPr>
        <w:ind w:left="180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A239AD"/>
    <w:multiLevelType w:val="hybridMultilevel"/>
    <w:tmpl w:val="D75C9934"/>
    <w:lvl w:ilvl="0" w:tplc="507E53C0">
      <w:start w:val="1"/>
      <w:numFmt w:val="upperRoman"/>
      <w:lvlText w:val="%1."/>
      <w:lvlJc w:val="left"/>
      <w:pPr>
        <w:ind w:left="1080" w:hanging="720"/>
      </w:pPr>
      <w:rPr>
        <w:rFonts w:hint="default"/>
        <w:b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7E7C31"/>
    <w:multiLevelType w:val="hybridMultilevel"/>
    <w:tmpl w:val="68F03C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D52DE7"/>
    <w:multiLevelType w:val="singleLevel"/>
    <w:tmpl w:val="CC3A6CA8"/>
    <w:lvl w:ilvl="0">
      <w:start w:val="1"/>
      <w:numFmt w:val="bullet"/>
      <w:lvlText w:val=""/>
      <w:lvlJc w:val="left"/>
      <w:pPr>
        <w:tabs>
          <w:tab w:val="num" w:pos="1440"/>
        </w:tabs>
        <w:ind w:left="1440" w:hanging="720"/>
      </w:pPr>
      <w:rPr>
        <w:rFonts w:ascii="Symbol" w:hAnsi="Symbol" w:hint="default"/>
      </w:rPr>
    </w:lvl>
  </w:abstractNum>
  <w:abstractNum w:abstractNumId="10">
    <w:nsid w:val="258C1D32"/>
    <w:multiLevelType w:val="hybridMultilevel"/>
    <w:tmpl w:val="5792FF26"/>
    <w:lvl w:ilvl="0" w:tplc="48BCBCDE">
      <w:start w:val="3"/>
      <w:numFmt w:val="decimal"/>
      <w:lvlText w:val="%1)"/>
      <w:lvlJc w:val="left"/>
      <w:pPr>
        <w:ind w:left="105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1641EE"/>
    <w:multiLevelType w:val="hybridMultilevel"/>
    <w:tmpl w:val="5C06BBD2"/>
    <w:lvl w:ilvl="0" w:tplc="1884C2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597BFF"/>
    <w:multiLevelType w:val="hybridMultilevel"/>
    <w:tmpl w:val="5BEA8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1D2606"/>
    <w:multiLevelType w:val="hybridMultilevel"/>
    <w:tmpl w:val="F8A4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487C72"/>
    <w:multiLevelType w:val="hybridMultilevel"/>
    <w:tmpl w:val="DF2C2B9A"/>
    <w:lvl w:ilvl="0" w:tplc="1FB4A29A">
      <w:start w:val="1"/>
      <w:numFmt w:val="decimal"/>
      <w:lvlText w:val="%1."/>
      <w:lvlJc w:val="left"/>
      <w:pPr>
        <w:tabs>
          <w:tab w:val="num" w:pos="720"/>
        </w:tabs>
        <w:ind w:left="720" w:hanging="360"/>
      </w:pPr>
      <w:rPr>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4AF48D4"/>
    <w:multiLevelType w:val="multilevel"/>
    <w:tmpl w:val="72129450"/>
    <w:lvl w:ilvl="0">
      <w:start w:val="1"/>
      <w:numFmt w:val="bullet"/>
      <w:lvlText w:val=""/>
      <w:lvlJc w:val="left"/>
      <w:pPr>
        <w:tabs>
          <w:tab w:val="num" w:pos="2160"/>
        </w:tabs>
        <w:ind w:left="2160" w:hanging="720"/>
      </w:pPr>
      <w:rPr>
        <w:rFonts w:ascii="Symbol" w:hAnsi="Symbol" w:hint="default"/>
      </w:rPr>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6">
    <w:nsid w:val="37D34E9E"/>
    <w:multiLevelType w:val="hybridMultilevel"/>
    <w:tmpl w:val="B388DD1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3AD375BC"/>
    <w:multiLevelType w:val="hybridMultilevel"/>
    <w:tmpl w:val="F6FEF400"/>
    <w:lvl w:ilvl="0" w:tplc="D93460E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B0621B1"/>
    <w:multiLevelType w:val="hybridMultilevel"/>
    <w:tmpl w:val="8B189E1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nsid w:val="3D0B7E91"/>
    <w:multiLevelType w:val="hybridMultilevel"/>
    <w:tmpl w:val="95D0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CA1F13"/>
    <w:multiLevelType w:val="hybridMultilevel"/>
    <w:tmpl w:val="3A867A18"/>
    <w:lvl w:ilvl="0" w:tplc="714E288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1896452"/>
    <w:multiLevelType w:val="hybridMultilevel"/>
    <w:tmpl w:val="6DCA3DE2"/>
    <w:lvl w:ilvl="0" w:tplc="04090019">
      <w:start w:val="1"/>
      <w:numFmt w:val="lowerLetter"/>
      <w:lvlText w:val="%1."/>
      <w:lvlJc w:val="left"/>
      <w:pPr>
        <w:ind w:left="105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BD601E"/>
    <w:multiLevelType w:val="hybridMultilevel"/>
    <w:tmpl w:val="47BC549C"/>
    <w:lvl w:ilvl="0" w:tplc="2E9EADB6">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6338C7"/>
    <w:multiLevelType w:val="hybridMultilevel"/>
    <w:tmpl w:val="0DFCE5D0"/>
    <w:lvl w:ilvl="0" w:tplc="22627648">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011CF3"/>
    <w:multiLevelType w:val="hybridMultilevel"/>
    <w:tmpl w:val="01B4D464"/>
    <w:lvl w:ilvl="0" w:tplc="04090001">
      <w:start w:val="1"/>
      <w:numFmt w:val="bullet"/>
      <w:lvlText w:val=""/>
      <w:lvlJc w:val="left"/>
      <w:pPr>
        <w:ind w:left="1644" w:hanging="360"/>
      </w:pPr>
      <w:rPr>
        <w:rFonts w:ascii="Symbol" w:hAnsi="Symbol" w:hint="default"/>
      </w:rPr>
    </w:lvl>
    <w:lvl w:ilvl="1" w:tplc="04090003">
      <w:start w:val="1"/>
      <w:numFmt w:val="bullet"/>
      <w:lvlText w:val="o"/>
      <w:lvlJc w:val="left"/>
      <w:pPr>
        <w:ind w:left="2364" w:hanging="360"/>
      </w:pPr>
      <w:rPr>
        <w:rFonts w:ascii="Courier New" w:hAnsi="Courier New" w:cs="Courier New" w:hint="default"/>
      </w:rPr>
    </w:lvl>
    <w:lvl w:ilvl="2" w:tplc="04090005" w:tentative="1">
      <w:start w:val="1"/>
      <w:numFmt w:val="bullet"/>
      <w:lvlText w:val=""/>
      <w:lvlJc w:val="left"/>
      <w:pPr>
        <w:ind w:left="3084" w:hanging="360"/>
      </w:pPr>
      <w:rPr>
        <w:rFonts w:ascii="Wingdings" w:hAnsi="Wingdings" w:hint="default"/>
      </w:rPr>
    </w:lvl>
    <w:lvl w:ilvl="3" w:tplc="04090001" w:tentative="1">
      <w:start w:val="1"/>
      <w:numFmt w:val="bullet"/>
      <w:lvlText w:val=""/>
      <w:lvlJc w:val="left"/>
      <w:pPr>
        <w:ind w:left="3804" w:hanging="360"/>
      </w:pPr>
      <w:rPr>
        <w:rFonts w:ascii="Symbol" w:hAnsi="Symbol" w:hint="default"/>
      </w:rPr>
    </w:lvl>
    <w:lvl w:ilvl="4" w:tplc="04090003" w:tentative="1">
      <w:start w:val="1"/>
      <w:numFmt w:val="bullet"/>
      <w:lvlText w:val="o"/>
      <w:lvlJc w:val="left"/>
      <w:pPr>
        <w:ind w:left="4524" w:hanging="360"/>
      </w:pPr>
      <w:rPr>
        <w:rFonts w:ascii="Courier New" w:hAnsi="Courier New" w:cs="Courier New" w:hint="default"/>
      </w:rPr>
    </w:lvl>
    <w:lvl w:ilvl="5" w:tplc="04090005" w:tentative="1">
      <w:start w:val="1"/>
      <w:numFmt w:val="bullet"/>
      <w:lvlText w:val=""/>
      <w:lvlJc w:val="left"/>
      <w:pPr>
        <w:ind w:left="5244" w:hanging="360"/>
      </w:pPr>
      <w:rPr>
        <w:rFonts w:ascii="Wingdings" w:hAnsi="Wingdings" w:hint="default"/>
      </w:rPr>
    </w:lvl>
    <w:lvl w:ilvl="6" w:tplc="04090001" w:tentative="1">
      <w:start w:val="1"/>
      <w:numFmt w:val="bullet"/>
      <w:lvlText w:val=""/>
      <w:lvlJc w:val="left"/>
      <w:pPr>
        <w:ind w:left="5964" w:hanging="360"/>
      </w:pPr>
      <w:rPr>
        <w:rFonts w:ascii="Symbol" w:hAnsi="Symbol" w:hint="default"/>
      </w:rPr>
    </w:lvl>
    <w:lvl w:ilvl="7" w:tplc="04090003" w:tentative="1">
      <w:start w:val="1"/>
      <w:numFmt w:val="bullet"/>
      <w:lvlText w:val="o"/>
      <w:lvlJc w:val="left"/>
      <w:pPr>
        <w:ind w:left="6684" w:hanging="360"/>
      </w:pPr>
      <w:rPr>
        <w:rFonts w:ascii="Courier New" w:hAnsi="Courier New" w:cs="Courier New" w:hint="default"/>
      </w:rPr>
    </w:lvl>
    <w:lvl w:ilvl="8" w:tplc="04090005" w:tentative="1">
      <w:start w:val="1"/>
      <w:numFmt w:val="bullet"/>
      <w:lvlText w:val=""/>
      <w:lvlJc w:val="left"/>
      <w:pPr>
        <w:ind w:left="7404" w:hanging="360"/>
      </w:pPr>
      <w:rPr>
        <w:rFonts w:ascii="Wingdings" w:hAnsi="Wingdings" w:hint="default"/>
      </w:rPr>
    </w:lvl>
  </w:abstractNum>
  <w:abstractNum w:abstractNumId="25">
    <w:nsid w:val="4E25318A"/>
    <w:multiLevelType w:val="hybridMultilevel"/>
    <w:tmpl w:val="4ACA9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1A027A5"/>
    <w:multiLevelType w:val="hybridMultilevel"/>
    <w:tmpl w:val="FB72DA64"/>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600" w:hanging="360"/>
      </w:pPr>
      <w:rPr>
        <w:rFonts w:ascii="Symbol" w:hAnsi="Symbol"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nsid w:val="51E807BD"/>
    <w:multiLevelType w:val="hybridMultilevel"/>
    <w:tmpl w:val="3530F726"/>
    <w:lvl w:ilvl="0" w:tplc="7E841A5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3123300"/>
    <w:multiLevelType w:val="hybridMultilevel"/>
    <w:tmpl w:val="7F8454C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nsid w:val="55F55139"/>
    <w:multiLevelType w:val="hybridMultilevel"/>
    <w:tmpl w:val="9C06425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nsid w:val="563D18C1"/>
    <w:multiLevelType w:val="hybridMultilevel"/>
    <w:tmpl w:val="D7D244A4"/>
    <w:lvl w:ilvl="0" w:tplc="6B80AA2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046A3A"/>
    <w:multiLevelType w:val="hybridMultilevel"/>
    <w:tmpl w:val="640ED154"/>
    <w:lvl w:ilvl="0" w:tplc="DDA0E4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C44A15"/>
    <w:multiLevelType w:val="hybridMultilevel"/>
    <w:tmpl w:val="522CDD7C"/>
    <w:lvl w:ilvl="0" w:tplc="1884C2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7C3E6B"/>
    <w:multiLevelType w:val="hybridMultilevel"/>
    <w:tmpl w:val="A2EE2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70592F"/>
    <w:multiLevelType w:val="singleLevel"/>
    <w:tmpl w:val="CC3A6CA8"/>
    <w:lvl w:ilvl="0">
      <w:start w:val="1"/>
      <w:numFmt w:val="bullet"/>
      <w:lvlText w:val=""/>
      <w:lvlJc w:val="left"/>
      <w:pPr>
        <w:tabs>
          <w:tab w:val="num" w:pos="1440"/>
        </w:tabs>
        <w:ind w:left="1440" w:hanging="720"/>
      </w:pPr>
      <w:rPr>
        <w:rFonts w:ascii="Symbol" w:hAnsi="Symbol" w:hint="default"/>
      </w:rPr>
    </w:lvl>
  </w:abstractNum>
  <w:abstractNum w:abstractNumId="35">
    <w:nsid w:val="5EDE43C3"/>
    <w:multiLevelType w:val="hybridMultilevel"/>
    <w:tmpl w:val="68E483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01050A"/>
    <w:multiLevelType w:val="hybridMultilevel"/>
    <w:tmpl w:val="EF32ED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3DE76A5"/>
    <w:multiLevelType w:val="hybridMultilevel"/>
    <w:tmpl w:val="66761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B71CC9"/>
    <w:multiLevelType w:val="hybridMultilevel"/>
    <w:tmpl w:val="3672023A"/>
    <w:lvl w:ilvl="0" w:tplc="A4BC3552">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7DF2D24"/>
    <w:multiLevelType w:val="hybridMultilevel"/>
    <w:tmpl w:val="073C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8A4C91"/>
    <w:multiLevelType w:val="hybridMultilevel"/>
    <w:tmpl w:val="4A8A1BDC"/>
    <w:lvl w:ilvl="0" w:tplc="06C27A7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B01166"/>
    <w:multiLevelType w:val="hybridMultilevel"/>
    <w:tmpl w:val="406016F8"/>
    <w:lvl w:ilvl="0" w:tplc="901612BE">
      <w:start w:val="5"/>
      <w:numFmt w:val="decimal"/>
      <w:lvlText w:val="%1."/>
      <w:lvlJc w:val="left"/>
      <w:pPr>
        <w:tabs>
          <w:tab w:val="num" w:pos="720"/>
        </w:tabs>
        <w:ind w:left="720" w:hanging="360"/>
      </w:pPr>
    </w:lvl>
    <w:lvl w:ilvl="1" w:tplc="48A8B392" w:tentative="1">
      <w:start w:val="1"/>
      <w:numFmt w:val="decimal"/>
      <w:lvlText w:val="%2."/>
      <w:lvlJc w:val="left"/>
      <w:pPr>
        <w:tabs>
          <w:tab w:val="num" w:pos="1440"/>
        </w:tabs>
        <w:ind w:left="1440" w:hanging="360"/>
      </w:pPr>
    </w:lvl>
    <w:lvl w:ilvl="2" w:tplc="8B6AE676" w:tentative="1">
      <w:start w:val="1"/>
      <w:numFmt w:val="decimal"/>
      <w:lvlText w:val="%3."/>
      <w:lvlJc w:val="left"/>
      <w:pPr>
        <w:tabs>
          <w:tab w:val="num" w:pos="2160"/>
        </w:tabs>
        <w:ind w:left="2160" w:hanging="360"/>
      </w:pPr>
    </w:lvl>
    <w:lvl w:ilvl="3" w:tplc="C6C64D38" w:tentative="1">
      <w:start w:val="1"/>
      <w:numFmt w:val="decimal"/>
      <w:lvlText w:val="%4."/>
      <w:lvlJc w:val="left"/>
      <w:pPr>
        <w:tabs>
          <w:tab w:val="num" w:pos="2880"/>
        </w:tabs>
        <w:ind w:left="2880" w:hanging="360"/>
      </w:pPr>
    </w:lvl>
    <w:lvl w:ilvl="4" w:tplc="BD44754E" w:tentative="1">
      <w:start w:val="1"/>
      <w:numFmt w:val="decimal"/>
      <w:lvlText w:val="%5."/>
      <w:lvlJc w:val="left"/>
      <w:pPr>
        <w:tabs>
          <w:tab w:val="num" w:pos="3600"/>
        </w:tabs>
        <w:ind w:left="3600" w:hanging="360"/>
      </w:pPr>
    </w:lvl>
    <w:lvl w:ilvl="5" w:tplc="9D427166" w:tentative="1">
      <w:start w:val="1"/>
      <w:numFmt w:val="decimal"/>
      <w:lvlText w:val="%6."/>
      <w:lvlJc w:val="left"/>
      <w:pPr>
        <w:tabs>
          <w:tab w:val="num" w:pos="4320"/>
        </w:tabs>
        <w:ind w:left="4320" w:hanging="360"/>
      </w:pPr>
    </w:lvl>
    <w:lvl w:ilvl="6" w:tplc="CCEADA3E" w:tentative="1">
      <w:start w:val="1"/>
      <w:numFmt w:val="decimal"/>
      <w:lvlText w:val="%7."/>
      <w:lvlJc w:val="left"/>
      <w:pPr>
        <w:tabs>
          <w:tab w:val="num" w:pos="5040"/>
        </w:tabs>
        <w:ind w:left="5040" w:hanging="360"/>
      </w:pPr>
    </w:lvl>
    <w:lvl w:ilvl="7" w:tplc="150605E8" w:tentative="1">
      <w:start w:val="1"/>
      <w:numFmt w:val="decimal"/>
      <w:lvlText w:val="%8."/>
      <w:lvlJc w:val="left"/>
      <w:pPr>
        <w:tabs>
          <w:tab w:val="num" w:pos="5760"/>
        </w:tabs>
        <w:ind w:left="5760" w:hanging="360"/>
      </w:pPr>
    </w:lvl>
    <w:lvl w:ilvl="8" w:tplc="13BC5396" w:tentative="1">
      <w:start w:val="1"/>
      <w:numFmt w:val="decimal"/>
      <w:lvlText w:val="%9."/>
      <w:lvlJc w:val="left"/>
      <w:pPr>
        <w:tabs>
          <w:tab w:val="num" w:pos="6480"/>
        </w:tabs>
        <w:ind w:left="6480" w:hanging="360"/>
      </w:pPr>
    </w:lvl>
  </w:abstractNum>
  <w:abstractNum w:abstractNumId="42">
    <w:nsid w:val="70FB159C"/>
    <w:multiLevelType w:val="hybridMultilevel"/>
    <w:tmpl w:val="6FD4A2B8"/>
    <w:lvl w:ilvl="0" w:tplc="EB12C652">
      <w:start w:val="4"/>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D032E8"/>
    <w:multiLevelType w:val="hybridMultilevel"/>
    <w:tmpl w:val="B22481AC"/>
    <w:lvl w:ilvl="0" w:tplc="04090003">
      <w:start w:val="1"/>
      <w:numFmt w:val="bullet"/>
      <w:lvlText w:val="o"/>
      <w:lvlJc w:val="left"/>
      <w:pPr>
        <w:ind w:left="2880" w:hanging="360"/>
      </w:pPr>
      <w:rPr>
        <w:rFonts w:ascii="Courier New" w:hAnsi="Courier New" w:cs="Courier New" w:hint="default"/>
      </w:rPr>
    </w:lvl>
    <w:lvl w:ilvl="1" w:tplc="519E8E6A">
      <w:numFmt w:val="bullet"/>
      <w:lvlText w:val="•"/>
      <w:lvlJc w:val="left"/>
      <w:pPr>
        <w:ind w:left="3600" w:hanging="360"/>
      </w:pPr>
      <w:rPr>
        <w:rFonts w:ascii="Arial" w:eastAsia="Calibri" w:hAnsi="Arial" w:cs="Aria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nsid w:val="760977D5"/>
    <w:multiLevelType w:val="hybridMultilevel"/>
    <w:tmpl w:val="9F26DF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62E1B8D"/>
    <w:multiLevelType w:val="hybridMultilevel"/>
    <w:tmpl w:val="424CC09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6">
    <w:nsid w:val="76E87DC2"/>
    <w:multiLevelType w:val="hybridMultilevel"/>
    <w:tmpl w:val="9CBA22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7">
    <w:nsid w:val="79E111FC"/>
    <w:multiLevelType w:val="hybridMultilevel"/>
    <w:tmpl w:val="39FA76CA"/>
    <w:lvl w:ilvl="0" w:tplc="496294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E8778D"/>
    <w:multiLevelType w:val="hybridMultilevel"/>
    <w:tmpl w:val="02803544"/>
    <w:lvl w:ilvl="0" w:tplc="849E18D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
  </w:num>
  <w:num w:numId="3">
    <w:abstractNumId w:val="41"/>
  </w:num>
  <w:num w:numId="4">
    <w:abstractNumId w:val="28"/>
  </w:num>
  <w:num w:numId="5">
    <w:abstractNumId w:val="5"/>
  </w:num>
  <w:num w:numId="6">
    <w:abstractNumId w:val="44"/>
  </w:num>
  <w:num w:numId="7">
    <w:abstractNumId w:val="43"/>
  </w:num>
  <w:num w:numId="8">
    <w:abstractNumId w:val="2"/>
  </w:num>
  <w:num w:numId="9">
    <w:abstractNumId w:val="24"/>
  </w:num>
  <w:num w:numId="10">
    <w:abstractNumId w:val="12"/>
  </w:num>
  <w:num w:numId="11">
    <w:abstractNumId w:val="45"/>
  </w:num>
  <w:num w:numId="12">
    <w:abstractNumId w:val="26"/>
  </w:num>
  <w:num w:numId="13">
    <w:abstractNumId w:val="16"/>
  </w:num>
  <w:num w:numId="14">
    <w:abstractNumId w:val="46"/>
  </w:num>
  <w:num w:numId="15">
    <w:abstractNumId w:val="21"/>
  </w:num>
  <w:num w:numId="16">
    <w:abstractNumId w:val="33"/>
  </w:num>
  <w:num w:numId="17">
    <w:abstractNumId w:val="10"/>
  </w:num>
  <w:num w:numId="18">
    <w:abstractNumId w:val="7"/>
  </w:num>
  <w:num w:numId="19">
    <w:abstractNumId w:val="30"/>
  </w:num>
  <w:num w:numId="20">
    <w:abstractNumId w:val="34"/>
  </w:num>
  <w:num w:numId="21">
    <w:abstractNumId w:val="9"/>
  </w:num>
  <w:num w:numId="22">
    <w:abstractNumId w:val="15"/>
  </w:num>
  <w:num w:numId="23">
    <w:abstractNumId w:val="4"/>
  </w:num>
  <w:num w:numId="24">
    <w:abstractNumId w:val="25"/>
  </w:num>
  <w:num w:numId="25">
    <w:abstractNumId w:val="8"/>
  </w:num>
  <w:num w:numId="26">
    <w:abstractNumId w:val="29"/>
  </w:num>
  <w:num w:numId="27">
    <w:abstractNumId w:val="42"/>
  </w:num>
  <w:num w:numId="28">
    <w:abstractNumId w:val="35"/>
  </w:num>
  <w:num w:numId="29">
    <w:abstractNumId w:val="23"/>
  </w:num>
  <w:num w:numId="30">
    <w:abstractNumId w:val="32"/>
  </w:num>
  <w:num w:numId="31">
    <w:abstractNumId w:val="11"/>
  </w:num>
  <w:num w:numId="32">
    <w:abstractNumId w:val="40"/>
  </w:num>
  <w:num w:numId="33">
    <w:abstractNumId w:val="14"/>
  </w:num>
  <w:num w:numId="34">
    <w:abstractNumId w:val="48"/>
  </w:num>
  <w:num w:numId="35">
    <w:abstractNumId w:val="20"/>
  </w:num>
  <w:num w:numId="36">
    <w:abstractNumId w:val="47"/>
  </w:num>
  <w:num w:numId="37">
    <w:abstractNumId w:val="22"/>
  </w:num>
  <w:num w:numId="38">
    <w:abstractNumId w:val="31"/>
  </w:num>
  <w:num w:numId="39">
    <w:abstractNumId w:val="17"/>
  </w:num>
  <w:num w:numId="40">
    <w:abstractNumId w:val="0"/>
  </w:num>
  <w:num w:numId="41">
    <w:abstractNumId w:val="27"/>
  </w:num>
  <w:num w:numId="42">
    <w:abstractNumId w:val="39"/>
  </w:num>
  <w:num w:numId="43">
    <w:abstractNumId w:val="37"/>
  </w:num>
  <w:num w:numId="44">
    <w:abstractNumId w:val="19"/>
  </w:num>
  <w:num w:numId="45">
    <w:abstractNumId w:val="36"/>
  </w:num>
  <w:num w:numId="46">
    <w:abstractNumId w:val="38"/>
  </w:num>
  <w:num w:numId="47">
    <w:abstractNumId w:val="18"/>
  </w:num>
  <w:num w:numId="48">
    <w:abstractNumId w:val="3"/>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5B7"/>
    <w:rsid w:val="000037E5"/>
    <w:rsid w:val="00003BD0"/>
    <w:rsid w:val="0001174E"/>
    <w:rsid w:val="00012F6D"/>
    <w:rsid w:val="0001385B"/>
    <w:rsid w:val="0002378C"/>
    <w:rsid w:val="00024C5E"/>
    <w:rsid w:val="00031E1E"/>
    <w:rsid w:val="000328C2"/>
    <w:rsid w:val="000344E2"/>
    <w:rsid w:val="00035587"/>
    <w:rsid w:val="00042368"/>
    <w:rsid w:val="00042716"/>
    <w:rsid w:val="000431F6"/>
    <w:rsid w:val="000469D9"/>
    <w:rsid w:val="00050C11"/>
    <w:rsid w:val="00051403"/>
    <w:rsid w:val="00052FDC"/>
    <w:rsid w:val="00054EE6"/>
    <w:rsid w:val="000556E8"/>
    <w:rsid w:val="0006278C"/>
    <w:rsid w:val="000635D1"/>
    <w:rsid w:val="0007198D"/>
    <w:rsid w:val="000730FF"/>
    <w:rsid w:val="0007414E"/>
    <w:rsid w:val="00075EAF"/>
    <w:rsid w:val="00083221"/>
    <w:rsid w:val="00083AC7"/>
    <w:rsid w:val="00095EAE"/>
    <w:rsid w:val="000966C2"/>
    <w:rsid w:val="000973E5"/>
    <w:rsid w:val="000A09DB"/>
    <w:rsid w:val="000A10EE"/>
    <w:rsid w:val="000A1D47"/>
    <w:rsid w:val="000A3835"/>
    <w:rsid w:val="000A4BAE"/>
    <w:rsid w:val="000B0B86"/>
    <w:rsid w:val="000B41BC"/>
    <w:rsid w:val="000B4742"/>
    <w:rsid w:val="000B4E7F"/>
    <w:rsid w:val="000B70E9"/>
    <w:rsid w:val="000B7D54"/>
    <w:rsid w:val="000C0D77"/>
    <w:rsid w:val="000C1544"/>
    <w:rsid w:val="000C2281"/>
    <w:rsid w:val="000C3875"/>
    <w:rsid w:val="000C550D"/>
    <w:rsid w:val="000C7A5D"/>
    <w:rsid w:val="000D2F7B"/>
    <w:rsid w:val="000D3B1A"/>
    <w:rsid w:val="000D4A19"/>
    <w:rsid w:val="000D4F45"/>
    <w:rsid w:val="000D586E"/>
    <w:rsid w:val="000D6C4B"/>
    <w:rsid w:val="000D7998"/>
    <w:rsid w:val="000E043C"/>
    <w:rsid w:val="000E1CEB"/>
    <w:rsid w:val="000F4273"/>
    <w:rsid w:val="000F65AA"/>
    <w:rsid w:val="00100205"/>
    <w:rsid w:val="0010370B"/>
    <w:rsid w:val="001052D7"/>
    <w:rsid w:val="00111FF8"/>
    <w:rsid w:val="00112085"/>
    <w:rsid w:val="00112263"/>
    <w:rsid w:val="00114A58"/>
    <w:rsid w:val="001159CA"/>
    <w:rsid w:val="001357F1"/>
    <w:rsid w:val="00140C21"/>
    <w:rsid w:val="00141482"/>
    <w:rsid w:val="00141B30"/>
    <w:rsid w:val="0014435A"/>
    <w:rsid w:val="00145E66"/>
    <w:rsid w:val="00146D66"/>
    <w:rsid w:val="00150DC1"/>
    <w:rsid w:val="001514EC"/>
    <w:rsid w:val="00151F76"/>
    <w:rsid w:val="001521DC"/>
    <w:rsid w:val="00154ECE"/>
    <w:rsid w:val="00155A67"/>
    <w:rsid w:val="00157425"/>
    <w:rsid w:val="0016242A"/>
    <w:rsid w:val="0016521C"/>
    <w:rsid w:val="00166B33"/>
    <w:rsid w:val="00170E47"/>
    <w:rsid w:val="00173CE4"/>
    <w:rsid w:val="001747A3"/>
    <w:rsid w:val="00175032"/>
    <w:rsid w:val="00176F6A"/>
    <w:rsid w:val="00177805"/>
    <w:rsid w:val="00180D4D"/>
    <w:rsid w:val="001843FF"/>
    <w:rsid w:val="00185BE5"/>
    <w:rsid w:val="0019043A"/>
    <w:rsid w:val="001906A8"/>
    <w:rsid w:val="001909B7"/>
    <w:rsid w:val="00190B24"/>
    <w:rsid w:val="00190D6A"/>
    <w:rsid w:val="00192BDC"/>
    <w:rsid w:val="001952F3"/>
    <w:rsid w:val="001A0351"/>
    <w:rsid w:val="001A0E7C"/>
    <w:rsid w:val="001A1AA8"/>
    <w:rsid w:val="001A1B3B"/>
    <w:rsid w:val="001A3DFE"/>
    <w:rsid w:val="001A4046"/>
    <w:rsid w:val="001A45B4"/>
    <w:rsid w:val="001A45E5"/>
    <w:rsid w:val="001B0CBF"/>
    <w:rsid w:val="001B157F"/>
    <w:rsid w:val="001B44B0"/>
    <w:rsid w:val="001B6DAE"/>
    <w:rsid w:val="001D35C3"/>
    <w:rsid w:val="001D387F"/>
    <w:rsid w:val="001E4573"/>
    <w:rsid w:val="001E4725"/>
    <w:rsid w:val="001E5011"/>
    <w:rsid w:val="001E785B"/>
    <w:rsid w:val="001E7D01"/>
    <w:rsid w:val="001F1641"/>
    <w:rsid w:val="001F3093"/>
    <w:rsid w:val="001F560F"/>
    <w:rsid w:val="001F6AAD"/>
    <w:rsid w:val="0020710C"/>
    <w:rsid w:val="002114AD"/>
    <w:rsid w:val="00212581"/>
    <w:rsid w:val="00214A5C"/>
    <w:rsid w:val="00214B2E"/>
    <w:rsid w:val="002163D3"/>
    <w:rsid w:val="00222613"/>
    <w:rsid w:val="00232622"/>
    <w:rsid w:val="002334E0"/>
    <w:rsid w:val="0023602F"/>
    <w:rsid w:val="00236220"/>
    <w:rsid w:val="002410E0"/>
    <w:rsid w:val="00241394"/>
    <w:rsid w:val="00242A30"/>
    <w:rsid w:val="00250CAF"/>
    <w:rsid w:val="00251F94"/>
    <w:rsid w:val="00253990"/>
    <w:rsid w:val="00253A74"/>
    <w:rsid w:val="0025602A"/>
    <w:rsid w:val="002569F4"/>
    <w:rsid w:val="00273891"/>
    <w:rsid w:val="00275526"/>
    <w:rsid w:val="002826F2"/>
    <w:rsid w:val="00283A38"/>
    <w:rsid w:val="00291E37"/>
    <w:rsid w:val="00296759"/>
    <w:rsid w:val="00296E0F"/>
    <w:rsid w:val="00296EF7"/>
    <w:rsid w:val="002A005E"/>
    <w:rsid w:val="002A2561"/>
    <w:rsid w:val="002A30F8"/>
    <w:rsid w:val="002A4C6C"/>
    <w:rsid w:val="002A4CA1"/>
    <w:rsid w:val="002A5FF1"/>
    <w:rsid w:val="002B385C"/>
    <w:rsid w:val="002B4957"/>
    <w:rsid w:val="002C0614"/>
    <w:rsid w:val="002C1FF9"/>
    <w:rsid w:val="002C54B2"/>
    <w:rsid w:val="002C6F7F"/>
    <w:rsid w:val="002C7718"/>
    <w:rsid w:val="002D197B"/>
    <w:rsid w:val="002D6465"/>
    <w:rsid w:val="002E0272"/>
    <w:rsid w:val="002E44B4"/>
    <w:rsid w:val="002E5B18"/>
    <w:rsid w:val="002E74AA"/>
    <w:rsid w:val="002F2C6A"/>
    <w:rsid w:val="00301FDC"/>
    <w:rsid w:val="00312A06"/>
    <w:rsid w:val="00313B83"/>
    <w:rsid w:val="00313F9C"/>
    <w:rsid w:val="00314F50"/>
    <w:rsid w:val="0031671F"/>
    <w:rsid w:val="00316872"/>
    <w:rsid w:val="00322424"/>
    <w:rsid w:val="00322DB7"/>
    <w:rsid w:val="00324E9B"/>
    <w:rsid w:val="0032681D"/>
    <w:rsid w:val="00326961"/>
    <w:rsid w:val="003374BD"/>
    <w:rsid w:val="00337694"/>
    <w:rsid w:val="0034434C"/>
    <w:rsid w:val="00350AA7"/>
    <w:rsid w:val="00350B0A"/>
    <w:rsid w:val="00350DC4"/>
    <w:rsid w:val="00353F5C"/>
    <w:rsid w:val="00353FFD"/>
    <w:rsid w:val="003540DE"/>
    <w:rsid w:val="003576DD"/>
    <w:rsid w:val="00357E8E"/>
    <w:rsid w:val="00362378"/>
    <w:rsid w:val="003627D4"/>
    <w:rsid w:val="003638EB"/>
    <w:rsid w:val="00365D42"/>
    <w:rsid w:val="00365FB5"/>
    <w:rsid w:val="003752ED"/>
    <w:rsid w:val="003763C5"/>
    <w:rsid w:val="003763F3"/>
    <w:rsid w:val="00382475"/>
    <w:rsid w:val="00382C32"/>
    <w:rsid w:val="003834D6"/>
    <w:rsid w:val="0038462F"/>
    <w:rsid w:val="00384927"/>
    <w:rsid w:val="00391C11"/>
    <w:rsid w:val="00393B83"/>
    <w:rsid w:val="003A0133"/>
    <w:rsid w:val="003A75A3"/>
    <w:rsid w:val="003B519C"/>
    <w:rsid w:val="003C2033"/>
    <w:rsid w:val="003C2840"/>
    <w:rsid w:val="003C6AB8"/>
    <w:rsid w:val="003D1891"/>
    <w:rsid w:val="003D1F2D"/>
    <w:rsid w:val="003D380E"/>
    <w:rsid w:val="003E1347"/>
    <w:rsid w:val="003F4CA2"/>
    <w:rsid w:val="003F7F12"/>
    <w:rsid w:val="00402E9D"/>
    <w:rsid w:val="004106D5"/>
    <w:rsid w:val="00411662"/>
    <w:rsid w:val="00415809"/>
    <w:rsid w:val="00421E40"/>
    <w:rsid w:val="00427716"/>
    <w:rsid w:val="004304E6"/>
    <w:rsid w:val="0043124A"/>
    <w:rsid w:val="00431903"/>
    <w:rsid w:val="004322E3"/>
    <w:rsid w:val="00434CB7"/>
    <w:rsid w:val="00435228"/>
    <w:rsid w:val="004377AA"/>
    <w:rsid w:val="00440F82"/>
    <w:rsid w:val="004417FB"/>
    <w:rsid w:val="0044319E"/>
    <w:rsid w:val="004441F9"/>
    <w:rsid w:val="00447B80"/>
    <w:rsid w:val="0045133A"/>
    <w:rsid w:val="0045227A"/>
    <w:rsid w:val="0045235D"/>
    <w:rsid w:val="004525D8"/>
    <w:rsid w:val="00452AFE"/>
    <w:rsid w:val="004601F9"/>
    <w:rsid w:val="004736F2"/>
    <w:rsid w:val="00474934"/>
    <w:rsid w:val="004764C8"/>
    <w:rsid w:val="004804D2"/>
    <w:rsid w:val="0048132C"/>
    <w:rsid w:val="00481744"/>
    <w:rsid w:val="00482AB3"/>
    <w:rsid w:val="00492EF7"/>
    <w:rsid w:val="004A1B4D"/>
    <w:rsid w:val="004A525F"/>
    <w:rsid w:val="004A619F"/>
    <w:rsid w:val="004B1416"/>
    <w:rsid w:val="004B3760"/>
    <w:rsid w:val="004B3F77"/>
    <w:rsid w:val="004B5384"/>
    <w:rsid w:val="004C5694"/>
    <w:rsid w:val="004C576D"/>
    <w:rsid w:val="004D16D2"/>
    <w:rsid w:val="004D1B17"/>
    <w:rsid w:val="004D3F33"/>
    <w:rsid w:val="004D449A"/>
    <w:rsid w:val="004D6267"/>
    <w:rsid w:val="004D737C"/>
    <w:rsid w:val="004E3030"/>
    <w:rsid w:val="004E42E1"/>
    <w:rsid w:val="004F1C09"/>
    <w:rsid w:val="004F6009"/>
    <w:rsid w:val="005002E0"/>
    <w:rsid w:val="0050052E"/>
    <w:rsid w:val="00500C1E"/>
    <w:rsid w:val="005019F0"/>
    <w:rsid w:val="005020CE"/>
    <w:rsid w:val="00503823"/>
    <w:rsid w:val="005078CD"/>
    <w:rsid w:val="00507C84"/>
    <w:rsid w:val="005123EA"/>
    <w:rsid w:val="00512F22"/>
    <w:rsid w:val="00513237"/>
    <w:rsid w:val="00514602"/>
    <w:rsid w:val="00514C00"/>
    <w:rsid w:val="00514E41"/>
    <w:rsid w:val="0051645F"/>
    <w:rsid w:val="00516ECB"/>
    <w:rsid w:val="00516F9A"/>
    <w:rsid w:val="00521F14"/>
    <w:rsid w:val="00524923"/>
    <w:rsid w:val="00526125"/>
    <w:rsid w:val="00526417"/>
    <w:rsid w:val="00531366"/>
    <w:rsid w:val="00531F15"/>
    <w:rsid w:val="00535021"/>
    <w:rsid w:val="0053509F"/>
    <w:rsid w:val="0054013D"/>
    <w:rsid w:val="00541159"/>
    <w:rsid w:val="005431D1"/>
    <w:rsid w:val="005455A0"/>
    <w:rsid w:val="005471E4"/>
    <w:rsid w:val="00547D4B"/>
    <w:rsid w:val="00554961"/>
    <w:rsid w:val="00567BE2"/>
    <w:rsid w:val="0057279E"/>
    <w:rsid w:val="00572B07"/>
    <w:rsid w:val="00576E49"/>
    <w:rsid w:val="00582368"/>
    <w:rsid w:val="00587E82"/>
    <w:rsid w:val="00590822"/>
    <w:rsid w:val="00593A59"/>
    <w:rsid w:val="00595A0C"/>
    <w:rsid w:val="005975D0"/>
    <w:rsid w:val="00597DE3"/>
    <w:rsid w:val="005A0D8F"/>
    <w:rsid w:val="005A3723"/>
    <w:rsid w:val="005A6E57"/>
    <w:rsid w:val="005B0F19"/>
    <w:rsid w:val="005B2C70"/>
    <w:rsid w:val="005B5BA4"/>
    <w:rsid w:val="005C0125"/>
    <w:rsid w:val="005C618C"/>
    <w:rsid w:val="005C6B05"/>
    <w:rsid w:val="005D0402"/>
    <w:rsid w:val="005D56E0"/>
    <w:rsid w:val="005D5F47"/>
    <w:rsid w:val="005D6C45"/>
    <w:rsid w:val="005E2B5A"/>
    <w:rsid w:val="005E2C20"/>
    <w:rsid w:val="005E3E7E"/>
    <w:rsid w:val="005E4267"/>
    <w:rsid w:val="005E6C2A"/>
    <w:rsid w:val="005F2E13"/>
    <w:rsid w:val="005F72F6"/>
    <w:rsid w:val="00601902"/>
    <w:rsid w:val="00603225"/>
    <w:rsid w:val="0060339E"/>
    <w:rsid w:val="00616A0C"/>
    <w:rsid w:val="00622F88"/>
    <w:rsid w:val="0062347A"/>
    <w:rsid w:val="006254C7"/>
    <w:rsid w:val="006276B0"/>
    <w:rsid w:val="00632AAA"/>
    <w:rsid w:val="006374B3"/>
    <w:rsid w:val="00637F8F"/>
    <w:rsid w:val="006401F7"/>
    <w:rsid w:val="00640BA1"/>
    <w:rsid w:val="00640CF9"/>
    <w:rsid w:val="00642A5A"/>
    <w:rsid w:val="00646808"/>
    <w:rsid w:val="006472CA"/>
    <w:rsid w:val="00656229"/>
    <w:rsid w:val="0065727F"/>
    <w:rsid w:val="006622B8"/>
    <w:rsid w:val="006624F0"/>
    <w:rsid w:val="00664C39"/>
    <w:rsid w:val="0066649F"/>
    <w:rsid w:val="006672B6"/>
    <w:rsid w:val="006704A1"/>
    <w:rsid w:val="006719C1"/>
    <w:rsid w:val="0067269D"/>
    <w:rsid w:val="006736B4"/>
    <w:rsid w:val="00673EF9"/>
    <w:rsid w:val="006756E2"/>
    <w:rsid w:val="00676863"/>
    <w:rsid w:val="00676E51"/>
    <w:rsid w:val="006878BB"/>
    <w:rsid w:val="006912EC"/>
    <w:rsid w:val="00691CA1"/>
    <w:rsid w:val="00696929"/>
    <w:rsid w:val="00696EB1"/>
    <w:rsid w:val="006978AA"/>
    <w:rsid w:val="006A2D4C"/>
    <w:rsid w:val="006A422D"/>
    <w:rsid w:val="006A4A56"/>
    <w:rsid w:val="006A5E6E"/>
    <w:rsid w:val="006A6FAB"/>
    <w:rsid w:val="006A7AAF"/>
    <w:rsid w:val="006A7BA8"/>
    <w:rsid w:val="006B189C"/>
    <w:rsid w:val="006B41DF"/>
    <w:rsid w:val="006B4FED"/>
    <w:rsid w:val="006B636F"/>
    <w:rsid w:val="006C0589"/>
    <w:rsid w:val="006C1E48"/>
    <w:rsid w:val="006C4299"/>
    <w:rsid w:val="006C4509"/>
    <w:rsid w:val="006C566A"/>
    <w:rsid w:val="006D0C21"/>
    <w:rsid w:val="006D0D54"/>
    <w:rsid w:val="006D6FE8"/>
    <w:rsid w:val="006E0C0B"/>
    <w:rsid w:val="006E3931"/>
    <w:rsid w:val="006E3FD8"/>
    <w:rsid w:val="006E4B69"/>
    <w:rsid w:val="006F1AE2"/>
    <w:rsid w:val="00700BF6"/>
    <w:rsid w:val="0070733F"/>
    <w:rsid w:val="00711615"/>
    <w:rsid w:val="007139A0"/>
    <w:rsid w:val="00714817"/>
    <w:rsid w:val="007174EF"/>
    <w:rsid w:val="007175A4"/>
    <w:rsid w:val="00717CC8"/>
    <w:rsid w:val="00722574"/>
    <w:rsid w:val="00722D80"/>
    <w:rsid w:val="00726D86"/>
    <w:rsid w:val="007306A8"/>
    <w:rsid w:val="00733C46"/>
    <w:rsid w:val="007349A8"/>
    <w:rsid w:val="00734A0A"/>
    <w:rsid w:val="00734C5F"/>
    <w:rsid w:val="0073653B"/>
    <w:rsid w:val="0074596A"/>
    <w:rsid w:val="00747856"/>
    <w:rsid w:val="00751488"/>
    <w:rsid w:val="00752FD0"/>
    <w:rsid w:val="00753A1E"/>
    <w:rsid w:val="007556D8"/>
    <w:rsid w:val="007606E3"/>
    <w:rsid w:val="00762D29"/>
    <w:rsid w:val="00763D08"/>
    <w:rsid w:val="007655F0"/>
    <w:rsid w:val="00766424"/>
    <w:rsid w:val="007708B6"/>
    <w:rsid w:val="00773411"/>
    <w:rsid w:val="00775656"/>
    <w:rsid w:val="00777D71"/>
    <w:rsid w:val="00781F17"/>
    <w:rsid w:val="007824CD"/>
    <w:rsid w:val="007838DA"/>
    <w:rsid w:val="00783BA0"/>
    <w:rsid w:val="007840DC"/>
    <w:rsid w:val="00792631"/>
    <w:rsid w:val="0079350B"/>
    <w:rsid w:val="00793FB3"/>
    <w:rsid w:val="007A127C"/>
    <w:rsid w:val="007A1835"/>
    <w:rsid w:val="007A5B6F"/>
    <w:rsid w:val="007A741E"/>
    <w:rsid w:val="007B03D6"/>
    <w:rsid w:val="007B542F"/>
    <w:rsid w:val="007B6C80"/>
    <w:rsid w:val="007C0F6D"/>
    <w:rsid w:val="007C255B"/>
    <w:rsid w:val="007C25ED"/>
    <w:rsid w:val="007C3EC8"/>
    <w:rsid w:val="007D39CD"/>
    <w:rsid w:val="007D3C0E"/>
    <w:rsid w:val="007D4469"/>
    <w:rsid w:val="007D5506"/>
    <w:rsid w:val="007E07E3"/>
    <w:rsid w:val="007E4354"/>
    <w:rsid w:val="007E7495"/>
    <w:rsid w:val="007E7C92"/>
    <w:rsid w:val="007F3583"/>
    <w:rsid w:val="007F3D55"/>
    <w:rsid w:val="007F4D13"/>
    <w:rsid w:val="007F5979"/>
    <w:rsid w:val="00802367"/>
    <w:rsid w:val="00805433"/>
    <w:rsid w:val="00805658"/>
    <w:rsid w:val="00806A1A"/>
    <w:rsid w:val="00811330"/>
    <w:rsid w:val="0081287F"/>
    <w:rsid w:val="00813C42"/>
    <w:rsid w:val="008147A8"/>
    <w:rsid w:val="00821C2A"/>
    <w:rsid w:val="008238D8"/>
    <w:rsid w:val="00824AE7"/>
    <w:rsid w:val="00825558"/>
    <w:rsid w:val="00826009"/>
    <w:rsid w:val="008261A4"/>
    <w:rsid w:val="00827325"/>
    <w:rsid w:val="008310AF"/>
    <w:rsid w:val="008363CD"/>
    <w:rsid w:val="008438CD"/>
    <w:rsid w:val="00843A77"/>
    <w:rsid w:val="00846117"/>
    <w:rsid w:val="00847CBA"/>
    <w:rsid w:val="00850EB7"/>
    <w:rsid w:val="00853054"/>
    <w:rsid w:val="00854B4A"/>
    <w:rsid w:val="00856B3E"/>
    <w:rsid w:val="00860706"/>
    <w:rsid w:val="00861FE9"/>
    <w:rsid w:val="00862B42"/>
    <w:rsid w:val="008630ED"/>
    <w:rsid w:val="00864968"/>
    <w:rsid w:val="008731D5"/>
    <w:rsid w:val="00874F50"/>
    <w:rsid w:val="00875B63"/>
    <w:rsid w:val="00875D9C"/>
    <w:rsid w:val="0088033E"/>
    <w:rsid w:val="0088093E"/>
    <w:rsid w:val="0088351D"/>
    <w:rsid w:val="00884E5E"/>
    <w:rsid w:val="0088543C"/>
    <w:rsid w:val="00890AE7"/>
    <w:rsid w:val="008911F3"/>
    <w:rsid w:val="00896834"/>
    <w:rsid w:val="008A00F6"/>
    <w:rsid w:val="008A0AF5"/>
    <w:rsid w:val="008A191D"/>
    <w:rsid w:val="008A4C2E"/>
    <w:rsid w:val="008A5DFE"/>
    <w:rsid w:val="008B1CB2"/>
    <w:rsid w:val="008B75BC"/>
    <w:rsid w:val="008C08BA"/>
    <w:rsid w:val="008C191F"/>
    <w:rsid w:val="008C47B8"/>
    <w:rsid w:val="008C59E8"/>
    <w:rsid w:val="008C5A98"/>
    <w:rsid w:val="008C5B67"/>
    <w:rsid w:val="008D0DA7"/>
    <w:rsid w:val="008D2A88"/>
    <w:rsid w:val="008D3CD0"/>
    <w:rsid w:val="008E06FF"/>
    <w:rsid w:val="008E5F33"/>
    <w:rsid w:val="008E6BDC"/>
    <w:rsid w:val="008F03DC"/>
    <w:rsid w:val="008F3341"/>
    <w:rsid w:val="009028D5"/>
    <w:rsid w:val="00911433"/>
    <w:rsid w:val="00913CFC"/>
    <w:rsid w:val="00920FB2"/>
    <w:rsid w:val="00924066"/>
    <w:rsid w:val="00931658"/>
    <w:rsid w:val="00931D9F"/>
    <w:rsid w:val="00932BA2"/>
    <w:rsid w:val="009343A0"/>
    <w:rsid w:val="00937D13"/>
    <w:rsid w:val="009401F5"/>
    <w:rsid w:val="00942420"/>
    <w:rsid w:val="0094545A"/>
    <w:rsid w:val="00951198"/>
    <w:rsid w:val="00951FCA"/>
    <w:rsid w:val="00955A3F"/>
    <w:rsid w:val="009656E7"/>
    <w:rsid w:val="00966523"/>
    <w:rsid w:val="009667D6"/>
    <w:rsid w:val="00966845"/>
    <w:rsid w:val="00974D40"/>
    <w:rsid w:val="00976E12"/>
    <w:rsid w:val="00976F7D"/>
    <w:rsid w:val="009774D2"/>
    <w:rsid w:val="0098072F"/>
    <w:rsid w:val="0098445A"/>
    <w:rsid w:val="0099462E"/>
    <w:rsid w:val="00994AE6"/>
    <w:rsid w:val="0099799D"/>
    <w:rsid w:val="00997B60"/>
    <w:rsid w:val="009A4BD8"/>
    <w:rsid w:val="009A52DA"/>
    <w:rsid w:val="009B321E"/>
    <w:rsid w:val="009B3711"/>
    <w:rsid w:val="009B4739"/>
    <w:rsid w:val="009B4BEE"/>
    <w:rsid w:val="009B58A2"/>
    <w:rsid w:val="009B5C37"/>
    <w:rsid w:val="009B7DE4"/>
    <w:rsid w:val="009C4172"/>
    <w:rsid w:val="009C515F"/>
    <w:rsid w:val="009C5323"/>
    <w:rsid w:val="009D08CE"/>
    <w:rsid w:val="009D0B01"/>
    <w:rsid w:val="009D2976"/>
    <w:rsid w:val="009D4973"/>
    <w:rsid w:val="009D50B8"/>
    <w:rsid w:val="009D613A"/>
    <w:rsid w:val="009E317B"/>
    <w:rsid w:val="009E637F"/>
    <w:rsid w:val="009E7138"/>
    <w:rsid w:val="009F055E"/>
    <w:rsid w:val="009F1A99"/>
    <w:rsid w:val="009F2A8D"/>
    <w:rsid w:val="009F5E24"/>
    <w:rsid w:val="009F6CF6"/>
    <w:rsid w:val="00A04F91"/>
    <w:rsid w:val="00A13DA4"/>
    <w:rsid w:val="00A14B8B"/>
    <w:rsid w:val="00A23E49"/>
    <w:rsid w:val="00A302A2"/>
    <w:rsid w:val="00A328CE"/>
    <w:rsid w:val="00A336F4"/>
    <w:rsid w:val="00A426AA"/>
    <w:rsid w:val="00A4326A"/>
    <w:rsid w:val="00A468E0"/>
    <w:rsid w:val="00A544B9"/>
    <w:rsid w:val="00A56CCC"/>
    <w:rsid w:val="00A61614"/>
    <w:rsid w:val="00A624E3"/>
    <w:rsid w:val="00A63BF3"/>
    <w:rsid w:val="00A67109"/>
    <w:rsid w:val="00A67F58"/>
    <w:rsid w:val="00A7098C"/>
    <w:rsid w:val="00A7180A"/>
    <w:rsid w:val="00A721B9"/>
    <w:rsid w:val="00A72B6C"/>
    <w:rsid w:val="00A7538E"/>
    <w:rsid w:val="00A766B8"/>
    <w:rsid w:val="00A77A60"/>
    <w:rsid w:val="00A8169A"/>
    <w:rsid w:val="00A83766"/>
    <w:rsid w:val="00A86406"/>
    <w:rsid w:val="00A913D6"/>
    <w:rsid w:val="00A93466"/>
    <w:rsid w:val="00A940D2"/>
    <w:rsid w:val="00A94459"/>
    <w:rsid w:val="00A96014"/>
    <w:rsid w:val="00A964D2"/>
    <w:rsid w:val="00A96AAE"/>
    <w:rsid w:val="00A9725D"/>
    <w:rsid w:val="00A9756D"/>
    <w:rsid w:val="00AA01DF"/>
    <w:rsid w:val="00AA0B70"/>
    <w:rsid w:val="00AA0CF8"/>
    <w:rsid w:val="00AA3376"/>
    <w:rsid w:val="00AA3670"/>
    <w:rsid w:val="00AA6453"/>
    <w:rsid w:val="00AB11E6"/>
    <w:rsid w:val="00AC247C"/>
    <w:rsid w:val="00AC2FFA"/>
    <w:rsid w:val="00AC3C9B"/>
    <w:rsid w:val="00AC7014"/>
    <w:rsid w:val="00AD0B62"/>
    <w:rsid w:val="00AD113A"/>
    <w:rsid w:val="00AD12E7"/>
    <w:rsid w:val="00AD1EFD"/>
    <w:rsid w:val="00AE2760"/>
    <w:rsid w:val="00AE2841"/>
    <w:rsid w:val="00AE692F"/>
    <w:rsid w:val="00AF2CE2"/>
    <w:rsid w:val="00AF4469"/>
    <w:rsid w:val="00AF4AED"/>
    <w:rsid w:val="00B00956"/>
    <w:rsid w:val="00B00B57"/>
    <w:rsid w:val="00B025E5"/>
    <w:rsid w:val="00B0497E"/>
    <w:rsid w:val="00B04E2D"/>
    <w:rsid w:val="00B10701"/>
    <w:rsid w:val="00B146B3"/>
    <w:rsid w:val="00B16472"/>
    <w:rsid w:val="00B2129D"/>
    <w:rsid w:val="00B24DE5"/>
    <w:rsid w:val="00B30F72"/>
    <w:rsid w:val="00B3274D"/>
    <w:rsid w:val="00B3285E"/>
    <w:rsid w:val="00B362AE"/>
    <w:rsid w:val="00B37518"/>
    <w:rsid w:val="00B40DA1"/>
    <w:rsid w:val="00B41792"/>
    <w:rsid w:val="00B42517"/>
    <w:rsid w:val="00B4393A"/>
    <w:rsid w:val="00B47554"/>
    <w:rsid w:val="00B477BE"/>
    <w:rsid w:val="00B50B20"/>
    <w:rsid w:val="00B50F83"/>
    <w:rsid w:val="00B5231B"/>
    <w:rsid w:val="00B52A50"/>
    <w:rsid w:val="00B533DC"/>
    <w:rsid w:val="00B54828"/>
    <w:rsid w:val="00B56CD3"/>
    <w:rsid w:val="00B602A8"/>
    <w:rsid w:val="00B62E24"/>
    <w:rsid w:val="00B63924"/>
    <w:rsid w:val="00B727A9"/>
    <w:rsid w:val="00B729C8"/>
    <w:rsid w:val="00B76013"/>
    <w:rsid w:val="00B77801"/>
    <w:rsid w:val="00B826C1"/>
    <w:rsid w:val="00B83D6F"/>
    <w:rsid w:val="00B86222"/>
    <w:rsid w:val="00B90DF5"/>
    <w:rsid w:val="00B92124"/>
    <w:rsid w:val="00B95C8E"/>
    <w:rsid w:val="00B966F6"/>
    <w:rsid w:val="00BA09D1"/>
    <w:rsid w:val="00BA2CBF"/>
    <w:rsid w:val="00BA54B7"/>
    <w:rsid w:val="00BA64C0"/>
    <w:rsid w:val="00BB1F19"/>
    <w:rsid w:val="00BB5BF4"/>
    <w:rsid w:val="00BB6150"/>
    <w:rsid w:val="00BC0924"/>
    <w:rsid w:val="00BC09AC"/>
    <w:rsid w:val="00BC2608"/>
    <w:rsid w:val="00BC372F"/>
    <w:rsid w:val="00BD2A73"/>
    <w:rsid w:val="00BD4033"/>
    <w:rsid w:val="00BD4F0B"/>
    <w:rsid w:val="00BD6961"/>
    <w:rsid w:val="00BD6FD6"/>
    <w:rsid w:val="00BD7007"/>
    <w:rsid w:val="00BD78A7"/>
    <w:rsid w:val="00BD7D5D"/>
    <w:rsid w:val="00BE6C3E"/>
    <w:rsid w:val="00BF0752"/>
    <w:rsid w:val="00BF2D3D"/>
    <w:rsid w:val="00BF43AB"/>
    <w:rsid w:val="00BF7B7A"/>
    <w:rsid w:val="00C01D66"/>
    <w:rsid w:val="00C025A0"/>
    <w:rsid w:val="00C1405C"/>
    <w:rsid w:val="00C16198"/>
    <w:rsid w:val="00C1799C"/>
    <w:rsid w:val="00C201B3"/>
    <w:rsid w:val="00C319BC"/>
    <w:rsid w:val="00C33458"/>
    <w:rsid w:val="00C334AE"/>
    <w:rsid w:val="00C337AB"/>
    <w:rsid w:val="00C34211"/>
    <w:rsid w:val="00C347B9"/>
    <w:rsid w:val="00C3535C"/>
    <w:rsid w:val="00C3763A"/>
    <w:rsid w:val="00C37B7B"/>
    <w:rsid w:val="00C42B4A"/>
    <w:rsid w:val="00C43DD6"/>
    <w:rsid w:val="00C448D8"/>
    <w:rsid w:val="00C44DB2"/>
    <w:rsid w:val="00C46CAE"/>
    <w:rsid w:val="00C517C8"/>
    <w:rsid w:val="00C53FAF"/>
    <w:rsid w:val="00C572EF"/>
    <w:rsid w:val="00C600C3"/>
    <w:rsid w:val="00C60AA1"/>
    <w:rsid w:val="00C62273"/>
    <w:rsid w:val="00C62748"/>
    <w:rsid w:val="00C65511"/>
    <w:rsid w:val="00C666D8"/>
    <w:rsid w:val="00C70952"/>
    <w:rsid w:val="00C711C3"/>
    <w:rsid w:val="00C71745"/>
    <w:rsid w:val="00C735B2"/>
    <w:rsid w:val="00C73C48"/>
    <w:rsid w:val="00C74A53"/>
    <w:rsid w:val="00C75230"/>
    <w:rsid w:val="00C756F1"/>
    <w:rsid w:val="00C77F8C"/>
    <w:rsid w:val="00C8245B"/>
    <w:rsid w:val="00C82B40"/>
    <w:rsid w:val="00C838F1"/>
    <w:rsid w:val="00C83C82"/>
    <w:rsid w:val="00C85A59"/>
    <w:rsid w:val="00C9330B"/>
    <w:rsid w:val="00C9673A"/>
    <w:rsid w:val="00C970C2"/>
    <w:rsid w:val="00CA36B6"/>
    <w:rsid w:val="00CA707A"/>
    <w:rsid w:val="00CA7D60"/>
    <w:rsid w:val="00CB09B8"/>
    <w:rsid w:val="00CB0A05"/>
    <w:rsid w:val="00CB323A"/>
    <w:rsid w:val="00CB5429"/>
    <w:rsid w:val="00CB7BD6"/>
    <w:rsid w:val="00CC1478"/>
    <w:rsid w:val="00CC5715"/>
    <w:rsid w:val="00CC5C4D"/>
    <w:rsid w:val="00CC7A24"/>
    <w:rsid w:val="00CC7C63"/>
    <w:rsid w:val="00CC7F5C"/>
    <w:rsid w:val="00CD0AB8"/>
    <w:rsid w:val="00CD0E0F"/>
    <w:rsid w:val="00CD4D88"/>
    <w:rsid w:val="00CE0F3D"/>
    <w:rsid w:val="00CE61F2"/>
    <w:rsid w:val="00CF4B6B"/>
    <w:rsid w:val="00D00BCC"/>
    <w:rsid w:val="00D01606"/>
    <w:rsid w:val="00D02199"/>
    <w:rsid w:val="00D07D83"/>
    <w:rsid w:val="00D1071E"/>
    <w:rsid w:val="00D1237C"/>
    <w:rsid w:val="00D169A0"/>
    <w:rsid w:val="00D20A8B"/>
    <w:rsid w:val="00D2359F"/>
    <w:rsid w:val="00D2672E"/>
    <w:rsid w:val="00D31CF4"/>
    <w:rsid w:val="00D331F4"/>
    <w:rsid w:val="00D34D27"/>
    <w:rsid w:val="00D3696B"/>
    <w:rsid w:val="00D403E9"/>
    <w:rsid w:val="00D41A4E"/>
    <w:rsid w:val="00D446CE"/>
    <w:rsid w:val="00D44DB8"/>
    <w:rsid w:val="00D45829"/>
    <w:rsid w:val="00D459A2"/>
    <w:rsid w:val="00D5221E"/>
    <w:rsid w:val="00D53F98"/>
    <w:rsid w:val="00D56E0B"/>
    <w:rsid w:val="00D623A6"/>
    <w:rsid w:val="00D65FC2"/>
    <w:rsid w:val="00D66565"/>
    <w:rsid w:val="00D67A08"/>
    <w:rsid w:val="00D77684"/>
    <w:rsid w:val="00D81F0F"/>
    <w:rsid w:val="00D82A2A"/>
    <w:rsid w:val="00D843D2"/>
    <w:rsid w:val="00D874B0"/>
    <w:rsid w:val="00D875D1"/>
    <w:rsid w:val="00D9087D"/>
    <w:rsid w:val="00D9131E"/>
    <w:rsid w:val="00D92B38"/>
    <w:rsid w:val="00D96429"/>
    <w:rsid w:val="00D96DDB"/>
    <w:rsid w:val="00D96FC6"/>
    <w:rsid w:val="00DA36FB"/>
    <w:rsid w:val="00DA42A7"/>
    <w:rsid w:val="00DA600F"/>
    <w:rsid w:val="00DA6258"/>
    <w:rsid w:val="00DA7C0F"/>
    <w:rsid w:val="00DB0DFA"/>
    <w:rsid w:val="00DB0E7D"/>
    <w:rsid w:val="00DB3736"/>
    <w:rsid w:val="00DB641A"/>
    <w:rsid w:val="00DB756B"/>
    <w:rsid w:val="00DB77E2"/>
    <w:rsid w:val="00DB7FAB"/>
    <w:rsid w:val="00DC225A"/>
    <w:rsid w:val="00DC2B66"/>
    <w:rsid w:val="00DC48B1"/>
    <w:rsid w:val="00DC6BA0"/>
    <w:rsid w:val="00DD00BC"/>
    <w:rsid w:val="00DD14EE"/>
    <w:rsid w:val="00DD152F"/>
    <w:rsid w:val="00DD1A49"/>
    <w:rsid w:val="00DD2DF5"/>
    <w:rsid w:val="00DD3C7D"/>
    <w:rsid w:val="00DD6A20"/>
    <w:rsid w:val="00DD7EA9"/>
    <w:rsid w:val="00DE36C8"/>
    <w:rsid w:val="00DE5BD3"/>
    <w:rsid w:val="00DF0962"/>
    <w:rsid w:val="00DF183C"/>
    <w:rsid w:val="00DF370E"/>
    <w:rsid w:val="00DF524E"/>
    <w:rsid w:val="00DF65D7"/>
    <w:rsid w:val="00DF70DF"/>
    <w:rsid w:val="00E019D6"/>
    <w:rsid w:val="00E036E3"/>
    <w:rsid w:val="00E10427"/>
    <w:rsid w:val="00E11796"/>
    <w:rsid w:val="00E14CC3"/>
    <w:rsid w:val="00E2659A"/>
    <w:rsid w:val="00E30D45"/>
    <w:rsid w:val="00E31E2C"/>
    <w:rsid w:val="00E34F6B"/>
    <w:rsid w:val="00E40874"/>
    <w:rsid w:val="00E457D6"/>
    <w:rsid w:val="00E52BF2"/>
    <w:rsid w:val="00E53200"/>
    <w:rsid w:val="00E5347D"/>
    <w:rsid w:val="00E54962"/>
    <w:rsid w:val="00E55EE8"/>
    <w:rsid w:val="00E5613A"/>
    <w:rsid w:val="00E56579"/>
    <w:rsid w:val="00E57A95"/>
    <w:rsid w:val="00E60080"/>
    <w:rsid w:val="00E605F5"/>
    <w:rsid w:val="00E60DBE"/>
    <w:rsid w:val="00E679C1"/>
    <w:rsid w:val="00E70D6C"/>
    <w:rsid w:val="00E71386"/>
    <w:rsid w:val="00E75E4A"/>
    <w:rsid w:val="00E774C6"/>
    <w:rsid w:val="00E81CA7"/>
    <w:rsid w:val="00E83D1B"/>
    <w:rsid w:val="00E84F7D"/>
    <w:rsid w:val="00E91CB9"/>
    <w:rsid w:val="00E9469D"/>
    <w:rsid w:val="00E955DF"/>
    <w:rsid w:val="00E9646E"/>
    <w:rsid w:val="00E97B87"/>
    <w:rsid w:val="00EA05B7"/>
    <w:rsid w:val="00EA1F35"/>
    <w:rsid w:val="00EA4A8A"/>
    <w:rsid w:val="00EA5161"/>
    <w:rsid w:val="00EB219B"/>
    <w:rsid w:val="00EB577C"/>
    <w:rsid w:val="00EC0990"/>
    <w:rsid w:val="00EC1553"/>
    <w:rsid w:val="00EC4ABC"/>
    <w:rsid w:val="00ED2365"/>
    <w:rsid w:val="00ED2A62"/>
    <w:rsid w:val="00ED30E8"/>
    <w:rsid w:val="00EE16C3"/>
    <w:rsid w:val="00EE238B"/>
    <w:rsid w:val="00EE6B59"/>
    <w:rsid w:val="00EE6CCB"/>
    <w:rsid w:val="00EF067E"/>
    <w:rsid w:val="00EF0C1C"/>
    <w:rsid w:val="00EF22B8"/>
    <w:rsid w:val="00EF2F3A"/>
    <w:rsid w:val="00EF5270"/>
    <w:rsid w:val="00EF6C51"/>
    <w:rsid w:val="00EF76EC"/>
    <w:rsid w:val="00F00DDC"/>
    <w:rsid w:val="00F0194C"/>
    <w:rsid w:val="00F046EA"/>
    <w:rsid w:val="00F06D9C"/>
    <w:rsid w:val="00F13A1A"/>
    <w:rsid w:val="00F14156"/>
    <w:rsid w:val="00F214A4"/>
    <w:rsid w:val="00F21F6E"/>
    <w:rsid w:val="00F27274"/>
    <w:rsid w:val="00F2756A"/>
    <w:rsid w:val="00F30846"/>
    <w:rsid w:val="00F357E6"/>
    <w:rsid w:val="00F35D00"/>
    <w:rsid w:val="00F41F6B"/>
    <w:rsid w:val="00F44392"/>
    <w:rsid w:val="00F47B82"/>
    <w:rsid w:val="00F502CA"/>
    <w:rsid w:val="00F5146E"/>
    <w:rsid w:val="00F518E2"/>
    <w:rsid w:val="00F51B8E"/>
    <w:rsid w:val="00F54296"/>
    <w:rsid w:val="00F54F48"/>
    <w:rsid w:val="00F601EF"/>
    <w:rsid w:val="00F62B30"/>
    <w:rsid w:val="00F62F8B"/>
    <w:rsid w:val="00F642BD"/>
    <w:rsid w:val="00F66218"/>
    <w:rsid w:val="00F667AB"/>
    <w:rsid w:val="00F73D6B"/>
    <w:rsid w:val="00F763CE"/>
    <w:rsid w:val="00F80699"/>
    <w:rsid w:val="00F81993"/>
    <w:rsid w:val="00F81F52"/>
    <w:rsid w:val="00F825F9"/>
    <w:rsid w:val="00F82D53"/>
    <w:rsid w:val="00F831BA"/>
    <w:rsid w:val="00F857DE"/>
    <w:rsid w:val="00F85B58"/>
    <w:rsid w:val="00F93F04"/>
    <w:rsid w:val="00FA0E12"/>
    <w:rsid w:val="00FA134B"/>
    <w:rsid w:val="00FA3B37"/>
    <w:rsid w:val="00FA40D7"/>
    <w:rsid w:val="00FA5B9B"/>
    <w:rsid w:val="00FA7970"/>
    <w:rsid w:val="00FB0985"/>
    <w:rsid w:val="00FB336E"/>
    <w:rsid w:val="00FB7EB2"/>
    <w:rsid w:val="00FC10C9"/>
    <w:rsid w:val="00FC54FB"/>
    <w:rsid w:val="00FD0670"/>
    <w:rsid w:val="00FD39BE"/>
    <w:rsid w:val="00FD5D41"/>
    <w:rsid w:val="00FE0397"/>
    <w:rsid w:val="00FE300E"/>
    <w:rsid w:val="00FE445F"/>
    <w:rsid w:val="00FF023D"/>
    <w:rsid w:val="00FF0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10D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43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7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E4725"/>
    <w:rPr>
      <w:rFonts w:ascii="Tahoma" w:hAnsi="Tahoma" w:cs="Tahoma"/>
      <w:sz w:val="16"/>
      <w:szCs w:val="16"/>
    </w:rPr>
  </w:style>
  <w:style w:type="paragraph" w:styleId="NormalWeb">
    <w:name w:val="Normal (Web)"/>
    <w:basedOn w:val="Normal"/>
    <w:uiPriority w:val="99"/>
    <w:semiHidden/>
    <w:unhideWhenUsed/>
    <w:rsid w:val="001E4725"/>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1E4725"/>
    <w:pPr>
      <w:spacing w:after="0" w:line="240" w:lineRule="auto"/>
      <w:ind w:left="720"/>
      <w:contextualSpacing/>
    </w:pPr>
    <w:rPr>
      <w:rFonts w:ascii="Times New Roman" w:eastAsia="Times New Roman" w:hAnsi="Times New Roman"/>
      <w:sz w:val="24"/>
      <w:szCs w:val="24"/>
    </w:rPr>
  </w:style>
  <w:style w:type="paragraph" w:styleId="CommentText">
    <w:name w:val="annotation text"/>
    <w:basedOn w:val="Normal"/>
    <w:link w:val="CommentTextChar"/>
    <w:uiPriority w:val="99"/>
    <w:semiHidden/>
    <w:unhideWhenUsed/>
    <w:rsid w:val="007139A0"/>
    <w:pPr>
      <w:spacing w:line="240" w:lineRule="auto"/>
    </w:pPr>
    <w:rPr>
      <w:sz w:val="20"/>
      <w:szCs w:val="20"/>
    </w:rPr>
  </w:style>
  <w:style w:type="character" w:customStyle="1" w:styleId="CommentTextChar">
    <w:name w:val="Comment Text Char"/>
    <w:link w:val="CommentText"/>
    <w:uiPriority w:val="99"/>
    <w:semiHidden/>
    <w:rsid w:val="007139A0"/>
    <w:rPr>
      <w:sz w:val="20"/>
      <w:szCs w:val="20"/>
    </w:rPr>
  </w:style>
  <w:style w:type="character" w:styleId="CommentReference">
    <w:name w:val="annotation reference"/>
    <w:uiPriority w:val="99"/>
    <w:semiHidden/>
    <w:rsid w:val="007139A0"/>
    <w:rPr>
      <w:sz w:val="16"/>
      <w:szCs w:val="16"/>
    </w:rPr>
  </w:style>
  <w:style w:type="table" w:styleId="TableClassic1">
    <w:name w:val="Table Classic 1"/>
    <w:basedOn w:val="TableNormal"/>
    <w:rsid w:val="007139A0"/>
    <w:pPr>
      <w:widowControl w:val="0"/>
      <w:autoSpaceDE w:val="0"/>
      <w:autoSpaceDN w:val="0"/>
      <w:adjustRightInd w:val="0"/>
      <w:ind w:left="720"/>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uiPriority w:val="59"/>
    <w:rsid w:val="00A97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52492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
    <w:name w:val="Table Grid1"/>
    <w:basedOn w:val="TableNormal"/>
    <w:next w:val="TableGrid"/>
    <w:uiPriority w:val="59"/>
    <w:rsid w:val="00F81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46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808"/>
  </w:style>
  <w:style w:type="paragraph" w:styleId="Subtitle">
    <w:name w:val="Subtitle"/>
    <w:basedOn w:val="Normal"/>
    <w:next w:val="Normal"/>
    <w:link w:val="SubtitleChar"/>
    <w:uiPriority w:val="11"/>
    <w:qFormat/>
    <w:rsid w:val="0067269D"/>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67269D"/>
    <w:rPr>
      <w:rFonts w:ascii="Cambria" w:eastAsia="Times New Roman" w:hAnsi="Cambria" w:cs="Times New Roman"/>
      <w:i/>
      <w:iCs/>
      <w:color w:val="4F81BD"/>
      <w:spacing w:val="15"/>
      <w:sz w:val="24"/>
      <w:szCs w:val="24"/>
    </w:rPr>
  </w:style>
  <w:style w:type="paragraph" w:styleId="Header">
    <w:name w:val="header"/>
    <w:basedOn w:val="Normal"/>
    <w:link w:val="HeaderChar"/>
    <w:uiPriority w:val="99"/>
    <w:unhideWhenUsed/>
    <w:rsid w:val="00B02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5E5"/>
  </w:style>
  <w:style w:type="character" w:styleId="Hyperlink">
    <w:name w:val="Hyperlink"/>
    <w:uiPriority w:val="99"/>
    <w:unhideWhenUsed/>
    <w:rsid w:val="002C1FF9"/>
    <w:rPr>
      <w:color w:val="0000FF"/>
      <w:u w:val="single"/>
    </w:rPr>
  </w:style>
  <w:style w:type="paragraph" w:styleId="CommentSubject">
    <w:name w:val="annotation subject"/>
    <w:basedOn w:val="CommentText"/>
    <w:next w:val="CommentText"/>
    <w:link w:val="CommentSubjectChar"/>
    <w:uiPriority w:val="99"/>
    <w:semiHidden/>
    <w:unhideWhenUsed/>
    <w:rsid w:val="00802367"/>
    <w:rPr>
      <w:b/>
      <w:bCs/>
    </w:rPr>
  </w:style>
  <w:style w:type="character" w:customStyle="1" w:styleId="CommentSubjectChar">
    <w:name w:val="Comment Subject Char"/>
    <w:link w:val="CommentSubject"/>
    <w:uiPriority w:val="99"/>
    <w:semiHidden/>
    <w:rsid w:val="00802367"/>
    <w:rPr>
      <w:b/>
      <w:bCs/>
      <w:sz w:val="20"/>
      <w:szCs w:val="20"/>
    </w:rPr>
  </w:style>
  <w:style w:type="numbering" w:customStyle="1" w:styleId="NoList1">
    <w:name w:val="No List1"/>
    <w:next w:val="NoList"/>
    <w:uiPriority w:val="99"/>
    <w:semiHidden/>
    <w:unhideWhenUsed/>
    <w:rsid w:val="00146D66"/>
  </w:style>
  <w:style w:type="paragraph" w:styleId="Title">
    <w:name w:val="Title"/>
    <w:basedOn w:val="Normal"/>
    <w:next w:val="Normal"/>
    <w:link w:val="TitleChar"/>
    <w:uiPriority w:val="10"/>
    <w:qFormat/>
    <w:rsid w:val="00393B83"/>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393B83"/>
    <w:rPr>
      <w:rFonts w:ascii="Cambria" w:eastAsia="Times New Roman" w:hAnsi="Cambria" w:cs="Times New Roman"/>
      <w:b/>
      <w:bCs/>
      <w:kern w:val="28"/>
      <w:sz w:val="32"/>
      <w:szCs w:val="32"/>
    </w:rPr>
  </w:style>
  <w:style w:type="paragraph" w:styleId="IntenseQuote">
    <w:name w:val="Intense Quote"/>
    <w:basedOn w:val="Normal"/>
    <w:next w:val="Normal"/>
    <w:link w:val="IntenseQuoteChar"/>
    <w:uiPriority w:val="30"/>
    <w:qFormat/>
    <w:rsid w:val="000469D9"/>
    <w:pPr>
      <w:pBdr>
        <w:bottom w:val="single" w:sz="4" w:space="4" w:color="0F6FC6" w:themeColor="accent1"/>
      </w:pBdr>
      <w:spacing w:before="200" w:after="280"/>
      <w:ind w:left="936" w:right="936"/>
    </w:pPr>
    <w:rPr>
      <w:b/>
      <w:bCs/>
      <w:i/>
      <w:iCs/>
      <w:color w:val="0F6FC6" w:themeColor="accent1"/>
    </w:rPr>
  </w:style>
  <w:style w:type="character" w:customStyle="1" w:styleId="IntenseQuoteChar">
    <w:name w:val="Intense Quote Char"/>
    <w:basedOn w:val="DefaultParagraphFont"/>
    <w:link w:val="IntenseQuote"/>
    <w:uiPriority w:val="30"/>
    <w:rsid w:val="000469D9"/>
    <w:rPr>
      <w:b/>
      <w:bCs/>
      <w:i/>
      <w:iCs/>
      <w:color w:val="0F6FC6" w:themeColor="accent1"/>
      <w:sz w:val="22"/>
      <w:szCs w:val="22"/>
    </w:rPr>
  </w:style>
  <w:style w:type="table" w:styleId="MediumShading2-Accent1">
    <w:name w:val="Medium Shading 2 Accent 1"/>
    <w:basedOn w:val="TableNormal"/>
    <w:uiPriority w:val="64"/>
    <w:rsid w:val="00DA7C0F"/>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6FC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6FC6" w:themeFill="accent1"/>
      </w:tcPr>
    </w:tblStylePr>
    <w:tblStylePr w:type="lastCol">
      <w:rPr>
        <w:b/>
        <w:bCs/>
        <w:color w:val="FFFFFF" w:themeColor="background1"/>
      </w:rPr>
      <w:tblPr/>
      <w:tcPr>
        <w:tcBorders>
          <w:left w:val="nil"/>
          <w:right w:val="nil"/>
          <w:insideH w:val="nil"/>
          <w:insideV w:val="nil"/>
        </w:tcBorders>
        <w:shd w:val="clear" w:color="auto" w:fill="0F6FC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FootnoteText">
    <w:name w:val="footnote text"/>
    <w:basedOn w:val="Normal"/>
    <w:link w:val="FootnoteTextChar"/>
    <w:uiPriority w:val="99"/>
    <w:semiHidden/>
    <w:unhideWhenUsed/>
    <w:rsid w:val="005C618C"/>
    <w:pPr>
      <w:widowControl w:val="0"/>
      <w:autoSpaceDE w:val="0"/>
      <w:autoSpaceDN w:val="0"/>
      <w:adjustRightInd w:val="0"/>
      <w:spacing w:after="0" w:line="240" w:lineRule="auto"/>
      <w:ind w:left="720"/>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5C618C"/>
    <w:rPr>
      <w:rFonts w:ascii="Times New Roman" w:eastAsia="Times New Roman" w:hAnsi="Times New Roman"/>
    </w:rPr>
  </w:style>
  <w:style w:type="character" w:styleId="FootnoteReference">
    <w:name w:val="footnote reference"/>
    <w:basedOn w:val="DefaultParagraphFont"/>
    <w:uiPriority w:val="99"/>
    <w:semiHidden/>
    <w:unhideWhenUsed/>
    <w:rsid w:val="005C618C"/>
    <w:rPr>
      <w:vertAlign w:val="superscript"/>
    </w:rPr>
  </w:style>
  <w:style w:type="character" w:customStyle="1" w:styleId="field-content8">
    <w:name w:val="field-content8"/>
    <w:basedOn w:val="DefaultParagraphFont"/>
    <w:rsid w:val="00D07D83"/>
  </w:style>
  <w:style w:type="table" w:customStyle="1" w:styleId="TableGrid2">
    <w:name w:val="Table Grid2"/>
    <w:basedOn w:val="TableNormal"/>
    <w:next w:val="TableGrid"/>
    <w:uiPriority w:val="39"/>
    <w:rsid w:val="0007198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7198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07198D"/>
    <w:rPr>
      <w:sz w:val="22"/>
      <w:szCs w:val="22"/>
    </w:rPr>
  </w:style>
  <w:style w:type="paragraph" w:styleId="NoSpacing">
    <w:name w:val="No Spacing"/>
    <w:uiPriority w:val="1"/>
    <w:qFormat/>
    <w:rsid w:val="0007198D"/>
    <w:rPr>
      <w:sz w:val="22"/>
      <w:szCs w:val="22"/>
    </w:rPr>
  </w:style>
  <w:style w:type="character" w:styleId="FollowedHyperlink">
    <w:name w:val="FollowedHyperlink"/>
    <w:basedOn w:val="DefaultParagraphFont"/>
    <w:uiPriority w:val="99"/>
    <w:semiHidden/>
    <w:unhideWhenUsed/>
    <w:rsid w:val="0007198D"/>
    <w:rPr>
      <w:color w:val="85DFD0" w:themeColor="followedHyperlink"/>
      <w:u w:val="single"/>
    </w:rPr>
  </w:style>
  <w:style w:type="paragraph" w:styleId="Revision">
    <w:name w:val="Revision"/>
    <w:hidden/>
    <w:uiPriority w:val="99"/>
    <w:semiHidden/>
    <w:rsid w:val="0007198D"/>
    <w:rPr>
      <w:sz w:val="22"/>
      <w:szCs w:val="22"/>
    </w:rPr>
  </w:style>
  <w:style w:type="character" w:styleId="Emphasis">
    <w:name w:val="Emphasis"/>
    <w:basedOn w:val="DefaultParagraphFont"/>
    <w:uiPriority w:val="20"/>
    <w:qFormat/>
    <w:rsid w:val="0007198D"/>
    <w:rPr>
      <w:i/>
      <w:iCs/>
    </w:rPr>
  </w:style>
  <w:style w:type="table" w:customStyle="1" w:styleId="TableGrid4">
    <w:name w:val="Table Grid4"/>
    <w:basedOn w:val="TableNormal"/>
    <w:next w:val="TableGrid"/>
    <w:uiPriority w:val="39"/>
    <w:rsid w:val="00DE36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6278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06278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6278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43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7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E4725"/>
    <w:rPr>
      <w:rFonts w:ascii="Tahoma" w:hAnsi="Tahoma" w:cs="Tahoma"/>
      <w:sz w:val="16"/>
      <w:szCs w:val="16"/>
    </w:rPr>
  </w:style>
  <w:style w:type="paragraph" w:styleId="NormalWeb">
    <w:name w:val="Normal (Web)"/>
    <w:basedOn w:val="Normal"/>
    <w:uiPriority w:val="99"/>
    <w:semiHidden/>
    <w:unhideWhenUsed/>
    <w:rsid w:val="001E4725"/>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1E4725"/>
    <w:pPr>
      <w:spacing w:after="0" w:line="240" w:lineRule="auto"/>
      <w:ind w:left="720"/>
      <w:contextualSpacing/>
    </w:pPr>
    <w:rPr>
      <w:rFonts w:ascii="Times New Roman" w:eastAsia="Times New Roman" w:hAnsi="Times New Roman"/>
      <w:sz w:val="24"/>
      <w:szCs w:val="24"/>
    </w:rPr>
  </w:style>
  <w:style w:type="paragraph" w:styleId="CommentText">
    <w:name w:val="annotation text"/>
    <w:basedOn w:val="Normal"/>
    <w:link w:val="CommentTextChar"/>
    <w:uiPriority w:val="99"/>
    <w:semiHidden/>
    <w:unhideWhenUsed/>
    <w:rsid w:val="007139A0"/>
    <w:pPr>
      <w:spacing w:line="240" w:lineRule="auto"/>
    </w:pPr>
    <w:rPr>
      <w:sz w:val="20"/>
      <w:szCs w:val="20"/>
    </w:rPr>
  </w:style>
  <w:style w:type="character" w:customStyle="1" w:styleId="CommentTextChar">
    <w:name w:val="Comment Text Char"/>
    <w:link w:val="CommentText"/>
    <w:uiPriority w:val="99"/>
    <w:semiHidden/>
    <w:rsid w:val="007139A0"/>
    <w:rPr>
      <w:sz w:val="20"/>
      <w:szCs w:val="20"/>
    </w:rPr>
  </w:style>
  <w:style w:type="character" w:styleId="CommentReference">
    <w:name w:val="annotation reference"/>
    <w:uiPriority w:val="99"/>
    <w:semiHidden/>
    <w:rsid w:val="007139A0"/>
    <w:rPr>
      <w:sz w:val="16"/>
      <w:szCs w:val="16"/>
    </w:rPr>
  </w:style>
  <w:style w:type="table" w:styleId="TableClassic1">
    <w:name w:val="Table Classic 1"/>
    <w:basedOn w:val="TableNormal"/>
    <w:rsid w:val="007139A0"/>
    <w:pPr>
      <w:widowControl w:val="0"/>
      <w:autoSpaceDE w:val="0"/>
      <w:autoSpaceDN w:val="0"/>
      <w:adjustRightInd w:val="0"/>
      <w:ind w:left="720"/>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uiPriority w:val="59"/>
    <w:rsid w:val="00A97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52492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
    <w:name w:val="Table Grid1"/>
    <w:basedOn w:val="TableNormal"/>
    <w:next w:val="TableGrid"/>
    <w:uiPriority w:val="59"/>
    <w:rsid w:val="00F81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46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808"/>
  </w:style>
  <w:style w:type="paragraph" w:styleId="Subtitle">
    <w:name w:val="Subtitle"/>
    <w:basedOn w:val="Normal"/>
    <w:next w:val="Normal"/>
    <w:link w:val="SubtitleChar"/>
    <w:uiPriority w:val="11"/>
    <w:qFormat/>
    <w:rsid w:val="0067269D"/>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67269D"/>
    <w:rPr>
      <w:rFonts w:ascii="Cambria" w:eastAsia="Times New Roman" w:hAnsi="Cambria" w:cs="Times New Roman"/>
      <w:i/>
      <w:iCs/>
      <w:color w:val="4F81BD"/>
      <w:spacing w:val="15"/>
      <w:sz w:val="24"/>
      <w:szCs w:val="24"/>
    </w:rPr>
  </w:style>
  <w:style w:type="paragraph" w:styleId="Header">
    <w:name w:val="header"/>
    <w:basedOn w:val="Normal"/>
    <w:link w:val="HeaderChar"/>
    <w:uiPriority w:val="99"/>
    <w:unhideWhenUsed/>
    <w:rsid w:val="00B02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5E5"/>
  </w:style>
  <w:style w:type="character" w:styleId="Hyperlink">
    <w:name w:val="Hyperlink"/>
    <w:uiPriority w:val="99"/>
    <w:unhideWhenUsed/>
    <w:rsid w:val="002C1FF9"/>
    <w:rPr>
      <w:color w:val="0000FF"/>
      <w:u w:val="single"/>
    </w:rPr>
  </w:style>
  <w:style w:type="paragraph" w:styleId="CommentSubject">
    <w:name w:val="annotation subject"/>
    <w:basedOn w:val="CommentText"/>
    <w:next w:val="CommentText"/>
    <w:link w:val="CommentSubjectChar"/>
    <w:uiPriority w:val="99"/>
    <w:semiHidden/>
    <w:unhideWhenUsed/>
    <w:rsid w:val="00802367"/>
    <w:rPr>
      <w:b/>
      <w:bCs/>
    </w:rPr>
  </w:style>
  <w:style w:type="character" w:customStyle="1" w:styleId="CommentSubjectChar">
    <w:name w:val="Comment Subject Char"/>
    <w:link w:val="CommentSubject"/>
    <w:uiPriority w:val="99"/>
    <w:semiHidden/>
    <w:rsid w:val="00802367"/>
    <w:rPr>
      <w:b/>
      <w:bCs/>
      <w:sz w:val="20"/>
      <w:szCs w:val="20"/>
    </w:rPr>
  </w:style>
  <w:style w:type="numbering" w:customStyle="1" w:styleId="NoList1">
    <w:name w:val="No List1"/>
    <w:next w:val="NoList"/>
    <w:uiPriority w:val="99"/>
    <w:semiHidden/>
    <w:unhideWhenUsed/>
    <w:rsid w:val="00146D66"/>
  </w:style>
  <w:style w:type="paragraph" w:styleId="Title">
    <w:name w:val="Title"/>
    <w:basedOn w:val="Normal"/>
    <w:next w:val="Normal"/>
    <w:link w:val="TitleChar"/>
    <w:uiPriority w:val="10"/>
    <w:qFormat/>
    <w:rsid w:val="00393B83"/>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393B83"/>
    <w:rPr>
      <w:rFonts w:ascii="Cambria" w:eastAsia="Times New Roman" w:hAnsi="Cambria" w:cs="Times New Roman"/>
      <w:b/>
      <w:bCs/>
      <w:kern w:val="28"/>
      <w:sz w:val="32"/>
      <w:szCs w:val="32"/>
    </w:rPr>
  </w:style>
  <w:style w:type="paragraph" w:styleId="IntenseQuote">
    <w:name w:val="Intense Quote"/>
    <w:basedOn w:val="Normal"/>
    <w:next w:val="Normal"/>
    <w:link w:val="IntenseQuoteChar"/>
    <w:uiPriority w:val="30"/>
    <w:qFormat/>
    <w:rsid w:val="000469D9"/>
    <w:pPr>
      <w:pBdr>
        <w:bottom w:val="single" w:sz="4" w:space="4" w:color="0F6FC6" w:themeColor="accent1"/>
      </w:pBdr>
      <w:spacing w:before="200" w:after="280"/>
      <w:ind w:left="936" w:right="936"/>
    </w:pPr>
    <w:rPr>
      <w:b/>
      <w:bCs/>
      <w:i/>
      <w:iCs/>
      <w:color w:val="0F6FC6" w:themeColor="accent1"/>
    </w:rPr>
  </w:style>
  <w:style w:type="character" w:customStyle="1" w:styleId="IntenseQuoteChar">
    <w:name w:val="Intense Quote Char"/>
    <w:basedOn w:val="DefaultParagraphFont"/>
    <w:link w:val="IntenseQuote"/>
    <w:uiPriority w:val="30"/>
    <w:rsid w:val="000469D9"/>
    <w:rPr>
      <w:b/>
      <w:bCs/>
      <w:i/>
      <w:iCs/>
      <w:color w:val="0F6FC6" w:themeColor="accent1"/>
      <w:sz w:val="22"/>
      <w:szCs w:val="22"/>
    </w:rPr>
  </w:style>
  <w:style w:type="table" w:styleId="MediumShading2-Accent1">
    <w:name w:val="Medium Shading 2 Accent 1"/>
    <w:basedOn w:val="TableNormal"/>
    <w:uiPriority w:val="64"/>
    <w:rsid w:val="00DA7C0F"/>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6FC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6FC6" w:themeFill="accent1"/>
      </w:tcPr>
    </w:tblStylePr>
    <w:tblStylePr w:type="lastCol">
      <w:rPr>
        <w:b/>
        <w:bCs/>
        <w:color w:val="FFFFFF" w:themeColor="background1"/>
      </w:rPr>
      <w:tblPr/>
      <w:tcPr>
        <w:tcBorders>
          <w:left w:val="nil"/>
          <w:right w:val="nil"/>
          <w:insideH w:val="nil"/>
          <w:insideV w:val="nil"/>
        </w:tcBorders>
        <w:shd w:val="clear" w:color="auto" w:fill="0F6FC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FootnoteText">
    <w:name w:val="footnote text"/>
    <w:basedOn w:val="Normal"/>
    <w:link w:val="FootnoteTextChar"/>
    <w:uiPriority w:val="99"/>
    <w:semiHidden/>
    <w:unhideWhenUsed/>
    <w:rsid w:val="005C618C"/>
    <w:pPr>
      <w:widowControl w:val="0"/>
      <w:autoSpaceDE w:val="0"/>
      <w:autoSpaceDN w:val="0"/>
      <w:adjustRightInd w:val="0"/>
      <w:spacing w:after="0" w:line="240" w:lineRule="auto"/>
      <w:ind w:left="720"/>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5C618C"/>
    <w:rPr>
      <w:rFonts w:ascii="Times New Roman" w:eastAsia="Times New Roman" w:hAnsi="Times New Roman"/>
    </w:rPr>
  </w:style>
  <w:style w:type="character" w:styleId="FootnoteReference">
    <w:name w:val="footnote reference"/>
    <w:basedOn w:val="DefaultParagraphFont"/>
    <w:uiPriority w:val="99"/>
    <w:semiHidden/>
    <w:unhideWhenUsed/>
    <w:rsid w:val="005C618C"/>
    <w:rPr>
      <w:vertAlign w:val="superscript"/>
    </w:rPr>
  </w:style>
  <w:style w:type="character" w:customStyle="1" w:styleId="field-content8">
    <w:name w:val="field-content8"/>
    <w:basedOn w:val="DefaultParagraphFont"/>
    <w:rsid w:val="00D07D83"/>
  </w:style>
  <w:style w:type="table" w:customStyle="1" w:styleId="TableGrid2">
    <w:name w:val="Table Grid2"/>
    <w:basedOn w:val="TableNormal"/>
    <w:next w:val="TableGrid"/>
    <w:uiPriority w:val="39"/>
    <w:rsid w:val="0007198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7198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07198D"/>
    <w:rPr>
      <w:sz w:val="22"/>
      <w:szCs w:val="22"/>
    </w:rPr>
  </w:style>
  <w:style w:type="paragraph" w:styleId="NoSpacing">
    <w:name w:val="No Spacing"/>
    <w:uiPriority w:val="1"/>
    <w:qFormat/>
    <w:rsid w:val="0007198D"/>
    <w:rPr>
      <w:sz w:val="22"/>
      <w:szCs w:val="22"/>
    </w:rPr>
  </w:style>
  <w:style w:type="character" w:styleId="FollowedHyperlink">
    <w:name w:val="FollowedHyperlink"/>
    <w:basedOn w:val="DefaultParagraphFont"/>
    <w:uiPriority w:val="99"/>
    <w:semiHidden/>
    <w:unhideWhenUsed/>
    <w:rsid w:val="0007198D"/>
    <w:rPr>
      <w:color w:val="85DFD0" w:themeColor="followedHyperlink"/>
      <w:u w:val="single"/>
    </w:rPr>
  </w:style>
  <w:style w:type="paragraph" w:styleId="Revision">
    <w:name w:val="Revision"/>
    <w:hidden/>
    <w:uiPriority w:val="99"/>
    <w:semiHidden/>
    <w:rsid w:val="0007198D"/>
    <w:rPr>
      <w:sz w:val="22"/>
      <w:szCs w:val="22"/>
    </w:rPr>
  </w:style>
  <w:style w:type="character" w:styleId="Emphasis">
    <w:name w:val="Emphasis"/>
    <w:basedOn w:val="DefaultParagraphFont"/>
    <w:uiPriority w:val="20"/>
    <w:qFormat/>
    <w:rsid w:val="0007198D"/>
    <w:rPr>
      <w:i/>
      <w:iCs/>
    </w:rPr>
  </w:style>
  <w:style w:type="table" w:customStyle="1" w:styleId="TableGrid4">
    <w:name w:val="Table Grid4"/>
    <w:basedOn w:val="TableNormal"/>
    <w:next w:val="TableGrid"/>
    <w:uiPriority w:val="39"/>
    <w:rsid w:val="00DE36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6278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06278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6278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68597">
      <w:bodyDiv w:val="1"/>
      <w:marLeft w:val="0"/>
      <w:marRight w:val="0"/>
      <w:marTop w:val="0"/>
      <w:marBottom w:val="0"/>
      <w:divBdr>
        <w:top w:val="none" w:sz="0" w:space="0" w:color="auto"/>
        <w:left w:val="none" w:sz="0" w:space="0" w:color="auto"/>
        <w:bottom w:val="none" w:sz="0" w:space="0" w:color="auto"/>
        <w:right w:val="none" w:sz="0" w:space="0" w:color="auto"/>
      </w:divBdr>
    </w:div>
    <w:div w:id="807746815">
      <w:bodyDiv w:val="1"/>
      <w:marLeft w:val="0"/>
      <w:marRight w:val="0"/>
      <w:marTop w:val="0"/>
      <w:marBottom w:val="0"/>
      <w:divBdr>
        <w:top w:val="none" w:sz="0" w:space="0" w:color="auto"/>
        <w:left w:val="none" w:sz="0" w:space="0" w:color="auto"/>
        <w:bottom w:val="none" w:sz="0" w:space="0" w:color="auto"/>
        <w:right w:val="none" w:sz="0" w:space="0" w:color="auto"/>
      </w:divBdr>
    </w:div>
    <w:div w:id="1223519974">
      <w:bodyDiv w:val="1"/>
      <w:marLeft w:val="0"/>
      <w:marRight w:val="0"/>
      <w:marTop w:val="0"/>
      <w:marBottom w:val="0"/>
      <w:divBdr>
        <w:top w:val="none" w:sz="0" w:space="0" w:color="auto"/>
        <w:left w:val="none" w:sz="0" w:space="0" w:color="auto"/>
        <w:bottom w:val="none" w:sz="0" w:space="0" w:color="auto"/>
        <w:right w:val="none" w:sz="0" w:space="0" w:color="auto"/>
      </w:divBdr>
    </w:div>
    <w:div w:id="135746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2.xml"/><Relationship Id="rId117" Type="http://schemas.openxmlformats.org/officeDocument/2006/relationships/hyperlink" Target="https://www.cdc.gov/vaccines/index.html" TargetMode="External"/><Relationship Id="rId21" Type="http://schemas.openxmlformats.org/officeDocument/2006/relationships/diagramColors" Target="diagrams/colors1.xml"/><Relationship Id="rId42" Type="http://schemas.openxmlformats.org/officeDocument/2006/relationships/hyperlink" Target="https://www.cdc.gov/violenceprevention/pdf/suicide-datasheet-a.pdf" TargetMode="External"/><Relationship Id="rId47" Type="http://schemas.openxmlformats.org/officeDocument/2006/relationships/hyperlink" Target="https://link.springer.com/article/10.1007/s10995-013-1315-9" TargetMode="External"/><Relationship Id="rId63" Type="http://schemas.openxmlformats.org/officeDocument/2006/relationships/hyperlink" Target="https://www.cdc.gov/mmwr/preview/mmwrhtml/rr5506a1.htm" TargetMode="External"/><Relationship Id="rId68" Type="http://schemas.openxmlformats.org/officeDocument/2006/relationships/footer" Target="footer4.xml"/><Relationship Id="rId84" Type="http://schemas.openxmlformats.org/officeDocument/2006/relationships/hyperlink" Target="https://www.cdc.gov/nchs/data/nvsr/nvsr64/nvsr64_08.pdf" TargetMode="External"/><Relationship Id="rId89" Type="http://schemas.openxmlformats.org/officeDocument/2006/relationships/hyperlink" Target="https://www.cdc.gov/nchs/data/nvsr/nvsr64/nvsr64_09.pdf" TargetMode="External"/><Relationship Id="rId112" Type="http://schemas.openxmlformats.org/officeDocument/2006/relationships/hyperlink" Target="https://www.cdc.gov/hrqol/concept.htm" TargetMode="External"/><Relationship Id="rId133" Type="http://schemas.openxmlformats.org/officeDocument/2006/relationships/hyperlink" Target="https://health.gov/paguidelines/guidelines/" TargetMode="External"/><Relationship Id="rId138" Type="http://schemas.openxmlformats.org/officeDocument/2006/relationships/hyperlink" Target="https://www.mchoralhealth.org/materials/consensus_statement.php" TargetMode="External"/><Relationship Id="rId154" Type="http://schemas.openxmlformats.org/officeDocument/2006/relationships/hyperlink" Target="http://www.gottransition.org/" TargetMode="External"/><Relationship Id="rId159" Type="http://schemas.openxmlformats.org/officeDocument/2006/relationships/fontTable" Target="fontTable.xml"/><Relationship Id="rId16" Type="http://schemas.openxmlformats.org/officeDocument/2006/relationships/footer" Target="footer2.xml"/><Relationship Id="rId107" Type="http://schemas.openxmlformats.org/officeDocument/2006/relationships/hyperlink" Target="https://mchb.hrsa.gov/chusa14/population-characteristics/children-special-health-care-needs.html" TargetMode="External"/><Relationship Id="rId11" Type="http://schemas.openxmlformats.org/officeDocument/2006/relationships/footnotes" Target="footnotes.xml"/><Relationship Id="rId32" Type="http://schemas.openxmlformats.org/officeDocument/2006/relationships/hyperlink" Target="https://www.cdc.gov/preconception/careforwomen" TargetMode="External"/><Relationship Id="rId37" Type="http://schemas.openxmlformats.org/officeDocument/2006/relationships/hyperlink" Target="http://onlinelibrary.wiley.com/doi/10.1002/14651858.CD003517.pub2/full" TargetMode="External"/><Relationship Id="rId53" Type="http://schemas.openxmlformats.org/officeDocument/2006/relationships/hyperlink" Target="http://www.acog.org/Resources-And-Publications/Committee-Opinions/Committee-on-Health-Care-for-Underserved-Women/Oral-Health-Care-During-Pregnancy-and-Through-the-Lifespan" TargetMode="External"/><Relationship Id="rId58" Type="http://schemas.openxmlformats.org/officeDocument/2006/relationships/hyperlink" Target="http://pediatrics.aappublications.org/content/124/Supplement_5/S507.full" TargetMode="External"/><Relationship Id="rId74" Type="http://schemas.openxmlformats.org/officeDocument/2006/relationships/header" Target="header3.xml"/><Relationship Id="rId79" Type="http://schemas.openxmlformats.org/officeDocument/2006/relationships/hyperlink" Target="https://www.cdc.gov/nchs/data/nvsr/nvsr66/nvsr66_01.pdf" TargetMode="External"/><Relationship Id="rId102" Type="http://schemas.openxmlformats.org/officeDocument/2006/relationships/hyperlink" Target="https://www.cdc.gov/nchs/data/nvsr/nvsr65/nvsr65_05.pdf" TargetMode="External"/><Relationship Id="rId123" Type="http://schemas.openxmlformats.org/officeDocument/2006/relationships/hyperlink" Target="http://www.nejm.org/doi/full/10.1056/NEJMsa0909994" TargetMode="External"/><Relationship Id="rId128" Type="http://schemas.openxmlformats.org/officeDocument/2006/relationships/hyperlink" Target="http://pediatrics.aappublications.org/content/128/5/1030" TargetMode="External"/><Relationship Id="rId144" Type="http://schemas.openxmlformats.org/officeDocument/2006/relationships/image" Target="media/image5.emf"/><Relationship Id="rId149" Type="http://schemas.openxmlformats.org/officeDocument/2006/relationships/hyperlink" Target="https://www.mchnavigator.org/documents/Glossary_of_MCH_Terms_and_Acronyms_2012-11-17.pdf" TargetMode="External"/><Relationship Id="rId5" Type="http://schemas.openxmlformats.org/officeDocument/2006/relationships/customXml" Target="../customXml/item5.xml"/><Relationship Id="rId90" Type="http://schemas.openxmlformats.org/officeDocument/2006/relationships/hyperlink" Target="https://www.cdc.gov/nchs/data/nvsr/nvsr64/nvsr64_09.pdf" TargetMode="External"/><Relationship Id="rId95" Type="http://schemas.openxmlformats.org/officeDocument/2006/relationships/hyperlink" Target="http://jamanetwork.com/journals/jama/fullarticle/1151530" TargetMode="External"/><Relationship Id="rId160" Type="http://schemas.openxmlformats.org/officeDocument/2006/relationships/theme" Target="theme/theme1.xml"/><Relationship Id="rId22" Type="http://schemas.microsoft.com/office/2007/relationships/diagramDrawing" Target="diagrams/drawing1.xml"/><Relationship Id="rId27" Type="http://schemas.microsoft.com/office/2007/relationships/diagramDrawing" Target="diagrams/drawing2.xml"/><Relationship Id="rId43" Type="http://schemas.openxmlformats.org/officeDocument/2006/relationships/hyperlink" Target="https://www.cdc.gov/violenceprevention/pdf/yv-datasheet.pdf" TargetMode="External"/><Relationship Id="rId48" Type="http://schemas.openxmlformats.org/officeDocument/2006/relationships/hyperlink" Target="http://pediatrics.aappublications.org/content/122/4/e922" TargetMode="External"/><Relationship Id="rId64" Type="http://schemas.openxmlformats.org/officeDocument/2006/relationships/hyperlink" Target="https://www.ncbi.nlm.nih.gov/pubmed/23090519" TargetMode="External"/><Relationship Id="rId69" Type="http://schemas.openxmlformats.org/officeDocument/2006/relationships/hyperlink" Target="https://www.ncbi.nlm.nih.gov/pmc/articles/PMC5001799/" TargetMode="External"/><Relationship Id="rId113" Type="http://schemas.openxmlformats.org/officeDocument/2006/relationships/hyperlink" Target="https://www.cdc.gov/healthyschools/obesity/facts.htm" TargetMode="External"/><Relationship Id="rId118" Type="http://schemas.openxmlformats.org/officeDocument/2006/relationships/hyperlink" Target="https://www.cdc.gov/vaccines/index.html" TargetMode="External"/><Relationship Id="rId134" Type="http://schemas.openxmlformats.org/officeDocument/2006/relationships/hyperlink" Target="http://www.stopbullying.gov" TargetMode="External"/><Relationship Id="rId139" Type="http://schemas.openxmlformats.org/officeDocument/2006/relationships/hyperlink" Target="http://www.aapd.org/media/Policies_Guidelines/G_Periodicity7.pdf" TargetMode="External"/><Relationship Id="rId80" Type="http://schemas.openxmlformats.org/officeDocument/2006/relationships/hyperlink" Target="https://www.cdc.gov/nchs/data/nvsr/nvsr66/nvsr66_01.pdf" TargetMode="External"/><Relationship Id="rId85" Type="http://schemas.openxmlformats.org/officeDocument/2006/relationships/hyperlink" Target="https://mchb.hrsa.gov/chusa14/health-status-behaviors/infants/infant-mortality.html" TargetMode="External"/><Relationship Id="rId150" Type="http://schemas.openxmlformats.org/officeDocument/2006/relationships/image" Target="media/image8.png"/><Relationship Id="rId155" Type="http://schemas.openxmlformats.org/officeDocument/2006/relationships/hyperlink" Target="https://medicalhomeinfo.aap.org/Pages/default.aspx" TargetMode="External"/><Relationship Id="rId12" Type="http://schemas.openxmlformats.org/officeDocument/2006/relationships/endnotes" Target="endnotes.xml"/><Relationship Id="rId17" Type="http://schemas.openxmlformats.org/officeDocument/2006/relationships/hyperlink" Target="https://mchdata.hrsa.gov/TVISReports/" TargetMode="External"/><Relationship Id="rId33" Type="http://schemas.openxmlformats.org/officeDocument/2006/relationships/hyperlink" Target="http://www.acog.org/Resources-And-Publications/Obstetric-Care-Consensus-Series/Safe-Prevention-of-the-Primary-Cesarean-Delivery" TargetMode="External"/><Relationship Id="rId38" Type="http://schemas.openxmlformats.org/officeDocument/2006/relationships/hyperlink" Target="http://pediatrics.aappublications.org/content/138/5/e20162938" TargetMode="External"/><Relationship Id="rId59" Type="http://schemas.openxmlformats.org/officeDocument/2006/relationships/hyperlink" Target="http://pediatrics.aappublications.org/content/124/Supplement_5/S515.full" TargetMode="External"/><Relationship Id="rId103" Type="http://schemas.openxmlformats.org/officeDocument/2006/relationships/hyperlink" Target="https://www.cdc.gov/nchs/data/nvsr/nvsr65/nvsr65_05.pdf" TargetMode="External"/><Relationship Id="rId108" Type="http://schemas.openxmlformats.org/officeDocument/2006/relationships/hyperlink" Target="https://www.ncbi.nlm.nih.gov/pubmed/24912943" TargetMode="External"/><Relationship Id="rId124" Type="http://schemas.openxmlformats.org/officeDocument/2006/relationships/hyperlink" Target="http://www.acog.org/Resources-And-Publications/Committee-Opinions/Committee-on-Gynecologic-Practice/Well-Woman-Visit" TargetMode="External"/><Relationship Id="rId129" Type="http://schemas.openxmlformats.org/officeDocument/2006/relationships/hyperlink" Target="http://pediatrics.aappublications.org/content/118/1/405" TargetMode="External"/><Relationship Id="rId20" Type="http://schemas.openxmlformats.org/officeDocument/2006/relationships/diagramQuickStyle" Target="diagrams/quickStyle1.xml"/><Relationship Id="rId41" Type="http://schemas.openxmlformats.org/officeDocument/2006/relationships/hyperlink" Target="https://www.cdc.gov/vitalsigns/childinjury/" TargetMode="External"/><Relationship Id="rId54" Type="http://schemas.openxmlformats.org/officeDocument/2006/relationships/hyperlink" Target="http://www.aapd.org/media/Policies_Guidelines/G_Periodicity7.pdf" TargetMode="External"/><Relationship Id="rId62" Type="http://schemas.openxmlformats.org/officeDocument/2006/relationships/hyperlink" Target="https://www.cdc.gov/healthcommunication/toolstemplates/entertainmented/tips/PregnancyPrenatalCare.html" TargetMode="External"/><Relationship Id="rId70" Type="http://schemas.openxmlformats.org/officeDocument/2006/relationships/hyperlink" Target="https://www.cdc.gov/reproductivehealth/%20maternalinfanthealth/pmss.html" TargetMode="External"/><Relationship Id="rId75" Type="http://schemas.openxmlformats.org/officeDocument/2006/relationships/footer" Target="footer5.xml"/><Relationship Id="rId83" Type="http://schemas.openxmlformats.org/officeDocument/2006/relationships/hyperlink" Target="https://www.ncbi.nlm.nih.gov/pubmed/19110225" TargetMode="External"/><Relationship Id="rId88" Type="http://schemas.openxmlformats.org/officeDocument/2006/relationships/footer" Target="footer7.xml"/><Relationship Id="rId91" Type="http://schemas.openxmlformats.org/officeDocument/2006/relationships/hyperlink" Target="https://www.cdc.gov/nchs/data/nvsr/nvsr64/nvsr64_09.pdf" TargetMode="External"/><Relationship Id="rId96" Type="http://schemas.openxmlformats.org/officeDocument/2006/relationships/hyperlink" Target="http://www.astho.org/prevention/nas-neonatal-abstinence-report/" TargetMode="External"/><Relationship Id="rId111" Type="http://schemas.openxmlformats.org/officeDocument/2006/relationships/hyperlink" Target="https://www.ncbi.nlm.nih.gov/pubmed/22218014" TargetMode="External"/><Relationship Id="rId132" Type="http://schemas.openxmlformats.org/officeDocument/2006/relationships/hyperlink" Target="https://www.cdc.gov/safechild/nap/index.html" TargetMode="External"/><Relationship Id="rId140" Type="http://schemas.openxmlformats.org/officeDocument/2006/relationships/hyperlink" Target="https://www.surgeongeneral.gov/library/reports/50-years-of-progress/index.html" TargetMode="External"/><Relationship Id="rId145" Type="http://schemas.openxmlformats.org/officeDocument/2006/relationships/image" Target="media/image6.emf"/><Relationship Id="rId153" Type="http://schemas.openxmlformats.org/officeDocument/2006/relationships/hyperlink" Target="http://www.cdc.gov/violenceprevention/pdf/bullying-definitions-final-a.pdf"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diagramData" Target="diagrams/data2.xml"/><Relationship Id="rId28" Type="http://schemas.openxmlformats.org/officeDocument/2006/relationships/hyperlink" Target="http://semch.org/about.html" TargetMode="External"/><Relationship Id="rId36" Type="http://schemas.openxmlformats.org/officeDocument/2006/relationships/hyperlink" Target="http://pediatrics.aappublications.org/content/early/2012/02/22/peds.2011-3552" TargetMode="External"/><Relationship Id="rId49" Type="http://schemas.openxmlformats.org/officeDocument/2006/relationships/hyperlink" Target="https://medicalhomeinfo.aap.org/Pages/default.aspx" TargetMode="External"/><Relationship Id="rId57" Type="http://schemas.openxmlformats.org/officeDocument/2006/relationships/hyperlink" Target="http://www.nejm.org/doi/full/10.1056/NEJMsa0909994" TargetMode="External"/><Relationship Id="rId106" Type="http://schemas.openxmlformats.org/officeDocument/2006/relationships/hyperlink" Target="https://www.childtrends.org/wp-content/uploads/2016/12/34_Suicidal_Teens.pdf" TargetMode="External"/><Relationship Id="rId114" Type="http://schemas.openxmlformats.org/officeDocument/2006/relationships/hyperlink" Target="http://www.nationalacademies.org/hmd/Reports/2009/Americas-Uninsured-Crisis-Consequences-for-Health-and-Health-Care.aspx" TargetMode="External"/><Relationship Id="rId119" Type="http://schemas.openxmlformats.org/officeDocument/2006/relationships/hyperlink" Target="https://www.cdc.gov/vaccines/index.html" TargetMode="External"/><Relationship Id="rId127" Type="http://schemas.openxmlformats.org/officeDocument/2006/relationships/hyperlink" Target="http://pediatrics.aappublications.org/content/early/2012/02/22/peds.2011-3552" TargetMode="External"/><Relationship Id="rId10" Type="http://schemas.openxmlformats.org/officeDocument/2006/relationships/webSettings" Target="webSettings.xml"/><Relationship Id="rId31" Type="http://schemas.openxmlformats.org/officeDocument/2006/relationships/hyperlink" Target="http://www.acog.org/wellwoman" TargetMode="External"/><Relationship Id="rId44" Type="http://schemas.openxmlformats.org/officeDocument/2006/relationships/hyperlink" Target="https://health.gov/paguidelines/guidelines/" TargetMode="External"/><Relationship Id="rId52" Type="http://schemas.openxmlformats.org/officeDocument/2006/relationships/hyperlink" Target="http://www.aapd.org/media/Policies_Guidelines/G_PerinatalOralHealthCare3.pdf" TargetMode="External"/><Relationship Id="rId60" Type="http://schemas.openxmlformats.org/officeDocument/2006/relationships/hyperlink" Target="http://www.nationalacademies.org/hmd/Reports/2009/Americas-Uninsured-Crisis-Consequences-for-Health-and-Health-Care.aspx" TargetMode="External"/><Relationship Id="rId65" Type="http://schemas.openxmlformats.org/officeDocument/2006/relationships/hyperlink" Target="http://www.ajog.org/article/S0002-9378(13)02153-4/abstract" TargetMode="External"/><Relationship Id="rId73" Type="http://schemas.openxmlformats.org/officeDocument/2006/relationships/hyperlink" Target="https://www.cdc.gov/nchs/data/nvsr/nvsr66/nvsr66_01.pdf" TargetMode="External"/><Relationship Id="rId78" Type="http://schemas.openxmlformats.org/officeDocument/2006/relationships/hyperlink" Target="https://www.cdc.gov/nchs/data/nvsr/nvsr64/nvsr64_09.pdf" TargetMode="External"/><Relationship Id="rId81" Type="http://schemas.openxmlformats.org/officeDocument/2006/relationships/hyperlink" Target="https://www.ncbi.nlm.nih.gov/pubmed/21962621" TargetMode="External"/><Relationship Id="rId86" Type="http://schemas.openxmlformats.org/officeDocument/2006/relationships/hyperlink" Target="https://www.cdc.gov/nchs/products/databriefs/db279.htm" TargetMode="External"/><Relationship Id="rId94" Type="http://schemas.openxmlformats.org/officeDocument/2006/relationships/hyperlink" Target="https://www.cdc.gov/ncbddd/fasd/facts.html" TargetMode="External"/><Relationship Id="rId99" Type="http://schemas.openxmlformats.org/officeDocument/2006/relationships/hyperlink" Target="https://www.cdc.gov/policy/hst/hi5/earlychildhoodeducation/" TargetMode="External"/><Relationship Id="rId101" Type="http://schemas.openxmlformats.org/officeDocument/2006/relationships/hyperlink" Target="https://www.cdc.gov/oralhealth/basics/childrens-oral-health/index.html" TargetMode="External"/><Relationship Id="rId122" Type="http://schemas.openxmlformats.org/officeDocument/2006/relationships/hyperlink" Target="http://www.acog.org/Resources-And-Publications/Committee-Opinions/Committee-on-Obstetric-Practice/Screening-for-Perinatal-Depression" TargetMode="External"/><Relationship Id="rId130" Type="http://schemas.openxmlformats.org/officeDocument/2006/relationships/hyperlink" Target="https://www.cdc.gov/nchs/data/nvsr/nvsr65/nvsr65_05.pdf" TargetMode="External"/><Relationship Id="rId135" Type="http://schemas.openxmlformats.org/officeDocument/2006/relationships/hyperlink" Target="http://nahic.ucsf.edu/adolescent-guidelines" TargetMode="External"/><Relationship Id="rId143" Type="http://schemas.openxmlformats.org/officeDocument/2006/relationships/image" Target="media/image4.emf"/><Relationship Id="rId148" Type="http://schemas.openxmlformats.org/officeDocument/2006/relationships/image" Target="media/image7.emf"/><Relationship Id="rId151" Type="http://schemas.openxmlformats.org/officeDocument/2006/relationships/hyperlink" Target="http://www.amchp.org/programsandtopics/family-engagement/Pages/default.aspx" TargetMode="External"/><Relationship Id="rId156" Type="http://schemas.openxmlformats.org/officeDocument/2006/relationships/hyperlink" Target="https://mchb.hrsa.gov/data/national-surveys"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diagramData" Target="diagrams/data1.xml"/><Relationship Id="rId39" Type="http://schemas.openxmlformats.org/officeDocument/2006/relationships/hyperlink" Target="http://pediatrics.aappublications.org/content/128/5/1030" TargetMode="External"/><Relationship Id="rId109" Type="http://schemas.openxmlformats.org/officeDocument/2006/relationships/hyperlink" Target="https://www.cdc.gov/ncbddd/autism/index.html" TargetMode="External"/><Relationship Id="rId34" Type="http://schemas.openxmlformats.org/officeDocument/2006/relationships/hyperlink" Target="http://pediatrics.aappublications.org/content/130/3/587" TargetMode="External"/><Relationship Id="rId50" Type="http://schemas.openxmlformats.org/officeDocument/2006/relationships/hyperlink" Target="http://pediatrics.aappublications.org/content/110/Supplement_3/1304" TargetMode="External"/><Relationship Id="rId55" Type="http://schemas.openxmlformats.org/officeDocument/2006/relationships/hyperlink" Target="https://www.surgeongeneral.gov/library/reports/50-years-of-progress/index.html" TargetMode="External"/><Relationship Id="rId76" Type="http://schemas.openxmlformats.org/officeDocument/2006/relationships/footer" Target="footer6.xml"/><Relationship Id="rId97" Type="http://schemas.openxmlformats.org/officeDocument/2006/relationships/hyperlink" Target="http://dx.doi.org/10.15585/mmwr.mm6609a2" TargetMode="External"/><Relationship Id="rId104" Type="http://schemas.openxmlformats.org/officeDocument/2006/relationships/hyperlink" Target="https://www.childtrends.org/wp-content/uploads/2012/11/77_Vehicle_Deaths.pdf" TargetMode="External"/><Relationship Id="rId120" Type="http://schemas.openxmlformats.org/officeDocument/2006/relationships/hyperlink" Target="https://www.cdc.gov/teenpregnancy/about/index.htm" TargetMode="External"/><Relationship Id="rId125" Type="http://schemas.openxmlformats.org/officeDocument/2006/relationships/hyperlink" Target="http://www.acog.org/Resources-And-Publications/Obstetric-Care-Consensus-Series/Safe-Prevention-of-the-Primary-Cesarean-Delivery" TargetMode="External"/><Relationship Id="rId141" Type="http://schemas.openxmlformats.org/officeDocument/2006/relationships/hyperlink" Target="http://www.nejm.org/doi/full/10.1056/NEJMsa0909994" TargetMode="External"/><Relationship Id="rId146" Type="http://schemas.openxmlformats.org/officeDocument/2006/relationships/header" Target="header5.xml"/><Relationship Id="rId7" Type="http://schemas.openxmlformats.org/officeDocument/2006/relationships/styles" Target="styles.xml"/><Relationship Id="rId71" Type="http://schemas.openxmlformats.org/officeDocument/2006/relationships/hyperlink" Target="http://www.marchofdimes.org/baby/low-birthweight.aspx" TargetMode="External"/><Relationship Id="rId92" Type="http://schemas.openxmlformats.org/officeDocument/2006/relationships/hyperlink" Target="https://www.cdc.gov/nchs/data/nvsr/nvsr64/nvsr64_09.pdf" TargetMode="External"/><Relationship Id="rId2" Type="http://schemas.openxmlformats.org/officeDocument/2006/relationships/customXml" Target="../customXml/item2.xml"/><Relationship Id="rId29" Type="http://schemas.openxmlformats.org/officeDocument/2006/relationships/image" Target="media/image2.emf"/><Relationship Id="rId24" Type="http://schemas.openxmlformats.org/officeDocument/2006/relationships/diagramLayout" Target="diagrams/layout2.xml"/><Relationship Id="rId40" Type="http://schemas.openxmlformats.org/officeDocument/2006/relationships/hyperlink" Target="http://pediatrics.aappublications.org/content/118/1/405" TargetMode="External"/><Relationship Id="rId45" Type="http://schemas.openxmlformats.org/officeDocument/2006/relationships/hyperlink" Target="http://pediatrics.aappublications.org/content/135/2/e496" TargetMode="External"/><Relationship Id="rId66" Type="http://schemas.openxmlformats.org/officeDocument/2006/relationships/header" Target="header2.xml"/><Relationship Id="rId87" Type="http://schemas.openxmlformats.org/officeDocument/2006/relationships/header" Target="header4.xml"/><Relationship Id="rId110" Type="http://schemas.openxmlformats.org/officeDocument/2006/relationships/hyperlink" Target="https://www.cdc.gov/ncbddd/adhd/index.html" TargetMode="External"/><Relationship Id="rId115" Type="http://schemas.openxmlformats.org/officeDocument/2006/relationships/hyperlink" Target="https://www.cdc.gov/vaccines/index.html" TargetMode="External"/><Relationship Id="rId131" Type="http://schemas.openxmlformats.org/officeDocument/2006/relationships/hyperlink" Target="https://www.cdc.gov/vitalsigns/childinjury/" TargetMode="External"/><Relationship Id="rId136" Type="http://schemas.openxmlformats.org/officeDocument/2006/relationships/hyperlink" Target="http://www.medicalhomeinfo.aap.org" TargetMode="External"/><Relationship Id="rId157" Type="http://schemas.openxmlformats.org/officeDocument/2006/relationships/hyperlink" Target="https://mchb.hrsa.gov/data/national-surveys" TargetMode="External"/><Relationship Id="rId61" Type="http://schemas.openxmlformats.org/officeDocument/2006/relationships/hyperlink" Target="http://www.amchp.org/programsandtopics/data-assessment/Pages/LifeCourseIndicators.aspx" TargetMode="External"/><Relationship Id="rId82" Type="http://schemas.openxmlformats.org/officeDocument/2006/relationships/hyperlink" Target="http://www.nejm.org/doi/full/10.1056/NEJMoa0803267" TargetMode="External"/><Relationship Id="rId152" Type="http://schemas.openxmlformats.org/officeDocument/2006/relationships/hyperlink" Target="http://www.amchp.org/AboutTitleV/Resources/Documents/Standards%20Charts%20FINAL.pdf" TargetMode="External"/><Relationship Id="rId19" Type="http://schemas.openxmlformats.org/officeDocument/2006/relationships/diagramLayout" Target="diagrams/layout1.xml"/><Relationship Id="rId14" Type="http://schemas.openxmlformats.org/officeDocument/2006/relationships/header" Target="header1.xml"/><Relationship Id="rId30" Type="http://schemas.openxmlformats.org/officeDocument/2006/relationships/hyperlink" Target="http://www.lpfch.org/sites/default/files/field/publications/developing_structure_and_process_-_white_paper_and_standards.pdf" TargetMode="External"/><Relationship Id="rId35" Type="http://schemas.openxmlformats.org/officeDocument/2006/relationships/hyperlink" Target="http://www.thelancet.com/journals/lancet/article/PIIS0140-6736(15)01024-7/fulltext" TargetMode="External"/><Relationship Id="rId56" Type="http://schemas.openxmlformats.org/officeDocument/2006/relationships/hyperlink" Target="https://www.ncbi.nlm.nih.gov/books/NBK44324/" TargetMode="External"/><Relationship Id="rId77" Type="http://schemas.openxmlformats.org/officeDocument/2006/relationships/hyperlink" Target="https://www.cdc.gov/reproductivehealth/maternalinfanthealth/pretermbirth.htm" TargetMode="External"/><Relationship Id="rId100" Type="http://schemas.openxmlformats.org/officeDocument/2006/relationships/hyperlink" Target="https://www.childtrends.org/wp-content/uploads/2015/07/07_School_Readiness.pdf" TargetMode="External"/><Relationship Id="rId105" Type="http://schemas.openxmlformats.org/officeDocument/2006/relationships/hyperlink" Target="https://www.cdc.gov/nchs/data/nvsr/nvsr65/nvsr65_05.pdf" TargetMode="External"/><Relationship Id="rId126" Type="http://schemas.openxmlformats.org/officeDocument/2006/relationships/hyperlink" Target="http://pediatrics.aappublications.org/content/130/3/587" TargetMode="External"/><Relationship Id="rId147" Type="http://schemas.openxmlformats.org/officeDocument/2006/relationships/footer" Target="footer8.xml"/><Relationship Id="rId8" Type="http://schemas.microsoft.com/office/2007/relationships/stylesWithEffects" Target="stylesWithEffects.xml"/><Relationship Id="rId51" Type="http://schemas.openxmlformats.org/officeDocument/2006/relationships/hyperlink" Target="http://onlinelibrary.wiley.com/doi/10.1002/14651858.CD009794.pub2/abstract" TargetMode="External"/><Relationship Id="rId72" Type="http://schemas.openxmlformats.org/officeDocument/2006/relationships/hyperlink" Target="https://www.cdc.gov/nchs/data/nvsr/nvsr64/nvsr64_09.pdf" TargetMode="External"/><Relationship Id="rId93" Type="http://schemas.openxmlformats.org/officeDocument/2006/relationships/hyperlink" Target="http://pediatrics.aappublications.org/content/138/5/e20162938" TargetMode="External"/><Relationship Id="rId98" Type="http://schemas.openxmlformats.org/officeDocument/2006/relationships/hyperlink" Target="https://www.cdc.gov/mmwr/pdf/wk/mm6121.pdf" TargetMode="External"/><Relationship Id="rId121" Type="http://schemas.openxmlformats.org/officeDocument/2006/relationships/hyperlink" Target="https://www.ncbi.nlm.nih.gov/pmc/articles/PMC3918890/" TargetMode="External"/><Relationship Id="rId142" Type="http://schemas.openxmlformats.org/officeDocument/2006/relationships/image" Target="media/image3.jpeg"/><Relationship Id="rId3" Type="http://schemas.openxmlformats.org/officeDocument/2006/relationships/customXml" Target="../customXml/item3.xml"/><Relationship Id="rId25" Type="http://schemas.openxmlformats.org/officeDocument/2006/relationships/diagramQuickStyle" Target="diagrams/quickStyle2.xml"/><Relationship Id="rId46" Type="http://schemas.openxmlformats.org/officeDocument/2006/relationships/hyperlink" Target="http://nahic.ucsf.edu/adolescent-guidelines" TargetMode="External"/><Relationship Id="rId67" Type="http://schemas.openxmlformats.org/officeDocument/2006/relationships/footer" Target="footer3.xml"/><Relationship Id="rId116" Type="http://schemas.openxmlformats.org/officeDocument/2006/relationships/hyperlink" Target="https://www.cdc.gov/vaccines/index.html" TargetMode="External"/><Relationship Id="rId137" Type="http://schemas.openxmlformats.org/officeDocument/2006/relationships/hyperlink" Target="http://pediatrics.aappublications.org/content/110/Supplement_3/1304" TargetMode="External"/><Relationship Id="rId158" Type="http://schemas.openxmlformats.org/officeDocument/2006/relationships/hyperlink" Target="http://pediatrics.aappublications.org/content/early/2011/10/12/peds.2011-228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cbi.nlm.nih.gov/pmc/articles/PMC4428536/" TargetMode="External"/><Relationship Id="rId7" Type="http://schemas.openxmlformats.org/officeDocument/2006/relationships/hyperlink" Target="http://www.citymatch.org/projects/perinatal-periods-risk-ppor" TargetMode="External"/><Relationship Id="rId2" Type="http://schemas.openxmlformats.org/officeDocument/2006/relationships/hyperlink" Target="http://www.countyhealthrankings.org/roadmaps/what-works-for-health" TargetMode="External"/><Relationship Id="rId1" Type="http://schemas.openxmlformats.org/officeDocument/2006/relationships/hyperlink" Target="http://www.healthevidence.org/glossary.aspx" TargetMode="External"/><Relationship Id="rId6" Type="http://schemas.openxmlformats.org/officeDocument/2006/relationships/hyperlink" Target="http://collectiveimpactforum.org/what-collective-impact" TargetMode="External"/><Relationship Id="rId5" Type="http://schemas.openxmlformats.org/officeDocument/2006/relationships/hyperlink" Target="https://mchb.hrsa.gov/training/lifecourse.asp" TargetMode="External"/><Relationship Id="rId4" Type="http://schemas.openxmlformats.org/officeDocument/2006/relationships/hyperlink" Target="https://www.ncbi.nlm.nih.gov/pmc/articles/PMC4428536/"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820A60-38E9-45E5-A0DC-560E19B4D291}" type="doc">
      <dgm:prSet loTypeId="urn:microsoft.com/office/officeart/2005/8/layout/process1" loCatId="process" qsTypeId="urn:microsoft.com/office/officeart/2005/8/quickstyle/simple1" qsCatId="simple" csTypeId="urn:microsoft.com/office/officeart/2005/8/colors/accent1_2" csCatId="accent1" phldr="1"/>
      <dgm:spPr/>
    </dgm:pt>
    <dgm:pt modelId="{3FCB82F2-EBB7-47CC-8DDF-07A53728E81F}">
      <dgm:prSet phldrT="[Text]" custT="1"/>
      <dgm:spPr>
        <a:xfrm>
          <a:off x="5384" y="108414"/>
          <a:ext cx="1609397" cy="1101431"/>
        </a:xfrm>
        <a:prstGeom prst="roundRect">
          <a:avLst>
            <a:gd name="adj" fmla="val 10000"/>
          </a:avLst>
        </a:prstGeom>
        <a:solidFill>
          <a:schemeClr val="accent1">
            <a:lumMod val="20000"/>
            <a:lumOff val="80000"/>
          </a:schemeClr>
        </a:solidFill>
        <a:ln w="12700" cap="flat" cmpd="sng" algn="ctr">
          <a:solidFill>
            <a:schemeClr val="accent1">
              <a:lumMod val="75000"/>
            </a:schemeClr>
          </a:solidFill>
          <a:prstDash val="solid"/>
          <a:miter lim="800000"/>
        </a:ln>
        <a:effectLst/>
      </dgm:spPr>
      <dgm:t>
        <a:bodyPr/>
        <a:lstStyle/>
        <a:p>
          <a:r>
            <a:rPr lang="en-US" sz="1600" b="0" cap="none" spc="0" dirty="0" smtClean="0">
              <a:ln w="0"/>
              <a:solidFill>
                <a:schemeClr val="accent1">
                  <a:lumMod val="75000"/>
                </a:schemeClr>
              </a:solidFill>
              <a:effectLst>
                <a:outerShdw blurRad="38100" dist="25400" dir="5400000" algn="ctr" rotWithShape="0">
                  <a:srgbClr val="6E747A">
                    <a:alpha val="43000"/>
                  </a:srgbClr>
                </a:outerShdw>
              </a:effectLst>
              <a:latin typeface="Calibri" panose="020F0502020204030204"/>
              <a:ea typeface="+mn-ea"/>
              <a:cs typeface="+mn-cs"/>
            </a:rPr>
            <a:t>ESMs</a:t>
          </a:r>
        </a:p>
        <a:p>
          <a:r>
            <a:rPr lang="en-US" sz="1400" b="0" cap="none" spc="0" dirty="0" smtClean="0">
              <a:ln w="0"/>
              <a:solidFill>
                <a:schemeClr val="accent1">
                  <a:lumMod val="75000"/>
                </a:schemeClr>
              </a:solidFill>
              <a:effectLst>
                <a:outerShdw blurRad="38100" dist="25400" dir="5400000" algn="ctr" rotWithShape="0">
                  <a:srgbClr val="6E747A">
                    <a:alpha val="43000"/>
                  </a:srgbClr>
                </a:outerShdw>
              </a:effectLst>
              <a:latin typeface="Calibri" panose="020F0502020204030204"/>
              <a:ea typeface="+mn-ea"/>
              <a:cs typeface="+mn-cs"/>
            </a:rPr>
            <a:t>Evidence-based/informed Strategy Measures</a:t>
          </a:r>
          <a:endParaRPr lang="en-US" sz="1400" b="0" cap="none" spc="0" dirty="0">
            <a:ln w="0"/>
            <a:solidFill>
              <a:schemeClr val="accent1">
                <a:lumMod val="75000"/>
              </a:schemeClr>
            </a:solidFill>
            <a:effectLst>
              <a:outerShdw blurRad="38100" dist="25400" dir="5400000" algn="ctr" rotWithShape="0">
                <a:srgbClr val="6E747A">
                  <a:alpha val="43000"/>
                </a:srgbClr>
              </a:outerShdw>
            </a:effectLst>
            <a:latin typeface="Calibri" panose="020F0502020204030204"/>
            <a:ea typeface="+mn-ea"/>
            <a:cs typeface="+mn-cs"/>
          </a:endParaRPr>
        </a:p>
      </dgm:t>
    </dgm:pt>
    <dgm:pt modelId="{C52EF34D-7F93-4E2A-9459-6CA221534CAC}" type="parTrans" cxnId="{638437A5-B9C4-4A3B-AADE-01110EEECF19}">
      <dgm:prSet/>
      <dgm:spPr/>
      <dgm:t>
        <a:bodyPr/>
        <a:lstStyle/>
        <a:p>
          <a:endParaRPr lang="en-US" sz="1200"/>
        </a:p>
      </dgm:t>
    </dgm:pt>
    <dgm:pt modelId="{45B8DB18-CAEE-4754-8312-A2E57FC9CC87}" type="sibTrans" cxnId="{638437A5-B9C4-4A3B-AADE-01110EEECF19}">
      <dgm:prSet custT="1"/>
      <dgm:spPr>
        <a:xfrm>
          <a:off x="1775721" y="459564"/>
          <a:ext cx="341192" cy="399130"/>
        </a:xfrm>
        <a:prstGeom prst="rightArrow">
          <a:avLst>
            <a:gd name="adj1" fmla="val 60000"/>
            <a:gd name="adj2" fmla="val 50000"/>
          </a:avLst>
        </a:prstGeom>
        <a:solidFill>
          <a:schemeClr val="accent1">
            <a:lumMod val="75000"/>
          </a:schemeClr>
        </a:solidFill>
        <a:ln>
          <a:solidFill>
            <a:schemeClr val="accent1">
              <a:lumMod val="75000"/>
            </a:schemeClr>
          </a:solidFill>
        </a:ln>
        <a:effectLst/>
      </dgm:spPr>
      <dgm:t>
        <a:bodyPr/>
        <a:lstStyle/>
        <a:p>
          <a:endParaRPr lang="en-US" sz="1800">
            <a:solidFill>
              <a:schemeClr val="accent1">
                <a:lumMod val="75000"/>
              </a:schemeClr>
            </a:solidFill>
            <a:latin typeface="Calibri" panose="020F0502020204030204"/>
            <a:ea typeface="+mn-ea"/>
            <a:cs typeface="+mn-cs"/>
          </a:endParaRPr>
        </a:p>
      </dgm:t>
    </dgm:pt>
    <dgm:pt modelId="{4F9334DB-4E3D-45EE-8D04-8F126222DC6B}">
      <dgm:prSet phldrT="[Text]" custT="1"/>
      <dgm:spPr>
        <a:xfrm>
          <a:off x="2258541" y="108414"/>
          <a:ext cx="1609397" cy="1101431"/>
        </a:xfrm>
        <a:prstGeom prst="roundRect">
          <a:avLst>
            <a:gd name="adj" fmla="val 10000"/>
          </a:avLst>
        </a:prstGeom>
        <a:solidFill>
          <a:schemeClr val="accent1">
            <a:lumMod val="20000"/>
            <a:lumOff val="80000"/>
          </a:schemeClr>
        </a:solidFill>
        <a:ln w="12700" cap="flat" cmpd="sng" algn="ctr">
          <a:solidFill>
            <a:schemeClr val="accent1">
              <a:lumMod val="75000"/>
            </a:schemeClr>
          </a:solidFill>
          <a:prstDash val="solid"/>
          <a:miter lim="800000"/>
        </a:ln>
        <a:effectLst/>
      </dgm:spPr>
      <dgm:t>
        <a:bodyPr/>
        <a:lstStyle/>
        <a:p>
          <a:r>
            <a:rPr lang="en-US" sz="1600" dirty="0" smtClean="0">
              <a:solidFill>
                <a:schemeClr val="accent1">
                  <a:lumMod val="75000"/>
                </a:schemeClr>
              </a:solidFill>
              <a:latin typeface="Calibri" panose="020F0502020204030204"/>
              <a:ea typeface="+mn-ea"/>
              <a:cs typeface="+mn-cs"/>
            </a:rPr>
            <a:t>NPMs</a:t>
          </a:r>
        </a:p>
        <a:p>
          <a:r>
            <a:rPr lang="en-US" sz="1400" dirty="0" smtClean="0">
              <a:solidFill>
                <a:schemeClr val="accent1">
                  <a:lumMod val="75000"/>
                </a:schemeClr>
              </a:solidFill>
              <a:latin typeface="Calibri" panose="020F0502020204030204"/>
              <a:ea typeface="+mn-ea"/>
              <a:cs typeface="+mn-cs"/>
            </a:rPr>
            <a:t>National Performance Measures</a:t>
          </a:r>
          <a:endParaRPr lang="en-US" sz="1400" dirty="0">
            <a:solidFill>
              <a:schemeClr val="accent1">
                <a:lumMod val="75000"/>
              </a:schemeClr>
            </a:solidFill>
            <a:latin typeface="Calibri" panose="020F0502020204030204"/>
            <a:ea typeface="+mn-ea"/>
            <a:cs typeface="+mn-cs"/>
          </a:endParaRPr>
        </a:p>
      </dgm:t>
    </dgm:pt>
    <dgm:pt modelId="{B5907CDB-0364-44BA-A9D6-7AC9AA6CB6FC}" type="parTrans" cxnId="{BFFDBD01-1C54-4BB8-8EC5-CEA6C8730AA9}">
      <dgm:prSet/>
      <dgm:spPr/>
      <dgm:t>
        <a:bodyPr/>
        <a:lstStyle/>
        <a:p>
          <a:endParaRPr lang="en-US" sz="1200"/>
        </a:p>
      </dgm:t>
    </dgm:pt>
    <dgm:pt modelId="{31111F20-BE8A-4C46-AE61-AF5CA16807DE}" type="sibTrans" cxnId="{BFFDBD01-1C54-4BB8-8EC5-CEA6C8730AA9}">
      <dgm:prSet custT="1"/>
      <dgm:spPr>
        <a:xfrm>
          <a:off x="4028878" y="459564"/>
          <a:ext cx="341192" cy="399130"/>
        </a:xfrm>
        <a:prstGeom prst="rightArrow">
          <a:avLst>
            <a:gd name="adj1" fmla="val 60000"/>
            <a:gd name="adj2" fmla="val 50000"/>
          </a:avLst>
        </a:prstGeom>
        <a:solidFill>
          <a:schemeClr val="accent1">
            <a:lumMod val="75000"/>
          </a:schemeClr>
        </a:solidFill>
        <a:ln>
          <a:noFill/>
        </a:ln>
        <a:effectLst/>
      </dgm:spPr>
      <dgm:t>
        <a:bodyPr/>
        <a:lstStyle/>
        <a:p>
          <a:endParaRPr lang="en-US" sz="1800">
            <a:solidFill>
              <a:sysClr val="window" lastClr="FFFFFF"/>
            </a:solidFill>
            <a:latin typeface="Calibri" panose="020F0502020204030204"/>
            <a:ea typeface="+mn-ea"/>
            <a:cs typeface="+mn-cs"/>
          </a:endParaRPr>
        </a:p>
      </dgm:t>
    </dgm:pt>
    <dgm:pt modelId="{1C59E7A8-CF0D-4973-AD90-A25D3743C211}">
      <dgm:prSet phldrT="[Text]" custT="1"/>
      <dgm:spPr>
        <a:xfrm>
          <a:off x="4511697" y="108414"/>
          <a:ext cx="1609397" cy="1101431"/>
        </a:xfrm>
        <a:prstGeom prst="roundRect">
          <a:avLst>
            <a:gd name="adj" fmla="val 10000"/>
          </a:avLst>
        </a:prstGeom>
        <a:solidFill>
          <a:schemeClr val="accent1">
            <a:lumMod val="20000"/>
            <a:lumOff val="80000"/>
          </a:schemeClr>
        </a:solidFill>
        <a:ln w="12700" cap="flat" cmpd="sng" algn="ctr">
          <a:solidFill>
            <a:schemeClr val="accent1">
              <a:lumMod val="75000"/>
            </a:schemeClr>
          </a:solidFill>
          <a:prstDash val="solid"/>
          <a:miter lim="800000"/>
        </a:ln>
        <a:effectLst/>
      </dgm:spPr>
      <dgm:t>
        <a:bodyPr/>
        <a:lstStyle/>
        <a:p>
          <a:r>
            <a:rPr lang="en-US" sz="1600" dirty="0" smtClean="0">
              <a:solidFill>
                <a:schemeClr val="accent1">
                  <a:lumMod val="75000"/>
                </a:schemeClr>
              </a:solidFill>
              <a:latin typeface="Calibri" panose="020F0502020204030204"/>
              <a:ea typeface="+mn-ea"/>
              <a:cs typeface="+mn-cs"/>
            </a:rPr>
            <a:t>NOMs</a:t>
          </a:r>
        </a:p>
        <a:p>
          <a:r>
            <a:rPr lang="en-US" sz="1400" dirty="0" smtClean="0">
              <a:solidFill>
                <a:schemeClr val="accent1">
                  <a:lumMod val="75000"/>
                </a:schemeClr>
              </a:solidFill>
              <a:latin typeface="Calibri" panose="020F0502020204030204"/>
              <a:ea typeface="+mn-ea"/>
              <a:cs typeface="+mn-cs"/>
            </a:rPr>
            <a:t>National         Outcome  Measures</a:t>
          </a:r>
          <a:endParaRPr lang="en-US" sz="1400" dirty="0">
            <a:solidFill>
              <a:schemeClr val="accent1">
                <a:lumMod val="75000"/>
              </a:schemeClr>
            </a:solidFill>
            <a:latin typeface="Calibri" panose="020F0502020204030204"/>
            <a:ea typeface="+mn-ea"/>
            <a:cs typeface="+mn-cs"/>
          </a:endParaRPr>
        </a:p>
      </dgm:t>
    </dgm:pt>
    <dgm:pt modelId="{BFEE94E3-DF9C-42A9-981C-AE911E45FFF0}" type="parTrans" cxnId="{E7D3479A-D6A2-4E21-B913-014A3689A604}">
      <dgm:prSet/>
      <dgm:spPr/>
      <dgm:t>
        <a:bodyPr/>
        <a:lstStyle/>
        <a:p>
          <a:endParaRPr lang="en-US" sz="1200"/>
        </a:p>
      </dgm:t>
    </dgm:pt>
    <dgm:pt modelId="{F1F71677-82B2-4D91-B5D3-BDDADA579B7C}" type="sibTrans" cxnId="{E7D3479A-D6A2-4E21-B913-014A3689A604}">
      <dgm:prSet/>
      <dgm:spPr/>
      <dgm:t>
        <a:bodyPr/>
        <a:lstStyle/>
        <a:p>
          <a:endParaRPr lang="en-US" sz="1200"/>
        </a:p>
      </dgm:t>
    </dgm:pt>
    <dgm:pt modelId="{521C4D76-5616-4565-8C8B-B68FB184A4A9}" type="pres">
      <dgm:prSet presAssocID="{CF820A60-38E9-45E5-A0DC-560E19B4D291}" presName="Name0" presStyleCnt="0">
        <dgm:presLayoutVars>
          <dgm:dir/>
          <dgm:resizeHandles val="exact"/>
        </dgm:presLayoutVars>
      </dgm:prSet>
      <dgm:spPr/>
    </dgm:pt>
    <dgm:pt modelId="{2B6C07A9-E641-48A1-ABCF-9429850597B7}" type="pres">
      <dgm:prSet presAssocID="{3FCB82F2-EBB7-47CC-8DDF-07A53728E81F}" presName="node" presStyleLbl="node1" presStyleIdx="0" presStyleCnt="3">
        <dgm:presLayoutVars>
          <dgm:bulletEnabled val="1"/>
        </dgm:presLayoutVars>
      </dgm:prSet>
      <dgm:spPr/>
      <dgm:t>
        <a:bodyPr/>
        <a:lstStyle/>
        <a:p>
          <a:endParaRPr lang="en-US"/>
        </a:p>
      </dgm:t>
    </dgm:pt>
    <dgm:pt modelId="{6F472165-491F-468E-8580-3B25F4A6BCFD}" type="pres">
      <dgm:prSet presAssocID="{45B8DB18-CAEE-4754-8312-A2E57FC9CC87}" presName="sibTrans" presStyleLbl="sibTrans2D1" presStyleIdx="0" presStyleCnt="2"/>
      <dgm:spPr/>
      <dgm:t>
        <a:bodyPr/>
        <a:lstStyle/>
        <a:p>
          <a:endParaRPr lang="en-US"/>
        </a:p>
      </dgm:t>
    </dgm:pt>
    <dgm:pt modelId="{FEC7123A-FC64-4F03-A8F7-48415AD32FE5}" type="pres">
      <dgm:prSet presAssocID="{45B8DB18-CAEE-4754-8312-A2E57FC9CC87}" presName="connectorText" presStyleLbl="sibTrans2D1" presStyleIdx="0" presStyleCnt="2"/>
      <dgm:spPr/>
      <dgm:t>
        <a:bodyPr/>
        <a:lstStyle/>
        <a:p>
          <a:endParaRPr lang="en-US"/>
        </a:p>
      </dgm:t>
    </dgm:pt>
    <dgm:pt modelId="{2E8871BD-D53E-49BA-9395-2CBB0E25FDE5}" type="pres">
      <dgm:prSet presAssocID="{4F9334DB-4E3D-45EE-8D04-8F126222DC6B}" presName="node" presStyleLbl="node1" presStyleIdx="1" presStyleCnt="3">
        <dgm:presLayoutVars>
          <dgm:bulletEnabled val="1"/>
        </dgm:presLayoutVars>
      </dgm:prSet>
      <dgm:spPr/>
      <dgm:t>
        <a:bodyPr/>
        <a:lstStyle/>
        <a:p>
          <a:endParaRPr lang="en-US"/>
        </a:p>
      </dgm:t>
    </dgm:pt>
    <dgm:pt modelId="{E208307D-2804-4877-B69E-B18C7BDB29A1}" type="pres">
      <dgm:prSet presAssocID="{31111F20-BE8A-4C46-AE61-AF5CA16807DE}" presName="sibTrans" presStyleLbl="sibTrans2D1" presStyleIdx="1" presStyleCnt="2"/>
      <dgm:spPr/>
      <dgm:t>
        <a:bodyPr/>
        <a:lstStyle/>
        <a:p>
          <a:endParaRPr lang="en-US"/>
        </a:p>
      </dgm:t>
    </dgm:pt>
    <dgm:pt modelId="{3CF22F8B-7C45-4D6C-9588-18BBE89726E3}" type="pres">
      <dgm:prSet presAssocID="{31111F20-BE8A-4C46-AE61-AF5CA16807DE}" presName="connectorText" presStyleLbl="sibTrans2D1" presStyleIdx="1" presStyleCnt="2"/>
      <dgm:spPr/>
      <dgm:t>
        <a:bodyPr/>
        <a:lstStyle/>
        <a:p>
          <a:endParaRPr lang="en-US"/>
        </a:p>
      </dgm:t>
    </dgm:pt>
    <dgm:pt modelId="{B9BC70D2-4B9D-4CE5-A66D-27C84756DCE0}" type="pres">
      <dgm:prSet presAssocID="{1C59E7A8-CF0D-4973-AD90-A25D3743C211}" presName="node" presStyleLbl="node1" presStyleIdx="2" presStyleCnt="3">
        <dgm:presLayoutVars>
          <dgm:bulletEnabled val="1"/>
        </dgm:presLayoutVars>
      </dgm:prSet>
      <dgm:spPr/>
      <dgm:t>
        <a:bodyPr/>
        <a:lstStyle/>
        <a:p>
          <a:endParaRPr lang="en-US"/>
        </a:p>
      </dgm:t>
    </dgm:pt>
  </dgm:ptLst>
  <dgm:cxnLst>
    <dgm:cxn modelId="{090AE946-166C-42D6-88F9-0B6BF7383E98}" type="presOf" srcId="{45B8DB18-CAEE-4754-8312-A2E57FC9CC87}" destId="{FEC7123A-FC64-4F03-A8F7-48415AD32FE5}" srcOrd="1" destOrd="0" presId="urn:microsoft.com/office/officeart/2005/8/layout/process1"/>
    <dgm:cxn modelId="{6E2295C0-12C2-4F2B-AA52-E215E18C6FFD}" type="presOf" srcId="{31111F20-BE8A-4C46-AE61-AF5CA16807DE}" destId="{3CF22F8B-7C45-4D6C-9588-18BBE89726E3}" srcOrd="1" destOrd="0" presId="urn:microsoft.com/office/officeart/2005/8/layout/process1"/>
    <dgm:cxn modelId="{01052321-9BFF-4EF3-B50E-422CD2E2C186}" type="presOf" srcId="{CF820A60-38E9-45E5-A0DC-560E19B4D291}" destId="{521C4D76-5616-4565-8C8B-B68FB184A4A9}" srcOrd="0" destOrd="0" presId="urn:microsoft.com/office/officeart/2005/8/layout/process1"/>
    <dgm:cxn modelId="{30F39E6F-B334-446A-ADBC-984D1C1BF9B3}" type="presOf" srcId="{3FCB82F2-EBB7-47CC-8DDF-07A53728E81F}" destId="{2B6C07A9-E641-48A1-ABCF-9429850597B7}" srcOrd="0" destOrd="0" presId="urn:microsoft.com/office/officeart/2005/8/layout/process1"/>
    <dgm:cxn modelId="{BFFDBD01-1C54-4BB8-8EC5-CEA6C8730AA9}" srcId="{CF820A60-38E9-45E5-A0DC-560E19B4D291}" destId="{4F9334DB-4E3D-45EE-8D04-8F126222DC6B}" srcOrd="1" destOrd="0" parTransId="{B5907CDB-0364-44BA-A9D6-7AC9AA6CB6FC}" sibTransId="{31111F20-BE8A-4C46-AE61-AF5CA16807DE}"/>
    <dgm:cxn modelId="{638437A5-B9C4-4A3B-AADE-01110EEECF19}" srcId="{CF820A60-38E9-45E5-A0DC-560E19B4D291}" destId="{3FCB82F2-EBB7-47CC-8DDF-07A53728E81F}" srcOrd="0" destOrd="0" parTransId="{C52EF34D-7F93-4E2A-9459-6CA221534CAC}" sibTransId="{45B8DB18-CAEE-4754-8312-A2E57FC9CC87}"/>
    <dgm:cxn modelId="{E7D3479A-D6A2-4E21-B913-014A3689A604}" srcId="{CF820A60-38E9-45E5-A0DC-560E19B4D291}" destId="{1C59E7A8-CF0D-4973-AD90-A25D3743C211}" srcOrd="2" destOrd="0" parTransId="{BFEE94E3-DF9C-42A9-981C-AE911E45FFF0}" sibTransId="{F1F71677-82B2-4D91-B5D3-BDDADA579B7C}"/>
    <dgm:cxn modelId="{1425C034-887A-44CA-965A-0C4459D99368}" type="presOf" srcId="{45B8DB18-CAEE-4754-8312-A2E57FC9CC87}" destId="{6F472165-491F-468E-8580-3B25F4A6BCFD}" srcOrd="0" destOrd="0" presId="urn:microsoft.com/office/officeart/2005/8/layout/process1"/>
    <dgm:cxn modelId="{3FC35D90-F8C2-4351-BDF4-C67C8793C660}" type="presOf" srcId="{4F9334DB-4E3D-45EE-8D04-8F126222DC6B}" destId="{2E8871BD-D53E-49BA-9395-2CBB0E25FDE5}" srcOrd="0" destOrd="0" presId="urn:microsoft.com/office/officeart/2005/8/layout/process1"/>
    <dgm:cxn modelId="{C78C0994-2D7F-4AB6-818C-D1D4B8482DD5}" type="presOf" srcId="{1C59E7A8-CF0D-4973-AD90-A25D3743C211}" destId="{B9BC70D2-4B9D-4CE5-A66D-27C84756DCE0}" srcOrd="0" destOrd="0" presId="urn:microsoft.com/office/officeart/2005/8/layout/process1"/>
    <dgm:cxn modelId="{E5D1B9DC-8E40-4A3D-8A2D-8257B5A3089F}" type="presOf" srcId="{31111F20-BE8A-4C46-AE61-AF5CA16807DE}" destId="{E208307D-2804-4877-B69E-B18C7BDB29A1}" srcOrd="0" destOrd="0" presId="urn:microsoft.com/office/officeart/2005/8/layout/process1"/>
    <dgm:cxn modelId="{A28AFBDB-A99D-4134-9EDD-8124B37336CE}" type="presParOf" srcId="{521C4D76-5616-4565-8C8B-B68FB184A4A9}" destId="{2B6C07A9-E641-48A1-ABCF-9429850597B7}" srcOrd="0" destOrd="0" presId="urn:microsoft.com/office/officeart/2005/8/layout/process1"/>
    <dgm:cxn modelId="{322CEFC7-3230-4912-A116-B76CF0F1B787}" type="presParOf" srcId="{521C4D76-5616-4565-8C8B-B68FB184A4A9}" destId="{6F472165-491F-468E-8580-3B25F4A6BCFD}" srcOrd="1" destOrd="0" presId="urn:microsoft.com/office/officeart/2005/8/layout/process1"/>
    <dgm:cxn modelId="{E697F9D2-064D-4C4D-BD57-5F58074D4222}" type="presParOf" srcId="{6F472165-491F-468E-8580-3B25F4A6BCFD}" destId="{FEC7123A-FC64-4F03-A8F7-48415AD32FE5}" srcOrd="0" destOrd="0" presId="urn:microsoft.com/office/officeart/2005/8/layout/process1"/>
    <dgm:cxn modelId="{EA7D21D1-0F61-4FD3-A5BF-B2EF2CCD2FA8}" type="presParOf" srcId="{521C4D76-5616-4565-8C8B-B68FB184A4A9}" destId="{2E8871BD-D53E-49BA-9395-2CBB0E25FDE5}" srcOrd="2" destOrd="0" presId="urn:microsoft.com/office/officeart/2005/8/layout/process1"/>
    <dgm:cxn modelId="{FBDDCA59-E9C8-4542-B2BD-CBD4B05010EA}" type="presParOf" srcId="{521C4D76-5616-4565-8C8B-B68FB184A4A9}" destId="{E208307D-2804-4877-B69E-B18C7BDB29A1}" srcOrd="3" destOrd="0" presId="urn:microsoft.com/office/officeart/2005/8/layout/process1"/>
    <dgm:cxn modelId="{782E210E-C421-422D-A7C2-A71C5D0698C9}" type="presParOf" srcId="{E208307D-2804-4877-B69E-B18C7BDB29A1}" destId="{3CF22F8B-7C45-4D6C-9588-18BBE89726E3}" srcOrd="0" destOrd="0" presId="urn:microsoft.com/office/officeart/2005/8/layout/process1"/>
    <dgm:cxn modelId="{C5C6B52B-6EA9-4AF8-860B-5D1E0BC248C2}" type="presParOf" srcId="{521C4D76-5616-4565-8C8B-B68FB184A4A9}" destId="{B9BC70D2-4B9D-4CE5-A66D-27C84756DCE0}" srcOrd="4" destOrd="0" presId="urn:microsoft.com/office/officeart/2005/8/layout/process1"/>
  </dgm:cxnLst>
  <dgm:bg>
    <a:noFill/>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42EA2FF-43D9-4BCC-9199-D6CD6A41F865}" type="doc">
      <dgm:prSet loTypeId="urn:microsoft.com/office/officeart/2005/8/layout/process1" loCatId="process" qsTypeId="urn:microsoft.com/office/officeart/2005/8/quickstyle/simple1" qsCatId="simple" csTypeId="urn:microsoft.com/office/officeart/2005/8/colors/accent1_2" csCatId="accent1" phldr="1"/>
      <dgm:spPr/>
    </dgm:pt>
    <dgm:pt modelId="{2DFC6660-7E43-4797-9429-B3F0AF58F8C3}">
      <dgm:prSet phldrT="[Text]" custT="1"/>
      <dgm:spPr>
        <a:xfrm>
          <a:off x="5384" y="92173"/>
          <a:ext cx="1609397" cy="965638"/>
        </a:xfrm>
        <a:prstGeom prst="roundRect">
          <a:avLst>
            <a:gd name="adj" fmla="val 10000"/>
          </a:avLst>
        </a:prstGeom>
        <a:solidFill>
          <a:schemeClr val="accent1">
            <a:lumMod val="20000"/>
            <a:lumOff val="80000"/>
          </a:schemeClr>
        </a:solidFill>
        <a:ln w="12700" cap="flat" cmpd="sng" algn="ctr">
          <a:solidFill>
            <a:schemeClr val="accent1">
              <a:lumMod val="75000"/>
            </a:schemeClr>
          </a:solidFill>
          <a:prstDash val="solid"/>
          <a:miter lim="800000"/>
        </a:ln>
        <a:effectLst/>
      </dgm:spPr>
      <dgm:t>
        <a:bodyPr/>
        <a:lstStyle/>
        <a:p>
          <a:r>
            <a:rPr lang="en-US" sz="1600" dirty="0" smtClean="0">
              <a:solidFill>
                <a:schemeClr val="accent1">
                  <a:lumMod val="75000"/>
                </a:schemeClr>
              </a:solidFill>
              <a:latin typeface="Calibri" panose="020F0502020204030204"/>
              <a:ea typeface="+mn-ea"/>
              <a:cs typeface="+mn-cs"/>
            </a:rPr>
            <a:t>Process Inputs/Outputs</a:t>
          </a:r>
          <a:endParaRPr lang="en-US" sz="1600" dirty="0">
            <a:solidFill>
              <a:schemeClr val="accent1">
                <a:lumMod val="75000"/>
              </a:schemeClr>
            </a:solidFill>
            <a:latin typeface="Calibri" panose="020F0502020204030204"/>
            <a:ea typeface="+mn-ea"/>
            <a:cs typeface="+mn-cs"/>
          </a:endParaRPr>
        </a:p>
      </dgm:t>
    </dgm:pt>
    <dgm:pt modelId="{253BA4D2-FA78-49A0-A340-49D3D604CD0C}" type="parTrans" cxnId="{66902E2D-6516-4692-931B-9E55C7375069}">
      <dgm:prSet/>
      <dgm:spPr/>
      <dgm:t>
        <a:bodyPr/>
        <a:lstStyle/>
        <a:p>
          <a:endParaRPr lang="en-US" sz="1600"/>
        </a:p>
      </dgm:t>
    </dgm:pt>
    <dgm:pt modelId="{DA3F6F20-03B1-47AE-8827-30E3AC5D4F28}" type="sibTrans" cxnId="{66902E2D-6516-4692-931B-9E55C7375069}">
      <dgm:prSet custT="1"/>
      <dgm:spPr>
        <a:xfrm>
          <a:off x="1775721" y="375427"/>
          <a:ext cx="341192" cy="399130"/>
        </a:xfrm>
        <a:prstGeom prst="rightArrow">
          <a:avLst>
            <a:gd name="adj1" fmla="val 60000"/>
            <a:gd name="adj2" fmla="val 50000"/>
          </a:avLst>
        </a:prstGeom>
        <a:solidFill>
          <a:schemeClr val="accent1">
            <a:lumMod val="75000"/>
          </a:schemeClr>
        </a:solidFill>
        <a:ln>
          <a:noFill/>
        </a:ln>
        <a:effectLst/>
      </dgm:spPr>
      <dgm:t>
        <a:bodyPr/>
        <a:lstStyle/>
        <a:p>
          <a:endParaRPr lang="en-US" sz="1600">
            <a:solidFill>
              <a:sysClr val="window" lastClr="FFFFFF"/>
            </a:solidFill>
            <a:latin typeface="Calibri" panose="020F0502020204030204"/>
            <a:ea typeface="+mn-ea"/>
            <a:cs typeface="+mn-cs"/>
          </a:endParaRPr>
        </a:p>
      </dgm:t>
    </dgm:pt>
    <dgm:pt modelId="{61E10AC9-FC04-46F9-87B3-ADCD9C3813C0}">
      <dgm:prSet phldrT="[Text]" custT="1"/>
      <dgm:spPr>
        <a:xfrm>
          <a:off x="2258541" y="92173"/>
          <a:ext cx="1609397" cy="965638"/>
        </a:xfrm>
        <a:prstGeom prst="roundRect">
          <a:avLst>
            <a:gd name="adj" fmla="val 10000"/>
          </a:avLst>
        </a:prstGeom>
        <a:solidFill>
          <a:schemeClr val="accent1">
            <a:lumMod val="20000"/>
            <a:lumOff val="80000"/>
          </a:schemeClr>
        </a:solidFill>
        <a:ln w="12700" cap="flat" cmpd="sng" algn="ctr">
          <a:solidFill>
            <a:schemeClr val="accent1">
              <a:lumMod val="75000"/>
            </a:schemeClr>
          </a:solidFill>
          <a:prstDash val="solid"/>
          <a:miter lim="800000"/>
        </a:ln>
        <a:effectLst/>
      </dgm:spPr>
      <dgm:t>
        <a:bodyPr/>
        <a:lstStyle/>
        <a:p>
          <a:r>
            <a:rPr lang="en-US" sz="1600" dirty="0" smtClean="0">
              <a:solidFill>
                <a:schemeClr val="accent1">
                  <a:lumMod val="75000"/>
                </a:schemeClr>
              </a:solidFill>
              <a:latin typeface="Calibri" panose="020F0502020204030204"/>
              <a:ea typeface="+mn-ea"/>
              <a:cs typeface="+mn-cs"/>
            </a:rPr>
            <a:t>Short, Medium Term Outcomes</a:t>
          </a:r>
          <a:endParaRPr lang="en-US" sz="1600" dirty="0">
            <a:solidFill>
              <a:schemeClr val="accent1">
                <a:lumMod val="75000"/>
              </a:schemeClr>
            </a:solidFill>
            <a:latin typeface="Calibri" panose="020F0502020204030204"/>
            <a:ea typeface="+mn-ea"/>
            <a:cs typeface="+mn-cs"/>
          </a:endParaRPr>
        </a:p>
      </dgm:t>
    </dgm:pt>
    <dgm:pt modelId="{732C8C48-4C2B-42F7-B22D-241332604BB0}" type="parTrans" cxnId="{42B28831-1849-48B4-8F67-5136DAD4C1E5}">
      <dgm:prSet/>
      <dgm:spPr/>
      <dgm:t>
        <a:bodyPr/>
        <a:lstStyle/>
        <a:p>
          <a:endParaRPr lang="en-US" sz="1600"/>
        </a:p>
      </dgm:t>
    </dgm:pt>
    <dgm:pt modelId="{5B1A23B2-256A-45A7-B644-83D5BC508AC0}" type="sibTrans" cxnId="{42B28831-1849-48B4-8F67-5136DAD4C1E5}">
      <dgm:prSet custT="1"/>
      <dgm:spPr>
        <a:xfrm>
          <a:off x="4028878" y="375427"/>
          <a:ext cx="341192" cy="399130"/>
        </a:xfrm>
        <a:prstGeom prst="rightArrow">
          <a:avLst>
            <a:gd name="adj1" fmla="val 60000"/>
            <a:gd name="adj2" fmla="val 50000"/>
          </a:avLst>
        </a:prstGeom>
        <a:solidFill>
          <a:schemeClr val="accent1">
            <a:lumMod val="75000"/>
          </a:schemeClr>
        </a:solidFill>
        <a:ln>
          <a:noFill/>
        </a:ln>
        <a:effectLst/>
      </dgm:spPr>
      <dgm:t>
        <a:bodyPr/>
        <a:lstStyle/>
        <a:p>
          <a:endParaRPr lang="en-US" sz="1600">
            <a:solidFill>
              <a:sysClr val="window" lastClr="FFFFFF"/>
            </a:solidFill>
            <a:latin typeface="Calibri" panose="020F0502020204030204"/>
            <a:ea typeface="+mn-ea"/>
            <a:cs typeface="+mn-cs"/>
          </a:endParaRPr>
        </a:p>
      </dgm:t>
    </dgm:pt>
    <dgm:pt modelId="{DF192007-B76A-4AD6-9E0E-6B412FC094CD}">
      <dgm:prSet phldrT="[Text]" custT="1"/>
      <dgm:spPr>
        <a:xfrm>
          <a:off x="4511697" y="92173"/>
          <a:ext cx="1609397" cy="965638"/>
        </a:xfrm>
        <a:prstGeom prst="roundRect">
          <a:avLst>
            <a:gd name="adj" fmla="val 10000"/>
          </a:avLst>
        </a:prstGeom>
        <a:solidFill>
          <a:schemeClr val="accent1">
            <a:lumMod val="20000"/>
            <a:lumOff val="80000"/>
          </a:schemeClr>
        </a:solidFill>
        <a:ln w="12700" cap="flat" cmpd="sng" algn="ctr">
          <a:solidFill>
            <a:schemeClr val="accent1">
              <a:lumMod val="75000"/>
            </a:schemeClr>
          </a:solidFill>
          <a:prstDash val="solid"/>
          <a:miter lim="800000"/>
        </a:ln>
        <a:effectLst/>
      </dgm:spPr>
      <dgm:t>
        <a:bodyPr/>
        <a:lstStyle/>
        <a:p>
          <a:r>
            <a:rPr lang="en-US" sz="1600" dirty="0" smtClean="0">
              <a:solidFill>
                <a:schemeClr val="accent1">
                  <a:lumMod val="75000"/>
                </a:schemeClr>
              </a:solidFill>
              <a:latin typeface="Calibri" panose="020F0502020204030204"/>
              <a:ea typeface="+mn-ea"/>
              <a:cs typeface="+mn-cs"/>
            </a:rPr>
            <a:t>Long Term Outcomes</a:t>
          </a:r>
          <a:endParaRPr lang="en-US" sz="1600" dirty="0">
            <a:solidFill>
              <a:schemeClr val="accent1">
                <a:lumMod val="75000"/>
              </a:schemeClr>
            </a:solidFill>
            <a:latin typeface="Calibri" panose="020F0502020204030204"/>
            <a:ea typeface="+mn-ea"/>
            <a:cs typeface="+mn-cs"/>
          </a:endParaRPr>
        </a:p>
      </dgm:t>
    </dgm:pt>
    <dgm:pt modelId="{AD685D52-88A3-4F4E-A1B7-9E9DF23EAF93}" type="parTrans" cxnId="{12C2D237-9FFF-4B46-915B-E344045738BA}">
      <dgm:prSet/>
      <dgm:spPr/>
      <dgm:t>
        <a:bodyPr/>
        <a:lstStyle/>
        <a:p>
          <a:endParaRPr lang="en-US" sz="1600"/>
        </a:p>
      </dgm:t>
    </dgm:pt>
    <dgm:pt modelId="{5737123B-C57A-4379-B1C7-4D6AC8062367}" type="sibTrans" cxnId="{12C2D237-9FFF-4B46-915B-E344045738BA}">
      <dgm:prSet/>
      <dgm:spPr/>
      <dgm:t>
        <a:bodyPr/>
        <a:lstStyle/>
        <a:p>
          <a:endParaRPr lang="en-US" sz="1600"/>
        </a:p>
      </dgm:t>
    </dgm:pt>
    <dgm:pt modelId="{E5A96FD5-ED36-4F0E-B341-F2A6EE2014D7}" type="pres">
      <dgm:prSet presAssocID="{D42EA2FF-43D9-4BCC-9199-D6CD6A41F865}" presName="Name0" presStyleCnt="0">
        <dgm:presLayoutVars>
          <dgm:dir/>
          <dgm:resizeHandles val="exact"/>
        </dgm:presLayoutVars>
      </dgm:prSet>
      <dgm:spPr/>
    </dgm:pt>
    <dgm:pt modelId="{0D6AB8CD-27B9-43AA-98EE-8051B7A701AE}" type="pres">
      <dgm:prSet presAssocID="{2DFC6660-7E43-4797-9429-B3F0AF58F8C3}" presName="node" presStyleLbl="node1" presStyleIdx="0" presStyleCnt="3">
        <dgm:presLayoutVars>
          <dgm:bulletEnabled val="1"/>
        </dgm:presLayoutVars>
      </dgm:prSet>
      <dgm:spPr/>
      <dgm:t>
        <a:bodyPr/>
        <a:lstStyle/>
        <a:p>
          <a:endParaRPr lang="en-US"/>
        </a:p>
      </dgm:t>
    </dgm:pt>
    <dgm:pt modelId="{F5399BF8-5849-401B-87AC-1C6247637160}" type="pres">
      <dgm:prSet presAssocID="{DA3F6F20-03B1-47AE-8827-30E3AC5D4F28}" presName="sibTrans" presStyleLbl="sibTrans2D1" presStyleIdx="0" presStyleCnt="2"/>
      <dgm:spPr/>
      <dgm:t>
        <a:bodyPr/>
        <a:lstStyle/>
        <a:p>
          <a:endParaRPr lang="en-US"/>
        </a:p>
      </dgm:t>
    </dgm:pt>
    <dgm:pt modelId="{B1B43A3B-CD32-439A-B8CF-5BD67DF49529}" type="pres">
      <dgm:prSet presAssocID="{DA3F6F20-03B1-47AE-8827-30E3AC5D4F28}" presName="connectorText" presStyleLbl="sibTrans2D1" presStyleIdx="0" presStyleCnt="2"/>
      <dgm:spPr/>
      <dgm:t>
        <a:bodyPr/>
        <a:lstStyle/>
        <a:p>
          <a:endParaRPr lang="en-US"/>
        </a:p>
      </dgm:t>
    </dgm:pt>
    <dgm:pt modelId="{5E8B8285-DD1C-47B3-B578-E5AC968D5620}" type="pres">
      <dgm:prSet presAssocID="{61E10AC9-FC04-46F9-87B3-ADCD9C3813C0}" presName="node" presStyleLbl="node1" presStyleIdx="1" presStyleCnt="3">
        <dgm:presLayoutVars>
          <dgm:bulletEnabled val="1"/>
        </dgm:presLayoutVars>
      </dgm:prSet>
      <dgm:spPr/>
      <dgm:t>
        <a:bodyPr/>
        <a:lstStyle/>
        <a:p>
          <a:endParaRPr lang="en-US"/>
        </a:p>
      </dgm:t>
    </dgm:pt>
    <dgm:pt modelId="{BE79C816-662F-41F4-8FEF-13546E675CB8}" type="pres">
      <dgm:prSet presAssocID="{5B1A23B2-256A-45A7-B644-83D5BC508AC0}" presName="sibTrans" presStyleLbl="sibTrans2D1" presStyleIdx="1" presStyleCnt="2"/>
      <dgm:spPr/>
      <dgm:t>
        <a:bodyPr/>
        <a:lstStyle/>
        <a:p>
          <a:endParaRPr lang="en-US"/>
        </a:p>
      </dgm:t>
    </dgm:pt>
    <dgm:pt modelId="{C5883A8A-6214-4E4F-88DA-9E48CA74459A}" type="pres">
      <dgm:prSet presAssocID="{5B1A23B2-256A-45A7-B644-83D5BC508AC0}" presName="connectorText" presStyleLbl="sibTrans2D1" presStyleIdx="1" presStyleCnt="2"/>
      <dgm:spPr/>
      <dgm:t>
        <a:bodyPr/>
        <a:lstStyle/>
        <a:p>
          <a:endParaRPr lang="en-US"/>
        </a:p>
      </dgm:t>
    </dgm:pt>
    <dgm:pt modelId="{AB79877C-74DE-4E96-BCD0-EC34B9656891}" type="pres">
      <dgm:prSet presAssocID="{DF192007-B76A-4AD6-9E0E-6B412FC094CD}" presName="node" presStyleLbl="node1" presStyleIdx="2" presStyleCnt="3">
        <dgm:presLayoutVars>
          <dgm:bulletEnabled val="1"/>
        </dgm:presLayoutVars>
      </dgm:prSet>
      <dgm:spPr/>
      <dgm:t>
        <a:bodyPr/>
        <a:lstStyle/>
        <a:p>
          <a:endParaRPr lang="en-US"/>
        </a:p>
      </dgm:t>
    </dgm:pt>
  </dgm:ptLst>
  <dgm:cxnLst>
    <dgm:cxn modelId="{ABDDAC8E-3989-4262-8B0D-CF179CE4A9EC}" type="presOf" srcId="{5B1A23B2-256A-45A7-B644-83D5BC508AC0}" destId="{BE79C816-662F-41F4-8FEF-13546E675CB8}" srcOrd="0" destOrd="0" presId="urn:microsoft.com/office/officeart/2005/8/layout/process1"/>
    <dgm:cxn modelId="{42B28831-1849-48B4-8F67-5136DAD4C1E5}" srcId="{D42EA2FF-43D9-4BCC-9199-D6CD6A41F865}" destId="{61E10AC9-FC04-46F9-87B3-ADCD9C3813C0}" srcOrd="1" destOrd="0" parTransId="{732C8C48-4C2B-42F7-B22D-241332604BB0}" sibTransId="{5B1A23B2-256A-45A7-B644-83D5BC508AC0}"/>
    <dgm:cxn modelId="{FD18B364-AEA9-4241-BC3A-AE09B8266870}" type="presOf" srcId="{2DFC6660-7E43-4797-9429-B3F0AF58F8C3}" destId="{0D6AB8CD-27B9-43AA-98EE-8051B7A701AE}" srcOrd="0" destOrd="0" presId="urn:microsoft.com/office/officeart/2005/8/layout/process1"/>
    <dgm:cxn modelId="{459590A5-6392-483E-BF57-89DFCC7669ED}" type="presOf" srcId="{DF192007-B76A-4AD6-9E0E-6B412FC094CD}" destId="{AB79877C-74DE-4E96-BCD0-EC34B9656891}" srcOrd="0" destOrd="0" presId="urn:microsoft.com/office/officeart/2005/8/layout/process1"/>
    <dgm:cxn modelId="{12C2D237-9FFF-4B46-915B-E344045738BA}" srcId="{D42EA2FF-43D9-4BCC-9199-D6CD6A41F865}" destId="{DF192007-B76A-4AD6-9E0E-6B412FC094CD}" srcOrd="2" destOrd="0" parTransId="{AD685D52-88A3-4F4E-A1B7-9E9DF23EAF93}" sibTransId="{5737123B-C57A-4379-B1C7-4D6AC8062367}"/>
    <dgm:cxn modelId="{112F3ED2-0D8C-4237-9150-52ACD974EBCB}" type="presOf" srcId="{D42EA2FF-43D9-4BCC-9199-D6CD6A41F865}" destId="{E5A96FD5-ED36-4F0E-B341-F2A6EE2014D7}" srcOrd="0" destOrd="0" presId="urn:microsoft.com/office/officeart/2005/8/layout/process1"/>
    <dgm:cxn modelId="{A6DC71FE-6249-4BF6-AD8D-06DF3911B965}" type="presOf" srcId="{DA3F6F20-03B1-47AE-8827-30E3AC5D4F28}" destId="{F5399BF8-5849-401B-87AC-1C6247637160}" srcOrd="0" destOrd="0" presId="urn:microsoft.com/office/officeart/2005/8/layout/process1"/>
    <dgm:cxn modelId="{66902E2D-6516-4692-931B-9E55C7375069}" srcId="{D42EA2FF-43D9-4BCC-9199-D6CD6A41F865}" destId="{2DFC6660-7E43-4797-9429-B3F0AF58F8C3}" srcOrd="0" destOrd="0" parTransId="{253BA4D2-FA78-49A0-A340-49D3D604CD0C}" sibTransId="{DA3F6F20-03B1-47AE-8827-30E3AC5D4F28}"/>
    <dgm:cxn modelId="{BF3B1AA8-39FB-41B7-82E7-493017505B73}" type="presOf" srcId="{DA3F6F20-03B1-47AE-8827-30E3AC5D4F28}" destId="{B1B43A3B-CD32-439A-B8CF-5BD67DF49529}" srcOrd="1" destOrd="0" presId="urn:microsoft.com/office/officeart/2005/8/layout/process1"/>
    <dgm:cxn modelId="{CCF3DCE5-C1A8-4B50-AD6D-B2BA9E800B01}" type="presOf" srcId="{61E10AC9-FC04-46F9-87B3-ADCD9C3813C0}" destId="{5E8B8285-DD1C-47B3-B578-E5AC968D5620}" srcOrd="0" destOrd="0" presId="urn:microsoft.com/office/officeart/2005/8/layout/process1"/>
    <dgm:cxn modelId="{F27DC7EA-4BCB-40CE-9C3C-808A7282394D}" type="presOf" srcId="{5B1A23B2-256A-45A7-B644-83D5BC508AC0}" destId="{C5883A8A-6214-4E4F-88DA-9E48CA74459A}" srcOrd="1" destOrd="0" presId="urn:microsoft.com/office/officeart/2005/8/layout/process1"/>
    <dgm:cxn modelId="{4870B2D6-52E8-4959-93A8-E756A4750AD1}" type="presParOf" srcId="{E5A96FD5-ED36-4F0E-B341-F2A6EE2014D7}" destId="{0D6AB8CD-27B9-43AA-98EE-8051B7A701AE}" srcOrd="0" destOrd="0" presId="urn:microsoft.com/office/officeart/2005/8/layout/process1"/>
    <dgm:cxn modelId="{FE12974F-EE4A-499D-A10B-4B7F54FF83FA}" type="presParOf" srcId="{E5A96FD5-ED36-4F0E-B341-F2A6EE2014D7}" destId="{F5399BF8-5849-401B-87AC-1C6247637160}" srcOrd="1" destOrd="0" presId="urn:microsoft.com/office/officeart/2005/8/layout/process1"/>
    <dgm:cxn modelId="{378BAA8B-0FEF-4365-9B65-1E926262DE67}" type="presParOf" srcId="{F5399BF8-5849-401B-87AC-1C6247637160}" destId="{B1B43A3B-CD32-439A-B8CF-5BD67DF49529}" srcOrd="0" destOrd="0" presId="urn:microsoft.com/office/officeart/2005/8/layout/process1"/>
    <dgm:cxn modelId="{CF2FA5F8-87AC-4AA9-9399-F95E31AEF574}" type="presParOf" srcId="{E5A96FD5-ED36-4F0E-B341-F2A6EE2014D7}" destId="{5E8B8285-DD1C-47B3-B578-E5AC968D5620}" srcOrd="2" destOrd="0" presId="urn:microsoft.com/office/officeart/2005/8/layout/process1"/>
    <dgm:cxn modelId="{41B42F05-EA2C-4BD3-979F-BE17CB3B9AFC}" type="presParOf" srcId="{E5A96FD5-ED36-4F0E-B341-F2A6EE2014D7}" destId="{BE79C816-662F-41F4-8FEF-13546E675CB8}" srcOrd="3" destOrd="0" presId="urn:microsoft.com/office/officeart/2005/8/layout/process1"/>
    <dgm:cxn modelId="{2DE4F67F-1D16-454B-A5E7-A1C5C27D7D72}" type="presParOf" srcId="{BE79C816-662F-41F4-8FEF-13546E675CB8}" destId="{C5883A8A-6214-4E4F-88DA-9E48CA74459A}" srcOrd="0" destOrd="0" presId="urn:microsoft.com/office/officeart/2005/8/layout/process1"/>
    <dgm:cxn modelId="{8A1CE46B-4594-47B0-B370-3CDFA3670FBE}" type="presParOf" srcId="{E5A96FD5-ED36-4F0E-B341-F2A6EE2014D7}" destId="{AB79877C-74DE-4E96-BCD0-EC34B9656891}" srcOrd="4" destOrd="0" presId="urn:microsoft.com/office/officeart/2005/8/layout/process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6C07A9-E641-48A1-ABCF-9429850597B7}">
      <dsp:nvSpPr>
        <dsp:cNvPr id="0" name=""/>
        <dsp:cNvSpPr/>
      </dsp:nvSpPr>
      <dsp:spPr>
        <a:xfrm>
          <a:off x="5384" y="108414"/>
          <a:ext cx="1609397" cy="1101431"/>
        </a:xfrm>
        <a:prstGeom prst="roundRect">
          <a:avLst>
            <a:gd name="adj" fmla="val 10000"/>
          </a:avLst>
        </a:prstGeom>
        <a:solidFill>
          <a:schemeClr val="accent1">
            <a:lumMod val="20000"/>
            <a:lumOff val="80000"/>
          </a:schemeClr>
        </a:solidFill>
        <a:ln w="1270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b="0" kern="1200" cap="none" spc="0" dirty="0" smtClean="0">
              <a:ln w="0"/>
              <a:solidFill>
                <a:schemeClr val="accent1">
                  <a:lumMod val="75000"/>
                </a:schemeClr>
              </a:solidFill>
              <a:effectLst>
                <a:outerShdw blurRad="38100" dist="25400" dir="5400000" algn="ctr" rotWithShape="0">
                  <a:srgbClr val="6E747A">
                    <a:alpha val="43000"/>
                  </a:srgbClr>
                </a:outerShdw>
              </a:effectLst>
              <a:latin typeface="Calibri" panose="020F0502020204030204"/>
              <a:ea typeface="+mn-ea"/>
              <a:cs typeface="+mn-cs"/>
            </a:rPr>
            <a:t>ESMs</a:t>
          </a:r>
        </a:p>
        <a:p>
          <a:pPr lvl="0" algn="ctr" defTabSz="711200">
            <a:lnSpc>
              <a:spcPct val="90000"/>
            </a:lnSpc>
            <a:spcBef>
              <a:spcPct val="0"/>
            </a:spcBef>
            <a:spcAft>
              <a:spcPct val="35000"/>
            </a:spcAft>
          </a:pPr>
          <a:r>
            <a:rPr lang="en-US" sz="1400" b="0" kern="1200" cap="none" spc="0" dirty="0" smtClean="0">
              <a:ln w="0"/>
              <a:solidFill>
                <a:schemeClr val="accent1">
                  <a:lumMod val="75000"/>
                </a:schemeClr>
              </a:solidFill>
              <a:effectLst>
                <a:outerShdw blurRad="38100" dist="25400" dir="5400000" algn="ctr" rotWithShape="0">
                  <a:srgbClr val="6E747A">
                    <a:alpha val="43000"/>
                  </a:srgbClr>
                </a:outerShdw>
              </a:effectLst>
              <a:latin typeface="Calibri" panose="020F0502020204030204"/>
              <a:ea typeface="+mn-ea"/>
              <a:cs typeface="+mn-cs"/>
            </a:rPr>
            <a:t>Evidence-based/informed Strategy Measures</a:t>
          </a:r>
          <a:endParaRPr lang="en-US" sz="1400" b="0" kern="1200" cap="none" spc="0" dirty="0">
            <a:ln w="0"/>
            <a:solidFill>
              <a:schemeClr val="accent1">
                <a:lumMod val="75000"/>
              </a:schemeClr>
            </a:solidFill>
            <a:effectLst>
              <a:outerShdw blurRad="38100" dist="25400" dir="5400000" algn="ctr" rotWithShape="0">
                <a:srgbClr val="6E747A">
                  <a:alpha val="43000"/>
                </a:srgbClr>
              </a:outerShdw>
            </a:effectLst>
            <a:latin typeface="Calibri" panose="020F0502020204030204"/>
            <a:ea typeface="+mn-ea"/>
            <a:cs typeface="+mn-cs"/>
          </a:endParaRPr>
        </a:p>
      </dsp:txBody>
      <dsp:txXfrm>
        <a:off x="37644" y="140674"/>
        <a:ext cx="1544877" cy="1036911"/>
      </dsp:txXfrm>
    </dsp:sp>
    <dsp:sp modelId="{6F472165-491F-468E-8580-3B25F4A6BCFD}">
      <dsp:nvSpPr>
        <dsp:cNvPr id="0" name=""/>
        <dsp:cNvSpPr/>
      </dsp:nvSpPr>
      <dsp:spPr>
        <a:xfrm>
          <a:off x="1775721" y="459564"/>
          <a:ext cx="341192" cy="399130"/>
        </a:xfrm>
        <a:prstGeom prst="rightArrow">
          <a:avLst>
            <a:gd name="adj1" fmla="val 60000"/>
            <a:gd name="adj2" fmla="val 50000"/>
          </a:avLst>
        </a:prstGeom>
        <a:solidFill>
          <a:schemeClr val="accent1">
            <a:lumMod val="75000"/>
          </a:schemeClr>
        </a:solidFill>
        <a:ln>
          <a:solidFill>
            <a:schemeClr val="accent1">
              <a:lumMod val="75000"/>
            </a:scheme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US" sz="1800" kern="1200">
            <a:solidFill>
              <a:schemeClr val="accent1">
                <a:lumMod val="75000"/>
              </a:schemeClr>
            </a:solidFill>
            <a:latin typeface="Calibri" panose="020F0502020204030204"/>
            <a:ea typeface="+mn-ea"/>
            <a:cs typeface="+mn-cs"/>
          </a:endParaRPr>
        </a:p>
      </dsp:txBody>
      <dsp:txXfrm>
        <a:off x="1775721" y="539390"/>
        <a:ext cx="238834" cy="239478"/>
      </dsp:txXfrm>
    </dsp:sp>
    <dsp:sp modelId="{2E8871BD-D53E-49BA-9395-2CBB0E25FDE5}">
      <dsp:nvSpPr>
        <dsp:cNvPr id="0" name=""/>
        <dsp:cNvSpPr/>
      </dsp:nvSpPr>
      <dsp:spPr>
        <a:xfrm>
          <a:off x="2258541" y="108414"/>
          <a:ext cx="1609397" cy="1101431"/>
        </a:xfrm>
        <a:prstGeom prst="roundRect">
          <a:avLst>
            <a:gd name="adj" fmla="val 10000"/>
          </a:avLst>
        </a:prstGeom>
        <a:solidFill>
          <a:schemeClr val="accent1">
            <a:lumMod val="20000"/>
            <a:lumOff val="80000"/>
          </a:schemeClr>
        </a:solidFill>
        <a:ln w="1270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dirty="0" smtClean="0">
              <a:solidFill>
                <a:schemeClr val="accent1">
                  <a:lumMod val="75000"/>
                </a:schemeClr>
              </a:solidFill>
              <a:latin typeface="Calibri" panose="020F0502020204030204"/>
              <a:ea typeface="+mn-ea"/>
              <a:cs typeface="+mn-cs"/>
            </a:rPr>
            <a:t>NPMs</a:t>
          </a:r>
        </a:p>
        <a:p>
          <a:pPr lvl="0" algn="ctr" defTabSz="711200">
            <a:lnSpc>
              <a:spcPct val="90000"/>
            </a:lnSpc>
            <a:spcBef>
              <a:spcPct val="0"/>
            </a:spcBef>
            <a:spcAft>
              <a:spcPct val="35000"/>
            </a:spcAft>
          </a:pPr>
          <a:r>
            <a:rPr lang="en-US" sz="1400" kern="1200" dirty="0" smtClean="0">
              <a:solidFill>
                <a:schemeClr val="accent1">
                  <a:lumMod val="75000"/>
                </a:schemeClr>
              </a:solidFill>
              <a:latin typeface="Calibri" panose="020F0502020204030204"/>
              <a:ea typeface="+mn-ea"/>
              <a:cs typeface="+mn-cs"/>
            </a:rPr>
            <a:t>National Performance Measures</a:t>
          </a:r>
          <a:endParaRPr lang="en-US" sz="1400" kern="1200" dirty="0">
            <a:solidFill>
              <a:schemeClr val="accent1">
                <a:lumMod val="75000"/>
              </a:schemeClr>
            </a:solidFill>
            <a:latin typeface="Calibri" panose="020F0502020204030204"/>
            <a:ea typeface="+mn-ea"/>
            <a:cs typeface="+mn-cs"/>
          </a:endParaRPr>
        </a:p>
      </dsp:txBody>
      <dsp:txXfrm>
        <a:off x="2290801" y="140674"/>
        <a:ext cx="1544877" cy="1036911"/>
      </dsp:txXfrm>
    </dsp:sp>
    <dsp:sp modelId="{E208307D-2804-4877-B69E-B18C7BDB29A1}">
      <dsp:nvSpPr>
        <dsp:cNvPr id="0" name=""/>
        <dsp:cNvSpPr/>
      </dsp:nvSpPr>
      <dsp:spPr>
        <a:xfrm>
          <a:off x="4028878" y="459564"/>
          <a:ext cx="341192" cy="399130"/>
        </a:xfrm>
        <a:prstGeom prst="rightArrow">
          <a:avLst>
            <a:gd name="adj1" fmla="val 60000"/>
            <a:gd name="adj2" fmla="val 50000"/>
          </a:avLst>
        </a:prstGeom>
        <a:solidFill>
          <a:schemeClr val="accent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US" sz="1800" kern="1200">
            <a:solidFill>
              <a:sysClr val="window" lastClr="FFFFFF"/>
            </a:solidFill>
            <a:latin typeface="Calibri" panose="020F0502020204030204"/>
            <a:ea typeface="+mn-ea"/>
            <a:cs typeface="+mn-cs"/>
          </a:endParaRPr>
        </a:p>
      </dsp:txBody>
      <dsp:txXfrm>
        <a:off x="4028878" y="539390"/>
        <a:ext cx="238834" cy="239478"/>
      </dsp:txXfrm>
    </dsp:sp>
    <dsp:sp modelId="{B9BC70D2-4B9D-4CE5-A66D-27C84756DCE0}">
      <dsp:nvSpPr>
        <dsp:cNvPr id="0" name=""/>
        <dsp:cNvSpPr/>
      </dsp:nvSpPr>
      <dsp:spPr>
        <a:xfrm>
          <a:off x="4511697" y="108414"/>
          <a:ext cx="1609397" cy="1101431"/>
        </a:xfrm>
        <a:prstGeom prst="roundRect">
          <a:avLst>
            <a:gd name="adj" fmla="val 10000"/>
          </a:avLst>
        </a:prstGeom>
        <a:solidFill>
          <a:schemeClr val="accent1">
            <a:lumMod val="20000"/>
            <a:lumOff val="80000"/>
          </a:schemeClr>
        </a:solidFill>
        <a:ln w="1270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dirty="0" smtClean="0">
              <a:solidFill>
                <a:schemeClr val="accent1">
                  <a:lumMod val="75000"/>
                </a:schemeClr>
              </a:solidFill>
              <a:latin typeface="Calibri" panose="020F0502020204030204"/>
              <a:ea typeface="+mn-ea"/>
              <a:cs typeface="+mn-cs"/>
            </a:rPr>
            <a:t>NOMs</a:t>
          </a:r>
        </a:p>
        <a:p>
          <a:pPr lvl="0" algn="ctr" defTabSz="711200">
            <a:lnSpc>
              <a:spcPct val="90000"/>
            </a:lnSpc>
            <a:spcBef>
              <a:spcPct val="0"/>
            </a:spcBef>
            <a:spcAft>
              <a:spcPct val="35000"/>
            </a:spcAft>
          </a:pPr>
          <a:r>
            <a:rPr lang="en-US" sz="1400" kern="1200" dirty="0" smtClean="0">
              <a:solidFill>
                <a:schemeClr val="accent1">
                  <a:lumMod val="75000"/>
                </a:schemeClr>
              </a:solidFill>
              <a:latin typeface="Calibri" panose="020F0502020204030204"/>
              <a:ea typeface="+mn-ea"/>
              <a:cs typeface="+mn-cs"/>
            </a:rPr>
            <a:t>National         Outcome  Measures</a:t>
          </a:r>
          <a:endParaRPr lang="en-US" sz="1400" kern="1200" dirty="0">
            <a:solidFill>
              <a:schemeClr val="accent1">
                <a:lumMod val="75000"/>
              </a:schemeClr>
            </a:solidFill>
            <a:latin typeface="Calibri" panose="020F0502020204030204"/>
            <a:ea typeface="+mn-ea"/>
            <a:cs typeface="+mn-cs"/>
          </a:endParaRPr>
        </a:p>
      </dsp:txBody>
      <dsp:txXfrm>
        <a:off x="4543957" y="140674"/>
        <a:ext cx="1544877" cy="103691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6AB8CD-27B9-43AA-98EE-8051B7A701AE}">
      <dsp:nvSpPr>
        <dsp:cNvPr id="0" name=""/>
        <dsp:cNvSpPr/>
      </dsp:nvSpPr>
      <dsp:spPr>
        <a:xfrm>
          <a:off x="5384" y="92173"/>
          <a:ext cx="1609397" cy="965638"/>
        </a:xfrm>
        <a:prstGeom prst="roundRect">
          <a:avLst>
            <a:gd name="adj" fmla="val 10000"/>
          </a:avLst>
        </a:prstGeom>
        <a:solidFill>
          <a:schemeClr val="accent1">
            <a:lumMod val="20000"/>
            <a:lumOff val="80000"/>
          </a:schemeClr>
        </a:solidFill>
        <a:ln w="1270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dirty="0" smtClean="0">
              <a:solidFill>
                <a:schemeClr val="accent1">
                  <a:lumMod val="75000"/>
                </a:schemeClr>
              </a:solidFill>
              <a:latin typeface="Calibri" panose="020F0502020204030204"/>
              <a:ea typeface="+mn-ea"/>
              <a:cs typeface="+mn-cs"/>
            </a:rPr>
            <a:t>Process Inputs/Outputs</a:t>
          </a:r>
          <a:endParaRPr lang="en-US" sz="1600" kern="1200" dirty="0">
            <a:solidFill>
              <a:schemeClr val="accent1">
                <a:lumMod val="75000"/>
              </a:schemeClr>
            </a:solidFill>
            <a:latin typeface="Calibri" panose="020F0502020204030204"/>
            <a:ea typeface="+mn-ea"/>
            <a:cs typeface="+mn-cs"/>
          </a:endParaRPr>
        </a:p>
      </dsp:txBody>
      <dsp:txXfrm>
        <a:off x="33667" y="120456"/>
        <a:ext cx="1552831" cy="909072"/>
      </dsp:txXfrm>
    </dsp:sp>
    <dsp:sp modelId="{F5399BF8-5849-401B-87AC-1C6247637160}">
      <dsp:nvSpPr>
        <dsp:cNvPr id="0" name=""/>
        <dsp:cNvSpPr/>
      </dsp:nvSpPr>
      <dsp:spPr>
        <a:xfrm>
          <a:off x="1775721" y="375427"/>
          <a:ext cx="341192" cy="399130"/>
        </a:xfrm>
        <a:prstGeom prst="rightArrow">
          <a:avLst>
            <a:gd name="adj1" fmla="val 60000"/>
            <a:gd name="adj2" fmla="val 50000"/>
          </a:avLst>
        </a:prstGeom>
        <a:solidFill>
          <a:schemeClr val="accent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n-US" sz="1600" kern="1200">
            <a:solidFill>
              <a:sysClr val="window" lastClr="FFFFFF"/>
            </a:solidFill>
            <a:latin typeface="Calibri" panose="020F0502020204030204"/>
            <a:ea typeface="+mn-ea"/>
            <a:cs typeface="+mn-cs"/>
          </a:endParaRPr>
        </a:p>
      </dsp:txBody>
      <dsp:txXfrm>
        <a:off x="1775721" y="455253"/>
        <a:ext cx="238834" cy="239478"/>
      </dsp:txXfrm>
    </dsp:sp>
    <dsp:sp modelId="{5E8B8285-DD1C-47B3-B578-E5AC968D5620}">
      <dsp:nvSpPr>
        <dsp:cNvPr id="0" name=""/>
        <dsp:cNvSpPr/>
      </dsp:nvSpPr>
      <dsp:spPr>
        <a:xfrm>
          <a:off x="2258541" y="92173"/>
          <a:ext cx="1609397" cy="965638"/>
        </a:xfrm>
        <a:prstGeom prst="roundRect">
          <a:avLst>
            <a:gd name="adj" fmla="val 10000"/>
          </a:avLst>
        </a:prstGeom>
        <a:solidFill>
          <a:schemeClr val="accent1">
            <a:lumMod val="20000"/>
            <a:lumOff val="80000"/>
          </a:schemeClr>
        </a:solidFill>
        <a:ln w="1270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dirty="0" smtClean="0">
              <a:solidFill>
                <a:schemeClr val="accent1">
                  <a:lumMod val="75000"/>
                </a:schemeClr>
              </a:solidFill>
              <a:latin typeface="Calibri" panose="020F0502020204030204"/>
              <a:ea typeface="+mn-ea"/>
              <a:cs typeface="+mn-cs"/>
            </a:rPr>
            <a:t>Short, Medium Term Outcomes</a:t>
          </a:r>
          <a:endParaRPr lang="en-US" sz="1600" kern="1200" dirty="0">
            <a:solidFill>
              <a:schemeClr val="accent1">
                <a:lumMod val="75000"/>
              </a:schemeClr>
            </a:solidFill>
            <a:latin typeface="Calibri" panose="020F0502020204030204"/>
            <a:ea typeface="+mn-ea"/>
            <a:cs typeface="+mn-cs"/>
          </a:endParaRPr>
        </a:p>
      </dsp:txBody>
      <dsp:txXfrm>
        <a:off x="2286824" y="120456"/>
        <a:ext cx="1552831" cy="909072"/>
      </dsp:txXfrm>
    </dsp:sp>
    <dsp:sp modelId="{BE79C816-662F-41F4-8FEF-13546E675CB8}">
      <dsp:nvSpPr>
        <dsp:cNvPr id="0" name=""/>
        <dsp:cNvSpPr/>
      </dsp:nvSpPr>
      <dsp:spPr>
        <a:xfrm>
          <a:off x="4028878" y="375427"/>
          <a:ext cx="341192" cy="399130"/>
        </a:xfrm>
        <a:prstGeom prst="rightArrow">
          <a:avLst>
            <a:gd name="adj1" fmla="val 60000"/>
            <a:gd name="adj2" fmla="val 50000"/>
          </a:avLst>
        </a:prstGeom>
        <a:solidFill>
          <a:schemeClr val="accent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n-US" sz="1600" kern="1200">
            <a:solidFill>
              <a:sysClr val="window" lastClr="FFFFFF"/>
            </a:solidFill>
            <a:latin typeface="Calibri" panose="020F0502020204030204"/>
            <a:ea typeface="+mn-ea"/>
            <a:cs typeface="+mn-cs"/>
          </a:endParaRPr>
        </a:p>
      </dsp:txBody>
      <dsp:txXfrm>
        <a:off x="4028878" y="455253"/>
        <a:ext cx="238834" cy="239478"/>
      </dsp:txXfrm>
    </dsp:sp>
    <dsp:sp modelId="{AB79877C-74DE-4E96-BCD0-EC34B9656891}">
      <dsp:nvSpPr>
        <dsp:cNvPr id="0" name=""/>
        <dsp:cNvSpPr/>
      </dsp:nvSpPr>
      <dsp:spPr>
        <a:xfrm>
          <a:off x="4511697" y="92173"/>
          <a:ext cx="1609397" cy="965638"/>
        </a:xfrm>
        <a:prstGeom prst="roundRect">
          <a:avLst>
            <a:gd name="adj" fmla="val 10000"/>
          </a:avLst>
        </a:prstGeom>
        <a:solidFill>
          <a:schemeClr val="accent1">
            <a:lumMod val="20000"/>
            <a:lumOff val="80000"/>
          </a:schemeClr>
        </a:solidFill>
        <a:ln w="1270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dirty="0" smtClean="0">
              <a:solidFill>
                <a:schemeClr val="accent1">
                  <a:lumMod val="75000"/>
                </a:schemeClr>
              </a:solidFill>
              <a:latin typeface="Calibri" panose="020F0502020204030204"/>
              <a:ea typeface="+mn-ea"/>
              <a:cs typeface="+mn-cs"/>
            </a:rPr>
            <a:t>Long Term Outcomes</a:t>
          </a:r>
          <a:endParaRPr lang="en-US" sz="1600" kern="1200" dirty="0">
            <a:solidFill>
              <a:schemeClr val="accent1">
                <a:lumMod val="75000"/>
              </a:schemeClr>
            </a:solidFill>
            <a:latin typeface="Calibri" panose="020F0502020204030204"/>
            <a:ea typeface="+mn-ea"/>
            <a:cs typeface="+mn-cs"/>
          </a:endParaRPr>
        </a:p>
      </dsp:txBody>
      <dsp:txXfrm>
        <a:off x="4539980" y="120456"/>
        <a:ext cx="1552831" cy="90907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3a5afd-1424-405b-82d9-63deec7446f8"/>
    <Workgroup_x0020_or_x0020_Subgroup xmlns="d4228e5d-0d32-4922-ab23-200a4caf6291">All</Workgroup_x0020_or_x0020_Subgroup>
    <_dlc_DocId xmlns="053a5afd-1424-405b-82d9-63deec7446f8">DZXA3YQD6WY2-2035072546-23</_dlc_DocId>
    <_dlc_DocIdUrl xmlns="053a5afd-1424-405b-82d9-63deec7446f8">
      <Url>https://sharepoint.hrsa.gov/teams/mchb/dsch/2011_BG_Rev/Guid_Revision/_layouts/15/DocIdRedir.aspx?ID=DZXA3YQD6WY2-2035072546-23</Url>
      <Description>DZXA3YQD6WY2-2035072546-23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A4A3279D8FA9478E7CC9DBAC9BB461" ma:contentTypeVersion="1" ma:contentTypeDescription="Create a new document." ma:contentTypeScope="" ma:versionID="4f31e15c099a40239bcc81b8c00067c9">
  <xsd:schema xmlns:xsd="http://www.w3.org/2001/XMLSchema" xmlns:xs="http://www.w3.org/2001/XMLSchema" xmlns:p="http://schemas.microsoft.com/office/2006/metadata/properties" xmlns:ns2="053a5afd-1424-405b-82d9-63deec7446f8" xmlns:ns3="d4228e5d-0d32-4922-ab23-200a4caf6291" targetNamespace="http://schemas.microsoft.com/office/2006/metadata/properties" ma:root="true" ma:fieldsID="184520fc24b012011dc85af9fb72a01d" ns2:_="" ns3:_="">
    <xsd:import namespace="053a5afd-1424-405b-82d9-63deec7446f8"/>
    <xsd:import namespace="d4228e5d-0d32-4922-ab23-200a4caf6291"/>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Workgroup_x0020_or_x0020_Sub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228e5d-0d32-4922-ab23-200a4caf6291" elementFormDefault="qualified">
    <xsd:import namespace="http://schemas.microsoft.com/office/2006/documentManagement/types"/>
    <xsd:import namespace="http://schemas.microsoft.com/office/infopath/2007/PartnerControls"/>
    <xsd:element name="Workgroup_x0020_or_x0020_Subgroup" ma:index="13" nillable="true" ma:displayName="Workgroup or Subgroup" ma:default="All" ma:format="Dropdown" ma:internalName="Workgroup_x0020_or_x0020_Subgroup">
      <xsd:simpleType>
        <xsd:restriction base="dms:Choice">
          <xsd:enumeration value="All"/>
          <xsd:enumeration value="CYSHCN"/>
          <xsd:enumeration value="Performance Framework"/>
          <xsd:enumeration value="Executive Summary"/>
          <xsd:enumeration value="State Overview"/>
          <xsd:enumeration value="Needs Assessment Summary"/>
          <xsd:enumeration value="IAA/MOU"/>
          <xsd:enumeration value="Action Plan Table"/>
          <xsd:enumeration value="Action Plan Narrative"/>
          <xsd:enumeration value="Form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8E75E-90CF-4060-B96D-0E17359AD455}">
  <ds:schemaRefs>
    <ds:schemaRef ds:uri="http://schemas.microsoft.com/sharepoint/events"/>
  </ds:schemaRefs>
</ds:datastoreItem>
</file>

<file path=customXml/itemProps2.xml><?xml version="1.0" encoding="utf-8"?>
<ds:datastoreItem xmlns:ds="http://schemas.openxmlformats.org/officeDocument/2006/customXml" ds:itemID="{73194EF4-78FD-4165-B3F4-3EED7C876164}">
  <ds:schemaRefs>
    <ds:schemaRef ds:uri="http://schemas.microsoft.com/sharepoint/v3/contenttype/forms"/>
  </ds:schemaRefs>
</ds:datastoreItem>
</file>

<file path=customXml/itemProps3.xml><?xml version="1.0" encoding="utf-8"?>
<ds:datastoreItem xmlns:ds="http://schemas.openxmlformats.org/officeDocument/2006/customXml" ds:itemID="{976BBF98-C476-4998-966E-AAD8FF2275FE}">
  <ds:schemaRefs>
    <ds:schemaRef ds:uri="http://schemas.openxmlformats.org/package/2006/metadata/core-properties"/>
    <ds:schemaRef ds:uri="http://purl.org/dc/elements/1.1/"/>
    <ds:schemaRef ds:uri="http://purl.org/dc/terms/"/>
    <ds:schemaRef ds:uri="http://schemas.microsoft.com/office/2006/documentManagement/types"/>
    <ds:schemaRef ds:uri="053a5afd-1424-405b-82d9-63deec7446f8"/>
    <ds:schemaRef ds:uri="http://schemas.microsoft.com/office/2006/metadata/properties"/>
    <ds:schemaRef ds:uri="http://www.w3.org/XML/1998/namespace"/>
    <ds:schemaRef ds:uri="http://purl.org/dc/dcmitype/"/>
    <ds:schemaRef ds:uri="http://schemas.microsoft.com/office/infopath/2007/PartnerControls"/>
    <ds:schemaRef ds:uri="d4228e5d-0d32-4922-ab23-200a4caf6291"/>
  </ds:schemaRefs>
</ds:datastoreItem>
</file>

<file path=customXml/itemProps4.xml><?xml version="1.0" encoding="utf-8"?>
<ds:datastoreItem xmlns:ds="http://schemas.openxmlformats.org/officeDocument/2006/customXml" ds:itemID="{DB3572DB-8ECF-4EA1-BF5A-2C8762722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d4228e5d-0d32-4922-ab23-200a4caf6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3DEDB8-20AB-450A-8960-6AC446D80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34966</Words>
  <Characters>199310</Characters>
  <Application>Microsoft Office Word</Application>
  <DocSecurity>0</DocSecurity>
  <Lines>1660</Lines>
  <Paragraphs>467</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233809</CharactersWithSpaces>
  <SharedDoc>false</SharedDoc>
  <HLinks>
    <vt:vector size="6" baseType="variant">
      <vt:variant>
        <vt:i4>5242955</vt:i4>
      </vt:variant>
      <vt:variant>
        <vt:i4>0</vt:i4>
      </vt:variant>
      <vt:variant>
        <vt:i4>0</vt:i4>
      </vt:variant>
      <vt:variant>
        <vt:i4>5</vt:i4>
      </vt:variant>
      <vt:variant>
        <vt:lpwstr>https://mchdata.hrsa.gov/TVISReports/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mlawler</dc:creator>
  <cp:keywords/>
  <dc:description/>
  <cp:lastModifiedBy>SYSTEM</cp:lastModifiedBy>
  <cp:revision>2</cp:revision>
  <cp:lastPrinted>2017-09-26T21:12:00Z</cp:lastPrinted>
  <dcterms:created xsi:type="dcterms:W3CDTF">2017-11-16T16:57:00Z</dcterms:created>
  <dcterms:modified xsi:type="dcterms:W3CDTF">2017-11-16T16:57:00Z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0x010100FAA4A3279D8FA9478E7CC9DBAC9BB461</vt:lpwstr>
  </property>
  <property fmtid="{D5CDD505-2E9C-101B-9397-08002B2CF9AE}" pid="3" name="_dlc_DocIdItemGuid">
    <vt:lpwstr>5bd14f04-5a5a-427c-9d13-8d853c407184</vt:lpwstr>
  </property>
</Properties>
</file>