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C4" w:rsidRDefault="00A646C4" w:rsidP="00A646C4">
      <w:pPr>
        <w:pStyle w:val="Heading1"/>
        <w:jc w:val="center"/>
        <w:rPr>
          <w:sz w:val="28"/>
        </w:rPr>
      </w:pPr>
      <w:bookmarkStart w:id="0" w:name="_Toc297644606"/>
      <w:bookmarkStart w:id="1" w:name="_Toc298850051"/>
      <w:bookmarkStart w:id="2" w:name="_Toc306213626"/>
      <w:bookmarkStart w:id="3" w:name="_Toc306292241"/>
      <w:bookmarkStart w:id="4" w:name="_Toc323634391"/>
      <w:bookmarkStart w:id="5" w:name="_GoBack"/>
      <w:bookmarkEnd w:id="5"/>
      <w:r>
        <w:rPr>
          <w:sz w:val="28"/>
        </w:rPr>
        <w:t>Attachment N. CASPER Toolkit, Sections 5.2 Weighted Analyses and 5.3 Calculation of 95% Confidence Intervals</w:t>
      </w:r>
    </w:p>
    <w:p w:rsidR="00A646C4" w:rsidRPr="00A646C4" w:rsidRDefault="00A646C4" w:rsidP="00A646C4">
      <w:r>
        <w:t xml:space="preserve">(Complete toolkit available at </w:t>
      </w:r>
      <w:hyperlink r:id="rId8" w:history="1">
        <w:r w:rsidRPr="00A646C4">
          <w:rPr>
            <w:rStyle w:val="Hyperlink"/>
          </w:rPr>
          <w:t>http://emergency.cdc.gov/disasters/surveillance/pdf/CASPER_Toolkit_Version_2_0_508_Compliant.pdf</w:t>
        </w:r>
      </w:hyperlink>
      <w:r>
        <w:t>)</w:t>
      </w:r>
    </w:p>
    <w:p w:rsidR="00A646C4" w:rsidRPr="001E2D2F" w:rsidRDefault="00A646C4" w:rsidP="00A646C4">
      <w:pPr>
        <w:pStyle w:val="Heading1"/>
      </w:pPr>
      <w:r>
        <w:t xml:space="preserve">5.2   </w:t>
      </w:r>
      <w:r w:rsidRPr="001E2D2F">
        <w:t>Weighted analyses</w:t>
      </w:r>
      <w:bookmarkEnd w:id="0"/>
      <w:bookmarkEnd w:id="1"/>
      <w:bookmarkEnd w:id="2"/>
      <w:bookmarkEnd w:id="3"/>
      <w:bookmarkEnd w:id="4"/>
    </w:p>
    <w:p w:rsidR="00A646C4" w:rsidRPr="001E2D2F" w:rsidRDefault="00A646C4" w:rsidP="00A646C4">
      <w:pPr>
        <w:spacing w:line="480" w:lineRule="auto"/>
        <w:rPr>
          <w:rFonts w:cs="Times New Roman"/>
          <w:sz w:val="24"/>
          <w:szCs w:val="24"/>
        </w:rPr>
      </w:pPr>
      <w:r>
        <w:rPr>
          <w:rFonts w:cs="Times New Roman"/>
          <w:sz w:val="24"/>
          <w:szCs w:val="24"/>
        </w:rPr>
        <w:t xml:space="preserve">Households selected in cluster sampling have an unequal probability of selection. To avoid biased estimates, </w:t>
      </w:r>
      <w:r w:rsidRPr="00EE6718">
        <w:rPr>
          <w:rFonts w:cs="Times New Roman"/>
          <w:i/>
          <w:sz w:val="24"/>
          <w:szCs w:val="24"/>
        </w:rPr>
        <w:t>all data analyses should include a mathematical weight for probability of selection</w:t>
      </w:r>
      <w:r>
        <w:rPr>
          <w:rFonts w:cs="Times New Roman"/>
          <w:sz w:val="24"/>
          <w:szCs w:val="24"/>
        </w:rPr>
        <w:t>. Once</w:t>
      </w:r>
      <w:r w:rsidRPr="001E2D2F">
        <w:rPr>
          <w:rFonts w:cs="Times New Roman"/>
          <w:sz w:val="24"/>
          <w:szCs w:val="24"/>
        </w:rPr>
        <w:t xml:space="preserve"> all data </w:t>
      </w:r>
      <w:r>
        <w:rPr>
          <w:rFonts w:cs="Times New Roman"/>
          <w:sz w:val="24"/>
          <w:szCs w:val="24"/>
        </w:rPr>
        <w:t>are</w:t>
      </w:r>
      <w:r w:rsidRPr="001E2D2F">
        <w:rPr>
          <w:rFonts w:cs="Times New Roman"/>
          <w:sz w:val="24"/>
          <w:szCs w:val="24"/>
        </w:rPr>
        <w:t xml:space="preserve"> merged into a single electronic dataset, a </w:t>
      </w:r>
      <w:r>
        <w:rPr>
          <w:rFonts w:cs="Times New Roman"/>
          <w:sz w:val="24"/>
          <w:szCs w:val="24"/>
        </w:rPr>
        <w:t xml:space="preserve">weight </w:t>
      </w:r>
      <w:r w:rsidRPr="001E2D2F">
        <w:rPr>
          <w:rFonts w:cs="Times New Roman"/>
          <w:sz w:val="24"/>
          <w:szCs w:val="24"/>
        </w:rPr>
        <w:t xml:space="preserve">variable </w:t>
      </w:r>
      <w:r>
        <w:rPr>
          <w:rFonts w:cs="Times New Roman"/>
          <w:sz w:val="24"/>
          <w:szCs w:val="24"/>
        </w:rPr>
        <w:t>must be added to each surveyed household by use of the formula below:</w:t>
      </w:r>
    </w:p>
    <w:p w:rsidR="00A646C4" w:rsidRPr="001E2D2F" w:rsidRDefault="00A646C4" w:rsidP="00A646C4">
      <w:pPr>
        <w:spacing w:line="240" w:lineRule="auto"/>
        <w:jc w:val="both"/>
        <w:rPr>
          <w:rFonts w:cs="Times New Roman"/>
          <w:sz w:val="24"/>
          <w:szCs w:val="24"/>
        </w:rPr>
      </w:pPr>
      <w:r>
        <w:rPr>
          <w:rFonts w:cs="Times New Roman"/>
          <w:noProof/>
          <w:sz w:val="24"/>
          <w:szCs w:val="24"/>
        </w:rPr>
        <mc:AlternateContent>
          <mc:Choice Requires="wps">
            <w:drawing>
              <wp:anchor distT="0" distB="0" distL="114300" distR="114300" simplePos="0" relativeHeight="251659264" behindDoc="0" locked="0" layoutInCell="1" allowOverlap="1" wp14:anchorId="0E21F5A2" wp14:editId="47D8ED64">
                <wp:simplePos x="0" y="0"/>
                <wp:positionH relativeFrom="column">
                  <wp:posOffset>634365</wp:posOffset>
                </wp:positionH>
                <wp:positionV relativeFrom="paragraph">
                  <wp:posOffset>241300</wp:posOffset>
                </wp:positionV>
                <wp:extent cx="5038725" cy="0"/>
                <wp:effectExtent l="0" t="0" r="9525" b="19050"/>
                <wp:wrapNone/>
                <wp:docPr id="3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0" o:spid="_x0000_s1026" type="#_x0000_t32" style="position:absolute;margin-left:49.95pt;margin-top:19pt;width:3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"/>
            </w:pict>
          </mc:Fallback>
        </mc:AlternateContent>
      </w:r>
      <w:r>
        <w:rPr>
          <w:rFonts w:cs="Times New Roman"/>
          <w:sz w:val="24"/>
          <w:szCs w:val="24"/>
        </w:rPr>
        <w:t>Weight =</w:t>
      </w:r>
      <w:r>
        <w:rPr>
          <w:rFonts w:cs="Times New Roman"/>
          <w:sz w:val="24"/>
          <w:szCs w:val="24"/>
        </w:rPr>
        <w:tab/>
      </w:r>
      <w:r w:rsidRPr="001E2D2F">
        <w:rPr>
          <w:rFonts w:cs="Times New Roman"/>
          <w:sz w:val="24"/>
          <w:szCs w:val="24"/>
        </w:rPr>
        <w:t xml:space="preserve"> </w:t>
      </w:r>
      <w:r>
        <w:rPr>
          <w:rFonts w:cs="Times New Roman"/>
          <w:sz w:val="24"/>
          <w:szCs w:val="24"/>
        </w:rPr>
        <w:tab/>
      </w:r>
      <w:r>
        <w:rPr>
          <w:rFonts w:cs="Times New Roman"/>
          <w:sz w:val="24"/>
          <w:szCs w:val="24"/>
        </w:rPr>
        <w:tab/>
      </w:r>
      <w:r w:rsidRPr="001E2D2F">
        <w:rPr>
          <w:rFonts w:cs="Times New Roman"/>
          <w:sz w:val="24"/>
          <w:szCs w:val="24"/>
        </w:rPr>
        <w:t>Total number of housing units in sampling frame</w:t>
      </w:r>
    </w:p>
    <w:p w:rsidR="00A646C4" w:rsidRPr="001E2D2F" w:rsidRDefault="00A646C4" w:rsidP="00A646C4">
      <w:pPr>
        <w:spacing w:line="240" w:lineRule="auto"/>
        <w:ind w:firstLine="720"/>
        <w:rPr>
          <w:rFonts w:cs="Times New Roman"/>
          <w:sz w:val="24"/>
          <w:szCs w:val="24"/>
        </w:rPr>
      </w:pPr>
      <w:r>
        <w:rPr>
          <w:rFonts w:cs="Times New Roman"/>
          <w:sz w:val="24"/>
          <w:szCs w:val="24"/>
        </w:rPr>
        <w:t xml:space="preserve">     </w:t>
      </w:r>
      <w:r w:rsidRPr="001E2D2F">
        <w:rPr>
          <w:rFonts w:cs="Times New Roman"/>
          <w:sz w:val="24"/>
          <w:szCs w:val="24"/>
        </w:rPr>
        <w:t>(</w:t>
      </w:r>
      <w:proofErr w:type="gramStart"/>
      <w:r w:rsidRPr="001E2D2F">
        <w:rPr>
          <w:rFonts w:cs="Times New Roman"/>
          <w:sz w:val="24"/>
          <w:szCs w:val="24"/>
        </w:rPr>
        <w:t>number</w:t>
      </w:r>
      <w:proofErr w:type="gramEnd"/>
      <w:r w:rsidRPr="001E2D2F">
        <w:rPr>
          <w:rFonts w:cs="Times New Roman"/>
          <w:sz w:val="24"/>
          <w:szCs w:val="24"/>
        </w:rPr>
        <w:t xml:space="preserve"> of housing units interviewed within cluster)*(number of clusters selected)</w:t>
      </w:r>
    </w:p>
    <w:p w:rsidR="00A646C4" w:rsidRPr="001E2D2F" w:rsidRDefault="00A646C4" w:rsidP="00A646C4">
      <w:pPr>
        <w:rPr>
          <w:rFonts w:cs="Times New Roman"/>
          <w:sz w:val="24"/>
          <w:szCs w:val="24"/>
        </w:rPr>
      </w:pPr>
    </w:p>
    <w:p w:rsidR="00A646C4" w:rsidRPr="001E2D2F" w:rsidRDefault="00A646C4" w:rsidP="00A646C4">
      <w:pPr>
        <w:spacing w:line="480" w:lineRule="auto"/>
        <w:rPr>
          <w:rFonts w:cs="Times New Roman"/>
          <w:sz w:val="24"/>
          <w:szCs w:val="24"/>
        </w:rPr>
      </w:pPr>
      <w:r w:rsidRPr="001E2D2F">
        <w:rPr>
          <w:rFonts w:cs="Times New Roman"/>
          <w:sz w:val="24"/>
          <w:szCs w:val="24"/>
        </w:rPr>
        <w:t xml:space="preserve">The sampling frame, referred to in the numerator, is defined as the entire </w:t>
      </w:r>
      <w:r>
        <w:rPr>
          <w:rFonts w:cs="Times New Roman"/>
          <w:sz w:val="24"/>
          <w:szCs w:val="24"/>
        </w:rPr>
        <w:t>assessment</w:t>
      </w:r>
      <w:r w:rsidRPr="001E2D2F">
        <w:rPr>
          <w:rFonts w:cs="Times New Roman"/>
          <w:sz w:val="24"/>
          <w:szCs w:val="24"/>
        </w:rPr>
        <w:t xml:space="preserve"> area in which CASPER is being conducted.  </w:t>
      </w:r>
      <w:r>
        <w:rPr>
          <w:rFonts w:cs="Times New Roman"/>
          <w:sz w:val="24"/>
          <w:szCs w:val="24"/>
        </w:rPr>
        <w:t>T</w:t>
      </w:r>
      <w:r w:rsidRPr="001E2D2F">
        <w:rPr>
          <w:rFonts w:cs="Times New Roman"/>
          <w:sz w:val="24"/>
          <w:szCs w:val="24"/>
        </w:rPr>
        <w:t xml:space="preserve">he numerator </w:t>
      </w:r>
      <w:r>
        <w:rPr>
          <w:rFonts w:cs="Times New Roman"/>
          <w:sz w:val="24"/>
          <w:szCs w:val="24"/>
        </w:rPr>
        <w:t>is the</w:t>
      </w:r>
      <w:r w:rsidRPr="001E2D2F">
        <w:rPr>
          <w:rFonts w:cs="Times New Roman"/>
          <w:sz w:val="24"/>
          <w:szCs w:val="24"/>
        </w:rPr>
        <w:t xml:space="preserve"> total number of hous</w:t>
      </w:r>
      <w:r>
        <w:rPr>
          <w:rFonts w:cs="Times New Roman"/>
          <w:sz w:val="24"/>
          <w:szCs w:val="24"/>
        </w:rPr>
        <w:t>ing units</w:t>
      </w:r>
      <w:r w:rsidRPr="001E2D2F">
        <w:rPr>
          <w:rFonts w:cs="Times New Roman"/>
          <w:sz w:val="24"/>
          <w:szCs w:val="24"/>
        </w:rPr>
        <w:t xml:space="preserve"> in the sampling frame</w:t>
      </w:r>
      <w:r>
        <w:rPr>
          <w:rFonts w:cs="Times New Roman"/>
          <w:sz w:val="24"/>
          <w:szCs w:val="24"/>
        </w:rPr>
        <w:t>, and</w:t>
      </w:r>
      <w:r w:rsidRPr="001E2D2F">
        <w:rPr>
          <w:rFonts w:cs="Times New Roman"/>
          <w:sz w:val="24"/>
          <w:szCs w:val="24"/>
        </w:rPr>
        <w:t xml:space="preserve"> </w:t>
      </w:r>
      <w:r>
        <w:rPr>
          <w:rFonts w:cs="Times New Roman"/>
          <w:sz w:val="24"/>
          <w:szCs w:val="24"/>
        </w:rPr>
        <w:t xml:space="preserve">that number </w:t>
      </w:r>
      <w:r w:rsidRPr="001E2D2F">
        <w:rPr>
          <w:rFonts w:cs="Times New Roman"/>
          <w:sz w:val="24"/>
          <w:szCs w:val="24"/>
        </w:rPr>
        <w:t xml:space="preserve">will be the same for every </w:t>
      </w:r>
      <w:r>
        <w:rPr>
          <w:rFonts w:cs="Times New Roman"/>
          <w:sz w:val="24"/>
          <w:szCs w:val="24"/>
        </w:rPr>
        <w:t>assessed household.</w:t>
      </w:r>
      <w:r w:rsidRPr="001E2D2F">
        <w:rPr>
          <w:rFonts w:cs="Times New Roman"/>
          <w:sz w:val="24"/>
          <w:szCs w:val="24"/>
        </w:rPr>
        <w:t xml:space="preserve">  </w:t>
      </w:r>
      <w:r>
        <w:rPr>
          <w:rFonts w:cs="Times New Roman"/>
          <w:sz w:val="24"/>
          <w:szCs w:val="24"/>
        </w:rPr>
        <w:t>To calculate the total number of houses in the sampling frame, f</w:t>
      </w:r>
      <w:r w:rsidRPr="001E2D2F">
        <w:rPr>
          <w:rFonts w:cs="Times New Roman"/>
          <w:sz w:val="24"/>
          <w:szCs w:val="24"/>
        </w:rPr>
        <w:t xml:space="preserve">ollow the steps outlined in </w:t>
      </w:r>
      <w:hyperlink w:anchor="_3.1.3_Stage_one:" w:history="1">
        <w:r w:rsidRPr="001E2D2F">
          <w:rPr>
            <w:rFonts w:cs="Times New Roman"/>
            <w:color w:val="0000FF" w:themeColor="hyperlink"/>
            <w:sz w:val="24"/>
            <w:u w:val="single"/>
          </w:rPr>
          <w:t>Section 3.</w:t>
        </w:r>
        <w:r>
          <w:rPr>
            <w:rFonts w:cs="Times New Roman"/>
            <w:color w:val="0000FF" w:themeColor="hyperlink"/>
            <w:sz w:val="24"/>
            <w:u w:val="single"/>
          </w:rPr>
          <w:t>1.3</w:t>
        </w:r>
      </w:hyperlink>
      <w:r w:rsidRPr="001E2D2F">
        <w:rPr>
          <w:rFonts w:cs="Times New Roman"/>
          <w:sz w:val="24"/>
          <w:szCs w:val="24"/>
        </w:rPr>
        <w:t xml:space="preserve"> and sum the “housing units” column (e.g., </w:t>
      </w:r>
      <w:r>
        <w:rPr>
          <w:rFonts w:cs="Times New Roman"/>
          <w:sz w:val="24"/>
          <w:szCs w:val="24"/>
        </w:rPr>
        <w:t>6292</w:t>
      </w:r>
      <w:r w:rsidRPr="001E2D2F">
        <w:rPr>
          <w:rFonts w:cs="Times New Roman"/>
          <w:sz w:val="24"/>
          <w:szCs w:val="24"/>
        </w:rPr>
        <w:t xml:space="preserve"> houses in Caldwell County, Kentucky).</w:t>
      </w:r>
    </w:p>
    <w:p w:rsidR="00A646C4" w:rsidRDefault="00A646C4" w:rsidP="00A646C4">
      <w:pPr>
        <w:spacing w:line="480" w:lineRule="auto"/>
        <w:ind w:firstLine="720"/>
        <w:rPr>
          <w:rFonts w:cs="Times New Roman"/>
          <w:sz w:val="24"/>
          <w:szCs w:val="24"/>
        </w:rPr>
      </w:pPr>
      <w:r w:rsidRPr="001E2D2F">
        <w:rPr>
          <w:rFonts w:cs="Times New Roman"/>
          <w:sz w:val="24"/>
          <w:szCs w:val="24"/>
        </w:rPr>
        <w:t>If sampling</w:t>
      </w:r>
      <w:r>
        <w:rPr>
          <w:rFonts w:cs="Times New Roman"/>
          <w:sz w:val="24"/>
          <w:szCs w:val="24"/>
        </w:rPr>
        <w:t xml:space="preserve"> has been</w:t>
      </w:r>
      <w:r w:rsidRPr="001E2D2F">
        <w:rPr>
          <w:rFonts w:cs="Times New Roman"/>
          <w:sz w:val="24"/>
          <w:szCs w:val="24"/>
        </w:rPr>
        <w:t xml:space="preserve"> 100% successful and information was obtained from exactly seven house</w:t>
      </w:r>
      <w:r>
        <w:rPr>
          <w:rFonts w:cs="Times New Roman"/>
          <w:sz w:val="24"/>
          <w:szCs w:val="24"/>
        </w:rPr>
        <w:t>holds</w:t>
      </w:r>
      <w:r w:rsidRPr="001E2D2F">
        <w:rPr>
          <w:rFonts w:cs="Times New Roman"/>
          <w:sz w:val="24"/>
          <w:szCs w:val="24"/>
        </w:rPr>
        <w:t xml:space="preserve"> in exactly 30 cluste</w:t>
      </w:r>
      <w:r>
        <w:rPr>
          <w:rFonts w:cs="Times New Roman"/>
          <w:sz w:val="24"/>
          <w:szCs w:val="24"/>
        </w:rPr>
        <w:t xml:space="preserve">rs, the denominator will be 7 * </w:t>
      </w:r>
      <w:r w:rsidRPr="001E2D2F">
        <w:rPr>
          <w:rFonts w:cs="Times New Roman"/>
          <w:sz w:val="24"/>
          <w:szCs w:val="24"/>
        </w:rPr>
        <w:t>30 = 210 for every housing unit</w:t>
      </w:r>
      <w:r>
        <w:rPr>
          <w:rFonts w:cs="Times New Roman"/>
          <w:sz w:val="24"/>
          <w:szCs w:val="24"/>
        </w:rPr>
        <w:t xml:space="preserve">. The sample, then, is self-weighting because all housing units in the sample had an equal </w:t>
      </w:r>
      <w:r>
        <w:rPr>
          <w:rFonts w:cs="Times New Roman"/>
          <w:sz w:val="24"/>
          <w:szCs w:val="24"/>
        </w:rPr>
        <w:lastRenderedPageBreak/>
        <w:t>probability of being selected</w:t>
      </w:r>
      <w:r w:rsidRPr="001E2D2F">
        <w:rPr>
          <w:rFonts w:cs="Times New Roman"/>
          <w:sz w:val="24"/>
          <w:szCs w:val="24"/>
        </w:rPr>
        <w:t xml:space="preserve">.  </w:t>
      </w:r>
      <w:r>
        <w:rPr>
          <w:rFonts w:cs="Times New Roman"/>
          <w:sz w:val="24"/>
          <w:szCs w:val="24"/>
        </w:rPr>
        <w:t>Likely, obtaining seven households in each of the 30 clusters will not be possible. When this occurs</w:t>
      </w:r>
      <w:r w:rsidRPr="001E2D2F">
        <w:rPr>
          <w:rFonts w:cs="Times New Roman"/>
          <w:sz w:val="24"/>
          <w:szCs w:val="24"/>
        </w:rPr>
        <w:t xml:space="preserve">, the denominator will be different for each </w:t>
      </w:r>
      <w:r>
        <w:rPr>
          <w:rFonts w:cs="Times New Roman"/>
          <w:sz w:val="24"/>
          <w:szCs w:val="24"/>
        </w:rPr>
        <w:t>surveyed household</w:t>
      </w:r>
      <w:r w:rsidRPr="001E2D2F">
        <w:rPr>
          <w:rFonts w:cs="Times New Roman"/>
          <w:sz w:val="24"/>
          <w:szCs w:val="24"/>
        </w:rPr>
        <w:t>, depending on the cluster from which the housing unit was selected.  House</w:t>
      </w:r>
      <w:r>
        <w:rPr>
          <w:rFonts w:cs="Times New Roman"/>
          <w:sz w:val="24"/>
          <w:szCs w:val="24"/>
        </w:rPr>
        <w:t>hold</w:t>
      </w:r>
      <w:r w:rsidRPr="001E2D2F">
        <w:rPr>
          <w:rFonts w:cs="Times New Roman"/>
          <w:sz w:val="24"/>
          <w:szCs w:val="24"/>
        </w:rPr>
        <w:t xml:space="preserve">s from the same cluster will have the same weight, but weights will differ between clusters.  For example, if only five completed interviews </w:t>
      </w:r>
      <w:r>
        <w:rPr>
          <w:rFonts w:cs="Times New Roman"/>
          <w:sz w:val="24"/>
          <w:szCs w:val="24"/>
        </w:rPr>
        <w:t xml:space="preserve">occurred </w:t>
      </w:r>
      <w:r w:rsidRPr="001E2D2F">
        <w:rPr>
          <w:rFonts w:cs="Times New Roman"/>
          <w:sz w:val="24"/>
          <w:szCs w:val="24"/>
        </w:rPr>
        <w:t xml:space="preserve">in </w:t>
      </w:r>
      <w:r>
        <w:rPr>
          <w:rFonts w:cs="Times New Roman"/>
          <w:sz w:val="24"/>
          <w:szCs w:val="24"/>
        </w:rPr>
        <w:t>a</w:t>
      </w:r>
      <w:r w:rsidRPr="001E2D2F">
        <w:rPr>
          <w:rFonts w:cs="Times New Roman"/>
          <w:sz w:val="24"/>
          <w:szCs w:val="24"/>
        </w:rPr>
        <w:t xml:space="preserve"> cluster, the denominator of the weight for each of the five </w:t>
      </w:r>
      <w:r>
        <w:rPr>
          <w:rFonts w:cs="Times New Roman"/>
          <w:sz w:val="24"/>
          <w:szCs w:val="24"/>
        </w:rPr>
        <w:t>surveyed households</w:t>
      </w:r>
      <w:r w:rsidRPr="001E2D2F">
        <w:rPr>
          <w:rFonts w:cs="Times New Roman"/>
          <w:sz w:val="24"/>
          <w:szCs w:val="24"/>
        </w:rPr>
        <w:t xml:space="preserve"> would be 5</w:t>
      </w:r>
      <w:r>
        <w:rPr>
          <w:rFonts w:cs="Times New Roman"/>
          <w:sz w:val="24"/>
          <w:szCs w:val="24"/>
        </w:rPr>
        <w:t xml:space="preserve"> </w:t>
      </w:r>
      <w:r w:rsidRPr="001E2D2F">
        <w:rPr>
          <w:rFonts w:cs="Times New Roman"/>
          <w:sz w:val="24"/>
          <w:szCs w:val="24"/>
        </w:rPr>
        <w:t xml:space="preserve">* 30 = 150.  </w:t>
      </w:r>
    </w:p>
    <w:p w:rsidR="00A646C4" w:rsidRPr="001E2D2F" w:rsidRDefault="00A646C4" w:rsidP="00A646C4">
      <w:pPr>
        <w:spacing w:line="480" w:lineRule="auto"/>
        <w:ind w:firstLine="720"/>
        <w:rPr>
          <w:rFonts w:cs="Times New Roman"/>
          <w:sz w:val="24"/>
          <w:szCs w:val="24"/>
        </w:rPr>
      </w:pPr>
      <w:r w:rsidRPr="001E2D2F">
        <w:rPr>
          <w:rFonts w:cs="Times New Roman"/>
          <w:sz w:val="24"/>
          <w:szCs w:val="24"/>
        </w:rPr>
        <w:t xml:space="preserve">The “number of clusters selected” will be 30, </w:t>
      </w:r>
      <w:r>
        <w:rPr>
          <w:rFonts w:cs="Times New Roman"/>
          <w:sz w:val="24"/>
          <w:szCs w:val="24"/>
        </w:rPr>
        <w:t xml:space="preserve">even if there are some clusters with zero interviews. The only exception is if the decision </w:t>
      </w:r>
      <w:r w:rsidRPr="001E2D2F">
        <w:rPr>
          <w:rFonts w:cs="Times New Roman"/>
          <w:sz w:val="24"/>
          <w:szCs w:val="24"/>
        </w:rPr>
        <w:t xml:space="preserve">to oversample clusters </w:t>
      </w:r>
      <w:r>
        <w:rPr>
          <w:rFonts w:cs="Times New Roman"/>
          <w:sz w:val="24"/>
          <w:szCs w:val="24"/>
        </w:rPr>
        <w:t xml:space="preserve">was made a priori </w:t>
      </w:r>
      <w:r w:rsidRPr="001E2D2F">
        <w:rPr>
          <w:rFonts w:cs="Times New Roman"/>
          <w:sz w:val="24"/>
          <w:szCs w:val="24"/>
        </w:rPr>
        <w:t>(</w:t>
      </w:r>
      <w:r>
        <w:rPr>
          <w:rFonts w:cs="Times New Roman"/>
          <w:sz w:val="24"/>
          <w:szCs w:val="24"/>
        </w:rPr>
        <w:t xml:space="preserve">see </w:t>
      </w:r>
      <w:hyperlink w:anchor="_3.3._Considerations_in" w:history="1">
        <w:r w:rsidRPr="001E2D2F">
          <w:rPr>
            <w:rFonts w:cs="Times New Roman"/>
            <w:color w:val="0000FF" w:themeColor="hyperlink"/>
            <w:sz w:val="24"/>
            <w:u w:val="single"/>
          </w:rPr>
          <w:t>Section 3.</w:t>
        </w:r>
      </w:hyperlink>
      <w:r>
        <w:rPr>
          <w:rFonts w:cs="Times New Roman"/>
          <w:color w:val="0000FF" w:themeColor="hyperlink"/>
          <w:sz w:val="24"/>
          <w:u w:val="single"/>
        </w:rPr>
        <w:t>2</w:t>
      </w:r>
      <w:r w:rsidRPr="001E2D2F">
        <w:rPr>
          <w:rFonts w:cs="Times New Roman"/>
          <w:sz w:val="24"/>
          <w:szCs w:val="24"/>
        </w:rPr>
        <w:t>)</w:t>
      </w:r>
      <w:r>
        <w:rPr>
          <w:rFonts w:cs="Times New Roman"/>
          <w:sz w:val="24"/>
          <w:szCs w:val="24"/>
        </w:rPr>
        <w:t xml:space="preserve">. </w:t>
      </w:r>
    </w:p>
    <w:p w:rsidR="00A646C4" w:rsidRPr="001E2D2F" w:rsidRDefault="00A646C4" w:rsidP="00A646C4">
      <w:pPr>
        <w:spacing w:line="480" w:lineRule="auto"/>
        <w:ind w:firstLine="720"/>
        <w:rPr>
          <w:rFonts w:cs="Times New Roman"/>
          <w:sz w:val="24"/>
          <w:szCs w:val="24"/>
        </w:rPr>
      </w:pPr>
      <w:r w:rsidRPr="001E2D2F">
        <w:rPr>
          <w:rFonts w:cs="Times New Roman"/>
          <w:sz w:val="24"/>
          <w:szCs w:val="24"/>
        </w:rPr>
        <w:t xml:space="preserve">The table depicted in </w:t>
      </w:r>
      <w:hyperlink w:anchor="Figure_11" w:history="1">
        <w:r>
          <w:rPr>
            <w:rStyle w:val="Hyperlink"/>
            <w:rFonts w:cs="Times New Roman"/>
            <w:sz w:val="24"/>
            <w:szCs w:val="24"/>
          </w:rPr>
          <w:t>F</w:t>
        </w:r>
        <w:r w:rsidRPr="00E97F52">
          <w:rPr>
            <w:rStyle w:val="Hyperlink"/>
            <w:rFonts w:cs="Times New Roman"/>
            <w:sz w:val="24"/>
            <w:szCs w:val="24"/>
          </w:rPr>
          <w:t>igure 11</w:t>
        </w:r>
      </w:hyperlink>
      <w:r>
        <w:rPr>
          <w:rFonts w:cs="Times New Roman"/>
          <w:sz w:val="24"/>
          <w:szCs w:val="24"/>
        </w:rPr>
        <w:t xml:space="preserve"> displays</w:t>
      </w:r>
      <w:r w:rsidRPr="001E2D2F">
        <w:rPr>
          <w:rFonts w:cs="Times New Roman"/>
          <w:sz w:val="24"/>
          <w:szCs w:val="24"/>
        </w:rPr>
        <w:t xml:space="preserve"> the sampling weight</w:t>
      </w:r>
      <w:r>
        <w:rPr>
          <w:rFonts w:cs="Times New Roman"/>
          <w:sz w:val="24"/>
          <w:szCs w:val="24"/>
        </w:rPr>
        <w:t>s</w:t>
      </w:r>
      <w:r w:rsidRPr="001E2D2F">
        <w:rPr>
          <w:rFonts w:cs="Times New Roman"/>
          <w:sz w:val="24"/>
          <w:szCs w:val="24"/>
        </w:rPr>
        <w:t xml:space="preserve"> for a CASPER conducted in Kentucky following the major ice storms in 2009.  In stage one of sampling, 30 clusters were selected representing 19,370 housing units.  The goal was to conduct 210 interviews, but only 187 were completed. </w:t>
      </w:r>
      <w:r>
        <w:rPr>
          <w:rFonts w:cs="Times New Roman"/>
          <w:sz w:val="24"/>
          <w:szCs w:val="24"/>
        </w:rPr>
        <w:t>For the purpose of calculating the</w:t>
      </w:r>
      <w:r w:rsidRPr="001E2D2F" w:rsidDel="00D74DEC">
        <w:rPr>
          <w:rFonts w:cs="Times New Roman"/>
          <w:sz w:val="24"/>
          <w:szCs w:val="24"/>
        </w:rPr>
        <w:t xml:space="preserve"> </w:t>
      </w:r>
      <w:r>
        <w:rPr>
          <w:rFonts w:cs="Times New Roman"/>
          <w:sz w:val="24"/>
          <w:szCs w:val="24"/>
        </w:rPr>
        <w:t>“weight” column (highlighted in yellow), an additional column was added, “# interviews,” to represent the number</w:t>
      </w:r>
      <w:r w:rsidRPr="00D74DEC">
        <w:rPr>
          <w:rFonts w:cs="Times New Roman"/>
          <w:sz w:val="24"/>
          <w:szCs w:val="24"/>
        </w:rPr>
        <w:t xml:space="preserve"> </w:t>
      </w:r>
      <w:r w:rsidRPr="001E2D2F">
        <w:rPr>
          <w:rFonts w:cs="Times New Roman"/>
          <w:sz w:val="24"/>
          <w:szCs w:val="24"/>
        </w:rPr>
        <w:t xml:space="preserve">of housing units interviewed within </w:t>
      </w:r>
      <w:r>
        <w:rPr>
          <w:rFonts w:cs="Times New Roman"/>
          <w:sz w:val="24"/>
          <w:szCs w:val="24"/>
        </w:rPr>
        <w:t xml:space="preserve">a </w:t>
      </w:r>
      <w:r w:rsidRPr="001E2D2F">
        <w:rPr>
          <w:rFonts w:cs="Times New Roman"/>
          <w:sz w:val="24"/>
          <w:szCs w:val="24"/>
        </w:rPr>
        <w:t>cluster</w:t>
      </w:r>
      <w:r>
        <w:rPr>
          <w:rFonts w:cs="Times New Roman"/>
          <w:sz w:val="24"/>
          <w:szCs w:val="24"/>
        </w:rPr>
        <w:t xml:space="preserve"> (highlighted in blue).</w:t>
      </w:r>
      <w:r w:rsidRPr="001E2D2F" w:rsidDel="00D74DEC">
        <w:rPr>
          <w:rFonts w:cs="Times New Roman"/>
          <w:sz w:val="24"/>
          <w:szCs w:val="24"/>
        </w:rPr>
        <w:t xml:space="preserve"> </w:t>
      </w:r>
      <w:r w:rsidRPr="001E2D2F">
        <w:rPr>
          <w:rFonts w:cs="Times New Roman"/>
          <w:sz w:val="24"/>
          <w:szCs w:val="24"/>
        </w:rPr>
        <w:t xml:space="preserve"> </w:t>
      </w:r>
    </w:p>
    <w:p w:rsidR="00A646C4" w:rsidRPr="001E2D2F" w:rsidRDefault="00A646C4" w:rsidP="00A646C4">
      <w:pPr>
        <w:pStyle w:val="Heading4"/>
      </w:pPr>
      <w:bookmarkStart w:id="6" w:name="Figure_11"/>
      <w:bookmarkStart w:id="7" w:name="_Toc306213627"/>
      <w:bookmarkStart w:id="8" w:name="_Toc306292242"/>
      <w:bookmarkStart w:id="9" w:name="_Toc298850052"/>
      <w:bookmarkStart w:id="10" w:name="_Toc323634392"/>
      <w:proofErr w:type="gramStart"/>
      <w:r w:rsidRPr="0001197C">
        <w:rPr>
          <w:rStyle w:val="Heading5Char"/>
        </w:rPr>
        <w:t>Figure 1</w:t>
      </w:r>
      <w:r>
        <w:rPr>
          <w:rStyle w:val="Heading5Char"/>
        </w:rPr>
        <w:t>1</w:t>
      </w:r>
      <w:bookmarkEnd w:id="6"/>
      <w:r w:rsidRPr="0001197C">
        <w:rPr>
          <w:rStyle w:val="Heading5Char"/>
        </w:rPr>
        <w:t>.</w:t>
      </w:r>
      <w:proofErr w:type="gramEnd"/>
      <w:r w:rsidRPr="0001197C">
        <w:rPr>
          <w:rStyle w:val="Heading5Char"/>
        </w:rPr>
        <w:t xml:space="preserve"> Sample dataset showing the number of interviews per cluster and the assigned weight for each house interviewed</w:t>
      </w:r>
      <w:bookmarkEnd w:id="7"/>
      <w:bookmarkEnd w:id="8"/>
      <w:r w:rsidRPr="001E2D2F">
        <w:t>.</w:t>
      </w:r>
      <w:bookmarkEnd w:id="9"/>
      <w:bookmarkEnd w:id="10"/>
    </w:p>
    <w:p w:rsidR="00A646C4" w:rsidRDefault="00A646C4" w:rsidP="00A646C4">
      <w:pPr>
        <w:spacing w:line="480" w:lineRule="auto"/>
        <w:rPr>
          <w:rFonts w:cs="Times New Roman"/>
          <w:sz w:val="24"/>
          <w:szCs w:val="24"/>
        </w:rPr>
      </w:pPr>
      <w:r>
        <w:rPr>
          <w:rFonts w:cs="Times New Roman"/>
          <w:noProof/>
          <w:sz w:val="24"/>
          <w:szCs w:val="24"/>
        </w:rPr>
        <w:drawing>
          <wp:inline distT="0" distB="0" distL="0" distR="0" wp14:anchorId="5E2AB40D" wp14:editId="274A4DA3">
            <wp:extent cx="6492240" cy="3796030"/>
            <wp:effectExtent l="0" t="0" r="381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ablee.png"/>
                    <pic:cNvPicPr/>
                  </pic:nvPicPr>
                  <pic:blipFill>
                    <a:blip r:embed="rId9">
                      <a:extLst>
                        <a:ext uri="{28A0092B-C50C-407E-A947-70E740481C1C}">
                          <a14:useLocalDpi xmlns:a14="http://schemas.microsoft.com/office/drawing/2010/main" val="0"/>
                        </a:ext>
                      </a:extLst>
                    </a:blip>
                    <a:stretch>
                      <a:fillRect/>
                    </a:stretch>
                  </pic:blipFill>
                  <pic:spPr>
                    <a:xfrm>
                      <a:off x="0" y="0"/>
                      <a:ext cx="6492240" cy="3796030"/>
                    </a:xfrm>
                    <a:prstGeom prst="rect">
                      <a:avLst/>
                    </a:prstGeom>
                  </pic:spPr>
                </pic:pic>
              </a:graphicData>
            </a:graphic>
          </wp:inline>
        </w:drawing>
      </w:r>
    </w:p>
    <w:p w:rsidR="00A646C4" w:rsidRPr="001E2D2F" w:rsidRDefault="00A646C4" w:rsidP="00A646C4">
      <w:pPr>
        <w:spacing w:line="480" w:lineRule="auto"/>
        <w:rPr>
          <w:rFonts w:cs="Times New Roman"/>
          <w:sz w:val="24"/>
          <w:szCs w:val="24"/>
        </w:rPr>
      </w:pPr>
      <w:r>
        <w:rPr>
          <w:rFonts w:cs="Times New Roman"/>
          <w:sz w:val="24"/>
          <w:szCs w:val="24"/>
        </w:rPr>
        <w:t>Once weights are assigned, f</w:t>
      </w:r>
      <w:r w:rsidRPr="001E2D2F">
        <w:rPr>
          <w:rFonts w:cs="Times New Roman"/>
          <w:sz w:val="24"/>
          <w:szCs w:val="24"/>
        </w:rPr>
        <w:t xml:space="preserve">requencies can be calculated for each of the interview questions. </w:t>
      </w:r>
      <w:r>
        <w:rPr>
          <w:rFonts w:cs="Times New Roman"/>
          <w:sz w:val="24"/>
          <w:szCs w:val="24"/>
        </w:rPr>
        <w:t>To calculate frequencies</w:t>
      </w:r>
      <w:r w:rsidRPr="001E2D2F">
        <w:rPr>
          <w:rFonts w:cs="Times New Roman"/>
          <w:sz w:val="24"/>
          <w:szCs w:val="24"/>
        </w:rPr>
        <w:t xml:space="preserve"> </w:t>
      </w:r>
      <w:r>
        <w:rPr>
          <w:rFonts w:cs="Times New Roman"/>
          <w:sz w:val="24"/>
          <w:szCs w:val="24"/>
        </w:rPr>
        <w:t>in</w:t>
      </w:r>
      <w:r w:rsidRPr="001E2D2F">
        <w:rPr>
          <w:rFonts w:cs="Times New Roman"/>
          <w:sz w:val="24"/>
          <w:szCs w:val="24"/>
        </w:rPr>
        <w:t xml:space="preserve"> </w:t>
      </w:r>
      <w:proofErr w:type="spellStart"/>
      <w:r w:rsidRPr="001E2D2F">
        <w:rPr>
          <w:sz w:val="24"/>
          <w:szCs w:val="24"/>
        </w:rPr>
        <w:t>Epi</w:t>
      </w:r>
      <w:proofErr w:type="spellEnd"/>
      <w:r w:rsidRPr="001E2D2F">
        <w:rPr>
          <w:sz w:val="24"/>
          <w:szCs w:val="24"/>
        </w:rPr>
        <w:t xml:space="preserve"> Info™</w:t>
      </w:r>
      <w:r>
        <w:rPr>
          <w:sz w:val="24"/>
          <w:szCs w:val="24"/>
        </w:rPr>
        <w:t xml:space="preserve"> 7 “classic mode”</w:t>
      </w:r>
      <w:r w:rsidRPr="001E2D2F">
        <w:rPr>
          <w:rFonts w:cs="Times New Roman"/>
          <w:sz w:val="24"/>
          <w:szCs w:val="24"/>
        </w:rPr>
        <w:t>, read (import) the data file with the weight that was just created. Click on “Frequencies” along the left hand column. In the “frequency of” box, select each variable for which you would like results and, in the “weight” box, select the variable “WEIGHT” that was just created.  Finally, click “OK” (</w:t>
      </w:r>
      <w:hyperlink w:anchor="Figure_12" w:history="1">
        <w:r w:rsidRPr="009314B2">
          <w:rPr>
            <w:rStyle w:val="Hyperlink"/>
            <w:rFonts w:cs="Times New Roman"/>
            <w:sz w:val="24"/>
            <w:szCs w:val="24"/>
          </w:rPr>
          <w:t>Figure 12</w:t>
        </w:r>
      </w:hyperlink>
      <w:r w:rsidRPr="001E2D2F">
        <w:rPr>
          <w:rFonts w:cs="Times New Roman"/>
          <w:sz w:val="24"/>
          <w:szCs w:val="24"/>
        </w:rPr>
        <w:t>) and a report will be generated providing the estimates.</w:t>
      </w:r>
    </w:p>
    <w:p w:rsidR="00A646C4" w:rsidRPr="001E2D2F" w:rsidRDefault="00A646C4" w:rsidP="00A646C4">
      <w:pPr>
        <w:keepNext/>
        <w:spacing w:after="0" w:line="240" w:lineRule="auto"/>
        <w:outlineLvl w:val="4"/>
        <w:rPr>
          <w:rFonts w:eastAsia="MS Mincho" w:cs="Times New Roman"/>
          <w:sz w:val="24"/>
          <w:szCs w:val="20"/>
        </w:rPr>
      </w:pPr>
    </w:p>
    <w:p w:rsidR="00A646C4" w:rsidRDefault="00A646C4" w:rsidP="00A646C4">
      <w:pPr>
        <w:pStyle w:val="Heading4"/>
      </w:pPr>
      <w:bookmarkStart w:id="11" w:name="Figure_12"/>
      <w:bookmarkStart w:id="12" w:name="_Toc298850053"/>
      <w:bookmarkStart w:id="13" w:name="_Toc306213628"/>
      <w:bookmarkStart w:id="14" w:name="_Toc323634393"/>
      <w:proofErr w:type="gramStart"/>
      <w:r w:rsidRPr="001E2D2F">
        <w:t>Figure 1</w:t>
      </w:r>
      <w:r>
        <w:t>2</w:t>
      </w:r>
      <w:bookmarkEnd w:id="11"/>
      <w:r>
        <w:t>.</w:t>
      </w:r>
      <w:proofErr w:type="gramEnd"/>
      <w:r>
        <w:t xml:space="preserve"> </w:t>
      </w:r>
      <w:proofErr w:type="spellStart"/>
      <w:r>
        <w:t>Epi</w:t>
      </w:r>
      <w:proofErr w:type="spellEnd"/>
      <w:r>
        <w:t xml:space="preserve"> Info™ 7 “classic mode” </w:t>
      </w:r>
      <w:r w:rsidRPr="001E2D2F">
        <w:t>frequency analysis window showing selected variables and weight.</w:t>
      </w:r>
      <w:bookmarkEnd w:id="12"/>
      <w:bookmarkEnd w:id="13"/>
      <w:bookmarkEnd w:id="14"/>
    </w:p>
    <w:p w:rsidR="00A646C4" w:rsidRDefault="00A646C4" w:rsidP="00A646C4">
      <w:pPr>
        <w:spacing w:line="480" w:lineRule="auto"/>
        <w:rPr>
          <w:rFonts w:cs="Times New Roman"/>
          <w:sz w:val="24"/>
          <w:szCs w:val="24"/>
        </w:rPr>
      </w:pPr>
      <w:r>
        <w:rPr>
          <w:noProof/>
        </w:rPr>
        <w:drawing>
          <wp:inline distT="0" distB="0" distL="0" distR="0" wp14:anchorId="4FCA023D" wp14:editId="13C4AF63">
            <wp:extent cx="5164074" cy="23907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4074" cy="2390775"/>
                    </a:xfrm>
                    <a:prstGeom prst="rect">
                      <a:avLst/>
                    </a:prstGeom>
                  </pic:spPr>
                </pic:pic>
              </a:graphicData>
            </a:graphic>
          </wp:inline>
        </w:drawing>
      </w:r>
    </w:p>
    <w:p w:rsidR="00A646C4" w:rsidRPr="001E2D2F" w:rsidRDefault="00A646C4" w:rsidP="00A646C4">
      <w:pPr>
        <w:spacing w:line="480" w:lineRule="auto"/>
        <w:rPr>
          <w:rFonts w:cs="Times New Roman"/>
          <w:sz w:val="24"/>
          <w:szCs w:val="24"/>
        </w:rPr>
      </w:pPr>
      <w:hyperlink w:anchor="Figure_13" w:history="1">
        <w:r w:rsidRPr="009314B2">
          <w:rPr>
            <w:rStyle w:val="Hyperlink"/>
            <w:rFonts w:cs="Times New Roman"/>
            <w:sz w:val="24"/>
            <w:szCs w:val="24"/>
          </w:rPr>
          <w:t>Figure 13</w:t>
        </w:r>
      </w:hyperlink>
      <w:r>
        <w:rPr>
          <w:rFonts w:cs="Times New Roman"/>
          <w:sz w:val="24"/>
          <w:szCs w:val="24"/>
        </w:rPr>
        <w:t xml:space="preserve"> </w:t>
      </w:r>
      <w:r w:rsidRPr="001E2D2F">
        <w:rPr>
          <w:rFonts w:cs="Times New Roman"/>
          <w:sz w:val="24"/>
          <w:szCs w:val="24"/>
        </w:rPr>
        <w:t xml:space="preserve">displays the </w:t>
      </w:r>
      <w:proofErr w:type="spellStart"/>
      <w:r w:rsidRPr="001E2D2F">
        <w:rPr>
          <w:sz w:val="24"/>
          <w:szCs w:val="24"/>
        </w:rPr>
        <w:t>Epi</w:t>
      </w:r>
      <w:proofErr w:type="spellEnd"/>
      <w:r w:rsidRPr="001E2D2F">
        <w:rPr>
          <w:sz w:val="24"/>
          <w:szCs w:val="24"/>
        </w:rPr>
        <w:t xml:space="preserve"> Info™ </w:t>
      </w:r>
      <w:r w:rsidRPr="001E2D2F">
        <w:rPr>
          <w:rFonts w:cs="Times New Roman"/>
          <w:sz w:val="24"/>
          <w:szCs w:val="24"/>
        </w:rPr>
        <w:t xml:space="preserve">output window with the selected variables, followed by a table for each selection. These output tables should be saved </w:t>
      </w:r>
      <w:r>
        <w:rPr>
          <w:rFonts w:cs="Times New Roman"/>
          <w:sz w:val="24"/>
          <w:szCs w:val="24"/>
        </w:rPr>
        <w:t>for use in the report</w:t>
      </w:r>
      <w:r w:rsidRPr="001E2D2F">
        <w:rPr>
          <w:rFonts w:cs="Times New Roman"/>
          <w:sz w:val="24"/>
          <w:szCs w:val="24"/>
        </w:rPr>
        <w:t xml:space="preserve">. </w:t>
      </w:r>
    </w:p>
    <w:p w:rsidR="00A646C4" w:rsidRPr="006F36C9" w:rsidRDefault="00A646C4" w:rsidP="00A646C4">
      <w:pPr>
        <w:pStyle w:val="Heading4"/>
      </w:pPr>
      <w:bookmarkStart w:id="15" w:name="Figure_13"/>
      <w:bookmarkStart w:id="16" w:name="_Toc323634394"/>
      <w:bookmarkStart w:id="17" w:name="_Toc298850054"/>
      <w:bookmarkStart w:id="18" w:name="_Toc306213629"/>
      <w:proofErr w:type="gramStart"/>
      <w:r>
        <w:t xml:space="preserve">Figure </w:t>
      </w:r>
      <w:r w:rsidRPr="001E2D2F">
        <w:t>1</w:t>
      </w:r>
      <w:r>
        <w:t>3</w:t>
      </w:r>
      <w:bookmarkEnd w:id="15"/>
      <w:r w:rsidRPr="001E2D2F">
        <w:t>.</w:t>
      </w:r>
      <w:proofErr w:type="gramEnd"/>
      <w:r w:rsidRPr="001E2D2F">
        <w:t xml:space="preserve"> </w:t>
      </w:r>
      <w:r>
        <w:t xml:space="preserve">Example of </w:t>
      </w:r>
      <w:proofErr w:type="spellStart"/>
      <w:r w:rsidRPr="001E2D2F">
        <w:t>Epi</w:t>
      </w:r>
      <w:proofErr w:type="spellEnd"/>
      <w:r w:rsidRPr="001E2D2F">
        <w:t xml:space="preserve"> Info™</w:t>
      </w:r>
      <w:r>
        <w:t xml:space="preserve"> 7 “classic mode”</w:t>
      </w:r>
      <w:r w:rsidRPr="001E2D2F">
        <w:t xml:space="preserve"> output window showing weighted frequencies</w:t>
      </w:r>
      <w:bookmarkEnd w:id="16"/>
      <w:r w:rsidRPr="001E2D2F">
        <w:t xml:space="preserve"> </w:t>
      </w:r>
      <w:bookmarkEnd w:id="17"/>
      <w:bookmarkEnd w:id="18"/>
    </w:p>
    <w:p w:rsidR="00A646C4" w:rsidRPr="001E2D2F" w:rsidRDefault="00A646C4" w:rsidP="00A646C4">
      <w:pPr>
        <w:rPr>
          <w:rFonts w:cs="Times New Roman"/>
          <w:b/>
        </w:rPr>
      </w:pPr>
      <w:r w:rsidRPr="006B56BB">
        <w:rPr>
          <w:rFonts w:cs="Times New Roman"/>
          <w:noProof/>
          <w:sz w:val="24"/>
          <w:szCs w:val="24"/>
        </w:rPr>
        <w:drawing>
          <wp:inline distT="0" distB="0" distL="0" distR="0" wp14:anchorId="2BAA3EC4" wp14:editId="3D36AE8F">
            <wp:extent cx="5672910" cy="29908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2910" cy="2990850"/>
                    </a:xfrm>
                    <a:prstGeom prst="rect">
                      <a:avLst/>
                    </a:prstGeom>
                    <a:noFill/>
                    <a:ln>
                      <a:noFill/>
                    </a:ln>
                  </pic:spPr>
                </pic:pic>
              </a:graphicData>
            </a:graphic>
          </wp:inline>
        </w:drawing>
      </w:r>
    </w:p>
    <w:p w:rsidR="00A646C4" w:rsidRPr="00172032" w:rsidRDefault="00A646C4" w:rsidP="00A646C4">
      <w:pPr>
        <w:spacing w:line="480" w:lineRule="auto"/>
        <w:rPr>
          <w:rFonts w:cs="Times New Roman"/>
          <w:sz w:val="12"/>
          <w:szCs w:val="24"/>
        </w:rPr>
      </w:pPr>
    </w:p>
    <w:p w:rsidR="00A646C4" w:rsidRPr="00D62F3E" w:rsidRDefault="00A646C4" w:rsidP="00A646C4">
      <w:pPr>
        <w:spacing w:line="480" w:lineRule="auto"/>
        <w:rPr>
          <w:rFonts w:cs="Times New Roman"/>
          <w:sz w:val="24"/>
          <w:szCs w:val="24"/>
        </w:rPr>
      </w:pPr>
      <w:r>
        <w:rPr>
          <w:rFonts w:cs="Times New Roman"/>
          <w:sz w:val="24"/>
          <w:szCs w:val="24"/>
        </w:rPr>
        <w:t xml:space="preserve">To obtain </w:t>
      </w:r>
      <w:proofErr w:type="spellStart"/>
      <w:r>
        <w:rPr>
          <w:rFonts w:cs="Times New Roman"/>
          <w:sz w:val="24"/>
          <w:szCs w:val="24"/>
        </w:rPr>
        <w:t>unweighted</w:t>
      </w:r>
      <w:proofErr w:type="spellEnd"/>
      <w:r>
        <w:rPr>
          <w:rFonts w:cs="Times New Roman"/>
          <w:sz w:val="24"/>
          <w:szCs w:val="24"/>
        </w:rPr>
        <w:t xml:space="preserve"> estimates, follow the above instructions, but do not assign a variable in the “weight” box. </w:t>
      </w:r>
      <w:r w:rsidRPr="001E2D2F">
        <w:rPr>
          <w:rFonts w:cs="Times New Roman"/>
          <w:sz w:val="24"/>
          <w:szCs w:val="24"/>
        </w:rPr>
        <w:t xml:space="preserve">Applying the weights provides </w:t>
      </w:r>
      <w:r>
        <w:rPr>
          <w:rFonts w:cs="Times New Roman"/>
          <w:sz w:val="24"/>
          <w:szCs w:val="24"/>
        </w:rPr>
        <w:t xml:space="preserve">projected </w:t>
      </w:r>
      <w:r w:rsidRPr="001E2D2F">
        <w:rPr>
          <w:rFonts w:cs="Times New Roman"/>
          <w:sz w:val="24"/>
          <w:szCs w:val="24"/>
        </w:rPr>
        <w:t xml:space="preserve">estimates that can be generalized to every housing unit in the </w:t>
      </w:r>
      <w:r>
        <w:rPr>
          <w:rFonts w:cs="Times New Roman"/>
          <w:sz w:val="24"/>
          <w:szCs w:val="24"/>
        </w:rPr>
        <w:t xml:space="preserve">assessment area or sampling frame. </w:t>
      </w:r>
      <w:hyperlink w:anchor="weighted" w:history="1">
        <w:r w:rsidRPr="00D62F3E">
          <w:rPr>
            <w:rStyle w:val="Hyperlink"/>
            <w:rFonts w:cs="Times New Roman"/>
            <w:sz w:val="24"/>
            <w:szCs w:val="24"/>
          </w:rPr>
          <w:t>Table 7</w:t>
        </w:r>
      </w:hyperlink>
      <w:r w:rsidRPr="00D62F3E">
        <w:rPr>
          <w:rFonts w:cs="Times New Roman"/>
          <w:sz w:val="24"/>
          <w:szCs w:val="24"/>
        </w:rPr>
        <w:t xml:space="preserve"> shows the </w:t>
      </w:r>
      <w:proofErr w:type="spellStart"/>
      <w:r>
        <w:rPr>
          <w:rFonts w:cs="Times New Roman"/>
          <w:sz w:val="24"/>
          <w:szCs w:val="24"/>
        </w:rPr>
        <w:t>un</w:t>
      </w:r>
      <w:r w:rsidRPr="00D62F3E">
        <w:rPr>
          <w:rFonts w:cs="Times New Roman"/>
          <w:sz w:val="24"/>
          <w:szCs w:val="24"/>
        </w:rPr>
        <w:t>weighted</w:t>
      </w:r>
      <w:proofErr w:type="spellEnd"/>
      <w:r w:rsidRPr="00D62F3E">
        <w:rPr>
          <w:rFonts w:cs="Times New Roman"/>
          <w:sz w:val="24"/>
          <w:szCs w:val="24"/>
        </w:rPr>
        <w:t xml:space="preserve"> and weighted frequencies for a specific question from the 2009 Kentucky Ice Storm CASPER.  </w:t>
      </w:r>
    </w:p>
    <w:p w:rsidR="00A646C4" w:rsidRDefault="00A646C4" w:rsidP="00A646C4">
      <w:pPr>
        <w:pStyle w:val="Heading4"/>
      </w:pPr>
      <w:bookmarkStart w:id="19" w:name="weighted"/>
      <w:bookmarkStart w:id="20" w:name="_Toc298850055"/>
      <w:bookmarkStart w:id="21" w:name="_Toc306213630"/>
      <w:bookmarkStart w:id="22" w:name="_Toc323634395"/>
      <w:proofErr w:type="gramStart"/>
      <w:r w:rsidRPr="00D62F3E">
        <w:t>Table 7</w:t>
      </w:r>
      <w:bookmarkEnd w:id="19"/>
      <w:r w:rsidRPr="00D62F3E">
        <w:t>.</w:t>
      </w:r>
      <w:proofErr w:type="gramEnd"/>
      <w:r w:rsidRPr="00D62F3E">
        <w:t xml:space="preserve"> </w:t>
      </w:r>
      <w:proofErr w:type="spellStart"/>
      <w:r>
        <w:t>Unw</w:t>
      </w:r>
      <w:r w:rsidRPr="00D62F3E">
        <w:t>eighted</w:t>
      </w:r>
      <w:proofErr w:type="spellEnd"/>
      <w:r w:rsidRPr="00D62F3E">
        <w:t xml:space="preserve"> and weighted frequen</w:t>
      </w:r>
      <w:r w:rsidRPr="001E2D2F">
        <w:t>cies of current source of electricity following the Ice Storms, Kentucky, 2009</w:t>
      </w:r>
      <w:bookmarkEnd w:id="20"/>
      <w:bookmarkEnd w:id="21"/>
      <w:bookmarkEnd w:id="22"/>
    </w:p>
    <w:tbl>
      <w:tblPr>
        <w:tblStyle w:val="LightList1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
        <w:gridCol w:w="2238"/>
        <w:gridCol w:w="1435"/>
        <w:gridCol w:w="108"/>
        <w:gridCol w:w="961"/>
        <w:gridCol w:w="428"/>
        <w:gridCol w:w="1399"/>
        <w:gridCol w:w="1303"/>
        <w:gridCol w:w="1254"/>
      </w:tblGrid>
      <w:tr w:rsidR="00A646C4" w:rsidRPr="001E2D2F" w:rsidTr="00833EEA">
        <w:trPr>
          <w:gridAfter w:val="5"/>
          <w:cnfStyle w:val="100000000000" w:firstRow="1" w:lastRow="0" w:firstColumn="0" w:lastColumn="0" w:oddVBand="0" w:evenVBand="0" w:oddHBand="0" w:evenHBand="0" w:firstRowFirstColumn="0" w:firstRowLastColumn="0" w:lastRowFirstColumn="0" w:lastRowLastColumn="0"/>
          <w:wAfter w:w="5491" w:type="dxa"/>
          <w:trHeight w:hRule="exact" w:val="8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rsidR="00A646C4" w:rsidRPr="001E2D2F" w:rsidRDefault="00A646C4" w:rsidP="00833EEA">
            <w:pPr>
              <w:rPr>
                <w:rFonts w:cs="Times New Roman"/>
                <w:sz w:val="24"/>
                <w:szCs w:val="24"/>
              </w:rPr>
            </w:pPr>
          </w:p>
        </w:tc>
        <w:tc>
          <w:tcPr>
            <w:tcW w:w="3906" w:type="dxa"/>
            <w:gridSpan w:val="3"/>
            <w:shd w:val="clear" w:color="auto" w:fill="FFFFFF" w:themeFill="background1"/>
          </w:tcPr>
          <w:p w:rsidR="00A646C4" w:rsidRPr="001E2D2F" w:rsidRDefault="00A646C4" w:rsidP="00833EEA">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1E2D2F">
              <w:rPr>
                <w:rFonts w:cs="Times New Roman"/>
                <w:sz w:val="24"/>
                <w:szCs w:val="24"/>
              </w:rPr>
              <w:t>Weighted</w:t>
            </w:r>
          </w:p>
        </w:tc>
      </w:tr>
      <w:tr w:rsidR="00A646C4" w:rsidRPr="00D76AE0" w:rsidTr="00833EEA">
        <w:trPr>
          <w:cnfStyle w:val="000000100000" w:firstRow="0" w:lastRow="0" w:firstColumn="0" w:lastColumn="0" w:oddVBand="0" w:evenVBand="0" w:oddHBand="1" w:evenHBand="0" w:firstRowFirstColumn="0" w:firstRowLastColumn="0" w:lastRowFirstColumn="0" w:lastRowLastColumn="0"/>
          <w:trHeight w:hRule="exact" w:val="346"/>
        </w:trPr>
        <w:tc>
          <w:tcPr>
            <w:cnfStyle w:val="001000000000" w:firstRow="0" w:lastRow="0" w:firstColumn="1" w:lastColumn="0" w:oddVBand="0" w:evenVBand="0" w:oddHBand="0" w:evenHBand="0" w:firstRowFirstColumn="0" w:firstRowLastColumn="0" w:lastRowFirstColumn="0" w:lastRowLastColumn="0"/>
            <w:tcW w:w="2808" w:type="dxa"/>
            <w:gridSpan w:val="2"/>
            <w:tcBorders>
              <w:top w:val="single" w:sz="4" w:space="0" w:color="000000" w:themeColor="text1"/>
              <w:left w:val="single" w:sz="4" w:space="0" w:color="000000" w:themeColor="text1"/>
            </w:tcBorders>
            <w:shd w:val="clear" w:color="auto" w:fill="000000" w:themeFill="text1"/>
          </w:tcPr>
          <w:p w:rsidR="00A646C4" w:rsidRPr="00D76AE0" w:rsidRDefault="00A646C4" w:rsidP="00833EEA">
            <w:pPr>
              <w:rPr>
                <w:rFonts w:cs="Times New Roman"/>
                <w:i/>
                <w:color w:val="FFFFFF" w:themeColor="background1"/>
                <w:sz w:val="24"/>
                <w:szCs w:val="24"/>
              </w:rPr>
            </w:pPr>
          </w:p>
        </w:tc>
        <w:tc>
          <w:tcPr>
            <w:tcW w:w="2520" w:type="dxa"/>
            <w:gridSpan w:val="3"/>
            <w:tcBorders>
              <w:top w:val="single" w:sz="4" w:space="0" w:color="000000" w:themeColor="text1"/>
            </w:tcBorders>
            <w:shd w:val="clear" w:color="auto" w:fill="000000" w:themeFill="text1"/>
          </w:tcPr>
          <w:p w:rsidR="00A646C4" w:rsidRPr="00D76AE0" w:rsidRDefault="00A646C4" w:rsidP="00833EEA">
            <w:pPr>
              <w:jc w:val="center"/>
              <w:cnfStyle w:val="000000100000" w:firstRow="0" w:lastRow="0" w:firstColumn="0" w:lastColumn="0" w:oddVBand="0" w:evenVBand="0" w:oddHBand="1" w:evenHBand="0" w:firstRowFirstColumn="0" w:firstRowLastColumn="0" w:lastRowFirstColumn="0" w:lastRowLastColumn="0"/>
              <w:rPr>
                <w:rFonts w:cs="Times New Roman"/>
                <w:b/>
                <w:i/>
                <w:color w:val="FFFFFF" w:themeColor="background1"/>
                <w:sz w:val="24"/>
                <w:szCs w:val="24"/>
              </w:rPr>
            </w:pPr>
            <w:proofErr w:type="spellStart"/>
            <w:r>
              <w:rPr>
                <w:rFonts w:cs="Times New Roman"/>
                <w:b/>
                <w:i/>
                <w:color w:val="FFFFFF" w:themeColor="background1"/>
                <w:sz w:val="24"/>
                <w:szCs w:val="24"/>
              </w:rPr>
              <w:t>Unweighted</w:t>
            </w:r>
            <w:proofErr w:type="spellEnd"/>
            <w:r>
              <w:rPr>
                <w:rFonts w:cs="Times New Roman"/>
                <w:b/>
                <w:i/>
                <w:color w:val="FFFFFF" w:themeColor="background1"/>
                <w:sz w:val="24"/>
                <w:szCs w:val="24"/>
              </w:rPr>
              <w:t xml:space="preserve"> </w:t>
            </w:r>
          </w:p>
        </w:tc>
        <w:tc>
          <w:tcPr>
            <w:tcW w:w="450" w:type="dxa"/>
            <w:tcBorders>
              <w:top w:val="single" w:sz="4" w:space="0" w:color="000000" w:themeColor="text1"/>
            </w:tcBorders>
            <w:shd w:val="clear" w:color="auto" w:fill="000000" w:themeFill="text1"/>
          </w:tcPr>
          <w:p w:rsidR="00A646C4" w:rsidRPr="00D76AE0" w:rsidRDefault="00A646C4" w:rsidP="00833EEA">
            <w:pPr>
              <w:jc w:val="center"/>
              <w:cnfStyle w:val="000000100000" w:firstRow="0" w:lastRow="0" w:firstColumn="0" w:lastColumn="0" w:oddVBand="0" w:evenVBand="0" w:oddHBand="1" w:evenHBand="0" w:firstRowFirstColumn="0" w:firstRowLastColumn="0" w:lastRowFirstColumn="0" w:lastRowLastColumn="0"/>
              <w:rPr>
                <w:rFonts w:cs="Times New Roman"/>
                <w:b/>
                <w:i/>
                <w:color w:val="FFFFFF" w:themeColor="background1"/>
                <w:sz w:val="24"/>
                <w:szCs w:val="24"/>
              </w:rPr>
            </w:pPr>
          </w:p>
        </w:tc>
        <w:tc>
          <w:tcPr>
            <w:tcW w:w="4069" w:type="dxa"/>
            <w:gridSpan w:val="3"/>
            <w:tcBorders>
              <w:top w:val="single" w:sz="4" w:space="0" w:color="000000" w:themeColor="text1"/>
              <w:right w:val="single" w:sz="4" w:space="0" w:color="000000" w:themeColor="text1"/>
            </w:tcBorders>
            <w:shd w:val="clear" w:color="auto" w:fill="000000" w:themeFill="text1"/>
          </w:tcPr>
          <w:p w:rsidR="00A646C4" w:rsidRPr="00D76AE0" w:rsidRDefault="00A646C4" w:rsidP="00833EEA">
            <w:pPr>
              <w:cnfStyle w:val="000000100000" w:firstRow="0" w:lastRow="0" w:firstColumn="0" w:lastColumn="0" w:oddVBand="0" w:evenVBand="0" w:oddHBand="1" w:evenHBand="0" w:firstRowFirstColumn="0" w:firstRowLastColumn="0" w:lastRowFirstColumn="0" w:lastRowLastColumn="0"/>
              <w:rPr>
                <w:rFonts w:cs="Times New Roman"/>
                <w:b/>
                <w:i/>
                <w:color w:val="FFFFFF" w:themeColor="background1"/>
                <w:sz w:val="24"/>
                <w:szCs w:val="24"/>
              </w:rPr>
            </w:pPr>
            <w:r>
              <w:rPr>
                <w:rFonts w:cs="Times New Roman"/>
                <w:b/>
                <w:i/>
                <w:color w:val="FFFFFF" w:themeColor="background1"/>
                <w:sz w:val="24"/>
                <w:szCs w:val="24"/>
              </w:rPr>
              <w:t xml:space="preserve">                Weighted</w:t>
            </w:r>
          </w:p>
        </w:tc>
      </w:tr>
      <w:tr w:rsidR="00A646C4" w:rsidRPr="00D76AE0" w:rsidTr="00833EEA">
        <w:trPr>
          <w:trHeight w:hRule="exact" w:val="346"/>
        </w:trPr>
        <w:tc>
          <w:tcPr>
            <w:cnfStyle w:val="001000000000" w:firstRow="0" w:lastRow="0" w:firstColumn="1" w:lastColumn="0" w:oddVBand="0" w:evenVBand="0" w:oddHBand="0" w:evenHBand="0" w:firstRowFirstColumn="0" w:firstRowLastColumn="0" w:lastRowFirstColumn="0" w:lastRowLastColumn="0"/>
            <w:tcW w:w="2808" w:type="dxa"/>
            <w:gridSpan w:val="2"/>
            <w:tcBorders>
              <w:top w:val="single" w:sz="4" w:space="0" w:color="000000" w:themeColor="text1"/>
              <w:left w:val="single" w:sz="4" w:space="0" w:color="000000" w:themeColor="text1"/>
            </w:tcBorders>
            <w:shd w:val="clear" w:color="auto" w:fill="000000" w:themeFill="text1"/>
          </w:tcPr>
          <w:p w:rsidR="00A646C4" w:rsidRPr="00D76AE0" w:rsidRDefault="00A646C4" w:rsidP="00833EEA">
            <w:pPr>
              <w:rPr>
                <w:rFonts w:cs="Times New Roman"/>
                <w:i/>
                <w:color w:val="FFFFFF" w:themeColor="background1"/>
                <w:sz w:val="24"/>
                <w:szCs w:val="24"/>
              </w:rPr>
            </w:pPr>
            <w:r w:rsidRPr="00D76AE0">
              <w:rPr>
                <w:rFonts w:cs="Times New Roman"/>
                <w:i/>
                <w:color w:val="FFFFFF" w:themeColor="background1"/>
                <w:sz w:val="24"/>
                <w:szCs w:val="24"/>
              </w:rPr>
              <w:t>Characteristic</w:t>
            </w:r>
          </w:p>
        </w:tc>
        <w:tc>
          <w:tcPr>
            <w:tcW w:w="1440" w:type="dxa"/>
            <w:tcBorders>
              <w:top w:val="single" w:sz="4" w:space="0" w:color="000000" w:themeColor="text1"/>
            </w:tcBorders>
            <w:shd w:val="clear" w:color="auto" w:fill="000000" w:themeFill="text1"/>
          </w:tcPr>
          <w:p w:rsidR="00A646C4" w:rsidRPr="00D76AE0" w:rsidRDefault="00A646C4" w:rsidP="00833EEA">
            <w:pPr>
              <w:jc w:val="center"/>
              <w:cnfStyle w:val="000000000000" w:firstRow="0" w:lastRow="0" w:firstColumn="0" w:lastColumn="0" w:oddVBand="0" w:evenVBand="0" w:oddHBand="0" w:evenHBand="0" w:firstRowFirstColumn="0" w:firstRowLastColumn="0" w:lastRowFirstColumn="0" w:lastRowLastColumn="0"/>
              <w:rPr>
                <w:rFonts w:cs="Times New Roman"/>
                <w:b/>
                <w:i/>
                <w:color w:val="FFFFFF" w:themeColor="background1"/>
                <w:sz w:val="24"/>
                <w:szCs w:val="24"/>
              </w:rPr>
            </w:pPr>
            <w:r w:rsidRPr="00D76AE0">
              <w:rPr>
                <w:rFonts w:cs="Times New Roman"/>
                <w:b/>
                <w:i/>
                <w:color w:val="FFFFFF" w:themeColor="background1"/>
                <w:sz w:val="24"/>
                <w:szCs w:val="24"/>
              </w:rPr>
              <w:t>Frequency</w:t>
            </w:r>
          </w:p>
        </w:tc>
        <w:tc>
          <w:tcPr>
            <w:tcW w:w="1080" w:type="dxa"/>
            <w:gridSpan w:val="2"/>
            <w:tcBorders>
              <w:top w:val="single" w:sz="4" w:space="0" w:color="000000" w:themeColor="text1"/>
            </w:tcBorders>
            <w:shd w:val="clear" w:color="auto" w:fill="000000" w:themeFill="text1"/>
          </w:tcPr>
          <w:p w:rsidR="00A646C4" w:rsidRPr="00D76AE0" w:rsidRDefault="00A646C4" w:rsidP="00833EEA">
            <w:pPr>
              <w:jc w:val="center"/>
              <w:cnfStyle w:val="000000000000" w:firstRow="0" w:lastRow="0" w:firstColumn="0" w:lastColumn="0" w:oddVBand="0" w:evenVBand="0" w:oddHBand="0" w:evenHBand="0" w:firstRowFirstColumn="0" w:firstRowLastColumn="0" w:lastRowFirstColumn="0" w:lastRowLastColumn="0"/>
              <w:rPr>
                <w:rFonts w:cs="Times New Roman"/>
                <w:b/>
                <w:i/>
                <w:color w:val="FFFFFF" w:themeColor="background1"/>
                <w:sz w:val="24"/>
                <w:szCs w:val="24"/>
              </w:rPr>
            </w:pPr>
            <w:r w:rsidRPr="00D76AE0">
              <w:rPr>
                <w:rFonts w:cs="Times New Roman"/>
                <w:b/>
                <w:i/>
                <w:color w:val="FFFFFF" w:themeColor="background1"/>
                <w:sz w:val="24"/>
                <w:szCs w:val="24"/>
              </w:rPr>
              <w:t>Percent</w:t>
            </w:r>
          </w:p>
        </w:tc>
        <w:tc>
          <w:tcPr>
            <w:tcW w:w="450" w:type="dxa"/>
            <w:tcBorders>
              <w:top w:val="single" w:sz="4" w:space="0" w:color="000000" w:themeColor="text1"/>
            </w:tcBorders>
            <w:shd w:val="clear" w:color="auto" w:fill="000000" w:themeFill="text1"/>
          </w:tcPr>
          <w:p w:rsidR="00A646C4" w:rsidRPr="00D76AE0" w:rsidRDefault="00A646C4" w:rsidP="00833EEA">
            <w:pPr>
              <w:jc w:val="center"/>
              <w:cnfStyle w:val="000000000000" w:firstRow="0" w:lastRow="0" w:firstColumn="0" w:lastColumn="0" w:oddVBand="0" w:evenVBand="0" w:oddHBand="0" w:evenHBand="0" w:firstRowFirstColumn="0" w:firstRowLastColumn="0" w:lastRowFirstColumn="0" w:lastRowLastColumn="0"/>
              <w:rPr>
                <w:rFonts w:cs="Times New Roman"/>
                <w:b/>
                <w:i/>
                <w:color w:val="FFFFFF" w:themeColor="background1"/>
                <w:sz w:val="24"/>
                <w:szCs w:val="24"/>
              </w:rPr>
            </w:pPr>
          </w:p>
        </w:tc>
        <w:tc>
          <w:tcPr>
            <w:tcW w:w="1417" w:type="dxa"/>
            <w:tcBorders>
              <w:top w:val="single" w:sz="4" w:space="0" w:color="000000" w:themeColor="text1"/>
            </w:tcBorders>
            <w:shd w:val="clear" w:color="auto" w:fill="000000" w:themeFill="text1"/>
          </w:tcPr>
          <w:p w:rsidR="00A646C4" w:rsidRPr="00D76AE0" w:rsidRDefault="00A646C4" w:rsidP="00833EEA">
            <w:pPr>
              <w:jc w:val="center"/>
              <w:cnfStyle w:val="000000000000" w:firstRow="0" w:lastRow="0" w:firstColumn="0" w:lastColumn="0" w:oddVBand="0" w:evenVBand="0" w:oddHBand="0" w:evenHBand="0" w:firstRowFirstColumn="0" w:firstRowLastColumn="0" w:lastRowFirstColumn="0" w:lastRowLastColumn="0"/>
              <w:rPr>
                <w:rFonts w:cs="Times New Roman"/>
                <w:b/>
                <w:i/>
                <w:color w:val="FFFFFF" w:themeColor="background1"/>
                <w:sz w:val="24"/>
                <w:szCs w:val="24"/>
              </w:rPr>
            </w:pPr>
            <w:r w:rsidRPr="00D76AE0">
              <w:rPr>
                <w:rFonts w:cs="Times New Roman"/>
                <w:b/>
                <w:i/>
                <w:color w:val="FFFFFF" w:themeColor="background1"/>
                <w:sz w:val="24"/>
                <w:szCs w:val="24"/>
              </w:rPr>
              <w:t>Frequency</w:t>
            </w:r>
          </w:p>
        </w:tc>
        <w:tc>
          <w:tcPr>
            <w:tcW w:w="1339" w:type="dxa"/>
            <w:tcBorders>
              <w:top w:val="single" w:sz="4" w:space="0" w:color="000000" w:themeColor="text1"/>
            </w:tcBorders>
            <w:shd w:val="clear" w:color="auto" w:fill="000000" w:themeFill="text1"/>
          </w:tcPr>
          <w:p w:rsidR="00A646C4" w:rsidRPr="00D76AE0" w:rsidRDefault="00A646C4" w:rsidP="00833EEA">
            <w:pPr>
              <w:jc w:val="center"/>
              <w:cnfStyle w:val="000000000000" w:firstRow="0" w:lastRow="0" w:firstColumn="0" w:lastColumn="0" w:oddVBand="0" w:evenVBand="0" w:oddHBand="0" w:evenHBand="0" w:firstRowFirstColumn="0" w:firstRowLastColumn="0" w:lastRowFirstColumn="0" w:lastRowLastColumn="0"/>
              <w:rPr>
                <w:rFonts w:cs="Times New Roman"/>
                <w:b/>
                <w:i/>
                <w:color w:val="FFFFFF" w:themeColor="background1"/>
                <w:sz w:val="24"/>
                <w:szCs w:val="24"/>
              </w:rPr>
            </w:pPr>
            <w:r w:rsidRPr="00D76AE0">
              <w:rPr>
                <w:rFonts w:cs="Times New Roman"/>
                <w:b/>
                <w:i/>
                <w:color w:val="FFFFFF" w:themeColor="background1"/>
                <w:sz w:val="24"/>
                <w:szCs w:val="24"/>
              </w:rPr>
              <w:t>Percent</w:t>
            </w:r>
          </w:p>
        </w:tc>
        <w:tc>
          <w:tcPr>
            <w:tcW w:w="1313" w:type="dxa"/>
            <w:tcBorders>
              <w:top w:val="single" w:sz="4" w:space="0" w:color="000000" w:themeColor="text1"/>
              <w:right w:val="single" w:sz="4" w:space="0" w:color="000000" w:themeColor="text1"/>
            </w:tcBorders>
            <w:shd w:val="clear" w:color="auto" w:fill="000000" w:themeFill="text1"/>
          </w:tcPr>
          <w:p w:rsidR="00A646C4" w:rsidRPr="00D76AE0" w:rsidRDefault="00A646C4" w:rsidP="00833EEA">
            <w:pPr>
              <w:jc w:val="center"/>
              <w:cnfStyle w:val="000000000000" w:firstRow="0" w:lastRow="0" w:firstColumn="0" w:lastColumn="0" w:oddVBand="0" w:evenVBand="0" w:oddHBand="0" w:evenHBand="0" w:firstRowFirstColumn="0" w:firstRowLastColumn="0" w:lastRowFirstColumn="0" w:lastRowLastColumn="0"/>
              <w:rPr>
                <w:rFonts w:cs="Times New Roman"/>
                <w:b/>
                <w:i/>
                <w:color w:val="FFFFFF" w:themeColor="background1"/>
                <w:sz w:val="24"/>
                <w:szCs w:val="24"/>
              </w:rPr>
            </w:pPr>
            <w:r w:rsidRPr="00D76AE0">
              <w:rPr>
                <w:rFonts w:cs="Times New Roman"/>
                <w:b/>
                <w:i/>
                <w:color w:val="FFFFFF" w:themeColor="background1"/>
                <w:sz w:val="24"/>
                <w:szCs w:val="24"/>
              </w:rPr>
              <w:t>95% CI</w:t>
            </w:r>
          </w:p>
        </w:tc>
      </w:tr>
      <w:tr w:rsidR="00A646C4" w:rsidRPr="001E2D2F" w:rsidTr="00833EEA">
        <w:trPr>
          <w:cnfStyle w:val="000000100000" w:firstRow="0" w:lastRow="0" w:firstColumn="0" w:lastColumn="0" w:oddVBand="0" w:evenVBand="0" w:oddHBand="1" w:evenHBand="0" w:firstRowFirstColumn="0" w:firstRowLastColumn="0" w:lastRowFirstColumn="0" w:lastRowLastColumn="0"/>
          <w:trHeight w:hRule="exact" w:val="374"/>
        </w:trPr>
        <w:tc>
          <w:tcPr>
            <w:cnfStyle w:val="001000000000" w:firstRow="0" w:lastRow="0" w:firstColumn="1" w:lastColumn="0" w:oddVBand="0" w:evenVBand="0" w:oddHBand="0" w:evenHBand="0" w:firstRowFirstColumn="0" w:firstRowLastColumn="0" w:lastRowFirstColumn="0" w:lastRowLastColumn="0"/>
            <w:tcW w:w="2808" w:type="dxa"/>
            <w:gridSpan w:val="2"/>
            <w:tcBorders>
              <w:left w:val="single" w:sz="4" w:space="0" w:color="000000" w:themeColor="text1"/>
            </w:tcBorders>
            <w:shd w:val="clear" w:color="auto" w:fill="BFBFBF" w:themeFill="background1" w:themeFillShade="BF"/>
          </w:tcPr>
          <w:p w:rsidR="00A646C4" w:rsidRPr="001E2D2F" w:rsidRDefault="00A646C4" w:rsidP="00833EEA">
            <w:pPr>
              <w:contextualSpacing/>
              <w:rPr>
                <w:rFonts w:cs="Times New Roman"/>
                <w:b w:val="0"/>
                <w:i/>
                <w:sz w:val="24"/>
                <w:szCs w:val="24"/>
              </w:rPr>
            </w:pPr>
            <w:r w:rsidRPr="001E2D2F">
              <w:rPr>
                <w:rFonts w:cs="Times New Roman"/>
                <w:i/>
                <w:sz w:val="24"/>
                <w:szCs w:val="24"/>
              </w:rPr>
              <w:t>Source of Electricity</w:t>
            </w:r>
          </w:p>
        </w:tc>
        <w:tc>
          <w:tcPr>
            <w:tcW w:w="1440" w:type="dxa"/>
            <w:shd w:val="clear" w:color="auto" w:fill="BFBFBF" w:themeFill="background1" w:themeFillShade="BF"/>
          </w:tcPr>
          <w:p w:rsidR="00A646C4" w:rsidRPr="001E2D2F" w:rsidRDefault="00A646C4" w:rsidP="00833EEA">
            <w:pPr>
              <w:ind w:left="-18"/>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080" w:type="dxa"/>
            <w:gridSpan w:val="2"/>
            <w:shd w:val="clear" w:color="auto" w:fill="BFBFBF" w:themeFill="background1" w:themeFillShade="BF"/>
          </w:tcPr>
          <w:p w:rsidR="00A646C4" w:rsidRPr="001E2D2F" w:rsidRDefault="00A646C4" w:rsidP="00833EEA">
            <w:pPr>
              <w:ind w:left="432"/>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450" w:type="dxa"/>
            <w:shd w:val="clear" w:color="auto" w:fill="BFBFBF" w:themeFill="background1" w:themeFillShade="BF"/>
          </w:tcPr>
          <w:p w:rsidR="00A646C4" w:rsidRPr="001E2D2F" w:rsidRDefault="00A646C4" w:rsidP="00833EEA">
            <w:pPr>
              <w:ind w:left="432"/>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17" w:type="dxa"/>
            <w:shd w:val="clear" w:color="auto" w:fill="BFBFBF" w:themeFill="background1" w:themeFillShade="BF"/>
          </w:tcPr>
          <w:p w:rsidR="00A646C4" w:rsidRPr="001E2D2F" w:rsidRDefault="00A646C4" w:rsidP="00833EEA">
            <w:pPr>
              <w:ind w:left="432"/>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339" w:type="dxa"/>
            <w:shd w:val="clear" w:color="auto" w:fill="BFBFBF" w:themeFill="background1" w:themeFillShade="BF"/>
          </w:tcPr>
          <w:p w:rsidR="00A646C4" w:rsidRPr="001E2D2F" w:rsidRDefault="00A646C4" w:rsidP="00833EEA">
            <w:pPr>
              <w:ind w:left="432"/>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313" w:type="dxa"/>
            <w:tcBorders>
              <w:right w:val="single" w:sz="4" w:space="0" w:color="000000" w:themeColor="text1"/>
            </w:tcBorders>
            <w:shd w:val="clear" w:color="auto" w:fill="BFBFBF" w:themeFill="background1" w:themeFillShade="BF"/>
          </w:tcPr>
          <w:p w:rsidR="00A646C4" w:rsidRPr="001E2D2F" w:rsidRDefault="00A646C4" w:rsidP="00833EEA">
            <w:pPr>
              <w:ind w:left="432"/>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A646C4" w:rsidRPr="001E2D2F" w:rsidTr="00833EEA">
        <w:trPr>
          <w:trHeight w:hRule="exact" w:val="374"/>
        </w:trPr>
        <w:tc>
          <w:tcPr>
            <w:cnfStyle w:val="001000000000" w:firstRow="0" w:lastRow="0" w:firstColumn="1" w:lastColumn="0" w:oddVBand="0" w:evenVBand="0" w:oddHBand="0" w:evenHBand="0" w:firstRowFirstColumn="0" w:firstRowLastColumn="0" w:lastRowFirstColumn="0" w:lastRowLastColumn="0"/>
            <w:tcW w:w="2808" w:type="dxa"/>
            <w:gridSpan w:val="2"/>
            <w:tcBorders>
              <w:left w:val="single" w:sz="4" w:space="0" w:color="000000" w:themeColor="text1"/>
            </w:tcBorders>
          </w:tcPr>
          <w:p w:rsidR="00A646C4" w:rsidRPr="009D2222" w:rsidRDefault="00A646C4" w:rsidP="00833EEA">
            <w:pPr>
              <w:ind w:left="360"/>
              <w:contextualSpacing/>
              <w:rPr>
                <w:rFonts w:cs="Times New Roman"/>
                <w:b w:val="0"/>
                <w:i/>
                <w:sz w:val="24"/>
                <w:szCs w:val="24"/>
              </w:rPr>
            </w:pPr>
            <w:r w:rsidRPr="009D2222">
              <w:rPr>
                <w:rFonts w:cs="Times New Roman"/>
                <w:b w:val="0"/>
                <w:i/>
                <w:sz w:val="24"/>
                <w:szCs w:val="24"/>
              </w:rPr>
              <w:t>Power company</w:t>
            </w:r>
          </w:p>
        </w:tc>
        <w:tc>
          <w:tcPr>
            <w:tcW w:w="1440" w:type="dxa"/>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137</w:t>
            </w:r>
          </w:p>
        </w:tc>
        <w:tc>
          <w:tcPr>
            <w:tcW w:w="1080" w:type="dxa"/>
            <w:gridSpan w:val="2"/>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74.1</w:t>
            </w:r>
          </w:p>
        </w:tc>
        <w:tc>
          <w:tcPr>
            <w:tcW w:w="450" w:type="dxa"/>
          </w:tcPr>
          <w:p w:rsidR="00A646C4" w:rsidRPr="001E2D2F" w:rsidRDefault="00A646C4" w:rsidP="00833EEA">
            <w:pPr>
              <w:ind w:left="432"/>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417" w:type="dxa"/>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14190</w:t>
            </w:r>
          </w:p>
        </w:tc>
        <w:tc>
          <w:tcPr>
            <w:tcW w:w="1339" w:type="dxa"/>
          </w:tcPr>
          <w:p w:rsidR="00A646C4" w:rsidRPr="001E2D2F" w:rsidRDefault="00A646C4" w:rsidP="00833EEA">
            <w:pPr>
              <w:ind w:left="6"/>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74.0</w:t>
            </w:r>
          </w:p>
        </w:tc>
        <w:tc>
          <w:tcPr>
            <w:tcW w:w="1313" w:type="dxa"/>
            <w:tcBorders>
              <w:right w:val="single" w:sz="4" w:space="0" w:color="000000" w:themeColor="text1"/>
            </w:tcBorders>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61.9-86.0</w:t>
            </w:r>
          </w:p>
        </w:tc>
      </w:tr>
      <w:tr w:rsidR="00A646C4" w:rsidRPr="001E2D2F" w:rsidTr="00833EEA">
        <w:trPr>
          <w:cnfStyle w:val="000000100000" w:firstRow="0" w:lastRow="0" w:firstColumn="0" w:lastColumn="0" w:oddVBand="0" w:evenVBand="0" w:oddHBand="1" w:evenHBand="0" w:firstRowFirstColumn="0" w:firstRowLastColumn="0" w:lastRowFirstColumn="0" w:lastRowLastColumn="0"/>
          <w:trHeight w:hRule="exact" w:val="374"/>
        </w:trPr>
        <w:tc>
          <w:tcPr>
            <w:cnfStyle w:val="001000000000" w:firstRow="0" w:lastRow="0" w:firstColumn="1" w:lastColumn="0" w:oddVBand="0" w:evenVBand="0" w:oddHBand="0" w:evenHBand="0" w:firstRowFirstColumn="0" w:firstRowLastColumn="0" w:lastRowFirstColumn="0" w:lastRowLastColumn="0"/>
            <w:tcW w:w="2808" w:type="dxa"/>
            <w:gridSpan w:val="2"/>
            <w:tcBorders>
              <w:left w:val="single" w:sz="4" w:space="0" w:color="000000" w:themeColor="text1"/>
            </w:tcBorders>
          </w:tcPr>
          <w:p w:rsidR="00A646C4" w:rsidRPr="009D2222" w:rsidRDefault="00A646C4" w:rsidP="00833EEA">
            <w:pPr>
              <w:ind w:left="360"/>
              <w:contextualSpacing/>
              <w:rPr>
                <w:rFonts w:cs="Times New Roman"/>
                <w:b w:val="0"/>
                <w:i/>
                <w:sz w:val="24"/>
                <w:szCs w:val="24"/>
              </w:rPr>
            </w:pPr>
            <w:r w:rsidRPr="009D2222">
              <w:rPr>
                <w:rFonts w:cs="Times New Roman"/>
                <w:b w:val="0"/>
                <w:i/>
                <w:sz w:val="24"/>
                <w:szCs w:val="24"/>
              </w:rPr>
              <w:t>Gasoline generator</w:t>
            </w:r>
          </w:p>
        </w:tc>
        <w:tc>
          <w:tcPr>
            <w:tcW w:w="1440" w:type="dxa"/>
          </w:tcPr>
          <w:p w:rsidR="00A646C4" w:rsidRPr="001E2D2F" w:rsidRDefault="00A646C4" w:rsidP="00833EEA">
            <w:pPr>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29</w:t>
            </w:r>
          </w:p>
        </w:tc>
        <w:tc>
          <w:tcPr>
            <w:tcW w:w="1080" w:type="dxa"/>
            <w:gridSpan w:val="2"/>
          </w:tcPr>
          <w:p w:rsidR="00A646C4" w:rsidRPr="001E2D2F" w:rsidRDefault="00A646C4" w:rsidP="00833EEA">
            <w:pPr>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15.7</w:t>
            </w:r>
          </w:p>
        </w:tc>
        <w:tc>
          <w:tcPr>
            <w:tcW w:w="450" w:type="dxa"/>
          </w:tcPr>
          <w:p w:rsidR="00A646C4" w:rsidRPr="001E2D2F" w:rsidRDefault="00A646C4" w:rsidP="00833EEA">
            <w:pPr>
              <w:ind w:left="432"/>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17" w:type="dxa"/>
          </w:tcPr>
          <w:p w:rsidR="00A646C4" w:rsidRPr="001E2D2F" w:rsidRDefault="00A646C4" w:rsidP="00833EEA">
            <w:pPr>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3200</w:t>
            </w:r>
          </w:p>
        </w:tc>
        <w:tc>
          <w:tcPr>
            <w:tcW w:w="1339" w:type="dxa"/>
          </w:tcPr>
          <w:p w:rsidR="00A646C4" w:rsidRPr="001E2D2F" w:rsidRDefault="00A646C4" w:rsidP="00833EEA">
            <w:pPr>
              <w:ind w:left="6"/>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16.7</w:t>
            </w:r>
          </w:p>
        </w:tc>
        <w:tc>
          <w:tcPr>
            <w:tcW w:w="1313" w:type="dxa"/>
            <w:tcBorders>
              <w:right w:val="single" w:sz="4" w:space="0" w:color="000000" w:themeColor="text1"/>
            </w:tcBorders>
          </w:tcPr>
          <w:p w:rsidR="00A646C4" w:rsidRPr="001E2D2F" w:rsidRDefault="00A646C4" w:rsidP="00833EEA">
            <w:pPr>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7.6</w:t>
            </w:r>
            <w:r w:rsidRPr="001E2D2F">
              <w:rPr>
                <w:rFonts w:cs="Times New Roman"/>
                <w:sz w:val="24"/>
                <w:szCs w:val="24"/>
              </w:rPr>
              <w:t>-</w:t>
            </w:r>
            <w:r>
              <w:rPr>
                <w:rFonts w:cs="Times New Roman"/>
                <w:sz w:val="24"/>
                <w:szCs w:val="24"/>
              </w:rPr>
              <w:t>25.7</w:t>
            </w:r>
          </w:p>
        </w:tc>
      </w:tr>
      <w:tr w:rsidR="00A646C4" w:rsidRPr="001E2D2F" w:rsidTr="00833EEA">
        <w:trPr>
          <w:trHeight w:hRule="exact" w:val="374"/>
        </w:trPr>
        <w:tc>
          <w:tcPr>
            <w:cnfStyle w:val="001000000000" w:firstRow="0" w:lastRow="0" w:firstColumn="1" w:lastColumn="0" w:oddVBand="0" w:evenVBand="0" w:oddHBand="0" w:evenHBand="0" w:firstRowFirstColumn="0" w:firstRowLastColumn="0" w:lastRowFirstColumn="0" w:lastRowLastColumn="0"/>
            <w:tcW w:w="2808" w:type="dxa"/>
            <w:gridSpan w:val="2"/>
            <w:tcBorders>
              <w:left w:val="single" w:sz="4" w:space="0" w:color="000000" w:themeColor="text1"/>
              <w:bottom w:val="single" w:sz="4" w:space="0" w:color="000000" w:themeColor="text1"/>
            </w:tcBorders>
          </w:tcPr>
          <w:p w:rsidR="00A646C4" w:rsidRPr="009D2222" w:rsidRDefault="00A646C4" w:rsidP="00833EEA">
            <w:pPr>
              <w:ind w:left="360"/>
              <w:rPr>
                <w:rFonts w:cs="Times New Roman"/>
                <w:b w:val="0"/>
                <w:i/>
                <w:sz w:val="24"/>
                <w:szCs w:val="24"/>
              </w:rPr>
            </w:pPr>
            <w:r w:rsidRPr="009D2222">
              <w:rPr>
                <w:rFonts w:cs="Times New Roman"/>
                <w:b w:val="0"/>
                <w:i/>
                <w:sz w:val="24"/>
                <w:szCs w:val="24"/>
              </w:rPr>
              <w:t>None</w:t>
            </w:r>
          </w:p>
        </w:tc>
        <w:tc>
          <w:tcPr>
            <w:tcW w:w="1440" w:type="dxa"/>
            <w:tcBorders>
              <w:bottom w:val="single" w:sz="4" w:space="0" w:color="000000" w:themeColor="text1"/>
            </w:tcBorders>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19</w:t>
            </w:r>
          </w:p>
        </w:tc>
        <w:tc>
          <w:tcPr>
            <w:tcW w:w="1080" w:type="dxa"/>
            <w:gridSpan w:val="2"/>
            <w:tcBorders>
              <w:bottom w:val="single" w:sz="4" w:space="0" w:color="000000" w:themeColor="text1"/>
            </w:tcBorders>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10.3</w:t>
            </w:r>
          </w:p>
        </w:tc>
        <w:tc>
          <w:tcPr>
            <w:tcW w:w="450" w:type="dxa"/>
            <w:tcBorders>
              <w:bottom w:val="single" w:sz="4" w:space="0" w:color="000000" w:themeColor="text1"/>
            </w:tcBorders>
          </w:tcPr>
          <w:p w:rsidR="00A646C4" w:rsidRPr="001E2D2F" w:rsidRDefault="00A646C4" w:rsidP="00833EEA">
            <w:pPr>
              <w:ind w:left="432"/>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417" w:type="dxa"/>
            <w:tcBorders>
              <w:bottom w:val="single" w:sz="4" w:space="0" w:color="000000" w:themeColor="text1"/>
            </w:tcBorders>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1789</w:t>
            </w:r>
          </w:p>
        </w:tc>
        <w:tc>
          <w:tcPr>
            <w:tcW w:w="1339" w:type="dxa"/>
            <w:tcBorders>
              <w:bottom w:val="single" w:sz="4" w:space="0" w:color="000000" w:themeColor="text1"/>
            </w:tcBorders>
          </w:tcPr>
          <w:p w:rsidR="00A646C4" w:rsidRPr="001E2D2F" w:rsidRDefault="00A646C4" w:rsidP="00833EEA">
            <w:pPr>
              <w:ind w:left="6"/>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9.3</w:t>
            </w:r>
          </w:p>
        </w:tc>
        <w:tc>
          <w:tcPr>
            <w:tcW w:w="1313" w:type="dxa"/>
            <w:tcBorders>
              <w:bottom w:val="single" w:sz="4" w:space="0" w:color="000000" w:themeColor="text1"/>
              <w:right w:val="single" w:sz="4" w:space="0" w:color="000000" w:themeColor="text1"/>
            </w:tcBorders>
          </w:tcPr>
          <w:p w:rsidR="00A646C4" w:rsidRPr="001E2D2F" w:rsidRDefault="00A646C4" w:rsidP="00833EEA">
            <w:pPr>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3.8</w:t>
            </w:r>
            <w:r w:rsidRPr="001E2D2F">
              <w:rPr>
                <w:rFonts w:cs="Times New Roman"/>
                <w:sz w:val="24"/>
                <w:szCs w:val="24"/>
              </w:rPr>
              <w:t>-</w:t>
            </w:r>
            <w:r>
              <w:rPr>
                <w:rFonts w:cs="Times New Roman"/>
                <w:sz w:val="24"/>
                <w:szCs w:val="24"/>
              </w:rPr>
              <w:t>14.8</w:t>
            </w:r>
          </w:p>
        </w:tc>
      </w:tr>
    </w:tbl>
    <w:p w:rsidR="00A646C4" w:rsidRPr="001E2D2F" w:rsidRDefault="00A646C4" w:rsidP="00A646C4">
      <w:pPr>
        <w:spacing w:line="480" w:lineRule="auto"/>
        <w:rPr>
          <w:rFonts w:cs="Times New Roman"/>
          <w:sz w:val="10"/>
          <w:szCs w:val="24"/>
        </w:rPr>
      </w:pPr>
    </w:p>
    <w:p w:rsidR="00A646C4" w:rsidRPr="001E2D2F" w:rsidRDefault="00A646C4" w:rsidP="00A646C4">
      <w:pPr>
        <w:spacing w:line="480" w:lineRule="auto"/>
        <w:rPr>
          <w:rFonts w:cs="Times New Roman"/>
          <w:b/>
          <w:sz w:val="24"/>
          <w:szCs w:val="24"/>
        </w:rPr>
      </w:pPr>
      <w:r>
        <w:rPr>
          <w:rFonts w:cs="Times New Roman"/>
          <w:sz w:val="24"/>
          <w:szCs w:val="24"/>
        </w:rPr>
        <w:t>Remember that w</w:t>
      </w:r>
      <w:r w:rsidRPr="001E2D2F">
        <w:rPr>
          <w:rFonts w:cs="Times New Roman"/>
          <w:sz w:val="24"/>
          <w:szCs w:val="24"/>
        </w:rPr>
        <w:t>eighted analy</w:t>
      </w:r>
      <w:r>
        <w:rPr>
          <w:rFonts w:cs="Times New Roman"/>
          <w:sz w:val="24"/>
          <w:szCs w:val="24"/>
        </w:rPr>
        <w:t>sis</w:t>
      </w:r>
      <w:r w:rsidRPr="001E2D2F">
        <w:rPr>
          <w:rFonts w:cs="Times New Roman"/>
          <w:sz w:val="24"/>
          <w:szCs w:val="24"/>
        </w:rPr>
        <w:t xml:space="preserve"> do</w:t>
      </w:r>
      <w:r>
        <w:rPr>
          <w:rFonts w:cs="Times New Roman"/>
          <w:sz w:val="24"/>
          <w:szCs w:val="24"/>
        </w:rPr>
        <w:t>es</w:t>
      </w:r>
      <w:r w:rsidRPr="001E2D2F">
        <w:rPr>
          <w:rFonts w:cs="Times New Roman"/>
          <w:sz w:val="24"/>
          <w:szCs w:val="24"/>
        </w:rPr>
        <w:t xml:space="preserve"> not account for the </w:t>
      </w:r>
      <w:r w:rsidRPr="001E2D2F">
        <w:rPr>
          <w:rFonts w:cs="Times New Roman"/>
          <w:color w:val="333333"/>
          <w:sz w:val="24"/>
        </w:rPr>
        <w:t xml:space="preserve">changes </w:t>
      </w:r>
      <w:r>
        <w:rPr>
          <w:rFonts w:cs="Times New Roman"/>
          <w:color w:val="333333"/>
          <w:sz w:val="24"/>
        </w:rPr>
        <w:t xml:space="preserve">that may occur </w:t>
      </w:r>
      <w:r w:rsidRPr="001E2D2F">
        <w:rPr>
          <w:rFonts w:cs="Times New Roman"/>
          <w:color w:val="333333"/>
          <w:sz w:val="24"/>
        </w:rPr>
        <w:t>in the number of households between the time of the census and the time of the assessment</w:t>
      </w:r>
      <w:r>
        <w:rPr>
          <w:rFonts w:cs="Times New Roman"/>
          <w:color w:val="333333"/>
          <w:sz w:val="24"/>
        </w:rPr>
        <w:t xml:space="preserve"> (e.g., the number of households per cluster may have changed between 2000, when the census was conducted, and 2009, when the CASPER was conducted)</w:t>
      </w:r>
      <w:r w:rsidRPr="001E2D2F">
        <w:rPr>
          <w:rFonts w:cs="Times New Roman"/>
          <w:color w:val="333333"/>
          <w:sz w:val="24"/>
        </w:rPr>
        <w:t xml:space="preserve">.  </w:t>
      </w:r>
      <w:r>
        <w:rPr>
          <w:rFonts w:cs="Times New Roman"/>
          <w:sz w:val="24"/>
          <w:szCs w:val="24"/>
        </w:rPr>
        <w:t xml:space="preserve">Therefore, despite attempts to present unbiased estimates, the frequencies reported might lack precision. </w:t>
      </w:r>
    </w:p>
    <w:p w:rsidR="00A646C4" w:rsidRPr="001E2D2F" w:rsidRDefault="00A646C4" w:rsidP="00A646C4">
      <w:pPr>
        <w:pStyle w:val="Heading1"/>
      </w:pPr>
      <w:bookmarkStart w:id="23" w:name="_5.3._Calculation_of"/>
      <w:bookmarkStart w:id="24" w:name="_Toc297644607"/>
      <w:bookmarkStart w:id="25" w:name="_Toc298850056"/>
      <w:bookmarkStart w:id="26" w:name="_Toc306213631"/>
      <w:bookmarkStart w:id="27" w:name="_Toc306292243"/>
      <w:bookmarkStart w:id="28" w:name="_Toc323634396"/>
      <w:bookmarkEnd w:id="23"/>
      <w:r w:rsidRPr="00A372CA">
        <w:t>5.3 Calculation of 95% confidence intervals</w:t>
      </w:r>
      <w:bookmarkEnd w:id="24"/>
      <w:bookmarkEnd w:id="25"/>
      <w:bookmarkEnd w:id="26"/>
      <w:bookmarkEnd w:id="27"/>
      <w:bookmarkEnd w:id="28"/>
    </w:p>
    <w:p w:rsidR="00A646C4" w:rsidRPr="001E2D2F" w:rsidRDefault="00A646C4" w:rsidP="00A646C4">
      <w:pPr>
        <w:spacing w:line="480" w:lineRule="auto"/>
        <w:rPr>
          <w:sz w:val="24"/>
          <w:szCs w:val="24"/>
        </w:rPr>
      </w:pPr>
      <w:r>
        <w:rPr>
          <w:sz w:val="24"/>
          <w:szCs w:val="24"/>
        </w:rPr>
        <w:t xml:space="preserve">The </w:t>
      </w:r>
      <w:r w:rsidRPr="001E2D2F">
        <w:rPr>
          <w:sz w:val="24"/>
          <w:szCs w:val="24"/>
        </w:rPr>
        <w:t>95% confidence intervals (CIs)</w:t>
      </w:r>
      <w:r>
        <w:rPr>
          <w:sz w:val="24"/>
          <w:szCs w:val="24"/>
        </w:rPr>
        <w:t xml:space="preserve"> should be provided with the weighted estimates</w:t>
      </w:r>
      <w:r w:rsidRPr="001E2D2F">
        <w:rPr>
          <w:sz w:val="24"/>
          <w:szCs w:val="24"/>
        </w:rPr>
        <w:t xml:space="preserve">.  These confidence intervals indicate the reliability of the weighted estimate.  </w:t>
      </w:r>
      <w:r>
        <w:rPr>
          <w:sz w:val="24"/>
          <w:szCs w:val="24"/>
        </w:rPr>
        <w:t xml:space="preserve">Follow these steps to </w:t>
      </w:r>
      <w:r w:rsidRPr="001E2D2F">
        <w:rPr>
          <w:sz w:val="24"/>
          <w:szCs w:val="24"/>
        </w:rPr>
        <w:t xml:space="preserve">calculate 95% confidence intervals in </w:t>
      </w:r>
      <w:proofErr w:type="spellStart"/>
      <w:r w:rsidRPr="001E2D2F">
        <w:rPr>
          <w:sz w:val="24"/>
          <w:szCs w:val="24"/>
        </w:rPr>
        <w:t>Epi</w:t>
      </w:r>
      <w:proofErr w:type="spellEnd"/>
      <w:r w:rsidRPr="001E2D2F">
        <w:rPr>
          <w:sz w:val="24"/>
          <w:szCs w:val="24"/>
        </w:rPr>
        <w:t xml:space="preserve"> Info™</w:t>
      </w:r>
      <w:r>
        <w:rPr>
          <w:sz w:val="24"/>
          <w:szCs w:val="24"/>
        </w:rPr>
        <w:t xml:space="preserve"> 7</w:t>
      </w:r>
      <w:r w:rsidRPr="001E2D2F">
        <w:rPr>
          <w:sz w:val="24"/>
          <w:szCs w:val="24"/>
        </w:rPr>
        <w:t>:</w:t>
      </w:r>
    </w:p>
    <w:p w:rsidR="00A646C4" w:rsidRDefault="00A646C4" w:rsidP="00A646C4">
      <w:pPr>
        <w:numPr>
          <w:ilvl w:val="0"/>
          <w:numId w:val="1"/>
        </w:numPr>
        <w:spacing w:after="0" w:line="480" w:lineRule="auto"/>
        <w:ind w:left="1080"/>
        <w:contextualSpacing/>
        <w:rPr>
          <w:sz w:val="24"/>
          <w:szCs w:val="24"/>
        </w:rPr>
      </w:pPr>
      <w:r>
        <w:rPr>
          <w:sz w:val="24"/>
          <w:szCs w:val="24"/>
        </w:rPr>
        <w:t xml:space="preserve">Open </w:t>
      </w:r>
      <w:proofErr w:type="spellStart"/>
      <w:r>
        <w:rPr>
          <w:sz w:val="24"/>
          <w:szCs w:val="24"/>
        </w:rPr>
        <w:t>Epi</w:t>
      </w:r>
      <w:proofErr w:type="spellEnd"/>
      <w:r>
        <w:rPr>
          <w:sz w:val="24"/>
          <w:szCs w:val="24"/>
        </w:rPr>
        <w:t xml:space="preserve"> Info 7 in classic mode </w:t>
      </w:r>
      <w:r w:rsidRPr="001E2D2F">
        <w:rPr>
          <w:sz w:val="24"/>
          <w:szCs w:val="24"/>
        </w:rPr>
        <w:t>(</w:t>
      </w:r>
      <w:hyperlink w:anchor="_Figure_14._Classic" w:history="1">
        <w:r w:rsidRPr="00BE0917">
          <w:rPr>
            <w:rStyle w:val="Hyperlink"/>
            <w:sz w:val="24"/>
            <w:szCs w:val="24"/>
          </w:rPr>
          <w:t>Figure 14</w:t>
        </w:r>
      </w:hyperlink>
      <w:r w:rsidRPr="001E2D2F">
        <w:rPr>
          <w:sz w:val="24"/>
          <w:szCs w:val="24"/>
        </w:rPr>
        <w:t>)</w:t>
      </w:r>
      <w:r>
        <w:rPr>
          <w:sz w:val="24"/>
          <w:szCs w:val="24"/>
        </w:rPr>
        <w:t>.</w:t>
      </w:r>
      <w:bookmarkStart w:id="29" w:name="_Figure_14._Classic"/>
      <w:bookmarkEnd w:id="29"/>
    </w:p>
    <w:p w:rsidR="00A646C4" w:rsidRPr="00CF548D" w:rsidRDefault="00A646C4" w:rsidP="00A646C4">
      <w:pPr>
        <w:pStyle w:val="Heading4"/>
        <w:rPr>
          <w:szCs w:val="24"/>
        </w:rPr>
      </w:pPr>
      <w:bookmarkStart w:id="30" w:name="_Toc323634397"/>
      <w:proofErr w:type="gramStart"/>
      <w:r w:rsidRPr="00BE0917">
        <w:t>Figure 14.</w:t>
      </w:r>
      <w:proofErr w:type="gramEnd"/>
      <w:r w:rsidRPr="00BE0917">
        <w:t xml:space="preserve"> Classic mode of </w:t>
      </w:r>
      <w:proofErr w:type="spellStart"/>
      <w:r w:rsidRPr="00BE0917">
        <w:t>Epi</w:t>
      </w:r>
      <w:proofErr w:type="spellEnd"/>
      <w:r w:rsidRPr="00BE0917">
        <w:t xml:space="preserve"> Info 7</w:t>
      </w:r>
      <w:bookmarkEnd w:id="30"/>
    </w:p>
    <w:p w:rsidR="00A646C4" w:rsidRDefault="00A646C4" w:rsidP="00A646C4">
      <w:pPr>
        <w:pStyle w:val="Heading4"/>
      </w:pPr>
      <w:bookmarkStart w:id="31" w:name="_Toc317851449"/>
      <w:bookmarkStart w:id="32" w:name="_Toc323634398"/>
      <w:r>
        <w:rPr>
          <w:noProof/>
        </w:rPr>
        <w:drawing>
          <wp:anchor distT="0" distB="0" distL="114300" distR="114300" simplePos="0" relativeHeight="251660288" behindDoc="1" locked="0" layoutInCell="1" allowOverlap="1" wp14:anchorId="7B853991" wp14:editId="40FE7533">
            <wp:simplePos x="0" y="0"/>
            <wp:positionH relativeFrom="column">
              <wp:posOffset>5715</wp:posOffset>
            </wp:positionH>
            <wp:positionV relativeFrom="paragraph">
              <wp:posOffset>48895</wp:posOffset>
            </wp:positionV>
            <wp:extent cx="3648075" cy="2653030"/>
            <wp:effectExtent l="0" t="0" r="9525" b="0"/>
            <wp:wrapTight wrapText="bothSides">
              <wp:wrapPolygon edited="0">
                <wp:start x="0" y="0"/>
                <wp:lineTo x="0" y="21404"/>
                <wp:lineTo x="21544" y="21404"/>
                <wp:lineTo x="2154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648075" cy="2653030"/>
                    </a:xfrm>
                    <a:prstGeom prst="rect">
                      <a:avLst/>
                    </a:prstGeom>
                  </pic:spPr>
                </pic:pic>
              </a:graphicData>
            </a:graphic>
            <wp14:sizeRelH relativeFrom="page">
              <wp14:pctWidth>0</wp14:pctWidth>
            </wp14:sizeRelH>
            <wp14:sizeRelV relativeFrom="page">
              <wp14:pctHeight>0</wp14:pctHeight>
            </wp14:sizeRelV>
          </wp:anchor>
        </w:drawing>
      </w:r>
      <w:bookmarkEnd w:id="31"/>
      <w:bookmarkEnd w:id="32"/>
      <w:r>
        <w:t xml:space="preserve">                       </w:t>
      </w:r>
    </w:p>
    <w:p w:rsidR="00A646C4" w:rsidRDefault="00A646C4" w:rsidP="00A646C4"/>
    <w:p w:rsidR="00A646C4" w:rsidRDefault="00A646C4" w:rsidP="00A646C4"/>
    <w:p w:rsidR="00A646C4" w:rsidRDefault="00A646C4" w:rsidP="00A646C4"/>
    <w:p w:rsidR="00A646C4" w:rsidRDefault="00A646C4" w:rsidP="00A646C4"/>
    <w:p w:rsidR="00A646C4" w:rsidRDefault="00A646C4" w:rsidP="00A646C4"/>
    <w:p w:rsidR="00A646C4" w:rsidRDefault="00A646C4" w:rsidP="00A646C4"/>
    <w:p w:rsidR="00A646C4" w:rsidRPr="00C37A85" w:rsidRDefault="00A646C4" w:rsidP="00A646C4"/>
    <w:p w:rsidR="00A646C4" w:rsidRPr="001E2D2F" w:rsidRDefault="00A646C4" w:rsidP="00A646C4">
      <w:pPr>
        <w:numPr>
          <w:ilvl w:val="0"/>
          <w:numId w:val="1"/>
        </w:numPr>
        <w:spacing w:line="480" w:lineRule="auto"/>
        <w:ind w:left="1080"/>
        <w:contextualSpacing/>
        <w:rPr>
          <w:sz w:val="24"/>
          <w:szCs w:val="24"/>
        </w:rPr>
      </w:pPr>
      <w:r w:rsidRPr="001E2D2F">
        <w:rPr>
          <w:sz w:val="24"/>
          <w:szCs w:val="24"/>
        </w:rPr>
        <w:t>Read (import) the data file.</w:t>
      </w:r>
    </w:p>
    <w:p w:rsidR="00A646C4" w:rsidRPr="00CF548D" w:rsidRDefault="00A646C4" w:rsidP="00A646C4">
      <w:pPr>
        <w:numPr>
          <w:ilvl w:val="0"/>
          <w:numId w:val="1"/>
        </w:numPr>
        <w:spacing w:line="480" w:lineRule="auto"/>
        <w:ind w:left="1080"/>
        <w:contextualSpacing/>
        <w:rPr>
          <w:rFonts w:eastAsia="MS Mincho" w:cs="Times New Roman"/>
          <w:sz w:val="24"/>
          <w:szCs w:val="20"/>
        </w:rPr>
      </w:pPr>
      <w:r w:rsidRPr="00CF548D">
        <w:rPr>
          <w:rFonts w:cs="Times New Roman"/>
          <w:sz w:val="24"/>
          <w:szCs w:val="24"/>
        </w:rPr>
        <w:t>Select “Complex Sample Frequencies Command” under advanced statistics</w:t>
      </w:r>
      <w:r>
        <w:rPr>
          <w:rFonts w:cs="Times New Roman"/>
          <w:sz w:val="24"/>
          <w:szCs w:val="24"/>
        </w:rPr>
        <w:t>,</w:t>
      </w:r>
      <w:r w:rsidRPr="00CF548D">
        <w:rPr>
          <w:rFonts w:cs="Times New Roman"/>
          <w:sz w:val="24"/>
          <w:szCs w:val="24"/>
        </w:rPr>
        <w:t xml:space="preserve"> and in the dialog box for Frequency</w:t>
      </w:r>
      <w:r>
        <w:rPr>
          <w:rFonts w:cs="Times New Roman"/>
          <w:sz w:val="24"/>
          <w:szCs w:val="24"/>
        </w:rPr>
        <w:t>,</w:t>
      </w:r>
      <w:r w:rsidRPr="00CF548D">
        <w:rPr>
          <w:rFonts w:cs="Times New Roman"/>
          <w:sz w:val="24"/>
          <w:szCs w:val="24"/>
        </w:rPr>
        <w:t xml:space="preserve"> select the variable(s) in which you are interested (</w:t>
      </w:r>
      <w:hyperlink w:anchor="Figure_15" w:history="1">
        <w:r w:rsidRPr="00CF548D">
          <w:rPr>
            <w:rStyle w:val="Hyperlink"/>
            <w:rFonts w:cs="Times New Roman"/>
            <w:sz w:val="24"/>
            <w:szCs w:val="24"/>
          </w:rPr>
          <w:t>Figure 15</w:t>
        </w:r>
      </w:hyperlink>
      <w:r w:rsidRPr="00CF548D">
        <w:rPr>
          <w:rFonts w:cs="Times New Roman"/>
          <w:sz w:val="24"/>
          <w:szCs w:val="24"/>
        </w:rPr>
        <w:t>).</w:t>
      </w:r>
      <w:bookmarkStart w:id="33" w:name="Figure_15"/>
      <w:bookmarkStart w:id="34" w:name="_Toc298850058"/>
      <w:bookmarkStart w:id="35" w:name="_Toc306213633"/>
    </w:p>
    <w:p w:rsidR="00A646C4" w:rsidRPr="001E2D2F" w:rsidRDefault="00A646C4" w:rsidP="00A646C4">
      <w:pPr>
        <w:pStyle w:val="Heading4"/>
      </w:pPr>
      <w:bookmarkStart w:id="36" w:name="_Toc323634399"/>
      <w:proofErr w:type="gramStart"/>
      <w:r>
        <w:t xml:space="preserve">Figure </w:t>
      </w:r>
      <w:r w:rsidRPr="001E2D2F">
        <w:t>1</w:t>
      </w:r>
      <w:r>
        <w:t>5</w:t>
      </w:r>
      <w:bookmarkEnd w:id="33"/>
      <w:r w:rsidRPr="001E2D2F">
        <w:t>.</w:t>
      </w:r>
      <w:proofErr w:type="gramEnd"/>
      <w:r w:rsidRPr="001E2D2F">
        <w:t xml:space="preserve"> Selected variables </w:t>
      </w:r>
      <w:r>
        <w:t>for</w:t>
      </w:r>
      <w:r w:rsidRPr="001E2D2F">
        <w:t xml:space="preserve"> calculat</w:t>
      </w:r>
      <w:r>
        <w:t>ion of</w:t>
      </w:r>
      <w:r w:rsidRPr="001E2D2F">
        <w:t xml:space="preserve"> complex sample frequencies (sample data)</w:t>
      </w:r>
      <w:bookmarkEnd w:id="34"/>
      <w:bookmarkEnd w:id="35"/>
      <w:bookmarkEnd w:id="36"/>
      <w:r w:rsidRPr="001E2D2F">
        <w:t xml:space="preserve"> </w:t>
      </w:r>
    </w:p>
    <w:p w:rsidR="00A646C4" w:rsidRDefault="00A646C4" w:rsidP="00A646C4">
      <w:pPr>
        <w:rPr>
          <w:rFonts w:cs="Times New Roman"/>
        </w:rPr>
      </w:pPr>
      <w:r w:rsidRPr="001453E9">
        <w:rPr>
          <w:rFonts w:cs="Times New Roman"/>
          <w:noProof/>
        </w:rPr>
        <w:drawing>
          <wp:inline distT="0" distB="0" distL="0" distR="0" wp14:anchorId="192BCBEA" wp14:editId="403A8728">
            <wp:extent cx="4991100" cy="293476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0164" cy="2934215"/>
                    </a:xfrm>
                    <a:prstGeom prst="rect">
                      <a:avLst/>
                    </a:prstGeom>
                    <a:noFill/>
                  </pic:spPr>
                </pic:pic>
              </a:graphicData>
            </a:graphic>
          </wp:inline>
        </w:drawing>
      </w:r>
    </w:p>
    <w:p w:rsidR="00A646C4" w:rsidRDefault="00A646C4" w:rsidP="00A646C4">
      <w:pPr>
        <w:rPr>
          <w:rFonts w:cs="Times New Roman"/>
        </w:rPr>
      </w:pPr>
    </w:p>
    <w:p w:rsidR="00A646C4" w:rsidRPr="001E2D2F" w:rsidRDefault="00A646C4" w:rsidP="00A646C4">
      <w:pPr>
        <w:numPr>
          <w:ilvl w:val="0"/>
          <w:numId w:val="1"/>
        </w:numPr>
        <w:spacing w:line="480" w:lineRule="auto"/>
        <w:contextualSpacing/>
        <w:rPr>
          <w:rFonts w:cs="Times New Roman"/>
          <w:sz w:val="24"/>
          <w:szCs w:val="24"/>
        </w:rPr>
      </w:pPr>
      <w:r w:rsidRPr="001E2D2F">
        <w:rPr>
          <w:rFonts w:cs="Times New Roman"/>
          <w:sz w:val="24"/>
          <w:szCs w:val="24"/>
        </w:rPr>
        <w:t>Under the Weight drop</w:t>
      </w:r>
      <w:r>
        <w:rPr>
          <w:rFonts w:cs="Times New Roman"/>
          <w:sz w:val="24"/>
          <w:szCs w:val="24"/>
        </w:rPr>
        <w:t>-</w:t>
      </w:r>
      <w:r w:rsidRPr="001E2D2F">
        <w:rPr>
          <w:rFonts w:cs="Times New Roman"/>
          <w:sz w:val="24"/>
          <w:szCs w:val="24"/>
        </w:rPr>
        <w:t>down menu, select the “weight” variable for calculating the weighted CI.</w:t>
      </w:r>
    </w:p>
    <w:p w:rsidR="00A646C4" w:rsidRPr="001E2D2F" w:rsidRDefault="00A646C4" w:rsidP="00A646C4">
      <w:pPr>
        <w:numPr>
          <w:ilvl w:val="0"/>
          <w:numId w:val="1"/>
        </w:numPr>
        <w:spacing w:line="480" w:lineRule="auto"/>
        <w:contextualSpacing/>
        <w:rPr>
          <w:rFonts w:cs="Times New Roman"/>
          <w:sz w:val="24"/>
          <w:szCs w:val="24"/>
        </w:rPr>
      </w:pPr>
      <w:r w:rsidRPr="001E2D2F">
        <w:rPr>
          <w:rFonts w:cs="Times New Roman"/>
          <w:sz w:val="24"/>
          <w:szCs w:val="24"/>
        </w:rPr>
        <w:t>Under PSU</w:t>
      </w:r>
      <w:r>
        <w:rPr>
          <w:rFonts w:cs="Times New Roman"/>
          <w:sz w:val="24"/>
          <w:szCs w:val="24"/>
        </w:rPr>
        <w:t>,</w:t>
      </w:r>
      <w:r w:rsidRPr="001E2D2F">
        <w:rPr>
          <w:rFonts w:cs="Times New Roman"/>
          <w:sz w:val="24"/>
          <w:szCs w:val="24"/>
        </w:rPr>
        <w:t xml:space="preserve"> select the “Cluster Number” </w:t>
      </w:r>
      <w:r>
        <w:rPr>
          <w:rFonts w:cs="Times New Roman"/>
          <w:sz w:val="24"/>
          <w:szCs w:val="24"/>
        </w:rPr>
        <w:t>variable and Click OK (</w:t>
      </w:r>
      <w:hyperlink w:anchor="Figure_16" w:history="1">
        <w:r w:rsidRPr="0003430D">
          <w:rPr>
            <w:rStyle w:val="Hyperlink"/>
            <w:rFonts w:cs="Times New Roman"/>
            <w:sz w:val="24"/>
            <w:szCs w:val="24"/>
          </w:rPr>
          <w:t>Figure 16</w:t>
        </w:r>
      </w:hyperlink>
      <w:r w:rsidRPr="001E2D2F">
        <w:rPr>
          <w:rFonts w:cs="Times New Roman"/>
          <w:sz w:val="24"/>
          <w:szCs w:val="24"/>
        </w:rPr>
        <w:t>).</w:t>
      </w:r>
    </w:p>
    <w:p w:rsidR="00A646C4" w:rsidRPr="001E2D2F" w:rsidRDefault="00A646C4" w:rsidP="00A646C4">
      <w:pPr>
        <w:pStyle w:val="Heading4"/>
      </w:pPr>
      <w:bookmarkStart w:id="37" w:name="_Toc323634400"/>
      <w:proofErr w:type="gramStart"/>
      <w:r>
        <w:t>Figure 16</w:t>
      </w:r>
      <w:r w:rsidRPr="001E2D2F">
        <w:t>.</w:t>
      </w:r>
      <w:proofErr w:type="gramEnd"/>
      <w:r w:rsidRPr="001E2D2F">
        <w:t xml:space="preserve"> Example of 95% CI output in </w:t>
      </w:r>
      <w:proofErr w:type="spellStart"/>
      <w:r w:rsidRPr="001E2D2F">
        <w:t>Epi</w:t>
      </w:r>
      <w:proofErr w:type="spellEnd"/>
      <w:r w:rsidRPr="001E2D2F">
        <w:t xml:space="preserve"> Info™</w:t>
      </w:r>
      <w:r>
        <w:t xml:space="preserve"> 7 “classic mode”</w:t>
      </w:r>
      <w:bookmarkEnd w:id="37"/>
    </w:p>
    <w:p w:rsidR="00A646C4" w:rsidRDefault="00A646C4" w:rsidP="00A646C4">
      <w:pPr>
        <w:rPr>
          <w:rFonts w:cs="Times New Roman"/>
        </w:rPr>
      </w:pPr>
      <w:r w:rsidRPr="006B56BB">
        <w:rPr>
          <w:rFonts w:cs="Times New Roman"/>
          <w:noProof/>
          <w:sz w:val="24"/>
          <w:szCs w:val="24"/>
        </w:rPr>
        <w:drawing>
          <wp:inline distT="0" distB="0" distL="0" distR="0" wp14:anchorId="255053D0" wp14:editId="15AC2882">
            <wp:extent cx="4772025" cy="25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9712" cy="2579408"/>
                    </a:xfrm>
                    <a:prstGeom prst="rect">
                      <a:avLst/>
                    </a:prstGeom>
                    <a:noFill/>
                    <a:ln>
                      <a:noFill/>
                    </a:ln>
                  </pic:spPr>
                </pic:pic>
              </a:graphicData>
            </a:graphic>
          </wp:inline>
        </w:drawing>
      </w:r>
    </w:p>
    <w:p w:rsidR="00A646C4" w:rsidRPr="001E2D2F" w:rsidRDefault="00A646C4" w:rsidP="00A646C4">
      <w:pPr>
        <w:numPr>
          <w:ilvl w:val="0"/>
          <w:numId w:val="1"/>
        </w:numPr>
        <w:spacing w:line="480" w:lineRule="auto"/>
        <w:contextualSpacing/>
        <w:rPr>
          <w:rFonts w:cs="Times New Roman"/>
          <w:sz w:val="24"/>
          <w:szCs w:val="24"/>
        </w:rPr>
      </w:pPr>
      <w:r w:rsidRPr="001E2D2F">
        <w:rPr>
          <w:rFonts w:cs="Times New Roman"/>
          <w:sz w:val="24"/>
          <w:szCs w:val="24"/>
        </w:rPr>
        <w:t>Right</w:t>
      </w:r>
      <w:r>
        <w:rPr>
          <w:rFonts w:cs="Times New Roman"/>
          <w:sz w:val="24"/>
          <w:szCs w:val="24"/>
        </w:rPr>
        <w:t>-</w:t>
      </w:r>
      <w:r w:rsidRPr="001E2D2F">
        <w:rPr>
          <w:rFonts w:cs="Times New Roman"/>
          <w:sz w:val="24"/>
          <w:szCs w:val="24"/>
        </w:rPr>
        <w:t xml:space="preserve">click on the table and select “Export to Microsoft Excel”.  </w:t>
      </w:r>
    </w:p>
    <w:p w:rsidR="007373F5" w:rsidRDefault="007373F5"/>
    <w:sectPr w:rsidR="007373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C4" w:rsidRDefault="00A646C4" w:rsidP="00A646C4">
      <w:pPr>
        <w:spacing w:after="0" w:line="240" w:lineRule="auto"/>
      </w:pPr>
      <w:r>
        <w:separator/>
      </w:r>
    </w:p>
  </w:endnote>
  <w:endnote w:type="continuationSeparator" w:id="0">
    <w:p w:rsidR="00A646C4" w:rsidRDefault="00A646C4" w:rsidP="00A6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C4" w:rsidRDefault="00A646C4" w:rsidP="00A646C4">
      <w:pPr>
        <w:spacing w:after="0" w:line="240" w:lineRule="auto"/>
      </w:pPr>
      <w:r>
        <w:separator/>
      </w:r>
    </w:p>
  </w:footnote>
  <w:footnote w:type="continuationSeparator" w:id="0">
    <w:p w:rsidR="00A646C4" w:rsidRDefault="00A646C4" w:rsidP="00A64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47BC"/>
    <w:multiLevelType w:val="hybridMultilevel"/>
    <w:tmpl w:val="F0488168"/>
    <w:lvl w:ilvl="0" w:tplc="F7947CB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C4"/>
    <w:rsid w:val="007373F5"/>
    <w:rsid w:val="00A6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C4"/>
    <w:rPr>
      <w:rFonts w:eastAsiaTheme="minorEastAsia"/>
    </w:rPr>
  </w:style>
  <w:style w:type="paragraph" w:styleId="Heading1">
    <w:name w:val="heading 1"/>
    <w:aliases w:val="Web Heading 1"/>
    <w:basedOn w:val="Normal"/>
    <w:next w:val="Normal"/>
    <w:link w:val="Heading1Char"/>
    <w:uiPriority w:val="9"/>
    <w:qFormat/>
    <w:rsid w:val="00A646C4"/>
    <w:pPr>
      <w:keepNext/>
      <w:keepLines/>
      <w:spacing w:before="480" w:after="0" w:line="480" w:lineRule="auto"/>
      <w:outlineLvl w:val="0"/>
    </w:pPr>
    <w:rPr>
      <w:rFonts w:ascii="Calibri" w:eastAsiaTheme="majorEastAsia" w:hAnsi="Calibri" w:cstheme="majorBidi"/>
      <w:b/>
      <w:bCs/>
      <w:sz w:val="24"/>
      <w:szCs w:val="28"/>
    </w:rPr>
  </w:style>
  <w:style w:type="paragraph" w:styleId="Heading4">
    <w:name w:val="heading 4"/>
    <w:basedOn w:val="Normal"/>
    <w:next w:val="Normal"/>
    <w:link w:val="Heading4Char"/>
    <w:qFormat/>
    <w:rsid w:val="00A646C4"/>
    <w:pPr>
      <w:keepNext/>
      <w:spacing w:after="0" w:line="240" w:lineRule="auto"/>
      <w:outlineLvl w:val="3"/>
    </w:pPr>
    <w:rPr>
      <w:rFonts w:eastAsia="MS Mincho" w:cs="Times New Roman"/>
      <w:sz w:val="24"/>
      <w:szCs w:val="20"/>
    </w:rPr>
  </w:style>
  <w:style w:type="paragraph" w:styleId="Heading5">
    <w:name w:val="heading 5"/>
    <w:basedOn w:val="Normal"/>
    <w:next w:val="Normal"/>
    <w:link w:val="Heading5Char"/>
    <w:rsid w:val="00A646C4"/>
    <w:pPr>
      <w:keepNext/>
      <w:spacing w:after="0" w:line="240" w:lineRule="auto"/>
      <w:outlineLvl w:val="4"/>
    </w:pPr>
    <w:rPr>
      <w:rFonts w:eastAsia="MS Minch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eb Heading 1 Char"/>
    <w:basedOn w:val="DefaultParagraphFont"/>
    <w:link w:val="Heading1"/>
    <w:uiPriority w:val="9"/>
    <w:rsid w:val="00A646C4"/>
    <w:rPr>
      <w:rFonts w:ascii="Calibri" w:eastAsiaTheme="majorEastAsia" w:hAnsi="Calibri" w:cstheme="majorBidi"/>
      <w:b/>
      <w:bCs/>
      <w:sz w:val="24"/>
      <w:szCs w:val="28"/>
    </w:rPr>
  </w:style>
  <w:style w:type="character" w:customStyle="1" w:styleId="Heading4Char">
    <w:name w:val="Heading 4 Char"/>
    <w:basedOn w:val="DefaultParagraphFont"/>
    <w:link w:val="Heading4"/>
    <w:rsid w:val="00A646C4"/>
    <w:rPr>
      <w:rFonts w:eastAsia="MS Mincho" w:cs="Times New Roman"/>
      <w:sz w:val="24"/>
      <w:szCs w:val="20"/>
    </w:rPr>
  </w:style>
  <w:style w:type="character" w:customStyle="1" w:styleId="Heading5Char">
    <w:name w:val="Heading 5 Char"/>
    <w:basedOn w:val="DefaultParagraphFont"/>
    <w:link w:val="Heading5"/>
    <w:rsid w:val="00A646C4"/>
    <w:rPr>
      <w:rFonts w:eastAsia="MS Mincho" w:cs="Times New Roman"/>
      <w:sz w:val="24"/>
      <w:szCs w:val="20"/>
    </w:rPr>
  </w:style>
  <w:style w:type="character" w:styleId="Hyperlink">
    <w:name w:val="Hyperlink"/>
    <w:basedOn w:val="DefaultParagraphFont"/>
    <w:uiPriority w:val="99"/>
    <w:unhideWhenUsed/>
    <w:rsid w:val="00A646C4"/>
    <w:rPr>
      <w:color w:val="0000FF" w:themeColor="hyperlink"/>
      <w:u w:val="single"/>
    </w:rPr>
  </w:style>
  <w:style w:type="table" w:customStyle="1" w:styleId="LightList11">
    <w:name w:val="Light List11"/>
    <w:basedOn w:val="TableNormal"/>
    <w:uiPriority w:val="61"/>
    <w:rsid w:val="00A646C4"/>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A6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C4"/>
    <w:rPr>
      <w:rFonts w:ascii="Tahoma" w:eastAsiaTheme="minorEastAsia" w:hAnsi="Tahoma" w:cs="Tahoma"/>
      <w:sz w:val="16"/>
      <w:szCs w:val="16"/>
    </w:rPr>
  </w:style>
  <w:style w:type="paragraph" w:styleId="Header">
    <w:name w:val="header"/>
    <w:basedOn w:val="Normal"/>
    <w:link w:val="HeaderChar"/>
    <w:uiPriority w:val="99"/>
    <w:unhideWhenUsed/>
    <w:rsid w:val="00A64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C4"/>
    <w:rPr>
      <w:rFonts w:eastAsiaTheme="minorEastAsia"/>
    </w:rPr>
  </w:style>
  <w:style w:type="paragraph" w:styleId="Footer">
    <w:name w:val="footer"/>
    <w:basedOn w:val="Normal"/>
    <w:link w:val="FooterChar"/>
    <w:uiPriority w:val="99"/>
    <w:unhideWhenUsed/>
    <w:rsid w:val="00A64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C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C4"/>
    <w:rPr>
      <w:rFonts w:eastAsiaTheme="minorEastAsia"/>
    </w:rPr>
  </w:style>
  <w:style w:type="paragraph" w:styleId="Heading1">
    <w:name w:val="heading 1"/>
    <w:aliases w:val="Web Heading 1"/>
    <w:basedOn w:val="Normal"/>
    <w:next w:val="Normal"/>
    <w:link w:val="Heading1Char"/>
    <w:uiPriority w:val="9"/>
    <w:qFormat/>
    <w:rsid w:val="00A646C4"/>
    <w:pPr>
      <w:keepNext/>
      <w:keepLines/>
      <w:spacing w:before="480" w:after="0" w:line="480" w:lineRule="auto"/>
      <w:outlineLvl w:val="0"/>
    </w:pPr>
    <w:rPr>
      <w:rFonts w:ascii="Calibri" w:eastAsiaTheme="majorEastAsia" w:hAnsi="Calibri" w:cstheme="majorBidi"/>
      <w:b/>
      <w:bCs/>
      <w:sz w:val="24"/>
      <w:szCs w:val="28"/>
    </w:rPr>
  </w:style>
  <w:style w:type="paragraph" w:styleId="Heading4">
    <w:name w:val="heading 4"/>
    <w:basedOn w:val="Normal"/>
    <w:next w:val="Normal"/>
    <w:link w:val="Heading4Char"/>
    <w:qFormat/>
    <w:rsid w:val="00A646C4"/>
    <w:pPr>
      <w:keepNext/>
      <w:spacing w:after="0" w:line="240" w:lineRule="auto"/>
      <w:outlineLvl w:val="3"/>
    </w:pPr>
    <w:rPr>
      <w:rFonts w:eastAsia="MS Mincho" w:cs="Times New Roman"/>
      <w:sz w:val="24"/>
      <w:szCs w:val="20"/>
    </w:rPr>
  </w:style>
  <w:style w:type="paragraph" w:styleId="Heading5">
    <w:name w:val="heading 5"/>
    <w:basedOn w:val="Normal"/>
    <w:next w:val="Normal"/>
    <w:link w:val="Heading5Char"/>
    <w:rsid w:val="00A646C4"/>
    <w:pPr>
      <w:keepNext/>
      <w:spacing w:after="0" w:line="240" w:lineRule="auto"/>
      <w:outlineLvl w:val="4"/>
    </w:pPr>
    <w:rPr>
      <w:rFonts w:eastAsia="MS Minch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eb Heading 1 Char"/>
    <w:basedOn w:val="DefaultParagraphFont"/>
    <w:link w:val="Heading1"/>
    <w:uiPriority w:val="9"/>
    <w:rsid w:val="00A646C4"/>
    <w:rPr>
      <w:rFonts w:ascii="Calibri" w:eastAsiaTheme="majorEastAsia" w:hAnsi="Calibri" w:cstheme="majorBidi"/>
      <w:b/>
      <w:bCs/>
      <w:sz w:val="24"/>
      <w:szCs w:val="28"/>
    </w:rPr>
  </w:style>
  <w:style w:type="character" w:customStyle="1" w:styleId="Heading4Char">
    <w:name w:val="Heading 4 Char"/>
    <w:basedOn w:val="DefaultParagraphFont"/>
    <w:link w:val="Heading4"/>
    <w:rsid w:val="00A646C4"/>
    <w:rPr>
      <w:rFonts w:eastAsia="MS Mincho" w:cs="Times New Roman"/>
      <w:sz w:val="24"/>
      <w:szCs w:val="20"/>
    </w:rPr>
  </w:style>
  <w:style w:type="character" w:customStyle="1" w:styleId="Heading5Char">
    <w:name w:val="Heading 5 Char"/>
    <w:basedOn w:val="DefaultParagraphFont"/>
    <w:link w:val="Heading5"/>
    <w:rsid w:val="00A646C4"/>
    <w:rPr>
      <w:rFonts w:eastAsia="MS Mincho" w:cs="Times New Roman"/>
      <w:sz w:val="24"/>
      <w:szCs w:val="20"/>
    </w:rPr>
  </w:style>
  <w:style w:type="character" w:styleId="Hyperlink">
    <w:name w:val="Hyperlink"/>
    <w:basedOn w:val="DefaultParagraphFont"/>
    <w:uiPriority w:val="99"/>
    <w:unhideWhenUsed/>
    <w:rsid w:val="00A646C4"/>
    <w:rPr>
      <w:color w:val="0000FF" w:themeColor="hyperlink"/>
      <w:u w:val="single"/>
    </w:rPr>
  </w:style>
  <w:style w:type="table" w:customStyle="1" w:styleId="LightList11">
    <w:name w:val="Light List11"/>
    <w:basedOn w:val="TableNormal"/>
    <w:uiPriority w:val="61"/>
    <w:rsid w:val="00A646C4"/>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A6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C4"/>
    <w:rPr>
      <w:rFonts w:ascii="Tahoma" w:eastAsiaTheme="minorEastAsia" w:hAnsi="Tahoma" w:cs="Tahoma"/>
      <w:sz w:val="16"/>
      <w:szCs w:val="16"/>
    </w:rPr>
  </w:style>
  <w:style w:type="paragraph" w:styleId="Header">
    <w:name w:val="header"/>
    <w:basedOn w:val="Normal"/>
    <w:link w:val="HeaderChar"/>
    <w:uiPriority w:val="99"/>
    <w:unhideWhenUsed/>
    <w:rsid w:val="00A64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C4"/>
    <w:rPr>
      <w:rFonts w:eastAsiaTheme="minorEastAsia"/>
    </w:rPr>
  </w:style>
  <w:style w:type="paragraph" w:styleId="Footer">
    <w:name w:val="footer"/>
    <w:basedOn w:val="Normal"/>
    <w:link w:val="FooterChar"/>
    <w:uiPriority w:val="99"/>
    <w:unhideWhenUsed/>
    <w:rsid w:val="00A64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C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ergency.cdc.gov/disasters/surveillance/pdf/CASPER_Toolkit_Version_2_0_508_Compliant.pdf"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945</Words>
  <Characters>5387</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Attachment N. CASPER Toolkit, Sections 5.2 Weighted Analyses and 5.3 Calculation</vt:lpstr>
      <vt:lpstr>5.2   Weighted analyses</vt:lpstr>
      <vt:lpstr>5.3 Calculation of 95% confidence intervals</vt:lpstr>
    </vt:vector>
  </TitlesOfParts>
  <Company>Centers for Disease Control and Prevention</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Nakata</dc:creator>
  <cp:lastModifiedBy>Nicole Nakata</cp:lastModifiedBy>
  <cp:revision>1</cp:revision>
  <dcterms:created xsi:type="dcterms:W3CDTF">2014-12-08T13:45:00Z</dcterms:created>
  <dcterms:modified xsi:type="dcterms:W3CDTF">2014-12-08T13:52:00Z</dcterms:modified>
</cp:coreProperties>
</file>