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A51" w:rsidP="00A1453A" w:rsidRDefault="009B4A51" w14:paraId="39133ADE" w14:textId="5EADA32C">
      <w:pPr>
        <w:ind w:left="0"/>
      </w:pPr>
    </w:p>
    <w:p w:rsidR="00EF5AD3" w:rsidP="00A1453A" w:rsidRDefault="00EF5AD3" w14:paraId="4659AA8C" w14:textId="06C76173">
      <w:pPr>
        <w:ind w:left="0"/>
      </w:pPr>
    </w:p>
    <w:p w:rsidR="00EF5AD3" w:rsidP="00A1453A" w:rsidRDefault="00EF5AD3" w14:paraId="29F23732" w14:textId="6A8ED185">
      <w:pPr>
        <w:ind w:left="0"/>
      </w:pPr>
    </w:p>
    <w:p w:rsidR="00EF5AD3" w:rsidP="00A1453A" w:rsidRDefault="00EF5AD3" w14:paraId="0408C126" w14:textId="078EDC25">
      <w:pPr>
        <w:ind w:left="0"/>
      </w:pPr>
    </w:p>
    <w:p w:rsidR="00EF5AD3" w:rsidP="00A1453A" w:rsidRDefault="00EF5AD3" w14:paraId="0EA031BD" w14:textId="1A3C0D0D">
      <w:pPr>
        <w:ind w:left="0"/>
      </w:pPr>
    </w:p>
    <w:p w:rsidR="00EF5AD3" w:rsidP="00A1453A" w:rsidRDefault="00EF5AD3" w14:paraId="0CCD7741" w14:textId="794A702F">
      <w:pPr>
        <w:ind w:left="0"/>
      </w:pPr>
    </w:p>
    <w:p w:rsidR="00EF5AD3" w:rsidP="00A1453A" w:rsidRDefault="00EF5AD3" w14:paraId="37BEB5CF" w14:textId="43D2144E">
      <w:pPr>
        <w:ind w:left="0"/>
      </w:pPr>
    </w:p>
    <w:p w:rsidR="00EF5AD3" w:rsidP="00A1453A" w:rsidRDefault="00EF5AD3" w14:paraId="6D61BCB7" w14:textId="22204BBE">
      <w:pPr>
        <w:ind w:left="0"/>
      </w:pPr>
    </w:p>
    <w:p w:rsidR="00EF5AD3" w:rsidP="00A1453A" w:rsidRDefault="00EF5AD3" w14:paraId="4C068DE4" w14:textId="5699708F">
      <w:pPr>
        <w:ind w:left="0"/>
      </w:pPr>
    </w:p>
    <w:p w:rsidR="00EF5AD3" w:rsidP="00A1453A" w:rsidRDefault="00EF5AD3" w14:paraId="57800EA4" w14:textId="77777777">
      <w:pPr>
        <w:ind w:left="0"/>
      </w:pPr>
    </w:p>
    <w:p w:rsidR="00667C89" w:rsidP="00A1453A" w:rsidRDefault="00667C89" w14:paraId="6F068EAA" w14:textId="77777777">
      <w:pPr>
        <w:ind w:left="0"/>
      </w:pPr>
    </w:p>
    <w:p w:rsidRPr="00B953BF" w:rsidR="009B4A51" w:rsidP="00CA5840" w:rsidRDefault="009B4A51" w14:paraId="22CCA5BD" w14:textId="77777777">
      <w:pPr>
        <w:ind w:left="0"/>
      </w:pPr>
    </w:p>
    <w:p w:rsidRPr="00B953BF" w:rsidR="00716F94" w:rsidP="00CA5840" w:rsidRDefault="007F30A2" w14:paraId="1FFEFDF5" w14:textId="44774876">
      <w:pPr>
        <w:pStyle w:val="Heading1"/>
        <w:ind w:left="0"/>
      </w:pPr>
      <w:r w:rsidRPr="00B953BF">
        <w:t xml:space="preserve"> Assessment of the </w:t>
      </w:r>
      <w:r w:rsidRPr="00B953BF" w:rsidR="004A2D87">
        <w:t>National Health Security Index for Public Health Preparedness</w:t>
      </w:r>
    </w:p>
    <w:p w:rsidR="00AA3192" w:rsidP="00CA5840" w:rsidRDefault="00AA3192" w14:paraId="14615F9F" w14:textId="77777777">
      <w:pPr>
        <w:ind w:left="0"/>
      </w:pPr>
    </w:p>
    <w:p w:rsidRPr="00AA3192" w:rsidR="00716F94" w:rsidP="00CA5840" w:rsidRDefault="00484011" w14:paraId="769E1267" w14:textId="77777777">
      <w:pPr>
        <w:ind w:left="0"/>
        <w:jc w:val="center"/>
      </w:pPr>
      <w:r w:rsidRPr="00AA3192">
        <w:t>OSTL</w:t>
      </w:r>
      <w:r w:rsidR="00316F00">
        <w:t>TS Generic Information Collection</w:t>
      </w:r>
      <w:r w:rsidRPr="00AA3192">
        <w:t xml:space="preserve"> Request</w:t>
      </w:r>
    </w:p>
    <w:p w:rsidRPr="00AA3192" w:rsidR="00484011" w:rsidP="00CA5840" w:rsidRDefault="00484011" w14:paraId="2934E9BD" w14:textId="77777777">
      <w:pPr>
        <w:ind w:left="0"/>
        <w:jc w:val="center"/>
      </w:pPr>
      <w:r w:rsidRPr="00AA3192">
        <w:t>OMB No. 0920-0879</w:t>
      </w:r>
    </w:p>
    <w:p w:rsidR="009B4A51" w:rsidP="00CA5840" w:rsidRDefault="009B4A51" w14:paraId="530B1CC3" w14:textId="77777777">
      <w:pPr>
        <w:ind w:left="0"/>
      </w:pPr>
    </w:p>
    <w:p w:rsidR="00AA3192" w:rsidP="00CA5840" w:rsidRDefault="00AA3192" w14:paraId="0682C83A" w14:textId="77777777">
      <w:pPr>
        <w:ind w:left="0"/>
      </w:pPr>
    </w:p>
    <w:p w:rsidR="009B4A51" w:rsidP="00A1453A" w:rsidRDefault="009B4A51" w14:paraId="02411B16" w14:textId="59BD8A08">
      <w:pPr>
        <w:pStyle w:val="Heading2"/>
        <w:ind w:left="0"/>
      </w:pPr>
      <w:r w:rsidRPr="007D6163">
        <w:t>Supporting Statement – Section A</w:t>
      </w:r>
    </w:p>
    <w:p w:rsidR="00187D5A" w:rsidP="00CA5840" w:rsidRDefault="00187D5A" w14:paraId="22A90E6B" w14:textId="77777777">
      <w:pPr>
        <w:ind w:left="0"/>
      </w:pPr>
    </w:p>
    <w:p w:rsidRPr="009B4A51" w:rsidR="009B4A51" w:rsidP="00CA5840" w:rsidRDefault="009B4A51" w14:paraId="4A9AEE25" w14:textId="29C6EC22">
      <w:pPr>
        <w:ind w:left="0"/>
        <w:jc w:val="center"/>
      </w:pPr>
      <w:r w:rsidRPr="00AA3192">
        <w:t>Submitted:</w:t>
      </w:r>
      <w:r w:rsidRPr="00713412">
        <w:rPr>
          <w:color w:val="0070C0"/>
        </w:rPr>
        <w:t xml:space="preserve"> </w:t>
      </w:r>
      <w:r w:rsidRPr="007D759C" w:rsidR="007D759C">
        <w:t>6/9/2020</w:t>
      </w:r>
    </w:p>
    <w:p w:rsidR="00A1453A" w:rsidP="00A1453A" w:rsidRDefault="00A1453A" w14:paraId="640375EA" w14:textId="565AD90D">
      <w:pPr>
        <w:ind w:left="0"/>
      </w:pPr>
    </w:p>
    <w:p w:rsidR="00B953BF" w:rsidP="00A1453A" w:rsidRDefault="00B953BF" w14:paraId="7645BB56" w14:textId="77777777">
      <w:pPr>
        <w:ind w:left="0"/>
      </w:pPr>
    </w:p>
    <w:p w:rsidR="009B4A51" w:rsidP="007D6163" w:rsidRDefault="009B4A51" w14:paraId="53295C3D" w14:textId="77777777"/>
    <w:p w:rsidR="00441CC3" w:rsidP="00CA5840" w:rsidRDefault="00716F94" w14:paraId="74C4802D" w14:textId="6C30B67E">
      <w:pPr>
        <w:ind w:left="0"/>
        <w:rPr>
          <w:b/>
          <w:u w:val="single"/>
        </w:rPr>
      </w:pPr>
      <w:r w:rsidRPr="00CA5840">
        <w:rPr>
          <w:b/>
          <w:u w:val="single"/>
        </w:rPr>
        <w:t>P</w:t>
      </w:r>
      <w:r w:rsidRPr="00CA5840" w:rsidR="00667C89">
        <w:rPr>
          <w:b/>
          <w:u w:val="single"/>
        </w:rPr>
        <w:t>rogram Official/Project Officer</w:t>
      </w:r>
      <w:bookmarkStart w:name="_GoBack" w:id="0"/>
      <w:bookmarkEnd w:id="0"/>
    </w:p>
    <w:p w:rsidR="00B953BF" w:rsidP="00CA5840" w:rsidRDefault="00B953BF" w14:paraId="23D6017A" w14:textId="77777777">
      <w:pPr>
        <w:ind w:left="0"/>
        <w:rPr>
          <w:b/>
          <w:u w:val="single"/>
        </w:rPr>
      </w:pPr>
    </w:p>
    <w:p w:rsidR="00783C83" w:rsidP="00783C83" w:rsidRDefault="000D1AB1" w14:paraId="1E18390B" w14:textId="1014C878">
      <w:pPr>
        <w:ind w:left="0"/>
      </w:pPr>
      <w:bookmarkStart w:name="_Hlk23396665" w:id="1"/>
      <w:r>
        <w:t>Shoukat Qari</w:t>
      </w:r>
      <w:r w:rsidR="00783C83">
        <w:t xml:space="preserve">, </w:t>
      </w:r>
      <w:r>
        <w:t xml:space="preserve">DVM, </w:t>
      </w:r>
      <w:r w:rsidR="00783C83">
        <w:t>PhD</w:t>
      </w:r>
    </w:p>
    <w:p w:rsidR="00783C83" w:rsidP="00783C83" w:rsidRDefault="00783C83" w14:paraId="22512254" w14:textId="085B5BA5">
      <w:pPr>
        <w:ind w:left="0"/>
      </w:pPr>
      <w:r>
        <w:t>Senior Health Scientist</w:t>
      </w:r>
    </w:p>
    <w:p w:rsidR="00783C83" w:rsidP="00783C83" w:rsidRDefault="000D1AB1" w14:paraId="1D9EC75C" w14:textId="6C096F56">
      <w:pPr>
        <w:ind w:left="0"/>
      </w:pPr>
      <w:r>
        <w:t>Office of</w:t>
      </w:r>
      <w:r w:rsidR="00783C83">
        <w:t xml:space="preserve"> Applied Research</w:t>
      </w:r>
      <w:r>
        <w:t xml:space="preserve"> (OAR)</w:t>
      </w:r>
    </w:p>
    <w:p w:rsidR="00783C83" w:rsidP="00783C83" w:rsidRDefault="000D1AB1" w14:paraId="58CB11B2" w14:textId="0A0F5C52">
      <w:pPr>
        <w:ind w:left="0"/>
      </w:pPr>
      <w:r>
        <w:t>Office of Science and Public Health Practice (OSPHP)</w:t>
      </w:r>
    </w:p>
    <w:p w:rsidR="00783C83" w:rsidP="00783C83" w:rsidRDefault="00783C83" w14:paraId="0172BF59" w14:textId="77777777">
      <w:pPr>
        <w:ind w:left="0"/>
      </w:pPr>
      <w:r>
        <w:t>Center for Preparedness and Response (CPR)</w:t>
      </w:r>
    </w:p>
    <w:p w:rsidR="00783C83" w:rsidP="00783C83" w:rsidRDefault="00783C83" w14:paraId="2A23591A" w14:textId="77777777">
      <w:pPr>
        <w:ind w:left="0"/>
      </w:pPr>
      <w:r>
        <w:t>Centers for Disease Control and Prevention</w:t>
      </w:r>
    </w:p>
    <w:p w:rsidR="00783C83" w:rsidP="00783C83" w:rsidRDefault="00783C83" w14:paraId="291E14E3" w14:textId="5F76845F">
      <w:pPr>
        <w:ind w:left="0"/>
      </w:pPr>
      <w:r>
        <w:t>(</w:t>
      </w:r>
      <w:r w:rsidR="000D1AB1">
        <w:t>770</w:t>
      </w:r>
      <w:r>
        <w:t xml:space="preserve">) </w:t>
      </w:r>
      <w:r w:rsidR="000D1AB1">
        <w:t>488</w:t>
      </w:r>
      <w:r>
        <w:t>-</w:t>
      </w:r>
      <w:r w:rsidR="000D1AB1">
        <w:t>8808</w:t>
      </w:r>
    </w:p>
    <w:p w:rsidR="00783C83" w:rsidP="00783C83" w:rsidRDefault="00AA20D5" w14:paraId="56CFEA77" w14:textId="60C10CBF">
      <w:pPr>
        <w:ind w:left="0"/>
      </w:pPr>
      <w:hyperlink w:history="1" r:id="rId11">
        <w:r w:rsidR="000D1AB1">
          <w:rPr>
            <w:rStyle w:val="Hyperlink"/>
            <w:rFonts w:cs="Calibri"/>
          </w:rPr>
          <w:t>SQari</w:t>
        </w:r>
        <w:r w:rsidRPr="00E90564" w:rsidR="000D1AB1">
          <w:rPr>
            <w:rStyle w:val="Hyperlink"/>
            <w:rFonts w:cs="Calibri"/>
          </w:rPr>
          <w:t>@cdc.gov</w:t>
        </w:r>
      </w:hyperlink>
    </w:p>
    <w:p w:rsidRPr="00654D1B" w:rsidR="00783C83" w:rsidP="00783C83" w:rsidRDefault="00783C83" w14:paraId="0162A8DF" w14:textId="6912EC3A">
      <w:pPr>
        <w:ind w:left="0"/>
      </w:pPr>
      <w:r w:rsidRPr="00654D1B">
        <w:t>1600 Clifton Road Mail Stop H21-</w:t>
      </w:r>
      <w:r w:rsidR="000D1AB1">
        <w:t>6</w:t>
      </w:r>
    </w:p>
    <w:p w:rsidRPr="00654D1B" w:rsidR="00783C83" w:rsidP="00783C83" w:rsidRDefault="00783C83" w14:paraId="40F52656" w14:textId="15FD5C0B">
      <w:pPr>
        <w:ind w:left="0"/>
      </w:pPr>
      <w:r w:rsidRPr="00654D1B">
        <w:t xml:space="preserve">Room </w:t>
      </w:r>
      <w:r w:rsidR="000D1AB1">
        <w:t>6224</w:t>
      </w:r>
    </w:p>
    <w:p w:rsidR="00783C83" w:rsidP="00783C83" w:rsidRDefault="00783C83" w14:paraId="17CC9B58" w14:textId="77777777">
      <w:pPr>
        <w:ind w:left="0"/>
      </w:pPr>
      <w:r w:rsidRPr="00654D1B">
        <w:t>Atlanta, Georgia 30329</w:t>
      </w:r>
      <w:bookmarkEnd w:id="1"/>
    </w:p>
    <w:p w:rsidR="00DB2ABD" w:rsidP="00DB2ABD" w:rsidRDefault="00DB2ABD" w14:paraId="6D1FF8CF" w14:textId="77777777">
      <w:pPr>
        <w:tabs>
          <w:tab w:val="clear" w:pos="9360"/>
        </w:tabs>
        <w:spacing w:after="200"/>
        <w:ind w:left="0"/>
      </w:pPr>
    </w:p>
    <w:p w:rsidR="003860A5" w:rsidP="00DB2ABD" w:rsidRDefault="00CA5840" w14:paraId="0FA49B96" w14:textId="06224E3C">
      <w:pPr>
        <w:tabs>
          <w:tab w:val="clear" w:pos="9360"/>
        </w:tabs>
        <w:spacing w:after="200"/>
        <w:ind w:left="0"/>
      </w:pPr>
      <w:r>
        <w:br w:type="page"/>
      </w:r>
      <w:bookmarkStart w:name="_Toc427752811" w:id="2"/>
      <w:r w:rsidR="003860A5">
        <w:lastRenderedPageBreak/>
        <w:t>Table of Contents</w:t>
      </w:r>
      <w:bookmarkEnd w:id="2"/>
    </w:p>
    <w:p w:rsidRPr="003860A5" w:rsidR="003860A5" w:rsidP="003860A5" w:rsidRDefault="003860A5" w14:paraId="38F17BFF" w14:textId="77777777"/>
    <w:p w:rsidR="00CC4DAB" w:rsidRDefault="003860A5" w14:paraId="461D6187" w14:textId="4FA4C118">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history="1" w:anchor="_Toc427752811">
        <w:r w:rsidRPr="00A94C41" w:rsidR="00CC4DAB">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3A37FB">
          <w:rPr>
            <w:noProof/>
            <w:webHidden/>
          </w:rPr>
          <w:t>2</w:t>
        </w:r>
        <w:r w:rsidR="00CC4DAB">
          <w:rPr>
            <w:noProof/>
            <w:webHidden/>
          </w:rPr>
          <w:fldChar w:fldCharType="end"/>
        </w:r>
      </w:hyperlink>
    </w:p>
    <w:p w:rsidR="00CC4DAB" w:rsidRDefault="00AA20D5" w14:paraId="7E76DEA3" w14:textId="12437CC2">
      <w:pPr>
        <w:pStyle w:val="TOC1"/>
        <w:tabs>
          <w:tab w:val="right" w:leader="dot" w:pos="9350"/>
        </w:tabs>
        <w:rPr>
          <w:rFonts w:asciiTheme="minorHAnsi" w:hAnsiTheme="minorHAnsi"/>
          <w:noProof/>
        </w:rPr>
      </w:pPr>
      <w:hyperlink w:history="1" w:anchor="_Toc427752813">
        <w:r w:rsidRPr="00A94C41" w:rsidR="00CC4DAB">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3A37FB">
          <w:rPr>
            <w:noProof/>
            <w:webHidden/>
          </w:rPr>
          <w:t>3</w:t>
        </w:r>
        <w:r w:rsidR="00CC4DAB">
          <w:rPr>
            <w:noProof/>
            <w:webHidden/>
          </w:rPr>
          <w:fldChar w:fldCharType="end"/>
        </w:r>
      </w:hyperlink>
    </w:p>
    <w:p w:rsidR="00CC4DAB" w:rsidRDefault="00AA20D5" w14:paraId="314811EB" w14:textId="5D602A11">
      <w:pPr>
        <w:pStyle w:val="TOC2"/>
        <w:rPr>
          <w:rFonts w:asciiTheme="minorHAnsi" w:hAnsiTheme="minorHAnsi"/>
          <w:noProof/>
        </w:rPr>
      </w:pPr>
      <w:hyperlink w:history="1" w:anchor="_Toc427752814">
        <w:r w:rsidRPr="00A94C41" w:rsidR="00CC4DAB">
          <w:rPr>
            <w:rStyle w:val="Hyperlink"/>
            <w:noProof/>
          </w:rPr>
          <w:t>1.</w:t>
        </w:r>
        <w:r w:rsidR="00CC4DAB">
          <w:rPr>
            <w:rFonts w:asciiTheme="minorHAnsi" w:hAnsiTheme="minorHAnsi"/>
            <w:noProof/>
          </w:rPr>
          <w:tab/>
        </w:r>
        <w:r w:rsidRPr="00A94C41" w:rsidR="00CC4DAB">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3A37FB">
          <w:rPr>
            <w:noProof/>
            <w:webHidden/>
          </w:rPr>
          <w:t>3</w:t>
        </w:r>
        <w:r w:rsidR="00CC4DAB">
          <w:rPr>
            <w:noProof/>
            <w:webHidden/>
          </w:rPr>
          <w:fldChar w:fldCharType="end"/>
        </w:r>
      </w:hyperlink>
    </w:p>
    <w:p w:rsidR="00CC4DAB" w:rsidRDefault="00AA20D5" w14:paraId="34E44435" w14:textId="3314F08F">
      <w:pPr>
        <w:pStyle w:val="TOC2"/>
        <w:rPr>
          <w:rFonts w:asciiTheme="minorHAnsi" w:hAnsiTheme="minorHAnsi"/>
          <w:noProof/>
        </w:rPr>
      </w:pPr>
      <w:hyperlink w:history="1" w:anchor="_Toc427752815">
        <w:r w:rsidRPr="00A94C41" w:rsidR="00CC4DAB">
          <w:rPr>
            <w:rStyle w:val="Hyperlink"/>
            <w:noProof/>
          </w:rPr>
          <w:t>2.</w:t>
        </w:r>
        <w:r w:rsidR="00CC4DAB">
          <w:rPr>
            <w:rFonts w:asciiTheme="minorHAnsi" w:hAnsiTheme="minorHAnsi"/>
            <w:noProof/>
          </w:rPr>
          <w:tab/>
        </w:r>
        <w:r w:rsidRPr="00A94C41" w:rsidR="00CC4DAB">
          <w:rPr>
            <w:rStyle w:val="Hyperlink"/>
            <w:noProof/>
          </w:rPr>
          <w:t>Purpose and Use of the Information Collection</w:t>
        </w:r>
        <w:r w:rsidR="00CC4DAB">
          <w:rPr>
            <w:noProof/>
            <w:webHidden/>
          </w:rPr>
          <w:tab/>
        </w:r>
        <w:r w:rsidR="00CC4DAB">
          <w:rPr>
            <w:noProof/>
            <w:webHidden/>
          </w:rPr>
          <w:fldChar w:fldCharType="begin"/>
        </w:r>
        <w:r w:rsidR="00CC4DAB">
          <w:rPr>
            <w:noProof/>
            <w:webHidden/>
          </w:rPr>
          <w:instrText xml:space="preserve"> PAGEREF _Toc427752815 \h </w:instrText>
        </w:r>
        <w:r w:rsidR="00CC4DAB">
          <w:rPr>
            <w:noProof/>
            <w:webHidden/>
          </w:rPr>
        </w:r>
        <w:r w:rsidR="00CC4DAB">
          <w:rPr>
            <w:noProof/>
            <w:webHidden/>
          </w:rPr>
          <w:fldChar w:fldCharType="separate"/>
        </w:r>
        <w:r w:rsidR="003A37FB">
          <w:rPr>
            <w:noProof/>
            <w:webHidden/>
          </w:rPr>
          <w:t>6</w:t>
        </w:r>
        <w:r w:rsidR="00CC4DAB">
          <w:rPr>
            <w:noProof/>
            <w:webHidden/>
          </w:rPr>
          <w:fldChar w:fldCharType="end"/>
        </w:r>
      </w:hyperlink>
    </w:p>
    <w:p w:rsidR="00CC4DAB" w:rsidRDefault="00AA20D5" w14:paraId="341964F2" w14:textId="455D61D6">
      <w:pPr>
        <w:pStyle w:val="TOC2"/>
        <w:rPr>
          <w:rFonts w:asciiTheme="minorHAnsi" w:hAnsiTheme="minorHAnsi"/>
          <w:noProof/>
        </w:rPr>
      </w:pPr>
      <w:hyperlink w:history="1" w:anchor="_Toc427752816">
        <w:r w:rsidRPr="00A94C41" w:rsidR="00CC4DAB">
          <w:rPr>
            <w:rStyle w:val="Hyperlink"/>
            <w:noProof/>
          </w:rPr>
          <w:t>3.</w:t>
        </w:r>
        <w:r w:rsidR="00CC4DAB">
          <w:rPr>
            <w:rFonts w:asciiTheme="minorHAnsi" w:hAnsiTheme="minorHAnsi"/>
            <w:noProof/>
          </w:rPr>
          <w:tab/>
        </w:r>
        <w:r w:rsidRPr="00A94C41" w:rsidR="00CC4DAB">
          <w:rPr>
            <w:rStyle w:val="Hyperlink"/>
            <w:noProof/>
          </w:rPr>
          <w:t>Use of Improved Information Technology and Burden Reduction</w:t>
        </w:r>
        <w:r w:rsidR="00CC4DAB">
          <w:rPr>
            <w:noProof/>
            <w:webHidden/>
          </w:rPr>
          <w:tab/>
        </w:r>
        <w:r w:rsidR="00CC4DAB">
          <w:rPr>
            <w:noProof/>
            <w:webHidden/>
          </w:rPr>
          <w:fldChar w:fldCharType="begin"/>
        </w:r>
        <w:r w:rsidR="00CC4DAB">
          <w:rPr>
            <w:noProof/>
            <w:webHidden/>
          </w:rPr>
          <w:instrText xml:space="preserve"> PAGEREF _Toc427752816 \h </w:instrText>
        </w:r>
        <w:r w:rsidR="00CC4DAB">
          <w:rPr>
            <w:noProof/>
            <w:webHidden/>
          </w:rPr>
        </w:r>
        <w:r w:rsidR="00CC4DAB">
          <w:rPr>
            <w:noProof/>
            <w:webHidden/>
          </w:rPr>
          <w:fldChar w:fldCharType="separate"/>
        </w:r>
        <w:r w:rsidR="003A37FB">
          <w:rPr>
            <w:noProof/>
            <w:webHidden/>
          </w:rPr>
          <w:t>6</w:t>
        </w:r>
        <w:r w:rsidR="00CC4DAB">
          <w:rPr>
            <w:noProof/>
            <w:webHidden/>
          </w:rPr>
          <w:fldChar w:fldCharType="end"/>
        </w:r>
      </w:hyperlink>
    </w:p>
    <w:p w:rsidR="00CC4DAB" w:rsidRDefault="00AA20D5" w14:paraId="4D425A86" w14:textId="2A7F17F3">
      <w:pPr>
        <w:pStyle w:val="TOC2"/>
        <w:rPr>
          <w:rFonts w:asciiTheme="minorHAnsi" w:hAnsiTheme="minorHAnsi"/>
          <w:noProof/>
        </w:rPr>
      </w:pPr>
      <w:hyperlink w:history="1" w:anchor="_Toc427752817">
        <w:r w:rsidRPr="00A94C41" w:rsidR="00CC4DAB">
          <w:rPr>
            <w:rStyle w:val="Hyperlink"/>
            <w:noProof/>
          </w:rPr>
          <w:t>4.</w:t>
        </w:r>
        <w:r w:rsidR="00CC4DAB">
          <w:rPr>
            <w:rFonts w:asciiTheme="minorHAnsi" w:hAnsiTheme="minorHAnsi"/>
            <w:noProof/>
          </w:rPr>
          <w:tab/>
        </w:r>
        <w:r w:rsidRPr="00A94C41" w:rsidR="00CC4DAB">
          <w:rPr>
            <w:rStyle w:val="Hyperlink"/>
            <w:noProof/>
          </w:rPr>
          <w:t>Efforts to Identify Duplication and Use of Similar Information</w:t>
        </w:r>
        <w:r w:rsidR="00CC4DAB">
          <w:rPr>
            <w:noProof/>
            <w:webHidden/>
          </w:rPr>
          <w:tab/>
        </w:r>
        <w:r w:rsidR="00CC4DAB">
          <w:rPr>
            <w:noProof/>
            <w:webHidden/>
          </w:rPr>
          <w:fldChar w:fldCharType="begin"/>
        </w:r>
        <w:r w:rsidR="00CC4DAB">
          <w:rPr>
            <w:noProof/>
            <w:webHidden/>
          </w:rPr>
          <w:instrText xml:space="preserve"> PAGEREF _Toc427752817 \h </w:instrText>
        </w:r>
        <w:r w:rsidR="00CC4DAB">
          <w:rPr>
            <w:noProof/>
            <w:webHidden/>
          </w:rPr>
        </w:r>
        <w:r w:rsidR="00CC4DAB">
          <w:rPr>
            <w:noProof/>
            <w:webHidden/>
          </w:rPr>
          <w:fldChar w:fldCharType="separate"/>
        </w:r>
        <w:r w:rsidR="003A37FB">
          <w:rPr>
            <w:noProof/>
            <w:webHidden/>
          </w:rPr>
          <w:t>7</w:t>
        </w:r>
        <w:r w:rsidR="00CC4DAB">
          <w:rPr>
            <w:noProof/>
            <w:webHidden/>
          </w:rPr>
          <w:fldChar w:fldCharType="end"/>
        </w:r>
      </w:hyperlink>
    </w:p>
    <w:p w:rsidR="00CC4DAB" w:rsidRDefault="00AA20D5" w14:paraId="0597B2E1" w14:textId="68C68A82">
      <w:pPr>
        <w:pStyle w:val="TOC2"/>
        <w:rPr>
          <w:rFonts w:asciiTheme="minorHAnsi" w:hAnsiTheme="minorHAnsi"/>
          <w:noProof/>
        </w:rPr>
      </w:pPr>
      <w:hyperlink w:history="1" w:anchor="_Toc427752818">
        <w:r w:rsidRPr="00A94C41" w:rsidR="00CC4DAB">
          <w:rPr>
            <w:rStyle w:val="Hyperlink"/>
            <w:noProof/>
          </w:rPr>
          <w:t>5.</w:t>
        </w:r>
        <w:r w:rsidR="00CC4DAB">
          <w:rPr>
            <w:rFonts w:asciiTheme="minorHAnsi" w:hAnsiTheme="minorHAnsi"/>
            <w:noProof/>
          </w:rPr>
          <w:tab/>
        </w:r>
        <w:r w:rsidRPr="00A94C41" w:rsidR="00CC4DAB">
          <w:rPr>
            <w:rStyle w:val="Hyperlink"/>
            <w:noProof/>
          </w:rPr>
          <w:t>Impact on Small Businesses or Other Small Entities</w:t>
        </w:r>
        <w:r w:rsidR="00CC4DAB">
          <w:rPr>
            <w:noProof/>
            <w:webHidden/>
          </w:rPr>
          <w:tab/>
        </w:r>
        <w:r w:rsidR="00CC4DAB">
          <w:rPr>
            <w:noProof/>
            <w:webHidden/>
          </w:rPr>
          <w:fldChar w:fldCharType="begin"/>
        </w:r>
        <w:r w:rsidR="00CC4DAB">
          <w:rPr>
            <w:noProof/>
            <w:webHidden/>
          </w:rPr>
          <w:instrText xml:space="preserve"> PAGEREF _Toc427752818 \h </w:instrText>
        </w:r>
        <w:r w:rsidR="00CC4DAB">
          <w:rPr>
            <w:noProof/>
            <w:webHidden/>
          </w:rPr>
        </w:r>
        <w:r w:rsidR="00CC4DAB">
          <w:rPr>
            <w:noProof/>
            <w:webHidden/>
          </w:rPr>
          <w:fldChar w:fldCharType="separate"/>
        </w:r>
        <w:r w:rsidR="003A37FB">
          <w:rPr>
            <w:noProof/>
            <w:webHidden/>
          </w:rPr>
          <w:t>8</w:t>
        </w:r>
        <w:r w:rsidR="00CC4DAB">
          <w:rPr>
            <w:noProof/>
            <w:webHidden/>
          </w:rPr>
          <w:fldChar w:fldCharType="end"/>
        </w:r>
      </w:hyperlink>
    </w:p>
    <w:p w:rsidR="00CC4DAB" w:rsidRDefault="00AA20D5" w14:paraId="27B6204E" w14:textId="23BC9723">
      <w:pPr>
        <w:pStyle w:val="TOC2"/>
        <w:rPr>
          <w:rFonts w:asciiTheme="minorHAnsi" w:hAnsiTheme="minorHAnsi"/>
          <w:noProof/>
        </w:rPr>
      </w:pPr>
      <w:hyperlink w:history="1" w:anchor="_Toc427752819">
        <w:r w:rsidRPr="00A94C41" w:rsidR="00CC4DAB">
          <w:rPr>
            <w:rStyle w:val="Hyperlink"/>
            <w:noProof/>
          </w:rPr>
          <w:t>6.</w:t>
        </w:r>
        <w:r w:rsidR="00CC4DAB">
          <w:rPr>
            <w:rFonts w:asciiTheme="minorHAnsi" w:hAnsiTheme="minorHAnsi"/>
            <w:noProof/>
          </w:rPr>
          <w:tab/>
        </w:r>
        <w:r w:rsidRPr="00A94C41" w:rsidR="00CC4DAB">
          <w:rPr>
            <w:rStyle w:val="Hyperlink"/>
            <w:noProof/>
          </w:rPr>
          <w:t xml:space="preserve">Consequences of Collecting the Information Less Frequently   </w:t>
        </w:r>
        <w:r w:rsidR="00CC4DAB">
          <w:rPr>
            <w:noProof/>
            <w:webHidden/>
          </w:rPr>
          <w:tab/>
        </w:r>
        <w:r w:rsidR="00CC4DAB">
          <w:rPr>
            <w:noProof/>
            <w:webHidden/>
          </w:rPr>
          <w:fldChar w:fldCharType="begin"/>
        </w:r>
        <w:r w:rsidR="00CC4DAB">
          <w:rPr>
            <w:noProof/>
            <w:webHidden/>
          </w:rPr>
          <w:instrText xml:space="preserve"> PAGEREF _Toc427752819 \h </w:instrText>
        </w:r>
        <w:r w:rsidR="00CC4DAB">
          <w:rPr>
            <w:noProof/>
            <w:webHidden/>
          </w:rPr>
        </w:r>
        <w:r w:rsidR="00CC4DAB">
          <w:rPr>
            <w:noProof/>
            <w:webHidden/>
          </w:rPr>
          <w:fldChar w:fldCharType="separate"/>
        </w:r>
        <w:r w:rsidR="003A37FB">
          <w:rPr>
            <w:noProof/>
            <w:webHidden/>
          </w:rPr>
          <w:t>8</w:t>
        </w:r>
        <w:r w:rsidR="00CC4DAB">
          <w:rPr>
            <w:noProof/>
            <w:webHidden/>
          </w:rPr>
          <w:fldChar w:fldCharType="end"/>
        </w:r>
      </w:hyperlink>
    </w:p>
    <w:p w:rsidR="00CC4DAB" w:rsidRDefault="00AA20D5" w14:paraId="11021D84" w14:textId="14FEE180">
      <w:pPr>
        <w:pStyle w:val="TOC2"/>
        <w:rPr>
          <w:rFonts w:asciiTheme="minorHAnsi" w:hAnsiTheme="minorHAnsi"/>
          <w:noProof/>
        </w:rPr>
      </w:pPr>
      <w:hyperlink w:history="1" w:anchor="_Toc427752820">
        <w:r w:rsidRPr="00A94C41" w:rsidR="00CC4DAB">
          <w:rPr>
            <w:rStyle w:val="Hyperlink"/>
            <w:noProof/>
          </w:rPr>
          <w:t>7.</w:t>
        </w:r>
        <w:r w:rsidR="00CC4DAB">
          <w:rPr>
            <w:rFonts w:asciiTheme="minorHAnsi" w:hAnsiTheme="minorHAnsi"/>
            <w:noProof/>
          </w:rPr>
          <w:tab/>
        </w:r>
        <w:r w:rsidRPr="00A94C41" w:rsidR="00CC4DAB">
          <w:rPr>
            <w:rStyle w:val="Hyperlink"/>
            <w:noProof/>
          </w:rPr>
          <w:t>Special Circumstances Relating to the Guidelines of 5 CFR 1320.5</w:t>
        </w:r>
        <w:r w:rsidR="00CC4DAB">
          <w:rPr>
            <w:noProof/>
            <w:webHidden/>
          </w:rPr>
          <w:tab/>
        </w:r>
        <w:r w:rsidR="00CC4DAB">
          <w:rPr>
            <w:noProof/>
            <w:webHidden/>
          </w:rPr>
          <w:fldChar w:fldCharType="begin"/>
        </w:r>
        <w:r w:rsidR="00CC4DAB">
          <w:rPr>
            <w:noProof/>
            <w:webHidden/>
          </w:rPr>
          <w:instrText xml:space="preserve"> PAGEREF _Toc427752820 \h </w:instrText>
        </w:r>
        <w:r w:rsidR="00CC4DAB">
          <w:rPr>
            <w:noProof/>
            <w:webHidden/>
          </w:rPr>
        </w:r>
        <w:r w:rsidR="00CC4DAB">
          <w:rPr>
            <w:noProof/>
            <w:webHidden/>
          </w:rPr>
          <w:fldChar w:fldCharType="separate"/>
        </w:r>
        <w:r w:rsidR="003A37FB">
          <w:rPr>
            <w:noProof/>
            <w:webHidden/>
          </w:rPr>
          <w:t>8</w:t>
        </w:r>
        <w:r w:rsidR="00CC4DAB">
          <w:rPr>
            <w:noProof/>
            <w:webHidden/>
          </w:rPr>
          <w:fldChar w:fldCharType="end"/>
        </w:r>
      </w:hyperlink>
    </w:p>
    <w:p w:rsidR="00CC4DAB" w:rsidRDefault="00AA20D5" w14:paraId="193307E1" w14:textId="111D9F6E">
      <w:pPr>
        <w:pStyle w:val="TOC2"/>
        <w:rPr>
          <w:rFonts w:asciiTheme="minorHAnsi" w:hAnsiTheme="minorHAnsi"/>
          <w:noProof/>
        </w:rPr>
      </w:pPr>
      <w:hyperlink w:history="1" w:anchor="_Toc427752821">
        <w:r w:rsidRPr="00A94C41" w:rsidR="00CC4DAB">
          <w:rPr>
            <w:rStyle w:val="Hyperlink"/>
            <w:noProof/>
          </w:rPr>
          <w:t>8.</w:t>
        </w:r>
        <w:r w:rsidR="00CC4DAB">
          <w:rPr>
            <w:rFonts w:asciiTheme="minorHAnsi" w:hAnsiTheme="minorHAnsi"/>
            <w:noProof/>
          </w:rPr>
          <w:tab/>
        </w:r>
        <w:r w:rsidRPr="00A94C41" w:rsidR="00CC4DAB">
          <w:rPr>
            <w:rStyle w:val="Hyperlink"/>
            <w:noProof/>
          </w:rPr>
          <w:t>Comments in Response to the Federal Register Notice and Efforts to Consult Outside the Agency</w:t>
        </w:r>
        <w:r w:rsidR="00CC4DAB">
          <w:rPr>
            <w:noProof/>
            <w:webHidden/>
          </w:rPr>
          <w:tab/>
        </w:r>
        <w:r w:rsidR="00CC4DAB">
          <w:rPr>
            <w:noProof/>
            <w:webHidden/>
          </w:rPr>
          <w:fldChar w:fldCharType="begin"/>
        </w:r>
        <w:r w:rsidR="00CC4DAB">
          <w:rPr>
            <w:noProof/>
            <w:webHidden/>
          </w:rPr>
          <w:instrText xml:space="preserve"> PAGEREF _Toc427752821 \h </w:instrText>
        </w:r>
        <w:r w:rsidR="00CC4DAB">
          <w:rPr>
            <w:noProof/>
            <w:webHidden/>
          </w:rPr>
        </w:r>
        <w:r w:rsidR="00CC4DAB">
          <w:rPr>
            <w:noProof/>
            <w:webHidden/>
          </w:rPr>
          <w:fldChar w:fldCharType="separate"/>
        </w:r>
        <w:r w:rsidR="003A37FB">
          <w:rPr>
            <w:noProof/>
            <w:webHidden/>
          </w:rPr>
          <w:t>8</w:t>
        </w:r>
        <w:r w:rsidR="00CC4DAB">
          <w:rPr>
            <w:noProof/>
            <w:webHidden/>
          </w:rPr>
          <w:fldChar w:fldCharType="end"/>
        </w:r>
      </w:hyperlink>
    </w:p>
    <w:p w:rsidR="00CC4DAB" w:rsidRDefault="00AA20D5" w14:paraId="55C1FBAF" w14:textId="3879EDB8">
      <w:pPr>
        <w:pStyle w:val="TOC2"/>
        <w:rPr>
          <w:rFonts w:asciiTheme="minorHAnsi" w:hAnsiTheme="minorHAnsi"/>
          <w:noProof/>
        </w:rPr>
      </w:pPr>
      <w:hyperlink w:history="1" w:anchor="_Toc427752822">
        <w:r w:rsidRPr="00A94C41" w:rsidR="00CC4DAB">
          <w:rPr>
            <w:rStyle w:val="Hyperlink"/>
            <w:noProof/>
          </w:rPr>
          <w:t>9.</w:t>
        </w:r>
        <w:r w:rsidR="00CC4DAB">
          <w:rPr>
            <w:rFonts w:asciiTheme="minorHAnsi" w:hAnsiTheme="minorHAnsi"/>
            <w:noProof/>
          </w:rPr>
          <w:tab/>
        </w:r>
        <w:r w:rsidRPr="00A94C41" w:rsidR="00CC4DAB">
          <w:rPr>
            <w:rStyle w:val="Hyperlink"/>
            <w:noProof/>
          </w:rPr>
          <w:t>Explanation of Any Payment or Gift to Respondents</w:t>
        </w:r>
        <w:r w:rsidR="00CC4DAB">
          <w:rPr>
            <w:noProof/>
            <w:webHidden/>
          </w:rPr>
          <w:tab/>
        </w:r>
        <w:r w:rsidR="00CC4DAB">
          <w:rPr>
            <w:noProof/>
            <w:webHidden/>
          </w:rPr>
          <w:fldChar w:fldCharType="begin"/>
        </w:r>
        <w:r w:rsidR="00CC4DAB">
          <w:rPr>
            <w:noProof/>
            <w:webHidden/>
          </w:rPr>
          <w:instrText xml:space="preserve"> PAGEREF _Toc427752822 \h </w:instrText>
        </w:r>
        <w:r w:rsidR="00CC4DAB">
          <w:rPr>
            <w:noProof/>
            <w:webHidden/>
          </w:rPr>
        </w:r>
        <w:r w:rsidR="00CC4DAB">
          <w:rPr>
            <w:noProof/>
            <w:webHidden/>
          </w:rPr>
          <w:fldChar w:fldCharType="separate"/>
        </w:r>
        <w:r w:rsidR="003A37FB">
          <w:rPr>
            <w:noProof/>
            <w:webHidden/>
          </w:rPr>
          <w:t>8</w:t>
        </w:r>
        <w:r w:rsidR="00CC4DAB">
          <w:rPr>
            <w:noProof/>
            <w:webHidden/>
          </w:rPr>
          <w:fldChar w:fldCharType="end"/>
        </w:r>
      </w:hyperlink>
    </w:p>
    <w:p w:rsidR="00CC4DAB" w:rsidRDefault="00AA20D5" w14:paraId="0DE14437" w14:textId="38A16C82">
      <w:pPr>
        <w:pStyle w:val="TOC2"/>
        <w:rPr>
          <w:rFonts w:asciiTheme="minorHAnsi" w:hAnsiTheme="minorHAnsi"/>
          <w:noProof/>
        </w:rPr>
      </w:pPr>
      <w:hyperlink w:history="1" w:anchor="_Toc427752823">
        <w:r w:rsidRPr="00A94C41" w:rsidR="00CC4DAB">
          <w:rPr>
            <w:rStyle w:val="Hyperlink"/>
            <w:noProof/>
          </w:rPr>
          <w:t>10.</w:t>
        </w:r>
        <w:r w:rsidR="00CC4DAB">
          <w:rPr>
            <w:rFonts w:asciiTheme="minorHAnsi" w:hAnsiTheme="minorHAnsi"/>
            <w:noProof/>
          </w:rPr>
          <w:tab/>
        </w:r>
        <w:r w:rsidRPr="00A94C41" w:rsidR="00CC4DAB">
          <w:rPr>
            <w:rStyle w:val="Hyperlink"/>
            <w:noProof/>
          </w:rPr>
          <w:t>Protection of the Privacy and Confidentiality of Information Provided by Respondents</w:t>
        </w:r>
        <w:r w:rsidR="00CC4DAB">
          <w:rPr>
            <w:noProof/>
            <w:webHidden/>
          </w:rPr>
          <w:tab/>
        </w:r>
        <w:r w:rsidR="00CC4DAB">
          <w:rPr>
            <w:noProof/>
            <w:webHidden/>
          </w:rPr>
          <w:fldChar w:fldCharType="begin"/>
        </w:r>
        <w:r w:rsidR="00CC4DAB">
          <w:rPr>
            <w:noProof/>
            <w:webHidden/>
          </w:rPr>
          <w:instrText xml:space="preserve"> PAGEREF _Toc427752823 \h </w:instrText>
        </w:r>
        <w:r w:rsidR="00CC4DAB">
          <w:rPr>
            <w:noProof/>
            <w:webHidden/>
          </w:rPr>
        </w:r>
        <w:r w:rsidR="00CC4DAB">
          <w:rPr>
            <w:noProof/>
            <w:webHidden/>
          </w:rPr>
          <w:fldChar w:fldCharType="separate"/>
        </w:r>
        <w:r w:rsidR="003A37FB">
          <w:rPr>
            <w:noProof/>
            <w:webHidden/>
          </w:rPr>
          <w:t>8</w:t>
        </w:r>
        <w:r w:rsidR="00CC4DAB">
          <w:rPr>
            <w:noProof/>
            <w:webHidden/>
          </w:rPr>
          <w:fldChar w:fldCharType="end"/>
        </w:r>
      </w:hyperlink>
    </w:p>
    <w:p w:rsidR="00CC4DAB" w:rsidRDefault="00AA20D5" w14:paraId="1602AB14" w14:textId="23CC87B4">
      <w:pPr>
        <w:pStyle w:val="TOC2"/>
        <w:rPr>
          <w:rFonts w:asciiTheme="minorHAnsi" w:hAnsiTheme="minorHAnsi"/>
          <w:noProof/>
        </w:rPr>
      </w:pPr>
      <w:hyperlink w:history="1" w:anchor="_Toc427752824">
        <w:r w:rsidRPr="00A94C41" w:rsidR="00CC4DAB">
          <w:rPr>
            <w:rStyle w:val="Hyperlink"/>
            <w:noProof/>
          </w:rPr>
          <w:t>11.</w:t>
        </w:r>
        <w:r w:rsidR="00CC4DAB">
          <w:rPr>
            <w:rFonts w:asciiTheme="minorHAnsi" w:hAnsiTheme="minorHAnsi"/>
            <w:noProof/>
          </w:rPr>
          <w:tab/>
        </w:r>
        <w:r w:rsidRPr="00A94C41" w:rsidR="00CC4DAB">
          <w:rPr>
            <w:rStyle w:val="Hyperlink"/>
            <w:noProof/>
          </w:rPr>
          <w:t>Institutional Review Board (IRB) and Justification for Sensitive Questions</w:t>
        </w:r>
        <w:r w:rsidR="00CC4DAB">
          <w:rPr>
            <w:noProof/>
            <w:webHidden/>
          </w:rPr>
          <w:tab/>
        </w:r>
        <w:r w:rsidR="00CC4DAB">
          <w:rPr>
            <w:noProof/>
            <w:webHidden/>
          </w:rPr>
          <w:fldChar w:fldCharType="begin"/>
        </w:r>
        <w:r w:rsidR="00CC4DAB">
          <w:rPr>
            <w:noProof/>
            <w:webHidden/>
          </w:rPr>
          <w:instrText xml:space="preserve"> PAGEREF _Toc427752824 \h </w:instrText>
        </w:r>
        <w:r w:rsidR="00CC4DAB">
          <w:rPr>
            <w:noProof/>
            <w:webHidden/>
          </w:rPr>
        </w:r>
        <w:r w:rsidR="00CC4DAB">
          <w:rPr>
            <w:noProof/>
            <w:webHidden/>
          </w:rPr>
          <w:fldChar w:fldCharType="separate"/>
        </w:r>
        <w:r w:rsidR="003A37FB">
          <w:rPr>
            <w:noProof/>
            <w:webHidden/>
          </w:rPr>
          <w:t>9</w:t>
        </w:r>
        <w:r w:rsidR="00CC4DAB">
          <w:rPr>
            <w:noProof/>
            <w:webHidden/>
          </w:rPr>
          <w:fldChar w:fldCharType="end"/>
        </w:r>
      </w:hyperlink>
    </w:p>
    <w:p w:rsidR="00CC4DAB" w:rsidRDefault="00AA20D5" w14:paraId="7F69E179" w14:textId="787EBB03">
      <w:pPr>
        <w:pStyle w:val="TOC2"/>
        <w:rPr>
          <w:rFonts w:asciiTheme="minorHAnsi" w:hAnsiTheme="minorHAnsi"/>
          <w:noProof/>
        </w:rPr>
      </w:pPr>
      <w:hyperlink w:history="1" w:anchor="_Toc427752825">
        <w:r w:rsidRPr="00A94C41" w:rsidR="00CC4DAB">
          <w:rPr>
            <w:rStyle w:val="Hyperlink"/>
            <w:noProof/>
          </w:rPr>
          <w:t>12.</w:t>
        </w:r>
        <w:r w:rsidR="00CC4DAB">
          <w:rPr>
            <w:rFonts w:asciiTheme="minorHAnsi" w:hAnsiTheme="minorHAnsi"/>
            <w:noProof/>
          </w:rPr>
          <w:tab/>
        </w:r>
        <w:r w:rsidRPr="00A94C41" w:rsidR="00CC4DAB">
          <w:rPr>
            <w:rStyle w:val="Hyperlink"/>
            <w:noProof/>
          </w:rPr>
          <w:t>Estimates of Annualized Burden Hours and Costs</w:t>
        </w:r>
        <w:r w:rsidR="00CC4DAB">
          <w:rPr>
            <w:noProof/>
            <w:webHidden/>
          </w:rPr>
          <w:tab/>
        </w:r>
        <w:r w:rsidR="00CC4DAB">
          <w:rPr>
            <w:noProof/>
            <w:webHidden/>
          </w:rPr>
          <w:fldChar w:fldCharType="begin"/>
        </w:r>
        <w:r w:rsidR="00CC4DAB">
          <w:rPr>
            <w:noProof/>
            <w:webHidden/>
          </w:rPr>
          <w:instrText xml:space="preserve"> PAGEREF _Toc427752825 \h </w:instrText>
        </w:r>
        <w:r w:rsidR="00CC4DAB">
          <w:rPr>
            <w:noProof/>
            <w:webHidden/>
          </w:rPr>
        </w:r>
        <w:r w:rsidR="00CC4DAB">
          <w:rPr>
            <w:noProof/>
            <w:webHidden/>
          </w:rPr>
          <w:fldChar w:fldCharType="separate"/>
        </w:r>
        <w:r w:rsidR="003A37FB">
          <w:rPr>
            <w:noProof/>
            <w:webHidden/>
          </w:rPr>
          <w:t>9</w:t>
        </w:r>
        <w:r w:rsidR="00CC4DAB">
          <w:rPr>
            <w:noProof/>
            <w:webHidden/>
          </w:rPr>
          <w:fldChar w:fldCharType="end"/>
        </w:r>
      </w:hyperlink>
    </w:p>
    <w:p w:rsidR="00CC4DAB" w:rsidRDefault="00AA20D5" w14:paraId="1BFBDC8A" w14:textId="30D94BE4">
      <w:pPr>
        <w:pStyle w:val="TOC2"/>
        <w:rPr>
          <w:rFonts w:asciiTheme="minorHAnsi" w:hAnsiTheme="minorHAnsi"/>
          <w:noProof/>
        </w:rPr>
      </w:pPr>
      <w:hyperlink w:history="1" w:anchor="_Toc427752826">
        <w:r w:rsidRPr="00A94C41" w:rsidR="00CC4DAB">
          <w:rPr>
            <w:rStyle w:val="Hyperlink"/>
            <w:noProof/>
          </w:rPr>
          <w:t>13.</w:t>
        </w:r>
        <w:r w:rsidR="00CC4DAB">
          <w:rPr>
            <w:rFonts w:asciiTheme="minorHAnsi" w:hAnsiTheme="minorHAnsi"/>
            <w:noProof/>
          </w:rPr>
          <w:tab/>
        </w:r>
        <w:r w:rsidRPr="00A94C41" w:rsidR="00CC4DAB">
          <w:rPr>
            <w:rStyle w:val="Hyperlink"/>
            <w:noProof/>
          </w:rPr>
          <w:t>Estimates of Other Total Annual Cost Burden to Respondents or Record Keepers</w:t>
        </w:r>
        <w:r w:rsidR="00CC4DAB">
          <w:rPr>
            <w:noProof/>
            <w:webHidden/>
          </w:rPr>
          <w:tab/>
        </w:r>
        <w:r w:rsidR="00CC4DAB">
          <w:rPr>
            <w:noProof/>
            <w:webHidden/>
          </w:rPr>
          <w:fldChar w:fldCharType="begin"/>
        </w:r>
        <w:r w:rsidR="00CC4DAB">
          <w:rPr>
            <w:noProof/>
            <w:webHidden/>
          </w:rPr>
          <w:instrText xml:space="preserve"> PAGEREF _Toc427752826 \h </w:instrText>
        </w:r>
        <w:r w:rsidR="00CC4DAB">
          <w:rPr>
            <w:noProof/>
            <w:webHidden/>
          </w:rPr>
        </w:r>
        <w:r w:rsidR="00CC4DAB">
          <w:rPr>
            <w:noProof/>
            <w:webHidden/>
          </w:rPr>
          <w:fldChar w:fldCharType="separate"/>
        </w:r>
        <w:r w:rsidR="003A37FB">
          <w:rPr>
            <w:noProof/>
            <w:webHidden/>
          </w:rPr>
          <w:t>10</w:t>
        </w:r>
        <w:r w:rsidR="00CC4DAB">
          <w:rPr>
            <w:noProof/>
            <w:webHidden/>
          </w:rPr>
          <w:fldChar w:fldCharType="end"/>
        </w:r>
      </w:hyperlink>
    </w:p>
    <w:p w:rsidR="00CC4DAB" w:rsidRDefault="00AA20D5" w14:paraId="28485E18" w14:textId="484C68D9">
      <w:pPr>
        <w:pStyle w:val="TOC2"/>
        <w:rPr>
          <w:rFonts w:asciiTheme="minorHAnsi" w:hAnsiTheme="minorHAnsi"/>
          <w:noProof/>
        </w:rPr>
      </w:pPr>
      <w:hyperlink w:history="1" w:anchor="_Toc427752827">
        <w:r w:rsidRPr="00A94C41" w:rsidR="00CC4DAB">
          <w:rPr>
            <w:rStyle w:val="Hyperlink"/>
            <w:noProof/>
          </w:rPr>
          <w:t>14.</w:t>
        </w:r>
        <w:r w:rsidR="00CC4DAB">
          <w:rPr>
            <w:rFonts w:asciiTheme="minorHAnsi" w:hAnsiTheme="minorHAnsi"/>
            <w:noProof/>
          </w:rPr>
          <w:tab/>
        </w:r>
        <w:r w:rsidRPr="00A94C41" w:rsidR="00CC4DAB">
          <w:rPr>
            <w:rStyle w:val="Hyperlink"/>
            <w:noProof/>
          </w:rPr>
          <w:t>Annualized Cost to the Government</w:t>
        </w:r>
        <w:r w:rsidR="00CC4DAB">
          <w:rPr>
            <w:noProof/>
            <w:webHidden/>
          </w:rPr>
          <w:tab/>
        </w:r>
        <w:r w:rsidR="00B953BF">
          <w:rPr>
            <w:noProof/>
            <w:webHidden/>
          </w:rPr>
          <w:t>10</w:t>
        </w:r>
      </w:hyperlink>
    </w:p>
    <w:p w:rsidR="00CC4DAB" w:rsidRDefault="00AA20D5" w14:paraId="7B4E8EE4" w14:textId="029C068B">
      <w:pPr>
        <w:pStyle w:val="TOC2"/>
        <w:rPr>
          <w:rFonts w:asciiTheme="minorHAnsi" w:hAnsiTheme="minorHAnsi"/>
          <w:noProof/>
        </w:rPr>
      </w:pPr>
      <w:hyperlink w:history="1" w:anchor="_Toc427752828">
        <w:r w:rsidRPr="00A94C41" w:rsidR="00CC4DAB">
          <w:rPr>
            <w:rStyle w:val="Hyperlink"/>
            <w:noProof/>
          </w:rPr>
          <w:t>15.</w:t>
        </w:r>
        <w:r w:rsidR="00CC4DAB">
          <w:rPr>
            <w:rFonts w:asciiTheme="minorHAnsi" w:hAnsiTheme="minorHAnsi"/>
            <w:noProof/>
          </w:rPr>
          <w:tab/>
        </w:r>
        <w:r w:rsidRPr="00A94C41" w:rsidR="00CC4DAB">
          <w:rPr>
            <w:rStyle w:val="Hyperlink"/>
            <w:noProof/>
          </w:rPr>
          <w:t>Explanation for Program Changes or Adjustments</w:t>
        </w:r>
        <w:r w:rsidR="00CC4DAB">
          <w:rPr>
            <w:noProof/>
            <w:webHidden/>
          </w:rPr>
          <w:tab/>
        </w:r>
        <w:r w:rsidR="00B953BF">
          <w:rPr>
            <w:noProof/>
            <w:webHidden/>
          </w:rPr>
          <w:t>11</w:t>
        </w:r>
      </w:hyperlink>
    </w:p>
    <w:p w:rsidR="00CC4DAB" w:rsidRDefault="00AA20D5" w14:paraId="0FCCA84F" w14:textId="7A4FD95A">
      <w:pPr>
        <w:pStyle w:val="TOC2"/>
        <w:rPr>
          <w:rFonts w:asciiTheme="minorHAnsi" w:hAnsiTheme="minorHAnsi"/>
          <w:noProof/>
        </w:rPr>
      </w:pPr>
      <w:hyperlink w:history="1" w:anchor="_Toc427752829">
        <w:r w:rsidRPr="00A94C41" w:rsidR="00CC4DAB">
          <w:rPr>
            <w:rStyle w:val="Hyperlink"/>
            <w:noProof/>
          </w:rPr>
          <w:t>16.</w:t>
        </w:r>
        <w:r w:rsidR="00CC4DAB">
          <w:rPr>
            <w:rFonts w:asciiTheme="minorHAnsi" w:hAnsiTheme="minorHAnsi"/>
            <w:noProof/>
          </w:rPr>
          <w:tab/>
        </w:r>
        <w:r w:rsidRPr="00A94C41" w:rsidR="00CC4DAB">
          <w:rPr>
            <w:rStyle w:val="Hyperlink"/>
            <w:noProof/>
          </w:rPr>
          <w:t>Plans for Tabulation and Publication and Project Time Schedule</w:t>
        </w:r>
        <w:r w:rsidR="00CC4DAB">
          <w:rPr>
            <w:noProof/>
            <w:webHidden/>
          </w:rPr>
          <w:tab/>
        </w:r>
        <w:r w:rsidR="00B953BF">
          <w:rPr>
            <w:noProof/>
            <w:webHidden/>
          </w:rPr>
          <w:t>11</w:t>
        </w:r>
      </w:hyperlink>
    </w:p>
    <w:p w:rsidR="00CC4DAB" w:rsidRDefault="00AA20D5" w14:paraId="39618C55" w14:textId="7414165A">
      <w:pPr>
        <w:pStyle w:val="TOC2"/>
        <w:rPr>
          <w:rFonts w:asciiTheme="minorHAnsi" w:hAnsiTheme="minorHAnsi"/>
          <w:noProof/>
        </w:rPr>
      </w:pPr>
      <w:hyperlink w:history="1" w:anchor="_Toc427752830">
        <w:r w:rsidRPr="00A94C41" w:rsidR="00CC4DAB">
          <w:rPr>
            <w:rStyle w:val="Hyperlink"/>
            <w:noProof/>
          </w:rPr>
          <w:t>17.</w:t>
        </w:r>
        <w:r w:rsidR="00CC4DAB">
          <w:rPr>
            <w:rFonts w:asciiTheme="minorHAnsi" w:hAnsiTheme="minorHAnsi"/>
            <w:noProof/>
          </w:rPr>
          <w:tab/>
        </w:r>
        <w:r w:rsidRPr="00A94C41" w:rsidR="00CC4DAB">
          <w:rPr>
            <w:rStyle w:val="Hyperlink"/>
            <w:noProof/>
          </w:rPr>
          <w:t>Reason(s) Display of OMB Expiration Date is Inappropriate</w:t>
        </w:r>
        <w:r w:rsidR="00CC4DAB">
          <w:rPr>
            <w:noProof/>
            <w:webHidden/>
          </w:rPr>
          <w:tab/>
        </w:r>
        <w:r w:rsidR="00B953BF">
          <w:rPr>
            <w:noProof/>
            <w:webHidden/>
          </w:rPr>
          <w:t>12</w:t>
        </w:r>
      </w:hyperlink>
    </w:p>
    <w:p w:rsidR="00CC4DAB" w:rsidRDefault="00AA20D5" w14:paraId="6E51641B" w14:textId="4000CBEE">
      <w:pPr>
        <w:pStyle w:val="TOC2"/>
        <w:rPr>
          <w:rFonts w:asciiTheme="minorHAnsi" w:hAnsiTheme="minorHAnsi"/>
          <w:noProof/>
        </w:rPr>
      </w:pPr>
      <w:hyperlink w:history="1" w:anchor="_Toc427752831">
        <w:r w:rsidRPr="00A94C41" w:rsidR="00CC4DAB">
          <w:rPr>
            <w:rStyle w:val="Hyperlink"/>
            <w:noProof/>
          </w:rPr>
          <w:t>18.</w:t>
        </w:r>
        <w:r w:rsidR="00CC4DAB">
          <w:rPr>
            <w:rFonts w:asciiTheme="minorHAnsi" w:hAnsiTheme="minorHAnsi"/>
            <w:noProof/>
          </w:rPr>
          <w:tab/>
        </w:r>
        <w:r w:rsidRPr="00A94C41" w:rsidR="00CC4DAB">
          <w:rPr>
            <w:rStyle w:val="Hyperlink"/>
            <w:noProof/>
          </w:rPr>
          <w:t>Exceptions to Certification for Paperwork Reduction Act Submissions</w:t>
        </w:r>
        <w:r w:rsidR="00CC4DAB">
          <w:rPr>
            <w:noProof/>
            <w:webHidden/>
          </w:rPr>
          <w:tab/>
        </w:r>
        <w:r w:rsidR="00CC4DAB">
          <w:rPr>
            <w:noProof/>
            <w:webHidden/>
          </w:rPr>
          <w:fldChar w:fldCharType="begin"/>
        </w:r>
        <w:r w:rsidR="00CC4DAB">
          <w:rPr>
            <w:noProof/>
            <w:webHidden/>
          </w:rPr>
          <w:instrText xml:space="preserve"> PAGEREF _Toc427752831 \h </w:instrText>
        </w:r>
        <w:r w:rsidR="00CC4DAB">
          <w:rPr>
            <w:noProof/>
            <w:webHidden/>
          </w:rPr>
        </w:r>
        <w:r w:rsidR="00CC4DAB">
          <w:rPr>
            <w:noProof/>
            <w:webHidden/>
          </w:rPr>
          <w:fldChar w:fldCharType="separate"/>
        </w:r>
        <w:r w:rsidR="003A37FB">
          <w:rPr>
            <w:noProof/>
            <w:webHidden/>
          </w:rPr>
          <w:t>1</w:t>
        </w:r>
        <w:r w:rsidR="00B953BF">
          <w:rPr>
            <w:noProof/>
            <w:webHidden/>
          </w:rPr>
          <w:t>3</w:t>
        </w:r>
        <w:r w:rsidR="00CC4DAB">
          <w:rPr>
            <w:noProof/>
            <w:webHidden/>
          </w:rPr>
          <w:fldChar w:fldCharType="end"/>
        </w:r>
      </w:hyperlink>
    </w:p>
    <w:p w:rsidR="00CC4DAB" w:rsidRDefault="00AA20D5" w14:paraId="437A47BC" w14:textId="7AC52C01">
      <w:pPr>
        <w:pStyle w:val="TOC1"/>
        <w:tabs>
          <w:tab w:val="right" w:leader="dot" w:pos="9350"/>
        </w:tabs>
        <w:rPr>
          <w:rFonts w:asciiTheme="minorHAnsi" w:hAnsiTheme="minorHAnsi"/>
          <w:noProof/>
        </w:rPr>
      </w:pPr>
      <w:hyperlink w:history="1" w:anchor="_Toc427752832">
        <w:r w:rsidRPr="00A94C41" w:rsidR="00CC4DAB">
          <w:rPr>
            <w:rStyle w:val="Hyperlink"/>
            <w:noProof/>
          </w:rPr>
          <w:t>LIST OF ATTACHMENTS – Section A</w:t>
        </w:r>
        <w:r w:rsidR="00CC4DAB">
          <w:rPr>
            <w:noProof/>
            <w:webHidden/>
          </w:rPr>
          <w:tab/>
        </w:r>
        <w:r w:rsidR="00B953BF">
          <w:rPr>
            <w:noProof/>
            <w:webHidden/>
          </w:rPr>
          <w:t>13</w:t>
        </w:r>
      </w:hyperlink>
    </w:p>
    <w:p w:rsidR="00CC4DAB" w:rsidRDefault="00AA20D5" w14:paraId="451ECEBD" w14:textId="4F7D9B61">
      <w:pPr>
        <w:pStyle w:val="TOC1"/>
        <w:tabs>
          <w:tab w:val="right" w:leader="dot" w:pos="9350"/>
        </w:tabs>
        <w:rPr>
          <w:rFonts w:asciiTheme="minorHAnsi" w:hAnsiTheme="minorHAnsi"/>
          <w:noProof/>
        </w:rPr>
      </w:pPr>
      <w:hyperlink w:history="1" w:anchor="_Toc427752833">
        <w:r w:rsidRPr="00A94C41" w:rsidR="00CC4DAB">
          <w:rPr>
            <w:rStyle w:val="Hyperlink"/>
            <w:noProof/>
          </w:rPr>
          <w:t xml:space="preserve">REFERENCE LIST </w:t>
        </w:r>
        <w:r w:rsidR="00CC4DAB">
          <w:rPr>
            <w:noProof/>
            <w:webHidden/>
          </w:rPr>
          <w:tab/>
        </w:r>
        <w:r w:rsidR="00B953BF">
          <w:rPr>
            <w:noProof/>
            <w:webHidden/>
          </w:rPr>
          <w:t>13</w:t>
        </w:r>
      </w:hyperlink>
    </w:p>
    <w:p w:rsidR="003860A5" w:rsidP="00CA5840" w:rsidRDefault="003860A5" w14:paraId="7E0F2413" w14:textId="77777777">
      <w:pPr>
        <w:pStyle w:val="Heading3"/>
        <w:ind w:left="0"/>
      </w:pPr>
      <w:r>
        <w:fldChar w:fldCharType="end"/>
      </w:r>
    </w:p>
    <w:p w:rsidR="00487937" w:rsidP="00CA5840" w:rsidRDefault="00487937" w14:paraId="25E7D594" w14:textId="77777777">
      <w:pPr>
        <w:pStyle w:val="Heading3"/>
        <w:ind w:left="0"/>
      </w:pPr>
      <w:bookmarkStart w:name="_Toc413847747" w:id="3"/>
      <w:bookmarkStart w:name="_Toc427752812" w:id="4"/>
      <w:r w:rsidRPr="00487937">
        <w:rPr>
          <w:rFonts w:ascii="Calibri" w:hAnsi="Calibri" w:eastAsia="Calibri" w:cs="Times New Roman"/>
          <w:b w:val="0"/>
          <w:noProof/>
          <w:sz w:val="22"/>
        </w:rPr>
        <w:lastRenderedPageBreak/>
        <mc:AlternateContent>
          <mc:Choice Requires="wps">
            <w:drawing>
              <wp:inline distT="0" distB="0" distL="0" distR="0" wp14:anchorId="2DCDB37C" wp14:editId="4F71125F">
                <wp:extent cx="6162675" cy="3952875"/>
                <wp:effectExtent l="0" t="0" r="28575"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952875"/>
                        </a:xfrm>
                        <a:prstGeom prst="rect">
                          <a:avLst/>
                        </a:prstGeom>
                        <a:solidFill>
                          <a:srgbClr val="FFFFFF"/>
                        </a:solidFill>
                        <a:ln w="9525">
                          <a:solidFill>
                            <a:srgbClr val="000000"/>
                          </a:solidFill>
                          <a:miter lim="800000"/>
                          <a:headEnd/>
                          <a:tailEnd/>
                        </a:ln>
                      </wps:spPr>
                      <wps:txbx>
                        <w:txbxContent>
                          <w:p w:rsidRPr="00B953BF" w:rsidR="00F51887" w:rsidP="00C822CF" w:rsidRDefault="00F51887" w14:paraId="060CD253" w14:textId="2C6A8BE8">
                            <w:pPr>
                              <w:pStyle w:val="ListParagraph"/>
                              <w:numPr>
                                <w:ilvl w:val="0"/>
                                <w:numId w:val="8"/>
                              </w:numPr>
                              <w:tabs>
                                <w:tab w:val="clear" w:pos="9360"/>
                              </w:tabs>
                              <w:spacing w:after="200" w:line="252" w:lineRule="auto"/>
                            </w:pPr>
                            <w:r w:rsidRPr="00B953BF">
                              <w:rPr>
                                <w:b/>
                              </w:rPr>
                              <w:t xml:space="preserve">Purpose of the data collection – </w:t>
                            </w:r>
                            <w:r w:rsidRPr="00B953BF" w:rsidR="00790804">
                              <w:rPr>
                                <w:bCs/>
                              </w:rPr>
                              <w:t>data will be collected for three</w:t>
                            </w:r>
                            <w:r w:rsidRPr="00B953BF" w:rsidR="00790804">
                              <w:t xml:space="preserve"> purposes: </w:t>
                            </w:r>
                            <w:r w:rsidRPr="00B953BF" w:rsidR="00790804">
                              <w:rPr>
                                <w:iCs/>
                              </w:rPr>
                              <w:t xml:space="preserve">(1) to assess how accurately and completely the </w:t>
                            </w:r>
                            <w:r w:rsidRPr="00B953BF" w:rsidR="004054D8">
                              <w:rPr>
                                <w:iCs/>
                              </w:rPr>
                              <w:t>National Health Security</w:t>
                            </w:r>
                            <w:r w:rsidRPr="00B953BF" w:rsidR="001A5351">
                              <w:rPr>
                                <w:iCs/>
                              </w:rPr>
                              <w:t xml:space="preserve"> Preparedness</w:t>
                            </w:r>
                            <w:r w:rsidRPr="00B953BF" w:rsidR="004054D8">
                              <w:rPr>
                                <w:iCs/>
                              </w:rPr>
                              <w:t xml:space="preserve"> </w:t>
                            </w:r>
                            <w:r w:rsidRPr="00B953BF" w:rsidR="00790804">
                              <w:rPr>
                                <w:iCs/>
                              </w:rPr>
                              <w:t>Index measures the contributions of state and local</w:t>
                            </w:r>
                            <w:r w:rsidRPr="00B953BF" w:rsidR="001A5351">
                              <w:rPr>
                                <w:iCs/>
                              </w:rPr>
                              <w:t xml:space="preserve"> public health emergency preparedness and response</w:t>
                            </w:r>
                            <w:r w:rsidRPr="00B953BF" w:rsidR="00790804">
                              <w:rPr>
                                <w:iCs/>
                              </w:rPr>
                              <w:t xml:space="preserve"> </w:t>
                            </w:r>
                            <w:r w:rsidRPr="00B953BF" w:rsidR="001A5351">
                              <w:rPr>
                                <w:iCs/>
                              </w:rPr>
                              <w:t>(</w:t>
                            </w:r>
                            <w:r w:rsidRPr="00B953BF" w:rsidR="00790804">
                              <w:rPr>
                                <w:iCs/>
                              </w:rPr>
                              <w:t>PHEP</w:t>
                            </w:r>
                            <w:r w:rsidRPr="00B953BF" w:rsidR="00C2394E">
                              <w:rPr>
                                <w:iCs/>
                              </w:rPr>
                              <w:t>)</w:t>
                            </w:r>
                            <w:r w:rsidRPr="00B953BF" w:rsidR="00790804">
                              <w:rPr>
                                <w:iCs/>
                              </w:rPr>
                              <w:t xml:space="preserve"> programs to community preparedness and overall health security; (2) to identify a core set of PHEP metrics that these programs can use to assess and improve their activities; and (3) to identify </w:t>
                            </w:r>
                            <w:r w:rsidRPr="00B953BF" w:rsidR="00790804">
                              <w:t>strategies for improving the usability and usefulness of the Index for state and local PHEP program stakeholders</w:t>
                            </w:r>
                            <w:r w:rsidRPr="00B953BF" w:rsidR="00790804">
                              <w:rPr>
                                <w:iCs/>
                              </w:rPr>
                              <w:t>.</w:t>
                            </w:r>
                          </w:p>
                          <w:p w:rsidRPr="00B953BF" w:rsidR="00F51887" w:rsidP="00C822CF" w:rsidRDefault="00F51887" w14:paraId="34ED6430" w14:textId="77777777">
                            <w:pPr>
                              <w:pStyle w:val="ListParagraph"/>
                              <w:ind w:left="360"/>
                            </w:pPr>
                          </w:p>
                          <w:p w:rsidRPr="00B953BF" w:rsidR="00F51887" w:rsidP="00C822CF" w:rsidRDefault="00F51887" w14:paraId="57A65F0F" w14:textId="640368FB">
                            <w:pPr>
                              <w:pStyle w:val="ListParagraph"/>
                              <w:numPr>
                                <w:ilvl w:val="0"/>
                                <w:numId w:val="8"/>
                              </w:numPr>
                              <w:tabs>
                                <w:tab w:val="clear" w:pos="9360"/>
                              </w:tabs>
                              <w:spacing w:after="160" w:line="252" w:lineRule="auto"/>
                            </w:pPr>
                            <w:r w:rsidRPr="00B953BF">
                              <w:rPr>
                                <w:b/>
                              </w:rPr>
                              <w:t xml:space="preserve">Intended use of the resulting data </w:t>
                            </w:r>
                            <w:r w:rsidRPr="00B953BF" w:rsidR="00790804">
                              <w:rPr>
                                <w:b/>
                              </w:rPr>
                              <w:t>–</w:t>
                            </w:r>
                            <w:r w:rsidRPr="00B953BF">
                              <w:rPr>
                                <w:b/>
                              </w:rPr>
                              <w:t xml:space="preserve"> </w:t>
                            </w:r>
                            <w:r w:rsidRPr="00B953BF" w:rsidR="00790804">
                              <w:rPr>
                                <w:bCs/>
                              </w:rPr>
                              <w:t>data will</w:t>
                            </w:r>
                            <w:r w:rsidRPr="00B953BF" w:rsidR="00790804">
                              <w:rPr>
                                <w:b/>
                              </w:rPr>
                              <w:t xml:space="preserve"> </w:t>
                            </w:r>
                            <w:r w:rsidRPr="00B953BF" w:rsidR="00790804">
                              <w:rPr>
                                <w:iCs/>
                              </w:rPr>
                              <w:t>be used to characterize the relevance, completeness, and utility of the Index for PHEP programs. These results, in turn, will be used to expand and improve the Index measurement set and to develop a collection of guides and tools that help PHEP programs use the Index to strengthen their activities</w:t>
                            </w:r>
                            <w:r w:rsidRPr="00B953BF" w:rsidR="00B953BF">
                              <w:rPr>
                                <w:iCs/>
                              </w:rPr>
                              <w:t>.</w:t>
                            </w:r>
                          </w:p>
                          <w:p w:rsidRPr="00DB2ABD" w:rsidR="00F51887" w:rsidP="00C822CF" w:rsidRDefault="00F51887" w14:paraId="2499AE33" w14:textId="77777777">
                            <w:pPr>
                              <w:pStyle w:val="ListParagraph"/>
                              <w:tabs>
                                <w:tab w:val="clear" w:pos="9360"/>
                              </w:tabs>
                              <w:ind w:left="360"/>
                            </w:pPr>
                          </w:p>
                          <w:p w:rsidRPr="00DB2ABD" w:rsidR="00F51887" w:rsidP="00C822CF" w:rsidRDefault="00F51887" w14:paraId="36BC95A6" w14:textId="3B60C6E2">
                            <w:pPr>
                              <w:pStyle w:val="ListParagraph"/>
                              <w:numPr>
                                <w:ilvl w:val="0"/>
                                <w:numId w:val="8"/>
                              </w:numPr>
                              <w:tabs>
                                <w:tab w:val="clear" w:pos="9360"/>
                              </w:tabs>
                            </w:pPr>
                            <w:r w:rsidRPr="00DB2ABD">
                              <w:rPr>
                                <w:b/>
                              </w:rPr>
                              <w:t xml:space="preserve">Methods to be used to collect data - </w:t>
                            </w:r>
                            <w:r w:rsidRPr="00870284">
                              <w:t xml:space="preserve">Online assessment and </w:t>
                            </w:r>
                            <w:r>
                              <w:t>telephone interviews</w:t>
                            </w:r>
                            <w:r w:rsidRPr="00DB2ABD">
                              <w:rPr>
                                <w:b/>
                              </w:rPr>
                              <w:t xml:space="preserve"> </w:t>
                            </w:r>
                          </w:p>
                          <w:p w:rsidRPr="00DB2ABD" w:rsidR="00F51887" w:rsidP="00C822CF" w:rsidRDefault="00F51887" w14:paraId="7BC5C0D7" w14:textId="77777777">
                            <w:pPr>
                              <w:pStyle w:val="ListParagraph"/>
                              <w:tabs>
                                <w:tab w:val="clear" w:pos="9360"/>
                              </w:tabs>
                              <w:spacing w:after="200"/>
                              <w:ind w:left="360"/>
                            </w:pPr>
                          </w:p>
                          <w:p w:rsidRPr="00DB2ABD" w:rsidR="00F51887" w:rsidP="00C822CF" w:rsidRDefault="00F51887" w14:paraId="6C83F981" w14:textId="309D9BC4">
                            <w:pPr>
                              <w:pStyle w:val="ListParagraph"/>
                              <w:numPr>
                                <w:ilvl w:val="0"/>
                                <w:numId w:val="8"/>
                              </w:numPr>
                              <w:tabs>
                                <w:tab w:val="clear" w:pos="9360"/>
                              </w:tabs>
                            </w:pPr>
                            <w:r w:rsidRPr="00DB2ABD">
                              <w:rPr>
                                <w:b/>
                              </w:rPr>
                              <w:t xml:space="preserve">Respondent Universe – </w:t>
                            </w:r>
                            <w:r w:rsidRPr="005809FE">
                              <w:rPr>
                                <w:bCs/>
                              </w:rPr>
                              <w:t xml:space="preserve">278 </w:t>
                            </w:r>
                            <w:r w:rsidRPr="00DB2ABD">
                              <w:t>Public Health Emergency</w:t>
                            </w:r>
                            <w:r w:rsidRPr="00DB2ABD">
                              <w:rPr>
                                <w:b/>
                              </w:rPr>
                              <w:t xml:space="preserve"> </w:t>
                            </w:r>
                            <w:r w:rsidRPr="00DB2ABD">
                              <w:t xml:space="preserve">Preparedness </w:t>
                            </w:r>
                            <w:r w:rsidRPr="00870284">
                              <w:t xml:space="preserve">staff </w:t>
                            </w:r>
                          </w:p>
                          <w:p w:rsidRPr="00DB2ABD" w:rsidR="00F51887" w:rsidP="00C822CF" w:rsidRDefault="00F51887" w14:paraId="1E07BE61" w14:textId="77777777">
                            <w:pPr>
                              <w:pStyle w:val="ListParagraph"/>
                              <w:ind w:left="360"/>
                            </w:pPr>
                          </w:p>
                          <w:p w:rsidRPr="00DB2ABD" w:rsidR="00F51887" w:rsidP="00C822CF" w:rsidRDefault="00F51887" w14:paraId="2A1F5419" w14:textId="240C7689">
                            <w:pPr>
                              <w:pStyle w:val="ListParagraph"/>
                              <w:numPr>
                                <w:ilvl w:val="0"/>
                                <w:numId w:val="8"/>
                              </w:numPr>
                              <w:tabs>
                                <w:tab w:val="clear" w:pos="9360"/>
                              </w:tabs>
                            </w:pPr>
                            <w:r w:rsidRPr="00DB2ABD">
                              <w:rPr>
                                <w:b/>
                              </w:rPr>
                              <w:t xml:space="preserve">How data will be analyzed </w:t>
                            </w:r>
                            <w:r w:rsidRPr="00DB2ABD">
                              <w:t>- Quantitative data will be analyzed with SAS, S</w:t>
                            </w:r>
                            <w:r>
                              <w:t>tata</w:t>
                            </w:r>
                            <w:r w:rsidRPr="00DB2ABD">
                              <w:t xml:space="preserve">, </w:t>
                            </w:r>
                            <w:r>
                              <w:t>and</w:t>
                            </w:r>
                            <w:r w:rsidRPr="00DB2ABD">
                              <w:t xml:space="preserve"> R.  The Qualitative data will be analyzed with NVIVO </w:t>
                            </w:r>
                            <w:r>
                              <w:t>and</w:t>
                            </w:r>
                            <w:r w:rsidRPr="00DB2ABD">
                              <w:t xml:space="preserve"> Altas.ti</w:t>
                            </w:r>
                          </w:p>
                          <w:p w:rsidR="00F51887" w:rsidP="003F61EA" w:rsidRDefault="00F51887" w14:paraId="688FFC13" w14:textId="38931949">
                            <w:pPr>
                              <w:pStyle w:val="ListParagraph"/>
                              <w:tabs>
                                <w:tab w:val="clear" w:pos="9360"/>
                              </w:tabs>
                              <w:ind w:left="360"/>
                            </w:pPr>
                            <w:r w:rsidRPr="003F0CC1">
                              <w:rPr>
                                <w:b/>
                              </w:rPr>
                              <w:t xml:space="preserve"> </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2DCDB37C">
                <v:stroke joinstyle="miter"/>
                <v:path gradientshapeok="t" o:connecttype="rect"/>
              </v:shapetype>
              <v:shape id="Text Box 2" style="width:485.25pt;height:311.2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irJIwIAAEcEAAAOAAAAZHJzL2Uyb0RvYy54bWysU9tu2zAMfR+wfxD0vjhxc6sRp+jSZRjQ&#10;XYB2HyDLcixMEjVJiZ19fSk5TbPbyzA9CKRIHZKH5Oqm14ochPMSTEknozElwnCopdmV9Ovj9s2S&#10;Eh+YqZkCI0p6FJ7erF+/WnW2EDm0oGrhCIIYX3S2pG0Itsgyz1uhmR+BFQaNDTjNAqpul9WOdYiu&#10;VZaPx/OsA1dbB1x4j693g5GuE37TCB4+N40XgaiSYm4h3S7dVbyz9YoVO8dsK/kpDfYPWWgmDQY9&#10;Q92xwMjeyd+gtOQOPDRhxEFn0DSSi1QDVjMZ/1LNQ8usSLUgOd6eafL/D5Z/OnxxRNYlvRovKDFM&#10;Y5MeRR/IW+hJHvnprC/Q7cGiY+jxGfucavX2Hvg3TwxsWmZ24tY56FrBasxvEn9mF18HHB9Bqu4j&#10;1BiG7QMkoL5xOpKHdBBExz4dz72JqXB8nE/m+Xwxo4Sj7ep6li9RiTFY8fzdOh/eC9AkCiV12PwE&#10;zw73Pgyuzy4xmgcl661UKiluV22UIweGg7JN54T+k5sypCspRp8NDPwVYpzOnyC0DDjxSuqSLs9O&#10;rIi8vTM1psmKwKQaZKxOmRORkbuBxdBXPTpGdiuoj0ipg2GycRNRaMH9oKTDqS6p/75nTlCiPhhs&#10;y/VkOo1rkJTpbJGj4i4t1aWFGY5QJQ2UDOImpNWJORq4xfY1MhH7kskpV5zW1JrTZsV1uNST18v+&#10;r58AAAD//wMAUEsDBBQABgAIAAAAIQDDe5aY3QAAAAUBAAAPAAAAZHJzL2Rvd25yZXYueG1sTI/B&#10;TsMwEETvSPyDtUhcEHUING1DNhVCAsENCoKrG2+TCHsdbDcNf4/hApeVRjOaeVutJ2vESD70jhEu&#10;ZhkI4sbpnluE15e78yWIEBVrZRwTwhcFWNfHR5UqtTvwM42b2IpUwqFUCF2MQyllaDqyKszcQJy8&#10;nfNWxSR9K7VXh1RujcyzrJBW9ZwWOjXQbUfNx2ZvEZZXD+N7eLx8emuKnVnFs8V4/+kRT0+mm2sQ&#10;kab4F4Yf/IQOdWLauj3rIAxCeiT+3uStFtkcxBahyPM5yLqS/+nrbwAAAP//AwBQSwECLQAUAAYA&#10;CAAAACEAtoM4kv4AAADhAQAAEwAAAAAAAAAAAAAAAAAAAAAAW0NvbnRlbnRfVHlwZXNdLnhtbFBL&#10;AQItABQABgAIAAAAIQA4/SH/1gAAAJQBAAALAAAAAAAAAAAAAAAAAC8BAABfcmVscy8ucmVsc1BL&#10;AQItABQABgAIAAAAIQA5tirJIwIAAEcEAAAOAAAAAAAAAAAAAAAAAC4CAABkcnMvZTJvRG9jLnht&#10;bFBLAQItABQABgAIAAAAIQDDe5aY3QAAAAUBAAAPAAAAAAAAAAAAAAAAAH0EAABkcnMvZG93bnJl&#10;di54bWxQSwUGAAAAAAQABADzAAAAhwUAAAAA&#10;">
                <v:textbox>
                  <w:txbxContent>
                    <w:p w:rsidRPr="00B953BF" w:rsidR="00F51887" w:rsidP="00C822CF" w:rsidRDefault="00F51887" w14:paraId="060CD253" w14:textId="2C6A8BE8">
                      <w:pPr>
                        <w:pStyle w:val="ListParagraph"/>
                        <w:numPr>
                          <w:ilvl w:val="0"/>
                          <w:numId w:val="8"/>
                        </w:numPr>
                        <w:tabs>
                          <w:tab w:val="clear" w:pos="9360"/>
                        </w:tabs>
                        <w:spacing w:after="200" w:line="252" w:lineRule="auto"/>
                      </w:pPr>
                      <w:r w:rsidRPr="00B953BF">
                        <w:rPr>
                          <w:b/>
                        </w:rPr>
                        <w:t xml:space="preserve">Purpose of the data collection – </w:t>
                      </w:r>
                      <w:r w:rsidRPr="00B953BF" w:rsidR="00790804">
                        <w:rPr>
                          <w:bCs/>
                        </w:rPr>
                        <w:t>data will be collected for three</w:t>
                      </w:r>
                      <w:r w:rsidRPr="00B953BF" w:rsidR="00790804">
                        <w:t xml:space="preserve"> purposes: </w:t>
                      </w:r>
                      <w:r w:rsidRPr="00B953BF" w:rsidR="00790804">
                        <w:rPr>
                          <w:iCs/>
                        </w:rPr>
                        <w:t xml:space="preserve">(1) to assess how accurately and completely the </w:t>
                      </w:r>
                      <w:r w:rsidRPr="00B953BF" w:rsidR="004054D8">
                        <w:rPr>
                          <w:iCs/>
                        </w:rPr>
                        <w:t>National Health Security</w:t>
                      </w:r>
                      <w:r w:rsidRPr="00B953BF" w:rsidR="001A5351">
                        <w:rPr>
                          <w:iCs/>
                        </w:rPr>
                        <w:t xml:space="preserve"> Preparedness</w:t>
                      </w:r>
                      <w:r w:rsidRPr="00B953BF" w:rsidR="004054D8">
                        <w:rPr>
                          <w:iCs/>
                        </w:rPr>
                        <w:t xml:space="preserve"> </w:t>
                      </w:r>
                      <w:r w:rsidRPr="00B953BF" w:rsidR="00790804">
                        <w:rPr>
                          <w:iCs/>
                        </w:rPr>
                        <w:t>Index measures the contributions of state and local</w:t>
                      </w:r>
                      <w:r w:rsidRPr="00B953BF" w:rsidR="001A5351">
                        <w:rPr>
                          <w:iCs/>
                        </w:rPr>
                        <w:t xml:space="preserve"> public health emergency preparedness and response</w:t>
                      </w:r>
                      <w:r w:rsidRPr="00B953BF" w:rsidR="00790804">
                        <w:rPr>
                          <w:iCs/>
                        </w:rPr>
                        <w:t xml:space="preserve"> </w:t>
                      </w:r>
                      <w:r w:rsidRPr="00B953BF" w:rsidR="001A5351">
                        <w:rPr>
                          <w:iCs/>
                        </w:rPr>
                        <w:t>(</w:t>
                      </w:r>
                      <w:r w:rsidRPr="00B953BF" w:rsidR="00790804">
                        <w:rPr>
                          <w:iCs/>
                        </w:rPr>
                        <w:t>PHEP</w:t>
                      </w:r>
                      <w:r w:rsidRPr="00B953BF" w:rsidR="00C2394E">
                        <w:rPr>
                          <w:iCs/>
                        </w:rPr>
                        <w:t>)</w:t>
                      </w:r>
                      <w:r w:rsidRPr="00B953BF" w:rsidR="00790804">
                        <w:rPr>
                          <w:iCs/>
                        </w:rPr>
                        <w:t xml:space="preserve"> programs to community preparedness and overall health security; (2) to identify a core set of PHEP metrics that these programs can use to assess and improve their activities; and (3) to identify </w:t>
                      </w:r>
                      <w:r w:rsidRPr="00B953BF" w:rsidR="00790804">
                        <w:t>strategies for improving the usability and usefulness of the Index for state and local PHEP program stakeholders</w:t>
                      </w:r>
                      <w:r w:rsidRPr="00B953BF" w:rsidR="00790804">
                        <w:rPr>
                          <w:iCs/>
                        </w:rPr>
                        <w:t>.</w:t>
                      </w:r>
                    </w:p>
                    <w:p w:rsidRPr="00B953BF" w:rsidR="00F51887" w:rsidP="00C822CF" w:rsidRDefault="00F51887" w14:paraId="34ED6430" w14:textId="77777777">
                      <w:pPr>
                        <w:pStyle w:val="ListParagraph"/>
                        <w:ind w:left="360"/>
                      </w:pPr>
                    </w:p>
                    <w:p w:rsidRPr="00B953BF" w:rsidR="00F51887" w:rsidP="00C822CF" w:rsidRDefault="00F51887" w14:paraId="57A65F0F" w14:textId="640368FB">
                      <w:pPr>
                        <w:pStyle w:val="ListParagraph"/>
                        <w:numPr>
                          <w:ilvl w:val="0"/>
                          <w:numId w:val="8"/>
                        </w:numPr>
                        <w:tabs>
                          <w:tab w:val="clear" w:pos="9360"/>
                        </w:tabs>
                        <w:spacing w:after="160" w:line="252" w:lineRule="auto"/>
                      </w:pPr>
                      <w:r w:rsidRPr="00B953BF">
                        <w:rPr>
                          <w:b/>
                        </w:rPr>
                        <w:t xml:space="preserve">Intended use of the resulting data </w:t>
                      </w:r>
                      <w:r w:rsidRPr="00B953BF" w:rsidR="00790804">
                        <w:rPr>
                          <w:b/>
                        </w:rPr>
                        <w:t>–</w:t>
                      </w:r>
                      <w:r w:rsidRPr="00B953BF">
                        <w:rPr>
                          <w:b/>
                        </w:rPr>
                        <w:t xml:space="preserve"> </w:t>
                      </w:r>
                      <w:r w:rsidRPr="00B953BF" w:rsidR="00790804">
                        <w:rPr>
                          <w:bCs/>
                        </w:rPr>
                        <w:t>data will</w:t>
                      </w:r>
                      <w:r w:rsidRPr="00B953BF" w:rsidR="00790804">
                        <w:rPr>
                          <w:b/>
                        </w:rPr>
                        <w:t xml:space="preserve"> </w:t>
                      </w:r>
                      <w:r w:rsidRPr="00B953BF" w:rsidR="00790804">
                        <w:rPr>
                          <w:iCs/>
                        </w:rPr>
                        <w:t>be used to characterize the relevance, completeness, and utility of the Index for PHEP programs. These results, in turn, will be used to expand and improve the Index measurement set and to develop a collection of guides and tools that help PHEP programs use the Index to strengthen their activities</w:t>
                      </w:r>
                      <w:r w:rsidRPr="00B953BF" w:rsidR="00B953BF">
                        <w:rPr>
                          <w:iCs/>
                        </w:rPr>
                        <w:t>.</w:t>
                      </w:r>
                    </w:p>
                    <w:p w:rsidRPr="00DB2ABD" w:rsidR="00F51887" w:rsidP="00C822CF" w:rsidRDefault="00F51887" w14:paraId="2499AE33" w14:textId="77777777">
                      <w:pPr>
                        <w:pStyle w:val="ListParagraph"/>
                        <w:tabs>
                          <w:tab w:val="clear" w:pos="9360"/>
                        </w:tabs>
                        <w:ind w:left="360"/>
                      </w:pPr>
                    </w:p>
                    <w:p w:rsidRPr="00DB2ABD" w:rsidR="00F51887" w:rsidP="00C822CF" w:rsidRDefault="00F51887" w14:paraId="36BC95A6" w14:textId="3B60C6E2">
                      <w:pPr>
                        <w:pStyle w:val="ListParagraph"/>
                        <w:numPr>
                          <w:ilvl w:val="0"/>
                          <w:numId w:val="8"/>
                        </w:numPr>
                        <w:tabs>
                          <w:tab w:val="clear" w:pos="9360"/>
                        </w:tabs>
                      </w:pPr>
                      <w:r w:rsidRPr="00DB2ABD">
                        <w:rPr>
                          <w:b/>
                        </w:rPr>
                        <w:t xml:space="preserve">Methods to be used to collect data - </w:t>
                      </w:r>
                      <w:r w:rsidRPr="00870284">
                        <w:t xml:space="preserve">Online assessment and </w:t>
                      </w:r>
                      <w:r>
                        <w:t>telephone interviews</w:t>
                      </w:r>
                      <w:r w:rsidRPr="00DB2ABD">
                        <w:rPr>
                          <w:b/>
                        </w:rPr>
                        <w:t xml:space="preserve"> </w:t>
                      </w:r>
                    </w:p>
                    <w:p w:rsidRPr="00DB2ABD" w:rsidR="00F51887" w:rsidP="00C822CF" w:rsidRDefault="00F51887" w14:paraId="7BC5C0D7" w14:textId="77777777">
                      <w:pPr>
                        <w:pStyle w:val="ListParagraph"/>
                        <w:tabs>
                          <w:tab w:val="clear" w:pos="9360"/>
                        </w:tabs>
                        <w:spacing w:after="200"/>
                        <w:ind w:left="360"/>
                      </w:pPr>
                    </w:p>
                    <w:p w:rsidRPr="00DB2ABD" w:rsidR="00F51887" w:rsidP="00C822CF" w:rsidRDefault="00F51887" w14:paraId="6C83F981" w14:textId="309D9BC4">
                      <w:pPr>
                        <w:pStyle w:val="ListParagraph"/>
                        <w:numPr>
                          <w:ilvl w:val="0"/>
                          <w:numId w:val="8"/>
                        </w:numPr>
                        <w:tabs>
                          <w:tab w:val="clear" w:pos="9360"/>
                        </w:tabs>
                      </w:pPr>
                      <w:r w:rsidRPr="00DB2ABD">
                        <w:rPr>
                          <w:b/>
                        </w:rPr>
                        <w:t xml:space="preserve">Respondent Universe – </w:t>
                      </w:r>
                      <w:r w:rsidRPr="005809FE">
                        <w:rPr>
                          <w:bCs/>
                        </w:rPr>
                        <w:t xml:space="preserve">278 </w:t>
                      </w:r>
                      <w:r w:rsidRPr="00DB2ABD">
                        <w:t>Public Health Emergency</w:t>
                      </w:r>
                      <w:r w:rsidRPr="00DB2ABD">
                        <w:rPr>
                          <w:b/>
                        </w:rPr>
                        <w:t xml:space="preserve"> </w:t>
                      </w:r>
                      <w:r w:rsidRPr="00DB2ABD">
                        <w:t xml:space="preserve">Preparedness </w:t>
                      </w:r>
                      <w:r w:rsidRPr="00870284">
                        <w:t xml:space="preserve">staff </w:t>
                      </w:r>
                    </w:p>
                    <w:p w:rsidRPr="00DB2ABD" w:rsidR="00F51887" w:rsidP="00C822CF" w:rsidRDefault="00F51887" w14:paraId="1E07BE61" w14:textId="77777777">
                      <w:pPr>
                        <w:pStyle w:val="ListParagraph"/>
                        <w:ind w:left="360"/>
                      </w:pPr>
                    </w:p>
                    <w:p w:rsidRPr="00DB2ABD" w:rsidR="00F51887" w:rsidP="00C822CF" w:rsidRDefault="00F51887" w14:paraId="2A1F5419" w14:textId="240C7689">
                      <w:pPr>
                        <w:pStyle w:val="ListParagraph"/>
                        <w:numPr>
                          <w:ilvl w:val="0"/>
                          <w:numId w:val="8"/>
                        </w:numPr>
                        <w:tabs>
                          <w:tab w:val="clear" w:pos="9360"/>
                        </w:tabs>
                      </w:pPr>
                      <w:r w:rsidRPr="00DB2ABD">
                        <w:rPr>
                          <w:b/>
                        </w:rPr>
                        <w:t xml:space="preserve">How data will be analyzed </w:t>
                      </w:r>
                      <w:r w:rsidRPr="00DB2ABD">
                        <w:t>- Quantitative data will be analyzed with SAS, S</w:t>
                      </w:r>
                      <w:r>
                        <w:t>tata</w:t>
                      </w:r>
                      <w:r w:rsidRPr="00DB2ABD">
                        <w:t xml:space="preserve">, </w:t>
                      </w:r>
                      <w:r>
                        <w:t>and</w:t>
                      </w:r>
                      <w:r w:rsidRPr="00DB2ABD">
                        <w:t xml:space="preserve"> R.  The Qualitative data will be analyzed with NVIVO </w:t>
                      </w:r>
                      <w:r>
                        <w:t>and</w:t>
                      </w:r>
                      <w:r w:rsidRPr="00DB2ABD">
                        <w:t xml:space="preserve"> Altas.ti</w:t>
                      </w:r>
                    </w:p>
                    <w:p w:rsidR="00F51887" w:rsidP="003F61EA" w:rsidRDefault="00F51887" w14:paraId="688FFC13" w14:textId="38931949">
                      <w:pPr>
                        <w:pStyle w:val="ListParagraph"/>
                        <w:tabs>
                          <w:tab w:val="clear" w:pos="9360"/>
                        </w:tabs>
                        <w:ind w:left="360"/>
                      </w:pPr>
                      <w:r w:rsidRPr="003F0CC1">
                        <w:rPr>
                          <w:b/>
                        </w:rPr>
                        <w:t xml:space="preserve"> </w:t>
                      </w:r>
                    </w:p>
                  </w:txbxContent>
                </v:textbox>
                <w10:anchorlock/>
              </v:shape>
            </w:pict>
          </mc:Fallback>
        </mc:AlternateContent>
      </w:r>
      <w:bookmarkEnd w:id="3"/>
      <w:bookmarkEnd w:id="4"/>
    </w:p>
    <w:p w:rsidR="00487937" w:rsidP="00CA5840" w:rsidRDefault="00487937" w14:paraId="49F95F2A" w14:textId="77777777">
      <w:pPr>
        <w:pStyle w:val="Heading3"/>
        <w:ind w:left="0"/>
      </w:pPr>
    </w:p>
    <w:p w:rsidRPr="007D6163" w:rsidR="00CD1EA8" w:rsidP="00CA5840" w:rsidRDefault="00CD1EA8" w14:paraId="7EC4A446" w14:textId="77777777">
      <w:pPr>
        <w:pStyle w:val="Heading3"/>
        <w:ind w:left="0"/>
      </w:pPr>
      <w:bookmarkStart w:name="_Toc427752813" w:id="5"/>
      <w:r w:rsidRPr="007D6163">
        <w:t>Section A</w:t>
      </w:r>
      <w:r w:rsidRPr="007D6163" w:rsidR="00B12F51">
        <w:t xml:space="preserve"> – Justification</w:t>
      </w:r>
      <w:bookmarkEnd w:id="5"/>
    </w:p>
    <w:p w:rsidR="00B12F51" w:rsidP="007D6163" w:rsidRDefault="00B12F51" w14:paraId="58DEFF59" w14:textId="77777777"/>
    <w:p w:rsidRPr="007D6163" w:rsidR="00CD1EA8" w:rsidP="00692DEB" w:rsidRDefault="00B12F51" w14:paraId="7DF6E526" w14:textId="77777777">
      <w:pPr>
        <w:pStyle w:val="Heading4"/>
      </w:pPr>
      <w:bookmarkStart w:name="_Toc427752814" w:id="6"/>
      <w:r w:rsidRPr="00692DEB">
        <w:t>Circumstances</w:t>
      </w:r>
      <w:r w:rsidRPr="007D6163">
        <w:t xml:space="preserve"> Making the Collection of Information </w:t>
      </w:r>
      <w:r w:rsidRPr="00692DEB">
        <w:t>Necessary</w:t>
      </w:r>
      <w:bookmarkEnd w:id="6"/>
    </w:p>
    <w:p w:rsidRPr="007D6163" w:rsidR="00E33E1B" w:rsidP="007B7C44" w:rsidRDefault="00E33E1B" w14:paraId="03C1F19F" w14:textId="77777777">
      <w:pPr>
        <w:pStyle w:val="Heading5"/>
        <w:spacing w:after="120"/>
        <w:ind w:left="360"/>
      </w:pPr>
      <w:r w:rsidRPr="008B12FA">
        <w:t>Background</w:t>
      </w:r>
    </w:p>
    <w:p w:rsidRPr="00B953BF" w:rsidR="0019164D" w:rsidP="007B7C44" w:rsidRDefault="00D56490" w14:paraId="425F1C54" w14:textId="483AC8B1">
      <w:pPr>
        <w:ind w:left="360"/>
      </w:pPr>
      <w:r w:rsidRPr="002929D3">
        <w:t xml:space="preserve">This information collection is being conducted using OMB No. 0920-0879 “Information Collections to Advance State, Tribal, Local and Territorial Governmental Agency System Performance, Capacity, and </w:t>
      </w:r>
      <w:r w:rsidRPr="00B953BF">
        <w:t xml:space="preserve">Program Delivery” nicknamed the “CSTLTS Generic.” The respondent universe for this information collection aligns with that of the CSTLTS Generic. Data will be collected from a total of </w:t>
      </w:r>
      <w:r w:rsidRPr="00B953BF" w:rsidR="000060DB">
        <w:t>2</w:t>
      </w:r>
      <w:r w:rsidRPr="00B953BF" w:rsidR="00E677C5">
        <w:t>7</w:t>
      </w:r>
      <w:r w:rsidRPr="00B953BF" w:rsidR="00DB2ABD">
        <w:t>8</w:t>
      </w:r>
      <w:r w:rsidRPr="00B953BF" w:rsidR="0038288C">
        <w:t xml:space="preserve"> respondents</w:t>
      </w:r>
      <w:r w:rsidRPr="00B953BF" w:rsidR="000060DB">
        <w:t xml:space="preserve"> </w:t>
      </w:r>
      <w:r w:rsidRPr="00B953BF" w:rsidR="003620AC">
        <w:t>representing 26 state, 8 territorial, and 244 local government employees</w:t>
      </w:r>
      <w:r w:rsidRPr="00B953BF" w:rsidR="0019164D">
        <w:t>.</w:t>
      </w:r>
      <w:r w:rsidRPr="00B953BF" w:rsidR="008B12FA">
        <w:t xml:space="preserve"> Respondents acting in their official capacities include </w:t>
      </w:r>
      <w:r w:rsidRPr="00B953BF" w:rsidR="000060DB">
        <w:t xml:space="preserve">emergency preparedness program directors and </w:t>
      </w:r>
      <w:r w:rsidRPr="00B953BF" w:rsidR="003620AC">
        <w:t xml:space="preserve">program </w:t>
      </w:r>
      <w:r w:rsidRPr="00B953BF" w:rsidR="00DB2ABD">
        <w:t xml:space="preserve">coordinators.  </w:t>
      </w:r>
    </w:p>
    <w:p w:rsidR="009252DC" w:rsidP="007B7C44" w:rsidRDefault="009252DC" w14:paraId="55CEABDD" w14:textId="08A49182">
      <w:pPr>
        <w:ind w:left="1080"/>
      </w:pPr>
    </w:p>
    <w:p w:rsidRPr="00774689" w:rsidR="001E7537" w:rsidP="007B7C44" w:rsidRDefault="00350C8C" w14:paraId="74A425F5" w14:textId="51D632B7">
      <w:pPr>
        <w:ind w:left="360"/>
        <w:rPr>
          <w:i/>
          <w:iCs/>
        </w:rPr>
      </w:pPr>
      <w:r>
        <w:t xml:space="preserve">This </w:t>
      </w:r>
      <w:r w:rsidR="00157413">
        <w:t>information collection</w:t>
      </w:r>
      <w:r>
        <w:t xml:space="preserve"> is authorized by Section 301 of the Public Health Service Act (42 U.S.C. </w:t>
      </w:r>
      <w:r w:rsidRPr="001A28F6">
        <w:t>241).</w:t>
      </w:r>
      <w:r w:rsidR="001E7537">
        <w:t xml:space="preserve"> </w:t>
      </w:r>
      <w:r w:rsidR="001E7537">
        <w:rPr>
          <w:iCs/>
        </w:rPr>
        <w:t>This information</w:t>
      </w:r>
      <w:r w:rsidRPr="00E94775" w:rsidR="001E7537">
        <w:rPr>
          <w:iCs/>
        </w:rPr>
        <w:t xml:space="preserve"> collection falls under the essential public health service</w:t>
      </w:r>
      <w:r w:rsidR="001E7537">
        <w:rPr>
          <w:iCs/>
        </w:rPr>
        <w:t>(s)</w:t>
      </w:r>
      <w:r w:rsidRPr="00E94775" w:rsidR="001E7537">
        <w:rPr>
          <w:iCs/>
        </w:rPr>
        <w:t xml:space="preserve"> </w:t>
      </w:r>
      <w:r w:rsidRPr="00B43AFE" w:rsidR="001E7537">
        <w:rPr>
          <w:iCs/>
        </w:rPr>
        <w:t xml:space="preserve">of </w:t>
      </w:r>
    </w:p>
    <w:p w:rsidRPr="00774689" w:rsidR="00350C8C" w:rsidP="007B7C44" w:rsidRDefault="00350C8C" w14:paraId="58511EB0" w14:textId="3794EAAC">
      <w:pPr>
        <w:ind w:left="360"/>
      </w:pPr>
    </w:p>
    <w:p w:rsidRPr="00774689" w:rsidR="00587C72" w:rsidP="007B7C44" w:rsidRDefault="00B63CF3" w14:paraId="3B133B5A" w14:textId="27BABBCE">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bookmarkStart w:name="Check25" w:id="7"/>
      <w:r w:rsidRPr="00774689">
        <w:rPr>
          <w:rFonts w:ascii="Shruti" w:hAnsi="Shruti" w:eastAsia="Times New Roman" w:cs="Shruti"/>
          <w:sz w:val="16"/>
          <w:szCs w:val="14"/>
        </w:rPr>
        <w:instrText xml:space="preserve"> FORMCHECKBOX </w:instrText>
      </w:r>
      <w:r w:rsidR="00AA20D5">
        <w:rPr>
          <w:rFonts w:ascii="Shruti" w:hAnsi="Shruti" w:eastAsia="Times New Roman" w:cs="Shruti"/>
          <w:sz w:val="16"/>
          <w:szCs w:val="14"/>
        </w:rPr>
      </w:r>
      <w:r w:rsidR="00AA20D5">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bookmarkEnd w:id="7"/>
      <w:r w:rsidRPr="00774689">
        <w:rPr>
          <w:rFonts w:ascii="Shruti" w:hAnsi="Shruti" w:eastAsia="Times New Roman" w:cs="Shruti"/>
          <w:sz w:val="16"/>
          <w:szCs w:val="14"/>
        </w:rPr>
        <w:t xml:space="preserve"> </w:t>
      </w:r>
      <w:r w:rsidRPr="00774689" w:rsidR="00F45451">
        <w:t>1. M</w:t>
      </w:r>
      <w:r w:rsidRPr="00774689" w:rsidR="00587C72">
        <w:t>onitoring health status to identify community health problems</w:t>
      </w:r>
    </w:p>
    <w:p w:rsidRPr="00774689" w:rsidR="00587C72" w:rsidP="007B7C44" w:rsidRDefault="00B63CF3" w14:paraId="6BD8B75F" w14:textId="0FA96106">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AA20D5">
        <w:rPr>
          <w:rFonts w:ascii="Shruti" w:hAnsi="Shruti" w:eastAsia="Times New Roman" w:cs="Shruti"/>
          <w:sz w:val="16"/>
          <w:szCs w:val="14"/>
        </w:rPr>
      </w:r>
      <w:r w:rsidR="00AA20D5">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F45451">
        <w:t>2. D</w:t>
      </w:r>
      <w:r w:rsidRPr="00774689" w:rsidR="00587C72">
        <w:t>iagnosing and investigating health problems and health hazards in the community</w:t>
      </w:r>
    </w:p>
    <w:p w:rsidRPr="00774689" w:rsidR="00587C72" w:rsidP="007B7C44" w:rsidRDefault="00DE33B5" w14:paraId="73FFA2E2" w14:textId="736361A5">
      <w:pPr>
        <w:ind w:left="360"/>
      </w:pPr>
      <w:r w:rsidRPr="00DE33B5">
        <w:rPr>
          <w:iCs/>
          <w:noProof/>
          <w:vertAlign w:val="superscript"/>
        </w:rPr>
        <mc:AlternateContent>
          <mc:Choice Requires="wps">
            <w:drawing>
              <wp:anchor distT="45720" distB="45720" distL="114300" distR="114300" simplePos="0" relativeHeight="251661312" behindDoc="0" locked="0" layoutInCell="1" allowOverlap="1" wp14:editId="2CE51CEF" wp14:anchorId="52889C67">
                <wp:simplePos x="0" y="0"/>
                <wp:positionH relativeFrom="column">
                  <wp:posOffset>228600</wp:posOffset>
                </wp:positionH>
                <wp:positionV relativeFrom="paragraph">
                  <wp:posOffset>177165</wp:posOffset>
                </wp:positionV>
                <wp:extent cx="205666" cy="2533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66" cy="253365"/>
                        </a:xfrm>
                        <a:prstGeom prst="rect">
                          <a:avLst/>
                        </a:prstGeom>
                        <a:noFill/>
                        <a:ln w="9525">
                          <a:noFill/>
                          <a:miter lim="800000"/>
                          <a:headEnd/>
                          <a:tailEnd/>
                        </a:ln>
                      </wps:spPr>
                      <wps:txbx>
                        <w:txbxContent>
                          <w:p w:rsidR="00F51887" w:rsidP="00DE33B5" w:rsidRDefault="00F51887" w14:paraId="71C793F4" w14:textId="259DE3FB">
                            <w:pPr>
                              <w:ind w:left="-90"/>
                            </w:pPr>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18pt;margin-top:13.95pt;width:16.2pt;height:19.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xnYCwIAAPgDAAAOAAAAZHJzL2Uyb0RvYy54bWysU21v2yAQ/j5p/wHxfbHjxl5rxam6dp0m&#10;dS9Sux9AMI7RgGNAYme/vgdOU2v7No0PCLi75+557lhfj1qRg3BegmnocpFTIgyHVppdQ3883b+7&#10;pMQHZlqmwIiGHoWn15u3b9aDrUUBPahWOIIgxteDbWgfgq2zzPNeaOYXYIVBYwdOs4BXt8taxwZE&#10;1yor8rzKBnCtdcCF9/h6NxnpJuF3neDhW9d5EYhqKNYW0u7Svo17tlmzeueY7SU/lcH+oQrNpMGk&#10;Z6g7FhjZO/kXlJbcgYcuLDjoDLpOcpE4IJtl/gebx55ZkbigON6eZfL/D5Z/PXx3RLbYO0oM09ii&#10;JzEG8gFGUkR1ButrdHq06BZGfI6ekam3D8B/emLgtmdmJ26cg6EXrMXqljEym4VOOD6CbIcv0GIa&#10;tg+QgMbO6QiIYhBExy4dz52JpXB8LPKyqipKOJqK8uKiKlMGVr8EW+fDJwGaxENDHTY+gbPDgw+x&#10;GFa/uMRcBu6lUqn5ypChoVdlUaaAmUXLgLOppG7oZR7XNC2R40fTpuDApJrOmECZE+nIc2Icxu14&#10;Uhf9oyBbaI+ogoNpFPHr4KEH95uSAcewof7XnjlBifpsUMmr5WoV5zZdVuX7Ai9ubtnOLcxwhGpo&#10;oGQ63oY06xPlG1S8k0mN10pOJeN4JZFOXyHO7/yevF4/7OYZAAD//wMAUEsDBBQABgAIAAAAIQDO&#10;Fd153QAAAAcBAAAPAAAAZHJzL2Rvd25yZXYueG1sTI/BTsMwEETvSPyDtUjcqE0paRriVBWIK6gt&#10;VOrNjbdJ1HgdxW4T/p7lRE+r0Yxm3ubL0bXign1oPGl4nCgQSKW3DVUavrbvDymIEA1Z03pCDT8Y&#10;YFnc3uQms36gNV42sRJcQiEzGuoYu0zKUNboTJj4Dom9o++diSz7StreDFzuWjlVKpHONMQLtenw&#10;tcbytDk7Dd8fx/1upj6rN/fcDX5UktxCan1/N65eQEQc438Y/vAZHQpmOvgz2SBaDU8JvxI1TOcL&#10;EOwn6QzEge88BVnk8pq/+AUAAP//AwBQSwECLQAUAAYACAAAACEAtoM4kv4AAADhAQAAEwAAAAAA&#10;AAAAAAAAAAAAAAAAW0NvbnRlbnRfVHlwZXNdLnhtbFBLAQItABQABgAIAAAAIQA4/SH/1gAAAJQB&#10;AAALAAAAAAAAAAAAAAAAAC8BAABfcmVscy8ucmVsc1BLAQItABQABgAIAAAAIQAJWxnYCwIAAPgD&#10;AAAOAAAAAAAAAAAAAAAAAC4CAABkcnMvZTJvRG9jLnhtbFBLAQItABQABgAIAAAAIQDOFd153QAA&#10;AAcBAAAPAAAAAAAAAAAAAAAAAGUEAABkcnMvZG93bnJldi54bWxQSwUGAAAAAAQABADzAAAAbwUA&#10;AAAA&#10;" w14:anchorId="52889C67">
                <v:textbox>
                  <w:txbxContent>
                    <w:p w:rsidR="00F51887" w:rsidP="00DE33B5" w:rsidRDefault="00F51887" w14:paraId="71C793F4" w14:textId="259DE3FB">
                      <w:pPr>
                        <w:ind w:left="-90"/>
                      </w:pPr>
                      <w:r>
                        <w:t>X</w:t>
                      </w:r>
                    </w:p>
                  </w:txbxContent>
                </v:textbox>
              </v:shape>
            </w:pict>
          </mc:Fallback>
        </mc:AlternateContent>
      </w:r>
      <w:r w:rsidRPr="00774689" w:rsidR="00B63CF3">
        <w:rPr>
          <w:rFonts w:ascii="Shruti" w:hAnsi="Shruti" w:eastAsia="Times New Roman" w:cs="Shruti"/>
          <w:sz w:val="16"/>
          <w:szCs w:val="14"/>
        </w:rPr>
        <w:fldChar w:fldCharType="begin">
          <w:ffData>
            <w:name w:val="Check25"/>
            <w:enabled/>
            <w:calcOnExit w:val="0"/>
            <w:checkBox>
              <w:sizeAuto/>
              <w:default w:val="0"/>
            </w:checkBox>
          </w:ffData>
        </w:fldChar>
      </w:r>
      <w:r w:rsidRPr="00774689" w:rsidR="00B63CF3">
        <w:rPr>
          <w:rFonts w:ascii="Shruti" w:hAnsi="Shruti" w:eastAsia="Times New Roman" w:cs="Shruti"/>
          <w:sz w:val="16"/>
          <w:szCs w:val="14"/>
        </w:rPr>
        <w:instrText xml:space="preserve"> FORMCHECKBOX </w:instrText>
      </w:r>
      <w:r w:rsidR="00AA20D5">
        <w:rPr>
          <w:rFonts w:ascii="Shruti" w:hAnsi="Shruti" w:eastAsia="Times New Roman" w:cs="Shruti"/>
          <w:sz w:val="16"/>
          <w:szCs w:val="14"/>
        </w:rPr>
      </w:r>
      <w:r w:rsidR="00AA20D5">
        <w:rPr>
          <w:rFonts w:ascii="Shruti" w:hAnsi="Shruti" w:eastAsia="Times New Roman" w:cs="Shruti"/>
          <w:sz w:val="16"/>
          <w:szCs w:val="14"/>
        </w:rPr>
        <w:fldChar w:fldCharType="separate"/>
      </w:r>
      <w:r w:rsidRPr="00774689" w:rsidR="00B63CF3">
        <w:rPr>
          <w:rFonts w:ascii="Shruti" w:hAnsi="Shruti" w:eastAsia="Times New Roman" w:cs="Shruti"/>
          <w:sz w:val="16"/>
          <w:szCs w:val="14"/>
        </w:rPr>
        <w:fldChar w:fldCharType="end"/>
      </w:r>
      <w:r w:rsidRPr="00774689" w:rsidR="00B63CF3">
        <w:rPr>
          <w:rFonts w:ascii="Shruti" w:hAnsi="Shruti" w:eastAsia="Times New Roman" w:cs="Shruti"/>
          <w:sz w:val="16"/>
          <w:szCs w:val="14"/>
        </w:rPr>
        <w:t xml:space="preserve"> </w:t>
      </w:r>
      <w:r w:rsidRPr="00774689" w:rsidR="00F45451">
        <w:t>3. I</w:t>
      </w:r>
      <w:r w:rsidRPr="00774689" w:rsidR="00587C72">
        <w:t>nforming, educating, and empowering people about health issues</w:t>
      </w:r>
    </w:p>
    <w:p w:rsidRPr="00774689" w:rsidR="00587C72" w:rsidP="007B7C44" w:rsidRDefault="00B63CF3" w14:paraId="31189D2E" w14:textId="32B04EC8">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AA20D5">
        <w:rPr>
          <w:rFonts w:ascii="Shruti" w:hAnsi="Shruti" w:eastAsia="Times New Roman" w:cs="Shruti"/>
          <w:sz w:val="16"/>
          <w:szCs w:val="14"/>
        </w:rPr>
      </w:r>
      <w:r w:rsidR="00AA20D5">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4. M</w:t>
      </w:r>
      <w:r w:rsidRPr="00774689" w:rsidR="00587C72">
        <w:t>obilizing community partnerships to identify and solve health problems</w:t>
      </w:r>
    </w:p>
    <w:p w:rsidRPr="00774689" w:rsidR="00587C72" w:rsidP="007B7C44" w:rsidRDefault="00B63CF3" w14:paraId="1852C8E7" w14:textId="7F9EE506">
      <w:pPr>
        <w:ind w:left="360"/>
      </w:pPr>
      <w:r w:rsidRPr="00774689">
        <w:rPr>
          <w:rFonts w:ascii="Shruti" w:hAnsi="Shruti" w:eastAsia="Times New Roman" w:cs="Shruti"/>
          <w:sz w:val="16"/>
          <w:szCs w:val="14"/>
        </w:rPr>
        <w:lastRenderedPageBreak/>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AA20D5">
        <w:rPr>
          <w:rFonts w:ascii="Shruti" w:hAnsi="Shruti" w:eastAsia="Times New Roman" w:cs="Shruti"/>
          <w:sz w:val="16"/>
          <w:szCs w:val="14"/>
        </w:rPr>
      </w:r>
      <w:r w:rsidR="00AA20D5">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5. D</w:t>
      </w:r>
      <w:r w:rsidRPr="00774689" w:rsidR="00587C72">
        <w:t>evelopment of policies and plans that support individual and community health efforts</w:t>
      </w:r>
    </w:p>
    <w:p w:rsidRPr="00774689" w:rsidR="00587C72" w:rsidP="007B7C44" w:rsidRDefault="00B63CF3" w14:paraId="3AF1FB91" w14:textId="3699F13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AA20D5">
        <w:rPr>
          <w:rFonts w:ascii="Shruti" w:hAnsi="Shruti" w:eastAsia="Times New Roman" w:cs="Shruti"/>
          <w:sz w:val="16"/>
          <w:szCs w:val="14"/>
        </w:rPr>
      </w:r>
      <w:r w:rsidR="00AA20D5">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6. E</w:t>
      </w:r>
      <w:r w:rsidRPr="00774689" w:rsidR="00587C72">
        <w:t>nforcement of laws and regulations that pr</w:t>
      </w:r>
      <w:r w:rsidRPr="00774689" w:rsidR="008E3D8D">
        <w:t>otect health and ensure safety</w:t>
      </w:r>
    </w:p>
    <w:p w:rsidRPr="00774689" w:rsidR="00481D80" w:rsidP="007B7C44" w:rsidRDefault="00B63CF3" w14:paraId="704CC59C" w14:textId="2DBB2B68">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AA20D5">
        <w:rPr>
          <w:rFonts w:ascii="Shruti" w:hAnsi="Shruti" w:eastAsia="Times New Roman" w:cs="Shruti"/>
          <w:sz w:val="16"/>
          <w:szCs w:val="14"/>
        </w:rPr>
      </w:r>
      <w:r w:rsidR="00AA20D5">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7. L</w:t>
      </w:r>
      <w:r w:rsidRPr="00774689" w:rsidR="00587C72">
        <w:t xml:space="preserve">inking people to needed personal health services and assure the provision of health care </w:t>
      </w:r>
    </w:p>
    <w:p w:rsidRPr="00774689" w:rsidR="00587C72" w:rsidP="00EA3A4A" w:rsidRDefault="00481D80" w14:paraId="4C45ED01" w14:textId="1DCB1CA0">
      <w:pPr>
        <w:ind w:left="360"/>
      </w:pPr>
      <w:r w:rsidRPr="00774689">
        <w:t xml:space="preserve">            </w:t>
      </w:r>
      <w:r w:rsidRPr="00774689" w:rsidR="00587C72">
        <w:t>when otherwise unavailable</w:t>
      </w:r>
    </w:p>
    <w:p w:rsidRPr="00774689" w:rsidR="00587C72" w:rsidP="007B7C44" w:rsidRDefault="00DE33B5" w14:paraId="31A2189B" w14:textId="1415D9C1">
      <w:pPr>
        <w:ind w:left="360"/>
      </w:pPr>
      <w:r w:rsidRPr="00DE33B5">
        <w:rPr>
          <w:iCs/>
          <w:noProof/>
          <w:vertAlign w:val="superscript"/>
        </w:rPr>
        <mc:AlternateContent>
          <mc:Choice Requires="wps">
            <w:drawing>
              <wp:anchor distT="45720" distB="45720" distL="114300" distR="114300" simplePos="0" relativeHeight="251663360" behindDoc="0" locked="0" layoutInCell="1" allowOverlap="1" wp14:editId="0CF0DF84" wp14:anchorId="37176D49">
                <wp:simplePos x="0" y="0"/>
                <wp:positionH relativeFrom="column">
                  <wp:posOffset>233680</wp:posOffset>
                </wp:positionH>
                <wp:positionV relativeFrom="paragraph">
                  <wp:posOffset>181610</wp:posOffset>
                </wp:positionV>
                <wp:extent cx="205105" cy="2533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253365"/>
                        </a:xfrm>
                        <a:prstGeom prst="rect">
                          <a:avLst/>
                        </a:prstGeom>
                        <a:noFill/>
                        <a:ln w="9525">
                          <a:noFill/>
                          <a:miter lim="800000"/>
                          <a:headEnd/>
                          <a:tailEnd/>
                        </a:ln>
                      </wps:spPr>
                      <wps:txbx>
                        <w:txbxContent>
                          <w:p w:rsidR="00F51887" w:rsidP="00DE33B5" w:rsidRDefault="00F51887" w14:paraId="52D46216" w14:textId="77777777">
                            <w:pPr>
                              <w:ind w:left="-90"/>
                            </w:pPr>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18.4pt;margin-top:14.3pt;width:16.15pt;height:19.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rPlDAIAAPgDAAAOAAAAZHJzL2Uyb0RvYy54bWysU9tuGyEQfa/Uf0C817veeNNkZRylSVNV&#10;Si9S0g/ALOtFBYYC9q779RlYx7GSt6o8IGBmzsw5MyyvRqPJTvqgwDI6n5WUSCugVXbD6K/Huw8X&#10;lITIbcs1WMnoXgZ6tXr/bjm4RlbQg26lJwhiQzM4RvsYXVMUQfTS8DADJy0aO/CGR7z6TdF6PiC6&#10;0UVVlufFAL51HoQMAV9vJyNdZfyukyL+6LogI9GMYm0x7z7v67QXqyVvNp67XolDGfwfqjBcWUx6&#10;hLrlkZOtV2+gjBIeAnRxJsAU0HVKyMwB2czLV2weeu5k5oLiBHeUKfw/WPF999MT1TJaUWK5wRY9&#10;yjGSTzCSKqkzuNCg04NDtzjiM3Y5Mw3uHsTvQCzc9Nxu5LX3MPSSt1jdPEUWJ6ETTkgg6+EbtJiG&#10;byNkoLHzJkmHYhBExy7tj51JpQh8rMp6XtaUCDRV9dnZeZ0z8OY52PkQv0gwJB0Y9dj4DM539yGm&#10;Ynjz7JJyWbhTWufma0sGRi/rqs4BJxajIs6mVobRizKtaVoSx8+2zcGRKz2dMYG2B9KJ58Q4juvx&#10;oC76J0HW0O5RBQ/TKOLXwUMP/i8lA44ho+HPlntJif5qUcnL+WKR5jZfFvXHCi/+1LI+tXArEIrR&#10;SMl0vIl51ifK16h4p7IaL5UcSsbxyiIdvkKa39N79nr5sKsnAAAA//8DAFBLAwQUAAYACAAAACEA&#10;K5sBjNwAAAAHAQAADwAAAGRycy9kb3ducmV2LnhtbEzOTU/DMAwG4DsS/yEyEjfmbLCqK00nBOIK&#10;YnxI3LLGaysap2qytfx7zAlOlvVar59yO/tenWiMXWADy4UGRVwH13Fj4O318SoHFZNlZ/vAZOCb&#10;Imyr87PSFi5M/EKnXWqUlHAsrIE2paFAjHVL3sZFGIglO4TR2yTr2KAb7STlvseV1hl627F8aO1A&#10;9y3VX7ujN/D+dPj8uNHPzYNfD1OYNbLfoDGXF/PdLahEc/o7hl++0KES0z4c2UXVG7jORJ4MrPIM&#10;lOTZZglqLzNfA1Yl/vdXPwAAAP//AwBQSwECLQAUAAYACAAAACEAtoM4kv4AAADhAQAAEwAAAAAA&#10;AAAAAAAAAAAAAAAAW0NvbnRlbnRfVHlwZXNdLnhtbFBLAQItABQABgAIAAAAIQA4/SH/1gAAAJQB&#10;AAALAAAAAAAAAAAAAAAAAC8BAABfcmVscy8ucmVsc1BLAQItABQABgAIAAAAIQAP8rPlDAIAAPgD&#10;AAAOAAAAAAAAAAAAAAAAAC4CAABkcnMvZTJvRG9jLnhtbFBLAQItABQABgAIAAAAIQArmwGM3AAA&#10;AAcBAAAPAAAAAAAAAAAAAAAAAGYEAABkcnMvZG93bnJldi54bWxQSwUGAAAAAAQABADzAAAAbwUA&#10;AAAA&#10;" w14:anchorId="37176D49">
                <v:textbox>
                  <w:txbxContent>
                    <w:p w:rsidR="00F51887" w:rsidP="00DE33B5" w:rsidRDefault="00F51887" w14:paraId="52D46216" w14:textId="77777777">
                      <w:pPr>
                        <w:ind w:left="-90"/>
                      </w:pPr>
                      <w:r>
                        <w:t>X</w:t>
                      </w:r>
                    </w:p>
                  </w:txbxContent>
                </v:textbox>
              </v:shape>
            </w:pict>
          </mc:Fallback>
        </mc:AlternateContent>
      </w:r>
      <w:r w:rsidRPr="00774689" w:rsidR="00B63CF3">
        <w:rPr>
          <w:rFonts w:ascii="Shruti" w:hAnsi="Shruti" w:eastAsia="Times New Roman" w:cs="Shruti"/>
          <w:sz w:val="16"/>
          <w:szCs w:val="14"/>
        </w:rPr>
        <w:fldChar w:fldCharType="begin">
          <w:ffData>
            <w:name w:val="Check25"/>
            <w:enabled/>
            <w:calcOnExit w:val="0"/>
            <w:checkBox>
              <w:sizeAuto/>
              <w:default w:val="0"/>
            </w:checkBox>
          </w:ffData>
        </w:fldChar>
      </w:r>
      <w:r w:rsidRPr="00774689" w:rsidR="00B63CF3">
        <w:rPr>
          <w:rFonts w:ascii="Shruti" w:hAnsi="Shruti" w:eastAsia="Times New Roman" w:cs="Shruti"/>
          <w:sz w:val="16"/>
          <w:szCs w:val="14"/>
        </w:rPr>
        <w:instrText xml:space="preserve"> FORMCHECKBOX </w:instrText>
      </w:r>
      <w:r w:rsidR="00AA20D5">
        <w:rPr>
          <w:rFonts w:ascii="Shruti" w:hAnsi="Shruti" w:eastAsia="Times New Roman" w:cs="Shruti"/>
          <w:sz w:val="16"/>
          <w:szCs w:val="14"/>
        </w:rPr>
      </w:r>
      <w:r w:rsidR="00AA20D5">
        <w:rPr>
          <w:rFonts w:ascii="Shruti" w:hAnsi="Shruti" w:eastAsia="Times New Roman" w:cs="Shruti"/>
          <w:sz w:val="16"/>
          <w:szCs w:val="14"/>
        </w:rPr>
        <w:fldChar w:fldCharType="separate"/>
      </w:r>
      <w:r w:rsidRPr="00774689" w:rsidR="00B63CF3">
        <w:rPr>
          <w:rFonts w:ascii="Shruti" w:hAnsi="Shruti" w:eastAsia="Times New Roman" w:cs="Shruti"/>
          <w:sz w:val="16"/>
          <w:szCs w:val="14"/>
        </w:rPr>
        <w:fldChar w:fldCharType="end"/>
      </w:r>
      <w:r w:rsidRPr="00774689" w:rsidR="00B63CF3">
        <w:rPr>
          <w:rFonts w:ascii="Shruti" w:hAnsi="Shruti" w:eastAsia="Times New Roman" w:cs="Shruti"/>
          <w:sz w:val="16"/>
          <w:szCs w:val="14"/>
        </w:rPr>
        <w:t xml:space="preserve"> </w:t>
      </w:r>
      <w:r w:rsidRPr="00774689" w:rsidR="00481D80">
        <w:t>8. A</w:t>
      </w:r>
      <w:r w:rsidRPr="00774689" w:rsidR="00587C72">
        <w:t>ssuring a competent public health and personal health care workforce</w:t>
      </w:r>
    </w:p>
    <w:p w:rsidR="00EA3A4A" w:rsidP="00EA3A4A" w:rsidRDefault="00B63CF3" w14:paraId="37F84FB5" w14:textId="17CC3C3F">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AA20D5">
        <w:rPr>
          <w:rFonts w:ascii="Shruti" w:hAnsi="Shruti" w:eastAsia="Times New Roman" w:cs="Shruti"/>
          <w:sz w:val="16"/>
          <w:szCs w:val="14"/>
        </w:rPr>
      </w:r>
      <w:r w:rsidR="00AA20D5">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9. E</w:t>
      </w:r>
      <w:r w:rsidRPr="00774689" w:rsidR="00587C72">
        <w:t>valuating effectiveness, accessibility, and quality o</w:t>
      </w:r>
      <w:r w:rsidR="00EA3A4A">
        <w:t xml:space="preserve">f personal and population-based  </w:t>
      </w:r>
    </w:p>
    <w:p w:rsidRPr="00774689" w:rsidR="00587C72" w:rsidP="00EA3A4A" w:rsidRDefault="00EA3A4A" w14:paraId="5A4E6B93" w14:textId="4CBD896C">
      <w:r>
        <w:t xml:space="preserve">     </w:t>
      </w:r>
      <w:r w:rsidRPr="00774689">
        <w:t>health services</w:t>
      </w:r>
    </w:p>
    <w:p w:rsidR="00481D80" w:rsidP="007B7C44" w:rsidRDefault="00B63CF3" w14:paraId="0D81D7FF" w14:textId="72821A5B">
      <w:pPr>
        <w:ind w:left="360"/>
        <w:rPr>
          <w:iCs/>
          <w:vertAlign w:val="superscript"/>
        </w:rPr>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AA20D5">
        <w:rPr>
          <w:rFonts w:ascii="Shruti" w:hAnsi="Shruti" w:eastAsia="Times New Roman" w:cs="Shruti"/>
          <w:sz w:val="16"/>
          <w:szCs w:val="14"/>
        </w:rPr>
      </w:r>
      <w:r w:rsidR="00AA20D5">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10. R</w:t>
      </w:r>
      <w:r w:rsidRPr="00774689" w:rsidR="00587C72">
        <w:t>esearch for new insights and innovative solutions to health problems</w:t>
      </w:r>
      <w:r w:rsidRPr="00774689" w:rsidR="00587C72">
        <w:rPr>
          <w:iCs/>
          <w:vertAlign w:val="superscript"/>
        </w:rPr>
        <w:t xml:space="preserve"> 1</w:t>
      </w:r>
    </w:p>
    <w:p w:rsidRPr="00B953BF" w:rsidR="00A62C98" w:rsidP="00EA3A4A" w:rsidRDefault="00A62C98" w14:paraId="14048904" w14:textId="28241145">
      <w:pPr>
        <w:ind w:left="0"/>
        <w:rPr>
          <w:iCs/>
          <w:vertAlign w:val="superscript"/>
        </w:rPr>
      </w:pPr>
    </w:p>
    <w:p w:rsidRPr="00B953BF" w:rsidR="00CB5667" w:rsidP="00CB5667" w:rsidRDefault="00661223" w14:paraId="204185EC" w14:textId="38B28A2C">
      <w:pPr>
        <w:ind w:left="360"/>
        <w:rPr>
          <w:iCs/>
          <w:vertAlign w:val="superscript"/>
        </w:rPr>
      </w:pPr>
      <w:r w:rsidRPr="00B953BF">
        <w:rPr>
          <w:iCs/>
        </w:rPr>
        <w:t xml:space="preserve">Many different sectors have roles to play in preventing, preparing for, responding to, and recovering from the health effects of disasters and emergencies.  This complexity poses challenges for understanding the collective strength of the health security </w:t>
      </w:r>
      <w:proofErr w:type="gramStart"/>
      <w:r w:rsidRPr="00B953BF">
        <w:rPr>
          <w:iCs/>
        </w:rPr>
        <w:t>system as a whole, and</w:t>
      </w:r>
      <w:proofErr w:type="gramEnd"/>
      <w:r w:rsidRPr="00B953BF">
        <w:rPr>
          <w:iCs/>
        </w:rPr>
        <w:t xml:space="preserve"> for managing and improving this system over time.</w:t>
      </w:r>
      <w:r w:rsidRPr="00B953BF" w:rsidR="00166540">
        <w:rPr>
          <w:iCs/>
        </w:rPr>
        <w:t xml:space="preserve"> </w:t>
      </w:r>
      <w:r w:rsidRPr="00B953BF">
        <w:rPr>
          <w:iCs/>
        </w:rPr>
        <w:t xml:space="preserve">The National Health Security Preparedness Index provides a </w:t>
      </w:r>
      <w:r w:rsidRPr="00B953BF" w:rsidR="00E36E2E">
        <w:rPr>
          <w:iCs/>
        </w:rPr>
        <w:t>tool</w:t>
      </w:r>
      <w:r w:rsidRPr="00B953BF">
        <w:rPr>
          <w:iCs/>
        </w:rPr>
        <w:t xml:space="preserve"> for </w:t>
      </w:r>
      <w:r w:rsidRPr="00B953BF" w:rsidR="00266ECB">
        <w:rPr>
          <w:iCs/>
        </w:rPr>
        <w:t>assessing</w:t>
      </w:r>
      <w:r w:rsidRPr="00B953BF">
        <w:rPr>
          <w:iCs/>
        </w:rPr>
        <w:t xml:space="preserve"> how health security capabilities vary across the U.S. and </w:t>
      </w:r>
      <w:r w:rsidRPr="00B953BF" w:rsidR="00166540">
        <w:rPr>
          <w:iCs/>
        </w:rPr>
        <w:t>how these capabilities change</w:t>
      </w:r>
      <w:r w:rsidRPr="00B953BF">
        <w:rPr>
          <w:iCs/>
        </w:rPr>
        <w:t xml:space="preserve"> over time. </w:t>
      </w:r>
      <w:r w:rsidRPr="00B953BF" w:rsidR="00266ECB">
        <w:rPr>
          <w:iCs/>
        </w:rPr>
        <w:t xml:space="preserve">Using a multi-sector perspective, the Index combines measures from more than 50 </w:t>
      </w:r>
      <w:r w:rsidRPr="00B953BF" w:rsidR="00E36E2E">
        <w:rPr>
          <w:iCs/>
        </w:rPr>
        <w:t xml:space="preserve">data </w:t>
      </w:r>
      <w:r w:rsidRPr="00B953BF" w:rsidR="00266ECB">
        <w:rPr>
          <w:iCs/>
        </w:rPr>
        <w:t>sources and multiple vantage points to offer a broad assessment of preparedness.</w:t>
      </w:r>
      <w:r w:rsidRPr="00B953BF" w:rsidR="006F21B8">
        <w:rPr>
          <w:iCs/>
          <w:vertAlign w:val="superscript"/>
        </w:rPr>
        <w:t>2</w:t>
      </w:r>
      <w:r w:rsidRPr="00B953BF" w:rsidR="00266ECB">
        <w:rPr>
          <w:iCs/>
        </w:rPr>
        <w:t xml:space="preserve"> </w:t>
      </w:r>
      <w:r w:rsidRPr="00B953BF">
        <w:rPr>
          <w:iCs/>
        </w:rPr>
        <w:t>State and local public health preparedness programs function as critical components of the nation’s health security system</w:t>
      </w:r>
      <w:r w:rsidRPr="00B953BF" w:rsidR="00166540">
        <w:rPr>
          <w:iCs/>
        </w:rPr>
        <w:t>, but r</w:t>
      </w:r>
      <w:r w:rsidRPr="00B953BF">
        <w:rPr>
          <w:iCs/>
        </w:rPr>
        <w:t>elatively little is known about how accurately and completely the Index measures the contributions of public health preparedness programs</w:t>
      </w:r>
      <w:r w:rsidRPr="00B953BF" w:rsidR="00166540">
        <w:rPr>
          <w:iCs/>
        </w:rPr>
        <w:t xml:space="preserve">.  </w:t>
      </w:r>
      <w:r w:rsidRPr="00B953BF" w:rsidR="00E36E2E">
        <w:rPr>
          <w:iCs/>
        </w:rPr>
        <w:t>Moreover</w:t>
      </w:r>
      <w:r w:rsidRPr="00B953BF" w:rsidR="00166540">
        <w:rPr>
          <w:iCs/>
        </w:rPr>
        <w:t>, little is known about</w:t>
      </w:r>
      <w:r w:rsidRPr="00B953BF">
        <w:rPr>
          <w:iCs/>
        </w:rPr>
        <w:t xml:space="preserve"> how </w:t>
      </w:r>
      <w:r w:rsidRPr="00B953BF" w:rsidR="00166540">
        <w:rPr>
          <w:iCs/>
        </w:rPr>
        <w:t>public health preparedness</w:t>
      </w:r>
      <w:r w:rsidRPr="00B953BF">
        <w:rPr>
          <w:iCs/>
        </w:rPr>
        <w:t xml:space="preserve"> programs can best use the Index to strengthen </w:t>
      </w:r>
      <w:r w:rsidRPr="00B953BF" w:rsidR="00166540">
        <w:rPr>
          <w:iCs/>
        </w:rPr>
        <w:t>health security</w:t>
      </w:r>
      <w:r w:rsidRPr="00B953BF">
        <w:rPr>
          <w:iCs/>
        </w:rPr>
        <w:t xml:space="preserve"> in their communities.</w:t>
      </w:r>
      <w:r w:rsidRPr="00B953BF" w:rsidR="00166540">
        <w:rPr>
          <w:iCs/>
        </w:rPr>
        <w:t xml:space="preserve">  </w:t>
      </w:r>
      <w:r w:rsidRPr="00B953BF" w:rsidR="00E36E2E">
        <w:rPr>
          <w:iCs/>
        </w:rPr>
        <w:t xml:space="preserve">Of the 140 individual measures currently used in the Index, as many as half of these measures reflect capabilities that are not under the direct control and responsibility of governmental public health agencies and their preparedness programs.  Many Index measures reflect capacities in healthcare, emergency management, education, social services, employers, and other sectors with which public health agencies must communicate, coordinate, and advise.  State and local public health preparedness programs face uncertainties about how best to interpret and use the Index results, particularly when many of the Index measures lie outside their direct control.  </w:t>
      </w:r>
    </w:p>
    <w:p w:rsidRPr="00B953BF" w:rsidR="00CB5667" w:rsidP="00CB5667" w:rsidRDefault="00CB5667" w14:paraId="29081B41" w14:textId="77777777">
      <w:pPr>
        <w:ind w:left="360"/>
        <w:rPr>
          <w:iCs/>
          <w:vertAlign w:val="superscript"/>
        </w:rPr>
      </w:pPr>
    </w:p>
    <w:p w:rsidRPr="00B953BF" w:rsidR="00613BCF" w:rsidP="00CB5667" w:rsidRDefault="00A64264" w14:paraId="196BCD20" w14:textId="058813F8">
      <w:pPr>
        <w:ind w:left="360"/>
        <w:rPr>
          <w:iCs/>
        </w:rPr>
      </w:pPr>
      <w:r w:rsidRPr="00B953BF">
        <w:rPr>
          <w:iCs/>
        </w:rPr>
        <w:t>Working with a broad set of subject matter experts, t</w:t>
      </w:r>
      <w:r w:rsidRPr="00B953BF" w:rsidR="00266ECB">
        <w:rPr>
          <w:iCs/>
        </w:rPr>
        <w:t xml:space="preserve">he U.S. Centers for Disease Control and Prevention </w:t>
      </w:r>
      <w:r w:rsidRPr="00B953BF">
        <w:rPr>
          <w:iCs/>
        </w:rPr>
        <w:t xml:space="preserve">defined a set of 15 public health emergency preparedness and response </w:t>
      </w:r>
      <w:r w:rsidRPr="00B953BF" w:rsidR="00656673">
        <w:rPr>
          <w:iCs/>
        </w:rPr>
        <w:t xml:space="preserve">(PHEP) </w:t>
      </w:r>
      <w:r w:rsidRPr="00B953BF">
        <w:rPr>
          <w:iCs/>
        </w:rPr>
        <w:t xml:space="preserve">capabilities that specify </w:t>
      </w:r>
      <w:r w:rsidRPr="00B953BF" w:rsidR="00656673">
        <w:rPr>
          <w:iCs/>
        </w:rPr>
        <w:t>the actions</w:t>
      </w:r>
      <w:r w:rsidRPr="00B953BF">
        <w:rPr>
          <w:iCs/>
        </w:rPr>
        <w:t xml:space="preserve"> that state and local public health preparedness programs </w:t>
      </w:r>
      <w:r w:rsidRPr="00B953BF" w:rsidR="00656673">
        <w:rPr>
          <w:iCs/>
        </w:rPr>
        <w:t xml:space="preserve">should be able to perform in preparing for and responding to </w:t>
      </w:r>
      <w:r w:rsidRPr="00B953BF" w:rsidR="0043662C">
        <w:rPr>
          <w:iCs/>
        </w:rPr>
        <w:t>public health emergencies</w:t>
      </w:r>
      <w:r w:rsidRPr="00B953BF" w:rsidR="00656673">
        <w:rPr>
          <w:iCs/>
        </w:rPr>
        <w:t>.</w:t>
      </w:r>
      <w:r w:rsidRPr="00B953BF" w:rsidR="00D71F73">
        <w:rPr>
          <w:iCs/>
          <w:vertAlign w:val="superscript"/>
        </w:rPr>
        <w:t>3</w:t>
      </w:r>
      <w:r w:rsidRPr="00B953BF" w:rsidR="00656673">
        <w:rPr>
          <w:iCs/>
        </w:rPr>
        <w:t xml:space="preserve">  Initially developed</w:t>
      </w:r>
      <w:r w:rsidRPr="00B953BF" w:rsidR="00CB5667">
        <w:rPr>
          <w:iCs/>
        </w:rPr>
        <w:t xml:space="preserve"> in 2011, the</w:t>
      </w:r>
      <w:r w:rsidRPr="00B953BF" w:rsidR="00656673">
        <w:rPr>
          <w:iCs/>
        </w:rPr>
        <w:t xml:space="preserve"> PHEP capabilities have been tested and </w:t>
      </w:r>
      <w:r w:rsidRPr="00B953BF" w:rsidR="0043662C">
        <w:rPr>
          <w:iCs/>
        </w:rPr>
        <w:t>evaluated</w:t>
      </w:r>
      <w:r w:rsidRPr="00B953BF" w:rsidR="00656673">
        <w:rPr>
          <w:iCs/>
        </w:rPr>
        <w:t xml:space="preserve"> </w:t>
      </w:r>
      <w:r w:rsidRPr="00B953BF" w:rsidR="0043662C">
        <w:rPr>
          <w:iCs/>
        </w:rPr>
        <w:t xml:space="preserve">using multiple iterations of review, exercises and real events, culminating with an updated set of capabilities released in 2018. </w:t>
      </w:r>
      <w:r w:rsidRPr="00B953BF" w:rsidR="00E701E1">
        <w:rPr>
          <w:iCs/>
        </w:rPr>
        <w:t>Th</w:t>
      </w:r>
      <w:r w:rsidRPr="00B953BF" w:rsidR="00CB5667">
        <w:rPr>
          <w:iCs/>
        </w:rPr>
        <w:t>is</w:t>
      </w:r>
      <w:r w:rsidRPr="00B953BF" w:rsidR="00E701E1">
        <w:rPr>
          <w:iCs/>
        </w:rPr>
        <w:t xml:space="preserve"> updated set of PHEP capabilities provides a framework that will guide </w:t>
      </w:r>
      <w:r w:rsidRPr="00B953BF" w:rsidR="009A67B9">
        <w:rPr>
          <w:iCs/>
        </w:rPr>
        <w:t xml:space="preserve">the collection of </w:t>
      </w:r>
      <w:r w:rsidRPr="00B953BF" w:rsidR="00E701E1">
        <w:rPr>
          <w:iCs/>
        </w:rPr>
        <w:t xml:space="preserve">data </w:t>
      </w:r>
      <w:r w:rsidRPr="00B953BF" w:rsidR="009A67B9">
        <w:rPr>
          <w:iCs/>
        </w:rPr>
        <w:t>about</w:t>
      </w:r>
      <w:r w:rsidRPr="00B953BF" w:rsidR="00CB5667">
        <w:rPr>
          <w:iCs/>
        </w:rPr>
        <w:t xml:space="preserve"> </w:t>
      </w:r>
      <w:r w:rsidRPr="00B953BF" w:rsidR="009A67B9">
        <w:rPr>
          <w:iCs/>
        </w:rPr>
        <w:t xml:space="preserve">the </w:t>
      </w:r>
      <w:r w:rsidRPr="00B953BF" w:rsidR="00CB5667">
        <w:rPr>
          <w:iCs/>
        </w:rPr>
        <w:t xml:space="preserve">validity and utility of the Index for public health preparedness programs.  </w:t>
      </w:r>
      <w:r w:rsidRPr="00B953BF">
        <w:rPr>
          <w:iCs/>
        </w:rPr>
        <w:t xml:space="preserve"> </w:t>
      </w:r>
    </w:p>
    <w:p w:rsidRPr="00B953BF" w:rsidR="00CB5667" w:rsidP="00CB5667" w:rsidRDefault="00CB5667" w14:paraId="05F84128" w14:textId="77777777">
      <w:pPr>
        <w:ind w:left="360"/>
        <w:rPr>
          <w:iCs/>
          <w:vertAlign w:val="superscript"/>
        </w:rPr>
      </w:pPr>
    </w:p>
    <w:p w:rsidRPr="00B953BF" w:rsidR="00C5084B" w:rsidP="00CB5667" w:rsidRDefault="009A67B9" w14:paraId="38A1625D" w14:textId="3565CC09">
      <w:pPr>
        <w:ind w:left="360"/>
        <w:rPr>
          <w:iCs/>
        </w:rPr>
      </w:pPr>
      <w:r w:rsidRPr="00B953BF">
        <w:rPr>
          <w:iCs/>
        </w:rPr>
        <w:t>T</w:t>
      </w:r>
      <w:r w:rsidRPr="00B953BF" w:rsidR="00CB5667">
        <w:rPr>
          <w:iCs/>
        </w:rPr>
        <w:t>he</w:t>
      </w:r>
      <w:r w:rsidRPr="00B953BF">
        <w:rPr>
          <w:iCs/>
        </w:rPr>
        <w:t xml:space="preserve"> purpose of the data collection is </w:t>
      </w:r>
      <w:r w:rsidRPr="00B953BF" w:rsidR="00376BD8">
        <w:rPr>
          <w:iCs/>
        </w:rPr>
        <w:t xml:space="preserve">threefold: (1) </w:t>
      </w:r>
      <w:r w:rsidRPr="00B953BF">
        <w:rPr>
          <w:iCs/>
        </w:rPr>
        <w:t xml:space="preserve">to assess how accurately and completely the Index measures the contributions of </w:t>
      </w:r>
      <w:r w:rsidRPr="00B953BF" w:rsidR="00376BD8">
        <w:rPr>
          <w:iCs/>
        </w:rPr>
        <w:t>state and local PHEP</w:t>
      </w:r>
      <w:r w:rsidRPr="00B953BF">
        <w:rPr>
          <w:iCs/>
        </w:rPr>
        <w:t xml:space="preserve"> programs to community </w:t>
      </w:r>
      <w:r w:rsidRPr="00B953BF">
        <w:rPr>
          <w:iCs/>
        </w:rPr>
        <w:lastRenderedPageBreak/>
        <w:t xml:space="preserve">preparedness and </w:t>
      </w:r>
      <w:r w:rsidRPr="00B953BF" w:rsidR="00376BD8">
        <w:rPr>
          <w:iCs/>
        </w:rPr>
        <w:t xml:space="preserve">overall </w:t>
      </w:r>
      <w:r w:rsidRPr="00B953BF">
        <w:rPr>
          <w:iCs/>
        </w:rPr>
        <w:t>health security</w:t>
      </w:r>
      <w:r w:rsidRPr="00B953BF" w:rsidR="00376BD8">
        <w:rPr>
          <w:iCs/>
        </w:rPr>
        <w:t xml:space="preserve">; (2) to identify a core set of PHEP metrics that these programs can use to assess and improve their activities; and (3) to </w:t>
      </w:r>
      <w:r w:rsidRPr="00B953BF" w:rsidR="00111ACF">
        <w:rPr>
          <w:iCs/>
        </w:rPr>
        <w:t xml:space="preserve">identify </w:t>
      </w:r>
      <w:r w:rsidRPr="00B953BF" w:rsidR="00111ACF">
        <w:t>strategies for improving the usability and usefulness of the Index for state and local PHEP program stakeholders</w:t>
      </w:r>
      <w:r w:rsidRPr="00B953BF" w:rsidR="00376BD8">
        <w:rPr>
          <w:iCs/>
        </w:rPr>
        <w:t xml:space="preserve">.  </w:t>
      </w:r>
    </w:p>
    <w:p w:rsidRPr="00B953BF" w:rsidR="00C5084B" w:rsidP="00CB5667" w:rsidRDefault="00C5084B" w14:paraId="7FE9592E" w14:textId="77777777">
      <w:pPr>
        <w:ind w:left="360"/>
        <w:rPr>
          <w:iCs/>
        </w:rPr>
      </w:pPr>
    </w:p>
    <w:p w:rsidRPr="00B953BF" w:rsidR="00CB5667" w:rsidP="00CB5667" w:rsidRDefault="00B2710D" w14:paraId="3544723A" w14:textId="5E2D3950">
      <w:pPr>
        <w:ind w:left="360"/>
        <w:rPr>
          <w:iCs/>
        </w:rPr>
      </w:pPr>
      <w:r w:rsidRPr="00B953BF">
        <w:rPr>
          <w:iCs/>
        </w:rPr>
        <w:t xml:space="preserve">CDC has contracted with a research team </w:t>
      </w:r>
      <w:r w:rsidRPr="00B953BF" w:rsidR="00487F51">
        <w:rPr>
          <w:iCs/>
        </w:rPr>
        <w:t>led by</w:t>
      </w:r>
      <w:r w:rsidRPr="00B953BF">
        <w:rPr>
          <w:iCs/>
        </w:rPr>
        <w:t xml:space="preserve"> the University of Kentucky to collect the data, </w:t>
      </w:r>
      <w:r w:rsidRPr="00B953BF" w:rsidR="00487F51">
        <w:rPr>
          <w:iCs/>
        </w:rPr>
        <w:t>supported by subcontracts with the</w:t>
      </w:r>
      <w:r w:rsidRPr="00B953BF" w:rsidR="006D2F84">
        <w:rPr>
          <w:iCs/>
        </w:rPr>
        <w:t xml:space="preserve"> University of Colorado</w:t>
      </w:r>
      <w:r w:rsidRPr="00B953BF" w:rsidR="00D36980">
        <w:rPr>
          <w:iCs/>
        </w:rPr>
        <w:t xml:space="preserve"> (to lead the overall analysis strategy)</w:t>
      </w:r>
      <w:r w:rsidRPr="00B953BF" w:rsidR="006D2F84">
        <w:rPr>
          <w:iCs/>
        </w:rPr>
        <w:t>,</w:t>
      </w:r>
      <w:r w:rsidRPr="00B953BF" w:rsidR="00487F51">
        <w:rPr>
          <w:iCs/>
        </w:rPr>
        <w:t xml:space="preserve"> University of California at Los Angeles</w:t>
      </w:r>
      <w:r w:rsidRPr="00B953BF" w:rsidR="00D36980">
        <w:rPr>
          <w:iCs/>
        </w:rPr>
        <w:t xml:space="preserve"> (to lead survey data collection)</w:t>
      </w:r>
      <w:r w:rsidRPr="00B953BF" w:rsidR="00487F51">
        <w:rPr>
          <w:iCs/>
        </w:rPr>
        <w:t>, New York University</w:t>
      </w:r>
      <w:r w:rsidRPr="00B953BF" w:rsidR="00D36980">
        <w:rPr>
          <w:iCs/>
        </w:rPr>
        <w:t xml:space="preserve"> (to lead qualitative data collection)</w:t>
      </w:r>
      <w:r w:rsidRPr="00B953BF" w:rsidR="00487F51">
        <w:rPr>
          <w:iCs/>
        </w:rPr>
        <w:t>, the Association of State and Territorial Health Officials (ASTHO</w:t>
      </w:r>
      <w:r w:rsidRPr="00B953BF" w:rsidR="00D36980">
        <w:rPr>
          <w:iCs/>
        </w:rPr>
        <w:t>, to facilitate state preparedness program engagement</w:t>
      </w:r>
      <w:r w:rsidRPr="00B953BF" w:rsidR="00487F51">
        <w:rPr>
          <w:iCs/>
        </w:rPr>
        <w:t>), and the National Association of County and</w:t>
      </w:r>
      <w:r w:rsidRPr="00B953BF" w:rsidR="00E12691">
        <w:rPr>
          <w:iCs/>
        </w:rPr>
        <w:t xml:space="preserve"> City Health Officials (NACCHO</w:t>
      </w:r>
      <w:r w:rsidRPr="00B953BF" w:rsidR="00D36980">
        <w:rPr>
          <w:iCs/>
        </w:rPr>
        <w:t>, to facilitate local preparedness program engagement</w:t>
      </w:r>
      <w:r w:rsidRPr="00B953BF" w:rsidR="00E12691">
        <w:rPr>
          <w:iCs/>
        </w:rPr>
        <w:t>).</w:t>
      </w:r>
      <w:r w:rsidRPr="00B953BF" w:rsidR="00DB2ABD">
        <w:rPr>
          <w:iCs/>
        </w:rPr>
        <w:t xml:space="preserve"> </w:t>
      </w:r>
      <w:r w:rsidRPr="00B953BF" w:rsidR="00E12691">
        <w:rPr>
          <w:iCs/>
        </w:rPr>
        <w:t xml:space="preserve"> </w:t>
      </w:r>
    </w:p>
    <w:p w:rsidRPr="00CB5667" w:rsidR="003F044B" w:rsidP="00CB5667" w:rsidRDefault="003F044B" w14:paraId="07FC9891" w14:textId="77777777">
      <w:pPr>
        <w:ind w:left="360"/>
        <w:rPr>
          <w:iCs/>
          <w:color w:val="0070C0"/>
          <w:vertAlign w:val="superscript"/>
        </w:rPr>
      </w:pPr>
    </w:p>
    <w:p w:rsidR="00613BCF" w:rsidP="00B655B4" w:rsidRDefault="00613BCF" w14:paraId="4F9051DA" w14:textId="00776B5C">
      <w:pPr>
        <w:ind w:left="0"/>
      </w:pPr>
    </w:p>
    <w:p w:rsidRPr="001A28F6" w:rsidR="00B655B4" w:rsidP="00B655B4" w:rsidRDefault="00B655B4" w14:paraId="005E5EE6" w14:textId="77777777">
      <w:pPr>
        <w:ind w:left="0"/>
      </w:pPr>
    </w:p>
    <w:p w:rsidRPr="00B953BF" w:rsidR="00376290" w:rsidP="00376290" w:rsidRDefault="006102DA" w14:paraId="43143E28" w14:textId="1B973539">
      <w:pPr>
        <w:pStyle w:val="Heading5"/>
        <w:spacing w:after="120"/>
        <w:ind w:left="360"/>
      </w:pPr>
      <w:r w:rsidRPr="00B953BF">
        <w:t xml:space="preserve">Overview of the </w:t>
      </w:r>
      <w:r w:rsidRPr="00B953BF" w:rsidR="007F5776">
        <w:t>Information C</w:t>
      </w:r>
      <w:r w:rsidRPr="00B953BF" w:rsidR="00157413">
        <w:t>ollection</w:t>
      </w:r>
      <w:r w:rsidRPr="00B953BF">
        <w:t xml:space="preserve"> System</w:t>
      </w:r>
      <w:r w:rsidRPr="00B953BF" w:rsidR="00151567">
        <w:t xml:space="preserve"> </w:t>
      </w:r>
    </w:p>
    <w:p w:rsidRPr="00B953BF" w:rsidR="00DC2AD2" w:rsidP="00CD28CE" w:rsidRDefault="00692DEB" w14:paraId="32EF8C83" w14:textId="38E49C31">
      <w:pPr>
        <w:tabs>
          <w:tab w:val="clear" w:pos="9360"/>
        </w:tabs>
        <w:autoSpaceDE w:val="0"/>
        <w:autoSpaceDN w:val="0"/>
        <w:adjustRightInd w:val="0"/>
        <w:ind w:left="360"/>
        <w:rPr>
          <w:rFonts w:cs="Calibri-Italic"/>
          <w:iCs/>
        </w:rPr>
      </w:pPr>
      <w:r w:rsidRPr="00B953BF">
        <w:t>Data will be collected</w:t>
      </w:r>
      <w:r w:rsidRPr="00B953BF" w:rsidR="00376290">
        <w:t xml:space="preserve"> </w:t>
      </w:r>
      <w:r w:rsidRPr="00B953BF" w:rsidR="00AE5219">
        <w:t>via two data collection instruments</w:t>
      </w:r>
      <w:r w:rsidRPr="00B953BF" w:rsidR="00D0244E">
        <w:t>:</w:t>
      </w:r>
      <w:r w:rsidRPr="00B953BF" w:rsidR="00AE5219">
        <w:t xml:space="preserve"> </w:t>
      </w:r>
      <w:r w:rsidRPr="00B953BF" w:rsidR="00D0244E">
        <w:t xml:space="preserve">an </w:t>
      </w:r>
      <w:r w:rsidRPr="00B953BF" w:rsidR="00AE5219">
        <w:t xml:space="preserve">online assessment </w:t>
      </w:r>
      <w:r w:rsidRPr="00B953BF" w:rsidR="00D0244E">
        <w:t>(</w:t>
      </w:r>
      <w:r w:rsidRPr="00B953BF" w:rsidR="00AE5219">
        <w:t xml:space="preserve">n=278) and </w:t>
      </w:r>
      <w:r w:rsidRPr="00B953BF" w:rsidR="00D0244E">
        <w:t xml:space="preserve">a </w:t>
      </w:r>
      <w:r w:rsidRPr="00B953BF" w:rsidR="00AE5219">
        <w:t>semi-structured interview</w:t>
      </w:r>
      <w:r w:rsidRPr="00B953BF" w:rsidR="00D0244E">
        <w:t xml:space="preserve"> guide</w:t>
      </w:r>
      <w:r w:rsidRPr="00B953BF" w:rsidR="00AE5219">
        <w:t xml:space="preserve"> (n=42). </w:t>
      </w:r>
      <w:r w:rsidRPr="00B953BF">
        <w:t>(</w:t>
      </w:r>
      <w:r w:rsidRPr="00B953BF" w:rsidR="00E647FB">
        <w:rPr>
          <w:b/>
        </w:rPr>
        <w:t>see</w:t>
      </w:r>
      <w:r w:rsidRPr="00B953BF" w:rsidR="00E647FB">
        <w:t xml:space="preserve"> </w:t>
      </w:r>
      <w:r w:rsidRPr="00B953BF" w:rsidR="00E647FB">
        <w:rPr>
          <w:b/>
        </w:rPr>
        <w:t xml:space="preserve">Attachment </w:t>
      </w:r>
      <w:r w:rsidRPr="00B953BF" w:rsidR="00193B06">
        <w:rPr>
          <w:b/>
        </w:rPr>
        <w:t>A</w:t>
      </w:r>
      <w:r w:rsidRPr="00B953BF" w:rsidR="00E647FB">
        <w:t>—</w:t>
      </w:r>
      <w:r w:rsidRPr="00B953BF" w:rsidR="00E1124D">
        <w:t>Online Assessment</w:t>
      </w:r>
      <w:r w:rsidRPr="00B953BF" w:rsidR="00193B06">
        <w:t xml:space="preserve"> Instrument</w:t>
      </w:r>
      <w:r w:rsidRPr="00B953BF" w:rsidR="00E871DB">
        <w:t xml:space="preserve"> Word Version, </w:t>
      </w:r>
      <w:r w:rsidRPr="00B953BF" w:rsidR="00E871DB">
        <w:rPr>
          <w:b/>
          <w:bCs/>
        </w:rPr>
        <w:t>Attachment B</w:t>
      </w:r>
      <w:r w:rsidRPr="00B953BF" w:rsidR="00E871DB">
        <w:t>—Online Assessment Instrument Web Version,</w:t>
      </w:r>
      <w:r w:rsidRPr="00B953BF" w:rsidR="00193B06">
        <w:t xml:space="preserve"> and </w:t>
      </w:r>
      <w:r w:rsidRPr="00B953BF" w:rsidR="00193B06">
        <w:rPr>
          <w:b/>
        </w:rPr>
        <w:t xml:space="preserve">Attachment </w:t>
      </w:r>
      <w:r w:rsidRPr="00B953BF" w:rsidR="00E871DB">
        <w:rPr>
          <w:b/>
        </w:rPr>
        <w:t>C</w:t>
      </w:r>
      <w:r w:rsidRPr="00B953BF" w:rsidR="00193B06">
        <w:t>—Semi-Structured Interview Guide</w:t>
      </w:r>
      <w:r w:rsidRPr="00B953BF">
        <w:t>). The instrument</w:t>
      </w:r>
      <w:r w:rsidRPr="00B953BF" w:rsidR="00193B06">
        <w:t>s</w:t>
      </w:r>
      <w:r w:rsidRPr="00B953BF">
        <w:t xml:space="preserve"> will be used to gather information from </w:t>
      </w:r>
      <w:r w:rsidRPr="00B953BF" w:rsidR="00D05F27">
        <w:rPr>
          <w:rFonts w:cs="Calibri-Italic"/>
          <w:iCs/>
        </w:rPr>
        <w:t xml:space="preserve">employees of state, territorial and local public health preparedness programs who are knowledgeable about </w:t>
      </w:r>
      <w:r w:rsidRPr="00B953BF" w:rsidR="00DA4B6C">
        <w:rPr>
          <w:rFonts w:cs="Calibri-Italic"/>
          <w:iCs/>
        </w:rPr>
        <w:t xml:space="preserve">PHEP </w:t>
      </w:r>
      <w:r w:rsidRPr="00B953BF" w:rsidR="00D05F27">
        <w:rPr>
          <w:rFonts w:cs="Calibri-Italic"/>
          <w:iCs/>
        </w:rPr>
        <w:t>program operations, as identified by each program’</w:t>
      </w:r>
      <w:r w:rsidRPr="00B953BF" w:rsidR="00261C1B">
        <w:rPr>
          <w:rFonts w:cs="Calibri-Italic"/>
          <w:iCs/>
        </w:rPr>
        <w:t>s chief administrator</w:t>
      </w:r>
      <w:r w:rsidRPr="00B953BF" w:rsidR="00193B06">
        <w:rPr>
          <w:rFonts w:cs="Calibri-Italic"/>
          <w:iCs/>
        </w:rPr>
        <w:t>,</w:t>
      </w:r>
      <w:r w:rsidRPr="00B953BF">
        <w:t xml:space="preserve"> regarding</w:t>
      </w:r>
      <w:r w:rsidRPr="00B953BF" w:rsidR="008C59E7">
        <w:t xml:space="preserve"> </w:t>
      </w:r>
      <w:r w:rsidRPr="00B953BF" w:rsidR="00261C1B">
        <w:rPr>
          <w:rFonts w:cs="Calibri-Italic"/>
          <w:iCs/>
        </w:rPr>
        <w:t xml:space="preserve">how these preparedness programs can best use the </w:t>
      </w:r>
      <w:r w:rsidRPr="00B953BF" w:rsidR="00C03F0C">
        <w:rPr>
          <w:rFonts w:cs="Calibri-Italic"/>
          <w:iCs/>
        </w:rPr>
        <w:t xml:space="preserve">Index </w:t>
      </w:r>
      <w:r w:rsidRPr="00B953BF" w:rsidR="00261C1B">
        <w:rPr>
          <w:rFonts w:cs="Calibri-Italic"/>
          <w:iCs/>
        </w:rPr>
        <w:t>to inform and improve their operations.</w:t>
      </w:r>
      <w:r w:rsidRPr="00B953BF" w:rsidR="00261C1B">
        <w:t xml:space="preserve"> </w:t>
      </w:r>
    </w:p>
    <w:p w:rsidRPr="00B953BF" w:rsidR="00DC2AD2" w:rsidP="008B65FF" w:rsidRDefault="00DC2AD2" w14:paraId="1021FC3D" w14:textId="77777777">
      <w:pPr>
        <w:ind w:left="360"/>
      </w:pPr>
    </w:p>
    <w:p w:rsidRPr="00B953BF" w:rsidR="00272E3E" w:rsidP="00383542" w:rsidRDefault="00692DEB" w14:paraId="1BDDAD80" w14:textId="2756B65F">
      <w:pPr>
        <w:ind w:left="360"/>
      </w:pPr>
      <w:r w:rsidRPr="00B953BF">
        <w:t>The information collection instrument</w:t>
      </w:r>
      <w:r w:rsidRPr="00B953BF" w:rsidR="00651785">
        <w:t>s</w:t>
      </w:r>
      <w:r w:rsidRPr="00B953BF">
        <w:t xml:space="preserve"> w</w:t>
      </w:r>
      <w:r w:rsidRPr="00B953BF" w:rsidR="00651785">
        <w:t>ere</w:t>
      </w:r>
      <w:r w:rsidRPr="00B953BF">
        <w:t xml:space="preserve"> pilot tested by </w:t>
      </w:r>
      <w:r w:rsidRPr="00B953BF" w:rsidR="00DA4B6C">
        <w:t>four (</w:t>
      </w:r>
      <w:r w:rsidRPr="00B953BF" w:rsidR="00155D59">
        <w:t>4</w:t>
      </w:r>
      <w:r w:rsidRPr="00B953BF" w:rsidR="00DA4B6C">
        <w:t>)</w:t>
      </w:r>
      <w:r w:rsidRPr="00B953BF">
        <w:t xml:space="preserve"> public health </w:t>
      </w:r>
      <w:r w:rsidRPr="00B953BF" w:rsidR="00651785">
        <w:t xml:space="preserve">preparedness </w:t>
      </w:r>
      <w:r w:rsidRPr="00B953BF">
        <w:t>professionals. Feedback from this group was used to refine questions as needed, ensure accurate programming and skip patterns and establish the estimated time required to complete the information collection instrument.</w:t>
      </w:r>
    </w:p>
    <w:p w:rsidR="00383542" w:rsidP="00383542" w:rsidRDefault="00383542" w14:paraId="236ABAAD" w14:textId="77777777">
      <w:pPr>
        <w:ind w:left="360"/>
      </w:pPr>
    </w:p>
    <w:p w:rsidR="00272E3E" w:rsidP="008B65FF" w:rsidRDefault="00272E3E" w14:paraId="2255C997" w14:textId="77777777">
      <w:pPr>
        <w:ind w:left="360"/>
      </w:pPr>
    </w:p>
    <w:p w:rsidRPr="00B953BF" w:rsidR="00692DEB" w:rsidP="008B65FF" w:rsidRDefault="00692DEB" w14:paraId="36702F9E" w14:textId="77777777">
      <w:pPr>
        <w:pStyle w:val="Heading5"/>
        <w:spacing w:after="120"/>
        <w:ind w:left="360"/>
      </w:pPr>
      <w:r w:rsidRPr="00B953BF">
        <w:t>Items of Information to be Collected</w:t>
      </w:r>
    </w:p>
    <w:p w:rsidRPr="00B953BF" w:rsidR="00DC6104" w:rsidP="00CD28CE" w:rsidRDefault="00EE5C97" w14:paraId="72C18EF7" w14:textId="3B321D81">
      <w:pPr>
        <w:ind w:left="360"/>
      </w:pPr>
      <w:r w:rsidRPr="00B953BF">
        <w:t>Online Assess</w:t>
      </w:r>
      <w:r w:rsidRPr="00B953BF" w:rsidR="003A5F74">
        <w:t>ment</w:t>
      </w:r>
    </w:p>
    <w:p w:rsidRPr="00B953BF" w:rsidR="00DC6104" w:rsidP="00CD28CE" w:rsidRDefault="00DC6104" w14:paraId="220B6CD0" w14:textId="77777777">
      <w:pPr>
        <w:ind w:left="360"/>
      </w:pPr>
    </w:p>
    <w:p w:rsidRPr="00B953BF" w:rsidR="00692DEB" w:rsidP="00CD28CE" w:rsidRDefault="00692DEB" w14:paraId="08DF8928" w14:textId="6D405016">
      <w:pPr>
        <w:ind w:left="360"/>
      </w:pPr>
      <w:r w:rsidRPr="00B953BF">
        <w:t xml:space="preserve">The </w:t>
      </w:r>
      <w:r w:rsidRPr="00B953BF" w:rsidR="003A5F74">
        <w:t xml:space="preserve">online assessment </w:t>
      </w:r>
      <w:r w:rsidRPr="00B953BF">
        <w:t xml:space="preserve">consists of </w:t>
      </w:r>
      <w:r w:rsidRPr="00B953BF" w:rsidR="00601316">
        <w:t>a self-administered questionnaire containing a total of 1</w:t>
      </w:r>
      <w:r w:rsidRPr="00B953BF" w:rsidR="00DA4B6C">
        <w:t>29</w:t>
      </w:r>
      <w:r w:rsidRPr="00B953BF">
        <w:t xml:space="preserve"> main questions of various types, including</w:t>
      </w:r>
      <w:r w:rsidRPr="00B953BF" w:rsidR="008C59E7">
        <w:t xml:space="preserve"> </w:t>
      </w:r>
      <w:r w:rsidRPr="00B953BF" w:rsidR="00B10DAF">
        <w:t>d</w:t>
      </w:r>
      <w:r w:rsidRPr="00B953BF" w:rsidR="008C59E7">
        <w:t xml:space="preserve">ichotomous (yes/no), </w:t>
      </w:r>
      <w:r w:rsidRPr="00B953BF" w:rsidR="00B10DAF">
        <w:t xml:space="preserve">categorical </w:t>
      </w:r>
      <w:r w:rsidRPr="00B953BF" w:rsidR="008C59E7">
        <w:t xml:space="preserve">multiple response, </w:t>
      </w:r>
      <w:r w:rsidRPr="00B953BF" w:rsidR="00B10DAF">
        <w:t>and ordinal (rating scale</w:t>
      </w:r>
      <w:r w:rsidRPr="00B953BF" w:rsidR="008C59E7">
        <w:t>)</w:t>
      </w:r>
      <w:r w:rsidRPr="00B953BF" w:rsidR="00B10DAF">
        <w:t xml:space="preserve"> items</w:t>
      </w:r>
      <w:r w:rsidRPr="00B953BF" w:rsidR="008C59E7">
        <w:t xml:space="preserve">, </w:t>
      </w:r>
      <w:r w:rsidRPr="00B953BF" w:rsidR="00B10DAF">
        <w:t xml:space="preserve">along with four </w:t>
      </w:r>
      <w:r w:rsidRPr="00B953BF" w:rsidR="008C59E7">
        <w:rPr>
          <w:rFonts w:eastAsiaTheme="majorEastAsia" w:cstheme="majorBidi"/>
        </w:rPr>
        <w:t>open-</w:t>
      </w:r>
      <w:r w:rsidRPr="00B953BF" w:rsidR="00C03F0C">
        <w:rPr>
          <w:rFonts w:eastAsiaTheme="majorEastAsia" w:cstheme="majorBidi"/>
        </w:rPr>
        <w:t>response</w:t>
      </w:r>
      <w:r w:rsidRPr="00B953BF" w:rsidR="00B10DAF">
        <w:rPr>
          <w:rFonts w:eastAsiaTheme="majorEastAsia" w:cstheme="majorBidi"/>
        </w:rPr>
        <w:t xml:space="preserve"> items</w:t>
      </w:r>
      <w:r w:rsidRPr="00B953BF" w:rsidR="00601316">
        <w:rPr>
          <w:rFonts w:eastAsiaTheme="majorEastAsia" w:cstheme="majorBidi"/>
        </w:rPr>
        <w:t xml:space="preserve">. </w:t>
      </w:r>
      <w:r w:rsidRPr="00B953BF">
        <w:t xml:space="preserve">The instrument will collect </w:t>
      </w:r>
      <w:r w:rsidRPr="00B953BF" w:rsidR="006C20E8">
        <w:t>data</w:t>
      </w:r>
      <w:r w:rsidRPr="00B953BF">
        <w:t xml:space="preserve"> </w:t>
      </w:r>
      <w:r w:rsidRPr="00B953BF" w:rsidR="008E54CC">
        <w:t xml:space="preserve">from a total of 278 respondents </w:t>
      </w:r>
      <w:r w:rsidRPr="00B953BF">
        <w:t>on the following</w:t>
      </w:r>
      <w:r w:rsidRPr="00B953BF" w:rsidR="00A83621">
        <w:t xml:space="preserve"> constructs</w:t>
      </w:r>
      <w:r w:rsidRPr="00B953BF">
        <w:t xml:space="preserve">: </w:t>
      </w:r>
    </w:p>
    <w:p w:rsidRPr="00B953BF" w:rsidR="008C59E7" w:rsidP="00CD28CE" w:rsidRDefault="00B10DAF" w14:paraId="029D8553" w14:textId="1F3BC35F">
      <w:pPr>
        <w:pStyle w:val="ListParagraph"/>
        <w:numPr>
          <w:ilvl w:val="0"/>
          <w:numId w:val="6"/>
        </w:numPr>
        <w:tabs>
          <w:tab w:val="clear" w:pos="9360"/>
        </w:tabs>
        <w:ind w:left="1080"/>
      </w:pPr>
      <w:r w:rsidRPr="00B953BF">
        <w:t>E</w:t>
      </w:r>
      <w:r w:rsidRPr="00B953BF" w:rsidR="00C03F0C">
        <w:t>xperience</w:t>
      </w:r>
      <w:r w:rsidRPr="00B953BF">
        <w:t xml:space="preserve"> in using the Index, including usefulness and usability</w:t>
      </w:r>
      <w:r w:rsidRPr="00B953BF" w:rsidR="00605D50">
        <w:t xml:space="preserve"> </w:t>
      </w:r>
    </w:p>
    <w:p w:rsidRPr="00B953BF" w:rsidR="008C59E7" w:rsidP="00CD28CE" w:rsidRDefault="00B10DAF" w14:paraId="701060B2" w14:textId="574D4AF6">
      <w:pPr>
        <w:pStyle w:val="ListParagraph"/>
        <w:numPr>
          <w:ilvl w:val="0"/>
          <w:numId w:val="6"/>
        </w:numPr>
        <w:tabs>
          <w:tab w:val="clear" w:pos="9360"/>
        </w:tabs>
        <w:ind w:left="1080"/>
      </w:pPr>
      <w:r w:rsidRPr="00B953BF">
        <w:t xml:space="preserve">Relevance and comprehensiveness of </w:t>
      </w:r>
      <w:r w:rsidRPr="00B953BF" w:rsidR="00C34847">
        <w:t xml:space="preserve">each </w:t>
      </w:r>
      <w:r w:rsidRPr="00B953BF">
        <w:t>Index measure</w:t>
      </w:r>
    </w:p>
    <w:p w:rsidRPr="00B953BF" w:rsidR="00601316" w:rsidP="00CD28CE" w:rsidRDefault="00601316" w14:paraId="45FA817D" w14:textId="008E8F1D">
      <w:pPr>
        <w:tabs>
          <w:tab w:val="clear" w:pos="9360"/>
        </w:tabs>
        <w:ind w:left="360"/>
      </w:pPr>
    </w:p>
    <w:p w:rsidRPr="00B953BF" w:rsidR="00DC6104" w:rsidP="00CD28CE" w:rsidRDefault="008E54CC" w14:paraId="46EBFB85" w14:textId="093E3F68">
      <w:pPr>
        <w:tabs>
          <w:tab w:val="clear" w:pos="9360"/>
        </w:tabs>
        <w:ind w:left="360"/>
      </w:pPr>
      <w:r w:rsidRPr="00B953BF">
        <w:t xml:space="preserve">Semi-Structured </w:t>
      </w:r>
      <w:r w:rsidRPr="00B953BF" w:rsidR="00DC6104">
        <w:t>Interview Guide</w:t>
      </w:r>
    </w:p>
    <w:p w:rsidR="00DC6104" w:rsidP="00CD28CE" w:rsidRDefault="00DC6104" w14:paraId="1D481D96" w14:textId="77777777">
      <w:pPr>
        <w:tabs>
          <w:tab w:val="clear" w:pos="9360"/>
        </w:tabs>
        <w:ind w:left="360"/>
        <w:rPr>
          <w:color w:val="0070C0"/>
        </w:rPr>
      </w:pPr>
    </w:p>
    <w:p w:rsidRPr="00B953BF" w:rsidR="00E2755E" w:rsidP="00CD28CE" w:rsidRDefault="00E2755E" w14:paraId="7814F438" w14:textId="55F8F512">
      <w:pPr>
        <w:tabs>
          <w:tab w:val="clear" w:pos="9360"/>
        </w:tabs>
        <w:ind w:left="360"/>
      </w:pPr>
      <w:r w:rsidRPr="00B953BF">
        <w:t xml:space="preserve">The </w:t>
      </w:r>
      <w:r w:rsidRPr="00B953BF" w:rsidR="00213305">
        <w:t>S</w:t>
      </w:r>
      <w:r w:rsidRPr="00B953BF">
        <w:t>emi-</w:t>
      </w:r>
      <w:r w:rsidRPr="00B953BF" w:rsidR="00213305">
        <w:t>S</w:t>
      </w:r>
      <w:r w:rsidRPr="00B953BF">
        <w:t xml:space="preserve">tructured </w:t>
      </w:r>
      <w:r w:rsidRPr="00B953BF" w:rsidR="00213305">
        <w:t>I</w:t>
      </w:r>
      <w:r w:rsidRPr="00B953BF">
        <w:t xml:space="preserve">nterview </w:t>
      </w:r>
      <w:r w:rsidRPr="00B953BF" w:rsidR="00213305">
        <w:t>G</w:t>
      </w:r>
      <w:r w:rsidRPr="00B953BF">
        <w:t xml:space="preserve">uide </w:t>
      </w:r>
      <w:r w:rsidRPr="00B953BF" w:rsidR="00651785">
        <w:t>I</w:t>
      </w:r>
      <w:r w:rsidRPr="00B953BF">
        <w:t xml:space="preserve">nstrument consists of a </w:t>
      </w:r>
      <w:r w:rsidRPr="00B953BF" w:rsidR="00C34847">
        <w:t>three</w:t>
      </w:r>
      <w:r w:rsidRPr="00B953BF">
        <w:t xml:space="preserve">-part protocol containing a total of 41 open-ended questions and prompts, designed for use during </w:t>
      </w:r>
      <w:r w:rsidRPr="00B953BF" w:rsidR="00D0244E">
        <w:t xml:space="preserve">individual </w:t>
      </w:r>
      <w:r w:rsidRPr="00B953BF">
        <w:t xml:space="preserve">key informant interviews </w:t>
      </w:r>
      <w:r w:rsidRPr="00B953BF" w:rsidR="008E54CC">
        <w:t>that will include a total of 42 respondents</w:t>
      </w:r>
      <w:r w:rsidRPr="00B953BF">
        <w:t xml:space="preserve">. </w:t>
      </w:r>
      <w:r w:rsidRPr="00B953BF" w:rsidR="00C34847">
        <w:t xml:space="preserve">In contrast to the online assessment, the interview guide instrument </w:t>
      </w:r>
      <w:r w:rsidRPr="00B953BF" w:rsidR="00D0244E">
        <w:t xml:space="preserve">contains open-ended questions that </w:t>
      </w:r>
      <w:r w:rsidRPr="00B953BF" w:rsidR="00C34847">
        <w:t xml:space="preserve">collect detailed </w:t>
      </w:r>
      <w:r w:rsidRPr="00B953BF" w:rsidR="00D0244E">
        <w:t xml:space="preserve">qualitative </w:t>
      </w:r>
      <w:r w:rsidRPr="00B953BF" w:rsidR="00C34847">
        <w:t>information about difficulties encountered in using the Index, and about enhancements that could improve the Index.</w:t>
      </w:r>
      <w:r w:rsidRPr="00B953BF">
        <w:t xml:space="preserve"> Each part of the </w:t>
      </w:r>
      <w:r w:rsidRPr="00B953BF" w:rsidR="00C34847">
        <w:t xml:space="preserve">instrument </w:t>
      </w:r>
      <w:r w:rsidRPr="00B953BF">
        <w:t xml:space="preserve">is designed for use with </w:t>
      </w:r>
      <w:r w:rsidRPr="00B953BF" w:rsidR="00964912">
        <w:t>one of three</w:t>
      </w:r>
      <w:r w:rsidRPr="00B953BF">
        <w:t xml:space="preserve"> </w:t>
      </w:r>
      <w:r w:rsidRPr="00B953BF" w:rsidR="00A83621">
        <w:t>specific</w:t>
      </w:r>
      <w:r w:rsidRPr="00B953BF">
        <w:t xml:space="preserve"> subgroup</w:t>
      </w:r>
      <w:r w:rsidRPr="00B953BF" w:rsidR="008E54CC">
        <w:t>s</w:t>
      </w:r>
      <w:r w:rsidRPr="00B953BF">
        <w:t xml:space="preserve"> of respondents, such that </w:t>
      </w:r>
      <w:r w:rsidRPr="00B953BF" w:rsidR="008E54CC">
        <w:t>an</w:t>
      </w:r>
      <w:r w:rsidRPr="00B953BF">
        <w:t xml:space="preserve"> individual respondent will </w:t>
      </w:r>
      <w:r w:rsidRPr="00B953BF" w:rsidR="008E54CC">
        <w:t>complete no more than</w:t>
      </w:r>
      <w:r w:rsidRPr="00B953BF" w:rsidR="00C34847">
        <w:t xml:space="preserve"> one</w:t>
      </w:r>
      <w:r w:rsidRPr="00B953BF" w:rsidR="004D340A">
        <w:t xml:space="preserve"> </w:t>
      </w:r>
      <w:r w:rsidRPr="00B953BF" w:rsidR="008E54CC">
        <w:t>part</w:t>
      </w:r>
      <w:r w:rsidRPr="00B953BF" w:rsidR="00956ACB">
        <w:t xml:space="preserve"> of the </w:t>
      </w:r>
      <w:r w:rsidRPr="00B953BF" w:rsidR="00C34847">
        <w:t>instrument</w:t>
      </w:r>
      <w:r w:rsidRPr="00B953BF" w:rsidR="00956ACB">
        <w:t>.  The instrument collect</w:t>
      </w:r>
      <w:r w:rsidRPr="00B953BF" w:rsidR="00A83621">
        <w:t>s</w:t>
      </w:r>
      <w:r w:rsidRPr="00B953BF" w:rsidR="00956ACB">
        <w:t xml:space="preserve"> data on the following</w:t>
      </w:r>
      <w:r w:rsidRPr="00B953BF" w:rsidR="00A83621">
        <w:t xml:space="preserve"> constructs</w:t>
      </w:r>
      <w:r w:rsidRPr="00B953BF" w:rsidR="00956ACB">
        <w:t xml:space="preserve">: </w:t>
      </w:r>
    </w:p>
    <w:p w:rsidRPr="00B953BF" w:rsidR="00956ACB" w:rsidP="00CD28CE" w:rsidRDefault="00A83621" w14:paraId="643F5732" w14:textId="07CB2A03">
      <w:pPr>
        <w:pStyle w:val="ListParagraph"/>
        <w:numPr>
          <w:ilvl w:val="0"/>
          <w:numId w:val="6"/>
        </w:numPr>
        <w:tabs>
          <w:tab w:val="clear" w:pos="9360"/>
        </w:tabs>
        <w:ind w:left="1080"/>
      </w:pPr>
      <w:r w:rsidRPr="00B953BF">
        <w:t xml:space="preserve">Part </w:t>
      </w:r>
      <w:r w:rsidRPr="00B953BF" w:rsidR="00C34847">
        <w:t>1</w:t>
      </w:r>
      <w:r w:rsidRPr="00B953BF">
        <w:t xml:space="preserve">: Index familiarity, use, and utility (asked of respondents selected for the </w:t>
      </w:r>
      <w:r w:rsidRPr="00B953BF" w:rsidR="00546FC4">
        <w:t>U</w:t>
      </w:r>
      <w:r w:rsidRPr="00B953BF">
        <w:t xml:space="preserve">se and </w:t>
      </w:r>
      <w:r w:rsidRPr="00B953BF" w:rsidR="00546FC4">
        <w:t>U</w:t>
      </w:r>
      <w:r w:rsidRPr="00B953BF">
        <w:t xml:space="preserve">tility </w:t>
      </w:r>
      <w:r w:rsidRPr="00B953BF" w:rsidR="00546FC4">
        <w:t>S</w:t>
      </w:r>
      <w:r w:rsidRPr="00B953BF">
        <w:t>ubgroup)</w:t>
      </w:r>
    </w:p>
    <w:p w:rsidRPr="00B953BF" w:rsidR="00A83621" w:rsidP="00CD28CE" w:rsidRDefault="00A83621" w14:paraId="067E1D2F" w14:textId="2DD6905C">
      <w:pPr>
        <w:pStyle w:val="ListParagraph"/>
        <w:numPr>
          <w:ilvl w:val="0"/>
          <w:numId w:val="6"/>
        </w:numPr>
        <w:tabs>
          <w:tab w:val="clear" w:pos="9360"/>
        </w:tabs>
        <w:ind w:left="1080"/>
      </w:pPr>
      <w:r w:rsidRPr="00B953BF">
        <w:t xml:space="preserve">Part </w:t>
      </w:r>
      <w:r w:rsidRPr="00B953BF" w:rsidR="00C34847">
        <w:t>2</w:t>
      </w:r>
      <w:r w:rsidRPr="00B953BF">
        <w:t xml:space="preserve">: Assessment of core PHEP metrics (asked of respondents selected for the </w:t>
      </w:r>
      <w:r w:rsidRPr="00B953BF" w:rsidR="00546FC4">
        <w:t>C</w:t>
      </w:r>
      <w:r w:rsidRPr="00B953BF">
        <w:t xml:space="preserve">ore </w:t>
      </w:r>
      <w:r w:rsidRPr="00B953BF" w:rsidR="00546FC4">
        <w:t>M</w:t>
      </w:r>
      <w:r w:rsidRPr="00B953BF">
        <w:t xml:space="preserve">etrics </w:t>
      </w:r>
      <w:r w:rsidRPr="00B953BF" w:rsidR="00546FC4">
        <w:t>S</w:t>
      </w:r>
      <w:r w:rsidRPr="00B953BF">
        <w:t>ubgroup)</w:t>
      </w:r>
    </w:p>
    <w:p w:rsidRPr="00B953BF" w:rsidR="00A83621" w:rsidP="00CD28CE" w:rsidRDefault="00A83621" w14:paraId="3DB3E418" w14:textId="3CD45B20">
      <w:pPr>
        <w:pStyle w:val="ListParagraph"/>
        <w:numPr>
          <w:ilvl w:val="0"/>
          <w:numId w:val="6"/>
        </w:numPr>
        <w:tabs>
          <w:tab w:val="clear" w:pos="9360"/>
        </w:tabs>
        <w:ind w:left="1080"/>
      </w:pPr>
      <w:r w:rsidRPr="00B953BF">
        <w:t xml:space="preserve">Part </w:t>
      </w:r>
      <w:r w:rsidRPr="00B953BF" w:rsidR="00C34847">
        <w:t>3</w:t>
      </w:r>
      <w:r w:rsidRPr="00B953BF">
        <w:t xml:space="preserve">: Assessment of Index guidance documents and tools (asked of respondents selected for the </w:t>
      </w:r>
      <w:r w:rsidRPr="00B953BF" w:rsidR="00546FC4">
        <w:t>T</w:t>
      </w:r>
      <w:r w:rsidRPr="00B953BF">
        <w:t xml:space="preserve">ools </w:t>
      </w:r>
      <w:r w:rsidRPr="00B953BF" w:rsidR="00546FC4">
        <w:t>S</w:t>
      </w:r>
      <w:r w:rsidRPr="00B953BF">
        <w:t xml:space="preserve">ubgroup).  </w:t>
      </w:r>
    </w:p>
    <w:p w:rsidR="00692DEB" w:rsidP="008B65FF" w:rsidRDefault="00692DEB" w14:paraId="247A4CFA" w14:textId="77777777">
      <w:pPr>
        <w:pStyle w:val="ListParagraph"/>
        <w:ind w:left="1080"/>
        <w:rPr>
          <w:lang w:eastAsia="zh-CN"/>
        </w:rPr>
      </w:pPr>
    </w:p>
    <w:p w:rsidR="00BD4599" w:rsidP="00383542" w:rsidRDefault="00BD4599" w14:paraId="795636AB" w14:textId="2A4A9EB5">
      <w:pPr>
        <w:ind w:left="0"/>
        <w:rPr>
          <w:lang w:eastAsia="zh-CN"/>
        </w:rPr>
      </w:pPr>
    </w:p>
    <w:p w:rsidRPr="00014361" w:rsidR="00B12F51" w:rsidP="00692DEB" w:rsidRDefault="00B12F51" w14:paraId="02E7EB51" w14:textId="77777777">
      <w:pPr>
        <w:pStyle w:val="Heading4"/>
      </w:pPr>
      <w:bookmarkStart w:name="_Toc427752815" w:id="8"/>
      <w:r w:rsidRPr="00014361">
        <w:t>Purpose and Use of the Information Collection</w:t>
      </w:r>
      <w:bookmarkEnd w:id="8"/>
    </w:p>
    <w:p w:rsidRPr="00B953BF" w:rsidR="00BD4599" w:rsidP="00CD28CE" w:rsidRDefault="00634CDF" w14:paraId="7B7C479C" w14:textId="16F56DFE">
      <w:pPr>
        <w:ind w:left="360"/>
      </w:pPr>
      <w:r w:rsidRPr="00B953BF">
        <w:t xml:space="preserve">The data collected through the two instruments will be used for </w:t>
      </w:r>
      <w:r w:rsidRPr="00B953BF" w:rsidR="001B2582">
        <w:t xml:space="preserve">three </w:t>
      </w:r>
      <w:r w:rsidRPr="00B953BF">
        <w:t xml:space="preserve">purposes: </w:t>
      </w:r>
      <w:r w:rsidRPr="00B953BF" w:rsidR="001B2582">
        <w:rPr>
          <w:iCs/>
        </w:rPr>
        <w:t xml:space="preserve">(1) to assess how accurately and completely the Index measures the contributions of state and local PHEP programs to community preparedness and overall health security; (2) to identify a core set of PHEP metrics that these programs can use to assess and improve their activities; and (3) to identify </w:t>
      </w:r>
      <w:r w:rsidRPr="00B953BF" w:rsidR="001B2582">
        <w:t>strategies for improving the usability and usefulness of the Index for state and local PHEP program stakeholders</w:t>
      </w:r>
      <w:r w:rsidRPr="00B953BF" w:rsidR="001B2582">
        <w:rPr>
          <w:iCs/>
        </w:rPr>
        <w:t xml:space="preserve">.  </w:t>
      </w:r>
    </w:p>
    <w:p w:rsidRPr="00B953BF" w:rsidR="00B05E27" w:rsidP="00CD28CE" w:rsidRDefault="00B05E27" w14:paraId="0FC86D09" w14:textId="6811E1FB">
      <w:pPr>
        <w:ind w:left="360"/>
      </w:pPr>
    </w:p>
    <w:p w:rsidRPr="00B953BF" w:rsidR="000B5284" w:rsidP="00CD28CE" w:rsidRDefault="000B5284" w14:paraId="111740C3" w14:textId="6F42AD8D">
      <w:pPr>
        <w:ind w:left="360"/>
      </w:pPr>
      <w:r w:rsidRPr="00B953BF">
        <w:rPr>
          <w:iCs/>
        </w:rPr>
        <w:t xml:space="preserve">Data collected </w:t>
      </w:r>
      <w:r w:rsidRPr="00B953BF" w:rsidR="00651785">
        <w:rPr>
          <w:iCs/>
        </w:rPr>
        <w:t>using the two instruments</w:t>
      </w:r>
      <w:r w:rsidRPr="00B953BF">
        <w:rPr>
          <w:iCs/>
        </w:rPr>
        <w:t xml:space="preserve"> will be linked with additional information about PHEP programs, </w:t>
      </w:r>
      <w:r w:rsidRPr="00B953BF" w:rsidR="00F16FE8">
        <w:rPr>
          <w:iCs/>
        </w:rPr>
        <w:t xml:space="preserve">community characteristics, </w:t>
      </w:r>
      <w:r w:rsidRPr="00B953BF">
        <w:rPr>
          <w:iCs/>
        </w:rPr>
        <w:t xml:space="preserve">hazards and risks from existing public databases and public datasets. </w:t>
      </w:r>
      <w:r w:rsidRPr="00B953BF" w:rsidR="008A7200">
        <w:rPr>
          <w:iCs/>
        </w:rPr>
        <w:t xml:space="preserve">Quantitative and qualitative </w:t>
      </w:r>
      <w:r w:rsidRPr="00B953BF" w:rsidR="002B1A5F">
        <w:rPr>
          <w:iCs/>
        </w:rPr>
        <w:t xml:space="preserve">data </w:t>
      </w:r>
      <w:r w:rsidRPr="00B953BF" w:rsidR="008A7200">
        <w:rPr>
          <w:iCs/>
        </w:rPr>
        <w:t>analys</w:t>
      </w:r>
      <w:r w:rsidRPr="00B953BF" w:rsidR="002B1A5F">
        <w:rPr>
          <w:iCs/>
        </w:rPr>
        <w:t>i</w:t>
      </w:r>
      <w:r w:rsidRPr="00B953BF" w:rsidR="008A7200">
        <w:rPr>
          <w:iCs/>
        </w:rPr>
        <w:t>s</w:t>
      </w:r>
      <w:r w:rsidRPr="00B953BF">
        <w:rPr>
          <w:iCs/>
        </w:rPr>
        <w:t xml:space="preserve"> will be used to </w:t>
      </w:r>
      <w:r w:rsidRPr="00B953BF" w:rsidR="002B1A5F">
        <w:rPr>
          <w:iCs/>
        </w:rPr>
        <w:t>characterize</w:t>
      </w:r>
      <w:r w:rsidRPr="00B953BF">
        <w:rPr>
          <w:iCs/>
        </w:rPr>
        <w:t xml:space="preserve"> the relevance, completeness, and utility of the Index for PHEP programs.</w:t>
      </w:r>
      <w:r w:rsidRPr="00B953BF" w:rsidR="004A0894">
        <w:rPr>
          <w:iCs/>
        </w:rPr>
        <w:t xml:space="preserve"> These results, in turn, will be used to expand and improve the Index measurement set and to develop a collection of guides and tools that help PHEP programs use the Index to strengthen their activities.  </w:t>
      </w:r>
    </w:p>
    <w:p w:rsidR="00675F9A" w:rsidP="00692DEB" w:rsidRDefault="00675F9A" w14:paraId="2DA7B62F" w14:textId="3ED6E471">
      <w:pPr>
        <w:ind w:left="0"/>
      </w:pPr>
    </w:p>
    <w:p w:rsidR="00675F9A" w:rsidP="00692DEB" w:rsidRDefault="00675F9A" w14:paraId="360EBD15" w14:textId="77777777">
      <w:pPr>
        <w:ind w:left="0"/>
      </w:pPr>
    </w:p>
    <w:p w:rsidRPr="00FF5BF1" w:rsidR="00B47055" w:rsidP="00692DEB" w:rsidRDefault="00B47055" w14:paraId="55865641" w14:textId="77777777">
      <w:pPr>
        <w:pStyle w:val="Heading4"/>
      </w:pPr>
      <w:bookmarkStart w:name="_Toc427752816" w:id="9"/>
      <w:r w:rsidRPr="00FF5BF1">
        <w:t>Use of Improved Information Technology and Burden Reduction</w:t>
      </w:r>
      <w:bookmarkEnd w:id="9"/>
    </w:p>
    <w:p w:rsidRPr="00B953BF" w:rsidR="0002036E" w:rsidP="00CD28CE" w:rsidRDefault="00EA3A4A" w14:paraId="3A6813E4" w14:textId="24BAACFC">
      <w:pPr>
        <w:tabs>
          <w:tab w:val="clear" w:pos="9360"/>
        </w:tabs>
        <w:autoSpaceDE w:val="0"/>
        <w:autoSpaceDN w:val="0"/>
        <w:adjustRightInd w:val="0"/>
        <w:ind w:left="360"/>
      </w:pPr>
      <w:r w:rsidRPr="00B953BF">
        <w:t>Data will be collected via</w:t>
      </w:r>
      <w:r w:rsidRPr="00B953BF" w:rsidR="00807673">
        <w:rPr>
          <w:rFonts w:cs="Calibri-Italic"/>
          <w:iCs/>
        </w:rPr>
        <w:t xml:space="preserve"> computer, tablet, or smart phone from any location cho</w:t>
      </w:r>
      <w:r w:rsidRPr="00B953BF" w:rsidR="00F16FE8">
        <w:rPr>
          <w:rFonts w:cs="Calibri-Italic"/>
          <w:iCs/>
        </w:rPr>
        <w:t>sen by the respondent</w:t>
      </w:r>
      <w:r w:rsidRPr="00B953BF" w:rsidR="009B7279">
        <w:rPr>
          <w:rFonts w:cs="Calibri-Italic"/>
          <w:iCs/>
        </w:rPr>
        <w:t xml:space="preserve"> for the </w:t>
      </w:r>
      <w:r w:rsidRPr="00B953BF" w:rsidR="00CE41BB">
        <w:rPr>
          <w:rFonts w:cs="Calibri-Italic"/>
          <w:iCs/>
        </w:rPr>
        <w:t>Online Assessment Instrument</w:t>
      </w:r>
      <w:r w:rsidRPr="00B953BF" w:rsidR="00807673">
        <w:rPr>
          <w:rFonts w:cs="Calibri-Italic"/>
          <w:iCs/>
        </w:rPr>
        <w:t xml:space="preserve">. </w:t>
      </w:r>
      <w:r w:rsidRPr="00B953BF" w:rsidR="00692DEB">
        <w:t>This method was chosen to reduce the overall burden on respondents</w:t>
      </w:r>
      <w:r w:rsidRPr="00B953BF" w:rsidR="00FF5BF1">
        <w:t xml:space="preserve"> by </w:t>
      </w:r>
      <w:r w:rsidRPr="00B953BF" w:rsidR="00807673">
        <w:t xml:space="preserve">means of making the </w:t>
      </w:r>
      <w:r w:rsidRPr="00B953BF" w:rsidR="00EC07FF">
        <w:t>data collection processes</w:t>
      </w:r>
      <w:r w:rsidRPr="00B953BF" w:rsidR="00807673">
        <w:t xml:space="preserve"> easily accessible </w:t>
      </w:r>
      <w:r w:rsidRPr="00B953BF" w:rsidR="00EC07FF">
        <w:t xml:space="preserve">from respondents’ </w:t>
      </w:r>
      <w:r w:rsidRPr="00B953BF" w:rsidR="008B4E89">
        <w:t>preferred locations</w:t>
      </w:r>
      <w:r w:rsidRPr="00B953BF" w:rsidR="00EC07FF">
        <w:t xml:space="preserve"> </w:t>
      </w:r>
      <w:r w:rsidRPr="00B953BF" w:rsidR="00807673">
        <w:t xml:space="preserve">while maintaining </w:t>
      </w:r>
      <w:r w:rsidRPr="00B953BF" w:rsidR="009734FB">
        <w:t xml:space="preserve">strict </w:t>
      </w:r>
      <w:r w:rsidRPr="00B953BF" w:rsidR="00807673">
        <w:t>data security</w:t>
      </w:r>
      <w:r w:rsidRPr="00B953BF" w:rsidR="00692DEB">
        <w:t xml:space="preserve">. The </w:t>
      </w:r>
      <w:r w:rsidRPr="00B953BF" w:rsidR="002E2EDD">
        <w:t>data</w:t>
      </w:r>
      <w:r w:rsidRPr="00B953BF" w:rsidR="00692DEB">
        <w:t xml:space="preserve"> collection instrument</w:t>
      </w:r>
      <w:r w:rsidRPr="00B953BF" w:rsidR="00EC07FF">
        <w:t>s</w:t>
      </w:r>
      <w:r w:rsidRPr="00B953BF" w:rsidR="00692DEB">
        <w:t xml:space="preserve"> </w:t>
      </w:r>
      <w:r w:rsidRPr="00B953BF" w:rsidR="00EC07FF">
        <w:t>are</w:t>
      </w:r>
      <w:r w:rsidRPr="00B953BF" w:rsidR="00692DEB">
        <w:t xml:space="preserve"> designed to collect the minimum information necessary for the purposes of this project</w:t>
      </w:r>
      <w:r w:rsidRPr="00B953BF" w:rsidR="00201830">
        <w:t xml:space="preserve"> (i.e., limited to </w:t>
      </w:r>
      <w:r w:rsidRPr="00B953BF" w:rsidR="00AD2504">
        <w:t>129</w:t>
      </w:r>
      <w:r w:rsidRPr="00B953BF" w:rsidR="00201830">
        <w:t xml:space="preserve"> questions).</w:t>
      </w:r>
      <w:r w:rsidRPr="00B953BF" w:rsidR="001009A9">
        <w:t xml:space="preserve"> </w:t>
      </w:r>
    </w:p>
    <w:p w:rsidR="00294348" w:rsidP="00CD28CE" w:rsidRDefault="00294348" w14:paraId="2D1735B4" w14:textId="77777777">
      <w:pPr>
        <w:tabs>
          <w:tab w:val="clear" w:pos="9360"/>
        </w:tabs>
        <w:autoSpaceDE w:val="0"/>
        <w:autoSpaceDN w:val="0"/>
        <w:adjustRightInd w:val="0"/>
        <w:ind w:left="360"/>
        <w:rPr>
          <w:color w:val="0070C0"/>
        </w:rPr>
      </w:pPr>
    </w:p>
    <w:p w:rsidRPr="00B953BF" w:rsidR="00692DEB" w:rsidP="00CD28CE" w:rsidRDefault="001009A9" w14:paraId="1DA7D767" w14:textId="1B701ECB">
      <w:pPr>
        <w:tabs>
          <w:tab w:val="clear" w:pos="9360"/>
        </w:tabs>
        <w:autoSpaceDE w:val="0"/>
        <w:autoSpaceDN w:val="0"/>
        <w:adjustRightInd w:val="0"/>
        <w:ind w:left="360"/>
        <w:rPr>
          <w:rFonts w:cs="Calibri-Italic"/>
          <w:iCs/>
        </w:rPr>
      </w:pPr>
      <w:r w:rsidRPr="00B953BF">
        <w:lastRenderedPageBreak/>
        <w:t xml:space="preserve">The </w:t>
      </w:r>
      <w:r w:rsidRPr="00B953BF" w:rsidR="00EB7725">
        <w:t>S</w:t>
      </w:r>
      <w:r w:rsidRPr="00B953BF">
        <w:t>emi-</w:t>
      </w:r>
      <w:r w:rsidRPr="00B953BF" w:rsidR="00EB7725">
        <w:t>S</w:t>
      </w:r>
      <w:r w:rsidRPr="00B953BF">
        <w:t xml:space="preserve">tructured </w:t>
      </w:r>
      <w:r w:rsidRPr="00B953BF" w:rsidR="00EB7725">
        <w:t>I</w:t>
      </w:r>
      <w:r w:rsidRPr="00B953BF">
        <w:t xml:space="preserve">nterview </w:t>
      </w:r>
      <w:r w:rsidRPr="00B953BF" w:rsidR="00EB7725">
        <w:t>G</w:t>
      </w:r>
      <w:r w:rsidRPr="00B953BF">
        <w:t xml:space="preserve">uide </w:t>
      </w:r>
      <w:r w:rsidRPr="00B953BF" w:rsidR="00CE41BB">
        <w:t xml:space="preserve">Instrument </w:t>
      </w:r>
      <w:r w:rsidRPr="00B953BF">
        <w:t xml:space="preserve">is divided into </w:t>
      </w:r>
      <w:r w:rsidRPr="00B953BF" w:rsidR="00CE41BB">
        <w:t>3</w:t>
      </w:r>
      <w:r w:rsidRPr="00B953BF" w:rsidR="002B51D3">
        <w:t xml:space="preserve"> </w:t>
      </w:r>
      <w:r w:rsidRPr="00B953BF">
        <w:t xml:space="preserve">parts, with </w:t>
      </w:r>
      <w:r w:rsidRPr="00B953BF" w:rsidR="00942444">
        <w:t xml:space="preserve">each part designated for </w:t>
      </w:r>
      <w:r w:rsidRPr="00B953BF" w:rsidR="002B1A5F">
        <w:t xml:space="preserve">a </w:t>
      </w:r>
      <w:r w:rsidRPr="00B953BF" w:rsidR="00942444">
        <w:t>dif</w:t>
      </w:r>
      <w:r w:rsidRPr="00B953BF" w:rsidR="0099685C">
        <w:t>ferent subgroup of respondents. This design</w:t>
      </w:r>
      <w:r w:rsidRPr="00B953BF" w:rsidR="00942444">
        <w:t xml:space="preserve"> minimize</w:t>
      </w:r>
      <w:r w:rsidRPr="00B953BF" w:rsidR="0099685C">
        <w:t>s</w:t>
      </w:r>
      <w:r w:rsidRPr="00B953BF" w:rsidR="00942444">
        <w:t xml:space="preserve"> respondent burden </w:t>
      </w:r>
      <w:r w:rsidRPr="00B953BF" w:rsidR="0099685C">
        <w:t xml:space="preserve">by distributing questions among </w:t>
      </w:r>
      <w:r w:rsidRPr="00B953BF" w:rsidR="007E1136">
        <w:t>different</w:t>
      </w:r>
      <w:r w:rsidRPr="00B953BF" w:rsidR="0099685C">
        <w:t xml:space="preserve"> respondents, </w:t>
      </w:r>
      <w:r w:rsidRPr="00B953BF" w:rsidR="00942444">
        <w:t xml:space="preserve">ensuring that </w:t>
      </w:r>
      <w:r w:rsidRPr="00B953BF" w:rsidR="007E1136">
        <w:t xml:space="preserve">no duplication </w:t>
      </w:r>
      <w:proofErr w:type="gramStart"/>
      <w:r w:rsidRPr="00B953BF" w:rsidR="007E1136">
        <w:t>occurs</w:t>
      </w:r>
      <w:proofErr w:type="gramEnd"/>
      <w:r w:rsidRPr="00B953BF" w:rsidR="007E1136">
        <w:t xml:space="preserve"> and </w:t>
      </w:r>
      <w:r w:rsidRPr="00B953BF" w:rsidR="00942444">
        <w:t xml:space="preserve">no single respondent </w:t>
      </w:r>
      <w:r w:rsidRPr="00B953BF" w:rsidR="00EB7725">
        <w:t>is burdened by an excessive volume of</w:t>
      </w:r>
      <w:r w:rsidRPr="00B953BF" w:rsidR="00942444">
        <w:t xml:space="preserve"> questions.  </w:t>
      </w:r>
      <w:r w:rsidRPr="00B953BF" w:rsidR="002B1A5F">
        <w:t xml:space="preserve">Respondents will be </w:t>
      </w:r>
      <w:r w:rsidRPr="00B953BF" w:rsidR="009673C8">
        <w:t xml:space="preserve">purposively </w:t>
      </w:r>
      <w:r w:rsidRPr="00B953BF" w:rsidR="002B1A5F">
        <w:t xml:space="preserve">assigned to </w:t>
      </w:r>
      <w:r w:rsidRPr="00B953BF" w:rsidR="00A6167F">
        <w:t>one of the three</w:t>
      </w:r>
      <w:r w:rsidRPr="00B953BF" w:rsidR="002B1A5F">
        <w:t xml:space="preserve"> subgroup</w:t>
      </w:r>
      <w:r w:rsidRPr="00B953BF" w:rsidR="00A6167F">
        <w:t>s</w:t>
      </w:r>
      <w:r w:rsidRPr="00B953BF" w:rsidR="002B1A5F">
        <w:t xml:space="preserve"> based on their knowledge and use of the Index as self-reported on the Online Assessment</w:t>
      </w:r>
      <w:r w:rsidRPr="00B953BF" w:rsidR="009673C8">
        <w:t xml:space="preserve"> </w:t>
      </w:r>
      <w:r w:rsidRPr="00B953BF" w:rsidR="00E871DB">
        <w:t>and</w:t>
      </w:r>
      <w:r w:rsidRPr="00B953BF" w:rsidR="009673C8">
        <w:t xml:space="preserve"> based on the recommendation of the state PHEP director</w:t>
      </w:r>
      <w:r w:rsidRPr="00B953BF" w:rsidR="002B1A5F">
        <w:t xml:space="preserve">.  </w:t>
      </w:r>
    </w:p>
    <w:p w:rsidR="00675F9A" w:rsidP="006A09E0" w:rsidRDefault="00675F9A" w14:paraId="2E066390" w14:textId="69B62BDE">
      <w:pPr>
        <w:ind w:left="0"/>
      </w:pPr>
    </w:p>
    <w:p w:rsidR="00383542" w:rsidP="006A09E0" w:rsidRDefault="00383542" w14:paraId="5FC1B357" w14:textId="77777777">
      <w:pPr>
        <w:ind w:left="0"/>
      </w:pPr>
    </w:p>
    <w:p w:rsidRPr="00D42A92" w:rsidR="00B47055" w:rsidP="00692DEB" w:rsidRDefault="00B47055" w14:paraId="3FE48A1C" w14:textId="77777777">
      <w:pPr>
        <w:pStyle w:val="Heading4"/>
      </w:pPr>
      <w:bookmarkStart w:name="_Toc427752817" w:id="10"/>
      <w:r w:rsidRPr="00D42A92">
        <w:t>Efforts to Identify Duplication and Use of Similar Information</w:t>
      </w:r>
      <w:bookmarkEnd w:id="10"/>
    </w:p>
    <w:p w:rsidRPr="00B953BF" w:rsidR="00BD4599" w:rsidP="0099685C" w:rsidRDefault="003C6D12" w14:paraId="7D8FF21E" w14:textId="0FA4EB87">
      <w:pPr>
        <w:ind w:left="360"/>
      </w:pPr>
      <w:r w:rsidRPr="00B953BF">
        <w:t>A</w:t>
      </w:r>
      <w:r w:rsidRPr="00B953BF" w:rsidR="007E1136">
        <w:t xml:space="preserve"> thorough literature review </w:t>
      </w:r>
      <w:r w:rsidRPr="00B953BF">
        <w:t xml:space="preserve">was conducted </w:t>
      </w:r>
      <w:r w:rsidRPr="00B953BF" w:rsidR="007E1136">
        <w:t xml:space="preserve">of the peer-reviewed and grey literature relevant to PHEP programs and capabilities and to the Index.  </w:t>
      </w:r>
      <w:r w:rsidRPr="00B953BF" w:rsidR="00CA562D">
        <w:t xml:space="preserve">A small </w:t>
      </w:r>
      <w:r w:rsidRPr="00B953BF">
        <w:t xml:space="preserve">but growing </w:t>
      </w:r>
      <w:r w:rsidRPr="00B953BF" w:rsidR="00CA562D">
        <w:t xml:space="preserve">body of literature examines strategies for measuring PHEP capabilities, but none of </w:t>
      </w:r>
      <w:r w:rsidRPr="00B953BF" w:rsidR="009C2753">
        <w:t>the</w:t>
      </w:r>
      <w:r w:rsidRPr="00B953BF" w:rsidR="00CA562D">
        <w:t xml:space="preserve"> existing studies evaluate</w:t>
      </w:r>
      <w:r w:rsidRPr="00B953BF" w:rsidR="009C2753">
        <w:t>s</w:t>
      </w:r>
      <w:r w:rsidRPr="00B953BF" w:rsidR="00CA562D">
        <w:t xml:space="preserve"> measures that are included in the Index.</w:t>
      </w:r>
      <w:r w:rsidRPr="00B953BF" w:rsidR="00E474ED">
        <w:rPr>
          <w:vertAlign w:val="superscript"/>
        </w:rPr>
        <w:t>4</w:t>
      </w:r>
      <w:r w:rsidRPr="00B953BF" w:rsidR="00CA562D">
        <w:t xml:space="preserve">  </w:t>
      </w:r>
      <w:r w:rsidRPr="00B953BF" w:rsidR="002B51D3">
        <w:t>A</w:t>
      </w:r>
      <w:r w:rsidRPr="00B953BF" w:rsidR="00CA562D">
        <w:t xml:space="preserve"> relatively small body of literature examines the general validity and reliability of measures included in the Index, but none of these existing studies assess</w:t>
      </w:r>
      <w:r w:rsidRPr="00B953BF" w:rsidR="009C2753">
        <w:t>es</w:t>
      </w:r>
      <w:r w:rsidRPr="00B953BF" w:rsidR="00CA562D">
        <w:t xml:space="preserve"> the relevance of measures </w:t>
      </w:r>
      <w:r w:rsidRPr="00B953BF" w:rsidR="00FC360A">
        <w:t xml:space="preserve">specifically </w:t>
      </w:r>
      <w:r w:rsidRPr="00B953BF" w:rsidR="00CA562D">
        <w:t xml:space="preserve">for PHEP programs and capabilities.  </w:t>
      </w:r>
      <w:r w:rsidRPr="00B953BF" w:rsidR="002B51D3">
        <w:t>Three past data collection projects were conducted</w:t>
      </w:r>
      <w:r w:rsidRPr="00B953BF" w:rsidR="00010006">
        <w:t xml:space="preserve"> using the</w:t>
      </w:r>
      <w:r w:rsidRPr="00B953BF" w:rsidR="0069633A">
        <w:t xml:space="preserve"> CSTLTS Generic ICR (OMB Co. No: 0920-0879</w:t>
      </w:r>
      <w:r w:rsidRPr="00B953BF" w:rsidR="00444EDD">
        <w:t>) to</w:t>
      </w:r>
      <w:r w:rsidRPr="00B953BF" w:rsidR="002B51D3">
        <w:t xml:space="preserve"> assess needs and evaluate capabilities relevant to the PHEP Cooperative Agreement program in 2015, 2018 and 2019; however, these projects did not collect information about Index use and utility among PHEP awardees. </w:t>
      </w:r>
      <w:r w:rsidRPr="00B953BF" w:rsidR="003856F4">
        <w:t xml:space="preserve">The Robert Wood Johnson Foundation commissioned a small </w:t>
      </w:r>
      <w:r w:rsidRPr="00B953BF" w:rsidR="009C2753">
        <w:t xml:space="preserve">and limited </w:t>
      </w:r>
      <w:r w:rsidRPr="00B953BF" w:rsidR="003856F4">
        <w:t xml:space="preserve">qualitative study </w:t>
      </w:r>
      <w:r w:rsidRPr="00B953BF" w:rsidR="003067CB">
        <w:t xml:space="preserve">(unpublished) </w:t>
      </w:r>
      <w:r w:rsidRPr="00B953BF" w:rsidR="003856F4">
        <w:t xml:space="preserve">to examine </w:t>
      </w:r>
      <w:r w:rsidRPr="00B953BF" w:rsidR="002D5EB2">
        <w:t xml:space="preserve">preliminary </w:t>
      </w:r>
      <w:r w:rsidRPr="00B953BF" w:rsidR="003856F4">
        <w:t>stakeholder experiences with Index use and utility</w:t>
      </w:r>
      <w:r w:rsidRPr="00B953BF" w:rsidR="002627FB">
        <w:t xml:space="preserve"> in 2017</w:t>
      </w:r>
      <w:r w:rsidRPr="00B953BF" w:rsidR="003856F4">
        <w:t xml:space="preserve">, which was conducted by members of the </w:t>
      </w:r>
      <w:r w:rsidRPr="00B953BF" w:rsidR="002627FB">
        <w:t>project</w:t>
      </w:r>
      <w:r w:rsidRPr="00B953BF" w:rsidR="003856F4">
        <w:t xml:space="preserve"> team </w:t>
      </w:r>
      <w:r w:rsidRPr="00B953BF" w:rsidR="002627FB">
        <w:t>that is responsible for this data collection project</w:t>
      </w:r>
      <w:r w:rsidRPr="00B953BF" w:rsidR="003856F4">
        <w:t>.  Th</w:t>
      </w:r>
      <w:r w:rsidRPr="00B953BF" w:rsidR="002627FB">
        <w:t>e Foundation</w:t>
      </w:r>
      <w:r w:rsidRPr="00B953BF" w:rsidR="003856F4">
        <w:t xml:space="preserve"> study included fewer than five stakeholders from state and local PHEP programs, and therefore </w:t>
      </w:r>
      <w:r w:rsidRPr="00B953BF" w:rsidR="00D47375">
        <w:t>the results were</w:t>
      </w:r>
      <w:r w:rsidRPr="00B953BF" w:rsidR="003856F4">
        <w:t xml:space="preserve"> insufficient to support conclusions about Index use and utility among the larger population of PHEP programs </w:t>
      </w:r>
      <w:r w:rsidRPr="00B953BF" w:rsidR="002627FB">
        <w:t>across the U.S</w:t>
      </w:r>
      <w:r w:rsidRPr="00B953BF" w:rsidR="003856F4">
        <w:t xml:space="preserve">. </w:t>
      </w:r>
      <w:r w:rsidRPr="00B953BF" w:rsidR="002627FB">
        <w:t xml:space="preserve"> Moreover, this </w:t>
      </w:r>
      <w:r w:rsidRPr="00B953BF" w:rsidR="009C2753">
        <w:t xml:space="preserve">Foundation </w:t>
      </w:r>
      <w:r w:rsidRPr="00B953BF" w:rsidR="002627FB">
        <w:t xml:space="preserve">study </w:t>
      </w:r>
      <w:r w:rsidRPr="00B953BF" w:rsidR="009C2753">
        <w:t xml:space="preserve">was very limited in scope and </w:t>
      </w:r>
      <w:r w:rsidRPr="00B953BF" w:rsidR="002627FB">
        <w:t xml:space="preserve">did not examine the relevance of specific Index measures, nor did it seek to identify possible new measures of relevance to PHEP programs.  Nevertheless, results from the small Foundation study </w:t>
      </w:r>
      <w:r w:rsidRPr="00B953BF" w:rsidR="00D47375">
        <w:t>were</w:t>
      </w:r>
      <w:r w:rsidRPr="00B953BF" w:rsidR="002627FB">
        <w:t xml:space="preserve"> used to inform the development of the data collection instruments to be used in this project.  </w:t>
      </w:r>
      <w:r w:rsidRPr="00B953BF" w:rsidR="00AD7FD7">
        <w:t>T</w:t>
      </w:r>
      <w:r w:rsidRPr="00B953BF" w:rsidR="002627FB">
        <w:t xml:space="preserve">he project team that is responsible for this data collection </w:t>
      </w:r>
      <w:r w:rsidRPr="00B953BF" w:rsidR="00AD7FD7">
        <w:t xml:space="preserve">is also responsible for producing and disseminating results from the Index, and as such this team continuously monitors the research literature, websites, social media, and mainstream media for </w:t>
      </w:r>
      <w:r w:rsidRPr="00B953BF" w:rsidR="009C2753">
        <w:t xml:space="preserve">publications and </w:t>
      </w:r>
      <w:r w:rsidRPr="00B953BF" w:rsidR="00AD7FD7">
        <w:t>communications that mention the Index</w:t>
      </w:r>
      <w:r w:rsidRPr="00B953BF" w:rsidR="00EF3106">
        <w:t xml:space="preserve"> (using </w:t>
      </w:r>
      <w:proofErr w:type="spellStart"/>
      <w:r w:rsidRPr="00B953BF" w:rsidR="00D47375">
        <w:t>P</w:t>
      </w:r>
      <w:r w:rsidRPr="00B953BF" w:rsidR="00EF3106">
        <w:t>ubmed</w:t>
      </w:r>
      <w:proofErr w:type="spellEnd"/>
      <w:r w:rsidRPr="00B953BF" w:rsidR="00EF3106">
        <w:t>, Google Scholar, Google Alerts, Lexus-Nexus, Twitter, and other automated search engines)</w:t>
      </w:r>
      <w:r w:rsidRPr="00B953BF" w:rsidR="00AD7FD7">
        <w:t xml:space="preserve">.  </w:t>
      </w:r>
      <w:r w:rsidRPr="00B953BF" w:rsidR="00EF3106">
        <w:t xml:space="preserve">These monitoring activities ensure that new studies and new data collections relevant to the Index are rapidly identified.  Additionally, the project team regularly communicates with the collaborating organizations at ASTHO and NACCHO regarding their data collection and data use activities relevant to PHEP, including by serving as advisory </w:t>
      </w:r>
      <w:r w:rsidRPr="00B953BF" w:rsidR="009C2753">
        <w:t>committee</w:t>
      </w:r>
      <w:r w:rsidRPr="00B953BF" w:rsidR="00EF3106">
        <w:t xml:space="preserve"> members </w:t>
      </w:r>
      <w:r w:rsidRPr="00B953BF" w:rsidR="00D47375">
        <w:t>for the periodic ASTHO and NACCHO surveys</w:t>
      </w:r>
      <w:r w:rsidRPr="00B953BF" w:rsidR="009C2753">
        <w:t xml:space="preserve"> of health agencies</w:t>
      </w:r>
      <w:r w:rsidRPr="00B953BF" w:rsidR="00D47375">
        <w:t xml:space="preserve">.  Collectively, these activities ensure that the proposed data collection activities do not duplicate or overlap with existing or planned data collection activities conducted by other entities.  </w:t>
      </w:r>
    </w:p>
    <w:p w:rsidR="00BD4599" w:rsidP="005D6F14" w:rsidRDefault="00BD4599" w14:paraId="6FF27ED9" w14:textId="77777777"/>
    <w:p w:rsidR="00675F9A" w:rsidP="005D6F14" w:rsidRDefault="00675F9A" w14:paraId="48F4623C" w14:textId="77777777"/>
    <w:p w:rsidRPr="00B47055" w:rsidR="00B12F51" w:rsidP="00692DEB" w:rsidRDefault="00B47055" w14:paraId="75B88CF6" w14:textId="77777777">
      <w:pPr>
        <w:pStyle w:val="Heading4"/>
      </w:pPr>
      <w:bookmarkStart w:name="_Toc427752818" w:id="11"/>
      <w:r w:rsidRPr="00B47055">
        <w:lastRenderedPageBreak/>
        <w:t>Impact on Small Businesses or Other Small Entities</w:t>
      </w:r>
      <w:bookmarkEnd w:id="11"/>
    </w:p>
    <w:p w:rsidR="00BD4599" w:rsidP="00383542" w:rsidRDefault="00D26A64" w14:paraId="580A7711" w14:textId="538B84B2">
      <w:pPr>
        <w:ind w:left="360"/>
      </w:pPr>
      <w:r>
        <w:t>N</w:t>
      </w:r>
      <w:r w:rsidR="00AF2252">
        <w:t xml:space="preserve">o small businesses will be involved in this </w:t>
      </w:r>
      <w:r w:rsidR="00157413">
        <w:t>information collection</w:t>
      </w:r>
      <w:r>
        <w:t>.</w:t>
      </w:r>
    </w:p>
    <w:p w:rsidR="00BD4599" w:rsidP="005D6F14" w:rsidRDefault="00BD4599" w14:paraId="2486A5E3" w14:textId="77777777"/>
    <w:p w:rsidRPr="00D95FBF" w:rsidR="00675F9A" w:rsidP="00383542" w:rsidRDefault="00675F9A" w14:paraId="749D1325" w14:textId="2FFD7D4F">
      <w:pPr>
        <w:ind w:left="0"/>
      </w:pPr>
    </w:p>
    <w:p w:rsidRPr="00B47055" w:rsidR="00B12F51" w:rsidP="00692DEB" w:rsidRDefault="00B47055" w14:paraId="5E04EB42" w14:textId="77777777">
      <w:pPr>
        <w:pStyle w:val="Heading4"/>
      </w:pPr>
      <w:bookmarkStart w:name="_Toc427752819" w:id="12"/>
      <w:r w:rsidRPr="00B47055">
        <w:t xml:space="preserve">Consequences of Collecting the Information Less Frequently </w:t>
      </w:r>
      <w:r w:rsidRPr="00B47055" w:rsidR="00D95FBF">
        <w:t xml:space="preserve">  </w:t>
      </w:r>
      <w:bookmarkEnd w:id="12"/>
      <w:r w:rsidRPr="00B47055" w:rsidR="00D95FBF">
        <w:t xml:space="preserve"> </w:t>
      </w:r>
    </w:p>
    <w:p w:rsidRPr="00B953BF" w:rsidR="000058E0" w:rsidP="007B7C44" w:rsidRDefault="000058E0" w14:paraId="7DC21F0F" w14:textId="2850B174">
      <w:pPr>
        <w:ind w:left="360"/>
      </w:pPr>
      <w:r w:rsidRPr="00711BFA">
        <w:t>This request is for a one</w:t>
      </w:r>
      <w:r w:rsidR="000D1AB1">
        <w:t>-</w:t>
      </w:r>
      <w:r w:rsidRPr="00711BFA">
        <w:t xml:space="preserve">time </w:t>
      </w:r>
      <w:r w:rsidR="005212E5">
        <w:t>data</w:t>
      </w:r>
      <w:r w:rsidRPr="00711BFA">
        <w:t xml:space="preserve"> collection.  There are no legal obstacles to reduce the burden.</w:t>
      </w:r>
      <w:r>
        <w:t xml:space="preserve"> </w:t>
      </w:r>
      <w:r w:rsidRPr="00B953BF">
        <w:t>If no data are collected, CDC will be unable to:</w:t>
      </w:r>
    </w:p>
    <w:p w:rsidRPr="00B953BF" w:rsidR="008C59E7" w:rsidP="00782FBD" w:rsidRDefault="00620274" w14:paraId="1B2E8BB8" w14:textId="10036D1A">
      <w:pPr>
        <w:pStyle w:val="ListParagraph"/>
        <w:numPr>
          <w:ilvl w:val="0"/>
          <w:numId w:val="6"/>
        </w:numPr>
        <w:tabs>
          <w:tab w:val="clear" w:pos="9360"/>
        </w:tabs>
        <w:spacing w:line="240" w:lineRule="auto"/>
      </w:pPr>
      <w:r w:rsidRPr="00B953BF">
        <w:t xml:space="preserve">Advise and assist </w:t>
      </w:r>
      <w:r w:rsidRPr="00B953BF" w:rsidR="0069439C">
        <w:t>PHEP programs in using the Index to strengthen program operations and performance</w:t>
      </w:r>
    </w:p>
    <w:p w:rsidRPr="00B953BF" w:rsidR="008C59E7" w:rsidP="00782FBD" w:rsidRDefault="0069439C" w14:paraId="63B2E2B1" w14:textId="2AB2BC23">
      <w:pPr>
        <w:pStyle w:val="ListParagraph"/>
        <w:numPr>
          <w:ilvl w:val="0"/>
          <w:numId w:val="6"/>
        </w:numPr>
        <w:tabs>
          <w:tab w:val="clear" w:pos="9360"/>
        </w:tabs>
        <w:spacing w:line="240" w:lineRule="auto"/>
      </w:pPr>
      <w:r w:rsidRPr="00B953BF">
        <w:t>Identify a core set of metrics from the Index and other sources that can be used to</w:t>
      </w:r>
      <w:r w:rsidRPr="00B953BF" w:rsidR="00E6102F">
        <w:t xml:space="preserve"> assess</w:t>
      </w:r>
      <w:r w:rsidRPr="00B953BF" w:rsidR="000D1AB1">
        <w:t xml:space="preserve"> </w:t>
      </w:r>
      <w:r w:rsidRPr="00B953BF">
        <w:t>the capabilities of state and local PHEP programs</w:t>
      </w:r>
    </w:p>
    <w:p w:rsidRPr="00B953BF" w:rsidR="008C59E7" w:rsidP="00782FBD" w:rsidRDefault="0069439C" w14:paraId="46DF2966" w14:textId="7BB1C5CF">
      <w:pPr>
        <w:pStyle w:val="ListParagraph"/>
        <w:numPr>
          <w:ilvl w:val="0"/>
          <w:numId w:val="6"/>
        </w:numPr>
        <w:tabs>
          <w:tab w:val="clear" w:pos="9360"/>
        </w:tabs>
        <w:spacing w:line="240" w:lineRule="auto"/>
      </w:pPr>
      <w:r w:rsidRPr="00B953BF">
        <w:t xml:space="preserve">Develop guidelines and tools that help PHEP programs use Index results for data-driven planning, decision-making, and community engagement.  </w:t>
      </w:r>
    </w:p>
    <w:p w:rsidR="00BD4599" w:rsidP="00383542" w:rsidRDefault="00BD4599" w14:paraId="19A686BD" w14:textId="6DE1499C">
      <w:pPr>
        <w:ind w:left="0"/>
        <w:rPr>
          <w:lang w:eastAsia="zh-CN"/>
        </w:rPr>
      </w:pPr>
    </w:p>
    <w:p w:rsidR="00BD4599" w:rsidP="00675F9A" w:rsidRDefault="00BD4599" w14:paraId="248BC0CD" w14:textId="77777777">
      <w:pPr>
        <w:pStyle w:val="ListParagraph"/>
        <w:ind w:left="360"/>
        <w:rPr>
          <w:lang w:eastAsia="zh-CN"/>
        </w:rPr>
      </w:pPr>
    </w:p>
    <w:p w:rsidRPr="00B47055" w:rsidR="00B12F51" w:rsidP="00692DEB" w:rsidRDefault="00B47055" w14:paraId="1C352D4B" w14:textId="77777777">
      <w:pPr>
        <w:pStyle w:val="Heading4"/>
      </w:pPr>
      <w:bookmarkStart w:name="_Toc427752820" w:id="13"/>
      <w:r w:rsidRPr="00B47055">
        <w:t>Special Circumstances Relating to the Guidelines of 5 CFR 1320.5</w:t>
      </w:r>
      <w:bookmarkEnd w:id="13"/>
    </w:p>
    <w:p w:rsidR="00F52BCC" w:rsidP="007B7C44" w:rsidRDefault="00A809AA" w14:paraId="3F174D52" w14:textId="719117C2">
      <w:pPr>
        <w:ind w:left="360"/>
      </w:pPr>
      <w:r>
        <w:t xml:space="preserve">There are no special circumstances with this </w:t>
      </w:r>
      <w:r w:rsidR="002E2EDD">
        <w:t>data</w:t>
      </w:r>
      <w:r>
        <w:t xml:space="preserve"> collection package. </w:t>
      </w:r>
      <w:r w:rsidR="00835CA7">
        <w:t>This request fully complies with the regulation 5 CFR 1320.5</w:t>
      </w:r>
      <w:r w:rsidR="00D95FBF">
        <w:t xml:space="preserve"> and will be voluntary</w:t>
      </w:r>
      <w:r w:rsidR="00835CA7">
        <w:t>.</w:t>
      </w:r>
    </w:p>
    <w:p w:rsidR="00F52BCC" w:rsidP="00675F9A" w:rsidRDefault="00F52BCC" w14:paraId="7BFE09AB" w14:textId="77777777">
      <w:pPr>
        <w:ind w:left="360"/>
      </w:pPr>
    </w:p>
    <w:p w:rsidR="00383542" w:rsidP="00383542" w:rsidRDefault="00383542" w14:paraId="7F539DDD" w14:textId="398EA4AE">
      <w:pPr>
        <w:ind w:left="0"/>
      </w:pPr>
    </w:p>
    <w:p w:rsidRPr="0088467A" w:rsidR="00B12F51" w:rsidP="00692DEB" w:rsidRDefault="0088467A" w14:paraId="5BC5DEE1" w14:textId="77777777">
      <w:pPr>
        <w:pStyle w:val="Heading4"/>
      </w:pPr>
      <w:bookmarkStart w:name="_Toc427752821" w:id="14"/>
      <w:r w:rsidRPr="0088467A">
        <w:t>Comments in Response to the Federal Register Notice and Efforts to Consult Outside the Agency</w:t>
      </w:r>
      <w:bookmarkEnd w:id="14"/>
    </w:p>
    <w:p w:rsidRPr="00B8783F" w:rsidR="00444811" w:rsidP="00444811" w:rsidRDefault="00444811" w14:paraId="2A7FCDDE" w14:textId="77777777">
      <w:pPr>
        <w:ind w:left="360"/>
        <w:rPr>
          <w:color w:val="FF0000"/>
        </w:rPr>
      </w:pPr>
      <w:r>
        <w:t xml:space="preserve">This data collection is being conducted using the Generic Information Collection mechanism of the CSTLTS Generic Information Collection Service (CSTLTS Generic) – OMB No. 0920-0879. </w:t>
      </w:r>
      <w:r w:rsidRPr="00D21203">
        <w:t>A 60-day Federal Register Notice was published in the Federal Register on April 27, 2017, Vol. 82, No. 80, pp 19371-19373.  One non-substantive comment was received.  CDC sent forward the standard CDC response.</w:t>
      </w:r>
    </w:p>
    <w:p w:rsidRPr="00A809AA" w:rsidR="00A809AA" w:rsidP="00692DEB" w:rsidRDefault="00A809AA" w14:paraId="2ACC2F51" w14:textId="77777777">
      <w:pPr>
        <w:ind w:left="0"/>
      </w:pPr>
    </w:p>
    <w:p w:rsidR="00A809AA" w:rsidP="007B7C44" w:rsidRDefault="00A809AA" w14:paraId="764006AC" w14:textId="77777777">
      <w:pPr>
        <w:ind w:left="36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Pr="00A809AA" w:rsidR="00675F9A" w:rsidP="007B7C44" w:rsidRDefault="00675F9A" w14:paraId="05E9CF8C" w14:textId="77777777">
      <w:pPr>
        <w:ind w:left="360"/>
      </w:pPr>
    </w:p>
    <w:p w:rsidRPr="00A809AA" w:rsidR="00F52BCC" w:rsidP="00675F9A" w:rsidRDefault="00F52BCC" w14:paraId="114CE2EF" w14:textId="77777777">
      <w:pPr>
        <w:ind w:left="360"/>
      </w:pPr>
    </w:p>
    <w:p w:rsidRPr="0088467A" w:rsidR="00B12F51" w:rsidP="00692DEB" w:rsidRDefault="0088467A" w14:paraId="4DAA9469" w14:textId="77777777">
      <w:pPr>
        <w:pStyle w:val="Heading4"/>
      </w:pPr>
      <w:bookmarkStart w:name="_Toc427752822" w:id="15"/>
      <w:r w:rsidRPr="0088467A">
        <w:t>Explanation of Any Payment or Gift to Respondents</w:t>
      </w:r>
      <w:bookmarkEnd w:id="15"/>
    </w:p>
    <w:p w:rsidR="00675F9A" w:rsidP="005212E5" w:rsidRDefault="00A809AA" w14:paraId="616434FC" w14:textId="78ADCCA1">
      <w:pPr>
        <w:ind w:left="360"/>
      </w:pPr>
      <w:r>
        <w:t>CDC will not provide p</w:t>
      </w:r>
      <w:r w:rsidR="00D26A64">
        <w:t>ayments or gifts to respondents.</w:t>
      </w:r>
    </w:p>
    <w:p w:rsidR="006A09E0" w:rsidP="005212E5" w:rsidRDefault="006A09E0" w14:paraId="716AB726" w14:textId="77777777">
      <w:pPr>
        <w:ind w:left="360"/>
      </w:pPr>
    </w:p>
    <w:p w:rsidR="00C4416B" w:rsidP="005212E5" w:rsidRDefault="00C4416B" w14:paraId="23E8606B" w14:textId="77777777">
      <w:pPr>
        <w:ind w:left="360"/>
      </w:pPr>
    </w:p>
    <w:p w:rsidRPr="00D16E78" w:rsidR="00B12F51" w:rsidP="00692DEB" w:rsidRDefault="0088467A" w14:paraId="084C2058" w14:textId="77777777">
      <w:pPr>
        <w:pStyle w:val="Heading4"/>
      </w:pPr>
      <w:r>
        <w:t xml:space="preserve"> </w:t>
      </w:r>
      <w:bookmarkStart w:name="_Toc427752823" w:id="16"/>
      <w:r w:rsidRPr="009D5927" w:rsidR="009D5927">
        <w:t>Protection of the Privacy and Confidentiality of Information Provided by Respondents</w:t>
      </w:r>
      <w:bookmarkEnd w:id="16"/>
    </w:p>
    <w:p w:rsidR="003C31C9" w:rsidP="006A09E0" w:rsidRDefault="003C31C9" w14:paraId="612C8EA3" w14:textId="21BD1F12">
      <w:pPr>
        <w:ind w:left="360"/>
      </w:pPr>
      <w:r w:rsidRPr="003C31C9">
        <w:lastRenderedPageBreak/>
        <w:t xml:space="preserve">The Privacy Act does not apply to this </w:t>
      </w:r>
      <w:r w:rsidR="002E2EDD">
        <w:t>data</w:t>
      </w:r>
      <w:r w:rsidR="00157413">
        <w:t xml:space="preserve"> </w:t>
      </w:r>
      <w:r w:rsidRPr="00040611" w:rsidR="00157413">
        <w:t>collection</w:t>
      </w:r>
      <w:r w:rsidRPr="00040611">
        <w:t xml:space="preserve">.  </w:t>
      </w:r>
      <w:r w:rsidRPr="00040611" w:rsidR="007F5776">
        <w:t xml:space="preserve">STLT governmental staff </w:t>
      </w:r>
      <w:r w:rsidRPr="00040611">
        <w:t>will be speaking from their official roles</w:t>
      </w:r>
      <w:r w:rsidR="00D06816">
        <w:t xml:space="preserve">.  </w:t>
      </w:r>
      <w:r w:rsidRPr="00040611">
        <w:t xml:space="preserve"> </w:t>
      </w:r>
    </w:p>
    <w:p w:rsidRPr="003C31C9" w:rsidR="006A09E0" w:rsidP="006A09E0" w:rsidRDefault="006A09E0" w14:paraId="6685A9FB" w14:textId="77777777">
      <w:pPr>
        <w:ind w:left="360"/>
      </w:pPr>
    </w:p>
    <w:p w:rsidR="002E2EDD" w:rsidP="00383542" w:rsidRDefault="002E2EDD" w14:paraId="031638FC" w14:textId="01EE07A2">
      <w:pPr>
        <w:ind w:left="0"/>
      </w:pPr>
    </w:p>
    <w:p w:rsidRPr="0088467A" w:rsidR="00B12F51" w:rsidP="00692DEB" w:rsidRDefault="009D5927" w14:paraId="6454A151" w14:textId="77777777">
      <w:pPr>
        <w:pStyle w:val="Heading4"/>
      </w:pPr>
      <w:bookmarkStart w:name="_Toc427752824" w:id="17"/>
      <w:r w:rsidRPr="009D5927">
        <w:t>Institutional Review Board (IRB) and Justification for Sensitive Questions</w:t>
      </w:r>
      <w:bookmarkEnd w:id="17"/>
    </w:p>
    <w:p w:rsidR="002A1CF5" w:rsidP="002A1CF5" w:rsidRDefault="003C31C9" w14:paraId="220E0924" w14:textId="0F81638D">
      <w:pPr>
        <w:ind w:left="360"/>
      </w:pPr>
      <w:r>
        <w:t>No information will be collected</w:t>
      </w:r>
      <w:r w:rsidR="00616090">
        <w:t xml:space="preserve"> that are of personal or sensitive nature</w:t>
      </w:r>
      <w:r w:rsidR="00D26A64">
        <w:t>.</w:t>
      </w:r>
      <w:r w:rsidRPr="002A1CF5" w:rsidR="002A1CF5">
        <w:t xml:space="preserve"> </w:t>
      </w:r>
      <w:r w:rsidRPr="003C31C9" w:rsidR="002A1CF5">
        <w:t xml:space="preserve">This </w:t>
      </w:r>
      <w:r w:rsidR="002A1CF5">
        <w:t>data collection</w:t>
      </w:r>
      <w:r w:rsidRPr="003C31C9" w:rsidR="002A1CF5">
        <w:t xml:space="preserve"> is not research involving human subjects.</w:t>
      </w:r>
    </w:p>
    <w:p w:rsidR="00F52BCC" w:rsidP="008B65FF" w:rsidRDefault="00F52BCC" w14:paraId="1DBD89ED" w14:textId="77777777">
      <w:pPr>
        <w:ind w:left="360"/>
      </w:pPr>
    </w:p>
    <w:p w:rsidR="00E20294" w:rsidP="005D6F14" w:rsidRDefault="00E20294" w14:paraId="582621BC" w14:textId="65C00F13"/>
    <w:p w:rsidRPr="0088467A" w:rsidR="00E20294" w:rsidP="005D6F14" w:rsidRDefault="00E20294" w14:paraId="3692ADA9" w14:textId="77777777"/>
    <w:p w:rsidRPr="00B953BF" w:rsidR="00B64BFA" w:rsidP="00692DEB" w:rsidRDefault="0088467A" w14:paraId="2716336A" w14:textId="77777777">
      <w:pPr>
        <w:pStyle w:val="Heading4"/>
      </w:pPr>
      <w:bookmarkStart w:name="_Toc427752825" w:id="18"/>
      <w:r w:rsidRPr="0088467A">
        <w:t>Estimates of Annualized Burden Hours and Costs</w:t>
      </w:r>
      <w:bookmarkEnd w:id="18"/>
    </w:p>
    <w:p w:rsidRPr="00B953BF" w:rsidR="000058E0" w:rsidP="008B65FF" w:rsidRDefault="000058E0" w14:paraId="19BF394F" w14:textId="40541F8B">
      <w:pPr>
        <w:ind w:left="360"/>
      </w:pPr>
      <w:r w:rsidRPr="00B953BF">
        <w:t xml:space="preserve">The estimate for burden hours is based on a pilot test of the </w:t>
      </w:r>
      <w:r w:rsidRPr="00B953BF" w:rsidR="007C523A">
        <w:t>O</w:t>
      </w:r>
      <w:r w:rsidRPr="00B953BF" w:rsidR="00E6102F">
        <w:t xml:space="preserve">nline </w:t>
      </w:r>
      <w:r w:rsidRPr="00B953BF" w:rsidR="007C523A">
        <w:t>A</w:t>
      </w:r>
      <w:r w:rsidRPr="00B953BF" w:rsidR="00E6102F">
        <w:t>ssessment</w:t>
      </w:r>
      <w:r w:rsidRPr="00B953BF">
        <w:t xml:space="preserve"> by </w:t>
      </w:r>
      <w:r w:rsidRPr="00B953BF" w:rsidR="00126AF2">
        <w:t>four (4)</w:t>
      </w:r>
      <w:r w:rsidRPr="00B953BF">
        <w:t xml:space="preserve"> public health </w:t>
      </w:r>
      <w:r w:rsidRPr="00B953BF" w:rsidR="00F41815">
        <w:t xml:space="preserve">preparedness </w:t>
      </w:r>
      <w:r w:rsidRPr="00B953BF">
        <w:t xml:space="preserve">professionals. In the pilot test, the average time to complete the </w:t>
      </w:r>
      <w:r w:rsidRPr="00B953BF" w:rsidR="00BA5C91">
        <w:t xml:space="preserve">Online Assessment </w:t>
      </w:r>
      <w:r w:rsidRPr="00B953BF" w:rsidR="00F41815">
        <w:t>I</w:t>
      </w:r>
      <w:r w:rsidRPr="00B953BF">
        <w:t xml:space="preserve">nstrument including time for reviewing instructions, gathering needed information and completing the instrument, was approximately </w:t>
      </w:r>
      <w:r w:rsidRPr="00B953BF" w:rsidR="00A22015">
        <w:t>42</w:t>
      </w:r>
      <w:r w:rsidRPr="00B953BF">
        <w:t xml:space="preserve"> minutes</w:t>
      </w:r>
      <w:r w:rsidRPr="00B953BF" w:rsidR="00A242DB">
        <w:t xml:space="preserve"> (range: </w:t>
      </w:r>
      <w:r w:rsidRPr="00B953BF" w:rsidR="00A22015">
        <w:t>32</w:t>
      </w:r>
      <w:r w:rsidRPr="00B953BF" w:rsidR="00721719">
        <w:t xml:space="preserve"> –</w:t>
      </w:r>
      <w:r w:rsidRPr="00B953BF" w:rsidR="00A22015">
        <w:t>52</w:t>
      </w:r>
      <w:r w:rsidRPr="00B953BF" w:rsidR="00721719">
        <w:t>)</w:t>
      </w:r>
      <w:r w:rsidRPr="00B953BF">
        <w:t xml:space="preserve">. For the purposes of estimating burden hours, the upper limit of this range (i.e., </w:t>
      </w:r>
      <w:r w:rsidRPr="00B953BF" w:rsidR="00A22015">
        <w:t>52</w:t>
      </w:r>
      <w:r w:rsidRPr="00B953BF" w:rsidR="008C59E7">
        <w:t xml:space="preserve"> </w:t>
      </w:r>
      <w:r w:rsidRPr="00B953BF">
        <w:t>minutes) is used.</w:t>
      </w:r>
    </w:p>
    <w:p w:rsidRPr="00B953BF" w:rsidR="00A22015" w:rsidP="008B65FF" w:rsidRDefault="00A22015" w14:paraId="12AB8AB5" w14:textId="3F43660A">
      <w:pPr>
        <w:ind w:left="360"/>
      </w:pPr>
    </w:p>
    <w:p w:rsidRPr="00B953BF" w:rsidR="00A22015" w:rsidP="00A22015" w:rsidRDefault="00A22015" w14:paraId="6023CAAE" w14:textId="0ADF9D8F">
      <w:pPr>
        <w:ind w:left="360"/>
      </w:pPr>
      <w:r w:rsidRPr="00B953BF">
        <w:t xml:space="preserve">The estimate for burden hours is based on a pilot test of the </w:t>
      </w:r>
      <w:r w:rsidRPr="00B953BF" w:rsidR="00F41815">
        <w:t>S</w:t>
      </w:r>
      <w:r w:rsidRPr="00B953BF">
        <w:t>emi-</w:t>
      </w:r>
      <w:r w:rsidRPr="00B953BF" w:rsidR="00F41815">
        <w:t>S</w:t>
      </w:r>
      <w:r w:rsidRPr="00B953BF">
        <w:t xml:space="preserve">tructured </w:t>
      </w:r>
      <w:r w:rsidRPr="00B953BF" w:rsidR="00F41815">
        <w:t>I</w:t>
      </w:r>
      <w:r w:rsidRPr="00B953BF">
        <w:t xml:space="preserve">nterview </w:t>
      </w:r>
      <w:r w:rsidRPr="00B953BF" w:rsidR="00F41815">
        <w:t>G</w:t>
      </w:r>
      <w:r w:rsidRPr="00B953BF">
        <w:t xml:space="preserve">uide data collection instrument by four (4) public health </w:t>
      </w:r>
      <w:r w:rsidRPr="00B953BF" w:rsidR="00F41815">
        <w:t xml:space="preserve">preparedness </w:t>
      </w:r>
      <w:r w:rsidRPr="00B953BF">
        <w:t>professionals. In the pilot test, the average time to complete the instrument including time for reviewing instructions, gathering needed information and completing the instrument, was approximately 57 minutes (range: 43 –70). For the purposes of estimating burden hours, the upper limit of this range (i.e., 70 minutes) is used.</w:t>
      </w:r>
    </w:p>
    <w:p w:rsidRPr="00711BFA" w:rsidR="00A22015" w:rsidP="008B65FF" w:rsidRDefault="00A22015" w14:paraId="17AE6B39" w14:textId="77777777">
      <w:pPr>
        <w:ind w:left="360"/>
        <w:rPr>
          <w:color w:val="000000"/>
        </w:rPr>
      </w:pPr>
    </w:p>
    <w:p w:rsidR="000058E0" w:rsidP="000058E0" w:rsidRDefault="000058E0" w14:paraId="58065055" w14:textId="77777777">
      <w:pPr>
        <w:ind w:left="0"/>
      </w:pPr>
    </w:p>
    <w:p w:rsidRPr="00B953BF" w:rsidR="00BB090C" w:rsidP="008B65FF" w:rsidRDefault="008C408E" w14:paraId="0544B568" w14:textId="3AE97843">
      <w:pPr>
        <w:ind w:left="360"/>
      </w:pPr>
      <w:r w:rsidRPr="003E7701">
        <w:t xml:space="preserve">Estimates for the average hourly wage for respondents are based on the Department of Labor (DOL) </w:t>
      </w:r>
      <w:r>
        <w:t>Bureau of Labor Statisti</w:t>
      </w:r>
      <w:r w:rsidR="008F3D10">
        <w:t xml:space="preserve">cs for occupational employment </w:t>
      </w:r>
      <w:r>
        <w:t>for</w:t>
      </w:r>
      <w:r w:rsidR="00C66439">
        <w:rPr>
          <w:color w:val="0070C0"/>
        </w:rPr>
        <w:t xml:space="preserve"> </w:t>
      </w:r>
      <w:r w:rsidRPr="00B953BF" w:rsidR="00C66439">
        <w:t>Emergency Management D</w:t>
      </w:r>
      <w:r w:rsidRPr="00B953BF" w:rsidR="00E677C5">
        <w:t>irectors</w:t>
      </w:r>
      <w:r w:rsidR="00E677C5">
        <w:rPr>
          <w:color w:val="0070C0"/>
        </w:rPr>
        <w:t xml:space="preserve"> </w:t>
      </w:r>
      <w:hyperlink w:history="1" r:id="rId12">
        <w:r w:rsidRPr="00B953BF">
          <w:rPr>
            <w:rStyle w:val="Hyperlink"/>
            <w:color w:val="auto"/>
          </w:rPr>
          <w:t>http://www.bls.gov/oes/current/oes_nat.htm</w:t>
        </w:r>
      </w:hyperlink>
      <w:r w:rsidRPr="00B953BF">
        <w:t xml:space="preserve">.  </w:t>
      </w:r>
      <w:r w:rsidRPr="00B953BF" w:rsidR="000058E0">
        <w:t xml:space="preserve">Based on DOL data, an average hourly wage of </w:t>
      </w:r>
      <w:r w:rsidRPr="00B953BF" w:rsidR="00E677C5">
        <w:t>$</w:t>
      </w:r>
      <w:r w:rsidRPr="00B953BF" w:rsidR="0062339F">
        <w:t xml:space="preserve">39.01 </w:t>
      </w:r>
      <w:r w:rsidRPr="00B953BF" w:rsidR="00C66439">
        <w:t>is estimated for all</w:t>
      </w:r>
      <w:r w:rsidRPr="00B953BF" w:rsidR="000058E0">
        <w:t xml:space="preserve"> </w:t>
      </w:r>
      <w:r w:rsidRPr="00B953BF" w:rsidR="00010006">
        <w:t>278</w:t>
      </w:r>
      <w:r w:rsidRPr="00B953BF" w:rsidR="00010006">
        <w:rPr>
          <w:i/>
        </w:rPr>
        <w:t xml:space="preserve"> </w:t>
      </w:r>
      <w:r w:rsidRPr="00B953BF" w:rsidR="000058E0">
        <w:t xml:space="preserve">respondents. </w:t>
      </w:r>
      <w:r w:rsidRPr="00B953BF" w:rsidR="00220943">
        <w:t xml:space="preserve"> To account for potential increases </w:t>
      </w:r>
      <w:r w:rsidRPr="00B953BF" w:rsidR="00A97079">
        <w:t xml:space="preserve">in fringe and overhead costs </w:t>
      </w:r>
      <w:r w:rsidRPr="00B953BF" w:rsidR="00220943">
        <w:t>due to the COVID-19 response, the hourly wage rate has been doubled to $78.02 (</w:t>
      </w:r>
      <w:hyperlink w:history="1" r:id="rId13">
        <w:r w:rsidRPr="00B953BF" w:rsidR="00220943">
          <w:rPr>
            <w:rStyle w:val="Hyperlink"/>
            <w:color w:val="auto"/>
          </w:rPr>
          <w:t>https://aspe.hhs.gov/pdf-report/guidelines-regulatory-impact-analysis</w:t>
        </w:r>
      </w:hyperlink>
      <w:r w:rsidRPr="00B953BF" w:rsidR="00220943">
        <w:t>).</w:t>
      </w:r>
      <w:r w:rsidRPr="00B953BF" w:rsidR="000058E0">
        <w:t>Table A-12 shows estimated burden and cost information.</w:t>
      </w:r>
    </w:p>
    <w:p w:rsidRPr="00B953BF" w:rsidR="00851720" w:rsidP="008B65FF" w:rsidRDefault="00851720" w14:paraId="258DC9C5" w14:textId="4B8255A5">
      <w:pPr>
        <w:ind w:left="360"/>
      </w:pPr>
    </w:p>
    <w:p w:rsidRPr="00B953BF" w:rsidR="00851720" w:rsidP="008B65FF" w:rsidRDefault="00851720" w14:paraId="621C74EE" w14:textId="631C7B8B">
      <w:pPr>
        <w:ind w:left="360"/>
      </w:pPr>
      <w:r w:rsidRPr="00B953BF">
        <w:t xml:space="preserve">A total of 278 respondents are expected </w:t>
      </w:r>
      <w:r w:rsidRPr="00B953BF" w:rsidR="00E871DB">
        <w:t>to provide a</w:t>
      </w:r>
      <w:r w:rsidRPr="00B953BF">
        <w:t xml:space="preserve"> total of 320 responses. NOTE: </w:t>
      </w:r>
      <w:r w:rsidRPr="00B953BF" w:rsidR="00E871DB">
        <w:t>from the</w:t>
      </w:r>
      <w:r w:rsidRPr="00B953BF">
        <w:t xml:space="preserve"> 278 </w:t>
      </w:r>
      <w:r w:rsidRPr="00B953BF" w:rsidR="00E871DB">
        <w:t xml:space="preserve">respondents </w:t>
      </w:r>
      <w:r w:rsidRPr="00B953BF">
        <w:t xml:space="preserve">invited to participate in the online </w:t>
      </w:r>
      <w:r w:rsidRPr="00B953BF" w:rsidR="00E871DB">
        <w:t>assessment, a subset of 42 respondents</w:t>
      </w:r>
      <w:r w:rsidRPr="00B953BF">
        <w:t xml:space="preserve"> will also be invited to participate in the semi-structured interviews</w:t>
      </w:r>
      <w:r w:rsidRPr="00B953BF" w:rsidR="00E871DB">
        <w:t>, resulting in a total of 320 responses (278+42=320)</w:t>
      </w:r>
      <w:r w:rsidRPr="00B953BF">
        <w:t xml:space="preserve">. See table below. </w:t>
      </w:r>
    </w:p>
    <w:p w:rsidR="003332D8" w:rsidP="00C16707" w:rsidRDefault="003332D8" w14:paraId="74DBA21D" w14:textId="278A09C8">
      <w:pPr>
        <w:tabs>
          <w:tab w:val="clear" w:pos="9360"/>
        </w:tabs>
        <w:autoSpaceDE w:val="0"/>
        <w:autoSpaceDN w:val="0"/>
        <w:adjustRightInd w:val="0"/>
        <w:spacing w:line="240" w:lineRule="auto"/>
        <w:ind w:left="360"/>
        <w:rPr>
          <w:rFonts w:eastAsia="MalgunGothicBold" w:cs="MalgunGothicBold"/>
          <w:bCs/>
          <w:color w:val="0070C0"/>
        </w:rPr>
      </w:pPr>
    </w:p>
    <w:p w:rsidR="005A59E5" w:rsidP="00692DEB" w:rsidRDefault="005A59E5" w14:paraId="37F0192B" w14:textId="621E138D">
      <w:pPr>
        <w:ind w:left="0"/>
      </w:pPr>
    </w:p>
    <w:p w:rsidR="00EA5C5B" w:rsidP="00692DEB" w:rsidRDefault="00EA5C5B" w14:paraId="36E0E908" w14:textId="6D58A574">
      <w:pPr>
        <w:ind w:left="0"/>
      </w:pPr>
    </w:p>
    <w:p w:rsidR="00EA5C5B" w:rsidP="00692DEB" w:rsidRDefault="00EA5C5B" w14:paraId="7CD05344" w14:textId="5F1748EB">
      <w:pPr>
        <w:ind w:left="0"/>
      </w:pPr>
    </w:p>
    <w:p w:rsidR="00EA5C5B" w:rsidP="00692DEB" w:rsidRDefault="00EA5C5B" w14:paraId="1B554AE5" w14:textId="3226FFC5">
      <w:pPr>
        <w:ind w:left="0"/>
      </w:pPr>
    </w:p>
    <w:p w:rsidR="00EA5C5B" w:rsidP="00692DEB" w:rsidRDefault="00EA5C5B" w14:paraId="4DD0A2F8" w14:textId="77777777">
      <w:pPr>
        <w:ind w:left="0"/>
      </w:pPr>
    </w:p>
    <w:p w:rsidR="00E41812" w:rsidP="006A09E0" w:rsidRDefault="005A59E5" w14:paraId="7137351D" w14:textId="77777777">
      <w:pPr>
        <w:pStyle w:val="CommentText"/>
        <w:ind w:left="360"/>
      </w:pPr>
      <w:r w:rsidRPr="008E0683">
        <w:rPr>
          <w:b/>
          <w:u w:val="single"/>
        </w:rPr>
        <w:lastRenderedPageBreak/>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tbl>
      <w:tblPr>
        <w:tblpPr w:leftFromText="180" w:rightFromText="180" w:vertAnchor="text" w:horzAnchor="margin" w:tblpXSpec="center" w:tblpY="194"/>
        <w:tblW w:w="104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70"/>
        <w:gridCol w:w="1370"/>
        <w:gridCol w:w="1461"/>
        <w:gridCol w:w="1370"/>
        <w:gridCol w:w="1370"/>
        <w:gridCol w:w="1004"/>
        <w:gridCol w:w="1145"/>
        <w:gridCol w:w="1370"/>
      </w:tblGrid>
      <w:tr w:rsidRPr="006F6856" w:rsidR="00B953BF" w:rsidTr="00B953BF" w14:paraId="6459AD92" w14:textId="77777777">
        <w:trPr>
          <w:trHeight w:val="1577"/>
        </w:trPr>
        <w:tc>
          <w:tcPr>
            <w:tcW w:w="1370" w:type="dxa"/>
            <w:shd w:val="clear" w:color="auto" w:fill="D9D9D9" w:themeFill="background1" w:themeFillShade="D9"/>
          </w:tcPr>
          <w:p w:rsidRPr="00E647FB" w:rsidR="00B953BF" w:rsidP="00B953BF" w:rsidRDefault="00B953BF" w14:paraId="4F44765D" w14:textId="77777777">
            <w:pPr>
              <w:ind w:left="-18"/>
              <w:rPr>
                <w:b/>
                <w:sz w:val="20"/>
                <w:szCs w:val="20"/>
              </w:rPr>
            </w:pPr>
            <w:r>
              <w:rPr>
                <w:b/>
                <w:sz w:val="20"/>
                <w:szCs w:val="20"/>
              </w:rPr>
              <w:t>Data</w:t>
            </w:r>
            <w:r w:rsidRPr="00E647FB">
              <w:rPr>
                <w:b/>
                <w:sz w:val="20"/>
                <w:szCs w:val="20"/>
              </w:rPr>
              <w:t xml:space="preserve"> collection Instrument: Form Name</w:t>
            </w:r>
          </w:p>
        </w:tc>
        <w:tc>
          <w:tcPr>
            <w:tcW w:w="1370" w:type="dxa"/>
            <w:shd w:val="clear" w:color="auto" w:fill="D9D9D9" w:themeFill="background1" w:themeFillShade="D9"/>
            <w:vAlign w:val="center"/>
          </w:tcPr>
          <w:p w:rsidRPr="00E647FB" w:rsidR="00B953BF" w:rsidP="00B953BF" w:rsidRDefault="00B953BF" w14:paraId="107DA1A2" w14:textId="77777777">
            <w:pPr>
              <w:ind w:left="-18"/>
              <w:rPr>
                <w:b/>
                <w:sz w:val="20"/>
                <w:szCs w:val="20"/>
              </w:rPr>
            </w:pPr>
            <w:r w:rsidRPr="00E647FB">
              <w:rPr>
                <w:b/>
                <w:sz w:val="20"/>
                <w:szCs w:val="20"/>
              </w:rPr>
              <w:t>Type of Respondent</w:t>
            </w:r>
          </w:p>
        </w:tc>
        <w:tc>
          <w:tcPr>
            <w:tcW w:w="1461" w:type="dxa"/>
            <w:shd w:val="clear" w:color="auto" w:fill="D9D9D9" w:themeFill="background1" w:themeFillShade="D9"/>
            <w:vAlign w:val="center"/>
          </w:tcPr>
          <w:p w:rsidRPr="00E647FB" w:rsidR="00B953BF" w:rsidP="00B953BF" w:rsidRDefault="00B953BF" w14:paraId="3EAE8125" w14:textId="77777777">
            <w:pPr>
              <w:ind w:left="-18"/>
              <w:rPr>
                <w:b/>
                <w:sz w:val="20"/>
                <w:szCs w:val="20"/>
              </w:rPr>
            </w:pPr>
            <w:r w:rsidRPr="00E647FB">
              <w:rPr>
                <w:b/>
                <w:sz w:val="20"/>
                <w:szCs w:val="20"/>
              </w:rPr>
              <w:t>No. of Respondents</w:t>
            </w:r>
          </w:p>
        </w:tc>
        <w:tc>
          <w:tcPr>
            <w:tcW w:w="1370" w:type="dxa"/>
            <w:shd w:val="clear" w:color="auto" w:fill="D9D9D9" w:themeFill="background1" w:themeFillShade="D9"/>
            <w:vAlign w:val="center"/>
          </w:tcPr>
          <w:p w:rsidRPr="00E647FB" w:rsidR="00B953BF" w:rsidP="00B953BF" w:rsidRDefault="00B953BF" w14:paraId="479D323F" w14:textId="77777777">
            <w:pPr>
              <w:ind w:left="-18"/>
              <w:rPr>
                <w:b/>
                <w:sz w:val="20"/>
                <w:szCs w:val="20"/>
              </w:rPr>
            </w:pPr>
            <w:r w:rsidRPr="00E647FB">
              <w:rPr>
                <w:b/>
                <w:sz w:val="20"/>
                <w:szCs w:val="20"/>
              </w:rPr>
              <w:t>No. of Responses per Respondent</w:t>
            </w:r>
          </w:p>
        </w:tc>
        <w:tc>
          <w:tcPr>
            <w:tcW w:w="1370" w:type="dxa"/>
            <w:shd w:val="clear" w:color="auto" w:fill="D9D9D9" w:themeFill="background1" w:themeFillShade="D9"/>
            <w:vAlign w:val="center"/>
          </w:tcPr>
          <w:p w:rsidRPr="00E647FB" w:rsidR="00B953BF" w:rsidP="00B953BF" w:rsidRDefault="00B953BF" w14:paraId="749D7180" w14:textId="77777777">
            <w:pPr>
              <w:ind w:left="-18"/>
              <w:rPr>
                <w:b/>
                <w:sz w:val="20"/>
                <w:szCs w:val="20"/>
              </w:rPr>
            </w:pPr>
            <w:r w:rsidRPr="00E647FB">
              <w:rPr>
                <w:b/>
                <w:sz w:val="20"/>
                <w:szCs w:val="20"/>
              </w:rPr>
              <w:t>Average Burden per Response (in hours)</w:t>
            </w:r>
          </w:p>
        </w:tc>
        <w:tc>
          <w:tcPr>
            <w:tcW w:w="1004" w:type="dxa"/>
            <w:shd w:val="clear" w:color="auto" w:fill="D9D9D9" w:themeFill="background1" w:themeFillShade="D9"/>
            <w:vAlign w:val="center"/>
          </w:tcPr>
          <w:p w:rsidRPr="00E647FB" w:rsidR="00B953BF" w:rsidP="00B953BF" w:rsidRDefault="00B953BF" w14:paraId="57183ACD" w14:textId="77777777">
            <w:pPr>
              <w:ind w:left="-18"/>
              <w:rPr>
                <w:b/>
                <w:sz w:val="20"/>
                <w:szCs w:val="20"/>
              </w:rPr>
            </w:pPr>
            <w:r w:rsidRPr="00E647FB">
              <w:rPr>
                <w:b/>
                <w:sz w:val="20"/>
                <w:szCs w:val="20"/>
              </w:rPr>
              <w:t>Total Burden Hours</w:t>
            </w:r>
          </w:p>
        </w:tc>
        <w:tc>
          <w:tcPr>
            <w:tcW w:w="1145" w:type="dxa"/>
            <w:shd w:val="clear" w:color="auto" w:fill="D9D9D9" w:themeFill="background1" w:themeFillShade="D9"/>
            <w:vAlign w:val="center"/>
          </w:tcPr>
          <w:p w:rsidRPr="00E647FB" w:rsidR="00B953BF" w:rsidP="00B953BF" w:rsidRDefault="00B953BF" w14:paraId="5794BBB0" w14:textId="77777777">
            <w:pPr>
              <w:ind w:left="-18"/>
              <w:rPr>
                <w:b/>
                <w:sz w:val="20"/>
                <w:szCs w:val="20"/>
              </w:rPr>
            </w:pPr>
            <w:r w:rsidRPr="00E647FB">
              <w:rPr>
                <w:b/>
                <w:sz w:val="20"/>
                <w:szCs w:val="20"/>
              </w:rPr>
              <w:t>Hourly Wage Rate</w:t>
            </w:r>
          </w:p>
        </w:tc>
        <w:tc>
          <w:tcPr>
            <w:tcW w:w="1370" w:type="dxa"/>
            <w:shd w:val="clear" w:color="auto" w:fill="D9D9D9" w:themeFill="background1" w:themeFillShade="D9"/>
            <w:vAlign w:val="center"/>
          </w:tcPr>
          <w:p w:rsidRPr="00E647FB" w:rsidR="00B953BF" w:rsidP="00B953BF" w:rsidRDefault="00B953BF" w14:paraId="7FF13A62" w14:textId="77777777">
            <w:pPr>
              <w:ind w:left="-18"/>
              <w:rPr>
                <w:b/>
                <w:sz w:val="20"/>
                <w:szCs w:val="20"/>
              </w:rPr>
            </w:pPr>
            <w:r w:rsidRPr="00E647FB">
              <w:rPr>
                <w:b/>
                <w:sz w:val="20"/>
                <w:szCs w:val="20"/>
              </w:rPr>
              <w:t>Total Respondent Costs</w:t>
            </w:r>
          </w:p>
        </w:tc>
      </w:tr>
      <w:tr w:rsidRPr="006F6856" w:rsidR="00B953BF" w:rsidTr="00B953BF" w14:paraId="4BE983D9" w14:textId="77777777">
        <w:trPr>
          <w:trHeight w:val="1420"/>
        </w:trPr>
        <w:tc>
          <w:tcPr>
            <w:tcW w:w="1370" w:type="dxa"/>
          </w:tcPr>
          <w:p w:rsidRPr="00B953BF" w:rsidR="00B953BF" w:rsidP="00B953BF" w:rsidRDefault="00B953BF" w14:paraId="5F64B080" w14:textId="77777777">
            <w:pPr>
              <w:ind w:left="0"/>
              <w:rPr>
                <w:sz w:val="20"/>
                <w:szCs w:val="20"/>
              </w:rPr>
            </w:pPr>
            <w:r w:rsidRPr="00B953BF">
              <w:rPr>
                <w:sz w:val="20"/>
                <w:szCs w:val="20"/>
              </w:rPr>
              <w:t xml:space="preserve">Online Assessment Instrument </w:t>
            </w:r>
          </w:p>
        </w:tc>
        <w:tc>
          <w:tcPr>
            <w:tcW w:w="1370" w:type="dxa"/>
          </w:tcPr>
          <w:p w:rsidRPr="00B953BF" w:rsidR="00B953BF" w:rsidP="00B953BF" w:rsidRDefault="00B953BF" w14:paraId="34D3FF02" w14:textId="77777777">
            <w:pPr>
              <w:ind w:left="0"/>
              <w:rPr>
                <w:sz w:val="20"/>
                <w:szCs w:val="20"/>
              </w:rPr>
            </w:pPr>
            <w:r w:rsidRPr="00B953BF">
              <w:rPr>
                <w:sz w:val="20"/>
                <w:szCs w:val="20"/>
              </w:rPr>
              <w:t>Public Health Emergency Preparedness Staff*</w:t>
            </w:r>
          </w:p>
        </w:tc>
        <w:tc>
          <w:tcPr>
            <w:tcW w:w="1461" w:type="dxa"/>
          </w:tcPr>
          <w:p w:rsidR="00B953BF" w:rsidP="00B953BF" w:rsidRDefault="00B953BF" w14:paraId="4E57D5CE" w14:textId="77777777">
            <w:pPr>
              <w:ind w:left="0"/>
              <w:jc w:val="center"/>
              <w:rPr>
                <w:sz w:val="20"/>
                <w:szCs w:val="20"/>
              </w:rPr>
            </w:pPr>
          </w:p>
          <w:p w:rsidR="00B953BF" w:rsidP="00B953BF" w:rsidRDefault="00B953BF" w14:paraId="3FC33A2C" w14:textId="77777777">
            <w:pPr>
              <w:ind w:left="0"/>
              <w:jc w:val="center"/>
              <w:rPr>
                <w:sz w:val="20"/>
                <w:szCs w:val="20"/>
              </w:rPr>
            </w:pPr>
          </w:p>
          <w:p w:rsidRPr="00B953BF" w:rsidR="00B953BF" w:rsidP="00B953BF" w:rsidRDefault="00B953BF" w14:paraId="43EAC7C4" w14:textId="1AB2285D">
            <w:pPr>
              <w:ind w:left="0"/>
              <w:jc w:val="center"/>
              <w:rPr>
                <w:sz w:val="20"/>
                <w:szCs w:val="20"/>
              </w:rPr>
            </w:pPr>
            <w:r w:rsidRPr="00B953BF">
              <w:rPr>
                <w:sz w:val="20"/>
                <w:szCs w:val="20"/>
              </w:rPr>
              <w:t>278</w:t>
            </w:r>
          </w:p>
        </w:tc>
        <w:tc>
          <w:tcPr>
            <w:tcW w:w="1370" w:type="dxa"/>
          </w:tcPr>
          <w:p w:rsidR="00B953BF" w:rsidP="00B953BF" w:rsidRDefault="00B953BF" w14:paraId="4BBB4BB9" w14:textId="77777777">
            <w:pPr>
              <w:ind w:left="0"/>
              <w:jc w:val="center"/>
              <w:rPr>
                <w:sz w:val="20"/>
                <w:szCs w:val="20"/>
              </w:rPr>
            </w:pPr>
          </w:p>
          <w:p w:rsidR="00B953BF" w:rsidP="00B953BF" w:rsidRDefault="00B953BF" w14:paraId="2DF9FFD4" w14:textId="77777777">
            <w:pPr>
              <w:ind w:left="0"/>
              <w:jc w:val="center"/>
              <w:rPr>
                <w:sz w:val="20"/>
                <w:szCs w:val="20"/>
              </w:rPr>
            </w:pPr>
          </w:p>
          <w:p w:rsidRPr="00B953BF" w:rsidR="00B953BF" w:rsidP="00B953BF" w:rsidRDefault="00B953BF" w14:paraId="20FE9474" w14:textId="6B54C442">
            <w:pPr>
              <w:ind w:left="0"/>
              <w:jc w:val="center"/>
              <w:rPr>
                <w:sz w:val="20"/>
                <w:szCs w:val="20"/>
              </w:rPr>
            </w:pPr>
            <w:r w:rsidRPr="00B953BF">
              <w:rPr>
                <w:sz w:val="20"/>
                <w:szCs w:val="20"/>
              </w:rPr>
              <w:t>1</w:t>
            </w:r>
          </w:p>
        </w:tc>
        <w:tc>
          <w:tcPr>
            <w:tcW w:w="1370" w:type="dxa"/>
          </w:tcPr>
          <w:p w:rsidR="00B953BF" w:rsidP="00B953BF" w:rsidRDefault="00B953BF" w14:paraId="03FED045" w14:textId="77777777">
            <w:pPr>
              <w:ind w:left="0"/>
              <w:jc w:val="center"/>
              <w:rPr>
                <w:sz w:val="20"/>
                <w:szCs w:val="20"/>
              </w:rPr>
            </w:pPr>
          </w:p>
          <w:p w:rsidR="00B953BF" w:rsidP="00B953BF" w:rsidRDefault="00B953BF" w14:paraId="5269837A" w14:textId="77777777">
            <w:pPr>
              <w:ind w:left="0"/>
              <w:jc w:val="center"/>
              <w:rPr>
                <w:sz w:val="20"/>
                <w:szCs w:val="20"/>
              </w:rPr>
            </w:pPr>
          </w:p>
          <w:p w:rsidRPr="00B953BF" w:rsidR="00B953BF" w:rsidP="00B953BF" w:rsidRDefault="00B953BF" w14:paraId="6191EF58" w14:textId="6188A687">
            <w:pPr>
              <w:ind w:left="0"/>
              <w:jc w:val="center"/>
              <w:rPr>
                <w:sz w:val="20"/>
                <w:szCs w:val="20"/>
              </w:rPr>
            </w:pPr>
            <w:r w:rsidRPr="00B953BF">
              <w:rPr>
                <w:sz w:val="20"/>
                <w:szCs w:val="20"/>
              </w:rPr>
              <w:t>52/60</w:t>
            </w:r>
          </w:p>
        </w:tc>
        <w:tc>
          <w:tcPr>
            <w:tcW w:w="1004" w:type="dxa"/>
          </w:tcPr>
          <w:p w:rsidR="00B953BF" w:rsidP="00B953BF" w:rsidRDefault="00B953BF" w14:paraId="6AD7F8C1" w14:textId="77777777">
            <w:pPr>
              <w:ind w:left="0"/>
              <w:jc w:val="center"/>
              <w:rPr>
                <w:sz w:val="20"/>
                <w:szCs w:val="20"/>
              </w:rPr>
            </w:pPr>
          </w:p>
          <w:p w:rsidR="00B953BF" w:rsidP="00B953BF" w:rsidRDefault="00B953BF" w14:paraId="0FB4ECCC" w14:textId="77777777">
            <w:pPr>
              <w:ind w:left="0"/>
              <w:jc w:val="center"/>
              <w:rPr>
                <w:sz w:val="20"/>
                <w:szCs w:val="20"/>
              </w:rPr>
            </w:pPr>
          </w:p>
          <w:p w:rsidRPr="00B953BF" w:rsidR="00B953BF" w:rsidP="00B953BF" w:rsidRDefault="00B953BF" w14:paraId="3697EE91" w14:textId="7A6F0237">
            <w:pPr>
              <w:ind w:left="0"/>
              <w:jc w:val="center"/>
              <w:rPr>
                <w:sz w:val="20"/>
                <w:szCs w:val="20"/>
              </w:rPr>
            </w:pPr>
            <w:r w:rsidRPr="00B953BF">
              <w:rPr>
                <w:sz w:val="20"/>
                <w:szCs w:val="20"/>
              </w:rPr>
              <w:t>241</w:t>
            </w:r>
          </w:p>
        </w:tc>
        <w:tc>
          <w:tcPr>
            <w:tcW w:w="1145" w:type="dxa"/>
          </w:tcPr>
          <w:p w:rsidR="00B953BF" w:rsidP="00B953BF" w:rsidRDefault="00B953BF" w14:paraId="626B1D44" w14:textId="77777777">
            <w:pPr>
              <w:ind w:left="0"/>
              <w:jc w:val="center"/>
              <w:rPr>
                <w:sz w:val="20"/>
                <w:szCs w:val="20"/>
              </w:rPr>
            </w:pPr>
          </w:p>
          <w:p w:rsidR="00B953BF" w:rsidP="00B953BF" w:rsidRDefault="00B953BF" w14:paraId="5C1A462F" w14:textId="77777777">
            <w:pPr>
              <w:ind w:left="0"/>
              <w:jc w:val="center"/>
              <w:rPr>
                <w:sz w:val="20"/>
                <w:szCs w:val="20"/>
              </w:rPr>
            </w:pPr>
          </w:p>
          <w:p w:rsidRPr="00B953BF" w:rsidR="00B953BF" w:rsidP="00B953BF" w:rsidRDefault="00B953BF" w14:paraId="7DA80438" w14:textId="424E9797">
            <w:pPr>
              <w:ind w:left="0"/>
              <w:jc w:val="center"/>
              <w:rPr>
                <w:sz w:val="20"/>
                <w:szCs w:val="20"/>
              </w:rPr>
            </w:pPr>
            <w:r w:rsidRPr="00B953BF">
              <w:rPr>
                <w:sz w:val="20"/>
                <w:szCs w:val="20"/>
              </w:rPr>
              <w:t>$78</w:t>
            </w:r>
          </w:p>
        </w:tc>
        <w:tc>
          <w:tcPr>
            <w:tcW w:w="1370" w:type="dxa"/>
          </w:tcPr>
          <w:p w:rsidR="00B953BF" w:rsidP="00B953BF" w:rsidRDefault="00B953BF" w14:paraId="56A4A043" w14:textId="77777777">
            <w:pPr>
              <w:ind w:left="0"/>
              <w:jc w:val="center"/>
              <w:rPr>
                <w:sz w:val="20"/>
                <w:szCs w:val="20"/>
              </w:rPr>
            </w:pPr>
          </w:p>
          <w:p w:rsidR="00B953BF" w:rsidP="00B953BF" w:rsidRDefault="00B953BF" w14:paraId="4D867D60" w14:textId="77777777">
            <w:pPr>
              <w:ind w:left="0"/>
              <w:jc w:val="center"/>
              <w:rPr>
                <w:sz w:val="20"/>
                <w:szCs w:val="20"/>
              </w:rPr>
            </w:pPr>
          </w:p>
          <w:p w:rsidRPr="00B953BF" w:rsidR="00B953BF" w:rsidP="00B953BF" w:rsidRDefault="00B953BF" w14:paraId="31B6C67D" w14:textId="04A51E42">
            <w:pPr>
              <w:ind w:left="0"/>
              <w:jc w:val="center"/>
              <w:rPr>
                <w:sz w:val="20"/>
                <w:szCs w:val="20"/>
              </w:rPr>
            </w:pPr>
            <w:r w:rsidRPr="00B953BF">
              <w:rPr>
                <w:sz w:val="20"/>
                <w:szCs w:val="20"/>
              </w:rPr>
              <w:t>$18,798</w:t>
            </w:r>
          </w:p>
        </w:tc>
      </w:tr>
      <w:tr w:rsidRPr="006F6856" w:rsidR="00B953BF" w:rsidTr="00B953BF" w14:paraId="3F267390" w14:textId="77777777">
        <w:trPr>
          <w:trHeight w:val="1432"/>
        </w:trPr>
        <w:tc>
          <w:tcPr>
            <w:tcW w:w="1370" w:type="dxa"/>
          </w:tcPr>
          <w:p w:rsidRPr="00B953BF" w:rsidR="00B953BF" w:rsidP="00B953BF" w:rsidRDefault="00B953BF" w14:paraId="5873FEE3" w14:textId="77777777">
            <w:pPr>
              <w:ind w:left="0"/>
              <w:rPr>
                <w:sz w:val="20"/>
                <w:szCs w:val="20"/>
              </w:rPr>
            </w:pPr>
            <w:r w:rsidRPr="00B953BF">
              <w:rPr>
                <w:sz w:val="20"/>
                <w:szCs w:val="20"/>
              </w:rPr>
              <w:t>Key Informant Interview Guide Instrument</w:t>
            </w:r>
          </w:p>
        </w:tc>
        <w:tc>
          <w:tcPr>
            <w:tcW w:w="1370" w:type="dxa"/>
          </w:tcPr>
          <w:p w:rsidRPr="00B953BF" w:rsidR="00B953BF" w:rsidP="00B953BF" w:rsidRDefault="00B953BF" w14:paraId="7506293F" w14:textId="77777777">
            <w:pPr>
              <w:ind w:left="0"/>
              <w:rPr>
                <w:sz w:val="20"/>
                <w:szCs w:val="20"/>
              </w:rPr>
            </w:pPr>
            <w:r w:rsidRPr="00B953BF">
              <w:rPr>
                <w:sz w:val="20"/>
                <w:szCs w:val="20"/>
              </w:rPr>
              <w:t>Public Health Emergency Preparedness Staff*</w:t>
            </w:r>
          </w:p>
        </w:tc>
        <w:tc>
          <w:tcPr>
            <w:tcW w:w="1461" w:type="dxa"/>
          </w:tcPr>
          <w:p w:rsidR="00B953BF" w:rsidP="00B953BF" w:rsidRDefault="00B953BF" w14:paraId="6E51470F" w14:textId="77777777">
            <w:pPr>
              <w:ind w:left="0"/>
              <w:jc w:val="center"/>
              <w:rPr>
                <w:sz w:val="20"/>
                <w:szCs w:val="20"/>
              </w:rPr>
            </w:pPr>
          </w:p>
          <w:p w:rsidR="00B953BF" w:rsidP="00B953BF" w:rsidRDefault="00B953BF" w14:paraId="49798F1B" w14:textId="77777777">
            <w:pPr>
              <w:ind w:left="0"/>
              <w:jc w:val="center"/>
              <w:rPr>
                <w:sz w:val="20"/>
                <w:szCs w:val="20"/>
              </w:rPr>
            </w:pPr>
          </w:p>
          <w:p w:rsidRPr="00B953BF" w:rsidR="00B953BF" w:rsidP="00B953BF" w:rsidRDefault="00B953BF" w14:paraId="08694D7A" w14:textId="3F1FFEAA">
            <w:pPr>
              <w:ind w:left="0"/>
              <w:jc w:val="center"/>
              <w:rPr>
                <w:sz w:val="20"/>
                <w:szCs w:val="20"/>
              </w:rPr>
            </w:pPr>
            <w:r w:rsidRPr="00B953BF">
              <w:rPr>
                <w:sz w:val="20"/>
                <w:szCs w:val="20"/>
              </w:rPr>
              <w:t>42</w:t>
            </w:r>
          </w:p>
          <w:p w:rsidRPr="00B953BF" w:rsidR="00B953BF" w:rsidP="00B953BF" w:rsidRDefault="00B953BF" w14:paraId="4ACDF0E6" w14:textId="77777777">
            <w:pPr>
              <w:ind w:left="0"/>
              <w:jc w:val="center"/>
              <w:rPr>
                <w:sz w:val="20"/>
                <w:szCs w:val="20"/>
              </w:rPr>
            </w:pPr>
          </w:p>
        </w:tc>
        <w:tc>
          <w:tcPr>
            <w:tcW w:w="1370" w:type="dxa"/>
          </w:tcPr>
          <w:p w:rsidR="00B953BF" w:rsidP="00B953BF" w:rsidRDefault="00B953BF" w14:paraId="14593250" w14:textId="77777777">
            <w:pPr>
              <w:ind w:left="0"/>
              <w:jc w:val="center"/>
              <w:rPr>
                <w:sz w:val="20"/>
                <w:szCs w:val="20"/>
              </w:rPr>
            </w:pPr>
          </w:p>
          <w:p w:rsidR="00B953BF" w:rsidP="00B953BF" w:rsidRDefault="00B953BF" w14:paraId="41117BF3" w14:textId="77777777">
            <w:pPr>
              <w:ind w:left="0"/>
              <w:jc w:val="center"/>
              <w:rPr>
                <w:sz w:val="20"/>
                <w:szCs w:val="20"/>
              </w:rPr>
            </w:pPr>
          </w:p>
          <w:p w:rsidRPr="00B953BF" w:rsidR="00B953BF" w:rsidP="00B953BF" w:rsidRDefault="00B953BF" w14:paraId="599F8E81" w14:textId="3CEBE734">
            <w:pPr>
              <w:ind w:left="0"/>
              <w:jc w:val="center"/>
              <w:rPr>
                <w:sz w:val="20"/>
                <w:szCs w:val="20"/>
              </w:rPr>
            </w:pPr>
            <w:r w:rsidRPr="00B953BF">
              <w:rPr>
                <w:sz w:val="20"/>
                <w:szCs w:val="20"/>
              </w:rPr>
              <w:t>1</w:t>
            </w:r>
          </w:p>
          <w:p w:rsidRPr="00B953BF" w:rsidR="00B953BF" w:rsidP="00B953BF" w:rsidRDefault="00B953BF" w14:paraId="592ADABB" w14:textId="77777777">
            <w:pPr>
              <w:ind w:left="0"/>
              <w:jc w:val="center"/>
              <w:rPr>
                <w:sz w:val="20"/>
                <w:szCs w:val="20"/>
              </w:rPr>
            </w:pPr>
          </w:p>
        </w:tc>
        <w:tc>
          <w:tcPr>
            <w:tcW w:w="1370" w:type="dxa"/>
          </w:tcPr>
          <w:p w:rsidR="00B953BF" w:rsidP="00B953BF" w:rsidRDefault="00B953BF" w14:paraId="0EA34291" w14:textId="77777777">
            <w:pPr>
              <w:ind w:left="0"/>
              <w:jc w:val="center"/>
              <w:rPr>
                <w:sz w:val="20"/>
                <w:szCs w:val="20"/>
              </w:rPr>
            </w:pPr>
          </w:p>
          <w:p w:rsidR="00B953BF" w:rsidP="00B953BF" w:rsidRDefault="00B953BF" w14:paraId="5780C9F3" w14:textId="77777777">
            <w:pPr>
              <w:ind w:left="0"/>
              <w:jc w:val="center"/>
              <w:rPr>
                <w:sz w:val="20"/>
                <w:szCs w:val="20"/>
              </w:rPr>
            </w:pPr>
          </w:p>
          <w:p w:rsidRPr="00B953BF" w:rsidR="00B953BF" w:rsidP="00B953BF" w:rsidRDefault="00B953BF" w14:paraId="5C16190A" w14:textId="283D6CB9">
            <w:pPr>
              <w:ind w:left="0"/>
              <w:jc w:val="center"/>
              <w:rPr>
                <w:sz w:val="20"/>
                <w:szCs w:val="20"/>
              </w:rPr>
            </w:pPr>
            <w:r w:rsidRPr="00B953BF">
              <w:rPr>
                <w:sz w:val="20"/>
                <w:szCs w:val="20"/>
              </w:rPr>
              <w:t>70/60</w:t>
            </w:r>
          </w:p>
        </w:tc>
        <w:tc>
          <w:tcPr>
            <w:tcW w:w="1004" w:type="dxa"/>
          </w:tcPr>
          <w:p w:rsidR="00B953BF" w:rsidP="00B953BF" w:rsidRDefault="00B953BF" w14:paraId="0E12D8BC" w14:textId="77777777">
            <w:pPr>
              <w:ind w:left="0"/>
              <w:jc w:val="center"/>
              <w:rPr>
                <w:sz w:val="20"/>
                <w:szCs w:val="20"/>
              </w:rPr>
            </w:pPr>
          </w:p>
          <w:p w:rsidR="00B953BF" w:rsidP="00B953BF" w:rsidRDefault="00B953BF" w14:paraId="28920D68" w14:textId="77777777">
            <w:pPr>
              <w:ind w:left="0"/>
              <w:jc w:val="center"/>
              <w:rPr>
                <w:sz w:val="20"/>
                <w:szCs w:val="20"/>
              </w:rPr>
            </w:pPr>
          </w:p>
          <w:p w:rsidRPr="00B953BF" w:rsidR="00B953BF" w:rsidP="00B953BF" w:rsidRDefault="00B953BF" w14:paraId="56CB7E0E" w14:textId="0411590D">
            <w:pPr>
              <w:ind w:left="0"/>
              <w:jc w:val="center"/>
              <w:rPr>
                <w:sz w:val="20"/>
                <w:szCs w:val="20"/>
              </w:rPr>
            </w:pPr>
            <w:r w:rsidRPr="00B953BF">
              <w:rPr>
                <w:sz w:val="20"/>
                <w:szCs w:val="20"/>
              </w:rPr>
              <w:t>49</w:t>
            </w:r>
          </w:p>
          <w:p w:rsidRPr="00B953BF" w:rsidR="00B953BF" w:rsidP="00B953BF" w:rsidRDefault="00B953BF" w14:paraId="57AFCEBA" w14:textId="77777777">
            <w:pPr>
              <w:ind w:left="0"/>
              <w:jc w:val="center"/>
              <w:rPr>
                <w:sz w:val="20"/>
                <w:szCs w:val="20"/>
              </w:rPr>
            </w:pPr>
          </w:p>
        </w:tc>
        <w:tc>
          <w:tcPr>
            <w:tcW w:w="1145" w:type="dxa"/>
          </w:tcPr>
          <w:p w:rsidR="00B953BF" w:rsidP="00B953BF" w:rsidRDefault="00B953BF" w14:paraId="0DCAF25A" w14:textId="77777777">
            <w:pPr>
              <w:ind w:left="0"/>
              <w:jc w:val="center"/>
              <w:rPr>
                <w:sz w:val="20"/>
                <w:szCs w:val="20"/>
              </w:rPr>
            </w:pPr>
          </w:p>
          <w:p w:rsidR="00B953BF" w:rsidP="00B953BF" w:rsidRDefault="00B953BF" w14:paraId="0E205701" w14:textId="77777777">
            <w:pPr>
              <w:ind w:left="0"/>
              <w:jc w:val="center"/>
              <w:rPr>
                <w:sz w:val="20"/>
                <w:szCs w:val="20"/>
              </w:rPr>
            </w:pPr>
          </w:p>
          <w:p w:rsidRPr="00B953BF" w:rsidR="00B953BF" w:rsidP="00B953BF" w:rsidRDefault="00B953BF" w14:paraId="0E9AA824" w14:textId="3DC01CDE">
            <w:pPr>
              <w:ind w:left="0"/>
              <w:jc w:val="center"/>
              <w:rPr>
                <w:sz w:val="20"/>
                <w:szCs w:val="20"/>
              </w:rPr>
            </w:pPr>
            <w:r w:rsidRPr="00B953BF">
              <w:rPr>
                <w:sz w:val="20"/>
                <w:szCs w:val="20"/>
              </w:rPr>
              <w:t>$78</w:t>
            </w:r>
          </w:p>
        </w:tc>
        <w:tc>
          <w:tcPr>
            <w:tcW w:w="1370" w:type="dxa"/>
          </w:tcPr>
          <w:p w:rsidR="00B953BF" w:rsidP="00B953BF" w:rsidRDefault="00B953BF" w14:paraId="385F65C3" w14:textId="77777777">
            <w:pPr>
              <w:ind w:left="0"/>
              <w:jc w:val="center"/>
              <w:rPr>
                <w:sz w:val="20"/>
                <w:szCs w:val="20"/>
              </w:rPr>
            </w:pPr>
          </w:p>
          <w:p w:rsidR="00B953BF" w:rsidP="00B953BF" w:rsidRDefault="00B953BF" w14:paraId="3FB5E85F" w14:textId="77777777">
            <w:pPr>
              <w:ind w:left="0"/>
              <w:jc w:val="center"/>
              <w:rPr>
                <w:sz w:val="20"/>
                <w:szCs w:val="20"/>
              </w:rPr>
            </w:pPr>
          </w:p>
          <w:p w:rsidRPr="00B953BF" w:rsidR="00B953BF" w:rsidP="00B953BF" w:rsidRDefault="00B953BF" w14:paraId="5E311623" w14:textId="3ECFA9E7">
            <w:pPr>
              <w:ind w:left="0"/>
              <w:jc w:val="center"/>
              <w:rPr>
                <w:sz w:val="20"/>
                <w:szCs w:val="20"/>
              </w:rPr>
            </w:pPr>
            <w:r w:rsidRPr="00B953BF">
              <w:rPr>
                <w:sz w:val="20"/>
                <w:szCs w:val="20"/>
              </w:rPr>
              <w:t>$3,822</w:t>
            </w:r>
          </w:p>
          <w:p w:rsidRPr="00B953BF" w:rsidR="00B953BF" w:rsidP="00B953BF" w:rsidRDefault="00B953BF" w14:paraId="1C2B2B3D" w14:textId="77777777">
            <w:pPr>
              <w:ind w:left="0"/>
              <w:jc w:val="center"/>
              <w:rPr>
                <w:sz w:val="20"/>
                <w:szCs w:val="20"/>
              </w:rPr>
            </w:pPr>
          </w:p>
        </w:tc>
      </w:tr>
      <w:tr w:rsidRPr="006F6856" w:rsidR="00B953BF" w:rsidTr="00B953BF" w14:paraId="7C1C16FC" w14:textId="77777777">
        <w:trPr>
          <w:trHeight w:val="1132" w:hRule="exact"/>
        </w:trPr>
        <w:tc>
          <w:tcPr>
            <w:tcW w:w="1370" w:type="dxa"/>
          </w:tcPr>
          <w:p w:rsidRPr="00B953BF" w:rsidR="00B953BF" w:rsidP="00B953BF" w:rsidRDefault="00B953BF" w14:paraId="412C4230" w14:textId="77777777">
            <w:pPr>
              <w:ind w:left="0"/>
              <w:rPr>
                <w:b/>
                <w:sz w:val="20"/>
                <w:szCs w:val="20"/>
              </w:rPr>
            </w:pPr>
          </w:p>
        </w:tc>
        <w:tc>
          <w:tcPr>
            <w:tcW w:w="1370" w:type="dxa"/>
            <w:vAlign w:val="center"/>
          </w:tcPr>
          <w:p w:rsidRPr="00B953BF" w:rsidR="00B953BF" w:rsidP="00B953BF" w:rsidRDefault="00B953BF" w14:paraId="59F41456" w14:textId="77777777">
            <w:pPr>
              <w:ind w:left="0"/>
              <w:rPr>
                <w:b/>
                <w:sz w:val="20"/>
                <w:szCs w:val="20"/>
              </w:rPr>
            </w:pPr>
            <w:r w:rsidRPr="00B953BF">
              <w:rPr>
                <w:b/>
                <w:sz w:val="20"/>
                <w:szCs w:val="20"/>
              </w:rPr>
              <w:t>TOTALS</w:t>
            </w:r>
          </w:p>
        </w:tc>
        <w:tc>
          <w:tcPr>
            <w:tcW w:w="1461" w:type="dxa"/>
            <w:vAlign w:val="center"/>
          </w:tcPr>
          <w:p w:rsidRPr="00B953BF" w:rsidR="00B953BF" w:rsidP="00B953BF" w:rsidRDefault="00B953BF" w14:paraId="03BD0C79" w14:textId="77777777">
            <w:pPr>
              <w:ind w:left="0"/>
              <w:jc w:val="center"/>
              <w:rPr>
                <w:b/>
                <w:sz w:val="20"/>
                <w:szCs w:val="20"/>
              </w:rPr>
            </w:pPr>
            <w:r w:rsidRPr="00B953BF">
              <w:rPr>
                <w:b/>
                <w:sz w:val="20"/>
                <w:szCs w:val="20"/>
              </w:rPr>
              <w:t>320**</w:t>
            </w:r>
          </w:p>
        </w:tc>
        <w:tc>
          <w:tcPr>
            <w:tcW w:w="1370" w:type="dxa"/>
            <w:shd w:val="clear" w:color="auto" w:fill="auto"/>
            <w:vAlign w:val="center"/>
          </w:tcPr>
          <w:p w:rsidRPr="00B953BF" w:rsidR="00B953BF" w:rsidP="00B953BF" w:rsidRDefault="00B953BF" w14:paraId="069440A6" w14:textId="77777777">
            <w:pPr>
              <w:ind w:left="0"/>
              <w:jc w:val="center"/>
              <w:rPr>
                <w:b/>
                <w:sz w:val="20"/>
                <w:szCs w:val="20"/>
              </w:rPr>
            </w:pPr>
            <w:r w:rsidRPr="00B953BF">
              <w:rPr>
                <w:b/>
                <w:sz w:val="20"/>
                <w:szCs w:val="20"/>
              </w:rPr>
              <w:t>1**</w:t>
            </w:r>
          </w:p>
        </w:tc>
        <w:tc>
          <w:tcPr>
            <w:tcW w:w="1370" w:type="dxa"/>
            <w:shd w:val="clear" w:color="auto" w:fill="D9D9D9" w:themeFill="background1" w:themeFillShade="D9"/>
            <w:vAlign w:val="center"/>
          </w:tcPr>
          <w:p w:rsidRPr="00B953BF" w:rsidR="00B953BF" w:rsidP="00B953BF" w:rsidRDefault="00B953BF" w14:paraId="0080C6BF" w14:textId="77777777">
            <w:pPr>
              <w:ind w:left="0"/>
              <w:jc w:val="center"/>
              <w:rPr>
                <w:b/>
                <w:sz w:val="20"/>
                <w:szCs w:val="20"/>
              </w:rPr>
            </w:pPr>
          </w:p>
        </w:tc>
        <w:tc>
          <w:tcPr>
            <w:tcW w:w="1004" w:type="dxa"/>
            <w:vAlign w:val="center"/>
          </w:tcPr>
          <w:p w:rsidRPr="00B953BF" w:rsidR="00B953BF" w:rsidP="00B953BF" w:rsidRDefault="00B953BF" w14:paraId="675547D4" w14:textId="77777777">
            <w:pPr>
              <w:ind w:left="0"/>
              <w:jc w:val="center"/>
              <w:rPr>
                <w:b/>
                <w:sz w:val="20"/>
                <w:szCs w:val="20"/>
              </w:rPr>
            </w:pPr>
            <w:r w:rsidRPr="00B953BF">
              <w:rPr>
                <w:b/>
                <w:sz w:val="20"/>
                <w:szCs w:val="20"/>
              </w:rPr>
              <w:t>290</w:t>
            </w:r>
          </w:p>
        </w:tc>
        <w:tc>
          <w:tcPr>
            <w:tcW w:w="1145" w:type="dxa"/>
            <w:shd w:val="clear" w:color="auto" w:fill="D9D9D9" w:themeFill="background1" w:themeFillShade="D9"/>
            <w:vAlign w:val="center"/>
          </w:tcPr>
          <w:p w:rsidRPr="00B953BF" w:rsidR="00B953BF" w:rsidP="00B953BF" w:rsidRDefault="00B953BF" w14:paraId="4DB183EE" w14:textId="77777777">
            <w:pPr>
              <w:ind w:left="0"/>
              <w:jc w:val="center"/>
              <w:rPr>
                <w:b/>
                <w:sz w:val="20"/>
                <w:szCs w:val="20"/>
              </w:rPr>
            </w:pPr>
          </w:p>
        </w:tc>
        <w:tc>
          <w:tcPr>
            <w:tcW w:w="1370" w:type="dxa"/>
            <w:vAlign w:val="center"/>
          </w:tcPr>
          <w:p w:rsidRPr="00B953BF" w:rsidR="00B953BF" w:rsidP="00B953BF" w:rsidRDefault="00B953BF" w14:paraId="2E1F26B1" w14:textId="77777777">
            <w:pPr>
              <w:ind w:left="0"/>
              <w:jc w:val="center"/>
              <w:rPr>
                <w:b/>
                <w:sz w:val="20"/>
                <w:szCs w:val="20"/>
              </w:rPr>
            </w:pPr>
            <w:r w:rsidRPr="00B953BF">
              <w:rPr>
                <w:b/>
                <w:sz w:val="20"/>
                <w:szCs w:val="20"/>
              </w:rPr>
              <w:t>$22,620</w:t>
            </w:r>
          </w:p>
        </w:tc>
      </w:tr>
    </w:tbl>
    <w:p w:rsidR="005A59E5" w:rsidP="008B65FF" w:rsidRDefault="005A59E5" w14:paraId="11025DEA" w14:textId="77777777">
      <w:pPr>
        <w:pStyle w:val="ListParagraph"/>
        <w:ind w:left="360"/>
      </w:pPr>
    </w:p>
    <w:p w:rsidR="004B6FF1" w:rsidP="00325C83" w:rsidRDefault="00325C83" w14:paraId="3E6E92CB" w14:textId="7615902A">
      <w:pPr>
        <w:ind w:left="360"/>
        <w:rPr>
          <w:sz w:val="18"/>
          <w:szCs w:val="18"/>
        </w:rPr>
      </w:pPr>
      <w:bookmarkStart w:name="_Toc427752826" w:id="19"/>
      <w:r>
        <w:rPr>
          <w:sz w:val="18"/>
          <w:szCs w:val="18"/>
        </w:rPr>
        <w:tab/>
      </w:r>
      <w:r w:rsidRPr="00325C83">
        <w:rPr>
          <w:sz w:val="18"/>
          <w:szCs w:val="18"/>
        </w:rPr>
        <w:t xml:space="preserve">*Salaries taken from May 2017 National Occupational Employment and Wage Estimates for Emergency Management Directors at  </w:t>
      </w:r>
      <w:hyperlink w:history="1" r:id="rId14">
        <w:r w:rsidRPr="00325C83">
          <w:rPr>
            <w:rStyle w:val="Hyperlink"/>
            <w:sz w:val="18"/>
            <w:szCs w:val="18"/>
          </w:rPr>
          <w:t>https://www.bls.gov/oes/current/oes_nat.htm</w:t>
        </w:r>
      </w:hyperlink>
      <w:r w:rsidRPr="00325C83">
        <w:rPr>
          <w:sz w:val="18"/>
          <w:szCs w:val="18"/>
        </w:rPr>
        <w:t xml:space="preserve"> </w:t>
      </w:r>
    </w:p>
    <w:p w:rsidR="002E3773" w:rsidP="00325C83" w:rsidRDefault="002E3773" w14:paraId="34489D42" w14:textId="3973E413">
      <w:pPr>
        <w:ind w:left="360"/>
        <w:rPr>
          <w:sz w:val="18"/>
          <w:szCs w:val="18"/>
        </w:rPr>
      </w:pPr>
      <w:r>
        <w:rPr>
          <w:sz w:val="18"/>
          <w:szCs w:val="18"/>
        </w:rPr>
        <w:t xml:space="preserve">**Based upon selection criteria, </w:t>
      </w:r>
      <w:r w:rsidR="00D538D3">
        <w:rPr>
          <w:sz w:val="18"/>
          <w:szCs w:val="18"/>
        </w:rPr>
        <w:t xml:space="preserve">all respondents who complete the Key Informant Interview Guide will also complete the </w:t>
      </w:r>
      <w:r w:rsidR="00C25A9D">
        <w:rPr>
          <w:sz w:val="18"/>
          <w:szCs w:val="18"/>
        </w:rPr>
        <w:t>Online Assessment</w:t>
      </w:r>
      <w:r w:rsidR="00D538D3">
        <w:rPr>
          <w:sz w:val="18"/>
          <w:szCs w:val="18"/>
        </w:rPr>
        <w:t xml:space="preserve"> Instrument</w:t>
      </w:r>
      <w:r>
        <w:rPr>
          <w:sz w:val="18"/>
          <w:szCs w:val="18"/>
        </w:rPr>
        <w:t>.</w:t>
      </w:r>
      <w:r w:rsidR="00655649">
        <w:rPr>
          <w:sz w:val="18"/>
          <w:szCs w:val="18"/>
        </w:rPr>
        <w:t xml:space="preserve"> </w:t>
      </w:r>
      <w:r w:rsidRPr="00655649" w:rsidR="00655649">
        <w:rPr>
          <w:sz w:val="18"/>
          <w:szCs w:val="18"/>
        </w:rPr>
        <w:t>A total of 278 respondents are expected to provide a total of 320 responses</w:t>
      </w:r>
      <w:r w:rsidR="00885D47">
        <w:rPr>
          <w:sz w:val="18"/>
          <w:szCs w:val="18"/>
        </w:rPr>
        <w:t>.</w:t>
      </w:r>
    </w:p>
    <w:p w:rsidRPr="00325C83" w:rsidR="00325C83" w:rsidP="00325C83" w:rsidRDefault="00325C83" w14:paraId="240091AF" w14:textId="77777777">
      <w:pPr>
        <w:ind w:left="360"/>
        <w:rPr>
          <w:sz w:val="18"/>
          <w:szCs w:val="18"/>
        </w:rPr>
      </w:pPr>
    </w:p>
    <w:p w:rsidRPr="0088467A" w:rsidR="00B12F51" w:rsidP="00692DEB" w:rsidRDefault="0088467A" w14:paraId="2F7E1199" w14:textId="77777777">
      <w:pPr>
        <w:pStyle w:val="Heading4"/>
      </w:pPr>
      <w:r w:rsidRPr="0088467A">
        <w:t>Estimates of Other Total Annual Cost Burden to Respondents or Record Keepers</w:t>
      </w:r>
      <w:bookmarkEnd w:id="19"/>
    </w:p>
    <w:p w:rsidRPr="00040611" w:rsidR="003C31C9" w:rsidP="008B65FF" w:rsidRDefault="003C31C9" w14:paraId="1275F09A" w14:textId="5414E4B6">
      <w:pPr>
        <w:ind w:left="360"/>
      </w:pPr>
      <w:r w:rsidRPr="003C31C9">
        <w:t xml:space="preserve">There will be no </w:t>
      </w:r>
      <w:r w:rsidRPr="00040611">
        <w:t xml:space="preserve">direct costs to the respondents other than their time to participate in each </w:t>
      </w:r>
      <w:r w:rsidR="002E2EDD">
        <w:t>data</w:t>
      </w:r>
      <w:r w:rsidRPr="008C59E7" w:rsidR="00157413">
        <w:t xml:space="preserve"> collection</w:t>
      </w:r>
      <w:r w:rsidRPr="008C59E7">
        <w:t>.</w:t>
      </w:r>
    </w:p>
    <w:p w:rsidR="00721719" w:rsidP="00692DEB" w:rsidRDefault="00721719" w14:paraId="720BF57C" w14:textId="2EDB05B7">
      <w:pPr>
        <w:ind w:left="0"/>
      </w:pPr>
    </w:p>
    <w:p w:rsidR="00383542" w:rsidP="00692DEB" w:rsidRDefault="00383542" w14:paraId="23771AEB" w14:textId="77777777">
      <w:pPr>
        <w:ind w:left="0"/>
      </w:pPr>
    </w:p>
    <w:p w:rsidRPr="0088467A" w:rsidR="00B12F51" w:rsidP="00692DEB" w:rsidRDefault="0088467A" w14:paraId="6A72193F" w14:textId="77777777">
      <w:pPr>
        <w:pStyle w:val="Heading4"/>
      </w:pPr>
      <w:bookmarkStart w:name="_Toc427752827" w:id="20"/>
      <w:r w:rsidRPr="0088467A">
        <w:t>Annualized Cost to the Government</w:t>
      </w:r>
      <w:bookmarkEnd w:id="20"/>
      <w:r w:rsidR="00D75750">
        <w:t xml:space="preserve"> </w:t>
      </w:r>
    </w:p>
    <w:p w:rsidRPr="00B953BF" w:rsidR="003A37FB" w:rsidP="008B65FF" w:rsidRDefault="000058E0" w14:paraId="7B2F92B8" w14:textId="6C514257">
      <w:pPr>
        <w:ind w:left="360"/>
        <w:rPr>
          <w:rFonts w:cs="Arial"/>
        </w:rPr>
      </w:pPr>
      <w:r w:rsidRPr="00B953BF">
        <w:rPr>
          <w:rFonts w:cs="Arial"/>
        </w:rPr>
        <w:t>There are no equipment or overhead costs.  The only cost to the federal government would be the salary of CDC staff</w:t>
      </w:r>
      <w:r w:rsidRPr="00B953BF" w:rsidR="001D3FA6">
        <w:rPr>
          <w:rFonts w:cs="Arial"/>
        </w:rPr>
        <w:t xml:space="preserve"> </w:t>
      </w:r>
      <w:r w:rsidRPr="00B953BF" w:rsidR="003223B2">
        <w:rPr>
          <w:rFonts w:cs="Arial"/>
        </w:rPr>
        <w:t>and</w:t>
      </w:r>
      <w:r w:rsidRPr="00B953BF" w:rsidR="001D3FA6">
        <w:rPr>
          <w:rFonts w:cs="Arial"/>
        </w:rPr>
        <w:t xml:space="preserve"> project</w:t>
      </w:r>
      <w:r w:rsidRPr="00B953BF" w:rsidR="003223B2">
        <w:rPr>
          <w:rFonts w:cs="Arial"/>
        </w:rPr>
        <w:t xml:space="preserve"> staff from the University of </w:t>
      </w:r>
      <w:r w:rsidRPr="00B953BF" w:rsidR="006D2F84">
        <w:rPr>
          <w:rFonts w:cs="Arial"/>
        </w:rPr>
        <w:t>Kentucky, University of Colorado</w:t>
      </w:r>
      <w:r w:rsidRPr="00B953BF" w:rsidR="001B7DBA">
        <w:rPr>
          <w:rFonts w:cs="Arial"/>
        </w:rPr>
        <w:t xml:space="preserve">, </w:t>
      </w:r>
      <w:r w:rsidRPr="00B953BF" w:rsidR="00E12691">
        <w:rPr>
          <w:rFonts w:cs="Arial"/>
        </w:rPr>
        <w:t>University of Colorado School of Public Health</w:t>
      </w:r>
      <w:r w:rsidRPr="00B953BF" w:rsidR="00AE24C9">
        <w:rPr>
          <w:rFonts w:cs="Arial"/>
        </w:rPr>
        <w:t>,</w:t>
      </w:r>
      <w:r w:rsidRPr="00B953BF" w:rsidR="00E12691">
        <w:rPr>
          <w:rFonts w:cs="Arial"/>
        </w:rPr>
        <w:t xml:space="preserve"> </w:t>
      </w:r>
      <w:r w:rsidRPr="00B953BF" w:rsidR="001B7DBA">
        <w:rPr>
          <w:rFonts w:cs="Arial"/>
        </w:rPr>
        <w:t>New York University, the</w:t>
      </w:r>
      <w:r w:rsidRPr="00B953BF" w:rsidR="003223B2">
        <w:rPr>
          <w:rFonts w:cs="Arial"/>
        </w:rPr>
        <w:t xml:space="preserve"> University of California Los Angeles</w:t>
      </w:r>
      <w:r w:rsidRPr="00B953BF" w:rsidR="001B7DBA">
        <w:rPr>
          <w:rFonts w:cs="Arial"/>
        </w:rPr>
        <w:t>, the National Association of County and City Health Officials (NACCHO), and the Association of State and Territorial Health Officials (ASTHO)</w:t>
      </w:r>
      <w:r w:rsidRPr="00B953BF" w:rsidR="003223B2">
        <w:rPr>
          <w:rFonts w:cs="Arial"/>
        </w:rPr>
        <w:t xml:space="preserve"> </w:t>
      </w:r>
      <w:r w:rsidRPr="00B953BF" w:rsidR="00CF6092">
        <w:rPr>
          <w:rFonts w:cs="Arial"/>
        </w:rPr>
        <w:t>to develop the data collection instrument, collect data, and perform data analysis</w:t>
      </w:r>
      <w:r w:rsidRPr="00B953BF">
        <w:rPr>
          <w:rFonts w:cs="Arial"/>
        </w:rPr>
        <w:t>. The total estimated cost to the federal government is</w:t>
      </w:r>
      <w:r w:rsidRPr="00B953BF" w:rsidR="008C59E7">
        <w:rPr>
          <w:rFonts w:cs="Arial"/>
        </w:rPr>
        <w:t xml:space="preserve"> $</w:t>
      </w:r>
      <w:r w:rsidRPr="00B953BF" w:rsidR="00765287">
        <w:rPr>
          <w:rFonts w:cs="Arial"/>
        </w:rPr>
        <w:t xml:space="preserve">4,769 per </w:t>
      </w:r>
      <w:r w:rsidRPr="00B953BF" w:rsidR="00BA617D">
        <w:rPr>
          <w:rFonts w:cs="Arial"/>
        </w:rPr>
        <w:t>collection (i.e. per response)</w:t>
      </w:r>
      <w:r w:rsidRPr="00B953BF" w:rsidR="00765287">
        <w:rPr>
          <w:rFonts w:cs="Arial"/>
        </w:rPr>
        <w:t xml:space="preserve">, based on a </w:t>
      </w:r>
      <w:r w:rsidRPr="00B953BF" w:rsidR="00BA617D">
        <w:rPr>
          <w:rFonts w:cs="Arial"/>
        </w:rPr>
        <w:t>total of 320 responses received from a total of 278 respondents</w:t>
      </w:r>
      <w:r w:rsidRPr="00B953BF">
        <w:rPr>
          <w:rFonts w:cs="Arial"/>
        </w:rPr>
        <w:t>. Table A-14 describes how this cost estimate was calculated.</w:t>
      </w:r>
    </w:p>
    <w:p w:rsidRPr="00B953BF" w:rsidR="003A37FB" w:rsidRDefault="003A37FB" w14:paraId="03EB4475" w14:textId="77777777">
      <w:pPr>
        <w:tabs>
          <w:tab w:val="clear" w:pos="9360"/>
        </w:tabs>
        <w:spacing w:after="200"/>
        <w:ind w:left="0"/>
        <w:rPr>
          <w:rFonts w:cs="Arial"/>
        </w:rPr>
      </w:pPr>
      <w:r w:rsidRPr="00B953BF">
        <w:rPr>
          <w:rFonts w:cs="Arial"/>
        </w:rPr>
        <w:br w:type="page"/>
      </w:r>
    </w:p>
    <w:p w:rsidR="008B65FF" w:rsidP="008B65FF" w:rsidRDefault="008B65FF" w14:paraId="7D5685B8" w14:textId="77777777">
      <w:pPr>
        <w:ind w:left="360"/>
      </w:pPr>
    </w:p>
    <w:p w:rsidR="008B65FF" w:rsidP="008B65FF" w:rsidRDefault="008B65FF" w14:paraId="6B1CA24A" w14:textId="77777777">
      <w:pPr>
        <w:ind w:left="360"/>
      </w:pPr>
    </w:p>
    <w:p w:rsidR="003C31C9" w:rsidP="008B65FF" w:rsidRDefault="008E0683" w14:paraId="351738C3" w14:textId="4468F772">
      <w:pPr>
        <w:ind w:left="360"/>
      </w:pPr>
      <w:r w:rsidRPr="00692DEB">
        <w:rPr>
          <w:b/>
          <w:u w:val="single"/>
        </w:rPr>
        <w:t>Table A-14</w:t>
      </w:r>
      <w:r w:rsidRPr="00692DEB">
        <w:rPr>
          <w:b/>
        </w:rPr>
        <w:t>:</w:t>
      </w:r>
      <w:r w:rsidRPr="008E0683">
        <w:t xml:space="preserve"> Estimated Annualized Cost to the Federal Government</w:t>
      </w:r>
    </w:p>
    <w:tbl>
      <w:tblPr>
        <w:tblStyle w:val="TableGrid"/>
        <w:tblW w:w="9434" w:type="dxa"/>
        <w:tblInd w:w="360" w:type="dxa"/>
        <w:tblLook w:val="04A0" w:firstRow="1" w:lastRow="0" w:firstColumn="1" w:lastColumn="0" w:noHBand="0" w:noVBand="1"/>
      </w:tblPr>
      <w:tblGrid>
        <w:gridCol w:w="4158"/>
        <w:gridCol w:w="1782"/>
        <w:gridCol w:w="1350"/>
        <w:gridCol w:w="236"/>
        <w:gridCol w:w="236"/>
        <w:gridCol w:w="1672"/>
      </w:tblGrid>
      <w:tr w:rsidRPr="003A37FB" w:rsidR="00786BFC" w:rsidTr="00166540" w14:paraId="59DBFC42" w14:textId="77777777">
        <w:trPr>
          <w:trHeight w:val="593"/>
        </w:trPr>
        <w:tc>
          <w:tcPr>
            <w:tcW w:w="4158" w:type="dxa"/>
            <w:tcBorders>
              <w:bottom w:val="single" w:color="auto" w:sz="12" w:space="0"/>
            </w:tcBorders>
            <w:shd w:val="clear" w:color="auto" w:fill="D9D9D9" w:themeFill="background1" w:themeFillShade="D9"/>
            <w:vAlign w:val="center"/>
          </w:tcPr>
          <w:p w:rsidRPr="003A2F51" w:rsidR="00786BFC" w:rsidP="00166540" w:rsidRDefault="00786BFC" w14:paraId="3C62E56B" w14:textId="77777777">
            <w:pPr>
              <w:ind w:left="0"/>
              <w:jc w:val="center"/>
              <w:rPr>
                <w:b/>
                <w:sz w:val="20"/>
                <w:szCs w:val="20"/>
              </w:rPr>
            </w:pPr>
            <w:r w:rsidRPr="003A2F51">
              <w:rPr>
                <w:b/>
                <w:sz w:val="20"/>
                <w:szCs w:val="20"/>
              </w:rPr>
              <w:t>Staff (FTE)</w:t>
            </w:r>
          </w:p>
        </w:tc>
        <w:tc>
          <w:tcPr>
            <w:tcW w:w="1782" w:type="dxa"/>
            <w:tcBorders>
              <w:bottom w:val="single" w:color="auto" w:sz="12" w:space="0"/>
            </w:tcBorders>
            <w:shd w:val="clear" w:color="auto" w:fill="D9D9D9" w:themeFill="background1" w:themeFillShade="D9"/>
            <w:vAlign w:val="center"/>
          </w:tcPr>
          <w:p w:rsidRPr="003A2F51" w:rsidR="00786BFC" w:rsidP="00166540" w:rsidRDefault="00786BFC" w14:paraId="3907FB5C" w14:textId="77777777">
            <w:pPr>
              <w:ind w:left="0"/>
              <w:jc w:val="center"/>
              <w:rPr>
                <w:b/>
                <w:sz w:val="20"/>
                <w:szCs w:val="20"/>
              </w:rPr>
            </w:pPr>
            <w:r w:rsidRPr="003A2F51">
              <w:rPr>
                <w:b/>
                <w:sz w:val="20"/>
                <w:szCs w:val="20"/>
              </w:rPr>
              <w:t>Average Hours per Collection</w:t>
            </w:r>
          </w:p>
        </w:tc>
        <w:tc>
          <w:tcPr>
            <w:tcW w:w="1822" w:type="dxa"/>
            <w:gridSpan w:val="3"/>
            <w:tcBorders>
              <w:bottom w:val="single" w:color="auto" w:sz="12" w:space="0"/>
            </w:tcBorders>
            <w:shd w:val="clear" w:color="auto" w:fill="D9D9D9" w:themeFill="background1" w:themeFillShade="D9"/>
            <w:vAlign w:val="center"/>
          </w:tcPr>
          <w:p w:rsidRPr="003A2F51" w:rsidR="00786BFC" w:rsidP="00166540" w:rsidRDefault="00786BFC" w14:paraId="0242C8D3" w14:textId="77777777">
            <w:pPr>
              <w:ind w:left="0"/>
              <w:jc w:val="center"/>
              <w:rPr>
                <w:b/>
                <w:sz w:val="20"/>
                <w:szCs w:val="20"/>
              </w:rPr>
            </w:pPr>
            <w:r w:rsidRPr="003A2F51">
              <w:rPr>
                <w:b/>
                <w:sz w:val="20"/>
                <w:szCs w:val="20"/>
              </w:rPr>
              <w:t>Average Hourly Rate</w:t>
            </w:r>
          </w:p>
        </w:tc>
        <w:tc>
          <w:tcPr>
            <w:tcW w:w="1672" w:type="dxa"/>
            <w:tcBorders>
              <w:bottom w:val="single" w:color="auto" w:sz="12" w:space="0"/>
            </w:tcBorders>
            <w:shd w:val="clear" w:color="auto" w:fill="D9D9D9" w:themeFill="background1" w:themeFillShade="D9"/>
            <w:vAlign w:val="center"/>
          </w:tcPr>
          <w:p w:rsidRPr="003A2F51" w:rsidR="00786BFC" w:rsidP="00166540" w:rsidRDefault="00786BFC" w14:paraId="571EF64E" w14:textId="77777777">
            <w:pPr>
              <w:ind w:left="0"/>
              <w:jc w:val="center"/>
              <w:rPr>
                <w:b/>
                <w:sz w:val="20"/>
                <w:szCs w:val="20"/>
              </w:rPr>
            </w:pPr>
            <w:r w:rsidRPr="003A2F51">
              <w:rPr>
                <w:b/>
                <w:sz w:val="20"/>
                <w:szCs w:val="20"/>
              </w:rPr>
              <w:t>Total Average Cost</w:t>
            </w:r>
          </w:p>
        </w:tc>
      </w:tr>
      <w:tr w:rsidRPr="003A37FB" w:rsidR="00786BFC" w:rsidTr="00166540" w14:paraId="46ADAA50" w14:textId="77777777">
        <w:tc>
          <w:tcPr>
            <w:tcW w:w="4158" w:type="dxa"/>
            <w:tcBorders>
              <w:top w:val="single" w:color="auto" w:sz="12" w:space="0"/>
            </w:tcBorders>
          </w:tcPr>
          <w:p w:rsidRPr="00B953BF" w:rsidR="00786BFC" w:rsidP="00166540" w:rsidRDefault="00786BFC" w14:paraId="3CB85C7E" w14:textId="28FA15CC">
            <w:pPr>
              <w:ind w:left="0"/>
              <w:rPr>
                <w:sz w:val="20"/>
              </w:rPr>
            </w:pPr>
          </w:p>
          <w:p w:rsidRPr="00B953BF" w:rsidR="00DB545C" w:rsidP="00166540" w:rsidRDefault="00DB545C" w14:paraId="4DA36433" w14:textId="50879836">
            <w:pPr>
              <w:ind w:left="0"/>
            </w:pPr>
            <w:r w:rsidRPr="00B953BF">
              <w:rPr>
                <w:sz w:val="20"/>
                <w:szCs w:val="20"/>
              </w:rPr>
              <w:t xml:space="preserve">Senior Health Scientist – GS14-10, </w:t>
            </w:r>
            <w:r w:rsidRPr="00B953BF" w:rsidR="00F7364C">
              <w:rPr>
                <w:sz w:val="20"/>
                <w:szCs w:val="20"/>
              </w:rPr>
              <w:t>To manage the project on behalf of the Government; provide scientific input into assessment development, interpretation of data, and communication of findings.</w:t>
            </w:r>
          </w:p>
        </w:tc>
        <w:tc>
          <w:tcPr>
            <w:tcW w:w="1782" w:type="dxa"/>
            <w:tcBorders>
              <w:top w:val="single" w:color="auto" w:sz="12" w:space="0"/>
            </w:tcBorders>
          </w:tcPr>
          <w:p w:rsidRPr="00B953BF" w:rsidR="00786BFC" w:rsidP="00B953BF" w:rsidRDefault="00786BFC" w14:paraId="57475C2D" w14:textId="1D230861">
            <w:pPr>
              <w:ind w:left="0"/>
              <w:jc w:val="center"/>
              <w:rPr>
                <w:sz w:val="20"/>
                <w:szCs w:val="20"/>
              </w:rPr>
            </w:pPr>
          </w:p>
          <w:p w:rsidRPr="00B953BF" w:rsidR="00B953BF" w:rsidP="00B953BF" w:rsidRDefault="00B953BF" w14:paraId="62FA383F" w14:textId="77777777">
            <w:pPr>
              <w:ind w:left="0"/>
              <w:jc w:val="center"/>
              <w:rPr>
                <w:sz w:val="20"/>
                <w:szCs w:val="20"/>
              </w:rPr>
            </w:pPr>
          </w:p>
          <w:p w:rsidRPr="00B953BF" w:rsidR="00E13E1C" w:rsidP="00B953BF" w:rsidRDefault="004D4ACE" w14:paraId="1047DF42" w14:textId="40A05C1A">
            <w:pPr>
              <w:ind w:left="0"/>
              <w:jc w:val="center"/>
              <w:rPr>
                <w:sz w:val="20"/>
                <w:szCs w:val="20"/>
              </w:rPr>
            </w:pPr>
            <w:r w:rsidRPr="00B953BF">
              <w:rPr>
                <w:sz w:val="20"/>
                <w:szCs w:val="20"/>
              </w:rPr>
              <w:t xml:space="preserve">12 </w:t>
            </w:r>
            <w:proofErr w:type="spellStart"/>
            <w:r w:rsidRPr="00B953BF" w:rsidR="00E13E1C">
              <w:rPr>
                <w:sz w:val="20"/>
                <w:szCs w:val="20"/>
              </w:rPr>
              <w:t>hrs</w:t>
            </w:r>
            <w:proofErr w:type="spellEnd"/>
            <w:r w:rsidRPr="00B953BF" w:rsidR="00E13E1C">
              <w:rPr>
                <w:sz w:val="20"/>
                <w:szCs w:val="20"/>
              </w:rPr>
              <w:t xml:space="preserve"> (remaining project period)</w:t>
            </w:r>
          </w:p>
        </w:tc>
        <w:tc>
          <w:tcPr>
            <w:tcW w:w="1822" w:type="dxa"/>
            <w:gridSpan w:val="3"/>
            <w:tcBorders>
              <w:top w:val="single" w:color="auto" w:sz="12" w:space="0"/>
            </w:tcBorders>
          </w:tcPr>
          <w:p w:rsidRPr="00B953BF" w:rsidR="00786BFC" w:rsidP="00B953BF" w:rsidRDefault="00786BFC" w14:paraId="4A4E0943" w14:textId="111437FB">
            <w:pPr>
              <w:ind w:left="0"/>
              <w:jc w:val="center"/>
              <w:rPr>
                <w:rFonts w:ascii="Times New Roman" w:hAnsi="Times New Roman" w:cs="Times New Roman"/>
                <w:sz w:val="20"/>
                <w:szCs w:val="20"/>
              </w:rPr>
            </w:pPr>
          </w:p>
          <w:p w:rsidRPr="00B953BF" w:rsidR="00B953BF" w:rsidP="00B953BF" w:rsidRDefault="00B953BF" w14:paraId="7C41FD46" w14:textId="77777777">
            <w:pPr>
              <w:ind w:left="0"/>
              <w:jc w:val="center"/>
              <w:rPr>
                <w:rFonts w:ascii="Times New Roman" w:hAnsi="Times New Roman" w:cs="Times New Roman"/>
                <w:sz w:val="20"/>
                <w:szCs w:val="20"/>
              </w:rPr>
            </w:pPr>
          </w:p>
          <w:p w:rsidRPr="00B953BF" w:rsidR="00F7364C" w:rsidP="00B953BF" w:rsidRDefault="00CC7777" w14:paraId="304C9B94" w14:textId="344CAAD2">
            <w:pPr>
              <w:ind w:left="0"/>
              <w:jc w:val="center"/>
              <w:rPr>
                <w:sz w:val="20"/>
                <w:szCs w:val="20"/>
              </w:rPr>
            </w:pPr>
            <w:r w:rsidRPr="00B953BF">
              <w:rPr>
                <w:rFonts w:ascii="Times New Roman" w:hAnsi="Times New Roman" w:cs="Times New Roman"/>
                <w:sz w:val="20"/>
                <w:szCs w:val="20"/>
              </w:rPr>
              <w:t>$68.67</w:t>
            </w:r>
          </w:p>
        </w:tc>
        <w:tc>
          <w:tcPr>
            <w:tcW w:w="1672" w:type="dxa"/>
            <w:tcBorders>
              <w:top w:val="single" w:color="auto" w:sz="12" w:space="0"/>
            </w:tcBorders>
          </w:tcPr>
          <w:p w:rsidRPr="00B953BF" w:rsidR="00CC7777" w:rsidP="00B953BF" w:rsidRDefault="00CC7777" w14:paraId="6D27C33C" w14:textId="541D74AD">
            <w:pPr>
              <w:ind w:left="0"/>
              <w:jc w:val="center"/>
              <w:rPr>
                <w:rFonts w:ascii="Times New Roman" w:hAnsi="Times New Roman" w:cs="Times New Roman"/>
                <w:sz w:val="20"/>
                <w:szCs w:val="20"/>
              </w:rPr>
            </w:pPr>
          </w:p>
          <w:p w:rsidRPr="00B953BF" w:rsidR="00B953BF" w:rsidP="00B953BF" w:rsidRDefault="00B953BF" w14:paraId="764D8F34" w14:textId="77777777">
            <w:pPr>
              <w:ind w:left="0"/>
              <w:jc w:val="center"/>
              <w:rPr>
                <w:rFonts w:ascii="Times New Roman" w:hAnsi="Times New Roman" w:cs="Times New Roman"/>
                <w:sz w:val="20"/>
                <w:szCs w:val="20"/>
              </w:rPr>
            </w:pPr>
          </w:p>
          <w:p w:rsidRPr="00B953BF" w:rsidR="00786BFC" w:rsidP="00B953BF" w:rsidRDefault="00CC7777" w14:paraId="05F943E0" w14:textId="0A9E4F1C">
            <w:pPr>
              <w:ind w:left="0"/>
              <w:jc w:val="center"/>
              <w:rPr>
                <w:sz w:val="20"/>
                <w:szCs w:val="20"/>
              </w:rPr>
            </w:pPr>
            <w:r w:rsidRPr="00B953BF">
              <w:rPr>
                <w:rFonts w:ascii="Times New Roman" w:hAnsi="Times New Roman" w:cs="Times New Roman"/>
                <w:sz w:val="20"/>
                <w:szCs w:val="20"/>
              </w:rPr>
              <w:t>$</w:t>
            </w:r>
            <w:r w:rsidRPr="00B953BF" w:rsidR="004D4ACE">
              <w:rPr>
                <w:rFonts w:ascii="Times New Roman" w:hAnsi="Times New Roman" w:cs="Times New Roman"/>
                <w:sz w:val="20"/>
                <w:szCs w:val="20"/>
              </w:rPr>
              <w:t>824</w:t>
            </w:r>
          </w:p>
        </w:tc>
      </w:tr>
      <w:tr w:rsidRPr="003A37FB" w:rsidR="00786BFC" w:rsidTr="00166540" w14:paraId="003582B1" w14:textId="77777777">
        <w:tc>
          <w:tcPr>
            <w:tcW w:w="4158" w:type="dxa"/>
          </w:tcPr>
          <w:p w:rsidRPr="00B953BF" w:rsidR="00786BFC" w:rsidP="00166540" w:rsidRDefault="00786BFC" w14:paraId="0F6B92E9" w14:textId="42E6BEB5">
            <w:pPr>
              <w:ind w:left="0"/>
              <w:jc w:val="both"/>
              <w:rPr>
                <w:sz w:val="20"/>
                <w:szCs w:val="20"/>
              </w:rPr>
            </w:pPr>
            <w:r w:rsidRPr="00B953BF">
              <w:rPr>
                <w:sz w:val="20"/>
                <w:szCs w:val="20"/>
              </w:rPr>
              <w:t xml:space="preserve">University of Kentucky Principal </w:t>
            </w:r>
            <w:r w:rsidRPr="00B953BF" w:rsidR="0095083F">
              <w:rPr>
                <w:sz w:val="20"/>
                <w:szCs w:val="20"/>
              </w:rPr>
              <w:t>Contract</w:t>
            </w:r>
            <w:r w:rsidRPr="00B953BF">
              <w:rPr>
                <w:sz w:val="20"/>
                <w:szCs w:val="20"/>
              </w:rPr>
              <w:t xml:space="preserve"> Organization</w:t>
            </w:r>
          </w:p>
          <w:p w:rsidRPr="00B953BF" w:rsidR="00786BFC" w:rsidP="001C298D" w:rsidRDefault="001C298D" w14:paraId="2CEFB1F0" w14:textId="062A6177">
            <w:pPr>
              <w:ind w:left="0"/>
              <w:jc w:val="both"/>
              <w:rPr>
                <w:sz w:val="20"/>
                <w:szCs w:val="20"/>
              </w:rPr>
            </w:pPr>
            <w:r w:rsidRPr="00B953BF">
              <w:rPr>
                <w:sz w:val="20"/>
                <w:szCs w:val="20"/>
              </w:rPr>
              <w:t xml:space="preserve">To manage and coordinate the overall study and ensure that all tasks and deliverables are completed on schedule by subcontracting organizations.  </w:t>
            </w:r>
          </w:p>
        </w:tc>
        <w:tc>
          <w:tcPr>
            <w:tcW w:w="1782" w:type="dxa"/>
          </w:tcPr>
          <w:p w:rsidRPr="00B953BF" w:rsidR="00786BFC" w:rsidP="00B953BF" w:rsidRDefault="00786BFC" w14:paraId="028A0DFF" w14:textId="05531716">
            <w:pPr>
              <w:ind w:left="0"/>
              <w:jc w:val="center"/>
              <w:rPr>
                <w:sz w:val="20"/>
                <w:szCs w:val="20"/>
              </w:rPr>
            </w:pPr>
          </w:p>
        </w:tc>
        <w:tc>
          <w:tcPr>
            <w:tcW w:w="1822" w:type="dxa"/>
            <w:gridSpan w:val="3"/>
          </w:tcPr>
          <w:p w:rsidRPr="00B953BF" w:rsidR="00786BFC" w:rsidP="00B953BF" w:rsidRDefault="00786BFC" w14:paraId="27CDC6C6" w14:textId="288683C3">
            <w:pPr>
              <w:ind w:left="0"/>
              <w:jc w:val="center"/>
              <w:rPr>
                <w:sz w:val="20"/>
                <w:szCs w:val="20"/>
              </w:rPr>
            </w:pPr>
          </w:p>
          <w:p w:rsidRPr="00B953BF" w:rsidR="00786BFC" w:rsidP="00B953BF" w:rsidRDefault="00786BFC" w14:paraId="1C4F5557" w14:textId="77777777">
            <w:pPr>
              <w:ind w:left="0"/>
              <w:jc w:val="center"/>
              <w:rPr>
                <w:sz w:val="20"/>
                <w:szCs w:val="20"/>
              </w:rPr>
            </w:pPr>
          </w:p>
        </w:tc>
        <w:tc>
          <w:tcPr>
            <w:tcW w:w="1672" w:type="dxa"/>
          </w:tcPr>
          <w:p w:rsidRPr="00B953BF" w:rsidR="00B953BF" w:rsidP="00B953BF" w:rsidRDefault="00B953BF" w14:paraId="5DA5D6FC" w14:textId="77777777">
            <w:pPr>
              <w:ind w:left="0"/>
              <w:jc w:val="center"/>
              <w:rPr>
                <w:sz w:val="20"/>
                <w:szCs w:val="20"/>
              </w:rPr>
            </w:pPr>
          </w:p>
          <w:p w:rsidRPr="00B953BF" w:rsidR="00B953BF" w:rsidP="00B953BF" w:rsidRDefault="00B953BF" w14:paraId="22AEB7BB" w14:textId="77777777">
            <w:pPr>
              <w:ind w:left="0"/>
              <w:jc w:val="center"/>
              <w:rPr>
                <w:sz w:val="20"/>
                <w:szCs w:val="20"/>
              </w:rPr>
            </w:pPr>
          </w:p>
          <w:p w:rsidRPr="00B953BF" w:rsidR="00786BFC" w:rsidP="00B953BF" w:rsidRDefault="00786BFC" w14:paraId="2A89B6C6" w14:textId="3E356D4B">
            <w:pPr>
              <w:ind w:left="0"/>
              <w:jc w:val="center"/>
              <w:rPr>
                <w:sz w:val="20"/>
                <w:szCs w:val="20"/>
              </w:rPr>
            </w:pPr>
            <w:r w:rsidRPr="00B953BF">
              <w:rPr>
                <w:sz w:val="20"/>
                <w:szCs w:val="20"/>
              </w:rPr>
              <w:t>$</w:t>
            </w:r>
            <w:r w:rsidRPr="00B953BF" w:rsidR="004D4ACE">
              <w:rPr>
                <w:sz w:val="20"/>
                <w:szCs w:val="20"/>
              </w:rPr>
              <w:t>483</w:t>
            </w:r>
          </w:p>
        </w:tc>
      </w:tr>
      <w:tr w:rsidRPr="003A37FB" w:rsidR="00AE24C9" w:rsidTr="00166540" w14:paraId="30AA4159" w14:textId="77777777">
        <w:tc>
          <w:tcPr>
            <w:tcW w:w="4158" w:type="dxa"/>
          </w:tcPr>
          <w:p w:rsidRPr="00B953BF" w:rsidR="00AE24C9" w:rsidP="00166540" w:rsidRDefault="001C298D" w14:paraId="02B1845A" w14:textId="23435CC7">
            <w:pPr>
              <w:ind w:left="0"/>
              <w:jc w:val="both"/>
              <w:rPr>
                <w:sz w:val="20"/>
                <w:szCs w:val="20"/>
              </w:rPr>
            </w:pPr>
            <w:r w:rsidRPr="00B953BF">
              <w:rPr>
                <w:sz w:val="20"/>
                <w:szCs w:val="20"/>
              </w:rPr>
              <w:t xml:space="preserve">University of Colorado Subcontract </w:t>
            </w:r>
          </w:p>
          <w:p w:rsidRPr="00B953BF" w:rsidR="001C298D" w:rsidP="00166540" w:rsidRDefault="001C298D" w14:paraId="59D955EE" w14:textId="563702D1">
            <w:pPr>
              <w:ind w:left="0"/>
              <w:jc w:val="both"/>
              <w:rPr>
                <w:sz w:val="20"/>
                <w:szCs w:val="20"/>
              </w:rPr>
            </w:pPr>
            <w:r w:rsidRPr="00B953BF">
              <w:rPr>
                <w:sz w:val="20"/>
              </w:rPr>
              <w:t xml:space="preserve">To oversee the design of data collection instruments, data collection, data analysis, and dissemination for all study aims, and to lead the analyses of Index validity and relevance (Aim 1).  </w:t>
            </w:r>
          </w:p>
        </w:tc>
        <w:tc>
          <w:tcPr>
            <w:tcW w:w="1782" w:type="dxa"/>
          </w:tcPr>
          <w:p w:rsidRPr="00B953BF" w:rsidR="00AE24C9" w:rsidP="00B953BF" w:rsidRDefault="00AE24C9" w14:paraId="01C2817A" w14:textId="77777777">
            <w:pPr>
              <w:ind w:left="0"/>
              <w:jc w:val="center"/>
              <w:rPr>
                <w:sz w:val="20"/>
                <w:szCs w:val="20"/>
              </w:rPr>
            </w:pPr>
          </w:p>
        </w:tc>
        <w:tc>
          <w:tcPr>
            <w:tcW w:w="1822" w:type="dxa"/>
            <w:gridSpan w:val="3"/>
          </w:tcPr>
          <w:p w:rsidRPr="00B953BF" w:rsidR="00AE24C9" w:rsidP="00B953BF" w:rsidRDefault="00AE24C9" w14:paraId="1DEDDC05" w14:textId="77777777">
            <w:pPr>
              <w:ind w:left="0"/>
              <w:jc w:val="center"/>
              <w:rPr>
                <w:sz w:val="20"/>
                <w:szCs w:val="20"/>
              </w:rPr>
            </w:pPr>
          </w:p>
        </w:tc>
        <w:tc>
          <w:tcPr>
            <w:tcW w:w="1672" w:type="dxa"/>
          </w:tcPr>
          <w:p w:rsidRPr="00B953BF" w:rsidR="00B953BF" w:rsidP="00B953BF" w:rsidRDefault="00B953BF" w14:paraId="47753CFF" w14:textId="77777777">
            <w:pPr>
              <w:ind w:left="0"/>
              <w:jc w:val="center"/>
              <w:rPr>
                <w:sz w:val="20"/>
                <w:szCs w:val="20"/>
              </w:rPr>
            </w:pPr>
          </w:p>
          <w:p w:rsidRPr="00B953BF" w:rsidR="00B953BF" w:rsidP="00B953BF" w:rsidRDefault="00B953BF" w14:paraId="7BA0BA4B" w14:textId="77777777">
            <w:pPr>
              <w:ind w:left="0"/>
              <w:jc w:val="center"/>
              <w:rPr>
                <w:sz w:val="20"/>
                <w:szCs w:val="20"/>
              </w:rPr>
            </w:pPr>
          </w:p>
          <w:p w:rsidRPr="00B953BF" w:rsidR="00AE24C9" w:rsidP="00B953BF" w:rsidRDefault="001C298D" w14:paraId="491E7639" w14:textId="77B1D0B5">
            <w:pPr>
              <w:ind w:left="0"/>
              <w:jc w:val="center"/>
              <w:rPr>
                <w:sz w:val="20"/>
                <w:szCs w:val="20"/>
              </w:rPr>
            </w:pPr>
            <w:r w:rsidRPr="00B953BF">
              <w:rPr>
                <w:sz w:val="20"/>
                <w:szCs w:val="20"/>
              </w:rPr>
              <w:t>$</w:t>
            </w:r>
            <w:r w:rsidRPr="00B953BF" w:rsidR="004D4ACE">
              <w:rPr>
                <w:sz w:val="20"/>
                <w:szCs w:val="20"/>
              </w:rPr>
              <w:t>1,069</w:t>
            </w:r>
          </w:p>
        </w:tc>
      </w:tr>
      <w:tr w:rsidRPr="003A37FB" w:rsidR="00786BFC" w:rsidTr="00166540" w14:paraId="67E42D68" w14:textId="77777777">
        <w:tc>
          <w:tcPr>
            <w:tcW w:w="4158" w:type="dxa"/>
          </w:tcPr>
          <w:p w:rsidRPr="00B953BF" w:rsidR="00786BFC" w:rsidP="00166540" w:rsidRDefault="00786BFC" w14:paraId="48F4055B" w14:textId="0D5F2869">
            <w:pPr>
              <w:ind w:left="0"/>
              <w:jc w:val="both"/>
              <w:rPr>
                <w:sz w:val="20"/>
                <w:szCs w:val="20"/>
              </w:rPr>
            </w:pPr>
            <w:r w:rsidRPr="00B953BF">
              <w:rPr>
                <w:sz w:val="20"/>
                <w:szCs w:val="20"/>
              </w:rPr>
              <w:t xml:space="preserve">New York University Subcontract Organization </w:t>
            </w:r>
          </w:p>
          <w:p w:rsidRPr="00B953BF" w:rsidR="00786BFC" w:rsidP="00CA5E60" w:rsidRDefault="00786BFC" w14:paraId="547E6161" w14:textId="71AD236C">
            <w:pPr>
              <w:ind w:left="0"/>
              <w:jc w:val="both"/>
              <w:rPr>
                <w:sz w:val="20"/>
                <w:szCs w:val="20"/>
              </w:rPr>
            </w:pPr>
            <w:r w:rsidRPr="00B953BF">
              <w:rPr>
                <w:sz w:val="20"/>
                <w:szCs w:val="20"/>
              </w:rPr>
              <w:t xml:space="preserve">To lead </w:t>
            </w:r>
            <w:r w:rsidRPr="00B953BF" w:rsidR="00CA5E60">
              <w:rPr>
                <w:sz w:val="20"/>
                <w:szCs w:val="20"/>
              </w:rPr>
              <w:t>the</w:t>
            </w:r>
            <w:r w:rsidRPr="00B953BF">
              <w:rPr>
                <w:sz w:val="20"/>
                <w:szCs w:val="20"/>
              </w:rPr>
              <w:t xml:space="preserve"> </w:t>
            </w:r>
            <w:r w:rsidRPr="00B953BF" w:rsidR="00CA5E60">
              <w:rPr>
                <w:sz w:val="20"/>
                <w:szCs w:val="20"/>
              </w:rPr>
              <w:t>analysis of core</w:t>
            </w:r>
            <w:r w:rsidRPr="00B953BF">
              <w:rPr>
                <w:sz w:val="20"/>
                <w:szCs w:val="20"/>
              </w:rPr>
              <w:t xml:space="preserve"> </w:t>
            </w:r>
            <w:r w:rsidRPr="00B953BF" w:rsidR="00CA5E60">
              <w:rPr>
                <w:sz w:val="20"/>
                <w:szCs w:val="20"/>
              </w:rPr>
              <w:t xml:space="preserve">PHEP metrics </w:t>
            </w:r>
            <w:r w:rsidRPr="00B953BF" w:rsidR="00CA5E60">
              <w:rPr>
                <w:sz w:val="20"/>
                <w:szCs w:val="20"/>
              </w:rPr>
              <w:br/>
              <w:t>(Aim 2).</w:t>
            </w:r>
          </w:p>
        </w:tc>
        <w:tc>
          <w:tcPr>
            <w:tcW w:w="1782" w:type="dxa"/>
          </w:tcPr>
          <w:p w:rsidRPr="00B953BF" w:rsidR="00786BFC" w:rsidP="00B953BF" w:rsidRDefault="00786BFC" w14:paraId="0F6AA09B" w14:textId="77777777">
            <w:pPr>
              <w:ind w:left="0"/>
              <w:jc w:val="center"/>
              <w:rPr>
                <w:sz w:val="20"/>
                <w:szCs w:val="20"/>
              </w:rPr>
            </w:pPr>
          </w:p>
        </w:tc>
        <w:tc>
          <w:tcPr>
            <w:tcW w:w="1822" w:type="dxa"/>
            <w:gridSpan w:val="3"/>
          </w:tcPr>
          <w:p w:rsidRPr="00B953BF" w:rsidR="00786BFC" w:rsidP="00B953BF" w:rsidRDefault="00786BFC" w14:paraId="08A01009" w14:textId="77777777">
            <w:pPr>
              <w:ind w:left="0"/>
              <w:jc w:val="center"/>
              <w:rPr>
                <w:sz w:val="20"/>
                <w:szCs w:val="20"/>
              </w:rPr>
            </w:pPr>
          </w:p>
        </w:tc>
        <w:tc>
          <w:tcPr>
            <w:tcW w:w="1672" w:type="dxa"/>
          </w:tcPr>
          <w:p w:rsidRPr="00B953BF" w:rsidR="00B953BF" w:rsidP="00B953BF" w:rsidRDefault="00B953BF" w14:paraId="0BA98A19" w14:textId="77777777">
            <w:pPr>
              <w:ind w:left="0"/>
              <w:jc w:val="center"/>
              <w:rPr>
                <w:sz w:val="20"/>
                <w:szCs w:val="20"/>
              </w:rPr>
            </w:pPr>
          </w:p>
          <w:p w:rsidRPr="00B953BF" w:rsidR="00786BFC" w:rsidP="00B953BF" w:rsidRDefault="00244A4D" w14:paraId="7F93E5CF" w14:textId="2EA48535">
            <w:pPr>
              <w:ind w:left="0"/>
              <w:jc w:val="center"/>
              <w:rPr>
                <w:sz w:val="20"/>
                <w:szCs w:val="20"/>
              </w:rPr>
            </w:pPr>
            <w:r w:rsidRPr="00B953BF">
              <w:rPr>
                <w:sz w:val="20"/>
                <w:szCs w:val="20"/>
              </w:rPr>
              <w:t>$</w:t>
            </w:r>
            <w:r w:rsidRPr="00B953BF" w:rsidR="004D4ACE">
              <w:rPr>
                <w:sz w:val="20"/>
                <w:szCs w:val="20"/>
              </w:rPr>
              <w:t>1,100</w:t>
            </w:r>
          </w:p>
        </w:tc>
      </w:tr>
      <w:tr w:rsidRPr="003A37FB" w:rsidR="00786BFC" w:rsidTr="00166540" w14:paraId="127FC52A" w14:textId="77777777">
        <w:tc>
          <w:tcPr>
            <w:tcW w:w="4158" w:type="dxa"/>
          </w:tcPr>
          <w:p w:rsidRPr="00B953BF" w:rsidR="00786BFC" w:rsidP="00786BFC" w:rsidRDefault="00786BFC" w14:paraId="78BC6A0B" w14:textId="04AAFB3F">
            <w:pPr>
              <w:ind w:left="0"/>
              <w:jc w:val="both"/>
              <w:rPr>
                <w:rFonts w:ascii="Times New Roman" w:hAnsi="Times New Roman" w:cs="Times New Roman"/>
                <w:sz w:val="20"/>
                <w:szCs w:val="20"/>
              </w:rPr>
            </w:pPr>
            <w:r w:rsidRPr="00B953BF">
              <w:rPr>
                <w:rFonts w:ascii="Times New Roman" w:hAnsi="Times New Roman" w:cs="Times New Roman"/>
                <w:sz w:val="20"/>
                <w:szCs w:val="20"/>
              </w:rPr>
              <w:t>University of California Los Angeles Subcontract Organization</w:t>
            </w:r>
          </w:p>
          <w:p w:rsidRPr="00B953BF" w:rsidR="00786BFC" w:rsidP="00CA5E60" w:rsidRDefault="00786BFC" w14:paraId="6BE3827E" w14:textId="015EB5F1">
            <w:pPr>
              <w:ind w:left="0"/>
              <w:jc w:val="both"/>
              <w:rPr>
                <w:rFonts w:ascii="Times New Roman" w:hAnsi="Times New Roman" w:cs="Times New Roman"/>
                <w:sz w:val="24"/>
                <w:szCs w:val="24"/>
              </w:rPr>
            </w:pPr>
            <w:r w:rsidRPr="00B953BF">
              <w:rPr>
                <w:rFonts w:ascii="Times New Roman" w:hAnsi="Times New Roman" w:cs="Times New Roman"/>
                <w:sz w:val="20"/>
                <w:szCs w:val="20"/>
              </w:rPr>
              <w:t xml:space="preserve">To lead </w:t>
            </w:r>
            <w:r w:rsidRPr="00B953BF" w:rsidR="00CA5E60">
              <w:rPr>
                <w:rFonts w:ascii="Times New Roman" w:hAnsi="Times New Roman" w:cs="Times New Roman"/>
                <w:sz w:val="20"/>
                <w:szCs w:val="20"/>
              </w:rPr>
              <w:t>the analysis of</w:t>
            </w:r>
            <w:r w:rsidRPr="00B953BF">
              <w:rPr>
                <w:rFonts w:ascii="Times New Roman" w:hAnsi="Times New Roman" w:cs="Times New Roman"/>
                <w:sz w:val="20"/>
                <w:szCs w:val="20"/>
              </w:rPr>
              <w:t xml:space="preserve"> Index use and usability</w:t>
            </w:r>
            <w:r w:rsidRPr="00B953BF" w:rsidR="00CA5E60">
              <w:rPr>
                <w:rFonts w:ascii="Times New Roman" w:hAnsi="Times New Roman" w:cs="Times New Roman"/>
                <w:sz w:val="20"/>
                <w:szCs w:val="20"/>
              </w:rPr>
              <w:t xml:space="preserve"> (Aim 3)</w:t>
            </w:r>
            <w:r w:rsidRPr="00B953BF">
              <w:rPr>
                <w:rFonts w:ascii="Times New Roman" w:hAnsi="Times New Roman" w:cs="Times New Roman"/>
                <w:sz w:val="20"/>
                <w:szCs w:val="20"/>
              </w:rPr>
              <w:t>.</w:t>
            </w:r>
          </w:p>
        </w:tc>
        <w:tc>
          <w:tcPr>
            <w:tcW w:w="1782" w:type="dxa"/>
          </w:tcPr>
          <w:p w:rsidRPr="00B953BF" w:rsidR="00786BFC" w:rsidP="00B953BF" w:rsidRDefault="00786BFC" w14:paraId="121213D0" w14:textId="77777777">
            <w:pPr>
              <w:ind w:left="0"/>
              <w:jc w:val="center"/>
              <w:rPr>
                <w:rFonts w:ascii="Times New Roman" w:hAnsi="Times New Roman" w:cs="Times New Roman"/>
                <w:sz w:val="20"/>
                <w:szCs w:val="20"/>
              </w:rPr>
            </w:pPr>
          </w:p>
        </w:tc>
        <w:tc>
          <w:tcPr>
            <w:tcW w:w="1822" w:type="dxa"/>
            <w:gridSpan w:val="3"/>
          </w:tcPr>
          <w:p w:rsidRPr="00B953BF" w:rsidR="00786BFC" w:rsidP="00B953BF" w:rsidRDefault="00786BFC" w14:paraId="5A8EC5BD" w14:textId="77777777">
            <w:pPr>
              <w:ind w:left="0"/>
              <w:jc w:val="center"/>
              <w:rPr>
                <w:rFonts w:ascii="Times New Roman" w:hAnsi="Times New Roman" w:cs="Times New Roman"/>
                <w:sz w:val="20"/>
                <w:szCs w:val="20"/>
              </w:rPr>
            </w:pPr>
          </w:p>
        </w:tc>
        <w:tc>
          <w:tcPr>
            <w:tcW w:w="1672" w:type="dxa"/>
          </w:tcPr>
          <w:p w:rsidRPr="00B953BF" w:rsidR="00B953BF" w:rsidP="00B953BF" w:rsidRDefault="00B953BF" w14:paraId="56FE2D4E" w14:textId="77777777">
            <w:pPr>
              <w:ind w:left="0"/>
              <w:rPr>
                <w:rFonts w:ascii="Times New Roman" w:hAnsi="Times New Roman" w:cs="Times New Roman"/>
                <w:sz w:val="20"/>
                <w:szCs w:val="20"/>
              </w:rPr>
            </w:pPr>
          </w:p>
          <w:p w:rsidRPr="00B953BF" w:rsidR="00786BFC" w:rsidP="00B953BF" w:rsidRDefault="00244A4D" w14:paraId="3244BFD3" w14:textId="4C2F8B41">
            <w:pPr>
              <w:ind w:left="0"/>
              <w:jc w:val="center"/>
              <w:rPr>
                <w:rFonts w:ascii="Times New Roman" w:hAnsi="Times New Roman" w:cs="Times New Roman"/>
                <w:sz w:val="20"/>
                <w:szCs w:val="20"/>
              </w:rPr>
            </w:pPr>
            <w:r w:rsidRPr="00B953BF">
              <w:rPr>
                <w:rFonts w:ascii="Times New Roman" w:hAnsi="Times New Roman" w:cs="Times New Roman"/>
                <w:sz w:val="20"/>
                <w:szCs w:val="20"/>
              </w:rPr>
              <w:t>$</w:t>
            </w:r>
            <w:r w:rsidRPr="00B953BF" w:rsidR="004D4ACE">
              <w:rPr>
                <w:rFonts w:ascii="Times New Roman" w:hAnsi="Times New Roman" w:cs="Times New Roman"/>
                <w:sz w:val="20"/>
                <w:szCs w:val="20"/>
              </w:rPr>
              <w:t>1,661</w:t>
            </w:r>
          </w:p>
        </w:tc>
      </w:tr>
      <w:tr w:rsidRPr="003A37FB" w:rsidR="00786BFC" w:rsidTr="00166540" w14:paraId="212AFDB8" w14:textId="77777777">
        <w:tc>
          <w:tcPr>
            <w:tcW w:w="4158" w:type="dxa"/>
          </w:tcPr>
          <w:p w:rsidRPr="00B953BF" w:rsidR="00786BFC" w:rsidP="00166540" w:rsidRDefault="001B7DBA" w14:paraId="1FAEA534" w14:textId="0B44C68E">
            <w:pPr>
              <w:ind w:left="0"/>
              <w:jc w:val="both"/>
              <w:rPr>
                <w:sz w:val="20"/>
                <w:szCs w:val="20"/>
              </w:rPr>
            </w:pPr>
            <w:r w:rsidRPr="00B953BF">
              <w:rPr>
                <w:sz w:val="20"/>
                <w:szCs w:val="20"/>
              </w:rPr>
              <w:t xml:space="preserve">NACCHO </w:t>
            </w:r>
            <w:r w:rsidRPr="00B953BF" w:rsidR="00786BFC">
              <w:rPr>
                <w:sz w:val="20"/>
                <w:szCs w:val="20"/>
              </w:rPr>
              <w:t>Subcontract Organization</w:t>
            </w:r>
          </w:p>
          <w:p w:rsidRPr="00B953BF" w:rsidR="00786BFC" w:rsidP="00CA5E60" w:rsidRDefault="00786BFC" w14:paraId="0A048CAB" w14:textId="0911F28F">
            <w:pPr>
              <w:ind w:left="0"/>
              <w:jc w:val="both"/>
              <w:rPr>
                <w:sz w:val="20"/>
                <w:szCs w:val="20"/>
              </w:rPr>
            </w:pPr>
            <w:r w:rsidRPr="00B953BF">
              <w:rPr>
                <w:sz w:val="20"/>
                <w:szCs w:val="20"/>
              </w:rPr>
              <w:t>To help design</w:t>
            </w:r>
            <w:r w:rsidRPr="00B953BF" w:rsidR="00CA5E60">
              <w:rPr>
                <w:sz w:val="20"/>
                <w:szCs w:val="20"/>
              </w:rPr>
              <w:t>, recruit</w:t>
            </w:r>
            <w:r w:rsidRPr="00B953BF">
              <w:rPr>
                <w:sz w:val="20"/>
                <w:szCs w:val="20"/>
              </w:rPr>
              <w:t xml:space="preserve"> and field the </w:t>
            </w:r>
            <w:r w:rsidRPr="00B953BF" w:rsidR="00BA5C91">
              <w:rPr>
                <w:sz w:val="20"/>
                <w:szCs w:val="20"/>
              </w:rPr>
              <w:t>Online Assessment Instrument</w:t>
            </w:r>
            <w:r w:rsidRPr="00B953BF">
              <w:rPr>
                <w:sz w:val="20"/>
                <w:szCs w:val="20"/>
              </w:rPr>
              <w:t>.</w:t>
            </w:r>
          </w:p>
        </w:tc>
        <w:tc>
          <w:tcPr>
            <w:tcW w:w="1782" w:type="dxa"/>
          </w:tcPr>
          <w:p w:rsidRPr="00B953BF" w:rsidR="00786BFC" w:rsidP="00B953BF" w:rsidRDefault="00786BFC" w14:paraId="6B952840" w14:textId="77777777">
            <w:pPr>
              <w:ind w:left="0"/>
              <w:jc w:val="center"/>
              <w:rPr>
                <w:sz w:val="20"/>
                <w:szCs w:val="20"/>
              </w:rPr>
            </w:pPr>
          </w:p>
        </w:tc>
        <w:tc>
          <w:tcPr>
            <w:tcW w:w="1822" w:type="dxa"/>
            <w:gridSpan w:val="3"/>
          </w:tcPr>
          <w:p w:rsidRPr="00B953BF" w:rsidR="00786BFC" w:rsidP="00B953BF" w:rsidRDefault="00786BFC" w14:paraId="54361EED" w14:textId="77777777">
            <w:pPr>
              <w:ind w:left="0"/>
              <w:jc w:val="center"/>
              <w:rPr>
                <w:sz w:val="20"/>
                <w:szCs w:val="20"/>
              </w:rPr>
            </w:pPr>
          </w:p>
        </w:tc>
        <w:tc>
          <w:tcPr>
            <w:tcW w:w="1672" w:type="dxa"/>
          </w:tcPr>
          <w:p w:rsidRPr="00B953BF" w:rsidR="00B953BF" w:rsidP="00B953BF" w:rsidRDefault="00B953BF" w14:paraId="2057FA9B" w14:textId="77777777">
            <w:pPr>
              <w:ind w:left="0"/>
              <w:jc w:val="center"/>
              <w:rPr>
                <w:sz w:val="20"/>
                <w:szCs w:val="20"/>
              </w:rPr>
            </w:pPr>
          </w:p>
          <w:p w:rsidRPr="00B953BF" w:rsidR="00786BFC" w:rsidP="00B953BF" w:rsidRDefault="00244A4D" w14:paraId="3B4D57B8" w14:textId="701CEA5E">
            <w:pPr>
              <w:ind w:left="0"/>
              <w:jc w:val="center"/>
              <w:rPr>
                <w:sz w:val="20"/>
                <w:szCs w:val="20"/>
              </w:rPr>
            </w:pPr>
            <w:r w:rsidRPr="00B953BF">
              <w:rPr>
                <w:sz w:val="20"/>
                <w:szCs w:val="20"/>
              </w:rPr>
              <w:t>$</w:t>
            </w:r>
            <w:r w:rsidRPr="00B953BF" w:rsidR="004D4ACE">
              <w:rPr>
                <w:sz w:val="20"/>
                <w:szCs w:val="20"/>
              </w:rPr>
              <w:t>188</w:t>
            </w:r>
          </w:p>
        </w:tc>
      </w:tr>
      <w:tr w:rsidRPr="003A37FB" w:rsidR="00786BFC" w:rsidTr="00166540" w14:paraId="6122CFE0" w14:textId="77777777">
        <w:tc>
          <w:tcPr>
            <w:tcW w:w="4158" w:type="dxa"/>
          </w:tcPr>
          <w:p w:rsidRPr="00B953BF" w:rsidR="00786BFC" w:rsidP="00166540" w:rsidRDefault="00786BFC" w14:paraId="09544773" w14:textId="7C38BA87">
            <w:pPr>
              <w:ind w:left="0"/>
              <w:jc w:val="both"/>
              <w:rPr>
                <w:sz w:val="20"/>
                <w:szCs w:val="20"/>
              </w:rPr>
            </w:pPr>
            <w:r w:rsidRPr="00B953BF">
              <w:rPr>
                <w:sz w:val="20"/>
                <w:szCs w:val="20"/>
              </w:rPr>
              <w:t>ASTHO Subcontract Organization</w:t>
            </w:r>
          </w:p>
          <w:p w:rsidRPr="00B953BF" w:rsidR="00786BFC" w:rsidP="00CA5E60" w:rsidRDefault="00786BFC" w14:paraId="0145C4D2" w14:textId="0C3D3655">
            <w:pPr>
              <w:ind w:left="0"/>
              <w:jc w:val="both"/>
              <w:rPr>
                <w:sz w:val="20"/>
                <w:szCs w:val="20"/>
              </w:rPr>
            </w:pPr>
            <w:r w:rsidRPr="00B953BF">
              <w:rPr>
                <w:sz w:val="20"/>
                <w:szCs w:val="20"/>
              </w:rPr>
              <w:t>To help</w:t>
            </w:r>
            <w:r w:rsidRPr="00B953BF" w:rsidR="00CA5E60">
              <w:rPr>
                <w:sz w:val="20"/>
                <w:szCs w:val="20"/>
              </w:rPr>
              <w:t xml:space="preserve"> design, recruit and field the </w:t>
            </w:r>
            <w:r w:rsidRPr="00B953BF" w:rsidR="00BA5C91">
              <w:rPr>
                <w:sz w:val="20"/>
                <w:szCs w:val="20"/>
              </w:rPr>
              <w:t>Online Assessment Instrument</w:t>
            </w:r>
            <w:r w:rsidRPr="00B953BF" w:rsidR="00CA5E60">
              <w:rPr>
                <w:sz w:val="20"/>
                <w:szCs w:val="20"/>
              </w:rPr>
              <w:t xml:space="preserve"> and help disseminate</w:t>
            </w:r>
            <w:r w:rsidRPr="00B953BF">
              <w:rPr>
                <w:sz w:val="20"/>
                <w:szCs w:val="20"/>
              </w:rPr>
              <w:t xml:space="preserve"> Index guidance tools for state health officials.</w:t>
            </w:r>
            <w:r w:rsidRPr="00B953BF" w:rsidR="00CA5E60">
              <w:rPr>
                <w:sz w:val="20"/>
                <w:szCs w:val="20"/>
              </w:rPr>
              <w:t xml:space="preserve"> </w:t>
            </w:r>
          </w:p>
        </w:tc>
        <w:tc>
          <w:tcPr>
            <w:tcW w:w="1782" w:type="dxa"/>
          </w:tcPr>
          <w:p w:rsidRPr="00B953BF" w:rsidR="00786BFC" w:rsidP="00B953BF" w:rsidRDefault="00786BFC" w14:paraId="6C9C6F0C" w14:textId="77777777">
            <w:pPr>
              <w:ind w:left="0"/>
              <w:jc w:val="center"/>
              <w:rPr>
                <w:sz w:val="20"/>
                <w:szCs w:val="20"/>
              </w:rPr>
            </w:pPr>
          </w:p>
        </w:tc>
        <w:tc>
          <w:tcPr>
            <w:tcW w:w="1822" w:type="dxa"/>
            <w:gridSpan w:val="3"/>
          </w:tcPr>
          <w:p w:rsidRPr="00B953BF" w:rsidR="00786BFC" w:rsidP="00B953BF" w:rsidRDefault="00786BFC" w14:paraId="485D197E" w14:textId="77777777">
            <w:pPr>
              <w:ind w:left="0"/>
              <w:jc w:val="center"/>
              <w:rPr>
                <w:sz w:val="20"/>
                <w:szCs w:val="20"/>
              </w:rPr>
            </w:pPr>
          </w:p>
        </w:tc>
        <w:tc>
          <w:tcPr>
            <w:tcW w:w="1672" w:type="dxa"/>
          </w:tcPr>
          <w:p w:rsidRPr="00B953BF" w:rsidR="00B953BF" w:rsidP="00B953BF" w:rsidRDefault="00B953BF" w14:paraId="2EF3A6B0" w14:textId="77777777">
            <w:pPr>
              <w:ind w:left="0"/>
              <w:jc w:val="center"/>
              <w:rPr>
                <w:sz w:val="20"/>
                <w:szCs w:val="20"/>
              </w:rPr>
            </w:pPr>
          </w:p>
          <w:p w:rsidRPr="00B953BF" w:rsidR="00786BFC" w:rsidP="00B953BF" w:rsidRDefault="00244A4D" w14:paraId="36A7DF00" w14:textId="6A35D9DB">
            <w:pPr>
              <w:ind w:left="0"/>
              <w:jc w:val="center"/>
              <w:rPr>
                <w:sz w:val="20"/>
                <w:szCs w:val="20"/>
              </w:rPr>
            </w:pPr>
            <w:r w:rsidRPr="00B953BF">
              <w:rPr>
                <w:sz w:val="20"/>
                <w:szCs w:val="20"/>
              </w:rPr>
              <w:t>$</w:t>
            </w:r>
            <w:r w:rsidRPr="00B953BF" w:rsidR="004D4ACE">
              <w:rPr>
                <w:sz w:val="20"/>
                <w:szCs w:val="20"/>
              </w:rPr>
              <w:t>188</w:t>
            </w:r>
          </w:p>
        </w:tc>
      </w:tr>
      <w:tr w:rsidRPr="003A37FB" w:rsidR="00786BFC" w:rsidTr="00166540" w14:paraId="28D7153C" w14:textId="77777777">
        <w:trPr>
          <w:trHeight w:val="332"/>
        </w:trPr>
        <w:tc>
          <w:tcPr>
            <w:tcW w:w="7290" w:type="dxa"/>
            <w:gridSpan w:val="3"/>
            <w:tcBorders>
              <w:right w:val="nil"/>
            </w:tcBorders>
            <w:vAlign w:val="center"/>
          </w:tcPr>
          <w:p w:rsidRPr="00B953BF" w:rsidR="00786BFC" w:rsidP="00166540" w:rsidRDefault="00786BFC" w14:paraId="0F8DAC27" w14:textId="77777777">
            <w:pPr>
              <w:ind w:left="0"/>
              <w:jc w:val="right"/>
              <w:rPr>
                <w:b/>
                <w:sz w:val="20"/>
                <w:szCs w:val="20"/>
              </w:rPr>
            </w:pPr>
            <w:r w:rsidRPr="00B953BF">
              <w:rPr>
                <w:b/>
                <w:sz w:val="20"/>
                <w:szCs w:val="20"/>
              </w:rPr>
              <w:t>Estimated Total Cost of Information Collection</w:t>
            </w:r>
          </w:p>
        </w:tc>
        <w:tc>
          <w:tcPr>
            <w:tcW w:w="236" w:type="dxa"/>
            <w:tcBorders>
              <w:left w:val="nil"/>
              <w:right w:val="nil"/>
            </w:tcBorders>
            <w:vAlign w:val="center"/>
          </w:tcPr>
          <w:p w:rsidRPr="00B953BF" w:rsidR="00786BFC" w:rsidP="00166540" w:rsidRDefault="00786BFC" w14:paraId="49121D99" w14:textId="77777777">
            <w:pPr>
              <w:ind w:left="0"/>
              <w:rPr>
                <w:b/>
                <w:sz w:val="20"/>
                <w:szCs w:val="20"/>
              </w:rPr>
            </w:pPr>
          </w:p>
        </w:tc>
        <w:tc>
          <w:tcPr>
            <w:tcW w:w="236" w:type="dxa"/>
            <w:tcBorders>
              <w:left w:val="nil"/>
            </w:tcBorders>
            <w:vAlign w:val="center"/>
          </w:tcPr>
          <w:p w:rsidRPr="00B953BF" w:rsidR="00786BFC" w:rsidP="00166540" w:rsidRDefault="00786BFC" w14:paraId="570650B8" w14:textId="77777777">
            <w:pPr>
              <w:ind w:left="0"/>
              <w:rPr>
                <w:b/>
                <w:sz w:val="20"/>
                <w:szCs w:val="20"/>
              </w:rPr>
            </w:pPr>
          </w:p>
        </w:tc>
        <w:tc>
          <w:tcPr>
            <w:tcW w:w="1672" w:type="dxa"/>
            <w:vAlign w:val="center"/>
          </w:tcPr>
          <w:p w:rsidRPr="00B953BF" w:rsidR="00A4651C" w:rsidP="0095083F" w:rsidRDefault="00244A4D" w14:paraId="75C7DEB5" w14:textId="7EC2F9BD">
            <w:pPr>
              <w:ind w:left="0"/>
              <w:jc w:val="center"/>
              <w:rPr>
                <w:rFonts w:ascii="Times New Roman" w:hAnsi="Times New Roman" w:cs="Times New Roman"/>
                <w:b/>
                <w:sz w:val="24"/>
                <w:szCs w:val="24"/>
              </w:rPr>
            </w:pPr>
            <w:r w:rsidRPr="00B953BF">
              <w:rPr>
                <w:b/>
                <w:sz w:val="20"/>
                <w:szCs w:val="20"/>
              </w:rPr>
              <w:t>$</w:t>
            </w:r>
            <w:r w:rsidRPr="00B953BF" w:rsidR="004D4ACE">
              <w:rPr>
                <w:b/>
                <w:sz w:val="20"/>
                <w:szCs w:val="20"/>
              </w:rPr>
              <w:t>4,769</w:t>
            </w:r>
          </w:p>
          <w:p w:rsidRPr="00B953BF" w:rsidR="00A4651C" w:rsidP="0095083F" w:rsidRDefault="00A4651C" w14:paraId="28539064" w14:textId="35E6028C">
            <w:pPr>
              <w:ind w:left="0"/>
              <w:jc w:val="center"/>
              <w:rPr>
                <w:b/>
                <w:sz w:val="20"/>
                <w:szCs w:val="20"/>
              </w:rPr>
            </w:pPr>
          </w:p>
        </w:tc>
      </w:tr>
    </w:tbl>
    <w:p w:rsidR="0042500C" w:rsidP="001C7607" w:rsidRDefault="00765287" w14:paraId="1E3B96F1" w14:textId="6B4EB70C">
      <w:pPr>
        <w:ind w:left="360"/>
      </w:pPr>
      <w:r>
        <w:t xml:space="preserve">Note: cost estimates </w:t>
      </w:r>
      <w:r w:rsidR="00BA617D">
        <w:t xml:space="preserve">in Table A-14 indicate the average cost </w:t>
      </w:r>
      <w:r w:rsidR="00BA617D">
        <w:rPr>
          <w:rFonts w:cs="Arial"/>
        </w:rPr>
        <w:t>per collection (i.e. per response), based on a total of 320 responses received from a total of 278 respondents</w:t>
      </w:r>
      <w:r w:rsidRPr="000E58F5" w:rsidR="00BA617D">
        <w:rPr>
          <w:rFonts w:cs="Arial"/>
        </w:rPr>
        <w:t>.</w:t>
      </w:r>
    </w:p>
    <w:p w:rsidR="00734D99" w:rsidP="001C7607" w:rsidRDefault="00734D99" w14:paraId="5767DE4D" w14:textId="77777777">
      <w:pPr>
        <w:ind w:left="360"/>
      </w:pPr>
    </w:p>
    <w:p w:rsidRPr="00D75750" w:rsidR="00B12F51" w:rsidP="00692DEB" w:rsidRDefault="00D75750" w14:paraId="780ADEBF" w14:textId="77777777">
      <w:pPr>
        <w:pStyle w:val="Heading4"/>
      </w:pPr>
      <w:bookmarkStart w:name="_Toc427752828" w:id="21"/>
      <w:r w:rsidRPr="00D75750">
        <w:t>Explanation for Program Changes or Adjustments</w:t>
      </w:r>
      <w:bookmarkEnd w:id="21"/>
    </w:p>
    <w:p w:rsidR="00F52BCC" w:rsidP="008B65FF" w:rsidRDefault="003C7C5D" w14:paraId="54102C1D" w14:textId="7D4FEAAF">
      <w:pPr>
        <w:ind w:left="360"/>
      </w:pPr>
      <w:r>
        <w:t xml:space="preserve">This is a new </w:t>
      </w:r>
      <w:r w:rsidR="002E2EDD">
        <w:t>data</w:t>
      </w:r>
      <w:r w:rsidR="00157413">
        <w:t xml:space="preserve"> collection</w:t>
      </w:r>
      <w:r>
        <w:t>.</w:t>
      </w:r>
    </w:p>
    <w:p w:rsidR="00721719" w:rsidP="005D6F14" w:rsidRDefault="00721719" w14:paraId="22544E38" w14:textId="77777777"/>
    <w:p w:rsidR="00734D99" w:rsidP="001C7607" w:rsidRDefault="00734D99" w14:paraId="301A2350" w14:textId="77777777"/>
    <w:p w:rsidRPr="007B6A12" w:rsidR="00B12F51" w:rsidP="00692DEB" w:rsidRDefault="00616090" w14:paraId="4322E87A" w14:textId="77777777">
      <w:pPr>
        <w:pStyle w:val="Heading4"/>
      </w:pPr>
      <w:bookmarkStart w:name="_Toc427752829" w:id="22"/>
      <w:r w:rsidRPr="007B6A12">
        <w:t>Plan</w:t>
      </w:r>
      <w:r w:rsidRPr="007B6A12" w:rsidR="00D75750">
        <w:t>s for Tabulation and Publication and Project Time Schedule</w:t>
      </w:r>
      <w:bookmarkEnd w:id="22"/>
    </w:p>
    <w:p w:rsidRPr="00B953BF" w:rsidR="008C59E7" w:rsidP="00912C0A" w:rsidRDefault="00220943" w14:paraId="2D3D7480" w14:textId="7C871674">
      <w:pPr>
        <w:ind w:left="360"/>
        <w:rPr>
          <w:iCs/>
        </w:rPr>
      </w:pPr>
      <w:r w:rsidRPr="00B953BF">
        <w:t xml:space="preserve">As resources and respondents may be impacted by the COVID-19 pandemic, we propose that data collection begin in </w:t>
      </w:r>
      <w:r w:rsidRPr="00B953BF" w:rsidR="006C7339">
        <w:t>July 2020</w:t>
      </w:r>
      <w:r w:rsidRPr="00B953BF" w:rsidR="009A7CBA">
        <w:t xml:space="preserve"> so that activities are complete</w:t>
      </w:r>
      <w:r w:rsidRPr="00B953BF" w:rsidR="00BB5F65">
        <w:t>d</w:t>
      </w:r>
      <w:r w:rsidRPr="00B953BF" w:rsidR="009A7CBA">
        <w:t xml:space="preserve"> prior to</w:t>
      </w:r>
      <w:r w:rsidRPr="00B953BF" w:rsidR="00BB5F65">
        <w:t xml:space="preserve"> possible </w:t>
      </w:r>
      <w:r w:rsidRPr="00B953BF" w:rsidR="00E21493">
        <w:t xml:space="preserve">seasonal </w:t>
      </w:r>
      <w:r w:rsidRPr="00B953BF" w:rsidR="00AF508F">
        <w:lastRenderedPageBreak/>
        <w:t>surges</w:t>
      </w:r>
      <w:r w:rsidRPr="00B953BF" w:rsidR="00E21493">
        <w:t xml:space="preserve"> in </w:t>
      </w:r>
      <w:r w:rsidRPr="00B953BF" w:rsidR="000363F2">
        <w:t xml:space="preserve">disease </w:t>
      </w:r>
      <w:r w:rsidRPr="00B953BF" w:rsidR="00E21493">
        <w:t>transmission</w:t>
      </w:r>
      <w:r w:rsidRPr="00B953BF">
        <w:t xml:space="preserve">. </w:t>
      </w:r>
      <w:r w:rsidRPr="00B953BF" w:rsidR="000D0AEB">
        <w:t xml:space="preserve">Quantitative data collected using the </w:t>
      </w:r>
      <w:r w:rsidRPr="00B953BF" w:rsidR="00BA5C91">
        <w:t>Online Assessment</w:t>
      </w:r>
      <w:r w:rsidRPr="00B953BF" w:rsidR="000D0AEB">
        <w:t xml:space="preserve"> Instrument will be stored on an encrypted and password-protected file server at the University of </w:t>
      </w:r>
      <w:r w:rsidRPr="00B953BF" w:rsidR="00D163FF">
        <w:t>Colorado</w:t>
      </w:r>
      <w:r w:rsidRPr="00B953BF" w:rsidR="000D0AEB">
        <w:t xml:space="preserve"> for data cleaning and analysis.  Once data cleaning procedures are complete,</w:t>
      </w:r>
      <w:r w:rsidRPr="00B953BF" w:rsidR="00912C0A">
        <w:t xml:space="preserve"> </w:t>
      </w:r>
      <w:r w:rsidRPr="00B953BF" w:rsidR="000D0AEB">
        <w:t xml:space="preserve">the resulting quantitative data file will be </w:t>
      </w:r>
      <w:r w:rsidRPr="00B953BF" w:rsidR="00160FE6">
        <w:t xml:space="preserve">linked </w:t>
      </w:r>
      <w:r w:rsidRPr="00B953BF" w:rsidR="000D0AEB">
        <w:t xml:space="preserve">with the other publicly available secondary data sources to be used in the analysis, including data from the National Health Security Preparedness Index, the Spatial Hazard Events and Losses Database (SHELDUS), the NACCHO and ASTHO Profile surveys, and the Area Health Resources File.  </w:t>
      </w:r>
      <w:r w:rsidRPr="00B953BF" w:rsidR="00B536D8">
        <w:t xml:space="preserve">Quantitative analyses will be used to learn about the relevance, completeness and utility of the Index for PHEP programs. </w:t>
      </w:r>
      <w:r w:rsidRPr="00B953BF" w:rsidR="000D0AEB">
        <w:rPr>
          <w:iCs/>
        </w:rPr>
        <w:t xml:space="preserve"> </w:t>
      </w:r>
    </w:p>
    <w:p w:rsidRPr="00B953BF" w:rsidR="000D0AEB" w:rsidP="008B65FF" w:rsidRDefault="000D0AEB" w14:paraId="0BB3FEA5" w14:textId="38441A5B">
      <w:pPr>
        <w:ind w:left="360"/>
        <w:rPr>
          <w:iCs/>
        </w:rPr>
      </w:pPr>
    </w:p>
    <w:p w:rsidRPr="00B953BF" w:rsidR="000D0AEB" w:rsidP="000D0AEB" w:rsidRDefault="000D0AEB" w14:paraId="27B3E84E" w14:textId="4E68BEB2">
      <w:pPr>
        <w:ind w:left="360"/>
      </w:pPr>
      <w:r w:rsidRPr="00B953BF">
        <w:t xml:space="preserve">For the qualitative data collected using the Semi-Structured Interview </w:t>
      </w:r>
      <w:r w:rsidRPr="00B953BF" w:rsidR="00912C0A">
        <w:t>Guide Instrumen</w:t>
      </w:r>
      <w:r w:rsidRPr="00B953BF">
        <w:t xml:space="preserve">t, electronic files for all recordings, transcripts, and interviewer notes </w:t>
      </w:r>
      <w:r w:rsidRPr="00B953BF" w:rsidR="00FF6D6A">
        <w:t xml:space="preserve">from interviews and focus groups </w:t>
      </w:r>
      <w:r w:rsidRPr="00B953BF">
        <w:t xml:space="preserve">will be maintained on encrypted and password protected </w:t>
      </w:r>
      <w:r w:rsidRPr="00B953BF" w:rsidR="00912C0A">
        <w:t>computer servers</w:t>
      </w:r>
      <w:r w:rsidRPr="00B953BF">
        <w:t xml:space="preserve"> and computers in compliance with requirements for data security.  Qualitative data files will be coded and analyzed using </w:t>
      </w:r>
      <w:proofErr w:type="spellStart"/>
      <w:r w:rsidRPr="00B953BF">
        <w:t>ATLAS.ti</w:t>
      </w:r>
      <w:proofErr w:type="spellEnd"/>
      <w:r w:rsidRPr="00B953BF">
        <w:t xml:space="preserve"> and NVIVO text analysis software. Coded qualitative data files will be linked with the quantitative analytical file to support mixed-method analyses by using the unique study identifiers assigned to each qualitative and quantitative observation. </w:t>
      </w:r>
      <w:r w:rsidRPr="00B953BF" w:rsidR="00912C0A">
        <w:t xml:space="preserve"> </w:t>
      </w:r>
    </w:p>
    <w:p w:rsidRPr="00B953BF" w:rsidR="00912C0A" w:rsidP="000D0AEB" w:rsidRDefault="00912C0A" w14:paraId="7F49A1DA" w14:textId="51E942B2">
      <w:pPr>
        <w:ind w:left="360"/>
      </w:pPr>
    </w:p>
    <w:p w:rsidRPr="00B953BF" w:rsidR="00912C0A" w:rsidP="00912C0A" w:rsidRDefault="00912C0A" w14:paraId="7CB09135" w14:textId="554AF912">
      <w:pPr>
        <w:ind w:left="360"/>
        <w:rPr>
          <w:rFonts w:cs="Arial"/>
        </w:rPr>
      </w:pPr>
      <w:r w:rsidRPr="00B953BF">
        <w:rPr>
          <w:iCs/>
        </w:rPr>
        <w:t>Findings from the analyses will be used to expand and improve the Index measurement set and to develop a collection of guides and tools that help PHEP programs use the Index to strengthen their activities all results will be reported in aggregate form only</w:t>
      </w:r>
      <w:r w:rsidRPr="00B953BF" w:rsidR="00B536D8">
        <w:rPr>
          <w:iCs/>
        </w:rPr>
        <w:t xml:space="preserve"> and results will be used to develop guidance documents and tools, and findings may be published in scientific journals. </w:t>
      </w:r>
    </w:p>
    <w:p w:rsidR="00734D99" w:rsidP="0042500C" w:rsidRDefault="00734D99" w14:paraId="4C2DE7CE" w14:textId="273DA354">
      <w:pPr>
        <w:ind w:left="0"/>
        <w:rPr>
          <w:rFonts w:cs="Arial"/>
          <w:b/>
        </w:rPr>
      </w:pPr>
    </w:p>
    <w:p w:rsidR="00E20294" w:rsidP="0042500C" w:rsidRDefault="00E20294" w14:paraId="48037288" w14:textId="77777777">
      <w:pPr>
        <w:ind w:left="0"/>
        <w:rPr>
          <w:rFonts w:cs="Arial"/>
          <w:b/>
        </w:rPr>
      </w:pPr>
    </w:p>
    <w:p w:rsidRPr="00BB090C" w:rsidR="008C59E7" w:rsidP="008B65FF" w:rsidRDefault="008C59E7" w14:paraId="25F940FB" w14:textId="56F8CD56">
      <w:pPr>
        <w:ind w:left="360"/>
        <w:rPr>
          <w:rFonts w:cs="Arial"/>
          <w:color w:val="0070C0"/>
        </w:rPr>
      </w:pPr>
      <w:r w:rsidRPr="00BB090C">
        <w:rPr>
          <w:rFonts w:cs="Arial"/>
          <w:u w:val="single"/>
        </w:rPr>
        <w:t>Project Time Schedule</w:t>
      </w:r>
    </w:p>
    <w:p w:rsidRPr="00F0000D" w:rsidR="008C59E7" w:rsidP="00782FBD" w:rsidRDefault="008C59E7" w14:paraId="663E9261" w14:textId="02EF73A0">
      <w:pPr>
        <w:pStyle w:val="ListParagraph"/>
        <w:numPr>
          <w:ilvl w:val="0"/>
          <w:numId w:val="3"/>
        </w:numPr>
        <w:tabs>
          <w:tab w:val="right" w:leader="dot" w:pos="9360"/>
        </w:tabs>
        <w:ind w:left="1080"/>
      </w:pPr>
      <w:r w:rsidRPr="00F0000D">
        <w:rPr>
          <w:rFonts w:eastAsiaTheme="majorEastAsia" w:cstheme="majorBidi"/>
        </w:rPr>
        <w:t xml:space="preserve">Design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rsidRPr="00F0000D" w:rsidR="008C59E7" w:rsidP="00782FBD" w:rsidRDefault="008C59E7" w14:paraId="09829218" w14:textId="77777777">
      <w:pPr>
        <w:pStyle w:val="ListParagraph"/>
        <w:numPr>
          <w:ilvl w:val="0"/>
          <w:numId w:val="4"/>
        </w:numPr>
        <w:tabs>
          <w:tab w:val="right" w:leader="dot" w:pos="9360"/>
        </w:tabs>
        <w:ind w:left="1080"/>
      </w:pPr>
      <w:r w:rsidRPr="00F0000D">
        <w:rPr>
          <w:rFonts w:eastAsiaTheme="majorEastAsia" w:cstheme="majorBidi"/>
        </w:rPr>
        <w:t xml:space="preserve">Develop protocol, instructions, and analysis plan </w:t>
      </w:r>
      <w:r w:rsidRPr="00F0000D">
        <w:tab/>
      </w:r>
      <w:r w:rsidRPr="00F0000D">
        <w:rPr>
          <w:rFonts w:eastAsiaTheme="majorEastAsia" w:cstheme="majorBidi"/>
        </w:rPr>
        <w:t>(COMPLETE)</w:t>
      </w:r>
    </w:p>
    <w:p w:rsidRPr="00F0000D" w:rsidR="008C59E7" w:rsidP="00782FBD" w:rsidRDefault="008C59E7" w14:paraId="712B6A0C" w14:textId="4C8E63CD">
      <w:pPr>
        <w:pStyle w:val="ListParagraph"/>
        <w:numPr>
          <w:ilvl w:val="0"/>
          <w:numId w:val="5"/>
        </w:numPr>
        <w:tabs>
          <w:tab w:val="right" w:leader="dot" w:pos="9360"/>
        </w:tabs>
        <w:ind w:left="1080"/>
      </w:pPr>
      <w:r w:rsidRPr="00F0000D">
        <w:rPr>
          <w:rFonts w:eastAsiaTheme="majorEastAsia" w:cstheme="majorBidi"/>
        </w:rPr>
        <w:t xml:space="preserve">Pilot test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rsidRPr="00F0000D" w:rsidR="008C59E7" w:rsidP="00782FBD" w:rsidRDefault="008C59E7" w14:paraId="29904B91" w14:textId="77777777">
      <w:pPr>
        <w:pStyle w:val="ListParagraph"/>
        <w:numPr>
          <w:ilvl w:val="0"/>
          <w:numId w:val="5"/>
        </w:numPr>
        <w:tabs>
          <w:tab w:val="right" w:leader="dot" w:pos="9360"/>
        </w:tabs>
        <w:ind w:left="1080"/>
      </w:pPr>
      <w:r w:rsidRPr="00F0000D">
        <w:rPr>
          <w:rFonts w:eastAsiaTheme="majorEastAsia" w:cstheme="majorBidi"/>
        </w:rPr>
        <w:t xml:space="preserve">Prepare OMB package </w:t>
      </w:r>
      <w:r w:rsidRPr="00F0000D">
        <w:tab/>
      </w:r>
      <w:r w:rsidRPr="00F0000D">
        <w:rPr>
          <w:rFonts w:eastAsiaTheme="majorEastAsia" w:cstheme="majorBidi"/>
        </w:rPr>
        <w:t>(COMPLETE)</w:t>
      </w:r>
    </w:p>
    <w:p w:rsidRPr="00F0000D" w:rsidR="008C59E7" w:rsidP="00782FBD" w:rsidRDefault="008C59E7" w14:paraId="1FAFC13C" w14:textId="77777777">
      <w:pPr>
        <w:pStyle w:val="ListParagraph"/>
        <w:numPr>
          <w:ilvl w:val="0"/>
          <w:numId w:val="5"/>
        </w:numPr>
        <w:tabs>
          <w:tab w:val="right" w:leader="dot" w:pos="9360"/>
        </w:tabs>
        <w:ind w:left="1080"/>
      </w:pPr>
      <w:r w:rsidRPr="00F0000D">
        <w:rPr>
          <w:rFonts w:eastAsiaTheme="majorEastAsia" w:cstheme="majorBidi"/>
        </w:rPr>
        <w:t xml:space="preserve">Submit OMB package </w:t>
      </w:r>
      <w:r w:rsidRPr="00F0000D">
        <w:tab/>
      </w:r>
      <w:r w:rsidRPr="00F0000D">
        <w:rPr>
          <w:rFonts w:eastAsiaTheme="majorEastAsia" w:cstheme="majorBidi"/>
        </w:rPr>
        <w:t>(COMPLETE)</w:t>
      </w:r>
    </w:p>
    <w:p w:rsidRPr="00B953BF" w:rsidR="008C59E7" w:rsidP="00782FBD" w:rsidRDefault="008C59E7" w14:paraId="3494E02E" w14:textId="77777777">
      <w:pPr>
        <w:pStyle w:val="ListParagraph"/>
        <w:numPr>
          <w:ilvl w:val="0"/>
          <w:numId w:val="2"/>
        </w:numPr>
        <w:tabs>
          <w:tab w:val="right" w:leader="dot" w:pos="9360"/>
        </w:tabs>
        <w:ind w:left="1080"/>
      </w:pPr>
      <w:r w:rsidRPr="00B953BF">
        <w:rPr>
          <w:rFonts w:eastAsiaTheme="majorEastAsia" w:cstheme="majorBidi"/>
        </w:rPr>
        <w:t xml:space="preserve">OMB approval </w:t>
      </w:r>
      <w:r w:rsidRPr="00B953BF">
        <w:tab/>
      </w:r>
      <w:r w:rsidRPr="00B953BF">
        <w:rPr>
          <w:rFonts w:eastAsiaTheme="majorEastAsia" w:cstheme="majorBidi"/>
        </w:rPr>
        <w:t>(TBD)</w:t>
      </w:r>
    </w:p>
    <w:p w:rsidRPr="00B953BF" w:rsidR="008C59E7" w:rsidP="00782FBD" w:rsidRDefault="008C59E7" w14:paraId="4E692631" w14:textId="23687FEB">
      <w:pPr>
        <w:pStyle w:val="ListParagraph"/>
        <w:numPr>
          <w:ilvl w:val="0"/>
          <w:numId w:val="2"/>
        </w:numPr>
        <w:tabs>
          <w:tab w:val="right" w:leader="dot" w:pos="9360"/>
        </w:tabs>
        <w:ind w:left="1080"/>
      </w:pPr>
      <w:r w:rsidRPr="00B953BF">
        <w:rPr>
          <w:rFonts w:eastAsiaTheme="majorEastAsia" w:cstheme="majorBidi"/>
        </w:rPr>
        <w:t xml:space="preserve">Conduct </w:t>
      </w:r>
      <w:r w:rsidRPr="00B953BF" w:rsidR="00BA5C91">
        <w:rPr>
          <w:rFonts w:eastAsiaTheme="majorEastAsia" w:cstheme="majorBidi"/>
        </w:rPr>
        <w:t>Online Assessment Instrument</w:t>
      </w:r>
      <w:r w:rsidRPr="00B953BF" w:rsidR="00243CDC">
        <w:rPr>
          <w:rFonts w:eastAsiaTheme="majorEastAsia" w:cstheme="majorBidi"/>
        </w:rPr>
        <w:t xml:space="preserve"> </w:t>
      </w:r>
      <w:r w:rsidRPr="00B953BF" w:rsidR="00F0000D">
        <w:rPr>
          <w:rFonts w:eastAsiaTheme="majorEastAsia" w:cstheme="majorBidi"/>
        </w:rPr>
        <w:t>data collection</w:t>
      </w:r>
      <w:r w:rsidRPr="00B953BF">
        <w:rPr>
          <w:rFonts w:eastAsiaTheme="majorEastAsia" w:cstheme="majorBidi"/>
        </w:rPr>
        <w:t xml:space="preserve"> </w:t>
      </w:r>
      <w:r w:rsidRPr="00B953BF">
        <w:tab/>
      </w:r>
      <w:r w:rsidRPr="00B953BF">
        <w:rPr>
          <w:rFonts w:eastAsiaTheme="majorEastAsia" w:cstheme="majorBidi"/>
        </w:rPr>
        <w:t>(</w:t>
      </w:r>
      <w:r w:rsidRPr="00B953BF" w:rsidR="00F0000D">
        <w:rPr>
          <w:rFonts w:eastAsiaTheme="majorEastAsia" w:cstheme="majorBidi"/>
        </w:rPr>
        <w:t>O</w:t>
      </w:r>
      <w:r w:rsidRPr="00B953BF">
        <w:rPr>
          <w:rFonts w:eastAsiaTheme="majorEastAsia" w:cstheme="majorBidi"/>
        </w:rPr>
        <w:t xml:space="preserve">pen </w:t>
      </w:r>
      <w:r w:rsidRPr="00B953BF" w:rsidR="00243CDC">
        <w:rPr>
          <w:rFonts w:eastAsiaTheme="majorEastAsia" w:cstheme="majorBidi"/>
        </w:rPr>
        <w:t>5</w:t>
      </w:r>
      <w:r w:rsidRPr="00B953BF">
        <w:rPr>
          <w:rFonts w:eastAsiaTheme="majorEastAsia" w:cstheme="majorBidi"/>
        </w:rPr>
        <w:t xml:space="preserve"> weeks)</w:t>
      </w:r>
    </w:p>
    <w:p w:rsidRPr="00B953BF" w:rsidR="008C59E7" w:rsidP="00782FBD" w:rsidRDefault="008C59E7" w14:paraId="32EB0BB4" w14:textId="7B001842">
      <w:pPr>
        <w:pStyle w:val="ListParagraph"/>
        <w:numPr>
          <w:ilvl w:val="0"/>
          <w:numId w:val="2"/>
        </w:numPr>
        <w:tabs>
          <w:tab w:val="right" w:leader="dot" w:pos="9360"/>
        </w:tabs>
        <w:ind w:left="1080"/>
      </w:pPr>
      <w:r w:rsidRPr="00B953BF">
        <w:rPr>
          <w:rFonts w:eastAsiaTheme="majorEastAsia" w:cstheme="majorBidi"/>
        </w:rPr>
        <w:t>Code</w:t>
      </w:r>
      <w:r w:rsidRPr="00B953BF" w:rsidR="001C7607">
        <w:rPr>
          <w:rFonts w:eastAsiaTheme="majorEastAsia" w:cstheme="majorBidi"/>
        </w:rPr>
        <w:t xml:space="preserve"> data</w:t>
      </w:r>
      <w:r w:rsidRPr="00B953BF">
        <w:rPr>
          <w:rFonts w:eastAsiaTheme="majorEastAsia" w:cstheme="majorBidi"/>
        </w:rPr>
        <w:t xml:space="preserve">, </w:t>
      </w:r>
      <w:r w:rsidRPr="00B953BF" w:rsidR="001C7607">
        <w:rPr>
          <w:rFonts w:eastAsiaTheme="majorEastAsia" w:cstheme="majorBidi"/>
        </w:rPr>
        <w:t xml:space="preserve">conduct </w:t>
      </w:r>
      <w:r w:rsidRPr="00B953BF">
        <w:rPr>
          <w:rFonts w:eastAsiaTheme="majorEastAsia" w:cstheme="majorBidi"/>
        </w:rPr>
        <w:t xml:space="preserve">quality control, </w:t>
      </w:r>
      <w:r w:rsidRPr="00B953BF" w:rsidR="00243CDC">
        <w:rPr>
          <w:rFonts w:eastAsiaTheme="majorEastAsia" w:cstheme="majorBidi"/>
        </w:rPr>
        <w:t xml:space="preserve">link </w:t>
      </w:r>
      <w:r w:rsidRPr="00B953BF">
        <w:rPr>
          <w:rFonts w:eastAsiaTheme="majorEastAsia" w:cstheme="majorBidi"/>
        </w:rPr>
        <w:t xml:space="preserve">and analyze </w:t>
      </w:r>
      <w:r w:rsidRPr="00B953BF" w:rsidR="00243CDC">
        <w:rPr>
          <w:rFonts w:eastAsiaTheme="majorEastAsia" w:cstheme="majorBidi"/>
        </w:rPr>
        <w:t xml:space="preserve">survey </w:t>
      </w:r>
      <w:r w:rsidRPr="00B953BF">
        <w:rPr>
          <w:rFonts w:eastAsiaTheme="majorEastAsia" w:cstheme="majorBidi"/>
        </w:rPr>
        <w:t>data</w:t>
      </w:r>
      <w:r w:rsidRPr="00B953BF">
        <w:rPr>
          <w:rFonts w:cs="Arial"/>
        </w:rPr>
        <w:tab/>
      </w:r>
      <w:r w:rsidRPr="00B953BF" w:rsidR="00F0000D">
        <w:rPr>
          <w:rFonts w:eastAsiaTheme="majorEastAsia" w:cstheme="majorBidi"/>
        </w:rPr>
        <w:t>(</w:t>
      </w:r>
      <w:r w:rsidRPr="00B953BF" w:rsidR="00243CDC">
        <w:rPr>
          <w:rFonts w:eastAsiaTheme="majorEastAsia" w:cstheme="majorBidi"/>
        </w:rPr>
        <w:t>8</w:t>
      </w:r>
      <w:r w:rsidRPr="00B953BF">
        <w:rPr>
          <w:rFonts w:eastAsiaTheme="majorEastAsia" w:cstheme="majorBidi"/>
        </w:rPr>
        <w:t xml:space="preserve"> weeks)</w:t>
      </w:r>
    </w:p>
    <w:p w:rsidRPr="00B953BF" w:rsidR="008C59E7" w:rsidP="00782FBD" w:rsidRDefault="007B6A12" w14:paraId="7E2CD36D" w14:textId="4DAF9D87">
      <w:pPr>
        <w:pStyle w:val="ListParagraph"/>
        <w:numPr>
          <w:ilvl w:val="0"/>
          <w:numId w:val="2"/>
        </w:numPr>
        <w:tabs>
          <w:tab w:val="right" w:leader="dot" w:pos="9360"/>
        </w:tabs>
        <w:ind w:left="1080"/>
      </w:pPr>
      <w:r w:rsidRPr="00B953BF">
        <w:rPr>
          <w:rFonts w:eastAsiaTheme="majorEastAsia" w:cstheme="majorBidi"/>
        </w:rPr>
        <w:t xml:space="preserve">Prepare </w:t>
      </w:r>
      <w:r w:rsidRPr="00B953BF" w:rsidR="001C7607">
        <w:rPr>
          <w:rFonts w:eastAsiaTheme="majorEastAsia" w:cstheme="majorBidi"/>
        </w:rPr>
        <w:t xml:space="preserve">summary </w:t>
      </w:r>
      <w:r w:rsidRPr="00B953BF">
        <w:rPr>
          <w:rFonts w:eastAsiaTheme="majorEastAsia" w:cstheme="majorBidi"/>
        </w:rPr>
        <w:t>report</w:t>
      </w:r>
      <w:r w:rsidRPr="00B953BF" w:rsidR="00243CDC">
        <w:rPr>
          <w:rFonts w:eastAsiaTheme="majorEastAsia" w:cstheme="majorBidi"/>
        </w:rPr>
        <w:t xml:space="preserve"> </w:t>
      </w:r>
      <w:proofErr w:type="gramStart"/>
      <w:r w:rsidRPr="00B953BF" w:rsidR="00243CDC">
        <w:rPr>
          <w:rFonts w:eastAsiaTheme="majorEastAsia" w:cstheme="majorBidi"/>
        </w:rPr>
        <w:t>on  data</w:t>
      </w:r>
      <w:proofErr w:type="gramEnd"/>
      <w:r w:rsidRPr="00B953BF" w:rsidR="008C59E7">
        <w:rPr>
          <w:rFonts w:eastAsiaTheme="majorEastAsia" w:cstheme="majorBidi"/>
        </w:rPr>
        <w:t xml:space="preserve"> </w:t>
      </w:r>
      <w:r w:rsidRPr="00B953BF" w:rsidR="008C59E7">
        <w:tab/>
      </w:r>
      <w:r w:rsidRPr="00B953BF" w:rsidR="008C59E7">
        <w:rPr>
          <w:rFonts w:eastAsiaTheme="majorEastAsia" w:cstheme="majorBidi"/>
        </w:rPr>
        <w:t>(</w:t>
      </w:r>
      <w:r w:rsidRPr="00B953BF" w:rsidR="00243CDC">
        <w:rPr>
          <w:rFonts w:eastAsiaTheme="majorEastAsia" w:cstheme="majorBidi"/>
        </w:rPr>
        <w:t>4</w:t>
      </w:r>
      <w:r w:rsidRPr="00B953BF" w:rsidR="008C59E7">
        <w:rPr>
          <w:rFonts w:eastAsiaTheme="majorEastAsia" w:cstheme="majorBidi"/>
        </w:rPr>
        <w:t xml:space="preserve"> weeks)</w:t>
      </w:r>
    </w:p>
    <w:p w:rsidRPr="00B953BF" w:rsidR="008C59E7" w:rsidP="00782FBD" w:rsidRDefault="008C59E7" w14:paraId="18B7F10A" w14:textId="182D460B">
      <w:pPr>
        <w:pStyle w:val="ListParagraph"/>
        <w:numPr>
          <w:ilvl w:val="0"/>
          <w:numId w:val="2"/>
        </w:numPr>
        <w:tabs>
          <w:tab w:val="right" w:leader="dot" w:pos="9360"/>
        </w:tabs>
        <w:ind w:left="1080"/>
      </w:pPr>
      <w:r w:rsidRPr="00B953BF">
        <w:rPr>
          <w:rFonts w:eastAsiaTheme="majorEastAsia" w:cstheme="majorBidi"/>
        </w:rPr>
        <w:t>Disseminate results/reports</w:t>
      </w:r>
      <w:r w:rsidRPr="00B953BF" w:rsidR="00243CDC">
        <w:rPr>
          <w:rFonts w:eastAsiaTheme="majorEastAsia" w:cstheme="majorBidi"/>
        </w:rPr>
        <w:t xml:space="preserve"> </w:t>
      </w:r>
      <w:proofErr w:type="gramStart"/>
      <w:r w:rsidRPr="00B953BF" w:rsidR="00243CDC">
        <w:rPr>
          <w:rFonts w:eastAsiaTheme="majorEastAsia" w:cstheme="majorBidi"/>
        </w:rPr>
        <w:t>on  data</w:t>
      </w:r>
      <w:proofErr w:type="gramEnd"/>
      <w:r w:rsidRPr="00B953BF">
        <w:rPr>
          <w:rFonts w:eastAsiaTheme="majorEastAsia" w:cstheme="majorBidi"/>
        </w:rPr>
        <w:t xml:space="preserve"> </w:t>
      </w:r>
      <w:r w:rsidRPr="00B953BF">
        <w:tab/>
      </w:r>
      <w:r w:rsidRPr="00B953BF">
        <w:rPr>
          <w:rFonts w:eastAsiaTheme="majorEastAsia" w:cstheme="majorBidi"/>
        </w:rPr>
        <w:t>(</w:t>
      </w:r>
      <w:r w:rsidRPr="00B953BF" w:rsidR="00BA5C91">
        <w:rPr>
          <w:rFonts w:eastAsiaTheme="majorEastAsia" w:cstheme="majorBidi"/>
        </w:rPr>
        <w:t xml:space="preserve">12 </w:t>
      </w:r>
      <w:r w:rsidRPr="00B953BF">
        <w:rPr>
          <w:rFonts w:eastAsiaTheme="majorEastAsia" w:cstheme="majorBidi"/>
        </w:rPr>
        <w:t>weeks)</w:t>
      </w:r>
    </w:p>
    <w:p w:rsidRPr="00B953BF" w:rsidR="00243CDC" w:rsidP="00243CDC" w:rsidRDefault="00243CDC" w14:paraId="48A7D3F0" w14:textId="5FE2C2E0">
      <w:pPr>
        <w:pStyle w:val="ListParagraph"/>
        <w:numPr>
          <w:ilvl w:val="0"/>
          <w:numId w:val="2"/>
        </w:numPr>
        <w:tabs>
          <w:tab w:val="right" w:leader="dot" w:pos="9360"/>
        </w:tabs>
        <w:ind w:left="1080"/>
      </w:pPr>
      <w:r w:rsidRPr="00B953BF">
        <w:rPr>
          <w:rFonts w:eastAsiaTheme="majorEastAsia" w:cstheme="majorBidi"/>
        </w:rPr>
        <w:t xml:space="preserve">Conduct </w:t>
      </w:r>
      <w:r w:rsidRPr="00B953BF" w:rsidR="00BA5C91">
        <w:rPr>
          <w:rFonts w:eastAsiaTheme="majorEastAsia" w:cstheme="majorBidi"/>
        </w:rPr>
        <w:t>Key Informant I</w:t>
      </w:r>
      <w:r w:rsidRPr="00B953BF">
        <w:rPr>
          <w:rFonts w:eastAsiaTheme="majorEastAsia" w:cstheme="majorBidi"/>
        </w:rPr>
        <w:t xml:space="preserve">nterview data collection </w:t>
      </w:r>
      <w:r w:rsidRPr="00B953BF">
        <w:tab/>
      </w:r>
      <w:r w:rsidRPr="00B953BF">
        <w:rPr>
          <w:rFonts w:eastAsiaTheme="majorEastAsia" w:cstheme="majorBidi"/>
        </w:rPr>
        <w:t>(Open 8 weeks)</w:t>
      </w:r>
    </w:p>
    <w:p w:rsidRPr="00B953BF" w:rsidR="00243CDC" w:rsidP="00243CDC" w:rsidRDefault="00243CDC" w14:paraId="697A87FC" w14:textId="171B8E55">
      <w:pPr>
        <w:pStyle w:val="ListParagraph"/>
        <w:numPr>
          <w:ilvl w:val="0"/>
          <w:numId w:val="2"/>
        </w:numPr>
        <w:tabs>
          <w:tab w:val="right" w:leader="dot" w:pos="9360"/>
        </w:tabs>
        <w:ind w:left="1080"/>
      </w:pPr>
      <w:r w:rsidRPr="00B953BF">
        <w:rPr>
          <w:rFonts w:eastAsiaTheme="majorEastAsia" w:cstheme="majorBidi"/>
        </w:rPr>
        <w:t>Code data, conduct quality control, link and analyze interview data</w:t>
      </w:r>
      <w:r w:rsidRPr="00B953BF">
        <w:rPr>
          <w:rFonts w:cs="Arial"/>
        </w:rPr>
        <w:tab/>
      </w:r>
      <w:r w:rsidRPr="00B953BF">
        <w:rPr>
          <w:rFonts w:eastAsiaTheme="majorEastAsia" w:cstheme="majorBidi"/>
        </w:rPr>
        <w:t>(</w:t>
      </w:r>
      <w:r w:rsidRPr="00B953BF" w:rsidR="00E75A6A">
        <w:rPr>
          <w:rFonts w:eastAsiaTheme="majorEastAsia" w:cstheme="majorBidi"/>
        </w:rPr>
        <w:t>4</w:t>
      </w:r>
      <w:r w:rsidRPr="00B953BF">
        <w:rPr>
          <w:rFonts w:eastAsiaTheme="majorEastAsia" w:cstheme="majorBidi"/>
        </w:rPr>
        <w:t xml:space="preserve"> weeks)</w:t>
      </w:r>
    </w:p>
    <w:p w:rsidRPr="00B953BF" w:rsidR="00243CDC" w:rsidP="00243CDC" w:rsidRDefault="00243CDC" w14:paraId="1CBFBAAC" w14:textId="4C3E5D4A">
      <w:pPr>
        <w:pStyle w:val="ListParagraph"/>
        <w:numPr>
          <w:ilvl w:val="0"/>
          <w:numId w:val="2"/>
        </w:numPr>
        <w:tabs>
          <w:tab w:val="right" w:leader="dot" w:pos="9360"/>
        </w:tabs>
        <w:ind w:left="1080"/>
      </w:pPr>
      <w:r w:rsidRPr="00B953BF">
        <w:rPr>
          <w:rFonts w:eastAsiaTheme="majorEastAsia" w:cstheme="majorBidi"/>
        </w:rPr>
        <w:t xml:space="preserve">Prepare summary report on </w:t>
      </w:r>
      <w:r w:rsidRPr="00B953BF" w:rsidR="00E75A6A">
        <w:rPr>
          <w:rFonts w:eastAsiaTheme="majorEastAsia" w:cstheme="majorBidi"/>
        </w:rPr>
        <w:t>interview</w:t>
      </w:r>
      <w:r w:rsidRPr="00B953BF">
        <w:rPr>
          <w:rFonts w:eastAsiaTheme="majorEastAsia" w:cstheme="majorBidi"/>
        </w:rPr>
        <w:t xml:space="preserve"> data </w:t>
      </w:r>
      <w:r w:rsidRPr="00B953BF">
        <w:tab/>
      </w:r>
      <w:r w:rsidRPr="00B953BF">
        <w:rPr>
          <w:rFonts w:eastAsiaTheme="majorEastAsia" w:cstheme="majorBidi"/>
        </w:rPr>
        <w:t>(4 weeks)</w:t>
      </w:r>
    </w:p>
    <w:p w:rsidRPr="00B953BF" w:rsidR="00243CDC" w:rsidP="00243CDC" w:rsidRDefault="00243CDC" w14:paraId="02691016" w14:textId="51B322A6">
      <w:pPr>
        <w:pStyle w:val="ListParagraph"/>
        <w:numPr>
          <w:ilvl w:val="0"/>
          <w:numId w:val="2"/>
        </w:numPr>
        <w:tabs>
          <w:tab w:val="right" w:leader="dot" w:pos="9360"/>
        </w:tabs>
        <w:ind w:left="1080"/>
      </w:pPr>
      <w:r w:rsidRPr="00B953BF">
        <w:rPr>
          <w:rFonts w:eastAsiaTheme="majorEastAsia" w:cstheme="majorBidi"/>
        </w:rPr>
        <w:t xml:space="preserve">Disseminate results/reports on </w:t>
      </w:r>
      <w:r w:rsidRPr="00B953BF" w:rsidR="00E75A6A">
        <w:rPr>
          <w:rFonts w:eastAsiaTheme="majorEastAsia" w:cstheme="majorBidi"/>
        </w:rPr>
        <w:t>interview</w:t>
      </w:r>
      <w:r w:rsidRPr="00B953BF">
        <w:rPr>
          <w:rFonts w:eastAsiaTheme="majorEastAsia" w:cstheme="majorBidi"/>
        </w:rPr>
        <w:t xml:space="preserve"> data </w:t>
      </w:r>
      <w:r w:rsidRPr="00B953BF">
        <w:tab/>
      </w:r>
      <w:r w:rsidRPr="00B953BF">
        <w:rPr>
          <w:rFonts w:eastAsiaTheme="majorEastAsia" w:cstheme="majorBidi"/>
        </w:rPr>
        <w:t>(</w:t>
      </w:r>
      <w:r w:rsidRPr="00B953BF" w:rsidR="00BA5C91">
        <w:rPr>
          <w:rFonts w:eastAsiaTheme="majorEastAsia" w:cstheme="majorBidi"/>
        </w:rPr>
        <w:t xml:space="preserve">8 </w:t>
      </w:r>
      <w:r w:rsidRPr="00B953BF">
        <w:rPr>
          <w:rFonts w:eastAsiaTheme="majorEastAsia" w:cstheme="majorBidi"/>
        </w:rPr>
        <w:t>weeks)</w:t>
      </w:r>
    </w:p>
    <w:p w:rsidR="00F0000D" w:rsidP="005D6F14" w:rsidRDefault="00F0000D" w14:paraId="21EA4A17" w14:textId="77777777"/>
    <w:p w:rsidRPr="00D75750" w:rsidR="00B12F51" w:rsidP="00692DEB" w:rsidRDefault="00D75750" w14:paraId="10B731BE" w14:textId="77777777">
      <w:pPr>
        <w:pStyle w:val="Heading4"/>
      </w:pPr>
      <w:bookmarkStart w:name="_Toc427752830" w:id="23"/>
      <w:r w:rsidRPr="00D75750">
        <w:t xml:space="preserve">Reason(s) Display of OMB Expiration </w:t>
      </w:r>
      <w:r>
        <w:t xml:space="preserve">Date </w:t>
      </w:r>
      <w:r w:rsidRPr="00D75750">
        <w:t>is Inappropriate</w:t>
      </w:r>
      <w:bookmarkEnd w:id="23"/>
    </w:p>
    <w:p w:rsidR="00F52BCC" w:rsidP="008B65FF" w:rsidRDefault="00180D45" w14:paraId="5EFBF78D" w14:textId="77777777">
      <w:pPr>
        <w:ind w:left="360"/>
      </w:pPr>
      <w:r>
        <w:t>We are requesting no exemption.</w:t>
      </w:r>
    </w:p>
    <w:p w:rsidR="00F52BCC" w:rsidP="005D6F14" w:rsidRDefault="00F52BCC" w14:paraId="0354B88A" w14:textId="77777777"/>
    <w:p w:rsidR="003705DF" w:rsidP="005D6F14" w:rsidRDefault="003705DF" w14:paraId="19E33178" w14:textId="77777777"/>
    <w:p w:rsidRPr="00D26A64" w:rsidR="00B12F51" w:rsidP="00692DEB" w:rsidRDefault="00B12F51" w14:paraId="64383137" w14:textId="77777777">
      <w:pPr>
        <w:pStyle w:val="Heading4"/>
      </w:pPr>
      <w:bookmarkStart w:name="_Toc427752831" w:id="24"/>
      <w:r w:rsidRPr="00D26A64">
        <w:lastRenderedPageBreak/>
        <w:t>Exceptions to Certification for Paperwork Reduction Act Submissions</w:t>
      </w:r>
      <w:bookmarkEnd w:id="24"/>
    </w:p>
    <w:p w:rsidR="00D1343B" w:rsidP="00DD5E65" w:rsidRDefault="0031279F" w14:paraId="15EB9D3D" w14:textId="20674887">
      <w:pPr>
        <w:ind w:left="360"/>
      </w:pPr>
      <w:r>
        <w:t>There are no exceptions to the certification.</w:t>
      </w:r>
      <w:r w:rsidR="00180D45">
        <w:t xml:space="preserve">  These activities comply with the requirements in 5 CFR 1320.9.</w:t>
      </w:r>
    </w:p>
    <w:p w:rsidR="008B12FA" w:rsidP="00DD5E65" w:rsidRDefault="008B12FA" w14:paraId="0F39B494" w14:textId="77777777">
      <w:pPr>
        <w:ind w:left="360"/>
      </w:pPr>
    </w:p>
    <w:p w:rsidR="00A36419" w:rsidP="008C59E7" w:rsidRDefault="00A36419" w14:paraId="0AFBDE2B" w14:textId="77777777">
      <w:pPr>
        <w:pStyle w:val="Heading3"/>
        <w:ind w:left="0"/>
      </w:pPr>
      <w:bookmarkStart w:name="_Toc427752832" w:id="25"/>
      <w:r>
        <w:t>LIST OF ATTACHMENTS</w:t>
      </w:r>
      <w:r w:rsidR="00A33E90">
        <w:t xml:space="preserve"> – Section A</w:t>
      </w:r>
      <w:bookmarkEnd w:id="25"/>
    </w:p>
    <w:p w:rsidRPr="00B953BF" w:rsidR="00E647FB" w:rsidP="00782FBD" w:rsidRDefault="00A1453A" w14:paraId="7BF99D76" w14:textId="755C1A59">
      <w:pPr>
        <w:pStyle w:val="ListParagraph"/>
        <w:numPr>
          <w:ilvl w:val="0"/>
          <w:numId w:val="7"/>
        </w:numPr>
        <w:tabs>
          <w:tab w:val="clear" w:pos="9360"/>
        </w:tabs>
        <w:spacing w:line="240" w:lineRule="auto"/>
        <w:ind w:left="720"/>
        <w:rPr>
          <w:b/>
        </w:rPr>
      </w:pPr>
      <w:r w:rsidRPr="00B953BF">
        <w:rPr>
          <w:b/>
        </w:rPr>
        <w:t xml:space="preserve">Attachment A </w:t>
      </w:r>
      <w:r w:rsidRPr="00B953BF">
        <w:rPr>
          <w:rFonts w:ascii="Cambria" w:hAnsi="Cambria"/>
          <w:b/>
        </w:rPr>
        <w:t xml:space="preserve">– </w:t>
      </w:r>
      <w:r w:rsidRPr="00B953BF" w:rsidR="00CD76A8">
        <w:rPr>
          <w:b/>
        </w:rPr>
        <w:t>Online Assessment Instrument</w:t>
      </w:r>
      <w:r w:rsidRPr="00B953BF" w:rsidR="00FD73EC">
        <w:rPr>
          <w:b/>
        </w:rPr>
        <w:t>, Word Version</w:t>
      </w:r>
      <w:r w:rsidRPr="00B953BF" w:rsidR="00CD76A8">
        <w:rPr>
          <w:b/>
        </w:rPr>
        <w:t xml:space="preserve"> </w:t>
      </w:r>
      <w:r w:rsidRPr="00B953BF" w:rsidR="00DC6104">
        <w:rPr>
          <w:b/>
        </w:rPr>
        <w:t xml:space="preserve"> </w:t>
      </w:r>
    </w:p>
    <w:p w:rsidRPr="00B953BF" w:rsidR="00FD73EC" w:rsidP="00782FBD" w:rsidRDefault="00FD73EC" w14:paraId="77B329DA" w14:textId="44817878">
      <w:pPr>
        <w:pStyle w:val="ListParagraph"/>
        <w:numPr>
          <w:ilvl w:val="0"/>
          <w:numId w:val="7"/>
        </w:numPr>
        <w:tabs>
          <w:tab w:val="clear" w:pos="9360"/>
        </w:tabs>
        <w:spacing w:line="240" w:lineRule="auto"/>
        <w:ind w:left="720"/>
        <w:rPr>
          <w:b/>
        </w:rPr>
      </w:pPr>
      <w:r w:rsidRPr="00B953BF">
        <w:rPr>
          <w:b/>
        </w:rPr>
        <w:t xml:space="preserve">Attachment B </w:t>
      </w:r>
      <w:r w:rsidRPr="00B953BF">
        <w:rPr>
          <w:rFonts w:ascii="Cambria" w:hAnsi="Cambria"/>
          <w:b/>
        </w:rPr>
        <w:t xml:space="preserve">– </w:t>
      </w:r>
      <w:r w:rsidRPr="00B953BF">
        <w:rPr>
          <w:b/>
        </w:rPr>
        <w:t>Online Assessment Instrument, Web Version</w:t>
      </w:r>
    </w:p>
    <w:p w:rsidRPr="00B953BF" w:rsidR="00E647FB" w:rsidP="00782FBD" w:rsidRDefault="00A1453A" w14:paraId="321AA018" w14:textId="70B806C9">
      <w:pPr>
        <w:pStyle w:val="ListParagraph"/>
        <w:numPr>
          <w:ilvl w:val="0"/>
          <w:numId w:val="7"/>
        </w:numPr>
        <w:tabs>
          <w:tab w:val="clear" w:pos="9360"/>
        </w:tabs>
        <w:spacing w:line="240" w:lineRule="auto"/>
        <w:ind w:left="720"/>
        <w:rPr>
          <w:b/>
        </w:rPr>
      </w:pPr>
      <w:r w:rsidRPr="00B953BF">
        <w:rPr>
          <w:b/>
        </w:rPr>
        <w:t xml:space="preserve">Attachment </w:t>
      </w:r>
      <w:r w:rsidRPr="00B953BF" w:rsidR="00FD73EC">
        <w:rPr>
          <w:b/>
        </w:rPr>
        <w:t>C</w:t>
      </w:r>
      <w:r w:rsidRPr="00B953BF">
        <w:rPr>
          <w:b/>
        </w:rPr>
        <w:t xml:space="preserve"> </w:t>
      </w:r>
      <w:r w:rsidRPr="00B953BF">
        <w:rPr>
          <w:rFonts w:ascii="Cambria" w:hAnsi="Cambria"/>
          <w:b/>
        </w:rPr>
        <w:t xml:space="preserve">– </w:t>
      </w:r>
      <w:r w:rsidRPr="00B953BF" w:rsidR="00D97168">
        <w:rPr>
          <w:b/>
        </w:rPr>
        <w:t xml:space="preserve">Semi-Structured Interview Guide </w:t>
      </w:r>
    </w:p>
    <w:p w:rsidR="00CC7188" w:rsidP="005D6F14" w:rsidRDefault="00CC7188" w14:paraId="0E390CF6" w14:textId="77777777"/>
    <w:p w:rsidR="003705DF" w:rsidP="005D6F14" w:rsidRDefault="003705DF" w14:paraId="01D0FCA9" w14:textId="77777777"/>
    <w:p w:rsidR="00CC7188" w:rsidP="003860A5" w:rsidRDefault="00CC7188" w14:paraId="3DB2ED85" w14:textId="77777777">
      <w:pPr>
        <w:pStyle w:val="Heading3"/>
        <w:ind w:left="0"/>
      </w:pPr>
      <w:bookmarkStart w:name="_Toc427752833" w:id="26"/>
      <w:r w:rsidRPr="00CC7188">
        <w:t xml:space="preserve">REFERENCE LIST </w:t>
      </w:r>
      <w:bookmarkEnd w:id="26"/>
    </w:p>
    <w:p w:rsidR="000058E0" w:rsidP="00782FBD" w:rsidRDefault="000058E0" w14:paraId="144ECAFB" w14:textId="38AAF161">
      <w:pPr>
        <w:pStyle w:val="ListParagraph"/>
        <w:numPr>
          <w:ilvl w:val="2"/>
          <w:numId w:val="1"/>
        </w:numPr>
        <w:tabs>
          <w:tab w:val="clear" w:pos="9360"/>
        </w:tabs>
        <w:spacing w:line="240" w:lineRule="auto"/>
        <w:ind w:hanging="360"/>
      </w:pPr>
      <w:r w:rsidRPr="008C59E7">
        <w:t xml:space="preserve">Centers for Disease Control and Prevention (CDC). "National Public Health Performance Standards Program (NPHPSP): 10 Essential Public Health Services." Available at </w:t>
      </w:r>
      <w:hyperlink w:history="1" r:id="rId15">
        <w:r w:rsidRPr="0052417E" w:rsidR="006F21B8">
          <w:rPr>
            <w:rStyle w:val="Hyperlink"/>
          </w:rPr>
          <w:t>http://www.cdc.gov/nphpsp/essentialservices.html. Accessed on 8/14/14</w:t>
        </w:r>
      </w:hyperlink>
      <w:r w:rsidRPr="008C59E7">
        <w:t>.</w:t>
      </w:r>
    </w:p>
    <w:p w:rsidR="006F21B8" w:rsidP="006F21B8" w:rsidRDefault="006F21B8" w14:paraId="75A1115F" w14:textId="3FB0B32A">
      <w:pPr>
        <w:pStyle w:val="ListParagraph"/>
        <w:numPr>
          <w:ilvl w:val="2"/>
          <w:numId w:val="1"/>
        </w:numPr>
        <w:tabs>
          <w:tab w:val="clear" w:pos="9360"/>
        </w:tabs>
        <w:spacing w:line="240" w:lineRule="auto"/>
        <w:ind w:hanging="360"/>
      </w:pPr>
      <w:proofErr w:type="spellStart"/>
      <w:r>
        <w:t>Uzun</w:t>
      </w:r>
      <w:proofErr w:type="spellEnd"/>
      <w:r>
        <w:t xml:space="preserve"> Jacobson E, </w:t>
      </w:r>
      <w:proofErr w:type="spellStart"/>
      <w:r>
        <w:t>Inglesby</w:t>
      </w:r>
      <w:proofErr w:type="spellEnd"/>
      <w:r>
        <w:t xml:space="preserve"> T, Khan AS, Rajotte JC, </w:t>
      </w:r>
      <w:proofErr w:type="spellStart"/>
      <w:r>
        <w:t>Burhans</w:t>
      </w:r>
      <w:proofErr w:type="spellEnd"/>
      <w:r>
        <w:t xml:space="preserve"> RL, </w:t>
      </w:r>
      <w:proofErr w:type="spellStart"/>
      <w:r>
        <w:t>Slemp</w:t>
      </w:r>
      <w:proofErr w:type="spellEnd"/>
      <w:r>
        <w:t xml:space="preserve"> CC, Links JM. Design of the </w:t>
      </w:r>
      <w:r w:rsidR="00726316">
        <w:t>N</w:t>
      </w:r>
      <w:r>
        <w:t xml:space="preserve">ational </w:t>
      </w:r>
      <w:r w:rsidR="00726316">
        <w:t>H</w:t>
      </w:r>
      <w:r>
        <w:t xml:space="preserve">ealth </w:t>
      </w:r>
      <w:r w:rsidR="00726316">
        <w:t>S</w:t>
      </w:r>
      <w:r>
        <w:t xml:space="preserve">ecurity </w:t>
      </w:r>
      <w:r w:rsidR="00726316">
        <w:t>P</w:t>
      </w:r>
      <w:r>
        <w:t xml:space="preserve">reparedness </w:t>
      </w:r>
      <w:r w:rsidR="00726316">
        <w:t>I</w:t>
      </w:r>
      <w:r>
        <w:t>ndex. Biosecurity and Bioterrorism. 2014;12(3):122-31.</w:t>
      </w:r>
    </w:p>
    <w:p w:rsidR="00D71F73" w:rsidP="00D71F73" w:rsidRDefault="00D71F73" w14:paraId="247C1D67" w14:textId="3E29A236">
      <w:pPr>
        <w:pStyle w:val="ListParagraph"/>
        <w:numPr>
          <w:ilvl w:val="2"/>
          <w:numId w:val="1"/>
        </w:numPr>
        <w:tabs>
          <w:tab w:val="clear" w:pos="9360"/>
        </w:tabs>
        <w:spacing w:line="240" w:lineRule="auto"/>
        <w:ind w:hanging="360"/>
      </w:pPr>
      <w:r>
        <w:t xml:space="preserve">U.S. Centers for Disease Control and Prevention (CDC).  “Public Health Emergency Preparedness and Response Capabilities: National Standards for State, Local, Tribal and Territorial Public Health.”  Available at: </w:t>
      </w:r>
      <w:hyperlink w:history="1" r:id="rId16">
        <w:r w:rsidRPr="0052417E">
          <w:rPr>
            <w:rStyle w:val="Hyperlink"/>
          </w:rPr>
          <w:t>https://www.cdc.gov/cpr/readiness/00_docs/CDC_PreparednesResponseCapabilities_October2018_Final_508.pdf</w:t>
        </w:r>
      </w:hyperlink>
      <w:r>
        <w:t xml:space="preserve"> </w:t>
      </w:r>
    </w:p>
    <w:p w:rsidRPr="008C59E7" w:rsidR="00E474ED" w:rsidP="00CD28CE" w:rsidRDefault="00E474ED" w14:paraId="5E40D74B" w14:textId="2D2D3F5A">
      <w:pPr>
        <w:pStyle w:val="ListParagraph"/>
        <w:numPr>
          <w:ilvl w:val="2"/>
          <w:numId w:val="1"/>
        </w:numPr>
        <w:tabs>
          <w:tab w:val="clear" w:pos="9360"/>
        </w:tabs>
        <w:spacing w:line="240" w:lineRule="auto"/>
        <w:ind w:hanging="360"/>
      </w:pPr>
      <w:r>
        <w:t xml:space="preserve">Qari SH, Yusuf HR, Groseclose SL, </w:t>
      </w:r>
      <w:proofErr w:type="spellStart"/>
      <w:r>
        <w:t>Leinhos</w:t>
      </w:r>
      <w:proofErr w:type="spellEnd"/>
      <w:r>
        <w:t xml:space="preserve"> MR, Carbone EG. Public Health Emergency Preparedness System Evaluation Criteria and Performance Metrics: A Review of Contributions of the CDC-Funded Preparedness and Emergency Response Research Centers. </w:t>
      </w:r>
      <w:r w:rsidRPr="00E474ED">
        <w:rPr>
          <w:i/>
        </w:rPr>
        <w:t>Disaster Medicine and Public Health Preparedness</w:t>
      </w:r>
      <w:r>
        <w:t>. 201</w:t>
      </w:r>
      <w:r w:rsidR="000D1AB1">
        <w:t>9</w:t>
      </w:r>
      <w:r>
        <w:t>;13:</w:t>
      </w:r>
      <w:r w:rsidRPr="000D1AB1" w:rsidR="000D1AB1">
        <w:t xml:space="preserve"> 626-638</w:t>
      </w:r>
      <w:r>
        <w:t>.</w:t>
      </w:r>
    </w:p>
    <w:sectPr w:rsidRPr="008C59E7" w:rsidR="00E474ED" w:rsidSect="00385BB5">
      <w:headerReference w:type="default" r:id="rId17"/>
      <w:footerReference w:type="defaul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EDA50" w14:textId="77777777" w:rsidR="00AA20D5" w:rsidRDefault="00AA20D5" w:rsidP="007D6163">
      <w:r>
        <w:separator/>
      </w:r>
    </w:p>
    <w:p w14:paraId="1809F918" w14:textId="77777777" w:rsidR="00AA20D5" w:rsidRDefault="00AA20D5" w:rsidP="007D6163"/>
  </w:endnote>
  <w:endnote w:type="continuationSeparator" w:id="0">
    <w:p w14:paraId="6197CE50" w14:textId="77777777" w:rsidR="00AA20D5" w:rsidRDefault="00AA20D5" w:rsidP="007D6163">
      <w:r>
        <w:continuationSeparator/>
      </w:r>
    </w:p>
    <w:p w14:paraId="17D2C555" w14:textId="77777777" w:rsidR="00AA20D5" w:rsidRDefault="00AA20D5"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MalgunGothicBold">
    <w:altName w:val="Malgun Gothic"/>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4EAC17F9" w14:textId="77D29D13" w:rsidR="00F51887" w:rsidRDefault="00F5188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15</w:t>
            </w:r>
            <w:r>
              <w:rPr>
                <w:b/>
                <w:bCs/>
                <w:sz w:val="24"/>
                <w:szCs w:val="24"/>
              </w:rPr>
              <w:fldChar w:fldCharType="end"/>
            </w:r>
          </w:p>
        </w:sdtContent>
      </w:sdt>
    </w:sdtContent>
  </w:sdt>
  <w:p w14:paraId="3B208153" w14:textId="77777777" w:rsidR="00F51887" w:rsidRDefault="00F51887" w:rsidP="007D61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47266" w14:textId="77777777" w:rsidR="00AA20D5" w:rsidRDefault="00AA20D5" w:rsidP="007D6163">
      <w:r>
        <w:separator/>
      </w:r>
    </w:p>
    <w:p w14:paraId="1F557CA3" w14:textId="77777777" w:rsidR="00AA20D5" w:rsidRDefault="00AA20D5" w:rsidP="007D6163"/>
  </w:footnote>
  <w:footnote w:type="continuationSeparator" w:id="0">
    <w:p w14:paraId="37307B67" w14:textId="77777777" w:rsidR="00AA20D5" w:rsidRDefault="00AA20D5" w:rsidP="007D6163">
      <w:r>
        <w:continuationSeparator/>
      </w:r>
    </w:p>
    <w:p w14:paraId="59FAE812" w14:textId="77777777" w:rsidR="00AA20D5" w:rsidRDefault="00AA20D5" w:rsidP="007D61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18B77" w14:textId="77777777" w:rsidR="00F51887" w:rsidRPr="00716F94" w:rsidRDefault="00F51887" w:rsidP="007D6163">
    <w:pPr>
      <w:pStyle w:val="Header"/>
      <w:rPr>
        <w:color w:val="0033CC"/>
      </w:rPr>
    </w:pPr>
    <w:r>
      <w:tab/>
    </w:r>
  </w:p>
  <w:p w14:paraId="195027EE" w14:textId="77777777" w:rsidR="00F51887" w:rsidRDefault="00F51887" w:rsidP="007D61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68B3"/>
    <w:multiLevelType w:val="hybridMultilevel"/>
    <w:tmpl w:val="D2940C52"/>
    <w:lvl w:ilvl="0" w:tplc="E9089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F0FA1"/>
    <w:multiLevelType w:val="hybridMultilevel"/>
    <w:tmpl w:val="596AC15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 w15:restartNumberingAfterBreak="0">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0" w15:restartNumberingAfterBreak="0">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5B1801"/>
    <w:multiLevelType w:val="hybridMultilevel"/>
    <w:tmpl w:val="4AFE52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5"/>
  </w:num>
  <w:num w:numId="4">
    <w:abstractNumId w:val="4"/>
  </w:num>
  <w:num w:numId="5">
    <w:abstractNumId w:val="11"/>
  </w:num>
  <w:num w:numId="6">
    <w:abstractNumId w:val="1"/>
  </w:num>
  <w:num w:numId="7">
    <w:abstractNumId w:val="7"/>
  </w:num>
  <w:num w:numId="8">
    <w:abstractNumId w:val="3"/>
  </w:num>
  <w:num w:numId="9">
    <w:abstractNumId w:val="10"/>
  </w:num>
  <w:num w:numId="10">
    <w:abstractNumId w:val="2"/>
  </w:num>
  <w:num w:numId="11">
    <w:abstractNumId w:val="6"/>
  </w:num>
  <w:num w:numId="12">
    <w:abstractNumId w:val="17"/>
  </w:num>
  <w:num w:numId="13">
    <w:abstractNumId w:val="16"/>
  </w:num>
  <w:num w:numId="14">
    <w:abstractNumId w:val="9"/>
  </w:num>
  <w:num w:numId="15">
    <w:abstractNumId w:val="8"/>
  </w:num>
  <w:num w:numId="16">
    <w:abstractNumId w:val="13"/>
  </w:num>
  <w:num w:numId="17">
    <w:abstractNumId w:val="0"/>
  </w:num>
  <w:num w:numId="18">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94"/>
    <w:rsid w:val="00003752"/>
    <w:rsid w:val="000058E0"/>
    <w:rsid w:val="000060DB"/>
    <w:rsid w:val="00010006"/>
    <w:rsid w:val="000108BD"/>
    <w:rsid w:val="00011A98"/>
    <w:rsid w:val="00011F8D"/>
    <w:rsid w:val="000130B4"/>
    <w:rsid w:val="00014361"/>
    <w:rsid w:val="00014579"/>
    <w:rsid w:val="000147A6"/>
    <w:rsid w:val="00014944"/>
    <w:rsid w:val="0002036E"/>
    <w:rsid w:val="00026F23"/>
    <w:rsid w:val="00035D88"/>
    <w:rsid w:val="000363F2"/>
    <w:rsid w:val="00036BAC"/>
    <w:rsid w:val="00040611"/>
    <w:rsid w:val="0004305C"/>
    <w:rsid w:val="0004634F"/>
    <w:rsid w:val="00046CCD"/>
    <w:rsid w:val="000474FB"/>
    <w:rsid w:val="00050240"/>
    <w:rsid w:val="000505F7"/>
    <w:rsid w:val="00053A92"/>
    <w:rsid w:val="00054450"/>
    <w:rsid w:val="00054839"/>
    <w:rsid w:val="00055DAE"/>
    <w:rsid w:val="00057F36"/>
    <w:rsid w:val="000648EA"/>
    <w:rsid w:val="00066F09"/>
    <w:rsid w:val="000718A0"/>
    <w:rsid w:val="0009614D"/>
    <w:rsid w:val="0009764F"/>
    <w:rsid w:val="000977F7"/>
    <w:rsid w:val="000A1F30"/>
    <w:rsid w:val="000A2D0C"/>
    <w:rsid w:val="000A71DF"/>
    <w:rsid w:val="000B0962"/>
    <w:rsid w:val="000B1D08"/>
    <w:rsid w:val="000B2CBC"/>
    <w:rsid w:val="000B448E"/>
    <w:rsid w:val="000B5284"/>
    <w:rsid w:val="000C0A91"/>
    <w:rsid w:val="000C7AEA"/>
    <w:rsid w:val="000D0AEB"/>
    <w:rsid w:val="000D1AB1"/>
    <w:rsid w:val="000D24EA"/>
    <w:rsid w:val="000E6577"/>
    <w:rsid w:val="000E7A19"/>
    <w:rsid w:val="000F7770"/>
    <w:rsid w:val="001009A9"/>
    <w:rsid w:val="00104A1B"/>
    <w:rsid w:val="00110341"/>
    <w:rsid w:val="00111089"/>
    <w:rsid w:val="00111ACF"/>
    <w:rsid w:val="00111B52"/>
    <w:rsid w:val="00111F43"/>
    <w:rsid w:val="001128A5"/>
    <w:rsid w:val="00114683"/>
    <w:rsid w:val="001177DD"/>
    <w:rsid w:val="00126AF2"/>
    <w:rsid w:val="00130D45"/>
    <w:rsid w:val="00132D4C"/>
    <w:rsid w:val="00135334"/>
    <w:rsid w:val="001412D4"/>
    <w:rsid w:val="00144F64"/>
    <w:rsid w:val="00145D62"/>
    <w:rsid w:val="00151567"/>
    <w:rsid w:val="001557AC"/>
    <w:rsid w:val="00155D59"/>
    <w:rsid w:val="0015715D"/>
    <w:rsid w:val="00157413"/>
    <w:rsid w:val="00160FE6"/>
    <w:rsid w:val="00163E17"/>
    <w:rsid w:val="00166540"/>
    <w:rsid w:val="00166F9E"/>
    <w:rsid w:val="00167880"/>
    <w:rsid w:val="0017080B"/>
    <w:rsid w:val="00180A25"/>
    <w:rsid w:val="00180D45"/>
    <w:rsid w:val="00186B9D"/>
    <w:rsid w:val="00187870"/>
    <w:rsid w:val="00187D5A"/>
    <w:rsid w:val="0019132B"/>
    <w:rsid w:val="0019164D"/>
    <w:rsid w:val="00193B06"/>
    <w:rsid w:val="00193B1F"/>
    <w:rsid w:val="00194ECE"/>
    <w:rsid w:val="00196622"/>
    <w:rsid w:val="001972D7"/>
    <w:rsid w:val="001A28F6"/>
    <w:rsid w:val="001A5351"/>
    <w:rsid w:val="001B2582"/>
    <w:rsid w:val="001B2831"/>
    <w:rsid w:val="001B2AB8"/>
    <w:rsid w:val="001B4065"/>
    <w:rsid w:val="001B5910"/>
    <w:rsid w:val="001B70B4"/>
    <w:rsid w:val="001B7DBA"/>
    <w:rsid w:val="001C0493"/>
    <w:rsid w:val="001C28AD"/>
    <w:rsid w:val="001C298D"/>
    <w:rsid w:val="001C7607"/>
    <w:rsid w:val="001D0B08"/>
    <w:rsid w:val="001D3FA6"/>
    <w:rsid w:val="001D5697"/>
    <w:rsid w:val="001D7FCB"/>
    <w:rsid w:val="001E2075"/>
    <w:rsid w:val="001E2B99"/>
    <w:rsid w:val="001E69B6"/>
    <w:rsid w:val="001E6EF0"/>
    <w:rsid w:val="001E7537"/>
    <w:rsid w:val="001F4DBB"/>
    <w:rsid w:val="00200DFC"/>
    <w:rsid w:val="00201830"/>
    <w:rsid w:val="00202D07"/>
    <w:rsid w:val="0020312D"/>
    <w:rsid w:val="002031C9"/>
    <w:rsid w:val="00203283"/>
    <w:rsid w:val="00206E33"/>
    <w:rsid w:val="00210519"/>
    <w:rsid w:val="002118DE"/>
    <w:rsid w:val="00212B10"/>
    <w:rsid w:val="00213305"/>
    <w:rsid w:val="00220943"/>
    <w:rsid w:val="00227259"/>
    <w:rsid w:val="00235490"/>
    <w:rsid w:val="00241B17"/>
    <w:rsid w:val="00241C81"/>
    <w:rsid w:val="002434D3"/>
    <w:rsid w:val="00243CDC"/>
    <w:rsid w:val="00244557"/>
    <w:rsid w:val="00244A4D"/>
    <w:rsid w:val="00245477"/>
    <w:rsid w:val="00252304"/>
    <w:rsid w:val="0025308F"/>
    <w:rsid w:val="002540EE"/>
    <w:rsid w:val="00256923"/>
    <w:rsid w:val="00257A1C"/>
    <w:rsid w:val="00261C1B"/>
    <w:rsid w:val="002627FB"/>
    <w:rsid w:val="00266ECB"/>
    <w:rsid w:val="0027234C"/>
    <w:rsid w:val="00272E3E"/>
    <w:rsid w:val="00273B3B"/>
    <w:rsid w:val="00275A37"/>
    <w:rsid w:val="00276327"/>
    <w:rsid w:val="002813A3"/>
    <w:rsid w:val="00281795"/>
    <w:rsid w:val="002850E3"/>
    <w:rsid w:val="00287E2F"/>
    <w:rsid w:val="00291FF9"/>
    <w:rsid w:val="00294348"/>
    <w:rsid w:val="00295CA5"/>
    <w:rsid w:val="00295DB5"/>
    <w:rsid w:val="002A0E61"/>
    <w:rsid w:val="002A1948"/>
    <w:rsid w:val="002A1CF5"/>
    <w:rsid w:val="002A6EA8"/>
    <w:rsid w:val="002B1A5F"/>
    <w:rsid w:val="002B51D3"/>
    <w:rsid w:val="002C0877"/>
    <w:rsid w:val="002C22D3"/>
    <w:rsid w:val="002C2AE2"/>
    <w:rsid w:val="002D0DCE"/>
    <w:rsid w:val="002D1544"/>
    <w:rsid w:val="002D2DC0"/>
    <w:rsid w:val="002D5EB2"/>
    <w:rsid w:val="002E0153"/>
    <w:rsid w:val="002E2B10"/>
    <w:rsid w:val="002E2EDD"/>
    <w:rsid w:val="002E3773"/>
    <w:rsid w:val="002E405B"/>
    <w:rsid w:val="002E491B"/>
    <w:rsid w:val="002E73B0"/>
    <w:rsid w:val="002F1502"/>
    <w:rsid w:val="002F2069"/>
    <w:rsid w:val="002F238C"/>
    <w:rsid w:val="002F4EB8"/>
    <w:rsid w:val="002F71A2"/>
    <w:rsid w:val="00300F25"/>
    <w:rsid w:val="003041AD"/>
    <w:rsid w:val="003067CB"/>
    <w:rsid w:val="00312420"/>
    <w:rsid w:val="0031279F"/>
    <w:rsid w:val="00313098"/>
    <w:rsid w:val="00316F00"/>
    <w:rsid w:val="003179F7"/>
    <w:rsid w:val="00320F15"/>
    <w:rsid w:val="00321833"/>
    <w:rsid w:val="00321B51"/>
    <w:rsid w:val="003223B2"/>
    <w:rsid w:val="00325C83"/>
    <w:rsid w:val="003332D8"/>
    <w:rsid w:val="003366ED"/>
    <w:rsid w:val="00336D96"/>
    <w:rsid w:val="0034139F"/>
    <w:rsid w:val="00343949"/>
    <w:rsid w:val="00344F07"/>
    <w:rsid w:val="003469C8"/>
    <w:rsid w:val="00350C8C"/>
    <w:rsid w:val="00351CFE"/>
    <w:rsid w:val="0035525F"/>
    <w:rsid w:val="00355EA4"/>
    <w:rsid w:val="003620AC"/>
    <w:rsid w:val="003635BE"/>
    <w:rsid w:val="00365045"/>
    <w:rsid w:val="00366B5E"/>
    <w:rsid w:val="003705DF"/>
    <w:rsid w:val="00370CE3"/>
    <w:rsid w:val="00372151"/>
    <w:rsid w:val="00376290"/>
    <w:rsid w:val="00376BD8"/>
    <w:rsid w:val="0037769C"/>
    <w:rsid w:val="00380957"/>
    <w:rsid w:val="003815A1"/>
    <w:rsid w:val="0038288C"/>
    <w:rsid w:val="00383542"/>
    <w:rsid w:val="003856F4"/>
    <w:rsid w:val="00385BB5"/>
    <w:rsid w:val="003860A5"/>
    <w:rsid w:val="00386BC2"/>
    <w:rsid w:val="00387CA6"/>
    <w:rsid w:val="00391C88"/>
    <w:rsid w:val="00392384"/>
    <w:rsid w:val="00392F3A"/>
    <w:rsid w:val="00394215"/>
    <w:rsid w:val="003A10EF"/>
    <w:rsid w:val="003A147A"/>
    <w:rsid w:val="003A2555"/>
    <w:rsid w:val="003A2F51"/>
    <w:rsid w:val="003A37FB"/>
    <w:rsid w:val="003A5043"/>
    <w:rsid w:val="003A5F74"/>
    <w:rsid w:val="003B125E"/>
    <w:rsid w:val="003B1BE3"/>
    <w:rsid w:val="003B2200"/>
    <w:rsid w:val="003B2AE6"/>
    <w:rsid w:val="003B4501"/>
    <w:rsid w:val="003B5EE4"/>
    <w:rsid w:val="003C1EDF"/>
    <w:rsid w:val="003C31C9"/>
    <w:rsid w:val="003C4961"/>
    <w:rsid w:val="003C5C78"/>
    <w:rsid w:val="003C6D12"/>
    <w:rsid w:val="003C7C5D"/>
    <w:rsid w:val="003D0AD2"/>
    <w:rsid w:val="003E0F5E"/>
    <w:rsid w:val="003F044B"/>
    <w:rsid w:val="003F0CC1"/>
    <w:rsid w:val="003F3209"/>
    <w:rsid w:val="003F406F"/>
    <w:rsid w:val="003F532E"/>
    <w:rsid w:val="003F5913"/>
    <w:rsid w:val="003F61EA"/>
    <w:rsid w:val="004024F8"/>
    <w:rsid w:val="004054D8"/>
    <w:rsid w:val="00405696"/>
    <w:rsid w:val="0041159A"/>
    <w:rsid w:val="00412040"/>
    <w:rsid w:val="00412FCE"/>
    <w:rsid w:val="004135D5"/>
    <w:rsid w:val="00420B02"/>
    <w:rsid w:val="004226DA"/>
    <w:rsid w:val="0042500C"/>
    <w:rsid w:val="00426EAA"/>
    <w:rsid w:val="004305A8"/>
    <w:rsid w:val="0043229B"/>
    <w:rsid w:val="00433D0B"/>
    <w:rsid w:val="004353D5"/>
    <w:rsid w:val="0043662C"/>
    <w:rsid w:val="00436B8A"/>
    <w:rsid w:val="0044130D"/>
    <w:rsid w:val="00441CC3"/>
    <w:rsid w:val="00443CA0"/>
    <w:rsid w:val="00444811"/>
    <w:rsid w:val="00444EDD"/>
    <w:rsid w:val="00450E14"/>
    <w:rsid w:val="00462C65"/>
    <w:rsid w:val="00466B9B"/>
    <w:rsid w:val="004670E1"/>
    <w:rsid w:val="004674E7"/>
    <w:rsid w:val="00467B14"/>
    <w:rsid w:val="00467D07"/>
    <w:rsid w:val="00471642"/>
    <w:rsid w:val="00474EDA"/>
    <w:rsid w:val="00475132"/>
    <w:rsid w:val="00481D80"/>
    <w:rsid w:val="004824FA"/>
    <w:rsid w:val="00483AB1"/>
    <w:rsid w:val="00484011"/>
    <w:rsid w:val="004841F1"/>
    <w:rsid w:val="00486908"/>
    <w:rsid w:val="00487937"/>
    <w:rsid w:val="00487F51"/>
    <w:rsid w:val="004A0894"/>
    <w:rsid w:val="004A1E3A"/>
    <w:rsid w:val="004A2D87"/>
    <w:rsid w:val="004A30BF"/>
    <w:rsid w:val="004A30CE"/>
    <w:rsid w:val="004B24B2"/>
    <w:rsid w:val="004B46D6"/>
    <w:rsid w:val="004B6FF1"/>
    <w:rsid w:val="004C0BF6"/>
    <w:rsid w:val="004C1781"/>
    <w:rsid w:val="004C4464"/>
    <w:rsid w:val="004C4AEA"/>
    <w:rsid w:val="004D0430"/>
    <w:rsid w:val="004D0683"/>
    <w:rsid w:val="004D1DAA"/>
    <w:rsid w:val="004D340A"/>
    <w:rsid w:val="004D4ACE"/>
    <w:rsid w:val="004D4EB1"/>
    <w:rsid w:val="004E003C"/>
    <w:rsid w:val="004E16EB"/>
    <w:rsid w:val="004E4073"/>
    <w:rsid w:val="004E6665"/>
    <w:rsid w:val="004F601A"/>
    <w:rsid w:val="004F634E"/>
    <w:rsid w:val="004F63CF"/>
    <w:rsid w:val="004F67A8"/>
    <w:rsid w:val="004F6AFA"/>
    <w:rsid w:val="004F6BF7"/>
    <w:rsid w:val="00506FEB"/>
    <w:rsid w:val="005070F6"/>
    <w:rsid w:val="005115FA"/>
    <w:rsid w:val="0051582C"/>
    <w:rsid w:val="005212E5"/>
    <w:rsid w:val="00522A50"/>
    <w:rsid w:val="00525E61"/>
    <w:rsid w:val="00527225"/>
    <w:rsid w:val="005301D3"/>
    <w:rsid w:val="0053557D"/>
    <w:rsid w:val="005410E3"/>
    <w:rsid w:val="0054316A"/>
    <w:rsid w:val="005463DE"/>
    <w:rsid w:val="00546DC2"/>
    <w:rsid w:val="00546FC4"/>
    <w:rsid w:val="00550398"/>
    <w:rsid w:val="00552D57"/>
    <w:rsid w:val="005542E8"/>
    <w:rsid w:val="00555BA3"/>
    <w:rsid w:val="00556267"/>
    <w:rsid w:val="00556630"/>
    <w:rsid w:val="0055686D"/>
    <w:rsid w:val="00564B79"/>
    <w:rsid w:val="005711BF"/>
    <w:rsid w:val="00573563"/>
    <w:rsid w:val="005800EE"/>
    <w:rsid w:val="005809FE"/>
    <w:rsid w:val="00581777"/>
    <w:rsid w:val="00583FA7"/>
    <w:rsid w:val="005869D6"/>
    <w:rsid w:val="00587C72"/>
    <w:rsid w:val="005912A9"/>
    <w:rsid w:val="0059331E"/>
    <w:rsid w:val="00594619"/>
    <w:rsid w:val="005A2568"/>
    <w:rsid w:val="005A33F6"/>
    <w:rsid w:val="005A3933"/>
    <w:rsid w:val="005A4253"/>
    <w:rsid w:val="005A4992"/>
    <w:rsid w:val="005A4D86"/>
    <w:rsid w:val="005A59E5"/>
    <w:rsid w:val="005B0C5B"/>
    <w:rsid w:val="005B220F"/>
    <w:rsid w:val="005B7440"/>
    <w:rsid w:val="005C1845"/>
    <w:rsid w:val="005C65B0"/>
    <w:rsid w:val="005D562D"/>
    <w:rsid w:val="005D6F14"/>
    <w:rsid w:val="005D75C2"/>
    <w:rsid w:val="005E0CAF"/>
    <w:rsid w:val="005E0D8D"/>
    <w:rsid w:val="005E2150"/>
    <w:rsid w:val="005E2236"/>
    <w:rsid w:val="005E2995"/>
    <w:rsid w:val="005E3C1E"/>
    <w:rsid w:val="005F3FEF"/>
    <w:rsid w:val="005F510E"/>
    <w:rsid w:val="00600C4F"/>
    <w:rsid w:val="00601316"/>
    <w:rsid w:val="0060287B"/>
    <w:rsid w:val="00605D50"/>
    <w:rsid w:val="00607F7C"/>
    <w:rsid w:val="006102DA"/>
    <w:rsid w:val="006105AF"/>
    <w:rsid w:val="00611181"/>
    <w:rsid w:val="00613BCF"/>
    <w:rsid w:val="00616090"/>
    <w:rsid w:val="00620274"/>
    <w:rsid w:val="0062339F"/>
    <w:rsid w:val="00625318"/>
    <w:rsid w:val="006315A3"/>
    <w:rsid w:val="00634CDF"/>
    <w:rsid w:val="00643E57"/>
    <w:rsid w:val="00644F27"/>
    <w:rsid w:val="00646270"/>
    <w:rsid w:val="0064743A"/>
    <w:rsid w:val="00651309"/>
    <w:rsid w:val="00651785"/>
    <w:rsid w:val="006536A8"/>
    <w:rsid w:val="00655649"/>
    <w:rsid w:val="00656118"/>
    <w:rsid w:val="00656673"/>
    <w:rsid w:val="006579A2"/>
    <w:rsid w:val="006601DD"/>
    <w:rsid w:val="00661223"/>
    <w:rsid w:val="00663647"/>
    <w:rsid w:val="006679B4"/>
    <w:rsid w:val="00667C89"/>
    <w:rsid w:val="006711EE"/>
    <w:rsid w:val="0067362C"/>
    <w:rsid w:val="006755F6"/>
    <w:rsid w:val="00675F9A"/>
    <w:rsid w:val="006809BB"/>
    <w:rsid w:val="006809FD"/>
    <w:rsid w:val="00691D1F"/>
    <w:rsid w:val="00692DEB"/>
    <w:rsid w:val="0069439C"/>
    <w:rsid w:val="006955BF"/>
    <w:rsid w:val="0069633A"/>
    <w:rsid w:val="00697BAE"/>
    <w:rsid w:val="006A09E0"/>
    <w:rsid w:val="006A4D57"/>
    <w:rsid w:val="006B2F3B"/>
    <w:rsid w:val="006B4DDC"/>
    <w:rsid w:val="006B51BD"/>
    <w:rsid w:val="006B56A3"/>
    <w:rsid w:val="006B5E55"/>
    <w:rsid w:val="006B6A54"/>
    <w:rsid w:val="006C20E8"/>
    <w:rsid w:val="006C4DA7"/>
    <w:rsid w:val="006C5EC1"/>
    <w:rsid w:val="006C7339"/>
    <w:rsid w:val="006D25A1"/>
    <w:rsid w:val="006D2F84"/>
    <w:rsid w:val="006D43E8"/>
    <w:rsid w:val="006D7FF4"/>
    <w:rsid w:val="006E14E9"/>
    <w:rsid w:val="006F09A2"/>
    <w:rsid w:val="006F0E6D"/>
    <w:rsid w:val="006F21B8"/>
    <w:rsid w:val="006F36C6"/>
    <w:rsid w:val="006F5F54"/>
    <w:rsid w:val="006F6856"/>
    <w:rsid w:val="006F752C"/>
    <w:rsid w:val="00701C63"/>
    <w:rsid w:val="00707270"/>
    <w:rsid w:val="00710F5A"/>
    <w:rsid w:val="00713412"/>
    <w:rsid w:val="0071430D"/>
    <w:rsid w:val="007145D0"/>
    <w:rsid w:val="00716CB4"/>
    <w:rsid w:val="00716F94"/>
    <w:rsid w:val="00721180"/>
    <w:rsid w:val="00721719"/>
    <w:rsid w:val="00724DC5"/>
    <w:rsid w:val="00726316"/>
    <w:rsid w:val="007270FC"/>
    <w:rsid w:val="00733AC7"/>
    <w:rsid w:val="00734D99"/>
    <w:rsid w:val="0075188E"/>
    <w:rsid w:val="00752156"/>
    <w:rsid w:val="00755748"/>
    <w:rsid w:val="00756B62"/>
    <w:rsid w:val="00756C32"/>
    <w:rsid w:val="00757BA9"/>
    <w:rsid w:val="0076001C"/>
    <w:rsid w:val="00760E12"/>
    <w:rsid w:val="00763CF3"/>
    <w:rsid w:val="00765287"/>
    <w:rsid w:val="0076604B"/>
    <w:rsid w:val="00766AD3"/>
    <w:rsid w:val="00771559"/>
    <w:rsid w:val="00772293"/>
    <w:rsid w:val="00774689"/>
    <w:rsid w:val="00776981"/>
    <w:rsid w:val="00781AE3"/>
    <w:rsid w:val="00782FBD"/>
    <w:rsid w:val="00783C75"/>
    <w:rsid w:val="00783C83"/>
    <w:rsid w:val="00784619"/>
    <w:rsid w:val="00784735"/>
    <w:rsid w:val="00784A39"/>
    <w:rsid w:val="0078627B"/>
    <w:rsid w:val="00786BFC"/>
    <w:rsid w:val="0078765B"/>
    <w:rsid w:val="00790804"/>
    <w:rsid w:val="007921F1"/>
    <w:rsid w:val="00794E32"/>
    <w:rsid w:val="007A0D73"/>
    <w:rsid w:val="007A329F"/>
    <w:rsid w:val="007A3B31"/>
    <w:rsid w:val="007A69CF"/>
    <w:rsid w:val="007B305A"/>
    <w:rsid w:val="007B5B56"/>
    <w:rsid w:val="007B6A12"/>
    <w:rsid w:val="007B7C44"/>
    <w:rsid w:val="007C523A"/>
    <w:rsid w:val="007C5666"/>
    <w:rsid w:val="007C58E7"/>
    <w:rsid w:val="007D0261"/>
    <w:rsid w:val="007D6163"/>
    <w:rsid w:val="007D759C"/>
    <w:rsid w:val="007D7B13"/>
    <w:rsid w:val="007D7BF1"/>
    <w:rsid w:val="007E1136"/>
    <w:rsid w:val="007E575D"/>
    <w:rsid w:val="007E57CD"/>
    <w:rsid w:val="007E6AEF"/>
    <w:rsid w:val="007F30A2"/>
    <w:rsid w:val="007F5776"/>
    <w:rsid w:val="007F578A"/>
    <w:rsid w:val="00802D42"/>
    <w:rsid w:val="00805607"/>
    <w:rsid w:val="00807673"/>
    <w:rsid w:val="00811875"/>
    <w:rsid w:val="00811D79"/>
    <w:rsid w:val="00813D75"/>
    <w:rsid w:val="00815C7D"/>
    <w:rsid w:val="00817941"/>
    <w:rsid w:val="008229E4"/>
    <w:rsid w:val="00823547"/>
    <w:rsid w:val="008261AB"/>
    <w:rsid w:val="008269AB"/>
    <w:rsid w:val="00834491"/>
    <w:rsid w:val="00834C91"/>
    <w:rsid w:val="00835CA7"/>
    <w:rsid w:val="008362C7"/>
    <w:rsid w:val="008370D4"/>
    <w:rsid w:val="008414AD"/>
    <w:rsid w:val="008428D9"/>
    <w:rsid w:val="0084345D"/>
    <w:rsid w:val="008504E3"/>
    <w:rsid w:val="00850FCD"/>
    <w:rsid w:val="00851720"/>
    <w:rsid w:val="00855CDB"/>
    <w:rsid w:val="00855F79"/>
    <w:rsid w:val="00870284"/>
    <w:rsid w:val="008705AC"/>
    <w:rsid w:val="008715E7"/>
    <w:rsid w:val="008748B4"/>
    <w:rsid w:val="00876002"/>
    <w:rsid w:val="00877D9A"/>
    <w:rsid w:val="0088467A"/>
    <w:rsid w:val="00884DB9"/>
    <w:rsid w:val="00885D47"/>
    <w:rsid w:val="00891313"/>
    <w:rsid w:val="008A50C5"/>
    <w:rsid w:val="008A7200"/>
    <w:rsid w:val="008B12FA"/>
    <w:rsid w:val="008B4E89"/>
    <w:rsid w:val="008B65FF"/>
    <w:rsid w:val="008B6A86"/>
    <w:rsid w:val="008C2963"/>
    <w:rsid w:val="008C408E"/>
    <w:rsid w:val="008C59E7"/>
    <w:rsid w:val="008C67D2"/>
    <w:rsid w:val="008C6DC0"/>
    <w:rsid w:val="008E0683"/>
    <w:rsid w:val="008E3D8D"/>
    <w:rsid w:val="008E54CC"/>
    <w:rsid w:val="008F2C7D"/>
    <w:rsid w:val="008F3D10"/>
    <w:rsid w:val="00902DD9"/>
    <w:rsid w:val="00904E2A"/>
    <w:rsid w:val="00910B09"/>
    <w:rsid w:val="00911486"/>
    <w:rsid w:val="009129CA"/>
    <w:rsid w:val="00912C0A"/>
    <w:rsid w:val="00913771"/>
    <w:rsid w:val="00915C4D"/>
    <w:rsid w:val="00917B99"/>
    <w:rsid w:val="009206B6"/>
    <w:rsid w:val="00921348"/>
    <w:rsid w:val="009252DC"/>
    <w:rsid w:val="009252F5"/>
    <w:rsid w:val="009263BE"/>
    <w:rsid w:val="009263C1"/>
    <w:rsid w:val="0093487C"/>
    <w:rsid w:val="00941B4F"/>
    <w:rsid w:val="00942444"/>
    <w:rsid w:val="00944770"/>
    <w:rsid w:val="00945B19"/>
    <w:rsid w:val="00947928"/>
    <w:rsid w:val="0095083F"/>
    <w:rsid w:val="009518C0"/>
    <w:rsid w:val="00954637"/>
    <w:rsid w:val="00956ACB"/>
    <w:rsid w:val="00957EC7"/>
    <w:rsid w:val="009622B3"/>
    <w:rsid w:val="00963CE3"/>
    <w:rsid w:val="00964912"/>
    <w:rsid w:val="00964F18"/>
    <w:rsid w:val="009673C8"/>
    <w:rsid w:val="00972CF3"/>
    <w:rsid w:val="009734FB"/>
    <w:rsid w:val="00974424"/>
    <w:rsid w:val="00986700"/>
    <w:rsid w:val="00987F76"/>
    <w:rsid w:val="00990512"/>
    <w:rsid w:val="00993088"/>
    <w:rsid w:val="00994C3E"/>
    <w:rsid w:val="009954D1"/>
    <w:rsid w:val="0099664F"/>
    <w:rsid w:val="0099685C"/>
    <w:rsid w:val="00997D5D"/>
    <w:rsid w:val="009A0447"/>
    <w:rsid w:val="009A2CE5"/>
    <w:rsid w:val="009A4B59"/>
    <w:rsid w:val="009A67B9"/>
    <w:rsid w:val="009A737F"/>
    <w:rsid w:val="009A7CBA"/>
    <w:rsid w:val="009B4A51"/>
    <w:rsid w:val="009B4EB3"/>
    <w:rsid w:val="009B7279"/>
    <w:rsid w:val="009C0EB5"/>
    <w:rsid w:val="009C2753"/>
    <w:rsid w:val="009C28B1"/>
    <w:rsid w:val="009C61AD"/>
    <w:rsid w:val="009C6697"/>
    <w:rsid w:val="009D287E"/>
    <w:rsid w:val="009D373D"/>
    <w:rsid w:val="009D436B"/>
    <w:rsid w:val="009D5927"/>
    <w:rsid w:val="009D7B2C"/>
    <w:rsid w:val="009E0801"/>
    <w:rsid w:val="009E13BC"/>
    <w:rsid w:val="009E1D05"/>
    <w:rsid w:val="009F2C07"/>
    <w:rsid w:val="009F6458"/>
    <w:rsid w:val="009F7DE0"/>
    <w:rsid w:val="00A0222E"/>
    <w:rsid w:val="00A0444E"/>
    <w:rsid w:val="00A05973"/>
    <w:rsid w:val="00A06BCB"/>
    <w:rsid w:val="00A10164"/>
    <w:rsid w:val="00A1050C"/>
    <w:rsid w:val="00A11B0C"/>
    <w:rsid w:val="00A1453A"/>
    <w:rsid w:val="00A20BA8"/>
    <w:rsid w:val="00A22015"/>
    <w:rsid w:val="00A242DB"/>
    <w:rsid w:val="00A27DE4"/>
    <w:rsid w:val="00A33B35"/>
    <w:rsid w:val="00A33E90"/>
    <w:rsid w:val="00A36419"/>
    <w:rsid w:val="00A4338C"/>
    <w:rsid w:val="00A44921"/>
    <w:rsid w:val="00A44AD9"/>
    <w:rsid w:val="00A4651C"/>
    <w:rsid w:val="00A50DED"/>
    <w:rsid w:val="00A5744A"/>
    <w:rsid w:val="00A578C2"/>
    <w:rsid w:val="00A57F1E"/>
    <w:rsid w:val="00A6167F"/>
    <w:rsid w:val="00A625E3"/>
    <w:rsid w:val="00A62C98"/>
    <w:rsid w:val="00A635DB"/>
    <w:rsid w:val="00A64264"/>
    <w:rsid w:val="00A70B3C"/>
    <w:rsid w:val="00A715D8"/>
    <w:rsid w:val="00A71BC7"/>
    <w:rsid w:val="00A72652"/>
    <w:rsid w:val="00A756B2"/>
    <w:rsid w:val="00A75D1C"/>
    <w:rsid w:val="00A809AA"/>
    <w:rsid w:val="00A83621"/>
    <w:rsid w:val="00A849B3"/>
    <w:rsid w:val="00A8510D"/>
    <w:rsid w:val="00A858F2"/>
    <w:rsid w:val="00A86AF3"/>
    <w:rsid w:val="00A87A67"/>
    <w:rsid w:val="00A87FDB"/>
    <w:rsid w:val="00A90AFF"/>
    <w:rsid w:val="00A90BDC"/>
    <w:rsid w:val="00A95477"/>
    <w:rsid w:val="00A96BB7"/>
    <w:rsid w:val="00A97079"/>
    <w:rsid w:val="00A975A9"/>
    <w:rsid w:val="00AA20D5"/>
    <w:rsid w:val="00AA3192"/>
    <w:rsid w:val="00AA56D9"/>
    <w:rsid w:val="00AA5F3D"/>
    <w:rsid w:val="00AB0486"/>
    <w:rsid w:val="00AB251E"/>
    <w:rsid w:val="00AB3608"/>
    <w:rsid w:val="00AB3FD9"/>
    <w:rsid w:val="00AB4F30"/>
    <w:rsid w:val="00AC1272"/>
    <w:rsid w:val="00AC5C48"/>
    <w:rsid w:val="00AC63E3"/>
    <w:rsid w:val="00AC7ECF"/>
    <w:rsid w:val="00AD12A3"/>
    <w:rsid w:val="00AD2504"/>
    <w:rsid w:val="00AD3260"/>
    <w:rsid w:val="00AD3F08"/>
    <w:rsid w:val="00AD7FD7"/>
    <w:rsid w:val="00AE065A"/>
    <w:rsid w:val="00AE06D2"/>
    <w:rsid w:val="00AE24C9"/>
    <w:rsid w:val="00AE5219"/>
    <w:rsid w:val="00AF0CF4"/>
    <w:rsid w:val="00AF2252"/>
    <w:rsid w:val="00AF508F"/>
    <w:rsid w:val="00B0098C"/>
    <w:rsid w:val="00B00B12"/>
    <w:rsid w:val="00B02772"/>
    <w:rsid w:val="00B05E27"/>
    <w:rsid w:val="00B10DAF"/>
    <w:rsid w:val="00B1129F"/>
    <w:rsid w:val="00B11D61"/>
    <w:rsid w:val="00B11F7B"/>
    <w:rsid w:val="00B12F51"/>
    <w:rsid w:val="00B2698E"/>
    <w:rsid w:val="00B2710D"/>
    <w:rsid w:val="00B2751E"/>
    <w:rsid w:val="00B30D92"/>
    <w:rsid w:val="00B35F34"/>
    <w:rsid w:val="00B3650C"/>
    <w:rsid w:val="00B43AFE"/>
    <w:rsid w:val="00B46E6D"/>
    <w:rsid w:val="00B47055"/>
    <w:rsid w:val="00B536D8"/>
    <w:rsid w:val="00B63CF3"/>
    <w:rsid w:val="00B64A1E"/>
    <w:rsid w:val="00B64BFA"/>
    <w:rsid w:val="00B655B4"/>
    <w:rsid w:val="00B71E63"/>
    <w:rsid w:val="00B73472"/>
    <w:rsid w:val="00B73672"/>
    <w:rsid w:val="00B73762"/>
    <w:rsid w:val="00B83212"/>
    <w:rsid w:val="00B85DE4"/>
    <w:rsid w:val="00B8783F"/>
    <w:rsid w:val="00B87AAD"/>
    <w:rsid w:val="00B91462"/>
    <w:rsid w:val="00B91A31"/>
    <w:rsid w:val="00B9300C"/>
    <w:rsid w:val="00B953BF"/>
    <w:rsid w:val="00BA4006"/>
    <w:rsid w:val="00BA50D9"/>
    <w:rsid w:val="00BA5C91"/>
    <w:rsid w:val="00BA617D"/>
    <w:rsid w:val="00BA6325"/>
    <w:rsid w:val="00BA6C28"/>
    <w:rsid w:val="00BA6DB4"/>
    <w:rsid w:val="00BB0813"/>
    <w:rsid w:val="00BB081B"/>
    <w:rsid w:val="00BB090C"/>
    <w:rsid w:val="00BB5F65"/>
    <w:rsid w:val="00BC0A3D"/>
    <w:rsid w:val="00BC1CB3"/>
    <w:rsid w:val="00BC3F3C"/>
    <w:rsid w:val="00BC5BB2"/>
    <w:rsid w:val="00BD171F"/>
    <w:rsid w:val="00BD1FBC"/>
    <w:rsid w:val="00BD4599"/>
    <w:rsid w:val="00BD4AA5"/>
    <w:rsid w:val="00BD56AF"/>
    <w:rsid w:val="00BE5A15"/>
    <w:rsid w:val="00BE738E"/>
    <w:rsid w:val="00BF11A1"/>
    <w:rsid w:val="00BF3F54"/>
    <w:rsid w:val="00C00697"/>
    <w:rsid w:val="00C0376C"/>
    <w:rsid w:val="00C03F0C"/>
    <w:rsid w:val="00C06D77"/>
    <w:rsid w:val="00C14BA6"/>
    <w:rsid w:val="00C16707"/>
    <w:rsid w:val="00C16FFB"/>
    <w:rsid w:val="00C21478"/>
    <w:rsid w:val="00C22297"/>
    <w:rsid w:val="00C236FC"/>
    <w:rsid w:val="00C2394E"/>
    <w:rsid w:val="00C25A9D"/>
    <w:rsid w:val="00C33E9B"/>
    <w:rsid w:val="00C34847"/>
    <w:rsid w:val="00C3485C"/>
    <w:rsid w:val="00C36BC5"/>
    <w:rsid w:val="00C4416B"/>
    <w:rsid w:val="00C44186"/>
    <w:rsid w:val="00C5084B"/>
    <w:rsid w:val="00C52F31"/>
    <w:rsid w:val="00C544A4"/>
    <w:rsid w:val="00C66439"/>
    <w:rsid w:val="00C768E5"/>
    <w:rsid w:val="00C822CF"/>
    <w:rsid w:val="00C94571"/>
    <w:rsid w:val="00CA2004"/>
    <w:rsid w:val="00CA562D"/>
    <w:rsid w:val="00CA5840"/>
    <w:rsid w:val="00CA5B99"/>
    <w:rsid w:val="00CA5E60"/>
    <w:rsid w:val="00CB0933"/>
    <w:rsid w:val="00CB295D"/>
    <w:rsid w:val="00CB334D"/>
    <w:rsid w:val="00CB5667"/>
    <w:rsid w:val="00CB56D5"/>
    <w:rsid w:val="00CC4DAB"/>
    <w:rsid w:val="00CC7188"/>
    <w:rsid w:val="00CC76CD"/>
    <w:rsid w:val="00CC7777"/>
    <w:rsid w:val="00CD1EA8"/>
    <w:rsid w:val="00CD28CE"/>
    <w:rsid w:val="00CD413C"/>
    <w:rsid w:val="00CD653B"/>
    <w:rsid w:val="00CD76A8"/>
    <w:rsid w:val="00CE3E48"/>
    <w:rsid w:val="00CE41BB"/>
    <w:rsid w:val="00CF5ABD"/>
    <w:rsid w:val="00CF5F89"/>
    <w:rsid w:val="00CF6092"/>
    <w:rsid w:val="00CF63CE"/>
    <w:rsid w:val="00D00F17"/>
    <w:rsid w:val="00D0244E"/>
    <w:rsid w:val="00D045C5"/>
    <w:rsid w:val="00D04957"/>
    <w:rsid w:val="00D05F27"/>
    <w:rsid w:val="00D065B1"/>
    <w:rsid w:val="00D067C1"/>
    <w:rsid w:val="00D06816"/>
    <w:rsid w:val="00D06E7B"/>
    <w:rsid w:val="00D1343B"/>
    <w:rsid w:val="00D13B13"/>
    <w:rsid w:val="00D163FF"/>
    <w:rsid w:val="00D16E78"/>
    <w:rsid w:val="00D172AB"/>
    <w:rsid w:val="00D201D3"/>
    <w:rsid w:val="00D21203"/>
    <w:rsid w:val="00D267D5"/>
    <w:rsid w:val="00D26A64"/>
    <w:rsid w:val="00D31720"/>
    <w:rsid w:val="00D33E7D"/>
    <w:rsid w:val="00D36980"/>
    <w:rsid w:val="00D41C19"/>
    <w:rsid w:val="00D42A92"/>
    <w:rsid w:val="00D47375"/>
    <w:rsid w:val="00D52B9A"/>
    <w:rsid w:val="00D5367E"/>
    <w:rsid w:val="00D538D3"/>
    <w:rsid w:val="00D53B1E"/>
    <w:rsid w:val="00D56490"/>
    <w:rsid w:val="00D6105F"/>
    <w:rsid w:val="00D61AD2"/>
    <w:rsid w:val="00D61EA5"/>
    <w:rsid w:val="00D71C1C"/>
    <w:rsid w:val="00D71F73"/>
    <w:rsid w:val="00D74933"/>
    <w:rsid w:val="00D75750"/>
    <w:rsid w:val="00D8366E"/>
    <w:rsid w:val="00D84EF0"/>
    <w:rsid w:val="00D85E8F"/>
    <w:rsid w:val="00D861ED"/>
    <w:rsid w:val="00D873E0"/>
    <w:rsid w:val="00D87ACA"/>
    <w:rsid w:val="00D937BA"/>
    <w:rsid w:val="00D941E3"/>
    <w:rsid w:val="00D94F8B"/>
    <w:rsid w:val="00D95FBF"/>
    <w:rsid w:val="00D97168"/>
    <w:rsid w:val="00DA4B6C"/>
    <w:rsid w:val="00DA5988"/>
    <w:rsid w:val="00DA762F"/>
    <w:rsid w:val="00DB206A"/>
    <w:rsid w:val="00DB2ABD"/>
    <w:rsid w:val="00DB545C"/>
    <w:rsid w:val="00DB7F78"/>
    <w:rsid w:val="00DC0184"/>
    <w:rsid w:val="00DC060C"/>
    <w:rsid w:val="00DC2AD2"/>
    <w:rsid w:val="00DC317C"/>
    <w:rsid w:val="00DC44E8"/>
    <w:rsid w:val="00DC4FF2"/>
    <w:rsid w:val="00DC5834"/>
    <w:rsid w:val="00DC6104"/>
    <w:rsid w:val="00DC708A"/>
    <w:rsid w:val="00DC79CC"/>
    <w:rsid w:val="00DD5E65"/>
    <w:rsid w:val="00DD7BF0"/>
    <w:rsid w:val="00DE33B5"/>
    <w:rsid w:val="00DF2971"/>
    <w:rsid w:val="00DF3939"/>
    <w:rsid w:val="00E1007A"/>
    <w:rsid w:val="00E10D39"/>
    <w:rsid w:val="00E1124D"/>
    <w:rsid w:val="00E12691"/>
    <w:rsid w:val="00E134F4"/>
    <w:rsid w:val="00E13E1C"/>
    <w:rsid w:val="00E147D9"/>
    <w:rsid w:val="00E162E0"/>
    <w:rsid w:val="00E20294"/>
    <w:rsid w:val="00E20D75"/>
    <w:rsid w:val="00E21493"/>
    <w:rsid w:val="00E23568"/>
    <w:rsid w:val="00E245B5"/>
    <w:rsid w:val="00E2755E"/>
    <w:rsid w:val="00E33E1B"/>
    <w:rsid w:val="00E34D3E"/>
    <w:rsid w:val="00E35AB7"/>
    <w:rsid w:val="00E36E2E"/>
    <w:rsid w:val="00E40F41"/>
    <w:rsid w:val="00E41812"/>
    <w:rsid w:val="00E460D2"/>
    <w:rsid w:val="00E46BAF"/>
    <w:rsid w:val="00E474ED"/>
    <w:rsid w:val="00E5129E"/>
    <w:rsid w:val="00E5146F"/>
    <w:rsid w:val="00E56699"/>
    <w:rsid w:val="00E6102F"/>
    <w:rsid w:val="00E62BD2"/>
    <w:rsid w:val="00E647FB"/>
    <w:rsid w:val="00E677C5"/>
    <w:rsid w:val="00E701E1"/>
    <w:rsid w:val="00E720E9"/>
    <w:rsid w:val="00E75A6A"/>
    <w:rsid w:val="00E7655F"/>
    <w:rsid w:val="00E81C5E"/>
    <w:rsid w:val="00E81E3B"/>
    <w:rsid w:val="00E83B3C"/>
    <w:rsid w:val="00E86E6F"/>
    <w:rsid w:val="00E871DB"/>
    <w:rsid w:val="00E8736B"/>
    <w:rsid w:val="00E90275"/>
    <w:rsid w:val="00E925D4"/>
    <w:rsid w:val="00E9465D"/>
    <w:rsid w:val="00E94CAB"/>
    <w:rsid w:val="00E97226"/>
    <w:rsid w:val="00EA2B44"/>
    <w:rsid w:val="00EA33EF"/>
    <w:rsid w:val="00EA3A4A"/>
    <w:rsid w:val="00EA5C5B"/>
    <w:rsid w:val="00EB2D53"/>
    <w:rsid w:val="00EB7725"/>
    <w:rsid w:val="00EC07FF"/>
    <w:rsid w:val="00EC3AFD"/>
    <w:rsid w:val="00EC4FFD"/>
    <w:rsid w:val="00EC58F5"/>
    <w:rsid w:val="00EC5EFC"/>
    <w:rsid w:val="00ED3193"/>
    <w:rsid w:val="00ED40F5"/>
    <w:rsid w:val="00ED443E"/>
    <w:rsid w:val="00ED57D1"/>
    <w:rsid w:val="00ED6DF6"/>
    <w:rsid w:val="00ED7444"/>
    <w:rsid w:val="00EE40C6"/>
    <w:rsid w:val="00EE54FA"/>
    <w:rsid w:val="00EE5C97"/>
    <w:rsid w:val="00EE7BFB"/>
    <w:rsid w:val="00EF3106"/>
    <w:rsid w:val="00EF33CD"/>
    <w:rsid w:val="00EF3D3E"/>
    <w:rsid w:val="00EF5AD3"/>
    <w:rsid w:val="00F0000D"/>
    <w:rsid w:val="00F02D30"/>
    <w:rsid w:val="00F037BA"/>
    <w:rsid w:val="00F04B56"/>
    <w:rsid w:val="00F12924"/>
    <w:rsid w:val="00F16E07"/>
    <w:rsid w:val="00F16FE8"/>
    <w:rsid w:val="00F20C9B"/>
    <w:rsid w:val="00F300CB"/>
    <w:rsid w:val="00F31310"/>
    <w:rsid w:val="00F41097"/>
    <w:rsid w:val="00F41815"/>
    <w:rsid w:val="00F42C3A"/>
    <w:rsid w:val="00F45451"/>
    <w:rsid w:val="00F51887"/>
    <w:rsid w:val="00F52BCC"/>
    <w:rsid w:val="00F5313F"/>
    <w:rsid w:val="00F5686B"/>
    <w:rsid w:val="00F5796E"/>
    <w:rsid w:val="00F64933"/>
    <w:rsid w:val="00F66720"/>
    <w:rsid w:val="00F7340F"/>
    <w:rsid w:val="00F7364C"/>
    <w:rsid w:val="00F81135"/>
    <w:rsid w:val="00F81A48"/>
    <w:rsid w:val="00F97100"/>
    <w:rsid w:val="00FA2780"/>
    <w:rsid w:val="00FA7B9A"/>
    <w:rsid w:val="00FB2875"/>
    <w:rsid w:val="00FB4B09"/>
    <w:rsid w:val="00FB62BC"/>
    <w:rsid w:val="00FC360A"/>
    <w:rsid w:val="00FD17C9"/>
    <w:rsid w:val="00FD2A5B"/>
    <w:rsid w:val="00FD731A"/>
    <w:rsid w:val="00FD73EC"/>
    <w:rsid w:val="00FD7EE0"/>
    <w:rsid w:val="00FE6A5C"/>
    <w:rsid w:val="00FF55DD"/>
    <w:rsid w:val="00FF5BF1"/>
    <w:rsid w:val="00FF6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232C"/>
  <w15:docId w15:val="{AF6787BB-5974-401D-9328-9D6C8FFF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pe.hhs.gov/pdf-report/guidelines-regulatory-impact-analysi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oes/current/oes_nat.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dc.gov/cpr/readiness/00_docs/CDC_PreparednesResponseCapabilities_October2018_Final_508.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leblanc@cdc.gov" TargetMode="External"/><Relationship Id="rId5" Type="http://schemas.openxmlformats.org/officeDocument/2006/relationships/numbering" Target="numbering.xml"/><Relationship Id="rId15" Type="http://schemas.openxmlformats.org/officeDocument/2006/relationships/hyperlink" Target="http://www.cdc.gov/nphpsp/essentialservices.html.%20Accessed%20on%208/14/14"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13" ma:contentTypeDescription="Create a new document." ma:contentTypeScope="" ma:versionID="b85aa96280b23c9652e28870c46a7712">
  <xsd:schema xmlns:xsd="http://www.w3.org/2001/XMLSchema" xmlns:xs="http://www.w3.org/2001/XMLSchema" xmlns:p="http://schemas.microsoft.com/office/2006/metadata/properties" xmlns:ns1="http://schemas.microsoft.com/sharepoint/v3" xmlns:ns3="86765d95-7958-4d60-b35d-769de0760221" xmlns:ns4="dde2d2aa-043b-4580-afc4-8c4886710735" targetNamespace="http://schemas.microsoft.com/office/2006/metadata/properties" ma:root="true" ma:fieldsID="185d1212ee75e7dc9ff712f93c7ec2bd" ns1:_="" ns3:_="" ns4:_="">
    <xsd:import namespace="http://schemas.microsoft.com/sharepoint/v3"/>
    <xsd:import namespace="86765d95-7958-4d60-b35d-769de0760221"/>
    <xsd:import namespace="dde2d2aa-043b-4580-afc4-8c48867107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2d2aa-043b-4580-afc4-8c4886710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B9538-BF6F-445D-85E0-A18F5FE16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765d95-7958-4d60-b35d-769de0760221"/>
    <ds:schemaRef ds:uri="dde2d2aa-043b-4580-afc4-8c4886710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DC1982-1498-41EE-B432-B398F67D5136}">
  <ds:schemaRefs>
    <ds:schemaRef ds:uri="http://schemas.microsoft.com/sharepoint/v3/contenttype/forms"/>
  </ds:schemaRefs>
</ds:datastoreItem>
</file>

<file path=customXml/itemProps3.xml><?xml version="1.0" encoding="utf-8"?>
<ds:datastoreItem xmlns:ds="http://schemas.openxmlformats.org/officeDocument/2006/customXml" ds:itemID="{C12FFE9D-1A81-42C8-81B4-924C5856099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89C25CA-FD8E-42CA-A41A-5DA359DF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4351</Words>
  <Characters>24804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gel2</dc:creator>
  <cp:lastModifiedBy>Anderson, Brittany (CDC/DDPHSIS/CSTLTS/OD)</cp:lastModifiedBy>
  <cp:revision>3</cp:revision>
  <cp:lastPrinted>2019-12-12T15:12:00Z</cp:lastPrinted>
  <dcterms:created xsi:type="dcterms:W3CDTF">2020-06-03T14:32:00Z</dcterms:created>
  <dcterms:modified xsi:type="dcterms:W3CDTF">2020-06-09T12:52:00Z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0x010100B0280B11AB954C44BB2ADB61C885D152</vt:lpwstr>
  </property>
  <property fmtid="{D5CDD505-2E9C-101B-9397-08002B2CF9AE}" pid="3" name="_dlc_DocIdItemGuid">
    <vt:lpwstr>d42695f4-c5d8-4114-99cd-71b8d54fb0f6</vt:lpwstr>
  </property>
</Properties>
</file>