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3BE" w:rsidP="00BC6896" w:rsidRDefault="00E023BE" w14:paraId="56D5E0B9" w14:textId="77777777"/>
    <w:p w:rsidR="009B4A51" w:rsidP="00BC6896" w:rsidRDefault="009B4A51" w14:paraId="6EDEB751" w14:textId="77777777"/>
    <w:p w:rsidRPr="00713412" w:rsidR="00EC77FB" w:rsidP="00DC727E" w:rsidRDefault="00EB1E94" w14:paraId="719ADAEE" w14:textId="5372285D">
      <w:pPr>
        <w:pStyle w:val="Heading1"/>
        <w:rPr>
          <w:color w:val="0070C0"/>
        </w:rPr>
      </w:pPr>
      <w:r>
        <w:rPr>
          <w:color w:val="0070C0"/>
        </w:rPr>
        <w:t xml:space="preserve"> </w:t>
      </w:r>
      <w:r w:rsidRPr="00DC727E">
        <w:t>Assessment of Colorectal Cancer Control Program Implementation at Health System Clinic Sites</w:t>
      </w:r>
    </w:p>
    <w:p w:rsidR="00EC77FB" w:rsidP="00EC77FB" w:rsidRDefault="00EC77FB" w14:paraId="5CCDC98E" w14:textId="77777777">
      <w:pPr>
        <w:ind w:left="0"/>
      </w:pPr>
    </w:p>
    <w:p w:rsidR="00AA3192" w:rsidP="00BC6896" w:rsidRDefault="00AA3192" w14:paraId="3085A2D7" w14:textId="77777777"/>
    <w:p w:rsidRPr="00AA3192" w:rsidR="00716F94" w:rsidP="00BC6896" w:rsidRDefault="00086A6E" w14:paraId="11C4EB33" w14:textId="3155BFDE">
      <w:pPr>
        <w:ind w:left="0"/>
        <w:jc w:val="center"/>
      </w:pPr>
      <w:r>
        <w:t>C</w:t>
      </w:r>
      <w:r w:rsidRPr="00AA3192" w:rsidR="00484011">
        <w:t xml:space="preserve">STLTS Generic </w:t>
      </w:r>
      <w:r w:rsidR="00487E55">
        <w:t>Data collection</w:t>
      </w:r>
      <w:r w:rsidRPr="00AA3192" w:rsidR="00484011">
        <w:t xml:space="preserve"> Request</w:t>
      </w:r>
    </w:p>
    <w:p w:rsidRPr="00AA3192" w:rsidR="00484011" w:rsidP="00BC6896" w:rsidRDefault="00484011" w14:paraId="4A7FB5E1" w14:textId="77777777">
      <w:pPr>
        <w:pStyle w:val="Header"/>
        <w:ind w:left="0"/>
        <w:jc w:val="center"/>
      </w:pPr>
      <w:r w:rsidRPr="00AA3192">
        <w:t>OMB No. 0920-0879</w:t>
      </w:r>
    </w:p>
    <w:p w:rsidR="009B4A51" w:rsidP="00BC6896" w:rsidRDefault="009B4A51" w14:paraId="207154FA" w14:textId="77777777"/>
    <w:p w:rsidR="00AA3192" w:rsidP="00BC6896" w:rsidRDefault="00AA3192" w14:paraId="36D5C54D" w14:textId="77777777"/>
    <w:p w:rsidRPr="00BC6896" w:rsidR="009B4A51" w:rsidP="00BC6896" w:rsidRDefault="009B4A51" w14:paraId="41FEE394" w14:textId="77777777">
      <w:pPr>
        <w:pStyle w:val="Heading2"/>
      </w:pPr>
      <w:r w:rsidRPr="00BC6896">
        <w:t xml:space="preserve">Supporting Statement – Section </w:t>
      </w:r>
      <w:r w:rsidRPr="00BC6896" w:rsidR="00601392">
        <w:t>B</w:t>
      </w:r>
    </w:p>
    <w:p w:rsidR="009B4A51" w:rsidP="00BC6896" w:rsidRDefault="009B4A51" w14:paraId="6A6D7EFA" w14:textId="77777777"/>
    <w:p w:rsidRPr="00BC6896" w:rsidR="009B4A51" w:rsidP="00BC6896" w:rsidRDefault="009B4A51" w14:paraId="05AD3156" w14:textId="14E7A011">
      <w:pPr>
        <w:ind w:left="0"/>
        <w:jc w:val="center"/>
      </w:pPr>
      <w:r w:rsidRPr="00AA3192">
        <w:t xml:space="preserve">Submitted: </w:t>
      </w:r>
      <w:r w:rsidR="009C6347">
        <w:t>6/23/2020</w:t>
      </w:r>
    </w:p>
    <w:p w:rsidR="009B4A51" w:rsidP="00987885" w:rsidRDefault="009B4A51" w14:paraId="5BAD3D16" w14:textId="77777777">
      <w:pPr>
        <w:ind w:left="0"/>
      </w:pPr>
    </w:p>
    <w:p w:rsidR="00DC727E" w:rsidP="00A81BF7" w:rsidRDefault="00DC727E" w14:paraId="1D7FB5B9" w14:textId="77777777">
      <w:pPr>
        <w:ind w:left="0"/>
        <w:rPr>
          <w:b/>
          <w:u w:val="single"/>
        </w:rPr>
      </w:pPr>
    </w:p>
    <w:p w:rsidR="009C6347" w:rsidP="00A81BF7" w:rsidRDefault="009C6347" w14:paraId="7F370DA1" w14:textId="77777777">
      <w:pPr>
        <w:ind w:left="0"/>
        <w:rPr>
          <w:b/>
          <w:u w:val="single"/>
        </w:rPr>
      </w:pPr>
    </w:p>
    <w:p w:rsidR="00A81BF7" w:rsidP="00A81BF7" w:rsidRDefault="00A81BF7" w14:paraId="200D4D09" w14:textId="14F46799">
      <w:pPr>
        <w:ind w:left="0"/>
        <w:rPr>
          <w:b/>
          <w:u w:val="single"/>
        </w:rPr>
      </w:pPr>
      <w:r w:rsidRPr="00BC6896">
        <w:rPr>
          <w:b/>
          <w:u w:val="single"/>
        </w:rPr>
        <w:t>Program Official/Project Officer</w:t>
      </w:r>
    </w:p>
    <w:p w:rsidRPr="00BC6896" w:rsidR="00DC727E" w:rsidP="00A81BF7" w:rsidRDefault="00DC727E" w14:paraId="1A0B4423" w14:textId="77777777">
      <w:pPr>
        <w:ind w:left="0"/>
        <w:rPr>
          <w:b/>
          <w:u w:val="single"/>
        </w:rPr>
      </w:pPr>
    </w:p>
    <w:p w:rsidRPr="00C51036" w:rsidR="00EC77FB" w:rsidP="00EC77FB" w:rsidRDefault="00EC77FB" w14:paraId="427B2166" w14:textId="77777777">
      <w:pPr>
        <w:ind w:left="0"/>
      </w:pPr>
      <w:r w:rsidRPr="00C51036">
        <w:t>Dara Schlueter, MPH</w:t>
      </w:r>
    </w:p>
    <w:p w:rsidRPr="00C51036" w:rsidR="00EC77FB" w:rsidP="00EC77FB" w:rsidRDefault="00EC77FB" w14:paraId="08BD2C30" w14:textId="77777777">
      <w:pPr>
        <w:ind w:left="0"/>
      </w:pPr>
      <w:r w:rsidRPr="00C51036">
        <w:t>Health Scientist, Division of Cancer Prevention and Control</w:t>
      </w:r>
      <w:r w:rsidRPr="00C51036">
        <w:tab/>
      </w:r>
    </w:p>
    <w:p w:rsidRPr="00C51036" w:rsidR="00EC77FB" w:rsidP="00EC77FB" w:rsidRDefault="00EC77FB" w14:paraId="5C54D0A7" w14:textId="77777777">
      <w:pPr>
        <w:ind w:left="0"/>
      </w:pPr>
      <w:r w:rsidRPr="00C51036">
        <w:t>National Center for Chronic Disease Prevention and Health Promotion</w:t>
      </w:r>
    </w:p>
    <w:p w:rsidRPr="00C51036" w:rsidR="00EC77FB" w:rsidP="00EC77FB" w:rsidRDefault="00EC77FB" w14:paraId="3CD57EBE" w14:textId="77777777">
      <w:pPr>
        <w:ind w:left="0"/>
      </w:pPr>
      <w:r w:rsidRPr="00C51036">
        <w:t>4770 Buford Highway NE, MS S107-4, Atlanta, GA, 30341-3717</w:t>
      </w:r>
    </w:p>
    <w:p w:rsidRPr="00C51036" w:rsidR="00EC77FB" w:rsidP="00EC77FB" w:rsidRDefault="00EC77FB" w14:paraId="656C2453" w14:textId="77777777">
      <w:pPr>
        <w:ind w:left="0"/>
      </w:pPr>
      <w:r w:rsidRPr="00C51036">
        <w:t>Telephone: 404.498.1782</w:t>
      </w:r>
    </w:p>
    <w:p w:rsidRPr="00C51036" w:rsidR="00EC77FB" w:rsidP="00EC77FB" w:rsidRDefault="00EC77FB" w14:paraId="00BA742D" w14:textId="77777777">
      <w:pPr>
        <w:ind w:left="0"/>
      </w:pPr>
      <w:r w:rsidRPr="00C51036">
        <w:t>Fax: 770.488.4820</w:t>
      </w:r>
    </w:p>
    <w:p w:rsidRPr="00C51036" w:rsidR="00EC77FB" w:rsidP="00EC77FB" w:rsidRDefault="00EC77FB" w14:paraId="0C0784AB" w14:textId="77777777">
      <w:pPr>
        <w:ind w:left="0"/>
      </w:pPr>
      <w:r w:rsidRPr="00C51036">
        <w:t>Email: SAX9@cdc.gov</w:t>
      </w:r>
    </w:p>
    <w:p w:rsidR="00691031" w:rsidP="00BC6896" w:rsidRDefault="00691031" w14:paraId="79B581AA" w14:textId="77777777">
      <w:pPr>
        <w:ind w:left="0"/>
        <w:rPr>
          <w:color w:val="0070C0"/>
        </w:rPr>
      </w:pPr>
    </w:p>
    <w:p w:rsidR="00691031" w:rsidP="00BC6896" w:rsidRDefault="00691031" w14:paraId="433C4D85" w14:textId="77777777">
      <w:pPr>
        <w:ind w:left="0"/>
        <w:rPr>
          <w:color w:val="0070C0"/>
        </w:rPr>
      </w:pPr>
    </w:p>
    <w:p w:rsidR="00987885" w:rsidRDefault="00987885" w14:paraId="6965CA0A" w14:textId="77777777">
      <w:pPr>
        <w:spacing w:after="200"/>
        <w:ind w:left="0"/>
        <w:rPr>
          <w:b/>
          <w:sz w:val="28"/>
        </w:rPr>
      </w:pPr>
      <w:bookmarkStart w:name="_Toc413847909" w:id="0"/>
      <w:r>
        <w:br w:type="page"/>
      </w:r>
    </w:p>
    <w:p w:rsidRPr="000A538D" w:rsidR="00245F1F" w:rsidP="00BC6896" w:rsidRDefault="00245F1F" w14:paraId="619507E7" w14:textId="55DBB96F">
      <w:pPr>
        <w:pStyle w:val="Heading3"/>
      </w:pPr>
      <w:bookmarkStart w:name="_Toc32233451" w:id="1"/>
      <w:r>
        <w:lastRenderedPageBreak/>
        <w:t>Table of Contents</w:t>
      </w:r>
      <w:bookmarkEnd w:id="0"/>
      <w:bookmarkEnd w:id="1"/>
    </w:p>
    <w:p w:rsidR="00987885" w:rsidRDefault="00245F1F" w14:paraId="72554094" w14:textId="7D4769A0">
      <w:pPr>
        <w:pStyle w:val="TOC1"/>
        <w:tabs>
          <w:tab w:val="right" w:leader="dot" w:pos="9350"/>
        </w:tabs>
        <w:rPr>
          <w:rFonts w:asciiTheme="minorHAnsi" w:hAnsiTheme="minorHAnsi"/>
          <w:noProof/>
        </w:rPr>
      </w:pPr>
      <w:r w:rsidRPr="000A538D">
        <w:fldChar w:fldCharType="begin"/>
      </w:r>
      <w:r w:rsidRPr="000A538D">
        <w:instrText xml:space="preserve"> TOC \h \z \u \t "Heading 3,1,Heading 4,2" </w:instrText>
      </w:r>
      <w:r w:rsidRPr="000A538D">
        <w:fldChar w:fldCharType="separate"/>
      </w:r>
      <w:hyperlink w:history="1" w:anchor="_Toc32233451">
        <w:r w:rsidRPr="00285978" w:rsidR="00987885">
          <w:rPr>
            <w:rStyle w:val="Hyperlink"/>
            <w:noProof/>
          </w:rPr>
          <w:t>Table of Contents</w:t>
        </w:r>
        <w:r w:rsidR="00987885">
          <w:rPr>
            <w:noProof/>
            <w:webHidden/>
          </w:rPr>
          <w:tab/>
        </w:r>
        <w:r w:rsidR="00987885">
          <w:rPr>
            <w:noProof/>
            <w:webHidden/>
          </w:rPr>
          <w:fldChar w:fldCharType="begin"/>
        </w:r>
        <w:r w:rsidR="00987885">
          <w:rPr>
            <w:noProof/>
            <w:webHidden/>
          </w:rPr>
          <w:instrText xml:space="preserve"> PAGEREF _Toc32233451 \h </w:instrText>
        </w:r>
        <w:r w:rsidR="00987885">
          <w:rPr>
            <w:noProof/>
            <w:webHidden/>
          </w:rPr>
        </w:r>
        <w:r w:rsidR="00987885">
          <w:rPr>
            <w:noProof/>
            <w:webHidden/>
          </w:rPr>
          <w:fldChar w:fldCharType="separate"/>
        </w:r>
        <w:r w:rsidR="00987885">
          <w:rPr>
            <w:noProof/>
            <w:webHidden/>
          </w:rPr>
          <w:t>2</w:t>
        </w:r>
        <w:r w:rsidR="00987885">
          <w:rPr>
            <w:noProof/>
            <w:webHidden/>
          </w:rPr>
          <w:fldChar w:fldCharType="end"/>
        </w:r>
      </w:hyperlink>
    </w:p>
    <w:p w:rsidR="00987885" w:rsidRDefault="005669F4" w14:paraId="4B9B52D8" w14:textId="60E1265E">
      <w:pPr>
        <w:pStyle w:val="TOC1"/>
        <w:tabs>
          <w:tab w:val="right" w:leader="dot" w:pos="9350"/>
        </w:tabs>
        <w:rPr>
          <w:rFonts w:asciiTheme="minorHAnsi" w:hAnsiTheme="minorHAnsi"/>
          <w:noProof/>
        </w:rPr>
      </w:pPr>
      <w:hyperlink w:history="1" w:anchor="_Toc32233452">
        <w:r w:rsidRPr="00285978" w:rsidR="00987885">
          <w:rPr>
            <w:rStyle w:val="Hyperlink"/>
            <w:noProof/>
          </w:rPr>
          <w:t>Section B – Data collection Procedures</w:t>
        </w:r>
        <w:r w:rsidR="00987885">
          <w:rPr>
            <w:noProof/>
            <w:webHidden/>
          </w:rPr>
          <w:tab/>
        </w:r>
        <w:r w:rsidR="00987885">
          <w:rPr>
            <w:noProof/>
            <w:webHidden/>
          </w:rPr>
          <w:fldChar w:fldCharType="begin"/>
        </w:r>
        <w:r w:rsidR="00987885">
          <w:rPr>
            <w:noProof/>
            <w:webHidden/>
          </w:rPr>
          <w:instrText xml:space="preserve"> PAGEREF _Toc32233452 \h </w:instrText>
        </w:r>
        <w:r w:rsidR="00987885">
          <w:rPr>
            <w:noProof/>
            <w:webHidden/>
          </w:rPr>
        </w:r>
        <w:r w:rsidR="00987885">
          <w:rPr>
            <w:noProof/>
            <w:webHidden/>
          </w:rPr>
          <w:fldChar w:fldCharType="separate"/>
        </w:r>
        <w:r w:rsidR="00987885">
          <w:rPr>
            <w:noProof/>
            <w:webHidden/>
          </w:rPr>
          <w:t>3</w:t>
        </w:r>
        <w:r w:rsidR="00987885">
          <w:rPr>
            <w:noProof/>
            <w:webHidden/>
          </w:rPr>
          <w:fldChar w:fldCharType="end"/>
        </w:r>
      </w:hyperlink>
    </w:p>
    <w:p w:rsidR="00987885" w:rsidRDefault="005669F4" w14:paraId="20C603A9" w14:textId="169AA450">
      <w:pPr>
        <w:pStyle w:val="TOC2"/>
        <w:rPr>
          <w:rFonts w:asciiTheme="minorHAnsi" w:hAnsiTheme="minorHAnsi"/>
          <w:noProof/>
        </w:rPr>
      </w:pPr>
      <w:hyperlink w:history="1" w:anchor="_Toc32233453">
        <w:r w:rsidRPr="00285978" w:rsidR="00987885">
          <w:rPr>
            <w:rStyle w:val="Hyperlink"/>
            <w:noProof/>
          </w:rPr>
          <w:t>1.</w:t>
        </w:r>
        <w:r w:rsidR="00987885">
          <w:rPr>
            <w:rFonts w:asciiTheme="minorHAnsi" w:hAnsiTheme="minorHAnsi"/>
            <w:noProof/>
          </w:rPr>
          <w:tab/>
        </w:r>
        <w:r w:rsidRPr="00285978" w:rsidR="00987885">
          <w:rPr>
            <w:rStyle w:val="Hyperlink"/>
            <w:noProof/>
          </w:rPr>
          <w:t xml:space="preserve">Respondent Universe and Sampling Methods </w:t>
        </w:r>
        <w:r w:rsidR="00987885">
          <w:rPr>
            <w:noProof/>
            <w:webHidden/>
          </w:rPr>
          <w:tab/>
        </w:r>
        <w:r w:rsidR="00987885">
          <w:rPr>
            <w:noProof/>
            <w:webHidden/>
          </w:rPr>
          <w:fldChar w:fldCharType="begin"/>
        </w:r>
        <w:r w:rsidR="00987885">
          <w:rPr>
            <w:noProof/>
            <w:webHidden/>
          </w:rPr>
          <w:instrText xml:space="preserve"> PAGEREF _Toc32233453 \h </w:instrText>
        </w:r>
        <w:r w:rsidR="00987885">
          <w:rPr>
            <w:noProof/>
            <w:webHidden/>
          </w:rPr>
        </w:r>
        <w:r w:rsidR="00987885">
          <w:rPr>
            <w:noProof/>
            <w:webHidden/>
          </w:rPr>
          <w:fldChar w:fldCharType="separate"/>
        </w:r>
        <w:r w:rsidR="00987885">
          <w:rPr>
            <w:noProof/>
            <w:webHidden/>
          </w:rPr>
          <w:t>3</w:t>
        </w:r>
        <w:r w:rsidR="00987885">
          <w:rPr>
            <w:noProof/>
            <w:webHidden/>
          </w:rPr>
          <w:fldChar w:fldCharType="end"/>
        </w:r>
      </w:hyperlink>
    </w:p>
    <w:p w:rsidR="00987885" w:rsidRDefault="005669F4" w14:paraId="6787200B" w14:textId="02F517DF">
      <w:pPr>
        <w:pStyle w:val="TOC2"/>
        <w:rPr>
          <w:rFonts w:asciiTheme="minorHAnsi" w:hAnsiTheme="minorHAnsi"/>
          <w:noProof/>
        </w:rPr>
      </w:pPr>
      <w:hyperlink w:history="1" w:anchor="_Toc32233454">
        <w:r w:rsidRPr="00285978" w:rsidR="00987885">
          <w:rPr>
            <w:rStyle w:val="Hyperlink"/>
            <w:noProof/>
          </w:rPr>
          <w:t>2.</w:t>
        </w:r>
        <w:r w:rsidR="00987885">
          <w:rPr>
            <w:rFonts w:asciiTheme="minorHAnsi" w:hAnsiTheme="minorHAnsi"/>
            <w:noProof/>
          </w:rPr>
          <w:tab/>
        </w:r>
        <w:r w:rsidRPr="00285978" w:rsidR="00987885">
          <w:rPr>
            <w:rStyle w:val="Hyperlink"/>
            <w:noProof/>
          </w:rPr>
          <w:t>Procedures for the Collection of Information</w:t>
        </w:r>
        <w:r w:rsidR="00987885">
          <w:rPr>
            <w:noProof/>
            <w:webHidden/>
          </w:rPr>
          <w:tab/>
        </w:r>
        <w:r w:rsidR="00987885">
          <w:rPr>
            <w:noProof/>
            <w:webHidden/>
          </w:rPr>
          <w:fldChar w:fldCharType="begin"/>
        </w:r>
        <w:r w:rsidR="00987885">
          <w:rPr>
            <w:noProof/>
            <w:webHidden/>
          </w:rPr>
          <w:instrText xml:space="preserve"> PAGEREF _Toc32233454 \h </w:instrText>
        </w:r>
        <w:r w:rsidR="00987885">
          <w:rPr>
            <w:noProof/>
            <w:webHidden/>
          </w:rPr>
        </w:r>
        <w:r w:rsidR="00987885">
          <w:rPr>
            <w:noProof/>
            <w:webHidden/>
          </w:rPr>
          <w:fldChar w:fldCharType="separate"/>
        </w:r>
        <w:r w:rsidR="00987885">
          <w:rPr>
            <w:noProof/>
            <w:webHidden/>
          </w:rPr>
          <w:t>3</w:t>
        </w:r>
        <w:r w:rsidR="00987885">
          <w:rPr>
            <w:noProof/>
            <w:webHidden/>
          </w:rPr>
          <w:fldChar w:fldCharType="end"/>
        </w:r>
      </w:hyperlink>
    </w:p>
    <w:p w:rsidR="00987885" w:rsidRDefault="005669F4" w14:paraId="45E521EF" w14:textId="7803E653">
      <w:pPr>
        <w:pStyle w:val="TOC2"/>
        <w:rPr>
          <w:rFonts w:asciiTheme="minorHAnsi" w:hAnsiTheme="minorHAnsi"/>
          <w:noProof/>
        </w:rPr>
      </w:pPr>
      <w:hyperlink w:history="1" w:anchor="_Toc32233455">
        <w:r w:rsidRPr="00285978" w:rsidR="00987885">
          <w:rPr>
            <w:rStyle w:val="Hyperlink"/>
            <w:noProof/>
          </w:rPr>
          <w:t>3.</w:t>
        </w:r>
        <w:r w:rsidR="00987885">
          <w:rPr>
            <w:rFonts w:asciiTheme="minorHAnsi" w:hAnsiTheme="minorHAnsi"/>
            <w:noProof/>
          </w:rPr>
          <w:tab/>
        </w:r>
        <w:r w:rsidRPr="00285978" w:rsidR="00987885">
          <w:rPr>
            <w:rStyle w:val="Hyperlink"/>
            <w:noProof/>
          </w:rPr>
          <w:t>Methods to Maximize Response Rates Deal with Nonresponse</w:t>
        </w:r>
        <w:r w:rsidR="00987885">
          <w:rPr>
            <w:noProof/>
            <w:webHidden/>
          </w:rPr>
          <w:tab/>
        </w:r>
        <w:r w:rsidR="00987885">
          <w:rPr>
            <w:noProof/>
            <w:webHidden/>
          </w:rPr>
          <w:fldChar w:fldCharType="begin"/>
        </w:r>
        <w:r w:rsidR="00987885">
          <w:rPr>
            <w:noProof/>
            <w:webHidden/>
          </w:rPr>
          <w:instrText xml:space="preserve"> PAGEREF _Toc32233455 \h </w:instrText>
        </w:r>
        <w:r w:rsidR="00987885">
          <w:rPr>
            <w:noProof/>
            <w:webHidden/>
          </w:rPr>
        </w:r>
        <w:r w:rsidR="00987885">
          <w:rPr>
            <w:noProof/>
            <w:webHidden/>
          </w:rPr>
          <w:fldChar w:fldCharType="separate"/>
        </w:r>
        <w:r w:rsidR="00987885">
          <w:rPr>
            <w:noProof/>
            <w:webHidden/>
          </w:rPr>
          <w:t>4</w:t>
        </w:r>
        <w:r w:rsidR="00987885">
          <w:rPr>
            <w:noProof/>
            <w:webHidden/>
          </w:rPr>
          <w:fldChar w:fldCharType="end"/>
        </w:r>
      </w:hyperlink>
    </w:p>
    <w:p w:rsidR="00987885" w:rsidRDefault="005669F4" w14:paraId="0253A2CC" w14:textId="33FD2F57">
      <w:pPr>
        <w:pStyle w:val="TOC2"/>
        <w:rPr>
          <w:rFonts w:asciiTheme="minorHAnsi" w:hAnsiTheme="minorHAnsi"/>
          <w:noProof/>
        </w:rPr>
      </w:pPr>
      <w:hyperlink w:history="1" w:anchor="_Toc32233456">
        <w:r w:rsidRPr="00285978" w:rsidR="00987885">
          <w:rPr>
            <w:rStyle w:val="Hyperlink"/>
            <w:noProof/>
          </w:rPr>
          <w:t>4.</w:t>
        </w:r>
        <w:r w:rsidR="00987885">
          <w:rPr>
            <w:rFonts w:asciiTheme="minorHAnsi" w:hAnsiTheme="minorHAnsi"/>
            <w:noProof/>
          </w:rPr>
          <w:tab/>
        </w:r>
        <w:r w:rsidRPr="00285978" w:rsidR="00987885">
          <w:rPr>
            <w:rStyle w:val="Hyperlink"/>
            <w:noProof/>
          </w:rPr>
          <w:t>Test of Procedures or Methods to be Undertaken</w:t>
        </w:r>
        <w:r w:rsidR="00987885">
          <w:rPr>
            <w:noProof/>
            <w:webHidden/>
          </w:rPr>
          <w:tab/>
        </w:r>
        <w:r w:rsidR="00987885">
          <w:rPr>
            <w:noProof/>
            <w:webHidden/>
          </w:rPr>
          <w:fldChar w:fldCharType="begin"/>
        </w:r>
        <w:r w:rsidR="00987885">
          <w:rPr>
            <w:noProof/>
            <w:webHidden/>
          </w:rPr>
          <w:instrText xml:space="preserve"> PAGEREF _Toc32233456 \h </w:instrText>
        </w:r>
        <w:r w:rsidR="00987885">
          <w:rPr>
            <w:noProof/>
            <w:webHidden/>
          </w:rPr>
        </w:r>
        <w:r w:rsidR="00987885">
          <w:rPr>
            <w:noProof/>
            <w:webHidden/>
          </w:rPr>
          <w:fldChar w:fldCharType="separate"/>
        </w:r>
        <w:r w:rsidR="00987885">
          <w:rPr>
            <w:noProof/>
            <w:webHidden/>
          </w:rPr>
          <w:t>5</w:t>
        </w:r>
        <w:r w:rsidR="00987885">
          <w:rPr>
            <w:noProof/>
            <w:webHidden/>
          </w:rPr>
          <w:fldChar w:fldCharType="end"/>
        </w:r>
      </w:hyperlink>
    </w:p>
    <w:p w:rsidR="00987885" w:rsidRDefault="005669F4" w14:paraId="5D991ED6" w14:textId="2D62AF8E">
      <w:pPr>
        <w:pStyle w:val="TOC2"/>
        <w:rPr>
          <w:rFonts w:asciiTheme="minorHAnsi" w:hAnsiTheme="minorHAnsi"/>
          <w:noProof/>
        </w:rPr>
      </w:pPr>
      <w:hyperlink w:history="1" w:anchor="_Toc32233457">
        <w:r w:rsidRPr="00285978" w:rsidR="00987885">
          <w:rPr>
            <w:rStyle w:val="Hyperlink"/>
            <w:noProof/>
          </w:rPr>
          <w:t>5.</w:t>
        </w:r>
        <w:r w:rsidR="00987885">
          <w:rPr>
            <w:rFonts w:asciiTheme="minorHAnsi" w:hAnsiTheme="minorHAnsi"/>
            <w:noProof/>
          </w:rPr>
          <w:tab/>
        </w:r>
        <w:r w:rsidRPr="00285978" w:rsidR="00987885">
          <w:rPr>
            <w:rStyle w:val="Hyperlink"/>
            <w:noProof/>
          </w:rPr>
          <w:t>Individuals Consulted on Statistical Aspects and Individuals Collecting and/or Analyzing Data</w:t>
        </w:r>
        <w:r w:rsidR="00987885">
          <w:rPr>
            <w:noProof/>
            <w:webHidden/>
          </w:rPr>
          <w:tab/>
        </w:r>
        <w:r w:rsidR="00987885">
          <w:rPr>
            <w:noProof/>
            <w:webHidden/>
          </w:rPr>
          <w:fldChar w:fldCharType="begin"/>
        </w:r>
        <w:r w:rsidR="00987885">
          <w:rPr>
            <w:noProof/>
            <w:webHidden/>
          </w:rPr>
          <w:instrText xml:space="preserve"> PAGEREF _Toc32233457 \h </w:instrText>
        </w:r>
        <w:r w:rsidR="00987885">
          <w:rPr>
            <w:noProof/>
            <w:webHidden/>
          </w:rPr>
        </w:r>
        <w:r w:rsidR="00987885">
          <w:rPr>
            <w:noProof/>
            <w:webHidden/>
          </w:rPr>
          <w:fldChar w:fldCharType="separate"/>
        </w:r>
        <w:r w:rsidR="00987885">
          <w:rPr>
            <w:noProof/>
            <w:webHidden/>
          </w:rPr>
          <w:t>5</w:t>
        </w:r>
        <w:r w:rsidR="00987885">
          <w:rPr>
            <w:noProof/>
            <w:webHidden/>
          </w:rPr>
          <w:fldChar w:fldCharType="end"/>
        </w:r>
      </w:hyperlink>
    </w:p>
    <w:p w:rsidR="00987885" w:rsidRDefault="005669F4" w14:paraId="5640D075" w14:textId="4D481BF7">
      <w:pPr>
        <w:pStyle w:val="TOC1"/>
        <w:tabs>
          <w:tab w:val="right" w:leader="dot" w:pos="9350"/>
        </w:tabs>
        <w:rPr>
          <w:rFonts w:asciiTheme="minorHAnsi" w:hAnsiTheme="minorHAnsi"/>
          <w:noProof/>
        </w:rPr>
      </w:pPr>
      <w:hyperlink w:history="1" w:anchor="_Toc32233458">
        <w:r w:rsidRPr="00285978" w:rsidR="00987885">
          <w:rPr>
            <w:rStyle w:val="Hyperlink"/>
            <w:noProof/>
          </w:rPr>
          <w:t>LIST OF ATTACHMENTS – Section B</w:t>
        </w:r>
        <w:r w:rsidR="00987885">
          <w:rPr>
            <w:noProof/>
            <w:webHidden/>
          </w:rPr>
          <w:tab/>
        </w:r>
        <w:r w:rsidR="00987885">
          <w:rPr>
            <w:noProof/>
            <w:webHidden/>
          </w:rPr>
          <w:fldChar w:fldCharType="begin"/>
        </w:r>
        <w:r w:rsidR="00987885">
          <w:rPr>
            <w:noProof/>
            <w:webHidden/>
          </w:rPr>
          <w:instrText xml:space="preserve"> PAGEREF _Toc32233458 \h </w:instrText>
        </w:r>
        <w:r w:rsidR="00987885">
          <w:rPr>
            <w:noProof/>
            <w:webHidden/>
          </w:rPr>
        </w:r>
        <w:r w:rsidR="00987885">
          <w:rPr>
            <w:noProof/>
            <w:webHidden/>
          </w:rPr>
          <w:fldChar w:fldCharType="separate"/>
        </w:r>
        <w:r w:rsidR="00987885">
          <w:rPr>
            <w:noProof/>
            <w:webHidden/>
          </w:rPr>
          <w:t>6</w:t>
        </w:r>
        <w:r w:rsidR="00987885">
          <w:rPr>
            <w:noProof/>
            <w:webHidden/>
          </w:rPr>
          <w:fldChar w:fldCharType="end"/>
        </w:r>
      </w:hyperlink>
    </w:p>
    <w:p w:rsidR="00987885" w:rsidRDefault="005669F4" w14:paraId="0F8A0BBF" w14:textId="5816E473">
      <w:pPr>
        <w:pStyle w:val="TOC1"/>
        <w:tabs>
          <w:tab w:val="right" w:leader="dot" w:pos="9350"/>
        </w:tabs>
        <w:rPr>
          <w:rFonts w:asciiTheme="minorHAnsi" w:hAnsiTheme="minorHAnsi"/>
          <w:noProof/>
        </w:rPr>
      </w:pPr>
      <w:hyperlink w:history="1" w:anchor="_Toc32233459">
        <w:r w:rsidRPr="00285978" w:rsidR="00987885">
          <w:rPr>
            <w:rStyle w:val="Hyperlink"/>
            <w:noProof/>
          </w:rPr>
          <w:t>REFERENCES</w:t>
        </w:r>
        <w:r w:rsidR="00987885">
          <w:rPr>
            <w:noProof/>
            <w:webHidden/>
          </w:rPr>
          <w:tab/>
        </w:r>
        <w:r w:rsidR="00987885">
          <w:rPr>
            <w:noProof/>
            <w:webHidden/>
          </w:rPr>
          <w:fldChar w:fldCharType="begin"/>
        </w:r>
        <w:r w:rsidR="00987885">
          <w:rPr>
            <w:noProof/>
            <w:webHidden/>
          </w:rPr>
          <w:instrText xml:space="preserve"> PAGEREF _Toc32233459 \h </w:instrText>
        </w:r>
        <w:r w:rsidR="00987885">
          <w:rPr>
            <w:noProof/>
            <w:webHidden/>
          </w:rPr>
        </w:r>
        <w:r w:rsidR="00987885">
          <w:rPr>
            <w:noProof/>
            <w:webHidden/>
          </w:rPr>
          <w:fldChar w:fldCharType="separate"/>
        </w:r>
        <w:r w:rsidR="00987885">
          <w:rPr>
            <w:noProof/>
            <w:webHidden/>
          </w:rPr>
          <w:t>6</w:t>
        </w:r>
        <w:r w:rsidR="00987885">
          <w:rPr>
            <w:noProof/>
            <w:webHidden/>
          </w:rPr>
          <w:fldChar w:fldCharType="end"/>
        </w:r>
      </w:hyperlink>
    </w:p>
    <w:p w:rsidR="008D0E64" w:rsidP="008D0E64" w:rsidRDefault="00245F1F" w14:paraId="6C1B8FB7" w14:textId="77777777">
      <w:r w:rsidRPr="000A538D">
        <w:fldChar w:fldCharType="end"/>
      </w:r>
      <w:bookmarkStart w:name="_Toc32233452" w:id="2"/>
    </w:p>
    <w:p w:rsidR="008D0E64" w:rsidRDefault="008D0E64" w14:paraId="6093B6AB" w14:textId="77777777">
      <w:pPr>
        <w:spacing w:after="200"/>
        <w:ind w:left="0"/>
        <w:rPr>
          <w:b/>
          <w:sz w:val="28"/>
        </w:rPr>
      </w:pPr>
      <w:r>
        <w:br w:type="page"/>
      </w:r>
    </w:p>
    <w:p w:rsidRPr="00BC6896" w:rsidR="00B12F51" w:rsidP="00BC6896" w:rsidRDefault="00B12F51" w14:paraId="7789E1F7" w14:textId="7865484D">
      <w:pPr>
        <w:pStyle w:val="Heading3"/>
      </w:pPr>
      <w:r w:rsidRPr="00BC6896">
        <w:lastRenderedPageBreak/>
        <w:t xml:space="preserve">Section B – </w:t>
      </w:r>
      <w:r w:rsidR="00487E55">
        <w:t>Data collection</w:t>
      </w:r>
      <w:r w:rsidRPr="00BC6896" w:rsidR="00287E2F">
        <w:t xml:space="preserve"> Procedures</w:t>
      </w:r>
      <w:bookmarkEnd w:id="2"/>
    </w:p>
    <w:p w:rsidR="00287E2F" w:rsidP="002955E6" w:rsidRDefault="00287E2F" w14:paraId="7FAEADF9" w14:textId="77777777">
      <w:pPr>
        <w:spacing w:line="240" w:lineRule="auto"/>
      </w:pPr>
    </w:p>
    <w:p w:rsidRPr="00FF1312" w:rsidR="00FF1312" w:rsidP="00FF1312" w:rsidRDefault="009759F3" w14:paraId="1BD77B8A" w14:textId="6FED0152">
      <w:pPr>
        <w:pStyle w:val="Heading4"/>
        <w:spacing w:after="0" w:line="240" w:lineRule="auto"/>
      </w:pPr>
      <w:bookmarkStart w:name="_Toc32233453" w:id="3"/>
      <w:r w:rsidRPr="00BC6896">
        <w:t xml:space="preserve">Respondent </w:t>
      </w:r>
      <w:r w:rsidR="00DE2D45">
        <w:t>Uni</w:t>
      </w:r>
      <w:r w:rsidRPr="00BC6896" w:rsidR="001960AE">
        <w:t xml:space="preserve">verse and </w:t>
      </w:r>
      <w:r w:rsidRPr="00991BF9" w:rsidR="001960AE">
        <w:t>Sampling</w:t>
      </w:r>
      <w:r w:rsidRPr="00BC6896" w:rsidR="001960AE">
        <w:t xml:space="preserve"> Methods </w:t>
      </w:r>
      <w:bookmarkEnd w:id="3"/>
    </w:p>
    <w:p w:rsidR="002955E6" w:rsidP="002955E6" w:rsidRDefault="002955E6" w14:paraId="3C3A9501" w14:textId="77777777">
      <w:pPr>
        <w:spacing w:line="240" w:lineRule="auto"/>
        <w:ind w:left="360"/>
        <w:rPr>
          <w:b/>
          <w:color w:val="0070C0"/>
        </w:rPr>
      </w:pPr>
    </w:p>
    <w:p w:rsidR="00484770" w:rsidP="000D5765" w:rsidRDefault="00FF1312" w14:paraId="04D8345B" w14:textId="7E0743E0">
      <w:pPr>
        <w:spacing w:line="240" w:lineRule="auto"/>
        <w:ind w:left="360"/>
        <w:rPr>
          <w:color w:val="000000" w:themeColor="text1"/>
        </w:rPr>
      </w:pPr>
      <w:r>
        <w:rPr>
          <w:color w:val="000000" w:themeColor="text1"/>
        </w:rPr>
        <w:t xml:space="preserve">Data will be collected from a total of </w:t>
      </w:r>
      <w:r w:rsidR="00CE15D4">
        <w:rPr>
          <w:color w:val="000000" w:themeColor="text1"/>
        </w:rPr>
        <w:t>393</w:t>
      </w:r>
      <w:r>
        <w:rPr>
          <w:color w:val="000000" w:themeColor="text1"/>
        </w:rPr>
        <w:t xml:space="preserve"> </w:t>
      </w:r>
      <w:r w:rsidR="0033184E">
        <w:rPr>
          <w:color w:val="000000" w:themeColor="text1"/>
        </w:rPr>
        <w:t>health system clinics,</w:t>
      </w:r>
      <w:r>
        <w:rPr>
          <w:color w:val="000000" w:themeColor="text1"/>
        </w:rPr>
        <w:t xml:space="preserve"> </w:t>
      </w:r>
      <w:r w:rsidRPr="00CE15D4" w:rsidR="00CE15D4">
        <w:rPr>
          <w:color w:val="000000" w:themeColor="text1"/>
        </w:rPr>
        <w:t>including 278 Community Health Centers or Federally Qualified Health Centers; 3 health department clinics; 48 health systems or hospital owned clinics; 16 other primary care facilities; 41 private or physician owned clinics; and 7 tribal health clinic</w:t>
      </w:r>
      <w:r w:rsidR="00CE15D4">
        <w:rPr>
          <w:color w:val="000000" w:themeColor="text1"/>
        </w:rPr>
        <w:t xml:space="preserve"> </w:t>
      </w:r>
      <w:r>
        <w:rPr>
          <w:color w:val="000000" w:themeColor="text1"/>
        </w:rPr>
        <w:t xml:space="preserve"> liaisons (see </w:t>
      </w:r>
      <w:r>
        <w:rPr>
          <w:b/>
          <w:color w:val="000000" w:themeColor="text1"/>
        </w:rPr>
        <w:t xml:space="preserve">Attachment </w:t>
      </w:r>
      <w:r w:rsidR="0062347A">
        <w:rPr>
          <w:b/>
          <w:color w:val="000000" w:themeColor="text1"/>
        </w:rPr>
        <w:t>A</w:t>
      </w:r>
      <w:r>
        <w:rPr>
          <w:b/>
          <w:color w:val="000000" w:themeColor="text1"/>
        </w:rPr>
        <w:t xml:space="preserve"> – List of CRCCP </w:t>
      </w:r>
      <w:r w:rsidR="000E50BB">
        <w:rPr>
          <w:b/>
          <w:color w:val="000000" w:themeColor="text1"/>
        </w:rPr>
        <w:t>C</w:t>
      </w:r>
      <w:r>
        <w:rPr>
          <w:b/>
          <w:color w:val="000000" w:themeColor="text1"/>
        </w:rPr>
        <w:t>linics</w:t>
      </w:r>
      <w:r>
        <w:rPr>
          <w:color w:val="000000" w:themeColor="text1"/>
        </w:rPr>
        <w:t xml:space="preserve">). </w:t>
      </w:r>
    </w:p>
    <w:p w:rsidR="00484770" w:rsidP="000D5765" w:rsidRDefault="00484770" w14:paraId="13ACD62E" w14:textId="77777777">
      <w:pPr>
        <w:spacing w:line="240" w:lineRule="auto"/>
        <w:ind w:left="360"/>
        <w:rPr>
          <w:color w:val="000000" w:themeColor="text1"/>
        </w:rPr>
      </w:pPr>
    </w:p>
    <w:p w:rsidR="00484770" w:rsidP="000D5765" w:rsidRDefault="00FF1312" w14:paraId="15C5E859" w14:textId="73E867F1">
      <w:pPr>
        <w:spacing w:line="240" w:lineRule="auto"/>
        <w:ind w:left="360"/>
      </w:pPr>
      <w:r>
        <w:rPr>
          <w:color w:val="000000" w:themeColor="text1"/>
        </w:rPr>
        <w:t xml:space="preserve">These </w:t>
      </w:r>
      <w:r w:rsidR="00CE15D4">
        <w:rPr>
          <w:color w:val="000000" w:themeColor="text1"/>
        </w:rPr>
        <w:t xml:space="preserve">393 </w:t>
      </w:r>
      <w:r>
        <w:rPr>
          <w:color w:val="000000" w:themeColor="text1"/>
        </w:rPr>
        <w:t xml:space="preserve">health </w:t>
      </w:r>
      <w:r w:rsidR="0033184E">
        <w:rPr>
          <w:color w:val="000000" w:themeColor="text1"/>
        </w:rPr>
        <w:t>system</w:t>
      </w:r>
      <w:r>
        <w:rPr>
          <w:color w:val="000000" w:themeColor="text1"/>
        </w:rPr>
        <w:t xml:space="preserve"> clinics </w:t>
      </w:r>
      <w:r w:rsidR="00484770">
        <w:rPr>
          <w:color w:val="000000" w:themeColor="text1"/>
        </w:rPr>
        <w:t>meet the delegate definition of 0920-0879 as they act on behalf of state health departments</w:t>
      </w:r>
      <w:r w:rsidR="00CC7BAF">
        <w:rPr>
          <w:color w:val="000000" w:themeColor="text1"/>
        </w:rPr>
        <w:t xml:space="preserve">. Delegates </w:t>
      </w:r>
      <w:r>
        <w:rPr>
          <w:color w:val="000000" w:themeColor="text1"/>
        </w:rPr>
        <w:t xml:space="preserve">implement evidence-based interventions (EBIs) on behalf of </w:t>
      </w:r>
      <w:r w:rsidR="00CE15D4">
        <w:rPr>
          <w:color w:val="000000" w:themeColor="text1"/>
        </w:rPr>
        <w:t xml:space="preserve">15 </w:t>
      </w:r>
      <w:r>
        <w:rPr>
          <w:color w:val="000000" w:themeColor="text1"/>
        </w:rPr>
        <w:t xml:space="preserve">Colorectal Cancer Control (CRCCP) </w:t>
      </w:r>
      <w:r w:rsidR="000E50BB">
        <w:rPr>
          <w:color w:val="000000" w:themeColor="text1"/>
        </w:rPr>
        <w:t>awardees</w:t>
      </w:r>
      <w:r>
        <w:rPr>
          <w:color w:val="000000" w:themeColor="text1"/>
        </w:rPr>
        <w:t xml:space="preserve"> (see </w:t>
      </w:r>
      <w:r>
        <w:rPr>
          <w:b/>
          <w:color w:val="000000" w:themeColor="text1"/>
        </w:rPr>
        <w:t xml:space="preserve">Attachment </w:t>
      </w:r>
      <w:r w:rsidR="000E50BB">
        <w:rPr>
          <w:b/>
          <w:color w:val="000000" w:themeColor="text1"/>
        </w:rPr>
        <w:t>B</w:t>
      </w:r>
      <w:r w:rsidR="000D5765">
        <w:rPr>
          <w:b/>
          <w:color w:val="000000" w:themeColor="text1"/>
        </w:rPr>
        <w:t xml:space="preserve"> </w:t>
      </w:r>
      <w:r>
        <w:rPr>
          <w:b/>
          <w:color w:val="000000" w:themeColor="text1"/>
        </w:rPr>
        <w:t xml:space="preserve">– List of CRCCP </w:t>
      </w:r>
      <w:r w:rsidR="000E50BB">
        <w:rPr>
          <w:b/>
          <w:color w:val="000000" w:themeColor="text1"/>
        </w:rPr>
        <w:t>Awardees</w:t>
      </w:r>
      <w:r>
        <w:rPr>
          <w:color w:val="000000" w:themeColor="text1"/>
        </w:rPr>
        <w:t xml:space="preserve">) </w:t>
      </w:r>
      <w:r w:rsidR="005400FC">
        <w:rPr>
          <w:color w:val="000000" w:themeColor="text1"/>
        </w:rPr>
        <w:t>– specifically,</w:t>
      </w:r>
      <w:r>
        <w:rPr>
          <w:color w:val="000000" w:themeColor="text1"/>
        </w:rPr>
        <w:t xml:space="preserve"> </w:t>
      </w:r>
      <w:r w:rsidR="00CE15D4">
        <w:t>15</w:t>
      </w:r>
      <w:r w:rsidRPr="00F63E31" w:rsidR="000E50BB">
        <w:t xml:space="preserve"> State health departments (including the District of Columbia Department of Health).</w:t>
      </w:r>
      <w:r w:rsidR="00484770">
        <w:t xml:space="preserve"> </w:t>
      </w:r>
      <w:r w:rsidRPr="006D7A09" w:rsidR="00484770">
        <w:rPr>
          <w:color w:val="000000"/>
        </w:rPr>
        <w:t xml:space="preserve">CRCCP awardees, who are STLT governmental agencies, are required to partner with health system clinics (their delegates) to implement evidence-based interventions (EBIs) within primary care clinic settings under DP15-1502. </w:t>
      </w:r>
      <w:r w:rsidRPr="00C51036" w:rsidR="00484770">
        <w:rPr>
          <w:color w:val="000000"/>
        </w:rPr>
        <w:t>Because CRCCP awardees are not health systems and lack the capacity to unilaterally implement the program among the large number of healthcare clinics, awardees rely on health system clinics to implement CRCCP EBIs to effectively reach the eligible patient population and achieve the primary program outcome of increased clinic-level CRC screening rates.</w:t>
      </w:r>
      <w:r w:rsidRPr="00C51036" w:rsidR="00484770">
        <w:rPr>
          <w:rFonts w:ascii="Calibri" w:hAnsi="Calibri"/>
          <w:color w:val="000000"/>
        </w:rPr>
        <w:t xml:space="preserve"> </w:t>
      </w:r>
      <w:r w:rsidRPr="00C51036" w:rsidR="00484770">
        <w:rPr>
          <w:color w:val="000000"/>
        </w:rPr>
        <w:t>CRCCP awardees establish and maintain formal partnerships with health system clinics to implement EBIs within clinic settings. Health system clinics receive funding from awardees to support EBI implementation within these clinics</w:t>
      </w:r>
      <w:r w:rsidR="00C51036">
        <w:rPr>
          <w:color w:val="000000"/>
        </w:rPr>
        <w:t>.</w:t>
      </w:r>
    </w:p>
    <w:p w:rsidR="00484770" w:rsidP="000D5765" w:rsidRDefault="00484770" w14:paraId="57913F18" w14:textId="77777777">
      <w:pPr>
        <w:spacing w:line="240" w:lineRule="auto"/>
        <w:ind w:left="360"/>
      </w:pPr>
    </w:p>
    <w:p w:rsidRPr="006D7A09" w:rsidR="00650416" w:rsidP="000D5765" w:rsidRDefault="000E50BB" w14:paraId="55C47111" w14:textId="42580B08">
      <w:pPr>
        <w:spacing w:line="240" w:lineRule="auto"/>
        <w:ind w:left="360"/>
        <w:rPr>
          <w:rFonts w:ascii="Calibri" w:hAnsi="Calibri"/>
          <w:color w:val="000000"/>
        </w:rPr>
      </w:pPr>
      <w:r w:rsidRPr="00F63E31">
        <w:t xml:space="preserve">Every health system clinic is located within the geographic jurisdiction covered by the </w:t>
      </w:r>
      <w:r w:rsidR="00CE15D4">
        <w:t>15</w:t>
      </w:r>
      <w:r w:rsidRPr="00F63E31" w:rsidR="00CE15D4">
        <w:t xml:space="preserve"> </w:t>
      </w:r>
      <w:r w:rsidRPr="00F63E31">
        <w:t xml:space="preserve">CRCCP grantees. Respondents include one clinic representative per health system clinic. </w:t>
      </w:r>
      <w:r w:rsidRPr="00A237AF" w:rsidR="0033184E">
        <w:t>The person expected to complete the survey at each clinic serves the role of clinic liaison for the CRCCP program, but may hold one of many job titles</w:t>
      </w:r>
      <w:r w:rsidR="0033184E">
        <w:t xml:space="preserve"> (e.g., Quality Improvement Coordinator, Nurse Navigator).</w:t>
      </w:r>
      <w:r w:rsidR="00484770">
        <w:t xml:space="preserve"> </w:t>
      </w:r>
      <w:r w:rsidRPr="00484770" w:rsidR="00484770">
        <w:rPr>
          <w:rFonts w:cs="Arial"/>
          <w:color w:val="000000" w:themeColor="text1"/>
        </w:rPr>
        <w:t xml:space="preserve"> </w:t>
      </w:r>
      <w:r w:rsidRPr="006F0F4F" w:rsidR="00484770">
        <w:rPr>
          <w:rFonts w:cs="Arial"/>
          <w:color w:val="000000" w:themeColor="text1"/>
        </w:rPr>
        <w:t xml:space="preserve">One clinic liaison from all </w:t>
      </w:r>
      <w:r w:rsidR="00CE15D4">
        <w:rPr>
          <w:rFonts w:cs="Arial"/>
          <w:color w:val="000000" w:themeColor="text1"/>
        </w:rPr>
        <w:t>393</w:t>
      </w:r>
      <w:r w:rsidRPr="006F0F4F" w:rsidR="00484770">
        <w:rPr>
          <w:rFonts w:cs="Arial"/>
          <w:color w:val="000000" w:themeColor="text1"/>
        </w:rPr>
        <w:t xml:space="preserve"> </w:t>
      </w:r>
      <w:r w:rsidR="00484770">
        <w:rPr>
          <w:rFonts w:cs="Arial"/>
          <w:color w:val="000000" w:themeColor="text1"/>
        </w:rPr>
        <w:t xml:space="preserve">health system </w:t>
      </w:r>
      <w:r w:rsidRPr="006F0F4F" w:rsidR="00484770">
        <w:rPr>
          <w:rFonts w:cs="Arial"/>
          <w:color w:val="000000" w:themeColor="text1"/>
        </w:rPr>
        <w:t xml:space="preserve">clinics associated with the </w:t>
      </w:r>
      <w:r w:rsidR="00CE15D4">
        <w:rPr>
          <w:rFonts w:cs="Arial"/>
          <w:color w:val="000000" w:themeColor="text1"/>
        </w:rPr>
        <w:t>15</w:t>
      </w:r>
      <w:r w:rsidRPr="006F0F4F" w:rsidR="00484770">
        <w:rPr>
          <w:rFonts w:cs="Arial"/>
          <w:color w:val="000000" w:themeColor="text1"/>
        </w:rPr>
        <w:t xml:space="preserve"> State CRCCP grantees will be surveyed; no sampling methods will be used. </w:t>
      </w:r>
    </w:p>
    <w:p w:rsidRPr="006F0F4F" w:rsidR="00650416" w:rsidP="00DC0ECE" w:rsidRDefault="00650416" w14:paraId="6CEFB3F8" w14:textId="1947AD89">
      <w:pPr>
        <w:ind w:left="360"/>
        <w:rPr>
          <w:rFonts w:cs="Arial"/>
          <w:color w:val="000000" w:themeColor="text1"/>
        </w:rPr>
      </w:pPr>
    </w:p>
    <w:p w:rsidRPr="006F0F4F" w:rsidR="00630439" w:rsidP="00FF1312" w:rsidRDefault="00630439" w14:paraId="5A6E6321" w14:textId="77777777">
      <w:pPr>
        <w:spacing w:line="240" w:lineRule="auto"/>
        <w:ind w:left="360"/>
        <w:rPr>
          <w:rFonts w:cs="Arial"/>
          <w:color w:val="000000" w:themeColor="text1"/>
        </w:rPr>
      </w:pPr>
    </w:p>
    <w:p w:rsidRPr="009759F3" w:rsidR="00287E2F" w:rsidP="002955E6" w:rsidRDefault="00287E2F" w14:paraId="00FB128E" w14:textId="77777777">
      <w:pPr>
        <w:pStyle w:val="Heading4"/>
        <w:spacing w:after="0" w:line="240" w:lineRule="auto"/>
      </w:pPr>
      <w:bookmarkStart w:name="_Toc32233454" w:id="4"/>
      <w:r w:rsidRPr="009759F3">
        <w:t xml:space="preserve">Procedures for </w:t>
      </w:r>
      <w:r w:rsidRPr="009759F3" w:rsidR="009759F3">
        <w:t xml:space="preserve">the </w:t>
      </w:r>
      <w:r w:rsidRPr="009759F3">
        <w:t>Collecti</w:t>
      </w:r>
      <w:r w:rsidRPr="009759F3" w:rsidR="009759F3">
        <w:t>on</w:t>
      </w:r>
      <w:r w:rsidRPr="009759F3">
        <w:t xml:space="preserve"> of Information</w:t>
      </w:r>
      <w:bookmarkEnd w:id="4"/>
      <w:r w:rsidRPr="009759F3" w:rsidR="00F725B5">
        <w:t xml:space="preserve"> </w:t>
      </w:r>
      <w:r w:rsidRPr="009759F3" w:rsidR="009759F3">
        <w:t xml:space="preserve">  </w:t>
      </w:r>
    </w:p>
    <w:p w:rsidR="001D461D" w:rsidP="002955E6" w:rsidRDefault="001D461D" w14:paraId="3B038AE8" w14:textId="77777777">
      <w:pPr>
        <w:spacing w:line="240" w:lineRule="auto"/>
        <w:ind w:left="360"/>
      </w:pPr>
    </w:p>
    <w:p w:rsidRPr="00DC0ECE" w:rsidR="00E33BBA" w:rsidP="000D5765" w:rsidRDefault="00E33BBA" w14:paraId="11F4BE67" w14:textId="4B6EBD72">
      <w:pPr>
        <w:spacing w:line="240" w:lineRule="auto"/>
        <w:ind w:left="360"/>
      </w:pPr>
      <w:r w:rsidRPr="00DC0ECE">
        <w:t xml:space="preserve">Data will be collected via </w:t>
      </w:r>
      <w:r w:rsidRPr="00DC0ECE" w:rsidR="00D25183">
        <w:t xml:space="preserve">a </w:t>
      </w:r>
      <w:r w:rsidRPr="00DC0ECE" w:rsidR="00870874">
        <w:t>web-based survey</w:t>
      </w:r>
      <w:r w:rsidRPr="00DC0ECE">
        <w:t xml:space="preserve"> and respondents will be recruited through a notification </w:t>
      </w:r>
      <w:r w:rsidRPr="00C51036" w:rsidR="00870874">
        <w:t xml:space="preserve">email </w:t>
      </w:r>
      <w:r w:rsidRPr="00C51036">
        <w:t xml:space="preserve">(see </w:t>
      </w:r>
      <w:r w:rsidRPr="00C51036">
        <w:rPr>
          <w:b/>
        </w:rPr>
        <w:t xml:space="preserve">Attachment </w:t>
      </w:r>
      <w:r w:rsidRPr="00C51036" w:rsidR="009A5997">
        <w:rPr>
          <w:b/>
        </w:rPr>
        <w:t xml:space="preserve">E </w:t>
      </w:r>
      <w:r w:rsidRPr="00C51036" w:rsidR="0062347A">
        <w:rPr>
          <w:b/>
        </w:rPr>
        <w:t xml:space="preserve">– </w:t>
      </w:r>
      <w:r w:rsidRPr="00C51036" w:rsidR="00DC0ECE">
        <w:rPr>
          <w:b/>
        </w:rPr>
        <w:t>Clinic Survey</w:t>
      </w:r>
      <w:r w:rsidRPr="00C51036" w:rsidR="0062347A">
        <w:rPr>
          <w:b/>
        </w:rPr>
        <w:t xml:space="preserve"> </w:t>
      </w:r>
      <w:r w:rsidRPr="00C51036" w:rsidR="00DC0ECE">
        <w:rPr>
          <w:b/>
        </w:rPr>
        <w:t>N</w:t>
      </w:r>
      <w:r w:rsidRPr="00C51036" w:rsidR="0062347A">
        <w:rPr>
          <w:b/>
        </w:rPr>
        <w:t xml:space="preserve">otification </w:t>
      </w:r>
      <w:r w:rsidRPr="00C51036" w:rsidR="00DC0ECE">
        <w:rPr>
          <w:b/>
        </w:rPr>
        <w:t>E</w:t>
      </w:r>
      <w:r w:rsidRPr="00C51036" w:rsidR="0062347A">
        <w:rPr>
          <w:b/>
        </w:rPr>
        <w:t>mail</w:t>
      </w:r>
      <w:r w:rsidRPr="00C51036">
        <w:t>)</w:t>
      </w:r>
      <w:r w:rsidRPr="00DC0ECE">
        <w:t xml:space="preserve"> to the respondent universe.  The notification email will explain: </w:t>
      </w:r>
    </w:p>
    <w:p w:rsidRPr="009011A8" w:rsidR="00E83C05" w:rsidP="000D5765" w:rsidRDefault="00E83C05" w14:paraId="12D30B44" w14:textId="77777777">
      <w:pPr>
        <w:spacing w:line="240" w:lineRule="auto"/>
        <w:ind w:left="360"/>
      </w:pPr>
    </w:p>
    <w:p w:rsidR="00E33BBA" w:rsidP="000D5765" w:rsidRDefault="00E33BBA" w14:paraId="7539255F" w14:textId="77777777">
      <w:pPr>
        <w:pStyle w:val="ListParagraph"/>
        <w:numPr>
          <w:ilvl w:val="0"/>
          <w:numId w:val="24"/>
        </w:numPr>
        <w:spacing w:line="240" w:lineRule="auto"/>
        <w:ind w:left="1080"/>
      </w:pPr>
      <w:r w:rsidRPr="009011A8">
        <w:t xml:space="preserve">The purpose of the </w:t>
      </w:r>
      <w:r w:rsidR="006C1771">
        <w:t>data collection</w:t>
      </w:r>
      <w:r w:rsidRPr="009011A8">
        <w:t xml:space="preserve">, and why their participation is important </w:t>
      </w:r>
    </w:p>
    <w:p w:rsidRPr="009011A8" w:rsidR="00E33BBA" w:rsidP="000D5765" w:rsidRDefault="00E33BBA" w14:paraId="2C5B90F1" w14:textId="77777777">
      <w:pPr>
        <w:pStyle w:val="ListParagraph"/>
        <w:numPr>
          <w:ilvl w:val="0"/>
          <w:numId w:val="24"/>
        </w:numPr>
        <w:spacing w:line="240" w:lineRule="auto"/>
        <w:ind w:left="1080"/>
      </w:pPr>
      <w:r>
        <w:t>Instructions for participating</w:t>
      </w:r>
    </w:p>
    <w:p w:rsidRPr="009011A8" w:rsidR="00E33BBA" w:rsidP="000D5765" w:rsidRDefault="00E33BBA" w14:paraId="4FD448E3" w14:textId="77777777">
      <w:pPr>
        <w:pStyle w:val="ListParagraph"/>
        <w:numPr>
          <w:ilvl w:val="0"/>
          <w:numId w:val="24"/>
        </w:numPr>
        <w:spacing w:line="240" w:lineRule="auto"/>
        <w:ind w:left="1080"/>
      </w:pPr>
      <w:r w:rsidRPr="009011A8">
        <w:t xml:space="preserve">Method to safeguard their responses </w:t>
      </w:r>
    </w:p>
    <w:p w:rsidRPr="009011A8" w:rsidR="00E33BBA" w:rsidP="000D5765" w:rsidRDefault="00E33BBA" w14:paraId="1DFD166A" w14:textId="77777777">
      <w:pPr>
        <w:pStyle w:val="ListParagraph"/>
        <w:numPr>
          <w:ilvl w:val="0"/>
          <w:numId w:val="24"/>
        </w:numPr>
        <w:spacing w:line="240" w:lineRule="auto"/>
        <w:ind w:left="1080"/>
      </w:pPr>
      <w:r w:rsidRPr="009011A8">
        <w:t>That participation is voluntary</w:t>
      </w:r>
    </w:p>
    <w:p w:rsidR="000279A9" w:rsidP="000D5765" w:rsidRDefault="00E33BBA" w14:paraId="1151B435" w14:textId="77777777">
      <w:pPr>
        <w:pStyle w:val="ListParagraph"/>
        <w:numPr>
          <w:ilvl w:val="0"/>
          <w:numId w:val="24"/>
        </w:numPr>
        <w:spacing w:line="240" w:lineRule="auto"/>
        <w:ind w:left="1080"/>
      </w:pPr>
      <w:r w:rsidRPr="009011A8">
        <w:t xml:space="preserve">The expected time to complete the </w:t>
      </w:r>
      <w:r w:rsidR="006C1771">
        <w:t>instrument</w:t>
      </w:r>
      <w:r w:rsidRPr="009011A8">
        <w:t xml:space="preserve"> </w:t>
      </w:r>
    </w:p>
    <w:p w:rsidR="00691031" w:rsidP="000D5765" w:rsidRDefault="00E33BBA" w14:paraId="067B049D" w14:textId="77777777">
      <w:pPr>
        <w:pStyle w:val="ListParagraph"/>
        <w:numPr>
          <w:ilvl w:val="0"/>
          <w:numId w:val="24"/>
        </w:numPr>
        <w:spacing w:line="240" w:lineRule="auto"/>
        <w:ind w:left="1080"/>
      </w:pPr>
      <w:r w:rsidRPr="009011A8">
        <w:t xml:space="preserve">Contact information for the </w:t>
      </w:r>
      <w:r w:rsidR="006C1771">
        <w:t>project</w:t>
      </w:r>
      <w:r w:rsidRPr="009011A8">
        <w:t xml:space="preserve"> team</w:t>
      </w:r>
    </w:p>
    <w:p w:rsidR="00691031" w:rsidP="000D5765" w:rsidRDefault="00691031" w14:paraId="386CA6B8" w14:textId="77777777">
      <w:pPr>
        <w:spacing w:line="240" w:lineRule="auto"/>
        <w:ind w:left="360"/>
      </w:pPr>
    </w:p>
    <w:p w:rsidR="00691031" w:rsidP="000D5765" w:rsidRDefault="00CC7BAF" w14:paraId="3B44B6B6" w14:textId="3BC27711">
      <w:pPr>
        <w:spacing w:line="240" w:lineRule="auto"/>
        <w:ind w:left="0"/>
      </w:pPr>
      <w:r w:rsidRPr="00921A83">
        <w:t>The web-based survey was designed to collect the minimum data necessary to inform the assessment.</w:t>
      </w:r>
    </w:p>
    <w:p w:rsidR="00691031" w:rsidP="002955E6" w:rsidRDefault="00691031" w14:paraId="56224419" w14:textId="46AC06BA">
      <w:pPr>
        <w:spacing w:line="240" w:lineRule="auto"/>
        <w:ind w:left="360"/>
      </w:pPr>
    </w:p>
    <w:p w:rsidR="00CC7BAF" w:rsidP="006C1771" w:rsidRDefault="00413247" w14:paraId="579E0650" w14:textId="2E56FAF2">
      <w:pPr>
        <w:spacing w:line="240" w:lineRule="auto"/>
        <w:ind w:left="0"/>
      </w:pPr>
      <w:r>
        <w:t>The survey will be hosted on Research Electronic Data Capture (</w:t>
      </w:r>
      <w:proofErr w:type="spellStart"/>
      <w:r>
        <w:t>REDCap</w:t>
      </w:r>
      <w:proofErr w:type="spellEnd"/>
      <w:r>
        <w:t xml:space="preserve">), a mature, secure web application for building and managing data forms and participant-completed surveys. </w:t>
      </w:r>
      <w:r w:rsidR="002E2DD5">
        <w:t xml:space="preserve">The </w:t>
      </w:r>
      <w:r w:rsidR="002E2DD5">
        <w:lastRenderedPageBreak/>
        <w:t>University of Washington</w:t>
      </w:r>
      <w:r w:rsidR="000D5765">
        <w:t xml:space="preserve"> (UW)</w:t>
      </w:r>
      <w:r w:rsidR="002E2DD5">
        <w:t>, CDC’s data contractor,</w:t>
      </w:r>
      <w:r w:rsidRPr="00921A83" w:rsidR="00921A83">
        <w:t xml:space="preserve"> will use </w:t>
      </w:r>
      <w:proofErr w:type="spellStart"/>
      <w:r w:rsidRPr="00921A83" w:rsidR="00921A83">
        <w:t>REDCap</w:t>
      </w:r>
      <w:proofErr w:type="spellEnd"/>
      <w:r w:rsidRPr="00921A83" w:rsidR="00921A83">
        <w:t xml:space="preserve"> to administer the web-based survey. </w:t>
      </w:r>
      <w:r w:rsidRPr="00921A83" w:rsidR="000B422D">
        <w:t>Two days after the notification email</w:t>
      </w:r>
      <w:r w:rsidRPr="00921A83" w:rsidR="00DC0ECE">
        <w:t xml:space="preserve"> is sent</w:t>
      </w:r>
      <w:r w:rsidRPr="00921A83" w:rsidR="000B422D">
        <w:t xml:space="preserve">, respondents will receive an invitation email </w:t>
      </w:r>
      <w:r w:rsidRPr="00921A83" w:rsidR="00086D70">
        <w:t xml:space="preserve">via </w:t>
      </w:r>
      <w:proofErr w:type="spellStart"/>
      <w:r w:rsidRPr="00921A83" w:rsidR="00086D70">
        <w:t>REDCap</w:t>
      </w:r>
      <w:proofErr w:type="spellEnd"/>
      <w:r w:rsidRPr="00921A83" w:rsidR="00086D70">
        <w:t xml:space="preserve"> software that includes </w:t>
      </w:r>
      <w:r w:rsidRPr="00921A83" w:rsidR="008E6133">
        <w:t xml:space="preserve">a </w:t>
      </w:r>
      <w:r w:rsidRPr="00921A83" w:rsidR="00086D70">
        <w:t xml:space="preserve">unique </w:t>
      </w:r>
      <w:r w:rsidRPr="00921A83" w:rsidR="008E6133">
        <w:t xml:space="preserve">link </w:t>
      </w:r>
      <w:r w:rsidRPr="00921A83" w:rsidR="000B422D">
        <w:t xml:space="preserve">to the web-based survey (see </w:t>
      </w:r>
      <w:r w:rsidRPr="00921A83" w:rsidR="000B422D">
        <w:rPr>
          <w:b/>
        </w:rPr>
        <w:t xml:space="preserve">Attachment </w:t>
      </w:r>
      <w:r w:rsidR="00092B6A">
        <w:rPr>
          <w:b/>
        </w:rPr>
        <w:t>F</w:t>
      </w:r>
      <w:r w:rsidRPr="00921A83" w:rsidR="00301E6F">
        <w:rPr>
          <w:b/>
        </w:rPr>
        <w:t xml:space="preserve"> </w:t>
      </w:r>
      <w:r w:rsidR="00C33177">
        <w:rPr>
          <w:b/>
        </w:rPr>
        <w:t>–</w:t>
      </w:r>
      <w:r w:rsidRPr="00921A83" w:rsidR="006F48F3">
        <w:rPr>
          <w:b/>
        </w:rPr>
        <w:t xml:space="preserve"> </w:t>
      </w:r>
      <w:r w:rsidR="00C33177">
        <w:rPr>
          <w:b/>
        </w:rPr>
        <w:t>Clinic Survey Invitation Email</w:t>
      </w:r>
      <w:r w:rsidRPr="00921A83" w:rsidR="000B422D">
        <w:t>)</w:t>
      </w:r>
      <w:r w:rsidRPr="00921A83" w:rsidR="00A37618">
        <w:t>.</w:t>
      </w:r>
      <w:r w:rsidRPr="00921A83" w:rsidR="000B422D">
        <w:t xml:space="preserve"> </w:t>
      </w:r>
    </w:p>
    <w:p w:rsidR="00CC7BAF" w:rsidP="006C1771" w:rsidRDefault="00CC7BAF" w14:paraId="160BFA78" w14:textId="77777777">
      <w:pPr>
        <w:spacing w:line="240" w:lineRule="auto"/>
        <w:ind w:left="0"/>
      </w:pPr>
    </w:p>
    <w:p w:rsidRPr="00C51036" w:rsidR="00CC7BAF" w:rsidP="006C1771" w:rsidRDefault="00CC7BAF" w14:paraId="3AECE2E8" w14:textId="4432BFDC">
      <w:pPr>
        <w:spacing w:line="240" w:lineRule="auto"/>
        <w:ind w:left="0"/>
      </w:pPr>
      <w:r w:rsidRPr="00C51036">
        <w:t xml:space="preserve">Every effort will be made to identify the most appropriate staff within clinics to complete the survey. However, in the event that the person who receives the survey invitation believes there is another staff person within the clinic who would be more appropriate to participate, that individual will have the opportunity to provide the name and business email address of the more appropriate staff person to complete the survey. </w:t>
      </w:r>
      <w:r w:rsidRPr="00C51036" w:rsidR="00FF21A2">
        <w:t xml:space="preserve">The project team will then forward the survey to the recommended staff person. </w:t>
      </w:r>
    </w:p>
    <w:p w:rsidR="00CC7BAF" w:rsidP="006C1771" w:rsidRDefault="00CC7BAF" w14:paraId="52C30242" w14:textId="77777777">
      <w:pPr>
        <w:spacing w:line="240" w:lineRule="auto"/>
        <w:ind w:left="0"/>
        <w:rPr>
          <w:highlight w:val="magenta"/>
        </w:rPr>
      </w:pPr>
    </w:p>
    <w:p w:rsidRPr="009625EC" w:rsidR="00EF186D" w:rsidP="0092735B" w:rsidRDefault="00EF186D" w14:paraId="2AAC77A7" w14:textId="5DF2DC4F">
      <w:pPr>
        <w:spacing w:line="240" w:lineRule="auto"/>
        <w:ind w:left="0"/>
      </w:pPr>
      <w:r>
        <w:t xml:space="preserve">Respondents will have </w:t>
      </w:r>
      <w:r w:rsidR="00DE4561">
        <w:t xml:space="preserve">six </w:t>
      </w:r>
      <w:r w:rsidR="00FC6D5C">
        <w:t>weeks (</w:t>
      </w:r>
      <w:r w:rsidR="00DE4561">
        <w:t>3</w:t>
      </w:r>
      <w:r w:rsidR="00FC6D5C">
        <w:t xml:space="preserve">0 business days) </w:t>
      </w:r>
      <w:r>
        <w:t xml:space="preserve">to complete the web-based survey. Respondents will be allowed to complete the web-based survey in multiple sessions, start and stop the survey as needed, and edit their responses </w:t>
      </w:r>
      <w:r w:rsidR="00921A83">
        <w:t xml:space="preserve">at </w:t>
      </w:r>
      <w:r>
        <w:t>any time prior to submitting the web-based survey</w:t>
      </w:r>
      <w:r w:rsidR="00D56F12">
        <w:t xml:space="preserve">. </w:t>
      </w:r>
      <w:r w:rsidR="00751ED4">
        <w:t>Beginning one week after the survey opens and continuing each week for four weeks, a</w:t>
      </w:r>
      <w:r w:rsidR="00D56F12">
        <w:t xml:space="preserve"> reminder email will be sent </w:t>
      </w:r>
      <w:r w:rsidR="00751ED4">
        <w:t xml:space="preserve">only </w:t>
      </w:r>
      <w:r w:rsidR="00D56F12">
        <w:t>to respondents</w:t>
      </w:r>
      <w:r w:rsidR="00751ED4">
        <w:t xml:space="preserve"> who have not completed the survey</w:t>
      </w:r>
      <w:r w:rsidR="00F10203">
        <w:t xml:space="preserve"> (</w:t>
      </w:r>
      <w:r w:rsidRPr="00413247" w:rsidR="00F10203">
        <w:rPr>
          <w:b/>
          <w:bCs/>
        </w:rPr>
        <w:t>Attachment</w:t>
      </w:r>
      <w:r w:rsidR="006D7A09">
        <w:rPr>
          <w:b/>
          <w:bCs/>
        </w:rPr>
        <w:t xml:space="preserve"> </w:t>
      </w:r>
      <w:r w:rsidR="000136D9">
        <w:rPr>
          <w:b/>
          <w:bCs/>
        </w:rPr>
        <w:t>G</w:t>
      </w:r>
      <w:r w:rsidRPr="00413247" w:rsidR="00491C1B">
        <w:rPr>
          <w:b/>
          <w:bCs/>
        </w:rPr>
        <w:t xml:space="preserve"> </w:t>
      </w:r>
      <w:r w:rsidRPr="00413247" w:rsidR="00F10203">
        <w:rPr>
          <w:b/>
          <w:bCs/>
        </w:rPr>
        <w:t>– Clinic Survey Reminder Email to Non-Responders</w:t>
      </w:r>
      <w:r w:rsidR="00C33177">
        <w:t>)</w:t>
      </w:r>
      <w:r w:rsidR="00751ED4">
        <w:t xml:space="preserve">. </w:t>
      </w:r>
      <w:r w:rsidR="00D56F12">
        <w:t xml:space="preserve"> </w:t>
      </w:r>
      <w:r w:rsidR="00751ED4">
        <w:t>The final reminder email will be sent</w:t>
      </w:r>
      <w:r w:rsidR="00C33177">
        <w:t xml:space="preserve"> </w:t>
      </w:r>
      <w:r w:rsidR="00751ED4">
        <w:t xml:space="preserve">one </w:t>
      </w:r>
      <w:r w:rsidR="00D56F12">
        <w:t>week before the tool closes</w:t>
      </w:r>
      <w:r w:rsidR="00F10203">
        <w:t xml:space="preserve">. </w:t>
      </w:r>
      <w:r w:rsidR="009625EC">
        <w:t xml:space="preserve">A clinic liaison will be considered a non-responder if they have not responded to the web-based survey after </w:t>
      </w:r>
      <w:r w:rsidR="00751ED4">
        <w:t xml:space="preserve">the six-week administration </w:t>
      </w:r>
      <w:r w:rsidR="00FC6D5C">
        <w:t>period</w:t>
      </w:r>
      <w:r w:rsidR="009625EC">
        <w:t xml:space="preserve">. Due to the generous </w:t>
      </w:r>
      <w:r w:rsidR="00751ED4">
        <w:t>six</w:t>
      </w:r>
      <w:r w:rsidR="0092735B">
        <w:t>-</w:t>
      </w:r>
      <w:r w:rsidR="00FC6D5C">
        <w:t xml:space="preserve">week </w:t>
      </w:r>
      <w:r w:rsidR="009625EC">
        <w:t>administration period, no exceptions for late data collections will be given.</w:t>
      </w:r>
    </w:p>
    <w:p w:rsidR="004D70EE" w:rsidP="002955E6" w:rsidRDefault="004D70EE" w14:paraId="311D150B" w14:textId="0AB9836C">
      <w:pPr>
        <w:spacing w:line="240" w:lineRule="auto"/>
        <w:ind w:left="360"/>
      </w:pPr>
    </w:p>
    <w:p w:rsidR="004D70EE" w:rsidP="00F34289" w:rsidRDefault="00F34289" w14:paraId="43BD020A" w14:textId="34CCA98C">
      <w:pPr>
        <w:spacing w:line="240" w:lineRule="auto"/>
        <w:ind w:left="0"/>
      </w:pPr>
      <w:r>
        <w:t xml:space="preserve">The Institute for Translational Health Sciences at the </w:t>
      </w:r>
      <w:r w:rsidR="00D367A0">
        <w:t xml:space="preserve">UW </w:t>
      </w:r>
      <w:r>
        <w:t xml:space="preserve">ensures that </w:t>
      </w:r>
      <w:proofErr w:type="spellStart"/>
      <w:r>
        <w:t>REDCap</w:t>
      </w:r>
      <w:proofErr w:type="spellEnd"/>
      <w:r>
        <w:t xml:space="preserve"> is continuously updated to maintain the highest security standards. </w:t>
      </w:r>
      <w:r w:rsidR="0062347A">
        <w:t>(</w:t>
      </w:r>
      <w:r w:rsidRPr="005B1612" w:rsidR="0062347A">
        <w:rPr>
          <w:b/>
          <w:bCs/>
        </w:rPr>
        <w:t xml:space="preserve">See Attachment </w:t>
      </w:r>
      <w:r w:rsidR="000136D9">
        <w:rPr>
          <w:b/>
          <w:bCs/>
        </w:rPr>
        <w:t>H</w:t>
      </w:r>
      <w:r w:rsidRPr="005B1612" w:rsidR="001E5721">
        <w:rPr>
          <w:b/>
          <w:bCs/>
        </w:rPr>
        <w:t xml:space="preserve"> </w:t>
      </w:r>
      <w:r w:rsidRPr="005B1612" w:rsidR="0062347A">
        <w:rPr>
          <w:b/>
          <w:bCs/>
        </w:rPr>
        <w:t xml:space="preserve">– </w:t>
      </w:r>
      <w:proofErr w:type="spellStart"/>
      <w:r w:rsidRPr="005B1612" w:rsidR="0062347A">
        <w:rPr>
          <w:b/>
          <w:bCs/>
        </w:rPr>
        <w:t>REDCap</w:t>
      </w:r>
      <w:proofErr w:type="spellEnd"/>
      <w:r w:rsidRPr="005B1612" w:rsidR="0062347A">
        <w:rPr>
          <w:b/>
          <w:bCs/>
        </w:rPr>
        <w:t xml:space="preserve"> System Security Statement</w:t>
      </w:r>
      <w:r w:rsidR="0062347A">
        <w:t>)</w:t>
      </w:r>
      <w:r w:rsidR="00413247">
        <w:t>.</w:t>
      </w:r>
      <w:r w:rsidR="0062347A">
        <w:t xml:space="preserve"> </w:t>
      </w:r>
      <w:r>
        <w:t xml:space="preserve">Only UW project staff will have access to </w:t>
      </w:r>
      <w:proofErr w:type="spellStart"/>
      <w:r>
        <w:t>REDCap</w:t>
      </w:r>
      <w:proofErr w:type="spellEnd"/>
      <w:r w:rsidR="00CE15D4">
        <w:t xml:space="preserve">. </w:t>
      </w:r>
      <w:r w:rsidR="00751ED4">
        <w:t xml:space="preserve">Once the survey administration period has closed, data will be transferred from </w:t>
      </w:r>
      <w:proofErr w:type="spellStart"/>
      <w:r w:rsidR="00751ED4">
        <w:t>REDCap</w:t>
      </w:r>
      <w:proofErr w:type="spellEnd"/>
      <w:r w:rsidR="00751ED4">
        <w:t xml:space="preserve"> to a </w:t>
      </w:r>
      <w:r w:rsidRPr="00751ED4" w:rsidR="00751ED4">
        <w:t xml:space="preserve">secure, password protected server accessible only to </w:t>
      </w:r>
      <w:r>
        <w:t xml:space="preserve">UW </w:t>
      </w:r>
      <w:r w:rsidRPr="00751ED4" w:rsidR="00751ED4">
        <w:t xml:space="preserve">project team members. </w:t>
      </w:r>
      <w:r w:rsidRPr="00F34289">
        <w:t xml:space="preserve">Data will be cleaned and analyzed by UW using STATA software. Secondary data analysis using a de-identified data set devoid of any </w:t>
      </w:r>
      <w:r w:rsidR="00FF21A2">
        <w:t>identifiable contact information</w:t>
      </w:r>
      <w:r w:rsidRPr="00F34289" w:rsidR="00FF21A2">
        <w:t xml:space="preserve"> </w:t>
      </w:r>
      <w:r w:rsidRPr="00F34289">
        <w:t xml:space="preserve">may be conducted by a CDC Health Scientist using SAS. Data will be analyzed by jurisdiction (state and tribal area) and clinic type (e.g., FQHC) and in aggregate with findings disseminated and produced to the CDC and other relevant stakeholders (through research publications). </w:t>
      </w:r>
      <w:r w:rsidRPr="00313C49" w:rsidR="00413247">
        <w:rPr>
          <w:rFonts w:eastAsia="Arial Unicode MS"/>
          <w:color w:val="000000"/>
          <w:bdr w:val="nil"/>
        </w:rPr>
        <w:t>Respondents and clinics will not be identified in any publications or reports about the survey</w:t>
      </w:r>
      <w:r w:rsidR="00413247">
        <w:rPr>
          <w:rFonts w:eastAsia="Arial Unicode MS"/>
          <w:color w:val="000000"/>
          <w:bdr w:val="nil"/>
        </w:rPr>
        <w:t>, nor will CDC have access to any individual identifiers.</w:t>
      </w:r>
    </w:p>
    <w:p w:rsidR="006161CF" w:rsidP="002955E6" w:rsidRDefault="006161CF" w14:paraId="492F51D6" w14:textId="61BD5E05">
      <w:pPr>
        <w:spacing w:line="240" w:lineRule="auto"/>
        <w:ind w:left="360"/>
      </w:pPr>
    </w:p>
    <w:p w:rsidR="001D461D" w:rsidP="00176E14" w:rsidRDefault="001D461D" w14:paraId="62D71893" w14:textId="5182208D">
      <w:pPr>
        <w:spacing w:line="240" w:lineRule="auto"/>
        <w:ind w:left="0"/>
      </w:pPr>
    </w:p>
    <w:p w:rsidRPr="009759F3" w:rsidR="009759F3" w:rsidP="002955E6" w:rsidRDefault="00287E2F" w14:paraId="70D69DBC" w14:textId="77777777">
      <w:pPr>
        <w:pStyle w:val="Heading4"/>
        <w:spacing w:after="0" w:line="240" w:lineRule="auto"/>
      </w:pPr>
      <w:bookmarkStart w:name="_Toc32233455" w:id="5"/>
      <w:r w:rsidRPr="00D26A64">
        <w:t>Methods to Maximize Response Rates</w:t>
      </w:r>
      <w:r w:rsidR="00F725B5">
        <w:t xml:space="preserve"> </w:t>
      </w:r>
      <w:r w:rsidRPr="009759F3" w:rsidR="009759F3">
        <w:t>Deal with Nonresponse</w:t>
      </w:r>
      <w:bookmarkEnd w:id="5"/>
    </w:p>
    <w:p w:rsidR="001D461D" w:rsidP="002955E6" w:rsidRDefault="001D461D" w14:paraId="746E296F" w14:textId="77777777">
      <w:pPr>
        <w:spacing w:line="240" w:lineRule="auto"/>
        <w:ind w:left="360"/>
        <w:rPr>
          <w:b/>
          <w:color w:val="0070C0"/>
        </w:rPr>
      </w:pPr>
    </w:p>
    <w:p w:rsidRPr="001D2951" w:rsidR="00991BF9" w:rsidP="001D461D" w:rsidRDefault="00991BF9" w14:paraId="41387625" w14:textId="77777777">
      <w:pPr>
        <w:pStyle w:val="ListParagraph"/>
        <w:spacing w:line="240" w:lineRule="auto"/>
        <w:ind w:left="360"/>
        <w:rPr>
          <w:rFonts w:cs="Times New Roman"/>
        </w:rPr>
      </w:pPr>
      <w:r w:rsidRPr="001D2951">
        <w:rPr>
          <w:rFonts w:cs="Times New Roman"/>
        </w:rPr>
        <w:t xml:space="preserve">Although participation in the </w:t>
      </w:r>
      <w:r w:rsidRPr="001D2951" w:rsidR="00687C5F">
        <w:rPr>
          <w:rFonts w:cs="Times New Roman"/>
        </w:rPr>
        <w:t xml:space="preserve">data collection </w:t>
      </w:r>
      <w:r w:rsidRPr="001D2951">
        <w:rPr>
          <w:rFonts w:cs="Times New Roman"/>
        </w:rPr>
        <w:t xml:space="preserve">is voluntary, the </w:t>
      </w:r>
      <w:r w:rsidRPr="001D2951" w:rsidR="00687C5F">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Pr="001D2951" w:rsidR="00687C5F">
        <w:rPr>
          <w:rFonts w:cs="Times New Roman"/>
        </w:rPr>
        <w:t>data collection instrument</w:t>
      </w:r>
      <w:r w:rsidRPr="001D2951">
        <w:rPr>
          <w:rFonts w:cs="Times New Roman"/>
        </w:rPr>
        <w:t xml:space="preserve"> was designed with </w:t>
      </w:r>
      <w:proofErr w:type="gramStart"/>
      <w:r w:rsidRPr="001D2951">
        <w:rPr>
          <w:rFonts w:cs="Times New Roman"/>
        </w:rPr>
        <w:t>particular focus</w:t>
      </w:r>
      <w:proofErr w:type="gramEnd"/>
      <w:r w:rsidRPr="001D2951">
        <w:rPr>
          <w:rFonts w:cs="Times New Roman"/>
        </w:rPr>
        <w:t xml:space="preserve"> on streamlining questions to allow for skipping questions based on responses to previous questions, thereby minimizing response burden. </w:t>
      </w:r>
    </w:p>
    <w:p w:rsidRPr="001D2951" w:rsidR="00687C5F" w:rsidP="001D461D" w:rsidRDefault="00687C5F" w14:paraId="2E1935CB" w14:textId="77777777">
      <w:pPr>
        <w:pStyle w:val="ListParagraph"/>
        <w:spacing w:line="240" w:lineRule="auto"/>
        <w:ind w:left="360"/>
        <w:rPr>
          <w:rFonts w:cs="Times New Roman"/>
        </w:rPr>
      </w:pPr>
    </w:p>
    <w:p w:rsidRPr="001D2951" w:rsidR="00991BF9" w:rsidP="001D461D" w:rsidRDefault="001D461D" w14:paraId="18318A1C" w14:textId="10B5B13F">
      <w:pPr>
        <w:spacing w:line="240" w:lineRule="auto"/>
        <w:ind w:left="360"/>
        <w:rPr>
          <w:rFonts w:cs="Arial"/>
        </w:rPr>
      </w:pPr>
      <w:r w:rsidRPr="0092735B">
        <w:rPr>
          <w:color w:val="000000" w:themeColor="text1"/>
        </w:rPr>
        <w:t xml:space="preserve">Following the distribution of the invitation to participate in the </w:t>
      </w:r>
      <w:r w:rsidRPr="0092735B" w:rsidR="00487E55">
        <w:rPr>
          <w:color w:val="000000" w:themeColor="text1"/>
        </w:rPr>
        <w:t>data collection</w:t>
      </w:r>
      <w:r w:rsidRPr="0092735B">
        <w:rPr>
          <w:color w:val="000000" w:themeColor="text1"/>
        </w:rPr>
        <w:t xml:space="preserve">, </w:t>
      </w:r>
      <w:r w:rsidRPr="0092735B" w:rsidR="00687C5F">
        <w:rPr>
          <w:color w:val="000000" w:themeColor="text1"/>
        </w:rPr>
        <w:t>(</w:t>
      </w:r>
      <w:r w:rsidRPr="0092735B" w:rsidR="00B50836">
        <w:rPr>
          <w:color w:val="000000" w:themeColor="text1"/>
        </w:rPr>
        <w:t xml:space="preserve">see </w:t>
      </w:r>
      <w:r w:rsidRPr="0092735B" w:rsidR="00B50836">
        <w:rPr>
          <w:b/>
          <w:color w:val="000000" w:themeColor="text1"/>
        </w:rPr>
        <w:t>Attachment</w:t>
      </w:r>
      <w:r w:rsidR="006D7A09">
        <w:rPr>
          <w:b/>
          <w:color w:val="000000" w:themeColor="text1"/>
        </w:rPr>
        <w:t xml:space="preserve"> F -</w:t>
      </w:r>
      <w:r w:rsidR="002072F5">
        <w:rPr>
          <w:b/>
          <w:color w:val="000000" w:themeColor="text1"/>
        </w:rPr>
        <w:t xml:space="preserve"> Clinic Survey Invitation Email</w:t>
      </w:r>
      <w:r w:rsidRPr="0092735B">
        <w:rPr>
          <w:color w:val="000000" w:themeColor="text1"/>
        </w:rPr>
        <w:t>)</w:t>
      </w:r>
      <w:r w:rsidRPr="0092735B" w:rsidR="00687C5F">
        <w:rPr>
          <w:color w:val="000000" w:themeColor="text1"/>
        </w:rPr>
        <w:t xml:space="preserve">, </w:t>
      </w:r>
      <w:r w:rsidRPr="003161B9" w:rsidR="00687C5F">
        <w:t xml:space="preserve">respondents will </w:t>
      </w:r>
      <w:r w:rsidRPr="002072F5" w:rsidR="00687C5F">
        <w:t xml:space="preserve">have </w:t>
      </w:r>
      <w:r w:rsidRPr="002072F5" w:rsidR="00E74ACE">
        <w:t>30</w:t>
      </w:r>
      <w:r w:rsidRPr="002072F5" w:rsidR="00687C5F">
        <w:t xml:space="preserve"> business days to</w:t>
      </w:r>
      <w:r w:rsidRPr="003161B9" w:rsidR="00687C5F">
        <w:t xml:space="preserve"> complete the instrument. </w:t>
      </w:r>
      <w:r w:rsidR="009217F4">
        <w:t>Beginning one week after the survey opens and continuing each week for four weeks, a reminder email will be sent only to respondents who have not completed the survey</w:t>
      </w:r>
      <w:r w:rsidR="002072F5">
        <w:t xml:space="preserve"> (</w:t>
      </w:r>
      <w:r w:rsidRPr="00D2692A" w:rsidR="002072F5">
        <w:rPr>
          <w:b/>
          <w:bCs/>
        </w:rPr>
        <w:t xml:space="preserve">Attachment </w:t>
      </w:r>
      <w:r w:rsidR="000D5765">
        <w:rPr>
          <w:b/>
          <w:bCs/>
        </w:rPr>
        <w:t xml:space="preserve">G </w:t>
      </w:r>
      <w:r w:rsidRPr="00D2692A" w:rsidR="002072F5">
        <w:rPr>
          <w:b/>
          <w:bCs/>
        </w:rPr>
        <w:t>– Clinic Survey Reminder Email</w:t>
      </w:r>
      <w:r w:rsidR="006D7A09">
        <w:rPr>
          <w:b/>
          <w:bCs/>
        </w:rPr>
        <w:t xml:space="preserve"> to Non-Responders</w:t>
      </w:r>
      <w:r w:rsidR="002072F5">
        <w:t>)</w:t>
      </w:r>
      <w:r w:rsidR="009217F4">
        <w:t xml:space="preserve">.  The final reminder email will be sent one week before the tool closes. A clinic liaison will be considered a non-responder if they have not responded to the web-based survey after the six-week administration period.  </w:t>
      </w:r>
    </w:p>
    <w:p w:rsidRPr="00176E14" w:rsidR="001D461D" w:rsidP="001D461D" w:rsidRDefault="001D461D" w14:paraId="3F8C1416" w14:textId="77777777">
      <w:pPr>
        <w:spacing w:line="240" w:lineRule="auto"/>
        <w:ind w:left="360"/>
        <w:rPr>
          <w:rFonts w:cs="Arial"/>
        </w:rPr>
      </w:pPr>
    </w:p>
    <w:p w:rsidRPr="00176E14" w:rsidR="00691031" w:rsidP="001D461D" w:rsidRDefault="00691031" w14:paraId="7BEB6781" w14:textId="77777777">
      <w:pPr>
        <w:spacing w:line="240" w:lineRule="auto"/>
        <w:ind w:left="360"/>
        <w:rPr>
          <w:rFonts w:cs="Arial"/>
        </w:rPr>
      </w:pPr>
    </w:p>
    <w:p w:rsidRPr="009759F3" w:rsidR="00F52BCC" w:rsidP="002955E6" w:rsidRDefault="00287E2F" w14:paraId="10EEC610" w14:textId="77777777">
      <w:pPr>
        <w:pStyle w:val="Heading4"/>
        <w:spacing w:after="0" w:line="240" w:lineRule="auto"/>
      </w:pPr>
      <w:bookmarkStart w:name="_Toc32233456" w:id="6"/>
      <w:r w:rsidRPr="005F3FEF">
        <w:t xml:space="preserve">Test of Procedures </w:t>
      </w:r>
      <w:r w:rsidRPr="009759F3" w:rsidR="009759F3">
        <w:t>or Methods to be Undertaken</w:t>
      </w:r>
      <w:bookmarkEnd w:id="6"/>
    </w:p>
    <w:p w:rsidR="00865573" w:rsidP="002955E6" w:rsidRDefault="00865573" w14:paraId="33311394" w14:textId="77777777">
      <w:pPr>
        <w:spacing w:line="240" w:lineRule="auto"/>
        <w:ind w:left="360"/>
        <w:rPr>
          <w:color w:val="000000"/>
          <w:lang w:eastAsia="zh-CN"/>
        </w:rPr>
      </w:pPr>
    </w:p>
    <w:p w:rsidR="000E4F4B" w:rsidP="000D5765" w:rsidRDefault="006D7A09" w14:paraId="6BB2E01E" w14:textId="45BD9836">
      <w:pPr>
        <w:spacing w:line="240" w:lineRule="auto"/>
        <w:ind w:left="360"/>
      </w:pPr>
      <w:bookmarkStart w:name="_Hlk32399066" w:id="7"/>
      <w:r w:rsidRPr="00BB63FD">
        <w:t xml:space="preserve">The estimate for burden hours is based on a pilot test of the data collection instrument by 9 public health professionals. In the pilot test, the average time to complete the instrument including time for reviewing instructions, gathering needed information and completing the instrument, was approximately 20 minutes (range: 10-50). However, </w:t>
      </w:r>
      <w:proofErr w:type="gramStart"/>
      <w:r w:rsidRPr="00BB63FD">
        <w:t>the majority of</w:t>
      </w:r>
      <w:proofErr w:type="gramEnd"/>
      <w:r w:rsidRPr="00BB63FD">
        <w:t xml:space="preserve"> pilot testers (6 out of 9) completed the survey in 10-15 minutes, with the remaining pilot testers completing the survey in 20, 30, and 50 minutes, respectively. </w:t>
      </w:r>
      <w:r>
        <w:t>For</w:t>
      </w:r>
      <w:r w:rsidRPr="00BB63FD">
        <w:t xml:space="preserve"> the purposes of estimating burden hours, the average time need</w:t>
      </w:r>
      <w:r w:rsidR="000B16C7">
        <w:t>ed</w:t>
      </w:r>
      <w:r w:rsidRPr="00BB63FD">
        <w:t xml:space="preserve"> to complete the survey (i.e., 20 minutes) is</w:t>
      </w:r>
      <w:bookmarkEnd w:id="7"/>
      <w:r>
        <w:t xml:space="preserve"> </w:t>
      </w:r>
      <w:r w:rsidRPr="001D2951" w:rsidR="000E4F4B">
        <w:rPr>
          <w:color w:val="000000"/>
          <w:lang w:eastAsia="zh-CN"/>
        </w:rPr>
        <w:t>used.</w:t>
      </w:r>
    </w:p>
    <w:p w:rsidR="004D70EE" w:rsidP="004D70EE" w:rsidRDefault="004D70EE" w14:paraId="3AB59160" w14:textId="77777777">
      <w:pPr>
        <w:spacing w:line="240" w:lineRule="auto"/>
        <w:ind w:left="360"/>
      </w:pPr>
    </w:p>
    <w:p w:rsidR="009759F3" w:rsidP="002955E6" w:rsidRDefault="009759F3" w14:paraId="6296E07F" w14:textId="77777777">
      <w:pPr>
        <w:pStyle w:val="Heading4"/>
        <w:spacing w:after="0" w:line="240" w:lineRule="auto"/>
      </w:pPr>
      <w:bookmarkStart w:name="_Toc32233457" w:id="8"/>
      <w:r w:rsidRPr="009759F3">
        <w:t>Individuals Consulted on Statistical Aspects and Individuals Collecting and/or Analyzing Data</w:t>
      </w:r>
      <w:bookmarkEnd w:id="8"/>
    </w:p>
    <w:p w:rsidR="00F27049" w:rsidP="002955E6" w:rsidRDefault="00F27049" w14:paraId="512F530F" w14:textId="77777777">
      <w:pPr>
        <w:spacing w:line="240" w:lineRule="auto"/>
        <w:ind w:left="360"/>
        <w:rPr>
          <w:b/>
          <w:color w:val="0070C0"/>
        </w:rPr>
      </w:pPr>
    </w:p>
    <w:p w:rsidRPr="004520C0" w:rsidR="008C7042" w:rsidP="002955E6" w:rsidRDefault="008C7042" w14:paraId="071C089C" w14:textId="452C041E">
      <w:pPr>
        <w:spacing w:line="240" w:lineRule="auto"/>
        <w:ind w:left="360"/>
      </w:pPr>
      <w:r w:rsidRPr="004520C0">
        <w:t>Two CDC FTEs (GS-1</w:t>
      </w:r>
      <w:r w:rsidRPr="004520C0" w:rsidR="002E2DD5">
        <w:t>3</w:t>
      </w:r>
      <w:r w:rsidRPr="004520C0">
        <w:t xml:space="preserve"> &amp; GS 1</w:t>
      </w:r>
      <w:r w:rsidRPr="004520C0" w:rsidR="002E2DD5">
        <w:t>4</w:t>
      </w:r>
      <w:r w:rsidRPr="004520C0">
        <w:t xml:space="preserve">) working in the National Center for Chronic Disease Prevention and Health Promotion, Division of Cancer Prevention and Control, Program Services Branch will </w:t>
      </w:r>
      <w:r w:rsidRPr="004520C0" w:rsidR="00F07C92">
        <w:t xml:space="preserve">provide feedback to the contractor on the development of the web-based survey. </w:t>
      </w:r>
      <w:r w:rsidRPr="004520C0" w:rsidR="001A031F">
        <w:t>UW</w:t>
      </w:r>
      <w:r w:rsidRPr="004520C0" w:rsidR="00F07C92">
        <w:t xml:space="preserve"> will </w:t>
      </w:r>
      <w:r w:rsidRPr="004520C0">
        <w:t xml:space="preserve">develop </w:t>
      </w:r>
      <w:r w:rsidRPr="004520C0" w:rsidR="001A031F">
        <w:t xml:space="preserve">and </w:t>
      </w:r>
      <w:r w:rsidRPr="004520C0">
        <w:t>administer</w:t>
      </w:r>
      <w:r w:rsidRPr="004520C0" w:rsidR="00F07C92">
        <w:t xml:space="preserve"> the web-based survey</w:t>
      </w:r>
      <w:r w:rsidRPr="004520C0" w:rsidR="001A031F">
        <w:t>,</w:t>
      </w:r>
      <w:r w:rsidRPr="004520C0" w:rsidR="00F07C92">
        <w:t xml:space="preserve"> </w:t>
      </w:r>
      <w:r w:rsidRPr="004520C0">
        <w:t xml:space="preserve">and analyze the data. </w:t>
      </w:r>
    </w:p>
    <w:p w:rsidRPr="004520C0" w:rsidR="008C7042" w:rsidP="002955E6" w:rsidRDefault="008C7042" w14:paraId="6CBFA878" w14:textId="77777777">
      <w:pPr>
        <w:spacing w:line="240" w:lineRule="auto"/>
        <w:ind w:left="360"/>
      </w:pPr>
    </w:p>
    <w:p w:rsidRPr="004520C0" w:rsidR="00DE4561" w:rsidP="00DE4561" w:rsidRDefault="00DE4561" w14:paraId="1202977E" w14:textId="44A6D80D">
      <w:pPr>
        <w:ind w:left="0" w:firstLine="360"/>
      </w:pPr>
      <w:r w:rsidRPr="004520C0">
        <w:t>Dara Schlueter, MPH</w:t>
      </w:r>
    </w:p>
    <w:p w:rsidRPr="004520C0" w:rsidR="00DE4561" w:rsidP="00DE4561" w:rsidRDefault="00DE4561" w14:paraId="087A8036" w14:textId="77777777">
      <w:pPr>
        <w:ind w:left="0" w:firstLine="360"/>
      </w:pPr>
      <w:r w:rsidRPr="004520C0">
        <w:t>Health Scientist, Division of Cancer Prevention and Control</w:t>
      </w:r>
      <w:r w:rsidRPr="004520C0">
        <w:tab/>
      </w:r>
    </w:p>
    <w:p w:rsidRPr="004520C0" w:rsidR="00DE4561" w:rsidP="00DE4561" w:rsidRDefault="00DE4561" w14:paraId="5E955D60" w14:textId="77777777">
      <w:pPr>
        <w:ind w:left="0" w:firstLine="360"/>
      </w:pPr>
      <w:r w:rsidRPr="004520C0">
        <w:t>National Center for Chronic Disease Prevention and Health Promotion</w:t>
      </w:r>
    </w:p>
    <w:p w:rsidRPr="004520C0" w:rsidR="00DE4561" w:rsidP="00DE4561" w:rsidRDefault="00DE4561" w14:paraId="232C09D6" w14:textId="77777777">
      <w:pPr>
        <w:ind w:left="0" w:firstLine="360"/>
      </w:pPr>
      <w:r w:rsidRPr="004520C0">
        <w:t>4770 Buford Highway NE, MS S107-4, Atlanta, GA, 30341-3717</w:t>
      </w:r>
    </w:p>
    <w:p w:rsidRPr="004520C0" w:rsidR="00DE4561" w:rsidP="00DE4561" w:rsidRDefault="00DE4561" w14:paraId="6B822809" w14:textId="77777777">
      <w:pPr>
        <w:ind w:left="0" w:firstLine="360"/>
      </w:pPr>
      <w:r w:rsidRPr="004520C0">
        <w:t>Telephone: 404.498.1782</w:t>
      </w:r>
    </w:p>
    <w:p w:rsidRPr="004520C0" w:rsidR="00DE4561" w:rsidP="00DE4561" w:rsidRDefault="00DE4561" w14:paraId="7B46E48A" w14:textId="77777777">
      <w:pPr>
        <w:ind w:left="0" w:firstLine="360"/>
      </w:pPr>
      <w:r w:rsidRPr="004520C0">
        <w:t>Fax: 770.488.4820</w:t>
      </w:r>
    </w:p>
    <w:p w:rsidRPr="004520C0" w:rsidR="008C7042" w:rsidP="009217F4" w:rsidRDefault="00DE4561" w14:paraId="26A07B33" w14:textId="69BA8B53">
      <w:pPr>
        <w:ind w:left="0" w:firstLine="360"/>
      </w:pPr>
      <w:r w:rsidRPr="004520C0">
        <w:t>Email: SAX9@cdc.gov</w:t>
      </w:r>
    </w:p>
    <w:p w:rsidRPr="004520C0" w:rsidR="001615F2" w:rsidP="002955E6" w:rsidRDefault="001615F2" w14:paraId="31CB6A0A" w14:textId="77777777">
      <w:pPr>
        <w:spacing w:line="240" w:lineRule="auto"/>
        <w:ind w:left="360"/>
      </w:pPr>
    </w:p>
    <w:p w:rsidRPr="004520C0" w:rsidR="001615F2" w:rsidP="001615F2" w:rsidRDefault="001615F2" w14:paraId="5606793D" w14:textId="68F0E2FA">
      <w:pPr>
        <w:ind w:left="0" w:firstLine="360"/>
      </w:pPr>
      <w:r w:rsidRPr="004520C0">
        <w:t>Amy DeGroff, PhD, MPH</w:t>
      </w:r>
    </w:p>
    <w:p w:rsidRPr="004520C0" w:rsidR="00504783" w:rsidP="001615F2" w:rsidRDefault="001A031F" w14:paraId="00FA2106" w14:textId="77777777">
      <w:pPr>
        <w:ind w:left="0" w:firstLine="360"/>
      </w:pPr>
      <w:r w:rsidRPr="004520C0">
        <w:t>Lead</w:t>
      </w:r>
      <w:r w:rsidRPr="004520C0" w:rsidR="001615F2">
        <w:t xml:space="preserve"> Health Scientist</w:t>
      </w:r>
    </w:p>
    <w:p w:rsidRPr="004520C0" w:rsidR="001615F2" w:rsidP="00504783" w:rsidRDefault="001A031F" w14:paraId="4DFA4640" w14:textId="20E5EAA3">
      <w:pPr>
        <w:ind w:left="360"/>
      </w:pPr>
      <w:r w:rsidRPr="004520C0">
        <w:t>Division of Cancer Prevention and Control</w:t>
      </w:r>
      <w:r w:rsidRPr="004520C0" w:rsidR="00504783">
        <w:t xml:space="preserve">, </w:t>
      </w:r>
      <w:r w:rsidRPr="004520C0" w:rsidR="001615F2">
        <w:t>National Center for Chronic Disease Prevention and Health Promotion</w:t>
      </w:r>
    </w:p>
    <w:p w:rsidRPr="004520C0" w:rsidR="001615F2" w:rsidP="001615F2" w:rsidRDefault="001615F2" w14:paraId="1565E95B" w14:textId="77777777">
      <w:pPr>
        <w:ind w:left="0" w:firstLine="360"/>
      </w:pPr>
      <w:r w:rsidRPr="004520C0">
        <w:t>4770 Buford Highway NE, MS S107-4, Atlanta, GA, 30341-3717</w:t>
      </w:r>
    </w:p>
    <w:p w:rsidRPr="004520C0" w:rsidR="001615F2" w:rsidP="001615F2" w:rsidRDefault="001615F2" w14:paraId="01B61550" w14:textId="43D9089E">
      <w:pPr>
        <w:ind w:left="0" w:firstLine="360"/>
      </w:pPr>
      <w:r w:rsidRPr="004520C0">
        <w:t>Telephone: (770) 488-2415</w:t>
      </w:r>
    </w:p>
    <w:p w:rsidRPr="004520C0" w:rsidR="001615F2" w:rsidP="001615F2" w:rsidRDefault="001615F2" w14:paraId="415C5BF4" w14:textId="5C6B767E">
      <w:pPr>
        <w:ind w:left="0" w:firstLine="360"/>
      </w:pPr>
      <w:r w:rsidRPr="004520C0">
        <w:t>Fax: (770) 488-3230</w:t>
      </w:r>
    </w:p>
    <w:p w:rsidRPr="004520C0" w:rsidR="00F07C92" w:rsidP="002955E6" w:rsidRDefault="00504783" w14:paraId="3A9AEB4C" w14:textId="7BDE70BC">
      <w:pPr>
        <w:spacing w:line="240" w:lineRule="auto"/>
        <w:ind w:left="360"/>
      </w:pPr>
      <w:r w:rsidRPr="004520C0">
        <w:t xml:space="preserve">Email: </w:t>
      </w:r>
      <w:hyperlink w:history="1" r:id="rId13">
        <w:r w:rsidRPr="004520C0" w:rsidR="00C247DC">
          <w:rPr>
            <w:rStyle w:val="Hyperlink"/>
            <w:color w:val="auto"/>
          </w:rPr>
          <w:t>asd1@cdc.gov</w:t>
        </w:r>
      </w:hyperlink>
    </w:p>
    <w:p w:rsidRPr="004520C0" w:rsidR="00F07C92" w:rsidP="002955E6" w:rsidRDefault="00F07C92" w14:paraId="623DC58D" w14:textId="77777777">
      <w:pPr>
        <w:spacing w:line="240" w:lineRule="auto"/>
        <w:ind w:left="360"/>
      </w:pPr>
    </w:p>
    <w:p w:rsidRPr="004520C0" w:rsidR="00F07C92" w:rsidP="002955E6" w:rsidRDefault="00F07C92" w14:paraId="308733C2" w14:textId="77777777">
      <w:pPr>
        <w:spacing w:line="240" w:lineRule="auto"/>
        <w:ind w:left="360"/>
      </w:pPr>
      <w:r w:rsidRPr="004520C0">
        <w:t>Peggy Hannon, PhD, MPH</w:t>
      </w:r>
    </w:p>
    <w:p w:rsidRPr="004520C0" w:rsidR="00F07C92" w:rsidP="00F07C92" w:rsidRDefault="00F07C92" w14:paraId="2029A016" w14:textId="21131C55">
      <w:pPr>
        <w:spacing w:line="240" w:lineRule="auto"/>
        <w:ind w:left="360"/>
      </w:pPr>
      <w:r w:rsidRPr="004520C0">
        <w:t>Director</w:t>
      </w:r>
      <w:r w:rsidRPr="004520C0">
        <w:rPr>
          <w:rStyle w:val="Hyperlink"/>
          <w:color w:val="auto"/>
          <w:u w:val="none"/>
        </w:rPr>
        <w:t xml:space="preserve">, </w:t>
      </w:r>
      <w:r w:rsidRPr="004520C0">
        <w:t>Health Promotion Research Center</w:t>
      </w:r>
    </w:p>
    <w:p w:rsidRPr="004520C0" w:rsidR="00504783" w:rsidP="00504783" w:rsidRDefault="00504783" w14:paraId="7532AAF6" w14:textId="26882814">
      <w:pPr>
        <w:spacing w:line="240" w:lineRule="auto"/>
        <w:ind w:left="360"/>
      </w:pPr>
      <w:r w:rsidRPr="004520C0">
        <w:t>University of Washington</w:t>
      </w:r>
    </w:p>
    <w:p w:rsidRPr="004520C0" w:rsidR="00F07C92" w:rsidRDefault="00F07C92" w14:paraId="54C5DF3B" w14:textId="4923A310">
      <w:pPr>
        <w:spacing w:line="240" w:lineRule="auto"/>
        <w:ind w:left="360"/>
        <w:rPr>
          <w:rStyle w:val="Hyperlink"/>
          <w:color w:val="auto"/>
          <w:u w:val="none"/>
        </w:rPr>
      </w:pPr>
      <w:r w:rsidRPr="004520C0">
        <w:rPr>
          <w:rStyle w:val="Hyperlink"/>
          <w:color w:val="auto"/>
          <w:u w:val="none"/>
        </w:rPr>
        <w:t>1107 NE 45</w:t>
      </w:r>
      <w:r w:rsidRPr="004520C0">
        <w:rPr>
          <w:rStyle w:val="Hyperlink"/>
          <w:color w:val="auto"/>
          <w:u w:val="none"/>
          <w:vertAlign w:val="superscript"/>
        </w:rPr>
        <w:t>th</w:t>
      </w:r>
      <w:r w:rsidRPr="004520C0">
        <w:rPr>
          <w:rStyle w:val="Hyperlink"/>
          <w:color w:val="auto"/>
          <w:u w:val="none"/>
        </w:rPr>
        <w:t xml:space="preserve"> ST., Suite 400, Seattle, WA, 98105</w:t>
      </w:r>
    </w:p>
    <w:p w:rsidRPr="004520C0" w:rsidR="00F07C92" w:rsidRDefault="00F07C92" w14:paraId="7733809D" w14:textId="3CEADE84">
      <w:pPr>
        <w:spacing w:line="240" w:lineRule="auto"/>
        <w:ind w:left="360"/>
        <w:rPr>
          <w:rStyle w:val="Hyperlink"/>
          <w:color w:val="auto"/>
          <w:u w:val="none"/>
        </w:rPr>
      </w:pPr>
      <w:r w:rsidRPr="004520C0">
        <w:rPr>
          <w:rStyle w:val="Hyperlink"/>
          <w:color w:val="auto"/>
          <w:u w:val="none"/>
        </w:rPr>
        <w:t>Telephone: (206) 616-7859</w:t>
      </w:r>
    </w:p>
    <w:p w:rsidRPr="004520C0" w:rsidR="00F07C92" w:rsidRDefault="00504783" w14:paraId="196743C0" w14:textId="778A5A56">
      <w:pPr>
        <w:spacing w:line="240" w:lineRule="auto"/>
        <w:ind w:left="360"/>
        <w:rPr>
          <w:rStyle w:val="Hyperlink"/>
          <w:color w:val="auto"/>
          <w:u w:val="none"/>
        </w:rPr>
      </w:pPr>
      <w:r w:rsidRPr="004520C0">
        <w:rPr>
          <w:rStyle w:val="Hyperlink"/>
          <w:color w:val="auto"/>
          <w:u w:val="none"/>
        </w:rPr>
        <w:t xml:space="preserve">Email: </w:t>
      </w:r>
      <w:hyperlink w:history="1" r:id="rId14">
        <w:r w:rsidRPr="004520C0" w:rsidR="0087055A">
          <w:rPr>
            <w:rStyle w:val="Hyperlink"/>
            <w:color w:val="auto"/>
          </w:rPr>
          <w:t>peggyh@uw.edu</w:t>
        </w:r>
      </w:hyperlink>
    </w:p>
    <w:p w:rsidRPr="004520C0" w:rsidR="0087055A" w:rsidRDefault="0087055A" w14:paraId="293049C3" w14:textId="11B883B1">
      <w:pPr>
        <w:spacing w:line="240" w:lineRule="auto"/>
        <w:ind w:left="360"/>
        <w:rPr>
          <w:rStyle w:val="Hyperlink"/>
          <w:color w:val="auto"/>
          <w:u w:val="none"/>
        </w:rPr>
      </w:pPr>
    </w:p>
    <w:p w:rsidRPr="004520C0" w:rsidR="0087055A" w:rsidRDefault="0087055A" w14:paraId="6EA0C6E2" w14:textId="29E0BFA4">
      <w:pPr>
        <w:spacing w:line="240" w:lineRule="auto"/>
        <w:ind w:left="360"/>
        <w:rPr>
          <w:rStyle w:val="Hyperlink"/>
          <w:color w:val="auto"/>
          <w:u w:val="none"/>
        </w:rPr>
      </w:pPr>
      <w:r w:rsidRPr="004520C0">
        <w:rPr>
          <w:rStyle w:val="Hyperlink"/>
          <w:color w:val="auto"/>
          <w:u w:val="none"/>
        </w:rPr>
        <w:t>Sarah Hohl, PhD, MPH</w:t>
      </w:r>
    </w:p>
    <w:p w:rsidRPr="004520C0" w:rsidR="0087055A" w:rsidP="0087055A" w:rsidRDefault="0087055A" w14:paraId="60864C86" w14:textId="6212C3CF">
      <w:pPr>
        <w:spacing w:line="240" w:lineRule="auto"/>
        <w:ind w:left="360"/>
      </w:pPr>
      <w:r w:rsidRPr="004520C0">
        <w:t>Post-Doctoral Research Fellow, Biobehavioral Cancer Prevention and Control Training Program</w:t>
      </w:r>
    </w:p>
    <w:p w:rsidRPr="004520C0" w:rsidR="0087055A" w:rsidP="0087055A" w:rsidRDefault="0087055A" w14:paraId="04EEC208" w14:textId="0F94AA70">
      <w:pPr>
        <w:spacing w:line="240" w:lineRule="auto"/>
        <w:ind w:left="360"/>
      </w:pPr>
      <w:r w:rsidRPr="004520C0">
        <w:t>University of Washington</w:t>
      </w:r>
    </w:p>
    <w:p w:rsidRPr="004520C0" w:rsidR="0087055A" w:rsidP="0087055A" w:rsidRDefault="0087055A" w14:paraId="2B130469" w14:textId="43C0E4C0">
      <w:pPr>
        <w:spacing w:line="240" w:lineRule="auto"/>
        <w:ind w:left="360"/>
        <w:rPr>
          <w:rStyle w:val="Hyperlink"/>
          <w:color w:val="auto"/>
          <w:u w:val="none"/>
        </w:rPr>
      </w:pPr>
      <w:r w:rsidRPr="004520C0">
        <w:rPr>
          <w:rStyle w:val="Hyperlink"/>
          <w:color w:val="auto"/>
          <w:u w:val="none"/>
        </w:rPr>
        <w:t>1107 NE 45</w:t>
      </w:r>
      <w:r w:rsidRPr="004520C0">
        <w:rPr>
          <w:rStyle w:val="Hyperlink"/>
          <w:color w:val="auto"/>
          <w:u w:val="none"/>
          <w:vertAlign w:val="superscript"/>
        </w:rPr>
        <w:t>th</w:t>
      </w:r>
      <w:r w:rsidRPr="004520C0">
        <w:rPr>
          <w:rStyle w:val="Hyperlink"/>
          <w:color w:val="auto"/>
          <w:u w:val="none"/>
        </w:rPr>
        <w:t xml:space="preserve"> ST., Suite 400, Seattle, WA, 98105</w:t>
      </w:r>
    </w:p>
    <w:p w:rsidRPr="004520C0" w:rsidR="0087055A" w:rsidP="0087055A" w:rsidRDefault="0087055A" w14:paraId="5A146B7F" w14:textId="7ED0C2B3">
      <w:pPr>
        <w:spacing w:line="240" w:lineRule="auto"/>
        <w:ind w:left="360"/>
        <w:rPr>
          <w:rStyle w:val="Hyperlink"/>
          <w:color w:val="auto"/>
          <w:u w:val="none"/>
        </w:rPr>
      </w:pPr>
      <w:r w:rsidRPr="004520C0">
        <w:rPr>
          <w:rStyle w:val="Hyperlink"/>
          <w:color w:val="auto"/>
          <w:u w:val="none"/>
        </w:rPr>
        <w:lastRenderedPageBreak/>
        <w:t>Telephone: (206) 685-8215</w:t>
      </w:r>
    </w:p>
    <w:p w:rsidRPr="004520C0" w:rsidR="0087055A" w:rsidP="0087055A" w:rsidRDefault="0087055A" w14:paraId="29CA5673" w14:textId="3F2A6463">
      <w:pPr>
        <w:spacing w:line="240" w:lineRule="auto"/>
        <w:ind w:left="360"/>
        <w:rPr>
          <w:rStyle w:val="Hyperlink"/>
          <w:color w:val="auto"/>
          <w:u w:val="none"/>
        </w:rPr>
      </w:pPr>
      <w:r w:rsidRPr="004520C0">
        <w:rPr>
          <w:rStyle w:val="Hyperlink"/>
          <w:color w:val="auto"/>
          <w:u w:val="none"/>
        </w:rPr>
        <w:t xml:space="preserve">Email: </w:t>
      </w:r>
      <w:hyperlink w:history="1" r:id="rId15">
        <w:r w:rsidRPr="004520C0">
          <w:rPr>
            <w:rStyle w:val="Hyperlink"/>
            <w:color w:val="auto"/>
          </w:rPr>
          <w:t>hohl@uw.edu</w:t>
        </w:r>
      </w:hyperlink>
    </w:p>
    <w:p w:rsidR="0087055A" w:rsidP="0087055A" w:rsidRDefault="0087055A" w14:paraId="555B4FD8" w14:textId="77777777">
      <w:pPr>
        <w:spacing w:line="240" w:lineRule="auto"/>
        <w:ind w:left="360"/>
        <w:rPr>
          <w:color w:val="0070C0"/>
        </w:rPr>
      </w:pPr>
    </w:p>
    <w:p w:rsidRPr="00865573" w:rsidR="00865573" w:rsidP="002955E6" w:rsidRDefault="00865573" w14:paraId="52F6B89F" w14:textId="77777777">
      <w:pPr>
        <w:spacing w:line="240" w:lineRule="auto"/>
        <w:ind w:left="360"/>
        <w:rPr>
          <w:rStyle w:val="Hyperlink"/>
          <w:b/>
          <w:color w:val="0070C0"/>
        </w:rPr>
      </w:pPr>
    </w:p>
    <w:p w:rsidRPr="00BC6896" w:rsidR="00A36419" w:rsidP="002955E6" w:rsidRDefault="00A36419" w14:paraId="5E157C62" w14:textId="77777777">
      <w:pPr>
        <w:pStyle w:val="Heading3"/>
        <w:spacing w:line="240" w:lineRule="auto"/>
      </w:pPr>
      <w:bookmarkStart w:name="_Toc32233458" w:id="9"/>
      <w:r w:rsidRPr="00BC6896">
        <w:t>LIST OF ATTACHMENTS</w:t>
      </w:r>
      <w:r w:rsidRPr="00BC6896" w:rsidR="00E24C20">
        <w:t xml:space="preserve"> – Section B</w:t>
      </w:r>
      <w:bookmarkEnd w:id="9"/>
    </w:p>
    <w:p w:rsidRPr="003C3D1C" w:rsidR="00400C2C" w:rsidP="002955E6" w:rsidRDefault="00400C2C" w14:paraId="7951A685" w14:textId="77777777">
      <w:pPr>
        <w:spacing w:line="240" w:lineRule="auto"/>
        <w:ind w:left="0"/>
      </w:pPr>
      <w:r w:rsidRPr="00CD1EA8">
        <w:t>Note:</w:t>
      </w:r>
      <w:r>
        <w:t xml:space="preserve"> Attachments are included as separate files as instructed.</w:t>
      </w:r>
    </w:p>
    <w:p w:rsidRPr="00C33177" w:rsidR="0062347A" w:rsidP="00345893" w:rsidRDefault="0062347A" w14:paraId="15C14932" w14:textId="08B7382E">
      <w:pPr>
        <w:pStyle w:val="ListParagraph"/>
        <w:numPr>
          <w:ilvl w:val="0"/>
          <w:numId w:val="43"/>
        </w:numPr>
        <w:spacing w:line="240" w:lineRule="auto"/>
        <w:rPr>
          <w:rFonts w:ascii="Cambria" w:hAnsi="Cambria"/>
          <w:bCs/>
        </w:rPr>
      </w:pPr>
      <w:bookmarkStart w:name="_GoBack" w:id="10"/>
      <w:r w:rsidRPr="00C33177">
        <w:rPr>
          <w:rFonts w:ascii="Cambria" w:hAnsi="Cambria"/>
          <w:bCs/>
        </w:rPr>
        <w:t xml:space="preserve">Attachment A:  List of CRCCP </w:t>
      </w:r>
      <w:r w:rsidRPr="00C33177" w:rsidR="00CC1CCD">
        <w:rPr>
          <w:rFonts w:ascii="Cambria" w:hAnsi="Cambria"/>
          <w:bCs/>
        </w:rPr>
        <w:t>C</w:t>
      </w:r>
      <w:r w:rsidRPr="00C33177">
        <w:rPr>
          <w:rFonts w:ascii="Cambria" w:hAnsi="Cambria"/>
          <w:bCs/>
        </w:rPr>
        <w:t>linics</w:t>
      </w:r>
    </w:p>
    <w:p w:rsidRPr="00C33177" w:rsidR="0062347A" w:rsidP="00345893" w:rsidRDefault="0062347A" w14:paraId="3321BE95" w14:textId="3C8543AA">
      <w:pPr>
        <w:pStyle w:val="ListParagraph"/>
        <w:numPr>
          <w:ilvl w:val="0"/>
          <w:numId w:val="43"/>
        </w:numPr>
        <w:spacing w:line="240" w:lineRule="auto"/>
        <w:rPr>
          <w:rFonts w:ascii="Cambria" w:hAnsi="Cambria"/>
          <w:bCs/>
        </w:rPr>
      </w:pPr>
      <w:r w:rsidRPr="00C33177">
        <w:rPr>
          <w:rFonts w:ascii="Cambria" w:hAnsi="Cambria"/>
          <w:bCs/>
        </w:rPr>
        <w:t xml:space="preserve">Attachment </w:t>
      </w:r>
      <w:r w:rsidRPr="00C33177" w:rsidR="00CC1CCD">
        <w:rPr>
          <w:rFonts w:ascii="Cambria" w:hAnsi="Cambria"/>
          <w:bCs/>
        </w:rPr>
        <w:t>B</w:t>
      </w:r>
      <w:r w:rsidRPr="00C33177">
        <w:rPr>
          <w:rFonts w:ascii="Cambria" w:hAnsi="Cambria"/>
          <w:bCs/>
        </w:rPr>
        <w:t xml:space="preserve">: List of CRCCP </w:t>
      </w:r>
      <w:r w:rsidRPr="00C33177" w:rsidR="00CC1CCD">
        <w:rPr>
          <w:rFonts w:ascii="Cambria" w:hAnsi="Cambria"/>
          <w:bCs/>
        </w:rPr>
        <w:t>G</w:t>
      </w:r>
      <w:r w:rsidRPr="00C33177">
        <w:rPr>
          <w:rFonts w:ascii="Cambria" w:hAnsi="Cambria"/>
          <w:bCs/>
        </w:rPr>
        <w:t xml:space="preserve">rantees  </w:t>
      </w:r>
    </w:p>
    <w:p w:rsidRPr="00C33177" w:rsidR="0062347A" w:rsidP="00345893" w:rsidRDefault="0062347A" w14:paraId="3099358B" w14:textId="205AC466">
      <w:pPr>
        <w:pStyle w:val="ListParagraph"/>
        <w:numPr>
          <w:ilvl w:val="0"/>
          <w:numId w:val="43"/>
        </w:numPr>
        <w:spacing w:line="240" w:lineRule="auto"/>
        <w:rPr>
          <w:rFonts w:ascii="Cambria" w:hAnsi="Cambria"/>
          <w:bCs/>
        </w:rPr>
      </w:pPr>
      <w:r w:rsidRPr="00C33177">
        <w:rPr>
          <w:rFonts w:ascii="Cambria" w:hAnsi="Cambria"/>
          <w:bCs/>
        </w:rPr>
        <w:t xml:space="preserve">Attachment </w:t>
      </w:r>
      <w:r w:rsidR="001714F3">
        <w:rPr>
          <w:rFonts w:ascii="Cambria" w:hAnsi="Cambria"/>
          <w:bCs/>
        </w:rPr>
        <w:t>E</w:t>
      </w:r>
      <w:r w:rsidR="001A031F">
        <w:rPr>
          <w:rFonts w:ascii="Cambria" w:hAnsi="Cambria"/>
          <w:bCs/>
        </w:rPr>
        <w:t xml:space="preserve">: </w:t>
      </w:r>
      <w:r w:rsidRPr="00C33177" w:rsidR="00CC1CCD">
        <w:rPr>
          <w:bCs/>
        </w:rPr>
        <w:t>Clinic Survey Notification Email</w:t>
      </w:r>
    </w:p>
    <w:p w:rsidRPr="00C33177" w:rsidR="00F10203" w:rsidP="00345893" w:rsidRDefault="00F10203" w14:paraId="623D0320" w14:textId="552D46A2">
      <w:pPr>
        <w:pStyle w:val="ListParagraph"/>
        <w:numPr>
          <w:ilvl w:val="0"/>
          <w:numId w:val="43"/>
        </w:numPr>
        <w:spacing w:line="240" w:lineRule="auto"/>
        <w:rPr>
          <w:rFonts w:ascii="Cambria" w:hAnsi="Cambria"/>
          <w:bCs/>
        </w:rPr>
      </w:pPr>
      <w:r w:rsidRPr="00C33177">
        <w:rPr>
          <w:bCs/>
        </w:rPr>
        <w:t xml:space="preserve">Attachment </w:t>
      </w:r>
      <w:r w:rsidR="001714F3">
        <w:rPr>
          <w:bCs/>
        </w:rPr>
        <w:t>F</w:t>
      </w:r>
      <w:r w:rsidR="001A031F">
        <w:rPr>
          <w:bCs/>
        </w:rPr>
        <w:t xml:space="preserve">: </w:t>
      </w:r>
      <w:r w:rsidRPr="00C33177">
        <w:rPr>
          <w:bCs/>
        </w:rPr>
        <w:t>Clinic Survey</w:t>
      </w:r>
      <w:r w:rsidRPr="00C33177">
        <w:rPr>
          <w:rFonts w:ascii="Cambria" w:hAnsi="Cambria"/>
          <w:bCs/>
        </w:rPr>
        <w:t xml:space="preserve"> </w:t>
      </w:r>
      <w:r w:rsidR="00C33177">
        <w:rPr>
          <w:rFonts w:ascii="Cambria" w:hAnsi="Cambria"/>
          <w:bCs/>
        </w:rPr>
        <w:t>Invitation Email</w:t>
      </w:r>
    </w:p>
    <w:p w:rsidRPr="00C33177" w:rsidR="0062347A" w:rsidP="00345893" w:rsidRDefault="0062347A" w14:paraId="1A067AD9" w14:textId="44FB9CED">
      <w:pPr>
        <w:pStyle w:val="ListParagraph"/>
        <w:numPr>
          <w:ilvl w:val="0"/>
          <w:numId w:val="43"/>
        </w:numPr>
        <w:spacing w:line="240" w:lineRule="auto"/>
        <w:rPr>
          <w:rFonts w:ascii="Cambria" w:hAnsi="Cambria"/>
          <w:bCs/>
        </w:rPr>
      </w:pPr>
      <w:r w:rsidRPr="00C33177">
        <w:rPr>
          <w:rFonts w:ascii="Cambria" w:hAnsi="Cambria"/>
          <w:bCs/>
        </w:rPr>
        <w:t>Attachment</w:t>
      </w:r>
      <w:r w:rsidRPr="00C33177" w:rsidR="00C33177">
        <w:rPr>
          <w:rFonts w:ascii="Cambria" w:hAnsi="Cambria"/>
          <w:bCs/>
        </w:rPr>
        <w:t xml:space="preserve"> </w:t>
      </w:r>
      <w:r w:rsidR="00C62203">
        <w:rPr>
          <w:rFonts w:ascii="Cambria" w:hAnsi="Cambria"/>
          <w:bCs/>
        </w:rPr>
        <w:t>G</w:t>
      </w:r>
      <w:r w:rsidRPr="00C33177">
        <w:rPr>
          <w:rFonts w:ascii="Cambria" w:hAnsi="Cambria"/>
          <w:bCs/>
        </w:rPr>
        <w:t xml:space="preserve">: </w:t>
      </w:r>
      <w:r w:rsidR="001A031F">
        <w:rPr>
          <w:rFonts w:ascii="Cambria" w:hAnsi="Cambria"/>
          <w:bCs/>
        </w:rPr>
        <w:t xml:space="preserve">Clinic Survey </w:t>
      </w:r>
      <w:r w:rsidRPr="00C33177">
        <w:rPr>
          <w:rFonts w:ascii="Cambria" w:hAnsi="Cambria"/>
          <w:bCs/>
        </w:rPr>
        <w:t xml:space="preserve">Reminder </w:t>
      </w:r>
      <w:r w:rsidRPr="00C33177" w:rsidR="00C33177">
        <w:rPr>
          <w:rFonts w:ascii="Cambria" w:hAnsi="Cambria"/>
          <w:bCs/>
        </w:rPr>
        <w:t>E</w:t>
      </w:r>
      <w:r w:rsidRPr="00C33177">
        <w:rPr>
          <w:rFonts w:ascii="Cambria" w:hAnsi="Cambria"/>
          <w:bCs/>
        </w:rPr>
        <w:t xml:space="preserve">mail to </w:t>
      </w:r>
      <w:r w:rsidRPr="00C33177" w:rsidR="00C33177">
        <w:rPr>
          <w:rFonts w:ascii="Cambria" w:hAnsi="Cambria"/>
          <w:bCs/>
        </w:rPr>
        <w:t>N</w:t>
      </w:r>
      <w:r w:rsidRPr="00C33177">
        <w:rPr>
          <w:rFonts w:ascii="Cambria" w:hAnsi="Cambria"/>
          <w:bCs/>
        </w:rPr>
        <w:t>on-</w:t>
      </w:r>
      <w:r w:rsidRPr="00C33177" w:rsidR="00C33177">
        <w:rPr>
          <w:rFonts w:ascii="Cambria" w:hAnsi="Cambria"/>
          <w:bCs/>
        </w:rPr>
        <w:t>R</w:t>
      </w:r>
      <w:r w:rsidRPr="00C33177">
        <w:rPr>
          <w:rFonts w:ascii="Cambria" w:hAnsi="Cambria"/>
          <w:bCs/>
        </w:rPr>
        <w:t>esponders</w:t>
      </w:r>
    </w:p>
    <w:p w:rsidRPr="00810D9D" w:rsidR="001A031F" w:rsidP="00345893" w:rsidRDefault="0062347A" w14:paraId="2A265306" w14:textId="7B01DA12">
      <w:pPr>
        <w:pStyle w:val="ListParagraph"/>
        <w:numPr>
          <w:ilvl w:val="0"/>
          <w:numId w:val="43"/>
        </w:numPr>
        <w:spacing w:line="240" w:lineRule="auto"/>
        <w:rPr>
          <w:rFonts w:ascii="Cambria" w:hAnsi="Cambria"/>
          <w:bCs/>
        </w:rPr>
      </w:pPr>
      <w:r w:rsidRPr="00810D9D">
        <w:rPr>
          <w:rFonts w:ascii="Cambria" w:hAnsi="Cambria"/>
          <w:bCs/>
        </w:rPr>
        <w:t>Attachment</w:t>
      </w:r>
      <w:r w:rsidRPr="00810D9D" w:rsidR="000136D9">
        <w:rPr>
          <w:rFonts w:ascii="Cambria" w:hAnsi="Cambria"/>
          <w:bCs/>
        </w:rPr>
        <w:t xml:space="preserve"> H</w:t>
      </w:r>
      <w:r w:rsidRPr="00810D9D">
        <w:rPr>
          <w:rFonts w:ascii="Cambria" w:hAnsi="Cambria"/>
          <w:bCs/>
        </w:rPr>
        <w:t xml:space="preserve">: </w:t>
      </w:r>
      <w:proofErr w:type="spellStart"/>
      <w:r w:rsidRPr="00810D9D">
        <w:rPr>
          <w:rFonts w:ascii="Cambria" w:hAnsi="Cambria"/>
          <w:bCs/>
        </w:rPr>
        <w:t>REDCap</w:t>
      </w:r>
      <w:proofErr w:type="spellEnd"/>
      <w:r w:rsidRPr="00810D9D">
        <w:rPr>
          <w:rFonts w:ascii="Cambria" w:hAnsi="Cambria"/>
          <w:bCs/>
        </w:rPr>
        <w:t xml:space="preserve"> System Security Statement</w:t>
      </w:r>
    </w:p>
    <w:bookmarkEnd w:id="10"/>
    <w:p w:rsidRPr="00AD4AC0" w:rsidR="00AD4AC0" w:rsidP="00AD4AC0" w:rsidRDefault="00AD4AC0" w14:paraId="5C984B96" w14:textId="77777777">
      <w:pPr>
        <w:spacing w:line="240" w:lineRule="auto"/>
        <w:ind w:left="360"/>
        <w:rPr>
          <w:rFonts w:ascii="Cambria" w:hAnsi="Cambria"/>
          <w:b/>
          <w:color w:val="0070C0"/>
        </w:rPr>
      </w:pPr>
    </w:p>
    <w:p w:rsidRPr="00400C2C" w:rsidR="00400C2C" w:rsidP="00400C2C" w:rsidRDefault="00400C2C" w14:paraId="417C6ADD" w14:textId="77777777">
      <w:pPr>
        <w:pStyle w:val="ListParagraph"/>
        <w:spacing w:line="240" w:lineRule="auto"/>
        <w:rPr>
          <w:rFonts w:ascii="Cambria" w:hAnsi="Cambria"/>
          <w:b/>
          <w:color w:val="0070C0"/>
        </w:rPr>
      </w:pPr>
    </w:p>
    <w:p w:rsidR="00D862E1" w:rsidP="009217F4" w:rsidRDefault="00D862E1" w14:paraId="4552368D" w14:textId="15779D0D">
      <w:pPr>
        <w:pStyle w:val="Heading3"/>
      </w:pPr>
      <w:bookmarkStart w:name="_Toc32233459" w:id="11"/>
      <w:r>
        <w:t>REFERENCES</w:t>
      </w:r>
      <w:bookmarkEnd w:id="11"/>
    </w:p>
    <w:p w:rsidR="00D862E1" w:rsidP="009217F4" w:rsidRDefault="00D862E1" w14:paraId="28D0C36E" w14:textId="4AC37709">
      <w:pPr>
        <w:ind w:left="0"/>
        <w:rPr>
          <w:b/>
        </w:rPr>
      </w:pPr>
    </w:p>
    <w:p w:rsidRPr="00AD4AC0" w:rsidR="00AD4AC0" w:rsidP="00AD4AC0" w:rsidRDefault="00D862E1" w14:paraId="642C23B3" w14:textId="13CFE7FB">
      <w:pPr>
        <w:pStyle w:val="ListParagraph"/>
        <w:numPr>
          <w:ilvl w:val="0"/>
          <w:numId w:val="39"/>
        </w:numPr>
      </w:pPr>
      <w:proofErr w:type="spellStart"/>
      <w:r w:rsidRPr="006E1AC4">
        <w:t>Bibbins</w:t>
      </w:r>
      <w:proofErr w:type="spellEnd"/>
      <w:r w:rsidRPr="006E1AC4">
        <w:t xml:space="preserve">-Domingo, K., et. al., 2016. </w:t>
      </w:r>
      <w:r>
        <w:t xml:space="preserve">Screening for Colorectal Cancer: US Preventive Services Task Force Recommendation Statement. </w:t>
      </w:r>
      <w:r>
        <w:rPr>
          <w:i/>
        </w:rPr>
        <w:t xml:space="preserve">Jama, 315, </w:t>
      </w:r>
      <w:r>
        <w:t>2564-2575.</w:t>
      </w:r>
    </w:p>
    <w:sectPr w:rsidRPr="00AD4AC0" w:rsidR="00AD4AC0" w:rsidSect="003E5D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A55E" w14:textId="77777777" w:rsidR="005669F4" w:rsidRDefault="005669F4" w:rsidP="00BC6896">
      <w:r>
        <w:separator/>
      </w:r>
    </w:p>
    <w:p w14:paraId="6C74DA51" w14:textId="77777777" w:rsidR="005669F4" w:rsidRDefault="005669F4" w:rsidP="00BC6896"/>
  </w:endnote>
  <w:endnote w:type="continuationSeparator" w:id="0">
    <w:p w14:paraId="3EFC2C53" w14:textId="77777777" w:rsidR="005669F4" w:rsidRDefault="005669F4" w:rsidP="00BC6896">
      <w:r>
        <w:continuationSeparator/>
      </w:r>
    </w:p>
    <w:p w14:paraId="6B3D465D" w14:textId="77777777" w:rsidR="005669F4" w:rsidRDefault="005669F4"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38C5" w14:textId="77777777" w:rsidR="00086A6E" w:rsidRDefault="0008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73290766" w14:textId="48278754" w:rsidR="00D56F12" w:rsidRDefault="00D56F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0E6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E64">
              <w:rPr>
                <w:b/>
                <w:bCs/>
                <w:noProof/>
              </w:rPr>
              <w:t>6</w:t>
            </w:r>
            <w:r>
              <w:rPr>
                <w:b/>
                <w:bCs/>
                <w:sz w:val="24"/>
                <w:szCs w:val="24"/>
              </w:rPr>
              <w:fldChar w:fldCharType="end"/>
            </w:r>
          </w:p>
        </w:sdtContent>
      </w:sdt>
    </w:sdtContent>
  </w:sdt>
  <w:p w14:paraId="080DCCC5" w14:textId="77777777" w:rsidR="00D56F12" w:rsidRDefault="00D56F12" w:rsidP="00BC6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956D" w14:textId="77777777" w:rsidR="00086A6E" w:rsidRDefault="0008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950A" w14:textId="77777777" w:rsidR="005669F4" w:rsidRDefault="005669F4" w:rsidP="00BC6896">
      <w:r>
        <w:separator/>
      </w:r>
    </w:p>
    <w:p w14:paraId="570E615F" w14:textId="77777777" w:rsidR="005669F4" w:rsidRDefault="005669F4" w:rsidP="00BC6896"/>
  </w:footnote>
  <w:footnote w:type="continuationSeparator" w:id="0">
    <w:p w14:paraId="4FC07981" w14:textId="77777777" w:rsidR="005669F4" w:rsidRDefault="005669F4" w:rsidP="00BC6896">
      <w:r>
        <w:continuationSeparator/>
      </w:r>
    </w:p>
    <w:p w14:paraId="2602340A" w14:textId="77777777" w:rsidR="005669F4" w:rsidRDefault="005669F4"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A6F7" w14:textId="77777777" w:rsidR="00086A6E" w:rsidRDefault="00086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541A" w14:textId="77777777" w:rsidR="00D56F12" w:rsidRPr="00716F94" w:rsidRDefault="00D56F12" w:rsidP="00BC6896">
    <w:pPr>
      <w:pStyle w:val="Header"/>
      <w:rPr>
        <w:color w:val="0033CC"/>
      </w:rPr>
    </w:pPr>
    <w:r>
      <w:tab/>
    </w:r>
  </w:p>
  <w:p w14:paraId="459834C0" w14:textId="77777777" w:rsidR="00D56F12" w:rsidRDefault="00D56F12" w:rsidP="00BC68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8837" w14:textId="77777777" w:rsidR="00086A6E" w:rsidRDefault="0008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F7F9D"/>
    <w:multiLevelType w:val="hybridMultilevel"/>
    <w:tmpl w:val="FB045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F7E3E"/>
    <w:multiLevelType w:val="hybridMultilevel"/>
    <w:tmpl w:val="4772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0603B64"/>
    <w:multiLevelType w:val="hybridMultilevel"/>
    <w:tmpl w:val="6C22B9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337C55"/>
    <w:multiLevelType w:val="hybridMultilevel"/>
    <w:tmpl w:val="31D6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9"/>
  </w:num>
  <w:num w:numId="4">
    <w:abstractNumId w:val="13"/>
  </w:num>
  <w:num w:numId="5">
    <w:abstractNumId w:val="28"/>
  </w:num>
  <w:num w:numId="6">
    <w:abstractNumId w:val="7"/>
  </w:num>
  <w:num w:numId="7">
    <w:abstractNumId w:val="0"/>
  </w:num>
  <w:num w:numId="8">
    <w:abstractNumId w:val="5"/>
  </w:num>
  <w:num w:numId="9">
    <w:abstractNumId w:val="11"/>
  </w:num>
  <w:num w:numId="10">
    <w:abstractNumId w:val="31"/>
  </w:num>
  <w:num w:numId="11">
    <w:abstractNumId w:val="2"/>
  </w:num>
  <w:num w:numId="12">
    <w:abstractNumId w:val="37"/>
  </w:num>
  <w:num w:numId="13">
    <w:abstractNumId w:val="6"/>
  </w:num>
  <w:num w:numId="14">
    <w:abstractNumId w:val="3"/>
  </w:num>
  <w:num w:numId="15">
    <w:abstractNumId w:val="34"/>
  </w:num>
  <w:num w:numId="16">
    <w:abstractNumId w:val="41"/>
  </w:num>
  <w:num w:numId="17">
    <w:abstractNumId w:val="10"/>
  </w:num>
  <w:num w:numId="18">
    <w:abstractNumId w:val="15"/>
  </w:num>
  <w:num w:numId="19">
    <w:abstractNumId w:val="4"/>
  </w:num>
  <w:num w:numId="20">
    <w:abstractNumId w:val="16"/>
  </w:num>
  <w:num w:numId="21">
    <w:abstractNumId w:val="40"/>
  </w:num>
  <w:num w:numId="22">
    <w:abstractNumId w:val="32"/>
  </w:num>
  <w:num w:numId="23">
    <w:abstractNumId w:val="14"/>
  </w:num>
  <w:num w:numId="24">
    <w:abstractNumId w:val="33"/>
  </w:num>
  <w:num w:numId="25">
    <w:abstractNumId w:val="35"/>
  </w:num>
  <w:num w:numId="26">
    <w:abstractNumId w:val="21"/>
  </w:num>
  <w:num w:numId="27">
    <w:abstractNumId w:val="25"/>
  </w:num>
  <w:num w:numId="28">
    <w:abstractNumId w:val="22"/>
  </w:num>
  <w:num w:numId="29">
    <w:abstractNumId w:val="29"/>
  </w:num>
  <w:num w:numId="30">
    <w:abstractNumId w:val="24"/>
  </w:num>
  <w:num w:numId="31">
    <w:abstractNumId w:val="12"/>
  </w:num>
  <w:num w:numId="32">
    <w:abstractNumId w:val="26"/>
  </w:num>
  <w:num w:numId="33">
    <w:abstractNumId w:val="20"/>
  </w:num>
  <w:num w:numId="34">
    <w:abstractNumId w:val="17"/>
  </w:num>
  <w:num w:numId="35">
    <w:abstractNumId w:val="30"/>
  </w:num>
  <w:num w:numId="36">
    <w:abstractNumId w:val="23"/>
  </w:num>
  <w:num w:numId="37">
    <w:abstractNumId w:val="9"/>
  </w:num>
  <w:num w:numId="38">
    <w:abstractNumId w:val="38"/>
  </w:num>
  <w:num w:numId="39">
    <w:abstractNumId w:val="36"/>
  </w:num>
  <w:num w:numId="40">
    <w:abstractNumId w:val="8"/>
  </w:num>
  <w:num w:numId="41">
    <w:abstractNumId w:val="19"/>
  </w:num>
  <w:num w:numId="42">
    <w:abstractNumId w:val="2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DF"/>
    <w:rsid w:val="0000767E"/>
    <w:rsid w:val="00010420"/>
    <w:rsid w:val="00011A98"/>
    <w:rsid w:val="00011F8D"/>
    <w:rsid w:val="000130B4"/>
    <w:rsid w:val="000136D9"/>
    <w:rsid w:val="00014361"/>
    <w:rsid w:val="0002239D"/>
    <w:rsid w:val="000279A9"/>
    <w:rsid w:val="000474FB"/>
    <w:rsid w:val="00052A34"/>
    <w:rsid w:val="00053A92"/>
    <w:rsid w:val="000557D0"/>
    <w:rsid w:val="0005605E"/>
    <w:rsid w:val="00057F36"/>
    <w:rsid w:val="00063C0A"/>
    <w:rsid w:val="00086A6E"/>
    <w:rsid w:val="00086D70"/>
    <w:rsid w:val="00092B6A"/>
    <w:rsid w:val="000A1F30"/>
    <w:rsid w:val="000A538D"/>
    <w:rsid w:val="000B16C7"/>
    <w:rsid w:val="000B191F"/>
    <w:rsid w:val="000B422D"/>
    <w:rsid w:val="000D5765"/>
    <w:rsid w:val="000E4F4B"/>
    <w:rsid w:val="000E50BB"/>
    <w:rsid w:val="000E6577"/>
    <w:rsid w:val="000E7A19"/>
    <w:rsid w:val="000F36A3"/>
    <w:rsid w:val="001030FC"/>
    <w:rsid w:val="00104A1B"/>
    <w:rsid w:val="001177DD"/>
    <w:rsid w:val="001308EB"/>
    <w:rsid w:val="001412D4"/>
    <w:rsid w:val="00144F64"/>
    <w:rsid w:val="00151567"/>
    <w:rsid w:val="00154F78"/>
    <w:rsid w:val="001615F2"/>
    <w:rsid w:val="00163E17"/>
    <w:rsid w:val="00166F9E"/>
    <w:rsid w:val="001714F3"/>
    <w:rsid w:val="00175844"/>
    <w:rsid w:val="001761B1"/>
    <w:rsid w:val="00176E14"/>
    <w:rsid w:val="001812E1"/>
    <w:rsid w:val="00187D5A"/>
    <w:rsid w:val="001960AE"/>
    <w:rsid w:val="001972D7"/>
    <w:rsid w:val="001A031F"/>
    <w:rsid w:val="001A28F6"/>
    <w:rsid w:val="001A7D0E"/>
    <w:rsid w:val="001B2831"/>
    <w:rsid w:val="001B40B2"/>
    <w:rsid w:val="001C0493"/>
    <w:rsid w:val="001C28AD"/>
    <w:rsid w:val="001D2951"/>
    <w:rsid w:val="001D461D"/>
    <w:rsid w:val="001D5995"/>
    <w:rsid w:val="001D7FCB"/>
    <w:rsid w:val="001E2B99"/>
    <w:rsid w:val="001E5721"/>
    <w:rsid w:val="001E69B6"/>
    <w:rsid w:val="001F4DBB"/>
    <w:rsid w:val="001F4FBD"/>
    <w:rsid w:val="001F501E"/>
    <w:rsid w:val="001F6F84"/>
    <w:rsid w:val="001F7C89"/>
    <w:rsid w:val="0020312D"/>
    <w:rsid w:val="0020495F"/>
    <w:rsid w:val="00206E33"/>
    <w:rsid w:val="002072F5"/>
    <w:rsid w:val="00210519"/>
    <w:rsid w:val="00225EAB"/>
    <w:rsid w:val="00230CEF"/>
    <w:rsid w:val="0023214A"/>
    <w:rsid w:val="00237CA1"/>
    <w:rsid w:val="00241B17"/>
    <w:rsid w:val="00241C81"/>
    <w:rsid w:val="00245F1F"/>
    <w:rsid w:val="00252BF8"/>
    <w:rsid w:val="00253799"/>
    <w:rsid w:val="00256392"/>
    <w:rsid w:val="00257A1C"/>
    <w:rsid w:val="002721C7"/>
    <w:rsid w:val="0027234C"/>
    <w:rsid w:val="00272E03"/>
    <w:rsid w:val="00281795"/>
    <w:rsid w:val="0028508F"/>
    <w:rsid w:val="002850E3"/>
    <w:rsid w:val="00287E2F"/>
    <w:rsid w:val="002955E6"/>
    <w:rsid w:val="002A1948"/>
    <w:rsid w:val="002C0877"/>
    <w:rsid w:val="002C0D77"/>
    <w:rsid w:val="002C0F76"/>
    <w:rsid w:val="002C2AE2"/>
    <w:rsid w:val="002D0DCE"/>
    <w:rsid w:val="002E2B10"/>
    <w:rsid w:val="002E2CF3"/>
    <w:rsid w:val="002E2DD5"/>
    <w:rsid w:val="002F1502"/>
    <w:rsid w:val="002F169D"/>
    <w:rsid w:val="002F2069"/>
    <w:rsid w:val="002F3D87"/>
    <w:rsid w:val="002F6F92"/>
    <w:rsid w:val="00301E6F"/>
    <w:rsid w:val="003041AD"/>
    <w:rsid w:val="0031279F"/>
    <w:rsid w:val="00312D63"/>
    <w:rsid w:val="003161B9"/>
    <w:rsid w:val="00327D05"/>
    <w:rsid w:val="0033184E"/>
    <w:rsid w:val="00332691"/>
    <w:rsid w:val="00335EBD"/>
    <w:rsid w:val="00336D96"/>
    <w:rsid w:val="00340623"/>
    <w:rsid w:val="0034069A"/>
    <w:rsid w:val="003429C3"/>
    <w:rsid w:val="00344F07"/>
    <w:rsid w:val="00345893"/>
    <w:rsid w:val="003469C8"/>
    <w:rsid w:val="00355EA4"/>
    <w:rsid w:val="003635BE"/>
    <w:rsid w:val="0036510A"/>
    <w:rsid w:val="003667AA"/>
    <w:rsid w:val="00366B5E"/>
    <w:rsid w:val="0037139B"/>
    <w:rsid w:val="00372844"/>
    <w:rsid w:val="0037563D"/>
    <w:rsid w:val="0038560A"/>
    <w:rsid w:val="0038744A"/>
    <w:rsid w:val="003B049E"/>
    <w:rsid w:val="003C005D"/>
    <w:rsid w:val="003C31C9"/>
    <w:rsid w:val="003C3D1C"/>
    <w:rsid w:val="003C4961"/>
    <w:rsid w:val="003C7C5D"/>
    <w:rsid w:val="003D0AD2"/>
    <w:rsid w:val="003E4383"/>
    <w:rsid w:val="003E4E7D"/>
    <w:rsid w:val="003E5D57"/>
    <w:rsid w:val="003F5913"/>
    <w:rsid w:val="003F7978"/>
    <w:rsid w:val="00400C2C"/>
    <w:rsid w:val="004024F8"/>
    <w:rsid w:val="0041159A"/>
    <w:rsid w:val="00413247"/>
    <w:rsid w:val="00414772"/>
    <w:rsid w:val="004168A8"/>
    <w:rsid w:val="0042604A"/>
    <w:rsid w:val="004305A8"/>
    <w:rsid w:val="0043150B"/>
    <w:rsid w:val="0043417A"/>
    <w:rsid w:val="004436E8"/>
    <w:rsid w:val="00443CA0"/>
    <w:rsid w:val="00447306"/>
    <w:rsid w:val="00450E14"/>
    <w:rsid w:val="004520C0"/>
    <w:rsid w:val="00462C65"/>
    <w:rsid w:val="00467B14"/>
    <w:rsid w:val="00474EDA"/>
    <w:rsid w:val="0047536D"/>
    <w:rsid w:val="004824FA"/>
    <w:rsid w:val="00484011"/>
    <w:rsid w:val="004841F1"/>
    <w:rsid w:val="00484770"/>
    <w:rsid w:val="00487E55"/>
    <w:rsid w:val="00491C1B"/>
    <w:rsid w:val="00497BC1"/>
    <w:rsid w:val="004A1E3A"/>
    <w:rsid w:val="004B1D39"/>
    <w:rsid w:val="004B4EB5"/>
    <w:rsid w:val="004C4AEA"/>
    <w:rsid w:val="004D70EE"/>
    <w:rsid w:val="004E003C"/>
    <w:rsid w:val="004E16EB"/>
    <w:rsid w:val="004E18CF"/>
    <w:rsid w:val="004E6665"/>
    <w:rsid w:val="004F634E"/>
    <w:rsid w:val="004F67A8"/>
    <w:rsid w:val="00502860"/>
    <w:rsid w:val="00504783"/>
    <w:rsid w:val="00522A50"/>
    <w:rsid w:val="00527225"/>
    <w:rsid w:val="00531876"/>
    <w:rsid w:val="0053557D"/>
    <w:rsid w:val="005400FC"/>
    <w:rsid w:val="00545E60"/>
    <w:rsid w:val="005463DE"/>
    <w:rsid w:val="00546DC2"/>
    <w:rsid w:val="005542E8"/>
    <w:rsid w:val="00556630"/>
    <w:rsid w:val="0055686D"/>
    <w:rsid w:val="005669F4"/>
    <w:rsid w:val="005800EE"/>
    <w:rsid w:val="005869D6"/>
    <w:rsid w:val="005936A6"/>
    <w:rsid w:val="00593E85"/>
    <w:rsid w:val="005A33F6"/>
    <w:rsid w:val="005A59E5"/>
    <w:rsid w:val="005A6840"/>
    <w:rsid w:val="005B7440"/>
    <w:rsid w:val="005C6E9D"/>
    <w:rsid w:val="005E2150"/>
    <w:rsid w:val="005E2995"/>
    <w:rsid w:val="005E5B19"/>
    <w:rsid w:val="005F3ADE"/>
    <w:rsid w:val="005F3FEF"/>
    <w:rsid w:val="00601392"/>
    <w:rsid w:val="006075F6"/>
    <w:rsid w:val="00607F7C"/>
    <w:rsid w:val="006102DA"/>
    <w:rsid w:val="006161CF"/>
    <w:rsid w:val="00621F93"/>
    <w:rsid w:val="0062347A"/>
    <w:rsid w:val="00630439"/>
    <w:rsid w:val="006315A3"/>
    <w:rsid w:val="006369DB"/>
    <w:rsid w:val="006379E9"/>
    <w:rsid w:val="00637CC1"/>
    <w:rsid w:val="00637D0A"/>
    <w:rsid w:val="00645C71"/>
    <w:rsid w:val="006466BA"/>
    <w:rsid w:val="00650416"/>
    <w:rsid w:val="006579A2"/>
    <w:rsid w:val="00667C89"/>
    <w:rsid w:val="006711EE"/>
    <w:rsid w:val="0068013B"/>
    <w:rsid w:val="006809BB"/>
    <w:rsid w:val="006809FD"/>
    <w:rsid w:val="00683C7C"/>
    <w:rsid w:val="00687C5F"/>
    <w:rsid w:val="00691031"/>
    <w:rsid w:val="00691D1F"/>
    <w:rsid w:val="0069580C"/>
    <w:rsid w:val="006978D7"/>
    <w:rsid w:val="00697BAE"/>
    <w:rsid w:val="006A4D2B"/>
    <w:rsid w:val="006A63FD"/>
    <w:rsid w:val="006B4DDC"/>
    <w:rsid w:val="006B5E55"/>
    <w:rsid w:val="006C1771"/>
    <w:rsid w:val="006D25A1"/>
    <w:rsid w:val="006D2946"/>
    <w:rsid w:val="006D4A53"/>
    <w:rsid w:val="006D6932"/>
    <w:rsid w:val="006D7A09"/>
    <w:rsid w:val="006E1AC4"/>
    <w:rsid w:val="006E4BB7"/>
    <w:rsid w:val="006F0F4F"/>
    <w:rsid w:val="006F23AF"/>
    <w:rsid w:val="006F48F3"/>
    <w:rsid w:val="006F4AE9"/>
    <w:rsid w:val="006F6856"/>
    <w:rsid w:val="0071190E"/>
    <w:rsid w:val="007145D0"/>
    <w:rsid w:val="00716F94"/>
    <w:rsid w:val="00734B9F"/>
    <w:rsid w:val="007430FD"/>
    <w:rsid w:val="00751ED4"/>
    <w:rsid w:val="00760E12"/>
    <w:rsid w:val="00763CF3"/>
    <w:rsid w:val="00772293"/>
    <w:rsid w:val="00776FE7"/>
    <w:rsid w:val="00783A3C"/>
    <w:rsid w:val="00783C75"/>
    <w:rsid w:val="00784619"/>
    <w:rsid w:val="0078627B"/>
    <w:rsid w:val="00794E32"/>
    <w:rsid w:val="007A7FCD"/>
    <w:rsid w:val="007B305A"/>
    <w:rsid w:val="007C1CB7"/>
    <w:rsid w:val="007D5549"/>
    <w:rsid w:val="007E3F71"/>
    <w:rsid w:val="00800993"/>
    <w:rsid w:val="00807B63"/>
    <w:rsid w:val="00810D9D"/>
    <w:rsid w:val="00810FBF"/>
    <w:rsid w:val="00815C7D"/>
    <w:rsid w:val="00817941"/>
    <w:rsid w:val="008261AB"/>
    <w:rsid w:val="00835CA7"/>
    <w:rsid w:val="008370D4"/>
    <w:rsid w:val="008414AD"/>
    <w:rsid w:val="008428D9"/>
    <w:rsid w:val="008571E7"/>
    <w:rsid w:val="00865573"/>
    <w:rsid w:val="0087055A"/>
    <w:rsid w:val="00870874"/>
    <w:rsid w:val="008717EA"/>
    <w:rsid w:val="008759F6"/>
    <w:rsid w:val="00876B98"/>
    <w:rsid w:val="00884DB9"/>
    <w:rsid w:val="00894F3D"/>
    <w:rsid w:val="0089676F"/>
    <w:rsid w:val="008C67D2"/>
    <w:rsid w:val="008C7042"/>
    <w:rsid w:val="008D0E64"/>
    <w:rsid w:val="008E0683"/>
    <w:rsid w:val="008E1697"/>
    <w:rsid w:val="008E316D"/>
    <w:rsid w:val="008E4CFC"/>
    <w:rsid w:val="008E6133"/>
    <w:rsid w:val="00902DD9"/>
    <w:rsid w:val="0091035D"/>
    <w:rsid w:val="00911466"/>
    <w:rsid w:val="00911486"/>
    <w:rsid w:val="009129CA"/>
    <w:rsid w:val="009206B6"/>
    <w:rsid w:val="009217F4"/>
    <w:rsid w:val="00921A83"/>
    <w:rsid w:val="009263C1"/>
    <w:rsid w:val="0092735B"/>
    <w:rsid w:val="00931C02"/>
    <w:rsid w:val="00935FFD"/>
    <w:rsid w:val="00941B4F"/>
    <w:rsid w:val="009435F4"/>
    <w:rsid w:val="0096151A"/>
    <w:rsid w:val="009625EC"/>
    <w:rsid w:val="00963CE3"/>
    <w:rsid w:val="00964F18"/>
    <w:rsid w:val="0097039F"/>
    <w:rsid w:val="00974424"/>
    <w:rsid w:val="009759F3"/>
    <w:rsid w:val="00987885"/>
    <w:rsid w:val="00987F76"/>
    <w:rsid w:val="00990D47"/>
    <w:rsid w:val="00991B27"/>
    <w:rsid w:val="00991BF9"/>
    <w:rsid w:val="00993088"/>
    <w:rsid w:val="0099664F"/>
    <w:rsid w:val="00997D5D"/>
    <w:rsid w:val="009A0447"/>
    <w:rsid w:val="009A5997"/>
    <w:rsid w:val="009B034F"/>
    <w:rsid w:val="009B4A51"/>
    <w:rsid w:val="009C28B1"/>
    <w:rsid w:val="009C61AD"/>
    <w:rsid w:val="009C6347"/>
    <w:rsid w:val="009D373D"/>
    <w:rsid w:val="009D77CD"/>
    <w:rsid w:val="009E1D05"/>
    <w:rsid w:val="009F7283"/>
    <w:rsid w:val="00A00C86"/>
    <w:rsid w:val="00A06261"/>
    <w:rsid w:val="00A11752"/>
    <w:rsid w:val="00A11B0C"/>
    <w:rsid w:val="00A305CE"/>
    <w:rsid w:val="00A3072B"/>
    <w:rsid w:val="00A33B35"/>
    <w:rsid w:val="00A36419"/>
    <w:rsid w:val="00A37618"/>
    <w:rsid w:val="00A37AE0"/>
    <w:rsid w:val="00A56815"/>
    <w:rsid w:val="00A578C2"/>
    <w:rsid w:val="00A678A5"/>
    <w:rsid w:val="00A70EBC"/>
    <w:rsid w:val="00A72652"/>
    <w:rsid w:val="00A75D1C"/>
    <w:rsid w:val="00A809AA"/>
    <w:rsid w:val="00A81BF7"/>
    <w:rsid w:val="00A849B3"/>
    <w:rsid w:val="00A8510D"/>
    <w:rsid w:val="00A86AF3"/>
    <w:rsid w:val="00A90BDC"/>
    <w:rsid w:val="00A94BB2"/>
    <w:rsid w:val="00A95477"/>
    <w:rsid w:val="00A95599"/>
    <w:rsid w:val="00A975A9"/>
    <w:rsid w:val="00AA3192"/>
    <w:rsid w:val="00AB3608"/>
    <w:rsid w:val="00AB3948"/>
    <w:rsid w:val="00AC5C48"/>
    <w:rsid w:val="00AD3068"/>
    <w:rsid w:val="00AD4AC0"/>
    <w:rsid w:val="00AE46DA"/>
    <w:rsid w:val="00AF06BB"/>
    <w:rsid w:val="00AF0CF4"/>
    <w:rsid w:val="00AF2252"/>
    <w:rsid w:val="00AF7702"/>
    <w:rsid w:val="00B1065C"/>
    <w:rsid w:val="00B1129F"/>
    <w:rsid w:val="00B11D61"/>
    <w:rsid w:val="00B12F51"/>
    <w:rsid w:val="00B227E8"/>
    <w:rsid w:val="00B2751E"/>
    <w:rsid w:val="00B3650C"/>
    <w:rsid w:val="00B444E3"/>
    <w:rsid w:val="00B460B8"/>
    <w:rsid w:val="00B50836"/>
    <w:rsid w:val="00B50A2B"/>
    <w:rsid w:val="00B64BFA"/>
    <w:rsid w:val="00B65C38"/>
    <w:rsid w:val="00B8216F"/>
    <w:rsid w:val="00B853F1"/>
    <w:rsid w:val="00B85DE4"/>
    <w:rsid w:val="00B8656C"/>
    <w:rsid w:val="00B91A31"/>
    <w:rsid w:val="00B935E2"/>
    <w:rsid w:val="00BA6DB4"/>
    <w:rsid w:val="00BB33E9"/>
    <w:rsid w:val="00BC016A"/>
    <w:rsid w:val="00BC23DF"/>
    <w:rsid w:val="00BC3F3C"/>
    <w:rsid w:val="00BC5BB2"/>
    <w:rsid w:val="00BC6896"/>
    <w:rsid w:val="00BE4590"/>
    <w:rsid w:val="00BF3C34"/>
    <w:rsid w:val="00BF3F54"/>
    <w:rsid w:val="00C00697"/>
    <w:rsid w:val="00C02BBC"/>
    <w:rsid w:val="00C0376C"/>
    <w:rsid w:val="00C06D77"/>
    <w:rsid w:val="00C06E7F"/>
    <w:rsid w:val="00C1262D"/>
    <w:rsid w:val="00C14BA6"/>
    <w:rsid w:val="00C21A57"/>
    <w:rsid w:val="00C247DC"/>
    <w:rsid w:val="00C33177"/>
    <w:rsid w:val="00C347E7"/>
    <w:rsid w:val="00C3485C"/>
    <w:rsid w:val="00C420D4"/>
    <w:rsid w:val="00C51036"/>
    <w:rsid w:val="00C62203"/>
    <w:rsid w:val="00C71C6A"/>
    <w:rsid w:val="00C823B7"/>
    <w:rsid w:val="00C84DC3"/>
    <w:rsid w:val="00CA2004"/>
    <w:rsid w:val="00CB0531"/>
    <w:rsid w:val="00CB334D"/>
    <w:rsid w:val="00CB56D5"/>
    <w:rsid w:val="00CC1CCD"/>
    <w:rsid w:val="00CC7BAF"/>
    <w:rsid w:val="00CD0771"/>
    <w:rsid w:val="00CD1EA8"/>
    <w:rsid w:val="00CE15D4"/>
    <w:rsid w:val="00CF0CE8"/>
    <w:rsid w:val="00CF3570"/>
    <w:rsid w:val="00CF5ABD"/>
    <w:rsid w:val="00CF63CE"/>
    <w:rsid w:val="00D067C1"/>
    <w:rsid w:val="00D13B13"/>
    <w:rsid w:val="00D16E78"/>
    <w:rsid w:val="00D201D3"/>
    <w:rsid w:val="00D24BCF"/>
    <w:rsid w:val="00D25183"/>
    <w:rsid w:val="00D2692A"/>
    <w:rsid w:val="00D26A64"/>
    <w:rsid w:val="00D328FA"/>
    <w:rsid w:val="00D33BF9"/>
    <w:rsid w:val="00D367A0"/>
    <w:rsid w:val="00D4221A"/>
    <w:rsid w:val="00D45AA3"/>
    <w:rsid w:val="00D52B9A"/>
    <w:rsid w:val="00D5367E"/>
    <w:rsid w:val="00D56F12"/>
    <w:rsid w:val="00D57C7E"/>
    <w:rsid w:val="00D57F2A"/>
    <w:rsid w:val="00D724CC"/>
    <w:rsid w:val="00D7285C"/>
    <w:rsid w:val="00D77160"/>
    <w:rsid w:val="00D772A6"/>
    <w:rsid w:val="00D77D27"/>
    <w:rsid w:val="00D802FF"/>
    <w:rsid w:val="00D861ED"/>
    <w:rsid w:val="00D862E1"/>
    <w:rsid w:val="00D873E0"/>
    <w:rsid w:val="00D94F8B"/>
    <w:rsid w:val="00DA147A"/>
    <w:rsid w:val="00DA4EA9"/>
    <w:rsid w:val="00DA5988"/>
    <w:rsid w:val="00DB7886"/>
    <w:rsid w:val="00DC0ECE"/>
    <w:rsid w:val="00DC317C"/>
    <w:rsid w:val="00DC4FF2"/>
    <w:rsid w:val="00DC727E"/>
    <w:rsid w:val="00DC79CC"/>
    <w:rsid w:val="00DC7ED3"/>
    <w:rsid w:val="00DE2D45"/>
    <w:rsid w:val="00DE4561"/>
    <w:rsid w:val="00DF6E34"/>
    <w:rsid w:val="00E01D08"/>
    <w:rsid w:val="00E023BE"/>
    <w:rsid w:val="00E134F4"/>
    <w:rsid w:val="00E23568"/>
    <w:rsid w:val="00E245B5"/>
    <w:rsid w:val="00E24C20"/>
    <w:rsid w:val="00E33BBA"/>
    <w:rsid w:val="00E33E1B"/>
    <w:rsid w:val="00E34D3E"/>
    <w:rsid w:val="00E407F8"/>
    <w:rsid w:val="00E42F3A"/>
    <w:rsid w:val="00E51C14"/>
    <w:rsid w:val="00E74ACE"/>
    <w:rsid w:val="00E81C5E"/>
    <w:rsid w:val="00E83B3C"/>
    <w:rsid w:val="00E83C05"/>
    <w:rsid w:val="00E8736B"/>
    <w:rsid w:val="00E90275"/>
    <w:rsid w:val="00E925D4"/>
    <w:rsid w:val="00E97226"/>
    <w:rsid w:val="00EA1CCB"/>
    <w:rsid w:val="00EB1E94"/>
    <w:rsid w:val="00EB63B3"/>
    <w:rsid w:val="00EC45F0"/>
    <w:rsid w:val="00EC77FB"/>
    <w:rsid w:val="00ED6878"/>
    <w:rsid w:val="00EF0EC8"/>
    <w:rsid w:val="00EF186D"/>
    <w:rsid w:val="00EF33CD"/>
    <w:rsid w:val="00F013C9"/>
    <w:rsid w:val="00F07C92"/>
    <w:rsid w:val="00F10203"/>
    <w:rsid w:val="00F2267A"/>
    <w:rsid w:val="00F27049"/>
    <w:rsid w:val="00F300CB"/>
    <w:rsid w:val="00F34289"/>
    <w:rsid w:val="00F42C3A"/>
    <w:rsid w:val="00F4509E"/>
    <w:rsid w:val="00F52BCC"/>
    <w:rsid w:val="00F5313F"/>
    <w:rsid w:val="00F57581"/>
    <w:rsid w:val="00F63B51"/>
    <w:rsid w:val="00F65AEE"/>
    <w:rsid w:val="00F725B5"/>
    <w:rsid w:val="00F75C1E"/>
    <w:rsid w:val="00F81A48"/>
    <w:rsid w:val="00F961F6"/>
    <w:rsid w:val="00FB1DB3"/>
    <w:rsid w:val="00FC5B1F"/>
    <w:rsid w:val="00FC6D5C"/>
    <w:rsid w:val="00FD17C9"/>
    <w:rsid w:val="00FD1EF0"/>
    <w:rsid w:val="00FD2A5B"/>
    <w:rsid w:val="00FD4BE2"/>
    <w:rsid w:val="00FD632C"/>
    <w:rsid w:val="00FE0E1C"/>
    <w:rsid w:val="00FE6A5C"/>
    <w:rsid w:val="00FF1312"/>
    <w:rsid w:val="00FF21A2"/>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1946"/>
  <w15:docId w15:val="{151128D3-B326-400A-AA57-3B33DC23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UnresolvedMention1">
    <w:name w:val="Unresolved Mention1"/>
    <w:basedOn w:val="DefaultParagraphFont"/>
    <w:uiPriority w:val="99"/>
    <w:semiHidden/>
    <w:unhideWhenUsed/>
    <w:rsid w:val="00DE4561"/>
    <w:rPr>
      <w:color w:val="605E5C"/>
      <w:shd w:val="clear" w:color="auto" w:fill="E1DFDD"/>
    </w:rPr>
  </w:style>
  <w:style w:type="character" w:styleId="UnresolvedMention">
    <w:name w:val="Unresolved Mention"/>
    <w:basedOn w:val="DefaultParagraphFont"/>
    <w:uiPriority w:val="99"/>
    <w:semiHidden/>
    <w:unhideWhenUsed/>
    <w:rsid w:val="0050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2732">
      <w:bodyDiv w:val="1"/>
      <w:marLeft w:val="0"/>
      <w:marRight w:val="0"/>
      <w:marTop w:val="0"/>
      <w:marBottom w:val="0"/>
      <w:divBdr>
        <w:top w:val="none" w:sz="0" w:space="0" w:color="auto"/>
        <w:left w:val="none" w:sz="0" w:space="0" w:color="auto"/>
        <w:bottom w:val="none" w:sz="0" w:space="0" w:color="auto"/>
        <w:right w:val="none" w:sz="0" w:space="0" w:color="auto"/>
      </w:divBdr>
    </w:div>
    <w:div w:id="668867206">
      <w:bodyDiv w:val="1"/>
      <w:marLeft w:val="0"/>
      <w:marRight w:val="0"/>
      <w:marTop w:val="0"/>
      <w:marBottom w:val="0"/>
      <w:divBdr>
        <w:top w:val="none" w:sz="0" w:space="0" w:color="auto"/>
        <w:left w:val="none" w:sz="0" w:space="0" w:color="auto"/>
        <w:bottom w:val="none" w:sz="0" w:space="0" w:color="auto"/>
        <w:right w:val="none" w:sz="0" w:space="0" w:color="auto"/>
      </w:divBdr>
    </w:div>
    <w:div w:id="139285056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sd1@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hl@uw.ed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ggyh@uw.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OSTLTSDOC-727-203</_dlc_DocId>
    <_dlc_DocIdUrl xmlns="b5c0ca00-073d-4463-9985-b654f14791fe">
      <Url>https://esp.cdc.gov/sites/ostlts/pip/osc/_layouts/15/DocIdRedir.aspx?ID=OSTLTSDOC-727-203</Url>
      <Description>OSTLTSDOC-727-203</Description>
    </_dlc_DocIdUrl>
  </documentManagement>
</p:propertie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2.xml><?xml version="1.0" encoding="utf-8"?>
<ds:datastoreItem xmlns:ds="http://schemas.openxmlformats.org/officeDocument/2006/customXml" ds:itemID="{11522B2F-56E2-4874-B77F-2CECBBF4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085F4-E1CA-47F8-ADBF-59CBFF54505C}">
  <ds:schemaRefs>
    <ds:schemaRef ds:uri="http://schemas.microsoft.com/sharepoint/events"/>
  </ds:schemaRefs>
</ds:datastoreItem>
</file>

<file path=customXml/itemProps4.xml><?xml version="1.0" encoding="utf-8"?>
<ds:datastoreItem xmlns:ds="http://schemas.openxmlformats.org/officeDocument/2006/customXml" ds:itemID="{9B61BE5B-4AC1-41B7-B2EE-DAED64A10431}">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5.xml><?xml version="1.0" encoding="utf-8"?>
<ds:datastoreItem xmlns:ds="http://schemas.openxmlformats.org/officeDocument/2006/customXml" ds:itemID="{8007FE24-55F3-4B27-98A5-78049F75A822}">
  <ds:schemaRefs>
    <ds:schemaRef ds:uri="http://schemas.microsoft.com/office/2006/metadata/customXsn"/>
  </ds:schemaRefs>
</ds:datastoreItem>
</file>

<file path=customXml/itemProps6.xml><?xml version="1.0" encoding="utf-8"?>
<ds:datastoreItem xmlns:ds="http://schemas.openxmlformats.org/officeDocument/2006/customXml" ds:itemID="{9FD12845-F40A-43F8-833D-734BA3D0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(CDC/DDPHSIS/CSTLTS/OD)</dc:creator>
  <cp:lastModifiedBy>Anderson, Brittany (CDC/DDPHSIS/CSTLTS/OD)</cp:lastModifiedBy>
  <cp:revision>6</cp:revision>
  <cp:lastPrinted>2011-06-07T15:53:00Z</cp:lastPrinted>
  <dcterms:created xsi:type="dcterms:W3CDTF">2020-06-23T15:27:00Z</dcterms:created>
  <dcterms:modified xsi:type="dcterms:W3CDTF">2020-06-23T17:52:00Z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67e3ac41-8872-48c4-a3a6-b990c329f2b1</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2020-06-23T17:20:14.4440169Z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fd68c869-c30a-489e-8fbc-46451665e0f0</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