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73BF6" w:rsidR="00667C89" w:rsidP="00A1453A" w:rsidRDefault="00667C89" w14:paraId="6F068EAA" w14:textId="77777777">
      <w:pPr>
        <w:ind w:left="0"/>
      </w:pPr>
    </w:p>
    <w:p w:rsidRPr="00C73BF6" w:rsidR="009B4A51" w:rsidP="004135D5" w:rsidRDefault="009B4A51" w14:paraId="699C0DDC" w14:textId="77777777">
      <w:pPr>
        <w:pStyle w:val="Heading6"/>
      </w:pPr>
    </w:p>
    <w:p w:rsidRPr="00C73BF6" w:rsidR="00A1453A" w:rsidP="00A1453A" w:rsidRDefault="00A1453A" w14:paraId="7627D73C" w14:textId="77777777"/>
    <w:p w:rsidRPr="00C73BF6" w:rsidR="009B4A51" w:rsidP="00CA5840" w:rsidRDefault="009B4A51" w14:paraId="22CCA5BD" w14:textId="77777777">
      <w:pPr>
        <w:ind w:left="0"/>
      </w:pPr>
    </w:p>
    <w:p w:rsidRPr="00C73BF6" w:rsidR="00AA3192" w:rsidP="004B26A0" w:rsidRDefault="004B26A0" w14:paraId="14615F9F" w14:textId="6C28568D">
      <w:pPr>
        <w:ind w:left="0"/>
        <w:jc w:val="center"/>
      </w:pPr>
      <w:r w:rsidRPr="00C73BF6">
        <w:rPr>
          <w:b/>
        </w:rPr>
        <w:t xml:space="preserve">CDC Newborn Screening Quality Assurance Program – </w:t>
      </w:r>
      <w:r w:rsidRPr="00C73BF6" w:rsidR="00EE59C5">
        <w:rPr>
          <w:b/>
        </w:rPr>
        <w:t>P</w:t>
      </w:r>
      <w:r w:rsidRPr="00C73BF6" w:rsidR="008C7DE3">
        <w:rPr>
          <w:b/>
        </w:rPr>
        <w:t xml:space="preserve">ilot </w:t>
      </w:r>
      <w:r w:rsidRPr="00C73BF6" w:rsidR="00EE59C5">
        <w:rPr>
          <w:b/>
        </w:rPr>
        <w:t xml:space="preserve">Online Data Collection for </w:t>
      </w:r>
      <w:r w:rsidRPr="00C73BF6">
        <w:rPr>
          <w:b/>
        </w:rPr>
        <w:t>Spinal Muscular Atrophy (SMA) Proficiency Testing (PT)</w:t>
      </w:r>
    </w:p>
    <w:p w:rsidRPr="00C73BF6" w:rsidR="00716F94" w:rsidP="00CA5840" w:rsidRDefault="00C70A4A" w14:paraId="769E1267" w14:textId="628D6019">
      <w:pPr>
        <w:ind w:left="0"/>
        <w:jc w:val="center"/>
      </w:pPr>
      <w:r w:rsidRPr="00C73BF6">
        <w:t>C</w:t>
      </w:r>
      <w:r w:rsidRPr="00C73BF6" w:rsidR="00484011">
        <w:t>STL</w:t>
      </w:r>
      <w:r w:rsidRPr="00C73BF6" w:rsidR="00316F00">
        <w:t>TS Generic Information Collection</w:t>
      </w:r>
      <w:r w:rsidRPr="00C73BF6" w:rsidR="00484011">
        <w:t xml:space="preserve"> Request</w:t>
      </w:r>
    </w:p>
    <w:p w:rsidRPr="00C73BF6" w:rsidR="00484011" w:rsidP="00CA5840" w:rsidRDefault="00484011" w14:paraId="2934E9BD" w14:textId="77777777">
      <w:pPr>
        <w:ind w:left="0"/>
        <w:jc w:val="center"/>
      </w:pPr>
      <w:r w:rsidRPr="00C73BF6">
        <w:t>OMB No. 0920-0879</w:t>
      </w:r>
    </w:p>
    <w:p w:rsidRPr="00C73BF6" w:rsidR="009B4A51" w:rsidP="00CA5840" w:rsidRDefault="009B4A51" w14:paraId="530B1CC3" w14:textId="77777777">
      <w:pPr>
        <w:ind w:left="0"/>
      </w:pPr>
    </w:p>
    <w:p w:rsidRPr="00C73BF6" w:rsidR="00AA3192" w:rsidP="00CA5840" w:rsidRDefault="00AA3192" w14:paraId="0682C83A" w14:textId="77777777">
      <w:pPr>
        <w:ind w:left="0"/>
      </w:pPr>
    </w:p>
    <w:p w:rsidRPr="00C73BF6" w:rsidR="009B4A51" w:rsidP="00A1453A" w:rsidRDefault="009B4A51" w14:paraId="02411B16" w14:textId="59BD8A08">
      <w:pPr>
        <w:pStyle w:val="Heading2"/>
        <w:ind w:left="0"/>
      </w:pPr>
      <w:r w:rsidRPr="00C73BF6">
        <w:t>Supporting Statement – Section A</w:t>
      </w:r>
    </w:p>
    <w:p w:rsidRPr="00C73BF6" w:rsidR="00187D5A" w:rsidP="00CA5840" w:rsidRDefault="00187D5A" w14:paraId="22A90E6B" w14:textId="77777777">
      <w:pPr>
        <w:ind w:left="0"/>
      </w:pPr>
    </w:p>
    <w:p w:rsidRPr="00C73BF6" w:rsidR="009B4A51" w:rsidP="00CA5840" w:rsidRDefault="009B4A51" w14:paraId="4A9AEE25" w14:textId="02B933A7">
      <w:pPr>
        <w:ind w:left="0"/>
        <w:jc w:val="center"/>
      </w:pPr>
      <w:r w:rsidRPr="00C73BF6">
        <w:t xml:space="preserve">Submitted: </w:t>
      </w:r>
      <w:r w:rsidRPr="00C73BF6" w:rsidR="00C73BF6">
        <w:t>October 9, 2020</w:t>
      </w:r>
    </w:p>
    <w:p w:rsidRPr="00C73BF6" w:rsidR="009B4A51" w:rsidP="007D6163" w:rsidRDefault="009B4A51" w14:paraId="34AEE206" w14:textId="77777777"/>
    <w:p w:rsidRPr="00C73BF6" w:rsidR="00AA3192" w:rsidP="00A1453A" w:rsidRDefault="00AA3192" w14:paraId="1EDB03B1" w14:textId="77777777">
      <w:pPr>
        <w:ind w:left="0"/>
      </w:pPr>
    </w:p>
    <w:p w:rsidRPr="00C73BF6" w:rsidR="00A1453A" w:rsidP="00A1453A" w:rsidRDefault="00A1453A" w14:paraId="640375EA" w14:textId="77777777">
      <w:pPr>
        <w:ind w:left="0"/>
      </w:pPr>
    </w:p>
    <w:p w:rsidRPr="00C73BF6" w:rsidR="009B4A51" w:rsidP="00474673" w:rsidRDefault="009B4A51" w14:paraId="53295C3D" w14:textId="77777777">
      <w:pPr>
        <w:jc w:val="right"/>
      </w:pPr>
    </w:p>
    <w:p w:rsidRPr="00C73BF6" w:rsidR="00474673" w:rsidP="00CA5840" w:rsidRDefault="00716F94" w14:paraId="62E2DDE2" w14:textId="6F5C868E">
      <w:pPr>
        <w:ind w:left="0"/>
        <w:rPr>
          <w:b/>
          <w:u w:val="single"/>
        </w:rPr>
      </w:pPr>
      <w:r w:rsidRPr="00C73BF6">
        <w:rPr>
          <w:b/>
          <w:u w:val="single"/>
        </w:rPr>
        <w:t>P</w:t>
      </w:r>
      <w:r w:rsidRPr="00C73BF6" w:rsidR="00667C89">
        <w:rPr>
          <w:b/>
          <w:u w:val="single"/>
        </w:rPr>
        <w:t>rogram Official/Project Officer</w:t>
      </w:r>
    </w:p>
    <w:p w:rsidRPr="00C73BF6" w:rsidR="00474673" w:rsidP="00CA5840" w:rsidRDefault="00474673" w14:paraId="4BA2EDC5" w14:textId="77777777">
      <w:pPr>
        <w:ind w:left="0"/>
        <w:rPr>
          <w:b/>
          <w:u w:val="single"/>
        </w:rPr>
      </w:pPr>
    </w:p>
    <w:p w:rsidRPr="00C73BF6" w:rsidR="00321B51" w:rsidP="00CA5840" w:rsidRDefault="004B26A0" w14:paraId="31762D65" w14:textId="7018B7B6">
      <w:pPr>
        <w:ind w:left="0"/>
      </w:pPr>
      <w:r w:rsidRPr="00C73BF6">
        <w:t>John Bernstein, MS, PMP</w:t>
      </w:r>
    </w:p>
    <w:p w:rsidRPr="00C73BF6" w:rsidR="00321B51" w:rsidP="00CA5840" w:rsidRDefault="004B26A0" w14:paraId="1DB836AA" w14:textId="031889D5">
      <w:pPr>
        <w:ind w:left="0"/>
      </w:pPr>
      <w:r w:rsidRPr="00C73BF6">
        <w:t>Quality Manager</w:t>
      </w:r>
    </w:p>
    <w:p w:rsidRPr="00C73BF6" w:rsidR="00321B51" w:rsidP="00CA5840" w:rsidRDefault="004B26A0" w14:paraId="3F15C95C" w14:textId="41F1DE06">
      <w:pPr>
        <w:ind w:left="0"/>
      </w:pPr>
      <w:r w:rsidRPr="00C73BF6">
        <w:t>Newborn Screening and Molecular Biology Branch</w:t>
      </w:r>
    </w:p>
    <w:p w:rsidRPr="00C73BF6" w:rsidR="00321B51" w:rsidP="00CA5840" w:rsidRDefault="004B26A0" w14:paraId="41DAB1B4" w14:textId="21C9B4BE">
      <w:pPr>
        <w:ind w:left="0"/>
      </w:pPr>
      <w:r w:rsidRPr="00C73BF6">
        <w:t>4770 Buford Highway, Atlanta, GA 30341</w:t>
      </w:r>
    </w:p>
    <w:p w:rsidRPr="00C73BF6" w:rsidR="00321B51" w:rsidP="00CA5840" w:rsidRDefault="004B26A0" w14:paraId="7DE013B7" w14:textId="0E533502">
      <w:pPr>
        <w:ind w:left="0"/>
      </w:pPr>
      <w:r w:rsidRPr="00C73BF6">
        <w:t>770.488.0973</w:t>
      </w:r>
    </w:p>
    <w:p w:rsidRPr="00C73BF6" w:rsidR="00321B51" w:rsidP="00CA5840" w:rsidRDefault="004B26A0" w14:paraId="65AF5688" w14:textId="7C9FE5F7">
      <w:pPr>
        <w:ind w:left="0"/>
      </w:pPr>
      <w:r w:rsidRPr="00C73BF6">
        <w:t>Yfj5@cdc.gov</w:t>
      </w:r>
    </w:p>
    <w:p w:rsidRPr="00C73BF6" w:rsidR="000B0962" w:rsidP="00383542" w:rsidRDefault="000B0962" w14:paraId="59804722" w14:textId="3931F7A3">
      <w:pPr>
        <w:ind w:left="0"/>
      </w:pPr>
    </w:p>
    <w:p w:rsidRPr="00C73BF6" w:rsidR="00CA5840" w:rsidRDefault="00CA5840" w14:paraId="2935CA74" w14:textId="77777777">
      <w:pPr>
        <w:tabs>
          <w:tab w:val="clear" w:pos="9360"/>
        </w:tabs>
        <w:spacing w:after="200"/>
        <w:ind w:left="0"/>
        <w:rPr>
          <w:b/>
          <w:sz w:val="28"/>
        </w:rPr>
      </w:pPr>
      <w:r w:rsidRPr="00C73BF6">
        <w:br w:type="page"/>
      </w:r>
    </w:p>
    <w:p w:rsidRPr="00C73BF6" w:rsidR="003860A5" w:rsidP="003860A5" w:rsidRDefault="003860A5" w14:paraId="0FA49B96" w14:textId="77777777">
      <w:pPr>
        <w:pStyle w:val="Heading3"/>
        <w:ind w:left="0"/>
      </w:pPr>
      <w:bookmarkStart w:name="_Toc427752811" w:id="0"/>
      <w:r w:rsidRPr="00C73BF6">
        <w:lastRenderedPageBreak/>
        <w:t>Table of Contents</w:t>
      </w:r>
      <w:bookmarkEnd w:id="0"/>
    </w:p>
    <w:p w:rsidRPr="00C73BF6" w:rsidR="003860A5" w:rsidP="003860A5" w:rsidRDefault="003860A5" w14:paraId="38F17BFF" w14:textId="77777777"/>
    <w:p w:rsidRPr="00C73BF6" w:rsidR="00CC4DAB" w:rsidRDefault="003860A5" w14:paraId="461D6187" w14:textId="77777777">
      <w:pPr>
        <w:pStyle w:val="TOC1"/>
        <w:tabs>
          <w:tab w:val="right" w:leader="dot" w:pos="9350"/>
        </w:tabs>
        <w:rPr>
          <w:rFonts w:asciiTheme="minorHAnsi" w:hAnsiTheme="minorHAnsi"/>
          <w:noProof/>
        </w:rPr>
      </w:pPr>
      <w:r w:rsidRPr="00C73BF6">
        <w:fldChar w:fldCharType="begin"/>
      </w:r>
      <w:r w:rsidRPr="00C73BF6">
        <w:instrText xml:space="preserve"> TOC \h \z \u \t "Heading 3,1,Heading 4,2" </w:instrText>
      </w:r>
      <w:r w:rsidRPr="00C73BF6">
        <w:fldChar w:fldCharType="separate"/>
      </w:r>
      <w:hyperlink w:history="1" w:anchor="_Toc427752811">
        <w:r w:rsidRPr="00C73BF6" w:rsidR="00CC4DAB">
          <w:rPr>
            <w:rStyle w:val="Hyperlink"/>
            <w:noProof/>
            <w:color w:val="auto"/>
          </w:rPr>
          <w:t>Table of Contents</w:t>
        </w:r>
        <w:r w:rsidRPr="00C73BF6" w:rsidR="00CC4DAB">
          <w:rPr>
            <w:noProof/>
            <w:webHidden/>
          </w:rPr>
          <w:tab/>
        </w:r>
        <w:r w:rsidRPr="00C73BF6" w:rsidR="00CC4DAB">
          <w:rPr>
            <w:noProof/>
            <w:webHidden/>
          </w:rPr>
          <w:fldChar w:fldCharType="begin"/>
        </w:r>
        <w:r w:rsidRPr="00C73BF6" w:rsidR="00CC4DAB">
          <w:rPr>
            <w:noProof/>
            <w:webHidden/>
          </w:rPr>
          <w:instrText xml:space="preserve"> PAGEREF _Toc427752811 \h </w:instrText>
        </w:r>
        <w:r w:rsidRPr="00C73BF6" w:rsidR="00CC4DAB">
          <w:rPr>
            <w:noProof/>
            <w:webHidden/>
          </w:rPr>
        </w:r>
        <w:r w:rsidRPr="00C73BF6" w:rsidR="00CC4DAB">
          <w:rPr>
            <w:noProof/>
            <w:webHidden/>
          </w:rPr>
          <w:fldChar w:fldCharType="separate"/>
        </w:r>
        <w:r w:rsidRPr="00C73BF6" w:rsidR="00CC4DAB">
          <w:rPr>
            <w:noProof/>
            <w:webHidden/>
          </w:rPr>
          <w:t>2</w:t>
        </w:r>
        <w:r w:rsidRPr="00C73BF6" w:rsidR="00CC4DAB">
          <w:rPr>
            <w:noProof/>
            <w:webHidden/>
          </w:rPr>
          <w:fldChar w:fldCharType="end"/>
        </w:r>
      </w:hyperlink>
    </w:p>
    <w:p w:rsidRPr="00C73BF6" w:rsidR="00CC4DAB" w:rsidRDefault="00C73BF6" w14:paraId="7E76DEA3" w14:textId="77777777">
      <w:pPr>
        <w:pStyle w:val="TOC1"/>
        <w:tabs>
          <w:tab w:val="right" w:leader="dot" w:pos="9350"/>
        </w:tabs>
        <w:rPr>
          <w:rFonts w:asciiTheme="minorHAnsi" w:hAnsiTheme="minorHAnsi"/>
          <w:noProof/>
        </w:rPr>
      </w:pPr>
      <w:hyperlink w:history="1" w:anchor="_Toc427752813">
        <w:r w:rsidRPr="00C73BF6" w:rsidR="00CC4DAB">
          <w:rPr>
            <w:rStyle w:val="Hyperlink"/>
            <w:noProof/>
            <w:color w:val="auto"/>
          </w:rPr>
          <w:t>Section A – Justification</w:t>
        </w:r>
        <w:r w:rsidRPr="00C73BF6" w:rsidR="00CC4DAB">
          <w:rPr>
            <w:noProof/>
            <w:webHidden/>
          </w:rPr>
          <w:tab/>
        </w:r>
        <w:r w:rsidRPr="00C73BF6" w:rsidR="00CC4DAB">
          <w:rPr>
            <w:noProof/>
            <w:webHidden/>
          </w:rPr>
          <w:fldChar w:fldCharType="begin"/>
        </w:r>
        <w:r w:rsidRPr="00C73BF6" w:rsidR="00CC4DAB">
          <w:rPr>
            <w:noProof/>
            <w:webHidden/>
          </w:rPr>
          <w:instrText xml:space="preserve"> PAGEREF _Toc427752813 \h </w:instrText>
        </w:r>
        <w:r w:rsidRPr="00C73BF6" w:rsidR="00CC4DAB">
          <w:rPr>
            <w:noProof/>
            <w:webHidden/>
          </w:rPr>
        </w:r>
        <w:r w:rsidRPr="00C73BF6" w:rsidR="00CC4DAB">
          <w:rPr>
            <w:noProof/>
            <w:webHidden/>
          </w:rPr>
          <w:fldChar w:fldCharType="separate"/>
        </w:r>
        <w:r w:rsidRPr="00C73BF6" w:rsidR="00CC4DAB">
          <w:rPr>
            <w:noProof/>
            <w:webHidden/>
          </w:rPr>
          <w:t>3</w:t>
        </w:r>
        <w:r w:rsidRPr="00C73BF6" w:rsidR="00CC4DAB">
          <w:rPr>
            <w:noProof/>
            <w:webHidden/>
          </w:rPr>
          <w:fldChar w:fldCharType="end"/>
        </w:r>
      </w:hyperlink>
    </w:p>
    <w:p w:rsidRPr="00C73BF6" w:rsidR="00CC4DAB" w:rsidRDefault="00C73BF6" w14:paraId="314811EB" w14:textId="77777777">
      <w:pPr>
        <w:pStyle w:val="TOC2"/>
        <w:rPr>
          <w:rFonts w:asciiTheme="minorHAnsi" w:hAnsiTheme="minorHAnsi"/>
          <w:noProof/>
        </w:rPr>
      </w:pPr>
      <w:hyperlink w:history="1" w:anchor="_Toc427752814">
        <w:r w:rsidRPr="00C73BF6" w:rsidR="00CC4DAB">
          <w:rPr>
            <w:rStyle w:val="Hyperlink"/>
            <w:noProof/>
            <w:color w:val="auto"/>
          </w:rPr>
          <w:t>1.</w:t>
        </w:r>
        <w:r w:rsidRPr="00C73BF6" w:rsidR="00CC4DAB">
          <w:rPr>
            <w:rFonts w:asciiTheme="minorHAnsi" w:hAnsiTheme="minorHAnsi"/>
            <w:noProof/>
          </w:rPr>
          <w:tab/>
        </w:r>
        <w:r w:rsidRPr="00C73BF6" w:rsidR="00CC4DAB">
          <w:rPr>
            <w:rStyle w:val="Hyperlink"/>
            <w:noProof/>
            <w:color w:val="auto"/>
          </w:rPr>
          <w:t>Circumstances Making the Collection of Information Necessary</w:t>
        </w:r>
        <w:r w:rsidRPr="00C73BF6" w:rsidR="00CC4DAB">
          <w:rPr>
            <w:noProof/>
            <w:webHidden/>
          </w:rPr>
          <w:tab/>
        </w:r>
        <w:r w:rsidRPr="00C73BF6" w:rsidR="00CC4DAB">
          <w:rPr>
            <w:noProof/>
            <w:webHidden/>
          </w:rPr>
          <w:fldChar w:fldCharType="begin"/>
        </w:r>
        <w:r w:rsidRPr="00C73BF6" w:rsidR="00CC4DAB">
          <w:rPr>
            <w:noProof/>
            <w:webHidden/>
          </w:rPr>
          <w:instrText xml:space="preserve"> PAGEREF _Toc427752814 \h </w:instrText>
        </w:r>
        <w:r w:rsidRPr="00C73BF6" w:rsidR="00CC4DAB">
          <w:rPr>
            <w:noProof/>
            <w:webHidden/>
          </w:rPr>
        </w:r>
        <w:r w:rsidRPr="00C73BF6" w:rsidR="00CC4DAB">
          <w:rPr>
            <w:noProof/>
            <w:webHidden/>
          </w:rPr>
          <w:fldChar w:fldCharType="separate"/>
        </w:r>
        <w:r w:rsidRPr="00C73BF6" w:rsidR="00CC4DAB">
          <w:rPr>
            <w:noProof/>
            <w:webHidden/>
          </w:rPr>
          <w:t>3</w:t>
        </w:r>
        <w:r w:rsidRPr="00C73BF6" w:rsidR="00CC4DAB">
          <w:rPr>
            <w:noProof/>
            <w:webHidden/>
          </w:rPr>
          <w:fldChar w:fldCharType="end"/>
        </w:r>
      </w:hyperlink>
    </w:p>
    <w:p w:rsidRPr="00C73BF6" w:rsidR="00CC4DAB" w:rsidRDefault="00C73BF6" w14:paraId="34E44435" w14:textId="39874C1B">
      <w:pPr>
        <w:pStyle w:val="TOC2"/>
        <w:rPr>
          <w:rFonts w:asciiTheme="minorHAnsi" w:hAnsiTheme="minorHAnsi"/>
          <w:noProof/>
        </w:rPr>
      </w:pPr>
      <w:hyperlink w:history="1" w:anchor="_Toc427752815">
        <w:r w:rsidRPr="00C73BF6" w:rsidR="00CC4DAB">
          <w:rPr>
            <w:rStyle w:val="Hyperlink"/>
            <w:noProof/>
            <w:color w:val="auto"/>
          </w:rPr>
          <w:t>2.</w:t>
        </w:r>
        <w:r w:rsidRPr="00C73BF6" w:rsidR="00CC4DAB">
          <w:rPr>
            <w:rFonts w:asciiTheme="minorHAnsi" w:hAnsiTheme="minorHAnsi"/>
            <w:noProof/>
          </w:rPr>
          <w:tab/>
        </w:r>
        <w:r w:rsidRPr="00C73BF6" w:rsidR="00CC4DAB">
          <w:rPr>
            <w:rStyle w:val="Hyperlink"/>
            <w:noProof/>
            <w:color w:val="auto"/>
          </w:rPr>
          <w:t>Purpose and Use of the Information Collection</w:t>
        </w:r>
        <w:r w:rsidRPr="00C73BF6" w:rsidR="00CC4DAB">
          <w:rPr>
            <w:noProof/>
            <w:webHidden/>
          </w:rPr>
          <w:tab/>
        </w:r>
        <w:r w:rsidRPr="00C73BF6" w:rsidR="00474673">
          <w:rPr>
            <w:noProof/>
            <w:webHidden/>
          </w:rPr>
          <w:t>6</w:t>
        </w:r>
      </w:hyperlink>
    </w:p>
    <w:p w:rsidRPr="00C73BF6" w:rsidR="00CC4DAB" w:rsidRDefault="00C73BF6" w14:paraId="341964F2" w14:textId="363E5C3A">
      <w:pPr>
        <w:pStyle w:val="TOC2"/>
        <w:rPr>
          <w:rFonts w:asciiTheme="minorHAnsi" w:hAnsiTheme="minorHAnsi"/>
          <w:noProof/>
        </w:rPr>
      </w:pPr>
      <w:hyperlink w:history="1" w:anchor="_Toc427752816">
        <w:r w:rsidRPr="00C73BF6" w:rsidR="00CC4DAB">
          <w:rPr>
            <w:rStyle w:val="Hyperlink"/>
            <w:noProof/>
            <w:color w:val="auto"/>
          </w:rPr>
          <w:t>3.</w:t>
        </w:r>
        <w:r w:rsidRPr="00C73BF6" w:rsidR="00CC4DAB">
          <w:rPr>
            <w:rFonts w:asciiTheme="minorHAnsi" w:hAnsiTheme="minorHAnsi"/>
            <w:noProof/>
          </w:rPr>
          <w:tab/>
        </w:r>
        <w:r w:rsidRPr="00C73BF6" w:rsidR="00CC4DAB">
          <w:rPr>
            <w:rStyle w:val="Hyperlink"/>
            <w:noProof/>
            <w:color w:val="auto"/>
          </w:rPr>
          <w:t>Use of Improved Information Technology and Burden Reduction</w:t>
        </w:r>
        <w:r w:rsidRPr="00C73BF6" w:rsidR="00CC4DAB">
          <w:rPr>
            <w:noProof/>
            <w:webHidden/>
          </w:rPr>
          <w:tab/>
        </w:r>
        <w:r w:rsidRPr="00C73BF6" w:rsidR="00474673">
          <w:rPr>
            <w:noProof/>
            <w:webHidden/>
          </w:rPr>
          <w:t>6</w:t>
        </w:r>
      </w:hyperlink>
    </w:p>
    <w:p w:rsidRPr="00C73BF6" w:rsidR="00CC4DAB" w:rsidRDefault="00C73BF6" w14:paraId="4D425A86" w14:textId="273A319C">
      <w:pPr>
        <w:pStyle w:val="TOC2"/>
        <w:rPr>
          <w:rFonts w:asciiTheme="minorHAnsi" w:hAnsiTheme="minorHAnsi"/>
          <w:noProof/>
        </w:rPr>
      </w:pPr>
      <w:hyperlink w:history="1" w:anchor="_Toc427752817">
        <w:r w:rsidRPr="00C73BF6" w:rsidR="00CC4DAB">
          <w:rPr>
            <w:rStyle w:val="Hyperlink"/>
            <w:noProof/>
            <w:color w:val="auto"/>
          </w:rPr>
          <w:t>4.</w:t>
        </w:r>
        <w:r w:rsidRPr="00C73BF6" w:rsidR="00CC4DAB">
          <w:rPr>
            <w:rFonts w:asciiTheme="minorHAnsi" w:hAnsiTheme="minorHAnsi"/>
            <w:noProof/>
          </w:rPr>
          <w:tab/>
        </w:r>
        <w:r w:rsidRPr="00C73BF6" w:rsidR="00CC4DAB">
          <w:rPr>
            <w:rStyle w:val="Hyperlink"/>
            <w:noProof/>
            <w:color w:val="auto"/>
          </w:rPr>
          <w:t>Efforts to Identify Duplication and Use of Similar Information</w:t>
        </w:r>
        <w:r w:rsidRPr="00C73BF6" w:rsidR="00CC4DAB">
          <w:rPr>
            <w:noProof/>
            <w:webHidden/>
          </w:rPr>
          <w:tab/>
        </w:r>
        <w:r w:rsidRPr="00C73BF6" w:rsidR="00993B1F">
          <w:rPr>
            <w:noProof/>
            <w:webHidden/>
          </w:rPr>
          <w:t>7</w:t>
        </w:r>
      </w:hyperlink>
    </w:p>
    <w:p w:rsidRPr="00C73BF6" w:rsidR="00CC4DAB" w:rsidRDefault="00C73BF6" w14:paraId="0597B2E1" w14:textId="26A3E237">
      <w:pPr>
        <w:pStyle w:val="TOC2"/>
        <w:rPr>
          <w:rFonts w:asciiTheme="minorHAnsi" w:hAnsiTheme="minorHAnsi"/>
          <w:noProof/>
        </w:rPr>
      </w:pPr>
      <w:hyperlink w:history="1" w:anchor="_Toc427752818">
        <w:r w:rsidRPr="00C73BF6" w:rsidR="00CC4DAB">
          <w:rPr>
            <w:rStyle w:val="Hyperlink"/>
            <w:noProof/>
            <w:color w:val="auto"/>
          </w:rPr>
          <w:t>5.</w:t>
        </w:r>
        <w:r w:rsidRPr="00C73BF6" w:rsidR="00CC4DAB">
          <w:rPr>
            <w:rFonts w:asciiTheme="minorHAnsi" w:hAnsiTheme="minorHAnsi"/>
            <w:noProof/>
          </w:rPr>
          <w:tab/>
        </w:r>
        <w:r w:rsidRPr="00C73BF6" w:rsidR="00CC4DAB">
          <w:rPr>
            <w:rStyle w:val="Hyperlink"/>
            <w:noProof/>
            <w:color w:val="auto"/>
          </w:rPr>
          <w:t>Impact on Small Businesses or Other Small Entities</w:t>
        </w:r>
        <w:r w:rsidRPr="00C73BF6" w:rsidR="00CC4DAB">
          <w:rPr>
            <w:noProof/>
            <w:webHidden/>
          </w:rPr>
          <w:tab/>
        </w:r>
        <w:r w:rsidRPr="00C73BF6" w:rsidR="00993B1F">
          <w:rPr>
            <w:noProof/>
            <w:webHidden/>
          </w:rPr>
          <w:t>7</w:t>
        </w:r>
      </w:hyperlink>
    </w:p>
    <w:p w:rsidRPr="00C73BF6" w:rsidR="00CC4DAB" w:rsidRDefault="00C73BF6" w14:paraId="27B6204E" w14:textId="04EBA0CB">
      <w:pPr>
        <w:pStyle w:val="TOC2"/>
        <w:rPr>
          <w:rFonts w:asciiTheme="minorHAnsi" w:hAnsiTheme="minorHAnsi"/>
          <w:noProof/>
        </w:rPr>
      </w:pPr>
      <w:hyperlink w:history="1" w:anchor="_Toc427752819">
        <w:r w:rsidRPr="00C73BF6" w:rsidR="00CC4DAB">
          <w:rPr>
            <w:rStyle w:val="Hyperlink"/>
            <w:noProof/>
            <w:color w:val="auto"/>
          </w:rPr>
          <w:t>6.</w:t>
        </w:r>
        <w:r w:rsidRPr="00C73BF6" w:rsidR="00CC4DAB">
          <w:rPr>
            <w:rFonts w:asciiTheme="minorHAnsi" w:hAnsiTheme="minorHAnsi"/>
            <w:noProof/>
          </w:rPr>
          <w:tab/>
        </w:r>
        <w:r w:rsidRPr="00C73BF6" w:rsidR="00CC4DAB">
          <w:rPr>
            <w:rStyle w:val="Hyperlink"/>
            <w:noProof/>
            <w:color w:val="auto"/>
          </w:rPr>
          <w:t xml:space="preserve">Consequences of Collecting the Information Less Frequently   </w:t>
        </w:r>
        <w:r w:rsidRPr="00C73BF6" w:rsidR="00CC4DAB">
          <w:rPr>
            <w:noProof/>
            <w:webHidden/>
          </w:rPr>
          <w:tab/>
        </w:r>
        <w:r w:rsidRPr="00C73BF6" w:rsidR="00993B1F">
          <w:rPr>
            <w:noProof/>
            <w:webHidden/>
          </w:rPr>
          <w:t>7</w:t>
        </w:r>
      </w:hyperlink>
    </w:p>
    <w:p w:rsidRPr="00C73BF6" w:rsidR="00CC4DAB" w:rsidRDefault="00C73BF6" w14:paraId="11021D84" w14:textId="13603509">
      <w:pPr>
        <w:pStyle w:val="TOC2"/>
        <w:rPr>
          <w:rFonts w:asciiTheme="minorHAnsi" w:hAnsiTheme="minorHAnsi"/>
          <w:noProof/>
        </w:rPr>
      </w:pPr>
      <w:hyperlink w:history="1" w:anchor="_Toc427752820">
        <w:r w:rsidRPr="00C73BF6" w:rsidR="00CC4DAB">
          <w:rPr>
            <w:rStyle w:val="Hyperlink"/>
            <w:noProof/>
            <w:color w:val="auto"/>
          </w:rPr>
          <w:t>7.</w:t>
        </w:r>
        <w:r w:rsidRPr="00C73BF6" w:rsidR="00CC4DAB">
          <w:rPr>
            <w:rFonts w:asciiTheme="minorHAnsi" w:hAnsiTheme="minorHAnsi"/>
            <w:noProof/>
          </w:rPr>
          <w:tab/>
        </w:r>
        <w:r w:rsidRPr="00C73BF6" w:rsidR="00CC4DAB">
          <w:rPr>
            <w:rStyle w:val="Hyperlink"/>
            <w:noProof/>
            <w:color w:val="auto"/>
          </w:rPr>
          <w:t>Special Circumstances Relating to the Guidelines of 5 CFR 1320.5</w:t>
        </w:r>
        <w:r w:rsidRPr="00C73BF6" w:rsidR="00CC4DAB">
          <w:rPr>
            <w:noProof/>
            <w:webHidden/>
          </w:rPr>
          <w:tab/>
        </w:r>
        <w:r w:rsidRPr="00C73BF6" w:rsidR="00993B1F">
          <w:rPr>
            <w:noProof/>
            <w:webHidden/>
          </w:rPr>
          <w:t>8</w:t>
        </w:r>
      </w:hyperlink>
    </w:p>
    <w:p w:rsidRPr="00C73BF6" w:rsidR="00CC4DAB" w:rsidRDefault="00C73BF6" w14:paraId="193307E1" w14:textId="68B691F2">
      <w:pPr>
        <w:pStyle w:val="TOC2"/>
        <w:rPr>
          <w:rFonts w:asciiTheme="minorHAnsi" w:hAnsiTheme="minorHAnsi"/>
          <w:noProof/>
        </w:rPr>
      </w:pPr>
      <w:hyperlink w:history="1" w:anchor="_Toc427752821">
        <w:r w:rsidRPr="00C73BF6" w:rsidR="00CC4DAB">
          <w:rPr>
            <w:rStyle w:val="Hyperlink"/>
            <w:noProof/>
            <w:color w:val="auto"/>
          </w:rPr>
          <w:t>8.</w:t>
        </w:r>
        <w:r w:rsidRPr="00C73BF6" w:rsidR="00CC4DAB">
          <w:rPr>
            <w:rFonts w:asciiTheme="minorHAnsi" w:hAnsiTheme="minorHAnsi"/>
            <w:noProof/>
          </w:rPr>
          <w:tab/>
        </w:r>
        <w:r w:rsidRPr="00C73BF6" w:rsidR="00CC4DAB">
          <w:rPr>
            <w:rStyle w:val="Hyperlink"/>
            <w:noProof/>
            <w:color w:val="auto"/>
          </w:rPr>
          <w:t>Comments in Response to the Federal Register Notice and Efforts to Consult Outside the Agency</w:t>
        </w:r>
        <w:r w:rsidRPr="00C73BF6" w:rsidR="00CC4DAB">
          <w:rPr>
            <w:noProof/>
            <w:webHidden/>
          </w:rPr>
          <w:tab/>
        </w:r>
        <w:r w:rsidRPr="00C73BF6" w:rsidR="00993B1F">
          <w:rPr>
            <w:noProof/>
            <w:webHidden/>
          </w:rPr>
          <w:t>8</w:t>
        </w:r>
      </w:hyperlink>
    </w:p>
    <w:p w:rsidRPr="00C73BF6" w:rsidR="00CC4DAB" w:rsidRDefault="00C73BF6" w14:paraId="55C1FBAF" w14:textId="1CB7BDAC">
      <w:pPr>
        <w:pStyle w:val="TOC2"/>
        <w:rPr>
          <w:rFonts w:asciiTheme="minorHAnsi" w:hAnsiTheme="minorHAnsi"/>
          <w:noProof/>
        </w:rPr>
      </w:pPr>
      <w:hyperlink w:history="1" w:anchor="_Toc427752822">
        <w:r w:rsidRPr="00C73BF6" w:rsidR="00CC4DAB">
          <w:rPr>
            <w:rStyle w:val="Hyperlink"/>
            <w:noProof/>
            <w:color w:val="auto"/>
          </w:rPr>
          <w:t>9.</w:t>
        </w:r>
        <w:r w:rsidRPr="00C73BF6" w:rsidR="00CC4DAB">
          <w:rPr>
            <w:rFonts w:asciiTheme="minorHAnsi" w:hAnsiTheme="minorHAnsi"/>
            <w:noProof/>
          </w:rPr>
          <w:tab/>
        </w:r>
        <w:r w:rsidRPr="00C73BF6" w:rsidR="00CC4DAB">
          <w:rPr>
            <w:rStyle w:val="Hyperlink"/>
            <w:noProof/>
            <w:color w:val="auto"/>
          </w:rPr>
          <w:t>Explanation of Any Payment or Gift to Respondents</w:t>
        </w:r>
        <w:r w:rsidRPr="00C73BF6" w:rsidR="00CC4DAB">
          <w:rPr>
            <w:noProof/>
            <w:webHidden/>
          </w:rPr>
          <w:tab/>
        </w:r>
        <w:r w:rsidRPr="00C73BF6" w:rsidR="00993B1F">
          <w:rPr>
            <w:noProof/>
            <w:webHidden/>
          </w:rPr>
          <w:t>8</w:t>
        </w:r>
      </w:hyperlink>
    </w:p>
    <w:p w:rsidRPr="00C73BF6" w:rsidR="00CC4DAB" w:rsidRDefault="00C73BF6" w14:paraId="0DE14437" w14:textId="0DEB414B">
      <w:pPr>
        <w:pStyle w:val="TOC2"/>
        <w:rPr>
          <w:rFonts w:asciiTheme="minorHAnsi" w:hAnsiTheme="minorHAnsi"/>
          <w:noProof/>
        </w:rPr>
      </w:pPr>
      <w:hyperlink w:history="1" w:anchor="_Toc427752823">
        <w:r w:rsidRPr="00C73BF6" w:rsidR="00CC4DAB">
          <w:rPr>
            <w:rStyle w:val="Hyperlink"/>
            <w:noProof/>
            <w:color w:val="auto"/>
          </w:rPr>
          <w:t>10.</w:t>
        </w:r>
        <w:r w:rsidRPr="00C73BF6" w:rsidR="00CC4DAB">
          <w:rPr>
            <w:rFonts w:asciiTheme="minorHAnsi" w:hAnsiTheme="minorHAnsi"/>
            <w:noProof/>
          </w:rPr>
          <w:tab/>
        </w:r>
        <w:r w:rsidRPr="00C73BF6" w:rsidR="00CC4DAB">
          <w:rPr>
            <w:rStyle w:val="Hyperlink"/>
            <w:noProof/>
            <w:color w:val="auto"/>
          </w:rPr>
          <w:t>Protection of the Privacy and Confidentiality of Information Provided by Respondents</w:t>
        </w:r>
        <w:r w:rsidRPr="00C73BF6" w:rsidR="00CC4DAB">
          <w:rPr>
            <w:noProof/>
            <w:webHidden/>
          </w:rPr>
          <w:tab/>
        </w:r>
        <w:r w:rsidRPr="00C73BF6" w:rsidR="00993B1F">
          <w:rPr>
            <w:noProof/>
            <w:webHidden/>
          </w:rPr>
          <w:t>8</w:t>
        </w:r>
      </w:hyperlink>
    </w:p>
    <w:p w:rsidRPr="00C73BF6" w:rsidR="00CC4DAB" w:rsidRDefault="00C73BF6" w14:paraId="1602AB14" w14:textId="4FFB0FEF">
      <w:pPr>
        <w:pStyle w:val="TOC2"/>
        <w:rPr>
          <w:rFonts w:asciiTheme="minorHAnsi" w:hAnsiTheme="minorHAnsi"/>
          <w:noProof/>
        </w:rPr>
      </w:pPr>
      <w:hyperlink w:history="1" w:anchor="_Toc427752824">
        <w:r w:rsidRPr="00C73BF6" w:rsidR="00CC4DAB">
          <w:rPr>
            <w:rStyle w:val="Hyperlink"/>
            <w:noProof/>
            <w:color w:val="auto"/>
          </w:rPr>
          <w:t>11.</w:t>
        </w:r>
        <w:r w:rsidRPr="00C73BF6" w:rsidR="00CC4DAB">
          <w:rPr>
            <w:rFonts w:asciiTheme="minorHAnsi" w:hAnsiTheme="minorHAnsi"/>
            <w:noProof/>
          </w:rPr>
          <w:tab/>
        </w:r>
        <w:r w:rsidRPr="00C73BF6" w:rsidR="00CC4DAB">
          <w:rPr>
            <w:rStyle w:val="Hyperlink"/>
            <w:noProof/>
            <w:color w:val="auto"/>
          </w:rPr>
          <w:t>Institutional Review Board (IRB) and Justification for Sensitive Questions</w:t>
        </w:r>
        <w:r w:rsidRPr="00C73BF6" w:rsidR="00CC4DAB">
          <w:rPr>
            <w:noProof/>
            <w:webHidden/>
          </w:rPr>
          <w:tab/>
        </w:r>
        <w:r w:rsidRPr="00C73BF6" w:rsidR="00993B1F">
          <w:rPr>
            <w:noProof/>
            <w:webHidden/>
          </w:rPr>
          <w:t>8</w:t>
        </w:r>
      </w:hyperlink>
    </w:p>
    <w:p w:rsidRPr="00C73BF6" w:rsidR="00CC4DAB" w:rsidRDefault="00C73BF6" w14:paraId="7F69E179" w14:textId="1FE5F061">
      <w:pPr>
        <w:pStyle w:val="TOC2"/>
        <w:rPr>
          <w:rFonts w:asciiTheme="minorHAnsi" w:hAnsiTheme="minorHAnsi"/>
          <w:noProof/>
        </w:rPr>
      </w:pPr>
      <w:hyperlink w:history="1" w:anchor="_Toc427752825">
        <w:r w:rsidRPr="00C73BF6" w:rsidR="00CC4DAB">
          <w:rPr>
            <w:rStyle w:val="Hyperlink"/>
            <w:noProof/>
            <w:color w:val="auto"/>
          </w:rPr>
          <w:t>12.</w:t>
        </w:r>
        <w:r w:rsidRPr="00C73BF6" w:rsidR="00CC4DAB">
          <w:rPr>
            <w:rFonts w:asciiTheme="minorHAnsi" w:hAnsiTheme="minorHAnsi"/>
            <w:noProof/>
          </w:rPr>
          <w:tab/>
        </w:r>
        <w:r w:rsidRPr="00C73BF6" w:rsidR="00CC4DAB">
          <w:rPr>
            <w:rStyle w:val="Hyperlink"/>
            <w:noProof/>
            <w:color w:val="auto"/>
          </w:rPr>
          <w:t>Estimates of Annualized Burden Hours and Costs</w:t>
        </w:r>
        <w:r w:rsidRPr="00C73BF6" w:rsidR="00CC4DAB">
          <w:rPr>
            <w:noProof/>
            <w:webHidden/>
          </w:rPr>
          <w:tab/>
        </w:r>
        <w:r w:rsidRPr="00C73BF6" w:rsidR="00474673">
          <w:rPr>
            <w:noProof/>
            <w:webHidden/>
          </w:rPr>
          <w:t>8</w:t>
        </w:r>
      </w:hyperlink>
    </w:p>
    <w:p w:rsidRPr="00C73BF6" w:rsidR="00CC4DAB" w:rsidRDefault="00C73BF6" w14:paraId="1BFBDC8A" w14:textId="121C36BB">
      <w:pPr>
        <w:pStyle w:val="TOC2"/>
        <w:rPr>
          <w:rFonts w:asciiTheme="minorHAnsi" w:hAnsiTheme="minorHAnsi"/>
          <w:noProof/>
        </w:rPr>
      </w:pPr>
      <w:hyperlink w:history="1" w:anchor="_Toc427752826">
        <w:r w:rsidRPr="00C73BF6" w:rsidR="00CC4DAB">
          <w:rPr>
            <w:rStyle w:val="Hyperlink"/>
            <w:noProof/>
            <w:color w:val="auto"/>
          </w:rPr>
          <w:t>13.</w:t>
        </w:r>
        <w:r w:rsidRPr="00C73BF6" w:rsidR="00CC4DAB">
          <w:rPr>
            <w:rFonts w:asciiTheme="minorHAnsi" w:hAnsiTheme="minorHAnsi"/>
            <w:noProof/>
          </w:rPr>
          <w:tab/>
        </w:r>
        <w:r w:rsidRPr="00C73BF6" w:rsidR="00CC4DAB">
          <w:rPr>
            <w:rStyle w:val="Hyperlink"/>
            <w:noProof/>
            <w:color w:val="auto"/>
          </w:rPr>
          <w:t>Estimates of Other Total Annual Cost Burden to Respondents or Record Keepers</w:t>
        </w:r>
        <w:r w:rsidRPr="00C73BF6" w:rsidR="00CC4DAB">
          <w:rPr>
            <w:noProof/>
            <w:webHidden/>
          </w:rPr>
          <w:tab/>
        </w:r>
        <w:r w:rsidRPr="00C73BF6" w:rsidR="00993B1F">
          <w:rPr>
            <w:noProof/>
            <w:webHidden/>
          </w:rPr>
          <w:t>10</w:t>
        </w:r>
      </w:hyperlink>
    </w:p>
    <w:p w:rsidRPr="00C73BF6" w:rsidR="00CC4DAB" w:rsidRDefault="00C73BF6" w14:paraId="28485E18" w14:textId="771D20B7">
      <w:pPr>
        <w:pStyle w:val="TOC2"/>
        <w:rPr>
          <w:rFonts w:asciiTheme="minorHAnsi" w:hAnsiTheme="minorHAnsi"/>
          <w:noProof/>
        </w:rPr>
      </w:pPr>
      <w:hyperlink w:history="1" w:anchor="_Toc427752827">
        <w:r w:rsidRPr="00C73BF6" w:rsidR="00CC4DAB">
          <w:rPr>
            <w:rStyle w:val="Hyperlink"/>
            <w:noProof/>
            <w:color w:val="auto"/>
          </w:rPr>
          <w:t>14.</w:t>
        </w:r>
        <w:r w:rsidRPr="00C73BF6" w:rsidR="00CC4DAB">
          <w:rPr>
            <w:rFonts w:asciiTheme="minorHAnsi" w:hAnsiTheme="minorHAnsi"/>
            <w:noProof/>
          </w:rPr>
          <w:tab/>
        </w:r>
        <w:r w:rsidRPr="00C73BF6" w:rsidR="00CC4DAB">
          <w:rPr>
            <w:rStyle w:val="Hyperlink"/>
            <w:noProof/>
            <w:color w:val="auto"/>
          </w:rPr>
          <w:t>Annualized Cost to the Government</w:t>
        </w:r>
        <w:r w:rsidRPr="00C73BF6" w:rsidR="00CC4DAB">
          <w:rPr>
            <w:noProof/>
            <w:webHidden/>
          </w:rPr>
          <w:tab/>
        </w:r>
        <w:r w:rsidRPr="00C73BF6" w:rsidR="00993B1F">
          <w:rPr>
            <w:noProof/>
            <w:webHidden/>
          </w:rPr>
          <w:t>10</w:t>
        </w:r>
      </w:hyperlink>
    </w:p>
    <w:p w:rsidRPr="00C73BF6" w:rsidR="00CC4DAB" w:rsidRDefault="00C73BF6" w14:paraId="7B4E8EE4" w14:textId="04E34301">
      <w:pPr>
        <w:pStyle w:val="TOC2"/>
        <w:rPr>
          <w:rFonts w:asciiTheme="minorHAnsi" w:hAnsiTheme="minorHAnsi"/>
          <w:noProof/>
        </w:rPr>
      </w:pPr>
      <w:hyperlink w:history="1" w:anchor="_Toc427752828">
        <w:r w:rsidRPr="00C73BF6" w:rsidR="00CC4DAB">
          <w:rPr>
            <w:rStyle w:val="Hyperlink"/>
            <w:noProof/>
            <w:color w:val="auto"/>
          </w:rPr>
          <w:t>15.</w:t>
        </w:r>
        <w:r w:rsidRPr="00C73BF6" w:rsidR="00CC4DAB">
          <w:rPr>
            <w:rFonts w:asciiTheme="minorHAnsi" w:hAnsiTheme="minorHAnsi"/>
            <w:noProof/>
          </w:rPr>
          <w:tab/>
        </w:r>
        <w:r w:rsidRPr="00C73BF6" w:rsidR="00CC4DAB">
          <w:rPr>
            <w:rStyle w:val="Hyperlink"/>
            <w:noProof/>
            <w:color w:val="auto"/>
          </w:rPr>
          <w:t>Explanation for Program Changes or Adjustments</w:t>
        </w:r>
        <w:r w:rsidRPr="00C73BF6" w:rsidR="00CC4DAB">
          <w:rPr>
            <w:noProof/>
            <w:webHidden/>
          </w:rPr>
          <w:tab/>
        </w:r>
        <w:r w:rsidRPr="00C73BF6" w:rsidR="00993B1F">
          <w:rPr>
            <w:noProof/>
            <w:webHidden/>
          </w:rPr>
          <w:t>10</w:t>
        </w:r>
      </w:hyperlink>
    </w:p>
    <w:p w:rsidRPr="00C73BF6" w:rsidR="00CC4DAB" w:rsidRDefault="00C73BF6" w14:paraId="0FCCA84F" w14:textId="537BD195">
      <w:pPr>
        <w:pStyle w:val="TOC2"/>
        <w:rPr>
          <w:rFonts w:asciiTheme="minorHAnsi" w:hAnsiTheme="minorHAnsi"/>
          <w:noProof/>
        </w:rPr>
      </w:pPr>
      <w:hyperlink w:history="1" w:anchor="_Toc427752829">
        <w:r w:rsidRPr="00C73BF6" w:rsidR="00CC4DAB">
          <w:rPr>
            <w:rStyle w:val="Hyperlink"/>
            <w:noProof/>
            <w:color w:val="auto"/>
          </w:rPr>
          <w:t>16.</w:t>
        </w:r>
        <w:r w:rsidRPr="00C73BF6" w:rsidR="00CC4DAB">
          <w:rPr>
            <w:rFonts w:asciiTheme="minorHAnsi" w:hAnsiTheme="minorHAnsi"/>
            <w:noProof/>
          </w:rPr>
          <w:tab/>
        </w:r>
        <w:r w:rsidRPr="00C73BF6" w:rsidR="00CC4DAB">
          <w:rPr>
            <w:rStyle w:val="Hyperlink"/>
            <w:noProof/>
            <w:color w:val="auto"/>
          </w:rPr>
          <w:t>Plans for Tabulation and Publication and Project Time Schedule</w:t>
        </w:r>
        <w:r w:rsidRPr="00C73BF6" w:rsidR="00CC4DAB">
          <w:rPr>
            <w:noProof/>
            <w:webHidden/>
          </w:rPr>
          <w:tab/>
        </w:r>
        <w:r w:rsidRPr="00C73BF6" w:rsidR="00993B1F">
          <w:rPr>
            <w:noProof/>
            <w:webHidden/>
          </w:rPr>
          <w:t>10</w:t>
        </w:r>
      </w:hyperlink>
    </w:p>
    <w:p w:rsidRPr="00C73BF6" w:rsidR="00CC4DAB" w:rsidRDefault="00C73BF6" w14:paraId="39618C55" w14:textId="1750498F">
      <w:pPr>
        <w:pStyle w:val="TOC2"/>
        <w:rPr>
          <w:rFonts w:asciiTheme="minorHAnsi" w:hAnsiTheme="minorHAnsi"/>
          <w:noProof/>
        </w:rPr>
      </w:pPr>
      <w:hyperlink w:history="1" w:anchor="_Toc427752830">
        <w:r w:rsidRPr="00C73BF6" w:rsidR="00CC4DAB">
          <w:rPr>
            <w:rStyle w:val="Hyperlink"/>
            <w:noProof/>
            <w:color w:val="auto"/>
          </w:rPr>
          <w:t>17.</w:t>
        </w:r>
        <w:r w:rsidRPr="00C73BF6" w:rsidR="00CC4DAB">
          <w:rPr>
            <w:rFonts w:asciiTheme="minorHAnsi" w:hAnsiTheme="minorHAnsi"/>
            <w:noProof/>
          </w:rPr>
          <w:tab/>
        </w:r>
        <w:r w:rsidRPr="00C73BF6" w:rsidR="00CC4DAB">
          <w:rPr>
            <w:rStyle w:val="Hyperlink"/>
            <w:noProof/>
            <w:color w:val="auto"/>
          </w:rPr>
          <w:t>Reason(s) Display of OMB Expiration Date is Inappropriate</w:t>
        </w:r>
        <w:r w:rsidRPr="00C73BF6" w:rsidR="00CC4DAB">
          <w:rPr>
            <w:noProof/>
            <w:webHidden/>
          </w:rPr>
          <w:tab/>
        </w:r>
        <w:r w:rsidRPr="00C73BF6" w:rsidR="00474673">
          <w:rPr>
            <w:noProof/>
            <w:webHidden/>
          </w:rPr>
          <w:t>1</w:t>
        </w:r>
        <w:r w:rsidRPr="00C73BF6" w:rsidR="00993B1F">
          <w:rPr>
            <w:noProof/>
            <w:webHidden/>
          </w:rPr>
          <w:t>1</w:t>
        </w:r>
      </w:hyperlink>
    </w:p>
    <w:p w:rsidRPr="00C73BF6" w:rsidR="00CC4DAB" w:rsidRDefault="00C73BF6" w14:paraId="6E51641B" w14:textId="11D33B39">
      <w:pPr>
        <w:pStyle w:val="TOC2"/>
        <w:rPr>
          <w:rFonts w:asciiTheme="minorHAnsi" w:hAnsiTheme="minorHAnsi"/>
          <w:noProof/>
        </w:rPr>
      </w:pPr>
      <w:hyperlink w:history="1" w:anchor="_Toc427752831">
        <w:r w:rsidRPr="00C73BF6" w:rsidR="00CC4DAB">
          <w:rPr>
            <w:rStyle w:val="Hyperlink"/>
            <w:noProof/>
            <w:color w:val="auto"/>
          </w:rPr>
          <w:t>18.</w:t>
        </w:r>
        <w:r w:rsidRPr="00C73BF6" w:rsidR="00CC4DAB">
          <w:rPr>
            <w:rFonts w:asciiTheme="minorHAnsi" w:hAnsiTheme="minorHAnsi"/>
            <w:noProof/>
          </w:rPr>
          <w:tab/>
        </w:r>
        <w:r w:rsidRPr="00C73BF6" w:rsidR="00CC4DAB">
          <w:rPr>
            <w:rStyle w:val="Hyperlink"/>
            <w:noProof/>
            <w:color w:val="auto"/>
          </w:rPr>
          <w:t>Exceptions to Certification for Paperwork Reduction Act Submissions</w:t>
        </w:r>
        <w:r w:rsidRPr="00C73BF6" w:rsidR="00CC4DAB">
          <w:rPr>
            <w:noProof/>
            <w:webHidden/>
          </w:rPr>
          <w:tab/>
        </w:r>
        <w:r w:rsidRPr="00C73BF6" w:rsidR="00474673">
          <w:rPr>
            <w:noProof/>
            <w:webHidden/>
          </w:rPr>
          <w:t>1</w:t>
        </w:r>
        <w:r w:rsidRPr="00C73BF6" w:rsidR="00993B1F">
          <w:rPr>
            <w:noProof/>
            <w:webHidden/>
          </w:rPr>
          <w:t>1</w:t>
        </w:r>
      </w:hyperlink>
    </w:p>
    <w:p w:rsidRPr="00C73BF6" w:rsidR="00CC4DAB" w:rsidRDefault="00C73BF6" w14:paraId="437A47BC" w14:textId="0F003A68">
      <w:pPr>
        <w:pStyle w:val="TOC1"/>
        <w:tabs>
          <w:tab w:val="right" w:leader="dot" w:pos="9350"/>
        </w:tabs>
        <w:rPr>
          <w:rFonts w:asciiTheme="minorHAnsi" w:hAnsiTheme="minorHAnsi"/>
          <w:noProof/>
        </w:rPr>
      </w:pPr>
      <w:hyperlink w:history="1" w:anchor="_Toc427752832">
        <w:r w:rsidRPr="00C73BF6" w:rsidR="00CC4DAB">
          <w:rPr>
            <w:rStyle w:val="Hyperlink"/>
            <w:noProof/>
            <w:color w:val="auto"/>
          </w:rPr>
          <w:t>LIST OF ATTACHMENTS – Section A</w:t>
        </w:r>
        <w:r w:rsidRPr="00C73BF6" w:rsidR="00CC4DAB">
          <w:rPr>
            <w:noProof/>
            <w:webHidden/>
          </w:rPr>
          <w:tab/>
        </w:r>
        <w:r w:rsidRPr="00C73BF6" w:rsidR="00474673">
          <w:rPr>
            <w:noProof/>
            <w:webHidden/>
          </w:rPr>
          <w:t>1</w:t>
        </w:r>
        <w:r w:rsidRPr="00C73BF6" w:rsidR="00993B1F">
          <w:rPr>
            <w:noProof/>
            <w:webHidden/>
          </w:rPr>
          <w:t>1</w:t>
        </w:r>
      </w:hyperlink>
    </w:p>
    <w:p w:rsidRPr="00C73BF6" w:rsidR="00CC4DAB" w:rsidRDefault="00C73BF6" w14:paraId="451ECEBD" w14:textId="5E63CDF5">
      <w:pPr>
        <w:pStyle w:val="TOC1"/>
        <w:tabs>
          <w:tab w:val="right" w:leader="dot" w:pos="9350"/>
        </w:tabs>
        <w:rPr>
          <w:rFonts w:asciiTheme="minorHAnsi" w:hAnsiTheme="minorHAnsi"/>
          <w:noProof/>
        </w:rPr>
      </w:pPr>
      <w:hyperlink w:history="1" w:anchor="_Toc427752833">
        <w:r w:rsidRPr="00C73BF6" w:rsidR="00CC4DAB">
          <w:rPr>
            <w:rStyle w:val="Hyperlink"/>
            <w:noProof/>
            <w:color w:val="auto"/>
          </w:rPr>
          <w:t xml:space="preserve">REFERENCE LIST </w:t>
        </w:r>
        <w:r w:rsidRPr="00C73BF6" w:rsidR="00CC4DAB">
          <w:rPr>
            <w:noProof/>
            <w:webHidden/>
          </w:rPr>
          <w:tab/>
        </w:r>
        <w:r w:rsidRPr="00C73BF6" w:rsidR="00474673">
          <w:rPr>
            <w:noProof/>
            <w:webHidden/>
          </w:rPr>
          <w:t>1</w:t>
        </w:r>
        <w:r w:rsidRPr="00C73BF6" w:rsidR="00993B1F">
          <w:rPr>
            <w:noProof/>
            <w:webHidden/>
          </w:rPr>
          <w:t>1</w:t>
        </w:r>
      </w:hyperlink>
    </w:p>
    <w:p w:rsidRPr="00C73BF6" w:rsidR="003860A5" w:rsidP="00CA5840" w:rsidRDefault="003860A5" w14:paraId="7E0F2413" w14:textId="77777777">
      <w:pPr>
        <w:pStyle w:val="Heading3"/>
        <w:ind w:left="0"/>
      </w:pPr>
      <w:r w:rsidRPr="00C73BF6">
        <w:fldChar w:fldCharType="end"/>
      </w:r>
    </w:p>
    <w:p w:rsidRPr="00C73BF6" w:rsidR="00487937" w:rsidP="00CA5840" w:rsidRDefault="00487937" w14:paraId="25E7D594" w14:textId="77777777">
      <w:pPr>
        <w:pStyle w:val="Heading3"/>
        <w:ind w:left="0"/>
      </w:pPr>
      <w:bookmarkStart w:name="_Toc413847747" w:id="1"/>
      <w:bookmarkStart w:name="_Toc427752812" w:id="2"/>
      <w:r w:rsidRPr="00C73BF6">
        <w:rPr>
          <w:rFonts w:ascii="Calibri" w:hAnsi="Calibri" w:eastAsia="Calibri" w:cs="Times New Roman"/>
          <w:b w:val="0"/>
          <w:noProof/>
          <w:sz w:val="22"/>
        </w:rPr>
        <w:lastRenderedPageBreak/>
        <mc:AlternateContent>
          <mc:Choice Requires="wps">
            <w:drawing>
              <wp:inline distT="0" distB="0" distL="0" distR="0" wp14:anchorId="2DCDB37C" wp14:editId="1159E4A2">
                <wp:extent cx="6162675" cy="5041900"/>
                <wp:effectExtent l="0" t="0" r="28575" b="2540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2675" cy="5041900"/>
                        </a:xfrm>
                        <a:prstGeom prst="rect">
                          <a:avLst/>
                        </a:prstGeom>
                        <a:solidFill>
                          <a:srgbClr val="FFFFFF"/>
                        </a:solidFill>
                        <a:ln w="9525">
                          <a:solidFill>
                            <a:srgbClr val="000000"/>
                          </a:solidFill>
                          <a:miter lim="800000"/>
                          <a:headEnd/>
                          <a:tailEnd/>
                        </a:ln>
                      </wps:spPr>
                      <wps:txbx>
                        <w:txbxContent>
                          <w:p w:rsidRPr="00474673" w:rsidR="005304C5" w:rsidP="00A576F8" w:rsidRDefault="005304C5" w14:paraId="744F21D9" w14:textId="77777777">
                            <w:pPr>
                              <w:pStyle w:val="ListParagraph"/>
                              <w:numPr>
                                <w:ilvl w:val="0"/>
                                <w:numId w:val="8"/>
                              </w:numPr>
                              <w:tabs>
                                <w:tab w:val="clear" w:pos="9360"/>
                              </w:tabs>
                              <w:spacing w:after="200"/>
                            </w:pPr>
                            <w:r w:rsidRPr="00474673">
                              <w:rPr>
                                <w:b/>
                              </w:rPr>
                              <w:t xml:space="preserve">Purpose of the data collection </w:t>
                            </w:r>
                          </w:p>
                          <w:p w:rsidRPr="00E00795" w:rsidR="005304C5" w:rsidP="00A576F8" w:rsidRDefault="005304C5" w14:paraId="1AD289AE" w14:textId="11522B7A">
                            <w:pPr>
                              <w:pStyle w:val="ListParagraph"/>
                              <w:ind w:left="360"/>
                              <w:rPr>
                                <w:rStyle w:val="SubtleEmphasis"/>
                                <w:rFonts w:cstheme="minorHAnsi"/>
                                <w:sz w:val="20"/>
                                <w:szCs w:val="20"/>
                              </w:rPr>
                            </w:pPr>
                            <w:r w:rsidRPr="00E00795">
                              <w:rPr>
                                <w:rStyle w:val="SubtleEmphasis"/>
                                <w:rFonts w:cstheme="minorHAnsi"/>
                                <w:i w:val="0"/>
                                <w:iCs w:val="0"/>
                                <w:sz w:val="20"/>
                                <w:szCs w:val="20"/>
                              </w:rPr>
                              <w:t>To strengthen the capacity of state public health laboratories (PHL) to incorporate screening for spinal muscular atrophy (SMA) into their newborn screening programs. CDC will assess the ability of PHL to utilize new protocols for analyzing reference blood spot samples and report data to CDC’s Newborn Screening Quality Assurance Program (NSQAP). The overall goal is to establish an SMA proficiency testing (PT) program that will support state-based efforts aiding early identification and treatment of newborns with SMA.</w:t>
                            </w:r>
                            <w:r w:rsidR="006F7A47">
                              <w:rPr>
                                <w:rStyle w:val="SubtleEmphasis"/>
                                <w:rFonts w:cstheme="minorHAnsi"/>
                                <w:i w:val="0"/>
                                <w:iCs w:val="0"/>
                                <w:sz w:val="20"/>
                                <w:szCs w:val="20"/>
                              </w:rPr>
                              <w:t xml:space="preserve">  </w:t>
                            </w:r>
                            <w:r w:rsidRPr="00751E62" w:rsidR="006F7A47">
                              <w:rPr>
                                <w:rStyle w:val="SubtleEmphasis"/>
                                <w:rFonts w:cstheme="minorHAnsi"/>
                                <w:i w:val="0"/>
                                <w:iCs w:val="0"/>
                                <w:sz w:val="20"/>
                                <w:szCs w:val="20"/>
                              </w:rPr>
                              <w:t>CDC conducted a previous survey earlier this year and this survey aims to test changes made in the data collection instrument (online reporting page versus Excel spreadsheet) based on feedback from the previous survey, thus this work is not duplicative.</w:t>
                            </w:r>
                          </w:p>
                          <w:p w:rsidRPr="00474673" w:rsidR="005304C5" w:rsidP="00A576F8" w:rsidRDefault="005304C5" w14:paraId="19F897D4" w14:textId="77777777">
                            <w:pPr>
                              <w:pStyle w:val="ListParagraph"/>
                              <w:numPr>
                                <w:ilvl w:val="0"/>
                                <w:numId w:val="8"/>
                              </w:numPr>
                              <w:tabs>
                                <w:tab w:val="clear" w:pos="9360"/>
                              </w:tabs>
                            </w:pPr>
                            <w:r w:rsidRPr="00474673">
                              <w:rPr>
                                <w:b/>
                              </w:rPr>
                              <w:t xml:space="preserve">Intended use of the resulting data </w:t>
                            </w:r>
                          </w:p>
                          <w:p w:rsidRPr="00474673" w:rsidR="005304C5" w:rsidP="00A576F8" w:rsidRDefault="005304C5" w14:paraId="70E55BA8" w14:textId="454D0B0F">
                            <w:pPr>
                              <w:tabs>
                                <w:tab w:val="clear" w:pos="9360"/>
                              </w:tabs>
                              <w:ind w:left="360"/>
                            </w:pPr>
                            <w:r w:rsidRPr="00474673">
                              <w:rPr>
                                <w:rStyle w:val="SubtleEmphasis"/>
                                <w:rFonts w:cstheme="minorHAnsi"/>
                                <w:i w:val="0"/>
                                <w:iCs w:val="0"/>
                                <w:sz w:val="20"/>
                                <w:szCs w:val="20"/>
                              </w:rPr>
                              <w:t xml:space="preserve">The </w:t>
                            </w:r>
                            <w:r w:rsidR="006F7A47">
                              <w:rPr>
                                <w:rStyle w:val="SubtleEmphasis"/>
                                <w:rFonts w:cstheme="minorHAnsi"/>
                                <w:i w:val="0"/>
                                <w:iCs w:val="0"/>
                                <w:sz w:val="20"/>
                                <w:szCs w:val="20"/>
                                <w:u w:val="single"/>
                              </w:rPr>
                              <w:t xml:space="preserve">lab data reporting </w:t>
                            </w:r>
                            <w:r w:rsidRPr="00751E62" w:rsidR="006F7A47">
                              <w:rPr>
                                <w:rStyle w:val="SubtleEmphasis"/>
                                <w:rFonts w:cstheme="minorHAnsi"/>
                                <w:i w:val="0"/>
                                <w:iCs w:val="0"/>
                                <w:sz w:val="20"/>
                                <w:szCs w:val="20"/>
                                <w:u w:val="single"/>
                              </w:rPr>
                              <w:t>page</w:t>
                            </w:r>
                            <w:r w:rsidRPr="00474673">
                              <w:rPr>
                                <w:rStyle w:val="SubtleEmphasis"/>
                                <w:rFonts w:cstheme="minorHAnsi"/>
                                <w:i w:val="0"/>
                                <w:iCs w:val="0"/>
                                <w:sz w:val="20"/>
                                <w:szCs w:val="20"/>
                              </w:rPr>
                              <w:t xml:space="preserve"> will allow CDC to assess 1) the types of lab tests used by PHL, and 2) the accuracy of SMA test results produced by PHL. The accompanying </w:t>
                            </w:r>
                            <w:r w:rsidRPr="00E00795" w:rsidR="00E00795">
                              <w:rPr>
                                <w:rStyle w:val="SubtleEmphasis"/>
                                <w:rFonts w:cstheme="minorHAnsi"/>
                                <w:i w:val="0"/>
                                <w:iCs w:val="0"/>
                                <w:sz w:val="20"/>
                                <w:szCs w:val="20"/>
                                <w:u w:val="single"/>
                              </w:rPr>
                              <w:t xml:space="preserve">feedback </w:t>
                            </w:r>
                            <w:r w:rsidRPr="00474673">
                              <w:rPr>
                                <w:rStyle w:val="SubtleEmphasis"/>
                                <w:rFonts w:cstheme="minorHAnsi"/>
                                <w:i w:val="0"/>
                                <w:iCs w:val="0"/>
                                <w:sz w:val="20"/>
                                <w:szCs w:val="20"/>
                                <w:u w:val="single"/>
                              </w:rPr>
                              <w:t>survey</w:t>
                            </w:r>
                            <w:r w:rsidRPr="00474673">
                              <w:rPr>
                                <w:rStyle w:val="SubtleEmphasis"/>
                                <w:rFonts w:cstheme="minorHAnsi"/>
                                <w:i w:val="0"/>
                                <w:iCs w:val="0"/>
                                <w:sz w:val="20"/>
                                <w:szCs w:val="20"/>
                              </w:rPr>
                              <w:t xml:space="preserve"> will allow CDC and PHL to identify opportunities for improving the DBS panel, protocols and guidance for SMA testing, or procedures for submitting SMA PT data to CDC.  All findings</w:t>
                            </w:r>
                            <w:r w:rsidRPr="00474673">
                              <w:rPr>
                                <w:rStyle w:val="SubtleEmphasis"/>
                                <w:i w:val="0"/>
                                <w:iCs w:val="0"/>
                                <w:sz w:val="20"/>
                                <w:szCs w:val="20"/>
                              </w:rPr>
                              <w:t xml:space="preserve"> will be used to improve program services and performance</w:t>
                            </w:r>
                            <w:r w:rsidR="006F7A47">
                              <w:rPr>
                                <w:rStyle w:val="SubtleEmphasis"/>
                                <w:i w:val="0"/>
                                <w:iCs w:val="0"/>
                                <w:sz w:val="20"/>
                                <w:szCs w:val="20"/>
                              </w:rPr>
                              <w:t xml:space="preserve"> </w:t>
                            </w:r>
                            <w:r w:rsidRPr="00751E62" w:rsidR="006F7A47">
                              <w:rPr>
                                <w:rStyle w:val="SubtleEmphasis"/>
                                <w:i w:val="0"/>
                                <w:iCs w:val="0"/>
                                <w:sz w:val="20"/>
                                <w:szCs w:val="20"/>
                              </w:rPr>
                              <w:t>including the feasibility of deploying an online PT reporting tool</w:t>
                            </w:r>
                            <w:r w:rsidRPr="00051C9C">
                              <w:rPr>
                                <w:rStyle w:val="SubtleEmphasis"/>
                                <w:i w:val="0"/>
                                <w:iCs w:val="0"/>
                                <w:sz w:val="20"/>
                                <w:szCs w:val="20"/>
                              </w:rPr>
                              <w:t>.</w:t>
                            </w:r>
                          </w:p>
                          <w:p w:rsidRPr="00474673" w:rsidR="005304C5" w:rsidP="00A576F8" w:rsidRDefault="005304C5" w14:paraId="29FA2C5A" w14:textId="77777777">
                            <w:pPr>
                              <w:pStyle w:val="ListParagraph"/>
                              <w:numPr>
                                <w:ilvl w:val="0"/>
                                <w:numId w:val="8"/>
                              </w:numPr>
                              <w:tabs>
                                <w:tab w:val="clear" w:pos="9360"/>
                              </w:tabs>
                            </w:pPr>
                            <w:r w:rsidRPr="00474673">
                              <w:rPr>
                                <w:b/>
                              </w:rPr>
                              <w:t xml:space="preserve">Methods to be used to collect data </w:t>
                            </w:r>
                          </w:p>
                          <w:p w:rsidRPr="00E00795" w:rsidR="005304C5" w:rsidP="00E00795" w:rsidRDefault="005304C5" w14:paraId="7D8436F5" w14:textId="64AC94A5">
                            <w:pPr>
                              <w:pStyle w:val="ListParagraph"/>
                              <w:ind w:left="360"/>
                              <w:rPr>
                                <w:rStyle w:val="SubtleEmphasis"/>
                                <w:rFonts w:cstheme="minorHAnsi"/>
                                <w:i w:val="0"/>
                                <w:iCs w:val="0"/>
                                <w:sz w:val="20"/>
                                <w:szCs w:val="20"/>
                              </w:rPr>
                            </w:pPr>
                            <w:r w:rsidRPr="00E00795">
                              <w:rPr>
                                <w:rStyle w:val="SubtleEmphasis"/>
                                <w:rFonts w:cstheme="minorHAnsi"/>
                                <w:i w:val="0"/>
                                <w:iCs w:val="0"/>
                                <w:sz w:val="20"/>
                                <w:szCs w:val="20"/>
                              </w:rPr>
                              <w:t>CDC will distribute pilot proficiency testing specimens (dried blood spots) to participating PHL along with instructions. Labs will analyze the sp</w:t>
                            </w:r>
                            <w:r w:rsidRPr="00051C9C">
                              <w:rPr>
                                <w:rStyle w:val="SubtleEmphasis"/>
                                <w:rFonts w:cstheme="minorHAnsi"/>
                                <w:i w:val="0"/>
                                <w:iCs w:val="0"/>
                                <w:sz w:val="20"/>
                                <w:szCs w:val="20"/>
                              </w:rPr>
                              <w:t xml:space="preserve">ecimens and report results to CDC. </w:t>
                            </w:r>
                            <w:r w:rsidRPr="00751E62">
                              <w:rPr>
                                <w:rStyle w:val="SubtleEmphasis"/>
                                <w:rFonts w:cstheme="minorHAnsi"/>
                                <w:i w:val="0"/>
                                <w:iCs w:val="0"/>
                                <w:sz w:val="20"/>
                                <w:szCs w:val="20"/>
                              </w:rPr>
                              <w:t>Data collection instr</w:t>
                            </w:r>
                            <w:r w:rsidRPr="00751E62" w:rsidR="006F7A47">
                              <w:rPr>
                                <w:rStyle w:val="SubtleEmphasis"/>
                                <w:rFonts w:cstheme="minorHAnsi"/>
                                <w:i w:val="0"/>
                                <w:iCs w:val="0"/>
                                <w:sz w:val="20"/>
                                <w:szCs w:val="20"/>
                              </w:rPr>
                              <w:t xml:space="preserve">uments consist of a web portal (data reporting page) and an </w:t>
                            </w:r>
                            <w:r w:rsidRPr="00751E62">
                              <w:rPr>
                                <w:rStyle w:val="SubtleEmphasis"/>
                                <w:rFonts w:cstheme="minorHAnsi"/>
                                <w:i w:val="0"/>
                                <w:iCs w:val="0"/>
                                <w:sz w:val="20"/>
                                <w:szCs w:val="20"/>
                              </w:rPr>
                              <w:t>Excel spreadsh</w:t>
                            </w:r>
                            <w:r w:rsidRPr="00751E62" w:rsidR="006F7A47">
                              <w:rPr>
                                <w:rStyle w:val="SubtleEmphasis"/>
                                <w:rFonts w:cstheme="minorHAnsi"/>
                                <w:i w:val="0"/>
                                <w:iCs w:val="0"/>
                                <w:sz w:val="20"/>
                                <w:szCs w:val="20"/>
                              </w:rPr>
                              <w:t>eet (</w:t>
                            </w:r>
                            <w:r w:rsidRPr="00751E62">
                              <w:rPr>
                                <w:rStyle w:val="SubtleEmphasis"/>
                                <w:rFonts w:cstheme="minorHAnsi"/>
                                <w:i w:val="0"/>
                                <w:iCs w:val="0"/>
                                <w:sz w:val="20"/>
                                <w:szCs w:val="20"/>
                              </w:rPr>
                              <w:t>customer feedback form</w:t>
                            </w:r>
                            <w:r w:rsidRPr="00751E62" w:rsidR="006F7A47">
                              <w:rPr>
                                <w:rStyle w:val="SubtleEmphasis"/>
                                <w:rFonts w:cstheme="minorHAnsi"/>
                                <w:i w:val="0"/>
                                <w:iCs w:val="0"/>
                                <w:sz w:val="20"/>
                                <w:szCs w:val="20"/>
                              </w:rPr>
                              <w:t>)</w:t>
                            </w:r>
                            <w:r w:rsidRPr="00751E62">
                              <w:rPr>
                                <w:rStyle w:val="SubtleEmphasis"/>
                                <w:rFonts w:cstheme="minorHAnsi"/>
                                <w:i w:val="0"/>
                                <w:iCs w:val="0"/>
                                <w:sz w:val="20"/>
                                <w:szCs w:val="20"/>
                              </w:rPr>
                              <w:t xml:space="preserve">. </w:t>
                            </w:r>
                            <w:r w:rsidRPr="00751E62" w:rsidR="006F7A47">
                              <w:rPr>
                                <w:rStyle w:val="SubtleEmphasis"/>
                                <w:rFonts w:cstheme="minorHAnsi"/>
                                <w:i w:val="0"/>
                                <w:iCs w:val="0"/>
                                <w:sz w:val="20"/>
                                <w:szCs w:val="20"/>
                              </w:rPr>
                              <w:t>The data reporting page allows for online submission of data</w:t>
                            </w:r>
                            <w:r w:rsidRPr="00751E62" w:rsidR="00FF4CCC">
                              <w:rPr>
                                <w:rStyle w:val="SubtleEmphasis"/>
                                <w:rFonts w:cstheme="minorHAnsi"/>
                                <w:i w:val="0"/>
                                <w:iCs w:val="0"/>
                                <w:sz w:val="20"/>
                                <w:szCs w:val="20"/>
                              </w:rPr>
                              <w:t>.  The customer feedback form, once completed is</w:t>
                            </w:r>
                            <w:r w:rsidRPr="00751E62">
                              <w:rPr>
                                <w:rStyle w:val="SubtleEmphasis"/>
                                <w:rFonts w:cstheme="minorHAnsi"/>
                                <w:i w:val="0"/>
                                <w:iCs w:val="0"/>
                                <w:sz w:val="20"/>
                                <w:szCs w:val="20"/>
                              </w:rPr>
                              <w:t xml:space="preserve"> to be returned to NSMBB via email.</w:t>
                            </w:r>
                          </w:p>
                          <w:p w:rsidRPr="00474673" w:rsidR="005304C5" w:rsidP="00A576F8" w:rsidRDefault="005304C5" w14:paraId="543D5308" w14:textId="77777777">
                            <w:pPr>
                              <w:pStyle w:val="ListParagraph"/>
                              <w:numPr>
                                <w:ilvl w:val="0"/>
                                <w:numId w:val="8"/>
                              </w:numPr>
                              <w:tabs>
                                <w:tab w:val="clear" w:pos="9360"/>
                              </w:tabs>
                            </w:pPr>
                            <w:r w:rsidRPr="00474673">
                              <w:rPr>
                                <w:b/>
                              </w:rPr>
                              <w:t xml:space="preserve">Respondent Universe </w:t>
                            </w:r>
                          </w:p>
                          <w:p w:rsidRPr="00E00795" w:rsidR="005304C5" w:rsidP="00A576F8" w:rsidRDefault="005304C5" w14:paraId="4FA747D3" w14:textId="1BC7B104">
                            <w:pPr>
                              <w:pStyle w:val="ListParagraph"/>
                              <w:ind w:left="360"/>
                              <w:rPr>
                                <w:rStyle w:val="SubtleEmphasis"/>
                                <w:rFonts w:cstheme="minorHAnsi"/>
                                <w:i w:val="0"/>
                                <w:iCs w:val="0"/>
                                <w:sz w:val="20"/>
                                <w:szCs w:val="20"/>
                              </w:rPr>
                            </w:pPr>
                            <w:r w:rsidRPr="00E00795">
                              <w:rPr>
                                <w:rStyle w:val="SubtleEmphasis"/>
                                <w:rFonts w:cstheme="minorHAnsi"/>
                                <w:i w:val="0"/>
                                <w:iCs w:val="0"/>
                                <w:sz w:val="20"/>
                                <w:szCs w:val="20"/>
                              </w:rPr>
                              <w:t xml:space="preserve">40 </w:t>
                            </w:r>
                            <w:r w:rsidR="00751E62">
                              <w:rPr>
                                <w:rStyle w:val="SubtleEmphasis"/>
                                <w:rFonts w:cstheme="minorHAnsi"/>
                                <w:i w:val="0"/>
                                <w:iCs w:val="0"/>
                                <w:sz w:val="20"/>
                                <w:szCs w:val="20"/>
                              </w:rPr>
                              <w:t xml:space="preserve">respondents across 40 public health departments. </w:t>
                            </w:r>
                            <w:r w:rsidRPr="00751E62" w:rsidR="00751E62">
                              <w:rPr>
                                <w:rStyle w:val="SubtleEmphasis"/>
                                <w:rFonts w:cstheme="minorHAnsi"/>
                                <w:i w:val="0"/>
                                <w:iCs w:val="0"/>
                                <w:sz w:val="20"/>
                                <w:szCs w:val="20"/>
                              </w:rPr>
                              <w:t>Respondents acting in their official capacities include clinical laboratory technologists and technicians.</w:t>
                            </w:r>
                          </w:p>
                          <w:p w:rsidRPr="00474673" w:rsidR="005304C5" w:rsidP="00A576F8" w:rsidRDefault="005304C5" w14:paraId="5F7B5566" w14:textId="77777777">
                            <w:pPr>
                              <w:pStyle w:val="ListParagraph"/>
                              <w:numPr>
                                <w:ilvl w:val="0"/>
                                <w:numId w:val="8"/>
                              </w:numPr>
                              <w:tabs>
                                <w:tab w:val="clear" w:pos="9360"/>
                              </w:tabs>
                            </w:pPr>
                            <w:r w:rsidRPr="00474673">
                              <w:rPr>
                                <w:b/>
                              </w:rPr>
                              <w:t xml:space="preserve">How data will be analyzed </w:t>
                            </w:r>
                          </w:p>
                          <w:p w:rsidRPr="00474673" w:rsidR="005304C5" w:rsidP="00A576F8" w:rsidRDefault="005304C5" w14:paraId="19880B8A" w14:textId="77777777">
                            <w:pPr>
                              <w:pStyle w:val="ListParagraph"/>
                              <w:ind w:left="360"/>
                              <w:rPr>
                                <w:rFonts w:cs="Arial"/>
                                <w:sz w:val="20"/>
                                <w:szCs w:val="20"/>
                              </w:rPr>
                            </w:pPr>
                            <w:r w:rsidRPr="00474673">
                              <w:rPr>
                                <w:rFonts w:cs="Arial"/>
                                <w:sz w:val="20"/>
                                <w:szCs w:val="20"/>
                              </w:rPr>
                              <w:t>Data analysis will involve simple as well as categorical statistics.  Individual respondents will receive an evaluation of their performance (actual versus expected outcome per PT specimen).  This evaluation will not be shared with any other participant.  All participants will receive an event summary report containing aggregate data.  The use of custom Lab IDs known only to CDC and respondent maintains confidentiality of the data.</w:t>
                            </w:r>
                          </w:p>
                          <w:p w:rsidR="005304C5" w:rsidP="00092D3F" w:rsidRDefault="005304C5" w14:paraId="688FFC13" w14:textId="1C73AF5A">
                            <w:pPr>
                              <w:ind w:left="0"/>
                            </w:pPr>
                          </w:p>
                        </w:txbxContent>
                      </wps:txbx>
                      <wps:bodyPr rot="0" vert="horz" wrap="square" lIns="91440" tIns="45720" rIns="91440" bIns="45720" anchor="t" anchorCtr="0">
                        <a:noAutofit/>
                      </wps:bodyPr>
                    </wps:wsp>
                  </a:graphicData>
                </a:graphic>
              </wp:inline>
            </w:drawing>
          </mc:Choice>
          <mc:Fallback>
            <w:pict>
              <v:shapetype id="_x0000_t202" coordsize="21600,21600" o:spt="202" path="m,l,21600r21600,l21600,xe" w14:anchorId="2DCDB37C">
                <v:stroke joinstyle="miter"/>
                <v:path gradientshapeok="t" o:connecttype="rect"/>
              </v:shapetype>
              <v:shape id="Text Box 2" style="width:485.25pt;height:397pt;visibility:visible;mso-wrap-style:square;mso-left-percent:-10001;mso-top-percent:-10001;mso-position-horizontal:absolute;mso-position-horizontal-relative:char;mso-position-vertical:absolute;mso-position-vertical-relative:line;mso-left-percent:-10001;mso-top-percent:-10001;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">
                <v:textbox>
                  <w:txbxContent>
                    <w:p w:rsidRPr="00474673" w:rsidR="005304C5" w:rsidP="00A576F8" w:rsidRDefault="005304C5" w14:paraId="744F21D9" w14:textId="77777777">
                      <w:pPr>
                        <w:pStyle w:val="ListParagraph"/>
                        <w:numPr>
                          <w:ilvl w:val="0"/>
                          <w:numId w:val="8"/>
                        </w:numPr>
                        <w:tabs>
                          <w:tab w:val="clear" w:pos="9360"/>
                        </w:tabs>
                        <w:spacing w:after="200"/>
                      </w:pPr>
                      <w:r w:rsidRPr="00474673">
                        <w:rPr>
                          <w:b/>
                        </w:rPr>
                        <w:t xml:space="preserve">Purpose of the data collection </w:t>
                      </w:r>
                    </w:p>
                    <w:p w:rsidRPr="00E00795" w:rsidR="005304C5" w:rsidP="00A576F8" w:rsidRDefault="005304C5" w14:paraId="1AD289AE" w14:textId="11522B7A">
                      <w:pPr>
                        <w:pStyle w:val="ListParagraph"/>
                        <w:ind w:left="360"/>
                        <w:rPr>
                          <w:rStyle w:val="SubtleEmphasis"/>
                          <w:rFonts w:cstheme="minorHAnsi"/>
                          <w:sz w:val="20"/>
                          <w:szCs w:val="20"/>
                        </w:rPr>
                      </w:pPr>
                      <w:r w:rsidRPr="00E00795">
                        <w:rPr>
                          <w:rStyle w:val="SubtleEmphasis"/>
                          <w:rFonts w:cstheme="minorHAnsi"/>
                          <w:i w:val="0"/>
                          <w:iCs w:val="0"/>
                          <w:sz w:val="20"/>
                          <w:szCs w:val="20"/>
                        </w:rPr>
                        <w:t>To strengthen the capacity of state public health laboratories (PHL) to incorporate screening for spinal muscular atrophy (SMA) into their newborn screening programs. CDC will assess the ability of PHL to utilize new protocols for analyzing reference blood spot samples and report data to CDC’s Newborn Screening Quality Assurance Program (NSQAP). The overall goal is to establish an SMA proficiency testing (PT) program that will support state-based efforts aiding early identification and treatment of newborns with SMA.</w:t>
                      </w:r>
                      <w:r w:rsidR="006F7A47">
                        <w:rPr>
                          <w:rStyle w:val="SubtleEmphasis"/>
                          <w:rFonts w:cstheme="minorHAnsi"/>
                          <w:i w:val="0"/>
                          <w:iCs w:val="0"/>
                          <w:sz w:val="20"/>
                          <w:szCs w:val="20"/>
                        </w:rPr>
                        <w:t xml:space="preserve">  </w:t>
                      </w:r>
                      <w:r w:rsidRPr="00751E62" w:rsidR="006F7A47">
                        <w:rPr>
                          <w:rStyle w:val="SubtleEmphasis"/>
                          <w:rFonts w:cstheme="minorHAnsi"/>
                          <w:i w:val="0"/>
                          <w:iCs w:val="0"/>
                          <w:sz w:val="20"/>
                          <w:szCs w:val="20"/>
                        </w:rPr>
                        <w:t>CDC conducted a previous survey earlier this year and this survey aims to test changes made in the data collection instrument (online reporting page versus Excel spreadsheet) based on feedback from the previous survey, thus this work is not duplicative.</w:t>
                      </w:r>
                    </w:p>
                    <w:p w:rsidRPr="00474673" w:rsidR="005304C5" w:rsidP="00A576F8" w:rsidRDefault="005304C5" w14:paraId="19F897D4" w14:textId="77777777">
                      <w:pPr>
                        <w:pStyle w:val="ListParagraph"/>
                        <w:numPr>
                          <w:ilvl w:val="0"/>
                          <w:numId w:val="8"/>
                        </w:numPr>
                        <w:tabs>
                          <w:tab w:val="clear" w:pos="9360"/>
                        </w:tabs>
                      </w:pPr>
                      <w:r w:rsidRPr="00474673">
                        <w:rPr>
                          <w:b/>
                        </w:rPr>
                        <w:t xml:space="preserve">Intended use of the resulting data </w:t>
                      </w:r>
                    </w:p>
                    <w:p w:rsidRPr="00474673" w:rsidR="005304C5" w:rsidP="00A576F8" w:rsidRDefault="005304C5" w14:paraId="70E55BA8" w14:textId="454D0B0F">
                      <w:pPr>
                        <w:tabs>
                          <w:tab w:val="clear" w:pos="9360"/>
                        </w:tabs>
                        <w:ind w:left="360"/>
                      </w:pPr>
                      <w:r w:rsidRPr="00474673">
                        <w:rPr>
                          <w:rStyle w:val="SubtleEmphasis"/>
                          <w:rFonts w:cstheme="minorHAnsi"/>
                          <w:i w:val="0"/>
                          <w:iCs w:val="0"/>
                          <w:sz w:val="20"/>
                          <w:szCs w:val="20"/>
                        </w:rPr>
                        <w:t xml:space="preserve">The </w:t>
                      </w:r>
                      <w:r w:rsidR="006F7A47">
                        <w:rPr>
                          <w:rStyle w:val="SubtleEmphasis"/>
                          <w:rFonts w:cstheme="minorHAnsi"/>
                          <w:i w:val="0"/>
                          <w:iCs w:val="0"/>
                          <w:sz w:val="20"/>
                          <w:szCs w:val="20"/>
                          <w:u w:val="single"/>
                        </w:rPr>
                        <w:t xml:space="preserve">lab data reporting </w:t>
                      </w:r>
                      <w:r w:rsidRPr="00751E62" w:rsidR="006F7A47">
                        <w:rPr>
                          <w:rStyle w:val="SubtleEmphasis"/>
                          <w:rFonts w:cstheme="minorHAnsi"/>
                          <w:i w:val="0"/>
                          <w:iCs w:val="0"/>
                          <w:sz w:val="20"/>
                          <w:szCs w:val="20"/>
                          <w:u w:val="single"/>
                        </w:rPr>
                        <w:t>page</w:t>
                      </w:r>
                      <w:r w:rsidRPr="00474673">
                        <w:rPr>
                          <w:rStyle w:val="SubtleEmphasis"/>
                          <w:rFonts w:cstheme="minorHAnsi"/>
                          <w:i w:val="0"/>
                          <w:iCs w:val="0"/>
                          <w:sz w:val="20"/>
                          <w:szCs w:val="20"/>
                        </w:rPr>
                        <w:t xml:space="preserve"> will allow CDC to assess 1) the types of lab tests used by PHL, and 2) the accuracy of SMA test results produced by PHL. The accompanying </w:t>
                      </w:r>
                      <w:r w:rsidRPr="00E00795" w:rsidR="00E00795">
                        <w:rPr>
                          <w:rStyle w:val="SubtleEmphasis"/>
                          <w:rFonts w:cstheme="minorHAnsi"/>
                          <w:i w:val="0"/>
                          <w:iCs w:val="0"/>
                          <w:sz w:val="20"/>
                          <w:szCs w:val="20"/>
                          <w:u w:val="single"/>
                        </w:rPr>
                        <w:t xml:space="preserve">feedback </w:t>
                      </w:r>
                      <w:r w:rsidRPr="00474673">
                        <w:rPr>
                          <w:rStyle w:val="SubtleEmphasis"/>
                          <w:rFonts w:cstheme="minorHAnsi"/>
                          <w:i w:val="0"/>
                          <w:iCs w:val="0"/>
                          <w:sz w:val="20"/>
                          <w:szCs w:val="20"/>
                          <w:u w:val="single"/>
                        </w:rPr>
                        <w:t>survey</w:t>
                      </w:r>
                      <w:r w:rsidRPr="00474673">
                        <w:rPr>
                          <w:rStyle w:val="SubtleEmphasis"/>
                          <w:rFonts w:cstheme="minorHAnsi"/>
                          <w:i w:val="0"/>
                          <w:iCs w:val="0"/>
                          <w:sz w:val="20"/>
                          <w:szCs w:val="20"/>
                        </w:rPr>
                        <w:t xml:space="preserve"> will allow CDC and PHL to identify opportunities for improving the DBS panel, protocols and guidance for SMA testing, or procedures for submitting SMA PT data to CDC.  All findings</w:t>
                      </w:r>
                      <w:r w:rsidRPr="00474673">
                        <w:rPr>
                          <w:rStyle w:val="SubtleEmphasis"/>
                          <w:i w:val="0"/>
                          <w:iCs w:val="0"/>
                          <w:sz w:val="20"/>
                          <w:szCs w:val="20"/>
                        </w:rPr>
                        <w:t xml:space="preserve"> will be used to improve program services and performance</w:t>
                      </w:r>
                      <w:r w:rsidR="006F7A47">
                        <w:rPr>
                          <w:rStyle w:val="SubtleEmphasis"/>
                          <w:i w:val="0"/>
                          <w:iCs w:val="0"/>
                          <w:sz w:val="20"/>
                          <w:szCs w:val="20"/>
                        </w:rPr>
                        <w:t xml:space="preserve"> </w:t>
                      </w:r>
                      <w:r w:rsidRPr="00751E62" w:rsidR="006F7A47">
                        <w:rPr>
                          <w:rStyle w:val="SubtleEmphasis"/>
                          <w:i w:val="0"/>
                          <w:iCs w:val="0"/>
                          <w:sz w:val="20"/>
                          <w:szCs w:val="20"/>
                        </w:rPr>
                        <w:t>including the feasibility of deploying an online PT reporting tool</w:t>
                      </w:r>
                      <w:r w:rsidRPr="00051C9C">
                        <w:rPr>
                          <w:rStyle w:val="SubtleEmphasis"/>
                          <w:i w:val="0"/>
                          <w:iCs w:val="0"/>
                          <w:sz w:val="20"/>
                          <w:szCs w:val="20"/>
                        </w:rPr>
                        <w:t>.</w:t>
                      </w:r>
                    </w:p>
                    <w:p w:rsidRPr="00474673" w:rsidR="005304C5" w:rsidP="00A576F8" w:rsidRDefault="005304C5" w14:paraId="29FA2C5A" w14:textId="77777777">
                      <w:pPr>
                        <w:pStyle w:val="ListParagraph"/>
                        <w:numPr>
                          <w:ilvl w:val="0"/>
                          <w:numId w:val="8"/>
                        </w:numPr>
                        <w:tabs>
                          <w:tab w:val="clear" w:pos="9360"/>
                        </w:tabs>
                      </w:pPr>
                      <w:r w:rsidRPr="00474673">
                        <w:rPr>
                          <w:b/>
                        </w:rPr>
                        <w:t xml:space="preserve">Methods to be used to collect data </w:t>
                      </w:r>
                    </w:p>
                    <w:p w:rsidRPr="00E00795" w:rsidR="005304C5" w:rsidP="00E00795" w:rsidRDefault="005304C5" w14:paraId="7D8436F5" w14:textId="64AC94A5">
                      <w:pPr>
                        <w:pStyle w:val="ListParagraph"/>
                        <w:ind w:left="360"/>
                        <w:rPr>
                          <w:rStyle w:val="SubtleEmphasis"/>
                          <w:rFonts w:cstheme="minorHAnsi"/>
                          <w:i w:val="0"/>
                          <w:iCs w:val="0"/>
                          <w:sz w:val="20"/>
                          <w:szCs w:val="20"/>
                        </w:rPr>
                      </w:pPr>
                      <w:r w:rsidRPr="00E00795">
                        <w:rPr>
                          <w:rStyle w:val="SubtleEmphasis"/>
                          <w:rFonts w:cstheme="minorHAnsi"/>
                          <w:i w:val="0"/>
                          <w:iCs w:val="0"/>
                          <w:sz w:val="20"/>
                          <w:szCs w:val="20"/>
                        </w:rPr>
                        <w:t>CDC will distribute pilot proficiency testing specimens (dried blood spots) to participating PHL along with instructions. Labs will analyze the sp</w:t>
                      </w:r>
                      <w:r w:rsidRPr="00051C9C">
                        <w:rPr>
                          <w:rStyle w:val="SubtleEmphasis"/>
                          <w:rFonts w:cstheme="minorHAnsi"/>
                          <w:i w:val="0"/>
                          <w:iCs w:val="0"/>
                          <w:sz w:val="20"/>
                          <w:szCs w:val="20"/>
                        </w:rPr>
                        <w:t xml:space="preserve">ecimens and report results to CDC. </w:t>
                      </w:r>
                      <w:r w:rsidRPr="00751E62">
                        <w:rPr>
                          <w:rStyle w:val="SubtleEmphasis"/>
                          <w:rFonts w:cstheme="minorHAnsi"/>
                          <w:i w:val="0"/>
                          <w:iCs w:val="0"/>
                          <w:sz w:val="20"/>
                          <w:szCs w:val="20"/>
                        </w:rPr>
                        <w:t>Data collection instr</w:t>
                      </w:r>
                      <w:r w:rsidRPr="00751E62" w:rsidR="006F7A47">
                        <w:rPr>
                          <w:rStyle w:val="SubtleEmphasis"/>
                          <w:rFonts w:cstheme="minorHAnsi"/>
                          <w:i w:val="0"/>
                          <w:iCs w:val="0"/>
                          <w:sz w:val="20"/>
                          <w:szCs w:val="20"/>
                        </w:rPr>
                        <w:t xml:space="preserve">uments consist of a web portal (data reporting page) and an </w:t>
                      </w:r>
                      <w:r w:rsidRPr="00751E62">
                        <w:rPr>
                          <w:rStyle w:val="SubtleEmphasis"/>
                          <w:rFonts w:cstheme="minorHAnsi"/>
                          <w:i w:val="0"/>
                          <w:iCs w:val="0"/>
                          <w:sz w:val="20"/>
                          <w:szCs w:val="20"/>
                        </w:rPr>
                        <w:t>Excel spreadsh</w:t>
                      </w:r>
                      <w:r w:rsidRPr="00751E62" w:rsidR="006F7A47">
                        <w:rPr>
                          <w:rStyle w:val="SubtleEmphasis"/>
                          <w:rFonts w:cstheme="minorHAnsi"/>
                          <w:i w:val="0"/>
                          <w:iCs w:val="0"/>
                          <w:sz w:val="20"/>
                          <w:szCs w:val="20"/>
                        </w:rPr>
                        <w:t>eet (</w:t>
                      </w:r>
                      <w:r w:rsidRPr="00751E62">
                        <w:rPr>
                          <w:rStyle w:val="SubtleEmphasis"/>
                          <w:rFonts w:cstheme="minorHAnsi"/>
                          <w:i w:val="0"/>
                          <w:iCs w:val="0"/>
                          <w:sz w:val="20"/>
                          <w:szCs w:val="20"/>
                        </w:rPr>
                        <w:t>customer feedback form</w:t>
                      </w:r>
                      <w:r w:rsidRPr="00751E62" w:rsidR="006F7A47">
                        <w:rPr>
                          <w:rStyle w:val="SubtleEmphasis"/>
                          <w:rFonts w:cstheme="minorHAnsi"/>
                          <w:i w:val="0"/>
                          <w:iCs w:val="0"/>
                          <w:sz w:val="20"/>
                          <w:szCs w:val="20"/>
                        </w:rPr>
                        <w:t>)</w:t>
                      </w:r>
                      <w:r w:rsidRPr="00751E62">
                        <w:rPr>
                          <w:rStyle w:val="SubtleEmphasis"/>
                          <w:rFonts w:cstheme="minorHAnsi"/>
                          <w:i w:val="0"/>
                          <w:iCs w:val="0"/>
                          <w:sz w:val="20"/>
                          <w:szCs w:val="20"/>
                        </w:rPr>
                        <w:t xml:space="preserve">. </w:t>
                      </w:r>
                      <w:r w:rsidRPr="00751E62" w:rsidR="006F7A47">
                        <w:rPr>
                          <w:rStyle w:val="SubtleEmphasis"/>
                          <w:rFonts w:cstheme="minorHAnsi"/>
                          <w:i w:val="0"/>
                          <w:iCs w:val="0"/>
                          <w:sz w:val="20"/>
                          <w:szCs w:val="20"/>
                        </w:rPr>
                        <w:t>The data reporting page allows for online submission of data</w:t>
                      </w:r>
                      <w:r w:rsidRPr="00751E62" w:rsidR="00FF4CCC">
                        <w:rPr>
                          <w:rStyle w:val="SubtleEmphasis"/>
                          <w:rFonts w:cstheme="minorHAnsi"/>
                          <w:i w:val="0"/>
                          <w:iCs w:val="0"/>
                          <w:sz w:val="20"/>
                          <w:szCs w:val="20"/>
                        </w:rPr>
                        <w:t>.  The customer feedback form, once completed is</w:t>
                      </w:r>
                      <w:r w:rsidRPr="00751E62">
                        <w:rPr>
                          <w:rStyle w:val="SubtleEmphasis"/>
                          <w:rFonts w:cstheme="minorHAnsi"/>
                          <w:i w:val="0"/>
                          <w:iCs w:val="0"/>
                          <w:sz w:val="20"/>
                          <w:szCs w:val="20"/>
                        </w:rPr>
                        <w:t xml:space="preserve"> to be returned to NSMBB via email.</w:t>
                      </w:r>
                    </w:p>
                    <w:p w:rsidRPr="00474673" w:rsidR="005304C5" w:rsidP="00A576F8" w:rsidRDefault="005304C5" w14:paraId="543D5308" w14:textId="77777777">
                      <w:pPr>
                        <w:pStyle w:val="ListParagraph"/>
                        <w:numPr>
                          <w:ilvl w:val="0"/>
                          <w:numId w:val="8"/>
                        </w:numPr>
                        <w:tabs>
                          <w:tab w:val="clear" w:pos="9360"/>
                        </w:tabs>
                      </w:pPr>
                      <w:r w:rsidRPr="00474673">
                        <w:rPr>
                          <w:b/>
                        </w:rPr>
                        <w:t xml:space="preserve">Respondent Universe </w:t>
                      </w:r>
                    </w:p>
                    <w:p w:rsidRPr="00E00795" w:rsidR="005304C5" w:rsidP="00A576F8" w:rsidRDefault="005304C5" w14:paraId="4FA747D3" w14:textId="1BC7B104">
                      <w:pPr>
                        <w:pStyle w:val="ListParagraph"/>
                        <w:ind w:left="360"/>
                        <w:rPr>
                          <w:rStyle w:val="SubtleEmphasis"/>
                          <w:rFonts w:cstheme="minorHAnsi"/>
                          <w:i w:val="0"/>
                          <w:iCs w:val="0"/>
                          <w:sz w:val="20"/>
                          <w:szCs w:val="20"/>
                        </w:rPr>
                      </w:pPr>
                      <w:r w:rsidRPr="00E00795">
                        <w:rPr>
                          <w:rStyle w:val="SubtleEmphasis"/>
                          <w:rFonts w:cstheme="minorHAnsi"/>
                          <w:i w:val="0"/>
                          <w:iCs w:val="0"/>
                          <w:sz w:val="20"/>
                          <w:szCs w:val="20"/>
                        </w:rPr>
                        <w:t xml:space="preserve">40 </w:t>
                      </w:r>
                      <w:r w:rsidR="00751E62">
                        <w:rPr>
                          <w:rStyle w:val="SubtleEmphasis"/>
                          <w:rFonts w:cstheme="minorHAnsi"/>
                          <w:i w:val="0"/>
                          <w:iCs w:val="0"/>
                          <w:sz w:val="20"/>
                          <w:szCs w:val="20"/>
                        </w:rPr>
                        <w:t xml:space="preserve">respondents across 40 public health departments. </w:t>
                      </w:r>
                      <w:r w:rsidRPr="00751E62" w:rsidR="00751E62">
                        <w:rPr>
                          <w:rStyle w:val="SubtleEmphasis"/>
                          <w:rFonts w:cstheme="minorHAnsi"/>
                          <w:i w:val="0"/>
                          <w:iCs w:val="0"/>
                          <w:sz w:val="20"/>
                          <w:szCs w:val="20"/>
                        </w:rPr>
                        <w:t>Respondents acting in their official capacities include clinical laboratory technologists and technicians.</w:t>
                      </w:r>
                    </w:p>
                    <w:p w:rsidRPr="00474673" w:rsidR="005304C5" w:rsidP="00A576F8" w:rsidRDefault="005304C5" w14:paraId="5F7B5566" w14:textId="77777777">
                      <w:pPr>
                        <w:pStyle w:val="ListParagraph"/>
                        <w:numPr>
                          <w:ilvl w:val="0"/>
                          <w:numId w:val="8"/>
                        </w:numPr>
                        <w:tabs>
                          <w:tab w:val="clear" w:pos="9360"/>
                        </w:tabs>
                      </w:pPr>
                      <w:r w:rsidRPr="00474673">
                        <w:rPr>
                          <w:b/>
                        </w:rPr>
                        <w:t xml:space="preserve">How data will be analyzed </w:t>
                      </w:r>
                    </w:p>
                    <w:p w:rsidRPr="00474673" w:rsidR="005304C5" w:rsidP="00A576F8" w:rsidRDefault="005304C5" w14:paraId="19880B8A" w14:textId="77777777">
                      <w:pPr>
                        <w:pStyle w:val="ListParagraph"/>
                        <w:ind w:left="360"/>
                        <w:rPr>
                          <w:rFonts w:cs="Arial"/>
                          <w:sz w:val="20"/>
                          <w:szCs w:val="20"/>
                        </w:rPr>
                      </w:pPr>
                      <w:r w:rsidRPr="00474673">
                        <w:rPr>
                          <w:rFonts w:cs="Arial"/>
                          <w:sz w:val="20"/>
                          <w:szCs w:val="20"/>
                        </w:rPr>
                        <w:t>Data analysis will involve simple as well as categorical statistics.  Individual respondents will receive an evaluation of their performance (actual versus expected outcome per PT specimen).  This evaluation will not be shared with any other participant.  All participants will receive an event summary report containing aggregate data.  The use of custom Lab IDs known only to CDC and respondent maintains confidentiality of the data.</w:t>
                      </w:r>
                    </w:p>
                    <w:p w:rsidR="005304C5" w:rsidP="00092D3F" w:rsidRDefault="005304C5" w14:paraId="688FFC13" w14:textId="1C73AF5A">
                      <w:pPr>
                        <w:ind w:left="0"/>
                      </w:pPr>
                    </w:p>
                  </w:txbxContent>
                </v:textbox>
                <w10:anchorlock/>
              </v:shape>
            </w:pict>
          </mc:Fallback>
        </mc:AlternateContent>
      </w:r>
      <w:bookmarkEnd w:id="1"/>
      <w:bookmarkEnd w:id="2"/>
    </w:p>
    <w:p w:rsidRPr="00C73BF6" w:rsidR="00487937" w:rsidP="00CA5840" w:rsidRDefault="00487937" w14:paraId="49F95F2A" w14:textId="77777777">
      <w:pPr>
        <w:pStyle w:val="Heading3"/>
        <w:ind w:left="0"/>
      </w:pPr>
    </w:p>
    <w:p w:rsidRPr="00C73BF6" w:rsidR="00CD1EA8" w:rsidP="00CA5840" w:rsidRDefault="00CD1EA8" w14:paraId="7EC4A446" w14:textId="77777777">
      <w:pPr>
        <w:pStyle w:val="Heading3"/>
        <w:ind w:left="0"/>
      </w:pPr>
      <w:bookmarkStart w:name="_Toc427752813" w:id="3"/>
      <w:r w:rsidRPr="00C73BF6">
        <w:t>Section A</w:t>
      </w:r>
      <w:r w:rsidRPr="00C73BF6" w:rsidR="00B12F51">
        <w:t xml:space="preserve"> – Justification</w:t>
      </w:r>
      <w:bookmarkEnd w:id="3"/>
    </w:p>
    <w:p w:rsidRPr="00C73BF6" w:rsidR="00B12F51" w:rsidP="007D6163" w:rsidRDefault="00B12F51" w14:paraId="58DEFF59" w14:textId="77777777"/>
    <w:p w:rsidRPr="00C73BF6" w:rsidR="00CD1EA8" w:rsidP="00692DEB" w:rsidRDefault="00B12F51" w14:paraId="7DF6E526" w14:textId="77777777">
      <w:pPr>
        <w:pStyle w:val="Heading4"/>
      </w:pPr>
      <w:bookmarkStart w:name="_Toc427752814" w:id="4"/>
      <w:r w:rsidRPr="00C73BF6">
        <w:t>Circumstances Making the Collection of Information Necessary</w:t>
      </w:r>
      <w:bookmarkEnd w:id="4"/>
    </w:p>
    <w:p w:rsidRPr="00C73BF6" w:rsidR="00E33E1B" w:rsidP="007B7C44" w:rsidRDefault="00E33E1B" w14:paraId="03C1F19F" w14:textId="77777777">
      <w:pPr>
        <w:pStyle w:val="Heading5"/>
        <w:spacing w:after="120"/>
        <w:ind w:left="360"/>
      </w:pPr>
      <w:r w:rsidRPr="00C73BF6">
        <w:t>Background</w:t>
      </w:r>
    </w:p>
    <w:p w:rsidRPr="00C73BF6" w:rsidR="0019164D" w:rsidP="007B7C44" w:rsidRDefault="002929D3" w14:paraId="425F1C54" w14:textId="40E974A2">
      <w:pPr>
        <w:ind w:left="360"/>
      </w:pPr>
      <w:r w:rsidRPr="00C73BF6">
        <w:t xml:space="preserve">This information collection is being conducted using OMB No. 0920-0879 “Information Collections to Advance State, Tribal, Local and Territorial Governmental Agency System Performance, Capacity, and Program Delivery” nicknamed the “CSTLTS Generic.” </w:t>
      </w:r>
      <w:r w:rsidRPr="00C73BF6" w:rsidR="009252DC">
        <w:t xml:space="preserve">The respondent universe for this </w:t>
      </w:r>
      <w:r w:rsidRPr="00C73BF6" w:rsidR="00157413">
        <w:t xml:space="preserve">information collection aligns with that of the </w:t>
      </w:r>
      <w:r w:rsidRPr="00C73BF6" w:rsidR="00614CAE">
        <w:t>CSTLTS Generic</w:t>
      </w:r>
      <w:r w:rsidRPr="00C73BF6" w:rsidR="00157413">
        <w:t>.</w:t>
      </w:r>
      <w:r w:rsidRPr="00C73BF6" w:rsidR="009252DC">
        <w:t xml:space="preserve"> </w:t>
      </w:r>
      <w:r w:rsidRPr="00C73BF6" w:rsidR="0019164D">
        <w:t xml:space="preserve">Data will be collected from </w:t>
      </w:r>
      <w:r w:rsidRPr="00C73BF6" w:rsidR="008B12FA">
        <w:t xml:space="preserve">a total of </w:t>
      </w:r>
      <w:r w:rsidRPr="00C73BF6" w:rsidR="004B26A0">
        <w:t>40</w:t>
      </w:r>
      <w:r w:rsidRPr="00C73BF6" w:rsidR="00364C68">
        <w:t xml:space="preserve"> respondent</w:t>
      </w:r>
      <w:r w:rsidRPr="00C73BF6" w:rsidR="00B4083A">
        <w:t>s</w:t>
      </w:r>
      <w:r w:rsidRPr="00C73BF6" w:rsidR="0019164D">
        <w:t xml:space="preserve"> across</w:t>
      </w:r>
      <w:r w:rsidRPr="00C73BF6" w:rsidR="001E7537">
        <w:t xml:space="preserve"> </w:t>
      </w:r>
      <w:r w:rsidRPr="00C73BF6" w:rsidR="00364C68">
        <w:t xml:space="preserve">40 </w:t>
      </w:r>
      <w:r w:rsidRPr="00C73BF6" w:rsidR="00B4083A">
        <w:t>public</w:t>
      </w:r>
      <w:r w:rsidRPr="00C73BF6" w:rsidR="00364C68">
        <w:t xml:space="preserve"> </w:t>
      </w:r>
      <w:r w:rsidRPr="00C73BF6" w:rsidR="001E7537">
        <w:t>health departments</w:t>
      </w:r>
      <w:r w:rsidRPr="00C73BF6" w:rsidR="0019164D">
        <w:t>.</w:t>
      </w:r>
      <w:r w:rsidRPr="00C73BF6" w:rsidR="008B12FA">
        <w:t xml:space="preserve"> Respondents</w:t>
      </w:r>
      <w:r w:rsidRPr="00C73BF6" w:rsidR="00751E62">
        <w:t xml:space="preserve"> </w:t>
      </w:r>
      <w:r w:rsidRPr="00C73BF6" w:rsidR="008B12FA">
        <w:t>acting in their official capacities include</w:t>
      </w:r>
      <w:r w:rsidRPr="00C73BF6" w:rsidR="00F81E56">
        <w:t xml:space="preserve"> clinical laboratory technologists and </w:t>
      </w:r>
      <w:r w:rsidRPr="00C73BF6" w:rsidR="00474673">
        <w:t>technicians.</w:t>
      </w:r>
      <w:r w:rsidRPr="00C73BF6" w:rsidR="00613BCF">
        <w:t xml:space="preserve"> </w:t>
      </w:r>
    </w:p>
    <w:p w:rsidRPr="00C73BF6" w:rsidR="009252DC" w:rsidP="007B7C44" w:rsidRDefault="009252DC" w14:paraId="55CEABDD" w14:textId="77777777">
      <w:pPr>
        <w:ind w:left="1080"/>
      </w:pPr>
    </w:p>
    <w:p w:rsidRPr="00C73BF6" w:rsidR="001E7537" w:rsidP="007B7C44" w:rsidRDefault="00350C8C" w14:paraId="74A425F5" w14:textId="37BEAF5A">
      <w:pPr>
        <w:ind w:left="360"/>
        <w:rPr>
          <w:i/>
          <w:iCs/>
        </w:rPr>
      </w:pPr>
      <w:r w:rsidRPr="00C73BF6">
        <w:t xml:space="preserve">This </w:t>
      </w:r>
      <w:r w:rsidRPr="00C73BF6" w:rsidR="00157413">
        <w:t>information collection</w:t>
      </w:r>
      <w:r w:rsidRPr="00C73BF6">
        <w:t xml:space="preserve"> is authorized by Section 301 of the Public Health Service Act (42 U.S.C. 241).</w:t>
      </w:r>
      <w:r w:rsidRPr="00C73BF6" w:rsidR="001E7537">
        <w:t xml:space="preserve"> </w:t>
      </w:r>
      <w:r w:rsidRPr="00C73BF6" w:rsidR="001E7537">
        <w:rPr>
          <w:iCs/>
        </w:rPr>
        <w:t xml:space="preserve">This information collection falls under the essential public health service(s) of </w:t>
      </w:r>
    </w:p>
    <w:p w:rsidRPr="00C73BF6" w:rsidR="004A71E9" w:rsidP="004A71E9" w:rsidRDefault="004A71E9" w14:paraId="453756E1" w14:textId="77777777">
      <w:pPr>
        <w:ind w:left="360"/>
      </w:pPr>
      <w:r w:rsidRPr="00C73BF6">
        <w:rPr>
          <w:rFonts w:ascii="Shruti" w:hAnsi="Shruti" w:eastAsia="Times New Roman" w:cs="Shruti"/>
          <w:sz w:val="16"/>
          <w:szCs w:val="14"/>
        </w:rPr>
        <w:lastRenderedPageBreak/>
        <w:fldChar w:fldCharType="begin">
          <w:ffData>
            <w:name w:val=""/>
            <w:enabled/>
            <w:calcOnExit w:val="0"/>
            <w:checkBox>
              <w:sizeAuto/>
              <w:default w:val="0"/>
            </w:checkBox>
          </w:ffData>
        </w:fldChar>
      </w:r>
      <w:r w:rsidRPr="00C73BF6">
        <w:rPr>
          <w:rFonts w:ascii="Shruti" w:hAnsi="Shruti" w:eastAsia="Times New Roman" w:cs="Shruti"/>
          <w:sz w:val="16"/>
          <w:szCs w:val="14"/>
        </w:rPr>
        <w:instrText xml:space="preserve"> FORMCHECKBOX </w:instrText>
      </w:r>
      <w:r w:rsidRPr="00C73BF6" w:rsidR="00C73BF6">
        <w:rPr>
          <w:rFonts w:ascii="Shruti" w:hAnsi="Shruti" w:eastAsia="Times New Roman" w:cs="Shruti"/>
          <w:sz w:val="16"/>
          <w:szCs w:val="14"/>
        </w:rPr>
      </w:r>
      <w:r w:rsidRPr="00C73BF6" w:rsidR="00C73BF6">
        <w:rPr>
          <w:rFonts w:ascii="Shruti" w:hAnsi="Shruti" w:eastAsia="Times New Roman" w:cs="Shruti"/>
          <w:sz w:val="16"/>
          <w:szCs w:val="14"/>
        </w:rPr>
        <w:fldChar w:fldCharType="separate"/>
      </w:r>
      <w:r w:rsidRPr="00C73BF6">
        <w:rPr>
          <w:rFonts w:ascii="Shruti" w:hAnsi="Shruti" w:eastAsia="Times New Roman" w:cs="Shruti"/>
          <w:sz w:val="16"/>
          <w:szCs w:val="14"/>
        </w:rPr>
        <w:fldChar w:fldCharType="end"/>
      </w:r>
      <w:r w:rsidRPr="00C73BF6">
        <w:rPr>
          <w:rFonts w:ascii="Shruti" w:hAnsi="Shruti" w:eastAsia="Times New Roman" w:cs="Shruti"/>
          <w:sz w:val="16"/>
          <w:szCs w:val="14"/>
        </w:rPr>
        <w:t xml:space="preserve"> </w:t>
      </w:r>
      <w:r w:rsidRPr="00C73BF6">
        <w:t>1. Assess and monitor population health status, factors that influence health, and community needs and assets</w:t>
      </w:r>
    </w:p>
    <w:p w:rsidRPr="00C73BF6" w:rsidR="004A71E9" w:rsidP="004A71E9" w:rsidRDefault="004A71E9" w14:paraId="770CBEDE" w14:textId="67AB08C8">
      <w:pPr>
        <w:ind w:left="360"/>
      </w:pPr>
      <w:r w:rsidRPr="00C73BF6">
        <w:rPr>
          <w:rFonts w:ascii="Shruti" w:hAnsi="Shruti" w:eastAsia="Times New Roman" w:cs="Shruti"/>
          <w:sz w:val="16"/>
          <w:szCs w:val="14"/>
        </w:rPr>
        <w:fldChar w:fldCharType="begin">
          <w:ffData>
            <w:name w:val=""/>
            <w:enabled/>
            <w:calcOnExit w:val="0"/>
            <w:checkBox>
              <w:sizeAuto/>
              <w:default w:val="1"/>
            </w:checkBox>
          </w:ffData>
        </w:fldChar>
      </w:r>
      <w:r w:rsidRPr="00C73BF6">
        <w:rPr>
          <w:rFonts w:ascii="Shruti" w:hAnsi="Shruti" w:eastAsia="Times New Roman" w:cs="Shruti"/>
          <w:sz w:val="16"/>
          <w:szCs w:val="14"/>
        </w:rPr>
        <w:instrText xml:space="preserve"> FORMCHECKBOX </w:instrText>
      </w:r>
      <w:r w:rsidRPr="00C73BF6" w:rsidR="00C73BF6">
        <w:rPr>
          <w:rFonts w:ascii="Shruti" w:hAnsi="Shruti" w:eastAsia="Times New Roman" w:cs="Shruti"/>
          <w:sz w:val="16"/>
          <w:szCs w:val="14"/>
        </w:rPr>
      </w:r>
      <w:r w:rsidRPr="00C73BF6" w:rsidR="00C73BF6">
        <w:rPr>
          <w:rFonts w:ascii="Shruti" w:hAnsi="Shruti" w:eastAsia="Times New Roman" w:cs="Shruti"/>
          <w:sz w:val="16"/>
          <w:szCs w:val="14"/>
        </w:rPr>
        <w:fldChar w:fldCharType="separate"/>
      </w:r>
      <w:r w:rsidRPr="00C73BF6">
        <w:rPr>
          <w:rFonts w:ascii="Shruti" w:hAnsi="Shruti" w:eastAsia="Times New Roman" w:cs="Shruti"/>
          <w:sz w:val="16"/>
          <w:szCs w:val="14"/>
        </w:rPr>
        <w:fldChar w:fldCharType="end"/>
      </w:r>
      <w:r w:rsidRPr="00C73BF6">
        <w:rPr>
          <w:rFonts w:ascii="Shruti" w:hAnsi="Shruti" w:eastAsia="Times New Roman" w:cs="Shruti"/>
          <w:sz w:val="16"/>
          <w:szCs w:val="14"/>
        </w:rPr>
        <w:t xml:space="preserve"> </w:t>
      </w:r>
      <w:r w:rsidRPr="00C73BF6">
        <w:t>2. Investigate, diagnose, and address health problems and hazards affecting the population</w:t>
      </w:r>
    </w:p>
    <w:p w:rsidRPr="00C73BF6" w:rsidR="004A71E9" w:rsidP="004A71E9" w:rsidRDefault="004A71E9" w14:paraId="3F032F47" w14:textId="77777777">
      <w:pPr>
        <w:ind w:left="360"/>
      </w:pPr>
      <w:r w:rsidRPr="00C73BF6">
        <w:rPr>
          <w:rFonts w:ascii="Shruti" w:hAnsi="Shruti" w:eastAsia="Times New Roman" w:cs="Shruti"/>
          <w:sz w:val="16"/>
          <w:szCs w:val="14"/>
        </w:rPr>
        <w:fldChar w:fldCharType="begin">
          <w:ffData>
            <w:name w:val="Check25"/>
            <w:enabled/>
            <w:calcOnExit w:val="0"/>
            <w:checkBox>
              <w:sizeAuto/>
              <w:default w:val="0"/>
            </w:checkBox>
          </w:ffData>
        </w:fldChar>
      </w:r>
      <w:r w:rsidRPr="00C73BF6">
        <w:rPr>
          <w:rFonts w:ascii="Shruti" w:hAnsi="Shruti" w:eastAsia="Times New Roman" w:cs="Shruti"/>
          <w:sz w:val="16"/>
          <w:szCs w:val="14"/>
        </w:rPr>
        <w:instrText xml:space="preserve"> FORMCHECKBOX </w:instrText>
      </w:r>
      <w:r w:rsidRPr="00C73BF6" w:rsidR="00C73BF6">
        <w:rPr>
          <w:rFonts w:ascii="Shruti" w:hAnsi="Shruti" w:eastAsia="Times New Roman" w:cs="Shruti"/>
          <w:sz w:val="16"/>
          <w:szCs w:val="14"/>
        </w:rPr>
      </w:r>
      <w:r w:rsidRPr="00C73BF6" w:rsidR="00C73BF6">
        <w:rPr>
          <w:rFonts w:ascii="Shruti" w:hAnsi="Shruti" w:eastAsia="Times New Roman" w:cs="Shruti"/>
          <w:sz w:val="16"/>
          <w:szCs w:val="14"/>
        </w:rPr>
        <w:fldChar w:fldCharType="separate"/>
      </w:r>
      <w:r w:rsidRPr="00C73BF6">
        <w:rPr>
          <w:rFonts w:ascii="Shruti" w:hAnsi="Shruti" w:eastAsia="Times New Roman" w:cs="Shruti"/>
          <w:sz w:val="16"/>
          <w:szCs w:val="14"/>
        </w:rPr>
        <w:fldChar w:fldCharType="end"/>
      </w:r>
      <w:r w:rsidRPr="00C73BF6">
        <w:rPr>
          <w:rFonts w:ascii="Shruti" w:hAnsi="Shruti" w:eastAsia="Times New Roman" w:cs="Shruti"/>
          <w:sz w:val="16"/>
          <w:szCs w:val="14"/>
        </w:rPr>
        <w:t xml:space="preserve"> </w:t>
      </w:r>
      <w:r w:rsidRPr="00C73BF6">
        <w:t>3. Communicate effectively to inform and educate people about health, factors that influence it, and how to improve it</w:t>
      </w:r>
    </w:p>
    <w:p w:rsidRPr="00C73BF6" w:rsidR="004A71E9" w:rsidP="004A71E9" w:rsidRDefault="004A71E9" w14:paraId="78398E88" w14:textId="1611EAB6">
      <w:pPr>
        <w:ind w:left="360"/>
      </w:pPr>
      <w:r w:rsidRPr="00C73BF6">
        <w:rPr>
          <w:rFonts w:ascii="Shruti" w:hAnsi="Shruti" w:eastAsia="Times New Roman" w:cs="Shruti"/>
          <w:sz w:val="16"/>
          <w:szCs w:val="14"/>
        </w:rPr>
        <w:fldChar w:fldCharType="begin">
          <w:ffData>
            <w:name w:val=""/>
            <w:enabled/>
            <w:calcOnExit w:val="0"/>
            <w:checkBox>
              <w:sizeAuto/>
              <w:default w:val="0"/>
            </w:checkBox>
          </w:ffData>
        </w:fldChar>
      </w:r>
      <w:r w:rsidRPr="00C73BF6">
        <w:rPr>
          <w:rFonts w:ascii="Shruti" w:hAnsi="Shruti" w:eastAsia="Times New Roman" w:cs="Shruti"/>
          <w:sz w:val="16"/>
          <w:szCs w:val="14"/>
        </w:rPr>
        <w:instrText xml:space="preserve"> FORMCHECKBOX </w:instrText>
      </w:r>
      <w:r w:rsidRPr="00C73BF6" w:rsidR="00C73BF6">
        <w:rPr>
          <w:rFonts w:ascii="Shruti" w:hAnsi="Shruti" w:eastAsia="Times New Roman" w:cs="Shruti"/>
          <w:sz w:val="16"/>
          <w:szCs w:val="14"/>
        </w:rPr>
      </w:r>
      <w:r w:rsidRPr="00C73BF6" w:rsidR="00C73BF6">
        <w:rPr>
          <w:rFonts w:ascii="Shruti" w:hAnsi="Shruti" w:eastAsia="Times New Roman" w:cs="Shruti"/>
          <w:sz w:val="16"/>
          <w:szCs w:val="14"/>
        </w:rPr>
        <w:fldChar w:fldCharType="separate"/>
      </w:r>
      <w:r w:rsidRPr="00C73BF6">
        <w:rPr>
          <w:rFonts w:ascii="Shruti" w:hAnsi="Shruti" w:eastAsia="Times New Roman" w:cs="Shruti"/>
          <w:sz w:val="16"/>
          <w:szCs w:val="14"/>
        </w:rPr>
        <w:fldChar w:fldCharType="end"/>
      </w:r>
      <w:r w:rsidRPr="00C73BF6">
        <w:rPr>
          <w:rFonts w:ascii="Shruti" w:hAnsi="Shruti" w:eastAsia="Times New Roman" w:cs="Shruti"/>
          <w:sz w:val="16"/>
          <w:szCs w:val="14"/>
        </w:rPr>
        <w:t xml:space="preserve"> </w:t>
      </w:r>
      <w:r w:rsidRPr="00C73BF6">
        <w:t>4. Strengthen, support, and mobilize communities and partnerships to improve health</w:t>
      </w:r>
    </w:p>
    <w:p w:rsidRPr="00C73BF6" w:rsidR="004A71E9" w:rsidP="004A71E9" w:rsidRDefault="004A71E9" w14:paraId="531DEC25" w14:textId="77777777">
      <w:pPr>
        <w:ind w:left="360"/>
      </w:pPr>
      <w:r w:rsidRPr="00C73BF6">
        <w:rPr>
          <w:rFonts w:ascii="Shruti" w:hAnsi="Shruti" w:eastAsia="Times New Roman" w:cs="Shruti"/>
          <w:sz w:val="16"/>
          <w:szCs w:val="14"/>
        </w:rPr>
        <w:fldChar w:fldCharType="begin">
          <w:ffData>
            <w:name w:val="Check25"/>
            <w:enabled/>
            <w:calcOnExit w:val="0"/>
            <w:checkBox>
              <w:sizeAuto/>
              <w:default w:val="0"/>
            </w:checkBox>
          </w:ffData>
        </w:fldChar>
      </w:r>
      <w:r w:rsidRPr="00C73BF6">
        <w:rPr>
          <w:rFonts w:ascii="Shruti" w:hAnsi="Shruti" w:eastAsia="Times New Roman" w:cs="Shruti"/>
          <w:sz w:val="16"/>
          <w:szCs w:val="14"/>
        </w:rPr>
        <w:instrText xml:space="preserve"> FORMCHECKBOX </w:instrText>
      </w:r>
      <w:r w:rsidRPr="00C73BF6" w:rsidR="00C73BF6">
        <w:rPr>
          <w:rFonts w:ascii="Shruti" w:hAnsi="Shruti" w:eastAsia="Times New Roman" w:cs="Shruti"/>
          <w:sz w:val="16"/>
          <w:szCs w:val="14"/>
        </w:rPr>
      </w:r>
      <w:r w:rsidRPr="00C73BF6" w:rsidR="00C73BF6">
        <w:rPr>
          <w:rFonts w:ascii="Shruti" w:hAnsi="Shruti" w:eastAsia="Times New Roman" w:cs="Shruti"/>
          <w:sz w:val="16"/>
          <w:szCs w:val="14"/>
        </w:rPr>
        <w:fldChar w:fldCharType="separate"/>
      </w:r>
      <w:r w:rsidRPr="00C73BF6">
        <w:rPr>
          <w:rFonts w:ascii="Shruti" w:hAnsi="Shruti" w:eastAsia="Times New Roman" w:cs="Shruti"/>
          <w:sz w:val="16"/>
          <w:szCs w:val="14"/>
        </w:rPr>
        <w:fldChar w:fldCharType="end"/>
      </w:r>
      <w:r w:rsidRPr="00C73BF6">
        <w:rPr>
          <w:rFonts w:ascii="Shruti" w:hAnsi="Shruti" w:eastAsia="Times New Roman" w:cs="Shruti"/>
          <w:sz w:val="16"/>
          <w:szCs w:val="14"/>
        </w:rPr>
        <w:t xml:space="preserve"> </w:t>
      </w:r>
      <w:r w:rsidRPr="00C73BF6">
        <w:t>5. Create, champion, and implement policies, plans, and laws that impact health</w:t>
      </w:r>
    </w:p>
    <w:p w:rsidRPr="00C73BF6" w:rsidR="004A71E9" w:rsidP="004A71E9" w:rsidRDefault="004A71E9" w14:paraId="3DF92148" w14:textId="77777777">
      <w:pPr>
        <w:ind w:left="360"/>
      </w:pPr>
      <w:r w:rsidRPr="00C73BF6">
        <w:rPr>
          <w:rFonts w:ascii="Shruti" w:hAnsi="Shruti" w:eastAsia="Times New Roman" w:cs="Shruti"/>
          <w:sz w:val="16"/>
          <w:szCs w:val="14"/>
        </w:rPr>
        <w:fldChar w:fldCharType="begin">
          <w:ffData>
            <w:name w:val="Check25"/>
            <w:enabled/>
            <w:calcOnExit w:val="0"/>
            <w:checkBox>
              <w:sizeAuto/>
              <w:default w:val="0"/>
            </w:checkBox>
          </w:ffData>
        </w:fldChar>
      </w:r>
      <w:r w:rsidRPr="00C73BF6">
        <w:rPr>
          <w:rFonts w:ascii="Shruti" w:hAnsi="Shruti" w:eastAsia="Times New Roman" w:cs="Shruti"/>
          <w:sz w:val="16"/>
          <w:szCs w:val="14"/>
        </w:rPr>
        <w:instrText xml:space="preserve"> FORMCHECKBOX </w:instrText>
      </w:r>
      <w:r w:rsidRPr="00C73BF6" w:rsidR="00C73BF6">
        <w:rPr>
          <w:rFonts w:ascii="Shruti" w:hAnsi="Shruti" w:eastAsia="Times New Roman" w:cs="Shruti"/>
          <w:sz w:val="16"/>
          <w:szCs w:val="14"/>
        </w:rPr>
      </w:r>
      <w:r w:rsidRPr="00C73BF6" w:rsidR="00C73BF6">
        <w:rPr>
          <w:rFonts w:ascii="Shruti" w:hAnsi="Shruti" w:eastAsia="Times New Roman" w:cs="Shruti"/>
          <w:sz w:val="16"/>
          <w:szCs w:val="14"/>
        </w:rPr>
        <w:fldChar w:fldCharType="separate"/>
      </w:r>
      <w:r w:rsidRPr="00C73BF6">
        <w:rPr>
          <w:rFonts w:ascii="Shruti" w:hAnsi="Shruti" w:eastAsia="Times New Roman" w:cs="Shruti"/>
          <w:sz w:val="16"/>
          <w:szCs w:val="14"/>
        </w:rPr>
        <w:fldChar w:fldCharType="end"/>
      </w:r>
      <w:r w:rsidRPr="00C73BF6">
        <w:rPr>
          <w:rFonts w:ascii="Shruti" w:hAnsi="Shruti" w:eastAsia="Times New Roman" w:cs="Shruti"/>
          <w:sz w:val="16"/>
          <w:szCs w:val="14"/>
        </w:rPr>
        <w:t xml:space="preserve"> </w:t>
      </w:r>
      <w:r w:rsidRPr="00C73BF6">
        <w:t>6. Utilize legal and regulatory actions designed to improve and protect the public’s health</w:t>
      </w:r>
    </w:p>
    <w:p w:rsidRPr="00C73BF6" w:rsidR="004A71E9" w:rsidP="004A71E9" w:rsidRDefault="004A71E9" w14:paraId="197E98D5" w14:textId="77777777">
      <w:pPr>
        <w:ind w:left="360"/>
      </w:pPr>
      <w:r w:rsidRPr="00C73BF6">
        <w:rPr>
          <w:rFonts w:ascii="Shruti" w:hAnsi="Shruti" w:eastAsia="Times New Roman" w:cs="Shruti"/>
          <w:sz w:val="16"/>
          <w:szCs w:val="14"/>
        </w:rPr>
        <w:fldChar w:fldCharType="begin">
          <w:ffData>
            <w:name w:val="Check25"/>
            <w:enabled/>
            <w:calcOnExit w:val="0"/>
            <w:checkBox>
              <w:sizeAuto/>
              <w:default w:val="0"/>
            </w:checkBox>
          </w:ffData>
        </w:fldChar>
      </w:r>
      <w:r w:rsidRPr="00C73BF6">
        <w:rPr>
          <w:rFonts w:ascii="Shruti" w:hAnsi="Shruti" w:eastAsia="Times New Roman" w:cs="Shruti"/>
          <w:sz w:val="16"/>
          <w:szCs w:val="14"/>
        </w:rPr>
        <w:instrText xml:space="preserve"> FORMCHECKBOX </w:instrText>
      </w:r>
      <w:r w:rsidRPr="00C73BF6" w:rsidR="00C73BF6">
        <w:rPr>
          <w:rFonts w:ascii="Shruti" w:hAnsi="Shruti" w:eastAsia="Times New Roman" w:cs="Shruti"/>
          <w:sz w:val="16"/>
          <w:szCs w:val="14"/>
        </w:rPr>
      </w:r>
      <w:r w:rsidRPr="00C73BF6" w:rsidR="00C73BF6">
        <w:rPr>
          <w:rFonts w:ascii="Shruti" w:hAnsi="Shruti" w:eastAsia="Times New Roman" w:cs="Shruti"/>
          <w:sz w:val="16"/>
          <w:szCs w:val="14"/>
        </w:rPr>
        <w:fldChar w:fldCharType="separate"/>
      </w:r>
      <w:r w:rsidRPr="00C73BF6">
        <w:rPr>
          <w:rFonts w:ascii="Shruti" w:hAnsi="Shruti" w:eastAsia="Times New Roman" w:cs="Shruti"/>
          <w:sz w:val="16"/>
          <w:szCs w:val="14"/>
        </w:rPr>
        <w:fldChar w:fldCharType="end"/>
      </w:r>
      <w:r w:rsidRPr="00C73BF6">
        <w:rPr>
          <w:rFonts w:ascii="Shruti" w:hAnsi="Shruti" w:eastAsia="Times New Roman" w:cs="Shruti"/>
          <w:sz w:val="16"/>
          <w:szCs w:val="14"/>
        </w:rPr>
        <w:t xml:space="preserve"> </w:t>
      </w:r>
      <w:r w:rsidRPr="00C73BF6">
        <w:t>7. Assure an effective system that enables equitable access to the individual services and care needed to be healthy</w:t>
      </w:r>
    </w:p>
    <w:p w:rsidRPr="00C73BF6" w:rsidR="004A71E9" w:rsidP="004A71E9" w:rsidRDefault="004A71E9" w14:paraId="28B9D668" w14:textId="5E695DAD">
      <w:pPr>
        <w:ind w:left="360"/>
      </w:pPr>
      <w:r w:rsidRPr="00C73BF6">
        <w:rPr>
          <w:rFonts w:ascii="Shruti" w:hAnsi="Shruti" w:eastAsia="Times New Roman" w:cs="Shruti"/>
          <w:sz w:val="16"/>
          <w:szCs w:val="14"/>
        </w:rPr>
        <w:fldChar w:fldCharType="begin">
          <w:ffData>
            <w:name w:val=""/>
            <w:enabled/>
            <w:calcOnExit w:val="0"/>
            <w:checkBox>
              <w:sizeAuto/>
              <w:default w:val="1"/>
            </w:checkBox>
          </w:ffData>
        </w:fldChar>
      </w:r>
      <w:r w:rsidRPr="00C73BF6">
        <w:rPr>
          <w:rFonts w:ascii="Shruti" w:hAnsi="Shruti" w:eastAsia="Times New Roman" w:cs="Shruti"/>
          <w:sz w:val="16"/>
          <w:szCs w:val="14"/>
        </w:rPr>
        <w:instrText xml:space="preserve"> FORMCHECKBOX </w:instrText>
      </w:r>
      <w:r w:rsidRPr="00C73BF6" w:rsidR="00C73BF6">
        <w:rPr>
          <w:rFonts w:ascii="Shruti" w:hAnsi="Shruti" w:eastAsia="Times New Roman" w:cs="Shruti"/>
          <w:sz w:val="16"/>
          <w:szCs w:val="14"/>
        </w:rPr>
      </w:r>
      <w:r w:rsidRPr="00C73BF6" w:rsidR="00C73BF6">
        <w:rPr>
          <w:rFonts w:ascii="Shruti" w:hAnsi="Shruti" w:eastAsia="Times New Roman" w:cs="Shruti"/>
          <w:sz w:val="16"/>
          <w:szCs w:val="14"/>
        </w:rPr>
        <w:fldChar w:fldCharType="separate"/>
      </w:r>
      <w:r w:rsidRPr="00C73BF6">
        <w:rPr>
          <w:rFonts w:ascii="Shruti" w:hAnsi="Shruti" w:eastAsia="Times New Roman" w:cs="Shruti"/>
          <w:sz w:val="16"/>
          <w:szCs w:val="14"/>
        </w:rPr>
        <w:fldChar w:fldCharType="end"/>
      </w:r>
      <w:r w:rsidRPr="00C73BF6">
        <w:rPr>
          <w:rFonts w:ascii="Shruti" w:hAnsi="Shruti" w:eastAsia="Times New Roman" w:cs="Shruti"/>
          <w:sz w:val="16"/>
          <w:szCs w:val="14"/>
        </w:rPr>
        <w:t xml:space="preserve"> </w:t>
      </w:r>
      <w:r w:rsidRPr="00C73BF6">
        <w:t>8. Build and support a diverse and skilled public health workforce</w:t>
      </w:r>
    </w:p>
    <w:p w:rsidRPr="00C73BF6" w:rsidR="004A71E9" w:rsidP="004A71E9" w:rsidRDefault="004A71E9" w14:paraId="7C632201" w14:textId="2FA77CEB">
      <w:pPr>
        <w:ind w:left="360"/>
      </w:pPr>
      <w:r w:rsidRPr="00C73BF6">
        <w:rPr>
          <w:rFonts w:ascii="Shruti" w:hAnsi="Shruti" w:eastAsia="Times New Roman" w:cs="Shruti"/>
          <w:sz w:val="16"/>
          <w:szCs w:val="14"/>
        </w:rPr>
        <w:fldChar w:fldCharType="begin">
          <w:ffData>
            <w:name w:val=""/>
            <w:enabled/>
            <w:calcOnExit w:val="0"/>
            <w:checkBox>
              <w:sizeAuto/>
              <w:default w:val="0"/>
            </w:checkBox>
          </w:ffData>
        </w:fldChar>
      </w:r>
      <w:r w:rsidRPr="00C73BF6">
        <w:rPr>
          <w:rFonts w:ascii="Shruti" w:hAnsi="Shruti" w:eastAsia="Times New Roman" w:cs="Shruti"/>
          <w:sz w:val="16"/>
          <w:szCs w:val="14"/>
        </w:rPr>
        <w:instrText xml:space="preserve"> FORMCHECKBOX </w:instrText>
      </w:r>
      <w:r w:rsidRPr="00C73BF6" w:rsidR="00C73BF6">
        <w:rPr>
          <w:rFonts w:ascii="Shruti" w:hAnsi="Shruti" w:eastAsia="Times New Roman" w:cs="Shruti"/>
          <w:sz w:val="16"/>
          <w:szCs w:val="14"/>
        </w:rPr>
      </w:r>
      <w:r w:rsidRPr="00C73BF6" w:rsidR="00C73BF6">
        <w:rPr>
          <w:rFonts w:ascii="Shruti" w:hAnsi="Shruti" w:eastAsia="Times New Roman" w:cs="Shruti"/>
          <w:sz w:val="16"/>
          <w:szCs w:val="14"/>
        </w:rPr>
        <w:fldChar w:fldCharType="separate"/>
      </w:r>
      <w:r w:rsidRPr="00C73BF6">
        <w:rPr>
          <w:rFonts w:ascii="Shruti" w:hAnsi="Shruti" w:eastAsia="Times New Roman" w:cs="Shruti"/>
          <w:sz w:val="16"/>
          <w:szCs w:val="14"/>
        </w:rPr>
        <w:fldChar w:fldCharType="end"/>
      </w:r>
      <w:r w:rsidRPr="00C73BF6">
        <w:rPr>
          <w:rFonts w:ascii="Shruti" w:hAnsi="Shruti" w:eastAsia="Times New Roman" w:cs="Shruti"/>
          <w:sz w:val="16"/>
          <w:szCs w:val="14"/>
        </w:rPr>
        <w:t xml:space="preserve"> </w:t>
      </w:r>
      <w:r w:rsidRPr="00C73BF6">
        <w:t>9. Improve and innovate public health functions through ongoing evaluation, research, and continuous quality improvement</w:t>
      </w:r>
    </w:p>
    <w:p w:rsidRPr="00C73BF6" w:rsidR="004A71E9" w:rsidP="004A71E9" w:rsidRDefault="004A71E9" w14:paraId="021C727C" w14:textId="77777777">
      <w:pPr>
        <w:ind w:left="360"/>
        <w:rPr>
          <w:iCs/>
          <w:vertAlign w:val="superscript"/>
        </w:rPr>
      </w:pPr>
      <w:r w:rsidRPr="00C73BF6">
        <w:rPr>
          <w:rFonts w:ascii="Shruti" w:hAnsi="Shruti" w:eastAsia="Times New Roman" w:cs="Shruti"/>
          <w:sz w:val="16"/>
          <w:szCs w:val="14"/>
        </w:rPr>
        <w:fldChar w:fldCharType="begin">
          <w:ffData>
            <w:name w:val=""/>
            <w:enabled/>
            <w:calcOnExit w:val="0"/>
            <w:checkBox>
              <w:sizeAuto/>
              <w:default w:val="0"/>
            </w:checkBox>
          </w:ffData>
        </w:fldChar>
      </w:r>
      <w:r w:rsidRPr="00C73BF6">
        <w:rPr>
          <w:rFonts w:ascii="Shruti" w:hAnsi="Shruti" w:eastAsia="Times New Roman" w:cs="Shruti"/>
          <w:sz w:val="16"/>
          <w:szCs w:val="14"/>
        </w:rPr>
        <w:instrText xml:space="preserve"> FORMCHECKBOX </w:instrText>
      </w:r>
      <w:r w:rsidRPr="00C73BF6" w:rsidR="00C73BF6">
        <w:rPr>
          <w:rFonts w:ascii="Shruti" w:hAnsi="Shruti" w:eastAsia="Times New Roman" w:cs="Shruti"/>
          <w:sz w:val="16"/>
          <w:szCs w:val="14"/>
        </w:rPr>
      </w:r>
      <w:r w:rsidRPr="00C73BF6" w:rsidR="00C73BF6">
        <w:rPr>
          <w:rFonts w:ascii="Shruti" w:hAnsi="Shruti" w:eastAsia="Times New Roman" w:cs="Shruti"/>
          <w:sz w:val="16"/>
          <w:szCs w:val="14"/>
        </w:rPr>
        <w:fldChar w:fldCharType="separate"/>
      </w:r>
      <w:r w:rsidRPr="00C73BF6">
        <w:rPr>
          <w:rFonts w:ascii="Shruti" w:hAnsi="Shruti" w:eastAsia="Times New Roman" w:cs="Shruti"/>
          <w:sz w:val="16"/>
          <w:szCs w:val="14"/>
        </w:rPr>
        <w:fldChar w:fldCharType="end"/>
      </w:r>
      <w:r w:rsidRPr="00C73BF6">
        <w:rPr>
          <w:rFonts w:ascii="Shruti" w:hAnsi="Shruti" w:eastAsia="Times New Roman" w:cs="Shruti"/>
          <w:sz w:val="16"/>
          <w:szCs w:val="14"/>
        </w:rPr>
        <w:t xml:space="preserve"> </w:t>
      </w:r>
      <w:r w:rsidRPr="00C73BF6">
        <w:t>10. Build and maintain a strong organizational infrastructure for public health</w:t>
      </w:r>
      <w:r w:rsidRPr="00C73BF6">
        <w:rPr>
          <w:iCs/>
          <w:vertAlign w:val="superscript"/>
        </w:rPr>
        <w:t>1</w:t>
      </w:r>
    </w:p>
    <w:p w:rsidRPr="00C73BF6" w:rsidR="004A71E9" w:rsidP="00EA3A4A" w:rsidRDefault="004A71E9" w14:paraId="03B80227" w14:textId="77777777">
      <w:pPr>
        <w:ind w:left="0"/>
        <w:rPr>
          <w:iCs/>
          <w:vertAlign w:val="superscript"/>
        </w:rPr>
      </w:pPr>
    </w:p>
    <w:p w:rsidRPr="00C73BF6" w:rsidR="008E6358" w:rsidP="008E6358" w:rsidRDefault="008E6358" w14:paraId="7CB3077E" w14:textId="7B3360E9">
      <w:pPr>
        <w:ind w:left="-360"/>
        <w:rPr>
          <w:iCs/>
          <w:vertAlign w:val="superscript"/>
        </w:rPr>
      </w:pPr>
    </w:p>
    <w:p w:rsidRPr="00C73BF6" w:rsidR="008E6358" w:rsidP="008E6358" w:rsidRDefault="008E6358" w14:paraId="5EECD695" w14:textId="242E7B61">
      <w:pPr>
        <w:ind w:left="360"/>
        <w:rPr>
          <w:rFonts w:ascii="Cambria" w:hAnsi="Cambria" w:cstheme="minorHAnsi"/>
        </w:rPr>
      </w:pPr>
      <w:r w:rsidRPr="00C73BF6">
        <w:rPr>
          <w:rFonts w:ascii="Cambria" w:hAnsi="Cambria" w:cstheme="minorHAnsi"/>
          <w:lang w:val="en"/>
        </w:rPr>
        <w:t>Spinal muscular atrophy (SMA) is a genetic disorder that affects motor neurons in the spinal cord and causes progressive muscle degeneration.</w:t>
      </w:r>
      <w:r w:rsidRPr="00C73BF6">
        <w:rPr>
          <w:rFonts w:ascii="Cambria" w:hAnsi="Cambria" w:cstheme="minorHAnsi"/>
        </w:rPr>
        <w:t xml:space="preserve"> Infants born with infantile or type 1 SMA become incapacitated and typically die within 2 to 4 years of life.  However, if SMA is diagnosed and treated prior to onset of symptoms with an FDA approved drug, children with Type 1 SMA can avoid severe, deleterious effects of the disease and may retain the ability to live relatively normal lives. Newborn screening for SMA allows for early detection of affected infants that may appear normal at birth and early treatment can halt irreversible neuronal damage. In 2018, SMA was added by the HHS Secretary to the recommended uniform screening panel (RUSP) for newborn screening and a number of domestic public health programs have begun routine screening. It is expected that all U.S. newborn screening laboratories will adopt SMA screening in the next few years. </w:t>
      </w:r>
    </w:p>
    <w:p w:rsidRPr="00C73BF6" w:rsidR="008E6358" w:rsidP="008E6358" w:rsidRDefault="008E6358" w14:paraId="263FEE43" w14:textId="77777777">
      <w:pPr>
        <w:ind w:left="-360"/>
        <w:rPr>
          <w:rFonts w:ascii="Cambria" w:hAnsi="Cambria" w:cstheme="minorHAnsi"/>
        </w:rPr>
      </w:pPr>
    </w:p>
    <w:p w:rsidRPr="00C73BF6" w:rsidR="008E6358" w:rsidP="008E6358" w:rsidRDefault="008E6358" w14:paraId="3EF0EF91" w14:textId="7DA458C0">
      <w:pPr>
        <w:ind w:left="360"/>
        <w:rPr>
          <w:rFonts w:ascii="Cambria" w:hAnsi="Cambria" w:cstheme="minorHAnsi"/>
        </w:rPr>
      </w:pPr>
      <w:r w:rsidRPr="00C73BF6">
        <w:rPr>
          <w:rFonts w:ascii="Cambria" w:hAnsi="Cambria" w:cstheme="minorHAnsi"/>
        </w:rPr>
        <w:t>The Newborn Screening Saves Lives Reauthorization Act (P.L 113 - 240) mandates that CDC provide quality assurance to newborn screening state labs and in addition provide “quality control and other performance test material.”  Proficiency testing (PT) is an integral component of a robust quality assurance program. During proficiency testing, a lab conducts blinded analysis of reference specimens of known diagnosis. The lab’s findings are then assessed for accuracy. Public health programs rely on PT challenges conducted by CDC to comply with their clinical testing regulatory requirements (e.g. CLIA).</w:t>
      </w:r>
    </w:p>
    <w:p w:rsidRPr="00C73BF6" w:rsidR="008E6358" w:rsidP="008E6358" w:rsidRDefault="008E6358" w14:paraId="24EDCAD8" w14:textId="77777777">
      <w:pPr>
        <w:ind w:left="360"/>
        <w:rPr>
          <w:rFonts w:ascii="Cambria" w:hAnsi="Cambria" w:cstheme="minorHAnsi"/>
        </w:rPr>
      </w:pPr>
    </w:p>
    <w:p w:rsidRPr="00C73BF6" w:rsidR="00613BCF" w:rsidP="009A3BE7" w:rsidRDefault="008E6358" w14:paraId="21583259" w14:textId="3EB608A7">
      <w:pPr>
        <w:ind w:left="360"/>
        <w:rPr>
          <w:rFonts w:ascii="Cambria" w:hAnsi="Cambria"/>
        </w:rPr>
      </w:pPr>
      <w:r w:rsidRPr="00C73BF6">
        <w:rPr>
          <w:rFonts w:ascii="Cambria" w:hAnsi="Cambria" w:cstheme="minorHAnsi"/>
        </w:rPr>
        <w:t xml:space="preserve">CDC’s Newborn Screening and Molecular Biology Branch (NSMBB), a unit within the Division of Laboratory Sciences, is responsible for meeting the mandate of the Newborn Screening Saves Lives Reauthorization Act. The NSMBB’s Newborn Screening Quality Assurance Program (NSQAP) has developed reference dried blood spot samples (DBS) </w:t>
      </w:r>
      <w:r w:rsidRPr="00C73BF6">
        <w:rPr>
          <w:rFonts w:ascii="Cambria" w:hAnsi="Cambria"/>
        </w:rPr>
        <w:t>and will develop guidance for assays to detect SM</w:t>
      </w:r>
      <w:r w:rsidRPr="00C73BF6" w:rsidR="009A3BE7">
        <w:rPr>
          <w:rFonts w:ascii="Cambria" w:hAnsi="Cambria"/>
        </w:rPr>
        <w:t xml:space="preserve">A. </w:t>
      </w:r>
    </w:p>
    <w:p w:rsidRPr="00C73BF6" w:rsidR="00CD5887" w:rsidP="00CD5887" w:rsidRDefault="001E0A87" w14:paraId="1B19765B" w14:textId="33CACFC5">
      <w:pPr>
        <w:pStyle w:val="ListParagraph"/>
        <w:ind w:left="360"/>
        <w:rPr>
          <w:rStyle w:val="SubtleEmphasis"/>
          <w:rFonts w:ascii="Cambria" w:hAnsi="Cambria"/>
          <w:i w:val="0"/>
          <w:iCs w:val="0"/>
          <w:color w:val="auto"/>
        </w:rPr>
      </w:pPr>
      <w:r w:rsidRPr="00C73BF6">
        <w:rPr>
          <w:rStyle w:val="SubtleEmphasis"/>
          <w:i w:val="0"/>
          <w:iCs w:val="0"/>
          <w:color w:val="auto"/>
        </w:rPr>
        <w:lastRenderedPageBreak/>
        <w:t xml:space="preserve">The purpose of this project is to provide 40 state public health labs the opportunity to test newly developed spinal muscular atrophy (SMA) quality assurance products and provide CDC’s Newborn Screening Quality Assurance Program (NSQAP) with feedback (including results and raw data) associated with the proficiency testing (PT) </w:t>
      </w:r>
      <w:r w:rsidRPr="00C73BF6" w:rsidR="00675C8B">
        <w:rPr>
          <w:rStyle w:val="SubtleEmphasis"/>
          <w:i w:val="0"/>
          <w:iCs w:val="0"/>
          <w:color w:val="auto"/>
        </w:rPr>
        <w:t xml:space="preserve">online </w:t>
      </w:r>
      <w:r w:rsidRPr="00C73BF6">
        <w:rPr>
          <w:rStyle w:val="SubtleEmphasis"/>
          <w:i w:val="0"/>
          <w:iCs w:val="0"/>
          <w:color w:val="auto"/>
        </w:rPr>
        <w:t xml:space="preserve">reporting </w:t>
      </w:r>
      <w:r w:rsidRPr="00C73BF6" w:rsidR="00675C8B">
        <w:rPr>
          <w:rStyle w:val="SubtleEmphasis"/>
          <w:i w:val="0"/>
          <w:iCs w:val="0"/>
          <w:color w:val="auto"/>
        </w:rPr>
        <w:t>form</w:t>
      </w:r>
      <w:r w:rsidRPr="00C73BF6">
        <w:rPr>
          <w:rStyle w:val="SubtleEmphasis"/>
          <w:i w:val="0"/>
          <w:iCs w:val="0"/>
          <w:color w:val="auto"/>
        </w:rPr>
        <w:t xml:space="preserve"> (see </w:t>
      </w:r>
      <w:r w:rsidRPr="00C73BF6">
        <w:rPr>
          <w:rStyle w:val="SubtleEmphasis"/>
          <w:b/>
          <w:bCs/>
          <w:i w:val="0"/>
          <w:iCs w:val="0"/>
          <w:color w:val="auto"/>
        </w:rPr>
        <w:t xml:space="preserve">Attachment A – </w:t>
      </w:r>
      <w:r w:rsidRPr="00C73BF6" w:rsidR="008C7DE3">
        <w:rPr>
          <w:rFonts w:ascii="Cambria" w:hAnsi="Cambria"/>
          <w:b/>
        </w:rPr>
        <w:t xml:space="preserve">Pilot </w:t>
      </w:r>
      <w:r w:rsidRPr="00C73BF6" w:rsidR="00BB1ED4">
        <w:rPr>
          <w:rFonts w:ascii="Cambria" w:hAnsi="Cambria"/>
          <w:b/>
        </w:rPr>
        <w:t>Online Data Collectio</w:t>
      </w:r>
      <w:r w:rsidRPr="00C73BF6" w:rsidR="00ED6DB3">
        <w:rPr>
          <w:rFonts w:ascii="Cambria" w:hAnsi="Cambria"/>
          <w:b/>
        </w:rPr>
        <w:t xml:space="preserve">n for SMA PT Screenshot of </w:t>
      </w:r>
      <w:r w:rsidRPr="00C73BF6" w:rsidR="00BB1ED4">
        <w:rPr>
          <w:rFonts w:ascii="Cambria" w:hAnsi="Cambria"/>
          <w:b/>
        </w:rPr>
        <w:t>Reporting Page</w:t>
      </w:r>
      <w:r w:rsidRPr="00C73BF6">
        <w:rPr>
          <w:rStyle w:val="SubtleEmphasis"/>
          <w:i w:val="0"/>
          <w:iCs w:val="0"/>
          <w:color w:val="auto"/>
        </w:rPr>
        <w:t xml:space="preserve">) and PT materials tested so that CDC can evaluate its readiness to offer SMA PT </w:t>
      </w:r>
      <w:r w:rsidRPr="00C73BF6" w:rsidR="00EB7019">
        <w:rPr>
          <w:rStyle w:val="SubtleEmphasis"/>
          <w:i w:val="0"/>
          <w:iCs w:val="0"/>
          <w:color w:val="auto"/>
        </w:rPr>
        <w:t>as a service to its more than 45</w:t>
      </w:r>
      <w:r w:rsidRPr="00C73BF6">
        <w:rPr>
          <w:rStyle w:val="SubtleEmphasis"/>
          <w:i w:val="0"/>
          <w:iCs w:val="0"/>
          <w:color w:val="auto"/>
        </w:rPr>
        <w:t>0 enrolled labs.</w:t>
      </w:r>
      <w:r w:rsidRPr="00C73BF6" w:rsidR="00CD5887">
        <w:rPr>
          <w:rStyle w:val="SubtleEmphasis"/>
          <w:i w:val="0"/>
          <w:iCs w:val="0"/>
          <w:color w:val="auto"/>
        </w:rPr>
        <w:t xml:space="preserve"> </w:t>
      </w:r>
    </w:p>
    <w:p w:rsidRPr="00C73BF6" w:rsidR="001E0A87" w:rsidP="00CD5887" w:rsidRDefault="001E0A87" w14:paraId="6FD3E593" w14:textId="44522AE7">
      <w:pPr>
        <w:ind w:left="0"/>
        <w:rPr>
          <w:rStyle w:val="SubtleEmphasis"/>
          <w:i w:val="0"/>
          <w:iCs w:val="0"/>
          <w:color w:val="auto"/>
        </w:rPr>
      </w:pPr>
    </w:p>
    <w:p w:rsidRPr="00C73BF6" w:rsidR="00B33334" w:rsidP="00B33334" w:rsidRDefault="00B33334" w14:paraId="2A663B59" w14:textId="0DB704E6">
      <w:pPr>
        <w:ind w:left="360"/>
        <w:rPr>
          <w:rStyle w:val="SubtleEmphasis"/>
          <w:i w:val="0"/>
          <w:iCs w:val="0"/>
          <w:color w:val="auto"/>
        </w:rPr>
      </w:pPr>
      <w:r w:rsidRPr="00C73BF6">
        <w:rPr>
          <w:rStyle w:val="SubtleEmphasis"/>
          <w:i w:val="0"/>
          <w:iCs w:val="0"/>
          <w:color w:val="auto"/>
        </w:rPr>
        <w:t xml:space="preserve">CDC’s NSQAP intends to analyze this feedback and make any necessary changes to the planned PT program if warranted by the feedback. The testing data submitted using the Pilot SMA PT Online Data Reporting Form (see </w:t>
      </w:r>
      <w:r w:rsidRPr="00C73BF6" w:rsidR="00961CF2">
        <w:rPr>
          <w:rStyle w:val="SubtleEmphasis"/>
          <w:b/>
          <w:bCs/>
          <w:i w:val="0"/>
          <w:iCs w:val="0"/>
          <w:color w:val="auto"/>
        </w:rPr>
        <w:t xml:space="preserve">Attachment A – </w:t>
      </w:r>
      <w:r w:rsidRPr="00C73BF6" w:rsidR="00961CF2">
        <w:rPr>
          <w:rFonts w:ascii="Cambria" w:hAnsi="Cambria"/>
          <w:b/>
        </w:rPr>
        <w:t>Pilot Online Data Collection for SMA PT Screenshot of Reporting Page</w:t>
      </w:r>
      <w:r w:rsidRPr="00C73BF6">
        <w:rPr>
          <w:rStyle w:val="SubtleEmphasis"/>
          <w:i w:val="0"/>
          <w:iCs w:val="0"/>
          <w:color w:val="auto"/>
        </w:rPr>
        <w:t>) will be analyzed by CDC and used to generate example PHL evaluations as well as an event summary for distribution to respondents. Data collected will not be used for publication.</w:t>
      </w:r>
    </w:p>
    <w:p w:rsidRPr="00C73BF6" w:rsidR="00B33334" w:rsidP="001E0A87" w:rsidRDefault="00B33334" w14:paraId="1F44B87C" w14:textId="77777777">
      <w:pPr>
        <w:ind w:left="360"/>
        <w:rPr>
          <w:rStyle w:val="SubtleEmphasis"/>
          <w:i w:val="0"/>
          <w:iCs w:val="0"/>
          <w:color w:val="auto"/>
        </w:rPr>
      </w:pPr>
    </w:p>
    <w:p w:rsidRPr="00C73BF6" w:rsidR="00A35DB1" w:rsidP="00A62C98" w:rsidRDefault="00A35DB1" w14:paraId="51768643" w14:textId="77777777">
      <w:pPr>
        <w:ind w:left="360"/>
      </w:pPr>
      <w:r w:rsidRPr="00C73BF6">
        <w:t xml:space="preserve">A similar collection received approval through the 0920-0879 mechanism on 6/17/2020. The purpose of this study was </w:t>
      </w:r>
      <w:r w:rsidRPr="00C73BF6">
        <w:rPr>
          <w:rStyle w:val="SubtleEmphasis"/>
          <w:rFonts w:cstheme="minorHAnsi"/>
          <w:i w:val="0"/>
          <w:color w:val="auto"/>
        </w:rPr>
        <w:t xml:space="preserve">to assess the ability of PHLs to utilize new protocols for analyzing reference blood spot samples and report data to CDC’s Newborn Screening Quality Assurance Program (NSQAP). </w:t>
      </w:r>
      <w:r w:rsidRPr="00C73BF6">
        <w:t>Results of that study uncovered a need for further piloting, specifically modernization of the data collection instrument. As a result, the data collection instrument for this study was designed, an online data reporting page for submission of PT results in place of email submission of completed Excel spreadsheets.  It is anticipated that this modernization will reduce the burden on respondents.  The feedback form was also modified to solicit feedback on the online reporting process and the overall experience. The program plans to incorporate this round of additional feedback into a final version of the instrument, at which point, we will seek OMB approval via a full information collection request.</w:t>
      </w:r>
    </w:p>
    <w:p w:rsidRPr="00C73BF6" w:rsidR="00613BCF" w:rsidP="00A62C98" w:rsidRDefault="00613BCF" w14:paraId="4F9051DA" w14:textId="77777777">
      <w:pPr>
        <w:ind w:left="360"/>
      </w:pPr>
    </w:p>
    <w:p w:rsidRPr="00C73BF6" w:rsidR="00376290" w:rsidP="00376290" w:rsidRDefault="006102DA" w14:paraId="43143E28" w14:textId="1B973539">
      <w:pPr>
        <w:pStyle w:val="Heading5"/>
        <w:spacing w:after="120"/>
        <w:ind w:left="360"/>
      </w:pPr>
      <w:r w:rsidRPr="00C73BF6">
        <w:t xml:space="preserve">Overview of the </w:t>
      </w:r>
      <w:r w:rsidRPr="00C73BF6" w:rsidR="007F5776">
        <w:t>Information C</w:t>
      </w:r>
      <w:r w:rsidRPr="00C73BF6" w:rsidR="00157413">
        <w:t>ollection</w:t>
      </w:r>
      <w:r w:rsidRPr="00C73BF6">
        <w:t xml:space="preserve"> System</w:t>
      </w:r>
      <w:r w:rsidRPr="00C73BF6" w:rsidR="00151567">
        <w:t xml:space="preserve"> </w:t>
      </w:r>
    </w:p>
    <w:p w:rsidRPr="00C73BF6" w:rsidR="003651C5" w:rsidP="008B65FF" w:rsidRDefault="003651C5" w14:paraId="6653D19B" w14:textId="77777777">
      <w:pPr>
        <w:ind w:left="360"/>
      </w:pPr>
    </w:p>
    <w:p w:rsidRPr="00C73BF6" w:rsidR="00BD3702" w:rsidP="00BD3702" w:rsidRDefault="00BD3702" w14:paraId="2798BC83" w14:textId="71C553F0">
      <w:pPr>
        <w:ind w:left="360"/>
      </w:pPr>
      <w:r w:rsidRPr="00C73BF6">
        <w:t xml:space="preserve">Data will be collected from </w:t>
      </w:r>
      <w:r w:rsidRPr="00C73BF6" w:rsidR="0036004E">
        <w:t xml:space="preserve">up to </w:t>
      </w:r>
      <w:r w:rsidRPr="00C73BF6">
        <w:t xml:space="preserve">40 state public health labs via </w:t>
      </w:r>
      <w:r w:rsidRPr="00C73BF6" w:rsidR="0076068B">
        <w:t>an online reporting site for PT data (</w:t>
      </w:r>
      <w:r w:rsidRPr="00C73BF6" w:rsidR="0076068B">
        <w:rPr>
          <w:bCs/>
        </w:rPr>
        <w:t>see</w:t>
      </w:r>
      <w:r w:rsidRPr="00C73BF6" w:rsidR="0076068B">
        <w:t xml:space="preserve"> </w:t>
      </w:r>
      <w:r w:rsidRPr="00C73BF6" w:rsidR="0076068B">
        <w:rPr>
          <w:b/>
        </w:rPr>
        <w:t>Attachment A</w:t>
      </w:r>
      <w:r w:rsidRPr="00C73BF6" w:rsidR="00BB1ED4">
        <w:rPr>
          <w:b/>
          <w:bCs/>
        </w:rPr>
        <w:t xml:space="preserve"> - </w:t>
      </w:r>
      <w:r w:rsidRPr="00C73BF6" w:rsidR="00ED6DB3">
        <w:rPr>
          <w:rFonts w:ascii="Cambria" w:hAnsi="Cambria"/>
          <w:b/>
        </w:rPr>
        <w:t>Pilot Online Data Collection for SMA PT Screenshot of Reporting Page</w:t>
      </w:r>
      <w:r w:rsidRPr="00C73BF6" w:rsidR="0076068B">
        <w:rPr>
          <w:bCs/>
        </w:rPr>
        <w:t>) and via</w:t>
      </w:r>
      <w:r w:rsidRPr="00C73BF6" w:rsidR="0076068B">
        <w:rPr>
          <w:b/>
          <w:bCs/>
        </w:rPr>
        <w:t xml:space="preserve"> </w:t>
      </w:r>
      <w:r w:rsidRPr="00C73BF6">
        <w:t>email of</w:t>
      </w:r>
      <w:r w:rsidRPr="00C73BF6" w:rsidR="0076068B">
        <w:t xml:space="preserve"> an electronic spreadsheet</w:t>
      </w:r>
      <w:r w:rsidRPr="00C73BF6">
        <w:t xml:space="preserve"> (</w:t>
      </w:r>
      <w:r w:rsidRPr="00C73BF6">
        <w:rPr>
          <w:bCs/>
        </w:rPr>
        <w:t>see</w:t>
      </w:r>
      <w:r w:rsidRPr="00C73BF6">
        <w:t xml:space="preserve"> </w:t>
      </w:r>
      <w:r w:rsidRPr="00C73BF6">
        <w:rPr>
          <w:b/>
          <w:bCs/>
        </w:rPr>
        <w:t xml:space="preserve">Attachment B – </w:t>
      </w:r>
      <w:r w:rsidRPr="00C73BF6" w:rsidR="008C7DE3">
        <w:rPr>
          <w:rFonts w:ascii="Cambria" w:hAnsi="Cambria"/>
          <w:b/>
        </w:rPr>
        <w:t>Pilot</w:t>
      </w:r>
      <w:r w:rsidRPr="00C73BF6" w:rsidR="00213296">
        <w:rPr>
          <w:rFonts w:ascii="Cambria" w:hAnsi="Cambria"/>
          <w:b/>
        </w:rPr>
        <w:t xml:space="preserve"> Online Data Collection for SMA PT Feedback Form</w:t>
      </w:r>
      <w:r w:rsidRPr="00C73BF6">
        <w:t xml:space="preserve">). </w:t>
      </w:r>
      <w:r w:rsidRPr="00C73BF6" w:rsidR="00837229">
        <w:rPr>
          <w:rStyle w:val="SubtleEmphasis"/>
          <w:rFonts w:ascii="Cambria" w:hAnsi="Cambria"/>
          <w:i w:val="0"/>
          <w:iCs w:val="0"/>
          <w:color w:val="auto"/>
        </w:rPr>
        <w:t xml:space="preserve">These 40 state public health labs have contacted CDC in the past 15 months inquiring about a SMA proficiency testing (PT) service, and thus will be invited to participate in the assessment. </w:t>
      </w:r>
      <w:r w:rsidRPr="00C73BF6">
        <w:t>These instrument</w:t>
      </w:r>
      <w:r w:rsidRPr="00C73BF6" w:rsidR="005304C5">
        <w:t>s</w:t>
      </w:r>
      <w:r w:rsidRPr="00C73BF6">
        <w:t xml:space="preserve"> will be used to gather information from public health labs regarding </w:t>
      </w:r>
      <w:r w:rsidRPr="00C73BF6" w:rsidR="0036004E">
        <w:t xml:space="preserve">test results demonstrating </w:t>
      </w:r>
      <w:r w:rsidRPr="00C73BF6">
        <w:t xml:space="preserve">the utility of SMA PT materials </w:t>
      </w:r>
      <w:r w:rsidRPr="00C73BF6" w:rsidR="0036004E">
        <w:t xml:space="preserve">aimed at improving the quality of testing </w:t>
      </w:r>
      <w:r w:rsidRPr="00C73BF6">
        <w:t>and the ease of</w:t>
      </w:r>
      <w:r w:rsidRPr="00C73BF6" w:rsidR="0076068B">
        <w:t xml:space="preserve"> use of the data collection site</w:t>
      </w:r>
      <w:r w:rsidRPr="00C73BF6">
        <w:t xml:space="preserve">. </w:t>
      </w:r>
    </w:p>
    <w:p w:rsidRPr="00C73BF6" w:rsidR="00DC2AD2" w:rsidP="008B65FF" w:rsidRDefault="00DC2AD2" w14:paraId="1021FC3D" w14:textId="77777777">
      <w:pPr>
        <w:ind w:left="360"/>
      </w:pPr>
    </w:p>
    <w:p w:rsidRPr="00C73BF6" w:rsidR="00272E3E" w:rsidP="00383542" w:rsidRDefault="00692DEB" w14:paraId="1BDDAD80" w14:textId="52857F2F">
      <w:pPr>
        <w:ind w:left="360"/>
      </w:pPr>
      <w:r w:rsidRPr="00C73BF6">
        <w:t>The information collection instrument</w:t>
      </w:r>
      <w:r w:rsidRPr="00C73BF6" w:rsidR="00096975">
        <w:t>s</w:t>
      </w:r>
      <w:r w:rsidRPr="00C73BF6">
        <w:t xml:space="preserve"> w</w:t>
      </w:r>
      <w:r w:rsidRPr="00C73BF6" w:rsidR="00096975">
        <w:t>ere</w:t>
      </w:r>
      <w:r w:rsidRPr="00C73BF6">
        <w:t xml:space="preserve"> pilot tested by </w:t>
      </w:r>
      <w:r w:rsidRPr="00C73BF6" w:rsidR="00CF213F">
        <w:t>one</w:t>
      </w:r>
      <w:r w:rsidRPr="00C73BF6">
        <w:t xml:space="preserve"> public health professional</w:t>
      </w:r>
      <w:r w:rsidRPr="00C73BF6" w:rsidR="0076068B">
        <w:t xml:space="preserve"> and </w:t>
      </w:r>
      <w:r w:rsidRPr="00C73BF6" w:rsidR="004A71E9">
        <w:t xml:space="preserve">one </w:t>
      </w:r>
      <w:r w:rsidRPr="00C73BF6" w:rsidR="0076068B">
        <w:t>IT professional</w:t>
      </w:r>
      <w:r w:rsidRPr="00C73BF6" w:rsidR="004A71E9">
        <w:t xml:space="preserve"> (n=</w:t>
      </w:r>
      <w:r w:rsidRPr="00C73BF6" w:rsidR="00CF213F">
        <w:t>2</w:t>
      </w:r>
      <w:r w:rsidRPr="00C73BF6" w:rsidR="004A71E9">
        <w:t>)</w:t>
      </w:r>
      <w:r w:rsidRPr="00C73BF6">
        <w:t>. Feedback from this group was used to refine questions as needed, ensure accur</w:t>
      </w:r>
      <w:r w:rsidRPr="00C73BF6" w:rsidR="002331F3">
        <w:t>ate programming a</w:t>
      </w:r>
      <w:r w:rsidRPr="00C73BF6">
        <w:t>nd establish the estimated time required to complete the information collection instrument.</w:t>
      </w:r>
    </w:p>
    <w:p w:rsidRPr="00C73BF6" w:rsidR="003651C5" w:rsidP="00474673" w:rsidRDefault="003651C5" w14:paraId="37CB0C66" w14:textId="77777777">
      <w:pPr>
        <w:ind w:left="0"/>
      </w:pPr>
    </w:p>
    <w:p w:rsidRPr="00C73BF6" w:rsidR="00272E3E" w:rsidP="008B65FF" w:rsidRDefault="00272E3E" w14:paraId="2255C997" w14:textId="77777777">
      <w:pPr>
        <w:ind w:left="360"/>
      </w:pPr>
    </w:p>
    <w:p w:rsidRPr="00C73BF6" w:rsidR="00692DEB" w:rsidP="008B65FF" w:rsidRDefault="00692DEB" w14:paraId="36702F9E" w14:textId="77777777">
      <w:pPr>
        <w:pStyle w:val="Heading5"/>
        <w:spacing w:after="120"/>
        <w:ind w:left="360"/>
      </w:pPr>
      <w:r w:rsidRPr="00C73BF6">
        <w:t>Items of Information to be Collected</w:t>
      </w:r>
    </w:p>
    <w:p w:rsidRPr="00C73BF6" w:rsidR="00692DEB" w:rsidP="00382E66" w:rsidRDefault="00692DEB" w14:paraId="08DF8928" w14:textId="12CBD73A">
      <w:pPr>
        <w:pStyle w:val="ListParagraph"/>
        <w:numPr>
          <w:ilvl w:val="0"/>
          <w:numId w:val="18"/>
        </w:numPr>
        <w:tabs>
          <w:tab w:val="clear" w:pos="9360"/>
        </w:tabs>
        <w:spacing w:line="240" w:lineRule="auto"/>
        <w:ind w:left="900" w:hanging="450"/>
        <w:rPr>
          <w:b/>
        </w:rPr>
      </w:pPr>
      <w:r w:rsidRPr="00C73BF6">
        <w:t xml:space="preserve">The data collection instrument </w:t>
      </w:r>
      <w:r w:rsidRPr="00C73BF6" w:rsidR="00F36F03">
        <w:t>(</w:t>
      </w:r>
      <w:r w:rsidRPr="00C73BF6" w:rsidR="002152C0">
        <w:t xml:space="preserve">see </w:t>
      </w:r>
      <w:r w:rsidRPr="00C73BF6" w:rsidR="00213296">
        <w:rPr>
          <w:b/>
        </w:rPr>
        <w:t xml:space="preserve">Attachment A </w:t>
      </w:r>
      <w:r w:rsidRPr="00C73BF6" w:rsidR="00213296">
        <w:rPr>
          <w:rFonts w:ascii="Cambria" w:hAnsi="Cambria"/>
          <w:b/>
        </w:rPr>
        <w:t xml:space="preserve">– </w:t>
      </w:r>
      <w:r w:rsidRPr="00C73BF6" w:rsidR="00ED6DB3">
        <w:rPr>
          <w:rFonts w:ascii="Cambria" w:hAnsi="Cambria"/>
          <w:b/>
        </w:rPr>
        <w:t>Pilot Online Data Collection for SMA PT Screenshot of Reporting Page</w:t>
      </w:r>
      <w:r w:rsidRPr="00C73BF6" w:rsidR="00F36F03">
        <w:t xml:space="preserve">) </w:t>
      </w:r>
      <w:r w:rsidRPr="00C73BF6">
        <w:t xml:space="preserve">consists of </w:t>
      </w:r>
      <w:r w:rsidRPr="00C73BF6" w:rsidR="00474673">
        <w:t>1</w:t>
      </w:r>
      <w:r w:rsidRPr="00C73BF6" w:rsidR="00972663">
        <w:t>8</w:t>
      </w:r>
      <w:r w:rsidRPr="00C73BF6">
        <w:t xml:space="preserve"> main questions of various types, including</w:t>
      </w:r>
      <w:r w:rsidRPr="00C73BF6" w:rsidR="008C59E7">
        <w:t xml:space="preserve"> </w:t>
      </w:r>
      <w:r w:rsidRPr="00C73BF6" w:rsidR="00297471">
        <w:t xml:space="preserve">multiple choice and </w:t>
      </w:r>
      <w:r w:rsidRPr="00C73BF6" w:rsidR="008C59E7">
        <w:rPr>
          <w:rFonts w:eastAsiaTheme="majorEastAsia" w:cstheme="majorBidi"/>
        </w:rPr>
        <w:t>open-ended</w:t>
      </w:r>
      <w:r w:rsidRPr="00C73BF6">
        <w:rPr>
          <w:rFonts w:eastAsiaTheme="majorEastAsia" w:cstheme="majorBidi"/>
        </w:rPr>
        <w:t xml:space="preserve">. </w:t>
      </w:r>
      <w:r w:rsidRPr="00C73BF6">
        <w:t xml:space="preserve">The instrument will collect </w:t>
      </w:r>
      <w:r w:rsidRPr="00C73BF6" w:rsidR="006C20E8">
        <w:t>data</w:t>
      </w:r>
      <w:r w:rsidRPr="00C73BF6">
        <w:t xml:space="preserve"> on the following: </w:t>
      </w:r>
    </w:p>
    <w:p w:rsidRPr="00C73BF6" w:rsidR="008C59E7" w:rsidP="00782FBD" w:rsidRDefault="00D10492" w14:paraId="029D8553" w14:textId="47EA8B01">
      <w:pPr>
        <w:pStyle w:val="ListParagraph"/>
        <w:numPr>
          <w:ilvl w:val="0"/>
          <w:numId w:val="6"/>
        </w:numPr>
        <w:tabs>
          <w:tab w:val="clear" w:pos="9360"/>
        </w:tabs>
        <w:spacing w:line="240" w:lineRule="auto"/>
        <w:ind w:left="1080"/>
      </w:pPr>
      <w:r w:rsidRPr="00C73BF6">
        <w:t>SMA Method</w:t>
      </w:r>
      <w:r w:rsidRPr="00C73BF6" w:rsidR="009C53AE">
        <w:t xml:space="preserve"> (row 1)</w:t>
      </w:r>
    </w:p>
    <w:p w:rsidRPr="00C73BF6" w:rsidR="0096195A" w:rsidP="00782FBD" w:rsidRDefault="0096195A" w14:paraId="7DE526A4" w14:textId="22A77A5E">
      <w:pPr>
        <w:pStyle w:val="ListParagraph"/>
        <w:numPr>
          <w:ilvl w:val="0"/>
          <w:numId w:val="6"/>
        </w:numPr>
        <w:tabs>
          <w:tab w:val="clear" w:pos="9360"/>
        </w:tabs>
        <w:spacing w:line="240" w:lineRule="auto"/>
        <w:ind w:left="1080"/>
      </w:pPr>
      <w:r w:rsidRPr="00C73BF6">
        <w:t>DNA Extraction (row 2)</w:t>
      </w:r>
    </w:p>
    <w:p w:rsidRPr="00C73BF6" w:rsidR="008C59E7" w:rsidP="00782FBD" w:rsidRDefault="009C53AE" w14:paraId="701060B2" w14:textId="32E4106F">
      <w:pPr>
        <w:pStyle w:val="ListParagraph"/>
        <w:numPr>
          <w:ilvl w:val="0"/>
          <w:numId w:val="6"/>
        </w:numPr>
        <w:tabs>
          <w:tab w:val="clear" w:pos="9360"/>
        </w:tabs>
        <w:spacing w:line="240" w:lineRule="auto"/>
        <w:ind w:left="1080"/>
      </w:pPr>
      <w:r w:rsidRPr="00C73BF6">
        <w:t xml:space="preserve">SMN1 primer and probe information (rows </w:t>
      </w:r>
      <w:r w:rsidRPr="00C73BF6" w:rsidR="0096195A">
        <w:t>3</w:t>
      </w:r>
      <w:r w:rsidRPr="00C73BF6">
        <w:t xml:space="preserve"> - </w:t>
      </w:r>
      <w:r w:rsidRPr="00C73BF6" w:rsidR="0096195A">
        <w:t>5</w:t>
      </w:r>
      <w:r w:rsidRPr="00C73BF6">
        <w:t>)</w:t>
      </w:r>
    </w:p>
    <w:p w:rsidRPr="00C73BF6" w:rsidR="009C53AE" w:rsidP="00782FBD" w:rsidRDefault="009C53AE" w14:paraId="73DB17E0" w14:textId="16BBFF58">
      <w:pPr>
        <w:pStyle w:val="ListParagraph"/>
        <w:numPr>
          <w:ilvl w:val="0"/>
          <w:numId w:val="6"/>
        </w:numPr>
        <w:tabs>
          <w:tab w:val="clear" w:pos="9360"/>
        </w:tabs>
        <w:spacing w:line="240" w:lineRule="auto"/>
        <w:ind w:left="1080"/>
      </w:pPr>
      <w:r w:rsidRPr="00C73BF6">
        <w:t xml:space="preserve">Reference gene primer and probe information (rows </w:t>
      </w:r>
      <w:r w:rsidRPr="00C73BF6" w:rsidR="0096195A">
        <w:t>6</w:t>
      </w:r>
      <w:r w:rsidRPr="00C73BF6">
        <w:t xml:space="preserve"> – </w:t>
      </w:r>
      <w:r w:rsidRPr="00C73BF6" w:rsidR="0096195A">
        <w:t>8</w:t>
      </w:r>
      <w:r w:rsidRPr="00C73BF6">
        <w:t>)</w:t>
      </w:r>
    </w:p>
    <w:p w:rsidRPr="00C73BF6" w:rsidR="008C59E7" w:rsidP="00782FBD" w:rsidRDefault="00D10492" w14:paraId="3F5A7890" w14:textId="307A5C12">
      <w:pPr>
        <w:pStyle w:val="ListParagraph"/>
        <w:numPr>
          <w:ilvl w:val="0"/>
          <w:numId w:val="6"/>
        </w:numPr>
        <w:tabs>
          <w:tab w:val="clear" w:pos="9360"/>
        </w:tabs>
        <w:spacing w:line="240" w:lineRule="auto"/>
        <w:ind w:left="1080"/>
      </w:pPr>
      <w:r w:rsidRPr="00C73BF6">
        <w:t xml:space="preserve">Clinical assessment of specimens (rows </w:t>
      </w:r>
      <w:r w:rsidRPr="00C73BF6" w:rsidR="0096195A">
        <w:t xml:space="preserve">9 </w:t>
      </w:r>
      <w:r w:rsidRPr="00C73BF6">
        <w:t xml:space="preserve">– </w:t>
      </w:r>
      <w:r w:rsidRPr="00C73BF6" w:rsidR="0096195A">
        <w:t>13</w:t>
      </w:r>
      <w:r w:rsidRPr="00C73BF6">
        <w:t>)</w:t>
      </w:r>
    </w:p>
    <w:p w:rsidRPr="00C73BF6" w:rsidR="00692DEB" w:rsidP="008B65FF" w:rsidRDefault="00692DEB" w14:paraId="247A4CFA" w14:textId="36DA7485">
      <w:pPr>
        <w:pStyle w:val="ListParagraph"/>
        <w:ind w:left="1080"/>
        <w:rPr>
          <w:lang w:eastAsia="zh-CN"/>
        </w:rPr>
      </w:pPr>
    </w:p>
    <w:p w:rsidRPr="00C73BF6" w:rsidR="00F36F03" w:rsidP="00751E62" w:rsidRDefault="00F36F03" w14:paraId="1ABE06AD" w14:textId="612AF049">
      <w:pPr>
        <w:pStyle w:val="ListParagraph"/>
        <w:numPr>
          <w:ilvl w:val="0"/>
          <w:numId w:val="18"/>
        </w:numPr>
        <w:tabs>
          <w:tab w:val="clear" w:pos="9360"/>
        </w:tabs>
        <w:spacing w:line="240" w:lineRule="auto"/>
        <w:ind w:left="900" w:hanging="450"/>
        <w:rPr>
          <w:b/>
        </w:rPr>
      </w:pPr>
      <w:r w:rsidRPr="00C73BF6">
        <w:t>The</w:t>
      </w:r>
      <w:r w:rsidRPr="00C73BF6" w:rsidR="003E6667">
        <w:t xml:space="preserve"> feedback</w:t>
      </w:r>
      <w:r w:rsidRPr="00C73BF6">
        <w:t xml:space="preserve"> data collection instrument (</w:t>
      </w:r>
      <w:r w:rsidRPr="00C73BF6" w:rsidR="0043268A">
        <w:t xml:space="preserve">see </w:t>
      </w:r>
      <w:r w:rsidRPr="00C73BF6">
        <w:rPr>
          <w:b/>
          <w:bCs/>
        </w:rPr>
        <w:t>Attachment B</w:t>
      </w:r>
      <w:r w:rsidRPr="00C73BF6" w:rsidR="0043268A">
        <w:t xml:space="preserve"> – </w:t>
      </w:r>
      <w:r w:rsidRPr="00C73BF6" w:rsidR="008C7DE3">
        <w:rPr>
          <w:rFonts w:ascii="Cambria" w:hAnsi="Cambria"/>
          <w:b/>
        </w:rPr>
        <w:t xml:space="preserve">Pilot </w:t>
      </w:r>
      <w:r w:rsidRPr="00C73BF6" w:rsidR="00213296">
        <w:rPr>
          <w:rFonts w:ascii="Cambria" w:hAnsi="Cambria"/>
          <w:b/>
        </w:rPr>
        <w:t>Online Data Collection for SMA PT Feedback Form</w:t>
      </w:r>
      <w:r w:rsidRPr="00C73BF6">
        <w:t xml:space="preserve">) consists of </w:t>
      </w:r>
      <w:r w:rsidRPr="00C73BF6" w:rsidR="0076068B">
        <w:t>6</w:t>
      </w:r>
      <w:r w:rsidRPr="00C73BF6">
        <w:t xml:space="preserve"> main questions of various types, including interval (rating scales) and </w:t>
      </w:r>
      <w:r w:rsidRPr="00C73BF6">
        <w:rPr>
          <w:rFonts w:eastAsiaTheme="majorEastAsia" w:cstheme="majorBidi"/>
        </w:rPr>
        <w:t xml:space="preserve">open-ended. </w:t>
      </w:r>
      <w:r w:rsidRPr="00C73BF6">
        <w:t xml:space="preserve">The instrument will collect data on the following: </w:t>
      </w:r>
    </w:p>
    <w:p w:rsidRPr="00C73BF6" w:rsidR="00F36F03" w:rsidP="00F36F03" w:rsidRDefault="00F36F03" w14:paraId="0712CEDA" w14:textId="3842A904">
      <w:pPr>
        <w:pStyle w:val="ListParagraph"/>
        <w:numPr>
          <w:ilvl w:val="0"/>
          <w:numId w:val="6"/>
        </w:numPr>
        <w:tabs>
          <w:tab w:val="clear" w:pos="9360"/>
        </w:tabs>
        <w:spacing w:line="240" w:lineRule="auto"/>
        <w:ind w:left="1080"/>
      </w:pPr>
      <w:r w:rsidRPr="00C73BF6">
        <w:t>Satisfaction with Pilot SMA PT Instructions (Question 1)</w:t>
      </w:r>
    </w:p>
    <w:p w:rsidRPr="00C73BF6" w:rsidR="00F36F03" w:rsidP="00F36F03" w:rsidRDefault="00F36F03" w14:paraId="779636EA" w14:textId="2042A702">
      <w:pPr>
        <w:pStyle w:val="ListParagraph"/>
        <w:numPr>
          <w:ilvl w:val="0"/>
          <w:numId w:val="6"/>
        </w:numPr>
        <w:tabs>
          <w:tab w:val="clear" w:pos="9360"/>
        </w:tabs>
        <w:spacing w:line="240" w:lineRule="auto"/>
        <w:ind w:left="1080"/>
      </w:pPr>
      <w:r w:rsidRPr="00C73BF6">
        <w:t xml:space="preserve">Satisfaction with Pilot SMA </w:t>
      </w:r>
      <w:r w:rsidRPr="00C73BF6" w:rsidR="0076068B">
        <w:t xml:space="preserve">Online </w:t>
      </w:r>
      <w:r w:rsidRPr="00C73BF6">
        <w:t>Data Reporting Form (Question 2)</w:t>
      </w:r>
    </w:p>
    <w:p w:rsidRPr="00C73BF6" w:rsidR="00F36F03" w:rsidP="00F36F03" w:rsidRDefault="00F36F03" w14:paraId="58C5B846" w14:textId="37C5AB3C">
      <w:pPr>
        <w:pStyle w:val="ListParagraph"/>
        <w:numPr>
          <w:ilvl w:val="0"/>
          <w:numId w:val="6"/>
        </w:numPr>
        <w:tabs>
          <w:tab w:val="clear" w:pos="9360"/>
        </w:tabs>
        <w:spacing w:line="240" w:lineRule="auto"/>
        <w:ind w:left="1080"/>
      </w:pPr>
      <w:r w:rsidRPr="00C73BF6">
        <w:t>Satisfaction with the data reporting process (Question 3)</w:t>
      </w:r>
    </w:p>
    <w:p w:rsidRPr="00C73BF6" w:rsidR="000166A7" w:rsidP="000166A7" w:rsidRDefault="000166A7" w14:paraId="5D255BE8" w14:textId="41FAADE8">
      <w:pPr>
        <w:pStyle w:val="ListParagraph"/>
        <w:numPr>
          <w:ilvl w:val="0"/>
          <w:numId w:val="6"/>
        </w:numPr>
        <w:tabs>
          <w:tab w:val="clear" w:pos="9360"/>
        </w:tabs>
        <w:spacing w:line="240" w:lineRule="auto"/>
        <w:ind w:left="1080"/>
      </w:pPr>
      <w:r w:rsidRPr="00C73BF6">
        <w:t>Satisfaction with the DBS panel provided</w:t>
      </w:r>
      <w:r w:rsidRPr="00C73BF6" w:rsidR="00F36F03">
        <w:t xml:space="preserve"> (Question 4)</w:t>
      </w:r>
    </w:p>
    <w:p w:rsidRPr="00C73BF6" w:rsidR="002530AC" w:rsidP="000166A7" w:rsidRDefault="002530AC" w14:paraId="48EE85A8" w14:textId="62B966D1">
      <w:pPr>
        <w:pStyle w:val="ListParagraph"/>
        <w:numPr>
          <w:ilvl w:val="0"/>
          <w:numId w:val="6"/>
        </w:numPr>
        <w:tabs>
          <w:tab w:val="clear" w:pos="9360"/>
        </w:tabs>
        <w:spacing w:line="240" w:lineRule="auto"/>
        <w:ind w:left="1080"/>
      </w:pPr>
      <w:r w:rsidRPr="00C73BF6">
        <w:t>Overall satisfaction with the entire process (Question 5)</w:t>
      </w:r>
    </w:p>
    <w:p w:rsidRPr="00C73BF6" w:rsidR="00EE59C5" w:rsidP="000166A7" w:rsidRDefault="00743788" w14:paraId="7DAA509D" w14:textId="13B6AF3F">
      <w:pPr>
        <w:pStyle w:val="ListParagraph"/>
        <w:numPr>
          <w:ilvl w:val="0"/>
          <w:numId w:val="6"/>
        </w:numPr>
        <w:tabs>
          <w:tab w:val="clear" w:pos="9360"/>
        </w:tabs>
        <w:spacing w:line="240" w:lineRule="auto"/>
        <w:ind w:left="1080"/>
      </w:pPr>
      <w:r w:rsidRPr="00C73BF6">
        <w:t>Suggestions for improvement</w:t>
      </w:r>
      <w:r w:rsidRPr="00C73BF6" w:rsidR="006F183C">
        <w:t xml:space="preserve"> (Question 6)</w:t>
      </w:r>
    </w:p>
    <w:p w:rsidRPr="00C73BF6" w:rsidR="00474673" w:rsidP="00383542" w:rsidRDefault="00474673" w14:paraId="23C2A4AC" w14:textId="2BB9189E">
      <w:pPr>
        <w:ind w:left="0"/>
        <w:rPr>
          <w:lang w:eastAsia="zh-CN"/>
        </w:rPr>
      </w:pPr>
    </w:p>
    <w:p w:rsidRPr="00C73BF6" w:rsidR="00993B1F" w:rsidP="00383542" w:rsidRDefault="00993B1F" w14:paraId="76F21F2A" w14:textId="77777777">
      <w:pPr>
        <w:ind w:left="0"/>
        <w:rPr>
          <w:lang w:eastAsia="zh-CN"/>
        </w:rPr>
      </w:pPr>
    </w:p>
    <w:p w:rsidRPr="00C73BF6" w:rsidR="00B12F51" w:rsidP="00692DEB" w:rsidRDefault="00B12F51" w14:paraId="02E7EB51" w14:textId="77777777">
      <w:pPr>
        <w:pStyle w:val="Heading4"/>
      </w:pPr>
      <w:bookmarkStart w:name="_Toc427752815" w:id="5"/>
      <w:r w:rsidRPr="00C73BF6">
        <w:t>Purpose and Use of the Information Collection</w:t>
      </w:r>
      <w:bookmarkEnd w:id="5"/>
    </w:p>
    <w:p w:rsidRPr="00C73BF6" w:rsidR="008E2AE5" w:rsidP="008E2AE5" w:rsidRDefault="008E2AE5" w14:paraId="4E51F661" w14:textId="3B4EBACA">
      <w:pPr>
        <w:pStyle w:val="ListParagraph"/>
        <w:ind w:left="360"/>
        <w:rPr>
          <w:rStyle w:val="SubtleEmphasis"/>
          <w:rFonts w:ascii="Cambria" w:hAnsi="Cambria"/>
          <w:i w:val="0"/>
          <w:iCs w:val="0"/>
          <w:color w:val="auto"/>
        </w:rPr>
      </w:pPr>
      <w:r w:rsidRPr="00C73BF6">
        <w:rPr>
          <w:rStyle w:val="SubtleEmphasis"/>
          <w:i w:val="0"/>
          <w:iCs w:val="0"/>
          <w:color w:val="auto"/>
        </w:rPr>
        <w:t xml:space="preserve">The purpose of this project is to provide 40 state public health labs the opportunity to test newly developed spinal muscular atrophy (SMA) quality assurance products and provide CDC’s Newborn Screening Quality Assurance Program (NSQAP) with feedback (including results and raw data) associated with the proficiency testing (PT) online reporting form (see </w:t>
      </w:r>
      <w:r w:rsidRPr="00C73BF6">
        <w:rPr>
          <w:rStyle w:val="SubtleEmphasis"/>
          <w:b/>
          <w:bCs/>
          <w:i w:val="0"/>
          <w:iCs w:val="0"/>
          <w:color w:val="auto"/>
        </w:rPr>
        <w:t xml:space="preserve">Attachment A – </w:t>
      </w:r>
      <w:r w:rsidRPr="00C73BF6">
        <w:rPr>
          <w:rFonts w:ascii="Cambria" w:hAnsi="Cambria"/>
          <w:b/>
        </w:rPr>
        <w:t>Pilot Online Data Collection for SMA PT Screenshot of Reporting Page</w:t>
      </w:r>
      <w:r w:rsidRPr="00C73BF6">
        <w:rPr>
          <w:rStyle w:val="SubtleEmphasis"/>
          <w:i w:val="0"/>
          <w:iCs w:val="0"/>
          <w:color w:val="auto"/>
        </w:rPr>
        <w:t xml:space="preserve">) and PT materials tested so that CDC can evaluate its readiness to offer SMA PT as a service to its more than 450 enrolled labs. </w:t>
      </w:r>
    </w:p>
    <w:p w:rsidRPr="00C73BF6" w:rsidR="008E2AE5" w:rsidP="008E2AE5" w:rsidRDefault="008E2AE5" w14:paraId="3965B3BE" w14:textId="77777777">
      <w:pPr>
        <w:ind w:left="0"/>
        <w:rPr>
          <w:rStyle w:val="SubtleEmphasis"/>
          <w:i w:val="0"/>
          <w:iCs w:val="0"/>
          <w:color w:val="auto"/>
        </w:rPr>
      </w:pPr>
    </w:p>
    <w:p w:rsidRPr="00C73BF6" w:rsidR="008E2AE5" w:rsidP="008E2AE5" w:rsidRDefault="008E2AE5" w14:paraId="0DAD44F6" w14:textId="77777777">
      <w:pPr>
        <w:ind w:left="360"/>
        <w:rPr>
          <w:rStyle w:val="SubtleEmphasis"/>
          <w:i w:val="0"/>
          <w:iCs w:val="0"/>
          <w:color w:val="auto"/>
        </w:rPr>
      </w:pPr>
      <w:r w:rsidRPr="00C73BF6">
        <w:rPr>
          <w:rStyle w:val="SubtleEmphasis"/>
          <w:i w:val="0"/>
          <w:iCs w:val="0"/>
          <w:color w:val="auto"/>
        </w:rPr>
        <w:t xml:space="preserve">CDC’s NSQAP intends to analyze this feedback and make any necessary changes to the planned PT program if warranted by the feedback. The testing data submitted using the Pilot SMA PT Online Data Reporting Form (see </w:t>
      </w:r>
      <w:r w:rsidRPr="00C73BF6">
        <w:rPr>
          <w:rStyle w:val="SubtleEmphasis"/>
          <w:b/>
          <w:bCs/>
          <w:i w:val="0"/>
          <w:iCs w:val="0"/>
          <w:color w:val="auto"/>
        </w:rPr>
        <w:t xml:space="preserve">Attachment A – </w:t>
      </w:r>
      <w:r w:rsidRPr="00C73BF6">
        <w:rPr>
          <w:rFonts w:ascii="Cambria" w:hAnsi="Cambria"/>
          <w:b/>
        </w:rPr>
        <w:t>Pilot Online Data Collection for SMA PT Screenshot of Reporting Page</w:t>
      </w:r>
      <w:r w:rsidRPr="00C73BF6">
        <w:rPr>
          <w:rStyle w:val="SubtleEmphasis"/>
          <w:i w:val="0"/>
          <w:iCs w:val="0"/>
          <w:color w:val="auto"/>
        </w:rPr>
        <w:t>) will be analyzed by CDC and used to generate example PHL evaluations as well as an event summary for distribution to respondents. Data collected will not be used for publication.</w:t>
      </w:r>
    </w:p>
    <w:p w:rsidRPr="00C73BF6" w:rsidR="00993B1F" w:rsidP="00692DEB" w:rsidRDefault="00993B1F" w14:paraId="71B266FE" w14:textId="77777777">
      <w:pPr>
        <w:ind w:left="0"/>
      </w:pPr>
    </w:p>
    <w:p w:rsidRPr="00C73BF6" w:rsidR="00282A54" w:rsidP="00692DEB" w:rsidRDefault="00282A54" w14:paraId="2F8389D1" w14:textId="77777777">
      <w:pPr>
        <w:ind w:left="0"/>
      </w:pPr>
    </w:p>
    <w:p w:rsidRPr="00C73BF6" w:rsidR="00B47055" w:rsidP="00692DEB" w:rsidRDefault="00B47055" w14:paraId="55865641" w14:textId="77777777">
      <w:pPr>
        <w:pStyle w:val="Heading4"/>
      </w:pPr>
      <w:bookmarkStart w:name="_Toc427752816" w:id="6"/>
      <w:r w:rsidRPr="00C73BF6">
        <w:t>Use of Improved Information Technology and Burden Reduction</w:t>
      </w:r>
      <w:bookmarkEnd w:id="6"/>
    </w:p>
    <w:p w:rsidRPr="00C73BF6" w:rsidR="00692DEB" w:rsidP="00881E2B" w:rsidRDefault="00EC2E9C" w14:paraId="1DA7D767" w14:textId="7C780909">
      <w:pPr>
        <w:ind w:left="360"/>
      </w:pPr>
      <w:r w:rsidRPr="00C73BF6">
        <w:t>Testing d</w:t>
      </w:r>
      <w:r w:rsidRPr="00C73BF6" w:rsidR="00EA3A4A">
        <w:t>ata will be collected via</w:t>
      </w:r>
      <w:r w:rsidRPr="00C73BF6" w:rsidR="00692DEB">
        <w:t xml:space="preserve"> </w:t>
      </w:r>
      <w:r w:rsidRPr="00C73BF6" w:rsidR="002530AC">
        <w:t>an online data reporting system</w:t>
      </w:r>
      <w:r w:rsidRPr="00C73BF6" w:rsidR="00692DEB">
        <w:t>. This method was chosen to reduce the overall burden on respondents</w:t>
      </w:r>
      <w:r w:rsidRPr="00C73BF6" w:rsidR="00FF5BF1">
        <w:t xml:space="preserve"> by </w:t>
      </w:r>
      <w:r w:rsidRPr="00C73BF6" w:rsidR="002D0E5E">
        <w:t>including drop-down options</w:t>
      </w:r>
      <w:r w:rsidRPr="00C73BF6" w:rsidR="00972663">
        <w:t>, search functionality</w:t>
      </w:r>
      <w:r w:rsidRPr="00C73BF6" w:rsidR="005304C5">
        <w:t xml:space="preserve"> </w:t>
      </w:r>
      <w:r w:rsidRPr="00C73BF6" w:rsidR="005304C5">
        <w:lastRenderedPageBreak/>
        <w:t>and/or check boxes</w:t>
      </w:r>
      <w:r w:rsidRPr="00C73BF6" w:rsidR="002D0E5E">
        <w:t xml:space="preserve"> for most fields</w:t>
      </w:r>
      <w:r w:rsidRPr="00C73BF6" w:rsidR="002530AC">
        <w:t>, and removes the need to email results</w:t>
      </w:r>
      <w:r w:rsidRPr="00C73BF6" w:rsidR="00692DEB">
        <w:t xml:space="preserve">. The </w:t>
      </w:r>
      <w:r w:rsidRPr="00C73BF6" w:rsidR="002E2EDD">
        <w:t>data</w:t>
      </w:r>
      <w:r w:rsidRPr="00C73BF6" w:rsidR="00692DEB">
        <w:t xml:space="preserve"> collection instrument</w:t>
      </w:r>
      <w:r w:rsidRPr="00C73BF6" w:rsidR="005304C5">
        <w:t>s</w:t>
      </w:r>
      <w:r w:rsidRPr="00C73BF6" w:rsidR="00692DEB">
        <w:t xml:space="preserve"> w</w:t>
      </w:r>
      <w:r w:rsidRPr="00C73BF6" w:rsidR="005304C5">
        <w:t>ere</w:t>
      </w:r>
      <w:r w:rsidRPr="00C73BF6" w:rsidR="00692DEB">
        <w:t xml:space="preserve"> designed to collect the minimum information necessary for the purposes of this project (i.e., limited to </w:t>
      </w:r>
      <w:r w:rsidRPr="00C73BF6" w:rsidR="002D0E5E">
        <w:t>1</w:t>
      </w:r>
      <w:r w:rsidRPr="00C73BF6" w:rsidR="00972663">
        <w:t>8</w:t>
      </w:r>
      <w:r w:rsidRPr="00C73BF6" w:rsidR="00692DEB">
        <w:t xml:space="preserve"> questions</w:t>
      </w:r>
      <w:r w:rsidRPr="00C73BF6" w:rsidR="005304C5">
        <w:t xml:space="preserve"> and </w:t>
      </w:r>
      <w:r w:rsidRPr="00C73BF6" w:rsidR="00743788">
        <w:t>6</w:t>
      </w:r>
      <w:r w:rsidRPr="00C73BF6" w:rsidR="005304C5">
        <w:t xml:space="preserve"> questions respectively by instrument</w:t>
      </w:r>
      <w:r w:rsidRPr="00C73BF6" w:rsidR="00692DEB">
        <w:t>).</w:t>
      </w:r>
    </w:p>
    <w:p w:rsidRPr="00C73BF6" w:rsidR="00383542" w:rsidP="006A09E0" w:rsidRDefault="00383542" w14:paraId="28DA1BBE" w14:textId="6DAEA375">
      <w:pPr>
        <w:ind w:left="0"/>
      </w:pPr>
    </w:p>
    <w:p w:rsidRPr="00C73BF6" w:rsidR="00383542" w:rsidP="006A09E0" w:rsidRDefault="00383542" w14:paraId="5FC1B357" w14:textId="77777777">
      <w:pPr>
        <w:ind w:left="0"/>
      </w:pPr>
    </w:p>
    <w:p w:rsidRPr="00C73BF6" w:rsidR="00B47055" w:rsidP="00692DEB" w:rsidRDefault="00B47055" w14:paraId="3FE48A1C" w14:textId="77777777">
      <w:pPr>
        <w:pStyle w:val="Heading4"/>
      </w:pPr>
      <w:bookmarkStart w:name="_Toc427752817" w:id="7"/>
      <w:r w:rsidRPr="00C73BF6">
        <w:t>Efforts to Identify Duplication and Use of Similar Information</w:t>
      </w:r>
      <w:bookmarkEnd w:id="7"/>
    </w:p>
    <w:p w:rsidRPr="00C73BF6" w:rsidR="00BD4599" w:rsidP="00EB70DC" w:rsidRDefault="00EB70DC" w14:paraId="7D8FF21E" w14:textId="37928E1B">
      <w:pPr>
        <w:ind w:left="360"/>
        <w:rPr>
          <w:iCs/>
        </w:rPr>
      </w:pPr>
      <w:r w:rsidRPr="00C73BF6">
        <w:rPr>
          <w:rFonts w:cstheme="minorHAnsi"/>
          <w:iCs/>
        </w:rPr>
        <w:t>The Newborn Screening Saves Lives Reauthorization Act (P.L 113 - 240) mandates that CDC provide quality assurance to newborn screening state labs and in addition provides “quality control and other performance test material”.  Under this mandate, CDC’s Newborn Screening and Molecular Biology Branch is the only producer of this type of material and service.  Additionally, communication from PHLs has confirmed that there are no commercially available options for SMA PT.</w:t>
      </w:r>
      <w:r w:rsidRPr="00C73BF6" w:rsidR="002530AC">
        <w:rPr>
          <w:rFonts w:cstheme="minorHAnsi"/>
          <w:iCs/>
        </w:rPr>
        <w:t xml:space="preserve">  </w:t>
      </w:r>
      <w:r w:rsidRPr="00C73BF6" w:rsidR="00D647BF">
        <w:t xml:space="preserve">A similar collection received approval through the 0920-0879 mechanism on 6/17/2020. The purpose of this study was </w:t>
      </w:r>
      <w:r w:rsidRPr="00C73BF6" w:rsidR="00D647BF">
        <w:rPr>
          <w:rStyle w:val="SubtleEmphasis"/>
          <w:rFonts w:cstheme="minorHAnsi"/>
          <w:i w:val="0"/>
          <w:color w:val="auto"/>
        </w:rPr>
        <w:t xml:space="preserve">to assess the ability of PHLs to utilize new protocols for analyzing reference blood spot samples and report data to CDC’s Newborn Screening Quality Assurance Program (NSQAP). </w:t>
      </w:r>
      <w:r w:rsidRPr="00C73BF6" w:rsidR="00D647BF">
        <w:t>Results of that study uncovered a need for further piloting, specifically modernization of the data collection instrument. As a result, the data collection instrume</w:t>
      </w:r>
      <w:r w:rsidRPr="00C73BF6" w:rsidR="00927157">
        <w:t>nt for this study was designed, a</w:t>
      </w:r>
      <w:r w:rsidRPr="00C73BF6" w:rsidR="00D647BF">
        <w:t xml:space="preserve">n online data reporting page for submission of PT results in place of email submission of completed Excel spreadsheets. </w:t>
      </w:r>
      <w:r w:rsidRPr="00C73BF6" w:rsidR="00927157">
        <w:t xml:space="preserve"> It is anticipated that this modernization will reduce the burden on respondents. </w:t>
      </w:r>
      <w:r w:rsidRPr="00C73BF6" w:rsidR="00D647BF">
        <w:t xml:space="preserve"> The feedback form was also modified to solicit feedback on the online reporting process and the overall experience.</w:t>
      </w:r>
      <w:r w:rsidRPr="00C73BF6" w:rsidR="00927157">
        <w:t xml:space="preserve"> </w:t>
      </w:r>
      <w:r w:rsidRPr="00C73BF6" w:rsidR="00D647BF">
        <w:t>The program plans to incorporate this round of additional feedback into a final version of the instrument, at which point, we will seek OMB approval via a full information collection request.</w:t>
      </w:r>
    </w:p>
    <w:p w:rsidRPr="00C73BF6" w:rsidR="00BD4599" w:rsidP="00A01104" w:rsidRDefault="00BD4599" w14:paraId="6FF27ED9" w14:textId="77777777">
      <w:pPr>
        <w:ind w:left="0"/>
      </w:pPr>
    </w:p>
    <w:p w:rsidRPr="00C73BF6" w:rsidR="00675F9A" w:rsidP="005D6F14" w:rsidRDefault="00675F9A" w14:paraId="48F4623C" w14:textId="77777777"/>
    <w:p w:rsidRPr="00C73BF6" w:rsidR="00B12F51" w:rsidP="00692DEB" w:rsidRDefault="00B47055" w14:paraId="75B88CF6" w14:textId="77777777">
      <w:pPr>
        <w:pStyle w:val="Heading4"/>
      </w:pPr>
      <w:bookmarkStart w:name="_Toc427752818" w:id="8"/>
      <w:r w:rsidRPr="00C73BF6">
        <w:t>Impact on Small Businesses or Other Small Entities</w:t>
      </w:r>
      <w:bookmarkEnd w:id="8"/>
    </w:p>
    <w:p w:rsidRPr="00C73BF6" w:rsidR="00BD4599" w:rsidP="00383542" w:rsidRDefault="00D26A64" w14:paraId="580A7711" w14:textId="538B84B2">
      <w:pPr>
        <w:ind w:left="360"/>
      </w:pPr>
      <w:r w:rsidRPr="00C73BF6">
        <w:t>N</w:t>
      </w:r>
      <w:r w:rsidRPr="00C73BF6" w:rsidR="00AF2252">
        <w:t xml:space="preserve">o small businesses will be involved in this </w:t>
      </w:r>
      <w:r w:rsidRPr="00C73BF6" w:rsidR="00157413">
        <w:t>information collection</w:t>
      </w:r>
      <w:r w:rsidRPr="00C73BF6">
        <w:t>.</w:t>
      </w:r>
    </w:p>
    <w:p w:rsidRPr="00C73BF6" w:rsidR="00BD4599" w:rsidP="005D6F14" w:rsidRDefault="00BD4599" w14:paraId="2486A5E3" w14:textId="77777777"/>
    <w:p w:rsidRPr="00C73BF6" w:rsidR="00675F9A" w:rsidP="00383542" w:rsidRDefault="00675F9A" w14:paraId="749D1325" w14:textId="2FFD7D4F">
      <w:pPr>
        <w:ind w:left="0"/>
      </w:pPr>
    </w:p>
    <w:p w:rsidRPr="00C73BF6" w:rsidR="00B12F51" w:rsidP="00692DEB" w:rsidRDefault="00B47055" w14:paraId="5E04EB42" w14:textId="77777777">
      <w:pPr>
        <w:pStyle w:val="Heading4"/>
      </w:pPr>
      <w:bookmarkStart w:name="_Toc427752819" w:id="9"/>
      <w:r w:rsidRPr="00C73BF6">
        <w:t xml:space="preserve">Consequences of Collecting the Information Less Frequently </w:t>
      </w:r>
      <w:r w:rsidRPr="00C73BF6" w:rsidR="00D95FBF">
        <w:t xml:space="preserve">  </w:t>
      </w:r>
      <w:bookmarkEnd w:id="9"/>
      <w:r w:rsidRPr="00C73BF6" w:rsidR="00D95FBF">
        <w:t xml:space="preserve"> </w:t>
      </w:r>
    </w:p>
    <w:p w:rsidRPr="00C73BF6" w:rsidR="000058E0" w:rsidP="007B7C44" w:rsidRDefault="000058E0" w14:paraId="7DC21F0F" w14:textId="69E8E4F8">
      <w:pPr>
        <w:ind w:left="360"/>
      </w:pPr>
      <w:r w:rsidRPr="00C73BF6">
        <w:t xml:space="preserve">This request is for a one time </w:t>
      </w:r>
      <w:r w:rsidRPr="00C73BF6" w:rsidR="005212E5">
        <w:t>data</w:t>
      </w:r>
      <w:r w:rsidRPr="00C73BF6">
        <w:t xml:space="preserve"> collection.  There are no legal obstacles to reduce the burden. If no data are collected, CDC will be unable to:</w:t>
      </w:r>
    </w:p>
    <w:p w:rsidRPr="00C73BF6" w:rsidR="008C59E7" w:rsidP="00782FBD" w:rsidRDefault="002556F1" w14:paraId="1B2E8BB8" w14:textId="068683DD">
      <w:pPr>
        <w:pStyle w:val="ListParagraph"/>
        <w:numPr>
          <w:ilvl w:val="0"/>
          <w:numId w:val="6"/>
        </w:numPr>
        <w:tabs>
          <w:tab w:val="clear" w:pos="9360"/>
        </w:tabs>
        <w:spacing w:line="240" w:lineRule="auto"/>
      </w:pPr>
      <w:r w:rsidRPr="00C73BF6">
        <w:t>Determine if the SMA-like PT samples are appropriate for more than 80% of public health labs</w:t>
      </w:r>
    </w:p>
    <w:p w:rsidRPr="00C73BF6" w:rsidR="008C59E7" w:rsidP="00782FBD" w:rsidRDefault="002556F1" w14:paraId="63B2E2B1" w14:textId="5E5F23B8">
      <w:pPr>
        <w:pStyle w:val="ListParagraph"/>
        <w:numPr>
          <w:ilvl w:val="0"/>
          <w:numId w:val="6"/>
        </w:numPr>
        <w:tabs>
          <w:tab w:val="clear" w:pos="9360"/>
        </w:tabs>
        <w:spacing w:line="240" w:lineRule="auto"/>
      </w:pPr>
      <w:r w:rsidRPr="00C73BF6">
        <w:t>Provide public health labs with a PT program that allows them to meet requirements of CLIA</w:t>
      </w:r>
    </w:p>
    <w:p w:rsidRPr="00C73BF6" w:rsidR="008C59E7" w:rsidP="00782FBD" w:rsidRDefault="002556F1" w14:paraId="46DF2966" w14:textId="53904082">
      <w:pPr>
        <w:pStyle w:val="ListParagraph"/>
        <w:numPr>
          <w:ilvl w:val="0"/>
          <w:numId w:val="6"/>
        </w:numPr>
        <w:tabs>
          <w:tab w:val="clear" w:pos="9360"/>
        </w:tabs>
        <w:spacing w:line="240" w:lineRule="auto"/>
      </w:pPr>
      <w:r w:rsidRPr="00C73BF6">
        <w:t>Ensure the quality of newborn screening for SMA</w:t>
      </w:r>
    </w:p>
    <w:p w:rsidRPr="00C73BF6" w:rsidR="00CE7EA7" w:rsidP="00782FBD" w:rsidRDefault="00CE7EA7" w14:paraId="6007A878" w14:textId="0CF032FA">
      <w:pPr>
        <w:pStyle w:val="ListParagraph"/>
        <w:numPr>
          <w:ilvl w:val="0"/>
          <w:numId w:val="6"/>
        </w:numPr>
        <w:tabs>
          <w:tab w:val="clear" w:pos="9360"/>
        </w:tabs>
        <w:spacing w:line="240" w:lineRule="auto"/>
      </w:pPr>
      <w:r w:rsidRPr="00C73BF6">
        <w:t>Determine if the online data collection site meets the improvement need identified by the previous cohort</w:t>
      </w:r>
    </w:p>
    <w:p w:rsidRPr="00C73BF6" w:rsidR="00BD4599" w:rsidP="00383542" w:rsidRDefault="00BD4599" w14:paraId="19A686BD" w14:textId="536A9B22">
      <w:pPr>
        <w:ind w:left="0"/>
        <w:rPr>
          <w:lang w:eastAsia="zh-CN"/>
        </w:rPr>
      </w:pPr>
    </w:p>
    <w:p w:rsidRPr="00C73BF6" w:rsidR="00993B1F" w:rsidP="00383542" w:rsidRDefault="00993B1F" w14:paraId="3BCE50A0" w14:textId="74F7EBD4">
      <w:pPr>
        <w:ind w:left="0"/>
        <w:rPr>
          <w:lang w:eastAsia="zh-CN"/>
        </w:rPr>
      </w:pPr>
    </w:p>
    <w:p w:rsidRPr="00C73BF6" w:rsidR="00993B1F" w:rsidP="00383542" w:rsidRDefault="00993B1F" w14:paraId="661F1ED2" w14:textId="52EE5367">
      <w:pPr>
        <w:ind w:left="0"/>
        <w:rPr>
          <w:lang w:eastAsia="zh-CN"/>
        </w:rPr>
      </w:pPr>
    </w:p>
    <w:p w:rsidRPr="00C73BF6" w:rsidR="00993B1F" w:rsidP="00383542" w:rsidRDefault="00993B1F" w14:paraId="1C026C97" w14:textId="77777777">
      <w:pPr>
        <w:ind w:left="0"/>
        <w:rPr>
          <w:lang w:eastAsia="zh-CN"/>
        </w:rPr>
      </w:pPr>
    </w:p>
    <w:p w:rsidRPr="00C73BF6" w:rsidR="00BD4599" w:rsidP="00675F9A" w:rsidRDefault="00BD4599" w14:paraId="248BC0CD" w14:textId="77777777">
      <w:pPr>
        <w:pStyle w:val="ListParagraph"/>
        <w:ind w:left="360"/>
        <w:rPr>
          <w:lang w:eastAsia="zh-CN"/>
        </w:rPr>
      </w:pPr>
    </w:p>
    <w:p w:rsidRPr="00C73BF6" w:rsidR="00B12F51" w:rsidP="00692DEB" w:rsidRDefault="00B47055" w14:paraId="1C352D4B" w14:textId="77777777">
      <w:pPr>
        <w:pStyle w:val="Heading4"/>
      </w:pPr>
      <w:bookmarkStart w:name="_Toc427752820" w:id="10"/>
      <w:r w:rsidRPr="00C73BF6">
        <w:t>Special Circumstances Relating to the Guidelines of 5 CFR 1320.5</w:t>
      </w:r>
      <w:bookmarkEnd w:id="10"/>
    </w:p>
    <w:p w:rsidRPr="00C73BF6" w:rsidR="00F52BCC" w:rsidP="007B7C44" w:rsidRDefault="00A809AA" w14:paraId="3F174D52" w14:textId="719117C2">
      <w:pPr>
        <w:ind w:left="360"/>
      </w:pPr>
      <w:r w:rsidRPr="00C73BF6">
        <w:t xml:space="preserve">There are no special circumstances with this </w:t>
      </w:r>
      <w:r w:rsidRPr="00C73BF6" w:rsidR="002E2EDD">
        <w:t>data</w:t>
      </w:r>
      <w:r w:rsidRPr="00C73BF6">
        <w:t xml:space="preserve"> collection package. </w:t>
      </w:r>
      <w:r w:rsidRPr="00C73BF6" w:rsidR="00835CA7">
        <w:t>This request fully complies with the regulation 5 CFR 1320.5</w:t>
      </w:r>
      <w:r w:rsidRPr="00C73BF6" w:rsidR="00D95FBF">
        <w:t xml:space="preserve"> and will be voluntary</w:t>
      </w:r>
      <w:r w:rsidRPr="00C73BF6" w:rsidR="00835CA7">
        <w:t>.</w:t>
      </w:r>
    </w:p>
    <w:p w:rsidRPr="00C73BF6" w:rsidR="00F52BCC" w:rsidP="00675F9A" w:rsidRDefault="00F52BCC" w14:paraId="7BFE09AB" w14:textId="77777777">
      <w:pPr>
        <w:ind w:left="360"/>
      </w:pPr>
    </w:p>
    <w:p w:rsidRPr="00C73BF6" w:rsidR="00383542" w:rsidP="00383542" w:rsidRDefault="00383542" w14:paraId="7F539DDD" w14:textId="398EA4AE">
      <w:pPr>
        <w:ind w:left="0"/>
      </w:pPr>
    </w:p>
    <w:p w:rsidRPr="00C73BF6" w:rsidR="00B12F51" w:rsidP="00692DEB" w:rsidRDefault="0088467A" w14:paraId="5BC5DEE1" w14:textId="77777777">
      <w:pPr>
        <w:pStyle w:val="Heading4"/>
      </w:pPr>
      <w:bookmarkStart w:name="_Toc427752821" w:id="11"/>
      <w:r w:rsidRPr="00C73BF6">
        <w:t>Comments in Response to the Federal Register Notice and Efforts to Consult Outside the Agency</w:t>
      </w:r>
      <w:bookmarkEnd w:id="11"/>
    </w:p>
    <w:p w:rsidRPr="00C73BF6" w:rsidR="00A809AA" w:rsidP="007B7C44" w:rsidRDefault="00C768E5" w14:paraId="51043E05" w14:textId="78E6789A">
      <w:pPr>
        <w:ind w:left="360"/>
      </w:pPr>
      <w:r w:rsidRPr="00C73BF6">
        <w:t xml:space="preserve">This </w:t>
      </w:r>
      <w:r w:rsidRPr="00C73BF6" w:rsidR="002E2EDD">
        <w:t>data</w:t>
      </w:r>
      <w:r w:rsidRPr="00C73BF6" w:rsidR="00157413">
        <w:t xml:space="preserve"> collection</w:t>
      </w:r>
      <w:r w:rsidRPr="00C73BF6">
        <w:t xml:space="preserve"> is being conducted using the Generic Information Collection mecha</w:t>
      </w:r>
      <w:r w:rsidRPr="00C73BF6" w:rsidR="00157413">
        <w:t xml:space="preserve">nism of the </w:t>
      </w:r>
      <w:r w:rsidRPr="00C73BF6" w:rsidR="00614CAE">
        <w:t>CSTLTS Generic</w:t>
      </w:r>
      <w:r w:rsidRPr="00C73BF6" w:rsidR="00925CD1">
        <w:t xml:space="preserve"> Information Collection Service</w:t>
      </w:r>
      <w:r w:rsidRPr="00C73BF6">
        <w:t xml:space="preserve"> (</w:t>
      </w:r>
      <w:r w:rsidRPr="00C73BF6" w:rsidR="00614CAE">
        <w:t>CSTLTS Generic</w:t>
      </w:r>
      <w:r w:rsidRPr="00C73BF6">
        <w:t xml:space="preserve">) – OMB No. 0920-0879. </w:t>
      </w:r>
      <w:r w:rsidRPr="00C73BF6" w:rsidR="00D21203">
        <w:t>A 60-day Federal Register Notice was published in the Federal Register on April 27, 2017, Vol. 82, No. 80, pp 19371-19373.  One non-substantive comment was received.  CDC sent forward the standard CDC response.</w:t>
      </w:r>
    </w:p>
    <w:p w:rsidRPr="00C73BF6" w:rsidR="00A809AA" w:rsidP="00692DEB" w:rsidRDefault="00A809AA" w14:paraId="2ACC2F51" w14:textId="77777777">
      <w:pPr>
        <w:ind w:left="0"/>
      </w:pPr>
    </w:p>
    <w:p w:rsidRPr="00C73BF6" w:rsidR="00A809AA" w:rsidP="007B7C44" w:rsidRDefault="00A809AA" w14:paraId="764006AC" w14:textId="77777777">
      <w:pPr>
        <w:ind w:left="360"/>
      </w:pPr>
      <w:r w:rsidRPr="00C73BF6">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Pr="00C73BF6" w:rsidR="00675F9A" w:rsidP="007B7C44" w:rsidRDefault="00675F9A" w14:paraId="05E9CF8C" w14:textId="77777777">
      <w:pPr>
        <w:ind w:left="360"/>
      </w:pPr>
    </w:p>
    <w:p w:rsidRPr="00C73BF6" w:rsidR="00F52BCC" w:rsidP="00675F9A" w:rsidRDefault="00F52BCC" w14:paraId="114CE2EF" w14:textId="77777777">
      <w:pPr>
        <w:ind w:left="360"/>
      </w:pPr>
    </w:p>
    <w:p w:rsidRPr="00C73BF6" w:rsidR="00B12F51" w:rsidP="00692DEB" w:rsidRDefault="0088467A" w14:paraId="4DAA9469" w14:textId="77777777">
      <w:pPr>
        <w:pStyle w:val="Heading4"/>
      </w:pPr>
      <w:bookmarkStart w:name="_Toc427752822" w:id="12"/>
      <w:r w:rsidRPr="00C73BF6">
        <w:t>Explanation of Any Payment or Gift to Respondents</w:t>
      </w:r>
      <w:bookmarkEnd w:id="12"/>
    </w:p>
    <w:p w:rsidRPr="00C73BF6" w:rsidR="00675F9A" w:rsidP="005212E5" w:rsidRDefault="00A809AA" w14:paraId="616434FC" w14:textId="78ADCCA1">
      <w:pPr>
        <w:ind w:left="360"/>
      </w:pPr>
      <w:r w:rsidRPr="00C73BF6">
        <w:t>CDC will not provide p</w:t>
      </w:r>
      <w:r w:rsidRPr="00C73BF6" w:rsidR="00D26A64">
        <w:t>ayments or gifts to respondents.</w:t>
      </w:r>
    </w:p>
    <w:p w:rsidRPr="00C73BF6" w:rsidR="006A09E0" w:rsidP="005212E5" w:rsidRDefault="006A09E0" w14:paraId="716AB726" w14:textId="77777777">
      <w:pPr>
        <w:ind w:left="360"/>
      </w:pPr>
    </w:p>
    <w:p w:rsidRPr="00C73BF6" w:rsidR="00C4416B" w:rsidP="005212E5" w:rsidRDefault="00C4416B" w14:paraId="23E8606B" w14:textId="77777777">
      <w:pPr>
        <w:ind w:left="360"/>
      </w:pPr>
    </w:p>
    <w:p w:rsidRPr="00C73BF6" w:rsidR="00B12F51" w:rsidP="00692DEB" w:rsidRDefault="0088467A" w14:paraId="084C2058" w14:textId="77777777">
      <w:pPr>
        <w:pStyle w:val="Heading4"/>
      </w:pPr>
      <w:r w:rsidRPr="00C73BF6">
        <w:t xml:space="preserve"> </w:t>
      </w:r>
      <w:bookmarkStart w:name="_Toc427752823" w:id="13"/>
      <w:r w:rsidRPr="00C73BF6" w:rsidR="009D5927">
        <w:t>Protection of the Privacy and Confidentiality of Information Provided by Respondents</w:t>
      </w:r>
      <w:bookmarkEnd w:id="13"/>
    </w:p>
    <w:p w:rsidRPr="00C73BF6" w:rsidR="003C31C9" w:rsidP="006A09E0" w:rsidRDefault="003C31C9" w14:paraId="612C8EA3" w14:textId="7F1FD408">
      <w:pPr>
        <w:ind w:left="360"/>
      </w:pPr>
      <w:r w:rsidRPr="00C73BF6">
        <w:t xml:space="preserve">The Privacy Act does not apply to this </w:t>
      </w:r>
      <w:r w:rsidRPr="00C73BF6" w:rsidR="002E2EDD">
        <w:t>data</w:t>
      </w:r>
      <w:r w:rsidRPr="00C73BF6" w:rsidR="00157413">
        <w:t xml:space="preserve"> collection</w:t>
      </w:r>
      <w:r w:rsidRPr="00C73BF6">
        <w:t xml:space="preserve">.  </w:t>
      </w:r>
      <w:r w:rsidRPr="00C73BF6" w:rsidR="007F5776">
        <w:t xml:space="preserve">STLT governmental staff and / or delegates </w:t>
      </w:r>
      <w:r w:rsidRPr="00C73BF6">
        <w:t>will be speaking from their official roles</w:t>
      </w:r>
      <w:r w:rsidRPr="00C73BF6" w:rsidR="00D06816">
        <w:t xml:space="preserve">.  </w:t>
      </w:r>
      <w:r w:rsidRPr="00C73BF6">
        <w:t xml:space="preserve"> </w:t>
      </w:r>
    </w:p>
    <w:p w:rsidRPr="00C73BF6" w:rsidR="006A09E0" w:rsidP="006A09E0" w:rsidRDefault="006A09E0" w14:paraId="6685A9FB" w14:textId="77777777">
      <w:pPr>
        <w:ind w:left="360"/>
      </w:pPr>
    </w:p>
    <w:p w:rsidRPr="00C73BF6" w:rsidR="00383542" w:rsidP="00383542" w:rsidRDefault="00383542" w14:paraId="23A787F4" w14:textId="77777777">
      <w:pPr>
        <w:ind w:left="0"/>
        <w:rPr>
          <w:iCs/>
          <w:vertAlign w:val="superscript"/>
        </w:rPr>
      </w:pPr>
    </w:p>
    <w:p w:rsidRPr="00C73BF6" w:rsidR="00B12F51" w:rsidP="00692DEB" w:rsidRDefault="009D5927" w14:paraId="6454A151" w14:textId="77777777">
      <w:pPr>
        <w:pStyle w:val="Heading4"/>
      </w:pPr>
      <w:bookmarkStart w:name="_Toc427752824" w:id="14"/>
      <w:r w:rsidRPr="00C73BF6">
        <w:t>Institutional Review Board (IRB) and Justification for Sensitive Questions</w:t>
      </w:r>
      <w:bookmarkEnd w:id="14"/>
    </w:p>
    <w:p w:rsidRPr="00C73BF6" w:rsidR="00E20294" w:rsidP="00474673" w:rsidRDefault="003C31C9" w14:paraId="582621BC" w14:textId="0C627941">
      <w:pPr>
        <w:ind w:left="360"/>
      </w:pPr>
      <w:r w:rsidRPr="00C73BF6">
        <w:t>No information will be collected</w:t>
      </w:r>
      <w:r w:rsidRPr="00C73BF6" w:rsidR="00616090">
        <w:t xml:space="preserve"> that are of personal or sensitive nature</w:t>
      </w:r>
      <w:r w:rsidRPr="00C73BF6" w:rsidR="00D26A64">
        <w:t>.</w:t>
      </w:r>
      <w:r w:rsidRPr="00C73BF6" w:rsidR="002A1CF5">
        <w:t xml:space="preserve"> This data collection is not research involving human subjects</w:t>
      </w:r>
      <w:r w:rsidRPr="00C73BF6" w:rsidR="006F37BB">
        <w:t xml:space="preserve"> (see </w:t>
      </w:r>
      <w:r w:rsidRPr="00C73BF6" w:rsidR="006F37BB">
        <w:rPr>
          <w:b/>
          <w:bCs/>
        </w:rPr>
        <w:t xml:space="preserve">Attachment </w:t>
      </w:r>
      <w:r w:rsidRPr="00C73BF6" w:rsidR="00D17D8B">
        <w:rPr>
          <w:b/>
          <w:bCs/>
        </w:rPr>
        <w:t>C</w:t>
      </w:r>
      <w:r w:rsidRPr="00C73BF6" w:rsidR="006F37BB">
        <w:rPr>
          <w:b/>
          <w:bCs/>
        </w:rPr>
        <w:t>: Pilot SMA PT Research Determination</w:t>
      </w:r>
      <w:r w:rsidRPr="00C73BF6" w:rsidR="006F37BB">
        <w:t>)</w:t>
      </w:r>
      <w:r w:rsidRPr="00C73BF6" w:rsidR="002A1CF5">
        <w:t>.</w:t>
      </w:r>
    </w:p>
    <w:p w:rsidRPr="00C73BF6" w:rsidR="00E20294" w:rsidP="005D6F14" w:rsidRDefault="00E20294" w14:paraId="3692ADA9" w14:textId="77777777"/>
    <w:p w:rsidRPr="00C73BF6" w:rsidR="00B64BFA" w:rsidP="00692DEB" w:rsidRDefault="0088467A" w14:paraId="2716336A" w14:textId="77777777">
      <w:pPr>
        <w:pStyle w:val="Heading4"/>
      </w:pPr>
      <w:bookmarkStart w:name="_Toc427752825" w:id="15"/>
      <w:r w:rsidRPr="00C73BF6">
        <w:t>Estimates of Annualized Burden Hours and Costs</w:t>
      </w:r>
      <w:bookmarkEnd w:id="15"/>
    </w:p>
    <w:p w:rsidRPr="00C73BF6" w:rsidR="00881E2B" w:rsidP="008B65FF" w:rsidRDefault="00FA4D74" w14:paraId="42D94123" w14:textId="0851320B">
      <w:pPr>
        <w:ind w:left="360"/>
        <w:rPr>
          <w:b/>
          <w:bCs/>
        </w:rPr>
      </w:pPr>
      <w:bookmarkStart w:name="_Hlk42768540" w:id="16"/>
      <w:r w:rsidRPr="00C73BF6">
        <w:rPr>
          <w:b/>
          <w:bCs/>
        </w:rPr>
        <w:t xml:space="preserve">Pilot SMA PT </w:t>
      </w:r>
      <w:r w:rsidRPr="00C73BF6" w:rsidR="00881E2B">
        <w:rPr>
          <w:b/>
          <w:bCs/>
        </w:rPr>
        <w:t>Data Collection Form</w:t>
      </w:r>
    </w:p>
    <w:bookmarkEnd w:id="16"/>
    <w:p w:rsidRPr="00C73BF6" w:rsidR="000058E0" w:rsidP="008B65FF" w:rsidRDefault="000058E0" w14:paraId="19BF394F" w14:textId="01C0A4B2">
      <w:pPr>
        <w:ind w:left="360"/>
      </w:pPr>
      <w:r w:rsidRPr="00C73BF6">
        <w:t xml:space="preserve">The estimate for burden hours is based on a pilot test of the </w:t>
      </w:r>
      <w:r w:rsidRPr="00C73BF6" w:rsidR="002E2EDD">
        <w:t>data</w:t>
      </w:r>
      <w:r w:rsidRPr="00C73BF6">
        <w:t xml:space="preserve"> collection instrument</w:t>
      </w:r>
      <w:r w:rsidRPr="00C73BF6" w:rsidR="00B24679">
        <w:t xml:space="preserve"> (</w:t>
      </w:r>
      <w:r w:rsidRPr="00C73BF6" w:rsidR="00015CCA">
        <w:t xml:space="preserve">see </w:t>
      </w:r>
      <w:r w:rsidRPr="00C73BF6" w:rsidR="00015CCA">
        <w:rPr>
          <w:b/>
          <w:bCs/>
        </w:rPr>
        <w:t>Attachment A</w:t>
      </w:r>
      <w:r w:rsidRPr="00C73BF6" w:rsidR="00015CCA">
        <w:t xml:space="preserve"> </w:t>
      </w:r>
      <w:r w:rsidRPr="00C73BF6" w:rsidR="00015CCA">
        <w:rPr>
          <w:b/>
          <w:bCs/>
        </w:rPr>
        <w:t xml:space="preserve">– </w:t>
      </w:r>
      <w:r w:rsidRPr="00C73BF6" w:rsidR="00ED6DB3">
        <w:rPr>
          <w:rFonts w:ascii="Cambria" w:hAnsi="Cambria"/>
          <w:b/>
        </w:rPr>
        <w:t>Pilot Online Data Collection for SMA PT Screenshot of Reporting Page</w:t>
      </w:r>
      <w:r w:rsidRPr="00C73BF6" w:rsidR="00B24679">
        <w:t>)</w:t>
      </w:r>
      <w:r w:rsidRPr="00C73BF6">
        <w:t xml:space="preserve"> by </w:t>
      </w:r>
      <w:r w:rsidRPr="00C73BF6" w:rsidR="00CF213F">
        <w:t>two</w:t>
      </w:r>
      <w:r w:rsidRPr="00C73BF6">
        <w:t xml:space="preserve"> professional</w:t>
      </w:r>
      <w:r w:rsidRPr="00C73BF6" w:rsidR="00CF213F">
        <w:t>s.</w:t>
      </w:r>
      <w:r w:rsidRPr="00C73BF6">
        <w:t xml:space="preserve"> In the pilot test, the average time to complete the instrument including time </w:t>
      </w:r>
      <w:r w:rsidRPr="00C73BF6">
        <w:lastRenderedPageBreak/>
        <w:t xml:space="preserve">for reviewing instructions, gathering needed information and completing the instrument, was approximately </w:t>
      </w:r>
      <w:r w:rsidRPr="00C73BF6" w:rsidR="00CF213F">
        <w:t>5</w:t>
      </w:r>
      <w:r w:rsidRPr="00C73BF6">
        <w:t xml:space="preserve"> minutes</w:t>
      </w:r>
      <w:r w:rsidRPr="00C73BF6" w:rsidR="00A242DB">
        <w:t xml:space="preserve"> (range: </w:t>
      </w:r>
      <w:r w:rsidRPr="00C73BF6" w:rsidR="00CF213F">
        <w:t>4</w:t>
      </w:r>
      <w:r w:rsidRPr="00C73BF6" w:rsidR="00721719">
        <w:t xml:space="preserve">  –</w:t>
      </w:r>
      <w:r w:rsidRPr="00C73BF6" w:rsidR="00CF213F">
        <w:t xml:space="preserve"> 6</w:t>
      </w:r>
      <w:r w:rsidRPr="00C73BF6" w:rsidR="00721719">
        <w:t>)</w:t>
      </w:r>
      <w:r w:rsidRPr="00C73BF6">
        <w:t xml:space="preserve">. For the purposes of estimating burden hours, the upper limit of this range (i.e., </w:t>
      </w:r>
      <w:r w:rsidRPr="00C73BF6" w:rsidR="00CF213F">
        <w:t>6</w:t>
      </w:r>
      <w:r w:rsidRPr="00C73BF6" w:rsidR="008C59E7">
        <w:t xml:space="preserve"> </w:t>
      </w:r>
      <w:r w:rsidRPr="00C73BF6">
        <w:t>minutes) is used.</w:t>
      </w:r>
    </w:p>
    <w:p w:rsidRPr="00C73BF6" w:rsidR="000058E0" w:rsidP="000058E0" w:rsidRDefault="000058E0" w14:paraId="58065055" w14:textId="6ABA8BB6">
      <w:pPr>
        <w:ind w:left="0"/>
      </w:pPr>
    </w:p>
    <w:p w:rsidRPr="00C73BF6" w:rsidR="00881E2B" w:rsidP="00FA4D74" w:rsidRDefault="00FA4D74" w14:paraId="118EB091" w14:textId="5B04EC06">
      <w:pPr>
        <w:ind w:left="360"/>
        <w:rPr>
          <w:b/>
          <w:bCs/>
        </w:rPr>
      </w:pPr>
      <w:bookmarkStart w:name="_Hlk42768557" w:id="17"/>
      <w:r w:rsidRPr="00C73BF6">
        <w:rPr>
          <w:b/>
          <w:bCs/>
        </w:rPr>
        <w:t>Pilot SMA PT Feedback Form</w:t>
      </w:r>
    </w:p>
    <w:bookmarkEnd w:id="17"/>
    <w:p w:rsidRPr="00C73BF6" w:rsidR="00B24679" w:rsidP="00B24679" w:rsidRDefault="00B24679" w14:paraId="29165F78" w14:textId="525F59D4">
      <w:pPr>
        <w:ind w:left="360"/>
      </w:pPr>
      <w:r w:rsidRPr="00C73BF6">
        <w:t>The estimate for burden hours is based on a pilot test of the data collection instrument (</w:t>
      </w:r>
      <w:r w:rsidRPr="00C73BF6" w:rsidR="00022FAE">
        <w:t xml:space="preserve">see </w:t>
      </w:r>
      <w:r w:rsidRPr="00C73BF6" w:rsidR="00022FAE">
        <w:rPr>
          <w:b/>
          <w:bCs/>
        </w:rPr>
        <w:t xml:space="preserve">Attachment B – </w:t>
      </w:r>
      <w:r w:rsidRPr="00C73BF6" w:rsidR="008C7DE3">
        <w:rPr>
          <w:rFonts w:ascii="Cambria" w:hAnsi="Cambria"/>
          <w:b/>
        </w:rPr>
        <w:t xml:space="preserve">Pilot </w:t>
      </w:r>
      <w:r w:rsidRPr="00C73BF6" w:rsidR="009A1406">
        <w:rPr>
          <w:rFonts w:ascii="Cambria" w:hAnsi="Cambria"/>
          <w:b/>
        </w:rPr>
        <w:t>Online Data Collection for SMA PT Feedback Form</w:t>
      </w:r>
      <w:r w:rsidRPr="00C73BF6" w:rsidDel="009A1406" w:rsidR="009A1406">
        <w:rPr>
          <w:b/>
          <w:bCs/>
        </w:rPr>
        <w:t xml:space="preserve"> </w:t>
      </w:r>
      <w:r w:rsidRPr="00C73BF6">
        <w:t xml:space="preserve">by </w:t>
      </w:r>
      <w:r w:rsidRPr="00C73BF6" w:rsidR="00D64855">
        <w:t xml:space="preserve">two </w:t>
      </w:r>
      <w:r w:rsidRPr="00C73BF6">
        <w:t>professionals. In the pilot test, the average time to complete the instrument including time for reviewing instructions, gathering needed information and completing the instrument, was approximately 2.5 minutes (range: 2–3). For the purposes of estimating burden hours, the upper limit of this range (i.e., 3 minutes) is used.</w:t>
      </w:r>
    </w:p>
    <w:p w:rsidRPr="00C73BF6" w:rsidR="00B24679" w:rsidP="008B65FF" w:rsidRDefault="00B24679" w14:paraId="6CC381A6" w14:textId="77777777">
      <w:pPr>
        <w:ind w:left="360"/>
      </w:pPr>
    </w:p>
    <w:p w:rsidRPr="00C73BF6" w:rsidR="00FA4D74" w:rsidP="00FA4D74" w:rsidRDefault="008C408E" w14:paraId="65B21A6C" w14:textId="3B0288F2">
      <w:pPr>
        <w:pStyle w:val="CommentText"/>
        <w:ind w:left="360"/>
        <w:rPr>
          <w:sz w:val="22"/>
          <w:szCs w:val="22"/>
        </w:rPr>
      </w:pPr>
      <w:r w:rsidRPr="00C73BF6">
        <w:rPr>
          <w:sz w:val="22"/>
          <w:szCs w:val="22"/>
        </w:rPr>
        <w:t>Estimates for the average hourly wage for respondents are based on the Department of Labor (DOL) Bureau of Labor Statisti</w:t>
      </w:r>
      <w:r w:rsidRPr="00C73BF6" w:rsidR="008F3D10">
        <w:rPr>
          <w:sz w:val="22"/>
          <w:szCs w:val="22"/>
        </w:rPr>
        <w:t xml:space="preserve">cs for occupational employment </w:t>
      </w:r>
      <w:r w:rsidRPr="00C73BF6">
        <w:rPr>
          <w:sz w:val="22"/>
          <w:szCs w:val="22"/>
        </w:rPr>
        <w:t xml:space="preserve">for </w:t>
      </w:r>
      <w:r w:rsidRPr="00C73BF6" w:rsidR="00AB4C58">
        <w:rPr>
          <w:sz w:val="22"/>
          <w:szCs w:val="22"/>
        </w:rPr>
        <w:t>Clinical Laboratory Technologists and Technicians</w:t>
      </w:r>
      <w:r w:rsidRPr="00C73BF6">
        <w:rPr>
          <w:sz w:val="22"/>
          <w:szCs w:val="22"/>
        </w:rPr>
        <w:t xml:space="preserve"> </w:t>
      </w:r>
      <w:hyperlink w:history="1" r:id="rId11">
        <w:r w:rsidRPr="00C73BF6">
          <w:rPr>
            <w:rStyle w:val="Hyperlink"/>
            <w:color w:val="auto"/>
            <w:sz w:val="22"/>
            <w:szCs w:val="22"/>
          </w:rPr>
          <w:t>http://www.bls.gov/oes/current/oes_nat.htm</w:t>
        </w:r>
      </w:hyperlink>
      <w:r w:rsidRPr="00C73BF6">
        <w:rPr>
          <w:sz w:val="22"/>
          <w:szCs w:val="22"/>
        </w:rPr>
        <w:t xml:space="preserve">.  </w:t>
      </w:r>
      <w:r w:rsidRPr="00C73BF6" w:rsidR="00FA4D74">
        <w:rPr>
          <w:sz w:val="22"/>
          <w:szCs w:val="22"/>
        </w:rPr>
        <w:t xml:space="preserve">Based on DOL data, an average hourly wage of $26.34 is estimated for all 40 respondents. </w:t>
      </w:r>
    </w:p>
    <w:p w:rsidRPr="00C73BF6" w:rsidR="00FA4D74" w:rsidP="00FA4D74" w:rsidRDefault="00FA4D74" w14:paraId="7CAC8077" w14:textId="77777777">
      <w:pPr>
        <w:pStyle w:val="CommentText"/>
      </w:pPr>
    </w:p>
    <w:p w:rsidRPr="00C73BF6" w:rsidR="00BB090C" w:rsidP="00FA4D74" w:rsidRDefault="00FA4D74" w14:paraId="0544B568" w14:textId="50C2A730">
      <w:pPr>
        <w:ind w:left="360"/>
      </w:pPr>
      <w:r w:rsidRPr="00C73BF6">
        <w:t>To account for potential increases due to the COVID-19 response, the hourly wage rate has been doubled to $52.68 to account for fringe benefits and overhead (</w:t>
      </w:r>
      <w:hyperlink w:history="1" r:id="rId12">
        <w:r w:rsidRPr="00C73BF6">
          <w:rPr>
            <w:rStyle w:val="Hyperlink"/>
            <w:color w:val="auto"/>
          </w:rPr>
          <w:t>https://aspe.hhs.gov/pdf-report/guidelines-regulatory-impact-analysis</w:t>
        </w:r>
      </w:hyperlink>
      <w:r w:rsidRPr="00C73BF6">
        <w:t>).</w:t>
      </w:r>
      <w:r w:rsidRPr="00C73BF6" w:rsidR="000058E0">
        <w:t>Table A-12 shows estimated burden and cost information.</w:t>
      </w:r>
    </w:p>
    <w:p w:rsidRPr="00C73BF6" w:rsidR="00383542" w:rsidP="008B65FF" w:rsidRDefault="00383542" w14:paraId="4541F4E8" w14:textId="2D1C3026">
      <w:pPr>
        <w:ind w:left="360"/>
      </w:pPr>
    </w:p>
    <w:p w:rsidRPr="00C73BF6" w:rsidR="00383542" w:rsidP="00383542" w:rsidRDefault="00383542" w14:paraId="0A50A872" w14:textId="4F2A2800">
      <w:pPr>
        <w:ind w:left="360"/>
      </w:pPr>
      <w:r w:rsidRPr="00C73BF6">
        <w:rPr>
          <w:rFonts w:ascii="Cambria" w:hAnsi="Cambria"/>
        </w:rPr>
        <w:t xml:space="preserve">There will be a total of </w:t>
      </w:r>
      <w:r w:rsidRPr="00C73BF6" w:rsidR="007D6EF4">
        <w:rPr>
          <w:rFonts w:ascii="Cambria" w:hAnsi="Cambria"/>
        </w:rPr>
        <w:t>40</w:t>
      </w:r>
      <w:r w:rsidRPr="00C73BF6">
        <w:rPr>
          <w:rFonts w:ascii="Cambria" w:hAnsi="Cambria"/>
        </w:rPr>
        <w:t xml:space="preserve"> respondents and </w:t>
      </w:r>
      <w:r w:rsidRPr="00C73BF6" w:rsidR="001A6BD1">
        <w:rPr>
          <w:rFonts w:ascii="Cambria" w:hAnsi="Cambria"/>
        </w:rPr>
        <w:t>80</w:t>
      </w:r>
      <w:r w:rsidRPr="00C73BF6">
        <w:rPr>
          <w:rFonts w:ascii="Cambria" w:hAnsi="Cambria"/>
        </w:rPr>
        <w:t xml:space="preserve"> responses.</w:t>
      </w:r>
    </w:p>
    <w:p w:rsidRPr="00C73BF6" w:rsidR="005A59E5" w:rsidP="00692DEB" w:rsidRDefault="005A59E5" w14:paraId="37F0192B" w14:textId="0DEEA1F3">
      <w:pPr>
        <w:ind w:left="0"/>
      </w:pPr>
    </w:p>
    <w:p w:rsidRPr="00C73BF6" w:rsidR="00E41812" w:rsidP="006A09E0" w:rsidRDefault="005A59E5" w14:paraId="7137351D" w14:textId="77777777">
      <w:pPr>
        <w:pStyle w:val="CommentText"/>
        <w:ind w:left="360"/>
      </w:pPr>
      <w:r w:rsidRPr="00C73BF6">
        <w:rPr>
          <w:b/>
          <w:u w:val="single"/>
        </w:rPr>
        <w:t>Table A-12</w:t>
      </w:r>
      <w:r w:rsidRPr="00C73BF6">
        <w:rPr>
          <w:b/>
        </w:rPr>
        <w:t>:</w:t>
      </w:r>
      <w:r w:rsidRPr="00C73BF6">
        <w:t xml:space="preserve"> Estimated Annualized Burden Hours and Costs to Respondents</w:t>
      </w:r>
    </w:p>
    <w:p w:rsidRPr="00C73BF6" w:rsidR="005A59E5" w:rsidP="008B65FF" w:rsidRDefault="005A59E5" w14:paraId="11025DEA" w14:textId="77777777">
      <w:pPr>
        <w:pStyle w:val="ListParagraph"/>
        <w:ind w:left="360"/>
      </w:pPr>
    </w:p>
    <w:tbl>
      <w:tblPr>
        <w:tblW w:w="10080" w:type="dxa"/>
        <w:tblInd w:w="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350"/>
        <w:gridCol w:w="1350"/>
        <w:gridCol w:w="1440"/>
        <w:gridCol w:w="1350"/>
        <w:gridCol w:w="1350"/>
        <w:gridCol w:w="990"/>
        <w:gridCol w:w="900"/>
        <w:gridCol w:w="1350"/>
      </w:tblGrid>
      <w:tr w:rsidRPr="00C73BF6" w:rsidR="00C73BF6" w:rsidTr="00A01104" w14:paraId="65EE5621" w14:textId="77777777">
        <w:trPr>
          <w:trHeight w:val="1493"/>
        </w:trPr>
        <w:tc>
          <w:tcPr>
            <w:tcW w:w="1350" w:type="dxa"/>
            <w:shd w:val="clear" w:color="auto" w:fill="D9D9D9" w:themeFill="background1" w:themeFillShade="D9"/>
          </w:tcPr>
          <w:p w:rsidRPr="00C73BF6" w:rsidR="003B2200" w:rsidP="000058E0" w:rsidRDefault="002E2EDD" w14:paraId="22D9A4F0" w14:textId="2E39EF5E">
            <w:pPr>
              <w:ind w:left="-18"/>
              <w:rPr>
                <w:b/>
                <w:sz w:val="20"/>
                <w:szCs w:val="20"/>
              </w:rPr>
            </w:pPr>
            <w:r w:rsidRPr="00C73BF6">
              <w:rPr>
                <w:b/>
                <w:sz w:val="20"/>
                <w:szCs w:val="20"/>
              </w:rPr>
              <w:t>Data</w:t>
            </w:r>
            <w:r w:rsidRPr="00C73BF6" w:rsidR="00157413">
              <w:rPr>
                <w:b/>
                <w:sz w:val="20"/>
                <w:szCs w:val="20"/>
              </w:rPr>
              <w:t xml:space="preserve"> collection</w:t>
            </w:r>
            <w:r w:rsidRPr="00C73BF6" w:rsidR="003B2200">
              <w:rPr>
                <w:b/>
                <w:sz w:val="20"/>
                <w:szCs w:val="20"/>
              </w:rPr>
              <w:t xml:space="preserve"> Instrument: Form Name</w:t>
            </w:r>
          </w:p>
        </w:tc>
        <w:tc>
          <w:tcPr>
            <w:tcW w:w="1350" w:type="dxa"/>
            <w:shd w:val="clear" w:color="auto" w:fill="D9D9D9" w:themeFill="background1" w:themeFillShade="D9"/>
            <w:vAlign w:val="center"/>
          </w:tcPr>
          <w:p w:rsidRPr="00C73BF6" w:rsidR="003B2200" w:rsidP="000058E0" w:rsidRDefault="003B2200" w14:paraId="1299573E" w14:textId="77777777">
            <w:pPr>
              <w:ind w:left="-18"/>
              <w:rPr>
                <w:b/>
                <w:sz w:val="20"/>
                <w:szCs w:val="20"/>
              </w:rPr>
            </w:pPr>
            <w:r w:rsidRPr="00C73BF6">
              <w:rPr>
                <w:b/>
                <w:sz w:val="20"/>
                <w:szCs w:val="20"/>
              </w:rPr>
              <w:t>Type of Respondent</w:t>
            </w:r>
          </w:p>
        </w:tc>
        <w:tc>
          <w:tcPr>
            <w:tcW w:w="1440" w:type="dxa"/>
            <w:shd w:val="clear" w:color="auto" w:fill="D9D9D9" w:themeFill="background1" w:themeFillShade="D9"/>
            <w:vAlign w:val="center"/>
          </w:tcPr>
          <w:p w:rsidRPr="00C73BF6" w:rsidR="003B2200" w:rsidP="000058E0" w:rsidRDefault="003B2200" w14:paraId="1FB4A703" w14:textId="77777777">
            <w:pPr>
              <w:ind w:left="-18"/>
              <w:rPr>
                <w:b/>
                <w:sz w:val="20"/>
                <w:szCs w:val="20"/>
              </w:rPr>
            </w:pPr>
            <w:r w:rsidRPr="00C73BF6">
              <w:rPr>
                <w:b/>
                <w:sz w:val="20"/>
                <w:szCs w:val="20"/>
              </w:rPr>
              <w:t>No. of Respondents</w:t>
            </w:r>
          </w:p>
        </w:tc>
        <w:tc>
          <w:tcPr>
            <w:tcW w:w="1350" w:type="dxa"/>
            <w:shd w:val="clear" w:color="auto" w:fill="D9D9D9" w:themeFill="background1" w:themeFillShade="D9"/>
            <w:vAlign w:val="center"/>
          </w:tcPr>
          <w:p w:rsidRPr="00C73BF6" w:rsidR="003B2200" w:rsidP="000058E0" w:rsidRDefault="003B2200" w14:paraId="7077EE7C" w14:textId="77777777">
            <w:pPr>
              <w:ind w:left="-18"/>
              <w:rPr>
                <w:b/>
                <w:sz w:val="20"/>
                <w:szCs w:val="20"/>
              </w:rPr>
            </w:pPr>
            <w:r w:rsidRPr="00C73BF6">
              <w:rPr>
                <w:b/>
                <w:sz w:val="20"/>
                <w:szCs w:val="20"/>
              </w:rPr>
              <w:t>No. of Responses per Respondent</w:t>
            </w:r>
          </w:p>
        </w:tc>
        <w:tc>
          <w:tcPr>
            <w:tcW w:w="1350" w:type="dxa"/>
            <w:shd w:val="clear" w:color="auto" w:fill="D9D9D9" w:themeFill="background1" w:themeFillShade="D9"/>
            <w:vAlign w:val="center"/>
          </w:tcPr>
          <w:p w:rsidRPr="00C73BF6" w:rsidR="003B2200" w:rsidP="000058E0" w:rsidRDefault="003B2200" w14:paraId="4405076E" w14:textId="77777777">
            <w:pPr>
              <w:ind w:left="-18"/>
              <w:rPr>
                <w:b/>
                <w:sz w:val="20"/>
                <w:szCs w:val="20"/>
              </w:rPr>
            </w:pPr>
            <w:r w:rsidRPr="00C73BF6">
              <w:rPr>
                <w:b/>
                <w:sz w:val="20"/>
                <w:szCs w:val="20"/>
              </w:rPr>
              <w:t>Average Burden per Response (in hours)</w:t>
            </w:r>
          </w:p>
        </w:tc>
        <w:tc>
          <w:tcPr>
            <w:tcW w:w="990" w:type="dxa"/>
            <w:shd w:val="clear" w:color="auto" w:fill="D9D9D9" w:themeFill="background1" w:themeFillShade="D9"/>
            <w:vAlign w:val="center"/>
          </w:tcPr>
          <w:p w:rsidRPr="00C73BF6" w:rsidR="003B2200" w:rsidP="000058E0" w:rsidRDefault="003B2200" w14:paraId="0FFACE85" w14:textId="77777777">
            <w:pPr>
              <w:ind w:left="-18"/>
              <w:rPr>
                <w:b/>
                <w:sz w:val="20"/>
                <w:szCs w:val="20"/>
              </w:rPr>
            </w:pPr>
            <w:r w:rsidRPr="00C73BF6">
              <w:rPr>
                <w:b/>
                <w:sz w:val="20"/>
                <w:szCs w:val="20"/>
              </w:rPr>
              <w:t>Total Burden Hours</w:t>
            </w:r>
          </w:p>
        </w:tc>
        <w:tc>
          <w:tcPr>
            <w:tcW w:w="900" w:type="dxa"/>
            <w:shd w:val="clear" w:color="auto" w:fill="D9D9D9" w:themeFill="background1" w:themeFillShade="D9"/>
            <w:vAlign w:val="center"/>
          </w:tcPr>
          <w:p w:rsidRPr="00C73BF6" w:rsidR="003B2200" w:rsidP="000058E0" w:rsidRDefault="003B2200" w14:paraId="23D189B4" w14:textId="77777777">
            <w:pPr>
              <w:ind w:left="-18"/>
              <w:rPr>
                <w:b/>
                <w:sz w:val="20"/>
                <w:szCs w:val="20"/>
              </w:rPr>
            </w:pPr>
            <w:r w:rsidRPr="00C73BF6">
              <w:rPr>
                <w:b/>
                <w:sz w:val="20"/>
                <w:szCs w:val="20"/>
              </w:rPr>
              <w:t>Hourly Wage Rate</w:t>
            </w:r>
          </w:p>
        </w:tc>
        <w:tc>
          <w:tcPr>
            <w:tcW w:w="1350" w:type="dxa"/>
            <w:shd w:val="clear" w:color="auto" w:fill="D9D9D9" w:themeFill="background1" w:themeFillShade="D9"/>
            <w:vAlign w:val="center"/>
          </w:tcPr>
          <w:p w:rsidRPr="00C73BF6" w:rsidR="003B2200" w:rsidP="000058E0" w:rsidRDefault="003B2200" w14:paraId="389C7983" w14:textId="77777777">
            <w:pPr>
              <w:ind w:left="-18"/>
              <w:rPr>
                <w:b/>
                <w:sz w:val="20"/>
                <w:szCs w:val="20"/>
              </w:rPr>
            </w:pPr>
            <w:r w:rsidRPr="00C73BF6">
              <w:rPr>
                <w:b/>
                <w:sz w:val="20"/>
                <w:szCs w:val="20"/>
              </w:rPr>
              <w:t>Total Respondent Costs</w:t>
            </w:r>
          </w:p>
        </w:tc>
      </w:tr>
      <w:tr w:rsidRPr="00C73BF6" w:rsidR="00C73BF6" w:rsidTr="00A01104" w14:paraId="01292F86" w14:textId="77777777">
        <w:tc>
          <w:tcPr>
            <w:tcW w:w="1350" w:type="dxa"/>
          </w:tcPr>
          <w:p w:rsidRPr="00C73BF6" w:rsidR="00471642" w:rsidP="00932B7E" w:rsidRDefault="00D64855" w14:paraId="036B0B08" w14:textId="0F065992">
            <w:pPr>
              <w:ind w:left="0"/>
              <w:rPr>
                <w:sz w:val="20"/>
                <w:szCs w:val="20"/>
                <w:highlight w:val="yellow"/>
              </w:rPr>
            </w:pPr>
            <w:r w:rsidRPr="00C73BF6">
              <w:rPr>
                <w:rFonts w:ascii="Cambria" w:hAnsi="Cambria"/>
                <w:sz w:val="20"/>
                <w:szCs w:val="20"/>
              </w:rPr>
              <w:t xml:space="preserve">Pilot of Online Data Collection for SMA PT Screenshot of </w:t>
            </w:r>
            <w:r w:rsidRPr="00C73BF6">
              <w:rPr>
                <w:rFonts w:ascii="Cambria" w:hAnsi="Cambria"/>
                <w:sz w:val="20"/>
                <w:szCs w:val="20"/>
                <w:u w:val="single"/>
              </w:rPr>
              <w:t>Data Reporting Page</w:t>
            </w:r>
          </w:p>
        </w:tc>
        <w:tc>
          <w:tcPr>
            <w:tcW w:w="1350" w:type="dxa"/>
          </w:tcPr>
          <w:p w:rsidRPr="00C73BF6" w:rsidR="00471642" w:rsidP="00126AE8" w:rsidRDefault="00873FE6" w14:paraId="3C92D99E" w14:textId="41261C3A">
            <w:pPr>
              <w:ind w:left="0"/>
              <w:rPr>
                <w:sz w:val="20"/>
                <w:szCs w:val="20"/>
              </w:rPr>
            </w:pPr>
            <w:r w:rsidRPr="00C73BF6">
              <w:rPr>
                <w:sz w:val="20"/>
                <w:szCs w:val="20"/>
              </w:rPr>
              <w:t>Clinical</w:t>
            </w:r>
            <w:r w:rsidRPr="00C73BF6" w:rsidR="00126AE8">
              <w:rPr>
                <w:sz w:val="20"/>
                <w:szCs w:val="20"/>
              </w:rPr>
              <w:t xml:space="preserve"> Laboratory </w:t>
            </w:r>
            <w:r w:rsidRPr="00C73BF6">
              <w:rPr>
                <w:sz w:val="20"/>
                <w:szCs w:val="20"/>
              </w:rPr>
              <w:t>Technol</w:t>
            </w:r>
            <w:bookmarkStart w:name="_GoBack" w:id="18"/>
            <w:bookmarkEnd w:id="18"/>
            <w:r w:rsidRPr="00C73BF6">
              <w:rPr>
                <w:sz w:val="20"/>
                <w:szCs w:val="20"/>
              </w:rPr>
              <w:t>ogist</w:t>
            </w:r>
            <w:r w:rsidRPr="00C73BF6" w:rsidR="00126AE8">
              <w:rPr>
                <w:sz w:val="20"/>
                <w:szCs w:val="20"/>
              </w:rPr>
              <w:t xml:space="preserve"> or Technician</w:t>
            </w:r>
          </w:p>
        </w:tc>
        <w:tc>
          <w:tcPr>
            <w:tcW w:w="1440" w:type="dxa"/>
          </w:tcPr>
          <w:p w:rsidRPr="00C73BF6" w:rsidR="00471642" w:rsidP="00A1050C" w:rsidRDefault="00FE63DB" w14:paraId="68B36693" w14:textId="51DA7D08">
            <w:pPr>
              <w:ind w:left="0"/>
              <w:rPr>
                <w:sz w:val="20"/>
                <w:szCs w:val="20"/>
              </w:rPr>
            </w:pPr>
            <w:r w:rsidRPr="00C73BF6">
              <w:rPr>
                <w:sz w:val="20"/>
                <w:szCs w:val="20"/>
              </w:rPr>
              <w:t>40</w:t>
            </w:r>
          </w:p>
        </w:tc>
        <w:tc>
          <w:tcPr>
            <w:tcW w:w="1350" w:type="dxa"/>
          </w:tcPr>
          <w:p w:rsidRPr="00C73BF6" w:rsidR="00471642" w:rsidP="00471642" w:rsidRDefault="00471642" w14:paraId="45730FFC" w14:textId="61BD7F80">
            <w:pPr>
              <w:ind w:left="0"/>
              <w:rPr>
                <w:sz w:val="20"/>
                <w:szCs w:val="20"/>
              </w:rPr>
            </w:pPr>
            <w:r w:rsidRPr="00C73BF6">
              <w:rPr>
                <w:sz w:val="20"/>
                <w:szCs w:val="20"/>
              </w:rPr>
              <w:t>1</w:t>
            </w:r>
          </w:p>
        </w:tc>
        <w:tc>
          <w:tcPr>
            <w:tcW w:w="1350" w:type="dxa"/>
          </w:tcPr>
          <w:p w:rsidRPr="00C73BF6" w:rsidR="00471642" w:rsidP="00471642" w:rsidRDefault="00AD3621" w14:paraId="6A3916AD" w14:textId="7D058B5A">
            <w:pPr>
              <w:ind w:left="0"/>
              <w:rPr>
                <w:sz w:val="20"/>
                <w:szCs w:val="20"/>
              </w:rPr>
            </w:pPr>
            <w:r w:rsidRPr="00C73BF6">
              <w:rPr>
                <w:sz w:val="20"/>
                <w:szCs w:val="20"/>
              </w:rPr>
              <w:t xml:space="preserve">6 </w:t>
            </w:r>
            <w:r w:rsidRPr="00C73BF6" w:rsidR="00471642">
              <w:rPr>
                <w:sz w:val="20"/>
                <w:szCs w:val="20"/>
              </w:rPr>
              <w:t xml:space="preserve">/ 60 </w:t>
            </w:r>
          </w:p>
        </w:tc>
        <w:tc>
          <w:tcPr>
            <w:tcW w:w="990" w:type="dxa"/>
          </w:tcPr>
          <w:p w:rsidRPr="00C73BF6" w:rsidR="00471642" w:rsidP="00FE63DB" w:rsidRDefault="00AD3621" w14:paraId="2B27ECC6" w14:textId="58BFFB39">
            <w:pPr>
              <w:ind w:left="0"/>
              <w:rPr>
                <w:sz w:val="20"/>
                <w:szCs w:val="20"/>
              </w:rPr>
            </w:pPr>
            <w:r w:rsidRPr="00C73BF6">
              <w:rPr>
                <w:sz w:val="20"/>
                <w:szCs w:val="20"/>
              </w:rPr>
              <w:t>4</w:t>
            </w:r>
          </w:p>
        </w:tc>
        <w:tc>
          <w:tcPr>
            <w:tcW w:w="900" w:type="dxa"/>
          </w:tcPr>
          <w:p w:rsidRPr="00C73BF6" w:rsidR="00471642" w:rsidRDefault="004F6AFA" w14:paraId="35B3406C" w14:textId="457E4B5C">
            <w:pPr>
              <w:ind w:left="0"/>
              <w:rPr>
                <w:sz w:val="20"/>
                <w:szCs w:val="20"/>
              </w:rPr>
            </w:pPr>
            <w:r w:rsidRPr="00C73BF6">
              <w:rPr>
                <w:sz w:val="20"/>
                <w:szCs w:val="20"/>
              </w:rPr>
              <w:t>$</w:t>
            </w:r>
            <w:r w:rsidRPr="00C73BF6" w:rsidR="00FA4D74">
              <w:rPr>
                <w:sz w:val="20"/>
                <w:szCs w:val="20"/>
              </w:rPr>
              <w:t>52.68</w:t>
            </w:r>
          </w:p>
        </w:tc>
        <w:tc>
          <w:tcPr>
            <w:tcW w:w="1350" w:type="dxa"/>
          </w:tcPr>
          <w:p w:rsidRPr="00C73BF6" w:rsidR="00471642" w:rsidRDefault="004F6AFA" w14:paraId="38BB3691" w14:textId="5815A4EE">
            <w:pPr>
              <w:ind w:left="0"/>
              <w:rPr>
                <w:sz w:val="20"/>
                <w:szCs w:val="20"/>
              </w:rPr>
            </w:pPr>
            <w:r w:rsidRPr="00C73BF6">
              <w:rPr>
                <w:sz w:val="20"/>
                <w:szCs w:val="20"/>
              </w:rPr>
              <w:t>$</w:t>
            </w:r>
            <w:r w:rsidRPr="00C73BF6" w:rsidR="00AD3621">
              <w:rPr>
                <w:sz w:val="20"/>
                <w:szCs w:val="20"/>
              </w:rPr>
              <w:t>211</w:t>
            </w:r>
          </w:p>
        </w:tc>
      </w:tr>
      <w:tr w:rsidRPr="00C73BF6" w:rsidR="00C73BF6" w:rsidTr="00A01104" w14:paraId="5DD00F81" w14:textId="77777777">
        <w:tc>
          <w:tcPr>
            <w:tcW w:w="1350" w:type="dxa"/>
          </w:tcPr>
          <w:p w:rsidRPr="00C73BF6" w:rsidR="000058E0" w:rsidP="00932B7E" w:rsidRDefault="00D64855" w14:paraId="2410C8CD" w14:textId="51651587">
            <w:pPr>
              <w:ind w:left="0"/>
              <w:rPr>
                <w:sz w:val="20"/>
                <w:szCs w:val="20"/>
                <w:highlight w:val="yellow"/>
              </w:rPr>
            </w:pPr>
            <w:r w:rsidRPr="00C73BF6">
              <w:rPr>
                <w:rFonts w:ascii="Cambria" w:hAnsi="Cambria"/>
                <w:sz w:val="20"/>
                <w:szCs w:val="20"/>
              </w:rPr>
              <w:t xml:space="preserve">Pilot of Online Data Collection for SMA PT </w:t>
            </w:r>
            <w:r w:rsidRPr="00C73BF6">
              <w:rPr>
                <w:rFonts w:ascii="Cambria" w:hAnsi="Cambria"/>
                <w:sz w:val="20"/>
                <w:szCs w:val="20"/>
                <w:u w:val="single"/>
              </w:rPr>
              <w:t>Feedback Form</w:t>
            </w:r>
          </w:p>
        </w:tc>
        <w:tc>
          <w:tcPr>
            <w:tcW w:w="1350" w:type="dxa"/>
          </w:tcPr>
          <w:p w:rsidRPr="00C73BF6" w:rsidR="000058E0" w:rsidP="00126AE8" w:rsidRDefault="00126AE8" w14:paraId="32F41EE4" w14:textId="09AFAA44">
            <w:pPr>
              <w:ind w:left="0"/>
              <w:rPr>
                <w:sz w:val="20"/>
                <w:szCs w:val="20"/>
              </w:rPr>
            </w:pPr>
            <w:r w:rsidRPr="00C73BF6">
              <w:rPr>
                <w:sz w:val="20"/>
                <w:szCs w:val="20"/>
              </w:rPr>
              <w:t>Clinical Laboratory Technologist or Technician</w:t>
            </w:r>
          </w:p>
        </w:tc>
        <w:tc>
          <w:tcPr>
            <w:tcW w:w="1440" w:type="dxa"/>
          </w:tcPr>
          <w:p w:rsidRPr="00C73BF6" w:rsidR="000058E0" w:rsidP="00E41812" w:rsidRDefault="00FE63DB" w14:paraId="5A51DB91" w14:textId="7B48F1C2">
            <w:pPr>
              <w:ind w:left="0"/>
              <w:rPr>
                <w:sz w:val="20"/>
                <w:szCs w:val="20"/>
              </w:rPr>
            </w:pPr>
            <w:r w:rsidRPr="00C73BF6">
              <w:rPr>
                <w:sz w:val="20"/>
                <w:szCs w:val="20"/>
              </w:rPr>
              <w:t>40</w:t>
            </w:r>
          </w:p>
        </w:tc>
        <w:tc>
          <w:tcPr>
            <w:tcW w:w="1350" w:type="dxa"/>
          </w:tcPr>
          <w:p w:rsidRPr="00C73BF6" w:rsidR="000058E0" w:rsidP="00E41812" w:rsidRDefault="00E41812" w14:paraId="11613DDB" w14:textId="6DFD94CA">
            <w:pPr>
              <w:ind w:left="0"/>
              <w:rPr>
                <w:sz w:val="20"/>
                <w:szCs w:val="20"/>
              </w:rPr>
            </w:pPr>
            <w:r w:rsidRPr="00C73BF6">
              <w:rPr>
                <w:sz w:val="20"/>
                <w:szCs w:val="20"/>
              </w:rPr>
              <w:t>1</w:t>
            </w:r>
          </w:p>
        </w:tc>
        <w:tc>
          <w:tcPr>
            <w:tcW w:w="1350" w:type="dxa"/>
          </w:tcPr>
          <w:p w:rsidRPr="00C73BF6" w:rsidR="000058E0" w:rsidP="00E41812" w:rsidRDefault="00FE63DB" w14:paraId="5A8EB334" w14:textId="2A8A87C6">
            <w:pPr>
              <w:ind w:left="0"/>
              <w:rPr>
                <w:sz w:val="20"/>
                <w:szCs w:val="20"/>
              </w:rPr>
            </w:pPr>
            <w:r w:rsidRPr="00C73BF6">
              <w:rPr>
                <w:sz w:val="20"/>
                <w:szCs w:val="20"/>
              </w:rPr>
              <w:t>3</w:t>
            </w:r>
            <w:r w:rsidRPr="00C73BF6" w:rsidR="00E41812">
              <w:rPr>
                <w:sz w:val="20"/>
                <w:szCs w:val="20"/>
              </w:rPr>
              <w:t xml:space="preserve"> / 60 </w:t>
            </w:r>
          </w:p>
        </w:tc>
        <w:tc>
          <w:tcPr>
            <w:tcW w:w="990" w:type="dxa"/>
          </w:tcPr>
          <w:p w:rsidRPr="00C73BF6" w:rsidR="000058E0" w:rsidP="005A3933" w:rsidRDefault="00FE63DB" w14:paraId="2F7DB805" w14:textId="2C76A203">
            <w:pPr>
              <w:ind w:left="0"/>
              <w:rPr>
                <w:sz w:val="20"/>
                <w:szCs w:val="20"/>
              </w:rPr>
            </w:pPr>
            <w:r w:rsidRPr="00C73BF6">
              <w:rPr>
                <w:sz w:val="20"/>
                <w:szCs w:val="20"/>
              </w:rPr>
              <w:t>2</w:t>
            </w:r>
          </w:p>
        </w:tc>
        <w:tc>
          <w:tcPr>
            <w:tcW w:w="900" w:type="dxa"/>
          </w:tcPr>
          <w:p w:rsidRPr="00C73BF6" w:rsidR="000058E0" w:rsidP="00E41812" w:rsidRDefault="004F6AFA" w14:paraId="05096166" w14:textId="00529D27">
            <w:pPr>
              <w:ind w:left="0"/>
              <w:rPr>
                <w:sz w:val="20"/>
                <w:szCs w:val="20"/>
              </w:rPr>
            </w:pPr>
            <w:r w:rsidRPr="00C73BF6">
              <w:rPr>
                <w:sz w:val="20"/>
                <w:szCs w:val="20"/>
              </w:rPr>
              <w:t>$</w:t>
            </w:r>
            <w:r w:rsidRPr="00C73BF6" w:rsidR="00FA4D74">
              <w:rPr>
                <w:sz w:val="20"/>
                <w:szCs w:val="20"/>
              </w:rPr>
              <w:t>52.68</w:t>
            </w:r>
          </w:p>
        </w:tc>
        <w:tc>
          <w:tcPr>
            <w:tcW w:w="1350" w:type="dxa"/>
          </w:tcPr>
          <w:p w:rsidRPr="00C73BF6" w:rsidR="000058E0" w:rsidP="003842D7" w:rsidRDefault="004F6AFA" w14:paraId="53EA47C4" w14:textId="038F13E0">
            <w:pPr>
              <w:ind w:left="0"/>
              <w:rPr>
                <w:sz w:val="20"/>
                <w:szCs w:val="20"/>
              </w:rPr>
            </w:pPr>
            <w:r w:rsidRPr="00C73BF6">
              <w:rPr>
                <w:sz w:val="20"/>
                <w:szCs w:val="20"/>
              </w:rPr>
              <w:t>$</w:t>
            </w:r>
            <w:r w:rsidRPr="00C73BF6" w:rsidR="00873FE6">
              <w:rPr>
                <w:sz w:val="20"/>
                <w:szCs w:val="20"/>
              </w:rPr>
              <w:t>105</w:t>
            </w:r>
          </w:p>
        </w:tc>
      </w:tr>
      <w:tr w:rsidRPr="00C73BF6" w:rsidR="00C73BF6" w:rsidTr="00A01104" w14:paraId="59B5BF79" w14:textId="77777777">
        <w:trPr>
          <w:trHeight w:val="1072" w:hRule="exact"/>
        </w:trPr>
        <w:tc>
          <w:tcPr>
            <w:tcW w:w="1350" w:type="dxa"/>
          </w:tcPr>
          <w:p w:rsidRPr="00C73BF6" w:rsidR="003B2200" w:rsidP="000058E0" w:rsidRDefault="003B2200" w14:paraId="38FD8AD1" w14:textId="77777777">
            <w:pPr>
              <w:ind w:left="0"/>
              <w:rPr>
                <w:b/>
                <w:sz w:val="20"/>
                <w:szCs w:val="20"/>
                <w:highlight w:val="yellow"/>
              </w:rPr>
            </w:pPr>
          </w:p>
        </w:tc>
        <w:tc>
          <w:tcPr>
            <w:tcW w:w="1350" w:type="dxa"/>
            <w:vAlign w:val="center"/>
          </w:tcPr>
          <w:p w:rsidRPr="00C73BF6" w:rsidR="003B2200" w:rsidP="000058E0" w:rsidRDefault="003B2200" w14:paraId="71C3376F" w14:textId="77777777">
            <w:pPr>
              <w:ind w:left="0"/>
              <w:rPr>
                <w:b/>
                <w:sz w:val="20"/>
                <w:szCs w:val="20"/>
              </w:rPr>
            </w:pPr>
            <w:r w:rsidRPr="00C73BF6">
              <w:rPr>
                <w:b/>
                <w:sz w:val="20"/>
                <w:szCs w:val="20"/>
              </w:rPr>
              <w:t>TOTALS</w:t>
            </w:r>
          </w:p>
        </w:tc>
        <w:tc>
          <w:tcPr>
            <w:tcW w:w="1440" w:type="dxa"/>
            <w:vAlign w:val="center"/>
          </w:tcPr>
          <w:p w:rsidRPr="00C73BF6" w:rsidR="003B2200" w:rsidP="00EE54FA" w:rsidRDefault="00CB591C" w14:paraId="69329069" w14:textId="70911176">
            <w:pPr>
              <w:ind w:left="0"/>
              <w:rPr>
                <w:b/>
                <w:sz w:val="20"/>
                <w:szCs w:val="20"/>
              </w:rPr>
            </w:pPr>
            <w:r w:rsidRPr="00C73BF6">
              <w:rPr>
                <w:b/>
                <w:sz w:val="20"/>
                <w:szCs w:val="20"/>
              </w:rPr>
              <w:t>80</w:t>
            </w:r>
          </w:p>
        </w:tc>
        <w:tc>
          <w:tcPr>
            <w:tcW w:w="1350" w:type="dxa"/>
            <w:shd w:val="clear" w:color="auto" w:fill="auto"/>
            <w:vAlign w:val="center"/>
          </w:tcPr>
          <w:p w:rsidRPr="00C73BF6" w:rsidR="003B2200" w:rsidP="000058E0" w:rsidRDefault="00471642" w14:paraId="53DB0C59" w14:textId="41B5F90F">
            <w:pPr>
              <w:ind w:left="0"/>
              <w:rPr>
                <w:b/>
                <w:sz w:val="20"/>
                <w:szCs w:val="20"/>
              </w:rPr>
            </w:pPr>
            <w:r w:rsidRPr="00C73BF6">
              <w:rPr>
                <w:b/>
                <w:sz w:val="20"/>
                <w:szCs w:val="20"/>
              </w:rPr>
              <w:t>1</w:t>
            </w:r>
          </w:p>
        </w:tc>
        <w:tc>
          <w:tcPr>
            <w:tcW w:w="1350" w:type="dxa"/>
            <w:shd w:val="clear" w:color="auto" w:fill="D9D9D9" w:themeFill="background1" w:themeFillShade="D9"/>
            <w:vAlign w:val="center"/>
          </w:tcPr>
          <w:p w:rsidRPr="00C73BF6" w:rsidR="003B2200" w:rsidP="000058E0" w:rsidRDefault="003B2200" w14:paraId="15758402" w14:textId="77777777">
            <w:pPr>
              <w:ind w:left="0"/>
              <w:rPr>
                <w:b/>
                <w:sz w:val="20"/>
                <w:szCs w:val="20"/>
              </w:rPr>
            </w:pPr>
          </w:p>
        </w:tc>
        <w:tc>
          <w:tcPr>
            <w:tcW w:w="990" w:type="dxa"/>
            <w:vAlign w:val="center"/>
          </w:tcPr>
          <w:p w:rsidRPr="00C73BF6" w:rsidR="003B2200" w:rsidP="004F6AFA" w:rsidRDefault="00AD3621" w14:paraId="5855F3C0" w14:textId="2DF7B86E">
            <w:pPr>
              <w:ind w:left="0"/>
              <w:rPr>
                <w:b/>
                <w:sz w:val="20"/>
                <w:szCs w:val="20"/>
              </w:rPr>
            </w:pPr>
            <w:r w:rsidRPr="00C73BF6">
              <w:rPr>
                <w:b/>
                <w:sz w:val="20"/>
                <w:szCs w:val="20"/>
              </w:rPr>
              <w:t>6</w:t>
            </w:r>
          </w:p>
        </w:tc>
        <w:tc>
          <w:tcPr>
            <w:tcW w:w="900" w:type="dxa"/>
            <w:shd w:val="clear" w:color="auto" w:fill="D9D9D9" w:themeFill="background1" w:themeFillShade="D9"/>
            <w:vAlign w:val="center"/>
          </w:tcPr>
          <w:p w:rsidRPr="00C73BF6" w:rsidR="003B2200" w:rsidP="000058E0" w:rsidRDefault="003B2200" w14:paraId="74750156" w14:textId="77777777">
            <w:pPr>
              <w:ind w:left="0"/>
              <w:rPr>
                <w:b/>
                <w:sz w:val="20"/>
                <w:szCs w:val="20"/>
              </w:rPr>
            </w:pPr>
          </w:p>
        </w:tc>
        <w:tc>
          <w:tcPr>
            <w:tcW w:w="1350" w:type="dxa"/>
            <w:vAlign w:val="center"/>
          </w:tcPr>
          <w:p w:rsidRPr="00C73BF6" w:rsidR="003B2200" w:rsidRDefault="004F6AFA" w14:paraId="47C1325C" w14:textId="136B2C61">
            <w:pPr>
              <w:ind w:left="0"/>
              <w:rPr>
                <w:b/>
                <w:sz w:val="20"/>
                <w:szCs w:val="20"/>
              </w:rPr>
            </w:pPr>
            <w:r w:rsidRPr="00C73BF6">
              <w:rPr>
                <w:b/>
                <w:sz w:val="20"/>
                <w:szCs w:val="20"/>
              </w:rPr>
              <w:t>$</w:t>
            </w:r>
            <w:r w:rsidRPr="00C73BF6" w:rsidR="00AD3621">
              <w:rPr>
                <w:b/>
                <w:sz w:val="20"/>
                <w:szCs w:val="20"/>
              </w:rPr>
              <w:t>316</w:t>
            </w:r>
          </w:p>
        </w:tc>
      </w:tr>
    </w:tbl>
    <w:p w:rsidRPr="00C73BF6" w:rsidR="00130D45" w:rsidP="00383542" w:rsidRDefault="00130D45" w14:paraId="17012717" w14:textId="74EF9962">
      <w:pPr>
        <w:ind w:left="0"/>
      </w:pPr>
      <w:bookmarkStart w:name="_Toc427752826" w:id="19"/>
    </w:p>
    <w:p w:rsidRPr="00C73BF6" w:rsidR="00B12F51" w:rsidP="00692DEB" w:rsidRDefault="0088467A" w14:paraId="2F7E1199" w14:textId="77777777">
      <w:pPr>
        <w:pStyle w:val="Heading4"/>
      </w:pPr>
      <w:r w:rsidRPr="00C73BF6">
        <w:t>Estimates of Other Total Annual Cost Burden to Respondents or Record Keepers</w:t>
      </w:r>
      <w:bookmarkEnd w:id="19"/>
    </w:p>
    <w:p w:rsidRPr="00C73BF6" w:rsidR="003C31C9" w:rsidP="008B65FF" w:rsidRDefault="003C31C9" w14:paraId="1275F09A" w14:textId="5414E4B6">
      <w:pPr>
        <w:ind w:left="360"/>
      </w:pPr>
      <w:r w:rsidRPr="00C73BF6">
        <w:t xml:space="preserve">There will be no direct costs to the respondents other than their time to participate in each </w:t>
      </w:r>
      <w:r w:rsidRPr="00C73BF6" w:rsidR="002E2EDD">
        <w:t>data</w:t>
      </w:r>
      <w:r w:rsidRPr="00C73BF6" w:rsidR="00157413">
        <w:t xml:space="preserve"> collection</w:t>
      </w:r>
      <w:r w:rsidRPr="00C73BF6">
        <w:t>.</w:t>
      </w:r>
    </w:p>
    <w:p w:rsidRPr="00C73BF6" w:rsidR="00721719" w:rsidP="00692DEB" w:rsidRDefault="00721719" w14:paraId="720BF57C" w14:textId="2EDB05B7">
      <w:pPr>
        <w:ind w:left="0"/>
      </w:pPr>
    </w:p>
    <w:p w:rsidRPr="00C73BF6" w:rsidR="00383542" w:rsidP="00692DEB" w:rsidRDefault="00383542" w14:paraId="23771AEB" w14:textId="77777777">
      <w:pPr>
        <w:ind w:left="0"/>
      </w:pPr>
    </w:p>
    <w:p w:rsidRPr="00C73BF6" w:rsidR="00B12F51" w:rsidP="00692DEB" w:rsidRDefault="0088467A" w14:paraId="6A72193F" w14:textId="77777777">
      <w:pPr>
        <w:pStyle w:val="Heading4"/>
      </w:pPr>
      <w:bookmarkStart w:name="_Toc427752827" w:id="20"/>
      <w:r w:rsidRPr="00C73BF6">
        <w:t>Annualized Cost to the Government</w:t>
      </w:r>
      <w:bookmarkEnd w:id="20"/>
      <w:r w:rsidRPr="00C73BF6" w:rsidR="00D75750">
        <w:t xml:space="preserve"> </w:t>
      </w:r>
    </w:p>
    <w:p w:rsidRPr="00C73BF6" w:rsidR="008B65FF" w:rsidP="008B65FF" w:rsidRDefault="000058E0" w14:paraId="7B2F92B8" w14:textId="3384FFE9">
      <w:pPr>
        <w:ind w:left="360"/>
      </w:pPr>
      <w:r w:rsidRPr="00C73BF6">
        <w:rPr>
          <w:rFonts w:cs="Arial"/>
        </w:rPr>
        <w:t xml:space="preserve">There are no equipment or overhead costs.  The only cost to the federal government would be the salary of CDC staff </w:t>
      </w:r>
      <w:r w:rsidRPr="00C73BF6" w:rsidR="00CF6092">
        <w:rPr>
          <w:rFonts w:cs="Arial"/>
        </w:rPr>
        <w:t>to develop the data collection instrument, collect data, and perform data analysis</w:t>
      </w:r>
      <w:r w:rsidRPr="00C73BF6">
        <w:rPr>
          <w:rFonts w:cs="Arial"/>
        </w:rPr>
        <w:t>. The total estimated cost to the federal government is</w:t>
      </w:r>
      <w:r w:rsidRPr="00C73BF6" w:rsidR="008C59E7">
        <w:rPr>
          <w:rFonts w:cs="Arial"/>
        </w:rPr>
        <w:t xml:space="preserve"> $</w:t>
      </w:r>
      <w:r w:rsidRPr="00C73BF6" w:rsidR="009A1406">
        <w:rPr>
          <w:rFonts w:cs="Arial"/>
        </w:rPr>
        <w:t>1461</w:t>
      </w:r>
      <w:r w:rsidRPr="00C73BF6">
        <w:rPr>
          <w:rFonts w:cs="Arial"/>
        </w:rPr>
        <w:t>. Table A-14 describes how this cost estimate was calculated.</w:t>
      </w:r>
    </w:p>
    <w:p w:rsidRPr="00C73BF6" w:rsidR="008B65FF" w:rsidP="008B65FF" w:rsidRDefault="008B65FF" w14:paraId="6B1CA24A" w14:textId="77777777">
      <w:pPr>
        <w:ind w:left="360"/>
      </w:pPr>
    </w:p>
    <w:p w:rsidRPr="00C73BF6" w:rsidR="003C31C9" w:rsidP="008B65FF" w:rsidRDefault="008E0683" w14:paraId="351738C3" w14:textId="0D8B4D6A">
      <w:pPr>
        <w:ind w:left="360"/>
      </w:pPr>
      <w:r w:rsidRPr="00C73BF6">
        <w:rPr>
          <w:b/>
          <w:u w:val="single"/>
        </w:rPr>
        <w:t>Table A-14</w:t>
      </w:r>
      <w:r w:rsidRPr="00C73BF6">
        <w:rPr>
          <w:b/>
        </w:rPr>
        <w:t>:</w:t>
      </w:r>
      <w:r w:rsidRPr="00C73BF6">
        <w:t xml:space="preserve"> Estimated Annualized Cost to the Federal Government</w:t>
      </w:r>
    </w:p>
    <w:tbl>
      <w:tblPr>
        <w:tblStyle w:val="TableGrid"/>
        <w:tblW w:w="9434" w:type="dxa"/>
        <w:tblInd w:w="355" w:type="dxa"/>
        <w:tblLook w:val="04A0" w:firstRow="1" w:lastRow="0" w:firstColumn="1" w:lastColumn="0" w:noHBand="0" w:noVBand="1"/>
      </w:tblPr>
      <w:tblGrid>
        <w:gridCol w:w="4158"/>
        <w:gridCol w:w="1782"/>
        <w:gridCol w:w="1350"/>
        <w:gridCol w:w="236"/>
        <w:gridCol w:w="236"/>
        <w:gridCol w:w="1672"/>
      </w:tblGrid>
      <w:tr w:rsidRPr="00C73BF6" w:rsidR="00C73BF6" w:rsidTr="00CF6092" w14:paraId="6AEC53D1" w14:textId="77777777">
        <w:trPr>
          <w:trHeight w:val="593"/>
        </w:trPr>
        <w:tc>
          <w:tcPr>
            <w:tcW w:w="4158" w:type="dxa"/>
            <w:tcBorders>
              <w:bottom w:val="single" w:color="auto" w:sz="12" w:space="0"/>
            </w:tcBorders>
            <w:shd w:val="clear" w:color="auto" w:fill="D9D9D9" w:themeFill="background1" w:themeFillShade="D9"/>
            <w:vAlign w:val="center"/>
          </w:tcPr>
          <w:p w:rsidRPr="00C73BF6" w:rsidR="004841F1" w:rsidP="005D6F14" w:rsidRDefault="004841F1" w14:paraId="56E95EEA" w14:textId="77777777">
            <w:pPr>
              <w:ind w:left="0"/>
              <w:jc w:val="center"/>
              <w:rPr>
                <w:b/>
                <w:sz w:val="20"/>
                <w:szCs w:val="20"/>
              </w:rPr>
            </w:pPr>
            <w:r w:rsidRPr="00C73BF6">
              <w:rPr>
                <w:b/>
                <w:sz w:val="20"/>
                <w:szCs w:val="20"/>
              </w:rPr>
              <w:t>Staff (FTE)</w:t>
            </w:r>
          </w:p>
        </w:tc>
        <w:tc>
          <w:tcPr>
            <w:tcW w:w="1782" w:type="dxa"/>
            <w:tcBorders>
              <w:bottom w:val="single" w:color="auto" w:sz="12" w:space="0"/>
            </w:tcBorders>
            <w:shd w:val="clear" w:color="auto" w:fill="D9D9D9" w:themeFill="background1" w:themeFillShade="D9"/>
            <w:vAlign w:val="center"/>
          </w:tcPr>
          <w:p w:rsidRPr="00C73BF6" w:rsidR="004841F1" w:rsidP="005D6F14" w:rsidRDefault="004841F1" w14:paraId="51EB1B30" w14:textId="77777777">
            <w:pPr>
              <w:ind w:left="0"/>
              <w:jc w:val="center"/>
              <w:rPr>
                <w:b/>
                <w:sz w:val="20"/>
                <w:szCs w:val="20"/>
              </w:rPr>
            </w:pPr>
            <w:r w:rsidRPr="00C73BF6">
              <w:rPr>
                <w:b/>
                <w:sz w:val="20"/>
                <w:szCs w:val="20"/>
              </w:rPr>
              <w:t>Average Hours per Collection</w:t>
            </w:r>
          </w:p>
        </w:tc>
        <w:tc>
          <w:tcPr>
            <w:tcW w:w="1822" w:type="dxa"/>
            <w:gridSpan w:val="3"/>
            <w:tcBorders>
              <w:bottom w:val="single" w:color="auto" w:sz="12" w:space="0"/>
            </w:tcBorders>
            <w:shd w:val="clear" w:color="auto" w:fill="D9D9D9" w:themeFill="background1" w:themeFillShade="D9"/>
            <w:vAlign w:val="center"/>
          </w:tcPr>
          <w:p w:rsidRPr="00C73BF6" w:rsidR="004841F1" w:rsidP="005D6F14" w:rsidRDefault="004841F1" w14:paraId="437ED4A8" w14:textId="77777777">
            <w:pPr>
              <w:ind w:left="0"/>
              <w:jc w:val="center"/>
              <w:rPr>
                <w:b/>
                <w:sz w:val="20"/>
                <w:szCs w:val="20"/>
              </w:rPr>
            </w:pPr>
            <w:r w:rsidRPr="00C73BF6">
              <w:rPr>
                <w:b/>
                <w:sz w:val="20"/>
                <w:szCs w:val="20"/>
              </w:rPr>
              <w:t>Average Hourly Rate</w:t>
            </w:r>
          </w:p>
        </w:tc>
        <w:tc>
          <w:tcPr>
            <w:tcW w:w="1672" w:type="dxa"/>
            <w:tcBorders>
              <w:bottom w:val="single" w:color="auto" w:sz="12" w:space="0"/>
            </w:tcBorders>
            <w:shd w:val="clear" w:color="auto" w:fill="D9D9D9" w:themeFill="background1" w:themeFillShade="D9"/>
            <w:vAlign w:val="center"/>
          </w:tcPr>
          <w:p w:rsidRPr="00C73BF6" w:rsidR="004841F1" w:rsidP="005D6F14" w:rsidRDefault="003A2555" w14:paraId="73B11129" w14:textId="0D5D65AC">
            <w:pPr>
              <w:ind w:left="0"/>
              <w:jc w:val="center"/>
              <w:rPr>
                <w:b/>
                <w:sz w:val="20"/>
                <w:szCs w:val="20"/>
              </w:rPr>
            </w:pPr>
            <w:r w:rsidRPr="00C73BF6">
              <w:rPr>
                <w:b/>
                <w:sz w:val="20"/>
                <w:szCs w:val="20"/>
              </w:rPr>
              <w:t xml:space="preserve">Total </w:t>
            </w:r>
            <w:r w:rsidRPr="00C73BF6" w:rsidR="004841F1">
              <w:rPr>
                <w:b/>
                <w:sz w:val="20"/>
                <w:szCs w:val="20"/>
              </w:rPr>
              <w:t>Average Cost</w:t>
            </w:r>
          </w:p>
        </w:tc>
      </w:tr>
      <w:tr w:rsidRPr="00C73BF6" w:rsidR="00C73BF6" w:rsidTr="00CF6092" w14:paraId="1E2A53F1" w14:textId="77777777">
        <w:tc>
          <w:tcPr>
            <w:tcW w:w="4158" w:type="dxa"/>
            <w:tcBorders>
              <w:top w:val="single" w:color="auto" w:sz="12" w:space="0"/>
            </w:tcBorders>
          </w:tcPr>
          <w:p w:rsidRPr="00C73BF6" w:rsidR="00EE54FA" w:rsidP="00CA5840" w:rsidRDefault="0070039F" w14:paraId="59397728" w14:textId="59200488">
            <w:pPr>
              <w:ind w:left="0"/>
              <w:jc w:val="both"/>
              <w:rPr>
                <w:sz w:val="20"/>
                <w:szCs w:val="20"/>
              </w:rPr>
            </w:pPr>
            <w:r w:rsidRPr="00C73BF6">
              <w:rPr>
                <w:sz w:val="20"/>
                <w:szCs w:val="20"/>
              </w:rPr>
              <w:t>Biologist</w:t>
            </w:r>
            <w:r w:rsidRPr="00C73BF6" w:rsidR="00A1050C">
              <w:rPr>
                <w:sz w:val="20"/>
                <w:szCs w:val="20"/>
              </w:rPr>
              <w:t xml:space="preserve"> –</w:t>
            </w:r>
            <w:r w:rsidRPr="00C73BF6">
              <w:rPr>
                <w:sz w:val="20"/>
                <w:szCs w:val="20"/>
              </w:rPr>
              <w:t xml:space="preserve"> GS-</w:t>
            </w:r>
            <w:r w:rsidRPr="00C73BF6" w:rsidR="00533A1B">
              <w:rPr>
                <w:sz w:val="20"/>
                <w:szCs w:val="20"/>
              </w:rPr>
              <w:t>12</w:t>
            </w:r>
            <w:r w:rsidRPr="00C73BF6">
              <w:rPr>
                <w:sz w:val="20"/>
                <w:szCs w:val="20"/>
              </w:rPr>
              <w:t xml:space="preserve">, Step </w:t>
            </w:r>
            <w:r w:rsidRPr="00C73BF6" w:rsidR="00F727D5">
              <w:rPr>
                <w:sz w:val="20"/>
                <w:szCs w:val="20"/>
              </w:rPr>
              <w:t>1</w:t>
            </w:r>
            <w:r w:rsidRPr="00C73BF6" w:rsidR="00EE54FA">
              <w:rPr>
                <w:sz w:val="20"/>
                <w:szCs w:val="20"/>
              </w:rPr>
              <w:t>;</w:t>
            </w:r>
          </w:p>
          <w:p w:rsidRPr="00C73BF6" w:rsidR="00EE54FA" w:rsidP="00F933BB" w:rsidRDefault="00F933BB" w14:paraId="075877EF" w14:textId="66F0466A">
            <w:pPr>
              <w:ind w:left="0"/>
            </w:pPr>
            <w:r w:rsidRPr="00C73BF6">
              <w:rPr>
                <w:sz w:val="20"/>
              </w:rPr>
              <w:t>Data analysis and report generation</w:t>
            </w:r>
          </w:p>
        </w:tc>
        <w:tc>
          <w:tcPr>
            <w:tcW w:w="1782" w:type="dxa"/>
            <w:tcBorders>
              <w:top w:val="single" w:color="auto" w:sz="12" w:space="0"/>
            </w:tcBorders>
          </w:tcPr>
          <w:p w:rsidRPr="00C73BF6" w:rsidR="004841F1" w:rsidP="005A3933" w:rsidRDefault="00F933BB" w14:paraId="67FDBACD" w14:textId="0437F71B">
            <w:pPr>
              <w:ind w:left="0"/>
              <w:jc w:val="center"/>
              <w:rPr>
                <w:sz w:val="20"/>
                <w:szCs w:val="20"/>
              </w:rPr>
            </w:pPr>
            <w:r w:rsidRPr="00C73BF6">
              <w:rPr>
                <w:sz w:val="20"/>
                <w:szCs w:val="20"/>
              </w:rPr>
              <w:t>1</w:t>
            </w:r>
          </w:p>
        </w:tc>
        <w:tc>
          <w:tcPr>
            <w:tcW w:w="1822" w:type="dxa"/>
            <w:gridSpan w:val="3"/>
            <w:tcBorders>
              <w:top w:val="single" w:color="auto" w:sz="12" w:space="0"/>
            </w:tcBorders>
          </w:tcPr>
          <w:p w:rsidRPr="00C73BF6" w:rsidR="004841F1" w:rsidP="00F933BB" w:rsidRDefault="003A2555" w14:paraId="0BF44668" w14:textId="3BDFB6E2">
            <w:pPr>
              <w:ind w:left="0"/>
              <w:rPr>
                <w:sz w:val="20"/>
                <w:szCs w:val="20"/>
              </w:rPr>
            </w:pPr>
            <w:r w:rsidRPr="00C73BF6">
              <w:rPr>
                <w:sz w:val="20"/>
                <w:szCs w:val="20"/>
              </w:rPr>
              <w:t>$</w:t>
            </w:r>
            <w:r w:rsidRPr="00C73BF6" w:rsidR="00F933BB">
              <w:rPr>
                <w:sz w:val="20"/>
                <w:szCs w:val="20"/>
              </w:rPr>
              <w:t>38.73</w:t>
            </w:r>
            <w:r w:rsidRPr="00C73BF6" w:rsidR="005A3933">
              <w:rPr>
                <w:sz w:val="20"/>
                <w:szCs w:val="20"/>
              </w:rPr>
              <w:t xml:space="preserve"> /hour</w:t>
            </w:r>
          </w:p>
        </w:tc>
        <w:tc>
          <w:tcPr>
            <w:tcW w:w="1672" w:type="dxa"/>
            <w:tcBorders>
              <w:top w:val="single" w:color="auto" w:sz="12" w:space="0"/>
            </w:tcBorders>
          </w:tcPr>
          <w:p w:rsidRPr="00C73BF6" w:rsidR="004841F1" w:rsidP="00EB7019" w:rsidRDefault="003A2555" w14:paraId="353DC7E4" w14:textId="7BBE57BA">
            <w:pPr>
              <w:ind w:left="0"/>
              <w:rPr>
                <w:sz w:val="20"/>
                <w:szCs w:val="20"/>
              </w:rPr>
            </w:pPr>
            <w:r w:rsidRPr="00C73BF6">
              <w:rPr>
                <w:sz w:val="20"/>
                <w:szCs w:val="20"/>
              </w:rPr>
              <w:t>$</w:t>
            </w:r>
            <w:r w:rsidRPr="00C73BF6" w:rsidR="00EB7019">
              <w:rPr>
                <w:sz w:val="20"/>
                <w:szCs w:val="20"/>
              </w:rPr>
              <w:t>39</w:t>
            </w:r>
          </w:p>
        </w:tc>
      </w:tr>
      <w:tr w:rsidRPr="00C73BF6" w:rsidR="00C73BF6" w:rsidTr="00CF6092" w14:paraId="77A2FDA5" w14:textId="77777777">
        <w:tc>
          <w:tcPr>
            <w:tcW w:w="4158" w:type="dxa"/>
            <w:tcBorders>
              <w:top w:val="single" w:color="auto" w:sz="12" w:space="0"/>
            </w:tcBorders>
          </w:tcPr>
          <w:p w:rsidRPr="00C73BF6" w:rsidR="00EB7019" w:rsidP="00EB7019" w:rsidRDefault="00EB7019" w14:paraId="02FD95F0" w14:textId="05DD16A5">
            <w:pPr>
              <w:ind w:left="0"/>
              <w:jc w:val="both"/>
              <w:rPr>
                <w:sz w:val="20"/>
                <w:szCs w:val="20"/>
              </w:rPr>
            </w:pPr>
            <w:r w:rsidRPr="00C73BF6">
              <w:rPr>
                <w:sz w:val="20"/>
                <w:szCs w:val="20"/>
              </w:rPr>
              <w:t>Research Biologist – GS-12, Step 1;</w:t>
            </w:r>
          </w:p>
          <w:p w:rsidRPr="00C73BF6" w:rsidR="00EB7019" w:rsidP="00CA5840" w:rsidRDefault="00EB7019" w14:paraId="075CD610" w14:textId="480FF5D4">
            <w:pPr>
              <w:ind w:left="0"/>
              <w:jc w:val="both"/>
              <w:rPr>
                <w:sz w:val="20"/>
                <w:szCs w:val="20"/>
              </w:rPr>
            </w:pPr>
            <w:r w:rsidRPr="00C73BF6">
              <w:rPr>
                <w:sz w:val="20"/>
              </w:rPr>
              <w:t>Data analysis and report generation</w:t>
            </w:r>
          </w:p>
        </w:tc>
        <w:tc>
          <w:tcPr>
            <w:tcW w:w="1782" w:type="dxa"/>
            <w:tcBorders>
              <w:top w:val="single" w:color="auto" w:sz="12" w:space="0"/>
            </w:tcBorders>
          </w:tcPr>
          <w:p w:rsidRPr="00C73BF6" w:rsidR="00EB7019" w:rsidP="005A3933" w:rsidRDefault="00EB7019" w14:paraId="0F8CE23B" w14:textId="31179D14">
            <w:pPr>
              <w:ind w:left="0"/>
              <w:jc w:val="center"/>
              <w:rPr>
                <w:sz w:val="20"/>
                <w:szCs w:val="20"/>
              </w:rPr>
            </w:pPr>
            <w:r w:rsidRPr="00C73BF6">
              <w:rPr>
                <w:sz w:val="20"/>
                <w:szCs w:val="20"/>
              </w:rPr>
              <w:t>17</w:t>
            </w:r>
          </w:p>
        </w:tc>
        <w:tc>
          <w:tcPr>
            <w:tcW w:w="1822" w:type="dxa"/>
            <w:gridSpan w:val="3"/>
            <w:tcBorders>
              <w:top w:val="single" w:color="auto" w:sz="12" w:space="0"/>
            </w:tcBorders>
          </w:tcPr>
          <w:p w:rsidRPr="00C73BF6" w:rsidR="00EB7019" w:rsidP="00F933BB" w:rsidRDefault="00EB7019" w14:paraId="2ACFB0AD" w14:textId="5A18BFD9">
            <w:pPr>
              <w:ind w:left="0"/>
              <w:rPr>
                <w:sz w:val="20"/>
                <w:szCs w:val="20"/>
              </w:rPr>
            </w:pPr>
            <w:r w:rsidRPr="00C73BF6">
              <w:rPr>
                <w:sz w:val="20"/>
                <w:szCs w:val="20"/>
              </w:rPr>
              <w:t>$38.73 /hour</w:t>
            </w:r>
          </w:p>
        </w:tc>
        <w:tc>
          <w:tcPr>
            <w:tcW w:w="1672" w:type="dxa"/>
            <w:tcBorders>
              <w:top w:val="single" w:color="auto" w:sz="12" w:space="0"/>
            </w:tcBorders>
          </w:tcPr>
          <w:p w:rsidRPr="00C73BF6" w:rsidR="00EB7019" w:rsidP="00F933BB" w:rsidRDefault="00EB7019" w14:paraId="7CB99C02" w14:textId="2C5CE3F4">
            <w:pPr>
              <w:ind w:left="0"/>
              <w:rPr>
                <w:sz w:val="20"/>
                <w:szCs w:val="20"/>
              </w:rPr>
            </w:pPr>
            <w:r w:rsidRPr="00C73BF6">
              <w:rPr>
                <w:sz w:val="20"/>
                <w:szCs w:val="20"/>
              </w:rPr>
              <w:t>$658</w:t>
            </w:r>
          </w:p>
        </w:tc>
      </w:tr>
      <w:tr w:rsidRPr="00C73BF6" w:rsidR="00C73BF6" w:rsidTr="00CF6092" w14:paraId="772E6755" w14:textId="77777777">
        <w:tc>
          <w:tcPr>
            <w:tcW w:w="4158" w:type="dxa"/>
            <w:tcBorders>
              <w:top w:val="single" w:color="auto" w:sz="12" w:space="0"/>
            </w:tcBorders>
          </w:tcPr>
          <w:p w:rsidRPr="00C73BF6" w:rsidR="00F727D5" w:rsidP="00F727D5" w:rsidRDefault="00F727D5" w14:paraId="6013F4A6" w14:textId="6CEBA961">
            <w:pPr>
              <w:ind w:left="0"/>
              <w:jc w:val="both"/>
              <w:rPr>
                <w:sz w:val="20"/>
                <w:szCs w:val="20"/>
              </w:rPr>
            </w:pPr>
            <w:r w:rsidRPr="00C73BF6">
              <w:rPr>
                <w:sz w:val="20"/>
                <w:szCs w:val="20"/>
              </w:rPr>
              <w:t>Quality Manager –</w:t>
            </w:r>
            <w:r w:rsidRPr="00C73BF6" w:rsidR="0070039F">
              <w:rPr>
                <w:sz w:val="20"/>
                <w:szCs w:val="20"/>
              </w:rPr>
              <w:t xml:space="preserve"> GS-</w:t>
            </w:r>
            <w:r w:rsidRPr="00C73BF6">
              <w:rPr>
                <w:sz w:val="20"/>
                <w:szCs w:val="20"/>
              </w:rPr>
              <w:t>12</w:t>
            </w:r>
            <w:r w:rsidRPr="00C73BF6" w:rsidR="0070039F">
              <w:rPr>
                <w:sz w:val="20"/>
                <w:szCs w:val="20"/>
              </w:rPr>
              <w:t xml:space="preserve">, Step </w:t>
            </w:r>
            <w:r w:rsidRPr="00C73BF6">
              <w:rPr>
                <w:sz w:val="20"/>
                <w:szCs w:val="20"/>
              </w:rPr>
              <w:t>9;</w:t>
            </w:r>
          </w:p>
          <w:p w:rsidRPr="00C73BF6" w:rsidR="00F727D5" w:rsidP="00F727D5" w:rsidRDefault="00F727D5" w14:paraId="14EAD1A0" w14:textId="6C41FF38">
            <w:pPr>
              <w:ind w:left="0"/>
              <w:jc w:val="both"/>
              <w:rPr>
                <w:sz w:val="20"/>
                <w:szCs w:val="20"/>
              </w:rPr>
            </w:pPr>
            <w:r w:rsidRPr="00C73BF6">
              <w:rPr>
                <w:sz w:val="20"/>
              </w:rPr>
              <w:t>Develop the OMB package</w:t>
            </w:r>
          </w:p>
        </w:tc>
        <w:tc>
          <w:tcPr>
            <w:tcW w:w="1782" w:type="dxa"/>
            <w:tcBorders>
              <w:top w:val="single" w:color="auto" w:sz="12" w:space="0"/>
            </w:tcBorders>
          </w:tcPr>
          <w:p w:rsidRPr="00C73BF6" w:rsidR="00F727D5" w:rsidP="005A3933" w:rsidRDefault="001A4122" w14:paraId="0F78A8EA" w14:textId="2B77CE68">
            <w:pPr>
              <w:ind w:left="0"/>
              <w:jc w:val="center"/>
              <w:rPr>
                <w:sz w:val="20"/>
                <w:szCs w:val="20"/>
              </w:rPr>
            </w:pPr>
            <w:r w:rsidRPr="00C73BF6">
              <w:rPr>
                <w:sz w:val="20"/>
                <w:szCs w:val="20"/>
              </w:rPr>
              <w:t>8</w:t>
            </w:r>
          </w:p>
        </w:tc>
        <w:tc>
          <w:tcPr>
            <w:tcW w:w="1822" w:type="dxa"/>
            <w:gridSpan w:val="3"/>
            <w:tcBorders>
              <w:top w:val="single" w:color="auto" w:sz="12" w:space="0"/>
            </w:tcBorders>
          </w:tcPr>
          <w:p w:rsidRPr="00C73BF6" w:rsidR="00F727D5" w:rsidP="00BF0A3A" w:rsidRDefault="00F727D5" w14:paraId="22F4DEEB" w14:textId="142ADAF6">
            <w:pPr>
              <w:ind w:left="0"/>
              <w:rPr>
                <w:sz w:val="20"/>
                <w:szCs w:val="20"/>
              </w:rPr>
            </w:pPr>
            <w:r w:rsidRPr="00C73BF6">
              <w:rPr>
                <w:sz w:val="20"/>
                <w:szCs w:val="20"/>
              </w:rPr>
              <w:t>$</w:t>
            </w:r>
            <w:r w:rsidRPr="00C73BF6" w:rsidR="00BF0A3A">
              <w:rPr>
                <w:sz w:val="20"/>
                <w:szCs w:val="20"/>
              </w:rPr>
              <w:t>49.22</w:t>
            </w:r>
            <w:r w:rsidRPr="00C73BF6">
              <w:rPr>
                <w:sz w:val="20"/>
                <w:szCs w:val="20"/>
              </w:rPr>
              <w:t xml:space="preserve"> /hour</w:t>
            </w:r>
          </w:p>
        </w:tc>
        <w:tc>
          <w:tcPr>
            <w:tcW w:w="1672" w:type="dxa"/>
            <w:tcBorders>
              <w:top w:val="single" w:color="auto" w:sz="12" w:space="0"/>
            </w:tcBorders>
          </w:tcPr>
          <w:p w:rsidRPr="00C73BF6" w:rsidR="00F727D5" w:rsidRDefault="00F727D5" w14:paraId="2718A2E8" w14:textId="71BDE614">
            <w:pPr>
              <w:ind w:left="0"/>
              <w:rPr>
                <w:sz w:val="20"/>
                <w:szCs w:val="20"/>
              </w:rPr>
            </w:pPr>
            <w:r w:rsidRPr="00C73BF6">
              <w:rPr>
                <w:sz w:val="20"/>
                <w:szCs w:val="20"/>
              </w:rPr>
              <w:t>$</w:t>
            </w:r>
            <w:r w:rsidRPr="00C73BF6" w:rsidR="001A4122">
              <w:rPr>
                <w:sz w:val="20"/>
                <w:szCs w:val="20"/>
              </w:rPr>
              <w:t>394</w:t>
            </w:r>
          </w:p>
        </w:tc>
      </w:tr>
      <w:tr w:rsidRPr="00C73BF6" w:rsidR="00C73BF6" w:rsidTr="00CF6092" w14:paraId="0D082FFC" w14:textId="77777777">
        <w:tc>
          <w:tcPr>
            <w:tcW w:w="4158" w:type="dxa"/>
          </w:tcPr>
          <w:p w:rsidRPr="00C73BF6" w:rsidR="00F727D5" w:rsidP="00F727D5" w:rsidRDefault="0070039F" w14:paraId="7725E8BC" w14:textId="38EC8802">
            <w:pPr>
              <w:ind w:left="0"/>
              <w:jc w:val="both"/>
              <w:rPr>
                <w:sz w:val="20"/>
                <w:szCs w:val="20"/>
              </w:rPr>
            </w:pPr>
            <w:r w:rsidRPr="00C73BF6">
              <w:rPr>
                <w:sz w:val="20"/>
                <w:szCs w:val="20"/>
              </w:rPr>
              <w:t>Research Biologist</w:t>
            </w:r>
            <w:r w:rsidRPr="00C73BF6" w:rsidR="00F727D5">
              <w:rPr>
                <w:sz w:val="20"/>
                <w:szCs w:val="20"/>
              </w:rPr>
              <w:t xml:space="preserve"> –</w:t>
            </w:r>
            <w:r w:rsidRPr="00C73BF6">
              <w:rPr>
                <w:sz w:val="20"/>
                <w:szCs w:val="20"/>
              </w:rPr>
              <w:t xml:space="preserve"> GS-</w:t>
            </w:r>
            <w:r w:rsidRPr="00C73BF6" w:rsidR="00F727D5">
              <w:rPr>
                <w:sz w:val="20"/>
                <w:szCs w:val="20"/>
              </w:rPr>
              <w:t>12</w:t>
            </w:r>
            <w:r w:rsidRPr="00C73BF6">
              <w:rPr>
                <w:sz w:val="20"/>
                <w:szCs w:val="20"/>
              </w:rPr>
              <w:t xml:space="preserve">, Step </w:t>
            </w:r>
            <w:r w:rsidRPr="00C73BF6" w:rsidR="00F727D5">
              <w:rPr>
                <w:sz w:val="20"/>
                <w:szCs w:val="20"/>
              </w:rPr>
              <w:t>10;</w:t>
            </w:r>
          </w:p>
          <w:p w:rsidRPr="00C73BF6" w:rsidR="00046CCD" w:rsidP="00F727D5" w:rsidRDefault="00F727D5" w14:paraId="58E2FD6C" w14:textId="784A38BF">
            <w:pPr>
              <w:ind w:left="0"/>
              <w:rPr>
                <w:szCs w:val="20"/>
              </w:rPr>
            </w:pPr>
            <w:r w:rsidRPr="00C73BF6">
              <w:rPr>
                <w:sz w:val="20"/>
              </w:rPr>
              <w:t>Data Analysis</w:t>
            </w:r>
          </w:p>
        </w:tc>
        <w:tc>
          <w:tcPr>
            <w:tcW w:w="1782" w:type="dxa"/>
          </w:tcPr>
          <w:p w:rsidRPr="00C73BF6" w:rsidR="004841F1" w:rsidP="005A3933" w:rsidRDefault="001A4122" w14:paraId="1720ECE8" w14:textId="1D308CF2">
            <w:pPr>
              <w:ind w:left="0"/>
              <w:jc w:val="center"/>
              <w:rPr>
                <w:sz w:val="20"/>
                <w:szCs w:val="20"/>
              </w:rPr>
            </w:pPr>
            <w:r w:rsidRPr="00C73BF6">
              <w:rPr>
                <w:sz w:val="20"/>
                <w:szCs w:val="20"/>
              </w:rPr>
              <w:t>0.5</w:t>
            </w:r>
          </w:p>
        </w:tc>
        <w:tc>
          <w:tcPr>
            <w:tcW w:w="1822" w:type="dxa"/>
            <w:gridSpan w:val="3"/>
          </w:tcPr>
          <w:p w:rsidRPr="00C73BF6" w:rsidR="004841F1" w:rsidP="005A3933" w:rsidRDefault="003A2555" w14:paraId="2D109371" w14:textId="7B3BDE2A">
            <w:pPr>
              <w:ind w:left="0"/>
              <w:rPr>
                <w:sz w:val="20"/>
                <w:szCs w:val="20"/>
              </w:rPr>
            </w:pPr>
            <w:r w:rsidRPr="00C73BF6">
              <w:rPr>
                <w:sz w:val="20"/>
                <w:szCs w:val="20"/>
              </w:rPr>
              <w:t>$</w:t>
            </w:r>
            <w:r w:rsidRPr="00C73BF6" w:rsidR="00F933BB">
              <w:rPr>
                <w:sz w:val="20"/>
                <w:szCs w:val="20"/>
              </w:rPr>
              <w:t>50.35</w:t>
            </w:r>
            <w:r w:rsidRPr="00C73BF6" w:rsidR="004F6AFA">
              <w:rPr>
                <w:sz w:val="20"/>
                <w:szCs w:val="20"/>
              </w:rPr>
              <w:t xml:space="preserve"> / hour</w:t>
            </w:r>
          </w:p>
          <w:p w:rsidRPr="00C73BF6" w:rsidR="005A3933" w:rsidP="005A3933" w:rsidRDefault="005A3933" w14:paraId="652D3D7F" w14:textId="1C0DDA2C">
            <w:pPr>
              <w:ind w:left="0"/>
              <w:rPr>
                <w:sz w:val="20"/>
                <w:szCs w:val="20"/>
              </w:rPr>
            </w:pPr>
          </w:p>
        </w:tc>
        <w:tc>
          <w:tcPr>
            <w:tcW w:w="1672" w:type="dxa"/>
          </w:tcPr>
          <w:p w:rsidRPr="00C73BF6" w:rsidR="004841F1" w:rsidRDefault="003A2555" w14:paraId="139D1A57" w14:textId="79778D85">
            <w:pPr>
              <w:ind w:left="0"/>
              <w:rPr>
                <w:sz w:val="20"/>
                <w:szCs w:val="20"/>
              </w:rPr>
            </w:pPr>
            <w:r w:rsidRPr="00C73BF6">
              <w:rPr>
                <w:sz w:val="20"/>
                <w:szCs w:val="20"/>
              </w:rPr>
              <w:t>$</w:t>
            </w:r>
            <w:r w:rsidRPr="00C73BF6" w:rsidR="00367506">
              <w:rPr>
                <w:sz w:val="20"/>
                <w:szCs w:val="20"/>
              </w:rPr>
              <w:t>25</w:t>
            </w:r>
          </w:p>
        </w:tc>
      </w:tr>
      <w:tr w:rsidRPr="00C73BF6" w:rsidR="00C73BF6" w:rsidTr="00CF6092" w14:paraId="51DBE4C0" w14:textId="77777777">
        <w:tc>
          <w:tcPr>
            <w:tcW w:w="4158" w:type="dxa"/>
          </w:tcPr>
          <w:p w:rsidRPr="00C73BF6" w:rsidR="00F727D5" w:rsidP="00F727D5" w:rsidRDefault="00F727D5" w14:paraId="143B9A68" w14:textId="4F2CD04C">
            <w:pPr>
              <w:ind w:left="0"/>
              <w:jc w:val="both"/>
              <w:rPr>
                <w:sz w:val="20"/>
                <w:szCs w:val="20"/>
              </w:rPr>
            </w:pPr>
            <w:r w:rsidRPr="00C73BF6">
              <w:rPr>
                <w:sz w:val="20"/>
                <w:szCs w:val="20"/>
              </w:rPr>
              <w:t>Lab Chief –</w:t>
            </w:r>
            <w:r w:rsidRPr="00C73BF6" w:rsidR="0070039F">
              <w:rPr>
                <w:sz w:val="20"/>
                <w:szCs w:val="20"/>
              </w:rPr>
              <w:t xml:space="preserve"> GS-</w:t>
            </w:r>
            <w:r w:rsidRPr="00C73BF6">
              <w:rPr>
                <w:sz w:val="20"/>
                <w:szCs w:val="20"/>
              </w:rPr>
              <w:t>14</w:t>
            </w:r>
            <w:r w:rsidRPr="00C73BF6" w:rsidR="0070039F">
              <w:rPr>
                <w:sz w:val="20"/>
                <w:szCs w:val="20"/>
              </w:rPr>
              <w:t xml:space="preserve">, Step </w:t>
            </w:r>
            <w:r w:rsidRPr="00C73BF6">
              <w:rPr>
                <w:sz w:val="20"/>
                <w:szCs w:val="20"/>
              </w:rPr>
              <w:t>9;</w:t>
            </w:r>
          </w:p>
          <w:p w:rsidRPr="00C73BF6" w:rsidR="00F727D5" w:rsidP="00F727D5" w:rsidRDefault="00F727D5" w14:paraId="0B00351C" w14:textId="29FABC39">
            <w:pPr>
              <w:ind w:left="0"/>
              <w:jc w:val="both"/>
              <w:rPr>
                <w:sz w:val="20"/>
                <w:szCs w:val="20"/>
              </w:rPr>
            </w:pPr>
            <w:r w:rsidRPr="00C73BF6">
              <w:rPr>
                <w:sz w:val="20"/>
              </w:rPr>
              <w:t>Plan and implement data collection</w:t>
            </w:r>
            <w:r w:rsidRPr="00C73BF6" w:rsidR="00F933BB">
              <w:rPr>
                <w:sz w:val="20"/>
              </w:rPr>
              <w:t>; develop summary report</w:t>
            </w:r>
          </w:p>
        </w:tc>
        <w:tc>
          <w:tcPr>
            <w:tcW w:w="1782" w:type="dxa"/>
          </w:tcPr>
          <w:p w:rsidRPr="00C73BF6" w:rsidR="00F727D5" w:rsidP="005A3933" w:rsidRDefault="00367506" w14:paraId="22022992" w14:textId="7A7D3228">
            <w:pPr>
              <w:ind w:left="0"/>
              <w:jc w:val="center"/>
              <w:rPr>
                <w:sz w:val="20"/>
                <w:szCs w:val="20"/>
              </w:rPr>
            </w:pPr>
            <w:r w:rsidRPr="00C73BF6">
              <w:rPr>
                <w:sz w:val="20"/>
                <w:szCs w:val="20"/>
              </w:rPr>
              <w:t>5</w:t>
            </w:r>
          </w:p>
        </w:tc>
        <w:tc>
          <w:tcPr>
            <w:tcW w:w="1822" w:type="dxa"/>
            <w:gridSpan w:val="3"/>
          </w:tcPr>
          <w:p w:rsidRPr="00C73BF6" w:rsidR="00F727D5" w:rsidP="00F933BB" w:rsidRDefault="00F933BB" w14:paraId="48019AEF" w14:textId="13D0E937">
            <w:pPr>
              <w:ind w:left="0"/>
              <w:rPr>
                <w:sz w:val="20"/>
                <w:szCs w:val="20"/>
              </w:rPr>
            </w:pPr>
            <w:r w:rsidRPr="00C73BF6">
              <w:rPr>
                <w:sz w:val="20"/>
                <w:szCs w:val="20"/>
              </w:rPr>
              <w:t>$68.93 /hour</w:t>
            </w:r>
          </w:p>
        </w:tc>
        <w:tc>
          <w:tcPr>
            <w:tcW w:w="1672" w:type="dxa"/>
          </w:tcPr>
          <w:p w:rsidRPr="00C73BF6" w:rsidR="00F727D5" w:rsidRDefault="00F727D5" w14:paraId="00A194F3" w14:textId="289261B9">
            <w:pPr>
              <w:ind w:left="0"/>
              <w:rPr>
                <w:sz w:val="20"/>
                <w:szCs w:val="20"/>
              </w:rPr>
            </w:pPr>
            <w:r w:rsidRPr="00C73BF6">
              <w:rPr>
                <w:sz w:val="20"/>
                <w:szCs w:val="20"/>
              </w:rPr>
              <w:t>$</w:t>
            </w:r>
            <w:r w:rsidRPr="00C73BF6" w:rsidR="00367506">
              <w:rPr>
                <w:sz w:val="20"/>
                <w:szCs w:val="20"/>
              </w:rPr>
              <w:t>345</w:t>
            </w:r>
          </w:p>
        </w:tc>
      </w:tr>
      <w:tr w:rsidRPr="00C73BF6" w:rsidR="005D6F14" w:rsidTr="00CF6092" w14:paraId="0FF5F86F" w14:textId="77777777">
        <w:trPr>
          <w:trHeight w:val="332"/>
        </w:trPr>
        <w:tc>
          <w:tcPr>
            <w:tcW w:w="7290" w:type="dxa"/>
            <w:gridSpan w:val="3"/>
            <w:tcBorders>
              <w:right w:val="nil"/>
            </w:tcBorders>
            <w:vAlign w:val="center"/>
          </w:tcPr>
          <w:p w:rsidRPr="00C73BF6" w:rsidR="005D6F14" w:rsidP="005D6F14" w:rsidRDefault="005D6F14" w14:paraId="0EC59306" w14:textId="77777777">
            <w:pPr>
              <w:ind w:left="0"/>
              <w:jc w:val="right"/>
              <w:rPr>
                <w:b/>
                <w:sz w:val="20"/>
                <w:szCs w:val="20"/>
              </w:rPr>
            </w:pPr>
            <w:r w:rsidRPr="00C73BF6">
              <w:rPr>
                <w:b/>
                <w:sz w:val="20"/>
                <w:szCs w:val="20"/>
              </w:rPr>
              <w:t>Estimated Total Cost of Information Collection</w:t>
            </w:r>
          </w:p>
        </w:tc>
        <w:tc>
          <w:tcPr>
            <w:tcW w:w="236" w:type="dxa"/>
            <w:tcBorders>
              <w:left w:val="nil"/>
              <w:right w:val="nil"/>
            </w:tcBorders>
            <w:vAlign w:val="center"/>
          </w:tcPr>
          <w:p w:rsidRPr="00C73BF6" w:rsidR="005D6F14" w:rsidP="00CA5840" w:rsidRDefault="005D6F14" w14:paraId="4CA60A19" w14:textId="77777777">
            <w:pPr>
              <w:ind w:left="0"/>
              <w:rPr>
                <w:b/>
                <w:sz w:val="20"/>
                <w:szCs w:val="20"/>
              </w:rPr>
            </w:pPr>
          </w:p>
        </w:tc>
        <w:tc>
          <w:tcPr>
            <w:tcW w:w="236" w:type="dxa"/>
            <w:tcBorders>
              <w:left w:val="nil"/>
            </w:tcBorders>
            <w:vAlign w:val="center"/>
          </w:tcPr>
          <w:p w:rsidRPr="00C73BF6" w:rsidR="005D6F14" w:rsidP="00CA5840" w:rsidRDefault="005D6F14" w14:paraId="18DE2E69" w14:textId="77777777">
            <w:pPr>
              <w:ind w:left="0"/>
              <w:rPr>
                <w:b/>
                <w:sz w:val="20"/>
                <w:szCs w:val="20"/>
              </w:rPr>
            </w:pPr>
          </w:p>
        </w:tc>
        <w:tc>
          <w:tcPr>
            <w:tcW w:w="1672" w:type="dxa"/>
            <w:vAlign w:val="center"/>
          </w:tcPr>
          <w:p w:rsidRPr="00C73BF6" w:rsidR="005D6F14" w:rsidRDefault="003A2555" w14:paraId="1EA73702" w14:textId="6ACAA471">
            <w:pPr>
              <w:ind w:left="0"/>
              <w:jc w:val="center"/>
              <w:rPr>
                <w:b/>
                <w:sz w:val="20"/>
                <w:szCs w:val="20"/>
              </w:rPr>
            </w:pPr>
            <w:r w:rsidRPr="00C73BF6">
              <w:rPr>
                <w:b/>
                <w:sz w:val="20"/>
                <w:szCs w:val="20"/>
              </w:rPr>
              <w:t>$</w:t>
            </w:r>
            <w:r w:rsidRPr="00C73BF6" w:rsidR="00367506">
              <w:rPr>
                <w:b/>
                <w:sz w:val="20"/>
                <w:szCs w:val="20"/>
              </w:rPr>
              <w:t>1461</w:t>
            </w:r>
          </w:p>
        </w:tc>
      </w:tr>
    </w:tbl>
    <w:p w:rsidRPr="00C73BF6" w:rsidR="0042500C" w:rsidP="001C7607" w:rsidRDefault="0042500C" w14:paraId="1E3B96F1" w14:textId="77777777">
      <w:pPr>
        <w:ind w:left="360"/>
      </w:pPr>
    </w:p>
    <w:p w:rsidRPr="00C73BF6" w:rsidR="00734D99" w:rsidP="001C7607" w:rsidRDefault="00734D99" w14:paraId="5767DE4D" w14:textId="77777777">
      <w:pPr>
        <w:ind w:left="360"/>
      </w:pPr>
    </w:p>
    <w:p w:rsidRPr="00C73BF6" w:rsidR="00B12F51" w:rsidP="00692DEB" w:rsidRDefault="00D75750" w14:paraId="780ADEBF" w14:textId="77777777">
      <w:pPr>
        <w:pStyle w:val="Heading4"/>
      </w:pPr>
      <w:bookmarkStart w:name="_Toc427752828" w:id="21"/>
      <w:r w:rsidRPr="00C73BF6">
        <w:t>Explanation for Program Changes or Adjustments</w:t>
      </w:r>
      <w:bookmarkEnd w:id="21"/>
    </w:p>
    <w:p w:rsidRPr="00C73BF6" w:rsidR="00310E02" w:rsidP="009A1406" w:rsidRDefault="00310E02" w14:paraId="52367F05" w14:textId="77777777">
      <w:pPr>
        <w:ind w:left="360"/>
      </w:pPr>
      <w:r w:rsidRPr="00C73BF6">
        <w:t>This is a new data collection.</w:t>
      </w:r>
    </w:p>
    <w:p w:rsidRPr="00C73BF6" w:rsidR="00734D99" w:rsidP="00310E02" w:rsidRDefault="00734D99" w14:paraId="632E5946" w14:textId="77777777">
      <w:pPr>
        <w:tabs>
          <w:tab w:val="clear" w:pos="9360"/>
        </w:tabs>
        <w:spacing w:after="200"/>
        <w:ind w:left="0"/>
      </w:pPr>
    </w:p>
    <w:p w:rsidRPr="00C73BF6" w:rsidR="00B12F51" w:rsidP="00692DEB" w:rsidRDefault="00616090" w14:paraId="4322E87A" w14:textId="77777777">
      <w:pPr>
        <w:pStyle w:val="Heading4"/>
      </w:pPr>
      <w:bookmarkStart w:name="_Toc427752829" w:id="22"/>
      <w:r w:rsidRPr="00C73BF6">
        <w:t>Plan</w:t>
      </w:r>
      <w:r w:rsidRPr="00C73BF6" w:rsidR="00D75750">
        <w:t>s for Tabulation and Publication and Project Time Schedule</w:t>
      </w:r>
      <w:bookmarkEnd w:id="22"/>
    </w:p>
    <w:p w:rsidRPr="00C73BF6" w:rsidR="008C59E7" w:rsidP="008B65FF" w:rsidRDefault="00873FE6" w14:paraId="2D3D7480" w14:textId="26B96156">
      <w:pPr>
        <w:ind w:left="360"/>
        <w:rPr>
          <w:rFonts w:cs="Arial"/>
        </w:rPr>
      </w:pPr>
      <w:r w:rsidRPr="00C73BF6">
        <w:t xml:space="preserve">As resources and respondents may be impacted by the COVID-19 pandemic, we propose that data collection begin in </w:t>
      </w:r>
      <w:r w:rsidRPr="00C73BF6" w:rsidR="00F46AFD">
        <w:t>November</w:t>
      </w:r>
      <w:r w:rsidRPr="00C73BF6" w:rsidR="00E944C3">
        <w:t xml:space="preserve"> 2020</w:t>
      </w:r>
      <w:r w:rsidRPr="00C73BF6">
        <w:t xml:space="preserve">.  </w:t>
      </w:r>
      <w:r w:rsidRPr="00C73BF6" w:rsidR="003D6D31">
        <w:rPr>
          <w:rFonts w:cs="Arial"/>
        </w:rPr>
        <w:t xml:space="preserve">Data analysis will involve simple as well as categorical statistics.  Individual respondents will receive an evaluation of their performance (actual versus expected outcome per PT specimen).  This evaluation will not be shared with any other participant.  All participants will receive an event summary report containing aggregate data.  </w:t>
      </w:r>
      <w:r w:rsidRPr="00C73BF6" w:rsidR="003D6D31">
        <w:rPr>
          <w:rFonts w:cs="Arial"/>
        </w:rPr>
        <w:lastRenderedPageBreak/>
        <w:t>The use of custom Lab IDs known only to CDC and respondent maintains confidentiality of the data.</w:t>
      </w:r>
    </w:p>
    <w:p w:rsidRPr="00C73BF6" w:rsidR="00E20294" w:rsidP="0042500C" w:rsidRDefault="00E20294" w14:paraId="48037288" w14:textId="77777777">
      <w:pPr>
        <w:ind w:left="0"/>
        <w:rPr>
          <w:rFonts w:cs="Arial"/>
          <w:b/>
        </w:rPr>
      </w:pPr>
    </w:p>
    <w:p w:rsidRPr="00C73BF6" w:rsidR="008C59E7" w:rsidP="008B65FF" w:rsidRDefault="008C59E7" w14:paraId="25F940FB" w14:textId="56F8CD56">
      <w:pPr>
        <w:ind w:left="360"/>
        <w:rPr>
          <w:rFonts w:cs="Arial"/>
        </w:rPr>
      </w:pPr>
      <w:r w:rsidRPr="00C73BF6">
        <w:rPr>
          <w:rFonts w:cs="Arial"/>
          <w:u w:val="single"/>
        </w:rPr>
        <w:t>Project Time Schedule</w:t>
      </w:r>
    </w:p>
    <w:p w:rsidRPr="00C73BF6" w:rsidR="008C59E7" w:rsidP="00782FBD" w:rsidRDefault="008C59E7" w14:paraId="663E9261" w14:textId="02EF73A0">
      <w:pPr>
        <w:pStyle w:val="ListParagraph"/>
        <w:numPr>
          <w:ilvl w:val="0"/>
          <w:numId w:val="3"/>
        </w:numPr>
        <w:tabs>
          <w:tab w:val="right" w:leader="dot" w:pos="9360"/>
        </w:tabs>
        <w:ind w:left="1080"/>
      </w:pPr>
      <w:r w:rsidRPr="00C73BF6">
        <w:rPr>
          <w:rFonts w:eastAsiaTheme="majorEastAsia" w:cstheme="majorBidi"/>
        </w:rPr>
        <w:t xml:space="preserve">Design </w:t>
      </w:r>
      <w:r w:rsidRPr="00C73BF6" w:rsidR="00F0000D">
        <w:rPr>
          <w:rFonts w:eastAsiaTheme="majorEastAsia" w:cstheme="majorBidi"/>
        </w:rPr>
        <w:t>instrument</w:t>
      </w:r>
      <w:r w:rsidRPr="00C73BF6">
        <w:rPr>
          <w:rFonts w:eastAsiaTheme="majorEastAsia" w:cstheme="majorBidi"/>
        </w:rPr>
        <w:t xml:space="preserve"> </w:t>
      </w:r>
      <w:r w:rsidRPr="00C73BF6">
        <w:tab/>
      </w:r>
      <w:r w:rsidRPr="00C73BF6">
        <w:rPr>
          <w:rFonts w:eastAsiaTheme="majorEastAsia" w:cstheme="majorBidi"/>
        </w:rPr>
        <w:t>(COMPLETE)</w:t>
      </w:r>
    </w:p>
    <w:p w:rsidRPr="00C73BF6" w:rsidR="008C59E7" w:rsidP="00782FBD" w:rsidRDefault="008C59E7" w14:paraId="09829218" w14:textId="77777777">
      <w:pPr>
        <w:pStyle w:val="ListParagraph"/>
        <w:numPr>
          <w:ilvl w:val="0"/>
          <w:numId w:val="4"/>
        </w:numPr>
        <w:tabs>
          <w:tab w:val="right" w:leader="dot" w:pos="9360"/>
        </w:tabs>
        <w:ind w:left="1080"/>
      </w:pPr>
      <w:r w:rsidRPr="00C73BF6">
        <w:rPr>
          <w:rFonts w:eastAsiaTheme="majorEastAsia" w:cstheme="majorBidi"/>
        </w:rPr>
        <w:t xml:space="preserve">Develop protocol, instructions, and analysis plan </w:t>
      </w:r>
      <w:r w:rsidRPr="00C73BF6">
        <w:tab/>
      </w:r>
      <w:r w:rsidRPr="00C73BF6">
        <w:rPr>
          <w:rFonts w:eastAsiaTheme="majorEastAsia" w:cstheme="majorBidi"/>
        </w:rPr>
        <w:t>(COMPLETE)</w:t>
      </w:r>
    </w:p>
    <w:p w:rsidRPr="00C73BF6" w:rsidR="008C59E7" w:rsidP="00782FBD" w:rsidRDefault="008C59E7" w14:paraId="712B6A0C" w14:textId="4C8E63CD">
      <w:pPr>
        <w:pStyle w:val="ListParagraph"/>
        <w:numPr>
          <w:ilvl w:val="0"/>
          <w:numId w:val="5"/>
        </w:numPr>
        <w:tabs>
          <w:tab w:val="right" w:leader="dot" w:pos="9360"/>
        </w:tabs>
        <w:ind w:left="1080"/>
      </w:pPr>
      <w:r w:rsidRPr="00C73BF6">
        <w:rPr>
          <w:rFonts w:eastAsiaTheme="majorEastAsia" w:cstheme="majorBidi"/>
        </w:rPr>
        <w:t xml:space="preserve">Pilot test </w:t>
      </w:r>
      <w:r w:rsidRPr="00C73BF6" w:rsidR="00F0000D">
        <w:rPr>
          <w:rFonts w:eastAsiaTheme="majorEastAsia" w:cstheme="majorBidi"/>
        </w:rPr>
        <w:t>instrument</w:t>
      </w:r>
      <w:r w:rsidRPr="00C73BF6">
        <w:rPr>
          <w:rFonts w:eastAsiaTheme="majorEastAsia" w:cstheme="majorBidi"/>
        </w:rPr>
        <w:t xml:space="preserve"> </w:t>
      </w:r>
      <w:r w:rsidRPr="00C73BF6">
        <w:tab/>
      </w:r>
      <w:r w:rsidRPr="00C73BF6">
        <w:rPr>
          <w:rFonts w:eastAsiaTheme="majorEastAsia" w:cstheme="majorBidi"/>
        </w:rPr>
        <w:t>(COMPLETE)</w:t>
      </w:r>
    </w:p>
    <w:p w:rsidRPr="00C73BF6" w:rsidR="008C59E7" w:rsidP="00782FBD" w:rsidRDefault="008C59E7" w14:paraId="29904B91" w14:textId="77777777">
      <w:pPr>
        <w:pStyle w:val="ListParagraph"/>
        <w:numPr>
          <w:ilvl w:val="0"/>
          <w:numId w:val="5"/>
        </w:numPr>
        <w:tabs>
          <w:tab w:val="right" w:leader="dot" w:pos="9360"/>
        </w:tabs>
        <w:ind w:left="1080"/>
      </w:pPr>
      <w:r w:rsidRPr="00C73BF6">
        <w:rPr>
          <w:rFonts w:eastAsiaTheme="majorEastAsia" w:cstheme="majorBidi"/>
        </w:rPr>
        <w:t xml:space="preserve">Prepare OMB package </w:t>
      </w:r>
      <w:r w:rsidRPr="00C73BF6">
        <w:tab/>
      </w:r>
      <w:r w:rsidRPr="00C73BF6">
        <w:rPr>
          <w:rFonts w:eastAsiaTheme="majorEastAsia" w:cstheme="majorBidi"/>
        </w:rPr>
        <w:t>(COMPLETE)</w:t>
      </w:r>
    </w:p>
    <w:p w:rsidRPr="00C73BF6" w:rsidR="008C59E7" w:rsidP="00782FBD" w:rsidRDefault="008C59E7" w14:paraId="1FAFC13C" w14:textId="77777777">
      <w:pPr>
        <w:pStyle w:val="ListParagraph"/>
        <w:numPr>
          <w:ilvl w:val="0"/>
          <w:numId w:val="5"/>
        </w:numPr>
        <w:tabs>
          <w:tab w:val="right" w:leader="dot" w:pos="9360"/>
        </w:tabs>
        <w:ind w:left="1080"/>
      </w:pPr>
      <w:r w:rsidRPr="00C73BF6">
        <w:rPr>
          <w:rFonts w:eastAsiaTheme="majorEastAsia" w:cstheme="majorBidi"/>
        </w:rPr>
        <w:t xml:space="preserve">Submit OMB package </w:t>
      </w:r>
      <w:r w:rsidRPr="00C73BF6">
        <w:tab/>
      </w:r>
      <w:r w:rsidRPr="00C73BF6">
        <w:rPr>
          <w:rFonts w:eastAsiaTheme="majorEastAsia" w:cstheme="majorBidi"/>
        </w:rPr>
        <w:t>(COMPLETE)</w:t>
      </w:r>
    </w:p>
    <w:p w:rsidRPr="00C73BF6" w:rsidR="008C59E7" w:rsidP="00782FBD" w:rsidRDefault="008C59E7" w14:paraId="3494E02E" w14:textId="7B8B1CA2">
      <w:pPr>
        <w:pStyle w:val="ListParagraph"/>
        <w:numPr>
          <w:ilvl w:val="0"/>
          <w:numId w:val="2"/>
        </w:numPr>
        <w:tabs>
          <w:tab w:val="right" w:leader="dot" w:pos="9360"/>
        </w:tabs>
        <w:ind w:left="1080"/>
      </w:pPr>
      <w:r w:rsidRPr="00C73BF6">
        <w:rPr>
          <w:rFonts w:eastAsiaTheme="majorEastAsia" w:cstheme="majorBidi"/>
        </w:rPr>
        <w:t xml:space="preserve">OMB approval </w:t>
      </w:r>
      <w:r w:rsidRPr="00C73BF6">
        <w:tab/>
      </w:r>
      <w:r w:rsidRPr="00C73BF6">
        <w:rPr>
          <w:rFonts w:eastAsiaTheme="majorEastAsia" w:cstheme="majorBidi"/>
        </w:rPr>
        <w:t>(TBD)</w:t>
      </w:r>
    </w:p>
    <w:p w:rsidRPr="00C73BF6" w:rsidR="00117E3C" w:rsidRDefault="00117E3C" w14:paraId="22D665B8" w14:textId="18738C73">
      <w:pPr>
        <w:pStyle w:val="ListParagraph"/>
        <w:numPr>
          <w:ilvl w:val="0"/>
          <w:numId w:val="2"/>
        </w:numPr>
        <w:tabs>
          <w:tab w:val="right" w:leader="dot" w:pos="9360"/>
        </w:tabs>
        <w:ind w:left="1080"/>
      </w:pPr>
      <w:r w:rsidRPr="00C73BF6">
        <w:rPr>
          <w:rFonts w:eastAsiaTheme="majorEastAsia" w:cstheme="majorBidi"/>
        </w:rPr>
        <w:t xml:space="preserve">Recruit volunteers </w:t>
      </w:r>
      <w:r w:rsidRPr="00C73BF6">
        <w:tab/>
      </w:r>
      <w:r w:rsidRPr="00C73BF6">
        <w:rPr>
          <w:rFonts w:eastAsiaTheme="majorEastAsia" w:cstheme="majorBidi"/>
        </w:rPr>
        <w:t>(Open 2 weeks)</w:t>
      </w:r>
    </w:p>
    <w:p w:rsidRPr="00C73BF6" w:rsidR="008C59E7" w:rsidP="00782FBD" w:rsidRDefault="008C59E7" w14:paraId="4E692631" w14:textId="153F914A">
      <w:pPr>
        <w:pStyle w:val="ListParagraph"/>
        <w:numPr>
          <w:ilvl w:val="0"/>
          <w:numId w:val="2"/>
        </w:numPr>
        <w:tabs>
          <w:tab w:val="right" w:leader="dot" w:pos="9360"/>
        </w:tabs>
        <w:ind w:left="1080"/>
      </w:pPr>
      <w:r w:rsidRPr="00C73BF6">
        <w:rPr>
          <w:rFonts w:eastAsiaTheme="majorEastAsia" w:cstheme="majorBidi"/>
        </w:rPr>
        <w:t xml:space="preserve">Conduct </w:t>
      </w:r>
      <w:r w:rsidRPr="00C73BF6" w:rsidR="00F0000D">
        <w:rPr>
          <w:rFonts w:eastAsiaTheme="majorEastAsia" w:cstheme="majorBidi"/>
        </w:rPr>
        <w:t>data collection</w:t>
      </w:r>
      <w:r w:rsidRPr="00C73BF6">
        <w:rPr>
          <w:rFonts w:eastAsiaTheme="majorEastAsia" w:cstheme="majorBidi"/>
        </w:rPr>
        <w:t xml:space="preserve"> </w:t>
      </w:r>
      <w:r w:rsidRPr="00C73BF6">
        <w:tab/>
      </w:r>
      <w:r w:rsidRPr="00C73BF6">
        <w:rPr>
          <w:rFonts w:eastAsiaTheme="majorEastAsia" w:cstheme="majorBidi"/>
        </w:rPr>
        <w:t>(</w:t>
      </w:r>
      <w:r w:rsidRPr="00C73BF6" w:rsidR="00F0000D">
        <w:rPr>
          <w:rFonts w:eastAsiaTheme="majorEastAsia" w:cstheme="majorBidi"/>
        </w:rPr>
        <w:t>O</w:t>
      </w:r>
      <w:r w:rsidRPr="00C73BF6">
        <w:rPr>
          <w:rFonts w:eastAsiaTheme="majorEastAsia" w:cstheme="majorBidi"/>
        </w:rPr>
        <w:t xml:space="preserve">pen </w:t>
      </w:r>
      <w:r w:rsidRPr="00C73BF6" w:rsidR="00F46AFD">
        <w:rPr>
          <w:rFonts w:eastAsiaTheme="majorEastAsia" w:cstheme="majorBidi"/>
        </w:rPr>
        <w:t>3</w:t>
      </w:r>
      <w:r w:rsidRPr="00C73BF6">
        <w:rPr>
          <w:rFonts w:eastAsiaTheme="majorEastAsia" w:cstheme="majorBidi"/>
        </w:rPr>
        <w:t xml:space="preserve"> weeks)</w:t>
      </w:r>
    </w:p>
    <w:p w:rsidRPr="00C73BF6" w:rsidR="008C59E7" w:rsidP="00782FBD" w:rsidRDefault="008C59E7" w14:paraId="32EB0BB4" w14:textId="07EF790A">
      <w:pPr>
        <w:pStyle w:val="ListParagraph"/>
        <w:numPr>
          <w:ilvl w:val="0"/>
          <w:numId w:val="2"/>
        </w:numPr>
        <w:tabs>
          <w:tab w:val="right" w:leader="dot" w:pos="9360"/>
        </w:tabs>
        <w:ind w:left="1080"/>
      </w:pPr>
      <w:r w:rsidRPr="00C73BF6">
        <w:rPr>
          <w:rFonts w:eastAsiaTheme="majorEastAsia" w:cstheme="majorBidi"/>
        </w:rPr>
        <w:t>Code</w:t>
      </w:r>
      <w:r w:rsidRPr="00C73BF6" w:rsidR="001C7607">
        <w:rPr>
          <w:rFonts w:eastAsiaTheme="majorEastAsia" w:cstheme="majorBidi"/>
        </w:rPr>
        <w:t xml:space="preserve"> data</w:t>
      </w:r>
      <w:r w:rsidRPr="00C73BF6">
        <w:rPr>
          <w:rFonts w:eastAsiaTheme="majorEastAsia" w:cstheme="majorBidi"/>
        </w:rPr>
        <w:t xml:space="preserve">, </w:t>
      </w:r>
      <w:r w:rsidRPr="00C73BF6" w:rsidR="001C7607">
        <w:rPr>
          <w:rFonts w:eastAsiaTheme="majorEastAsia" w:cstheme="majorBidi"/>
        </w:rPr>
        <w:t xml:space="preserve">conduct </w:t>
      </w:r>
      <w:r w:rsidRPr="00C73BF6">
        <w:rPr>
          <w:rFonts w:eastAsiaTheme="majorEastAsia" w:cstheme="majorBidi"/>
        </w:rPr>
        <w:t>quality control, and analyze data</w:t>
      </w:r>
      <w:r w:rsidRPr="00C73BF6">
        <w:rPr>
          <w:rFonts w:cs="Arial"/>
        </w:rPr>
        <w:tab/>
      </w:r>
      <w:r w:rsidRPr="00C73BF6" w:rsidR="00F0000D">
        <w:rPr>
          <w:rFonts w:eastAsiaTheme="majorEastAsia" w:cstheme="majorBidi"/>
        </w:rPr>
        <w:t>(</w:t>
      </w:r>
      <w:r w:rsidRPr="00C73BF6" w:rsidR="000368E1">
        <w:rPr>
          <w:rFonts w:eastAsiaTheme="majorEastAsia" w:cstheme="majorBidi"/>
        </w:rPr>
        <w:t>2</w:t>
      </w:r>
      <w:r w:rsidRPr="00C73BF6">
        <w:rPr>
          <w:rFonts w:eastAsiaTheme="majorEastAsia" w:cstheme="majorBidi"/>
        </w:rPr>
        <w:t xml:space="preserve"> weeks)</w:t>
      </w:r>
    </w:p>
    <w:p w:rsidRPr="00C73BF6" w:rsidR="008C59E7" w:rsidP="00782FBD" w:rsidRDefault="007B6A12" w14:paraId="7E2CD36D" w14:textId="263B073C">
      <w:pPr>
        <w:pStyle w:val="ListParagraph"/>
        <w:numPr>
          <w:ilvl w:val="0"/>
          <w:numId w:val="2"/>
        </w:numPr>
        <w:tabs>
          <w:tab w:val="right" w:leader="dot" w:pos="9360"/>
        </w:tabs>
        <w:ind w:left="1080"/>
      </w:pPr>
      <w:r w:rsidRPr="00C73BF6">
        <w:rPr>
          <w:rFonts w:eastAsiaTheme="majorEastAsia" w:cstheme="majorBidi"/>
        </w:rPr>
        <w:t xml:space="preserve">Prepare </w:t>
      </w:r>
      <w:r w:rsidRPr="00C73BF6" w:rsidR="001C7607">
        <w:rPr>
          <w:rFonts w:eastAsiaTheme="majorEastAsia" w:cstheme="majorBidi"/>
        </w:rPr>
        <w:t xml:space="preserve">summary </w:t>
      </w:r>
      <w:r w:rsidRPr="00C73BF6">
        <w:rPr>
          <w:rFonts w:eastAsiaTheme="majorEastAsia" w:cstheme="majorBidi"/>
        </w:rPr>
        <w:t>report(s)</w:t>
      </w:r>
      <w:r w:rsidRPr="00C73BF6" w:rsidR="008C59E7">
        <w:rPr>
          <w:rFonts w:eastAsiaTheme="majorEastAsia" w:cstheme="majorBidi"/>
        </w:rPr>
        <w:t xml:space="preserve"> </w:t>
      </w:r>
      <w:r w:rsidRPr="00C73BF6" w:rsidR="008C59E7">
        <w:tab/>
      </w:r>
      <w:r w:rsidRPr="00C73BF6" w:rsidR="008C59E7">
        <w:rPr>
          <w:rFonts w:eastAsiaTheme="majorEastAsia" w:cstheme="majorBidi"/>
        </w:rPr>
        <w:t>(</w:t>
      </w:r>
      <w:r w:rsidRPr="00C73BF6" w:rsidR="000368E1">
        <w:rPr>
          <w:rFonts w:eastAsiaTheme="majorEastAsia" w:cstheme="majorBidi"/>
        </w:rPr>
        <w:t>2</w:t>
      </w:r>
      <w:r w:rsidRPr="00C73BF6" w:rsidR="008C59E7">
        <w:rPr>
          <w:rFonts w:eastAsiaTheme="majorEastAsia" w:cstheme="majorBidi"/>
        </w:rPr>
        <w:t xml:space="preserve"> weeks)</w:t>
      </w:r>
    </w:p>
    <w:p w:rsidRPr="00C73BF6" w:rsidR="008C59E7" w:rsidP="00782FBD" w:rsidRDefault="008C59E7" w14:paraId="18B7F10A" w14:textId="36507278">
      <w:pPr>
        <w:pStyle w:val="ListParagraph"/>
        <w:numPr>
          <w:ilvl w:val="0"/>
          <w:numId w:val="2"/>
        </w:numPr>
        <w:tabs>
          <w:tab w:val="right" w:leader="dot" w:pos="9360"/>
        </w:tabs>
        <w:ind w:left="1080"/>
      </w:pPr>
      <w:r w:rsidRPr="00C73BF6">
        <w:rPr>
          <w:rFonts w:eastAsiaTheme="majorEastAsia" w:cstheme="majorBidi"/>
        </w:rPr>
        <w:t xml:space="preserve">Disseminate results/reports </w:t>
      </w:r>
      <w:r w:rsidRPr="00C73BF6">
        <w:tab/>
      </w:r>
      <w:r w:rsidRPr="00C73BF6">
        <w:rPr>
          <w:rFonts w:eastAsiaTheme="majorEastAsia" w:cstheme="majorBidi"/>
        </w:rPr>
        <w:t>(</w:t>
      </w:r>
      <w:r w:rsidRPr="00C73BF6" w:rsidR="006B2704">
        <w:rPr>
          <w:rFonts w:eastAsiaTheme="majorEastAsia" w:cstheme="majorBidi"/>
        </w:rPr>
        <w:t>1</w:t>
      </w:r>
      <w:r w:rsidRPr="00C73BF6">
        <w:rPr>
          <w:rFonts w:eastAsiaTheme="majorEastAsia" w:cstheme="majorBidi"/>
        </w:rPr>
        <w:t xml:space="preserve"> </w:t>
      </w:r>
      <w:r w:rsidRPr="00C73BF6" w:rsidR="006B2704">
        <w:rPr>
          <w:rFonts w:eastAsiaTheme="majorEastAsia" w:cstheme="majorBidi"/>
        </w:rPr>
        <w:t>day</w:t>
      </w:r>
      <w:r w:rsidRPr="00C73BF6">
        <w:rPr>
          <w:rFonts w:eastAsiaTheme="majorEastAsia" w:cstheme="majorBidi"/>
        </w:rPr>
        <w:t>)</w:t>
      </w:r>
    </w:p>
    <w:p w:rsidRPr="00C73BF6" w:rsidR="000A71DF" w:rsidP="005D6F14" w:rsidRDefault="000A71DF" w14:paraId="63A6CA99" w14:textId="77777777"/>
    <w:p w:rsidRPr="00C73BF6" w:rsidR="00B12F51" w:rsidP="00692DEB" w:rsidRDefault="00D75750" w14:paraId="10B731BE" w14:textId="77777777">
      <w:pPr>
        <w:pStyle w:val="Heading4"/>
      </w:pPr>
      <w:bookmarkStart w:name="_Toc427752830" w:id="23"/>
      <w:r w:rsidRPr="00C73BF6">
        <w:t>Reason(s) Display of OMB Expiration Date is Inappropriate</w:t>
      </w:r>
      <w:bookmarkEnd w:id="23"/>
    </w:p>
    <w:p w:rsidRPr="00C73BF6" w:rsidR="00F52BCC" w:rsidP="008B65FF" w:rsidRDefault="00180D45" w14:paraId="5EFBF78D" w14:textId="77777777">
      <w:pPr>
        <w:ind w:left="360"/>
      </w:pPr>
      <w:r w:rsidRPr="00C73BF6">
        <w:t>We are requesting no exemption.</w:t>
      </w:r>
    </w:p>
    <w:p w:rsidRPr="00C73BF6" w:rsidR="003705DF" w:rsidP="005D6F14" w:rsidRDefault="003705DF" w14:paraId="19E33178" w14:textId="77777777"/>
    <w:p w:rsidRPr="00C73BF6" w:rsidR="00B12F51" w:rsidP="00692DEB" w:rsidRDefault="00B12F51" w14:paraId="64383137" w14:textId="77777777">
      <w:pPr>
        <w:pStyle w:val="Heading4"/>
      </w:pPr>
      <w:bookmarkStart w:name="_Toc427752831" w:id="24"/>
      <w:r w:rsidRPr="00C73BF6">
        <w:t>Exceptions to Certification for Paperwork Reduction Act Submissions</w:t>
      </w:r>
      <w:bookmarkEnd w:id="24"/>
    </w:p>
    <w:p w:rsidRPr="00C73BF6" w:rsidR="00D1343B" w:rsidP="00DD5E65" w:rsidRDefault="0031279F" w14:paraId="15EB9D3D" w14:textId="20674887">
      <w:pPr>
        <w:ind w:left="360"/>
      </w:pPr>
      <w:r w:rsidRPr="00C73BF6">
        <w:t>There are no exceptions to the certification.</w:t>
      </w:r>
      <w:r w:rsidRPr="00C73BF6" w:rsidR="00180D45">
        <w:t xml:space="preserve">  These activities comply with the requirements in 5 CFR 1320.9.</w:t>
      </w:r>
    </w:p>
    <w:p w:rsidRPr="00C73BF6" w:rsidR="008B12FA" w:rsidP="00DD5E65" w:rsidRDefault="008B12FA" w14:paraId="0F39B494" w14:textId="77777777">
      <w:pPr>
        <w:ind w:left="360"/>
      </w:pPr>
    </w:p>
    <w:p w:rsidRPr="00C73BF6" w:rsidR="00A36419" w:rsidP="008C59E7" w:rsidRDefault="00A36419" w14:paraId="0AFBDE2B" w14:textId="77777777">
      <w:pPr>
        <w:pStyle w:val="Heading3"/>
        <w:ind w:left="0"/>
      </w:pPr>
      <w:bookmarkStart w:name="_Toc427752832" w:id="25"/>
      <w:r w:rsidRPr="00C73BF6">
        <w:t>LIST OF ATTACHMENTS</w:t>
      </w:r>
      <w:r w:rsidRPr="00C73BF6" w:rsidR="00A33E90">
        <w:t xml:space="preserve"> – Section A</w:t>
      </w:r>
      <w:bookmarkEnd w:id="25"/>
    </w:p>
    <w:p w:rsidRPr="00C73BF6" w:rsidR="000058E0" w:rsidP="008C59E7" w:rsidRDefault="000058E0" w14:paraId="7B86C327" w14:textId="77777777">
      <w:pPr>
        <w:ind w:left="0"/>
      </w:pPr>
      <w:r w:rsidRPr="00C73BF6">
        <w:t>Note: Attachments are included as separate files as instructed.</w:t>
      </w:r>
    </w:p>
    <w:p w:rsidRPr="00C73BF6" w:rsidR="00E647FB" w:rsidP="007D35DE" w:rsidRDefault="00743788" w14:paraId="7BF99D76" w14:textId="1FAECF01">
      <w:pPr>
        <w:pStyle w:val="ListParagraph"/>
        <w:numPr>
          <w:ilvl w:val="0"/>
          <w:numId w:val="17"/>
        </w:numPr>
        <w:tabs>
          <w:tab w:val="clear" w:pos="9360"/>
        </w:tabs>
        <w:spacing w:line="240" w:lineRule="auto"/>
        <w:ind w:left="450" w:firstLine="0"/>
        <w:rPr>
          <w:b/>
        </w:rPr>
      </w:pPr>
      <w:r w:rsidRPr="00C73BF6">
        <w:rPr>
          <w:b/>
        </w:rPr>
        <w:t xml:space="preserve">Attachment A </w:t>
      </w:r>
      <w:r w:rsidRPr="00C73BF6">
        <w:rPr>
          <w:rFonts w:ascii="Cambria" w:hAnsi="Cambria"/>
          <w:b/>
        </w:rPr>
        <w:t xml:space="preserve">– </w:t>
      </w:r>
      <w:r w:rsidRPr="00C73BF6" w:rsidR="00ED6DB3">
        <w:rPr>
          <w:rFonts w:ascii="Cambria" w:hAnsi="Cambria"/>
          <w:b/>
        </w:rPr>
        <w:t>Pilot Online Data Collection for SMA PT Screenshot of Reporting Page</w:t>
      </w:r>
    </w:p>
    <w:p w:rsidRPr="00C73BF6" w:rsidR="00743788" w:rsidP="00D17D8B" w:rsidRDefault="00743788" w14:paraId="6B7ECE0A" w14:textId="1388628D">
      <w:pPr>
        <w:pStyle w:val="ListParagraph"/>
        <w:numPr>
          <w:ilvl w:val="0"/>
          <w:numId w:val="17"/>
        </w:numPr>
        <w:tabs>
          <w:tab w:val="clear" w:pos="9360"/>
        </w:tabs>
        <w:spacing w:line="240" w:lineRule="auto"/>
        <w:ind w:firstLine="90"/>
        <w:rPr>
          <w:b/>
        </w:rPr>
      </w:pPr>
      <w:r w:rsidRPr="00C73BF6">
        <w:rPr>
          <w:b/>
        </w:rPr>
        <w:t xml:space="preserve">Attachment B </w:t>
      </w:r>
      <w:r w:rsidRPr="00C73BF6" w:rsidR="008C7DE3">
        <w:rPr>
          <w:rFonts w:ascii="Cambria" w:hAnsi="Cambria"/>
          <w:b/>
        </w:rPr>
        <w:t xml:space="preserve">– Pilot </w:t>
      </w:r>
      <w:r w:rsidRPr="00C73BF6">
        <w:rPr>
          <w:rFonts w:ascii="Cambria" w:hAnsi="Cambria"/>
          <w:b/>
        </w:rPr>
        <w:t>Online Data Collection for SMA PT Feedback Form</w:t>
      </w:r>
    </w:p>
    <w:p w:rsidRPr="00C73BF6" w:rsidR="006E7049" w:rsidP="00C150FD" w:rsidRDefault="006E7049" w14:paraId="2DE07279" w14:textId="75BDAC36">
      <w:pPr>
        <w:pStyle w:val="ListParagraph"/>
        <w:numPr>
          <w:ilvl w:val="0"/>
          <w:numId w:val="17"/>
        </w:numPr>
        <w:tabs>
          <w:tab w:val="clear" w:pos="9360"/>
        </w:tabs>
        <w:spacing w:line="240" w:lineRule="auto"/>
        <w:ind w:firstLine="90"/>
        <w:rPr>
          <w:b/>
        </w:rPr>
      </w:pPr>
      <w:r w:rsidRPr="00C73BF6">
        <w:rPr>
          <w:b/>
        </w:rPr>
        <w:t xml:space="preserve">Attachment </w:t>
      </w:r>
      <w:r w:rsidRPr="00C73BF6" w:rsidR="00D17D8B">
        <w:rPr>
          <w:b/>
        </w:rPr>
        <w:t>C</w:t>
      </w:r>
      <w:r w:rsidRPr="00C73BF6">
        <w:rPr>
          <w:b/>
        </w:rPr>
        <w:t xml:space="preserve"> – Pilot SMA PT Research Determination</w:t>
      </w:r>
    </w:p>
    <w:p w:rsidR="003705DF" w:rsidP="005D6F14" w:rsidRDefault="003705DF" w14:paraId="01D0FCA9" w14:textId="77777777"/>
    <w:p w:rsidR="00CC7188" w:rsidP="003860A5" w:rsidRDefault="00CC7188" w14:paraId="3DB2ED85" w14:textId="77777777">
      <w:pPr>
        <w:pStyle w:val="Heading3"/>
        <w:ind w:left="0"/>
      </w:pPr>
      <w:bookmarkStart w:name="_Toc427752833" w:id="26"/>
      <w:r w:rsidRPr="00CC7188">
        <w:t xml:space="preserve">REFERENCE LIST </w:t>
      </w:r>
      <w:bookmarkEnd w:id="26"/>
    </w:p>
    <w:p w:rsidRPr="008C59E7" w:rsidR="00310E02" w:rsidP="00310E02" w:rsidRDefault="00310E02" w14:paraId="2A1B2CEF" w14:textId="5DB258DE">
      <w:pPr>
        <w:pStyle w:val="ListParagraph"/>
        <w:numPr>
          <w:ilvl w:val="2"/>
          <w:numId w:val="1"/>
        </w:numPr>
        <w:tabs>
          <w:tab w:val="clear" w:pos="9360"/>
        </w:tabs>
        <w:spacing w:line="240" w:lineRule="auto"/>
        <w:ind w:hanging="360"/>
      </w:pPr>
      <w:r w:rsidRPr="008C59E7">
        <w:t>Centers for Disease Control and Prevention (CDC). " 10 Essential Public Health Services.</w:t>
      </w:r>
      <w:r>
        <w:t xml:space="preserve"> (revised, 2020).</w:t>
      </w:r>
      <w:r w:rsidRPr="008C59E7">
        <w:t xml:space="preserve"> Available at </w:t>
      </w:r>
      <w:r w:rsidRPr="00C81164">
        <w:t xml:space="preserve"> </w:t>
      </w:r>
      <w:hyperlink w:history="1" r:id="rId13">
        <w:r w:rsidRPr="00F75AC7">
          <w:rPr>
            <w:rStyle w:val="Hyperlink"/>
          </w:rPr>
          <w:t>https://www.cdc.gov/publichealthgateway/publichealthservices/essentialhealthservices.html</w:t>
        </w:r>
      </w:hyperlink>
      <w:r>
        <w:t xml:space="preserve">. Accessed on </w:t>
      </w:r>
      <w:r w:rsidR="00811C0D">
        <w:t>10</w:t>
      </w:r>
      <w:r>
        <w:t>/</w:t>
      </w:r>
      <w:r w:rsidR="00811C0D">
        <w:t>7</w:t>
      </w:r>
      <w:r>
        <w:t>/2020</w:t>
      </w:r>
    </w:p>
    <w:p w:rsidRPr="008C59E7" w:rsidR="00E944C3" w:rsidRDefault="00E944C3" w14:paraId="013B1462" w14:textId="73721EAF">
      <w:pPr>
        <w:pStyle w:val="ListParagraph"/>
        <w:numPr>
          <w:ilvl w:val="2"/>
          <w:numId w:val="1"/>
        </w:numPr>
        <w:tabs>
          <w:tab w:val="clear" w:pos="9360"/>
        </w:tabs>
        <w:spacing w:line="240" w:lineRule="auto"/>
        <w:ind w:hanging="360"/>
      </w:pPr>
      <w:r>
        <w:t xml:space="preserve">R.U.S.P. Available at </w:t>
      </w:r>
      <w:hyperlink w:history="1" r:id="rId14">
        <w:r w:rsidRPr="00906150">
          <w:rPr>
            <w:rStyle w:val="Hyperlink"/>
          </w:rPr>
          <w:t>https://www.hrsa.gov/advisory-committees/heritable-disorders/rusp/index.html</w:t>
        </w:r>
      </w:hyperlink>
      <w:r>
        <w:t xml:space="preserve">. Accessed on </w:t>
      </w:r>
      <w:r w:rsidR="00811C0D">
        <w:t>10</w:t>
      </w:r>
      <w:r>
        <w:t>/</w:t>
      </w:r>
      <w:r w:rsidR="00811C0D">
        <w:t>7</w:t>
      </w:r>
      <w:r>
        <w:t>/20.</w:t>
      </w:r>
    </w:p>
    <w:sectPr w:rsidRPr="008C59E7" w:rsidR="00E944C3" w:rsidSect="00385BB5">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AC367B" w14:textId="77777777" w:rsidR="00AB2328" w:rsidRDefault="00AB2328" w:rsidP="007D6163">
      <w:r>
        <w:separator/>
      </w:r>
    </w:p>
    <w:p w14:paraId="2EB2B7C5" w14:textId="77777777" w:rsidR="00AB2328" w:rsidRDefault="00AB2328" w:rsidP="007D6163"/>
  </w:endnote>
  <w:endnote w:type="continuationSeparator" w:id="0">
    <w:p w14:paraId="64D45E4F" w14:textId="77777777" w:rsidR="00AB2328" w:rsidRDefault="00AB2328" w:rsidP="007D6163">
      <w:r>
        <w:continuationSeparator/>
      </w:r>
    </w:p>
    <w:p w14:paraId="4232EDB1" w14:textId="77777777" w:rsidR="00AB2328" w:rsidRDefault="00AB2328"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Times New Roman"/>
    <w:panose1 w:val="00000000000000000000"/>
    <w:charset w:val="00"/>
    <w:family w:val="swiss"/>
    <w:notTrueType/>
    <w:pitch w:val="variable"/>
    <w:sig w:usb0="00000001" w:usb1="00000000" w:usb2="00000000" w:usb3="00000000" w:csb0="0000009F" w:csb1="00000000"/>
  </w:font>
  <w:font w:name="Shruti">
    <w:panose1 w:val="02000500000000000000"/>
    <w:charset w:val="00"/>
    <w:family w:val="swiss"/>
    <w:pitch w:val="variable"/>
    <w:sig w:usb0="0004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03AE4" w14:textId="77777777" w:rsidR="00C70A4A" w:rsidRDefault="00C70A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3367856"/>
      <w:docPartObj>
        <w:docPartGallery w:val="Page Numbers (Bottom of Page)"/>
        <w:docPartUnique/>
      </w:docPartObj>
    </w:sdtPr>
    <w:sdtEndPr/>
    <w:sdtContent>
      <w:sdt>
        <w:sdtPr>
          <w:id w:val="860082579"/>
          <w:docPartObj>
            <w:docPartGallery w:val="Page Numbers (Top of Page)"/>
            <w:docPartUnique/>
          </w:docPartObj>
        </w:sdtPr>
        <w:sdtEndPr/>
        <w:sdtContent>
          <w:p w14:paraId="4EAC17F9" w14:textId="5CB06432" w:rsidR="005304C5" w:rsidRDefault="005304C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B7019">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B7019">
              <w:rPr>
                <w:b/>
                <w:bCs/>
                <w:noProof/>
              </w:rPr>
              <w:t>11</w:t>
            </w:r>
            <w:r>
              <w:rPr>
                <w:b/>
                <w:bCs/>
                <w:sz w:val="24"/>
                <w:szCs w:val="24"/>
              </w:rPr>
              <w:fldChar w:fldCharType="end"/>
            </w:r>
          </w:p>
        </w:sdtContent>
      </w:sdt>
    </w:sdtContent>
  </w:sdt>
  <w:p w14:paraId="3B208153" w14:textId="77777777" w:rsidR="005304C5" w:rsidRDefault="005304C5" w:rsidP="007D616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F943E" w14:textId="77777777" w:rsidR="00C70A4A" w:rsidRDefault="00C70A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91E39" w14:textId="77777777" w:rsidR="00AB2328" w:rsidRDefault="00AB2328" w:rsidP="007D6163">
      <w:r>
        <w:separator/>
      </w:r>
    </w:p>
    <w:p w14:paraId="15C95DE1" w14:textId="77777777" w:rsidR="00AB2328" w:rsidRDefault="00AB2328" w:rsidP="007D6163"/>
  </w:footnote>
  <w:footnote w:type="continuationSeparator" w:id="0">
    <w:p w14:paraId="0A542897" w14:textId="77777777" w:rsidR="00AB2328" w:rsidRDefault="00AB2328" w:rsidP="007D6163">
      <w:r>
        <w:continuationSeparator/>
      </w:r>
    </w:p>
    <w:p w14:paraId="59A5E4A6" w14:textId="77777777" w:rsidR="00AB2328" w:rsidRDefault="00AB2328" w:rsidP="007D616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9A8A9" w14:textId="77777777" w:rsidR="00C70A4A" w:rsidRDefault="00C70A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018B77" w14:textId="77777777" w:rsidR="005304C5" w:rsidRPr="00716F94" w:rsidRDefault="005304C5" w:rsidP="007D6163">
    <w:pPr>
      <w:pStyle w:val="Header"/>
      <w:rPr>
        <w:color w:val="0033CC"/>
      </w:rPr>
    </w:pPr>
    <w:r>
      <w:tab/>
    </w:r>
  </w:p>
  <w:p w14:paraId="195027EE" w14:textId="77777777" w:rsidR="005304C5" w:rsidRDefault="005304C5" w:rsidP="007D616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5A6344" w14:textId="77777777" w:rsidR="00C70A4A" w:rsidRDefault="00C70A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22082"/>
    <w:multiLevelType w:val="hybridMultilevel"/>
    <w:tmpl w:val="B51C5F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8561803"/>
    <w:multiLevelType w:val="hybridMultilevel"/>
    <w:tmpl w:val="B6427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CC005F"/>
    <w:multiLevelType w:val="multilevel"/>
    <w:tmpl w:val="35EE692A"/>
    <w:lvl w:ilvl="0">
      <w:start w:val="1"/>
      <w:numFmt w:val="decimal"/>
      <w:lvlText w:val="%1)"/>
      <w:lvlJc w:val="left"/>
      <w:pPr>
        <w:ind w:left="720" w:hanging="360"/>
      </w:pPr>
      <w:rPr>
        <w:b/>
      </w:r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 w15:restartNumberingAfterBreak="0">
    <w:nsid w:val="2EAF3879"/>
    <w:multiLevelType w:val="hybridMultilevel"/>
    <w:tmpl w:val="FC6ECA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 w15:restartNumberingAfterBreak="0">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0F0FA1"/>
    <w:multiLevelType w:val="hybridMultilevel"/>
    <w:tmpl w:val="596AC156"/>
    <w:lvl w:ilvl="0" w:tplc="805E065A">
      <w:start w:val="1"/>
      <w:numFmt w:val="decimal"/>
      <w:pStyle w:val="Heading4"/>
      <w:lvlText w:val="%1."/>
      <w:lvlJc w:val="left"/>
      <w:pPr>
        <w:ind w:left="360" w:hanging="360"/>
      </w:pPr>
      <w:rPr>
        <w:rFonts w:hint="default"/>
      </w:rPr>
    </w:lvl>
    <w:lvl w:ilvl="1" w:tplc="04090019">
      <w:start w:val="1"/>
      <w:numFmt w:val="lowerLetter"/>
      <w:lvlText w:val="%2."/>
      <w:lvlJc w:val="left"/>
      <w:pPr>
        <w:ind w:left="0" w:hanging="360"/>
      </w:pPr>
    </w:lvl>
    <w:lvl w:ilvl="2" w:tplc="0409000F">
      <w:start w:val="1"/>
      <w:numFmt w:val="decimal"/>
      <w:lvlText w:val="%3."/>
      <w:lvlJc w:val="left"/>
      <w:pPr>
        <w:ind w:left="720" w:hanging="180"/>
      </w:pPr>
      <w:rPr>
        <w:rFonts w:hint="default"/>
        <w:b/>
        <w:i w:val="0"/>
        <w:color w:val="auto"/>
      </w:r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15:restartNumberingAfterBreak="0">
    <w:nsid w:val="35357F7C"/>
    <w:multiLevelType w:val="hybridMultilevel"/>
    <w:tmpl w:val="082A7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3C654E"/>
    <w:multiLevelType w:val="hybridMultilevel"/>
    <w:tmpl w:val="8CEA5FD0"/>
    <w:lvl w:ilvl="0" w:tplc="480ED39A">
      <w:start w:val="1"/>
      <w:numFmt w:val="upperLetter"/>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B676E59"/>
    <w:multiLevelType w:val="hybridMultilevel"/>
    <w:tmpl w:val="4AF65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F4263E3"/>
    <w:multiLevelType w:val="hybridMultilevel"/>
    <w:tmpl w:val="A266CBB6"/>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0" w15:restartNumberingAfterBreak="0">
    <w:nsid w:val="50477C4B"/>
    <w:multiLevelType w:val="hybridMultilevel"/>
    <w:tmpl w:val="6DC82C1C"/>
    <w:lvl w:ilvl="0" w:tplc="9B5C8548">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528908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1D5398"/>
    <w:multiLevelType w:val="hybridMultilevel"/>
    <w:tmpl w:val="750A8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2FC0D7E"/>
    <w:multiLevelType w:val="hybridMultilevel"/>
    <w:tmpl w:val="A8E87D9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7" w15:restartNumberingAfterBreak="0">
    <w:nsid w:val="76C94696"/>
    <w:multiLevelType w:val="hybridMultilevel"/>
    <w:tmpl w:val="345E8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5"/>
  </w:num>
  <w:num w:numId="4">
    <w:abstractNumId w:val="4"/>
  </w:num>
  <w:num w:numId="5">
    <w:abstractNumId w:val="12"/>
  </w:num>
  <w:num w:numId="6">
    <w:abstractNumId w:val="0"/>
  </w:num>
  <w:num w:numId="7">
    <w:abstractNumId w:val="7"/>
  </w:num>
  <w:num w:numId="8">
    <w:abstractNumId w:val="3"/>
  </w:num>
  <w:num w:numId="9">
    <w:abstractNumId w:val="10"/>
  </w:num>
  <w:num w:numId="10">
    <w:abstractNumId w:val="1"/>
  </w:num>
  <w:num w:numId="11">
    <w:abstractNumId w:val="6"/>
  </w:num>
  <w:num w:numId="12">
    <w:abstractNumId w:val="17"/>
  </w:num>
  <w:num w:numId="13">
    <w:abstractNumId w:val="16"/>
  </w:num>
  <w:num w:numId="14">
    <w:abstractNumId w:val="9"/>
  </w:num>
  <w:num w:numId="15">
    <w:abstractNumId w:val="8"/>
  </w:num>
  <w:num w:numId="16">
    <w:abstractNumId w:val="14"/>
  </w:num>
  <w:num w:numId="17">
    <w:abstractNumId w:val="11"/>
  </w:num>
  <w:num w:numId="18">
    <w:abstractNumId w:val="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6F94"/>
    <w:rsid w:val="00003A95"/>
    <w:rsid w:val="000058E0"/>
    <w:rsid w:val="00011A98"/>
    <w:rsid w:val="00011F8D"/>
    <w:rsid w:val="000130B4"/>
    <w:rsid w:val="00014361"/>
    <w:rsid w:val="00014579"/>
    <w:rsid w:val="00014944"/>
    <w:rsid w:val="00015CCA"/>
    <w:rsid w:val="000166A7"/>
    <w:rsid w:val="00022FAE"/>
    <w:rsid w:val="000368E1"/>
    <w:rsid w:val="00037083"/>
    <w:rsid w:val="00040611"/>
    <w:rsid w:val="0004305C"/>
    <w:rsid w:val="0004634F"/>
    <w:rsid w:val="00046CCD"/>
    <w:rsid w:val="000470B3"/>
    <w:rsid w:val="000474FB"/>
    <w:rsid w:val="00050240"/>
    <w:rsid w:val="00051C9C"/>
    <w:rsid w:val="00053A92"/>
    <w:rsid w:val="00054839"/>
    <w:rsid w:val="00055DAE"/>
    <w:rsid w:val="00057F36"/>
    <w:rsid w:val="0006370E"/>
    <w:rsid w:val="00086313"/>
    <w:rsid w:val="00092D3F"/>
    <w:rsid w:val="00096975"/>
    <w:rsid w:val="000A1F30"/>
    <w:rsid w:val="000A2D0C"/>
    <w:rsid w:val="000A71DF"/>
    <w:rsid w:val="000B0962"/>
    <w:rsid w:val="000B2CBC"/>
    <w:rsid w:val="000E431B"/>
    <w:rsid w:val="000E6577"/>
    <w:rsid w:val="000E7A19"/>
    <w:rsid w:val="00104A1B"/>
    <w:rsid w:val="00114F20"/>
    <w:rsid w:val="001177DD"/>
    <w:rsid w:val="00117E3C"/>
    <w:rsid w:val="001262D5"/>
    <w:rsid w:val="00126AE8"/>
    <w:rsid w:val="00130D45"/>
    <w:rsid w:val="00135334"/>
    <w:rsid w:val="001412D4"/>
    <w:rsid w:val="00144F64"/>
    <w:rsid w:val="00145D62"/>
    <w:rsid w:val="00151567"/>
    <w:rsid w:val="0015715D"/>
    <w:rsid w:val="00157413"/>
    <w:rsid w:val="00163E17"/>
    <w:rsid w:val="00166F9E"/>
    <w:rsid w:val="00167880"/>
    <w:rsid w:val="001764AD"/>
    <w:rsid w:val="00180D45"/>
    <w:rsid w:val="00182C6D"/>
    <w:rsid w:val="00187870"/>
    <w:rsid w:val="00187D5A"/>
    <w:rsid w:val="0019164D"/>
    <w:rsid w:val="00196622"/>
    <w:rsid w:val="001972D7"/>
    <w:rsid w:val="001A28F6"/>
    <w:rsid w:val="001A4122"/>
    <w:rsid w:val="001A6BD1"/>
    <w:rsid w:val="001B2831"/>
    <w:rsid w:val="001B4065"/>
    <w:rsid w:val="001B5910"/>
    <w:rsid w:val="001B70B4"/>
    <w:rsid w:val="001C0493"/>
    <w:rsid w:val="001C0518"/>
    <w:rsid w:val="001C28AD"/>
    <w:rsid w:val="001C4BF2"/>
    <w:rsid w:val="001C7607"/>
    <w:rsid w:val="001D5697"/>
    <w:rsid w:val="001D7FCB"/>
    <w:rsid w:val="001E023D"/>
    <w:rsid w:val="001E0A87"/>
    <w:rsid w:val="001E2075"/>
    <w:rsid w:val="001E2B99"/>
    <w:rsid w:val="001E69B6"/>
    <w:rsid w:val="001E7537"/>
    <w:rsid w:val="001F4DBB"/>
    <w:rsid w:val="00202D07"/>
    <w:rsid w:val="0020312D"/>
    <w:rsid w:val="00206E33"/>
    <w:rsid w:val="00210519"/>
    <w:rsid w:val="00212B10"/>
    <w:rsid w:val="00213296"/>
    <w:rsid w:val="002152C0"/>
    <w:rsid w:val="00227259"/>
    <w:rsid w:val="002331F3"/>
    <w:rsid w:val="00241B17"/>
    <w:rsid w:val="00241C81"/>
    <w:rsid w:val="00244557"/>
    <w:rsid w:val="00245477"/>
    <w:rsid w:val="002530AC"/>
    <w:rsid w:val="002540EE"/>
    <w:rsid w:val="002556F1"/>
    <w:rsid w:val="002563E6"/>
    <w:rsid w:val="00257704"/>
    <w:rsid w:val="0025784A"/>
    <w:rsid w:val="00257A1C"/>
    <w:rsid w:val="0027234C"/>
    <w:rsid w:val="00272E3E"/>
    <w:rsid w:val="00275A37"/>
    <w:rsid w:val="00276327"/>
    <w:rsid w:val="00281795"/>
    <w:rsid w:val="00282A54"/>
    <w:rsid w:val="002850E3"/>
    <w:rsid w:val="00287E2F"/>
    <w:rsid w:val="002929D3"/>
    <w:rsid w:val="00297471"/>
    <w:rsid w:val="002A1948"/>
    <w:rsid w:val="002A1CF5"/>
    <w:rsid w:val="002A44B2"/>
    <w:rsid w:val="002C0877"/>
    <w:rsid w:val="002C2AE2"/>
    <w:rsid w:val="002D0DCE"/>
    <w:rsid w:val="002D0E5E"/>
    <w:rsid w:val="002D28DA"/>
    <w:rsid w:val="002E2B10"/>
    <w:rsid w:val="002E2EDD"/>
    <w:rsid w:val="002E72B9"/>
    <w:rsid w:val="002E73B0"/>
    <w:rsid w:val="002F1502"/>
    <w:rsid w:val="002F2069"/>
    <w:rsid w:val="002F2C96"/>
    <w:rsid w:val="002F71A2"/>
    <w:rsid w:val="003041AD"/>
    <w:rsid w:val="00307525"/>
    <w:rsid w:val="00310E02"/>
    <w:rsid w:val="0031279F"/>
    <w:rsid w:val="00316F00"/>
    <w:rsid w:val="003179F7"/>
    <w:rsid w:val="00321B51"/>
    <w:rsid w:val="003268B7"/>
    <w:rsid w:val="00336D96"/>
    <w:rsid w:val="00341A69"/>
    <w:rsid w:val="00344F07"/>
    <w:rsid w:val="003469C8"/>
    <w:rsid w:val="00350C8C"/>
    <w:rsid w:val="00353467"/>
    <w:rsid w:val="00355EA4"/>
    <w:rsid w:val="0036004E"/>
    <w:rsid w:val="003635BE"/>
    <w:rsid w:val="00364C68"/>
    <w:rsid w:val="00365045"/>
    <w:rsid w:val="003651C5"/>
    <w:rsid w:val="00366B5E"/>
    <w:rsid w:val="00367506"/>
    <w:rsid w:val="003705DF"/>
    <w:rsid w:val="00376290"/>
    <w:rsid w:val="00382E66"/>
    <w:rsid w:val="00383542"/>
    <w:rsid w:val="003842D7"/>
    <w:rsid w:val="00384F93"/>
    <w:rsid w:val="00385BB5"/>
    <w:rsid w:val="003860A5"/>
    <w:rsid w:val="00386BC2"/>
    <w:rsid w:val="00387CA6"/>
    <w:rsid w:val="003A2555"/>
    <w:rsid w:val="003B05DB"/>
    <w:rsid w:val="003B125E"/>
    <w:rsid w:val="003B1BE3"/>
    <w:rsid w:val="003B2200"/>
    <w:rsid w:val="003B2AE6"/>
    <w:rsid w:val="003C31C9"/>
    <w:rsid w:val="003C4961"/>
    <w:rsid w:val="003C7C5D"/>
    <w:rsid w:val="003D0AD2"/>
    <w:rsid w:val="003D6D31"/>
    <w:rsid w:val="003D767D"/>
    <w:rsid w:val="003E0F5E"/>
    <w:rsid w:val="003E4AD2"/>
    <w:rsid w:val="003E6667"/>
    <w:rsid w:val="003F0CC1"/>
    <w:rsid w:val="003F37B8"/>
    <w:rsid w:val="003F5913"/>
    <w:rsid w:val="003F6277"/>
    <w:rsid w:val="004024F8"/>
    <w:rsid w:val="004035AA"/>
    <w:rsid w:val="00405696"/>
    <w:rsid w:val="0041159A"/>
    <w:rsid w:val="004135D5"/>
    <w:rsid w:val="004226DA"/>
    <w:rsid w:val="0042500C"/>
    <w:rsid w:val="004305A8"/>
    <w:rsid w:val="0043229B"/>
    <w:rsid w:val="0043268A"/>
    <w:rsid w:val="004353D5"/>
    <w:rsid w:val="00436B8A"/>
    <w:rsid w:val="0044130D"/>
    <w:rsid w:val="00441CC3"/>
    <w:rsid w:val="00443CA0"/>
    <w:rsid w:val="00450E14"/>
    <w:rsid w:val="00462C65"/>
    <w:rsid w:val="00463303"/>
    <w:rsid w:val="004674E7"/>
    <w:rsid w:val="00467B14"/>
    <w:rsid w:val="00467D07"/>
    <w:rsid w:val="00471642"/>
    <w:rsid w:val="00474673"/>
    <w:rsid w:val="00474EDA"/>
    <w:rsid w:val="00481D80"/>
    <w:rsid w:val="004824FA"/>
    <w:rsid w:val="00484011"/>
    <w:rsid w:val="004841F1"/>
    <w:rsid w:val="00486341"/>
    <w:rsid w:val="00487937"/>
    <w:rsid w:val="00495842"/>
    <w:rsid w:val="004A0E86"/>
    <w:rsid w:val="004A1E3A"/>
    <w:rsid w:val="004A30CE"/>
    <w:rsid w:val="004A71E9"/>
    <w:rsid w:val="004B26A0"/>
    <w:rsid w:val="004B46D6"/>
    <w:rsid w:val="004C0BF6"/>
    <w:rsid w:val="004C11DA"/>
    <w:rsid w:val="004C4464"/>
    <w:rsid w:val="004C4AEA"/>
    <w:rsid w:val="004C4F5C"/>
    <w:rsid w:val="004D0430"/>
    <w:rsid w:val="004D1DAA"/>
    <w:rsid w:val="004D4EB1"/>
    <w:rsid w:val="004E003C"/>
    <w:rsid w:val="004E16EB"/>
    <w:rsid w:val="004E6665"/>
    <w:rsid w:val="004E6EF2"/>
    <w:rsid w:val="004F601A"/>
    <w:rsid w:val="004F634E"/>
    <w:rsid w:val="004F67A8"/>
    <w:rsid w:val="004F6AFA"/>
    <w:rsid w:val="005017F9"/>
    <w:rsid w:val="005070F6"/>
    <w:rsid w:val="005115FA"/>
    <w:rsid w:val="0051582C"/>
    <w:rsid w:val="005212E5"/>
    <w:rsid w:val="00522A50"/>
    <w:rsid w:val="00525E61"/>
    <w:rsid w:val="00526BA7"/>
    <w:rsid w:val="00527225"/>
    <w:rsid w:val="005304C5"/>
    <w:rsid w:val="005306E3"/>
    <w:rsid w:val="00533A1B"/>
    <w:rsid w:val="0053557D"/>
    <w:rsid w:val="005410E3"/>
    <w:rsid w:val="005463DE"/>
    <w:rsid w:val="00546DC2"/>
    <w:rsid w:val="005542E8"/>
    <w:rsid w:val="00556630"/>
    <w:rsid w:val="0055686D"/>
    <w:rsid w:val="005800EE"/>
    <w:rsid w:val="00582878"/>
    <w:rsid w:val="00585786"/>
    <w:rsid w:val="005869D6"/>
    <w:rsid w:val="00587C72"/>
    <w:rsid w:val="0059331E"/>
    <w:rsid w:val="00594619"/>
    <w:rsid w:val="005966E0"/>
    <w:rsid w:val="005A33F6"/>
    <w:rsid w:val="005A3933"/>
    <w:rsid w:val="005A59E5"/>
    <w:rsid w:val="005B7440"/>
    <w:rsid w:val="005B795E"/>
    <w:rsid w:val="005C4E7F"/>
    <w:rsid w:val="005C5AB3"/>
    <w:rsid w:val="005D13B3"/>
    <w:rsid w:val="005D51C8"/>
    <w:rsid w:val="005D6F14"/>
    <w:rsid w:val="005E2092"/>
    <w:rsid w:val="005E2150"/>
    <w:rsid w:val="005E2236"/>
    <w:rsid w:val="005E2995"/>
    <w:rsid w:val="005F3164"/>
    <w:rsid w:val="005F3FEF"/>
    <w:rsid w:val="00600C4F"/>
    <w:rsid w:val="0060287B"/>
    <w:rsid w:val="006056AB"/>
    <w:rsid w:val="00605D50"/>
    <w:rsid w:val="00606A6E"/>
    <w:rsid w:val="00606B86"/>
    <w:rsid w:val="00607F7C"/>
    <w:rsid w:val="006102DA"/>
    <w:rsid w:val="00613BCF"/>
    <w:rsid w:val="00614CAE"/>
    <w:rsid w:val="00616090"/>
    <w:rsid w:val="006315A3"/>
    <w:rsid w:val="00650911"/>
    <w:rsid w:val="00651309"/>
    <w:rsid w:val="00653997"/>
    <w:rsid w:val="006579A2"/>
    <w:rsid w:val="00667C89"/>
    <w:rsid w:val="006711EE"/>
    <w:rsid w:val="00675C8B"/>
    <w:rsid w:val="00675F9A"/>
    <w:rsid w:val="00676B3E"/>
    <w:rsid w:val="006809BB"/>
    <w:rsid w:val="006809FD"/>
    <w:rsid w:val="00685FC4"/>
    <w:rsid w:val="00691D1F"/>
    <w:rsid w:val="00692DEB"/>
    <w:rsid w:val="00697BAE"/>
    <w:rsid w:val="006A09E0"/>
    <w:rsid w:val="006B2486"/>
    <w:rsid w:val="006B2704"/>
    <w:rsid w:val="006B4DDC"/>
    <w:rsid w:val="006B51BD"/>
    <w:rsid w:val="006B5E55"/>
    <w:rsid w:val="006C04E9"/>
    <w:rsid w:val="006C20E8"/>
    <w:rsid w:val="006C311B"/>
    <w:rsid w:val="006C4DA7"/>
    <w:rsid w:val="006D25A1"/>
    <w:rsid w:val="006E14E9"/>
    <w:rsid w:val="006E324C"/>
    <w:rsid w:val="006E47BF"/>
    <w:rsid w:val="006E7049"/>
    <w:rsid w:val="006F09A2"/>
    <w:rsid w:val="006F0E6D"/>
    <w:rsid w:val="006F183C"/>
    <w:rsid w:val="006F36C6"/>
    <w:rsid w:val="006F37BB"/>
    <w:rsid w:val="006F6856"/>
    <w:rsid w:val="006F752C"/>
    <w:rsid w:val="006F7A47"/>
    <w:rsid w:val="0070039F"/>
    <w:rsid w:val="00713412"/>
    <w:rsid w:val="0071430D"/>
    <w:rsid w:val="007145D0"/>
    <w:rsid w:val="00716CB4"/>
    <w:rsid w:val="00716F94"/>
    <w:rsid w:val="00721180"/>
    <w:rsid w:val="00721719"/>
    <w:rsid w:val="0072478E"/>
    <w:rsid w:val="00726FB5"/>
    <w:rsid w:val="00733595"/>
    <w:rsid w:val="00734D99"/>
    <w:rsid w:val="00741888"/>
    <w:rsid w:val="00742549"/>
    <w:rsid w:val="00743788"/>
    <w:rsid w:val="0075188E"/>
    <w:rsid w:val="00751E62"/>
    <w:rsid w:val="0076001C"/>
    <w:rsid w:val="0076068B"/>
    <w:rsid w:val="00760E12"/>
    <w:rsid w:val="0076317E"/>
    <w:rsid w:val="00763CF3"/>
    <w:rsid w:val="00766AD3"/>
    <w:rsid w:val="00772293"/>
    <w:rsid w:val="00773153"/>
    <w:rsid w:val="00774689"/>
    <w:rsid w:val="00776981"/>
    <w:rsid w:val="00781AE3"/>
    <w:rsid w:val="00782FBD"/>
    <w:rsid w:val="00783C75"/>
    <w:rsid w:val="00784619"/>
    <w:rsid w:val="00784735"/>
    <w:rsid w:val="0078627B"/>
    <w:rsid w:val="0078765B"/>
    <w:rsid w:val="007921F1"/>
    <w:rsid w:val="00794E32"/>
    <w:rsid w:val="007A0D73"/>
    <w:rsid w:val="007B07BE"/>
    <w:rsid w:val="007B1FF2"/>
    <w:rsid w:val="007B305A"/>
    <w:rsid w:val="007B6A12"/>
    <w:rsid w:val="007B7C44"/>
    <w:rsid w:val="007C5666"/>
    <w:rsid w:val="007C58E7"/>
    <w:rsid w:val="007C6E67"/>
    <w:rsid w:val="007D35DE"/>
    <w:rsid w:val="007D6163"/>
    <w:rsid w:val="007D6EF4"/>
    <w:rsid w:val="007E575D"/>
    <w:rsid w:val="007E57CD"/>
    <w:rsid w:val="007E6AEF"/>
    <w:rsid w:val="007E6CD0"/>
    <w:rsid w:val="007F5776"/>
    <w:rsid w:val="00803414"/>
    <w:rsid w:val="00810A85"/>
    <w:rsid w:val="00811C0D"/>
    <w:rsid w:val="00815C7D"/>
    <w:rsid w:val="00817941"/>
    <w:rsid w:val="008229E4"/>
    <w:rsid w:val="00823547"/>
    <w:rsid w:val="00824082"/>
    <w:rsid w:val="008261AB"/>
    <w:rsid w:val="008269AB"/>
    <w:rsid w:val="008303F5"/>
    <w:rsid w:val="008335A3"/>
    <w:rsid w:val="00834C91"/>
    <w:rsid w:val="00835CA7"/>
    <w:rsid w:val="008370D4"/>
    <w:rsid w:val="00837229"/>
    <w:rsid w:val="008414AD"/>
    <w:rsid w:val="008428D9"/>
    <w:rsid w:val="00842AD1"/>
    <w:rsid w:val="00850D80"/>
    <w:rsid w:val="00855F79"/>
    <w:rsid w:val="008645D1"/>
    <w:rsid w:val="008705AC"/>
    <w:rsid w:val="008715E7"/>
    <w:rsid w:val="00873FE6"/>
    <w:rsid w:val="008748B4"/>
    <w:rsid w:val="00881E2B"/>
    <w:rsid w:val="0088467A"/>
    <w:rsid w:val="00884DB9"/>
    <w:rsid w:val="008B12FA"/>
    <w:rsid w:val="008B65FF"/>
    <w:rsid w:val="008C001C"/>
    <w:rsid w:val="008C408E"/>
    <w:rsid w:val="008C42F9"/>
    <w:rsid w:val="008C59E7"/>
    <w:rsid w:val="008C67D2"/>
    <w:rsid w:val="008C7DE3"/>
    <w:rsid w:val="008E0683"/>
    <w:rsid w:val="008E2AE5"/>
    <w:rsid w:val="008E3D8D"/>
    <w:rsid w:val="008E6358"/>
    <w:rsid w:val="008F3D10"/>
    <w:rsid w:val="00900AE6"/>
    <w:rsid w:val="00902DD9"/>
    <w:rsid w:val="00911486"/>
    <w:rsid w:val="009129CA"/>
    <w:rsid w:val="00915C4D"/>
    <w:rsid w:val="009206B6"/>
    <w:rsid w:val="00922C3F"/>
    <w:rsid w:val="009252DC"/>
    <w:rsid w:val="009252F5"/>
    <w:rsid w:val="00925C91"/>
    <w:rsid w:val="00925CD1"/>
    <w:rsid w:val="009263C1"/>
    <w:rsid w:val="00927157"/>
    <w:rsid w:val="00932B7E"/>
    <w:rsid w:val="00941B4F"/>
    <w:rsid w:val="00945B19"/>
    <w:rsid w:val="009518C0"/>
    <w:rsid w:val="00954637"/>
    <w:rsid w:val="00960C02"/>
    <w:rsid w:val="0096195A"/>
    <w:rsid w:val="00961CF2"/>
    <w:rsid w:val="00963CE3"/>
    <w:rsid w:val="00964F18"/>
    <w:rsid w:val="00972641"/>
    <w:rsid w:val="00972663"/>
    <w:rsid w:val="00974424"/>
    <w:rsid w:val="00987F76"/>
    <w:rsid w:val="009908F3"/>
    <w:rsid w:val="00993088"/>
    <w:rsid w:val="00993B1F"/>
    <w:rsid w:val="00994B8B"/>
    <w:rsid w:val="0099664F"/>
    <w:rsid w:val="00997D5D"/>
    <w:rsid w:val="009A0447"/>
    <w:rsid w:val="009A1406"/>
    <w:rsid w:val="009A2CE5"/>
    <w:rsid w:val="009A3BE7"/>
    <w:rsid w:val="009A4B59"/>
    <w:rsid w:val="009A737F"/>
    <w:rsid w:val="009B4A51"/>
    <w:rsid w:val="009C28B1"/>
    <w:rsid w:val="009C2FE6"/>
    <w:rsid w:val="009C53AE"/>
    <w:rsid w:val="009C61AD"/>
    <w:rsid w:val="009C6697"/>
    <w:rsid w:val="009D0068"/>
    <w:rsid w:val="009D172E"/>
    <w:rsid w:val="009D373D"/>
    <w:rsid w:val="009D436B"/>
    <w:rsid w:val="009D4BE1"/>
    <w:rsid w:val="009D5927"/>
    <w:rsid w:val="009D7B2C"/>
    <w:rsid w:val="009E0801"/>
    <w:rsid w:val="009E1D05"/>
    <w:rsid w:val="009E3BDF"/>
    <w:rsid w:val="009F0BA9"/>
    <w:rsid w:val="009F7DE0"/>
    <w:rsid w:val="00A01104"/>
    <w:rsid w:val="00A0222E"/>
    <w:rsid w:val="00A05973"/>
    <w:rsid w:val="00A06BCB"/>
    <w:rsid w:val="00A1050C"/>
    <w:rsid w:val="00A11B0C"/>
    <w:rsid w:val="00A1453A"/>
    <w:rsid w:val="00A20BA8"/>
    <w:rsid w:val="00A242DB"/>
    <w:rsid w:val="00A33B35"/>
    <w:rsid w:val="00A33E90"/>
    <w:rsid w:val="00A35DB1"/>
    <w:rsid w:val="00A36419"/>
    <w:rsid w:val="00A44921"/>
    <w:rsid w:val="00A44AD9"/>
    <w:rsid w:val="00A576F8"/>
    <w:rsid w:val="00A578C2"/>
    <w:rsid w:val="00A62C98"/>
    <w:rsid w:val="00A70B3C"/>
    <w:rsid w:val="00A72652"/>
    <w:rsid w:val="00A734C6"/>
    <w:rsid w:val="00A75D1C"/>
    <w:rsid w:val="00A809AA"/>
    <w:rsid w:val="00A826F4"/>
    <w:rsid w:val="00A849B3"/>
    <w:rsid w:val="00A8510D"/>
    <w:rsid w:val="00A8631D"/>
    <w:rsid w:val="00A86AF3"/>
    <w:rsid w:val="00A90AFF"/>
    <w:rsid w:val="00A90BDC"/>
    <w:rsid w:val="00A95477"/>
    <w:rsid w:val="00A975A9"/>
    <w:rsid w:val="00AA3192"/>
    <w:rsid w:val="00AA56D9"/>
    <w:rsid w:val="00AB0486"/>
    <w:rsid w:val="00AB2328"/>
    <w:rsid w:val="00AB251E"/>
    <w:rsid w:val="00AB3608"/>
    <w:rsid w:val="00AB4C58"/>
    <w:rsid w:val="00AC1272"/>
    <w:rsid w:val="00AC3ECE"/>
    <w:rsid w:val="00AC5C48"/>
    <w:rsid w:val="00AC63E3"/>
    <w:rsid w:val="00AC7ECF"/>
    <w:rsid w:val="00AD3621"/>
    <w:rsid w:val="00AD3F08"/>
    <w:rsid w:val="00AE187B"/>
    <w:rsid w:val="00AF0CF4"/>
    <w:rsid w:val="00AF2252"/>
    <w:rsid w:val="00AF5A8C"/>
    <w:rsid w:val="00B00360"/>
    <w:rsid w:val="00B0098C"/>
    <w:rsid w:val="00B00B12"/>
    <w:rsid w:val="00B1129F"/>
    <w:rsid w:val="00B11D61"/>
    <w:rsid w:val="00B11F7B"/>
    <w:rsid w:val="00B12F51"/>
    <w:rsid w:val="00B24679"/>
    <w:rsid w:val="00B2751E"/>
    <w:rsid w:val="00B33334"/>
    <w:rsid w:val="00B3650C"/>
    <w:rsid w:val="00B4083A"/>
    <w:rsid w:val="00B43AFE"/>
    <w:rsid w:val="00B47055"/>
    <w:rsid w:val="00B63CF3"/>
    <w:rsid w:val="00B64BFA"/>
    <w:rsid w:val="00B711A1"/>
    <w:rsid w:val="00B71E63"/>
    <w:rsid w:val="00B73672"/>
    <w:rsid w:val="00B83212"/>
    <w:rsid w:val="00B85DE4"/>
    <w:rsid w:val="00B8783F"/>
    <w:rsid w:val="00B87AAD"/>
    <w:rsid w:val="00B91A31"/>
    <w:rsid w:val="00B91AFF"/>
    <w:rsid w:val="00B9300C"/>
    <w:rsid w:val="00B94CAF"/>
    <w:rsid w:val="00B97BF9"/>
    <w:rsid w:val="00BA058C"/>
    <w:rsid w:val="00BA50D9"/>
    <w:rsid w:val="00BA6325"/>
    <w:rsid w:val="00BA6C28"/>
    <w:rsid w:val="00BA6DB4"/>
    <w:rsid w:val="00BB0813"/>
    <w:rsid w:val="00BB090C"/>
    <w:rsid w:val="00BB1ED4"/>
    <w:rsid w:val="00BB3C72"/>
    <w:rsid w:val="00BC3F3C"/>
    <w:rsid w:val="00BC5BB2"/>
    <w:rsid w:val="00BD1F19"/>
    <w:rsid w:val="00BD3702"/>
    <w:rsid w:val="00BD4599"/>
    <w:rsid w:val="00BD56AF"/>
    <w:rsid w:val="00BD79F7"/>
    <w:rsid w:val="00BE2D06"/>
    <w:rsid w:val="00BE5A15"/>
    <w:rsid w:val="00BE738E"/>
    <w:rsid w:val="00BF0A3A"/>
    <w:rsid w:val="00BF11A1"/>
    <w:rsid w:val="00BF3F54"/>
    <w:rsid w:val="00C00697"/>
    <w:rsid w:val="00C0376C"/>
    <w:rsid w:val="00C06D77"/>
    <w:rsid w:val="00C14BA6"/>
    <w:rsid w:val="00C150FD"/>
    <w:rsid w:val="00C244E0"/>
    <w:rsid w:val="00C24F65"/>
    <w:rsid w:val="00C3485C"/>
    <w:rsid w:val="00C4416B"/>
    <w:rsid w:val="00C544A4"/>
    <w:rsid w:val="00C70A4A"/>
    <w:rsid w:val="00C73BF6"/>
    <w:rsid w:val="00C768E5"/>
    <w:rsid w:val="00C81DD3"/>
    <w:rsid w:val="00CA2004"/>
    <w:rsid w:val="00CA5840"/>
    <w:rsid w:val="00CA5B99"/>
    <w:rsid w:val="00CA70D6"/>
    <w:rsid w:val="00CB0933"/>
    <w:rsid w:val="00CB334D"/>
    <w:rsid w:val="00CB543A"/>
    <w:rsid w:val="00CB56D5"/>
    <w:rsid w:val="00CB591C"/>
    <w:rsid w:val="00CC1D9C"/>
    <w:rsid w:val="00CC4DAB"/>
    <w:rsid w:val="00CC7188"/>
    <w:rsid w:val="00CC76CD"/>
    <w:rsid w:val="00CD1EA8"/>
    <w:rsid w:val="00CD5887"/>
    <w:rsid w:val="00CE7B46"/>
    <w:rsid w:val="00CE7EA7"/>
    <w:rsid w:val="00CF213F"/>
    <w:rsid w:val="00CF5ABD"/>
    <w:rsid w:val="00CF6092"/>
    <w:rsid w:val="00CF6379"/>
    <w:rsid w:val="00CF63CE"/>
    <w:rsid w:val="00D065B1"/>
    <w:rsid w:val="00D067C1"/>
    <w:rsid w:val="00D06816"/>
    <w:rsid w:val="00D076EC"/>
    <w:rsid w:val="00D10492"/>
    <w:rsid w:val="00D1343B"/>
    <w:rsid w:val="00D13B13"/>
    <w:rsid w:val="00D16E78"/>
    <w:rsid w:val="00D17D8B"/>
    <w:rsid w:val="00D201D3"/>
    <w:rsid w:val="00D21203"/>
    <w:rsid w:val="00D267D5"/>
    <w:rsid w:val="00D26A64"/>
    <w:rsid w:val="00D31720"/>
    <w:rsid w:val="00D42A92"/>
    <w:rsid w:val="00D52B9A"/>
    <w:rsid w:val="00D5367E"/>
    <w:rsid w:val="00D53B1E"/>
    <w:rsid w:val="00D6105F"/>
    <w:rsid w:val="00D61AD2"/>
    <w:rsid w:val="00D61EA5"/>
    <w:rsid w:val="00D647BF"/>
    <w:rsid w:val="00D64855"/>
    <w:rsid w:val="00D71C1C"/>
    <w:rsid w:val="00D727B6"/>
    <w:rsid w:val="00D72AE3"/>
    <w:rsid w:val="00D75750"/>
    <w:rsid w:val="00D84EF0"/>
    <w:rsid w:val="00D861ED"/>
    <w:rsid w:val="00D873E0"/>
    <w:rsid w:val="00D941E3"/>
    <w:rsid w:val="00D94F8B"/>
    <w:rsid w:val="00D95FBF"/>
    <w:rsid w:val="00DA5988"/>
    <w:rsid w:val="00DA762F"/>
    <w:rsid w:val="00DB1021"/>
    <w:rsid w:val="00DB7F78"/>
    <w:rsid w:val="00DC0184"/>
    <w:rsid w:val="00DC2AD2"/>
    <w:rsid w:val="00DC317C"/>
    <w:rsid w:val="00DC4FF2"/>
    <w:rsid w:val="00DC79CC"/>
    <w:rsid w:val="00DD5E65"/>
    <w:rsid w:val="00DD7BF0"/>
    <w:rsid w:val="00DE0595"/>
    <w:rsid w:val="00DE2888"/>
    <w:rsid w:val="00E00795"/>
    <w:rsid w:val="00E1007A"/>
    <w:rsid w:val="00E10D39"/>
    <w:rsid w:val="00E134F4"/>
    <w:rsid w:val="00E147D9"/>
    <w:rsid w:val="00E162E0"/>
    <w:rsid w:val="00E20294"/>
    <w:rsid w:val="00E20D75"/>
    <w:rsid w:val="00E23568"/>
    <w:rsid w:val="00E245B5"/>
    <w:rsid w:val="00E27096"/>
    <w:rsid w:val="00E33E1B"/>
    <w:rsid w:val="00E34D3E"/>
    <w:rsid w:val="00E35AB7"/>
    <w:rsid w:val="00E36D66"/>
    <w:rsid w:val="00E41812"/>
    <w:rsid w:val="00E46BAF"/>
    <w:rsid w:val="00E5146F"/>
    <w:rsid w:val="00E54C58"/>
    <w:rsid w:val="00E62BD2"/>
    <w:rsid w:val="00E647FB"/>
    <w:rsid w:val="00E720E9"/>
    <w:rsid w:val="00E7615A"/>
    <w:rsid w:val="00E7655F"/>
    <w:rsid w:val="00E81C5E"/>
    <w:rsid w:val="00E83B3C"/>
    <w:rsid w:val="00E83C38"/>
    <w:rsid w:val="00E84637"/>
    <w:rsid w:val="00E8736B"/>
    <w:rsid w:val="00E87D24"/>
    <w:rsid w:val="00E90275"/>
    <w:rsid w:val="00E925D4"/>
    <w:rsid w:val="00E93CFA"/>
    <w:rsid w:val="00E944C3"/>
    <w:rsid w:val="00E9465D"/>
    <w:rsid w:val="00E97226"/>
    <w:rsid w:val="00EA2B44"/>
    <w:rsid w:val="00EA33EF"/>
    <w:rsid w:val="00EA3A4A"/>
    <w:rsid w:val="00EB7019"/>
    <w:rsid w:val="00EB70DC"/>
    <w:rsid w:val="00EC2E9C"/>
    <w:rsid w:val="00EC4FFD"/>
    <w:rsid w:val="00EC58F5"/>
    <w:rsid w:val="00EC5EFC"/>
    <w:rsid w:val="00ED57D1"/>
    <w:rsid w:val="00ED6DB3"/>
    <w:rsid w:val="00ED6DF6"/>
    <w:rsid w:val="00EE40C6"/>
    <w:rsid w:val="00EE54FA"/>
    <w:rsid w:val="00EE59C5"/>
    <w:rsid w:val="00EE7BFB"/>
    <w:rsid w:val="00EF33CD"/>
    <w:rsid w:val="00EF3877"/>
    <w:rsid w:val="00F0000D"/>
    <w:rsid w:val="00F12924"/>
    <w:rsid w:val="00F17CBA"/>
    <w:rsid w:val="00F20C9B"/>
    <w:rsid w:val="00F300CB"/>
    <w:rsid w:val="00F31310"/>
    <w:rsid w:val="00F36F03"/>
    <w:rsid w:val="00F42C3A"/>
    <w:rsid w:val="00F436EF"/>
    <w:rsid w:val="00F45451"/>
    <w:rsid w:val="00F46AFD"/>
    <w:rsid w:val="00F52BCC"/>
    <w:rsid w:val="00F5313F"/>
    <w:rsid w:val="00F727D5"/>
    <w:rsid w:val="00F81135"/>
    <w:rsid w:val="00F81A48"/>
    <w:rsid w:val="00F81E56"/>
    <w:rsid w:val="00F90368"/>
    <w:rsid w:val="00F933BB"/>
    <w:rsid w:val="00FA4D74"/>
    <w:rsid w:val="00FB62BC"/>
    <w:rsid w:val="00FC3372"/>
    <w:rsid w:val="00FD17C9"/>
    <w:rsid w:val="00FD2A5B"/>
    <w:rsid w:val="00FD731A"/>
    <w:rsid w:val="00FD7F04"/>
    <w:rsid w:val="00FE0828"/>
    <w:rsid w:val="00FE63DB"/>
    <w:rsid w:val="00FE6A5C"/>
    <w:rsid w:val="00FF4CCC"/>
    <w:rsid w:val="00FF5B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44232C"/>
  <w15:docId w15:val="{AF6787BB-5974-401D-9328-9D6C8FFF60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692DEB"/>
    <w:pPr>
      <w:numPr>
        <w:numId w:val="1"/>
      </w:numPr>
      <w:spacing w:after="1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link w:val="ListParagraphChar"/>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692DEB"/>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 w:type="paragraph" w:styleId="Revision">
    <w:name w:val="Revision"/>
    <w:hidden/>
    <w:uiPriority w:val="99"/>
    <w:semiHidden/>
    <w:rsid w:val="003B1BE3"/>
    <w:pPr>
      <w:spacing w:after="0" w:line="240" w:lineRule="auto"/>
    </w:pPr>
    <w:rPr>
      <w:rFonts w:asciiTheme="majorHAnsi" w:hAnsiTheme="majorHAnsi"/>
    </w:rPr>
  </w:style>
  <w:style w:type="paragraph" w:styleId="TOC1">
    <w:name w:val="toc 1"/>
    <w:basedOn w:val="Normal"/>
    <w:next w:val="Normal"/>
    <w:autoRedefine/>
    <w:uiPriority w:val="39"/>
    <w:unhideWhenUsed/>
    <w:rsid w:val="003860A5"/>
    <w:pPr>
      <w:tabs>
        <w:tab w:val="clear" w:pos="9360"/>
      </w:tabs>
      <w:spacing w:after="100"/>
      <w:ind w:left="0"/>
    </w:pPr>
  </w:style>
  <w:style w:type="paragraph" w:styleId="TOC2">
    <w:name w:val="toc 2"/>
    <w:basedOn w:val="Normal"/>
    <w:next w:val="Normal"/>
    <w:autoRedefine/>
    <w:uiPriority w:val="39"/>
    <w:unhideWhenUsed/>
    <w:rsid w:val="001B70B4"/>
    <w:pPr>
      <w:tabs>
        <w:tab w:val="clear" w:pos="9360"/>
        <w:tab w:val="left" w:pos="660"/>
        <w:tab w:val="right" w:leader="dot" w:pos="9350"/>
      </w:tabs>
      <w:spacing w:after="100"/>
      <w:ind w:left="630" w:hanging="410"/>
    </w:pPr>
  </w:style>
  <w:style w:type="paragraph" w:styleId="TOC8">
    <w:name w:val="toc 8"/>
    <w:basedOn w:val="Normal"/>
    <w:next w:val="Normal"/>
    <w:autoRedefine/>
    <w:uiPriority w:val="39"/>
    <w:unhideWhenUsed/>
    <w:rsid w:val="003860A5"/>
    <w:pPr>
      <w:tabs>
        <w:tab w:val="clear" w:pos="9360"/>
      </w:tabs>
      <w:spacing w:after="100"/>
      <w:ind w:left="1540"/>
    </w:pPr>
    <w:rPr>
      <w:rFonts w:asciiTheme="minorHAnsi" w:hAnsiTheme="minorHAnsi"/>
    </w:rPr>
  </w:style>
  <w:style w:type="character" w:styleId="FollowedHyperlink">
    <w:name w:val="FollowedHyperlink"/>
    <w:basedOn w:val="DefaultParagraphFont"/>
    <w:uiPriority w:val="99"/>
    <w:semiHidden/>
    <w:unhideWhenUsed/>
    <w:rsid w:val="008C408E"/>
    <w:rPr>
      <w:color w:val="800080" w:themeColor="followedHyperlink"/>
      <w:u w:val="single"/>
    </w:rPr>
  </w:style>
  <w:style w:type="character" w:styleId="SubtleEmphasis">
    <w:name w:val="Subtle Emphasis"/>
    <w:uiPriority w:val="19"/>
    <w:qFormat/>
    <w:rsid w:val="006E324C"/>
    <w:rPr>
      <w:i/>
      <w:iCs/>
      <w:color w:val="0F243E" w:themeColor="text2" w:themeShade="80"/>
    </w:rPr>
  </w:style>
  <w:style w:type="character" w:customStyle="1" w:styleId="ListParagraphChar">
    <w:name w:val="List Paragraph Char"/>
    <w:basedOn w:val="DefaultParagraphFont"/>
    <w:link w:val="ListParagraph"/>
    <w:uiPriority w:val="34"/>
    <w:locked/>
    <w:rsid w:val="00310E02"/>
    <w:rPr>
      <w:rFonts w:asciiTheme="majorHAnsi"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952586795">
      <w:bodyDiv w:val="1"/>
      <w:marLeft w:val="0"/>
      <w:marRight w:val="0"/>
      <w:marTop w:val="0"/>
      <w:marBottom w:val="0"/>
      <w:divBdr>
        <w:top w:val="none" w:sz="0" w:space="0" w:color="auto"/>
        <w:left w:val="none" w:sz="0" w:space="0" w:color="auto"/>
        <w:bottom w:val="none" w:sz="0" w:space="0" w:color="auto"/>
        <w:right w:val="none" w:sz="0" w:space="0" w:color="auto"/>
      </w:divBdr>
      <w:divsChild>
        <w:div w:id="997417974">
          <w:marLeft w:val="0"/>
          <w:marRight w:val="0"/>
          <w:marTop w:val="0"/>
          <w:marBottom w:val="0"/>
          <w:divBdr>
            <w:top w:val="none" w:sz="0" w:space="0" w:color="auto"/>
            <w:left w:val="none" w:sz="0" w:space="0" w:color="auto"/>
            <w:bottom w:val="none" w:sz="0" w:space="0" w:color="auto"/>
            <w:right w:val="none" w:sz="0" w:space="0" w:color="auto"/>
          </w:divBdr>
          <w:divsChild>
            <w:div w:id="1700549412">
              <w:marLeft w:val="0"/>
              <w:marRight w:val="0"/>
              <w:marTop w:val="0"/>
              <w:marBottom w:val="0"/>
              <w:divBdr>
                <w:top w:val="none" w:sz="0" w:space="0" w:color="auto"/>
                <w:left w:val="single" w:sz="6" w:space="0" w:color="E2E2E2"/>
                <w:bottom w:val="none" w:sz="0" w:space="0" w:color="auto"/>
                <w:right w:val="single" w:sz="6" w:space="0" w:color="E2E2E2"/>
              </w:divBdr>
              <w:divsChild>
                <w:div w:id="889462832">
                  <w:marLeft w:val="0"/>
                  <w:marRight w:val="0"/>
                  <w:marTop w:val="0"/>
                  <w:marBottom w:val="0"/>
                  <w:divBdr>
                    <w:top w:val="none" w:sz="0" w:space="0" w:color="auto"/>
                    <w:left w:val="none" w:sz="0" w:space="0" w:color="auto"/>
                    <w:bottom w:val="none" w:sz="0" w:space="0" w:color="auto"/>
                    <w:right w:val="none" w:sz="0" w:space="0" w:color="auto"/>
                  </w:divBdr>
                  <w:divsChild>
                    <w:div w:id="58179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publichealthgateway/publichealthservices/essentialhealthservices.htm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aspe.hhs.gov/pdf-report/guidelines-regulatory-impact-analysi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ls.gov/oes/current/oes_nat.ht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sa.gov/advisory-committees/heritable-disorders/rusp/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280B11AB954C44BB2ADB61C885D152" ma:contentTypeVersion="13" ma:contentTypeDescription="Create a new document." ma:contentTypeScope="" ma:versionID="b85aa96280b23c9652e28870c46a7712">
  <xsd:schema xmlns:xsd="http://www.w3.org/2001/XMLSchema" xmlns:xs="http://www.w3.org/2001/XMLSchema" xmlns:p="http://schemas.microsoft.com/office/2006/metadata/properties" xmlns:ns1="http://schemas.microsoft.com/sharepoint/v3" xmlns:ns3="86765d95-7958-4d60-b35d-769de0760221" xmlns:ns4="dde2d2aa-043b-4580-afc4-8c4886710735" targetNamespace="http://schemas.microsoft.com/office/2006/metadata/properties" ma:root="true" ma:fieldsID="185d1212ee75e7dc9ff712f93c7ec2bd" ns1:_="" ns3:_="" ns4:_="">
    <xsd:import namespace="http://schemas.microsoft.com/sharepoint/v3"/>
    <xsd:import namespace="86765d95-7958-4d60-b35d-769de0760221"/>
    <xsd:import namespace="dde2d2aa-043b-4580-afc4-8c488671073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765d95-7958-4d60-b35d-769de07602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e2d2aa-043b-4580-afc4-8c4886710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18C74D-95E1-4CCA-91D4-EF2F1A5C4A3D}">
  <ds:schemaRefs>
    <ds:schemaRef ds:uri="http://schemas.microsoft.com/sharepoint/v3/contenttype/forms"/>
  </ds:schemaRefs>
</ds:datastoreItem>
</file>

<file path=customXml/itemProps2.xml><?xml version="1.0" encoding="utf-8"?>
<ds:datastoreItem xmlns:ds="http://schemas.openxmlformats.org/officeDocument/2006/customXml" ds:itemID="{8BA81413-09B3-489D-AA71-03B1B58FB3F5}">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995D32AF-9A50-4C58-BB0F-47D1C1AEF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765d95-7958-4d60-b35d-769de0760221"/>
    <ds:schemaRef ds:uri="dde2d2aa-043b-4580-afc4-8c4886710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30A72-43C2-4887-931D-78502452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3357</Words>
  <Characters>19140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Anderson, Brittany (CDC/DDPHSIS/CSTLTS/OD)</cp:lastModifiedBy>
  <cp:revision>23</cp:revision>
  <cp:lastPrinted>2011-06-07T15:53:00Z</cp:lastPrinted>
  <dcterms:created xsi:type="dcterms:W3CDTF">2020-10-08T19:19:00Z</dcterms:created>
  <dcterms:modified xsi:type="dcterms:W3CDTF">2020-10-09T13:58:00Z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0x010100B0280B11AB954C44BB2ADB61C885D152</vt:lpwstr>
  </property>
  <property fmtid="{D5CDD505-2E9C-101B-9397-08002B2CF9AE}" pid="3" name="MSIP_Label_7b94a7b8-f06c-4dfe-bdcc-9b548fd58c31_Enabled">
    <vt:lpwstr>True</vt:lpwstr>
  </property>
  <property fmtid="{D5CDD505-2E9C-101B-9397-08002B2CF9AE}" pid="4" name="MSIP_Label_7b94a7b8-f06c-4dfe-bdcc-9b548fd58c31_SiteId">
    <vt:lpwstr>9ce70869-60db-44fd-abe8-d2767077fc8f</vt:lpwstr>
  </property>
  <property fmtid="{D5CDD505-2E9C-101B-9397-08002B2CF9AE}" pid="5" name="MSIP_Label_7b94a7b8-f06c-4dfe-bdcc-9b548fd58c31_Owner">
    <vt:lpwstr>njg6@cdc.gov</vt:lpwstr>
  </property>
  <property fmtid="{D5CDD505-2E9C-101B-9397-08002B2CF9AE}" pid="6" name="MSIP_Label_7b94a7b8-f06c-4dfe-bdcc-9b548fd58c31_SetDate">
    <vt:lpwstr>2020-10-07T15:19:20.5355558Z</vt:lpwstr>
  </property>
  <property fmtid="{D5CDD505-2E9C-101B-9397-08002B2CF9AE}" pid="7" name="MSIP_Label_7b94a7b8-f06c-4dfe-bdcc-9b548fd58c31_Name">
    <vt:lpwstr>General</vt:lpwstr>
  </property>
  <property fmtid="{D5CDD505-2E9C-101B-9397-08002B2CF9AE}" pid="8" name="MSIP_Label_7b94a7b8-f06c-4dfe-bdcc-9b548fd58c31_Application">
    <vt:lpwstr>Microsoft Azure Information Protection</vt:lpwstr>
  </property>
  <property fmtid="{D5CDD505-2E9C-101B-9397-08002B2CF9AE}" pid="9" name="MSIP_Label_7b94a7b8-f06c-4dfe-bdcc-9b548fd58c31_ActionId">
    <vt:lpwstr>d7430586-ea09-43d9-8165-eaff14b673c5</vt:lpwstr>
  </property>
  <property fmtid="{D5CDD505-2E9C-101B-9397-08002B2CF9AE}" pid="10" name="MSIP_Label_7b94a7b8-f06c-4dfe-bdcc-9b548fd58c31_Extended_MSFT_Method">
    <vt:lpwstr>Manual</vt:lpwstr>
  </property>
  <property fmtid="{D5CDD505-2E9C-101B-9397-08002B2CF9AE}" pid="11" name="Sensitivity">
    <vt:lpwstr>General</vt:lpwstr>
  </property>
</Properties>
</file>