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005E5" w14:textId="135492BC" w:rsidR="009B4A51" w:rsidRDefault="009B4A51" w:rsidP="00A1453A">
      <w:pPr>
        <w:ind w:left="0"/>
      </w:pPr>
      <w:bookmarkStart w:id="0" w:name="_GoBack"/>
      <w:bookmarkEnd w:id="0"/>
    </w:p>
    <w:p w14:paraId="2E8DFE4E" w14:textId="7F255699" w:rsidR="00F3327E" w:rsidRDefault="00F3327E" w:rsidP="00A1453A">
      <w:pPr>
        <w:ind w:left="0"/>
      </w:pPr>
    </w:p>
    <w:p w14:paraId="5678256A" w14:textId="79B271A5" w:rsidR="00F3327E" w:rsidRDefault="00F3327E" w:rsidP="00A1453A">
      <w:pPr>
        <w:ind w:left="0"/>
      </w:pPr>
    </w:p>
    <w:p w14:paraId="4DBEC173" w14:textId="39A478BD" w:rsidR="00F3327E" w:rsidRDefault="00F3327E" w:rsidP="00A1453A">
      <w:pPr>
        <w:ind w:left="0"/>
      </w:pPr>
    </w:p>
    <w:p w14:paraId="75B8C206" w14:textId="46D58FCB" w:rsidR="00F3327E" w:rsidRDefault="00F3327E" w:rsidP="00A1453A">
      <w:pPr>
        <w:ind w:left="0"/>
      </w:pPr>
    </w:p>
    <w:p w14:paraId="09FA4B2C" w14:textId="0A9550AC" w:rsidR="00F3327E" w:rsidRDefault="00F3327E" w:rsidP="00A1453A">
      <w:pPr>
        <w:ind w:left="0"/>
      </w:pPr>
    </w:p>
    <w:p w14:paraId="1D449534" w14:textId="77777777" w:rsidR="00F3327E" w:rsidRDefault="00F3327E" w:rsidP="00A1453A">
      <w:pPr>
        <w:ind w:left="0"/>
      </w:pPr>
    </w:p>
    <w:p w14:paraId="4EEEFD3B" w14:textId="77777777" w:rsidR="00667C89" w:rsidRDefault="00667C89" w:rsidP="00A1453A">
      <w:pPr>
        <w:ind w:left="0"/>
      </w:pPr>
    </w:p>
    <w:p w14:paraId="41758E82" w14:textId="77777777" w:rsidR="009B4A51" w:rsidRDefault="009B4A51" w:rsidP="004135D5">
      <w:pPr>
        <w:pStyle w:val="Heading6"/>
      </w:pPr>
    </w:p>
    <w:p w14:paraId="55E8F568" w14:textId="77777777" w:rsidR="00A1453A" w:rsidRPr="00A1453A" w:rsidRDefault="00A1453A" w:rsidP="00A1453A"/>
    <w:p w14:paraId="651B6B00" w14:textId="77777777" w:rsidR="009B4A51" w:rsidRDefault="009B4A51" w:rsidP="00CA5840">
      <w:pPr>
        <w:ind w:left="0"/>
      </w:pPr>
    </w:p>
    <w:p w14:paraId="048DB384" w14:textId="6D78D777" w:rsidR="00603DCF" w:rsidRDefault="0023262F" w:rsidP="00CA5840">
      <w:pPr>
        <w:pStyle w:val="Heading1"/>
        <w:ind w:left="0"/>
      </w:pPr>
      <w:r w:rsidRPr="001F43BB">
        <w:t xml:space="preserve">Medical </w:t>
      </w:r>
      <w:r w:rsidR="00917833">
        <w:t>Countermeasure</w:t>
      </w:r>
      <w:r w:rsidRPr="001F43BB">
        <w:t xml:space="preserve"> </w:t>
      </w:r>
    </w:p>
    <w:p w14:paraId="67E4BF22" w14:textId="4B2C8CB2" w:rsidR="00716F94" w:rsidRPr="001F43BB" w:rsidRDefault="0023262F" w:rsidP="00CA5840">
      <w:pPr>
        <w:pStyle w:val="Heading1"/>
        <w:ind w:left="0"/>
      </w:pPr>
      <w:r w:rsidRPr="001F43BB">
        <w:t xml:space="preserve">Training Needs Assessment </w:t>
      </w:r>
    </w:p>
    <w:p w14:paraId="4D8556EA" w14:textId="77777777" w:rsidR="00AA3192" w:rsidRDefault="00AA3192" w:rsidP="00CA5840">
      <w:pPr>
        <w:ind w:left="0"/>
      </w:pPr>
    </w:p>
    <w:p w14:paraId="0F642780"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104C20D6" w14:textId="77777777" w:rsidR="00484011" w:rsidRPr="00AA3192" w:rsidRDefault="00484011" w:rsidP="00CA5840">
      <w:pPr>
        <w:ind w:left="0"/>
        <w:jc w:val="center"/>
      </w:pPr>
      <w:r w:rsidRPr="00AA3192">
        <w:t>OMB No. 0920-0879</w:t>
      </w:r>
    </w:p>
    <w:p w14:paraId="53946238" w14:textId="62C9E285" w:rsidR="009B4A51" w:rsidRDefault="009B4A51" w:rsidP="00CA5840">
      <w:pPr>
        <w:ind w:left="0"/>
      </w:pPr>
    </w:p>
    <w:p w14:paraId="7603EDB1" w14:textId="77777777" w:rsidR="00F3327E" w:rsidRDefault="00F3327E" w:rsidP="00CA5840">
      <w:pPr>
        <w:ind w:left="0"/>
      </w:pPr>
    </w:p>
    <w:p w14:paraId="7E88EC2F" w14:textId="6E9C6B82" w:rsidR="00AA3192" w:rsidRDefault="00AA3192" w:rsidP="00CA5840">
      <w:pPr>
        <w:ind w:left="0"/>
      </w:pPr>
    </w:p>
    <w:p w14:paraId="01D54B73" w14:textId="77777777" w:rsidR="00F3327E" w:rsidRDefault="00F3327E" w:rsidP="00CA5840">
      <w:pPr>
        <w:ind w:left="0"/>
      </w:pPr>
    </w:p>
    <w:p w14:paraId="65D9D237" w14:textId="77777777" w:rsidR="009B4A51" w:rsidRDefault="009B4A51" w:rsidP="00A1453A">
      <w:pPr>
        <w:pStyle w:val="Heading2"/>
        <w:ind w:left="0"/>
      </w:pPr>
      <w:r w:rsidRPr="007D6163">
        <w:t>Supporting Statement – Section A</w:t>
      </w:r>
    </w:p>
    <w:p w14:paraId="70626DA8" w14:textId="77777777" w:rsidR="00187D5A" w:rsidRDefault="00187D5A" w:rsidP="00CA5840">
      <w:pPr>
        <w:ind w:left="0"/>
      </w:pPr>
    </w:p>
    <w:p w14:paraId="0B15B288" w14:textId="2763E44F" w:rsidR="009B4A51" w:rsidRPr="001056BC" w:rsidRDefault="009B4A51" w:rsidP="00CA5840">
      <w:pPr>
        <w:ind w:left="0"/>
        <w:jc w:val="center"/>
        <w:rPr>
          <w:color w:val="0070C0"/>
        </w:rPr>
      </w:pPr>
      <w:r w:rsidRPr="00AA3192">
        <w:t>Submitted:</w:t>
      </w:r>
      <w:r w:rsidR="00F3327E">
        <w:t xml:space="preserve"> </w:t>
      </w:r>
      <w:r w:rsidR="00603A81" w:rsidRPr="00603A81">
        <w:t>May 5, 2018</w:t>
      </w:r>
    </w:p>
    <w:p w14:paraId="5A6EBF7B" w14:textId="77777777" w:rsidR="009B4A51" w:rsidRDefault="009B4A51" w:rsidP="007D6163"/>
    <w:p w14:paraId="65B4B4BD" w14:textId="77777777" w:rsidR="00AA3192" w:rsidRDefault="00AA3192" w:rsidP="00A1453A">
      <w:pPr>
        <w:ind w:left="0"/>
      </w:pPr>
    </w:p>
    <w:p w14:paraId="60869571" w14:textId="55EAD428" w:rsidR="00A1453A" w:rsidRDefault="00A1453A" w:rsidP="00A1453A">
      <w:pPr>
        <w:ind w:left="0"/>
      </w:pPr>
    </w:p>
    <w:p w14:paraId="2CD9E6DD" w14:textId="6FD0259B" w:rsidR="00F3327E" w:rsidRDefault="00F3327E" w:rsidP="00A1453A">
      <w:pPr>
        <w:ind w:left="0"/>
      </w:pPr>
    </w:p>
    <w:p w14:paraId="1F3F982F" w14:textId="77777777" w:rsidR="00F3327E" w:rsidRDefault="00F3327E" w:rsidP="00A1453A">
      <w:pPr>
        <w:ind w:left="0"/>
      </w:pPr>
    </w:p>
    <w:p w14:paraId="0F1E5AA3" w14:textId="4DEAECCE" w:rsidR="00F3327E" w:rsidRDefault="00F3327E" w:rsidP="00A1453A">
      <w:pPr>
        <w:ind w:left="0"/>
      </w:pPr>
    </w:p>
    <w:p w14:paraId="488B6D2F" w14:textId="77777777" w:rsidR="00F3327E" w:rsidRDefault="00F3327E" w:rsidP="00A1453A">
      <w:pPr>
        <w:ind w:left="0"/>
      </w:pPr>
    </w:p>
    <w:p w14:paraId="262007A3" w14:textId="77777777" w:rsidR="009B4A51" w:rsidRDefault="009B4A51" w:rsidP="007D6163"/>
    <w:p w14:paraId="35D1CE29"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4CDEBB7B" w14:textId="27041EEC" w:rsidR="00321B51" w:rsidRPr="001F43BB" w:rsidRDefault="0023262F" w:rsidP="00CA5840">
      <w:pPr>
        <w:ind w:left="0"/>
      </w:pPr>
      <w:r w:rsidRPr="001F43BB">
        <w:t xml:space="preserve">Laura </w:t>
      </w:r>
      <w:r w:rsidR="000321E8" w:rsidRPr="001F43BB">
        <w:t xml:space="preserve">A. </w:t>
      </w:r>
      <w:r w:rsidRPr="001F43BB">
        <w:t>Cathcart</w:t>
      </w:r>
      <w:r w:rsidR="000321E8" w:rsidRPr="001F43BB">
        <w:t>, Ph.D.</w:t>
      </w:r>
    </w:p>
    <w:p w14:paraId="17CB4D8E" w14:textId="68190BA9" w:rsidR="00321B51" w:rsidRPr="001F43BB" w:rsidRDefault="0023262F" w:rsidP="00CA5840">
      <w:pPr>
        <w:ind w:left="0"/>
      </w:pPr>
      <w:r w:rsidRPr="001F43BB">
        <w:t>Training Specialist</w:t>
      </w:r>
    </w:p>
    <w:p w14:paraId="6D6AFB54" w14:textId="0E62BDC9" w:rsidR="00321B51" w:rsidRPr="001F43BB" w:rsidRDefault="0023262F" w:rsidP="00CA5840">
      <w:pPr>
        <w:ind w:left="0"/>
      </w:pPr>
      <w:r w:rsidRPr="001F43BB">
        <w:t>Centers for Disease Control and Prevention</w:t>
      </w:r>
    </w:p>
    <w:p w14:paraId="3C38AEF1" w14:textId="4660D6CD" w:rsidR="00321B51" w:rsidRPr="001F43BB" w:rsidRDefault="0023262F" w:rsidP="00CA5840">
      <w:pPr>
        <w:ind w:left="0"/>
      </w:pPr>
      <w:r w:rsidRPr="001F43BB">
        <w:t xml:space="preserve">1600 Clifton Rd. </w:t>
      </w:r>
      <w:r w:rsidR="000321E8" w:rsidRPr="001F43BB">
        <w:t xml:space="preserve">MS-D29, </w:t>
      </w:r>
      <w:r w:rsidRPr="001F43BB">
        <w:t>Atlanta GA 30329</w:t>
      </w:r>
    </w:p>
    <w:p w14:paraId="659C1CE7" w14:textId="3080559B" w:rsidR="00321B51" w:rsidRPr="001F43BB" w:rsidRDefault="000321E8" w:rsidP="00CA5840">
      <w:pPr>
        <w:ind w:left="0"/>
      </w:pPr>
      <w:r w:rsidRPr="001F43BB">
        <w:t xml:space="preserve">Office: </w:t>
      </w:r>
      <w:r w:rsidR="0023262F" w:rsidRPr="001F43BB">
        <w:t>404-718-1407</w:t>
      </w:r>
    </w:p>
    <w:p w14:paraId="310DC374" w14:textId="64231242" w:rsidR="00321B51" w:rsidRPr="001F43BB" w:rsidRDefault="000321E8" w:rsidP="00CA5840">
      <w:pPr>
        <w:ind w:left="0"/>
      </w:pPr>
      <w:r w:rsidRPr="001F43BB">
        <w:t xml:space="preserve">Fax: </w:t>
      </w:r>
      <w:r w:rsidR="0023262F" w:rsidRPr="001F43BB">
        <w:t>404-639-2847</w:t>
      </w:r>
    </w:p>
    <w:p w14:paraId="78100471" w14:textId="2CD76116" w:rsidR="00321B51" w:rsidRPr="001F43BB" w:rsidRDefault="0023262F" w:rsidP="00CA5840">
      <w:pPr>
        <w:ind w:left="0"/>
      </w:pPr>
      <w:r w:rsidRPr="001F43BB">
        <w:t>ksr2@cdc.gov</w:t>
      </w:r>
    </w:p>
    <w:p w14:paraId="198751F3" w14:textId="77777777" w:rsidR="000B0962" w:rsidRDefault="000B0962" w:rsidP="007D6163"/>
    <w:p w14:paraId="265DEB2B" w14:textId="09D44058" w:rsidR="00CA5840" w:rsidRPr="00F3327E" w:rsidRDefault="00CA5840" w:rsidP="00F3327E"/>
    <w:p w14:paraId="7C13952D" w14:textId="77777777" w:rsidR="003860A5" w:rsidRDefault="003860A5" w:rsidP="003860A5">
      <w:pPr>
        <w:pStyle w:val="Heading3"/>
        <w:ind w:left="0"/>
      </w:pPr>
      <w:bookmarkStart w:id="1" w:name="_Toc427752811"/>
      <w:r>
        <w:lastRenderedPageBreak/>
        <w:t>Table of Contents</w:t>
      </w:r>
      <w:bookmarkEnd w:id="1"/>
    </w:p>
    <w:p w14:paraId="164EE745" w14:textId="77777777" w:rsidR="003860A5" w:rsidRPr="003860A5" w:rsidRDefault="003860A5" w:rsidP="003860A5"/>
    <w:p w14:paraId="6C0B08B9" w14:textId="692BC8FC"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32214D">
          <w:rPr>
            <w:noProof/>
            <w:webHidden/>
          </w:rPr>
          <w:t>2</w:t>
        </w:r>
        <w:r w:rsidR="00CC4DAB">
          <w:rPr>
            <w:noProof/>
            <w:webHidden/>
          </w:rPr>
          <w:fldChar w:fldCharType="end"/>
        </w:r>
      </w:hyperlink>
    </w:p>
    <w:p w14:paraId="7E5A860F" w14:textId="471A0046" w:rsidR="00CC4DAB" w:rsidRDefault="000539C5">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32214D">
          <w:rPr>
            <w:noProof/>
            <w:webHidden/>
          </w:rPr>
          <w:t>3</w:t>
        </w:r>
        <w:r w:rsidR="00CC4DAB">
          <w:rPr>
            <w:noProof/>
            <w:webHidden/>
          </w:rPr>
          <w:fldChar w:fldCharType="end"/>
        </w:r>
      </w:hyperlink>
    </w:p>
    <w:p w14:paraId="71D5DA2B" w14:textId="604AF647" w:rsidR="00CC4DAB" w:rsidRDefault="000539C5">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32214D">
          <w:rPr>
            <w:noProof/>
            <w:webHidden/>
          </w:rPr>
          <w:t>3</w:t>
        </w:r>
        <w:r w:rsidR="00CC4DAB">
          <w:rPr>
            <w:noProof/>
            <w:webHidden/>
          </w:rPr>
          <w:fldChar w:fldCharType="end"/>
        </w:r>
      </w:hyperlink>
    </w:p>
    <w:p w14:paraId="341F930A" w14:textId="4528CC34" w:rsidR="00CC4DAB" w:rsidRDefault="000539C5">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32214D">
          <w:rPr>
            <w:noProof/>
            <w:webHidden/>
          </w:rPr>
          <w:t>8</w:t>
        </w:r>
        <w:r w:rsidR="00CC4DAB">
          <w:rPr>
            <w:noProof/>
            <w:webHidden/>
          </w:rPr>
          <w:fldChar w:fldCharType="end"/>
        </w:r>
      </w:hyperlink>
    </w:p>
    <w:p w14:paraId="3A58C45E" w14:textId="6D67AB2B" w:rsidR="00CC4DAB" w:rsidRDefault="000539C5">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32214D">
          <w:rPr>
            <w:noProof/>
            <w:webHidden/>
          </w:rPr>
          <w:t>8</w:t>
        </w:r>
        <w:r w:rsidR="00CC4DAB">
          <w:rPr>
            <w:noProof/>
            <w:webHidden/>
          </w:rPr>
          <w:fldChar w:fldCharType="end"/>
        </w:r>
      </w:hyperlink>
    </w:p>
    <w:p w14:paraId="7A722CE7" w14:textId="16069296" w:rsidR="00CC4DAB" w:rsidRDefault="000539C5">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32214D">
          <w:rPr>
            <w:noProof/>
            <w:webHidden/>
          </w:rPr>
          <w:t>9</w:t>
        </w:r>
        <w:r w:rsidR="00CC4DAB">
          <w:rPr>
            <w:noProof/>
            <w:webHidden/>
          </w:rPr>
          <w:fldChar w:fldCharType="end"/>
        </w:r>
      </w:hyperlink>
    </w:p>
    <w:p w14:paraId="09318332" w14:textId="1DDBE810" w:rsidR="00CC4DAB" w:rsidRDefault="000539C5">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32214D">
          <w:rPr>
            <w:noProof/>
            <w:webHidden/>
          </w:rPr>
          <w:t>9</w:t>
        </w:r>
        <w:r w:rsidR="00CC4DAB">
          <w:rPr>
            <w:noProof/>
            <w:webHidden/>
          </w:rPr>
          <w:fldChar w:fldCharType="end"/>
        </w:r>
      </w:hyperlink>
    </w:p>
    <w:p w14:paraId="4B82D095" w14:textId="3C8AD447" w:rsidR="00CC4DAB" w:rsidRDefault="000539C5">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32214D">
          <w:rPr>
            <w:noProof/>
            <w:webHidden/>
          </w:rPr>
          <w:t>9</w:t>
        </w:r>
        <w:r w:rsidR="00CC4DAB">
          <w:rPr>
            <w:noProof/>
            <w:webHidden/>
          </w:rPr>
          <w:fldChar w:fldCharType="end"/>
        </w:r>
      </w:hyperlink>
    </w:p>
    <w:p w14:paraId="7488BF8A" w14:textId="5CEC5580" w:rsidR="00CC4DAB" w:rsidRDefault="000539C5">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32214D">
          <w:rPr>
            <w:noProof/>
            <w:webHidden/>
          </w:rPr>
          <w:t>10</w:t>
        </w:r>
        <w:r w:rsidR="00CC4DAB">
          <w:rPr>
            <w:noProof/>
            <w:webHidden/>
          </w:rPr>
          <w:fldChar w:fldCharType="end"/>
        </w:r>
      </w:hyperlink>
    </w:p>
    <w:p w14:paraId="3D29020D" w14:textId="3D8E7068" w:rsidR="00CC4DAB" w:rsidRDefault="000539C5">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32214D">
          <w:rPr>
            <w:noProof/>
            <w:webHidden/>
          </w:rPr>
          <w:t>10</w:t>
        </w:r>
        <w:r w:rsidR="00CC4DAB">
          <w:rPr>
            <w:noProof/>
            <w:webHidden/>
          </w:rPr>
          <w:fldChar w:fldCharType="end"/>
        </w:r>
      </w:hyperlink>
    </w:p>
    <w:p w14:paraId="69407C5F" w14:textId="2232CE33" w:rsidR="00CC4DAB" w:rsidRDefault="000539C5">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32214D">
          <w:rPr>
            <w:noProof/>
            <w:webHidden/>
          </w:rPr>
          <w:t>10</w:t>
        </w:r>
        <w:r w:rsidR="00CC4DAB">
          <w:rPr>
            <w:noProof/>
            <w:webHidden/>
          </w:rPr>
          <w:fldChar w:fldCharType="end"/>
        </w:r>
      </w:hyperlink>
    </w:p>
    <w:p w14:paraId="69F02592" w14:textId="6B42480A" w:rsidR="00CC4DAB" w:rsidRDefault="000539C5">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32214D">
          <w:rPr>
            <w:noProof/>
            <w:webHidden/>
          </w:rPr>
          <w:t>10</w:t>
        </w:r>
        <w:r w:rsidR="00CC4DAB">
          <w:rPr>
            <w:noProof/>
            <w:webHidden/>
          </w:rPr>
          <w:fldChar w:fldCharType="end"/>
        </w:r>
      </w:hyperlink>
    </w:p>
    <w:p w14:paraId="3CDE42CF" w14:textId="128E01B6" w:rsidR="00CC4DAB" w:rsidRDefault="000539C5">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32214D">
          <w:rPr>
            <w:noProof/>
            <w:webHidden/>
          </w:rPr>
          <w:t>10</w:t>
        </w:r>
        <w:r w:rsidR="00CC4DAB">
          <w:rPr>
            <w:noProof/>
            <w:webHidden/>
          </w:rPr>
          <w:fldChar w:fldCharType="end"/>
        </w:r>
      </w:hyperlink>
    </w:p>
    <w:p w14:paraId="35B5C0D6" w14:textId="6243D041" w:rsidR="00CC4DAB" w:rsidRDefault="000539C5">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32214D">
          <w:rPr>
            <w:noProof/>
            <w:webHidden/>
          </w:rPr>
          <w:t>11</w:t>
        </w:r>
        <w:r w:rsidR="00CC4DAB">
          <w:rPr>
            <w:noProof/>
            <w:webHidden/>
          </w:rPr>
          <w:fldChar w:fldCharType="end"/>
        </w:r>
      </w:hyperlink>
    </w:p>
    <w:p w14:paraId="18B3B014" w14:textId="12E1EAF1" w:rsidR="00CC4DAB" w:rsidRDefault="000539C5">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32214D">
          <w:rPr>
            <w:noProof/>
            <w:webHidden/>
          </w:rPr>
          <w:t>12</w:t>
        </w:r>
        <w:r w:rsidR="00CC4DAB">
          <w:rPr>
            <w:noProof/>
            <w:webHidden/>
          </w:rPr>
          <w:fldChar w:fldCharType="end"/>
        </w:r>
      </w:hyperlink>
    </w:p>
    <w:p w14:paraId="4076BD0B" w14:textId="3CEF0B66" w:rsidR="00CC4DAB" w:rsidRDefault="000539C5">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32214D">
          <w:rPr>
            <w:noProof/>
            <w:webHidden/>
          </w:rPr>
          <w:t>12</w:t>
        </w:r>
        <w:r w:rsidR="00CC4DAB">
          <w:rPr>
            <w:noProof/>
            <w:webHidden/>
          </w:rPr>
          <w:fldChar w:fldCharType="end"/>
        </w:r>
      </w:hyperlink>
    </w:p>
    <w:p w14:paraId="263F174E" w14:textId="19CEDD8F" w:rsidR="00CC4DAB" w:rsidRDefault="000539C5">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32214D">
          <w:rPr>
            <w:noProof/>
            <w:webHidden/>
          </w:rPr>
          <w:t>13</w:t>
        </w:r>
        <w:r w:rsidR="00CC4DAB">
          <w:rPr>
            <w:noProof/>
            <w:webHidden/>
          </w:rPr>
          <w:fldChar w:fldCharType="end"/>
        </w:r>
      </w:hyperlink>
    </w:p>
    <w:p w14:paraId="5D6DC9AD" w14:textId="4FE5DEC8" w:rsidR="00CC4DAB" w:rsidRDefault="000539C5">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32214D">
          <w:rPr>
            <w:noProof/>
            <w:webHidden/>
          </w:rPr>
          <w:t>13</w:t>
        </w:r>
        <w:r w:rsidR="00CC4DAB">
          <w:rPr>
            <w:noProof/>
            <w:webHidden/>
          </w:rPr>
          <w:fldChar w:fldCharType="end"/>
        </w:r>
      </w:hyperlink>
    </w:p>
    <w:p w14:paraId="57DED07B" w14:textId="6897052E" w:rsidR="00CC4DAB" w:rsidRDefault="000539C5">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32214D">
          <w:rPr>
            <w:noProof/>
            <w:webHidden/>
          </w:rPr>
          <w:t>14</w:t>
        </w:r>
        <w:r w:rsidR="00CC4DAB">
          <w:rPr>
            <w:noProof/>
            <w:webHidden/>
          </w:rPr>
          <w:fldChar w:fldCharType="end"/>
        </w:r>
      </w:hyperlink>
    </w:p>
    <w:p w14:paraId="19F0E856" w14:textId="68848685" w:rsidR="00CC4DAB" w:rsidRDefault="000539C5">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32214D">
          <w:rPr>
            <w:noProof/>
            <w:webHidden/>
          </w:rPr>
          <w:t>14</w:t>
        </w:r>
        <w:r w:rsidR="00CC4DAB">
          <w:rPr>
            <w:noProof/>
            <w:webHidden/>
          </w:rPr>
          <w:fldChar w:fldCharType="end"/>
        </w:r>
      </w:hyperlink>
    </w:p>
    <w:p w14:paraId="4A0DE310" w14:textId="55C473D9" w:rsidR="00CC4DAB" w:rsidRDefault="000539C5">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32214D">
          <w:rPr>
            <w:noProof/>
            <w:webHidden/>
          </w:rPr>
          <w:t>14</w:t>
        </w:r>
        <w:r w:rsidR="00CC4DAB">
          <w:rPr>
            <w:noProof/>
            <w:webHidden/>
          </w:rPr>
          <w:fldChar w:fldCharType="end"/>
        </w:r>
      </w:hyperlink>
    </w:p>
    <w:p w14:paraId="11CCC305" w14:textId="156E37C4" w:rsidR="00CC4DAB" w:rsidRDefault="000539C5">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32214D">
          <w:rPr>
            <w:noProof/>
            <w:webHidden/>
          </w:rPr>
          <w:t>14</w:t>
        </w:r>
        <w:r w:rsidR="00CC4DAB">
          <w:rPr>
            <w:noProof/>
            <w:webHidden/>
          </w:rPr>
          <w:fldChar w:fldCharType="end"/>
        </w:r>
      </w:hyperlink>
    </w:p>
    <w:p w14:paraId="776240FF" w14:textId="77777777" w:rsidR="003860A5" w:rsidRDefault="003860A5" w:rsidP="00CA5840">
      <w:pPr>
        <w:pStyle w:val="Heading3"/>
        <w:ind w:left="0"/>
      </w:pPr>
      <w:r>
        <w:fldChar w:fldCharType="end"/>
      </w:r>
    </w:p>
    <w:p w14:paraId="0F6480F5" w14:textId="14A9B4B6"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w:lastRenderedPageBreak/>
        <mc:AlternateContent>
          <mc:Choice Requires="wps">
            <w:drawing>
              <wp:inline distT="0" distB="0" distL="0" distR="0" wp14:anchorId="7923A851" wp14:editId="6328AFC9">
                <wp:extent cx="6162675" cy="60102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010275"/>
                        </a:xfrm>
                        <a:prstGeom prst="rect">
                          <a:avLst/>
                        </a:prstGeom>
                        <a:solidFill>
                          <a:srgbClr val="FFFFFF"/>
                        </a:solidFill>
                        <a:ln w="9525">
                          <a:solidFill>
                            <a:srgbClr val="000000"/>
                          </a:solidFill>
                          <a:miter lim="800000"/>
                          <a:headEnd/>
                          <a:tailEnd/>
                        </a:ln>
                      </wps:spPr>
                      <wps:txbx>
                        <w:txbxContent>
                          <w:p w14:paraId="2B382350" w14:textId="77777777" w:rsidR="006A3EFD" w:rsidRDefault="006A3EFD" w:rsidP="00782FBD">
                            <w:pPr>
                              <w:pStyle w:val="ListParagraph"/>
                              <w:numPr>
                                <w:ilvl w:val="0"/>
                                <w:numId w:val="8"/>
                              </w:numPr>
                              <w:tabs>
                                <w:tab w:val="clear" w:pos="9360"/>
                              </w:tabs>
                              <w:spacing w:after="200"/>
                            </w:pPr>
                            <w:r>
                              <w:rPr>
                                <w:b/>
                              </w:rPr>
                              <w:t>Purpose</w:t>
                            </w:r>
                            <w:r w:rsidRPr="007B7C44">
                              <w:rPr>
                                <w:b/>
                              </w:rPr>
                              <w:t xml:space="preserve"> of the data collection </w:t>
                            </w:r>
                          </w:p>
                          <w:p w14:paraId="65318831" w14:textId="6CD81308" w:rsidR="006A3EFD" w:rsidRDefault="006A3EFD" w:rsidP="003B0D41">
                            <w:pPr>
                              <w:pStyle w:val="ListParagraph"/>
                              <w:ind w:left="360"/>
                            </w:pPr>
                            <w:r>
                              <w:t xml:space="preserve">The purpose of this information collection is to gather data to assess the gaps in MCM Officials’ ability to perform the MCM Coordinator Common Responsibilities and Associated Skills. These consist of six CDC-identified responsibilities, each with six to nine associated skills, that are beneficial to MCM Officials in working toward preparing their jurisdictions for emergencies requiring MCMs </w:t>
                            </w:r>
                            <w:r w:rsidRPr="00C87823">
                              <w:t xml:space="preserve">(see </w:t>
                            </w:r>
                            <w:r w:rsidRPr="00C87823">
                              <w:rPr>
                                <w:b/>
                              </w:rPr>
                              <w:t>Attachment A – MCM Coordinator Common Responsibilities and Associated Skills</w:t>
                            </w:r>
                            <w:r w:rsidRPr="00C87823">
                              <w:t>).</w:t>
                            </w:r>
                            <w:r>
                              <w:t xml:space="preserve"> CDC</w:t>
                            </w:r>
                            <w:r w:rsidRPr="003B0D41">
                              <w:t xml:space="preserve"> </w:t>
                            </w:r>
                            <w:r>
                              <w:t xml:space="preserve">created this document to </w:t>
                            </w:r>
                            <w:r w:rsidRPr="003B0D41">
                              <w:t xml:space="preserve">aid in assessing the training needs of MCM </w:t>
                            </w:r>
                            <w:r>
                              <w:t>Official</w:t>
                            </w:r>
                            <w:r w:rsidRPr="003B0D41">
                              <w:t xml:space="preserve">s across the country. </w:t>
                            </w:r>
                            <w:r>
                              <w:t xml:space="preserve">The information collected will gather </w:t>
                            </w:r>
                            <w:r w:rsidRPr="007B72B9">
                              <w:t>baseline data on which skills need the most attention, how training needs change over the course of one’s MCM-related career, and how CDC can better design MCM trainings that will fit within the current training models at the state, territorial, local, and tribal health departments</w:t>
                            </w:r>
                            <w:r>
                              <w:t xml:space="preserve">. </w:t>
                            </w:r>
                          </w:p>
                          <w:p w14:paraId="1C1B1FAF" w14:textId="3CA14777" w:rsidR="006A3EFD" w:rsidRPr="004F601A" w:rsidRDefault="006A3EFD" w:rsidP="004C592C">
                            <w:pPr>
                              <w:pStyle w:val="ListParagraph"/>
                              <w:numPr>
                                <w:ilvl w:val="0"/>
                                <w:numId w:val="23"/>
                              </w:numPr>
                            </w:pPr>
                            <w:r>
                              <w:t xml:space="preserve"> </w:t>
                            </w:r>
                            <w:r w:rsidRPr="007B7C44">
                              <w:rPr>
                                <w:b/>
                              </w:rPr>
                              <w:t xml:space="preserve">Intended use of the resulting data </w:t>
                            </w:r>
                          </w:p>
                          <w:p w14:paraId="579B4CD2" w14:textId="69558906" w:rsidR="006A3EFD" w:rsidRDefault="006A3EFD" w:rsidP="0023262F">
                            <w:pPr>
                              <w:tabs>
                                <w:tab w:val="clear" w:pos="9360"/>
                              </w:tabs>
                              <w:ind w:left="360"/>
                            </w:pPr>
                            <w:r>
                              <w:t xml:space="preserve">The data will be used to inform the development and delivery of CDC-sponsored MCM trainings and </w:t>
                            </w:r>
                            <w:r w:rsidRPr="00B01A37">
                              <w:rPr>
                                <w:rFonts w:cs="Arial"/>
                              </w:rPr>
                              <w:t xml:space="preserve">create a comprehensive </w:t>
                            </w:r>
                            <w:r>
                              <w:rPr>
                                <w:rFonts w:cs="Arial"/>
                              </w:rPr>
                              <w:t>five-</w:t>
                            </w:r>
                            <w:r w:rsidRPr="00B01A37">
                              <w:rPr>
                                <w:rFonts w:cs="Arial"/>
                              </w:rPr>
                              <w:t xml:space="preserve">year </w:t>
                            </w:r>
                            <w:r>
                              <w:rPr>
                                <w:rFonts w:cs="Arial"/>
                              </w:rPr>
                              <w:t xml:space="preserve">MCM </w:t>
                            </w:r>
                            <w:r w:rsidRPr="00B01A37">
                              <w:rPr>
                                <w:rFonts w:cs="Arial"/>
                              </w:rPr>
                              <w:t xml:space="preserve">training plan based on the stated needs of </w:t>
                            </w:r>
                            <w:r>
                              <w:rPr>
                                <w:rFonts w:cs="Arial"/>
                              </w:rPr>
                              <w:t>respondents. This needs assessment and the resulting trainings will address the priority areas of the Workforce Development section of the Joint External Evaluation of the United States of America for the World Health Organization’s Global Health Security Agenda.</w:t>
                            </w:r>
                            <w:r>
                              <w:rPr>
                                <w:rFonts w:cs="Arial"/>
                              </w:rPr>
                              <w:fldChar w:fldCharType="begin"/>
                            </w:r>
                            <w:r>
                              <w:rPr>
                                <w:rFonts w:cs="Arial"/>
                              </w:rPr>
                              <w:instrText xml:space="preserve"> ADDIN EN.CITE &lt;EndNote&gt;&lt;Cite&gt;&lt;Author&gt;Organization&lt;/Author&gt;&lt;Year&gt;2017&lt;/Year&gt;&lt;RecNum&gt;9&lt;/RecNum&gt;&lt;DisplayText&gt;&lt;style face="superscript"&gt;1&lt;/style&gt;&lt;/DisplayText&gt;&lt;record&gt;&lt;rec-number&gt;9&lt;/rec-number&gt;&lt;foreign-keys&gt;&lt;key app="EN" db-id="fdtxv9atmaxwscesfsr55dd0ta0wdts0fdfr" timestamp="1515786894"&gt;9&lt;/key&gt;&lt;/foreign-keys&gt;&lt;ref-type name="Report"&gt;27&lt;/ref-type&gt;&lt;contributors&gt;&lt;authors&gt;&lt;author&gt;World Health Organization&lt;/author&gt;&lt;/authors&gt;&lt;/contributors&gt;&lt;titles&gt;&lt;title&gt;Joint External Evaluation of IHR Core Capacities of the United States of America: Mission Report June 2016&lt;/title&gt;&lt;/titles&gt;&lt;dates&gt;&lt;year&gt;2017&lt;/year&gt;&lt;/dates&gt;&lt;pub-location&gt;Geneva&lt;/pub-location&gt;&lt;publisher&gt;World Health Organization&lt;/publisher&gt;&lt;urls&gt;&lt;related-urls&gt;&lt;url&gt;https://extranet.who.int/spp/sites/default/files/jeeta/WHO-WHE-CPI-2017.13-eng.pdf&lt;/url&gt;&lt;/related-urls&gt;&lt;/urls&gt;&lt;/record&gt;&lt;/Cite&gt;&lt;/EndNote&gt;</w:instrText>
                            </w:r>
                            <w:r>
                              <w:rPr>
                                <w:rFonts w:cs="Arial"/>
                              </w:rPr>
                              <w:fldChar w:fldCharType="separate"/>
                            </w:r>
                            <w:r w:rsidRPr="00232CE7">
                              <w:rPr>
                                <w:rFonts w:cs="Arial"/>
                                <w:noProof/>
                                <w:vertAlign w:val="superscript"/>
                              </w:rPr>
                              <w:t>1</w:t>
                            </w:r>
                            <w:r>
                              <w:rPr>
                                <w:rFonts w:cs="Arial"/>
                              </w:rPr>
                              <w:fldChar w:fldCharType="end"/>
                            </w:r>
                            <w:r>
                              <w:rPr>
                                <w:rFonts w:cs="Arial"/>
                              </w:rPr>
                              <w:t xml:space="preserve"> </w:t>
                            </w:r>
                          </w:p>
                          <w:p w14:paraId="7BDF02BB" w14:textId="77777777" w:rsidR="006A3EFD" w:rsidRDefault="006A3EFD" w:rsidP="00782FBD">
                            <w:pPr>
                              <w:pStyle w:val="ListParagraph"/>
                              <w:numPr>
                                <w:ilvl w:val="0"/>
                                <w:numId w:val="8"/>
                              </w:numPr>
                              <w:tabs>
                                <w:tab w:val="clear" w:pos="9360"/>
                              </w:tabs>
                            </w:pPr>
                            <w:r w:rsidRPr="007B7C44">
                              <w:rPr>
                                <w:b/>
                              </w:rPr>
                              <w:t xml:space="preserve">Methods to be used to collect data </w:t>
                            </w:r>
                          </w:p>
                          <w:p w14:paraId="4CF9E497" w14:textId="5D7EDB36" w:rsidR="006A3EFD" w:rsidRDefault="006A3EFD" w:rsidP="00F3327E">
                            <w:pPr>
                              <w:pStyle w:val="ListParagraph"/>
                              <w:tabs>
                                <w:tab w:val="clear" w:pos="9360"/>
                              </w:tabs>
                              <w:spacing w:after="200"/>
                              <w:ind w:left="360"/>
                            </w:pPr>
                            <w:r>
                              <w:t xml:space="preserve">An electronic assessment and virtual group interviews will be used for data collection. </w:t>
                            </w:r>
                          </w:p>
                          <w:p w14:paraId="72EEA1CA" w14:textId="77777777" w:rsidR="006A3EFD" w:rsidRDefault="006A3EFD" w:rsidP="00782FBD">
                            <w:pPr>
                              <w:pStyle w:val="ListParagraph"/>
                              <w:numPr>
                                <w:ilvl w:val="0"/>
                                <w:numId w:val="8"/>
                              </w:numPr>
                              <w:tabs>
                                <w:tab w:val="clear" w:pos="9360"/>
                              </w:tabs>
                            </w:pPr>
                            <w:r w:rsidRPr="007B7C44">
                              <w:rPr>
                                <w:b/>
                              </w:rPr>
                              <w:t xml:space="preserve">Respondent Universe </w:t>
                            </w:r>
                          </w:p>
                          <w:p w14:paraId="207B032A" w14:textId="77777777" w:rsidR="006A3EFD" w:rsidRDefault="006A3EFD" w:rsidP="00487937">
                            <w:pPr>
                              <w:pStyle w:val="ListParagraph"/>
                              <w:ind w:left="360"/>
                            </w:pPr>
                            <w:r>
                              <w:t xml:space="preserve">The respondent universe consists of two main groups of participants: </w:t>
                            </w:r>
                          </w:p>
                          <w:p w14:paraId="408B0BED" w14:textId="051B6468" w:rsidR="006A3EFD" w:rsidRDefault="006A3EFD" w:rsidP="00A648C6">
                            <w:pPr>
                              <w:pStyle w:val="ListParagraph"/>
                              <w:numPr>
                                <w:ilvl w:val="0"/>
                                <w:numId w:val="21"/>
                              </w:numPr>
                            </w:pPr>
                            <w:r>
                              <w:t xml:space="preserve">Sixty-two MCM officials from the Public Health Emergency Preparedness (PHEP) cooperative agreement (CDC-RFA-TP17-1701) recipient health departments, which include 50 states, eight territories and freely associated states, and four cities.  </w:t>
                            </w:r>
                          </w:p>
                          <w:p w14:paraId="47C1B1E0" w14:textId="5393274B" w:rsidR="006A3EFD" w:rsidRDefault="006A3EFD" w:rsidP="00A648C6">
                            <w:pPr>
                              <w:pStyle w:val="ListParagraph"/>
                              <w:numPr>
                                <w:ilvl w:val="0"/>
                                <w:numId w:val="21"/>
                              </w:numPr>
                            </w:pPr>
                            <w:r>
                              <w:t>995 MCM Officials from local health departments, including 118 large LHDs, 287 medium LHDs and 599 small LHDs.</w:t>
                            </w:r>
                          </w:p>
                          <w:p w14:paraId="6CD1C300" w14:textId="77777777" w:rsidR="006A3EFD" w:rsidRPr="0023262F" w:rsidRDefault="006A3EFD" w:rsidP="00782FBD">
                            <w:pPr>
                              <w:pStyle w:val="ListParagraph"/>
                              <w:numPr>
                                <w:ilvl w:val="0"/>
                                <w:numId w:val="8"/>
                              </w:numPr>
                              <w:tabs>
                                <w:tab w:val="clear" w:pos="9360"/>
                              </w:tabs>
                            </w:pPr>
                            <w:r w:rsidRPr="003F0CC1">
                              <w:rPr>
                                <w:b/>
                              </w:rPr>
                              <w:t xml:space="preserve">How data will be analyzed </w:t>
                            </w:r>
                          </w:p>
                          <w:p w14:paraId="791F82BE" w14:textId="645729BF" w:rsidR="006A3EFD" w:rsidRPr="0023262F" w:rsidRDefault="006A3EFD" w:rsidP="0023262F">
                            <w:pPr>
                              <w:pStyle w:val="ListParagraph"/>
                              <w:tabs>
                                <w:tab w:val="clear" w:pos="9360"/>
                              </w:tabs>
                              <w:ind w:left="360"/>
                            </w:pPr>
                            <w:r>
                              <w:t xml:space="preserve">Both </w:t>
                            </w:r>
                            <w:r w:rsidRPr="001F7732">
                              <w:t>quantitative and qualitative</w:t>
                            </w:r>
                            <w:r>
                              <w:t xml:space="preserve"> methods will be used to analyze the data. Close-ended questions will be analyzed using </w:t>
                            </w:r>
                            <w:r w:rsidRPr="0023262F">
                              <w:t>quantitative methods,</w:t>
                            </w:r>
                            <w:r>
                              <w:t xml:space="preserve"> specifically</w:t>
                            </w:r>
                            <w:r w:rsidRPr="0023262F">
                              <w:t xml:space="preserve"> descriptive </w:t>
                            </w:r>
                            <w:r>
                              <w:t xml:space="preserve">and inferential </w:t>
                            </w:r>
                            <w:r w:rsidRPr="0023262F">
                              <w:t>statistics</w:t>
                            </w:r>
                            <w:r>
                              <w:t xml:space="preserve">. Open ended questions will be analyzed using </w:t>
                            </w:r>
                            <w:r w:rsidRPr="0023262F">
                              <w:t xml:space="preserve">qualitative methods, </w:t>
                            </w:r>
                            <w:r>
                              <w:t xml:space="preserve">specifically </w:t>
                            </w:r>
                            <w:r w:rsidRPr="0023262F">
                              <w:t>thematic analysis</w:t>
                            </w:r>
                            <w:r>
                              <w:t xml:space="preserve"> to extract themes among participant responses.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4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">
                <v:textbox>
                  <w:txbxContent>
                    <w:p w14:paraId="2B382350" w14:textId="77777777" w:rsidR="006A3EFD" w:rsidRDefault="006A3EFD" w:rsidP="00782FBD">
                      <w:pPr>
                        <w:pStyle w:val="ListParagraph"/>
                        <w:numPr>
                          <w:ilvl w:val="0"/>
                          <w:numId w:val="8"/>
                        </w:numPr>
                        <w:tabs>
                          <w:tab w:val="clear" w:pos="9360"/>
                        </w:tabs>
                        <w:spacing w:after="200"/>
                      </w:pPr>
                      <w:r>
                        <w:rPr>
                          <w:b/>
                        </w:rPr>
                        <w:t>Purpose</w:t>
                      </w:r>
                      <w:r w:rsidRPr="007B7C44">
                        <w:rPr>
                          <w:b/>
                        </w:rPr>
                        <w:t xml:space="preserve"> of the data collection </w:t>
                      </w:r>
                    </w:p>
                    <w:p w14:paraId="65318831" w14:textId="6CD81308" w:rsidR="006A3EFD" w:rsidRDefault="006A3EFD" w:rsidP="003B0D41">
                      <w:pPr>
                        <w:pStyle w:val="ListParagraph"/>
                        <w:ind w:left="360"/>
                      </w:pPr>
                      <w:r>
                        <w:t xml:space="preserve">The purpose of this information collection is to gather data to assess the gaps in MCM Officials’ ability to perform the MCM Coordinator Common Responsibilities and Associated Skills. These consist of six CDC-identified responsibilities, each with six to nine associated skills, that are beneficial to MCM Officials in working toward preparing their jurisdictions for emergencies requiring MCMs </w:t>
                      </w:r>
                      <w:r w:rsidRPr="00C87823">
                        <w:t xml:space="preserve">(see </w:t>
                      </w:r>
                      <w:r w:rsidRPr="00C87823">
                        <w:rPr>
                          <w:b/>
                        </w:rPr>
                        <w:t>Attachment A – MCM Coordinator Common Responsibilities and Associated Skills</w:t>
                      </w:r>
                      <w:r w:rsidRPr="00C87823">
                        <w:t>).</w:t>
                      </w:r>
                      <w:r>
                        <w:t xml:space="preserve"> CDC</w:t>
                      </w:r>
                      <w:r w:rsidRPr="003B0D41">
                        <w:t xml:space="preserve"> </w:t>
                      </w:r>
                      <w:r>
                        <w:t xml:space="preserve">created this document to </w:t>
                      </w:r>
                      <w:r w:rsidRPr="003B0D41">
                        <w:t xml:space="preserve">aid in assessing the training needs of MCM </w:t>
                      </w:r>
                      <w:r>
                        <w:t>Official</w:t>
                      </w:r>
                      <w:r w:rsidRPr="003B0D41">
                        <w:t xml:space="preserve">s across the country. </w:t>
                      </w:r>
                      <w:r>
                        <w:t xml:space="preserve">The information collected will gather </w:t>
                      </w:r>
                      <w:r w:rsidRPr="007B72B9">
                        <w:t>baseline data on which skills need the most attention, how training needs change over the course of one’s MCM-related career, and how CDC can better design MCM trainings that will fit within the current training models at the state, territorial, local, and tribal health departments</w:t>
                      </w:r>
                      <w:r>
                        <w:t xml:space="preserve">. </w:t>
                      </w:r>
                    </w:p>
                    <w:p w14:paraId="1C1B1FAF" w14:textId="3CA14777" w:rsidR="006A3EFD" w:rsidRPr="004F601A" w:rsidRDefault="006A3EFD" w:rsidP="004C592C">
                      <w:pPr>
                        <w:pStyle w:val="ListParagraph"/>
                        <w:numPr>
                          <w:ilvl w:val="0"/>
                          <w:numId w:val="23"/>
                        </w:numPr>
                      </w:pPr>
                      <w:r>
                        <w:t xml:space="preserve"> </w:t>
                      </w:r>
                      <w:r w:rsidRPr="007B7C44">
                        <w:rPr>
                          <w:b/>
                        </w:rPr>
                        <w:t xml:space="preserve">Intended use of the resulting data </w:t>
                      </w:r>
                    </w:p>
                    <w:p w14:paraId="579B4CD2" w14:textId="69558906" w:rsidR="006A3EFD" w:rsidRDefault="006A3EFD" w:rsidP="0023262F">
                      <w:pPr>
                        <w:tabs>
                          <w:tab w:val="clear" w:pos="9360"/>
                        </w:tabs>
                        <w:ind w:left="360"/>
                      </w:pPr>
                      <w:r>
                        <w:t xml:space="preserve">The data will be used to inform the development and delivery of CDC-sponsored MCM trainings and </w:t>
                      </w:r>
                      <w:r w:rsidRPr="00B01A37">
                        <w:rPr>
                          <w:rFonts w:cs="Arial"/>
                        </w:rPr>
                        <w:t xml:space="preserve">create a comprehensive </w:t>
                      </w:r>
                      <w:r>
                        <w:rPr>
                          <w:rFonts w:cs="Arial"/>
                        </w:rPr>
                        <w:t>five-</w:t>
                      </w:r>
                      <w:r w:rsidRPr="00B01A37">
                        <w:rPr>
                          <w:rFonts w:cs="Arial"/>
                        </w:rPr>
                        <w:t xml:space="preserve">year </w:t>
                      </w:r>
                      <w:r>
                        <w:rPr>
                          <w:rFonts w:cs="Arial"/>
                        </w:rPr>
                        <w:t xml:space="preserve">MCM </w:t>
                      </w:r>
                      <w:r w:rsidRPr="00B01A37">
                        <w:rPr>
                          <w:rFonts w:cs="Arial"/>
                        </w:rPr>
                        <w:t xml:space="preserve">training plan based on the stated needs of </w:t>
                      </w:r>
                      <w:r>
                        <w:rPr>
                          <w:rFonts w:cs="Arial"/>
                        </w:rPr>
                        <w:t>respondents. This needs assessment and the resulting trainings will address the priority areas of the Workforce Development section of the Joint External Evaluation of the United States of America for the World Health Organization’s Global Health Security Agenda.</w:t>
                      </w:r>
                      <w:r>
                        <w:rPr>
                          <w:rFonts w:cs="Arial"/>
                        </w:rPr>
                        <w:fldChar w:fldCharType="begin"/>
                      </w:r>
                      <w:r>
                        <w:rPr>
                          <w:rFonts w:cs="Arial"/>
                        </w:rPr>
                        <w:instrText xml:space="preserve"> ADDIN EN.CITE &lt;EndNote&gt;&lt;Cite&gt;&lt;Author&gt;Organization&lt;/Author&gt;&lt;Year&gt;2017&lt;/Year&gt;&lt;RecNum&gt;9&lt;/RecNum&gt;&lt;DisplayText&gt;&lt;style face="superscript"&gt;1&lt;/style&gt;&lt;/DisplayText&gt;&lt;record&gt;&lt;rec-number&gt;9&lt;/rec-number&gt;&lt;foreign-keys&gt;&lt;key app="EN" db-id="fdtxv9atmaxwscesfsr55dd0ta0wdts0fdfr" timestamp="1515786894"&gt;9&lt;/key&gt;&lt;/foreign-keys&gt;&lt;ref-type name="Report"&gt;27&lt;/ref-type&gt;&lt;contributors&gt;&lt;authors&gt;&lt;author&gt;World Health Organization&lt;/author&gt;&lt;/authors&gt;&lt;/contributors&gt;&lt;titles&gt;&lt;title&gt;Joint External Evaluation of IHR Core Capacities of the United States of America: Mission Report June 2016&lt;/title&gt;&lt;/titles&gt;&lt;dates&gt;&lt;year&gt;2017&lt;/year&gt;&lt;/dates&gt;&lt;pub-location&gt;Geneva&lt;/pub-location&gt;&lt;publisher&gt;World Health Organization&lt;/publisher&gt;&lt;urls&gt;&lt;related-urls&gt;&lt;url&gt;https://extranet.who.int/spp/sites/default/files/jeeta/WHO-WHE-CPI-2017.13-eng.pdf&lt;/url&gt;&lt;/related-urls&gt;&lt;/urls&gt;&lt;/record&gt;&lt;/Cite&gt;&lt;/EndNote&gt;</w:instrText>
                      </w:r>
                      <w:r>
                        <w:rPr>
                          <w:rFonts w:cs="Arial"/>
                        </w:rPr>
                        <w:fldChar w:fldCharType="separate"/>
                      </w:r>
                      <w:r w:rsidRPr="00232CE7">
                        <w:rPr>
                          <w:rFonts w:cs="Arial"/>
                          <w:noProof/>
                          <w:vertAlign w:val="superscript"/>
                        </w:rPr>
                        <w:t>1</w:t>
                      </w:r>
                      <w:r>
                        <w:rPr>
                          <w:rFonts w:cs="Arial"/>
                        </w:rPr>
                        <w:fldChar w:fldCharType="end"/>
                      </w:r>
                      <w:r>
                        <w:rPr>
                          <w:rFonts w:cs="Arial"/>
                        </w:rPr>
                        <w:t xml:space="preserve"> </w:t>
                      </w:r>
                    </w:p>
                    <w:p w14:paraId="7BDF02BB" w14:textId="77777777" w:rsidR="006A3EFD" w:rsidRDefault="006A3EFD" w:rsidP="00782FBD">
                      <w:pPr>
                        <w:pStyle w:val="ListParagraph"/>
                        <w:numPr>
                          <w:ilvl w:val="0"/>
                          <w:numId w:val="8"/>
                        </w:numPr>
                        <w:tabs>
                          <w:tab w:val="clear" w:pos="9360"/>
                        </w:tabs>
                      </w:pPr>
                      <w:r w:rsidRPr="007B7C44">
                        <w:rPr>
                          <w:b/>
                        </w:rPr>
                        <w:t xml:space="preserve">Methods to be used to collect data </w:t>
                      </w:r>
                    </w:p>
                    <w:p w14:paraId="4CF9E497" w14:textId="5D7EDB36" w:rsidR="006A3EFD" w:rsidRDefault="006A3EFD" w:rsidP="00F3327E">
                      <w:pPr>
                        <w:pStyle w:val="ListParagraph"/>
                        <w:tabs>
                          <w:tab w:val="clear" w:pos="9360"/>
                        </w:tabs>
                        <w:spacing w:after="200"/>
                        <w:ind w:left="360"/>
                      </w:pPr>
                      <w:r>
                        <w:t xml:space="preserve">An electronic assessment and virtual group interviews will be used for data collection. </w:t>
                      </w:r>
                    </w:p>
                    <w:p w14:paraId="72EEA1CA" w14:textId="77777777" w:rsidR="006A3EFD" w:rsidRDefault="006A3EFD" w:rsidP="00782FBD">
                      <w:pPr>
                        <w:pStyle w:val="ListParagraph"/>
                        <w:numPr>
                          <w:ilvl w:val="0"/>
                          <w:numId w:val="8"/>
                        </w:numPr>
                        <w:tabs>
                          <w:tab w:val="clear" w:pos="9360"/>
                        </w:tabs>
                      </w:pPr>
                      <w:r w:rsidRPr="007B7C44">
                        <w:rPr>
                          <w:b/>
                        </w:rPr>
                        <w:t xml:space="preserve">Respondent Universe </w:t>
                      </w:r>
                    </w:p>
                    <w:p w14:paraId="207B032A" w14:textId="77777777" w:rsidR="006A3EFD" w:rsidRDefault="006A3EFD" w:rsidP="00487937">
                      <w:pPr>
                        <w:pStyle w:val="ListParagraph"/>
                        <w:ind w:left="360"/>
                      </w:pPr>
                      <w:r>
                        <w:t xml:space="preserve">The respondent universe consists of two main groups of participants: </w:t>
                      </w:r>
                    </w:p>
                    <w:p w14:paraId="408B0BED" w14:textId="051B6468" w:rsidR="006A3EFD" w:rsidRDefault="006A3EFD" w:rsidP="00A648C6">
                      <w:pPr>
                        <w:pStyle w:val="ListParagraph"/>
                        <w:numPr>
                          <w:ilvl w:val="0"/>
                          <w:numId w:val="21"/>
                        </w:numPr>
                      </w:pPr>
                      <w:r>
                        <w:t xml:space="preserve">Sixty-two MCM officials from the Public Health Emergency Preparedness (PHEP) cooperative agreement (CDC-RFA-TP17-1701) recipient health departments, which include 50 states, eight territories and freely associated states, and four cities.  </w:t>
                      </w:r>
                    </w:p>
                    <w:p w14:paraId="47C1B1E0" w14:textId="5393274B" w:rsidR="006A3EFD" w:rsidRDefault="006A3EFD" w:rsidP="00A648C6">
                      <w:pPr>
                        <w:pStyle w:val="ListParagraph"/>
                        <w:numPr>
                          <w:ilvl w:val="0"/>
                          <w:numId w:val="21"/>
                        </w:numPr>
                      </w:pPr>
                      <w:r>
                        <w:t>995 MCM Officials from local health departments, including 118 large LHDs, 287 medium LHDs and 599 small LHDs.</w:t>
                      </w:r>
                    </w:p>
                    <w:p w14:paraId="6CD1C300" w14:textId="77777777" w:rsidR="006A3EFD" w:rsidRPr="0023262F" w:rsidRDefault="006A3EFD" w:rsidP="00782FBD">
                      <w:pPr>
                        <w:pStyle w:val="ListParagraph"/>
                        <w:numPr>
                          <w:ilvl w:val="0"/>
                          <w:numId w:val="8"/>
                        </w:numPr>
                        <w:tabs>
                          <w:tab w:val="clear" w:pos="9360"/>
                        </w:tabs>
                      </w:pPr>
                      <w:r w:rsidRPr="003F0CC1">
                        <w:rPr>
                          <w:b/>
                        </w:rPr>
                        <w:t xml:space="preserve">How data will be analyzed </w:t>
                      </w:r>
                    </w:p>
                    <w:p w14:paraId="791F82BE" w14:textId="645729BF" w:rsidR="006A3EFD" w:rsidRPr="0023262F" w:rsidRDefault="006A3EFD" w:rsidP="0023262F">
                      <w:pPr>
                        <w:pStyle w:val="ListParagraph"/>
                        <w:tabs>
                          <w:tab w:val="clear" w:pos="9360"/>
                        </w:tabs>
                        <w:ind w:left="360"/>
                      </w:pPr>
                      <w:r>
                        <w:t xml:space="preserve">Both </w:t>
                      </w:r>
                      <w:r w:rsidRPr="001F7732">
                        <w:t>quantitative and qualitative</w:t>
                      </w:r>
                      <w:r>
                        <w:t xml:space="preserve"> methods will be used to analyze the data. Close-ended questions will be analyzed using </w:t>
                      </w:r>
                      <w:r w:rsidRPr="0023262F">
                        <w:t>quantitative methods,</w:t>
                      </w:r>
                      <w:r>
                        <w:t xml:space="preserve"> specifically</w:t>
                      </w:r>
                      <w:r w:rsidRPr="0023262F">
                        <w:t xml:space="preserve"> descriptive </w:t>
                      </w:r>
                      <w:r>
                        <w:t xml:space="preserve">and inferential </w:t>
                      </w:r>
                      <w:r w:rsidRPr="0023262F">
                        <w:t>statistics</w:t>
                      </w:r>
                      <w:r>
                        <w:t xml:space="preserve">. Open ended questions will be analyzed using </w:t>
                      </w:r>
                      <w:r w:rsidRPr="0023262F">
                        <w:t xml:space="preserve">qualitative methods, </w:t>
                      </w:r>
                      <w:r>
                        <w:t xml:space="preserve">specifically </w:t>
                      </w:r>
                      <w:r w:rsidRPr="0023262F">
                        <w:t>thematic analysis</w:t>
                      </w:r>
                      <w:r>
                        <w:t xml:space="preserve"> to extract themes among participant responses.</w:t>
                      </w:r>
                    </w:p>
                  </w:txbxContent>
                </v:textbox>
                <w10:anchorlock/>
              </v:shape>
            </w:pict>
          </mc:Fallback>
        </mc:AlternateContent>
      </w:r>
      <w:bookmarkEnd w:id="2"/>
      <w:bookmarkEnd w:id="3"/>
    </w:p>
    <w:p w14:paraId="1DB3F678" w14:textId="77777777" w:rsidR="00487937" w:rsidRDefault="00487937" w:rsidP="00CA5840">
      <w:pPr>
        <w:pStyle w:val="Heading3"/>
        <w:ind w:left="0"/>
      </w:pPr>
    </w:p>
    <w:p w14:paraId="1C032DAA" w14:textId="77777777" w:rsidR="00CD1EA8" w:rsidRPr="007D6163" w:rsidRDefault="00CD1EA8" w:rsidP="00CA5840">
      <w:pPr>
        <w:pStyle w:val="Heading3"/>
        <w:ind w:left="0"/>
      </w:pPr>
      <w:bookmarkStart w:id="4" w:name="_Toc427752813"/>
      <w:r w:rsidRPr="007D6163">
        <w:t>Section A</w:t>
      </w:r>
      <w:r w:rsidR="00B12F51" w:rsidRPr="007D6163">
        <w:t xml:space="preserve"> – Justification</w:t>
      </w:r>
      <w:bookmarkEnd w:id="4"/>
    </w:p>
    <w:p w14:paraId="40FBA4F4" w14:textId="77777777" w:rsidR="00B12F51" w:rsidRDefault="00B12F51" w:rsidP="007D6163"/>
    <w:p w14:paraId="10F40873"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7CF4D527" w14:textId="77777777" w:rsidR="00E33E1B" w:rsidRPr="007D6163" w:rsidRDefault="00E33E1B" w:rsidP="007B7C44">
      <w:pPr>
        <w:pStyle w:val="Heading5"/>
        <w:spacing w:after="120"/>
        <w:ind w:left="360"/>
      </w:pPr>
      <w:r w:rsidRPr="008B12FA">
        <w:t>Background</w:t>
      </w:r>
    </w:p>
    <w:p w14:paraId="6C4D5015" w14:textId="69B38010" w:rsidR="00084E14" w:rsidRDefault="004F67A8" w:rsidP="00F147F3">
      <w:pPr>
        <w:ind w:left="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19164D" w:rsidRPr="00711BFA">
        <w:t>Data will be collected from</w:t>
      </w:r>
      <w:r w:rsidR="0019164D">
        <w:t xml:space="preserve"> </w:t>
      </w:r>
      <w:r w:rsidR="008B12FA">
        <w:t xml:space="preserve">a total of </w:t>
      </w:r>
      <w:r w:rsidR="004F204F">
        <w:t>1,</w:t>
      </w:r>
      <w:r w:rsidR="00C23BC6">
        <w:t>057</w:t>
      </w:r>
      <w:r w:rsidR="004F204F">
        <w:t xml:space="preserve"> </w:t>
      </w:r>
      <w:r w:rsidR="001861BD">
        <w:t>medical countermeasure (MCM) o</w:t>
      </w:r>
      <w:r w:rsidR="0062614C">
        <w:t>fficials</w:t>
      </w:r>
      <w:r w:rsidR="00B846B5">
        <w:t xml:space="preserve"> across 1,</w:t>
      </w:r>
      <w:r w:rsidR="00C23BC6">
        <w:t>057</w:t>
      </w:r>
      <w:r w:rsidR="00B846B5">
        <w:t xml:space="preserve"> state, territorial, and local health departments</w:t>
      </w:r>
      <w:r w:rsidR="00872827">
        <w:t xml:space="preserve">. </w:t>
      </w:r>
      <w:r w:rsidR="00B846B5">
        <w:t xml:space="preserve">Respondents </w:t>
      </w:r>
      <w:r w:rsidR="00084E14">
        <w:t xml:space="preserve">include: </w:t>
      </w:r>
    </w:p>
    <w:p w14:paraId="0FA71F57" w14:textId="6856C3B4" w:rsidR="00084E14" w:rsidRDefault="00872827" w:rsidP="00001ABF">
      <w:pPr>
        <w:pStyle w:val="ListParagraph"/>
        <w:numPr>
          <w:ilvl w:val="0"/>
          <w:numId w:val="24"/>
        </w:numPr>
      </w:pPr>
      <w:r>
        <w:t xml:space="preserve">62 </w:t>
      </w:r>
      <w:r w:rsidR="00303BB0" w:rsidRPr="009A2A35">
        <w:t xml:space="preserve">Public Health Emergency Preparedness </w:t>
      </w:r>
      <w:r w:rsidR="00804622">
        <w:t xml:space="preserve">(PHEP) </w:t>
      </w:r>
      <w:r w:rsidR="00084E14">
        <w:t xml:space="preserve">awardees </w:t>
      </w:r>
      <w:r w:rsidR="00D83681">
        <w:t>(</w:t>
      </w:r>
      <w:r>
        <w:t>CDC-RFA-TP17-1701</w:t>
      </w:r>
      <w:r w:rsidR="00D83681">
        <w:t>)</w:t>
      </w:r>
      <w:r w:rsidR="001845E7">
        <w:t xml:space="preserve"> </w:t>
      </w:r>
      <w:r w:rsidR="00E7472F">
        <w:t>from 50 states, eight territories and freely associated states, and four cities.</w:t>
      </w:r>
      <w:r w:rsidR="00E14FE8">
        <w:t xml:space="preserve"> </w:t>
      </w:r>
    </w:p>
    <w:p w14:paraId="34214389" w14:textId="77777777" w:rsidR="00084E14" w:rsidRDefault="00084E14" w:rsidP="00001ABF">
      <w:pPr>
        <w:pStyle w:val="ListParagraph"/>
      </w:pPr>
    </w:p>
    <w:p w14:paraId="45966479" w14:textId="0C3389AB" w:rsidR="00084E14" w:rsidRDefault="001845E7" w:rsidP="00001ABF">
      <w:pPr>
        <w:pStyle w:val="ListParagraph"/>
        <w:numPr>
          <w:ilvl w:val="0"/>
          <w:numId w:val="24"/>
        </w:numPr>
      </w:pPr>
      <w:r>
        <w:t>995</w:t>
      </w:r>
      <w:r w:rsidR="00E7472F">
        <w:t xml:space="preserve"> </w:t>
      </w:r>
      <w:r w:rsidR="00E14FE8">
        <w:t>M</w:t>
      </w:r>
      <w:r w:rsidR="00804622">
        <w:t xml:space="preserve">CM </w:t>
      </w:r>
      <w:r w:rsidR="001861BD">
        <w:t>o</w:t>
      </w:r>
      <w:r w:rsidR="007735B3">
        <w:t>fficials fro</w:t>
      </w:r>
      <w:r w:rsidR="00B846B5">
        <w:t>m 118 large, 287 medium, and 599</w:t>
      </w:r>
      <w:r w:rsidR="007735B3">
        <w:t xml:space="preserve"> small</w:t>
      </w:r>
      <w:r w:rsidR="00585BB7">
        <w:t xml:space="preserve"> </w:t>
      </w:r>
      <w:r w:rsidR="007735B3">
        <w:t xml:space="preserve">local health departments (LHDs) </w:t>
      </w:r>
      <w:r w:rsidR="00585BB7">
        <w:t>across</w:t>
      </w:r>
      <w:r w:rsidR="00480E63">
        <w:t xml:space="preserve"> </w:t>
      </w:r>
      <w:r w:rsidR="00493192">
        <w:t>45</w:t>
      </w:r>
      <w:r w:rsidR="00480E63">
        <w:t xml:space="preserve"> states</w:t>
      </w:r>
      <w:r w:rsidR="00B26D92">
        <w:t xml:space="preserve">. </w:t>
      </w:r>
      <w:r w:rsidR="00084E14">
        <w:t xml:space="preserve">Note: </w:t>
      </w:r>
      <w:r w:rsidR="00B26D92">
        <w:t>Rhode Island and Hawaii do not have local health departments, and therefore no respondents from those states will be included in the sample for LHDs</w:t>
      </w:r>
      <w:r w:rsidR="00493192">
        <w:t>; Delaware, Alaska, and South Carolina are also not included in the sample</w:t>
      </w:r>
      <w:r w:rsidR="00577008">
        <w:t xml:space="preserve"> in an effort to reduce burden</w:t>
      </w:r>
      <w:r w:rsidR="002D1B9C">
        <w:t xml:space="preserve"> because the</w:t>
      </w:r>
      <w:r w:rsidR="00577008">
        <w:t xml:space="preserve"> limited number of local health departments </w:t>
      </w:r>
      <w:r w:rsidR="002D1B9C">
        <w:t xml:space="preserve">in these states </w:t>
      </w:r>
      <w:r w:rsidR="00577008">
        <w:t xml:space="preserve">have been used for recent </w:t>
      </w:r>
      <w:r w:rsidR="00704E92">
        <w:t>assessments</w:t>
      </w:r>
      <w:r w:rsidR="00577008">
        <w:t xml:space="preserve"> for NACCHO</w:t>
      </w:r>
      <w:r w:rsidR="00493192">
        <w:t>.</w:t>
      </w:r>
      <w:r w:rsidR="007735B3">
        <w:t xml:space="preserve"> </w:t>
      </w:r>
    </w:p>
    <w:p w14:paraId="751C831A" w14:textId="12737ED6" w:rsidR="00084E14" w:rsidRDefault="00084E14" w:rsidP="003306D0">
      <w:pPr>
        <w:ind w:left="0"/>
      </w:pPr>
    </w:p>
    <w:p w14:paraId="231C3C43" w14:textId="7C3CD989" w:rsidR="007735B3" w:rsidRPr="00711BFA" w:rsidRDefault="007735B3" w:rsidP="00084E14">
      <w:pPr>
        <w:ind w:left="0"/>
      </w:pPr>
      <w:r>
        <w:t>More information on the health departments targeted for this data collection can be found in Attachment</w:t>
      </w:r>
      <w:r w:rsidR="00EE3478">
        <w:t>s B</w:t>
      </w:r>
      <w:r w:rsidR="00F66470">
        <w:t xml:space="preserve"> </w:t>
      </w:r>
      <w:r w:rsidR="00F66C77">
        <w:t xml:space="preserve">and </w:t>
      </w:r>
      <w:r w:rsidR="00F66470">
        <w:t>C</w:t>
      </w:r>
      <w:r w:rsidR="00512B0A">
        <w:t>.</w:t>
      </w:r>
      <w:r w:rsidR="003E0EC1">
        <w:t xml:space="preserve"> </w:t>
      </w:r>
      <w:r w:rsidR="00053E72">
        <w:t xml:space="preserve">Attachment B is a high level summary of the sample groups (see </w:t>
      </w:r>
      <w:r w:rsidR="00053E72" w:rsidRPr="00084E14">
        <w:rPr>
          <w:b/>
        </w:rPr>
        <w:t xml:space="preserve">Attachment B – </w:t>
      </w:r>
      <w:r w:rsidR="00053E72">
        <w:rPr>
          <w:b/>
        </w:rPr>
        <w:t>Sample of MCM Officials Table</w:t>
      </w:r>
      <w:r w:rsidR="00053E72">
        <w:t>). Attachment C describes the sample groups by number of respondents, as well as STLT type, size, and location</w:t>
      </w:r>
      <w:r w:rsidR="00F66C77">
        <w:t>. It als</w:t>
      </w:r>
      <w:r w:rsidR="00EB2CE0">
        <w:t>o</w:t>
      </w:r>
      <w:r w:rsidR="00F66C77">
        <w:rPr>
          <w:rStyle w:val="CommentReference"/>
        </w:rPr>
        <w:t xml:space="preserve"> </w:t>
      </w:r>
      <w:r w:rsidR="00F66C77">
        <w:t xml:space="preserve">lists the specific local health departments in the sample by state and size </w:t>
      </w:r>
      <w:r w:rsidR="00053E72">
        <w:t xml:space="preserve">(see </w:t>
      </w:r>
      <w:r w:rsidR="00053E72">
        <w:rPr>
          <w:b/>
        </w:rPr>
        <w:t>Attachment C – Respondent Universe</w:t>
      </w:r>
      <w:r w:rsidR="00053E72" w:rsidRPr="00053E72">
        <w:t>)</w:t>
      </w:r>
      <w:r w:rsidR="00053E72">
        <w:t xml:space="preserve">. </w:t>
      </w:r>
      <w:r w:rsidR="001861BD">
        <w:t>MCM o</w:t>
      </w:r>
      <w:r>
        <w:t xml:space="preserve">fficials </w:t>
      </w:r>
      <w:r w:rsidR="00084E14">
        <w:t>are</w:t>
      </w:r>
      <w:r w:rsidR="00DD665C">
        <w:t xml:space="preserve"> </w:t>
      </w:r>
      <w:r w:rsidR="00E14FE8">
        <w:t>senior</w:t>
      </w:r>
      <w:r w:rsidR="00084E14">
        <w:t xml:space="preserve"> </w:t>
      </w:r>
      <w:r w:rsidR="00DD665C">
        <w:t xml:space="preserve">staff within </w:t>
      </w:r>
      <w:r w:rsidR="00DD665C" w:rsidRPr="00016C04">
        <w:t>health departments</w:t>
      </w:r>
      <w:r>
        <w:t xml:space="preserve"> whose</w:t>
      </w:r>
      <w:r w:rsidR="00E14FE8">
        <w:t xml:space="preserve"> responsibilities include </w:t>
      </w:r>
      <w:r>
        <w:t xml:space="preserve">MCM coordination and </w:t>
      </w:r>
      <w:r w:rsidR="00E14FE8">
        <w:t xml:space="preserve">preparedness efforts within their </w:t>
      </w:r>
      <w:r w:rsidR="00DD665C">
        <w:t>jurisdictions</w:t>
      </w:r>
      <w:r w:rsidR="00DD665C" w:rsidRPr="00016C04">
        <w:t>.</w:t>
      </w:r>
      <w:r w:rsidR="00DD665C">
        <w:t xml:space="preserve"> </w:t>
      </w:r>
      <w:r w:rsidR="00E14FE8">
        <w:t>The respondents</w:t>
      </w:r>
      <w:r w:rsidR="00DD665C" w:rsidRPr="00C849D1">
        <w:t xml:space="preserve"> are likely to have a good sense of the variety of MCM training needs in </w:t>
      </w:r>
      <w:r w:rsidR="00DD665C">
        <w:t xml:space="preserve">each </w:t>
      </w:r>
      <w:r w:rsidR="00E14FE8">
        <w:t>health department</w:t>
      </w:r>
      <w:r w:rsidR="00932CFF">
        <w:t xml:space="preserve">, so </w:t>
      </w:r>
      <w:r w:rsidR="00917833">
        <w:t>this information is</w:t>
      </w:r>
      <w:r w:rsidR="00932CFF">
        <w:t xml:space="preserve"> critical to assess</w:t>
      </w:r>
      <w:r w:rsidR="00917833">
        <w:t>ing</w:t>
      </w:r>
      <w:r w:rsidR="00E14FE8">
        <w:t xml:space="preserve"> the MCM training needs across the country</w:t>
      </w:r>
      <w:r w:rsidR="00DD665C" w:rsidRPr="00C849D1">
        <w:t xml:space="preserve">. </w:t>
      </w:r>
    </w:p>
    <w:p w14:paraId="03C7F720" w14:textId="77777777" w:rsidR="009252DC" w:rsidRDefault="009252DC" w:rsidP="007B7C44">
      <w:pPr>
        <w:ind w:left="1080"/>
      </w:pPr>
    </w:p>
    <w:p w14:paraId="296031EF" w14:textId="77777777"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6A687736" w14:textId="77777777" w:rsidR="00350C8C" w:rsidRPr="00774689" w:rsidRDefault="00350C8C" w:rsidP="007B7C44">
      <w:pPr>
        <w:ind w:left="360"/>
      </w:pPr>
    </w:p>
    <w:p w14:paraId="44B24735"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0539C5">
        <w:rPr>
          <w:rFonts w:ascii="Shruti" w:eastAsia="Times New Roman" w:hAnsi="Shruti" w:cs="Shruti"/>
          <w:sz w:val="16"/>
          <w:szCs w:val="14"/>
        </w:rPr>
      </w:r>
      <w:r w:rsidR="000539C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06628803"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539C5">
        <w:rPr>
          <w:rFonts w:ascii="Shruti" w:eastAsia="Times New Roman" w:hAnsi="Shruti" w:cs="Shruti"/>
          <w:sz w:val="16"/>
          <w:szCs w:val="14"/>
        </w:rPr>
      </w:r>
      <w:r w:rsidR="000539C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0D0880B5" w14:textId="33D5EDAE" w:rsidR="00587C72" w:rsidRPr="00774689" w:rsidRDefault="00303BB0"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0539C5">
        <w:rPr>
          <w:rFonts w:ascii="Shruti" w:eastAsia="Times New Roman" w:hAnsi="Shruti" w:cs="Shruti"/>
          <w:sz w:val="16"/>
          <w:szCs w:val="14"/>
        </w:rPr>
      </w:r>
      <w:r w:rsidR="000539C5">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1A3E5A47"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539C5">
        <w:rPr>
          <w:rFonts w:ascii="Shruti" w:eastAsia="Times New Roman" w:hAnsi="Shruti" w:cs="Shruti"/>
          <w:sz w:val="16"/>
          <w:szCs w:val="14"/>
        </w:rPr>
      </w:r>
      <w:r w:rsidR="000539C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651A03F2"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539C5">
        <w:rPr>
          <w:rFonts w:ascii="Shruti" w:eastAsia="Times New Roman" w:hAnsi="Shruti" w:cs="Shruti"/>
          <w:sz w:val="16"/>
          <w:szCs w:val="14"/>
        </w:rPr>
      </w:r>
      <w:r w:rsidR="000539C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5. D</w:t>
      </w:r>
      <w:r w:rsidR="00587C72" w:rsidRPr="00774689">
        <w:t>evelopment of policies and plans that support individual and community health efforts</w:t>
      </w:r>
    </w:p>
    <w:p w14:paraId="321656EC"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539C5">
        <w:rPr>
          <w:rFonts w:ascii="Shruti" w:eastAsia="Times New Roman" w:hAnsi="Shruti" w:cs="Shruti"/>
          <w:sz w:val="16"/>
          <w:szCs w:val="14"/>
        </w:rPr>
      </w:r>
      <w:r w:rsidR="000539C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1E1166D1"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539C5">
        <w:rPr>
          <w:rFonts w:ascii="Shruti" w:eastAsia="Times New Roman" w:hAnsi="Shruti" w:cs="Shruti"/>
          <w:sz w:val="16"/>
          <w:szCs w:val="14"/>
        </w:rPr>
      </w:r>
      <w:r w:rsidR="000539C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1CA2138E" w14:textId="77777777" w:rsidR="00587C72" w:rsidRPr="00774689" w:rsidRDefault="00481D80" w:rsidP="00EA3A4A">
      <w:pPr>
        <w:ind w:left="360"/>
      </w:pPr>
      <w:r w:rsidRPr="00774689">
        <w:t xml:space="preserve">            </w:t>
      </w:r>
      <w:r w:rsidR="00587C72" w:rsidRPr="00774689">
        <w:t>when otherwise unavailable</w:t>
      </w:r>
    </w:p>
    <w:p w14:paraId="10D4E7D6" w14:textId="01BA6B4A" w:rsidR="00587C72" w:rsidRPr="00774689" w:rsidRDefault="00303BB0"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0539C5">
        <w:rPr>
          <w:rFonts w:ascii="Shruti" w:eastAsia="Times New Roman" w:hAnsi="Shruti" w:cs="Shruti"/>
          <w:sz w:val="16"/>
          <w:szCs w:val="14"/>
        </w:rPr>
      </w:r>
      <w:r w:rsidR="000539C5">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52CEA787" w14:textId="77777777" w:rsidR="00EA3A4A" w:rsidRDefault="00B63CF3" w:rsidP="00EA3A4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539C5">
        <w:rPr>
          <w:rFonts w:ascii="Shruti" w:eastAsia="Times New Roman" w:hAnsi="Shruti" w:cs="Shruti"/>
          <w:sz w:val="16"/>
          <w:szCs w:val="14"/>
        </w:rPr>
      </w:r>
      <w:r w:rsidR="000539C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5CFDB504" w14:textId="77777777" w:rsidR="00587C72" w:rsidRPr="00774689" w:rsidRDefault="00EA3A4A" w:rsidP="00EA3A4A">
      <w:r>
        <w:t xml:space="preserve">     </w:t>
      </w:r>
      <w:r w:rsidRPr="00774689">
        <w:t>health services</w:t>
      </w:r>
    </w:p>
    <w:p w14:paraId="0C164587" w14:textId="041EFBDE" w:rsidR="00481D80" w:rsidRDefault="00B63CF3" w:rsidP="007B7C44">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0539C5">
        <w:rPr>
          <w:rFonts w:ascii="Shruti" w:eastAsia="Times New Roman" w:hAnsi="Shruti" w:cs="Shruti"/>
          <w:sz w:val="16"/>
          <w:szCs w:val="14"/>
        </w:rPr>
      </w:r>
      <w:r w:rsidR="000539C5">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C5929">
        <w:rPr>
          <w:iCs/>
          <w:vertAlign w:val="superscript"/>
        </w:rPr>
        <w:t xml:space="preserve"> </w:t>
      </w:r>
      <w:r w:rsidR="005C5929">
        <w:rPr>
          <w:iCs/>
          <w:vertAlign w:val="superscript"/>
        </w:rPr>
        <w:fldChar w:fldCharType="begin"/>
      </w:r>
      <w:r w:rsidR="00232CE7">
        <w:rPr>
          <w:iCs/>
          <w:vertAlign w:val="superscript"/>
        </w:rPr>
        <w:instrText xml:space="preserve"> ADDIN EN.CITE &lt;EndNote&gt;&lt;Cite&gt;&lt;Author&gt;(CDC).&lt;/Author&gt;&lt;RecNum&gt;7&lt;/RecNum&gt;&lt;DisplayText&gt;&lt;style face="superscript"&gt;2&lt;/style&gt;&lt;/DisplayText&gt;&lt;record&gt;&lt;rec-number&gt;7&lt;/rec-number&gt;&lt;foreign-keys&gt;&lt;key app="EN" db-id="fdtxv9atmaxwscesfsr55dd0ta0wdts0fdfr" timestamp="1511879063"&gt;7&lt;/key&gt;&lt;/foreign-keys&gt;&lt;ref-type name="Web Page"&gt;12&lt;/ref-type&gt;&lt;contributors&gt;&lt;authors&gt;&lt;author&gt;Centers for Disease Control and Prevention (CDC). &lt;/author&gt;&lt;/authors&gt;&lt;/contributors&gt;&lt;titles&gt;&lt;title&gt;National Public Health Performance Standards (NPHPSP): 10 Essential Public Health Services&lt;/title&gt;&lt;/titles&gt;&lt;volume&gt;2014&lt;/volume&gt;&lt;number&gt;8/14&lt;/number&gt;&lt;dates&gt;&lt;/dates&gt;&lt;urls&gt;&lt;related-urls&gt;&lt;url&gt;http://www.cdc.gov/nphpsp/essentialservices.html&lt;/url&gt;&lt;/related-urls&gt;&lt;/urls&gt;&lt;/record&gt;&lt;/Cite&gt;&lt;/EndNote&gt;</w:instrText>
      </w:r>
      <w:r w:rsidR="005C5929">
        <w:rPr>
          <w:iCs/>
          <w:vertAlign w:val="superscript"/>
        </w:rPr>
        <w:fldChar w:fldCharType="separate"/>
      </w:r>
      <w:r w:rsidR="00232CE7">
        <w:rPr>
          <w:iCs/>
          <w:noProof/>
          <w:vertAlign w:val="superscript"/>
        </w:rPr>
        <w:t>2</w:t>
      </w:r>
      <w:r w:rsidR="005C5929">
        <w:rPr>
          <w:iCs/>
          <w:vertAlign w:val="superscript"/>
        </w:rPr>
        <w:fldChar w:fldCharType="end"/>
      </w:r>
    </w:p>
    <w:p w14:paraId="0CBE62C7" w14:textId="29049D36" w:rsidR="00CB5E4D" w:rsidRDefault="00CB5E4D" w:rsidP="00CB5E4D">
      <w:pPr>
        <w:ind w:left="0"/>
      </w:pPr>
    </w:p>
    <w:p w14:paraId="07BF11C7" w14:textId="4EF0D8E1" w:rsidR="00FA6C7F" w:rsidRDefault="005C5929" w:rsidP="005C5929">
      <w:pPr>
        <w:ind w:left="0"/>
      </w:pPr>
      <w:r>
        <w:t>The terrorist and anthrax attacks of 2001 demonstrated the importance of public health preparedness and response</w:t>
      </w:r>
      <w:r w:rsidR="00CF1EF5">
        <w:t xml:space="preserve"> in the United States</w:t>
      </w:r>
      <w:r>
        <w:t>. As a result of these attacks, Congress set up the PHEP cooperative agreement to support state, territorial, local, and tribal health departments in building their preparedness capacity for natural, biological, chemical, radiological, and nuclear incidents.</w:t>
      </w:r>
      <w:r>
        <w:fldChar w:fldCharType="begin">
          <w:fldData xml:space="preserve">PEVuZE5vdGU+PENpdGU+PEF1dGhvcj5Ob25raW4gQXZjaGVuPC9BdXRob3I+PFllYXI+MjAxNzwv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=
</w:fldData>
        </w:fldChar>
      </w:r>
      <w:r w:rsidR="00232CE7">
        <w:instrText xml:space="preserve"> ADDIN EN.CITE </w:instrText>
      </w:r>
      <w:r w:rsidR="00232CE7">
        <w:fldChar w:fldCharType="begin">
          <w:fldData xml:space="preserve">PEVuZE5vdGU+PENpdGU+PEF1dGhvcj5Ob25raW4gQXZjaGVuPC9BdXRob3I+PFllYXI+MjAxNzwv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=
</w:fldData>
        </w:fldChar>
      </w:r>
      <w:r w:rsidR="00232CE7">
        <w:instrText xml:space="preserve"> ADDIN EN.CITE.DATA </w:instrText>
      </w:r>
      <w:r w:rsidR="00232CE7">
        <w:fldChar w:fldCharType="end"/>
      </w:r>
      <w:r>
        <w:fldChar w:fldCharType="separate"/>
      </w:r>
      <w:r w:rsidR="00232CE7" w:rsidRPr="00232CE7">
        <w:rPr>
          <w:noProof/>
          <w:vertAlign w:val="superscript"/>
        </w:rPr>
        <w:t>3</w:t>
      </w:r>
      <w:r>
        <w:fldChar w:fldCharType="end"/>
      </w:r>
      <w:r>
        <w:t xml:space="preserve"> </w:t>
      </w:r>
      <w:r w:rsidRPr="00C20A38">
        <w:t>The Division of State and Lo</w:t>
      </w:r>
      <w:r>
        <w:t>cal Readiness (DSLR) manages this</w:t>
      </w:r>
      <w:r w:rsidRPr="00C20A38">
        <w:t xml:space="preserve"> PHEP cooperative agreement</w:t>
      </w:r>
      <w:r>
        <w:t xml:space="preserve"> among 50 state, eight territorial and freely associated state, and four local city public health departments across the nation.</w:t>
      </w:r>
      <w:r>
        <w:fldChar w:fldCharType="begin"/>
      </w:r>
      <w:r w:rsidR="00232CE7">
        <w:instrText xml:space="preserve"> ADDIN EN.CITE &lt;EndNote&gt;&lt;Cite&gt;&lt;Author&gt;Response&lt;/Author&gt;&lt;Year&gt;2017&lt;/Year&gt;&lt;RecNum&gt;2&lt;/RecNum&gt;&lt;DisplayText&gt;&lt;style face="superscript"&gt;4&lt;/style&gt;&lt;/DisplayText&gt;&lt;record&gt;&lt;rec-number&gt;2&lt;/rec-number&gt;&lt;foreign-keys&gt;&lt;key app="EN" db-id="fdtxv9atmaxwscesfsr55dd0ta0wdts0fdfr" timestamp="1511360419"&gt;2&lt;/key&gt;&lt;/foreign-keys&gt;&lt;ref-type name="Pamphlet"&gt;24&lt;/ref-type&gt;&lt;contributors&gt;&lt;authors&gt;&lt;author&gt;Office of Public Health Preparedness and Response&lt;/author&gt;&lt;/authors&gt;&lt;secondary-authors&gt;&lt;author&gt;Centers for Disease Control and Prevention&lt;/author&gt;&lt;/secondary-authors&gt;&lt;/contributors&gt;&lt;titles&gt;&lt;title&gt;National Fact Sheet: Public Health Emergency Preparedness Cooperative Agreement (PHEP) Program&lt;/title&gt;&lt;/titles&gt;&lt;dates&gt;&lt;year&gt;2017&lt;/year&gt;&lt;/dates&gt;&lt;urls&gt;&lt;related-urls&gt;&lt;url&gt;https://www.cdc.gov/phpr/partnerships/documents/NATIONALSnapshotFactsheet.pdf&lt;/url&gt;&lt;/related-urls&gt;&lt;/urls&gt;&lt;/record&gt;&lt;/Cite&gt;&lt;/EndNote&gt;</w:instrText>
      </w:r>
      <w:r>
        <w:fldChar w:fldCharType="separate"/>
      </w:r>
      <w:r w:rsidR="00232CE7" w:rsidRPr="00232CE7">
        <w:rPr>
          <w:noProof/>
          <w:vertAlign w:val="superscript"/>
        </w:rPr>
        <w:t>4</w:t>
      </w:r>
      <w:r>
        <w:fldChar w:fldCharType="end"/>
      </w:r>
      <w:r>
        <w:t xml:space="preserve"> This funding supports field staff who focus on preparedness activities and enable recipients to establish and maintain laboratories that have the capability to rapidly identify and respond to chemical threats.</w:t>
      </w:r>
      <w:r>
        <w:fldChar w:fldCharType="begin"/>
      </w:r>
      <w:r w:rsidR="00232CE7">
        <w:instrText xml:space="preserve"> ADDIN EN.CITE &lt;EndNote&gt;&lt;Cite&gt;&lt;Author&gt;Response&lt;/Author&gt;&lt;Year&gt;2017&lt;/Year&gt;&lt;RecNum&gt;3&lt;/RecNum&gt;&lt;DisplayText&gt;&lt;style face="superscript"&gt;5&lt;/style&gt;&lt;/DisplayText&gt;&lt;record&gt;&lt;rec-number&gt;3&lt;/rec-number&gt;&lt;foreign-keys&gt;&lt;key app="EN" db-id="fdtxv9atmaxwscesfsr55dd0ta0wdts0fdfr" timestamp="1511361522"&gt;3&lt;/key&gt;&lt;/foreign-keys&gt;&lt;ref-type name="Pamphlet"&gt;24&lt;/ref-type&gt;&lt;contributors&gt;&lt;authors&gt;&lt;author&gt;Office of Public Health Preparedness and Response&lt;/author&gt;&lt;/authors&gt;&lt;secondary-authors&gt;&lt;author&gt;Centers for Disease Control and Prevention&lt;/author&gt;&lt;/secondary-authors&gt;&lt;/contributors&gt;&lt;titles&gt;&lt;title&gt;Explanation of PHEP Program Data&lt;/title&gt;&lt;/titles&gt;&lt;dates&gt;&lt;year&gt;2017&lt;/year&gt;&lt;/dates&gt;&lt;urls&gt;&lt;related-urls&gt;&lt;url&gt;https://www.cdc.gov/phpr/partnerships/documents/ExplainPHEPProgData.pdf&lt;/url&gt;&lt;/related-urls&gt;&lt;/urls&gt;&lt;/record&gt;&lt;/Cite&gt;&lt;/EndNote&gt;</w:instrText>
      </w:r>
      <w:r>
        <w:fldChar w:fldCharType="separate"/>
      </w:r>
      <w:r w:rsidR="00232CE7" w:rsidRPr="00232CE7">
        <w:rPr>
          <w:noProof/>
          <w:vertAlign w:val="superscript"/>
        </w:rPr>
        <w:t>5</w:t>
      </w:r>
      <w:r>
        <w:fldChar w:fldCharType="end"/>
      </w:r>
    </w:p>
    <w:p w14:paraId="41000931" w14:textId="563B1402" w:rsidR="00FA6C7F" w:rsidRDefault="00FA6C7F" w:rsidP="005C5929">
      <w:pPr>
        <w:ind w:left="0"/>
      </w:pPr>
    </w:p>
    <w:p w14:paraId="546BB9EE" w14:textId="4A24E1CC" w:rsidR="001018FA" w:rsidRDefault="001018FA" w:rsidP="005C5929">
      <w:pPr>
        <w:ind w:left="0"/>
      </w:pPr>
      <w:r>
        <w:t>Recently, even greater emphasis has been placed on public health preparedness and response with the launch of the Global Health Security Agenda by the World Health Organization (WHO). This agenda aims to build the capacities of all countries to create a world safe from infectious disease and other threats. To determine each county’s preparedness capacity, the WHO created the Joint External Evaluation (JEE) tool</w:t>
      </w:r>
      <w:r w:rsidR="003306D0">
        <w:t xml:space="preserve">; </w:t>
      </w:r>
      <w:r>
        <w:t>the U.S. voluntarily participated in a 2016 JEE assessment. The JEE identified local workforce assessments as a major area that needs strengthening in the United States, and the JEE team’s first recommendation for United States Public Health Workforce Development is to study the gaps in needs and staffing at the state and local levels. This was recommended in order to inform a CDC plan for national public health workforce development</w:t>
      </w:r>
      <w:r w:rsidR="003A1BAD">
        <w:t>.</w:t>
      </w:r>
      <w:r w:rsidR="003A1BAD">
        <w:fldChar w:fldCharType="begin"/>
      </w:r>
      <w:r w:rsidR="00232CE7">
        <w:instrText xml:space="preserve"> ADDIN EN.CITE &lt;EndNote&gt;&lt;Cite&gt;&lt;Author&gt;Organization&lt;/Author&gt;&lt;Year&gt;2017&lt;/Year&gt;&lt;RecNum&gt;9&lt;/RecNum&gt;&lt;DisplayText&gt;&lt;style face="superscript"&gt;1&lt;/style&gt;&lt;/DisplayText&gt;&lt;record&gt;&lt;rec-number&gt;9&lt;/rec-number&gt;&lt;foreign-keys&gt;&lt;key app="EN" db-id="fdtxv9atmaxwscesfsr55dd0ta0wdts0fdfr" timestamp="1515786894"&gt;9&lt;/key&gt;&lt;/foreign-keys&gt;&lt;ref-type name="Report"&gt;27&lt;/ref-type&gt;&lt;contributors&gt;&lt;authors&gt;&lt;author&gt;World Health Organization&lt;/author&gt;&lt;/authors&gt;&lt;/contributors&gt;&lt;titles&gt;&lt;title&gt;Joint External Evaluation of IHR Core Capacities of the United States of America: Mission Report June 2016&lt;/title&gt;&lt;/titles&gt;&lt;dates&gt;&lt;year&gt;2017&lt;/year&gt;&lt;/dates&gt;&lt;pub-location&gt;Geneva&lt;/pub-location&gt;&lt;publisher&gt;World Health Organization&lt;/publisher&gt;&lt;urls&gt;&lt;related-urls&gt;&lt;url&gt;https://extranet.who.int/spp/sites/default/files/jeeta/WHO-WHE-CPI-2017.13-eng.pdf&lt;/url&gt;&lt;/related-urls&gt;&lt;/urls&gt;&lt;/record&gt;&lt;/Cite&gt;&lt;/EndNote&gt;</w:instrText>
      </w:r>
      <w:r w:rsidR="003A1BAD">
        <w:fldChar w:fldCharType="separate"/>
      </w:r>
      <w:r w:rsidR="00232CE7" w:rsidRPr="00232CE7">
        <w:rPr>
          <w:noProof/>
          <w:vertAlign w:val="superscript"/>
        </w:rPr>
        <w:t>1</w:t>
      </w:r>
      <w:r w:rsidR="003A1BAD">
        <w:fldChar w:fldCharType="end"/>
      </w:r>
    </w:p>
    <w:p w14:paraId="096C45CC" w14:textId="77777777" w:rsidR="001018FA" w:rsidRDefault="001018FA" w:rsidP="005C5929">
      <w:pPr>
        <w:ind w:left="0"/>
      </w:pPr>
    </w:p>
    <w:p w14:paraId="2170D509" w14:textId="0AB2F0A9" w:rsidR="005C5929" w:rsidRDefault="005C5929" w:rsidP="005C5929">
      <w:pPr>
        <w:ind w:left="0"/>
      </w:pPr>
      <w:r>
        <w:t xml:space="preserve">DSLR </w:t>
      </w:r>
      <w:r w:rsidR="001018FA">
        <w:t>supports public health workforce development by</w:t>
      </w:r>
      <w:r>
        <w:t xml:space="preserve"> providing technical assistance to state, local, territorial, and tribal health departments to ensure they are able to effectively respond to a range of pub</w:t>
      </w:r>
      <w:r w:rsidR="001018FA">
        <w:t>lic health threats. Through</w:t>
      </w:r>
      <w:r>
        <w:t xml:space="preserve"> funding and technical assistance, the PHEP program </w:t>
      </w:r>
      <w:r w:rsidR="007735B3">
        <w:t>aims to advance</w:t>
      </w:r>
      <w:r>
        <w:t xml:space="preserve"> six main areas of preparedness: community resilience, incident management, information management, countermeasures and mitigation, surge management, and biosurveillance.</w:t>
      </w:r>
      <w:r>
        <w:fldChar w:fldCharType="begin"/>
      </w:r>
      <w:r w:rsidR="003A1BAD">
        <w:instrText xml:space="preserve"> ADDIN EN.CITE &lt;EndNote&gt;&lt;Cite&gt;&lt;Author&gt;Prevention&lt;/Author&gt;&lt;Year&gt;2017&lt;/Year&gt;&lt;RecNum&gt;4&lt;/RecNum&gt;&lt;DisplayText&gt;&lt;style face="superscript"&gt;6&lt;/style&gt;&lt;/DisplayText&gt;&lt;record&gt;&lt;rec-number&gt;4&lt;/rec-number&gt;&lt;foreign-keys&gt;&lt;key app="EN" db-id="fdtxv9atmaxwscesfsr55dd0ta0wdts0fdfr" timestamp="1511362906"&gt;4&lt;/key&gt;&lt;/foreign-keys&gt;&lt;ref-type name="Pamphlet"&gt;24&lt;/ref-type&gt;&lt;contributors&gt;&lt;authors&gt;&lt;author&gt;Centers for Disease Control and Prevention&lt;/author&gt;&lt;/authors&gt;&lt;secondary-authors&gt;&lt;author&gt;U.S. Department of Health and Human Services&lt;/author&gt;&lt;/secondary-authors&gt;&lt;/contributors&gt;&lt;titles&gt;&lt;title&gt;CDC&amp;apos;s Public Health Emergency Preparedness Program: Every Response is Local&lt;/title&gt;&lt;secondary-title&gt;Issue Brief&lt;/secondary-title&gt;&lt;/titles&gt;&lt;dates&gt;&lt;year&gt;2017&lt;/year&gt;&lt;/dates&gt;&lt;urls&gt;&lt;related-urls&gt;&lt;url&gt;https://www.cdc.gov/phpr/whatwedo/00_docs/Issue_Brief_PHEP.pdf&lt;/url&gt;&lt;/related-urls&gt;&lt;/urls&gt;&lt;/record&gt;&lt;/Cite&gt;&lt;/EndNote&gt;</w:instrText>
      </w:r>
      <w:r>
        <w:fldChar w:fldCharType="separate"/>
      </w:r>
      <w:r w:rsidR="003A1BAD" w:rsidRPr="003A1BAD">
        <w:rPr>
          <w:noProof/>
          <w:vertAlign w:val="superscript"/>
        </w:rPr>
        <w:t>6</w:t>
      </w:r>
      <w:r>
        <w:fldChar w:fldCharType="end"/>
      </w:r>
      <w:r>
        <w:t xml:space="preserve"> This information collection focuses on the countermeasures and mitigation preparedness area. This area involves getting MCMs to where they are needed in a public health emergency. MCMs are life-saving medicines and medical supplies regulated by the U.S. Food and Drug Administration that can be used to diagnose, prevent, protect from, or treat conditions associated with chemical, biological, radiological, or nuclear threats, emerging infectious diseases, or a natural disaster. These include biologic products, such as vaccines; drugs, such as antivirals; and devices, such as respirators and ventilators.</w:t>
      </w:r>
      <w:r>
        <w:fldChar w:fldCharType="begin"/>
      </w:r>
      <w:r w:rsidR="003A1BAD">
        <w:instrText xml:space="preserve"> ADDIN EN.CITE &lt;EndNote&gt;&lt;Cite&gt;&lt;Author&gt;Readiness&lt;/Author&gt;&lt;Year&gt;2017&lt;/Year&gt;&lt;RecNum&gt;5&lt;/RecNum&gt;&lt;DisplayText&gt;&lt;style face="superscript"&gt;7&lt;/style&gt;&lt;/DisplayText&gt;&lt;record&gt;&lt;rec-number&gt;5&lt;/rec-number&gt;&lt;foreign-keys&gt;&lt;key app="EN" db-id="fdtxv9atmaxwscesfsr55dd0ta0wdts0fdfr" timestamp="1511363631"&gt;5&lt;/key&gt;&lt;/foreign-keys&gt;&lt;ref-type name="Web Page"&gt;12&lt;/ref-type&gt;&lt;contributors&gt;&lt;authors&gt;&lt;author&gt;CDC - Division of State and Local Readiness&lt;/author&gt;&lt;/authors&gt;&lt;/contributors&gt;&lt;titles&gt;&lt;title&gt;Medical Countermeasure Readiness&lt;/title&gt;&lt;/titles&gt;&lt;volume&gt;2017&lt;/volume&gt;&lt;number&gt;November 11&lt;/number&gt;&lt;dates&gt;&lt;year&gt;2017&lt;/year&gt;&lt;/dates&gt;&lt;urls&gt;&lt;related-urls&gt;&lt;url&gt;https://www.cdc.gov/phpr/readiness/mcm.html&lt;/url&gt;&lt;/related-urls&gt;&lt;/urls&gt;&lt;/record&gt;&lt;/Cite&gt;&lt;/EndNote&gt;</w:instrText>
      </w:r>
      <w:r>
        <w:fldChar w:fldCharType="separate"/>
      </w:r>
      <w:r w:rsidR="003A1BAD" w:rsidRPr="003A1BAD">
        <w:rPr>
          <w:noProof/>
          <w:vertAlign w:val="superscript"/>
        </w:rPr>
        <w:t>7</w:t>
      </w:r>
      <w:r>
        <w:fldChar w:fldCharType="end"/>
      </w:r>
      <w:r>
        <w:t xml:space="preserve"> </w:t>
      </w:r>
    </w:p>
    <w:p w14:paraId="0AF439AB" w14:textId="423905E9" w:rsidR="001018FA" w:rsidRDefault="001018FA" w:rsidP="005C5929">
      <w:pPr>
        <w:ind w:left="0"/>
      </w:pPr>
    </w:p>
    <w:p w14:paraId="00A97458" w14:textId="618C45BA" w:rsidR="005C5929" w:rsidRDefault="003306D0" w:rsidP="005C5929">
      <w:pPr>
        <w:ind w:left="0"/>
      </w:pPr>
      <w:r>
        <w:t>T</w:t>
      </w:r>
      <w:r w:rsidR="005C5929">
        <w:t xml:space="preserve">raining is essential for ensuring that health departments are able to efficiently distribute and dispense MCMs during an emergency. The DSLR </w:t>
      </w:r>
      <w:r w:rsidR="00F17256">
        <w:t>Applied Learning and Development Team</w:t>
      </w:r>
      <w:r w:rsidR="005E21CC">
        <w:t xml:space="preserve"> (ALDT)</w:t>
      </w:r>
      <w:r w:rsidR="005C5929">
        <w:t xml:space="preserve"> de</w:t>
      </w:r>
      <w:r w:rsidR="00F17256">
        <w:t>sign</w:t>
      </w:r>
      <w:r w:rsidR="005C5929">
        <w:t>s and conducts these trainings to enhance MCM readiness nationwide. Because public health preparedness has evolved greatly in the past 10-15 years,</w:t>
      </w:r>
      <w:r w:rsidR="005C5929">
        <w:fldChar w:fldCharType="begin"/>
      </w:r>
      <w:r w:rsidR="00232CE7">
        <w:instrText xml:space="preserve"> ADDIN EN.CITE &lt;EndNote&gt;&lt;Cite&gt;&lt;Author&gt;Nonkin Avchen&lt;/Author&gt;&lt;Year&gt;2017&lt;/Year&gt;&lt;RecNum&gt;1&lt;/RecNum&gt;&lt;DisplayText&gt;&lt;style face="superscript"&gt;3&lt;/style&gt;&lt;/DisplayText&gt;&lt;record&gt;&lt;rec-number&gt;1&lt;/rec-number&gt;&lt;foreign-keys&gt;&lt;key app="EN" db-id="fdtxv9atmaxwscesfsr55dd0ta0wdts0fdfr" timestamp="1511359245"&gt;1&lt;/key&gt;&lt;/foreign-keys&gt;&lt;ref-type name="Journal Article"&gt;17&lt;/ref-type&gt;&lt;contributors&gt;&lt;authors&gt;&lt;author&gt;Nonkin Avchen, Rachel&lt;/author&gt;&lt;author&gt;LeBlanc, Tanya Telfair&lt;/author&gt;&lt;author&gt;Kosmos, Christine&lt;/author&gt;&lt;/authors&gt;&lt;/contributors&gt;&lt;titles&gt;&lt;title&gt;From Anthrax to Zika: Fifteen Years of Public Health Emergency Preparedness&lt;/title&gt;&lt;secondary-title&gt;American Journal of Public Health&lt;/secondary-title&gt;&lt;/titles&gt;&lt;periodical&gt;&lt;full-title&gt;American Journal of Public Health&lt;/full-title&gt;&lt;/periodical&gt;&lt;pages&gt;S117-S117&lt;/pages&gt;&lt;volume&gt;107&lt;/volume&gt;&lt;number&gt;S2&lt;/number&gt;&lt;dates&gt;&lt;year&gt;2017&lt;/year&gt;&lt;pub-dates&gt;&lt;date&gt;2017/09/01&lt;/date&gt;&lt;/pub-dates&gt;&lt;/dates&gt;&lt;publisher&gt;American Public Health Association&lt;/publisher&gt;&lt;isbn&gt;0090-0036&lt;/isbn&gt;&lt;urls&gt;&lt;related-urls&gt;&lt;url&gt;https://doi.org/10.2105/AJPH.2017.304058&lt;/url&gt;&lt;/related-urls&gt;&lt;/urls&gt;&lt;electronic-resource-num&gt;10.2105/AJPH.2017.304058&lt;/electronic-resource-num&gt;&lt;access-date&gt;2017/11/22&lt;/access-date&gt;&lt;/record&gt;&lt;/Cite&gt;&lt;/EndNote&gt;</w:instrText>
      </w:r>
      <w:r w:rsidR="005C5929">
        <w:fldChar w:fldCharType="separate"/>
      </w:r>
      <w:r w:rsidR="00232CE7" w:rsidRPr="00232CE7">
        <w:rPr>
          <w:noProof/>
          <w:vertAlign w:val="superscript"/>
        </w:rPr>
        <w:t>3</w:t>
      </w:r>
      <w:r w:rsidR="005C5929">
        <w:fldChar w:fldCharType="end"/>
      </w:r>
      <w:r w:rsidR="005C5929">
        <w:t xml:space="preserve"> the</w:t>
      </w:r>
      <w:r w:rsidR="005E21CC">
        <w:t xml:space="preserve"> ALDT</w:t>
      </w:r>
      <w:r w:rsidR="005C5929">
        <w:t xml:space="preserve"> must update these trainings to meet the current needs of the nation. However, the nation’s MCM training needs have not been definitively established, as</w:t>
      </w:r>
      <w:r w:rsidR="007735B3">
        <w:t xml:space="preserve"> consultations with CDC MCM subject matter experts and</w:t>
      </w:r>
      <w:r w:rsidR="005C5929">
        <w:t xml:space="preserve"> extensive literature searches conducted by CDC librarians have uncovered that a comprehensive MCM training needs assessment has never been systematically conducted. To begin identifying potential MCM training needs, the DSLR </w:t>
      </w:r>
      <w:r w:rsidR="00EA3236">
        <w:t>ALDT</w:t>
      </w:r>
      <w:r w:rsidR="005C5929">
        <w:t xml:space="preserve"> worked with federal, state, and local partners to develop a comprehensive list of common responsibilities and associated skills for MCM Officials</w:t>
      </w:r>
      <w:r w:rsidR="0027544E">
        <w:t>. These consist of six CDC-identified responsibilities, each with six to nine associated skills, that are beneficial to MCM Officials in working toward preparing their jurisdictions for emergencies requiring MCMs  (</w:t>
      </w:r>
      <w:r w:rsidR="0027544E" w:rsidRPr="00001ABF">
        <w:t xml:space="preserve">see </w:t>
      </w:r>
      <w:r w:rsidR="0027544E" w:rsidRPr="00001ABF">
        <w:rPr>
          <w:b/>
        </w:rPr>
        <w:t>Attachment A – MCM Coordinator Common Responsibilities and Associated Skills</w:t>
      </w:r>
      <w:r w:rsidR="0027544E" w:rsidRPr="00001ABF">
        <w:t xml:space="preserve">). </w:t>
      </w:r>
    </w:p>
    <w:p w14:paraId="161B7824" w14:textId="77777777" w:rsidR="005C5929" w:rsidRDefault="005C5929" w:rsidP="005C5929">
      <w:pPr>
        <w:ind w:left="0"/>
      </w:pPr>
    </w:p>
    <w:p w14:paraId="7A00FE31" w14:textId="5B0A6A2B" w:rsidR="006B0F55" w:rsidRDefault="00B4293D" w:rsidP="002C544E">
      <w:pPr>
        <w:ind w:left="0"/>
      </w:pPr>
      <w:r>
        <w:t>T</w:t>
      </w:r>
      <w:r w:rsidR="005C5929">
        <w:t xml:space="preserve">he purpose of this information collection is to gather data to assess the gaps in MCM Officials’ ability to perform these common responsibilities and associated skills. The information collected will </w:t>
      </w:r>
      <w:r w:rsidR="007B72B9">
        <w:t xml:space="preserve">gather </w:t>
      </w:r>
      <w:r w:rsidR="005C5929">
        <w:t xml:space="preserve">baseline data on which skills need the most attention, how training needs change over the course of one’s MCM-related career, and how CDC can better design MCM trainings that will fit within the current training models at state, territorial, local, and tribal health departments. The data from this information collection will be used to make decisions regarding the content of </w:t>
      </w:r>
      <w:r w:rsidR="005714F2">
        <w:t xml:space="preserve">CDC-developed </w:t>
      </w:r>
      <w:r w:rsidR="005C5929">
        <w:t>MCM trainings and inform the creation of a comprehensive five-year MCM training plan</w:t>
      </w:r>
      <w:r w:rsidR="00F65781">
        <w:t xml:space="preserve"> while</w:t>
      </w:r>
      <w:r w:rsidR="006B0F55">
        <w:t xml:space="preserve"> </w:t>
      </w:r>
      <w:r w:rsidR="00B71839">
        <w:t>address</w:t>
      </w:r>
      <w:r w:rsidR="00F65781">
        <w:t>ing</w:t>
      </w:r>
      <w:r w:rsidR="00B71839">
        <w:t xml:space="preserve"> </w:t>
      </w:r>
      <w:r w:rsidR="006B0F55">
        <w:t xml:space="preserve">one of the priority areas </w:t>
      </w:r>
      <w:r w:rsidR="00F65781">
        <w:t>established by</w:t>
      </w:r>
      <w:r w:rsidR="00B71839">
        <w:t xml:space="preserve"> the Global Health Security Agenda goals in the United States.</w:t>
      </w:r>
      <w:r w:rsidR="001857F6">
        <w:fldChar w:fldCharType="begin"/>
      </w:r>
      <w:r w:rsidR="00232CE7">
        <w:instrText xml:space="preserve"> ADDIN EN.CITE &lt;EndNote&gt;&lt;Cite&gt;&lt;Author&gt;Organization&lt;/Author&gt;&lt;Year&gt;2017&lt;/Year&gt;&lt;RecNum&gt;9&lt;/RecNum&gt;&lt;DisplayText&gt;&lt;style face="superscript"&gt;1&lt;/style&gt;&lt;/DisplayText&gt;&lt;record&gt;&lt;rec-number&gt;9&lt;/rec-number&gt;&lt;foreign-keys&gt;&lt;key app="EN" db-id="fdtxv9atmaxwscesfsr55dd0ta0wdts0fdfr" timestamp="1515786894"&gt;9&lt;/key&gt;&lt;/foreign-keys&gt;&lt;ref-type name="Report"&gt;27&lt;/ref-type&gt;&lt;contributors&gt;&lt;authors&gt;&lt;author&gt;World Health Organization&lt;/author&gt;&lt;/authors&gt;&lt;/contributors&gt;&lt;titles&gt;&lt;title&gt;Joint External Evaluation of IHR Core Capacities of the United States of America: Mission Report June 2016&lt;/title&gt;&lt;/titles&gt;&lt;dates&gt;&lt;year&gt;2017&lt;/year&gt;&lt;/dates&gt;&lt;pub-location&gt;Geneva&lt;/pub-location&gt;&lt;publisher&gt;World Health Organization&lt;/publisher&gt;&lt;urls&gt;&lt;related-urls&gt;&lt;url&gt;https://extranet.who.int/spp/sites/default/files/jeeta/WHO-WHE-CPI-2017.13-eng.pdf&lt;/url&gt;&lt;/related-urls&gt;&lt;/urls&gt;&lt;/record&gt;&lt;/Cite&gt;&lt;/EndNote&gt;</w:instrText>
      </w:r>
      <w:r w:rsidR="001857F6">
        <w:fldChar w:fldCharType="separate"/>
      </w:r>
      <w:r w:rsidR="00232CE7" w:rsidRPr="00232CE7">
        <w:rPr>
          <w:noProof/>
          <w:vertAlign w:val="superscript"/>
        </w:rPr>
        <w:t>1</w:t>
      </w:r>
      <w:r w:rsidR="001857F6">
        <w:fldChar w:fldCharType="end"/>
      </w:r>
      <w:r w:rsidR="00B71839">
        <w:t xml:space="preserve"> </w:t>
      </w:r>
    </w:p>
    <w:p w14:paraId="7B9090B6" w14:textId="77777777" w:rsidR="005C5929" w:rsidRDefault="005C5929" w:rsidP="005C5929">
      <w:pPr>
        <w:ind w:left="0"/>
      </w:pPr>
    </w:p>
    <w:p w14:paraId="75972137" w14:textId="1A19B333" w:rsidR="005C5929" w:rsidRDefault="005C5929" w:rsidP="005C5929">
      <w:pPr>
        <w:ind w:left="0"/>
      </w:pPr>
      <w:r>
        <w:t>The National Association of County</w:t>
      </w:r>
      <w:r w:rsidR="005E21CC">
        <w:t xml:space="preserve"> and City</w:t>
      </w:r>
      <w:r>
        <w:t xml:space="preserve"> Health Officials (NACCHO) is </w:t>
      </w:r>
      <w:r w:rsidR="004C592C">
        <w:t>funded through the PHEP cooperative agreement (CDC-RFA-TP17-1701) by</w:t>
      </w:r>
      <w:r>
        <w:t xml:space="preserve"> CDC for this information collection. NACCHO is an organization comprised of almost 3,000 local health departments across the United States. They work closely with local health departments </w:t>
      </w:r>
      <w:r w:rsidR="00B4293D">
        <w:t>providing</w:t>
      </w:r>
      <w:r>
        <w:t xml:space="preserve"> support in preparedness and response to public health emergencies</w:t>
      </w:r>
      <w:r w:rsidR="00B4293D">
        <w:t>.</w:t>
      </w:r>
      <w:r w:rsidR="005E21CC">
        <w:t xml:space="preserve"> </w:t>
      </w:r>
      <w:r w:rsidR="00B4293D">
        <w:t>NACCHO’s</w:t>
      </w:r>
      <w:r>
        <w:t xml:space="preserve"> approach aligns closely with that of the CDC PHEP program. </w:t>
      </w:r>
      <w:r w:rsidRPr="00AE699F">
        <w:t>NACCHO sends out a preparedness profile to assess the general state of preparedness in local and tribal health departments.</w:t>
      </w:r>
      <w:r w:rsidRPr="00AE699F">
        <w:rPr>
          <w:highlight w:val="yellow"/>
        </w:rPr>
        <w:fldChar w:fldCharType="begin"/>
      </w:r>
      <w:r w:rsidR="001857F6" w:rsidRPr="00AE699F">
        <w:instrText xml:space="preserve"> ADDIN EN.CITE &lt;EndNote&gt;&lt;Cite&gt;&lt;Author&gt;Officials&lt;/Author&gt;&lt;Year&gt;2017&lt;/Year&gt;&lt;RecNum&gt;6&lt;/RecNum&gt;&lt;DisplayText&gt;&lt;style face="superscript"&gt;8&lt;/style&gt;&lt;/DisplayText&gt;&lt;record&gt;&lt;rec-number&gt;6&lt;/rec-number&gt;&lt;foreign-keys&gt;&lt;key app="EN" db-id="fdtxv9atmaxwscesfsr55dd0ta0wdts0fdfr" timestamp="1511367759"&gt;6&lt;/key&gt;&lt;/foreign-keys&gt;&lt;ref-type name="Web Page"&gt;12&lt;/ref-type&gt;&lt;contributors&gt;&lt;authors&gt;&lt;author&gt;National Association of County and City Health Officials&lt;/author&gt;&lt;/authors&gt;&lt;/contributors&gt;&lt;titles&gt;&lt;title&gt;Public Health Preparedness&lt;/title&gt;&lt;/titles&gt;&lt;volume&gt;2017&lt;/volume&gt;&lt;number&gt;November 22&lt;/number&gt;&lt;dates&gt;&lt;year&gt;2017&lt;/year&gt;&lt;/dates&gt;&lt;urls&gt;&lt;related-urls&gt;&lt;url&gt;https://www.naccho.org/programs/public-health-preparedness&lt;/url&gt;&lt;/related-urls&gt;&lt;/urls&gt;&lt;/record&gt;&lt;/Cite&gt;&lt;/EndNote&gt;</w:instrText>
      </w:r>
      <w:r w:rsidRPr="00AE699F">
        <w:rPr>
          <w:highlight w:val="yellow"/>
        </w:rPr>
        <w:fldChar w:fldCharType="separate"/>
      </w:r>
      <w:r w:rsidR="001857F6" w:rsidRPr="00AE699F">
        <w:rPr>
          <w:noProof/>
          <w:vertAlign w:val="superscript"/>
        </w:rPr>
        <w:t>8</w:t>
      </w:r>
      <w:r w:rsidRPr="00AE699F">
        <w:rPr>
          <w:highlight w:val="yellow"/>
        </w:rPr>
        <w:fldChar w:fldCharType="end"/>
      </w:r>
      <w:r w:rsidRPr="00AE699F">
        <w:t xml:space="preserve"> In this information collection,</w:t>
      </w:r>
      <w:r w:rsidR="007A58A4" w:rsidRPr="00AE699F">
        <w:t xml:space="preserve"> NACCHO </w:t>
      </w:r>
      <w:r w:rsidR="00553EA6" w:rsidRPr="00AE699F">
        <w:t xml:space="preserve">programmed the electronic assessment and has the role of </w:t>
      </w:r>
      <w:r w:rsidR="007A58A4" w:rsidRPr="00AE699F">
        <w:t xml:space="preserve">sending </w:t>
      </w:r>
      <w:r w:rsidR="00553EA6" w:rsidRPr="00AE699F">
        <w:t>it</w:t>
      </w:r>
      <w:r w:rsidR="007A58A4" w:rsidRPr="00AE699F">
        <w:t xml:space="preserve"> to the respondent universe</w:t>
      </w:r>
      <w:r w:rsidR="00553EA6" w:rsidRPr="00AE699F">
        <w:t xml:space="preserve"> via email. </w:t>
      </w:r>
      <w:r w:rsidR="005833EE" w:rsidRPr="00AE699F">
        <w:t xml:space="preserve">NACCHO will also conduct </w:t>
      </w:r>
      <w:r w:rsidR="00553EA6" w:rsidRPr="00AE699F">
        <w:t>group interviews</w:t>
      </w:r>
      <w:r w:rsidR="005833EE" w:rsidRPr="00AE699F">
        <w:t xml:space="preserve"> with MCM Officials from both local health departments and those under the PHEP cooperative agreement.</w:t>
      </w:r>
      <w:r w:rsidR="00553EA6" w:rsidRPr="00AE699F">
        <w:t xml:space="preserve"> NACCHO will share de-identified data with CDC from both the online assessment and group interviews.</w:t>
      </w:r>
      <w:r w:rsidRPr="00AE699F">
        <w:t xml:space="preserve"> </w:t>
      </w:r>
    </w:p>
    <w:p w14:paraId="760FEC3A" w14:textId="77777777" w:rsidR="005C5929" w:rsidRPr="001A28F6" w:rsidRDefault="005C5929" w:rsidP="00CB5E4D">
      <w:pPr>
        <w:ind w:left="0"/>
      </w:pPr>
    </w:p>
    <w:p w14:paraId="384042CA" w14:textId="77777777" w:rsidR="00376290" w:rsidRDefault="006102DA" w:rsidP="003F1904">
      <w:pPr>
        <w:pStyle w:val="Heading5"/>
        <w:spacing w:after="120"/>
        <w:ind w:left="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7DCCB61E" w14:textId="78F0FF57" w:rsidR="00FC55F6" w:rsidRDefault="00FC55F6" w:rsidP="00704E92">
      <w:pPr>
        <w:ind w:left="0"/>
      </w:pPr>
      <w:r w:rsidRPr="00711BFA">
        <w:t>Data will be collected</w:t>
      </w:r>
      <w:r>
        <w:t xml:space="preserve"> from </w:t>
      </w:r>
      <w:r w:rsidRPr="00CA5FDF">
        <w:t xml:space="preserve">62 PHEP </w:t>
      </w:r>
      <w:r>
        <w:t xml:space="preserve">and </w:t>
      </w:r>
      <w:r w:rsidR="00D950E5">
        <w:t>995</w:t>
      </w:r>
      <w:r>
        <w:t xml:space="preserve"> local </w:t>
      </w:r>
      <w:r w:rsidR="001861BD">
        <w:t>MCM o</w:t>
      </w:r>
      <w:r w:rsidR="005C5929">
        <w:t>fficials</w:t>
      </w:r>
      <w:r w:rsidRPr="00CA5FDF">
        <w:t xml:space="preserve"> </w:t>
      </w:r>
      <w:r>
        <w:t xml:space="preserve">via electronic </w:t>
      </w:r>
      <w:r w:rsidR="001C1BF1">
        <w:t xml:space="preserve">training needs </w:t>
      </w:r>
      <w:r>
        <w:t>assessment</w:t>
      </w:r>
      <w:r w:rsidR="001C1BF1">
        <w:t xml:space="preserve"> and a </w:t>
      </w:r>
      <w:r w:rsidR="00127C6B">
        <w:t xml:space="preserve">virtual </w:t>
      </w:r>
      <w:r w:rsidR="001C1BF1">
        <w:t xml:space="preserve">group interview </w:t>
      </w:r>
      <w:r w:rsidR="001C1BF1" w:rsidRPr="003F1904">
        <w:t>sign-up</w:t>
      </w:r>
      <w:r w:rsidR="001C1BF1">
        <w:t xml:space="preserve"> </w:t>
      </w:r>
      <w:r w:rsidR="00127C6B">
        <w:t>form</w:t>
      </w:r>
      <w:r w:rsidR="003F1904" w:rsidRPr="006C20E8">
        <w:rPr>
          <w:color w:val="0070C0"/>
        </w:rPr>
        <w:t xml:space="preserve"> </w:t>
      </w:r>
      <w:r w:rsidRPr="00E51F66">
        <w:t xml:space="preserve">(see </w:t>
      </w:r>
      <w:r w:rsidR="009E0DF7">
        <w:rPr>
          <w:b/>
        </w:rPr>
        <w:t xml:space="preserve">Attachment </w:t>
      </w:r>
      <w:r w:rsidR="0099116B">
        <w:rPr>
          <w:b/>
        </w:rPr>
        <w:t>D</w:t>
      </w:r>
      <w:r w:rsidR="0099116B" w:rsidRPr="00E51F66">
        <w:rPr>
          <w:b/>
        </w:rPr>
        <w:t xml:space="preserve"> </w:t>
      </w:r>
      <w:r w:rsidRPr="00E51F66">
        <w:rPr>
          <w:b/>
        </w:rPr>
        <w:t>–Training Needs</w:t>
      </w:r>
      <w:r w:rsidR="00731966">
        <w:rPr>
          <w:b/>
        </w:rPr>
        <w:t xml:space="preserve"> Electronic</w:t>
      </w:r>
      <w:r w:rsidRPr="00E51F66">
        <w:rPr>
          <w:b/>
        </w:rPr>
        <w:t xml:space="preserve"> Assessment, Word Version</w:t>
      </w:r>
      <w:r w:rsidR="001C1BF1">
        <w:t xml:space="preserve">, </w:t>
      </w:r>
      <w:r w:rsidRPr="00E51F66">
        <w:rPr>
          <w:b/>
        </w:rPr>
        <w:t xml:space="preserve">Attachment </w:t>
      </w:r>
      <w:r w:rsidR="0099116B">
        <w:rPr>
          <w:b/>
        </w:rPr>
        <w:t>E</w:t>
      </w:r>
      <w:r w:rsidR="0099116B" w:rsidRPr="00E51F66">
        <w:rPr>
          <w:b/>
        </w:rPr>
        <w:t xml:space="preserve"> </w:t>
      </w:r>
      <w:r w:rsidRPr="00E51F66">
        <w:rPr>
          <w:b/>
        </w:rPr>
        <w:t xml:space="preserve">- Training Needs </w:t>
      </w:r>
      <w:r w:rsidR="00731966">
        <w:rPr>
          <w:b/>
        </w:rPr>
        <w:t xml:space="preserve">Electronic </w:t>
      </w:r>
      <w:r w:rsidRPr="00E51F66">
        <w:rPr>
          <w:b/>
        </w:rPr>
        <w:t>Assessment, Web Version</w:t>
      </w:r>
      <w:r w:rsidR="008B1F4A">
        <w:rPr>
          <w:b/>
        </w:rPr>
        <w:t xml:space="preserve"> Screenshots</w:t>
      </w:r>
      <w:r w:rsidR="009E0DF7">
        <w:rPr>
          <w:b/>
        </w:rPr>
        <w:t>,</w:t>
      </w:r>
      <w:r w:rsidR="001C1BF1">
        <w:rPr>
          <w:b/>
        </w:rPr>
        <w:t xml:space="preserve"> A</w:t>
      </w:r>
      <w:r w:rsidR="003B0D41">
        <w:rPr>
          <w:b/>
        </w:rPr>
        <w:t xml:space="preserve">ttachment </w:t>
      </w:r>
      <w:r w:rsidR="0099116B">
        <w:rPr>
          <w:b/>
        </w:rPr>
        <w:t xml:space="preserve">F </w:t>
      </w:r>
      <w:r w:rsidR="001C1BF1">
        <w:rPr>
          <w:b/>
        </w:rPr>
        <w:t xml:space="preserve">– </w:t>
      </w:r>
      <w:r w:rsidR="00066F39">
        <w:rPr>
          <w:b/>
        </w:rPr>
        <w:t xml:space="preserve">Virtual </w:t>
      </w:r>
      <w:r w:rsidR="001C1BF1">
        <w:rPr>
          <w:b/>
        </w:rPr>
        <w:t xml:space="preserve">Group Interview </w:t>
      </w:r>
      <w:r w:rsidR="001C1BF1" w:rsidRPr="003F1904">
        <w:rPr>
          <w:b/>
        </w:rPr>
        <w:t>Sign-</w:t>
      </w:r>
      <w:r w:rsidR="004E54EF">
        <w:rPr>
          <w:b/>
        </w:rPr>
        <w:t>u</w:t>
      </w:r>
      <w:r w:rsidR="004E54EF" w:rsidRPr="003F1904">
        <w:rPr>
          <w:b/>
        </w:rPr>
        <w:t>p</w:t>
      </w:r>
      <w:r w:rsidR="00127C6B">
        <w:rPr>
          <w:b/>
        </w:rPr>
        <w:t xml:space="preserve"> Form</w:t>
      </w:r>
      <w:r w:rsidR="009E0DF7" w:rsidRPr="003F1904">
        <w:rPr>
          <w:b/>
        </w:rPr>
        <w:t>,</w:t>
      </w:r>
      <w:r w:rsidR="009E0DF7">
        <w:rPr>
          <w:b/>
        </w:rPr>
        <w:t xml:space="preserve"> Word Version, </w:t>
      </w:r>
      <w:r w:rsidR="009E0DF7" w:rsidRPr="009E0DF7">
        <w:t>and</w:t>
      </w:r>
      <w:r w:rsidR="009E0DF7">
        <w:rPr>
          <w:b/>
        </w:rPr>
        <w:t xml:space="preserve"> Attachment </w:t>
      </w:r>
      <w:r w:rsidR="0099116B">
        <w:rPr>
          <w:b/>
        </w:rPr>
        <w:t xml:space="preserve">G </w:t>
      </w:r>
      <w:r w:rsidR="009E0DF7">
        <w:rPr>
          <w:b/>
        </w:rPr>
        <w:t xml:space="preserve">– </w:t>
      </w:r>
      <w:r w:rsidR="00066F39">
        <w:rPr>
          <w:b/>
        </w:rPr>
        <w:t xml:space="preserve">Virtual </w:t>
      </w:r>
      <w:r w:rsidR="009E0DF7">
        <w:rPr>
          <w:b/>
        </w:rPr>
        <w:t xml:space="preserve">Group Interview </w:t>
      </w:r>
      <w:r w:rsidR="009E0DF7" w:rsidRPr="00001ABF">
        <w:rPr>
          <w:b/>
        </w:rPr>
        <w:t>Sign-</w:t>
      </w:r>
      <w:r w:rsidR="004E54EF" w:rsidRPr="00001ABF">
        <w:rPr>
          <w:b/>
        </w:rPr>
        <w:t>up</w:t>
      </w:r>
      <w:r w:rsidR="00127C6B">
        <w:rPr>
          <w:b/>
        </w:rPr>
        <w:t xml:space="preserve"> Form</w:t>
      </w:r>
      <w:r w:rsidR="009E0DF7" w:rsidRPr="005714F2">
        <w:rPr>
          <w:b/>
        </w:rPr>
        <w:t>,</w:t>
      </w:r>
      <w:r w:rsidR="009E0DF7">
        <w:rPr>
          <w:b/>
        </w:rPr>
        <w:t xml:space="preserve"> Web Version</w:t>
      </w:r>
      <w:r w:rsidR="008B1F4A">
        <w:rPr>
          <w:b/>
        </w:rPr>
        <w:t xml:space="preserve"> Screenshots</w:t>
      </w:r>
      <w:r w:rsidRPr="00E51F66">
        <w:t>)</w:t>
      </w:r>
      <w:r w:rsidR="009E3E9B">
        <w:t>.</w:t>
      </w:r>
      <w:r w:rsidRPr="00E51F66">
        <w:t xml:space="preserve"> </w:t>
      </w:r>
      <w:r w:rsidR="00585BB7">
        <w:t>Virtual g</w:t>
      </w:r>
      <w:r w:rsidR="005C5929">
        <w:t>roup interviews</w:t>
      </w:r>
      <w:r w:rsidRPr="00E51F66">
        <w:t xml:space="preserve"> (see </w:t>
      </w:r>
      <w:r w:rsidRPr="00E51F66">
        <w:rPr>
          <w:b/>
        </w:rPr>
        <w:t xml:space="preserve">Attachment </w:t>
      </w:r>
      <w:r w:rsidR="00342227">
        <w:rPr>
          <w:b/>
        </w:rPr>
        <w:t>H</w:t>
      </w:r>
      <w:r w:rsidR="0099116B" w:rsidRPr="00E51F66">
        <w:rPr>
          <w:b/>
        </w:rPr>
        <w:t xml:space="preserve"> </w:t>
      </w:r>
      <w:r w:rsidRPr="00E51F66">
        <w:rPr>
          <w:b/>
        </w:rPr>
        <w:t xml:space="preserve">– </w:t>
      </w:r>
      <w:r w:rsidR="00E93634">
        <w:rPr>
          <w:b/>
        </w:rPr>
        <w:t xml:space="preserve">Virtual </w:t>
      </w:r>
      <w:r w:rsidR="00D950E5">
        <w:rPr>
          <w:b/>
        </w:rPr>
        <w:t>Group Interview Discussion</w:t>
      </w:r>
      <w:r>
        <w:rPr>
          <w:b/>
        </w:rPr>
        <w:t xml:space="preserve"> Guide</w:t>
      </w:r>
      <w:r w:rsidR="00620E4A">
        <w:rPr>
          <w:b/>
        </w:rPr>
        <w:t xml:space="preserve">, Word Version and </w:t>
      </w:r>
      <w:r w:rsidR="00620E4A" w:rsidRPr="00E51F66">
        <w:rPr>
          <w:b/>
        </w:rPr>
        <w:t xml:space="preserve">Attachment </w:t>
      </w:r>
      <w:r w:rsidR="0099116B">
        <w:rPr>
          <w:b/>
        </w:rPr>
        <w:t>I</w:t>
      </w:r>
      <w:r w:rsidR="00620E4A" w:rsidRPr="00E51F66">
        <w:rPr>
          <w:b/>
        </w:rPr>
        <w:t xml:space="preserve">– </w:t>
      </w:r>
      <w:r w:rsidR="00E93634">
        <w:rPr>
          <w:b/>
        </w:rPr>
        <w:t xml:space="preserve">Virtual </w:t>
      </w:r>
      <w:r w:rsidR="00620E4A">
        <w:rPr>
          <w:b/>
        </w:rPr>
        <w:t>Group Interview Discussion Guide, Web Version</w:t>
      </w:r>
      <w:r w:rsidR="008B1F4A">
        <w:rPr>
          <w:b/>
        </w:rPr>
        <w:t xml:space="preserve"> Screenshots</w:t>
      </w:r>
      <w:r w:rsidRPr="00E51F66">
        <w:t>)</w:t>
      </w:r>
      <w:r w:rsidR="009E3E9B">
        <w:t xml:space="preserve"> will be conducted with a portion of respondents that completed the electronic assessment</w:t>
      </w:r>
      <w:r w:rsidR="00556D79">
        <w:t xml:space="preserve"> </w:t>
      </w:r>
      <w:r w:rsidR="009E3E9B">
        <w:t>(</w:t>
      </w:r>
      <w:r w:rsidR="00D950E5" w:rsidRPr="00D950E5">
        <w:t xml:space="preserve">see </w:t>
      </w:r>
      <w:r w:rsidR="009E0DF7">
        <w:rPr>
          <w:b/>
        </w:rPr>
        <w:t>Attachment B</w:t>
      </w:r>
      <w:r w:rsidR="009E3E9B" w:rsidRPr="00D950E5">
        <w:rPr>
          <w:b/>
        </w:rPr>
        <w:t xml:space="preserve"> – </w:t>
      </w:r>
      <w:r w:rsidR="00066F39">
        <w:rPr>
          <w:b/>
        </w:rPr>
        <w:t xml:space="preserve">Sample of MCM Officials Table and Attachment C - </w:t>
      </w:r>
      <w:r w:rsidR="00D950E5" w:rsidRPr="00D950E5">
        <w:rPr>
          <w:b/>
        </w:rPr>
        <w:t>Respondent Universe</w:t>
      </w:r>
      <w:r w:rsidR="009E3E9B">
        <w:t>)</w:t>
      </w:r>
      <w:r w:rsidR="00556D79">
        <w:t>.</w:t>
      </w:r>
      <w:r w:rsidRPr="0096435D">
        <w:t xml:space="preserve"> </w:t>
      </w:r>
      <w:r w:rsidR="00542FE2">
        <w:t xml:space="preserve">The MCM Coordinator Common Responsibilities and Associated Skills were used to inform the development of the data collection instruments (see </w:t>
      </w:r>
      <w:r w:rsidR="00542FE2">
        <w:rPr>
          <w:b/>
        </w:rPr>
        <w:t>Attachment A</w:t>
      </w:r>
      <w:r w:rsidR="00542FE2" w:rsidRPr="005C5929">
        <w:rPr>
          <w:b/>
        </w:rPr>
        <w:t xml:space="preserve"> – MCM Coordinator Common Responsibilities and Associated Skills</w:t>
      </w:r>
      <w:r w:rsidR="00542FE2">
        <w:t xml:space="preserve">). </w:t>
      </w:r>
      <w:r w:rsidRPr="00735176">
        <w:t xml:space="preserve">The instruments will be used to gather information from </w:t>
      </w:r>
      <w:r w:rsidR="001861BD">
        <w:t>MCM o</w:t>
      </w:r>
      <w:r w:rsidR="009E3E9B">
        <w:t xml:space="preserve">fficials nationwide </w:t>
      </w:r>
      <w:r w:rsidRPr="00D950E5">
        <w:t xml:space="preserve">regarding </w:t>
      </w:r>
      <w:r w:rsidR="009E3E9B" w:rsidRPr="00D950E5">
        <w:t>their MCM training needs, including which skills need the most attention, how their training needs have changed over the course of their MCM-related career, and how CDC can better design trainings that will fit within their jurisdiction’s training model.</w:t>
      </w:r>
    </w:p>
    <w:p w14:paraId="31738E6B" w14:textId="77777777" w:rsidR="00FC55F6" w:rsidRDefault="00FC55F6" w:rsidP="00FC55F6">
      <w:pPr>
        <w:ind w:left="360"/>
      </w:pPr>
    </w:p>
    <w:p w14:paraId="4FE0604E" w14:textId="595717F8" w:rsidR="00FC55F6" w:rsidRDefault="00542FE2" w:rsidP="003F1904">
      <w:pPr>
        <w:ind w:left="0"/>
      </w:pPr>
      <w:r>
        <w:t xml:space="preserve">All </w:t>
      </w:r>
      <w:r w:rsidR="005E2B85" w:rsidRPr="00711BFA">
        <w:t>information collection instrument</w:t>
      </w:r>
      <w:r w:rsidR="005E2B85">
        <w:t>s</w:t>
      </w:r>
      <w:r w:rsidR="005E2B85" w:rsidRPr="00711BFA">
        <w:t xml:space="preserve"> w</w:t>
      </w:r>
      <w:r w:rsidR="005E2B85">
        <w:t>ere</w:t>
      </w:r>
      <w:r w:rsidR="005E2B85" w:rsidRPr="00711BFA">
        <w:t xml:space="preserve"> pilot tested by</w:t>
      </w:r>
      <w:r w:rsidR="00C05603">
        <w:t xml:space="preserve"> the same</w:t>
      </w:r>
      <w:r w:rsidR="005E2B85" w:rsidRPr="00711BFA">
        <w:t xml:space="preserve"> </w:t>
      </w:r>
      <w:r w:rsidR="00804622">
        <w:t>nine</w:t>
      </w:r>
      <w:r w:rsidR="009E3E9B">
        <w:t xml:space="preserve"> public health professionals</w:t>
      </w:r>
      <w:r w:rsidR="00735176">
        <w:t>.</w:t>
      </w:r>
      <w:r w:rsidR="005E2B85" w:rsidRPr="00774689">
        <w:rPr>
          <w:color w:val="0070C0"/>
        </w:rPr>
        <w:t xml:space="preserve"> </w:t>
      </w:r>
      <w:r w:rsidR="005E2B85" w:rsidRPr="00711BFA">
        <w:t>Feedback from this group was used to refine questions as needed, ensure accurate programming and skip patterns</w:t>
      </w:r>
      <w:r w:rsidR="00585BB7">
        <w:t>,</w:t>
      </w:r>
      <w:r w:rsidR="005E2B85" w:rsidRPr="00711BFA">
        <w:t xml:space="preserve"> and establish the estimated time required to complete the information collection instrument</w:t>
      </w:r>
      <w:r w:rsidR="005E2B85">
        <w:t>s</w:t>
      </w:r>
      <w:r w:rsidR="005E2B85" w:rsidRPr="00711BFA">
        <w:t>.</w:t>
      </w:r>
      <w:r w:rsidR="005E2B85">
        <w:t xml:space="preserve"> </w:t>
      </w:r>
    </w:p>
    <w:p w14:paraId="6B67B43E" w14:textId="77777777" w:rsidR="00B00E4A" w:rsidRDefault="00B00E4A" w:rsidP="008B65FF">
      <w:pPr>
        <w:pStyle w:val="Heading5"/>
        <w:spacing w:after="120"/>
        <w:ind w:left="360"/>
      </w:pPr>
    </w:p>
    <w:p w14:paraId="32D4CA51" w14:textId="58987259" w:rsidR="00692DEB" w:rsidRPr="007B7C44" w:rsidRDefault="00692DEB" w:rsidP="003F1904">
      <w:pPr>
        <w:pStyle w:val="Heading5"/>
        <w:spacing w:after="120"/>
        <w:ind w:left="0"/>
      </w:pPr>
      <w:r w:rsidRPr="00686B3D">
        <w:t>Items of Information to be Collected</w:t>
      </w:r>
    </w:p>
    <w:p w14:paraId="7747E988" w14:textId="243CF802" w:rsidR="005D6472" w:rsidRDefault="002F2338" w:rsidP="003F1904">
      <w:pPr>
        <w:ind w:left="0"/>
        <w:rPr>
          <w:rFonts w:eastAsiaTheme="majorEastAsia" w:cstheme="majorBidi"/>
        </w:rPr>
      </w:pPr>
      <w:r w:rsidRPr="04524006">
        <w:t xml:space="preserve">The </w:t>
      </w:r>
      <w:r w:rsidR="00C3082A">
        <w:t>first primary</w:t>
      </w:r>
      <w:r w:rsidR="00F63F7D">
        <w:t xml:space="preserve"> data collection</w:t>
      </w:r>
      <w:r w:rsidR="00C3082A">
        <w:t xml:space="preserve"> </w:t>
      </w:r>
      <w:r w:rsidR="00F63F7D">
        <w:t xml:space="preserve">for this assessment is the </w:t>
      </w:r>
      <w:r>
        <w:t>electronic assessment</w:t>
      </w:r>
      <w:r w:rsidRPr="04524006">
        <w:t xml:space="preserve"> instrument </w:t>
      </w:r>
      <w:r w:rsidRPr="00C63CB8">
        <w:t xml:space="preserve">(see </w:t>
      </w:r>
      <w:r w:rsidRPr="00C63CB8">
        <w:rPr>
          <w:b/>
        </w:rPr>
        <w:t xml:space="preserve">Attachment </w:t>
      </w:r>
      <w:r w:rsidR="0099116B">
        <w:rPr>
          <w:b/>
        </w:rPr>
        <w:t>D</w:t>
      </w:r>
      <w:r w:rsidR="0099116B" w:rsidRPr="00C63CB8">
        <w:rPr>
          <w:b/>
        </w:rPr>
        <w:t xml:space="preserve"> </w:t>
      </w:r>
      <w:r w:rsidRPr="00C63CB8">
        <w:rPr>
          <w:b/>
        </w:rPr>
        <w:t xml:space="preserve">–Training Needs </w:t>
      </w:r>
      <w:r w:rsidR="00731966">
        <w:rPr>
          <w:b/>
        </w:rPr>
        <w:t xml:space="preserve">Electronic </w:t>
      </w:r>
      <w:r w:rsidRPr="00C63CB8">
        <w:rPr>
          <w:b/>
        </w:rPr>
        <w:t>Assessment, Word Version</w:t>
      </w:r>
      <w:r>
        <w:rPr>
          <w:b/>
        </w:rPr>
        <w:t xml:space="preserve"> </w:t>
      </w:r>
      <w:r w:rsidRPr="00056E35">
        <w:t>and</w:t>
      </w:r>
      <w:r w:rsidRPr="00C63CB8">
        <w:t xml:space="preserve"> </w:t>
      </w:r>
      <w:r w:rsidRPr="00C63CB8">
        <w:rPr>
          <w:b/>
        </w:rPr>
        <w:t xml:space="preserve">Attachment </w:t>
      </w:r>
      <w:r w:rsidR="0099116B">
        <w:rPr>
          <w:b/>
        </w:rPr>
        <w:t>E</w:t>
      </w:r>
      <w:r w:rsidR="0099116B" w:rsidRPr="00C63CB8">
        <w:rPr>
          <w:b/>
        </w:rPr>
        <w:t xml:space="preserve"> </w:t>
      </w:r>
      <w:r w:rsidRPr="00C63CB8">
        <w:rPr>
          <w:b/>
        </w:rPr>
        <w:t xml:space="preserve">- Training Needs </w:t>
      </w:r>
      <w:r w:rsidR="00731966">
        <w:rPr>
          <w:b/>
        </w:rPr>
        <w:t xml:space="preserve">Electronic </w:t>
      </w:r>
      <w:r w:rsidRPr="00C63CB8">
        <w:rPr>
          <w:b/>
        </w:rPr>
        <w:t>Assessment, Web Version</w:t>
      </w:r>
      <w:r w:rsidR="008B1F4A">
        <w:rPr>
          <w:b/>
        </w:rPr>
        <w:t xml:space="preserve"> Screenshots</w:t>
      </w:r>
      <w:r w:rsidRPr="00C63CB8">
        <w:t>)</w:t>
      </w:r>
      <w:r w:rsidR="00F63F7D">
        <w:t>. The assessment</w:t>
      </w:r>
      <w:r>
        <w:rPr>
          <w:color w:val="FF0000"/>
        </w:rPr>
        <w:t xml:space="preserve"> </w:t>
      </w:r>
      <w:r w:rsidR="009B3D5A" w:rsidRPr="001C1BF1">
        <w:t>instrument</w:t>
      </w:r>
      <w:r w:rsidR="009B3D5A">
        <w:rPr>
          <w:color w:val="FF0000"/>
        </w:rPr>
        <w:t xml:space="preserve"> </w:t>
      </w:r>
      <w:r w:rsidRPr="04524006">
        <w:t xml:space="preserve">consists of </w:t>
      </w:r>
      <w:r w:rsidR="009A45D4">
        <w:t xml:space="preserve">38 </w:t>
      </w:r>
      <w:r w:rsidR="007B75D7">
        <w:t>main</w:t>
      </w:r>
      <w:r w:rsidR="007B75D7" w:rsidRPr="00252139">
        <w:rPr>
          <w:color w:val="FF0000"/>
        </w:rPr>
        <w:t xml:space="preserve"> </w:t>
      </w:r>
      <w:r w:rsidRPr="04524006">
        <w:t xml:space="preserve">questions </w:t>
      </w:r>
      <w:r w:rsidR="009B3D5A">
        <w:t>of various types, including</w:t>
      </w:r>
      <w:r w:rsidR="00C3082A">
        <w:t xml:space="preserve"> </w:t>
      </w:r>
      <w:r w:rsidRPr="00686B3D">
        <w:t>dichotomous (yes/no), multiple</w:t>
      </w:r>
      <w:r w:rsidR="004B7B46">
        <w:t xml:space="preserve"> response</w:t>
      </w:r>
      <w:r w:rsidRPr="00686B3D">
        <w:t xml:space="preserve">, interval (rating scales), and </w:t>
      </w:r>
      <w:r w:rsidRPr="00686B3D">
        <w:rPr>
          <w:rFonts w:eastAsiaTheme="majorEastAsia" w:cstheme="majorBidi"/>
        </w:rPr>
        <w:t>open-ended</w:t>
      </w:r>
      <w:r>
        <w:rPr>
          <w:rFonts w:eastAsiaTheme="majorEastAsia" w:cstheme="majorBidi"/>
        </w:rPr>
        <w:t xml:space="preserve"> text entry</w:t>
      </w:r>
      <w:r w:rsidRPr="04524006">
        <w:rPr>
          <w:rFonts w:eastAsiaTheme="majorEastAsia" w:cstheme="majorBidi"/>
        </w:rPr>
        <w:t>.</w:t>
      </w:r>
      <w:r w:rsidR="00C3082A">
        <w:rPr>
          <w:rFonts w:eastAsiaTheme="majorEastAsia" w:cstheme="majorBidi"/>
        </w:rPr>
        <w:t xml:space="preserve"> The electronic assessment instrument will be used to gather information on the </w:t>
      </w:r>
      <w:r w:rsidR="001861BD">
        <w:rPr>
          <w:rFonts w:eastAsiaTheme="majorEastAsia" w:cstheme="majorBidi"/>
        </w:rPr>
        <w:t>training needs of MCM o</w:t>
      </w:r>
      <w:r w:rsidR="005D6472">
        <w:rPr>
          <w:rFonts w:eastAsiaTheme="majorEastAsia" w:cstheme="majorBidi"/>
        </w:rPr>
        <w:t xml:space="preserve">fficials. </w:t>
      </w:r>
    </w:p>
    <w:p w14:paraId="35719A7F" w14:textId="77777777" w:rsidR="005D6472" w:rsidRDefault="005D6472" w:rsidP="002F2338">
      <w:pPr>
        <w:ind w:left="360"/>
        <w:rPr>
          <w:rFonts w:eastAsiaTheme="majorEastAsia" w:cstheme="majorBidi"/>
        </w:rPr>
      </w:pPr>
    </w:p>
    <w:p w14:paraId="5D8D092E" w14:textId="7CAD6002" w:rsidR="002F2338" w:rsidRDefault="005D6472" w:rsidP="002F2338">
      <w:pPr>
        <w:ind w:left="360"/>
      </w:pPr>
      <w:r>
        <w:rPr>
          <w:rFonts w:eastAsiaTheme="majorEastAsia" w:cstheme="majorBidi"/>
        </w:rPr>
        <w:t xml:space="preserve">In order to determine which </w:t>
      </w:r>
      <w:r w:rsidR="00D405F3">
        <w:rPr>
          <w:rFonts w:eastAsiaTheme="majorEastAsia" w:cstheme="majorBidi"/>
        </w:rPr>
        <w:t>MCM skills</w:t>
      </w:r>
      <w:r>
        <w:rPr>
          <w:rFonts w:eastAsiaTheme="majorEastAsia" w:cstheme="majorBidi"/>
        </w:rPr>
        <w:t xml:space="preserve"> need the most attention in future trainings, how training needs may change over the course of one’s MCM-related career, and how CDC can better design trainings that fit within a variety of jurisdiction types, t</w:t>
      </w:r>
      <w:r w:rsidR="002F2338" w:rsidRPr="04524006">
        <w:t xml:space="preserve">he instrument will collect </w:t>
      </w:r>
      <w:r w:rsidR="002F2338">
        <w:t>data</w:t>
      </w:r>
      <w:r w:rsidR="002F2338" w:rsidRPr="04524006">
        <w:t xml:space="preserve"> on the following</w:t>
      </w:r>
      <w:r w:rsidR="00F63F7D">
        <w:t xml:space="preserve"> areas</w:t>
      </w:r>
      <w:r w:rsidR="002F2338" w:rsidRPr="04524006">
        <w:t>:</w:t>
      </w:r>
      <w:r w:rsidR="002F2338">
        <w:t xml:space="preserve"> </w:t>
      </w:r>
    </w:p>
    <w:p w14:paraId="2045D66C" w14:textId="303318C7" w:rsidR="005D6472" w:rsidRDefault="00C701C7" w:rsidP="002F2338">
      <w:pPr>
        <w:pStyle w:val="ListParagraph"/>
        <w:numPr>
          <w:ilvl w:val="0"/>
          <w:numId w:val="6"/>
        </w:numPr>
        <w:tabs>
          <w:tab w:val="clear" w:pos="9360"/>
        </w:tabs>
        <w:spacing w:line="240" w:lineRule="auto"/>
      </w:pPr>
      <w:r>
        <w:t xml:space="preserve">Section 1: </w:t>
      </w:r>
      <w:r w:rsidR="002F2338">
        <w:t>Eligibility</w:t>
      </w:r>
      <w:r>
        <w:t xml:space="preserve"> (e.g.,</w:t>
      </w:r>
      <w:r w:rsidR="002F2338">
        <w:t xml:space="preserve"> </w:t>
      </w:r>
      <w:r>
        <w:t>whether the respondent is a primary person responsible for MCM planning and operations in their health department)</w:t>
      </w:r>
    </w:p>
    <w:p w14:paraId="7C9A5036" w14:textId="6C2AC16D" w:rsidR="00C701C7" w:rsidRDefault="00C701C7" w:rsidP="002F2338">
      <w:pPr>
        <w:pStyle w:val="ListParagraph"/>
        <w:numPr>
          <w:ilvl w:val="0"/>
          <w:numId w:val="6"/>
        </w:numPr>
        <w:tabs>
          <w:tab w:val="clear" w:pos="9360"/>
        </w:tabs>
        <w:spacing w:line="240" w:lineRule="auto"/>
      </w:pPr>
      <w:r>
        <w:t>Section 2: Demographics (e.g., number of years working in MCM and size of jurisdiction)</w:t>
      </w:r>
    </w:p>
    <w:p w14:paraId="3F4B7486" w14:textId="41ADE8D5" w:rsidR="00C701C7" w:rsidRDefault="00C701C7" w:rsidP="002F2338">
      <w:pPr>
        <w:pStyle w:val="ListParagraph"/>
        <w:numPr>
          <w:ilvl w:val="0"/>
          <w:numId w:val="6"/>
        </w:numPr>
        <w:tabs>
          <w:tab w:val="clear" w:pos="9360"/>
        </w:tabs>
        <w:spacing w:line="240" w:lineRule="auto"/>
      </w:pPr>
      <w:r>
        <w:t>Section 3: Training experiences (e.g., types of training taken and barriers to receiving and conducting training)</w:t>
      </w:r>
    </w:p>
    <w:p w14:paraId="47CA1DA1" w14:textId="5C2215CD" w:rsidR="00C701C7" w:rsidRDefault="00C701C7" w:rsidP="002F2338">
      <w:pPr>
        <w:pStyle w:val="ListParagraph"/>
        <w:numPr>
          <w:ilvl w:val="0"/>
          <w:numId w:val="6"/>
        </w:numPr>
        <w:tabs>
          <w:tab w:val="clear" w:pos="9360"/>
        </w:tabs>
        <w:spacing w:line="240" w:lineRule="auto"/>
      </w:pPr>
      <w:r>
        <w:t>Section 4: Planning and exercise experience (e.g., contributions to MCM preparedness and response plans and number of exercises participated in during the past year).</w:t>
      </w:r>
    </w:p>
    <w:p w14:paraId="22AB485E" w14:textId="199D65C2" w:rsidR="00C701C7" w:rsidRDefault="00C701C7" w:rsidP="002F2338">
      <w:pPr>
        <w:pStyle w:val="ListParagraph"/>
        <w:numPr>
          <w:ilvl w:val="0"/>
          <w:numId w:val="6"/>
        </w:numPr>
        <w:tabs>
          <w:tab w:val="clear" w:pos="9360"/>
        </w:tabs>
        <w:spacing w:line="240" w:lineRule="auto"/>
      </w:pPr>
      <w:r>
        <w:t xml:space="preserve">Section 5: Current training needs for the six MCM Coordinator Common Responsibilities and Associated Skills </w:t>
      </w:r>
      <w:r w:rsidR="009F542A">
        <w:t>and disaster medicine concepts</w:t>
      </w:r>
      <w:r>
        <w:t xml:space="preserve"> (e.g., which associated skills are part of their position, confidence in performing the common responsibilities, and knowledge of disaster medicine concepts.) The six MCM Coordinator Common Responsibilities include:</w:t>
      </w:r>
    </w:p>
    <w:p w14:paraId="0C7D15FB" w14:textId="265F01D5" w:rsidR="00C701C7" w:rsidRDefault="00C701C7" w:rsidP="001C1BF1">
      <w:pPr>
        <w:pStyle w:val="ListParagraph"/>
        <w:numPr>
          <w:ilvl w:val="1"/>
          <w:numId w:val="6"/>
        </w:numPr>
        <w:tabs>
          <w:tab w:val="clear" w:pos="9360"/>
        </w:tabs>
        <w:spacing w:line="240" w:lineRule="auto"/>
      </w:pPr>
      <w:r>
        <w:t>Emergency response communication and information management</w:t>
      </w:r>
    </w:p>
    <w:p w14:paraId="25D61DE0" w14:textId="2D0D689A" w:rsidR="00C701C7" w:rsidRDefault="00C701C7" w:rsidP="001C1BF1">
      <w:pPr>
        <w:pStyle w:val="ListParagraph"/>
        <w:numPr>
          <w:ilvl w:val="1"/>
          <w:numId w:val="6"/>
        </w:numPr>
        <w:tabs>
          <w:tab w:val="clear" w:pos="9360"/>
        </w:tabs>
        <w:spacing w:line="240" w:lineRule="auto"/>
      </w:pPr>
      <w:r>
        <w:t>Incident management</w:t>
      </w:r>
    </w:p>
    <w:p w14:paraId="7672BA21" w14:textId="358B25E9" w:rsidR="00C701C7" w:rsidRDefault="00C701C7" w:rsidP="001C1BF1">
      <w:pPr>
        <w:pStyle w:val="ListParagraph"/>
        <w:numPr>
          <w:ilvl w:val="1"/>
          <w:numId w:val="6"/>
        </w:numPr>
        <w:tabs>
          <w:tab w:val="clear" w:pos="9360"/>
        </w:tabs>
        <w:spacing w:line="240" w:lineRule="auto"/>
      </w:pPr>
      <w:r>
        <w:t>Leveraging partnerships</w:t>
      </w:r>
    </w:p>
    <w:p w14:paraId="363A26A6" w14:textId="31436EAD" w:rsidR="00C701C7" w:rsidRDefault="00C701C7" w:rsidP="001C1BF1">
      <w:pPr>
        <w:pStyle w:val="ListParagraph"/>
        <w:numPr>
          <w:ilvl w:val="1"/>
          <w:numId w:val="6"/>
        </w:numPr>
        <w:tabs>
          <w:tab w:val="clear" w:pos="9360"/>
        </w:tabs>
        <w:spacing w:line="240" w:lineRule="auto"/>
      </w:pPr>
      <w:r>
        <w:t>Program evaluation and technical assistance</w:t>
      </w:r>
    </w:p>
    <w:p w14:paraId="02F9AC5B" w14:textId="0C8FE736" w:rsidR="00C701C7" w:rsidRDefault="00C701C7" w:rsidP="001C1BF1">
      <w:pPr>
        <w:pStyle w:val="ListParagraph"/>
        <w:numPr>
          <w:ilvl w:val="1"/>
          <w:numId w:val="6"/>
        </w:numPr>
        <w:tabs>
          <w:tab w:val="clear" w:pos="9360"/>
        </w:tabs>
        <w:spacing w:line="240" w:lineRule="auto"/>
      </w:pPr>
      <w:r>
        <w:t>Program planning and operations</w:t>
      </w:r>
    </w:p>
    <w:p w14:paraId="07A5C60E" w14:textId="0F046590" w:rsidR="00C701C7" w:rsidRDefault="00C701C7" w:rsidP="001C1BF1">
      <w:pPr>
        <w:pStyle w:val="ListParagraph"/>
        <w:numPr>
          <w:ilvl w:val="1"/>
          <w:numId w:val="6"/>
        </w:numPr>
        <w:tabs>
          <w:tab w:val="clear" w:pos="9360"/>
        </w:tabs>
        <w:spacing w:line="240" w:lineRule="auto"/>
      </w:pPr>
      <w:r>
        <w:t xml:space="preserve">Grants management and administration. </w:t>
      </w:r>
    </w:p>
    <w:p w14:paraId="65BD623A" w14:textId="34FEDB21" w:rsidR="001C1BF1" w:rsidRDefault="001C1BF1" w:rsidP="00A614BC">
      <w:pPr>
        <w:ind w:left="0"/>
        <w:rPr>
          <w:rFonts w:eastAsiaTheme="majorEastAsia" w:cstheme="majorBidi"/>
        </w:rPr>
      </w:pPr>
    </w:p>
    <w:p w14:paraId="2D6E4AAD" w14:textId="0E3E10A3" w:rsidR="001C1BF1" w:rsidRDefault="00062CA0" w:rsidP="001C1BF1">
      <w:pPr>
        <w:ind w:left="360"/>
        <w:rPr>
          <w:rFonts w:eastAsiaTheme="majorEastAsia" w:cstheme="majorBidi"/>
        </w:rPr>
      </w:pPr>
      <w:r>
        <w:rPr>
          <w:rFonts w:eastAsiaTheme="majorEastAsia" w:cstheme="majorBidi"/>
        </w:rPr>
        <w:t>Respondents will be asked to indicate their interest in participating in a virtual interview by completing the sign up form</w:t>
      </w:r>
      <w:r w:rsidR="001C1BF1">
        <w:rPr>
          <w:rFonts w:eastAsiaTheme="majorEastAsia" w:cstheme="majorBidi"/>
        </w:rPr>
        <w:t xml:space="preserve"> (see </w:t>
      </w:r>
      <w:r w:rsidR="001C1BF1" w:rsidRPr="00ED2767">
        <w:rPr>
          <w:rFonts w:eastAsiaTheme="majorEastAsia" w:cstheme="majorBidi"/>
          <w:b/>
        </w:rPr>
        <w:t xml:space="preserve">Attachment </w:t>
      </w:r>
      <w:r w:rsidR="0099116B">
        <w:rPr>
          <w:rFonts w:eastAsiaTheme="majorEastAsia" w:cstheme="majorBidi"/>
          <w:b/>
        </w:rPr>
        <w:t>F</w:t>
      </w:r>
      <w:r w:rsidR="0099116B" w:rsidRPr="00ED2767">
        <w:rPr>
          <w:rFonts w:eastAsiaTheme="majorEastAsia" w:cstheme="majorBidi"/>
          <w:b/>
        </w:rPr>
        <w:t xml:space="preserve"> </w:t>
      </w:r>
      <w:r w:rsidR="001C1BF1" w:rsidRPr="00ED2767">
        <w:rPr>
          <w:rFonts w:eastAsiaTheme="majorEastAsia" w:cstheme="majorBidi"/>
          <w:b/>
        </w:rPr>
        <w:t xml:space="preserve">– </w:t>
      </w:r>
      <w:r w:rsidR="00482400">
        <w:rPr>
          <w:rFonts w:eastAsiaTheme="majorEastAsia" w:cstheme="majorBidi"/>
          <w:b/>
        </w:rPr>
        <w:t>Virtual</w:t>
      </w:r>
      <w:r w:rsidR="00482400" w:rsidRPr="00ED2767">
        <w:rPr>
          <w:rFonts w:eastAsiaTheme="majorEastAsia" w:cstheme="majorBidi"/>
          <w:b/>
        </w:rPr>
        <w:t xml:space="preserve"> </w:t>
      </w:r>
      <w:r w:rsidR="001C1BF1" w:rsidRPr="00ED2767">
        <w:rPr>
          <w:rFonts w:eastAsiaTheme="majorEastAsia" w:cstheme="majorBidi"/>
          <w:b/>
        </w:rPr>
        <w:t>Group Interview Sign-up</w:t>
      </w:r>
      <w:r w:rsidR="00127C6B">
        <w:rPr>
          <w:rFonts w:eastAsiaTheme="majorEastAsia" w:cstheme="majorBidi"/>
          <w:b/>
        </w:rPr>
        <w:t xml:space="preserve"> Form</w:t>
      </w:r>
      <w:r w:rsidR="001C1BF1">
        <w:rPr>
          <w:rFonts w:eastAsiaTheme="majorEastAsia" w:cstheme="majorBidi"/>
          <w:b/>
        </w:rPr>
        <w:t xml:space="preserve">, Word Version, </w:t>
      </w:r>
      <w:r w:rsidR="009E0DF7">
        <w:rPr>
          <w:b/>
        </w:rPr>
        <w:t xml:space="preserve">Attachment </w:t>
      </w:r>
      <w:r w:rsidR="0099116B">
        <w:rPr>
          <w:b/>
        </w:rPr>
        <w:t>G</w:t>
      </w:r>
      <w:r w:rsidR="0099116B">
        <w:t xml:space="preserve"> </w:t>
      </w:r>
      <w:r w:rsidR="001C1BF1">
        <w:t xml:space="preserve">– </w:t>
      </w:r>
      <w:r w:rsidR="008B1F4A">
        <w:rPr>
          <w:b/>
        </w:rPr>
        <w:t xml:space="preserve">Virtual </w:t>
      </w:r>
      <w:r w:rsidR="001C1BF1">
        <w:rPr>
          <w:b/>
        </w:rPr>
        <w:t>Group Interview Sign-up</w:t>
      </w:r>
      <w:r w:rsidR="00127C6B">
        <w:rPr>
          <w:b/>
        </w:rPr>
        <w:t xml:space="preserve"> Form</w:t>
      </w:r>
      <w:r w:rsidR="001C1BF1">
        <w:rPr>
          <w:b/>
        </w:rPr>
        <w:t>, Web Version</w:t>
      </w:r>
      <w:r w:rsidR="008B1F4A">
        <w:rPr>
          <w:b/>
        </w:rPr>
        <w:t xml:space="preserve"> Screenshots</w:t>
      </w:r>
      <w:r w:rsidR="001C1BF1">
        <w:rPr>
          <w:rFonts w:eastAsiaTheme="majorEastAsia" w:cstheme="majorBidi"/>
        </w:rPr>
        <w:t xml:space="preserve">). </w:t>
      </w:r>
      <w:r w:rsidR="003341AB">
        <w:rPr>
          <w:rFonts w:eastAsiaTheme="majorEastAsia" w:cstheme="majorBidi"/>
        </w:rPr>
        <w:t xml:space="preserve">This </w:t>
      </w:r>
      <w:r w:rsidR="008C6C3B">
        <w:rPr>
          <w:rFonts w:eastAsiaTheme="majorEastAsia" w:cstheme="majorBidi"/>
        </w:rPr>
        <w:t xml:space="preserve">signup form </w:t>
      </w:r>
      <w:r>
        <w:rPr>
          <w:rFonts w:eastAsiaTheme="majorEastAsia" w:cstheme="majorBidi"/>
        </w:rPr>
        <w:t>will</w:t>
      </w:r>
      <w:r w:rsidR="001C1BF1">
        <w:rPr>
          <w:rFonts w:eastAsiaTheme="majorEastAsia" w:cstheme="majorBidi"/>
        </w:rPr>
        <w:t xml:space="preserve"> ask participants for their name, email</w:t>
      </w:r>
      <w:r w:rsidR="003341AB">
        <w:rPr>
          <w:rFonts w:eastAsiaTheme="majorEastAsia" w:cstheme="majorBidi"/>
        </w:rPr>
        <w:t xml:space="preserve"> address, health department,</w:t>
      </w:r>
      <w:r w:rsidR="001C1BF1">
        <w:rPr>
          <w:rFonts w:eastAsiaTheme="majorEastAsia" w:cstheme="majorBidi"/>
        </w:rPr>
        <w:t xml:space="preserve"> which group interview discussion they are volunteering to participate in</w:t>
      </w:r>
      <w:r w:rsidR="003341AB">
        <w:rPr>
          <w:rFonts w:eastAsiaTheme="majorEastAsia" w:cstheme="majorBidi"/>
        </w:rPr>
        <w:t>, and their consent to be recorded during the group interview</w:t>
      </w:r>
      <w:r w:rsidR="001C1BF1">
        <w:rPr>
          <w:rFonts w:eastAsiaTheme="majorEastAsia" w:cstheme="majorBidi"/>
        </w:rPr>
        <w:t xml:space="preserve">. This information will not be shared with CDC. The purpose of this </w:t>
      </w:r>
      <w:r w:rsidR="00AF4959">
        <w:rPr>
          <w:rFonts w:eastAsiaTheme="majorEastAsia" w:cstheme="majorBidi"/>
        </w:rPr>
        <w:t xml:space="preserve">sign-up </w:t>
      </w:r>
      <w:r w:rsidR="00AF1EE1">
        <w:rPr>
          <w:rFonts w:eastAsiaTheme="majorEastAsia" w:cstheme="majorBidi"/>
        </w:rPr>
        <w:t>form</w:t>
      </w:r>
      <w:r w:rsidR="001C1BF1">
        <w:rPr>
          <w:rFonts w:eastAsiaTheme="majorEastAsia" w:cstheme="majorBidi"/>
        </w:rPr>
        <w:t xml:space="preserve"> is to ensure at least 5 participants will attend each group interview discussion and provide NACCHO with contact information to share instructions on joining the virtual group interview discussion.</w:t>
      </w:r>
    </w:p>
    <w:p w14:paraId="7C04F38D" w14:textId="77777777" w:rsidR="001C1BF1" w:rsidRDefault="001C1BF1" w:rsidP="001C1BF1">
      <w:pPr>
        <w:ind w:left="360"/>
        <w:rPr>
          <w:rFonts w:eastAsiaTheme="majorEastAsia" w:cstheme="majorBidi"/>
        </w:rPr>
      </w:pPr>
    </w:p>
    <w:p w14:paraId="555FF27B" w14:textId="6D94E973" w:rsidR="00052A75" w:rsidRDefault="003A493C" w:rsidP="002F2338">
      <w:pPr>
        <w:ind w:left="360"/>
        <w:rPr>
          <w:rFonts w:eastAsiaTheme="majorEastAsia" w:cstheme="majorBidi"/>
        </w:rPr>
      </w:pPr>
      <w:r>
        <w:t xml:space="preserve">The </w:t>
      </w:r>
      <w:r w:rsidR="001C1BF1">
        <w:t>final</w:t>
      </w:r>
      <w:r>
        <w:t xml:space="preserve"> method of primary data collection is t</w:t>
      </w:r>
      <w:r w:rsidR="002F2338">
        <w:t xml:space="preserve">he </w:t>
      </w:r>
      <w:r w:rsidR="002C1522">
        <w:t>virtual group interview discussion</w:t>
      </w:r>
      <w:r w:rsidR="002F2338" w:rsidRPr="04524006">
        <w:t xml:space="preserve"> instrument </w:t>
      </w:r>
      <w:r w:rsidR="002F2338" w:rsidRPr="00C63CB8">
        <w:t>(</w:t>
      </w:r>
      <w:r w:rsidR="002F2338" w:rsidRPr="00C63CB8">
        <w:rPr>
          <w:rFonts w:cs="Times New Roman"/>
        </w:rPr>
        <w:t xml:space="preserve">see </w:t>
      </w:r>
      <w:r w:rsidR="002F2338" w:rsidRPr="00C63CB8">
        <w:rPr>
          <w:b/>
        </w:rPr>
        <w:t xml:space="preserve">Attachment </w:t>
      </w:r>
      <w:r w:rsidR="00804D1E">
        <w:rPr>
          <w:b/>
        </w:rPr>
        <w:t>H</w:t>
      </w:r>
      <w:r w:rsidR="002F2338" w:rsidRPr="00C63CB8">
        <w:rPr>
          <w:b/>
        </w:rPr>
        <w:t xml:space="preserve"> – </w:t>
      </w:r>
      <w:r w:rsidR="00916967">
        <w:rPr>
          <w:b/>
        </w:rPr>
        <w:t xml:space="preserve">Virtual </w:t>
      </w:r>
      <w:r w:rsidR="00A27239">
        <w:rPr>
          <w:b/>
        </w:rPr>
        <w:t>Group Interview Discussion</w:t>
      </w:r>
      <w:r w:rsidR="002F2338">
        <w:rPr>
          <w:b/>
        </w:rPr>
        <w:t xml:space="preserve"> Guide</w:t>
      </w:r>
      <w:r w:rsidR="003561C6">
        <w:rPr>
          <w:b/>
        </w:rPr>
        <w:t xml:space="preserve">, Word Version and </w:t>
      </w:r>
      <w:r w:rsidR="003561C6" w:rsidRPr="00E51F66">
        <w:rPr>
          <w:b/>
        </w:rPr>
        <w:t xml:space="preserve">Attachment </w:t>
      </w:r>
      <w:r w:rsidR="00804D1E">
        <w:rPr>
          <w:b/>
        </w:rPr>
        <w:t>I</w:t>
      </w:r>
      <w:r w:rsidR="003561C6" w:rsidRPr="00E51F66">
        <w:rPr>
          <w:b/>
        </w:rPr>
        <w:t xml:space="preserve"> – </w:t>
      </w:r>
      <w:r w:rsidR="00916967">
        <w:rPr>
          <w:b/>
        </w:rPr>
        <w:t xml:space="preserve">Virtual </w:t>
      </w:r>
      <w:r w:rsidR="003561C6">
        <w:rPr>
          <w:b/>
        </w:rPr>
        <w:t>Group Interview Discussion Guide, Web Version</w:t>
      </w:r>
      <w:r w:rsidR="008B1F4A">
        <w:rPr>
          <w:b/>
        </w:rPr>
        <w:t xml:space="preserve"> Screenshots</w:t>
      </w:r>
      <w:r w:rsidR="002F2338" w:rsidRPr="00C63CB8">
        <w:t>)</w:t>
      </w:r>
      <w:r w:rsidR="00400C7A">
        <w:t>. This</w:t>
      </w:r>
      <w:r w:rsidR="002F2338">
        <w:rPr>
          <w:color w:val="FF0000"/>
        </w:rPr>
        <w:t xml:space="preserve"> </w:t>
      </w:r>
      <w:r w:rsidR="002F2338" w:rsidRPr="04524006">
        <w:t xml:space="preserve">consists of </w:t>
      </w:r>
      <w:r w:rsidR="002F2338">
        <w:t>6</w:t>
      </w:r>
      <w:r w:rsidR="002F2338" w:rsidRPr="003C55B7">
        <w:t xml:space="preserve"> </w:t>
      </w:r>
      <w:r w:rsidR="002F2338" w:rsidRPr="04524006">
        <w:t>main</w:t>
      </w:r>
      <w:r w:rsidR="002F2338">
        <w:t>,</w:t>
      </w:r>
      <w:r w:rsidR="002F2338" w:rsidRPr="04524006">
        <w:t xml:space="preserve"> </w:t>
      </w:r>
      <w:r w:rsidR="002F2338" w:rsidRPr="00686B3D">
        <w:rPr>
          <w:rFonts w:eastAsiaTheme="majorEastAsia" w:cstheme="majorBidi"/>
        </w:rPr>
        <w:t>open-ended</w:t>
      </w:r>
      <w:r w:rsidR="002F2338">
        <w:rPr>
          <w:rFonts w:eastAsiaTheme="majorEastAsia" w:cstheme="majorBidi"/>
        </w:rPr>
        <w:t xml:space="preserve"> questions</w:t>
      </w:r>
      <w:r w:rsidR="00A27239">
        <w:rPr>
          <w:rFonts w:eastAsiaTheme="majorEastAsia" w:cstheme="majorBidi"/>
        </w:rPr>
        <w:t>. Each of these questions has one to four</w:t>
      </w:r>
      <w:r w:rsidR="002F2338">
        <w:rPr>
          <w:rFonts w:eastAsiaTheme="majorEastAsia" w:cstheme="majorBidi"/>
        </w:rPr>
        <w:t xml:space="preserve"> </w:t>
      </w:r>
      <w:r w:rsidR="00A27239">
        <w:rPr>
          <w:rFonts w:eastAsiaTheme="majorEastAsia" w:cstheme="majorBidi"/>
        </w:rPr>
        <w:t>follow up questions, which the facilitator may choose to ask if the participants of the group interview need clarification or do not answer the main question</w:t>
      </w:r>
      <w:r w:rsidR="002F2338">
        <w:rPr>
          <w:rFonts w:eastAsiaTheme="majorEastAsia" w:cstheme="majorBidi"/>
        </w:rPr>
        <w:t>.</w:t>
      </w:r>
      <w:r w:rsidR="00052A75">
        <w:rPr>
          <w:rFonts w:eastAsiaTheme="majorEastAsia" w:cstheme="majorBidi"/>
        </w:rPr>
        <w:t xml:space="preserve"> In order to gather in-depth information on current MCM training models at the state, territorial, and local levels, how CDC can design training to fit within these models, and necessary skills for MCM Officials during various stages of their careers, the focus groups will collect data on the following topics:</w:t>
      </w:r>
    </w:p>
    <w:p w14:paraId="31AEA3C7" w14:textId="55269C53" w:rsidR="00052A75" w:rsidRDefault="00052A75" w:rsidP="00A27239">
      <w:pPr>
        <w:pStyle w:val="ListParagraph"/>
        <w:numPr>
          <w:ilvl w:val="0"/>
          <w:numId w:val="22"/>
        </w:numPr>
        <w:rPr>
          <w:rFonts w:eastAsiaTheme="majorEastAsia" w:cstheme="majorBidi"/>
        </w:rPr>
      </w:pPr>
      <w:r>
        <w:rPr>
          <w:rFonts w:eastAsiaTheme="majorEastAsia" w:cstheme="majorBidi"/>
        </w:rPr>
        <w:t>Necessary MCM Skills:</w:t>
      </w:r>
    </w:p>
    <w:p w14:paraId="0658C701" w14:textId="77777777" w:rsidR="00052A75" w:rsidRDefault="00052A75" w:rsidP="00A27239">
      <w:pPr>
        <w:pStyle w:val="ListParagraph"/>
        <w:numPr>
          <w:ilvl w:val="1"/>
          <w:numId w:val="22"/>
        </w:numPr>
        <w:rPr>
          <w:rFonts w:eastAsiaTheme="majorEastAsia" w:cstheme="majorBidi"/>
        </w:rPr>
      </w:pPr>
      <w:r>
        <w:rPr>
          <w:rFonts w:eastAsiaTheme="majorEastAsia" w:cstheme="majorBidi"/>
        </w:rPr>
        <w:t>Essential skills for MCM Officials</w:t>
      </w:r>
    </w:p>
    <w:p w14:paraId="5D085EA7" w14:textId="77777777" w:rsidR="00052A75" w:rsidRDefault="00052A75" w:rsidP="00A27239">
      <w:pPr>
        <w:pStyle w:val="ListParagraph"/>
        <w:numPr>
          <w:ilvl w:val="1"/>
          <w:numId w:val="22"/>
        </w:numPr>
        <w:rPr>
          <w:rFonts w:eastAsiaTheme="majorEastAsia" w:cstheme="majorBidi"/>
        </w:rPr>
      </w:pPr>
      <w:r>
        <w:rPr>
          <w:rFonts w:eastAsiaTheme="majorEastAsia" w:cstheme="majorBidi"/>
        </w:rPr>
        <w:t>Changes in skills and training needed throughout career</w:t>
      </w:r>
    </w:p>
    <w:p w14:paraId="37422BCA" w14:textId="00DA92CE" w:rsidR="00052A75" w:rsidRDefault="00052A75" w:rsidP="00A27239">
      <w:pPr>
        <w:pStyle w:val="ListParagraph"/>
        <w:numPr>
          <w:ilvl w:val="0"/>
          <w:numId w:val="22"/>
        </w:numPr>
        <w:rPr>
          <w:rFonts w:eastAsiaTheme="majorEastAsia" w:cstheme="majorBidi"/>
        </w:rPr>
      </w:pPr>
      <w:r>
        <w:rPr>
          <w:rFonts w:eastAsiaTheme="majorEastAsia" w:cstheme="majorBidi"/>
        </w:rPr>
        <w:t>MCM Training Models:</w:t>
      </w:r>
    </w:p>
    <w:p w14:paraId="10A494D3" w14:textId="4DBAA97D" w:rsidR="002F2338" w:rsidRDefault="00052A75" w:rsidP="00A27239">
      <w:pPr>
        <w:pStyle w:val="ListParagraph"/>
        <w:numPr>
          <w:ilvl w:val="1"/>
          <w:numId w:val="22"/>
        </w:numPr>
        <w:rPr>
          <w:rFonts w:eastAsiaTheme="majorEastAsia" w:cstheme="majorBidi"/>
        </w:rPr>
      </w:pPr>
      <w:r>
        <w:rPr>
          <w:rFonts w:eastAsiaTheme="majorEastAsia" w:cstheme="majorBidi"/>
        </w:rPr>
        <w:t xml:space="preserve"> All-hazards preparedness planning trainings in participants’ jurisdictions</w:t>
      </w:r>
    </w:p>
    <w:p w14:paraId="2BE70FFF" w14:textId="1E326C0F" w:rsidR="00052A75" w:rsidRDefault="00052A75" w:rsidP="00A27239">
      <w:pPr>
        <w:pStyle w:val="ListParagraph"/>
        <w:numPr>
          <w:ilvl w:val="1"/>
          <w:numId w:val="22"/>
        </w:numPr>
        <w:rPr>
          <w:rFonts w:eastAsiaTheme="majorEastAsia" w:cstheme="majorBidi"/>
        </w:rPr>
      </w:pPr>
      <w:r>
        <w:rPr>
          <w:rFonts w:eastAsiaTheme="majorEastAsia" w:cstheme="majorBidi"/>
        </w:rPr>
        <w:t>How MCM training is implemented in participants’ jurisdictions</w:t>
      </w:r>
    </w:p>
    <w:p w14:paraId="0F683F90" w14:textId="4A02F884" w:rsidR="00052A75" w:rsidRDefault="00052A75" w:rsidP="00A27239">
      <w:pPr>
        <w:pStyle w:val="ListParagraph"/>
        <w:numPr>
          <w:ilvl w:val="1"/>
          <w:numId w:val="22"/>
        </w:numPr>
        <w:rPr>
          <w:rFonts w:eastAsiaTheme="majorEastAsia" w:cstheme="majorBidi"/>
        </w:rPr>
      </w:pPr>
      <w:r>
        <w:rPr>
          <w:rFonts w:eastAsiaTheme="majorEastAsia" w:cstheme="majorBidi"/>
        </w:rPr>
        <w:t>Who needs MCM training within participants’ jurisdictions</w:t>
      </w:r>
    </w:p>
    <w:p w14:paraId="7AE6A6EB" w14:textId="46D50CFC" w:rsidR="00052A75" w:rsidRDefault="00052A75" w:rsidP="00A27239">
      <w:pPr>
        <w:pStyle w:val="ListParagraph"/>
        <w:numPr>
          <w:ilvl w:val="1"/>
          <w:numId w:val="22"/>
        </w:numPr>
        <w:rPr>
          <w:rFonts w:eastAsiaTheme="majorEastAsia" w:cstheme="majorBidi"/>
        </w:rPr>
      </w:pPr>
      <w:r>
        <w:rPr>
          <w:rFonts w:eastAsiaTheme="majorEastAsia" w:cstheme="majorBidi"/>
        </w:rPr>
        <w:t>Barriers and facilitators to MCM training within their jurisdiction</w:t>
      </w:r>
    </w:p>
    <w:p w14:paraId="765FF99C" w14:textId="0F590569" w:rsidR="00052A75" w:rsidRDefault="00D6422D" w:rsidP="00A27239">
      <w:pPr>
        <w:pStyle w:val="ListParagraph"/>
        <w:numPr>
          <w:ilvl w:val="0"/>
          <w:numId w:val="22"/>
        </w:numPr>
        <w:rPr>
          <w:rFonts w:eastAsiaTheme="majorEastAsia" w:cstheme="majorBidi"/>
        </w:rPr>
      </w:pPr>
      <w:r>
        <w:rPr>
          <w:rFonts w:eastAsiaTheme="majorEastAsia" w:cstheme="majorBidi"/>
        </w:rPr>
        <w:t>CDC’s role:</w:t>
      </w:r>
    </w:p>
    <w:p w14:paraId="54711080" w14:textId="24A92ACD" w:rsidR="00D6422D" w:rsidRDefault="00D6422D" w:rsidP="00A27239">
      <w:pPr>
        <w:pStyle w:val="ListParagraph"/>
        <w:numPr>
          <w:ilvl w:val="1"/>
          <w:numId w:val="22"/>
        </w:numPr>
        <w:rPr>
          <w:rFonts w:eastAsiaTheme="majorEastAsia" w:cstheme="majorBidi"/>
        </w:rPr>
      </w:pPr>
      <w:r>
        <w:rPr>
          <w:rFonts w:eastAsiaTheme="majorEastAsia" w:cstheme="majorBidi"/>
        </w:rPr>
        <w:t>What trainings and resources CDC can provide</w:t>
      </w:r>
    </w:p>
    <w:p w14:paraId="08DBCA0D" w14:textId="701248F4" w:rsidR="00D6422D" w:rsidRPr="00052A75" w:rsidRDefault="00D6422D" w:rsidP="00A27239">
      <w:pPr>
        <w:pStyle w:val="ListParagraph"/>
        <w:numPr>
          <w:ilvl w:val="1"/>
          <w:numId w:val="22"/>
        </w:numPr>
        <w:rPr>
          <w:rFonts w:eastAsiaTheme="majorEastAsia" w:cstheme="majorBidi"/>
        </w:rPr>
      </w:pPr>
      <w:r>
        <w:rPr>
          <w:rFonts w:eastAsiaTheme="majorEastAsia" w:cstheme="majorBidi"/>
        </w:rPr>
        <w:t>CDC resources that are currently being used</w:t>
      </w:r>
    </w:p>
    <w:p w14:paraId="299D3645" w14:textId="11A8E8B5" w:rsidR="00A27239" w:rsidRDefault="00A27239" w:rsidP="00052A75">
      <w:pPr>
        <w:ind w:left="360"/>
        <w:rPr>
          <w:rFonts w:eastAsiaTheme="majorEastAsia" w:cstheme="majorBidi"/>
        </w:rPr>
      </w:pPr>
    </w:p>
    <w:p w14:paraId="69EBA34F" w14:textId="77777777" w:rsidR="00B12F51" w:rsidRPr="00014361" w:rsidRDefault="00B12F51" w:rsidP="00692DEB">
      <w:pPr>
        <w:pStyle w:val="Heading4"/>
      </w:pPr>
      <w:bookmarkStart w:id="7" w:name="_Toc427752815"/>
      <w:r w:rsidRPr="00014361">
        <w:t>Purpose and Use of the Information Collection</w:t>
      </w:r>
      <w:bookmarkEnd w:id="7"/>
    </w:p>
    <w:p w14:paraId="09A205A2" w14:textId="316D3D4B" w:rsidR="009E0DF7" w:rsidRDefault="009E0DF7" w:rsidP="009E0DF7">
      <w:pPr>
        <w:pStyle w:val="ListParagraph"/>
        <w:ind w:left="360"/>
      </w:pPr>
      <w:r>
        <w:t>The purpose of this information collection is to assess the gaps in MCM Officials’ ability to perform the MCM Coordinator Common Responsibilities and Associated Skills</w:t>
      </w:r>
      <w:r w:rsidR="000C6D00">
        <w:t>. These consist of six CDC-identified responsibilities, each with six to nine associated skills, that are beneficial to MCM Officials in working toward preparing their jurisdictions for emergencies requiring MCMs</w:t>
      </w:r>
      <w:r>
        <w:t xml:space="preserve"> (see </w:t>
      </w:r>
      <w:r>
        <w:rPr>
          <w:b/>
        </w:rPr>
        <w:t>Attachment A</w:t>
      </w:r>
      <w:r w:rsidRPr="005C5929">
        <w:rPr>
          <w:b/>
        </w:rPr>
        <w:t xml:space="preserve"> – MCM Coordinator Common Responsibilities and Associated Skills</w:t>
      </w:r>
      <w:r>
        <w:t xml:space="preserve">). </w:t>
      </w:r>
      <w:r w:rsidR="00A7119E" w:rsidRPr="00A7119E">
        <w:t xml:space="preserve"> </w:t>
      </w:r>
      <w:r w:rsidR="00A7119E">
        <w:t>CDC</w:t>
      </w:r>
      <w:r w:rsidR="00A7119E" w:rsidRPr="003B0D41">
        <w:t xml:space="preserve"> </w:t>
      </w:r>
      <w:r w:rsidR="000C6D00">
        <w:t>created this document</w:t>
      </w:r>
      <w:r w:rsidR="00A7119E" w:rsidRPr="003B0D41">
        <w:t xml:space="preserve"> to aid in assessing the training needs of MCM </w:t>
      </w:r>
      <w:r w:rsidR="00A7119E">
        <w:t>Official</w:t>
      </w:r>
      <w:r w:rsidR="00A7119E" w:rsidRPr="003B0D41">
        <w:t xml:space="preserve">s across the country. These responsibilities and skills were developed with input from Centers for Disease Control and Prevention (CDC) MCM subject matter experts, the National Association of County and City Health Officials (NACCHO), and the Association of State and Territorial Health Officials (ASTHO). </w:t>
      </w:r>
      <w:r>
        <w:t xml:space="preserve">The information collected will </w:t>
      </w:r>
      <w:r w:rsidR="00400C7A">
        <w:t xml:space="preserve">gather </w:t>
      </w:r>
      <w:r>
        <w:t xml:space="preserve">baseline data on which skills need the most attention, how training needs change over the course of one’s MCM-related career, and how CDC can better design MCM trainings that will fit within the current training models at the state, territorial, local, and tribal health departments. </w:t>
      </w:r>
    </w:p>
    <w:p w14:paraId="6DA1FD5A" w14:textId="45783E47" w:rsidR="001F43BB" w:rsidRDefault="001F43BB" w:rsidP="00A62C98">
      <w:pPr>
        <w:ind w:left="360"/>
      </w:pPr>
    </w:p>
    <w:p w14:paraId="4BB8FA9C" w14:textId="6AA5B260" w:rsidR="00675F9A" w:rsidRDefault="00C05603" w:rsidP="00C05603">
      <w:pPr>
        <w:tabs>
          <w:tab w:val="left" w:pos="360"/>
        </w:tabs>
        <w:ind w:left="360" w:hanging="270"/>
      </w:pPr>
      <w:r>
        <w:tab/>
      </w:r>
      <w:r w:rsidR="0027544E" w:rsidRPr="006B2B4C">
        <w:t>The data will be used to inform the development and delivery of CDC-sponsored MCM trainings and create a comprehensive five-year MCM training plan based on the stated needs of respondents. This needs assessment and the resulting trainings will address the priority areas of the Workforce Development section of the Joint External Evaluation of the United States of America for the World Health Organization’s Global Health Security Agenda.</w:t>
      </w:r>
      <w:r w:rsidR="0027544E" w:rsidRPr="006B2B4C">
        <w:fldChar w:fldCharType="begin"/>
      </w:r>
      <w:r w:rsidR="0027544E" w:rsidRPr="006B2B4C">
        <w:instrText xml:space="preserve"> ADDIN EN.CITE &lt;EndNote&gt;&lt;Cite&gt;&lt;Author&gt;Organization&lt;/Author&gt;&lt;Year&gt;2017&lt;/Year&gt;&lt;RecNum&gt;9&lt;/RecNum&gt;&lt;DisplayText&gt;&lt;style face="superscript"&gt;1&lt;/style&gt;&lt;/DisplayText&gt;&lt;record&gt;&lt;rec-number&gt;9&lt;/rec-number&gt;&lt;foreign-keys&gt;&lt;key app="EN" db-id="fdtxv9atmaxwscesfsr55dd0ta0wdts0fdfr" timestamp="1515786894"&gt;9&lt;/key&gt;&lt;/foreign-keys&gt;&lt;ref-type name="Report"&gt;27&lt;/ref-type&gt;&lt;contributors&gt;&lt;authors&gt;&lt;author&gt;World Health Organization&lt;/author&gt;&lt;/authors&gt;&lt;/contributors&gt;&lt;titles&gt;&lt;title&gt;Joint External Evaluation of IHR Core Capacities of the United States of America: Mission Report June 2016&lt;/title&gt;&lt;/titles&gt;&lt;dates&gt;&lt;year&gt;2017&lt;/year&gt;&lt;/dates&gt;&lt;pub-location&gt;Geneva&lt;/pub-location&gt;&lt;publisher&gt;World Health Organization&lt;/publisher&gt;&lt;urls&gt;&lt;related-urls&gt;&lt;url&gt;https://extranet.who.int/spp/sites/default/files/jeeta/WHO-WHE-CPI-2017.13-eng.pdf&lt;/url&gt;&lt;/related-urls&gt;&lt;/urls&gt;&lt;/record&gt;&lt;/Cite&gt;&lt;/EndNote&gt;</w:instrText>
      </w:r>
      <w:r w:rsidR="0027544E" w:rsidRPr="006B2B4C">
        <w:fldChar w:fldCharType="separate"/>
      </w:r>
      <w:r w:rsidR="0027544E" w:rsidRPr="006B2B4C">
        <w:rPr>
          <w:vertAlign w:val="superscript"/>
        </w:rPr>
        <w:t>1</w:t>
      </w:r>
      <w:r w:rsidR="0027544E" w:rsidRPr="006B2B4C">
        <w:fldChar w:fldCharType="end"/>
      </w:r>
      <w:r w:rsidR="0027544E" w:rsidRPr="006B2B4C">
        <w:t xml:space="preserve"> </w:t>
      </w:r>
    </w:p>
    <w:p w14:paraId="2D66DBFD" w14:textId="77777777" w:rsidR="0017441F" w:rsidRDefault="0017441F" w:rsidP="00692DEB">
      <w:pPr>
        <w:ind w:left="0"/>
      </w:pPr>
    </w:p>
    <w:p w14:paraId="127300FA" w14:textId="77777777" w:rsidR="00B47055" w:rsidRPr="00FF5BF1" w:rsidRDefault="00B47055" w:rsidP="00692DEB">
      <w:pPr>
        <w:pStyle w:val="Heading4"/>
      </w:pPr>
      <w:bookmarkStart w:id="8" w:name="_Toc427752816"/>
      <w:r w:rsidRPr="00FF5BF1">
        <w:t>Use of Improved Information Technology and Burden Reduction</w:t>
      </w:r>
      <w:bookmarkEnd w:id="8"/>
    </w:p>
    <w:p w14:paraId="79542A50" w14:textId="00761262" w:rsidR="00675F9A" w:rsidRDefault="00542FE2" w:rsidP="000356DF">
      <w:pPr>
        <w:ind w:left="360"/>
      </w:pPr>
      <w:r>
        <w:rPr>
          <w:rFonts w:eastAsiaTheme="majorEastAsia" w:cstheme="majorBidi"/>
        </w:rPr>
        <w:t xml:space="preserve">An electronic assessment was deemed the most appropriate method to gather information from a large audience to quantify and prioritize MCM training needs. </w:t>
      </w:r>
      <w:r w:rsidR="005432A2">
        <w:t>T</w:t>
      </w:r>
      <w:r w:rsidR="00967890">
        <w:t xml:space="preserve">he electronic assessment will provide the DSLR </w:t>
      </w:r>
      <w:r w:rsidR="00807A92">
        <w:t>ALDT</w:t>
      </w:r>
      <w:r w:rsidR="00967890">
        <w:t xml:space="preserve"> with </w:t>
      </w:r>
      <w:r w:rsidR="0068428B">
        <w:t>a</w:t>
      </w:r>
      <w:r w:rsidR="00967890">
        <w:t xml:space="preserve"> </w:t>
      </w:r>
      <w:r w:rsidR="002C1522">
        <w:t>quantitative</w:t>
      </w:r>
      <w:r w:rsidR="00967890">
        <w:t xml:space="preserve"> snapshot of the training needs of MCM officials nationwide</w:t>
      </w:r>
      <w:r w:rsidR="005432A2">
        <w:t>. T</w:t>
      </w:r>
      <w:r w:rsidR="00967890">
        <w:t xml:space="preserve">he group interviews </w:t>
      </w:r>
      <w:r w:rsidR="00034918">
        <w:t>were chosen to provide</w:t>
      </w:r>
      <w:r w:rsidR="00967890">
        <w:t xml:space="preserve"> </w:t>
      </w:r>
      <w:r w:rsidR="00034918">
        <w:t>CDC with more</w:t>
      </w:r>
      <w:r w:rsidR="00967890">
        <w:t xml:space="preserve"> insight into the quantitative results</w:t>
      </w:r>
      <w:r w:rsidR="00034918">
        <w:t>, capture in-depth detail regarding how the CDC can best meet MCM training needs,</w:t>
      </w:r>
      <w:r w:rsidR="00967890">
        <w:t xml:space="preserve"> as well as uncover information that could not be effectively asked in </w:t>
      </w:r>
      <w:r w:rsidR="002C1522">
        <w:t>electronic assessment</w:t>
      </w:r>
      <w:r w:rsidR="00967890">
        <w:t xml:space="preserve"> form, such as </w:t>
      </w:r>
      <w:r w:rsidR="005432A2">
        <w:t xml:space="preserve">detailed </w:t>
      </w:r>
      <w:r w:rsidR="00967890">
        <w:t>descriptions of how training needs have changed over their career and</w:t>
      </w:r>
      <w:r w:rsidR="005432A2">
        <w:t xml:space="preserve"> existing MCM training models at the state, local, and territorial levels.</w:t>
      </w:r>
      <w:r w:rsidR="000356DF">
        <w:t xml:space="preserve"> </w:t>
      </w:r>
      <w:r w:rsidR="00692DEB" w:rsidRPr="00711BFA">
        <w:t xml:space="preserve"> </w:t>
      </w:r>
      <w:r w:rsidR="00692DEB" w:rsidRPr="006F0460">
        <w:t xml:space="preserve">The </w:t>
      </w:r>
      <w:r w:rsidR="002E2EDD">
        <w:t>data</w:t>
      </w:r>
      <w:r w:rsidR="00692DEB" w:rsidRPr="006F0460">
        <w:t xml:space="preserve"> collection instrument</w:t>
      </w:r>
      <w:r w:rsidR="000356DF">
        <w:t>s</w:t>
      </w:r>
      <w:r w:rsidR="00692DEB" w:rsidRPr="006F0460">
        <w:t xml:space="preserve"> </w:t>
      </w:r>
      <w:r w:rsidR="000356DF">
        <w:t>were</w:t>
      </w:r>
      <w:r w:rsidR="00692DEB" w:rsidRPr="00711BFA">
        <w:t xml:space="preserve"> designed to collect the minimum information necessary for the purposes of this project</w:t>
      </w:r>
      <w:r w:rsidR="00662378">
        <w:t xml:space="preserve"> (i.e., limited to </w:t>
      </w:r>
      <w:r w:rsidR="007B75D7">
        <w:t xml:space="preserve">38 </w:t>
      </w:r>
      <w:r w:rsidR="00F84E84">
        <w:t>electronic</w:t>
      </w:r>
      <w:r w:rsidR="00C17997">
        <w:t xml:space="preserve"> assessment </w:t>
      </w:r>
      <w:r w:rsidR="00662378">
        <w:t>questions and six focus group questions)</w:t>
      </w:r>
      <w:r w:rsidR="00692DEB" w:rsidRPr="00711BFA">
        <w:t>.</w:t>
      </w:r>
      <w:r w:rsidR="002F2338">
        <w:t xml:space="preserve">  </w:t>
      </w:r>
      <w:r w:rsidR="005432A2">
        <w:t xml:space="preserve"> </w:t>
      </w:r>
    </w:p>
    <w:p w14:paraId="672AE5B6" w14:textId="776CA4C6" w:rsidR="000A17CB" w:rsidRDefault="000A17CB" w:rsidP="006A09E0">
      <w:pPr>
        <w:ind w:left="0"/>
      </w:pPr>
    </w:p>
    <w:p w14:paraId="63A2131A" w14:textId="77777777" w:rsidR="00B47055" w:rsidRPr="00D42A92" w:rsidRDefault="00B47055" w:rsidP="00692DEB">
      <w:pPr>
        <w:pStyle w:val="Heading4"/>
      </w:pPr>
      <w:bookmarkStart w:id="9" w:name="_Toc427752817"/>
      <w:r w:rsidRPr="00D42A92">
        <w:t>Efforts to Identify Duplication and Use of Similar Information</w:t>
      </w:r>
      <w:bookmarkEnd w:id="9"/>
    </w:p>
    <w:p w14:paraId="626B7127" w14:textId="411FDF6E" w:rsidR="00BD4599" w:rsidRDefault="00D03A40" w:rsidP="0044721A">
      <w:pPr>
        <w:ind w:left="360"/>
      </w:pPr>
      <w:r>
        <w:t>To our knowledge, no prior</w:t>
      </w:r>
      <w:r w:rsidR="0044721A">
        <w:t xml:space="preserve"> MCM-focused training needs assessment</w:t>
      </w:r>
      <w:r w:rsidR="00EE4D94">
        <w:t xml:space="preserve"> </w:t>
      </w:r>
      <w:r>
        <w:t>has been conducted among local, state, and territorial health departments nationwide.</w:t>
      </w:r>
      <w:r w:rsidRPr="00D03A40">
        <w:rPr>
          <w:i/>
          <w:iCs/>
        </w:rPr>
        <w:t xml:space="preserve"> </w:t>
      </w:r>
      <w:r w:rsidRPr="002C1522">
        <w:rPr>
          <w:iCs/>
        </w:rPr>
        <w:t xml:space="preserve">The </w:t>
      </w:r>
      <w:r>
        <w:rPr>
          <w:iCs/>
        </w:rPr>
        <w:t>DSLR</w:t>
      </w:r>
      <w:r w:rsidR="00EA3236">
        <w:rPr>
          <w:iCs/>
        </w:rPr>
        <w:t xml:space="preserve"> </w:t>
      </w:r>
      <w:r w:rsidR="00807A92">
        <w:rPr>
          <w:iCs/>
        </w:rPr>
        <w:t>ALDT</w:t>
      </w:r>
      <w:r w:rsidR="00EA3236">
        <w:rPr>
          <w:iCs/>
        </w:rPr>
        <w:t xml:space="preserve"> </w:t>
      </w:r>
      <w:r w:rsidRPr="002C1522">
        <w:rPr>
          <w:iCs/>
        </w:rPr>
        <w:t>and the Division of the Strategic National Stockpile</w:t>
      </w:r>
      <w:r>
        <w:rPr>
          <w:iCs/>
        </w:rPr>
        <w:t xml:space="preserve"> (DSNS)</w:t>
      </w:r>
      <w:r w:rsidRPr="002C1522">
        <w:rPr>
          <w:iCs/>
        </w:rPr>
        <w:t xml:space="preserve"> Learning Team are the only two </w:t>
      </w:r>
      <w:r w:rsidR="0027544E">
        <w:rPr>
          <w:iCs/>
        </w:rPr>
        <w:t>team</w:t>
      </w:r>
      <w:r w:rsidRPr="002C1522">
        <w:rPr>
          <w:iCs/>
        </w:rPr>
        <w:t xml:space="preserve">s in the federal government developing trainings on medical countermeasures for state and local health departments. While the DSNS </w:t>
      </w:r>
      <w:r>
        <w:rPr>
          <w:iCs/>
        </w:rPr>
        <w:t>Learning Team</w:t>
      </w:r>
      <w:r w:rsidRPr="002C1522">
        <w:rPr>
          <w:iCs/>
        </w:rPr>
        <w:t xml:space="preserve"> </w:t>
      </w:r>
      <w:r w:rsidR="00CE150A">
        <w:rPr>
          <w:iCs/>
        </w:rPr>
        <w:t>assessed</w:t>
      </w:r>
      <w:r w:rsidR="00CE150A" w:rsidRPr="002C1522">
        <w:rPr>
          <w:iCs/>
        </w:rPr>
        <w:t xml:space="preserve"> </w:t>
      </w:r>
      <w:r w:rsidRPr="002C1522">
        <w:rPr>
          <w:iCs/>
        </w:rPr>
        <w:t>prior course attendees several years ago, these questions focused on the usefulness of the trainings attended, not to broadly identify needs. To our knowledge</w:t>
      </w:r>
      <w:r w:rsidR="00C05603">
        <w:rPr>
          <w:iCs/>
        </w:rPr>
        <w:t>,</w:t>
      </w:r>
      <w:r w:rsidRPr="002C1522">
        <w:rPr>
          <w:iCs/>
        </w:rPr>
        <w:t xml:space="preserve"> based on</w:t>
      </w:r>
      <w:r>
        <w:rPr>
          <w:iCs/>
        </w:rPr>
        <w:t xml:space="preserve"> inquiry of MCM staff at CDC and</w:t>
      </w:r>
      <w:r w:rsidRPr="002C1522">
        <w:rPr>
          <w:iCs/>
        </w:rPr>
        <w:t xml:space="preserve"> extensive literature reviews conducted by CDC librarians, there has been no other nationwide assessment of medical countermeasure training needs. Therefore, this assessment </w:t>
      </w:r>
      <w:r w:rsidR="00CE150A">
        <w:rPr>
          <w:iCs/>
        </w:rPr>
        <w:t>is the first of its kind</w:t>
      </w:r>
      <w:r>
        <w:rPr>
          <w:i/>
          <w:iCs/>
        </w:rPr>
        <w:t xml:space="preserve">. </w:t>
      </w:r>
      <w:r>
        <w:t xml:space="preserve">Additionally, CDC </w:t>
      </w:r>
      <w:r w:rsidR="0044721A">
        <w:t xml:space="preserve">is coordinating externally with ASTHO and NACCHO to ensure </w:t>
      </w:r>
      <w:r>
        <w:t>assessment questions do not duplicate those asked of state and local health departments in</w:t>
      </w:r>
      <w:r w:rsidR="00034918">
        <w:t xml:space="preserve"> questionnaires distributed by those organizations</w:t>
      </w:r>
      <w:r w:rsidR="0044721A">
        <w:t xml:space="preserve">. </w:t>
      </w:r>
    </w:p>
    <w:p w14:paraId="7083A25A" w14:textId="262DB8C1" w:rsidR="0017441F" w:rsidRDefault="0017441F" w:rsidP="00A614BC">
      <w:pPr>
        <w:ind w:left="0"/>
      </w:pPr>
    </w:p>
    <w:p w14:paraId="229BB867" w14:textId="77777777" w:rsidR="00B12F51" w:rsidRPr="00B47055" w:rsidRDefault="00B47055" w:rsidP="00692DEB">
      <w:pPr>
        <w:pStyle w:val="Heading4"/>
      </w:pPr>
      <w:bookmarkStart w:id="10" w:name="_Toc427752818"/>
      <w:r w:rsidRPr="00B47055">
        <w:t>Impact on Small Businesses or Other Small Entities</w:t>
      </w:r>
      <w:bookmarkEnd w:id="10"/>
    </w:p>
    <w:p w14:paraId="48BEEAC3" w14:textId="71A9EE74" w:rsidR="00B2446A" w:rsidRDefault="00D26A64" w:rsidP="00096AAD">
      <w:pPr>
        <w:ind w:left="360"/>
      </w:pPr>
      <w:r>
        <w:t>N</w:t>
      </w:r>
      <w:r w:rsidR="00AF2252">
        <w:t xml:space="preserve">o small businesses will be involved in this </w:t>
      </w:r>
      <w:r w:rsidR="00157413">
        <w:t>information collection</w:t>
      </w:r>
      <w:r>
        <w:t>.</w:t>
      </w:r>
    </w:p>
    <w:p w14:paraId="50DDCAD7" w14:textId="77777777" w:rsidR="00B2446A" w:rsidRPr="00D95FBF" w:rsidRDefault="00B2446A" w:rsidP="0044721A">
      <w:pPr>
        <w:ind w:left="0"/>
      </w:pPr>
    </w:p>
    <w:p w14:paraId="0BC5C89B" w14:textId="77777777"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3DADABF7" w14:textId="77777777" w:rsidR="000058E0" w:rsidRDefault="000058E0" w:rsidP="00B666CB">
      <w:pPr>
        <w:ind w:left="360"/>
      </w:pPr>
      <w:r w:rsidRPr="00711BFA">
        <w:t xml:space="preserve">This request is for a one time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will be unable to:</w:t>
      </w:r>
    </w:p>
    <w:p w14:paraId="4AAAEB69" w14:textId="2FEAD5ED" w:rsidR="008C59E7" w:rsidRPr="0017441F" w:rsidRDefault="00B2446A" w:rsidP="00B666CB">
      <w:pPr>
        <w:pStyle w:val="ListParagraph"/>
        <w:numPr>
          <w:ilvl w:val="0"/>
          <w:numId w:val="6"/>
        </w:numPr>
        <w:tabs>
          <w:tab w:val="clear" w:pos="9360"/>
        </w:tabs>
      </w:pPr>
      <w:r>
        <w:t>Systematically i</w:t>
      </w:r>
      <w:r w:rsidR="0017441F" w:rsidRPr="0017441F">
        <w:t xml:space="preserve">dentify gaps in MCM </w:t>
      </w:r>
      <w:r w:rsidR="002C1522">
        <w:t>officials</w:t>
      </w:r>
      <w:r w:rsidR="0017441F" w:rsidRPr="0017441F">
        <w:t>’</w:t>
      </w:r>
      <w:r w:rsidR="00382099">
        <w:t xml:space="preserve"> </w:t>
      </w:r>
      <w:r w:rsidR="0017441F" w:rsidRPr="0017441F">
        <w:t xml:space="preserve">abilities to perform </w:t>
      </w:r>
      <w:r w:rsidR="00D27EC9">
        <w:t xml:space="preserve">common MCM responsibilities and </w:t>
      </w:r>
      <w:r w:rsidR="00B473B7">
        <w:t>associated skills</w:t>
      </w:r>
      <w:r w:rsidR="0017441F" w:rsidRPr="0017441F">
        <w:t xml:space="preserve"> </w:t>
      </w:r>
    </w:p>
    <w:p w14:paraId="1A15FC54" w14:textId="7DB9F3BA" w:rsidR="008C59E7" w:rsidRPr="0017441F" w:rsidRDefault="0017441F" w:rsidP="00B666CB">
      <w:pPr>
        <w:pStyle w:val="ListParagraph"/>
        <w:numPr>
          <w:ilvl w:val="0"/>
          <w:numId w:val="6"/>
        </w:numPr>
        <w:tabs>
          <w:tab w:val="clear" w:pos="9360"/>
        </w:tabs>
      </w:pPr>
      <w:r w:rsidRPr="0017441F">
        <w:t xml:space="preserve">Determine the training needs for MCM </w:t>
      </w:r>
      <w:r w:rsidR="002C1522">
        <w:t>officials</w:t>
      </w:r>
      <w:r w:rsidRPr="0017441F">
        <w:t xml:space="preserve"> across the country</w:t>
      </w:r>
    </w:p>
    <w:p w14:paraId="587DEC8B" w14:textId="28045854" w:rsidR="008C59E7" w:rsidRDefault="0017441F" w:rsidP="00B666CB">
      <w:pPr>
        <w:pStyle w:val="ListParagraph"/>
        <w:numPr>
          <w:ilvl w:val="0"/>
          <w:numId w:val="6"/>
        </w:numPr>
        <w:tabs>
          <w:tab w:val="clear" w:pos="9360"/>
        </w:tabs>
      </w:pPr>
      <w:r w:rsidRPr="0017441F">
        <w:t xml:space="preserve">Develop a comprehensive MCM training plan that meets the needs of MCM </w:t>
      </w:r>
      <w:r w:rsidR="002C1522">
        <w:t xml:space="preserve">officials </w:t>
      </w:r>
      <w:r w:rsidRPr="0017441F">
        <w:t xml:space="preserve">and </w:t>
      </w:r>
      <w:r w:rsidR="002C1522">
        <w:t xml:space="preserve">other MCM </w:t>
      </w:r>
      <w:r w:rsidRPr="0017441F">
        <w:t>staff across the country</w:t>
      </w:r>
    </w:p>
    <w:p w14:paraId="1B60F773" w14:textId="4BCC6B29" w:rsidR="00B2446A" w:rsidRPr="0017441F" w:rsidRDefault="00B2446A" w:rsidP="00B666CB">
      <w:pPr>
        <w:pStyle w:val="ListParagraph"/>
        <w:numPr>
          <w:ilvl w:val="0"/>
          <w:numId w:val="6"/>
        </w:numPr>
        <w:tabs>
          <w:tab w:val="clear" w:pos="9360"/>
        </w:tabs>
      </w:pPr>
      <w:r>
        <w:t>Design and implement</w:t>
      </w:r>
      <w:r w:rsidRPr="00B01A37">
        <w:t xml:space="preserve"> targeted </w:t>
      </w:r>
      <w:r>
        <w:t xml:space="preserve">trainings that meet the needs of MCM </w:t>
      </w:r>
      <w:r w:rsidR="002C1522">
        <w:t xml:space="preserve">officials </w:t>
      </w:r>
      <w:r>
        <w:t>and staff across the country</w:t>
      </w:r>
    </w:p>
    <w:p w14:paraId="7C37F329" w14:textId="49E6DFDF" w:rsidR="00FB454F" w:rsidRPr="0017441F" w:rsidRDefault="00FB454F" w:rsidP="00B666CB">
      <w:pPr>
        <w:pStyle w:val="ListParagraph"/>
        <w:numPr>
          <w:ilvl w:val="0"/>
          <w:numId w:val="6"/>
        </w:numPr>
        <w:tabs>
          <w:tab w:val="clear" w:pos="9360"/>
        </w:tabs>
      </w:pPr>
      <w:r>
        <w:t>Sufficiently addr</w:t>
      </w:r>
      <w:r w:rsidR="00DB3A2A">
        <w:t>ess a major priority area for</w:t>
      </w:r>
      <w:r>
        <w:t xml:space="preserve"> United States Public Health Workforce Development identified by the </w:t>
      </w:r>
      <w:r w:rsidR="00DB3A2A">
        <w:t>WHO’s Global Health Security Agenda’s JEE: to study gaps in needs and staffing at state and local levels to inform a national plan for public health workforce development</w:t>
      </w:r>
    </w:p>
    <w:p w14:paraId="4F3646D6" w14:textId="139CD60D" w:rsidR="00BD4599" w:rsidRDefault="00BD4599" w:rsidP="0017441F">
      <w:pPr>
        <w:ind w:left="0"/>
        <w:rPr>
          <w:lang w:eastAsia="zh-CN"/>
        </w:rPr>
      </w:pPr>
    </w:p>
    <w:p w14:paraId="02CC5BF6" w14:textId="6807CC33" w:rsidR="00603A81" w:rsidRDefault="00603A81" w:rsidP="0017441F">
      <w:pPr>
        <w:ind w:left="0"/>
        <w:rPr>
          <w:lang w:eastAsia="zh-CN"/>
        </w:rPr>
      </w:pPr>
    </w:p>
    <w:p w14:paraId="0E31ACE1" w14:textId="77777777" w:rsidR="00603A81" w:rsidRDefault="00603A81" w:rsidP="0017441F">
      <w:pPr>
        <w:ind w:left="0"/>
        <w:rPr>
          <w:lang w:eastAsia="zh-CN"/>
        </w:rPr>
      </w:pPr>
    </w:p>
    <w:p w14:paraId="70486E09" w14:textId="5E7221A2" w:rsidR="00B12F51" w:rsidRPr="00B47055" w:rsidRDefault="00B47055" w:rsidP="00692DEB">
      <w:pPr>
        <w:pStyle w:val="Heading4"/>
      </w:pPr>
      <w:bookmarkStart w:id="12" w:name="_Toc427752820"/>
      <w:r w:rsidRPr="00B47055">
        <w:t>Special Circumstances Relating to the Guidelines of 5 CFR 1320.5</w:t>
      </w:r>
      <w:bookmarkEnd w:id="12"/>
    </w:p>
    <w:p w14:paraId="25B2377F" w14:textId="77777777" w:rsidR="00F52BCC" w:rsidRDefault="00A809AA" w:rsidP="007B7C44">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3D13A23E" w14:textId="4FE5A862" w:rsidR="00675F9A" w:rsidRDefault="00675F9A" w:rsidP="0017441F">
      <w:pPr>
        <w:ind w:left="0"/>
      </w:pPr>
    </w:p>
    <w:p w14:paraId="354404E2" w14:textId="68B0B73A"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61A6146C" w14:textId="7B6A2975" w:rsidR="00CE150A" w:rsidRPr="00CE150A" w:rsidRDefault="00C768E5" w:rsidP="00CE150A">
      <w:pPr>
        <w:ind w:left="360"/>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CE150A">
        <w:t xml:space="preserve"> </w:t>
      </w:r>
      <w:r w:rsidR="00CE150A" w:rsidRPr="00CE150A">
        <w:t>A 60-day Federal Register Notice was published in the Federal Register on April 27, 2017, Vol. 82, No. 80, pp 19371-19373.  One non-substantive comment was received.  CDC sent forward the standard CDC response.</w:t>
      </w:r>
    </w:p>
    <w:p w14:paraId="6D52E961" w14:textId="1A1B4B0B" w:rsidR="00A809AA" w:rsidRPr="00A809AA" w:rsidRDefault="00A809AA" w:rsidP="00CE150A">
      <w:pPr>
        <w:ind w:left="0"/>
      </w:pPr>
    </w:p>
    <w:p w14:paraId="20D01D0F" w14:textId="0B25442A" w:rsidR="00A809AA" w:rsidRDefault="00B666CB" w:rsidP="007B7C44">
      <w:pPr>
        <w:ind w:left="360"/>
      </w:pPr>
      <w:r>
        <w:t xml:space="preserve">The Centers for Disease Control and Prevention </w:t>
      </w:r>
      <w:r w:rsidR="00A809AA" w:rsidRPr="00A809AA">
        <w:t xml:space="preserve">partners with professional </w:t>
      </w:r>
      <w:r w:rsidR="00620670">
        <w:t>state, territorial, local, and tribal</w:t>
      </w:r>
      <w:r>
        <w:t xml:space="preserve"> organizations, such as ASTHO, NACCHO</w:t>
      </w:r>
      <w:r w:rsidR="00A809AA" w:rsidRPr="00A809AA">
        <w:t>, and the National Association of Local Boards of Health along with the National Center for Health Statistics to ensure that the collect</w:t>
      </w:r>
      <w:r w:rsidR="00620670">
        <w:t>ion requests under individual information collection</w:t>
      </w:r>
      <w:r w:rsidR="00A809AA" w:rsidRPr="00A809AA">
        <w:t xml:space="preserve">s are not in conflict with collections they have or will have in the field within the same timeframe.  </w:t>
      </w:r>
    </w:p>
    <w:p w14:paraId="371459D6" w14:textId="6BFDFFAA" w:rsidR="00F52BCC" w:rsidRPr="00A809AA" w:rsidRDefault="00F52BCC" w:rsidP="006B66B1">
      <w:pPr>
        <w:ind w:left="0"/>
      </w:pPr>
    </w:p>
    <w:p w14:paraId="22C726CF" w14:textId="77777777" w:rsidR="00B12F51" w:rsidRPr="0088467A" w:rsidRDefault="0088467A" w:rsidP="00692DEB">
      <w:pPr>
        <w:pStyle w:val="Heading4"/>
      </w:pPr>
      <w:bookmarkStart w:id="14" w:name="_Toc427752822"/>
      <w:r w:rsidRPr="0088467A">
        <w:t>Explanation of Any Payment or Gift to Respondents</w:t>
      </w:r>
      <w:bookmarkEnd w:id="14"/>
    </w:p>
    <w:p w14:paraId="76C920C1" w14:textId="5EC5DAA0" w:rsidR="00C4416B" w:rsidRDefault="00A809AA" w:rsidP="006B66B1">
      <w:pPr>
        <w:ind w:left="360"/>
      </w:pPr>
      <w:r>
        <w:t>CDC will not provide p</w:t>
      </w:r>
      <w:r w:rsidR="00D26A64">
        <w:t>ayments or gifts to respondents.</w:t>
      </w:r>
    </w:p>
    <w:p w14:paraId="67610A02" w14:textId="77777777" w:rsidR="00F96085" w:rsidRDefault="00F96085" w:rsidP="006B66B1">
      <w:pPr>
        <w:ind w:left="360"/>
      </w:pPr>
    </w:p>
    <w:p w14:paraId="1CFA9469"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541C4334" w14:textId="31283F7B" w:rsidR="003C31C9" w:rsidRDefault="003C31C9" w:rsidP="006A09E0">
      <w:pPr>
        <w:ind w:left="360"/>
      </w:pPr>
      <w:r w:rsidRPr="003C31C9">
        <w:t xml:space="preserve">The Privacy Act does not apply to this </w:t>
      </w:r>
      <w:r w:rsidR="002E2EDD">
        <w:t>data</w:t>
      </w:r>
      <w:r w:rsidR="00157413">
        <w:t xml:space="preserve"> </w:t>
      </w:r>
      <w:r w:rsidR="00157413" w:rsidRPr="00040611">
        <w:t>collection</w:t>
      </w:r>
      <w:r w:rsidR="00620670">
        <w:t>.</w:t>
      </w:r>
      <w:r w:rsidRPr="00040611">
        <w:t xml:space="preserve"> </w:t>
      </w:r>
      <w:r w:rsidR="00620670">
        <w:t>State, territorial, local, and tribal</w:t>
      </w:r>
      <w:r w:rsidR="007F5776" w:rsidRPr="00040611">
        <w:t xml:space="preserve"> governmental staff and / or delegates </w:t>
      </w:r>
      <w:r w:rsidRPr="00040611">
        <w:t>will be speaking from their official roles</w:t>
      </w:r>
      <w:r w:rsidR="00D06816">
        <w:t xml:space="preserve">.  </w:t>
      </w:r>
      <w:r w:rsidRPr="00040611">
        <w:t xml:space="preserve"> </w:t>
      </w:r>
    </w:p>
    <w:p w14:paraId="5B4B1188" w14:textId="77777777" w:rsidR="006A09E0" w:rsidRPr="003C31C9" w:rsidRDefault="006A09E0" w:rsidP="006A09E0">
      <w:pPr>
        <w:ind w:left="360"/>
      </w:pPr>
    </w:p>
    <w:p w14:paraId="69EC80F8" w14:textId="77777777" w:rsidR="00675F9A" w:rsidRDefault="003C31C9" w:rsidP="006A09E0">
      <w:pPr>
        <w:ind w:left="360"/>
      </w:pPr>
      <w:r w:rsidRPr="003C31C9">
        <w:t xml:space="preserve">This </w:t>
      </w:r>
      <w:r w:rsidR="002E2EDD">
        <w:t>data</w:t>
      </w:r>
      <w:r w:rsidR="00157413">
        <w:t xml:space="preserve"> collection</w:t>
      </w:r>
      <w:r w:rsidRPr="003C31C9">
        <w:t xml:space="preserve"> is not research involving human subjects.</w:t>
      </w:r>
    </w:p>
    <w:p w14:paraId="311C9FE2" w14:textId="4CB83AA3" w:rsidR="006C20E8" w:rsidRDefault="006C20E8" w:rsidP="006A09E0">
      <w:pPr>
        <w:ind w:left="360"/>
      </w:pPr>
    </w:p>
    <w:p w14:paraId="550F8CF6" w14:textId="7FD9DAB8" w:rsidR="00034918" w:rsidRPr="009E0DF7" w:rsidRDefault="00936C8D" w:rsidP="009E0DF7">
      <w:pPr>
        <w:ind w:left="360"/>
        <w:rPr>
          <w:iCs/>
        </w:rPr>
      </w:pPr>
      <w:r>
        <w:t xml:space="preserve">Although NACCHO will collect some individually identifiable information (IIF) related to the official roles of respondents, including participant names, emails, and name of jurisdiction, </w:t>
      </w:r>
      <w:r w:rsidR="00CE150A">
        <w:t xml:space="preserve">to send email invitations to participants for the focus group corresponding with their jurisdiction size. NACCHO will collect this information, and it will not be shared with CDC. The data will be stored in NACCHO’s secure Qualtrics account, downloaded onto password protected computers, and stored on servers accessible only to NACCHO </w:t>
      </w:r>
      <w:r>
        <w:t>project team members. Data collected during the assessment will be shared only in aggregate form. No IIF will be distributed</w:t>
      </w:r>
      <w:r w:rsidR="00E4799B">
        <w:t xml:space="preserve">, and CDC will not have access to any </w:t>
      </w:r>
      <w:r w:rsidR="009211D7">
        <w:t>IIF</w:t>
      </w:r>
      <w:r w:rsidR="00E4799B">
        <w:t xml:space="preserve"> collected by the partner</w:t>
      </w:r>
      <w:r w:rsidR="00E4799B" w:rsidDel="00E4799B">
        <w:t xml:space="preserve"> </w:t>
      </w:r>
    </w:p>
    <w:p w14:paraId="3988DFBF" w14:textId="77777777" w:rsidR="00C4416B" w:rsidRDefault="00C4416B" w:rsidP="006A09E0">
      <w:pPr>
        <w:ind w:left="360"/>
      </w:pPr>
    </w:p>
    <w:p w14:paraId="02E6F962" w14:textId="3E008C8A" w:rsidR="00CE150A" w:rsidRDefault="009D5927" w:rsidP="00CE150A">
      <w:pPr>
        <w:pStyle w:val="Heading4"/>
      </w:pPr>
      <w:bookmarkStart w:id="16" w:name="_Toc427752824"/>
      <w:r w:rsidRPr="009D5927">
        <w:t>Institutional Review Board (IRB) and Justification for Sensitive Questions</w:t>
      </w:r>
      <w:bookmarkEnd w:id="16"/>
    </w:p>
    <w:p w14:paraId="7A76C36D" w14:textId="0AF2A9A3" w:rsidR="00CE150A" w:rsidRPr="00CE150A" w:rsidRDefault="00CE150A" w:rsidP="00CE150A">
      <w:pPr>
        <w:ind w:left="0"/>
      </w:pPr>
      <w:r>
        <w:t xml:space="preserve">        </w:t>
      </w:r>
      <w:r w:rsidRPr="00CE150A">
        <w:t>No information will be collected that are of sensitive nature.</w:t>
      </w:r>
    </w:p>
    <w:p w14:paraId="66AB8ACC" w14:textId="73511069" w:rsidR="00E20294" w:rsidRDefault="00E20294" w:rsidP="009211D7">
      <w:pPr>
        <w:ind w:left="0"/>
      </w:pPr>
    </w:p>
    <w:p w14:paraId="07EF8814" w14:textId="01E2DB95" w:rsidR="00603A81" w:rsidRDefault="00603A81" w:rsidP="009211D7">
      <w:pPr>
        <w:ind w:left="0"/>
      </w:pPr>
    </w:p>
    <w:p w14:paraId="770E831F" w14:textId="77777777" w:rsidR="00603A81" w:rsidRPr="0088467A" w:rsidRDefault="00603A81" w:rsidP="009211D7">
      <w:pPr>
        <w:ind w:left="0"/>
      </w:pPr>
    </w:p>
    <w:p w14:paraId="5DF898BD" w14:textId="77777777" w:rsidR="00B64BFA" w:rsidRPr="0088467A" w:rsidRDefault="0088467A" w:rsidP="00692DEB">
      <w:pPr>
        <w:pStyle w:val="Heading4"/>
      </w:pPr>
      <w:bookmarkStart w:id="17" w:name="_Toc427752825"/>
      <w:r w:rsidRPr="0088467A">
        <w:t>Estimates of Annualized Burden Hours and Costs</w:t>
      </w:r>
      <w:bookmarkEnd w:id="17"/>
    </w:p>
    <w:p w14:paraId="6CE874B6" w14:textId="200B96B0" w:rsidR="005242A3" w:rsidRPr="00711BFA" w:rsidRDefault="002653B2" w:rsidP="004B2E3B">
      <w:pPr>
        <w:ind w:left="360"/>
        <w:rPr>
          <w:color w:val="000000"/>
        </w:rPr>
      </w:pPr>
      <w:r>
        <w:rPr>
          <w:b/>
          <w:color w:val="000000"/>
        </w:rPr>
        <w:t xml:space="preserve">MCM Training Needs </w:t>
      </w:r>
      <w:r w:rsidR="00F3569D">
        <w:rPr>
          <w:b/>
          <w:color w:val="000000"/>
        </w:rPr>
        <w:t xml:space="preserve">Electronic </w:t>
      </w:r>
      <w:r>
        <w:rPr>
          <w:b/>
          <w:color w:val="000000"/>
        </w:rPr>
        <w:t xml:space="preserve">Assessment: </w:t>
      </w:r>
      <w:r w:rsidR="000058E0" w:rsidRPr="00711BFA">
        <w:rPr>
          <w:color w:val="000000"/>
        </w:rPr>
        <w:t xml:space="preserve">The estimate for burden hours is based on a pilot test of </w:t>
      </w:r>
      <w:r w:rsidR="000058E0" w:rsidRPr="0061015C">
        <w:t xml:space="preserve">the </w:t>
      </w:r>
      <w:r w:rsidR="00532F74">
        <w:t>electronic assessment</w:t>
      </w:r>
      <w:r w:rsidR="00532F74" w:rsidRPr="04524006">
        <w:t xml:space="preserve"> instrument</w:t>
      </w:r>
      <w:r w:rsidR="00882D56">
        <w:t xml:space="preserve"> </w:t>
      </w:r>
      <w:r w:rsidRPr="00711BFA">
        <w:rPr>
          <w:color w:val="000000"/>
        </w:rPr>
        <w:t xml:space="preserve">by </w:t>
      </w:r>
      <w:r w:rsidR="00620670">
        <w:t>nine</w:t>
      </w:r>
      <w:r w:rsidRPr="000C4604">
        <w:t xml:space="preserve"> </w:t>
      </w:r>
      <w:r w:rsidRPr="00711BFA">
        <w:t>public health professionals</w:t>
      </w:r>
      <w:r>
        <w:t>.</w:t>
      </w:r>
      <w:r w:rsidR="00532F74" w:rsidRPr="002653B2">
        <w:t xml:space="preserve"> </w:t>
      </w:r>
      <w:r w:rsidRPr="00711BFA">
        <w:t>In the pilot test</w:t>
      </w:r>
      <w:r w:rsidRPr="00CF7DE2">
        <w:t>, the average time to complete the electronic assessment instrument</w:t>
      </w:r>
      <w:r w:rsidR="00C52715" w:rsidRPr="00CF7DE2">
        <w:t>,</w:t>
      </w:r>
      <w:r w:rsidRPr="00CF7DE2">
        <w:t xml:space="preserve"> including time for reviewing instructions, gathering needed </w:t>
      </w:r>
      <w:r w:rsidR="00C71D88" w:rsidRPr="00CF7DE2">
        <w:t>information</w:t>
      </w:r>
      <w:r w:rsidR="00AE3E06" w:rsidRPr="00CF7DE2">
        <w:t>,</w:t>
      </w:r>
      <w:r w:rsidR="00C71D88" w:rsidRPr="00CF7DE2">
        <w:t xml:space="preserve"> </w:t>
      </w:r>
      <w:r w:rsidR="00F3569D" w:rsidRPr="00CF7DE2">
        <w:t xml:space="preserve">and </w:t>
      </w:r>
      <w:r w:rsidR="00C71D88" w:rsidRPr="00CF7DE2">
        <w:t xml:space="preserve">completing the instrument, was </w:t>
      </w:r>
      <w:r w:rsidR="006077F3" w:rsidRPr="00CF7DE2">
        <w:t>31</w:t>
      </w:r>
      <w:r w:rsidRPr="00CF7DE2">
        <w:t xml:space="preserve"> minutes</w:t>
      </w:r>
      <w:r w:rsidR="00342227" w:rsidRPr="00CF7DE2">
        <w:t xml:space="preserve"> </w:t>
      </w:r>
      <w:r w:rsidR="005242A3" w:rsidRPr="00CF7DE2">
        <w:t>(range:</w:t>
      </w:r>
      <w:r w:rsidR="00342227" w:rsidRPr="00CF7DE2">
        <w:t xml:space="preserve"> </w:t>
      </w:r>
      <w:r w:rsidR="004B2E3B" w:rsidRPr="00CF7DE2">
        <w:t>7</w:t>
      </w:r>
      <w:r w:rsidR="005242A3" w:rsidRPr="00CF7DE2">
        <w:t xml:space="preserve"> –</w:t>
      </w:r>
      <w:r w:rsidR="00342227" w:rsidRPr="00CF7DE2">
        <w:t xml:space="preserve"> </w:t>
      </w:r>
      <w:r w:rsidR="004B2E3B" w:rsidRPr="00CF7DE2">
        <w:t>59 minutes</w:t>
      </w:r>
      <w:r w:rsidR="005242A3" w:rsidRPr="00CF7DE2">
        <w:t xml:space="preserve">). For the purposes of estimating burden hours, the </w:t>
      </w:r>
      <w:r w:rsidR="004B2E3B" w:rsidRPr="00CF7DE2">
        <w:t>average time</w:t>
      </w:r>
      <w:r w:rsidR="005242A3" w:rsidRPr="00CF7DE2">
        <w:t xml:space="preserve"> (i.e., </w:t>
      </w:r>
      <w:r w:rsidR="004B2E3B" w:rsidRPr="00CF7DE2">
        <w:t>31</w:t>
      </w:r>
      <w:r w:rsidR="005242A3" w:rsidRPr="00CF7DE2">
        <w:rPr>
          <w:color w:val="0070C0"/>
        </w:rPr>
        <w:t xml:space="preserve"> </w:t>
      </w:r>
      <w:r w:rsidR="005242A3" w:rsidRPr="00CF7DE2">
        <w:t>minutes)</w:t>
      </w:r>
      <w:r w:rsidR="004B2E3B" w:rsidRPr="00CF7DE2">
        <w:t xml:space="preserve"> </w:t>
      </w:r>
      <w:r w:rsidR="005242A3" w:rsidRPr="00CF7DE2">
        <w:t>is used.</w:t>
      </w:r>
    </w:p>
    <w:p w14:paraId="1A28C960" w14:textId="5284173E" w:rsidR="002653B2" w:rsidRPr="005242A3" w:rsidRDefault="002653B2" w:rsidP="005242A3">
      <w:pPr>
        <w:ind w:left="360"/>
      </w:pPr>
    </w:p>
    <w:p w14:paraId="05EB294C" w14:textId="0DA20844" w:rsidR="006D7A89" w:rsidRPr="006D7A89" w:rsidRDefault="00330ABE" w:rsidP="005242A3">
      <w:pPr>
        <w:ind w:left="360"/>
      </w:pPr>
      <w:r w:rsidRPr="00E12C3D">
        <w:rPr>
          <w:b/>
        </w:rPr>
        <w:t xml:space="preserve">Virtual </w:t>
      </w:r>
      <w:r w:rsidR="006D7A89" w:rsidRPr="00E12C3D">
        <w:rPr>
          <w:b/>
        </w:rPr>
        <w:t xml:space="preserve">Group Interview Sign-Up </w:t>
      </w:r>
      <w:r w:rsidR="00127C6B" w:rsidRPr="00E12C3D">
        <w:rPr>
          <w:b/>
        </w:rPr>
        <w:t>F</w:t>
      </w:r>
      <w:r w:rsidR="002B079C" w:rsidRPr="00E12C3D">
        <w:rPr>
          <w:b/>
        </w:rPr>
        <w:t>orm</w:t>
      </w:r>
      <w:r w:rsidR="009211D7" w:rsidRPr="00E12C3D">
        <w:rPr>
          <w:b/>
        </w:rPr>
        <w:t>:</w:t>
      </w:r>
      <w:r w:rsidR="006D7A89" w:rsidRPr="005242A3">
        <w:t xml:space="preserve"> </w:t>
      </w:r>
      <w:r w:rsidR="00B60757" w:rsidRPr="005242A3">
        <w:t>T</w:t>
      </w:r>
      <w:r w:rsidR="006D7A89" w:rsidRPr="005242A3">
        <w:t>he estimate for burden hours is based on a pilot test of the group interview sign-u</w:t>
      </w:r>
      <w:r w:rsidR="006D7A89" w:rsidRPr="006D7A89">
        <w:t xml:space="preserve">p </w:t>
      </w:r>
      <w:r w:rsidR="002B079C">
        <w:t>form</w:t>
      </w:r>
      <w:r w:rsidR="002B079C" w:rsidRPr="006D7A89">
        <w:t xml:space="preserve"> </w:t>
      </w:r>
      <w:r w:rsidR="006D7A89" w:rsidRPr="006D7A89">
        <w:t xml:space="preserve">by the same nine public health professionals from the electronic assessment. The software used for this assessment demonstrates that each response was submitted within the same minute. For the purposes of estimating burden hours, one minute will be used. </w:t>
      </w:r>
    </w:p>
    <w:p w14:paraId="1D72E2BA" w14:textId="4BC23AFC" w:rsidR="006D7A89" w:rsidRDefault="006D7A89" w:rsidP="006D7A89">
      <w:pPr>
        <w:ind w:left="360"/>
      </w:pPr>
    </w:p>
    <w:p w14:paraId="3AB94CE6" w14:textId="12369724" w:rsidR="004B2E3B" w:rsidRPr="00711BFA" w:rsidRDefault="002653B2" w:rsidP="004B2E3B">
      <w:pPr>
        <w:ind w:left="360"/>
        <w:rPr>
          <w:color w:val="000000"/>
        </w:rPr>
      </w:pPr>
      <w:r>
        <w:rPr>
          <w:b/>
          <w:color w:val="000000"/>
        </w:rPr>
        <w:t xml:space="preserve">MCM Training Needs </w:t>
      </w:r>
      <w:r w:rsidR="00F3569D">
        <w:rPr>
          <w:b/>
          <w:color w:val="000000"/>
        </w:rPr>
        <w:t xml:space="preserve">Virtual </w:t>
      </w:r>
      <w:r w:rsidR="00332F35">
        <w:rPr>
          <w:b/>
          <w:color w:val="000000"/>
        </w:rPr>
        <w:t xml:space="preserve">Group </w:t>
      </w:r>
      <w:r w:rsidR="00F3569D">
        <w:rPr>
          <w:b/>
          <w:color w:val="000000"/>
        </w:rPr>
        <w:t>Interviews</w:t>
      </w:r>
      <w:r>
        <w:rPr>
          <w:b/>
          <w:color w:val="000000"/>
        </w:rPr>
        <w:t xml:space="preserve">: </w:t>
      </w:r>
      <w:r w:rsidRPr="00711BFA">
        <w:rPr>
          <w:color w:val="000000"/>
        </w:rPr>
        <w:t>The estimate for burden hours is based on a pilot test of</w:t>
      </w:r>
      <w:r w:rsidR="00532F74" w:rsidRPr="002653B2">
        <w:t xml:space="preserve"> the group</w:t>
      </w:r>
      <w:r w:rsidR="00B60757">
        <w:t xml:space="preserve"> interview</w:t>
      </w:r>
      <w:r w:rsidR="00532F74" w:rsidRPr="002653B2">
        <w:t xml:space="preserve"> instrument (</w:t>
      </w:r>
      <w:r w:rsidR="00532F74" w:rsidRPr="002653B2">
        <w:rPr>
          <w:rFonts w:cs="Times New Roman"/>
        </w:rPr>
        <w:t xml:space="preserve">see </w:t>
      </w:r>
      <w:r w:rsidR="00532F74" w:rsidRPr="002653B2">
        <w:rPr>
          <w:b/>
        </w:rPr>
        <w:t xml:space="preserve">Attachment </w:t>
      </w:r>
      <w:r w:rsidR="00804D1E">
        <w:rPr>
          <w:b/>
        </w:rPr>
        <w:t>H</w:t>
      </w:r>
      <w:r w:rsidR="00804D1E" w:rsidRPr="002653B2">
        <w:rPr>
          <w:b/>
        </w:rPr>
        <w:t xml:space="preserve"> </w:t>
      </w:r>
      <w:r w:rsidR="00532F74" w:rsidRPr="002653B2">
        <w:rPr>
          <w:b/>
        </w:rPr>
        <w:t>–</w:t>
      </w:r>
      <w:r w:rsidR="006077F3">
        <w:rPr>
          <w:b/>
        </w:rPr>
        <w:t xml:space="preserve"> </w:t>
      </w:r>
      <w:r w:rsidR="00916967">
        <w:rPr>
          <w:b/>
        </w:rPr>
        <w:t xml:space="preserve">Virtual </w:t>
      </w:r>
      <w:r w:rsidR="006077F3">
        <w:rPr>
          <w:b/>
        </w:rPr>
        <w:t xml:space="preserve">Group </w:t>
      </w:r>
      <w:r w:rsidR="00EE3478">
        <w:rPr>
          <w:b/>
        </w:rPr>
        <w:t>Interview Discussion</w:t>
      </w:r>
      <w:r w:rsidR="006077F3">
        <w:rPr>
          <w:b/>
        </w:rPr>
        <w:t xml:space="preserve"> Guide</w:t>
      </w:r>
      <w:r w:rsidR="001D7627">
        <w:rPr>
          <w:b/>
        </w:rPr>
        <w:t xml:space="preserve">, Word Version and </w:t>
      </w:r>
      <w:r w:rsidR="001D7627" w:rsidRPr="00E51F66">
        <w:rPr>
          <w:b/>
        </w:rPr>
        <w:t xml:space="preserve">Attachment </w:t>
      </w:r>
      <w:r w:rsidR="00804D1E">
        <w:rPr>
          <w:b/>
        </w:rPr>
        <w:t>I</w:t>
      </w:r>
      <w:r w:rsidR="00804D1E" w:rsidRPr="00E51F66">
        <w:rPr>
          <w:b/>
        </w:rPr>
        <w:t xml:space="preserve"> </w:t>
      </w:r>
      <w:r w:rsidR="001D7627" w:rsidRPr="00E51F66">
        <w:rPr>
          <w:b/>
        </w:rPr>
        <w:t xml:space="preserve">– </w:t>
      </w:r>
      <w:r w:rsidR="00916967">
        <w:rPr>
          <w:b/>
        </w:rPr>
        <w:t xml:space="preserve">Virtual </w:t>
      </w:r>
      <w:r w:rsidR="001D7627">
        <w:rPr>
          <w:b/>
        </w:rPr>
        <w:t>Group Interview Discussion Guide, Web Version</w:t>
      </w:r>
      <w:r w:rsidR="008B1F4A">
        <w:rPr>
          <w:b/>
        </w:rPr>
        <w:t xml:space="preserve"> Screenshots</w:t>
      </w:r>
      <w:r w:rsidR="00532F74" w:rsidRPr="002653B2">
        <w:t xml:space="preserve">) </w:t>
      </w:r>
      <w:r w:rsidR="000058E0" w:rsidRPr="00711BFA">
        <w:rPr>
          <w:color w:val="000000"/>
        </w:rPr>
        <w:t>by</w:t>
      </w:r>
      <w:r w:rsidR="00BC2669">
        <w:rPr>
          <w:color w:val="000000"/>
        </w:rPr>
        <w:t xml:space="preserve"> the same</w:t>
      </w:r>
      <w:r w:rsidR="000058E0" w:rsidRPr="00711BFA">
        <w:rPr>
          <w:color w:val="000000"/>
        </w:rPr>
        <w:t xml:space="preserve"> </w:t>
      </w:r>
      <w:r w:rsidR="00620670">
        <w:t>nine</w:t>
      </w:r>
      <w:r w:rsidR="000058E0" w:rsidRPr="000C4604">
        <w:t xml:space="preserve"> </w:t>
      </w:r>
      <w:r w:rsidR="000058E0" w:rsidRPr="00711BFA">
        <w:t>public health professionals</w:t>
      </w:r>
      <w:r w:rsidR="00BC2669">
        <w:t xml:space="preserve"> who piloted the assessment instrument</w:t>
      </w:r>
      <w:r w:rsidR="000058E0" w:rsidRPr="00711BFA">
        <w:t xml:space="preserve">. </w:t>
      </w:r>
      <w:r w:rsidR="00532F74" w:rsidRPr="00711BFA">
        <w:t xml:space="preserve">In the pilot test, </w:t>
      </w:r>
      <w:r w:rsidR="00532F74" w:rsidRPr="00CF7DE2">
        <w:t>the time to complete the group</w:t>
      </w:r>
      <w:r w:rsidR="00B60757" w:rsidRPr="00CF7DE2">
        <w:t xml:space="preserve"> interview</w:t>
      </w:r>
      <w:r w:rsidR="00532F74" w:rsidRPr="00CF7DE2">
        <w:t xml:space="preserve"> instrument including time for reviewing instructions, gathering needed information and completing the instrument, </w:t>
      </w:r>
      <w:r w:rsidR="00C925C1" w:rsidRPr="00CF7DE2">
        <w:t>ranged from 50-90</w:t>
      </w:r>
      <w:r w:rsidR="00E61E4D" w:rsidRPr="00CF7DE2">
        <w:t xml:space="preserve"> minutes. </w:t>
      </w:r>
      <w:r w:rsidR="004B2E3B" w:rsidRPr="00CF7DE2">
        <w:t>For the purposes of estimating burden hours, the average time (i.e., 73</w:t>
      </w:r>
      <w:r w:rsidR="004B2E3B" w:rsidRPr="00CF7DE2">
        <w:rPr>
          <w:color w:val="0070C0"/>
        </w:rPr>
        <w:t xml:space="preserve"> </w:t>
      </w:r>
      <w:r w:rsidR="004B2E3B" w:rsidRPr="00CF7DE2">
        <w:t>minutes)</w:t>
      </w:r>
      <w:r w:rsidR="00B4113A">
        <w:t xml:space="preserve"> </w:t>
      </w:r>
      <w:r w:rsidR="004B2E3B" w:rsidRPr="00CF7DE2">
        <w:t>is used.</w:t>
      </w:r>
    </w:p>
    <w:p w14:paraId="4DB0F7EC" w14:textId="29C82E4B" w:rsidR="000058E0" w:rsidRDefault="000058E0" w:rsidP="000058E0">
      <w:pPr>
        <w:ind w:left="0"/>
      </w:pPr>
    </w:p>
    <w:p w14:paraId="64EF7556" w14:textId="7C3AB5E7" w:rsidR="00E312D9" w:rsidRDefault="008C408E" w:rsidP="00A614BC">
      <w:pPr>
        <w:ind w:left="360"/>
      </w:pPr>
      <w:r w:rsidRPr="003E7701">
        <w:t xml:space="preserve">Estimates for the average hourly wage for respondents are based on the Department of Labor (DOL) </w:t>
      </w:r>
      <w:r>
        <w:t>Bureau of Labor Statisti</w:t>
      </w:r>
      <w:r w:rsidR="008F3D10">
        <w:t xml:space="preserve">cs for occupational </w:t>
      </w:r>
      <w:r w:rsidR="008F3D10" w:rsidRPr="007F72FA">
        <w:t xml:space="preserve">employment </w:t>
      </w:r>
      <w:r w:rsidRPr="007F72FA">
        <w:t xml:space="preserve">for </w:t>
      </w:r>
      <w:r w:rsidR="007F72FA" w:rsidRPr="007F72FA">
        <w:t>MCM Coordinators</w:t>
      </w:r>
      <w:r w:rsidRPr="007F72FA">
        <w:t xml:space="preserve">.  </w:t>
      </w:r>
      <w:r w:rsidR="000058E0" w:rsidRPr="007F72FA">
        <w:t xml:space="preserve">Based on DOL data, an average hourly wage of </w:t>
      </w:r>
      <w:r w:rsidR="008C59E7" w:rsidRPr="007F72FA">
        <w:t>$</w:t>
      </w:r>
      <w:r w:rsidR="007F72FA" w:rsidRPr="007F72FA">
        <w:t xml:space="preserve">27.84 </w:t>
      </w:r>
      <w:r w:rsidR="000058E0" w:rsidRPr="007F72FA">
        <w:t xml:space="preserve">is estimated for all </w:t>
      </w:r>
      <w:r w:rsidR="00B60757">
        <w:t>1,057</w:t>
      </w:r>
      <w:r w:rsidR="000058E0" w:rsidRPr="00BB090C">
        <w:rPr>
          <w:color w:val="0070C0"/>
        </w:rPr>
        <w:t xml:space="preserve"> </w:t>
      </w:r>
      <w:r w:rsidR="000058E0" w:rsidRPr="00711BFA">
        <w:t>respondents. Table A-12 shows estimated burden and cost information.</w:t>
      </w:r>
    </w:p>
    <w:p w14:paraId="74045B55" w14:textId="77777777" w:rsidR="00E312D9" w:rsidRDefault="00E312D9" w:rsidP="00692DEB">
      <w:pPr>
        <w:ind w:left="0"/>
      </w:pPr>
    </w:p>
    <w:p w14:paraId="4C65757F" w14:textId="77777777" w:rsidR="00E41812" w:rsidRDefault="005A59E5" w:rsidP="006A09E0">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6B596B37" w14:textId="77777777" w:rsidR="005A59E5" w:rsidRDefault="005A59E5" w:rsidP="008B65FF">
      <w:pPr>
        <w:pStyle w:val="ListParagraph"/>
        <w:ind w:left="360"/>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350"/>
        <w:gridCol w:w="1350"/>
        <w:gridCol w:w="990"/>
        <w:gridCol w:w="1128"/>
        <w:gridCol w:w="1350"/>
      </w:tblGrid>
      <w:tr w:rsidR="0043229B" w:rsidRPr="006F6856" w14:paraId="40D8CC8F" w14:textId="77777777" w:rsidTr="00603A81">
        <w:trPr>
          <w:trHeight w:val="1493"/>
          <w:jc w:val="center"/>
        </w:trPr>
        <w:tc>
          <w:tcPr>
            <w:tcW w:w="1350" w:type="dxa"/>
            <w:shd w:val="clear" w:color="auto" w:fill="D9D9D9" w:themeFill="background1" w:themeFillShade="D9"/>
          </w:tcPr>
          <w:p w14:paraId="60731444" w14:textId="2FA5DEE2" w:rsidR="003B2200" w:rsidRPr="00E647FB" w:rsidRDefault="003B2200" w:rsidP="00587F48">
            <w:pPr>
              <w:ind w:left="0"/>
              <w:rPr>
                <w:b/>
                <w:sz w:val="20"/>
                <w:szCs w:val="20"/>
              </w:rPr>
            </w:pPr>
          </w:p>
        </w:tc>
        <w:tc>
          <w:tcPr>
            <w:tcW w:w="1350" w:type="dxa"/>
            <w:shd w:val="clear" w:color="auto" w:fill="D9D9D9" w:themeFill="background1" w:themeFillShade="D9"/>
            <w:vAlign w:val="center"/>
          </w:tcPr>
          <w:p w14:paraId="39DD5523" w14:textId="77777777" w:rsidR="003B2200" w:rsidRPr="00E647FB" w:rsidRDefault="003B2200" w:rsidP="000058E0">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7B17F0C9" w14:textId="77777777" w:rsidR="003B2200" w:rsidRPr="00E647FB" w:rsidRDefault="003B2200" w:rsidP="000058E0">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14:paraId="607D3D63" w14:textId="77777777" w:rsidR="003B2200" w:rsidRPr="00E647FB" w:rsidRDefault="003B2200" w:rsidP="000058E0">
            <w:pPr>
              <w:ind w:left="-18"/>
              <w:rPr>
                <w:b/>
                <w:sz w:val="20"/>
                <w:szCs w:val="20"/>
              </w:rPr>
            </w:pPr>
            <w:r w:rsidRPr="00E647FB">
              <w:rPr>
                <w:b/>
                <w:sz w:val="20"/>
                <w:szCs w:val="20"/>
              </w:rPr>
              <w:t>No. of Responses per Respondent</w:t>
            </w:r>
          </w:p>
        </w:tc>
        <w:tc>
          <w:tcPr>
            <w:tcW w:w="1350" w:type="dxa"/>
            <w:shd w:val="clear" w:color="auto" w:fill="D9D9D9" w:themeFill="background1" w:themeFillShade="D9"/>
            <w:vAlign w:val="center"/>
          </w:tcPr>
          <w:p w14:paraId="3FA8EE3C" w14:textId="77777777" w:rsidR="003B2200" w:rsidRPr="00E647FB" w:rsidRDefault="003B2200" w:rsidP="000058E0">
            <w:pPr>
              <w:ind w:left="-18"/>
              <w:rPr>
                <w:b/>
                <w:sz w:val="20"/>
                <w:szCs w:val="20"/>
              </w:rPr>
            </w:pPr>
            <w:r w:rsidRPr="00E647FB">
              <w:rPr>
                <w:b/>
                <w:sz w:val="20"/>
                <w:szCs w:val="20"/>
              </w:rPr>
              <w:t>Average Burden per Response (in hours)</w:t>
            </w:r>
          </w:p>
        </w:tc>
        <w:tc>
          <w:tcPr>
            <w:tcW w:w="990" w:type="dxa"/>
            <w:shd w:val="clear" w:color="auto" w:fill="D9D9D9" w:themeFill="background1" w:themeFillShade="D9"/>
            <w:vAlign w:val="center"/>
          </w:tcPr>
          <w:p w14:paraId="4EC84385" w14:textId="77777777" w:rsidR="003B2200" w:rsidRPr="00E647FB" w:rsidRDefault="003B2200" w:rsidP="000058E0">
            <w:pPr>
              <w:ind w:left="-18"/>
              <w:rPr>
                <w:b/>
                <w:sz w:val="20"/>
                <w:szCs w:val="20"/>
              </w:rPr>
            </w:pPr>
            <w:r w:rsidRPr="00E647FB">
              <w:rPr>
                <w:b/>
                <w:sz w:val="20"/>
                <w:szCs w:val="20"/>
              </w:rPr>
              <w:t>Total Burden Hours</w:t>
            </w:r>
          </w:p>
        </w:tc>
        <w:tc>
          <w:tcPr>
            <w:tcW w:w="1128" w:type="dxa"/>
            <w:shd w:val="clear" w:color="auto" w:fill="D9D9D9" w:themeFill="background1" w:themeFillShade="D9"/>
            <w:vAlign w:val="center"/>
          </w:tcPr>
          <w:p w14:paraId="73D32958" w14:textId="77777777" w:rsidR="003B2200" w:rsidRPr="00E647FB" w:rsidRDefault="003B2200" w:rsidP="000058E0">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06E6019E" w14:textId="77777777" w:rsidR="003B2200" w:rsidRPr="00E647FB" w:rsidRDefault="003B2200" w:rsidP="000058E0">
            <w:pPr>
              <w:ind w:left="-18"/>
              <w:rPr>
                <w:b/>
                <w:sz w:val="20"/>
                <w:szCs w:val="20"/>
              </w:rPr>
            </w:pPr>
            <w:r w:rsidRPr="00E647FB">
              <w:rPr>
                <w:b/>
                <w:sz w:val="20"/>
                <w:szCs w:val="20"/>
              </w:rPr>
              <w:t>Total Respondent Costs</w:t>
            </w:r>
          </w:p>
        </w:tc>
      </w:tr>
      <w:tr w:rsidR="00D40535" w:rsidRPr="006F6856" w14:paraId="50C92340" w14:textId="77777777" w:rsidTr="00603A81">
        <w:trPr>
          <w:jc w:val="center"/>
        </w:trPr>
        <w:tc>
          <w:tcPr>
            <w:tcW w:w="1350" w:type="dxa"/>
            <w:vMerge w:val="restart"/>
          </w:tcPr>
          <w:p w14:paraId="2E7BF474" w14:textId="77777777" w:rsidR="00D40535" w:rsidRPr="007F72FA" w:rsidRDefault="00D40535" w:rsidP="007F72FA">
            <w:pPr>
              <w:ind w:left="0"/>
              <w:rPr>
                <w:sz w:val="20"/>
                <w:szCs w:val="20"/>
              </w:rPr>
            </w:pPr>
            <w:r>
              <w:rPr>
                <w:sz w:val="20"/>
                <w:szCs w:val="20"/>
              </w:rPr>
              <w:t>Electronic</w:t>
            </w:r>
            <w:r w:rsidRPr="007F72FA">
              <w:rPr>
                <w:sz w:val="20"/>
                <w:szCs w:val="20"/>
              </w:rPr>
              <w:t xml:space="preserve"> Assessment</w:t>
            </w:r>
          </w:p>
          <w:p w14:paraId="582C72B3" w14:textId="429435E4" w:rsidR="00D40535" w:rsidRPr="007F72FA" w:rsidRDefault="00D40535" w:rsidP="007F72FA">
            <w:pPr>
              <w:ind w:left="0"/>
              <w:rPr>
                <w:sz w:val="20"/>
                <w:szCs w:val="20"/>
              </w:rPr>
            </w:pPr>
          </w:p>
        </w:tc>
        <w:tc>
          <w:tcPr>
            <w:tcW w:w="1350" w:type="dxa"/>
          </w:tcPr>
          <w:p w14:paraId="3C391452" w14:textId="0E395CBA" w:rsidR="00D40535" w:rsidRPr="007F72FA" w:rsidRDefault="00D40535" w:rsidP="00D40535">
            <w:pPr>
              <w:ind w:left="0"/>
              <w:rPr>
                <w:sz w:val="20"/>
                <w:szCs w:val="20"/>
              </w:rPr>
            </w:pPr>
            <w:r w:rsidRPr="007F72FA">
              <w:rPr>
                <w:sz w:val="20"/>
                <w:szCs w:val="20"/>
              </w:rPr>
              <w:t xml:space="preserve">MCM </w:t>
            </w:r>
            <w:r>
              <w:rPr>
                <w:sz w:val="20"/>
                <w:szCs w:val="20"/>
              </w:rPr>
              <w:t>Officials – PHEP cooperative agreement</w:t>
            </w:r>
          </w:p>
        </w:tc>
        <w:tc>
          <w:tcPr>
            <w:tcW w:w="1440" w:type="dxa"/>
          </w:tcPr>
          <w:p w14:paraId="74CD58B7" w14:textId="54E62473" w:rsidR="00D40535" w:rsidRPr="007F72FA" w:rsidRDefault="00D40535" w:rsidP="00A1050C">
            <w:pPr>
              <w:ind w:left="0"/>
              <w:rPr>
                <w:sz w:val="20"/>
                <w:szCs w:val="20"/>
              </w:rPr>
            </w:pPr>
            <w:r w:rsidRPr="007F72FA">
              <w:rPr>
                <w:sz w:val="20"/>
                <w:szCs w:val="20"/>
              </w:rPr>
              <w:t>62</w:t>
            </w:r>
          </w:p>
        </w:tc>
        <w:tc>
          <w:tcPr>
            <w:tcW w:w="1350" w:type="dxa"/>
          </w:tcPr>
          <w:p w14:paraId="04D156E6" w14:textId="77777777" w:rsidR="00D40535" w:rsidRPr="007F72FA" w:rsidRDefault="00D40535" w:rsidP="00471642">
            <w:pPr>
              <w:ind w:left="0"/>
              <w:rPr>
                <w:sz w:val="20"/>
                <w:szCs w:val="20"/>
              </w:rPr>
            </w:pPr>
            <w:r w:rsidRPr="007F72FA">
              <w:rPr>
                <w:sz w:val="20"/>
                <w:szCs w:val="20"/>
              </w:rPr>
              <w:t>1</w:t>
            </w:r>
          </w:p>
        </w:tc>
        <w:tc>
          <w:tcPr>
            <w:tcW w:w="1350" w:type="dxa"/>
          </w:tcPr>
          <w:p w14:paraId="6DFF771D" w14:textId="246D8BCD" w:rsidR="00D40535" w:rsidRPr="007F72FA" w:rsidRDefault="00D40535" w:rsidP="006A3EFD">
            <w:pPr>
              <w:ind w:left="0"/>
              <w:rPr>
                <w:sz w:val="20"/>
                <w:szCs w:val="20"/>
              </w:rPr>
            </w:pPr>
            <w:r>
              <w:rPr>
                <w:sz w:val="20"/>
                <w:szCs w:val="20"/>
              </w:rPr>
              <w:t>31</w:t>
            </w:r>
            <w:r w:rsidRPr="007F72FA">
              <w:rPr>
                <w:sz w:val="20"/>
                <w:szCs w:val="20"/>
              </w:rPr>
              <w:t xml:space="preserve">/ 60 </w:t>
            </w:r>
          </w:p>
        </w:tc>
        <w:tc>
          <w:tcPr>
            <w:tcW w:w="990" w:type="dxa"/>
          </w:tcPr>
          <w:p w14:paraId="7C899143" w14:textId="6608428D" w:rsidR="00D40535" w:rsidRPr="007F72FA" w:rsidRDefault="00D40535" w:rsidP="00A1050C">
            <w:pPr>
              <w:ind w:left="0"/>
              <w:rPr>
                <w:sz w:val="20"/>
                <w:szCs w:val="20"/>
              </w:rPr>
            </w:pPr>
            <w:r>
              <w:rPr>
                <w:sz w:val="20"/>
                <w:szCs w:val="20"/>
              </w:rPr>
              <w:t>32</w:t>
            </w:r>
          </w:p>
        </w:tc>
        <w:tc>
          <w:tcPr>
            <w:tcW w:w="1128" w:type="dxa"/>
          </w:tcPr>
          <w:p w14:paraId="4496AFC0" w14:textId="35672222" w:rsidR="00D40535" w:rsidRPr="007F72FA" w:rsidRDefault="00D40535" w:rsidP="007F72FA">
            <w:pPr>
              <w:ind w:left="0"/>
              <w:rPr>
                <w:sz w:val="20"/>
                <w:szCs w:val="20"/>
              </w:rPr>
            </w:pPr>
            <w:r w:rsidRPr="007F72FA">
              <w:rPr>
                <w:sz w:val="20"/>
                <w:szCs w:val="20"/>
              </w:rPr>
              <w:t>$27.84</w:t>
            </w:r>
          </w:p>
        </w:tc>
        <w:tc>
          <w:tcPr>
            <w:tcW w:w="1350" w:type="dxa"/>
          </w:tcPr>
          <w:p w14:paraId="63E12EB1" w14:textId="778599F6" w:rsidR="00D40535" w:rsidRPr="007F72FA" w:rsidRDefault="00D40535" w:rsidP="00D40535">
            <w:pPr>
              <w:ind w:left="0"/>
              <w:rPr>
                <w:sz w:val="20"/>
                <w:szCs w:val="20"/>
              </w:rPr>
            </w:pPr>
            <w:r w:rsidRPr="007F72FA">
              <w:rPr>
                <w:sz w:val="20"/>
                <w:szCs w:val="20"/>
              </w:rPr>
              <w:t>$</w:t>
            </w:r>
            <w:r w:rsidR="00BD47DF">
              <w:rPr>
                <w:sz w:val="20"/>
                <w:szCs w:val="20"/>
              </w:rPr>
              <w:t>89</w:t>
            </w:r>
            <w:r w:rsidR="00355D81">
              <w:rPr>
                <w:sz w:val="20"/>
                <w:szCs w:val="20"/>
              </w:rPr>
              <w:t>1</w:t>
            </w:r>
          </w:p>
        </w:tc>
      </w:tr>
      <w:tr w:rsidR="00D40535" w:rsidRPr="006F6856" w14:paraId="4AD0F503" w14:textId="77777777" w:rsidTr="00603A81">
        <w:trPr>
          <w:jc w:val="center"/>
        </w:trPr>
        <w:tc>
          <w:tcPr>
            <w:tcW w:w="1350" w:type="dxa"/>
            <w:vMerge/>
          </w:tcPr>
          <w:p w14:paraId="24ED8A69" w14:textId="03311440" w:rsidR="00D40535" w:rsidRDefault="00D40535" w:rsidP="007F72FA">
            <w:pPr>
              <w:ind w:left="0"/>
              <w:rPr>
                <w:sz w:val="20"/>
                <w:szCs w:val="20"/>
              </w:rPr>
            </w:pPr>
          </w:p>
        </w:tc>
        <w:tc>
          <w:tcPr>
            <w:tcW w:w="1350" w:type="dxa"/>
          </w:tcPr>
          <w:p w14:paraId="47E3930B" w14:textId="32E187A3" w:rsidR="00D40535" w:rsidRPr="007F72FA" w:rsidRDefault="00D40535" w:rsidP="00D40535">
            <w:pPr>
              <w:ind w:left="0"/>
              <w:rPr>
                <w:sz w:val="20"/>
                <w:szCs w:val="20"/>
              </w:rPr>
            </w:pPr>
            <w:r>
              <w:rPr>
                <w:sz w:val="20"/>
                <w:szCs w:val="20"/>
              </w:rPr>
              <w:t xml:space="preserve">MCM </w:t>
            </w:r>
            <w:r w:rsidR="00D947D6">
              <w:rPr>
                <w:sz w:val="20"/>
                <w:szCs w:val="20"/>
              </w:rPr>
              <w:t>Officials</w:t>
            </w:r>
            <w:r>
              <w:rPr>
                <w:sz w:val="20"/>
                <w:szCs w:val="20"/>
              </w:rPr>
              <w:t xml:space="preserve"> – NACCHO Contacts</w:t>
            </w:r>
          </w:p>
        </w:tc>
        <w:tc>
          <w:tcPr>
            <w:tcW w:w="1440" w:type="dxa"/>
          </w:tcPr>
          <w:p w14:paraId="008CEFFB" w14:textId="5EC65B95" w:rsidR="00D40535" w:rsidRPr="007F72FA" w:rsidRDefault="00D40535" w:rsidP="00A1050C">
            <w:pPr>
              <w:ind w:left="0"/>
              <w:rPr>
                <w:sz w:val="20"/>
                <w:szCs w:val="20"/>
              </w:rPr>
            </w:pPr>
            <w:r>
              <w:rPr>
                <w:sz w:val="20"/>
                <w:szCs w:val="20"/>
              </w:rPr>
              <w:t>995</w:t>
            </w:r>
          </w:p>
        </w:tc>
        <w:tc>
          <w:tcPr>
            <w:tcW w:w="1350" w:type="dxa"/>
          </w:tcPr>
          <w:p w14:paraId="39DF21A3" w14:textId="0E669E09" w:rsidR="00D40535" w:rsidRPr="007F72FA" w:rsidRDefault="00D40535" w:rsidP="00471642">
            <w:pPr>
              <w:ind w:left="0"/>
              <w:rPr>
                <w:sz w:val="20"/>
                <w:szCs w:val="20"/>
              </w:rPr>
            </w:pPr>
            <w:r>
              <w:rPr>
                <w:sz w:val="20"/>
                <w:szCs w:val="20"/>
              </w:rPr>
              <w:t>1</w:t>
            </w:r>
          </w:p>
        </w:tc>
        <w:tc>
          <w:tcPr>
            <w:tcW w:w="1350" w:type="dxa"/>
          </w:tcPr>
          <w:p w14:paraId="401A3F8F" w14:textId="60F45FF8" w:rsidR="00D40535" w:rsidRDefault="00D40535" w:rsidP="006A3EFD">
            <w:pPr>
              <w:ind w:left="0"/>
              <w:rPr>
                <w:sz w:val="20"/>
                <w:szCs w:val="20"/>
              </w:rPr>
            </w:pPr>
            <w:r>
              <w:rPr>
                <w:sz w:val="20"/>
                <w:szCs w:val="20"/>
              </w:rPr>
              <w:t xml:space="preserve"> 31</w:t>
            </w:r>
            <w:r w:rsidRPr="007F72FA">
              <w:rPr>
                <w:sz w:val="20"/>
                <w:szCs w:val="20"/>
              </w:rPr>
              <w:t xml:space="preserve">/ 60 </w:t>
            </w:r>
          </w:p>
        </w:tc>
        <w:tc>
          <w:tcPr>
            <w:tcW w:w="990" w:type="dxa"/>
          </w:tcPr>
          <w:p w14:paraId="4A0531FB" w14:textId="07D736F5" w:rsidR="00D40535" w:rsidRDefault="00D40535" w:rsidP="00A1050C">
            <w:pPr>
              <w:ind w:left="0"/>
              <w:rPr>
                <w:sz w:val="20"/>
                <w:szCs w:val="20"/>
              </w:rPr>
            </w:pPr>
            <w:r>
              <w:rPr>
                <w:sz w:val="20"/>
                <w:szCs w:val="20"/>
              </w:rPr>
              <w:t>51</w:t>
            </w:r>
            <w:r w:rsidR="00A73D9B">
              <w:rPr>
                <w:sz w:val="20"/>
                <w:szCs w:val="20"/>
              </w:rPr>
              <w:t>4</w:t>
            </w:r>
          </w:p>
        </w:tc>
        <w:tc>
          <w:tcPr>
            <w:tcW w:w="1128" w:type="dxa"/>
          </w:tcPr>
          <w:p w14:paraId="445B4CA4" w14:textId="3042E063" w:rsidR="00D40535" w:rsidRPr="007F72FA" w:rsidRDefault="00D40535" w:rsidP="007F72FA">
            <w:pPr>
              <w:ind w:left="0"/>
              <w:rPr>
                <w:sz w:val="20"/>
                <w:szCs w:val="20"/>
              </w:rPr>
            </w:pPr>
            <w:r w:rsidRPr="007F72FA">
              <w:rPr>
                <w:sz w:val="20"/>
                <w:szCs w:val="20"/>
              </w:rPr>
              <w:t>$27.84</w:t>
            </w:r>
          </w:p>
        </w:tc>
        <w:tc>
          <w:tcPr>
            <w:tcW w:w="1350" w:type="dxa"/>
          </w:tcPr>
          <w:p w14:paraId="7D97FCFA" w14:textId="7BFDF68F" w:rsidR="00D40535" w:rsidRPr="007F72FA" w:rsidRDefault="00D40535" w:rsidP="00F500B0">
            <w:pPr>
              <w:ind w:left="0"/>
              <w:rPr>
                <w:sz w:val="20"/>
                <w:szCs w:val="20"/>
              </w:rPr>
            </w:pPr>
            <w:r>
              <w:rPr>
                <w:sz w:val="20"/>
                <w:szCs w:val="20"/>
              </w:rPr>
              <w:t>$14,</w:t>
            </w:r>
            <w:r w:rsidR="00355D81">
              <w:rPr>
                <w:sz w:val="20"/>
                <w:szCs w:val="20"/>
              </w:rPr>
              <w:t>3</w:t>
            </w:r>
            <w:r w:rsidR="00A73D9B">
              <w:rPr>
                <w:sz w:val="20"/>
                <w:szCs w:val="20"/>
              </w:rPr>
              <w:t>10</w:t>
            </w:r>
          </w:p>
        </w:tc>
      </w:tr>
      <w:tr w:rsidR="0027544E" w:rsidRPr="006F6856" w14:paraId="1097E9E0" w14:textId="77777777" w:rsidTr="00603A81">
        <w:trPr>
          <w:jc w:val="center"/>
        </w:trPr>
        <w:tc>
          <w:tcPr>
            <w:tcW w:w="1350" w:type="dxa"/>
            <w:vMerge w:val="restart"/>
          </w:tcPr>
          <w:p w14:paraId="2C2E17F1" w14:textId="5EF627A9" w:rsidR="0027544E" w:rsidRPr="007F72FA" w:rsidRDefault="00916967" w:rsidP="0027544E">
            <w:pPr>
              <w:ind w:left="0"/>
              <w:rPr>
                <w:sz w:val="20"/>
                <w:szCs w:val="20"/>
              </w:rPr>
            </w:pPr>
            <w:r>
              <w:rPr>
                <w:sz w:val="20"/>
                <w:szCs w:val="20"/>
              </w:rPr>
              <w:t xml:space="preserve">Virtual </w:t>
            </w:r>
            <w:r w:rsidR="0027544E">
              <w:rPr>
                <w:sz w:val="20"/>
                <w:szCs w:val="20"/>
              </w:rPr>
              <w:t xml:space="preserve">Group Interview Sign-up </w:t>
            </w:r>
            <w:r w:rsidR="005E74BB">
              <w:rPr>
                <w:sz w:val="20"/>
                <w:szCs w:val="20"/>
              </w:rPr>
              <w:t>Form</w:t>
            </w:r>
          </w:p>
          <w:p w14:paraId="635DC46A" w14:textId="474AC719" w:rsidR="0027544E" w:rsidRPr="007F72FA" w:rsidRDefault="0027544E" w:rsidP="0027544E">
            <w:pPr>
              <w:ind w:left="0"/>
              <w:rPr>
                <w:sz w:val="20"/>
                <w:szCs w:val="20"/>
              </w:rPr>
            </w:pPr>
          </w:p>
        </w:tc>
        <w:tc>
          <w:tcPr>
            <w:tcW w:w="1350" w:type="dxa"/>
          </w:tcPr>
          <w:p w14:paraId="1F45143D" w14:textId="09F870DD" w:rsidR="0027544E" w:rsidRPr="007F72FA" w:rsidRDefault="0027544E" w:rsidP="0027544E">
            <w:pPr>
              <w:ind w:left="0"/>
              <w:rPr>
                <w:sz w:val="20"/>
                <w:szCs w:val="20"/>
              </w:rPr>
            </w:pPr>
            <w:r>
              <w:rPr>
                <w:sz w:val="20"/>
                <w:szCs w:val="20"/>
              </w:rPr>
              <w:t>MCM Officials – PHEP Cooperative Agreement</w:t>
            </w:r>
          </w:p>
        </w:tc>
        <w:tc>
          <w:tcPr>
            <w:tcW w:w="1440" w:type="dxa"/>
          </w:tcPr>
          <w:p w14:paraId="38263A0F" w14:textId="2C59B6EE" w:rsidR="0027544E" w:rsidRDefault="0027544E" w:rsidP="006A3EFD">
            <w:pPr>
              <w:ind w:left="0"/>
              <w:rPr>
                <w:sz w:val="20"/>
                <w:szCs w:val="20"/>
              </w:rPr>
            </w:pPr>
            <w:r>
              <w:rPr>
                <w:sz w:val="20"/>
                <w:szCs w:val="20"/>
              </w:rPr>
              <w:t xml:space="preserve">62 </w:t>
            </w:r>
          </w:p>
        </w:tc>
        <w:tc>
          <w:tcPr>
            <w:tcW w:w="1350" w:type="dxa"/>
          </w:tcPr>
          <w:p w14:paraId="2D8E1962" w14:textId="161C2CF2" w:rsidR="0027544E" w:rsidRDefault="0027544E" w:rsidP="0027544E">
            <w:pPr>
              <w:ind w:left="0"/>
              <w:rPr>
                <w:sz w:val="20"/>
                <w:szCs w:val="20"/>
              </w:rPr>
            </w:pPr>
            <w:r>
              <w:rPr>
                <w:sz w:val="20"/>
                <w:szCs w:val="20"/>
              </w:rPr>
              <w:t>1</w:t>
            </w:r>
          </w:p>
        </w:tc>
        <w:tc>
          <w:tcPr>
            <w:tcW w:w="1350" w:type="dxa"/>
          </w:tcPr>
          <w:p w14:paraId="3F708677" w14:textId="757B115E" w:rsidR="0027544E" w:rsidRDefault="0027544E" w:rsidP="006A3EFD">
            <w:pPr>
              <w:ind w:left="0"/>
              <w:rPr>
                <w:sz w:val="20"/>
                <w:szCs w:val="20"/>
              </w:rPr>
            </w:pPr>
            <w:r>
              <w:rPr>
                <w:sz w:val="20"/>
                <w:szCs w:val="20"/>
              </w:rPr>
              <w:t xml:space="preserve"> 1/60 </w:t>
            </w:r>
          </w:p>
        </w:tc>
        <w:tc>
          <w:tcPr>
            <w:tcW w:w="990" w:type="dxa"/>
          </w:tcPr>
          <w:p w14:paraId="5AE3501B" w14:textId="4009F3E5" w:rsidR="0027544E" w:rsidRDefault="0027544E" w:rsidP="0027544E">
            <w:pPr>
              <w:ind w:left="0"/>
              <w:rPr>
                <w:sz w:val="20"/>
                <w:szCs w:val="20"/>
              </w:rPr>
            </w:pPr>
            <w:r>
              <w:rPr>
                <w:sz w:val="20"/>
                <w:szCs w:val="20"/>
              </w:rPr>
              <w:t>1</w:t>
            </w:r>
          </w:p>
        </w:tc>
        <w:tc>
          <w:tcPr>
            <w:tcW w:w="1128" w:type="dxa"/>
          </w:tcPr>
          <w:p w14:paraId="5D850395" w14:textId="58DE5E66" w:rsidR="0027544E" w:rsidRPr="007F72FA" w:rsidRDefault="0027544E" w:rsidP="0027544E">
            <w:pPr>
              <w:ind w:left="0"/>
              <w:rPr>
                <w:sz w:val="20"/>
                <w:szCs w:val="20"/>
              </w:rPr>
            </w:pPr>
            <w:r>
              <w:rPr>
                <w:sz w:val="20"/>
                <w:szCs w:val="20"/>
              </w:rPr>
              <w:t>$27.84</w:t>
            </w:r>
          </w:p>
        </w:tc>
        <w:tc>
          <w:tcPr>
            <w:tcW w:w="1350" w:type="dxa"/>
          </w:tcPr>
          <w:p w14:paraId="52E75AEC" w14:textId="01B08C9B" w:rsidR="0027544E" w:rsidRPr="007F72FA" w:rsidRDefault="0027544E" w:rsidP="0027544E">
            <w:pPr>
              <w:ind w:left="0"/>
              <w:rPr>
                <w:sz w:val="20"/>
                <w:szCs w:val="20"/>
              </w:rPr>
            </w:pPr>
            <w:r>
              <w:rPr>
                <w:sz w:val="20"/>
                <w:szCs w:val="20"/>
              </w:rPr>
              <w:t>$28</w:t>
            </w:r>
          </w:p>
        </w:tc>
      </w:tr>
      <w:tr w:rsidR="0027544E" w:rsidRPr="006F6856" w14:paraId="40DE7AA4" w14:textId="77777777" w:rsidTr="00603A81">
        <w:trPr>
          <w:jc w:val="center"/>
        </w:trPr>
        <w:tc>
          <w:tcPr>
            <w:tcW w:w="1350" w:type="dxa"/>
            <w:vMerge/>
          </w:tcPr>
          <w:p w14:paraId="53BABF66" w14:textId="39024645" w:rsidR="0027544E" w:rsidRPr="007F72FA" w:rsidRDefault="0027544E" w:rsidP="0027544E">
            <w:pPr>
              <w:ind w:left="0"/>
              <w:rPr>
                <w:sz w:val="20"/>
                <w:szCs w:val="20"/>
              </w:rPr>
            </w:pPr>
          </w:p>
        </w:tc>
        <w:tc>
          <w:tcPr>
            <w:tcW w:w="1350" w:type="dxa"/>
          </w:tcPr>
          <w:p w14:paraId="3E4D7EED" w14:textId="5B29881B" w:rsidR="0027544E" w:rsidRPr="007F72FA" w:rsidRDefault="0027544E" w:rsidP="0027544E">
            <w:pPr>
              <w:ind w:left="0"/>
              <w:rPr>
                <w:sz w:val="20"/>
                <w:szCs w:val="20"/>
              </w:rPr>
            </w:pPr>
            <w:r>
              <w:rPr>
                <w:sz w:val="20"/>
                <w:szCs w:val="20"/>
              </w:rPr>
              <w:t>MCM Officials</w:t>
            </w:r>
            <w:r w:rsidR="008B41DE">
              <w:rPr>
                <w:sz w:val="20"/>
                <w:szCs w:val="20"/>
              </w:rPr>
              <w:t xml:space="preserve"> – NACCHO Contacts</w:t>
            </w:r>
          </w:p>
        </w:tc>
        <w:tc>
          <w:tcPr>
            <w:tcW w:w="1440" w:type="dxa"/>
          </w:tcPr>
          <w:p w14:paraId="3E0B1FE4" w14:textId="286ED071" w:rsidR="0027544E" w:rsidRDefault="0027544E" w:rsidP="00F21CE2">
            <w:pPr>
              <w:ind w:left="0"/>
              <w:rPr>
                <w:sz w:val="20"/>
                <w:szCs w:val="20"/>
              </w:rPr>
            </w:pPr>
            <w:r>
              <w:rPr>
                <w:sz w:val="20"/>
                <w:szCs w:val="20"/>
              </w:rPr>
              <w:t>995</w:t>
            </w:r>
          </w:p>
        </w:tc>
        <w:tc>
          <w:tcPr>
            <w:tcW w:w="1350" w:type="dxa"/>
          </w:tcPr>
          <w:p w14:paraId="4BD346D8" w14:textId="6A34348D" w:rsidR="0027544E" w:rsidRDefault="0027544E" w:rsidP="0027544E">
            <w:pPr>
              <w:ind w:left="0"/>
              <w:rPr>
                <w:sz w:val="20"/>
                <w:szCs w:val="20"/>
              </w:rPr>
            </w:pPr>
            <w:r>
              <w:rPr>
                <w:sz w:val="20"/>
                <w:szCs w:val="20"/>
              </w:rPr>
              <w:t>1</w:t>
            </w:r>
          </w:p>
        </w:tc>
        <w:tc>
          <w:tcPr>
            <w:tcW w:w="1350" w:type="dxa"/>
          </w:tcPr>
          <w:p w14:paraId="03519E38" w14:textId="13B6B0E3" w:rsidR="0027544E" w:rsidRDefault="0027544E" w:rsidP="006A3EFD">
            <w:pPr>
              <w:ind w:left="0"/>
              <w:rPr>
                <w:sz w:val="20"/>
                <w:szCs w:val="20"/>
              </w:rPr>
            </w:pPr>
            <w:r>
              <w:rPr>
                <w:sz w:val="20"/>
                <w:szCs w:val="20"/>
              </w:rPr>
              <w:t xml:space="preserve"> 1/60 </w:t>
            </w:r>
          </w:p>
        </w:tc>
        <w:tc>
          <w:tcPr>
            <w:tcW w:w="990" w:type="dxa"/>
          </w:tcPr>
          <w:p w14:paraId="6D2F8456" w14:textId="2F2A998C" w:rsidR="0027544E" w:rsidRDefault="006B6F3F" w:rsidP="0027544E">
            <w:pPr>
              <w:ind w:left="0"/>
              <w:rPr>
                <w:sz w:val="20"/>
                <w:szCs w:val="20"/>
              </w:rPr>
            </w:pPr>
            <w:r>
              <w:rPr>
                <w:sz w:val="20"/>
                <w:szCs w:val="20"/>
              </w:rPr>
              <w:t>17</w:t>
            </w:r>
          </w:p>
        </w:tc>
        <w:tc>
          <w:tcPr>
            <w:tcW w:w="1128" w:type="dxa"/>
          </w:tcPr>
          <w:p w14:paraId="52F4C7B6" w14:textId="43550649" w:rsidR="0027544E" w:rsidRPr="007F72FA" w:rsidRDefault="0027544E" w:rsidP="0027544E">
            <w:pPr>
              <w:ind w:left="0"/>
              <w:rPr>
                <w:sz w:val="20"/>
                <w:szCs w:val="20"/>
              </w:rPr>
            </w:pPr>
            <w:r>
              <w:rPr>
                <w:sz w:val="20"/>
                <w:szCs w:val="20"/>
              </w:rPr>
              <w:t>$27.84</w:t>
            </w:r>
          </w:p>
        </w:tc>
        <w:tc>
          <w:tcPr>
            <w:tcW w:w="1350" w:type="dxa"/>
          </w:tcPr>
          <w:p w14:paraId="139E7440" w14:textId="5FD85A61" w:rsidR="0027544E" w:rsidRPr="007F72FA" w:rsidRDefault="0027544E" w:rsidP="0027544E">
            <w:pPr>
              <w:ind w:left="0"/>
              <w:rPr>
                <w:sz w:val="20"/>
                <w:szCs w:val="20"/>
              </w:rPr>
            </w:pPr>
            <w:r>
              <w:rPr>
                <w:sz w:val="20"/>
                <w:szCs w:val="20"/>
              </w:rPr>
              <w:t>$</w:t>
            </w:r>
            <w:r w:rsidR="006B6F3F">
              <w:rPr>
                <w:sz w:val="20"/>
                <w:szCs w:val="20"/>
              </w:rPr>
              <w:t xml:space="preserve">473 </w:t>
            </w:r>
          </w:p>
        </w:tc>
      </w:tr>
      <w:tr w:rsidR="0027544E" w:rsidRPr="006F6856" w14:paraId="1EB2C3C0" w14:textId="77777777" w:rsidTr="00603A81">
        <w:trPr>
          <w:jc w:val="center"/>
        </w:trPr>
        <w:tc>
          <w:tcPr>
            <w:tcW w:w="1350" w:type="dxa"/>
            <w:vMerge w:val="restart"/>
          </w:tcPr>
          <w:p w14:paraId="24FCBC98" w14:textId="02EA8278" w:rsidR="0027544E" w:rsidRPr="007F72FA" w:rsidRDefault="00916967" w:rsidP="0027544E">
            <w:pPr>
              <w:ind w:left="0"/>
              <w:rPr>
                <w:sz w:val="20"/>
                <w:szCs w:val="20"/>
              </w:rPr>
            </w:pPr>
            <w:r>
              <w:rPr>
                <w:sz w:val="20"/>
                <w:szCs w:val="20"/>
              </w:rPr>
              <w:t xml:space="preserve">Virtual </w:t>
            </w:r>
            <w:r w:rsidR="0027544E" w:rsidRPr="00D40535">
              <w:rPr>
                <w:sz w:val="20"/>
                <w:szCs w:val="20"/>
              </w:rPr>
              <w:t>Group Interview Discussions</w:t>
            </w:r>
          </w:p>
          <w:p w14:paraId="4F5A3E1E" w14:textId="198F73DF" w:rsidR="0027544E" w:rsidRPr="007F72FA" w:rsidRDefault="0027544E" w:rsidP="0027544E">
            <w:pPr>
              <w:ind w:left="0"/>
              <w:rPr>
                <w:sz w:val="20"/>
                <w:szCs w:val="20"/>
              </w:rPr>
            </w:pPr>
          </w:p>
        </w:tc>
        <w:tc>
          <w:tcPr>
            <w:tcW w:w="1350" w:type="dxa"/>
          </w:tcPr>
          <w:p w14:paraId="540DE601" w14:textId="1B8BA3C2" w:rsidR="0027544E" w:rsidRPr="007F72FA" w:rsidRDefault="0027544E" w:rsidP="0027544E">
            <w:pPr>
              <w:ind w:left="0"/>
              <w:rPr>
                <w:sz w:val="20"/>
                <w:szCs w:val="20"/>
              </w:rPr>
            </w:pPr>
            <w:r w:rsidRPr="007F72FA">
              <w:rPr>
                <w:sz w:val="20"/>
                <w:szCs w:val="20"/>
              </w:rPr>
              <w:t xml:space="preserve">MCM </w:t>
            </w:r>
            <w:r>
              <w:rPr>
                <w:sz w:val="20"/>
                <w:szCs w:val="20"/>
              </w:rPr>
              <w:t>Officials – PHEP Cooperative Agreement</w:t>
            </w:r>
          </w:p>
        </w:tc>
        <w:tc>
          <w:tcPr>
            <w:tcW w:w="1440" w:type="dxa"/>
          </w:tcPr>
          <w:p w14:paraId="343D9DCA" w14:textId="7FD72440" w:rsidR="0027544E" w:rsidRPr="007F72FA" w:rsidRDefault="0027544E" w:rsidP="006A3EFD">
            <w:pPr>
              <w:ind w:left="0"/>
              <w:rPr>
                <w:sz w:val="20"/>
                <w:szCs w:val="20"/>
              </w:rPr>
            </w:pPr>
            <w:r>
              <w:rPr>
                <w:sz w:val="20"/>
                <w:szCs w:val="20"/>
              </w:rPr>
              <w:t xml:space="preserve">15 </w:t>
            </w:r>
          </w:p>
        </w:tc>
        <w:tc>
          <w:tcPr>
            <w:tcW w:w="1350" w:type="dxa"/>
          </w:tcPr>
          <w:p w14:paraId="3ADB17AA" w14:textId="737262B3" w:rsidR="0027544E" w:rsidRPr="007F72FA" w:rsidRDefault="0027544E" w:rsidP="0027544E">
            <w:pPr>
              <w:ind w:left="0"/>
              <w:rPr>
                <w:sz w:val="20"/>
                <w:szCs w:val="20"/>
              </w:rPr>
            </w:pPr>
            <w:r>
              <w:rPr>
                <w:sz w:val="20"/>
                <w:szCs w:val="20"/>
              </w:rPr>
              <w:t>1</w:t>
            </w:r>
          </w:p>
        </w:tc>
        <w:tc>
          <w:tcPr>
            <w:tcW w:w="1350" w:type="dxa"/>
          </w:tcPr>
          <w:p w14:paraId="0227A0F7" w14:textId="5D677933" w:rsidR="0027544E" w:rsidRPr="007F72FA" w:rsidRDefault="0027544E" w:rsidP="006A3EFD">
            <w:pPr>
              <w:ind w:left="0"/>
              <w:rPr>
                <w:sz w:val="20"/>
                <w:szCs w:val="20"/>
              </w:rPr>
            </w:pPr>
            <w:r>
              <w:rPr>
                <w:sz w:val="20"/>
                <w:szCs w:val="20"/>
              </w:rPr>
              <w:t xml:space="preserve"> </w:t>
            </w:r>
            <w:r w:rsidR="004B2E3B">
              <w:rPr>
                <w:sz w:val="20"/>
                <w:szCs w:val="20"/>
              </w:rPr>
              <w:t>73</w:t>
            </w:r>
            <w:r w:rsidR="004B2E3B" w:rsidRPr="007F72FA">
              <w:rPr>
                <w:sz w:val="20"/>
                <w:szCs w:val="20"/>
              </w:rPr>
              <w:t xml:space="preserve"> </w:t>
            </w:r>
            <w:r w:rsidRPr="007F72FA">
              <w:rPr>
                <w:sz w:val="20"/>
                <w:szCs w:val="20"/>
              </w:rPr>
              <w:t xml:space="preserve">/ 60 </w:t>
            </w:r>
          </w:p>
        </w:tc>
        <w:tc>
          <w:tcPr>
            <w:tcW w:w="990" w:type="dxa"/>
          </w:tcPr>
          <w:p w14:paraId="4556CCCB" w14:textId="595A7E76" w:rsidR="0027544E" w:rsidRPr="007F72FA" w:rsidRDefault="005D37B4" w:rsidP="0027544E">
            <w:pPr>
              <w:ind w:left="0"/>
              <w:rPr>
                <w:sz w:val="20"/>
                <w:szCs w:val="20"/>
              </w:rPr>
            </w:pPr>
            <w:r>
              <w:rPr>
                <w:sz w:val="20"/>
                <w:szCs w:val="20"/>
              </w:rPr>
              <w:t>1</w:t>
            </w:r>
            <w:r w:rsidR="006B6F3F">
              <w:rPr>
                <w:sz w:val="20"/>
                <w:szCs w:val="20"/>
              </w:rPr>
              <w:t>8</w:t>
            </w:r>
          </w:p>
        </w:tc>
        <w:tc>
          <w:tcPr>
            <w:tcW w:w="1128" w:type="dxa"/>
          </w:tcPr>
          <w:p w14:paraId="2DFB4FE8" w14:textId="3A0B1FCC" w:rsidR="0027544E" w:rsidRPr="007F72FA" w:rsidRDefault="0027544E" w:rsidP="0027544E">
            <w:pPr>
              <w:ind w:left="0"/>
              <w:rPr>
                <w:sz w:val="20"/>
                <w:szCs w:val="20"/>
              </w:rPr>
            </w:pPr>
            <w:r w:rsidRPr="007F72FA">
              <w:rPr>
                <w:sz w:val="20"/>
                <w:szCs w:val="20"/>
              </w:rPr>
              <w:t>$27.84</w:t>
            </w:r>
          </w:p>
        </w:tc>
        <w:tc>
          <w:tcPr>
            <w:tcW w:w="1350" w:type="dxa"/>
          </w:tcPr>
          <w:p w14:paraId="1D353EB1" w14:textId="4E6BE9F9" w:rsidR="0027544E" w:rsidRPr="007F72FA" w:rsidRDefault="0027544E" w:rsidP="005D37B4">
            <w:pPr>
              <w:ind w:left="0"/>
              <w:rPr>
                <w:sz w:val="20"/>
                <w:szCs w:val="20"/>
              </w:rPr>
            </w:pPr>
            <w:r w:rsidRPr="007F72FA">
              <w:rPr>
                <w:sz w:val="20"/>
                <w:szCs w:val="20"/>
              </w:rPr>
              <w:t>$</w:t>
            </w:r>
            <w:r w:rsidR="005D37B4">
              <w:rPr>
                <w:sz w:val="20"/>
                <w:szCs w:val="20"/>
              </w:rPr>
              <w:t>5</w:t>
            </w:r>
            <w:r w:rsidR="006B6F3F">
              <w:rPr>
                <w:sz w:val="20"/>
                <w:szCs w:val="20"/>
              </w:rPr>
              <w:t>01</w:t>
            </w:r>
          </w:p>
        </w:tc>
      </w:tr>
      <w:tr w:rsidR="0027544E" w:rsidRPr="006F6856" w14:paraId="6CC7DA82" w14:textId="77777777" w:rsidTr="00603A81">
        <w:trPr>
          <w:jc w:val="center"/>
        </w:trPr>
        <w:tc>
          <w:tcPr>
            <w:tcW w:w="1350" w:type="dxa"/>
            <w:vMerge/>
          </w:tcPr>
          <w:p w14:paraId="4690E136" w14:textId="06E66F4C" w:rsidR="0027544E" w:rsidRDefault="0027544E" w:rsidP="0027544E">
            <w:pPr>
              <w:ind w:left="0"/>
              <w:rPr>
                <w:sz w:val="20"/>
                <w:szCs w:val="20"/>
              </w:rPr>
            </w:pPr>
          </w:p>
        </w:tc>
        <w:tc>
          <w:tcPr>
            <w:tcW w:w="1350" w:type="dxa"/>
          </w:tcPr>
          <w:p w14:paraId="3F1CB5A6" w14:textId="15853E81" w:rsidR="0027544E" w:rsidRPr="007F72FA" w:rsidRDefault="0027544E" w:rsidP="0027544E">
            <w:pPr>
              <w:ind w:left="0"/>
              <w:rPr>
                <w:sz w:val="20"/>
                <w:szCs w:val="20"/>
              </w:rPr>
            </w:pPr>
            <w:r w:rsidRPr="007F72FA">
              <w:rPr>
                <w:sz w:val="20"/>
                <w:szCs w:val="20"/>
              </w:rPr>
              <w:t xml:space="preserve">MCM </w:t>
            </w:r>
            <w:r>
              <w:rPr>
                <w:sz w:val="20"/>
                <w:szCs w:val="20"/>
              </w:rPr>
              <w:t>Officials</w:t>
            </w:r>
            <w:r w:rsidR="008B41DE">
              <w:rPr>
                <w:sz w:val="20"/>
                <w:szCs w:val="20"/>
              </w:rPr>
              <w:t xml:space="preserve"> – NACCHO Contacts</w:t>
            </w:r>
          </w:p>
        </w:tc>
        <w:tc>
          <w:tcPr>
            <w:tcW w:w="1440" w:type="dxa"/>
          </w:tcPr>
          <w:p w14:paraId="4B7183C3" w14:textId="0E9ED5D3" w:rsidR="0027544E" w:rsidRPr="007F72FA" w:rsidRDefault="0027544E" w:rsidP="006A3EFD">
            <w:pPr>
              <w:ind w:left="0"/>
              <w:rPr>
                <w:sz w:val="20"/>
                <w:szCs w:val="20"/>
              </w:rPr>
            </w:pPr>
            <w:r>
              <w:rPr>
                <w:sz w:val="20"/>
                <w:szCs w:val="20"/>
              </w:rPr>
              <w:t xml:space="preserve">45 </w:t>
            </w:r>
          </w:p>
        </w:tc>
        <w:tc>
          <w:tcPr>
            <w:tcW w:w="1350" w:type="dxa"/>
          </w:tcPr>
          <w:p w14:paraId="5CD89D3D" w14:textId="59252352" w:rsidR="0027544E" w:rsidRDefault="0027544E" w:rsidP="0027544E">
            <w:pPr>
              <w:ind w:left="0"/>
              <w:rPr>
                <w:sz w:val="20"/>
                <w:szCs w:val="20"/>
              </w:rPr>
            </w:pPr>
            <w:r>
              <w:rPr>
                <w:sz w:val="20"/>
                <w:szCs w:val="20"/>
              </w:rPr>
              <w:t>1</w:t>
            </w:r>
          </w:p>
        </w:tc>
        <w:tc>
          <w:tcPr>
            <w:tcW w:w="1350" w:type="dxa"/>
          </w:tcPr>
          <w:p w14:paraId="7D151F59" w14:textId="008F7428" w:rsidR="0027544E" w:rsidRDefault="004B2E3B" w:rsidP="006A3EFD">
            <w:pPr>
              <w:ind w:left="0"/>
              <w:rPr>
                <w:sz w:val="20"/>
                <w:szCs w:val="20"/>
              </w:rPr>
            </w:pPr>
            <w:r>
              <w:rPr>
                <w:sz w:val="20"/>
                <w:szCs w:val="20"/>
              </w:rPr>
              <w:t>73</w:t>
            </w:r>
            <w:r w:rsidRPr="007F72FA">
              <w:rPr>
                <w:sz w:val="20"/>
                <w:szCs w:val="20"/>
              </w:rPr>
              <w:t xml:space="preserve"> </w:t>
            </w:r>
            <w:r w:rsidR="0027544E" w:rsidRPr="007F72FA">
              <w:rPr>
                <w:sz w:val="20"/>
                <w:szCs w:val="20"/>
              </w:rPr>
              <w:t>/ 60</w:t>
            </w:r>
            <w:r w:rsidR="0027544E">
              <w:rPr>
                <w:sz w:val="20"/>
                <w:szCs w:val="20"/>
              </w:rPr>
              <w:t xml:space="preserve"> </w:t>
            </w:r>
          </w:p>
        </w:tc>
        <w:tc>
          <w:tcPr>
            <w:tcW w:w="990" w:type="dxa"/>
          </w:tcPr>
          <w:p w14:paraId="2E6092A4" w14:textId="42A99F34" w:rsidR="0027544E" w:rsidRDefault="005D37B4" w:rsidP="0027544E">
            <w:pPr>
              <w:ind w:left="0"/>
              <w:rPr>
                <w:sz w:val="20"/>
                <w:szCs w:val="20"/>
              </w:rPr>
            </w:pPr>
            <w:r>
              <w:rPr>
                <w:sz w:val="20"/>
                <w:szCs w:val="20"/>
              </w:rPr>
              <w:t>55</w:t>
            </w:r>
          </w:p>
        </w:tc>
        <w:tc>
          <w:tcPr>
            <w:tcW w:w="1128" w:type="dxa"/>
          </w:tcPr>
          <w:p w14:paraId="49E67A6A" w14:textId="7D33753D" w:rsidR="0027544E" w:rsidRPr="007F72FA" w:rsidRDefault="0027544E" w:rsidP="0027544E">
            <w:pPr>
              <w:ind w:left="0"/>
              <w:rPr>
                <w:sz w:val="20"/>
                <w:szCs w:val="20"/>
              </w:rPr>
            </w:pPr>
            <w:r w:rsidRPr="007F72FA">
              <w:rPr>
                <w:sz w:val="20"/>
                <w:szCs w:val="20"/>
              </w:rPr>
              <w:t>$27.84</w:t>
            </w:r>
          </w:p>
        </w:tc>
        <w:tc>
          <w:tcPr>
            <w:tcW w:w="1350" w:type="dxa"/>
          </w:tcPr>
          <w:p w14:paraId="29F3105F" w14:textId="004D5B98" w:rsidR="0027544E" w:rsidRDefault="0027544E" w:rsidP="0027544E">
            <w:pPr>
              <w:ind w:left="0"/>
              <w:rPr>
                <w:sz w:val="20"/>
                <w:szCs w:val="20"/>
              </w:rPr>
            </w:pPr>
            <w:r>
              <w:rPr>
                <w:sz w:val="20"/>
                <w:szCs w:val="20"/>
              </w:rPr>
              <w:t>$1,</w:t>
            </w:r>
            <w:r w:rsidR="005D37B4">
              <w:rPr>
                <w:sz w:val="20"/>
                <w:szCs w:val="20"/>
              </w:rPr>
              <w:t>531</w:t>
            </w:r>
          </w:p>
          <w:p w14:paraId="1A7E6FD0" w14:textId="77777777" w:rsidR="0027544E" w:rsidRPr="00EC1C2F" w:rsidRDefault="0027544E" w:rsidP="0027544E">
            <w:pPr>
              <w:rPr>
                <w:sz w:val="20"/>
                <w:szCs w:val="20"/>
              </w:rPr>
            </w:pPr>
          </w:p>
        </w:tc>
      </w:tr>
      <w:tr w:rsidR="0027544E" w:rsidRPr="006F6856" w14:paraId="0D253023" w14:textId="77777777" w:rsidTr="00603A81">
        <w:trPr>
          <w:trHeight w:hRule="exact" w:val="1072"/>
          <w:jc w:val="center"/>
        </w:trPr>
        <w:tc>
          <w:tcPr>
            <w:tcW w:w="1350" w:type="dxa"/>
          </w:tcPr>
          <w:p w14:paraId="4B0C601C" w14:textId="37443FE8" w:rsidR="0027544E" w:rsidRPr="007F72FA" w:rsidRDefault="0027544E" w:rsidP="0027544E">
            <w:pPr>
              <w:ind w:left="0"/>
              <w:rPr>
                <w:b/>
                <w:sz w:val="20"/>
                <w:szCs w:val="20"/>
              </w:rPr>
            </w:pPr>
          </w:p>
        </w:tc>
        <w:tc>
          <w:tcPr>
            <w:tcW w:w="1350" w:type="dxa"/>
            <w:vAlign w:val="center"/>
          </w:tcPr>
          <w:p w14:paraId="34CFF753" w14:textId="77777777" w:rsidR="0027544E" w:rsidRPr="007F72FA" w:rsidRDefault="0027544E" w:rsidP="0027544E">
            <w:pPr>
              <w:ind w:left="0"/>
              <w:rPr>
                <w:b/>
                <w:sz w:val="20"/>
                <w:szCs w:val="20"/>
              </w:rPr>
            </w:pPr>
            <w:r w:rsidRPr="007F72FA">
              <w:rPr>
                <w:b/>
                <w:sz w:val="20"/>
                <w:szCs w:val="20"/>
              </w:rPr>
              <w:t>TOTALS</w:t>
            </w:r>
          </w:p>
        </w:tc>
        <w:tc>
          <w:tcPr>
            <w:tcW w:w="1440" w:type="dxa"/>
            <w:vAlign w:val="center"/>
          </w:tcPr>
          <w:p w14:paraId="29500D3C" w14:textId="4EF97005" w:rsidR="0027544E" w:rsidRPr="007F72FA" w:rsidRDefault="008F01D0" w:rsidP="0027544E">
            <w:pPr>
              <w:ind w:left="0"/>
              <w:rPr>
                <w:b/>
                <w:sz w:val="20"/>
                <w:szCs w:val="20"/>
              </w:rPr>
            </w:pPr>
            <w:r>
              <w:rPr>
                <w:b/>
                <w:sz w:val="20"/>
                <w:szCs w:val="20"/>
              </w:rPr>
              <w:t>2174</w:t>
            </w:r>
          </w:p>
        </w:tc>
        <w:tc>
          <w:tcPr>
            <w:tcW w:w="1350" w:type="dxa"/>
            <w:shd w:val="clear" w:color="auto" w:fill="auto"/>
            <w:vAlign w:val="center"/>
          </w:tcPr>
          <w:p w14:paraId="7F1887B7" w14:textId="131A54F8" w:rsidR="0027544E" w:rsidRPr="007F72FA" w:rsidRDefault="0027544E" w:rsidP="0027544E">
            <w:pPr>
              <w:ind w:left="0"/>
              <w:rPr>
                <w:b/>
                <w:sz w:val="20"/>
                <w:szCs w:val="20"/>
              </w:rPr>
            </w:pPr>
          </w:p>
        </w:tc>
        <w:tc>
          <w:tcPr>
            <w:tcW w:w="1350" w:type="dxa"/>
            <w:shd w:val="clear" w:color="auto" w:fill="D9D9D9" w:themeFill="background1" w:themeFillShade="D9"/>
            <w:vAlign w:val="center"/>
          </w:tcPr>
          <w:p w14:paraId="6B1B7E46" w14:textId="77777777" w:rsidR="0027544E" w:rsidRPr="007F72FA" w:rsidRDefault="0027544E" w:rsidP="0027544E">
            <w:pPr>
              <w:ind w:left="0"/>
              <w:rPr>
                <w:b/>
                <w:sz w:val="20"/>
                <w:szCs w:val="20"/>
              </w:rPr>
            </w:pPr>
          </w:p>
        </w:tc>
        <w:tc>
          <w:tcPr>
            <w:tcW w:w="990" w:type="dxa"/>
            <w:vAlign w:val="center"/>
          </w:tcPr>
          <w:p w14:paraId="18C83AF1" w14:textId="2EF7826E" w:rsidR="0027544E" w:rsidRPr="007F72FA" w:rsidRDefault="00A21CED" w:rsidP="005D37B4">
            <w:pPr>
              <w:ind w:left="0"/>
              <w:rPr>
                <w:b/>
                <w:sz w:val="20"/>
                <w:szCs w:val="20"/>
              </w:rPr>
            </w:pPr>
            <w:r>
              <w:rPr>
                <w:b/>
                <w:sz w:val="20"/>
                <w:szCs w:val="20"/>
              </w:rPr>
              <w:t>637</w:t>
            </w:r>
          </w:p>
        </w:tc>
        <w:tc>
          <w:tcPr>
            <w:tcW w:w="1128" w:type="dxa"/>
            <w:shd w:val="clear" w:color="auto" w:fill="D9D9D9" w:themeFill="background1" w:themeFillShade="D9"/>
            <w:vAlign w:val="center"/>
          </w:tcPr>
          <w:p w14:paraId="5489FE99" w14:textId="77777777" w:rsidR="0027544E" w:rsidRPr="007F72FA" w:rsidRDefault="0027544E" w:rsidP="0027544E">
            <w:pPr>
              <w:ind w:left="0"/>
              <w:rPr>
                <w:b/>
                <w:sz w:val="20"/>
                <w:szCs w:val="20"/>
              </w:rPr>
            </w:pPr>
          </w:p>
        </w:tc>
        <w:tc>
          <w:tcPr>
            <w:tcW w:w="1350" w:type="dxa"/>
            <w:vAlign w:val="center"/>
          </w:tcPr>
          <w:p w14:paraId="4CF9259F" w14:textId="3CB45131" w:rsidR="0027544E" w:rsidRPr="007F72FA" w:rsidRDefault="0027544E" w:rsidP="005D37B4">
            <w:pPr>
              <w:ind w:left="0"/>
              <w:rPr>
                <w:b/>
                <w:sz w:val="20"/>
                <w:szCs w:val="20"/>
              </w:rPr>
            </w:pPr>
            <w:r w:rsidRPr="007F72FA">
              <w:rPr>
                <w:b/>
                <w:sz w:val="20"/>
                <w:szCs w:val="20"/>
              </w:rPr>
              <w:t>$</w:t>
            </w:r>
            <w:r>
              <w:rPr>
                <w:b/>
                <w:sz w:val="20"/>
                <w:szCs w:val="20"/>
              </w:rPr>
              <w:t>1</w:t>
            </w:r>
            <w:r w:rsidR="00E312D9">
              <w:rPr>
                <w:b/>
                <w:sz w:val="20"/>
                <w:szCs w:val="20"/>
              </w:rPr>
              <w:t>7</w:t>
            </w:r>
            <w:r w:rsidR="006B6F3F">
              <w:rPr>
                <w:b/>
                <w:sz w:val="20"/>
                <w:szCs w:val="20"/>
              </w:rPr>
              <w:t>,734</w:t>
            </w:r>
          </w:p>
        </w:tc>
      </w:tr>
    </w:tbl>
    <w:p w14:paraId="75C1460B" w14:textId="5B227E46" w:rsidR="00130D45" w:rsidRPr="004F6AFA" w:rsidRDefault="00130D45" w:rsidP="00DF1EAD">
      <w:pPr>
        <w:ind w:left="0"/>
      </w:pPr>
      <w:bookmarkStart w:id="18" w:name="_Toc427752826"/>
    </w:p>
    <w:p w14:paraId="12A8FFF9" w14:textId="77777777" w:rsidR="00B12F51" w:rsidRPr="0088467A" w:rsidRDefault="0088467A" w:rsidP="00692DEB">
      <w:pPr>
        <w:pStyle w:val="Heading4"/>
      </w:pPr>
      <w:r w:rsidRPr="0088467A">
        <w:t>Estimates of Other Total Annual Cost Burden to Respondents or Record Keepers</w:t>
      </w:r>
      <w:bookmarkEnd w:id="18"/>
    </w:p>
    <w:p w14:paraId="272962DA" w14:textId="15220135" w:rsidR="00782FBD" w:rsidRDefault="003C31C9" w:rsidP="00DF1EAD">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2416F182" w14:textId="77777777" w:rsidR="00721719" w:rsidRDefault="00721719" w:rsidP="00692DEB">
      <w:pPr>
        <w:ind w:left="0"/>
      </w:pPr>
    </w:p>
    <w:p w14:paraId="1F3BD016"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7B024F28" w14:textId="250BD81C" w:rsidR="00AD1ACF" w:rsidRPr="00096AAD" w:rsidRDefault="000058E0" w:rsidP="00096AAD">
      <w:pPr>
        <w:ind w:left="360"/>
        <w:rPr>
          <w:rFonts w:cs="Arial"/>
        </w:rPr>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only cost to the federal government would be the salary of CDC staff </w:t>
      </w:r>
      <w:r w:rsidR="00852E1D" w:rsidRPr="00852E1D">
        <w:rPr>
          <w:rFonts w:cs="Arial"/>
        </w:rPr>
        <w:t>and O</w:t>
      </w:r>
      <w:r w:rsidR="00620670">
        <w:rPr>
          <w:rFonts w:cs="Arial"/>
        </w:rPr>
        <w:t xml:space="preserve">ak </w:t>
      </w:r>
      <w:r w:rsidR="00852E1D" w:rsidRPr="00852E1D">
        <w:rPr>
          <w:rFonts w:cs="Arial"/>
        </w:rPr>
        <w:t>R</w:t>
      </w:r>
      <w:r w:rsidR="00620670">
        <w:rPr>
          <w:rFonts w:cs="Arial"/>
        </w:rPr>
        <w:t xml:space="preserve">idge </w:t>
      </w:r>
      <w:r w:rsidR="00852E1D" w:rsidRPr="00852E1D">
        <w:rPr>
          <w:rFonts w:cs="Arial"/>
        </w:rPr>
        <w:t>I</w:t>
      </w:r>
      <w:r w:rsidR="00620670">
        <w:rPr>
          <w:rFonts w:cs="Arial"/>
        </w:rPr>
        <w:t xml:space="preserve">nstitute for </w:t>
      </w:r>
      <w:r w:rsidR="00852E1D" w:rsidRPr="00852E1D">
        <w:rPr>
          <w:rFonts w:cs="Arial"/>
        </w:rPr>
        <w:t>S</w:t>
      </w:r>
      <w:r w:rsidR="00620670">
        <w:rPr>
          <w:rFonts w:cs="Arial"/>
        </w:rPr>
        <w:t xml:space="preserve">cience and </w:t>
      </w:r>
      <w:r w:rsidR="00852E1D" w:rsidRPr="00852E1D">
        <w:rPr>
          <w:rFonts w:cs="Arial"/>
        </w:rPr>
        <w:t>E</w:t>
      </w:r>
      <w:r w:rsidR="00620670">
        <w:rPr>
          <w:rFonts w:cs="Arial"/>
        </w:rPr>
        <w:t>ducation (ORISE)</w:t>
      </w:r>
      <w:r w:rsidR="00852E1D" w:rsidRPr="00852E1D">
        <w:rPr>
          <w:rFonts w:cs="Arial"/>
        </w:rPr>
        <w:t xml:space="preserve"> Fellows</w:t>
      </w:r>
      <w:r w:rsidR="00CF6092" w:rsidRPr="00852E1D">
        <w:rPr>
          <w:rFonts w:cs="Arial"/>
        </w:rPr>
        <w:t xml:space="preserve"> </w:t>
      </w:r>
      <w:r w:rsidR="00CF6092" w:rsidRPr="000E58F5">
        <w:rPr>
          <w:rFonts w:cs="Arial"/>
        </w:rPr>
        <w:t xml:space="preserve">to </w:t>
      </w:r>
      <w:r w:rsidR="00CF6092">
        <w:rPr>
          <w:rFonts w:cs="Arial"/>
        </w:rPr>
        <w:t>develop</w:t>
      </w:r>
      <w:r w:rsidR="00CF6092" w:rsidRPr="000E58F5">
        <w:rPr>
          <w:rFonts w:cs="Arial"/>
        </w:rPr>
        <w:t xml:space="preserve"> the </w:t>
      </w:r>
      <w:r w:rsidR="00CF6092">
        <w:rPr>
          <w:rFonts w:cs="Arial"/>
        </w:rPr>
        <w:t>data collection instrument</w:t>
      </w:r>
      <w:r w:rsidR="00CF6092" w:rsidRPr="000E58F5">
        <w:rPr>
          <w:rFonts w:cs="Arial"/>
        </w:rPr>
        <w:t xml:space="preserve">, </w:t>
      </w:r>
      <w:r w:rsidR="00CF6092">
        <w:rPr>
          <w:rFonts w:cs="Arial"/>
        </w:rPr>
        <w:t>collect data</w:t>
      </w:r>
      <w:r w:rsidR="00CF6092" w:rsidRPr="000E58F5">
        <w:rPr>
          <w:rFonts w:cs="Arial"/>
        </w:rPr>
        <w:t xml:space="preserve">, and </w:t>
      </w:r>
      <w:r w:rsidR="00CF6092">
        <w:rPr>
          <w:rFonts w:cs="Arial"/>
        </w:rPr>
        <w:t xml:space="preserve">perform </w:t>
      </w:r>
      <w:r w:rsidR="00CF6092" w:rsidRPr="000E58F5">
        <w:rPr>
          <w:rFonts w:cs="Arial"/>
        </w:rPr>
        <w:t>data analysis</w:t>
      </w:r>
      <w:r w:rsidRPr="000E58F5">
        <w:rPr>
          <w:rFonts w:cs="Arial"/>
        </w:rPr>
        <w:t>.</w:t>
      </w:r>
      <w:r>
        <w:rPr>
          <w:rFonts w:cs="Arial"/>
        </w:rPr>
        <w:t xml:space="preserve"> </w:t>
      </w:r>
      <w:r w:rsidRPr="000E58F5">
        <w:rPr>
          <w:rFonts w:cs="Arial"/>
        </w:rPr>
        <w:t>The total estimated cost to the federal government is</w:t>
      </w:r>
      <w:r w:rsidR="008C59E7">
        <w:rPr>
          <w:rFonts w:cs="Arial"/>
        </w:rPr>
        <w:t xml:space="preserve"> </w:t>
      </w:r>
      <w:r w:rsidR="008C59E7" w:rsidRPr="0044130D">
        <w:rPr>
          <w:rFonts w:cs="Arial"/>
        </w:rPr>
        <w:t>$</w:t>
      </w:r>
      <w:r w:rsidR="00AD619F">
        <w:rPr>
          <w:rFonts w:cs="Arial"/>
        </w:rPr>
        <w:t>38,</w:t>
      </w:r>
      <w:r w:rsidR="001A5991">
        <w:rPr>
          <w:rFonts w:cs="Arial"/>
        </w:rPr>
        <w:t>500</w:t>
      </w:r>
      <w:r w:rsidRPr="000E58F5">
        <w:rPr>
          <w:rFonts w:cs="Arial"/>
        </w:rPr>
        <w:t>. Table A-14 describes how this cost estimate was calculated.</w:t>
      </w:r>
    </w:p>
    <w:p w14:paraId="2F6B5377" w14:textId="77777777" w:rsidR="008B65FF" w:rsidRDefault="008B65FF" w:rsidP="008B65FF">
      <w:pPr>
        <w:ind w:left="360"/>
      </w:pPr>
    </w:p>
    <w:p w14:paraId="436DBD45"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320"/>
        <w:gridCol w:w="1620"/>
        <w:gridCol w:w="1350"/>
        <w:gridCol w:w="236"/>
        <w:gridCol w:w="236"/>
        <w:gridCol w:w="1672"/>
      </w:tblGrid>
      <w:tr w:rsidR="004841F1" w:rsidRPr="004841F1" w14:paraId="6943D9A2" w14:textId="77777777" w:rsidTr="00620670">
        <w:trPr>
          <w:trHeight w:val="593"/>
        </w:trPr>
        <w:tc>
          <w:tcPr>
            <w:tcW w:w="4320" w:type="dxa"/>
            <w:tcBorders>
              <w:bottom w:val="single" w:sz="12" w:space="0" w:color="auto"/>
            </w:tcBorders>
            <w:shd w:val="clear" w:color="auto" w:fill="D9D9D9" w:themeFill="background1" w:themeFillShade="D9"/>
            <w:vAlign w:val="center"/>
          </w:tcPr>
          <w:p w14:paraId="6402CD04" w14:textId="77777777" w:rsidR="004841F1" w:rsidRPr="00E647FB" w:rsidRDefault="004841F1" w:rsidP="005D6F14">
            <w:pPr>
              <w:ind w:left="0"/>
              <w:jc w:val="center"/>
              <w:rPr>
                <w:b/>
                <w:sz w:val="20"/>
                <w:szCs w:val="20"/>
              </w:rPr>
            </w:pPr>
            <w:r w:rsidRPr="00E647FB">
              <w:rPr>
                <w:b/>
                <w:sz w:val="20"/>
                <w:szCs w:val="20"/>
              </w:rPr>
              <w:t>Staff (FTE)</w:t>
            </w:r>
          </w:p>
        </w:tc>
        <w:tc>
          <w:tcPr>
            <w:tcW w:w="1620" w:type="dxa"/>
            <w:tcBorders>
              <w:bottom w:val="single" w:sz="12" w:space="0" w:color="auto"/>
            </w:tcBorders>
            <w:shd w:val="clear" w:color="auto" w:fill="D9D9D9" w:themeFill="background1" w:themeFillShade="D9"/>
            <w:vAlign w:val="center"/>
          </w:tcPr>
          <w:p w14:paraId="5A800132"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7BBAC6D5" w14:textId="77777777" w:rsidR="004841F1" w:rsidRPr="00E647FB" w:rsidRDefault="004841F1" w:rsidP="005D6F14">
            <w:pPr>
              <w:ind w:left="0"/>
              <w:jc w:val="center"/>
              <w:rPr>
                <w:b/>
                <w:sz w:val="20"/>
                <w:szCs w:val="20"/>
              </w:rPr>
            </w:pPr>
            <w:r w:rsidRPr="00E647F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476ADA41" w14:textId="77777777" w:rsidR="004841F1" w:rsidRPr="00E647FB" w:rsidRDefault="003A2555" w:rsidP="005D6F14">
            <w:pPr>
              <w:ind w:left="0"/>
              <w:jc w:val="center"/>
              <w:rPr>
                <w:b/>
                <w:sz w:val="20"/>
                <w:szCs w:val="20"/>
              </w:rPr>
            </w:pPr>
            <w:r>
              <w:rPr>
                <w:b/>
                <w:sz w:val="20"/>
                <w:szCs w:val="20"/>
              </w:rPr>
              <w:t xml:space="preserve">Total </w:t>
            </w:r>
            <w:r w:rsidR="004841F1" w:rsidRPr="00E647FB">
              <w:rPr>
                <w:b/>
                <w:sz w:val="20"/>
                <w:szCs w:val="20"/>
              </w:rPr>
              <w:t>Average Cost</w:t>
            </w:r>
          </w:p>
        </w:tc>
      </w:tr>
      <w:tr w:rsidR="00587F48" w:rsidRPr="004841F1" w14:paraId="6A1C67BB" w14:textId="77777777" w:rsidTr="00620670">
        <w:tc>
          <w:tcPr>
            <w:tcW w:w="4320" w:type="dxa"/>
            <w:tcBorders>
              <w:top w:val="single" w:sz="12" w:space="0" w:color="auto"/>
              <w:left w:val="single" w:sz="4" w:space="0" w:color="auto"/>
            </w:tcBorders>
          </w:tcPr>
          <w:p w14:paraId="4D3A746A" w14:textId="25B21344" w:rsidR="00587F48" w:rsidRPr="00852E1D" w:rsidRDefault="002D5E11" w:rsidP="000A2477">
            <w:pPr>
              <w:ind w:left="0"/>
              <w:jc w:val="both"/>
              <w:rPr>
                <w:sz w:val="20"/>
                <w:szCs w:val="20"/>
              </w:rPr>
            </w:pPr>
            <w:r w:rsidRPr="00852E1D">
              <w:rPr>
                <w:sz w:val="20"/>
                <w:szCs w:val="20"/>
              </w:rPr>
              <w:t>Tra</w:t>
            </w:r>
            <w:r w:rsidR="00DF1EAD">
              <w:rPr>
                <w:sz w:val="20"/>
                <w:szCs w:val="20"/>
              </w:rPr>
              <w:t xml:space="preserve">ining Specialist – GS-12, Step </w:t>
            </w:r>
            <w:r w:rsidR="000A2477">
              <w:rPr>
                <w:sz w:val="20"/>
                <w:szCs w:val="20"/>
              </w:rPr>
              <w:t>4</w:t>
            </w:r>
            <w:r w:rsidR="00406ABD" w:rsidRPr="00852E1D">
              <w:rPr>
                <w:sz w:val="20"/>
                <w:szCs w:val="20"/>
              </w:rPr>
              <w:t xml:space="preserve"> (project lead)</w:t>
            </w:r>
          </w:p>
        </w:tc>
        <w:tc>
          <w:tcPr>
            <w:tcW w:w="1620" w:type="dxa"/>
            <w:tcBorders>
              <w:top w:val="single" w:sz="12" w:space="0" w:color="auto"/>
            </w:tcBorders>
          </w:tcPr>
          <w:p w14:paraId="5690D568" w14:textId="6E2C402D" w:rsidR="00587F48" w:rsidRPr="00852E1D" w:rsidRDefault="000A2477" w:rsidP="000A2477">
            <w:pPr>
              <w:ind w:left="0"/>
              <w:jc w:val="center"/>
              <w:rPr>
                <w:sz w:val="20"/>
                <w:szCs w:val="20"/>
              </w:rPr>
            </w:pPr>
            <w:r>
              <w:rPr>
                <w:sz w:val="20"/>
                <w:szCs w:val="20"/>
              </w:rPr>
              <w:t>420</w:t>
            </w:r>
          </w:p>
        </w:tc>
        <w:tc>
          <w:tcPr>
            <w:tcW w:w="1822" w:type="dxa"/>
            <w:gridSpan w:val="3"/>
            <w:tcBorders>
              <w:top w:val="single" w:sz="12" w:space="0" w:color="auto"/>
            </w:tcBorders>
          </w:tcPr>
          <w:p w14:paraId="0D57DAE4" w14:textId="4841F70E" w:rsidR="00587F48" w:rsidRPr="00852E1D" w:rsidRDefault="00406ABD" w:rsidP="000A2477">
            <w:pPr>
              <w:ind w:left="0"/>
              <w:rPr>
                <w:sz w:val="20"/>
                <w:szCs w:val="20"/>
              </w:rPr>
            </w:pPr>
            <w:r w:rsidRPr="00852E1D">
              <w:rPr>
                <w:sz w:val="20"/>
                <w:szCs w:val="20"/>
              </w:rPr>
              <w:t>$3</w:t>
            </w:r>
            <w:r w:rsidR="000A2477">
              <w:rPr>
                <w:sz w:val="20"/>
                <w:szCs w:val="20"/>
              </w:rPr>
              <w:t>9</w:t>
            </w:r>
            <w:r w:rsidR="00DF1EAD">
              <w:rPr>
                <w:sz w:val="20"/>
                <w:szCs w:val="20"/>
              </w:rPr>
              <w:t>.</w:t>
            </w:r>
            <w:r w:rsidR="000A2477">
              <w:rPr>
                <w:sz w:val="20"/>
                <w:szCs w:val="20"/>
              </w:rPr>
              <w:t>90</w:t>
            </w:r>
          </w:p>
        </w:tc>
        <w:tc>
          <w:tcPr>
            <w:tcW w:w="1672" w:type="dxa"/>
            <w:tcBorders>
              <w:top w:val="single" w:sz="12" w:space="0" w:color="auto"/>
            </w:tcBorders>
          </w:tcPr>
          <w:p w14:paraId="7E7503B6" w14:textId="0BB9843A" w:rsidR="00587F48" w:rsidRPr="00852E1D" w:rsidRDefault="00852E1D" w:rsidP="000A2477">
            <w:pPr>
              <w:ind w:left="0"/>
              <w:rPr>
                <w:sz w:val="20"/>
                <w:szCs w:val="20"/>
              </w:rPr>
            </w:pPr>
            <w:r w:rsidRPr="00852E1D">
              <w:rPr>
                <w:sz w:val="20"/>
                <w:szCs w:val="20"/>
              </w:rPr>
              <w:t>$</w:t>
            </w:r>
            <w:r w:rsidR="000A2477">
              <w:rPr>
                <w:sz w:val="20"/>
                <w:szCs w:val="20"/>
              </w:rPr>
              <w:t>16,758</w:t>
            </w:r>
          </w:p>
        </w:tc>
      </w:tr>
      <w:tr w:rsidR="002D5E11" w:rsidRPr="004841F1" w14:paraId="6A845F85" w14:textId="77777777" w:rsidTr="00620670">
        <w:tc>
          <w:tcPr>
            <w:tcW w:w="4320" w:type="dxa"/>
            <w:tcBorders>
              <w:top w:val="single" w:sz="4" w:space="0" w:color="auto"/>
              <w:left w:val="single" w:sz="4" w:space="0" w:color="auto"/>
            </w:tcBorders>
          </w:tcPr>
          <w:p w14:paraId="59CA4EE5" w14:textId="004DB7C5" w:rsidR="002D5E11" w:rsidRPr="00852E1D" w:rsidRDefault="002010F0" w:rsidP="00AD619F">
            <w:pPr>
              <w:ind w:left="0"/>
              <w:jc w:val="both"/>
              <w:rPr>
                <w:sz w:val="20"/>
                <w:szCs w:val="20"/>
              </w:rPr>
            </w:pPr>
            <w:r w:rsidRPr="00852E1D">
              <w:rPr>
                <w:sz w:val="20"/>
                <w:szCs w:val="20"/>
              </w:rPr>
              <w:t>Health Scientist – GS-1</w:t>
            </w:r>
            <w:r w:rsidR="00AD619F">
              <w:rPr>
                <w:sz w:val="20"/>
                <w:szCs w:val="20"/>
              </w:rPr>
              <w:t>2</w:t>
            </w:r>
            <w:r w:rsidRPr="00852E1D">
              <w:rPr>
                <w:sz w:val="20"/>
                <w:szCs w:val="20"/>
              </w:rPr>
              <w:t xml:space="preserve">, Step </w:t>
            </w:r>
            <w:r w:rsidR="00562D62">
              <w:rPr>
                <w:sz w:val="20"/>
                <w:szCs w:val="20"/>
              </w:rPr>
              <w:t>5</w:t>
            </w:r>
            <w:r w:rsidR="00406ABD" w:rsidRPr="00852E1D">
              <w:rPr>
                <w:sz w:val="20"/>
                <w:szCs w:val="20"/>
              </w:rPr>
              <w:t xml:space="preserve"> (instrument design and data analysis)</w:t>
            </w:r>
          </w:p>
        </w:tc>
        <w:tc>
          <w:tcPr>
            <w:tcW w:w="1620" w:type="dxa"/>
            <w:tcBorders>
              <w:top w:val="single" w:sz="4" w:space="0" w:color="auto"/>
            </w:tcBorders>
          </w:tcPr>
          <w:p w14:paraId="41417AA9" w14:textId="20CDC4AF" w:rsidR="002D5E11" w:rsidRPr="00852E1D" w:rsidRDefault="00406ABD" w:rsidP="002D5E11">
            <w:pPr>
              <w:ind w:left="0"/>
              <w:jc w:val="center"/>
              <w:rPr>
                <w:sz w:val="20"/>
                <w:szCs w:val="20"/>
              </w:rPr>
            </w:pPr>
            <w:r w:rsidRPr="00852E1D">
              <w:rPr>
                <w:sz w:val="20"/>
                <w:szCs w:val="20"/>
              </w:rPr>
              <w:t>120</w:t>
            </w:r>
          </w:p>
        </w:tc>
        <w:tc>
          <w:tcPr>
            <w:tcW w:w="1822" w:type="dxa"/>
            <w:gridSpan w:val="3"/>
            <w:tcBorders>
              <w:top w:val="single" w:sz="4" w:space="0" w:color="auto"/>
            </w:tcBorders>
          </w:tcPr>
          <w:p w14:paraId="080B8C93" w14:textId="62AAF59C" w:rsidR="002D5E11" w:rsidRPr="00852E1D" w:rsidRDefault="00AD619F" w:rsidP="00562D62">
            <w:pPr>
              <w:ind w:left="0"/>
              <w:rPr>
                <w:sz w:val="20"/>
                <w:szCs w:val="20"/>
              </w:rPr>
            </w:pPr>
            <w:r>
              <w:rPr>
                <w:sz w:val="20"/>
                <w:szCs w:val="20"/>
              </w:rPr>
              <w:t>$</w:t>
            </w:r>
            <w:r w:rsidR="00562D62">
              <w:rPr>
                <w:sz w:val="20"/>
                <w:szCs w:val="20"/>
              </w:rPr>
              <w:t>41.10</w:t>
            </w:r>
          </w:p>
        </w:tc>
        <w:tc>
          <w:tcPr>
            <w:tcW w:w="1672" w:type="dxa"/>
            <w:tcBorders>
              <w:top w:val="single" w:sz="4" w:space="0" w:color="auto"/>
            </w:tcBorders>
          </w:tcPr>
          <w:p w14:paraId="3E1C9B73" w14:textId="28ADA2FE" w:rsidR="002D5E11" w:rsidRPr="00852E1D" w:rsidRDefault="00852E1D" w:rsidP="00562D62">
            <w:pPr>
              <w:ind w:left="0"/>
              <w:rPr>
                <w:sz w:val="20"/>
                <w:szCs w:val="20"/>
              </w:rPr>
            </w:pPr>
            <w:r w:rsidRPr="00852E1D">
              <w:rPr>
                <w:sz w:val="20"/>
                <w:szCs w:val="20"/>
              </w:rPr>
              <w:t>$</w:t>
            </w:r>
            <w:r w:rsidR="00AD619F">
              <w:rPr>
                <w:sz w:val="20"/>
                <w:szCs w:val="20"/>
              </w:rPr>
              <w:t>4,</w:t>
            </w:r>
            <w:r w:rsidR="00562D62">
              <w:rPr>
                <w:sz w:val="20"/>
                <w:szCs w:val="20"/>
              </w:rPr>
              <w:t>932</w:t>
            </w:r>
          </w:p>
        </w:tc>
      </w:tr>
      <w:tr w:rsidR="00406ABD" w:rsidRPr="004841F1" w14:paraId="7FC153A8" w14:textId="77777777" w:rsidTr="00620670">
        <w:tc>
          <w:tcPr>
            <w:tcW w:w="4320" w:type="dxa"/>
            <w:tcBorders>
              <w:left w:val="single" w:sz="4" w:space="0" w:color="auto"/>
            </w:tcBorders>
          </w:tcPr>
          <w:p w14:paraId="2950E964" w14:textId="27E9AB0D" w:rsidR="00406ABD" w:rsidRPr="00852E1D" w:rsidRDefault="00406ABD" w:rsidP="002D5E11">
            <w:pPr>
              <w:ind w:left="0"/>
              <w:jc w:val="both"/>
              <w:rPr>
                <w:sz w:val="20"/>
                <w:szCs w:val="20"/>
              </w:rPr>
            </w:pPr>
            <w:r w:rsidRPr="00852E1D">
              <w:rPr>
                <w:sz w:val="20"/>
                <w:szCs w:val="20"/>
              </w:rPr>
              <w:t>ORISE Fellow –</w:t>
            </w:r>
            <w:r w:rsidR="00852E1D">
              <w:rPr>
                <w:sz w:val="20"/>
                <w:szCs w:val="20"/>
              </w:rPr>
              <w:t xml:space="preserve"> core staff for instrument design, data collection, and data analysis</w:t>
            </w:r>
          </w:p>
        </w:tc>
        <w:tc>
          <w:tcPr>
            <w:tcW w:w="1620" w:type="dxa"/>
          </w:tcPr>
          <w:p w14:paraId="201660A5" w14:textId="26DF36E5" w:rsidR="00406ABD" w:rsidRPr="00852E1D" w:rsidRDefault="000A2477" w:rsidP="002D5E11">
            <w:pPr>
              <w:ind w:left="0"/>
              <w:jc w:val="center"/>
              <w:rPr>
                <w:sz w:val="20"/>
                <w:szCs w:val="20"/>
              </w:rPr>
            </w:pPr>
            <w:r>
              <w:rPr>
                <w:sz w:val="20"/>
                <w:szCs w:val="20"/>
              </w:rPr>
              <w:t>560</w:t>
            </w:r>
          </w:p>
        </w:tc>
        <w:tc>
          <w:tcPr>
            <w:tcW w:w="1822" w:type="dxa"/>
            <w:gridSpan w:val="3"/>
          </w:tcPr>
          <w:p w14:paraId="15866014" w14:textId="24974E8B" w:rsidR="00406ABD" w:rsidRPr="00852E1D" w:rsidRDefault="00852E1D" w:rsidP="002D5E11">
            <w:pPr>
              <w:ind w:left="0"/>
              <w:rPr>
                <w:sz w:val="20"/>
                <w:szCs w:val="20"/>
              </w:rPr>
            </w:pPr>
            <w:r w:rsidRPr="00852E1D">
              <w:rPr>
                <w:sz w:val="20"/>
                <w:szCs w:val="20"/>
              </w:rPr>
              <w:t>$20.50</w:t>
            </w:r>
          </w:p>
        </w:tc>
        <w:tc>
          <w:tcPr>
            <w:tcW w:w="1672" w:type="dxa"/>
          </w:tcPr>
          <w:p w14:paraId="5F209357" w14:textId="52D14ABF" w:rsidR="00406ABD" w:rsidRPr="00852E1D" w:rsidRDefault="00852E1D" w:rsidP="000A2477">
            <w:pPr>
              <w:ind w:left="0"/>
              <w:rPr>
                <w:sz w:val="20"/>
                <w:szCs w:val="20"/>
              </w:rPr>
            </w:pPr>
            <w:r w:rsidRPr="00852E1D">
              <w:rPr>
                <w:sz w:val="20"/>
                <w:szCs w:val="20"/>
              </w:rPr>
              <w:t>$</w:t>
            </w:r>
            <w:r w:rsidR="000A2477">
              <w:rPr>
                <w:sz w:val="20"/>
                <w:szCs w:val="20"/>
              </w:rPr>
              <w:t>11,480</w:t>
            </w:r>
          </w:p>
        </w:tc>
      </w:tr>
      <w:tr w:rsidR="00406ABD" w:rsidRPr="004841F1" w14:paraId="327F61B2" w14:textId="77777777" w:rsidTr="00620670">
        <w:tc>
          <w:tcPr>
            <w:tcW w:w="4320" w:type="dxa"/>
            <w:tcBorders>
              <w:left w:val="single" w:sz="4" w:space="0" w:color="auto"/>
            </w:tcBorders>
          </w:tcPr>
          <w:p w14:paraId="4EB2CF48" w14:textId="16B29459" w:rsidR="00406ABD" w:rsidRPr="00852E1D" w:rsidRDefault="00406ABD" w:rsidP="000A2477">
            <w:pPr>
              <w:ind w:left="0"/>
              <w:jc w:val="both"/>
              <w:rPr>
                <w:sz w:val="20"/>
                <w:szCs w:val="20"/>
              </w:rPr>
            </w:pPr>
            <w:r w:rsidRPr="00852E1D">
              <w:rPr>
                <w:sz w:val="20"/>
                <w:szCs w:val="20"/>
              </w:rPr>
              <w:t xml:space="preserve">ORISE Fellow – </w:t>
            </w:r>
            <w:r w:rsidR="000A2477">
              <w:rPr>
                <w:sz w:val="20"/>
                <w:szCs w:val="20"/>
              </w:rPr>
              <w:t>core staff for data collection and data analysis</w:t>
            </w:r>
          </w:p>
        </w:tc>
        <w:tc>
          <w:tcPr>
            <w:tcW w:w="1620" w:type="dxa"/>
          </w:tcPr>
          <w:p w14:paraId="3CC6CF47" w14:textId="7545BE9D" w:rsidR="00406ABD" w:rsidRPr="00852E1D" w:rsidRDefault="000A2477" w:rsidP="002D5E11">
            <w:pPr>
              <w:ind w:left="0"/>
              <w:jc w:val="center"/>
              <w:rPr>
                <w:sz w:val="20"/>
                <w:szCs w:val="20"/>
              </w:rPr>
            </w:pPr>
            <w:r>
              <w:rPr>
                <w:sz w:val="20"/>
                <w:szCs w:val="20"/>
              </w:rPr>
              <w:t>260</w:t>
            </w:r>
          </w:p>
        </w:tc>
        <w:tc>
          <w:tcPr>
            <w:tcW w:w="1822" w:type="dxa"/>
            <w:gridSpan w:val="3"/>
          </w:tcPr>
          <w:p w14:paraId="320AB3A1" w14:textId="5BACF92B" w:rsidR="00406ABD" w:rsidRPr="00852E1D" w:rsidRDefault="00852E1D" w:rsidP="002D5E11">
            <w:pPr>
              <w:ind w:left="0"/>
              <w:rPr>
                <w:sz w:val="20"/>
                <w:szCs w:val="20"/>
              </w:rPr>
            </w:pPr>
            <w:r w:rsidRPr="00852E1D">
              <w:rPr>
                <w:sz w:val="20"/>
                <w:szCs w:val="20"/>
              </w:rPr>
              <w:t>$20.50</w:t>
            </w:r>
          </w:p>
        </w:tc>
        <w:tc>
          <w:tcPr>
            <w:tcW w:w="1672" w:type="dxa"/>
          </w:tcPr>
          <w:p w14:paraId="5F9A0359" w14:textId="0105C84A" w:rsidR="00406ABD" w:rsidRPr="00852E1D" w:rsidRDefault="00852E1D" w:rsidP="000A2477">
            <w:pPr>
              <w:ind w:left="0"/>
              <w:rPr>
                <w:sz w:val="20"/>
                <w:szCs w:val="20"/>
              </w:rPr>
            </w:pPr>
            <w:r w:rsidRPr="00852E1D">
              <w:rPr>
                <w:sz w:val="20"/>
                <w:szCs w:val="20"/>
              </w:rPr>
              <w:t>$</w:t>
            </w:r>
            <w:r w:rsidR="000A2477">
              <w:rPr>
                <w:sz w:val="20"/>
                <w:szCs w:val="20"/>
              </w:rPr>
              <w:t>5,330</w:t>
            </w:r>
          </w:p>
        </w:tc>
      </w:tr>
      <w:tr w:rsidR="00274BA3" w:rsidRPr="004841F1" w14:paraId="065BCDDE" w14:textId="77777777" w:rsidTr="00620670">
        <w:trPr>
          <w:trHeight w:val="332"/>
        </w:trPr>
        <w:tc>
          <w:tcPr>
            <w:tcW w:w="7290" w:type="dxa"/>
            <w:gridSpan w:val="3"/>
            <w:tcBorders>
              <w:top w:val="single" w:sz="4" w:space="0" w:color="auto"/>
              <w:right w:val="nil"/>
            </w:tcBorders>
            <w:vAlign w:val="center"/>
          </w:tcPr>
          <w:p w14:paraId="0BF12E85" w14:textId="1AC18D73" w:rsidR="00274BA3" w:rsidRPr="00852E1D" w:rsidRDefault="00274BA3" w:rsidP="00274BA3">
            <w:pPr>
              <w:ind w:left="0"/>
              <w:jc w:val="right"/>
              <w:rPr>
                <w:b/>
                <w:sz w:val="20"/>
                <w:szCs w:val="20"/>
              </w:rPr>
            </w:pPr>
            <w:r w:rsidRPr="00852E1D">
              <w:rPr>
                <w:b/>
                <w:sz w:val="20"/>
                <w:szCs w:val="20"/>
              </w:rPr>
              <w:t>Estimated Total Cost of Information Collection</w:t>
            </w:r>
          </w:p>
        </w:tc>
        <w:tc>
          <w:tcPr>
            <w:tcW w:w="236" w:type="dxa"/>
            <w:tcBorders>
              <w:top w:val="single" w:sz="4" w:space="0" w:color="auto"/>
              <w:left w:val="nil"/>
              <w:right w:val="nil"/>
            </w:tcBorders>
            <w:vAlign w:val="center"/>
          </w:tcPr>
          <w:p w14:paraId="3E926AC0" w14:textId="77777777" w:rsidR="00274BA3" w:rsidRPr="00852E1D" w:rsidRDefault="00274BA3" w:rsidP="00274BA3">
            <w:pPr>
              <w:ind w:left="0"/>
              <w:rPr>
                <w:b/>
                <w:sz w:val="20"/>
                <w:szCs w:val="20"/>
              </w:rPr>
            </w:pPr>
          </w:p>
        </w:tc>
        <w:tc>
          <w:tcPr>
            <w:tcW w:w="236" w:type="dxa"/>
            <w:tcBorders>
              <w:top w:val="single" w:sz="4" w:space="0" w:color="auto"/>
              <w:left w:val="nil"/>
            </w:tcBorders>
            <w:vAlign w:val="center"/>
          </w:tcPr>
          <w:p w14:paraId="121617B4" w14:textId="77777777" w:rsidR="00274BA3" w:rsidRPr="00852E1D" w:rsidRDefault="00274BA3" w:rsidP="00274BA3">
            <w:pPr>
              <w:ind w:left="0"/>
              <w:rPr>
                <w:b/>
                <w:sz w:val="20"/>
                <w:szCs w:val="20"/>
              </w:rPr>
            </w:pPr>
          </w:p>
        </w:tc>
        <w:tc>
          <w:tcPr>
            <w:tcW w:w="1672" w:type="dxa"/>
            <w:tcBorders>
              <w:top w:val="single" w:sz="4" w:space="0" w:color="auto"/>
            </w:tcBorders>
            <w:vAlign w:val="center"/>
          </w:tcPr>
          <w:p w14:paraId="74980098" w14:textId="16E11B5E" w:rsidR="00274BA3" w:rsidRPr="00852E1D" w:rsidRDefault="00AD619F" w:rsidP="00562D62">
            <w:pPr>
              <w:ind w:left="0"/>
              <w:jc w:val="center"/>
              <w:rPr>
                <w:b/>
                <w:sz w:val="20"/>
                <w:szCs w:val="20"/>
              </w:rPr>
            </w:pPr>
            <w:r>
              <w:rPr>
                <w:b/>
                <w:sz w:val="20"/>
                <w:szCs w:val="20"/>
              </w:rPr>
              <w:t>$38,</w:t>
            </w:r>
            <w:r w:rsidR="00562D62">
              <w:rPr>
                <w:b/>
                <w:sz w:val="20"/>
                <w:szCs w:val="20"/>
              </w:rPr>
              <w:t>500</w:t>
            </w:r>
          </w:p>
        </w:tc>
      </w:tr>
    </w:tbl>
    <w:p w14:paraId="0AF580DD" w14:textId="77777777" w:rsidR="0042500C" w:rsidRDefault="0042500C" w:rsidP="001C7607">
      <w:pPr>
        <w:ind w:left="360"/>
      </w:pPr>
    </w:p>
    <w:p w14:paraId="075D4F24" w14:textId="77777777" w:rsidR="00734D99" w:rsidRDefault="00734D99" w:rsidP="001C7607">
      <w:pPr>
        <w:ind w:left="360"/>
      </w:pPr>
    </w:p>
    <w:p w14:paraId="21B1DC0A" w14:textId="77777777" w:rsidR="00B12F51" w:rsidRPr="00D75750" w:rsidRDefault="00D75750" w:rsidP="00692DEB">
      <w:pPr>
        <w:pStyle w:val="Heading4"/>
      </w:pPr>
      <w:bookmarkStart w:id="20" w:name="_Toc427752828"/>
      <w:r w:rsidRPr="00D75750">
        <w:t>Explanation for Program Changes or Adjustments</w:t>
      </w:r>
      <w:bookmarkEnd w:id="20"/>
    </w:p>
    <w:p w14:paraId="3F533BCE" w14:textId="77777777" w:rsidR="00F52BCC" w:rsidRDefault="003C7C5D" w:rsidP="008B65FF">
      <w:pPr>
        <w:ind w:left="360"/>
      </w:pPr>
      <w:r>
        <w:t xml:space="preserve">This is a new </w:t>
      </w:r>
      <w:r w:rsidR="002E2EDD">
        <w:t>data</w:t>
      </w:r>
      <w:r w:rsidR="00157413">
        <w:t xml:space="preserve"> collection</w:t>
      </w:r>
      <w:r>
        <w:t>.</w:t>
      </w:r>
    </w:p>
    <w:p w14:paraId="47BA8AD7" w14:textId="3ED9F946" w:rsidR="00194A56" w:rsidRDefault="00194A56" w:rsidP="001C7607"/>
    <w:p w14:paraId="665AB4CE" w14:textId="77777777" w:rsidR="00B12F51" w:rsidRPr="007B6A12" w:rsidRDefault="00616090" w:rsidP="00692DEB">
      <w:pPr>
        <w:pStyle w:val="Heading4"/>
      </w:pPr>
      <w:bookmarkStart w:id="21" w:name="_Toc427752829"/>
      <w:r w:rsidRPr="007B6A12">
        <w:t>Plan</w:t>
      </w:r>
      <w:r w:rsidR="00D75750" w:rsidRPr="007B6A12">
        <w:t>s for Tabulation and Publication and Project Time Schedule</w:t>
      </w:r>
      <w:bookmarkEnd w:id="21"/>
    </w:p>
    <w:p w14:paraId="020EB571" w14:textId="36105F0A" w:rsidR="00D40535" w:rsidRPr="00807A92" w:rsidRDefault="00D40535" w:rsidP="00807A92">
      <w:pPr>
        <w:ind w:left="360"/>
        <w:rPr>
          <w:rFonts w:cs="Arial"/>
        </w:rPr>
      </w:pPr>
      <w:r>
        <w:t xml:space="preserve">De-identified data collected from NACCHO will be stored on the password-protected computers of DSLR staff and on secure CDC servers. </w:t>
      </w:r>
      <w:r>
        <w:rPr>
          <w:rFonts w:cs="Arial"/>
        </w:rPr>
        <w:t xml:space="preserve">The DSLR </w:t>
      </w:r>
      <w:r w:rsidR="00807A92">
        <w:rPr>
          <w:rFonts w:cs="Arial"/>
        </w:rPr>
        <w:t>ALDT</w:t>
      </w:r>
      <w:r>
        <w:rPr>
          <w:rFonts w:cs="Arial"/>
        </w:rPr>
        <w:t xml:space="preserve"> and Applied Sciences and Evaluation Branch will analyze the data</w:t>
      </w:r>
      <w:r w:rsidR="00F55D11" w:rsidRPr="00F55D11">
        <w:rPr>
          <w:rFonts w:cs="Arial"/>
        </w:rPr>
        <w:t xml:space="preserve"> through a mixture of quantitative methods, descriptive </w:t>
      </w:r>
      <w:r w:rsidR="007901BC">
        <w:rPr>
          <w:rFonts w:cs="Arial"/>
        </w:rPr>
        <w:t xml:space="preserve">and inferential </w:t>
      </w:r>
      <w:r w:rsidR="00F55D11" w:rsidRPr="00F55D11">
        <w:rPr>
          <w:rFonts w:cs="Arial"/>
        </w:rPr>
        <w:t>statistics, for closed-ended questions and qualitati</w:t>
      </w:r>
      <w:r w:rsidR="00F55D11">
        <w:rPr>
          <w:rFonts w:cs="Arial"/>
        </w:rPr>
        <w:t>ve methods and</w:t>
      </w:r>
      <w:r w:rsidR="00F55D11" w:rsidRPr="00F55D11">
        <w:rPr>
          <w:rFonts w:cs="Arial"/>
        </w:rPr>
        <w:t xml:space="preserve"> thematic analysis, for open-ended questions</w:t>
      </w:r>
      <w:r w:rsidR="00F55D11" w:rsidRPr="00F55D11">
        <w:rPr>
          <w:b/>
          <w:sz w:val="20"/>
          <w:szCs w:val="20"/>
        </w:rPr>
        <w:t>.</w:t>
      </w:r>
      <w:r w:rsidR="00962F7A" w:rsidRPr="00962F7A">
        <w:t xml:space="preserve"> </w:t>
      </w:r>
    </w:p>
    <w:p w14:paraId="72C2D464" w14:textId="77777777" w:rsidR="00D40535" w:rsidRDefault="00D40535" w:rsidP="00F55D11">
      <w:pPr>
        <w:ind w:left="360"/>
      </w:pPr>
    </w:p>
    <w:p w14:paraId="37BFA4EC" w14:textId="2A968E26" w:rsidR="00962F7A" w:rsidRDefault="00D40535" w:rsidP="000228C1">
      <w:pPr>
        <w:ind w:left="360"/>
      </w:pPr>
      <w:r>
        <w:t xml:space="preserve">All information shared with stakeholders will be reported in aggregate form. Formal reports will be written for view and use by the DSLR </w:t>
      </w:r>
      <w:r w:rsidR="00807A92">
        <w:rPr>
          <w:rFonts w:cs="Arial"/>
        </w:rPr>
        <w:t>ALDT</w:t>
      </w:r>
      <w:r w:rsidR="00EA3236">
        <w:t xml:space="preserve"> and DSNS Learning T</w:t>
      </w:r>
      <w:r>
        <w:t xml:space="preserve">eam. </w:t>
      </w:r>
      <w:r w:rsidR="00962F7A">
        <w:t xml:space="preserve">The data will be used to inform the development and delivery of CDC-sponsored MCM trainings and </w:t>
      </w:r>
      <w:r w:rsidR="00962F7A" w:rsidRPr="00B01A37">
        <w:rPr>
          <w:rFonts w:cs="Arial"/>
        </w:rPr>
        <w:t xml:space="preserve">create a comprehensive </w:t>
      </w:r>
      <w:r w:rsidR="00962F7A">
        <w:rPr>
          <w:rFonts w:cs="Arial"/>
        </w:rPr>
        <w:t>five-</w:t>
      </w:r>
      <w:r w:rsidR="00962F7A" w:rsidRPr="00B01A37">
        <w:rPr>
          <w:rFonts w:cs="Arial"/>
        </w:rPr>
        <w:t xml:space="preserve">year </w:t>
      </w:r>
      <w:r w:rsidR="00962F7A">
        <w:rPr>
          <w:rFonts w:cs="Arial"/>
        </w:rPr>
        <w:t xml:space="preserve">MCM </w:t>
      </w:r>
      <w:r w:rsidR="00962F7A" w:rsidRPr="00B01A37">
        <w:rPr>
          <w:rFonts w:cs="Arial"/>
        </w:rPr>
        <w:t xml:space="preserve">training plan based on the stated needs of </w:t>
      </w:r>
      <w:r w:rsidR="00962F7A">
        <w:rPr>
          <w:rFonts w:cs="Arial"/>
        </w:rPr>
        <w:t xml:space="preserve">respondents. The data collected will allow the </w:t>
      </w:r>
      <w:r w:rsidR="00962F7A">
        <w:t>DSLR</w:t>
      </w:r>
      <w:r w:rsidR="00EA3236">
        <w:t xml:space="preserve"> </w:t>
      </w:r>
      <w:r w:rsidR="00807A92">
        <w:rPr>
          <w:rFonts w:cs="Arial"/>
        </w:rPr>
        <w:t>ALDT</w:t>
      </w:r>
      <w:r w:rsidR="00962F7A">
        <w:t xml:space="preserve"> to design updated trainings that target the most highly needed knowledge and skills, as identified by the population intended to benefit from MCM trainings. This will maximize the efficient use of the DSLR, as the resulting trainings will fill the identified knowledge and skill gaps to better prepare the nation to respond in a public health emergency requiring MCMs</w:t>
      </w:r>
      <w:r w:rsidR="009C7DEC">
        <w:t>.</w:t>
      </w:r>
      <w:r w:rsidR="00F55D11" w:rsidRPr="00F55D11">
        <w:rPr>
          <w:b/>
          <w:sz w:val="20"/>
          <w:szCs w:val="20"/>
        </w:rPr>
        <w:t xml:space="preserve"> </w:t>
      </w:r>
      <w:r w:rsidR="000228C1" w:rsidRPr="009C7DEC">
        <w:rPr>
          <w:sz w:val="24"/>
          <w:szCs w:val="24"/>
        </w:rPr>
        <w:t>Sections of this report will also provide CDC with information that can inform development of a public health workforce development plan, as was established as a priority area by the</w:t>
      </w:r>
      <w:r w:rsidR="000228C1">
        <w:rPr>
          <w:b/>
          <w:sz w:val="20"/>
          <w:szCs w:val="20"/>
        </w:rPr>
        <w:t xml:space="preserve"> </w:t>
      </w:r>
      <w:r w:rsidR="000228C1">
        <w:rPr>
          <w:rFonts w:cs="Arial"/>
        </w:rPr>
        <w:t>Joint External Evaluation of the United States of America for the World Health Organization’s Global Health Security Agenda.</w:t>
      </w:r>
    </w:p>
    <w:p w14:paraId="115D686A" w14:textId="3258DCA0" w:rsidR="00314AAD" w:rsidRDefault="00314AAD" w:rsidP="0042500C">
      <w:pPr>
        <w:ind w:left="0"/>
        <w:rPr>
          <w:rFonts w:cs="Arial"/>
          <w:b/>
        </w:rPr>
      </w:pPr>
    </w:p>
    <w:p w14:paraId="6226E6FC" w14:textId="07A00766" w:rsidR="008C59E7" w:rsidRDefault="008C59E7" w:rsidP="008B65FF">
      <w:pPr>
        <w:ind w:left="360"/>
        <w:rPr>
          <w:rFonts w:cs="Arial"/>
          <w:u w:val="single"/>
        </w:rPr>
      </w:pPr>
      <w:r w:rsidRPr="00BB090C">
        <w:rPr>
          <w:rFonts w:cs="Arial"/>
          <w:u w:val="single"/>
        </w:rPr>
        <w:t>Project Time Schedule</w:t>
      </w:r>
    </w:p>
    <w:p w14:paraId="21488CA1" w14:textId="77CE8205" w:rsidR="00F8492F" w:rsidRDefault="00F8492F" w:rsidP="008B65FF">
      <w:pPr>
        <w:ind w:left="360"/>
        <w:rPr>
          <w:rFonts w:cs="Arial"/>
          <w:color w:val="0070C0"/>
        </w:rPr>
      </w:pPr>
    </w:p>
    <w:tbl>
      <w:tblPr>
        <w:tblStyle w:val="GridTable1Light"/>
        <w:tblW w:w="8640" w:type="dxa"/>
        <w:tblInd w:w="714" w:type="dxa"/>
        <w:tblLook w:val="0620" w:firstRow="1" w:lastRow="0" w:firstColumn="0" w:lastColumn="0" w:noHBand="1" w:noVBand="1"/>
      </w:tblPr>
      <w:tblGrid>
        <w:gridCol w:w="4855"/>
        <w:gridCol w:w="2160"/>
        <w:gridCol w:w="1625"/>
      </w:tblGrid>
      <w:tr w:rsidR="00F8492F" w:rsidRPr="001E0765" w14:paraId="318C3A15" w14:textId="77777777" w:rsidTr="00F8492F">
        <w:trPr>
          <w:cnfStyle w:val="100000000000" w:firstRow="1" w:lastRow="0" w:firstColumn="0" w:lastColumn="0" w:oddVBand="0" w:evenVBand="0" w:oddHBand="0" w:evenHBand="0" w:firstRowFirstColumn="0" w:firstRowLastColumn="0" w:lastRowFirstColumn="0" w:lastRowLastColumn="0"/>
          <w:trHeight w:val="287"/>
          <w:tblHeader/>
        </w:trPr>
        <w:tc>
          <w:tcPr>
            <w:tcW w:w="4855" w:type="dxa"/>
          </w:tcPr>
          <w:p w14:paraId="0637C42A" w14:textId="77777777" w:rsidR="00F8492F" w:rsidRPr="001E0765" w:rsidRDefault="00F8492F" w:rsidP="00146037">
            <w:pPr>
              <w:ind w:left="0"/>
              <w:rPr>
                <w:rFonts w:cs="Arial"/>
                <w:b w:val="0"/>
              </w:rPr>
            </w:pPr>
            <w:r w:rsidRPr="001E0765">
              <w:rPr>
                <w:rFonts w:cs="Arial"/>
                <w:b w:val="0"/>
              </w:rPr>
              <w:t>Task</w:t>
            </w:r>
          </w:p>
        </w:tc>
        <w:tc>
          <w:tcPr>
            <w:tcW w:w="2160" w:type="dxa"/>
          </w:tcPr>
          <w:p w14:paraId="246D3DFA" w14:textId="77777777" w:rsidR="00F8492F" w:rsidRPr="001E0765" w:rsidRDefault="00F8492F" w:rsidP="00146037">
            <w:pPr>
              <w:ind w:left="0"/>
              <w:rPr>
                <w:rFonts w:cs="Arial"/>
                <w:b w:val="0"/>
              </w:rPr>
            </w:pPr>
            <w:r w:rsidRPr="001E0765">
              <w:rPr>
                <w:rFonts w:cs="Arial"/>
                <w:b w:val="0"/>
              </w:rPr>
              <w:t>Timeline</w:t>
            </w:r>
          </w:p>
        </w:tc>
        <w:tc>
          <w:tcPr>
            <w:tcW w:w="1625" w:type="dxa"/>
          </w:tcPr>
          <w:p w14:paraId="0DEF5493" w14:textId="77777777" w:rsidR="00F8492F" w:rsidRPr="001E0765" w:rsidRDefault="00F8492F" w:rsidP="00146037">
            <w:pPr>
              <w:ind w:left="0"/>
              <w:rPr>
                <w:rFonts w:cs="Arial"/>
                <w:b w:val="0"/>
              </w:rPr>
            </w:pPr>
            <w:r w:rsidRPr="001E0765">
              <w:rPr>
                <w:rFonts w:cs="Arial"/>
                <w:b w:val="0"/>
              </w:rPr>
              <w:t>Status</w:t>
            </w:r>
          </w:p>
        </w:tc>
      </w:tr>
      <w:tr w:rsidR="00F8492F" w:rsidRPr="001E0765" w14:paraId="6D03172E" w14:textId="77777777" w:rsidTr="00F8492F">
        <w:tc>
          <w:tcPr>
            <w:tcW w:w="4855" w:type="dxa"/>
          </w:tcPr>
          <w:p w14:paraId="6B9D17AF" w14:textId="77777777" w:rsidR="00F8492F" w:rsidRPr="002617B5" w:rsidRDefault="00F8492F" w:rsidP="00146037">
            <w:pPr>
              <w:ind w:left="0"/>
              <w:rPr>
                <w:rFonts w:ascii="Cambria" w:eastAsiaTheme="majorEastAsia" w:hAnsi="Cambria" w:cstheme="majorBidi"/>
              </w:rPr>
            </w:pPr>
            <w:r w:rsidRPr="002617B5">
              <w:rPr>
                <w:rFonts w:ascii="Cambria" w:eastAsiaTheme="majorEastAsia" w:hAnsi="Cambria" w:cstheme="majorBidi"/>
              </w:rPr>
              <w:t>Design instruments</w:t>
            </w:r>
          </w:p>
          <w:p w14:paraId="04A28F89" w14:textId="77777777" w:rsidR="00F8492F" w:rsidRPr="002617B5" w:rsidRDefault="00F8492F" w:rsidP="00146037">
            <w:pPr>
              <w:ind w:left="0"/>
              <w:rPr>
                <w:rFonts w:ascii="Cambria" w:hAnsi="Cambria" w:cs="Arial"/>
              </w:rPr>
            </w:pPr>
          </w:p>
        </w:tc>
        <w:tc>
          <w:tcPr>
            <w:tcW w:w="2160" w:type="dxa"/>
          </w:tcPr>
          <w:p w14:paraId="6B693117" w14:textId="6C18465F" w:rsidR="00F8492F" w:rsidRPr="002617B5" w:rsidRDefault="00D24736" w:rsidP="00146037">
            <w:pPr>
              <w:ind w:left="0"/>
              <w:rPr>
                <w:rFonts w:ascii="Cambria" w:hAnsi="Cambria" w:cs="Arial"/>
              </w:rPr>
            </w:pPr>
            <w:r>
              <w:rPr>
                <w:rFonts w:ascii="Cambria" w:hAnsi="Cambria" w:cs="Arial"/>
              </w:rPr>
              <w:t>8</w:t>
            </w:r>
            <w:r w:rsidR="00F8492F" w:rsidRPr="002617B5">
              <w:rPr>
                <w:rFonts w:ascii="Cambria" w:hAnsi="Cambria" w:cs="Arial"/>
              </w:rPr>
              <w:t xml:space="preserve"> weeks</w:t>
            </w:r>
          </w:p>
        </w:tc>
        <w:tc>
          <w:tcPr>
            <w:tcW w:w="1625" w:type="dxa"/>
          </w:tcPr>
          <w:p w14:paraId="3D8D33A5" w14:textId="77777777" w:rsidR="00F8492F" w:rsidRPr="002617B5" w:rsidRDefault="00F8492F" w:rsidP="00146037">
            <w:pPr>
              <w:ind w:left="0"/>
              <w:rPr>
                <w:rFonts w:ascii="Cambria" w:hAnsi="Cambria" w:cs="Arial"/>
              </w:rPr>
            </w:pPr>
            <w:r w:rsidRPr="002617B5">
              <w:rPr>
                <w:rFonts w:ascii="Cambria" w:hAnsi="Cambria" w:cs="Arial"/>
              </w:rPr>
              <w:t xml:space="preserve">COMPLETE   </w:t>
            </w:r>
            <w:r w:rsidRPr="002617B5">
              <w:rPr>
                <w:rFonts w:ascii="Cambria" w:hAnsi="Cambria" w:cs="Arial"/>
              </w:rPr>
              <w:sym w:font="Wingdings" w:char="F0FC"/>
            </w:r>
          </w:p>
        </w:tc>
      </w:tr>
      <w:tr w:rsidR="00F8492F" w:rsidRPr="001E0765" w14:paraId="004874CE" w14:textId="77777777" w:rsidTr="00F8492F">
        <w:tc>
          <w:tcPr>
            <w:tcW w:w="4855" w:type="dxa"/>
          </w:tcPr>
          <w:p w14:paraId="2A9D428A" w14:textId="77777777" w:rsidR="00F8492F" w:rsidRPr="002617B5" w:rsidRDefault="00F8492F" w:rsidP="00146037">
            <w:pPr>
              <w:ind w:left="0"/>
              <w:rPr>
                <w:rFonts w:ascii="Cambria" w:eastAsiaTheme="majorEastAsia" w:hAnsi="Cambria" w:cstheme="majorBidi"/>
              </w:rPr>
            </w:pPr>
            <w:r w:rsidRPr="002617B5">
              <w:rPr>
                <w:rFonts w:ascii="Cambria" w:eastAsiaTheme="majorEastAsia" w:hAnsi="Cambria" w:cstheme="majorBidi"/>
              </w:rPr>
              <w:t>Develop protocol, instructions, and analysis plan</w:t>
            </w:r>
          </w:p>
          <w:p w14:paraId="6E0E614D" w14:textId="77777777" w:rsidR="00F8492F" w:rsidRPr="002617B5" w:rsidRDefault="00F8492F" w:rsidP="00146037">
            <w:pPr>
              <w:ind w:left="0"/>
              <w:rPr>
                <w:rFonts w:ascii="Cambria" w:hAnsi="Cambria" w:cs="Arial"/>
              </w:rPr>
            </w:pPr>
          </w:p>
        </w:tc>
        <w:tc>
          <w:tcPr>
            <w:tcW w:w="2160" w:type="dxa"/>
          </w:tcPr>
          <w:p w14:paraId="38B7B784" w14:textId="0BEED5B6" w:rsidR="00F8492F" w:rsidRPr="002617B5" w:rsidRDefault="00D24736" w:rsidP="00146037">
            <w:pPr>
              <w:ind w:left="0"/>
              <w:rPr>
                <w:rFonts w:ascii="Cambria" w:hAnsi="Cambria" w:cs="Arial"/>
              </w:rPr>
            </w:pPr>
            <w:r>
              <w:rPr>
                <w:rFonts w:ascii="Cambria" w:hAnsi="Cambria" w:cs="Arial"/>
              </w:rPr>
              <w:t>8</w:t>
            </w:r>
            <w:r w:rsidR="00F8492F" w:rsidRPr="002617B5">
              <w:rPr>
                <w:rFonts w:ascii="Cambria" w:hAnsi="Cambria" w:cs="Arial"/>
              </w:rPr>
              <w:t xml:space="preserve"> weeks</w:t>
            </w:r>
          </w:p>
        </w:tc>
        <w:tc>
          <w:tcPr>
            <w:tcW w:w="1625" w:type="dxa"/>
          </w:tcPr>
          <w:p w14:paraId="7B081632" w14:textId="77777777" w:rsidR="00F8492F" w:rsidRPr="002617B5" w:rsidRDefault="00F8492F" w:rsidP="00146037">
            <w:pPr>
              <w:ind w:left="0"/>
              <w:rPr>
                <w:rFonts w:ascii="Cambria" w:hAnsi="Cambria" w:cs="Arial"/>
              </w:rPr>
            </w:pPr>
            <w:r w:rsidRPr="002617B5">
              <w:rPr>
                <w:rFonts w:ascii="Cambria" w:hAnsi="Cambria" w:cs="Arial"/>
              </w:rPr>
              <w:t xml:space="preserve">COMPLETE   </w:t>
            </w:r>
            <w:r w:rsidRPr="002617B5">
              <w:rPr>
                <w:rFonts w:ascii="Cambria" w:hAnsi="Cambria" w:cs="Arial"/>
              </w:rPr>
              <w:sym w:font="Wingdings" w:char="F0FC"/>
            </w:r>
          </w:p>
        </w:tc>
      </w:tr>
      <w:tr w:rsidR="00F8492F" w:rsidRPr="001E0765" w14:paraId="7368D438" w14:textId="77777777" w:rsidTr="00F8492F">
        <w:tc>
          <w:tcPr>
            <w:tcW w:w="4855" w:type="dxa"/>
          </w:tcPr>
          <w:p w14:paraId="76B5A107" w14:textId="77777777" w:rsidR="00F8492F" w:rsidRPr="002617B5" w:rsidRDefault="00F8492F" w:rsidP="00146037">
            <w:pPr>
              <w:ind w:left="0"/>
              <w:rPr>
                <w:rFonts w:ascii="Cambria" w:eastAsiaTheme="majorEastAsia" w:hAnsi="Cambria" w:cstheme="majorBidi"/>
              </w:rPr>
            </w:pPr>
            <w:r w:rsidRPr="002617B5">
              <w:rPr>
                <w:rFonts w:ascii="Cambria" w:eastAsiaTheme="majorEastAsia" w:hAnsi="Cambria" w:cstheme="majorBidi"/>
              </w:rPr>
              <w:t>Pilot test instruments</w:t>
            </w:r>
          </w:p>
          <w:p w14:paraId="30EF9177" w14:textId="77777777" w:rsidR="00F8492F" w:rsidRPr="002617B5" w:rsidRDefault="00F8492F" w:rsidP="00146037">
            <w:pPr>
              <w:ind w:left="0"/>
              <w:rPr>
                <w:rFonts w:ascii="Cambria" w:hAnsi="Cambria" w:cs="Arial"/>
              </w:rPr>
            </w:pPr>
          </w:p>
        </w:tc>
        <w:tc>
          <w:tcPr>
            <w:tcW w:w="2160" w:type="dxa"/>
          </w:tcPr>
          <w:p w14:paraId="71AC571F" w14:textId="77777777" w:rsidR="00F8492F" w:rsidRPr="002617B5" w:rsidRDefault="00F8492F" w:rsidP="00146037">
            <w:pPr>
              <w:ind w:left="0"/>
              <w:rPr>
                <w:rFonts w:ascii="Cambria" w:hAnsi="Cambria" w:cs="Arial"/>
              </w:rPr>
            </w:pPr>
            <w:r w:rsidRPr="002617B5">
              <w:rPr>
                <w:rFonts w:ascii="Cambria" w:hAnsi="Cambria" w:cs="Arial"/>
              </w:rPr>
              <w:t>2 weeks</w:t>
            </w:r>
          </w:p>
        </w:tc>
        <w:tc>
          <w:tcPr>
            <w:tcW w:w="1625" w:type="dxa"/>
          </w:tcPr>
          <w:p w14:paraId="7B9738BE" w14:textId="77777777" w:rsidR="00F8492F" w:rsidRPr="002617B5" w:rsidRDefault="00F8492F" w:rsidP="00146037">
            <w:pPr>
              <w:ind w:left="0"/>
              <w:rPr>
                <w:rFonts w:ascii="Cambria" w:hAnsi="Cambria" w:cs="Arial"/>
              </w:rPr>
            </w:pPr>
            <w:r w:rsidRPr="002617B5">
              <w:rPr>
                <w:rFonts w:ascii="Cambria" w:hAnsi="Cambria" w:cs="Arial"/>
              </w:rPr>
              <w:t xml:space="preserve">COMPLETE   </w:t>
            </w:r>
            <w:r w:rsidRPr="002617B5">
              <w:rPr>
                <w:rFonts w:ascii="Cambria" w:hAnsi="Cambria" w:cs="Arial"/>
              </w:rPr>
              <w:sym w:font="Wingdings" w:char="F0FC"/>
            </w:r>
          </w:p>
        </w:tc>
      </w:tr>
      <w:tr w:rsidR="00F8492F" w:rsidRPr="001E0765" w14:paraId="785FDB87" w14:textId="77777777" w:rsidTr="00F8492F">
        <w:tc>
          <w:tcPr>
            <w:tcW w:w="4855" w:type="dxa"/>
          </w:tcPr>
          <w:p w14:paraId="17A26AA6" w14:textId="77777777" w:rsidR="00F8492F" w:rsidRPr="002617B5" w:rsidRDefault="00F8492F" w:rsidP="00146037">
            <w:pPr>
              <w:ind w:left="0"/>
              <w:rPr>
                <w:rFonts w:ascii="Cambria" w:eastAsiaTheme="majorEastAsia" w:hAnsi="Cambria" w:cstheme="majorBidi"/>
              </w:rPr>
            </w:pPr>
            <w:r w:rsidRPr="002617B5">
              <w:rPr>
                <w:rFonts w:ascii="Cambria" w:eastAsiaTheme="majorEastAsia" w:hAnsi="Cambria" w:cstheme="majorBidi"/>
              </w:rPr>
              <w:t>Prepare OMB package</w:t>
            </w:r>
          </w:p>
          <w:p w14:paraId="4CE210FC" w14:textId="77777777" w:rsidR="00F8492F" w:rsidRPr="002617B5" w:rsidRDefault="00F8492F" w:rsidP="00146037">
            <w:pPr>
              <w:ind w:left="0"/>
              <w:rPr>
                <w:rFonts w:ascii="Cambria" w:hAnsi="Cambria" w:cs="Arial"/>
              </w:rPr>
            </w:pPr>
          </w:p>
        </w:tc>
        <w:tc>
          <w:tcPr>
            <w:tcW w:w="2160" w:type="dxa"/>
          </w:tcPr>
          <w:p w14:paraId="17B2739C" w14:textId="5770D76B" w:rsidR="00F8492F" w:rsidRPr="002617B5" w:rsidRDefault="00D24736" w:rsidP="00146037">
            <w:pPr>
              <w:ind w:left="0"/>
              <w:rPr>
                <w:rFonts w:ascii="Cambria" w:hAnsi="Cambria" w:cs="Arial"/>
              </w:rPr>
            </w:pPr>
            <w:r>
              <w:rPr>
                <w:rFonts w:ascii="Cambria" w:hAnsi="Cambria" w:cs="Arial"/>
              </w:rPr>
              <w:t>16 weeks</w:t>
            </w:r>
          </w:p>
        </w:tc>
        <w:tc>
          <w:tcPr>
            <w:tcW w:w="1625" w:type="dxa"/>
          </w:tcPr>
          <w:p w14:paraId="3409D5E7" w14:textId="77777777" w:rsidR="00F8492F" w:rsidRPr="002617B5" w:rsidRDefault="00F8492F" w:rsidP="00146037">
            <w:pPr>
              <w:ind w:left="0"/>
              <w:rPr>
                <w:rFonts w:ascii="Cambria" w:hAnsi="Cambria" w:cs="Arial"/>
              </w:rPr>
            </w:pPr>
            <w:r w:rsidRPr="002617B5">
              <w:rPr>
                <w:rFonts w:ascii="Cambria" w:hAnsi="Cambria" w:cs="Arial"/>
              </w:rPr>
              <w:t xml:space="preserve">COMPLETE   </w:t>
            </w:r>
            <w:r w:rsidRPr="002617B5">
              <w:rPr>
                <w:rFonts w:ascii="Cambria" w:hAnsi="Cambria" w:cs="Arial"/>
              </w:rPr>
              <w:sym w:font="Wingdings" w:char="F0FC"/>
            </w:r>
          </w:p>
        </w:tc>
      </w:tr>
      <w:tr w:rsidR="00F8492F" w:rsidRPr="001E0765" w14:paraId="41361459" w14:textId="77777777" w:rsidTr="00F8492F">
        <w:tc>
          <w:tcPr>
            <w:tcW w:w="4855" w:type="dxa"/>
          </w:tcPr>
          <w:p w14:paraId="1075B75E" w14:textId="77777777" w:rsidR="00F8492F" w:rsidRPr="002617B5" w:rsidRDefault="00F8492F" w:rsidP="00146037">
            <w:pPr>
              <w:ind w:left="0"/>
              <w:rPr>
                <w:rFonts w:ascii="Cambria" w:eastAsiaTheme="majorEastAsia" w:hAnsi="Cambria" w:cstheme="majorBidi"/>
              </w:rPr>
            </w:pPr>
            <w:r w:rsidRPr="002617B5">
              <w:rPr>
                <w:rFonts w:ascii="Cambria" w:eastAsiaTheme="majorEastAsia" w:hAnsi="Cambria" w:cstheme="majorBidi"/>
              </w:rPr>
              <w:t>Submit OMB package</w:t>
            </w:r>
          </w:p>
          <w:p w14:paraId="0F08453A" w14:textId="77777777" w:rsidR="00F8492F" w:rsidRPr="002617B5" w:rsidRDefault="00F8492F" w:rsidP="00146037">
            <w:pPr>
              <w:ind w:left="0"/>
              <w:rPr>
                <w:rFonts w:ascii="Cambria" w:hAnsi="Cambria" w:cs="Arial"/>
              </w:rPr>
            </w:pPr>
          </w:p>
        </w:tc>
        <w:tc>
          <w:tcPr>
            <w:tcW w:w="2160" w:type="dxa"/>
          </w:tcPr>
          <w:p w14:paraId="4B547EC3" w14:textId="77777777" w:rsidR="00F8492F" w:rsidRPr="002617B5" w:rsidRDefault="00F8492F" w:rsidP="00146037">
            <w:pPr>
              <w:ind w:left="0"/>
              <w:rPr>
                <w:rFonts w:ascii="Cambria" w:hAnsi="Cambria" w:cs="Arial"/>
              </w:rPr>
            </w:pPr>
            <w:r w:rsidRPr="002617B5">
              <w:rPr>
                <w:rFonts w:ascii="Cambria" w:hAnsi="Cambria" w:cs="Arial"/>
              </w:rPr>
              <w:t>4 weeks</w:t>
            </w:r>
          </w:p>
        </w:tc>
        <w:tc>
          <w:tcPr>
            <w:tcW w:w="1625" w:type="dxa"/>
          </w:tcPr>
          <w:p w14:paraId="038FDDA1" w14:textId="673DB578" w:rsidR="00F8492F" w:rsidRPr="002617B5" w:rsidRDefault="00F8492F" w:rsidP="00146037">
            <w:pPr>
              <w:ind w:left="0"/>
              <w:rPr>
                <w:rFonts w:ascii="Cambria" w:hAnsi="Cambria" w:cs="Arial"/>
              </w:rPr>
            </w:pPr>
            <w:r>
              <w:rPr>
                <w:rFonts w:ascii="Cambria" w:hAnsi="Cambria" w:cs="Arial"/>
              </w:rPr>
              <w:t xml:space="preserve">    TBD        </w:t>
            </w:r>
            <w:r w:rsidRPr="00F8492F">
              <w:rPr>
                <w:rFonts w:ascii="Cambria" w:hAnsi="Cambria" w:cs="Arial"/>
                <w:b/>
              </w:rPr>
              <w:t xml:space="preserve"> --</w:t>
            </w:r>
          </w:p>
        </w:tc>
      </w:tr>
      <w:tr w:rsidR="00F8492F" w:rsidRPr="001E0765" w14:paraId="5AAC1B6E" w14:textId="77777777" w:rsidTr="00F8492F">
        <w:tc>
          <w:tcPr>
            <w:tcW w:w="4855" w:type="dxa"/>
          </w:tcPr>
          <w:p w14:paraId="52B77046" w14:textId="77777777" w:rsidR="00F8492F" w:rsidRPr="002617B5" w:rsidRDefault="00F8492F" w:rsidP="00146037">
            <w:pPr>
              <w:ind w:left="0"/>
              <w:rPr>
                <w:rFonts w:ascii="Cambria" w:eastAsiaTheme="majorEastAsia" w:hAnsi="Cambria" w:cstheme="majorBidi"/>
              </w:rPr>
            </w:pPr>
            <w:r w:rsidRPr="002617B5">
              <w:rPr>
                <w:rFonts w:ascii="Cambria" w:eastAsiaTheme="majorEastAsia" w:hAnsi="Cambria" w:cstheme="majorBidi"/>
              </w:rPr>
              <w:t>OMB approval</w:t>
            </w:r>
          </w:p>
          <w:p w14:paraId="625B1461" w14:textId="77777777" w:rsidR="00F8492F" w:rsidRPr="002617B5" w:rsidRDefault="00F8492F" w:rsidP="00146037">
            <w:pPr>
              <w:ind w:left="0"/>
              <w:rPr>
                <w:rFonts w:ascii="Cambria" w:hAnsi="Cambria" w:cs="Arial"/>
              </w:rPr>
            </w:pPr>
          </w:p>
        </w:tc>
        <w:tc>
          <w:tcPr>
            <w:tcW w:w="2160" w:type="dxa"/>
          </w:tcPr>
          <w:p w14:paraId="5B29BD1B" w14:textId="77777777" w:rsidR="00F8492F" w:rsidRPr="002617B5" w:rsidRDefault="00F8492F" w:rsidP="00146037">
            <w:pPr>
              <w:ind w:left="0"/>
              <w:rPr>
                <w:rFonts w:ascii="Cambria" w:hAnsi="Cambria" w:cs="Arial"/>
              </w:rPr>
            </w:pPr>
            <w:r w:rsidRPr="002617B5">
              <w:rPr>
                <w:rFonts w:ascii="Cambria" w:hAnsi="Cambria" w:cs="Arial"/>
              </w:rPr>
              <w:t>In process</w:t>
            </w:r>
          </w:p>
        </w:tc>
        <w:tc>
          <w:tcPr>
            <w:tcW w:w="1625" w:type="dxa"/>
          </w:tcPr>
          <w:p w14:paraId="6B4895EA" w14:textId="77777777" w:rsidR="00F8492F" w:rsidRPr="002617B5" w:rsidRDefault="00F8492F" w:rsidP="00146037">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r w:rsidR="00F8492F" w:rsidRPr="001E0765" w14:paraId="052996D1" w14:textId="77777777" w:rsidTr="00F8492F">
        <w:tc>
          <w:tcPr>
            <w:tcW w:w="4855" w:type="dxa"/>
          </w:tcPr>
          <w:p w14:paraId="17A53AAF" w14:textId="45FA6CA7" w:rsidR="00F8492F" w:rsidRPr="002617B5" w:rsidRDefault="00F8492F" w:rsidP="00F8492F">
            <w:pPr>
              <w:ind w:left="0"/>
              <w:rPr>
                <w:rFonts w:ascii="Cambria" w:hAnsi="Cambria" w:cs="Arial"/>
              </w:rPr>
            </w:pPr>
            <w:r w:rsidRPr="002617B5">
              <w:rPr>
                <w:rFonts w:ascii="Cambria" w:eastAsiaTheme="majorEastAsia" w:hAnsi="Cambria" w:cstheme="majorBidi"/>
              </w:rPr>
              <w:t xml:space="preserve">Conduct </w:t>
            </w:r>
            <w:r>
              <w:rPr>
                <w:rFonts w:ascii="Cambria" w:eastAsiaTheme="majorEastAsia" w:hAnsi="Cambria" w:cstheme="majorBidi"/>
              </w:rPr>
              <w:t>data collection</w:t>
            </w:r>
          </w:p>
        </w:tc>
        <w:tc>
          <w:tcPr>
            <w:tcW w:w="2160" w:type="dxa"/>
          </w:tcPr>
          <w:p w14:paraId="38C8F862" w14:textId="5D83F95D" w:rsidR="00F8492F" w:rsidRPr="002617B5" w:rsidRDefault="00F8492F" w:rsidP="00146037">
            <w:pPr>
              <w:ind w:left="0"/>
              <w:rPr>
                <w:rFonts w:ascii="Cambria" w:hAnsi="Cambria" w:cs="Arial"/>
              </w:rPr>
            </w:pPr>
            <w:r>
              <w:rPr>
                <w:rFonts w:ascii="Cambria" w:hAnsi="Cambria" w:cs="Arial"/>
              </w:rPr>
              <w:t>Weeks 1-6</w:t>
            </w:r>
            <w:r w:rsidRPr="002617B5">
              <w:rPr>
                <w:rFonts w:ascii="Cambria" w:hAnsi="Cambria" w:cs="Arial"/>
              </w:rPr>
              <w:t xml:space="preserve"> after OMB approval</w:t>
            </w:r>
          </w:p>
        </w:tc>
        <w:tc>
          <w:tcPr>
            <w:tcW w:w="1625" w:type="dxa"/>
          </w:tcPr>
          <w:p w14:paraId="10ED92E8" w14:textId="77777777" w:rsidR="00F8492F" w:rsidRPr="002617B5" w:rsidRDefault="00F8492F" w:rsidP="00146037">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r w:rsidR="00F8492F" w:rsidRPr="001E0765" w14:paraId="1A38B2C5" w14:textId="77777777" w:rsidTr="00F8492F">
        <w:tc>
          <w:tcPr>
            <w:tcW w:w="4855" w:type="dxa"/>
          </w:tcPr>
          <w:p w14:paraId="278B7CCF" w14:textId="77777777" w:rsidR="00F8492F" w:rsidRPr="002617B5" w:rsidRDefault="00F8492F" w:rsidP="00146037">
            <w:pPr>
              <w:ind w:left="0"/>
              <w:rPr>
                <w:rFonts w:ascii="Cambria" w:hAnsi="Cambria" w:cs="Arial"/>
              </w:rPr>
            </w:pPr>
            <w:r w:rsidRPr="002617B5">
              <w:rPr>
                <w:rFonts w:ascii="Cambria" w:eastAsiaTheme="majorEastAsia" w:hAnsi="Cambria" w:cstheme="majorBidi"/>
              </w:rPr>
              <w:t>Code, quality control, and analyze data</w:t>
            </w:r>
          </w:p>
        </w:tc>
        <w:tc>
          <w:tcPr>
            <w:tcW w:w="2160" w:type="dxa"/>
          </w:tcPr>
          <w:p w14:paraId="2D3FE379" w14:textId="4320C433" w:rsidR="00F8492F" w:rsidRPr="002617B5" w:rsidRDefault="00F8492F" w:rsidP="00F8492F">
            <w:pPr>
              <w:ind w:left="0"/>
              <w:rPr>
                <w:rFonts w:ascii="Cambria" w:hAnsi="Cambria" w:cs="Arial"/>
              </w:rPr>
            </w:pPr>
            <w:r w:rsidRPr="002617B5">
              <w:rPr>
                <w:rFonts w:ascii="Cambria" w:hAnsi="Cambria" w:cs="Arial"/>
              </w:rPr>
              <w:t xml:space="preserve">Within </w:t>
            </w:r>
            <w:r>
              <w:rPr>
                <w:rFonts w:ascii="Cambria" w:hAnsi="Cambria" w:cs="Arial"/>
              </w:rPr>
              <w:t>4 weeks</w:t>
            </w:r>
            <w:r w:rsidRPr="002617B5">
              <w:rPr>
                <w:rFonts w:ascii="Cambria" w:hAnsi="Cambria" w:cs="Arial"/>
              </w:rPr>
              <w:t xml:space="preserve"> after data collection</w:t>
            </w:r>
          </w:p>
        </w:tc>
        <w:tc>
          <w:tcPr>
            <w:tcW w:w="1625" w:type="dxa"/>
          </w:tcPr>
          <w:p w14:paraId="07065D5F" w14:textId="77777777" w:rsidR="00F8492F" w:rsidRPr="002617B5" w:rsidRDefault="00F8492F" w:rsidP="00146037">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r w:rsidR="00F8492F" w:rsidRPr="001E0765" w14:paraId="4B876912" w14:textId="77777777" w:rsidTr="00F8492F">
        <w:tc>
          <w:tcPr>
            <w:tcW w:w="4855" w:type="dxa"/>
          </w:tcPr>
          <w:p w14:paraId="0C2EFE52" w14:textId="77777777" w:rsidR="00F8492F" w:rsidRPr="002617B5" w:rsidRDefault="00F8492F" w:rsidP="00146037">
            <w:pPr>
              <w:ind w:left="0"/>
              <w:rPr>
                <w:rFonts w:ascii="Cambria" w:eastAsiaTheme="majorEastAsia" w:hAnsi="Cambria" w:cstheme="majorBidi"/>
              </w:rPr>
            </w:pPr>
            <w:r w:rsidRPr="002617B5">
              <w:rPr>
                <w:rFonts w:ascii="Cambria" w:eastAsiaTheme="majorEastAsia" w:hAnsi="Cambria" w:cstheme="majorBidi"/>
              </w:rPr>
              <w:t>Prepare summary reports</w:t>
            </w:r>
          </w:p>
          <w:p w14:paraId="01DF3F99" w14:textId="77777777" w:rsidR="00F8492F" w:rsidRPr="002617B5" w:rsidRDefault="00F8492F" w:rsidP="00146037">
            <w:pPr>
              <w:ind w:left="0"/>
              <w:rPr>
                <w:rFonts w:ascii="Cambria" w:eastAsiaTheme="majorEastAsia" w:hAnsi="Cambria" w:cstheme="majorBidi"/>
              </w:rPr>
            </w:pPr>
          </w:p>
        </w:tc>
        <w:tc>
          <w:tcPr>
            <w:tcW w:w="2160" w:type="dxa"/>
          </w:tcPr>
          <w:p w14:paraId="6C977FB6" w14:textId="701EDFD7" w:rsidR="00F8492F" w:rsidRPr="002617B5" w:rsidRDefault="00F8492F" w:rsidP="00146037">
            <w:pPr>
              <w:ind w:left="0"/>
              <w:rPr>
                <w:rFonts w:ascii="Cambria" w:hAnsi="Cambria" w:cs="Arial"/>
              </w:rPr>
            </w:pPr>
            <w:r w:rsidRPr="002617B5">
              <w:rPr>
                <w:rFonts w:ascii="Cambria" w:hAnsi="Cambria" w:cs="Arial"/>
              </w:rPr>
              <w:t xml:space="preserve">Within </w:t>
            </w:r>
            <w:r>
              <w:rPr>
                <w:rFonts w:ascii="Cambria" w:hAnsi="Cambria" w:cs="Arial"/>
              </w:rPr>
              <w:t>8</w:t>
            </w:r>
            <w:r w:rsidRPr="002617B5">
              <w:rPr>
                <w:rFonts w:ascii="Cambria" w:hAnsi="Cambria" w:cs="Arial"/>
              </w:rPr>
              <w:t xml:space="preserve"> weeks after data analysis</w:t>
            </w:r>
          </w:p>
        </w:tc>
        <w:tc>
          <w:tcPr>
            <w:tcW w:w="1625" w:type="dxa"/>
          </w:tcPr>
          <w:p w14:paraId="0B0B4CA1" w14:textId="77777777" w:rsidR="00F8492F" w:rsidRPr="002617B5" w:rsidRDefault="00F8492F" w:rsidP="00146037">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r w:rsidR="00F8492F" w:rsidRPr="001E0765" w14:paraId="0885B268" w14:textId="77777777" w:rsidTr="00F8492F">
        <w:tc>
          <w:tcPr>
            <w:tcW w:w="4855" w:type="dxa"/>
          </w:tcPr>
          <w:p w14:paraId="24D6B44D" w14:textId="77777777" w:rsidR="00F8492F" w:rsidRPr="002617B5" w:rsidRDefault="00F8492F" w:rsidP="00146037">
            <w:pPr>
              <w:ind w:left="0"/>
              <w:rPr>
                <w:rFonts w:ascii="Cambria" w:eastAsiaTheme="majorEastAsia" w:hAnsi="Cambria" w:cstheme="majorBidi"/>
              </w:rPr>
            </w:pPr>
            <w:r w:rsidRPr="002617B5">
              <w:rPr>
                <w:rFonts w:ascii="Cambria" w:eastAsiaTheme="majorEastAsia" w:hAnsi="Cambria" w:cstheme="majorBidi"/>
              </w:rPr>
              <w:t>Disseminate final results/reports</w:t>
            </w:r>
          </w:p>
        </w:tc>
        <w:tc>
          <w:tcPr>
            <w:tcW w:w="2160" w:type="dxa"/>
          </w:tcPr>
          <w:p w14:paraId="5BCFC2DD" w14:textId="3ACD5A26" w:rsidR="00F8492F" w:rsidRPr="002617B5" w:rsidRDefault="00F8492F" w:rsidP="00F8492F">
            <w:pPr>
              <w:ind w:left="0"/>
              <w:rPr>
                <w:rFonts w:ascii="Cambria" w:hAnsi="Cambria" w:cs="Arial"/>
              </w:rPr>
            </w:pPr>
            <w:r w:rsidRPr="002617B5">
              <w:rPr>
                <w:rFonts w:ascii="Cambria" w:hAnsi="Cambria" w:cs="Arial"/>
              </w:rPr>
              <w:t xml:space="preserve">Within </w:t>
            </w:r>
            <w:r>
              <w:rPr>
                <w:rFonts w:ascii="Cambria" w:hAnsi="Cambria" w:cs="Arial"/>
              </w:rPr>
              <w:t>4</w:t>
            </w:r>
            <w:r w:rsidRPr="002617B5">
              <w:rPr>
                <w:rFonts w:ascii="Cambria" w:hAnsi="Cambria" w:cs="Arial"/>
              </w:rPr>
              <w:t xml:space="preserve"> weeks after summary reports prepared</w:t>
            </w:r>
          </w:p>
        </w:tc>
        <w:tc>
          <w:tcPr>
            <w:tcW w:w="1625" w:type="dxa"/>
          </w:tcPr>
          <w:p w14:paraId="4C7390C5" w14:textId="77777777" w:rsidR="00F8492F" w:rsidRPr="002617B5" w:rsidRDefault="00F8492F" w:rsidP="00146037">
            <w:pPr>
              <w:ind w:left="0"/>
              <w:jc w:val="center"/>
              <w:rPr>
                <w:rFonts w:ascii="Cambria" w:hAnsi="Cambria" w:cs="Arial"/>
              </w:rPr>
            </w:pPr>
            <w:r w:rsidRPr="002617B5">
              <w:rPr>
                <w:rFonts w:ascii="Cambria" w:hAnsi="Cambria" w:cs="Arial"/>
              </w:rPr>
              <w:t xml:space="preserve">TBD         </w:t>
            </w:r>
            <w:r w:rsidRPr="002617B5">
              <w:rPr>
                <w:rFonts w:ascii="Cambria" w:hAnsi="Cambria" w:cs="Arial"/>
                <w:b/>
              </w:rPr>
              <w:t>--</w:t>
            </w:r>
          </w:p>
        </w:tc>
      </w:tr>
    </w:tbl>
    <w:p w14:paraId="1E25C262" w14:textId="15413357" w:rsidR="00F0000D" w:rsidRDefault="00F0000D" w:rsidP="00ED2767">
      <w:pPr>
        <w:ind w:left="0"/>
      </w:pPr>
    </w:p>
    <w:p w14:paraId="299EE9F7" w14:textId="77777777" w:rsidR="00B12F51" w:rsidRPr="00D75750" w:rsidRDefault="00D75750" w:rsidP="00692DEB">
      <w:pPr>
        <w:pStyle w:val="Heading4"/>
      </w:pPr>
      <w:bookmarkStart w:id="22" w:name="_Toc427752830"/>
      <w:r w:rsidRPr="00D75750">
        <w:t xml:space="preserve">Reason(s) Display of OMB Expiration </w:t>
      </w:r>
      <w:r>
        <w:t xml:space="preserve">Date </w:t>
      </w:r>
      <w:r w:rsidRPr="00D75750">
        <w:t>is Inappropriate</w:t>
      </w:r>
      <w:bookmarkEnd w:id="22"/>
    </w:p>
    <w:p w14:paraId="508283B1" w14:textId="77777777" w:rsidR="00F52BCC" w:rsidRDefault="00180D45" w:rsidP="008B65FF">
      <w:pPr>
        <w:ind w:left="360"/>
      </w:pPr>
      <w:r>
        <w:t>We are requesting no exemption.</w:t>
      </w:r>
    </w:p>
    <w:p w14:paraId="21C10FDE" w14:textId="3C944D6E" w:rsidR="003705DF" w:rsidRDefault="003705DF" w:rsidP="00A614BC">
      <w:pPr>
        <w:ind w:left="0"/>
      </w:pPr>
    </w:p>
    <w:p w14:paraId="068A8B7F"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0C16446E" w14:textId="77777777" w:rsidR="00D1343B" w:rsidRDefault="0031279F" w:rsidP="00DD5E65">
      <w:pPr>
        <w:ind w:left="360"/>
      </w:pPr>
      <w:r>
        <w:t>There are no exceptions to the certification.</w:t>
      </w:r>
      <w:r w:rsidR="00180D45">
        <w:t xml:space="preserve">  These activities comply with the requirements in 5 CFR 1320.9.</w:t>
      </w:r>
    </w:p>
    <w:p w14:paraId="46D83119" w14:textId="77777777" w:rsidR="00AD1ACF" w:rsidRDefault="00AD1ACF" w:rsidP="00096AAD">
      <w:pPr>
        <w:ind w:left="0"/>
      </w:pPr>
    </w:p>
    <w:p w14:paraId="4BDB133B" w14:textId="77777777" w:rsidR="00A36419" w:rsidRDefault="00A36419" w:rsidP="008C59E7">
      <w:pPr>
        <w:pStyle w:val="Heading3"/>
        <w:ind w:left="0"/>
      </w:pPr>
      <w:bookmarkStart w:id="24" w:name="_Toc427752832"/>
      <w:r>
        <w:t>LIST OF ATTACHMENTS</w:t>
      </w:r>
      <w:r w:rsidR="00A33E90">
        <w:t xml:space="preserve"> – Section A</w:t>
      </w:r>
      <w:bookmarkEnd w:id="24"/>
    </w:p>
    <w:p w14:paraId="16E3BC8A" w14:textId="727D0D1A" w:rsidR="004C592C" w:rsidRPr="00A846C9" w:rsidRDefault="004C592C" w:rsidP="00A614BC">
      <w:pPr>
        <w:tabs>
          <w:tab w:val="clear" w:pos="9360"/>
        </w:tabs>
        <w:spacing w:line="240" w:lineRule="auto"/>
        <w:ind w:left="360"/>
      </w:pPr>
      <w:r w:rsidRPr="00A846C9">
        <w:t xml:space="preserve">Attachment </w:t>
      </w:r>
      <w:r w:rsidR="00562D62" w:rsidRPr="00A846C9">
        <w:t>A</w:t>
      </w:r>
      <w:r w:rsidRPr="00A846C9">
        <w:t xml:space="preserve"> – MCM Coordinator Common Responsibilities and Associated Skills</w:t>
      </w:r>
    </w:p>
    <w:p w14:paraId="1B9CF6BA" w14:textId="3E461FA1" w:rsidR="00F66470" w:rsidRDefault="00F66470" w:rsidP="00A614BC">
      <w:pPr>
        <w:tabs>
          <w:tab w:val="clear" w:pos="9360"/>
        </w:tabs>
        <w:spacing w:line="240" w:lineRule="auto"/>
        <w:ind w:left="360"/>
      </w:pPr>
      <w:r>
        <w:t>Attachment B – Sample of MCM Officials Table</w:t>
      </w:r>
    </w:p>
    <w:p w14:paraId="1A99F3A1" w14:textId="7D90A7CA" w:rsidR="00A343CF" w:rsidRPr="00A846C9" w:rsidRDefault="00ED2767" w:rsidP="00A614BC">
      <w:pPr>
        <w:tabs>
          <w:tab w:val="clear" w:pos="9360"/>
        </w:tabs>
        <w:spacing w:line="240" w:lineRule="auto"/>
        <w:ind w:left="360"/>
      </w:pPr>
      <w:r w:rsidRPr="00A846C9">
        <w:t xml:space="preserve">Attachment </w:t>
      </w:r>
      <w:r w:rsidR="00F66470">
        <w:t>C</w:t>
      </w:r>
      <w:r w:rsidRPr="00A846C9">
        <w:t xml:space="preserve"> – Respondent Universe </w:t>
      </w:r>
    </w:p>
    <w:p w14:paraId="33154224" w14:textId="2C980C8E" w:rsidR="00ED2767" w:rsidRPr="00A846C9" w:rsidRDefault="00ED2767" w:rsidP="00A614BC">
      <w:pPr>
        <w:tabs>
          <w:tab w:val="clear" w:pos="9360"/>
        </w:tabs>
        <w:spacing w:line="240" w:lineRule="auto"/>
        <w:ind w:left="360"/>
      </w:pPr>
      <w:r w:rsidRPr="00A846C9">
        <w:t xml:space="preserve">Attachment </w:t>
      </w:r>
      <w:r w:rsidR="00116205">
        <w:t>D</w:t>
      </w:r>
      <w:r w:rsidR="00116205" w:rsidRPr="00A846C9">
        <w:t xml:space="preserve"> </w:t>
      </w:r>
      <w:r w:rsidRPr="00A846C9">
        <w:t>– Training Needs Electronic Assessment, Word Version</w:t>
      </w:r>
    </w:p>
    <w:p w14:paraId="6B604D63" w14:textId="3D33EC77" w:rsidR="00CE31B7" w:rsidRPr="009A50E1" w:rsidRDefault="00ED2767" w:rsidP="00A614BC">
      <w:pPr>
        <w:tabs>
          <w:tab w:val="clear" w:pos="9360"/>
        </w:tabs>
        <w:spacing w:line="240" w:lineRule="auto"/>
        <w:ind w:left="360"/>
      </w:pPr>
      <w:r w:rsidRPr="009A50E1">
        <w:t xml:space="preserve">Attachment </w:t>
      </w:r>
      <w:r w:rsidR="00116205">
        <w:t>E</w:t>
      </w:r>
      <w:r w:rsidR="00116205" w:rsidRPr="009A50E1">
        <w:t xml:space="preserve"> </w:t>
      </w:r>
      <w:r w:rsidRPr="009A50E1">
        <w:t>– Training Needs Electronic Assessment, Web Version Screenshots</w:t>
      </w:r>
    </w:p>
    <w:p w14:paraId="59251085" w14:textId="76C58A86" w:rsidR="003705DF" w:rsidRPr="009A50E1" w:rsidRDefault="00ED2767" w:rsidP="00A614BC">
      <w:pPr>
        <w:tabs>
          <w:tab w:val="clear" w:pos="9360"/>
        </w:tabs>
        <w:spacing w:line="240" w:lineRule="auto"/>
        <w:ind w:left="360"/>
      </w:pPr>
      <w:r w:rsidRPr="009A50E1">
        <w:t xml:space="preserve">Attachment </w:t>
      </w:r>
      <w:r w:rsidR="00116205">
        <w:t>F</w:t>
      </w:r>
      <w:r w:rsidR="00116205" w:rsidRPr="009A50E1">
        <w:t xml:space="preserve"> </w:t>
      </w:r>
      <w:r w:rsidRPr="009A50E1">
        <w:t xml:space="preserve">– </w:t>
      </w:r>
      <w:r w:rsidR="00731966">
        <w:t>Virtual</w:t>
      </w:r>
      <w:r w:rsidR="00731966" w:rsidRPr="009A50E1">
        <w:t xml:space="preserve"> </w:t>
      </w:r>
      <w:r w:rsidR="003A0FC7" w:rsidRPr="009A50E1">
        <w:t>Group Interview Sign-up</w:t>
      </w:r>
      <w:r w:rsidR="00127C6B">
        <w:t xml:space="preserve"> Form</w:t>
      </w:r>
      <w:r w:rsidR="00332DDD" w:rsidRPr="009A50E1">
        <w:t>, Word Version</w:t>
      </w:r>
    </w:p>
    <w:p w14:paraId="56A46AB5" w14:textId="6B1B2562" w:rsidR="00332DDD" w:rsidRPr="00A846C9" w:rsidRDefault="009C7DEC" w:rsidP="00A614BC">
      <w:pPr>
        <w:tabs>
          <w:tab w:val="clear" w:pos="9360"/>
        </w:tabs>
        <w:spacing w:line="240" w:lineRule="auto"/>
        <w:ind w:left="360"/>
      </w:pPr>
      <w:r w:rsidRPr="009A50E1">
        <w:t xml:space="preserve">Attachment </w:t>
      </w:r>
      <w:r w:rsidR="00116205">
        <w:t>G</w:t>
      </w:r>
      <w:r w:rsidR="00116205" w:rsidRPr="00A846C9">
        <w:t xml:space="preserve"> </w:t>
      </w:r>
      <w:r w:rsidR="00332DDD" w:rsidRPr="00A846C9">
        <w:t xml:space="preserve">– </w:t>
      </w:r>
      <w:r w:rsidR="00731966">
        <w:t>Virtual</w:t>
      </w:r>
      <w:r w:rsidR="00731966" w:rsidRPr="00A846C9">
        <w:t xml:space="preserve"> </w:t>
      </w:r>
      <w:r w:rsidR="00332DDD" w:rsidRPr="00A846C9">
        <w:t>Group Interview Sign-up</w:t>
      </w:r>
      <w:r w:rsidR="00127C6B">
        <w:t xml:space="preserve"> Form</w:t>
      </w:r>
      <w:r w:rsidR="00332DDD" w:rsidRPr="00A846C9">
        <w:t>, Web Version Screenshots</w:t>
      </w:r>
    </w:p>
    <w:p w14:paraId="70898E91" w14:textId="4C3A4300" w:rsidR="009C7DEC" w:rsidRDefault="009C7DEC" w:rsidP="00A614BC">
      <w:pPr>
        <w:tabs>
          <w:tab w:val="clear" w:pos="9360"/>
        </w:tabs>
        <w:spacing w:line="240" w:lineRule="auto"/>
        <w:ind w:left="360"/>
      </w:pPr>
      <w:r w:rsidRPr="00A846C9">
        <w:t xml:space="preserve">Attachment </w:t>
      </w:r>
      <w:r w:rsidR="00116205">
        <w:t>H</w:t>
      </w:r>
      <w:r w:rsidR="00116205" w:rsidRPr="00A846C9">
        <w:t xml:space="preserve"> </w:t>
      </w:r>
      <w:r w:rsidRPr="00A846C9">
        <w:t xml:space="preserve">– </w:t>
      </w:r>
      <w:r w:rsidR="00916967">
        <w:t xml:space="preserve">Virtual </w:t>
      </w:r>
      <w:r w:rsidRPr="00A846C9">
        <w:t>Group Interview Discussion Guide</w:t>
      </w:r>
      <w:r w:rsidR="00EA3236">
        <w:t>, Word Version</w:t>
      </w:r>
    </w:p>
    <w:p w14:paraId="350BE3A5" w14:textId="334602A1" w:rsidR="00EA3236" w:rsidRPr="00A846C9" w:rsidRDefault="00EA3236" w:rsidP="00A614BC">
      <w:pPr>
        <w:tabs>
          <w:tab w:val="clear" w:pos="9360"/>
        </w:tabs>
        <w:spacing w:line="240" w:lineRule="auto"/>
        <w:ind w:left="360"/>
      </w:pPr>
      <w:r w:rsidRPr="00A614BC">
        <w:rPr>
          <w:rFonts w:cs="Arial"/>
        </w:rPr>
        <w:t xml:space="preserve">Attachment </w:t>
      </w:r>
      <w:r w:rsidR="00116205" w:rsidRPr="00A614BC">
        <w:rPr>
          <w:rFonts w:cs="Arial"/>
        </w:rPr>
        <w:t xml:space="preserve">I </w:t>
      </w:r>
      <w:r w:rsidRPr="00A614BC">
        <w:rPr>
          <w:rFonts w:cs="Arial"/>
        </w:rPr>
        <w:t xml:space="preserve">– </w:t>
      </w:r>
      <w:r w:rsidR="00916967" w:rsidRPr="00A614BC">
        <w:rPr>
          <w:rFonts w:cs="Arial"/>
        </w:rPr>
        <w:t xml:space="preserve">Virtual </w:t>
      </w:r>
      <w:r w:rsidRPr="00A614BC">
        <w:rPr>
          <w:rFonts w:cs="Arial"/>
        </w:rPr>
        <w:t>Group Interview Discussion Guide, Web Version</w:t>
      </w:r>
      <w:r w:rsidR="008B1F4A" w:rsidRPr="00A614BC">
        <w:rPr>
          <w:rFonts w:cs="Arial"/>
        </w:rPr>
        <w:t xml:space="preserve"> Screenshots</w:t>
      </w:r>
    </w:p>
    <w:p w14:paraId="4223B513" w14:textId="77777777" w:rsidR="00AE1B16" w:rsidRDefault="00AE1B16" w:rsidP="005D6F14"/>
    <w:p w14:paraId="7DF7A830" w14:textId="77777777" w:rsidR="00CC7188" w:rsidRDefault="00CC7188" w:rsidP="003860A5">
      <w:pPr>
        <w:pStyle w:val="Heading3"/>
        <w:ind w:left="0"/>
      </w:pPr>
      <w:bookmarkStart w:id="25" w:name="_Toc427752833"/>
      <w:r w:rsidRPr="00CC7188">
        <w:t xml:space="preserve">REFERENCE LIST </w:t>
      </w:r>
      <w:bookmarkEnd w:id="25"/>
    </w:p>
    <w:p w14:paraId="152A1C9A" w14:textId="77777777" w:rsidR="005C5929" w:rsidRDefault="005C5929" w:rsidP="005C5929">
      <w:pPr>
        <w:pStyle w:val="ListParagraph"/>
        <w:tabs>
          <w:tab w:val="clear" w:pos="9360"/>
        </w:tabs>
        <w:spacing w:line="240" w:lineRule="auto"/>
      </w:pPr>
    </w:p>
    <w:p w14:paraId="65FC13E7" w14:textId="3AFF3A98" w:rsidR="00232CE7" w:rsidRPr="00232CE7" w:rsidRDefault="005C5929" w:rsidP="00232CE7">
      <w:pPr>
        <w:pStyle w:val="EndNoteBibliography"/>
        <w:ind w:hanging="720"/>
      </w:pPr>
      <w:r>
        <w:fldChar w:fldCharType="begin"/>
      </w:r>
      <w:r>
        <w:instrText xml:space="preserve"> ADDIN EN.REFLIST </w:instrText>
      </w:r>
      <w:r>
        <w:fldChar w:fldCharType="separate"/>
      </w:r>
      <w:r w:rsidR="004C0C0E">
        <w:t>1.</w:t>
      </w:r>
      <w:r w:rsidR="004C0C0E">
        <w:tab/>
        <w:t>World Health Organization</w:t>
      </w:r>
      <w:r w:rsidR="00232CE7" w:rsidRPr="00232CE7">
        <w:t xml:space="preserve">. </w:t>
      </w:r>
      <w:r w:rsidR="00232CE7" w:rsidRPr="00232CE7">
        <w:rPr>
          <w:i/>
        </w:rPr>
        <w:t xml:space="preserve">Joint External Evaluation of IHR Core Capacities of the United States of America: Mission Report June 2016. </w:t>
      </w:r>
      <w:r w:rsidR="00232CE7" w:rsidRPr="00232CE7">
        <w:t>Geneva: World Health Organization;2017.</w:t>
      </w:r>
    </w:p>
    <w:p w14:paraId="74AED70B" w14:textId="67824FA2" w:rsidR="00232CE7" w:rsidRPr="00232CE7" w:rsidRDefault="00232CE7" w:rsidP="00232CE7">
      <w:pPr>
        <w:pStyle w:val="EndNoteBibliography"/>
        <w:ind w:hanging="720"/>
      </w:pPr>
      <w:r w:rsidRPr="00232CE7">
        <w:t>2.</w:t>
      </w:r>
      <w:r w:rsidRPr="00232CE7">
        <w:tab/>
      </w:r>
      <w:r w:rsidR="004C0C0E">
        <w:t>Centers for Disease Control and Prevention</w:t>
      </w:r>
      <w:r w:rsidRPr="00232CE7">
        <w:t xml:space="preserve">(CDC). National Public Health Performance Standards (NPHPSP): 10 Essential Public Health Services.  </w:t>
      </w:r>
      <w:hyperlink r:id="rId14" w:history="1">
        <w:r w:rsidRPr="00232CE7">
          <w:rPr>
            <w:rStyle w:val="Hyperlink"/>
          </w:rPr>
          <w:t>http://www.cdc.gov/nphpsp/essentialservices.html</w:t>
        </w:r>
      </w:hyperlink>
      <w:r w:rsidRPr="00232CE7">
        <w:t>. Accessed 8/14, 2014.</w:t>
      </w:r>
    </w:p>
    <w:p w14:paraId="227F48E5" w14:textId="77777777" w:rsidR="00232CE7" w:rsidRPr="00232CE7" w:rsidRDefault="00232CE7" w:rsidP="00232CE7">
      <w:pPr>
        <w:pStyle w:val="EndNoteBibliography"/>
        <w:ind w:hanging="720"/>
      </w:pPr>
      <w:r w:rsidRPr="00232CE7">
        <w:t>3.</w:t>
      </w:r>
      <w:r w:rsidRPr="00232CE7">
        <w:tab/>
        <w:t xml:space="preserve">Nonkin Avchen R, LeBlanc TT, Kosmos C. From Anthrax to Zika: Fifteen Years of Public Health Emergency Preparedness. </w:t>
      </w:r>
      <w:r w:rsidRPr="00232CE7">
        <w:rPr>
          <w:i/>
        </w:rPr>
        <w:t xml:space="preserve">American Journal of Public Health. </w:t>
      </w:r>
      <w:r w:rsidRPr="00232CE7">
        <w:t>2017;107(S2):S117-S117.</w:t>
      </w:r>
    </w:p>
    <w:p w14:paraId="3D62FCDA" w14:textId="0F7CC6CB" w:rsidR="00232CE7" w:rsidRPr="00232CE7" w:rsidRDefault="00232CE7" w:rsidP="00232CE7">
      <w:pPr>
        <w:pStyle w:val="EndNoteBibliography"/>
        <w:ind w:hanging="720"/>
      </w:pPr>
      <w:r w:rsidRPr="00232CE7">
        <w:t>4.</w:t>
      </w:r>
      <w:r w:rsidRPr="00232CE7">
        <w:tab/>
      </w:r>
      <w:r w:rsidR="004C0C0E">
        <w:t xml:space="preserve">Office of Public Health Preparedness and </w:t>
      </w:r>
      <w:r w:rsidRPr="00232CE7">
        <w:t>Response. National Fact Sheet: Public Health Emergency Preparedness Cooperative Agreement (PHEP) Program. In: Prevention CfDCa, ed2017.</w:t>
      </w:r>
    </w:p>
    <w:p w14:paraId="069DBD82" w14:textId="4E657758" w:rsidR="00232CE7" w:rsidRPr="00232CE7" w:rsidRDefault="00232CE7" w:rsidP="00232CE7">
      <w:pPr>
        <w:pStyle w:val="EndNoteBibliography"/>
        <w:ind w:hanging="720"/>
      </w:pPr>
      <w:r w:rsidRPr="00232CE7">
        <w:t>5.</w:t>
      </w:r>
      <w:r w:rsidRPr="00232CE7">
        <w:tab/>
      </w:r>
      <w:r w:rsidR="004C0C0E">
        <w:t xml:space="preserve">Office of Public Health Preparedness and </w:t>
      </w:r>
      <w:r w:rsidR="004C0C0E" w:rsidRPr="00232CE7">
        <w:t>Response</w:t>
      </w:r>
      <w:r w:rsidRPr="00232CE7">
        <w:t>. Explanation of PHEP Program Data. In: Prevention CfDCa, ed2017.</w:t>
      </w:r>
    </w:p>
    <w:p w14:paraId="4F53A941" w14:textId="3E401AAE" w:rsidR="00232CE7" w:rsidRPr="00232CE7" w:rsidRDefault="00232CE7" w:rsidP="00232CE7">
      <w:pPr>
        <w:pStyle w:val="EndNoteBibliography"/>
        <w:ind w:hanging="720"/>
      </w:pPr>
      <w:r w:rsidRPr="00232CE7">
        <w:t>6.</w:t>
      </w:r>
      <w:r w:rsidRPr="00232CE7">
        <w:tab/>
      </w:r>
      <w:r w:rsidR="004C0C0E">
        <w:t xml:space="preserve">Centers for Disease Control and </w:t>
      </w:r>
      <w:r w:rsidRPr="00232CE7">
        <w:t xml:space="preserve">Prevention. CDC's Public Health Emergency Preparedness Program: Every Response is Local. In: Services USDoHaH, ed. </w:t>
      </w:r>
      <w:r w:rsidRPr="00232CE7">
        <w:rPr>
          <w:i/>
        </w:rPr>
        <w:t>Issue Brief</w:t>
      </w:r>
      <w:r w:rsidRPr="00232CE7">
        <w:t>2017.</w:t>
      </w:r>
    </w:p>
    <w:p w14:paraId="39C49EA7" w14:textId="079646BB" w:rsidR="00232CE7" w:rsidRPr="00232CE7" w:rsidRDefault="00232CE7" w:rsidP="00232CE7">
      <w:pPr>
        <w:pStyle w:val="EndNoteBibliography"/>
        <w:ind w:hanging="720"/>
      </w:pPr>
      <w:r w:rsidRPr="00232CE7">
        <w:t>7.</w:t>
      </w:r>
      <w:r w:rsidRPr="00232CE7">
        <w:tab/>
      </w:r>
      <w:r w:rsidR="004C0C0E">
        <w:t xml:space="preserve">CDC Division of State and Local </w:t>
      </w:r>
      <w:r w:rsidRPr="00232CE7">
        <w:t xml:space="preserve">Readiness. Medical Countermeasure Readiness. 2017; </w:t>
      </w:r>
      <w:hyperlink r:id="rId15" w:history="1">
        <w:r w:rsidRPr="00232CE7">
          <w:rPr>
            <w:rStyle w:val="Hyperlink"/>
          </w:rPr>
          <w:t>https://www.cdc.gov/phpr/readiness/mcm.html</w:t>
        </w:r>
      </w:hyperlink>
      <w:r w:rsidRPr="00232CE7">
        <w:t>. Accessed November 11, 2017.</w:t>
      </w:r>
    </w:p>
    <w:p w14:paraId="7EC6A846" w14:textId="341492C1" w:rsidR="00232CE7" w:rsidRPr="00232CE7" w:rsidRDefault="00232CE7" w:rsidP="00232CE7">
      <w:pPr>
        <w:pStyle w:val="EndNoteBibliography"/>
        <w:ind w:hanging="720"/>
      </w:pPr>
      <w:r w:rsidRPr="00232CE7">
        <w:t>8.</w:t>
      </w:r>
      <w:r w:rsidRPr="00232CE7">
        <w:tab/>
      </w:r>
      <w:r w:rsidR="004C0C0E">
        <w:t xml:space="preserve">National Association of County and City Health </w:t>
      </w:r>
      <w:r w:rsidRPr="00232CE7">
        <w:t xml:space="preserve">Officials. Public Health Preparedness. 2017; </w:t>
      </w:r>
      <w:hyperlink r:id="rId16" w:history="1">
        <w:r w:rsidRPr="00232CE7">
          <w:rPr>
            <w:rStyle w:val="Hyperlink"/>
          </w:rPr>
          <w:t>https://www.naccho.org/programs/public-health-preparedness</w:t>
        </w:r>
      </w:hyperlink>
      <w:r w:rsidRPr="00232CE7">
        <w:t>. Accessed November 22, 2017.</w:t>
      </w:r>
    </w:p>
    <w:p w14:paraId="20FC2C88" w14:textId="75EF59A2" w:rsidR="000058E0" w:rsidRPr="008C59E7" w:rsidRDefault="005C5929" w:rsidP="005C5929">
      <w:pPr>
        <w:pStyle w:val="ListParagraph"/>
        <w:tabs>
          <w:tab w:val="clear" w:pos="9360"/>
        </w:tabs>
        <w:spacing w:line="240" w:lineRule="auto"/>
      </w:pPr>
      <w:r>
        <w:fldChar w:fldCharType="end"/>
      </w:r>
    </w:p>
    <w:sectPr w:rsidR="000058E0" w:rsidRPr="008C59E7" w:rsidSect="00385BB5">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67642" w14:textId="77777777" w:rsidR="000B6F38" w:rsidRDefault="000B6F38" w:rsidP="007D6163">
      <w:r>
        <w:separator/>
      </w:r>
    </w:p>
    <w:p w14:paraId="5C9374ED" w14:textId="77777777" w:rsidR="000B6F38" w:rsidRDefault="000B6F38" w:rsidP="007D6163"/>
  </w:endnote>
  <w:endnote w:type="continuationSeparator" w:id="0">
    <w:p w14:paraId="44F183B8" w14:textId="77777777" w:rsidR="000B6F38" w:rsidRDefault="000B6F38" w:rsidP="007D6163">
      <w:r>
        <w:continuationSeparator/>
      </w:r>
    </w:p>
    <w:p w14:paraId="0056F573" w14:textId="77777777" w:rsidR="000B6F38" w:rsidRDefault="000B6F38" w:rsidP="007D6163"/>
  </w:endnote>
  <w:endnote w:type="continuationNotice" w:id="1">
    <w:p w14:paraId="2A2D0D0E" w14:textId="77777777" w:rsidR="000B6F38" w:rsidRDefault="000B6F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27524C6B" w14:textId="3ADEDB03" w:rsidR="006A3EFD" w:rsidRDefault="006A3EF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539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39C5">
              <w:rPr>
                <w:b/>
                <w:bCs/>
                <w:noProof/>
              </w:rPr>
              <w:t>2</w:t>
            </w:r>
            <w:r>
              <w:rPr>
                <w:b/>
                <w:bCs/>
                <w:sz w:val="24"/>
                <w:szCs w:val="24"/>
              </w:rPr>
              <w:fldChar w:fldCharType="end"/>
            </w:r>
          </w:p>
        </w:sdtContent>
      </w:sdt>
    </w:sdtContent>
  </w:sdt>
  <w:p w14:paraId="1B4A7665" w14:textId="77777777" w:rsidR="006A3EFD" w:rsidRDefault="006A3EFD"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ECC2A" w14:textId="77777777" w:rsidR="000B6F38" w:rsidRDefault="000B6F38" w:rsidP="007D6163">
      <w:r>
        <w:separator/>
      </w:r>
    </w:p>
    <w:p w14:paraId="106B5FF8" w14:textId="77777777" w:rsidR="000B6F38" w:rsidRDefault="000B6F38" w:rsidP="007D6163"/>
  </w:footnote>
  <w:footnote w:type="continuationSeparator" w:id="0">
    <w:p w14:paraId="71166953" w14:textId="77777777" w:rsidR="000B6F38" w:rsidRDefault="000B6F38" w:rsidP="007D6163">
      <w:r>
        <w:continuationSeparator/>
      </w:r>
    </w:p>
    <w:p w14:paraId="03D38686" w14:textId="77777777" w:rsidR="000B6F38" w:rsidRDefault="000B6F38" w:rsidP="007D6163"/>
  </w:footnote>
  <w:footnote w:type="continuationNotice" w:id="1">
    <w:p w14:paraId="7B1A9244" w14:textId="77777777" w:rsidR="000B6F38" w:rsidRDefault="000B6F3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F5F76" w14:textId="77777777" w:rsidR="006A3EFD" w:rsidRPr="00716F94" w:rsidRDefault="006A3EFD" w:rsidP="007D6163">
    <w:pPr>
      <w:pStyle w:val="Header"/>
      <w:rPr>
        <w:color w:val="0033CC"/>
      </w:rPr>
    </w:pPr>
    <w:r>
      <w:tab/>
    </w:r>
  </w:p>
  <w:p w14:paraId="233DFD06" w14:textId="77777777" w:rsidR="006A3EFD" w:rsidRDefault="006A3EFD"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AAD"/>
    <w:multiLevelType w:val="hybridMultilevel"/>
    <w:tmpl w:val="AD96D418"/>
    <w:lvl w:ilvl="0" w:tplc="18D88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F35DC"/>
    <w:multiLevelType w:val="hybridMultilevel"/>
    <w:tmpl w:val="E27AE78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130C9"/>
    <w:multiLevelType w:val="hybridMultilevel"/>
    <w:tmpl w:val="827C3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F3879"/>
    <w:multiLevelType w:val="hybridMultilevel"/>
    <w:tmpl w:val="87DECC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386B68"/>
    <w:multiLevelType w:val="hybridMultilevel"/>
    <w:tmpl w:val="69C6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9A6EDB"/>
    <w:multiLevelType w:val="hybridMultilevel"/>
    <w:tmpl w:val="16B69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7A316C"/>
    <w:multiLevelType w:val="hybridMultilevel"/>
    <w:tmpl w:val="83F823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D056E8"/>
    <w:multiLevelType w:val="hybridMultilevel"/>
    <w:tmpl w:val="800A97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6">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598E6F86"/>
    <w:multiLevelType w:val="hybridMultilevel"/>
    <w:tmpl w:val="AE58F68E"/>
    <w:lvl w:ilvl="0" w:tplc="C1A0C7F6">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1"/>
  </w:num>
  <w:num w:numId="4">
    <w:abstractNumId w:val="6"/>
  </w:num>
  <w:num w:numId="5">
    <w:abstractNumId w:val="18"/>
  </w:num>
  <w:num w:numId="6">
    <w:abstractNumId w:val="3"/>
  </w:num>
  <w:num w:numId="7">
    <w:abstractNumId w:val="10"/>
  </w:num>
  <w:num w:numId="8">
    <w:abstractNumId w:val="5"/>
  </w:num>
  <w:num w:numId="9">
    <w:abstractNumId w:val="16"/>
  </w:num>
  <w:num w:numId="10">
    <w:abstractNumId w:val="4"/>
  </w:num>
  <w:num w:numId="11">
    <w:abstractNumId w:val="8"/>
  </w:num>
  <w:num w:numId="12">
    <w:abstractNumId w:val="23"/>
  </w:num>
  <w:num w:numId="13">
    <w:abstractNumId w:val="22"/>
  </w:num>
  <w:num w:numId="14">
    <w:abstractNumId w:val="15"/>
  </w:num>
  <w:num w:numId="15">
    <w:abstractNumId w:val="13"/>
  </w:num>
  <w:num w:numId="16">
    <w:abstractNumId w:val="20"/>
  </w:num>
  <w:num w:numId="17">
    <w:abstractNumId w:val="1"/>
  </w:num>
  <w:num w:numId="18">
    <w:abstractNumId w:val="17"/>
  </w:num>
  <w:num w:numId="19">
    <w:abstractNumId w:val="12"/>
  </w:num>
  <w:num w:numId="20">
    <w:abstractNumId w:val="0"/>
  </w:num>
  <w:num w:numId="21">
    <w:abstractNumId w:val="11"/>
  </w:num>
  <w:num w:numId="22">
    <w:abstractNumId w:val="14"/>
  </w:num>
  <w:num w:numId="23">
    <w:abstractNumId w:val="2"/>
  </w:num>
  <w:num w:numId="2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txv9atmaxwscesfsr55dd0ta0wdts0fdfr&quot;&gt;References Endnote Library&lt;record-ids&gt;&lt;item&gt;1&lt;/item&gt;&lt;item&gt;2&lt;/item&gt;&lt;item&gt;3&lt;/item&gt;&lt;item&gt;4&lt;/item&gt;&lt;item&gt;5&lt;/item&gt;&lt;item&gt;6&lt;/item&gt;&lt;item&gt;7&lt;/item&gt;&lt;item&gt;9&lt;/item&gt;&lt;/record-ids&gt;&lt;/item&gt;&lt;/Libraries&gt;"/>
  </w:docVars>
  <w:rsids>
    <w:rsidRoot w:val="001D1289"/>
    <w:rsid w:val="000005B9"/>
    <w:rsid w:val="000008EA"/>
    <w:rsid w:val="00000B32"/>
    <w:rsid w:val="000018F6"/>
    <w:rsid w:val="00001ABF"/>
    <w:rsid w:val="000058E0"/>
    <w:rsid w:val="00011842"/>
    <w:rsid w:val="0001196C"/>
    <w:rsid w:val="00011A98"/>
    <w:rsid w:val="00011F8D"/>
    <w:rsid w:val="000130B4"/>
    <w:rsid w:val="00014361"/>
    <w:rsid w:val="00014579"/>
    <w:rsid w:val="00014944"/>
    <w:rsid w:val="000164F8"/>
    <w:rsid w:val="00020BBC"/>
    <w:rsid w:val="000228C1"/>
    <w:rsid w:val="0002584A"/>
    <w:rsid w:val="00026DCE"/>
    <w:rsid w:val="00031D76"/>
    <w:rsid w:val="000321E8"/>
    <w:rsid w:val="0003323E"/>
    <w:rsid w:val="00034918"/>
    <w:rsid w:val="000356DF"/>
    <w:rsid w:val="0003796C"/>
    <w:rsid w:val="00037DD1"/>
    <w:rsid w:val="00040611"/>
    <w:rsid w:val="0004305C"/>
    <w:rsid w:val="0004634F"/>
    <w:rsid w:val="00046CCD"/>
    <w:rsid w:val="000474FB"/>
    <w:rsid w:val="00050240"/>
    <w:rsid w:val="00050AFC"/>
    <w:rsid w:val="00052A75"/>
    <w:rsid w:val="000539C5"/>
    <w:rsid w:val="00053A92"/>
    <w:rsid w:val="00053E72"/>
    <w:rsid w:val="00054839"/>
    <w:rsid w:val="000558B7"/>
    <w:rsid w:val="00055DAE"/>
    <w:rsid w:val="00056E35"/>
    <w:rsid w:val="00057F36"/>
    <w:rsid w:val="00062CA0"/>
    <w:rsid w:val="00064FD2"/>
    <w:rsid w:val="00065550"/>
    <w:rsid w:val="00066F39"/>
    <w:rsid w:val="000705E1"/>
    <w:rsid w:val="00071F5B"/>
    <w:rsid w:val="000720D1"/>
    <w:rsid w:val="000814AE"/>
    <w:rsid w:val="000819AE"/>
    <w:rsid w:val="000820AB"/>
    <w:rsid w:val="00083FCA"/>
    <w:rsid w:val="00084E14"/>
    <w:rsid w:val="00086760"/>
    <w:rsid w:val="00096AAD"/>
    <w:rsid w:val="000A17CB"/>
    <w:rsid w:val="000A1F30"/>
    <w:rsid w:val="000A2477"/>
    <w:rsid w:val="000A2D0C"/>
    <w:rsid w:val="000A38ED"/>
    <w:rsid w:val="000A71DF"/>
    <w:rsid w:val="000A748E"/>
    <w:rsid w:val="000A7A6F"/>
    <w:rsid w:val="000B0962"/>
    <w:rsid w:val="000B2CBC"/>
    <w:rsid w:val="000B6F38"/>
    <w:rsid w:val="000C011C"/>
    <w:rsid w:val="000C4604"/>
    <w:rsid w:val="000C5EA2"/>
    <w:rsid w:val="000C6D00"/>
    <w:rsid w:val="000C6D53"/>
    <w:rsid w:val="000D299D"/>
    <w:rsid w:val="000D7835"/>
    <w:rsid w:val="000E4461"/>
    <w:rsid w:val="000E4AF3"/>
    <w:rsid w:val="000E5E41"/>
    <w:rsid w:val="000E6577"/>
    <w:rsid w:val="000E7A19"/>
    <w:rsid w:val="001018FA"/>
    <w:rsid w:val="0010272C"/>
    <w:rsid w:val="00104A1B"/>
    <w:rsid w:val="00104C47"/>
    <w:rsid w:val="001056BC"/>
    <w:rsid w:val="001064EC"/>
    <w:rsid w:val="00107187"/>
    <w:rsid w:val="00116205"/>
    <w:rsid w:val="001177DD"/>
    <w:rsid w:val="001243E8"/>
    <w:rsid w:val="00127127"/>
    <w:rsid w:val="00127255"/>
    <w:rsid w:val="00127C6B"/>
    <w:rsid w:val="00130D45"/>
    <w:rsid w:val="001342DF"/>
    <w:rsid w:val="00135334"/>
    <w:rsid w:val="001369D4"/>
    <w:rsid w:val="00137F69"/>
    <w:rsid w:val="001412D4"/>
    <w:rsid w:val="00141BE5"/>
    <w:rsid w:val="00141D51"/>
    <w:rsid w:val="00142A2E"/>
    <w:rsid w:val="00144F64"/>
    <w:rsid w:val="00145D62"/>
    <w:rsid w:val="00146037"/>
    <w:rsid w:val="00151567"/>
    <w:rsid w:val="0015715D"/>
    <w:rsid w:val="00157185"/>
    <w:rsid w:val="00157413"/>
    <w:rsid w:val="00163395"/>
    <w:rsid w:val="00163E17"/>
    <w:rsid w:val="00166F9E"/>
    <w:rsid w:val="00167880"/>
    <w:rsid w:val="0017441F"/>
    <w:rsid w:val="00180D45"/>
    <w:rsid w:val="001845E7"/>
    <w:rsid w:val="001857F6"/>
    <w:rsid w:val="00185A94"/>
    <w:rsid w:val="001861BD"/>
    <w:rsid w:val="00187870"/>
    <w:rsid w:val="00187D5A"/>
    <w:rsid w:val="0019164D"/>
    <w:rsid w:val="00194A56"/>
    <w:rsid w:val="00196622"/>
    <w:rsid w:val="001972D7"/>
    <w:rsid w:val="001A27F3"/>
    <w:rsid w:val="001A28F6"/>
    <w:rsid w:val="001A30C0"/>
    <w:rsid w:val="001A3F8F"/>
    <w:rsid w:val="001A5991"/>
    <w:rsid w:val="001B2831"/>
    <w:rsid w:val="001B4065"/>
    <w:rsid w:val="001B47CF"/>
    <w:rsid w:val="001B5910"/>
    <w:rsid w:val="001B70B4"/>
    <w:rsid w:val="001C0493"/>
    <w:rsid w:val="001C079F"/>
    <w:rsid w:val="001C08DA"/>
    <w:rsid w:val="001C1BF1"/>
    <w:rsid w:val="001C28AD"/>
    <w:rsid w:val="001C52EF"/>
    <w:rsid w:val="001C580D"/>
    <w:rsid w:val="001C7607"/>
    <w:rsid w:val="001D1289"/>
    <w:rsid w:val="001D5697"/>
    <w:rsid w:val="001D7627"/>
    <w:rsid w:val="001D7FCB"/>
    <w:rsid w:val="001E0426"/>
    <w:rsid w:val="001E1DB0"/>
    <w:rsid w:val="001E2075"/>
    <w:rsid w:val="001E2B99"/>
    <w:rsid w:val="001E5CC1"/>
    <w:rsid w:val="001E69B6"/>
    <w:rsid w:val="001E7537"/>
    <w:rsid w:val="001E7F2F"/>
    <w:rsid w:val="001F1189"/>
    <w:rsid w:val="001F1C03"/>
    <w:rsid w:val="001F43BB"/>
    <w:rsid w:val="001F4738"/>
    <w:rsid w:val="001F4DBB"/>
    <w:rsid w:val="001F59C7"/>
    <w:rsid w:val="001F7732"/>
    <w:rsid w:val="002005B8"/>
    <w:rsid w:val="002010F0"/>
    <w:rsid w:val="00202D07"/>
    <w:rsid w:val="0020312D"/>
    <w:rsid w:val="00205792"/>
    <w:rsid w:val="0020597C"/>
    <w:rsid w:val="00206E33"/>
    <w:rsid w:val="00206E9A"/>
    <w:rsid w:val="00210519"/>
    <w:rsid w:val="00210755"/>
    <w:rsid w:val="002109B2"/>
    <w:rsid w:val="00212B10"/>
    <w:rsid w:val="00213729"/>
    <w:rsid w:val="00213AA1"/>
    <w:rsid w:val="00222016"/>
    <w:rsid w:val="00223F76"/>
    <w:rsid w:val="00227259"/>
    <w:rsid w:val="0023262F"/>
    <w:rsid w:val="00232CE7"/>
    <w:rsid w:val="002338BF"/>
    <w:rsid w:val="00233A4B"/>
    <w:rsid w:val="00241B17"/>
    <w:rsid w:val="00241C81"/>
    <w:rsid w:val="00244557"/>
    <w:rsid w:val="00244595"/>
    <w:rsid w:val="0024630B"/>
    <w:rsid w:val="0024712D"/>
    <w:rsid w:val="00252139"/>
    <w:rsid w:val="00252413"/>
    <w:rsid w:val="00252CE3"/>
    <w:rsid w:val="002540EE"/>
    <w:rsid w:val="00257A1C"/>
    <w:rsid w:val="002617C1"/>
    <w:rsid w:val="00262E53"/>
    <w:rsid w:val="002653B2"/>
    <w:rsid w:val="0027234C"/>
    <w:rsid w:val="00272E3E"/>
    <w:rsid w:val="00274BA3"/>
    <w:rsid w:val="00274FB5"/>
    <w:rsid w:val="00275290"/>
    <w:rsid w:val="0027544E"/>
    <w:rsid w:val="00275A37"/>
    <w:rsid w:val="00276327"/>
    <w:rsid w:val="00281795"/>
    <w:rsid w:val="00284464"/>
    <w:rsid w:val="002850E3"/>
    <w:rsid w:val="00287E2F"/>
    <w:rsid w:val="00291B68"/>
    <w:rsid w:val="002A1948"/>
    <w:rsid w:val="002A2B4B"/>
    <w:rsid w:val="002A47F2"/>
    <w:rsid w:val="002A6EA8"/>
    <w:rsid w:val="002B079C"/>
    <w:rsid w:val="002B114A"/>
    <w:rsid w:val="002B127E"/>
    <w:rsid w:val="002B3F2B"/>
    <w:rsid w:val="002C0877"/>
    <w:rsid w:val="002C0AB9"/>
    <w:rsid w:val="002C1522"/>
    <w:rsid w:val="002C1A63"/>
    <w:rsid w:val="002C2AE2"/>
    <w:rsid w:val="002C529B"/>
    <w:rsid w:val="002C544E"/>
    <w:rsid w:val="002C69BA"/>
    <w:rsid w:val="002C7129"/>
    <w:rsid w:val="002D0DCE"/>
    <w:rsid w:val="002D1479"/>
    <w:rsid w:val="002D1B9C"/>
    <w:rsid w:val="002D3921"/>
    <w:rsid w:val="002D526B"/>
    <w:rsid w:val="002D5E11"/>
    <w:rsid w:val="002E1E0B"/>
    <w:rsid w:val="002E2B10"/>
    <w:rsid w:val="002E2EDD"/>
    <w:rsid w:val="002E73B0"/>
    <w:rsid w:val="002F1502"/>
    <w:rsid w:val="002F2069"/>
    <w:rsid w:val="002F2338"/>
    <w:rsid w:val="002F4A7C"/>
    <w:rsid w:val="002F71A2"/>
    <w:rsid w:val="002F7283"/>
    <w:rsid w:val="00303BB0"/>
    <w:rsid w:val="003041AD"/>
    <w:rsid w:val="0031279F"/>
    <w:rsid w:val="00314AAD"/>
    <w:rsid w:val="00316F00"/>
    <w:rsid w:val="003179F7"/>
    <w:rsid w:val="00321B51"/>
    <w:rsid w:val="0032214D"/>
    <w:rsid w:val="00324E08"/>
    <w:rsid w:val="003306D0"/>
    <w:rsid w:val="00330A0B"/>
    <w:rsid w:val="00330ABE"/>
    <w:rsid w:val="00332DDD"/>
    <w:rsid w:val="00332F35"/>
    <w:rsid w:val="003341AB"/>
    <w:rsid w:val="00336D96"/>
    <w:rsid w:val="00340E0B"/>
    <w:rsid w:val="00342227"/>
    <w:rsid w:val="003446D0"/>
    <w:rsid w:val="00344F07"/>
    <w:rsid w:val="003469C8"/>
    <w:rsid w:val="00350C8C"/>
    <w:rsid w:val="00355D81"/>
    <w:rsid w:val="00355EA4"/>
    <w:rsid w:val="003561C6"/>
    <w:rsid w:val="0035662F"/>
    <w:rsid w:val="00361434"/>
    <w:rsid w:val="003635BE"/>
    <w:rsid w:val="00365045"/>
    <w:rsid w:val="00366A77"/>
    <w:rsid w:val="00366B5E"/>
    <w:rsid w:val="003705DF"/>
    <w:rsid w:val="00372BA2"/>
    <w:rsid w:val="003733D6"/>
    <w:rsid w:val="00376290"/>
    <w:rsid w:val="00377BCB"/>
    <w:rsid w:val="00382099"/>
    <w:rsid w:val="00385BB5"/>
    <w:rsid w:val="003860A5"/>
    <w:rsid w:val="00386BC2"/>
    <w:rsid w:val="003966CE"/>
    <w:rsid w:val="003A0FC7"/>
    <w:rsid w:val="003A1BAD"/>
    <w:rsid w:val="003A2555"/>
    <w:rsid w:val="003A493C"/>
    <w:rsid w:val="003B08FF"/>
    <w:rsid w:val="003B0D41"/>
    <w:rsid w:val="003B125E"/>
    <w:rsid w:val="003B1BE3"/>
    <w:rsid w:val="003B2200"/>
    <w:rsid w:val="003B2AE6"/>
    <w:rsid w:val="003C1D22"/>
    <w:rsid w:val="003C31C9"/>
    <w:rsid w:val="003C344C"/>
    <w:rsid w:val="003C4961"/>
    <w:rsid w:val="003C55B7"/>
    <w:rsid w:val="003C75E5"/>
    <w:rsid w:val="003C7C5D"/>
    <w:rsid w:val="003C7F1E"/>
    <w:rsid w:val="003D0AD2"/>
    <w:rsid w:val="003D5359"/>
    <w:rsid w:val="003D7252"/>
    <w:rsid w:val="003E0EC1"/>
    <w:rsid w:val="003E0F5E"/>
    <w:rsid w:val="003F0CC1"/>
    <w:rsid w:val="003F1904"/>
    <w:rsid w:val="003F3500"/>
    <w:rsid w:val="003F3DA9"/>
    <w:rsid w:val="003F46F2"/>
    <w:rsid w:val="003F5843"/>
    <w:rsid w:val="003F5913"/>
    <w:rsid w:val="00400C7A"/>
    <w:rsid w:val="004024F8"/>
    <w:rsid w:val="00404921"/>
    <w:rsid w:val="00405696"/>
    <w:rsid w:val="00406ABD"/>
    <w:rsid w:val="00407588"/>
    <w:rsid w:val="0041150E"/>
    <w:rsid w:val="0041159A"/>
    <w:rsid w:val="004135D5"/>
    <w:rsid w:val="00417CFC"/>
    <w:rsid w:val="004226DA"/>
    <w:rsid w:val="0042500C"/>
    <w:rsid w:val="004305A8"/>
    <w:rsid w:val="0043229B"/>
    <w:rsid w:val="0043255C"/>
    <w:rsid w:val="004353D5"/>
    <w:rsid w:val="00436B8A"/>
    <w:rsid w:val="0044130D"/>
    <w:rsid w:val="00441CC3"/>
    <w:rsid w:val="00443CA0"/>
    <w:rsid w:val="0044721A"/>
    <w:rsid w:val="00450E14"/>
    <w:rsid w:val="004513AD"/>
    <w:rsid w:val="0045171E"/>
    <w:rsid w:val="00455F20"/>
    <w:rsid w:val="004561F2"/>
    <w:rsid w:val="004579ED"/>
    <w:rsid w:val="00457B85"/>
    <w:rsid w:val="00460C7F"/>
    <w:rsid w:val="00462C65"/>
    <w:rsid w:val="004648C9"/>
    <w:rsid w:val="004674E7"/>
    <w:rsid w:val="00467B14"/>
    <w:rsid w:val="00467D07"/>
    <w:rsid w:val="00471642"/>
    <w:rsid w:val="004741A5"/>
    <w:rsid w:val="00474EDA"/>
    <w:rsid w:val="00480E63"/>
    <w:rsid w:val="00481D80"/>
    <w:rsid w:val="00481E74"/>
    <w:rsid w:val="00482400"/>
    <w:rsid w:val="004824FA"/>
    <w:rsid w:val="00484011"/>
    <w:rsid w:val="004841F1"/>
    <w:rsid w:val="00485CED"/>
    <w:rsid w:val="00487937"/>
    <w:rsid w:val="00491975"/>
    <w:rsid w:val="00493192"/>
    <w:rsid w:val="00494D10"/>
    <w:rsid w:val="004A1E3A"/>
    <w:rsid w:val="004B2E3B"/>
    <w:rsid w:val="004B46D6"/>
    <w:rsid w:val="004B7712"/>
    <w:rsid w:val="004B7B46"/>
    <w:rsid w:val="004B7BC3"/>
    <w:rsid w:val="004C0BF6"/>
    <w:rsid w:val="004C0C0E"/>
    <w:rsid w:val="004C15D2"/>
    <w:rsid w:val="004C4464"/>
    <w:rsid w:val="004C4AEA"/>
    <w:rsid w:val="004C592C"/>
    <w:rsid w:val="004C7C3A"/>
    <w:rsid w:val="004D0430"/>
    <w:rsid w:val="004D15EC"/>
    <w:rsid w:val="004D1DAA"/>
    <w:rsid w:val="004D4EB1"/>
    <w:rsid w:val="004D50A9"/>
    <w:rsid w:val="004D5D4E"/>
    <w:rsid w:val="004E003C"/>
    <w:rsid w:val="004E16EB"/>
    <w:rsid w:val="004E54EF"/>
    <w:rsid w:val="004E6665"/>
    <w:rsid w:val="004F12E3"/>
    <w:rsid w:val="004F204F"/>
    <w:rsid w:val="004F601A"/>
    <w:rsid w:val="004F634E"/>
    <w:rsid w:val="004F67A8"/>
    <w:rsid w:val="004F6AFA"/>
    <w:rsid w:val="00505495"/>
    <w:rsid w:val="005070F6"/>
    <w:rsid w:val="0051144E"/>
    <w:rsid w:val="005115FA"/>
    <w:rsid w:val="00511E01"/>
    <w:rsid w:val="00512B0A"/>
    <w:rsid w:val="00513AFB"/>
    <w:rsid w:val="0051582C"/>
    <w:rsid w:val="005212E5"/>
    <w:rsid w:val="00522A50"/>
    <w:rsid w:val="005242A3"/>
    <w:rsid w:val="00525E61"/>
    <w:rsid w:val="00527225"/>
    <w:rsid w:val="00532F74"/>
    <w:rsid w:val="0053557D"/>
    <w:rsid w:val="005410E3"/>
    <w:rsid w:val="00542A96"/>
    <w:rsid w:val="00542FE2"/>
    <w:rsid w:val="005432A2"/>
    <w:rsid w:val="00543717"/>
    <w:rsid w:val="005463DE"/>
    <w:rsid w:val="00546DC2"/>
    <w:rsid w:val="0055182A"/>
    <w:rsid w:val="00551D58"/>
    <w:rsid w:val="00551F1F"/>
    <w:rsid w:val="005525E8"/>
    <w:rsid w:val="00553EA6"/>
    <w:rsid w:val="005542E8"/>
    <w:rsid w:val="00554D83"/>
    <w:rsid w:val="00556630"/>
    <w:rsid w:val="0055686D"/>
    <w:rsid w:val="005568C1"/>
    <w:rsid w:val="00556D79"/>
    <w:rsid w:val="00562D62"/>
    <w:rsid w:val="005714F2"/>
    <w:rsid w:val="00577008"/>
    <w:rsid w:val="005800EE"/>
    <w:rsid w:val="005833EE"/>
    <w:rsid w:val="00585BB7"/>
    <w:rsid w:val="005869D6"/>
    <w:rsid w:val="00587C72"/>
    <w:rsid w:val="00587F48"/>
    <w:rsid w:val="00590886"/>
    <w:rsid w:val="005913AE"/>
    <w:rsid w:val="0059331E"/>
    <w:rsid w:val="00594619"/>
    <w:rsid w:val="0059597E"/>
    <w:rsid w:val="005A33F6"/>
    <w:rsid w:val="005A3933"/>
    <w:rsid w:val="005A59E5"/>
    <w:rsid w:val="005B449F"/>
    <w:rsid w:val="005B4F4B"/>
    <w:rsid w:val="005B673D"/>
    <w:rsid w:val="005B7440"/>
    <w:rsid w:val="005C0E2A"/>
    <w:rsid w:val="005C14EF"/>
    <w:rsid w:val="005C5929"/>
    <w:rsid w:val="005D0D44"/>
    <w:rsid w:val="005D37B4"/>
    <w:rsid w:val="005D6472"/>
    <w:rsid w:val="005D6F14"/>
    <w:rsid w:val="005E2150"/>
    <w:rsid w:val="005E21CC"/>
    <w:rsid w:val="005E2995"/>
    <w:rsid w:val="005E2B85"/>
    <w:rsid w:val="005E4F6C"/>
    <w:rsid w:val="005E5C22"/>
    <w:rsid w:val="005E74BB"/>
    <w:rsid w:val="005F0E88"/>
    <w:rsid w:val="005F20E4"/>
    <w:rsid w:val="005F39D2"/>
    <w:rsid w:val="005F3FEF"/>
    <w:rsid w:val="00600C4F"/>
    <w:rsid w:val="0060287B"/>
    <w:rsid w:val="006032BA"/>
    <w:rsid w:val="00603A81"/>
    <w:rsid w:val="00603DCF"/>
    <w:rsid w:val="00605D50"/>
    <w:rsid w:val="006077F3"/>
    <w:rsid w:val="00607F7C"/>
    <w:rsid w:val="006102DA"/>
    <w:rsid w:val="00611205"/>
    <w:rsid w:val="00613BCF"/>
    <w:rsid w:val="00616090"/>
    <w:rsid w:val="00620670"/>
    <w:rsid w:val="00620B48"/>
    <w:rsid w:val="00620E4A"/>
    <w:rsid w:val="00622860"/>
    <w:rsid w:val="0062614C"/>
    <w:rsid w:val="006315A3"/>
    <w:rsid w:val="00632412"/>
    <w:rsid w:val="00642189"/>
    <w:rsid w:val="00644D89"/>
    <w:rsid w:val="0064772A"/>
    <w:rsid w:val="00651309"/>
    <w:rsid w:val="006542B3"/>
    <w:rsid w:val="006552DA"/>
    <w:rsid w:val="006579A2"/>
    <w:rsid w:val="00657E58"/>
    <w:rsid w:val="00662378"/>
    <w:rsid w:val="00662688"/>
    <w:rsid w:val="0066783A"/>
    <w:rsid w:val="00667C89"/>
    <w:rsid w:val="00670969"/>
    <w:rsid w:val="00670E88"/>
    <w:rsid w:val="006711EE"/>
    <w:rsid w:val="00671AA7"/>
    <w:rsid w:val="00675F9A"/>
    <w:rsid w:val="006809BB"/>
    <w:rsid w:val="006809FD"/>
    <w:rsid w:val="0068428B"/>
    <w:rsid w:val="0068528B"/>
    <w:rsid w:val="00686B3D"/>
    <w:rsid w:val="00686FF9"/>
    <w:rsid w:val="00691D1F"/>
    <w:rsid w:val="00692DEB"/>
    <w:rsid w:val="00697BAE"/>
    <w:rsid w:val="006A0944"/>
    <w:rsid w:val="006A09E0"/>
    <w:rsid w:val="006A3EFD"/>
    <w:rsid w:val="006B0F55"/>
    <w:rsid w:val="006B2B4C"/>
    <w:rsid w:val="006B4DDC"/>
    <w:rsid w:val="006B51BD"/>
    <w:rsid w:val="006B5E55"/>
    <w:rsid w:val="006B66B1"/>
    <w:rsid w:val="006B6F3F"/>
    <w:rsid w:val="006C20E8"/>
    <w:rsid w:val="006C3467"/>
    <w:rsid w:val="006C4DA7"/>
    <w:rsid w:val="006C5CDB"/>
    <w:rsid w:val="006D25A1"/>
    <w:rsid w:val="006D631F"/>
    <w:rsid w:val="006D7A89"/>
    <w:rsid w:val="006E14E9"/>
    <w:rsid w:val="006E5E05"/>
    <w:rsid w:val="006F0490"/>
    <w:rsid w:val="006F09A2"/>
    <w:rsid w:val="006F0E6D"/>
    <w:rsid w:val="006F17D6"/>
    <w:rsid w:val="006F36C6"/>
    <w:rsid w:val="006F4D2C"/>
    <w:rsid w:val="006F6856"/>
    <w:rsid w:val="007024C1"/>
    <w:rsid w:val="00702843"/>
    <w:rsid w:val="007038CB"/>
    <w:rsid w:val="00704E92"/>
    <w:rsid w:val="00706A8B"/>
    <w:rsid w:val="00710AF2"/>
    <w:rsid w:val="00710CAF"/>
    <w:rsid w:val="00713412"/>
    <w:rsid w:val="00713C33"/>
    <w:rsid w:val="0071430D"/>
    <w:rsid w:val="007145D0"/>
    <w:rsid w:val="00716CB4"/>
    <w:rsid w:val="00716F94"/>
    <w:rsid w:val="00721180"/>
    <w:rsid w:val="00721719"/>
    <w:rsid w:val="007245FE"/>
    <w:rsid w:val="00725C1B"/>
    <w:rsid w:val="00726035"/>
    <w:rsid w:val="007300FA"/>
    <w:rsid w:val="0073076A"/>
    <w:rsid w:val="00731966"/>
    <w:rsid w:val="0073225E"/>
    <w:rsid w:val="00734D99"/>
    <w:rsid w:val="00735176"/>
    <w:rsid w:val="00741DE1"/>
    <w:rsid w:val="00742230"/>
    <w:rsid w:val="0075188E"/>
    <w:rsid w:val="0076001C"/>
    <w:rsid w:val="00760401"/>
    <w:rsid w:val="00760E12"/>
    <w:rsid w:val="007636FC"/>
    <w:rsid w:val="00763CF3"/>
    <w:rsid w:val="00764C5B"/>
    <w:rsid w:val="00766AD3"/>
    <w:rsid w:val="00772293"/>
    <w:rsid w:val="007735B3"/>
    <w:rsid w:val="00774689"/>
    <w:rsid w:val="00776981"/>
    <w:rsid w:val="0077700B"/>
    <w:rsid w:val="00781AE3"/>
    <w:rsid w:val="00782821"/>
    <w:rsid w:val="00782FBD"/>
    <w:rsid w:val="00783C75"/>
    <w:rsid w:val="00784619"/>
    <w:rsid w:val="00784735"/>
    <w:rsid w:val="0078627B"/>
    <w:rsid w:val="0078765B"/>
    <w:rsid w:val="007901BC"/>
    <w:rsid w:val="007921F1"/>
    <w:rsid w:val="007945BC"/>
    <w:rsid w:val="00794E32"/>
    <w:rsid w:val="007A029C"/>
    <w:rsid w:val="007A0D73"/>
    <w:rsid w:val="007A3BEB"/>
    <w:rsid w:val="007A418B"/>
    <w:rsid w:val="007A54BE"/>
    <w:rsid w:val="007A58A4"/>
    <w:rsid w:val="007B0207"/>
    <w:rsid w:val="007B305A"/>
    <w:rsid w:val="007B4217"/>
    <w:rsid w:val="007B6A12"/>
    <w:rsid w:val="007B72B9"/>
    <w:rsid w:val="007B75D7"/>
    <w:rsid w:val="007B7C44"/>
    <w:rsid w:val="007C235E"/>
    <w:rsid w:val="007C5666"/>
    <w:rsid w:val="007C56C8"/>
    <w:rsid w:val="007C58E7"/>
    <w:rsid w:val="007C6625"/>
    <w:rsid w:val="007D251E"/>
    <w:rsid w:val="007D6163"/>
    <w:rsid w:val="007D64E9"/>
    <w:rsid w:val="007E3EB3"/>
    <w:rsid w:val="007E40B9"/>
    <w:rsid w:val="007E575D"/>
    <w:rsid w:val="007E57CD"/>
    <w:rsid w:val="007E6AEF"/>
    <w:rsid w:val="007F45C9"/>
    <w:rsid w:val="007F5776"/>
    <w:rsid w:val="007F72FA"/>
    <w:rsid w:val="007F7A28"/>
    <w:rsid w:val="00800A42"/>
    <w:rsid w:val="00801665"/>
    <w:rsid w:val="00803CB0"/>
    <w:rsid w:val="00804622"/>
    <w:rsid w:val="00804D1E"/>
    <w:rsid w:val="00807A92"/>
    <w:rsid w:val="008132E2"/>
    <w:rsid w:val="00815C7D"/>
    <w:rsid w:val="00817941"/>
    <w:rsid w:val="008229E4"/>
    <w:rsid w:val="00823547"/>
    <w:rsid w:val="008252FC"/>
    <w:rsid w:val="008261AB"/>
    <w:rsid w:val="008269AB"/>
    <w:rsid w:val="00831E10"/>
    <w:rsid w:val="0083357E"/>
    <w:rsid w:val="00834C91"/>
    <w:rsid w:val="00835CA7"/>
    <w:rsid w:val="008370D4"/>
    <w:rsid w:val="00837191"/>
    <w:rsid w:val="008414AD"/>
    <w:rsid w:val="008428D9"/>
    <w:rsid w:val="00847359"/>
    <w:rsid w:val="00851194"/>
    <w:rsid w:val="00852017"/>
    <w:rsid w:val="00852E1D"/>
    <w:rsid w:val="00855F79"/>
    <w:rsid w:val="00864742"/>
    <w:rsid w:val="00864B2F"/>
    <w:rsid w:val="008705AC"/>
    <w:rsid w:val="008715E7"/>
    <w:rsid w:val="00871B6E"/>
    <w:rsid w:val="00872827"/>
    <w:rsid w:val="00872D5A"/>
    <w:rsid w:val="008748B4"/>
    <w:rsid w:val="00881F86"/>
    <w:rsid w:val="00882D56"/>
    <w:rsid w:val="0088467A"/>
    <w:rsid w:val="00884DB9"/>
    <w:rsid w:val="00886033"/>
    <w:rsid w:val="00890287"/>
    <w:rsid w:val="008916B5"/>
    <w:rsid w:val="0089248C"/>
    <w:rsid w:val="00896A48"/>
    <w:rsid w:val="00897683"/>
    <w:rsid w:val="00897AA0"/>
    <w:rsid w:val="008A13AF"/>
    <w:rsid w:val="008A7A1E"/>
    <w:rsid w:val="008B12FA"/>
    <w:rsid w:val="008B1F4A"/>
    <w:rsid w:val="008B41DE"/>
    <w:rsid w:val="008B57C2"/>
    <w:rsid w:val="008B5CAF"/>
    <w:rsid w:val="008B6174"/>
    <w:rsid w:val="008B65FF"/>
    <w:rsid w:val="008C408E"/>
    <w:rsid w:val="008C59E7"/>
    <w:rsid w:val="008C67D2"/>
    <w:rsid w:val="008C6C3B"/>
    <w:rsid w:val="008E0683"/>
    <w:rsid w:val="008E257A"/>
    <w:rsid w:val="008E2730"/>
    <w:rsid w:val="008E3555"/>
    <w:rsid w:val="008E3D8D"/>
    <w:rsid w:val="008E67F3"/>
    <w:rsid w:val="008F01D0"/>
    <w:rsid w:val="008F3D10"/>
    <w:rsid w:val="00902DD9"/>
    <w:rsid w:val="00903365"/>
    <w:rsid w:val="00906F16"/>
    <w:rsid w:val="00911486"/>
    <w:rsid w:val="009129CA"/>
    <w:rsid w:val="00915C4D"/>
    <w:rsid w:val="00916967"/>
    <w:rsid w:val="00917833"/>
    <w:rsid w:val="009205B4"/>
    <w:rsid w:val="009206B6"/>
    <w:rsid w:val="009211D7"/>
    <w:rsid w:val="009252DC"/>
    <w:rsid w:val="009252F5"/>
    <w:rsid w:val="009263C1"/>
    <w:rsid w:val="009329EE"/>
    <w:rsid w:val="00932CFF"/>
    <w:rsid w:val="009350E8"/>
    <w:rsid w:val="00935148"/>
    <w:rsid w:val="00935E58"/>
    <w:rsid w:val="00936C8D"/>
    <w:rsid w:val="00941B4F"/>
    <w:rsid w:val="009420EE"/>
    <w:rsid w:val="00945B19"/>
    <w:rsid w:val="009518C0"/>
    <w:rsid w:val="00954637"/>
    <w:rsid w:val="00956784"/>
    <w:rsid w:val="009600CB"/>
    <w:rsid w:val="00962F7A"/>
    <w:rsid w:val="00963885"/>
    <w:rsid w:val="00963CE3"/>
    <w:rsid w:val="009640EC"/>
    <w:rsid w:val="00964F18"/>
    <w:rsid w:val="00967890"/>
    <w:rsid w:val="00971BE1"/>
    <w:rsid w:val="00971CB5"/>
    <w:rsid w:val="00973A66"/>
    <w:rsid w:val="00974424"/>
    <w:rsid w:val="00981F74"/>
    <w:rsid w:val="00982767"/>
    <w:rsid w:val="00987F76"/>
    <w:rsid w:val="0099116B"/>
    <w:rsid w:val="00991B75"/>
    <w:rsid w:val="00993088"/>
    <w:rsid w:val="0099664F"/>
    <w:rsid w:val="00997D5D"/>
    <w:rsid w:val="00997DE8"/>
    <w:rsid w:val="009A0447"/>
    <w:rsid w:val="009A14F7"/>
    <w:rsid w:val="009A2A35"/>
    <w:rsid w:val="009A2CE5"/>
    <w:rsid w:val="009A3180"/>
    <w:rsid w:val="009A45D4"/>
    <w:rsid w:val="009A4B59"/>
    <w:rsid w:val="009A50E1"/>
    <w:rsid w:val="009A50F1"/>
    <w:rsid w:val="009A737F"/>
    <w:rsid w:val="009B0D42"/>
    <w:rsid w:val="009B3D5A"/>
    <w:rsid w:val="009B4A51"/>
    <w:rsid w:val="009B7261"/>
    <w:rsid w:val="009C0CBB"/>
    <w:rsid w:val="009C28B1"/>
    <w:rsid w:val="009C61AD"/>
    <w:rsid w:val="009C6697"/>
    <w:rsid w:val="009C7DEC"/>
    <w:rsid w:val="009D373D"/>
    <w:rsid w:val="009D3767"/>
    <w:rsid w:val="009D436B"/>
    <w:rsid w:val="009D4DBA"/>
    <w:rsid w:val="009D5927"/>
    <w:rsid w:val="009D7B2C"/>
    <w:rsid w:val="009E0801"/>
    <w:rsid w:val="009E0DF7"/>
    <w:rsid w:val="009E153E"/>
    <w:rsid w:val="009E1D05"/>
    <w:rsid w:val="009E3E9B"/>
    <w:rsid w:val="009E5735"/>
    <w:rsid w:val="009E74B1"/>
    <w:rsid w:val="009F542A"/>
    <w:rsid w:val="009F7DE0"/>
    <w:rsid w:val="00A0222E"/>
    <w:rsid w:val="00A05973"/>
    <w:rsid w:val="00A06783"/>
    <w:rsid w:val="00A06BCB"/>
    <w:rsid w:val="00A1050C"/>
    <w:rsid w:val="00A10B07"/>
    <w:rsid w:val="00A11B0C"/>
    <w:rsid w:val="00A12098"/>
    <w:rsid w:val="00A1453A"/>
    <w:rsid w:val="00A1610E"/>
    <w:rsid w:val="00A16127"/>
    <w:rsid w:val="00A20BA8"/>
    <w:rsid w:val="00A21CED"/>
    <w:rsid w:val="00A242DB"/>
    <w:rsid w:val="00A27239"/>
    <w:rsid w:val="00A33B35"/>
    <w:rsid w:val="00A33E90"/>
    <w:rsid w:val="00A343CF"/>
    <w:rsid w:val="00A3507C"/>
    <w:rsid w:val="00A36419"/>
    <w:rsid w:val="00A37684"/>
    <w:rsid w:val="00A42049"/>
    <w:rsid w:val="00A43A8A"/>
    <w:rsid w:val="00A44921"/>
    <w:rsid w:val="00A44AD9"/>
    <w:rsid w:val="00A47772"/>
    <w:rsid w:val="00A578C2"/>
    <w:rsid w:val="00A614BC"/>
    <w:rsid w:val="00A62C98"/>
    <w:rsid w:val="00A648C6"/>
    <w:rsid w:val="00A703C3"/>
    <w:rsid w:val="00A70B3C"/>
    <w:rsid w:val="00A7119E"/>
    <w:rsid w:val="00A72652"/>
    <w:rsid w:val="00A73D9B"/>
    <w:rsid w:val="00A75A8E"/>
    <w:rsid w:val="00A75D1C"/>
    <w:rsid w:val="00A767EC"/>
    <w:rsid w:val="00A809AA"/>
    <w:rsid w:val="00A846C9"/>
    <w:rsid w:val="00A849B3"/>
    <w:rsid w:val="00A8510D"/>
    <w:rsid w:val="00A86166"/>
    <w:rsid w:val="00A86AF3"/>
    <w:rsid w:val="00A90AFF"/>
    <w:rsid w:val="00A90BDC"/>
    <w:rsid w:val="00A91ED9"/>
    <w:rsid w:val="00A95477"/>
    <w:rsid w:val="00A975A9"/>
    <w:rsid w:val="00AA3192"/>
    <w:rsid w:val="00AA56D9"/>
    <w:rsid w:val="00AB0486"/>
    <w:rsid w:val="00AB12F0"/>
    <w:rsid w:val="00AB251E"/>
    <w:rsid w:val="00AB2B12"/>
    <w:rsid w:val="00AB3608"/>
    <w:rsid w:val="00AB6638"/>
    <w:rsid w:val="00AC1272"/>
    <w:rsid w:val="00AC32D5"/>
    <w:rsid w:val="00AC5C48"/>
    <w:rsid w:val="00AC63E3"/>
    <w:rsid w:val="00AC7ADA"/>
    <w:rsid w:val="00AC7ECF"/>
    <w:rsid w:val="00AD1ACF"/>
    <w:rsid w:val="00AD23A9"/>
    <w:rsid w:val="00AD3F08"/>
    <w:rsid w:val="00AD3F5C"/>
    <w:rsid w:val="00AD619F"/>
    <w:rsid w:val="00AD69E9"/>
    <w:rsid w:val="00AE13B7"/>
    <w:rsid w:val="00AE1B16"/>
    <w:rsid w:val="00AE3E06"/>
    <w:rsid w:val="00AE699F"/>
    <w:rsid w:val="00AF0CF4"/>
    <w:rsid w:val="00AF1EE1"/>
    <w:rsid w:val="00AF2252"/>
    <w:rsid w:val="00AF352E"/>
    <w:rsid w:val="00AF4959"/>
    <w:rsid w:val="00AF69D6"/>
    <w:rsid w:val="00B0098C"/>
    <w:rsid w:val="00B00B12"/>
    <w:rsid w:val="00B00E4A"/>
    <w:rsid w:val="00B06C1D"/>
    <w:rsid w:val="00B06FFF"/>
    <w:rsid w:val="00B1129F"/>
    <w:rsid w:val="00B11D61"/>
    <w:rsid w:val="00B12F51"/>
    <w:rsid w:val="00B2446A"/>
    <w:rsid w:val="00B26D92"/>
    <w:rsid w:val="00B2751E"/>
    <w:rsid w:val="00B3650C"/>
    <w:rsid w:val="00B400EB"/>
    <w:rsid w:val="00B4113A"/>
    <w:rsid w:val="00B41FB4"/>
    <w:rsid w:val="00B4293D"/>
    <w:rsid w:val="00B42D92"/>
    <w:rsid w:val="00B43AFE"/>
    <w:rsid w:val="00B44281"/>
    <w:rsid w:val="00B44463"/>
    <w:rsid w:val="00B47055"/>
    <w:rsid w:val="00B473B7"/>
    <w:rsid w:val="00B60757"/>
    <w:rsid w:val="00B6361A"/>
    <w:rsid w:val="00B63CF3"/>
    <w:rsid w:val="00B64BFA"/>
    <w:rsid w:val="00B666CB"/>
    <w:rsid w:val="00B6699B"/>
    <w:rsid w:val="00B71839"/>
    <w:rsid w:val="00B71E63"/>
    <w:rsid w:val="00B73672"/>
    <w:rsid w:val="00B77D72"/>
    <w:rsid w:val="00B80778"/>
    <w:rsid w:val="00B82A86"/>
    <w:rsid w:val="00B83212"/>
    <w:rsid w:val="00B846B5"/>
    <w:rsid w:val="00B8543B"/>
    <w:rsid w:val="00B859DD"/>
    <w:rsid w:val="00B85DE4"/>
    <w:rsid w:val="00B87AAD"/>
    <w:rsid w:val="00B91A31"/>
    <w:rsid w:val="00B92816"/>
    <w:rsid w:val="00B977A2"/>
    <w:rsid w:val="00BA50D9"/>
    <w:rsid w:val="00BA6325"/>
    <w:rsid w:val="00BA6C28"/>
    <w:rsid w:val="00BA6DB4"/>
    <w:rsid w:val="00BB0813"/>
    <w:rsid w:val="00BB090C"/>
    <w:rsid w:val="00BB14AA"/>
    <w:rsid w:val="00BB77D6"/>
    <w:rsid w:val="00BC2669"/>
    <w:rsid w:val="00BC3F3C"/>
    <w:rsid w:val="00BC5BB2"/>
    <w:rsid w:val="00BC718E"/>
    <w:rsid w:val="00BD378F"/>
    <w:rsid w:val="00BD4019"/>
    <w:rsid w:val="00BD4599"/>
    <w:rsid w:val="00BD47DF"/>
    <w:rsid w:val="00BD56AF"/>
    <w:rsid w:val="00BE5A15"/>
    <w:rsid w:val="00BE738E"/>
    <w:rsid w:val="00BF11A1"/>
    <w:rsid w:val="00BF21E1"/>
    <w:rsid w:val="00BF3F54"/>
    <w:rsid w:val="00C00697"/>
    <w:rsid w:val="00C0376C"/>
    <w:rsid w:val="00C050B5"/>
    <w:rsid w:val="00C05603"/>
    <w:rsid w:val="00C06D77"/>
    <w:rsid w:val="00C11DB3"/>
    <w:rsid w:val="00C14BA6"/>
    <w:rsid w:val="00C17997"/>
    <w:rsid w:val="00C23BC6"/>
    <w:rsid w:val="00C24FF6"/>
    <w:rsid w:val="00C3082A"/>
    <w:rsid w:val="00C324B5"/>
    <w:rsid w:val="00C3485C"/>
    <w:rsid w:val="00C34D1A"/>
    <w:rsid w:val="00C4416B"/>
    <w:rsid w:val="00C51349"/>
    <w:rsid w:val="00C52715"/>
    <w:rsid w:val="00C52CC6"/>
    <w:rsid w:val="00C544A4"/>
    <w:rsid w:val="00C62E1B"/>
    <w:rsid w:val="00C63CB8"/>
    <w:rsid w:val="00C666F7"/>
    <w:rsid w:val="00C674E1"/>
    <w:rsid w:val="00C701C7"/>
    <w:rsid w:val="00C70EA8"/>
    <w:rsid w:val="00C71D88"/>
    <w:rsid w:val="00C75DBB"/>
    <w:rsid w:val="00C768E5"/>
    <w:rsid w:val="00C77F7F"/>
    <w:rsid w:val="00C849D1"/>
    <w:rsid w:val="00C87823"/>
    <w:rsid w:val="00C925C1"/>
    <w:rsid w:val="00C93B1A"/>
    <w:rsid w:val="00C94F66"/>
    <w:rsid w:val="00C95054"/>
    <w:rsid w:val="00C97A7C"/>
    <w:rsid w:val="00CA2004"/>
    <w:rsid w:val="00CA5840"/>
    <w:rsid w:val="00CA5B99"/>
    <w:rsid w:val="00CA5FDF"/>
    <w:rsid w:val="00CA7FA3"/>
    <w:rsid w:val="00CB0933"/>
    <w:rsid w:val="00CB334D"/>
    <w:rsid w:val="00CB479B"/>
    <w:rsid w:val="00CB56D5"/>
    <w:rsid w:val="00CB5E4D"/>
    <w:rsid w:val="00CC4DAB"/>
    <w:rsid w:val="00CC7188"/>
    <w:rsid w:val="00CC76CD"/>
    <w:rsid w:val="00CC7BD6"/>
    <w:rsid w:val="00CD1EA8"/>
    <w:rsid w:val="00CD2364"/>
    <w:rsid w:val="00CD26DC"/>
    <w:rsid w:val="00CD7C69"/>
    <w:rsid w:val="00CE150A"/>
    <w:rsid w:val="00CE31B7"/>
    <w:rsid w:val="00CE427E"/>
    <w:rsid w:val="00CE42CC"/>
    <w:rsid w:val="00CE4389"/>
    <w:rsid w:val="00CF0048"/>
    <w:rsid w:val="00CF1EF5"/>
    <w:rsid w:val="00CF5ABD"/>
    <w:rsid w:val="00CF6092"/>
    <w:rsid w:val="00CF63CE"/>
    <w:rsid w:val="00CF7DE2"/>
    <w:rsid w:val="00D03A40"/>
    <w:rsid w:val="00D065B1"/>
    <w:rsid w:val="00D067C1"/>
    <w:rsid w:val="00D06816"/>
    <w:rsid w:val="00D11EF6"/>
    <w:rsid w:val="00D1343B"/>
    <w:rsid w:val="00D13B13"/>
    <w:rsid w:val="00D16E78"/>
    <w:rsid w:val="00D201D3"/>
    <w:rsid w:val="00D246BF"/>
    <w:rsid w:val="00D24736"/>
    <w:rsid w:val="00D267D5"/>
    <w:rsid w:val="00D26A64"/>
    <w:rsid w:val="00D27EC9"/>
    <w:rsid w:val="00D27FCB"/>
    <w:rsid w:val="00D31720"/>
    <w:rsid w:val="00D331B3"/>
    <w:rsid w:val="00D36D27"/>
    <w:rsid w:val="00D40535"/>
    <w:rsid w:val="00D405F3"/>
    <w:rsid w:val="00D42A92"/>
    <w:rsid w:val="00D50A46"/>
    <w:rsid w:val="00D52B9A"/>
    <w:rsid w:val="00D5367E"/>
    <w:rsid w:val="00D53B1E"/>
    <w:rsid w:val="00D6105F"/>
    <w:rsid w:val="00D61AD2"/>
    <w:rsid w:val="00D61EA5"/>
    <w:rsid w:val="00D6422D"/>
    <w:rsid w:val="00D704DB"/>
    <w:rsid w:val="00D71C1C"/>
    <w:rsid w:val="00D75750"/>
    <w:rsid w:val="00D80885"/>
    <w:rsid w:val="00D827D1"/>
    <w:rsid w:val="00D83681"/>
    <w:rsid w:val="00D84EF0"/>
    <w:rsid w:val="00D861ED"/>
    <w:rsid w:val="00D873E0"/>
    <w:rsid w:val="00D941E3"/>
    <w:rsid w:val="00D947D6"/>
    <w:rsid w:val="00D94F8B"/>
    <w:rsid w:val="00D950E5"/>
    <w:rsid w:val="00D95FBF"/>
    <w:rsid w:val="00DA5988"/>
    <w:rsid w:val="00DA762F"/>
    <w:rsid w:val="00DB1B47"/>
    <w:rsid w:val="00DB281C"/>
    <w:rsid w:val="00DB3A2A"/>
    <w:rsid w:val="00DB3F88"/>
    <w:rsid w:val="00DB7F78"/>
    <w:rsid w:val="00DC0184"/>
    <w:rsid w:val="00DC2AD2"/>
    <w:rsid w:val="00DC317C"/>
    <w:rsid w:val="00DC4FF2"/>
    <w:rsid w:val="00DC607D"/>
    <w:rsid w:val="00DC79CC"/>
    <w:rsid w:val="00DD5E65"/>
    <w:rsid w:val="00DD665C"/>
    <w:rsid w:val="00DD6A76"/>
    <w:rsid w:val="00DD7BF0"/>
    <w:rsid w:val="00DD7CCD"/>
    <w:rsid w:val="00DF1EAD"/>
    <w:rsid w:val="00E05850"/>
    <w:rsid w:val="00E1007A"/>
    <w:rsid w:val="00E10D39"/>
    <w:rsid w:val="00E12C3D"/>
    <w:rsid w:val="00E134F4"/>
    <w:rsid w:val="00E13702"/>
    <w:rsid w:val="00E147D9"/>
    <w:rsid w:val="00E14FE8"/>
    <w:rsid w:val="00E162E0"/>
    <w:rsid w:val="00E20294"/>
    <w:rsid w:val="00E20D75"/>
    <w:rsid w:val="00E21B8F"/>
    <w:rsid w:val="00E23568"/>
    <w:rsid w:val="00E23634"/>
    <w:rsid w:val="00E245B5"/>
    <w:rsid w:val="00E312D9"/>
    <w:rsid w:val="00E33E1B"/>
    <w:rsid w:val="00E34B8B"/>
    <w:rsid w:val="00E34D3E"/>
    <w:rsid w:val="00E35AB7"/>
    <w:rsid w:val="00E3652B"/>
    <w:rsid w:val="00E41812"/>
    <w:rsid w:val="00E419A3"/>
    <w:rsid w:val="00E41C5A"/>
    <w:rsid w:val="00E427F2"/>
    <w:rsid w:val="00E46403"/>
    <w:rsid w:val="00E46BAF"/>
    <w:rsid w:val="00E4799B"/>
    <w:rsid w:val="00E5146F"/>
    <w:rsid w:val="00E51F66"/>
    <w:rsid w:val="00E61E4D"/>
    <w:rsid w:val="00E62BD2"/>
    <w:rsid w:val="00E641B3"/>
    <w:rsid w:val="00E647FB"/>
    <w:rsid w:val="00E67A07"/>
    <w:rsid w:val="00E708EF"/>
    <w:rsid w:val="00E70B38"/>
    <w:rsid w:val="00E70FB5"/>
    <w:rsid w:val="00E720E9"/>
    <w:rsid w:val="00E738BB"/>
    <w:rsid w:val="00E7472F"/>
    <w:rsid w:val="00E7655F"/>
    <w:rsid w:val="00E81C5E"/>
    <w:rsid w:val="00E820BB"/>
    <w:rsid w:val="00E83B3C"/>
    <w:rsid w:val="00E85424"/>
    <w:rsid w:val="00E8736B"/>
    <w:rsid w:val="00E876E3"/>
    <w:rsid w:val="00E90275"/>
    <w:rsid w:val="00E925D4"/>
    <w:rsid w:val="00E932F4"/>
    <w:rsid w:val="00E93634"/>
    <w:rsid w:val="00E9465D"/>
    <w:rsid w:val="00E95E51"/>
    <w:rsid w:val="00E97226"/>
    <w:rsid w:val="00EA2B44"/>
    <w:rsid w:val="00EA3236"/>
    <w:rsid w:val="00EA33EF"/>
    <w:rsid w:val="00EA3A4A"/>
    <w:rsid w:val="00EB27AD"/>
    <w:rsid w:val="00EB299F"/>
    <w:rsid w:val="00EB2CE0"/>
    <w:rsid w:val="00EB5684"/>
    <w:rsid w:val="00EC1C2F"/>
    <w:rsid w:val="00EC4FFD"/>
    <w:rsid w:val="00EC517B"/>
    <w:rsid w:val="00EC58F5"/>
    <w:rsid w:val="00EC5EFC"/>
    <w:rsid w:val="00ED2767"/>
    <w:rsid w:val="00ED4BEF"/>
    <w:rsid w:val="00ED5282"/>
    <w:rsid w:val="00ED57D1"/>
    <w:rsid w:val="00ED6DF6"/>
    <w:rsid w:val="00EE0BF4"/>
    <w:rsid w:val="00EE23F3"/>
    <w:rsid w:val="00EE3478"/>
    <w:rsid w:val="00EE40C6"/>
    <w:rsid w:val="00EE4D94"/>
    <w:rsid w:val="00EE528D"/>
    <w:rsid w:val="00EE54FA"/>
    <w:rsid w:val="00EE7BFB"/>
    <w:rsid w:val="00EF33CD"/>
    <w:rsid w:val="00EF3F00"/>
    <w:rsid w:val="00EF40A3"/>
    <w:rsid w:val="00EF6A1B"/>
    <w:rsid w:val="00F0000D"/>
    <w:rsid w:val="00F05085"/>
    <w:rsid w:val="00F12924"/>
    <w:rsid w:val="00F147F3"/>
    <w:rsid w:val="00F17256"/>
    <w:rsid w:val="00F20AEE"/>
    <w:rsid w:val="00F20C9B"/>
    <w:rsid w:val="00F21CE2"/>
    <w:rsid w:val="00F2465C"/>
    <w:rsid w:val="00F26E22"/>
    <w:rsid w:val="00F300CB"/>
    <w:rsid w:val="00F31310"/>
    <w:rsid w:val="00F31B86"/>
    <w:rsid w:val="00F3327E"/>
    <w:rsid w:val="00F3569D"/>
    <w:rsid w:val="00F37B43"/>
    <w:rsid w:val="00F40391"/>
    <w:rsid w:val="00F42C3A"/>
    <w:rsid w:val="00F42ECF"/>
    <w:rsid w:val="00F45451"/>
    <w:rsid w:val="00F500B0"/>
    <w:rsid w:val="00F52BCC"/>
    <w:rsid w:val="00F5313F"/>
    <w:rsid w:val="00F5397F"/>
    <w:rsid w:val="00F55D11"/>
    <w:rsid w:val="00F60C9D"/>
    <w:rsid w:val="00F62BF6"/>
    <w:rsid w:val="00F63F7D"/>
    <w:rsid w:val="00F65781"/>
    <w:rsid w:val="00F66470"/>
    <w:rsid w:val="00F66C77"/>
    <w:rsid w:val="00F745E1"/>
    <w:rsid w:val="00F75784"/>
    <w:rsid w:val="00F81135"/>
    <w:rsid w:val="00F81A48"/>
    <w:rsid w:val="00F8492F"/>
    <w:rsid w:val="00F84E84"/>
    <w:rsid w:val="00F854E9"/>
    <w:rsid w:val="00F90B1F"/>
    <w:rsid w:val="00F96085"/>
    <w:rsid w:val="00F96B8C"/>
    <w:rsid w:val="00F97CE2"/>
    <w:rsid w:val="00FA349E"/>
    <w:rsid w:val="00FA426D"/>
    <w:rsid w:val="00FA6C7F"/>
    <w:rsid w:val="00FB076A"/>
    <w:rsid w:val="00FB39DF"/>
    <w:rsid w:val="00FB454F"/>
    <w:rsid w:val="00FB62BC"/>
    <w:rsid w:val="00FC125B"/>
    <w:rsid w:val="00FC55F6"/>
    <w:rsid w:val="00FD17C9"/>
    <w:rsid w:val="00FD1EAB"/>
    <w:rsid w:val="00FD2A5B"/>
    <w:rsid w:val="00FD731A"/>
    <w:rsid w:val="00FE6720"/>
    <w:rsid w:val="00FE6A5C"/>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customStyle="1" w:styleId="EndNoteBibliographyTitle">
    <w:name w:val="EndNote Bibliography Title"/>
    <w:basedOn w:val="Normal"/>
    <w:link w:val="EndNoteBibliographyTitleChar"/>
    <w:rsid w:val="005C5929"/>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5C5929"/>
    <w:rPr>
      <w:rFonts w:ascii="Cambria" w:hAnsi="Cambria"/>
      <w:noProof/>
    </w:rPr>
  </w:style>
  <w:style w:type="paragraph" w:customStyle="1" w:styleId="EndNoteBibliography">
    <w:name w:val="EndNote Bibliography"/>
    <w:basedOn w:val="Normal"/>
    <w:link w:val="EndNoteBibliographyChar"/>
    <w:rsid w:val="005C5929"/>
    <w:pPr>
      <w:spacing w:line="240" w:lineRule="auto"/>
    </w:pPr>
    <w:rPr>
      <w:rFonts w:ascii="Cambria" w:hAnsi="Cambria"/>
      <w:noProof/>
    </w:rPr>
  </w:style>
  <w:style w:type="character" w:customStyle="1" w:styleId="EndNoteBibliographyChar">
    <w:name w:val="EndNote Bibliography Char"/>
    <w:basedOn w:val="DefaultParagraphFont"/>
    <w:link w:val="EndNoteBibliography"/>
    <w:rsid w:val="005C5929"/>
    <w:rPr>
      <w:rFonts w:ascii="Cambria" w:hAnsi="Cambria"/>
      <w:noProof/>
    </w:rPr>
  </w:style>
  <w:style w:type="table" w:customStyle="1" w:styleId="GridTable1Light">
    <w:name w:val="Grid Table 1 Light"/>
    <w:basedOn w:val="TableNormal"/>
    <w:uiPriority w:val="46"/>
    <w:rsid w:val="00F849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customStyle="1" w:styleId="EndNoteBibliographyTitle">
    <w:name w:val="EndNote Bibliography Title"/>
    <w:basedOn w:val="Normal"/>
    <w:link w:val="EndNoteBibliographyTitleChar"/>
    <w:rsid w:val="005C5929"/>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5C5929"/>
    <w:rPr>
      <w:rFonts w:ascii="Cambria" w:hAnsi="Cambria"/>
      <w:noProof/>
    </w:rPr>
  </w:style>
  <w:style w:type="paragraph" w:customStyle="1" w:styleId="EndNoteBibliography">
    <w:name w:val="EndNote Bibliography"/>
    <w:basedOn w:val="Normal"/>
    <w:link w:val="EndNoteBibliographyChar"/>
    <w:rsid w:val="005C5929"/>
    <w:pPr>
      <w:spacing w:line="240" w:lineRule="auto"/>
    </w:pPr>
    <w:rPr>
      <w:rFonts w:ascii="Cambria" w:hAnsi="Cambria"/>
      <w:noProof/>
    </w:rPr>
  </w:style>
  <w:style w:type="character" w:customStyle="1" w:styleId="EndNoteBibliographyChar">
    <w:name w:val="EndNote Bibliography Char"/>
    <w:basedOn w:val="DefaultParagraphFont"/>
    <w:link w:val="EndNoteBibliography"/>
    <w:rsid w:val="005C5929"/>
    <w:rPr>
      <w:rFonts w:ascii="Cambria" w:hAnsi="Cambria"/>
      <w:noProof/>
    </w:rPr>
  </w:style>
  <w:style w:type="table" w:customStyle="1" w:styleId="GridTable1Light">
    <w:name w:val="Grid Table 1 Light"/>
    <w:basedOn w:val="TableNormal"/>
    <w:uiPriority w:val="46"/>
    <w:rsid w:val="00F849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0451">
      <w:bodyDiv w:val="1"/>
      <w:marLeft w:val="0"/>
      <w:marRight w:val="0"/>
      <w:marTop w:val="0"/>
      <w:marBottom w:val="0"/>
      <w:divBdr>
        <w:top w:val="none" w:sz="0" w:space="0" w:color="auto"/>
        <w:left w:val="none" w:sz="0" w:space="0" w:color="auto"/>
        <w:bottom w:val="none" w:sz="0" w:space="0" w:color="auto"/>
        <w:right w:val="none" w:sz="0" w:space="0" w:color="auto"/>
      </w:divBdr>
    </w:div>
    <w:div w:id="104197459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accho.org/programs/public-health-preparedn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cdc.gov/phpr/readiness/mcm.html"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dc.gov/nphpsp/essentialser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Url xmlns="b5c0ca00-073d-4463-9985-b654f14791fe">
      <Url>https://esp.cdc.gov/sites/ostlts/pip/osc/_layouts/15/DocIdRedir.aspx?ID=OSTLTSDOC-726-192</Url>
      <Description>OSTLTSDOC-726-192</Description>
    </_dlc_DocIdUrl>
    <_dlc_DocId xmlns="b5c0ca00-073d-4463-9985-b654f14791fe">OSTLTSDOC-726-192</_dlc_DocId>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documentManagement>
</p:properties>
</file>

<file path=customXml/item4.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966B5-C4A9-411D-A196-D065AE530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A7AD5-886D-477E-8175-FFC2310B71D7}">
  <ds:schemaRefs>
    <ds:schemaRef ds:uri="http://schemas.microsoft.com/sharepoint/events"/>
  </ds:schemaRefs>
</ds:datastoreItem>
</file>

<file path=customXml/itemProps3.xml><?xml version="1.0" encoding="utf-8"?>
<ds:datastoreItem xmlns:ds="http://schemas.openxmlformats.org/officeDocument/2006/customXml" ds:itemID="{F5CEDADD-5C71-4342-A144-5B4695F9AB52}">
  <ds:schemaRefs>
    <ds:schemaRef ds:uri="15b1c282-9287-45cb-9b41-eae3a76919a0"/>
    <ds:schemaRef ds:uri="http://purl.org/dc/terms/"/>
    <ds:schemaRef ds:uri="http://schemas.openxmlformats.org/package/2006/metadata/core-properties"/>
    <ds:schemaRef ds:uri="http://schemas.microsoft.com/office/2006/documentManagement/types"/>
    <ds:schemaRef ds:uri="b5c0ca00-073d-4463-9985-b654f14791fe"/>
    <ds:schemaRef ds:uri="http://schemas.microsoft.com/office/infopath/2007/PartnerControls"/>
    <ds:schemaRef ds:uri="http://purl.org/dc/elements/1.1/"/>
    <ds:schemaRef ds:uri="http://schemas.microsoft.com/office/2006/metadata/properties"/>
    <ds:schemaRef ds:uri="ce849d94-b00b-4457-8fdf-7e9e81e05b5e"/>
    <ds:schemaRef ds:uri="bd99c180-279b-44c3-9486-dd050336677e"/>
    <ds:schemaRef ds:uri="http://www.w3.org/XML/1998/namespace"/>
    <ds:schemaRef ds:uri="http://purl.org/dc/dcmitype/"/>
  </ds:schemaRefs>
</ds:datastoreItem>
</file>

<file path=customXml/itemProps4.xml><?xml version="1.0" encoding="utf-8"?>
<ds:datastoreItem xmlns:ds="http://schemas.openxmlformats.org/officeDocument/2006/customXml" ds:itemID="{1C5AE3DE-268A-4083-9BA3-E5147A662E9F}">
  <ds:schemaRefs>
    <ds:schemaRef ds:uri="http://schemas.microsoft.com/office/2006/metadata/customXsn"/>
  </ds:schemaRefs>
</ds:datastoreItem>
</file>

<file path=customXml/itemProps5.xml><?xml version="1.0" encoding="utf-8"?>
<ds:datastoreItem xmlns:ds="http://schemas.openxmlformats.org/officeDocument/2006/customXml" ds:itemID="{08C9226D-EBB3-49F0-9A53-D761EED18C40}">
  <ds:schemaRefs>
    <ds:schemaRef ds:uri="http://schemas.microsoft.com/sharepoint/v3/contenttype/forms"/>
  </ds:schemaRefs>
</ds:datastoreItem>
</file>

<file path=customXml/itemProps6.xml><?xml version="1.0" encoding="utf-8"?>
<ds:datastoreItem xmlns:ds="http://schemas.openxmlformats.org/officeDocument/2006/customXml" ds:itemID="{A80FA643-50A4-44D4-8D10-54AA05AE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6344</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Cathcart, Laura (CDC/OPHPR/DSLR)</dc:creator>
  <cp:lastModifiedBy>SYSTEM</cp:lastModifiedBy>
  <cp:revision>2</cp:revision>
  <cp:lastPrinted>2011-06-07T15:53:00Z</cp:lastPrinted>
  <dcterms:created xsi:type="dcterms:W3CDTF">2018-05-24T13:05:00Z</dcterms:created>
  <dcterms:modified xsi:type="dcterms:W3CDTF">2018-05-24T13:05:00Z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a210f905-d3e0-4d40-9a6b-8d6de7381881</vt:lpwstr>
  </property>
</Properties>
</file>