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EC22" w14:textId="7FBAD8FA" w:rsidR="007B7A47" w:rsidRDefault="007B7A47" w:rsidP="007B7A47">
      <w:pPr>
        <w:ind w:left="0"/>
      </w:pPr>
      <w:bookmarkStart w:id="0" w:name="_GoBack"/>
      <w:bookmarkEnd w:id="0"/>
    </w:p>
    <w:p w14:paraId="51D19FAC" w14:textId="14F1D50D" w:rsidR="009B4A51" w:rsidRDefault="009B4A51" w:rsidP="00BC6896"/>
    <w:p w14:paraId="3674762D" w14:textId="61A37D60" w:rsidR="009B4A51" w:rsidRDefault="009B4A51" w:rsidP="00BC6896"/>
    <w:p w14:paraId="2CE66927" w14:textId="6DE9A7DD" w:rsidR="009B4A51" w:rsidRPr="007B7A47" w:rsidRDefault="009B4A51" w:rsidP="00BC6896"/>
    <w:p w14:paraId="1E5CB79D" w14:textId="6E34816E" w:rsidR="00716F94" w:rsidRPr="007B7A47" w:rsidRDefault="00663D65" w:rsidP="00BC6896">
      <w:pPr>
        <w:pStyle w:val="Heading1"/>
      </w:pPr>
      <w:r w:rsidRPr="007B7A47">
        <w:t>Improving Public H</w:t>
      </w:r>
      <w:r w:rsidR="00691031" w:rsidRPr="007B7A47">
        <w:t>e</w:t>
      </w:r>
      <w:r w:rsidRPr="007B7A47">
        <w:t>alth Preparedness and Response to Drought through the Assessment of Current Knowledge, Practices, and Gaps</w:t>
      </w:r>
    </w:p>
    <w:p w14:paraId="65FCCF95" w14:textId="73025ECF" w:rsidR="00AA3192" w:rsidRDefault="00AA3192" w:rsidP="00BC6896"/>
    <w:p w14:paraId="3CFC23D6" w14:textId="377ECCEE" w:rsidR="007B7A47" w:rsidRDefault="007B7A47" w:rsidP="00BC6896"/>
    <w:p w14:paraId="1688A878" w14:textId="77777777" w:rsidR="007B7A47" w:rsidRDefault="007B7A47" w:rsidP="00BC6896"/>
    <w:p w14:paraId="2EB48742" w14:textId="6E106B0B" w:rsidR="00716F94" w:rsidRPr="00AA3192" w:rsidRDefault="00484011" w:rsidP="00BC6896">
      <w:pPr>
        <w:ind w:left="0"/>
        <w:jc w:val="center"/>
      </w:pPr>
      <w:r w:rsidRPr="00AA3192">
        <w:t xml:space="preserve">OSTLTS Generic </w:t>
      </w:r>
      <w:r w:rsidR="00487E55">
        <w:t>Data collection</w:t>
      </w:r>
      <w:r w:rsidRPr="00AA3192">
        <w:t xml:space="preserve"> Request</w:t>
      </w:r>
    </w:p>
    <w:p w14:paraId="5EB5B9AE" w14:textId="77777777" w:rsidR="00484011" w:rsidRPr="00AA3192" w:rsidRDefault="00484011" w:rsidP="00BC6896">
      <w:pPr>
        <w:pStyle w:val="Header"/>
        <w:ind w:left="0"/>
        <w:jc w:val="center"/>
      </w:pPr>
      <w:r w:rsidRPr="00AA3192">
        <w:t>OMB No. 0920-0879</w:t>
      </w:r>
    </w:p>
    <w:p w14:paraId="7CA125B8" w14:textId="283AC7F4" w:rsidR="009B4A51" w:rsidRDefault="009B4A51" w:rsidP="00BC6896"/>
    <w:p w14:paraId="7215AF08" w14:textId="21F4EE1C" w:rsidR="007B7A47" w:rsidRDefault="007B7A47" w:rsidP="00BC6896"/>
    <w:p w14:paraId="4C5F7C2B" w14:textId="77777777" w:rsidR="007B7A47" w:rsidRDefault="007B7A47" w:rsidP="00BC6896"/>
    <w:p w14:paraId="764247A8" w14:textId="77777777" w:rsidR="00AA3192" w:rsidRDefault="00AA3192" w:rsidP="00BC6896"/>
    <w:p w14:paraId="67C3F948" w14:textId="77777777" w:rsidR="009B4A51" w:rsidRPr="00BC6896" w:rsidRDefault="009B4A51" w:rsidP="00BC6896">
      <w:pPr>
        <w:pStyle w:val="Heading2"/>
      </w:pPr>
      <w:r w:rsidRPr="00BC6896">
        <w:t xml:space="preserve">Supporting Statement – Section </w:t>
      </w:r>
      <w:r w:rsidR="00601392" w:rsidRPr="00BC6896">
        <w:t>B</w:t>
      </w:r>
    </w:p>
    <w:p w14:paraId="643F25BB" w14:textId="70CA904A" w:rsidR="009B4A51" w:rsidRDefault="009B4A51" w:rsidP="00BC6896"/>
    <w:p w14:paraId="260E4C0A" w14:textId="77777777" w:rsidR="007B7A47" w:rsidRDefault="007B7A47" w:rsidP="00BC6896"/>
    <w:p w14:paraId="031B1731" w14:textId="4A8CE94D" w:rsidR="009B4A51" w:rsidRPr="007377A5" w:rsidRDefault="009B4A51" w:rsidP="00BC6896">
      <w:pPr>
        <w:ind w:left="0"/>
        <w:jc w:val="center"/>
        <w:rPr>
          <w:color w:val="00A4DE"/>
        </w:rPr>
      </w:pPr>
      <w:r w:rsidRPr="00AA3192">
        <w:t xml:space="preserve">Submitted: </w:t>
      </w:r>
      <w:r w:rsidR="00127290">
        <w:t>August 10</w:t>
      </w:r>
      <w:r w:rsidR="00127290" w:rsidRPr="00127290">
        <w:rPr>
          <w:vertAlign w:val="superscript"/>
        </w:rPr>
        <w:t>th</w:t>
      </w:r>
      <w:r w:rsidR="00127290">
        <w:t>, 2018</w:t>
      </w:r>
    </w:p>
    <w:p w14:paraId="415560A8" w14:textId="77777777" w:rsidR="009B4A51" w:rsidRDefault="009B4A51" w:rsidP="00BC6896"/>
    <w:p w14:paraId="0369ED2C" w14:textId="77777777" w:rsidR="009B4A51" w:rsidRDefault="009B4A51" w:rsidP="00BC6896"/>
    <w:p w14:paraId="11BC56D4" w14:textId="77777777" w:rsidR="009B4A51" w:rsidRDefault="009B4A51" w:rsidP="00BC6896"/>
    <w:p w14:paraId="7D9EECF2" w14:textId="77777777" w:rsidR="00A81BF7" w:rsidRPr="00BC6896" w:rsidRDefault="00A81BF7" w:rsidP="00A81BF7">
      <w:pPr>
        <w:ind w:left="0"/>
        <w:rPr>
          <w:b/>
          <w:u w:val="single"/>
        </w:rPr>
      </w:pPr>
      <w:r w:rsidRPr="00BC6896">
        <w:rPr>
          <w:b/>
          <w:u w:val="single"/>
        </w:rPr>
        <w:t>Program Official/Project Officer</w:t>
      </w:r>
    </w:p>
    <w:p w14:paraId="73E907CC" w14:textId="77777777" w:rsidR="007E791B" w:rsidRPr="007B7A47" w:rsidRDefault="007E791B" w:rsidP="007E791B">
      <w:pPr>
        <w:tabs>
          <w:tab w:val="right" w:pos="9360"/>
        </w:tabs>
        <w:ind w:left="0"/>
      </w:pPr>
      <w:r w:rsidRPr="007B7A47">
        <w:t>Angela Salazar</w:t>
      </w:r>
    </w:p>
    <w:p w14:paraId="4DDD0449" w14:textId="77777777" w:rsidR="007E791B" w:rsidRPr="007B7A47" w:rsidRDefault="007E791B" w:rsidP="007E791B">
      <w:pPr>
        <w:tabs>
          <w:tab w:val="right" w:pos="9360"/>
        </w:tabs>
        <w:ind w:left="0"/>
      </w:pPr>
      <w:r w:rsidRPr="007B7A47">
        <w:t>Public Health Advisor</w:t>
      </w:r>
    </w:p>
    <w:p w14:paraId="32FA4301" w14:textId="77777777" w:rsidR="007E791B" w:rsidRPr="007B7A47" w:rsidRDefault="007E791B" w:rsidP="007E791B">
      <w:pPr>
        <w:tabs>
          <w:tab w:val="right" w:pos="9360"/>
        </w:tabs>
        <w:ind w:left="0"/>
      </w:pPr>
      <w:r w:rsidRPr="007B7A47">
        <w:t>National Center for Environmental Health</w:t>
      </w:r>
    </w:p>
    <w:p w14:paraId="45E95913" w14:textId="77777777" w:rsidR="007E791B" w:rsidRPr="007B7A47" w:rsidRDefault="007E791B" w:rsidP="007E791B">
      <w:pPr>
        <w:tabs>
          <w:tab w:val="right" w:pos="9360"/>
        </w:tabs>
        <w:ind w:left="0"/>
      </w:pPr>
      <w:r w:rsidRPr="007B7A47">
        <w:t>4770 Buford Highway NE MS F60</w:t>
      </w:r>
    </w:p>
    <w:p w14:paraId="240B1455" w14:textId="77777777" w:rsidR="007E791B" w:rsidRPr="007B7A47" w:rsidRDefault="007E791B" w:rsidP="007E791B">
      <w:pPr>
        <w:tabs>
          <w:tab w:val="right" w:pos="9360"/>
        </w:tabs>
        <w:ind w:left="0"/>
      </w:pPr>
      <w:r w:rsidRPr="007B7A47">
        <w:t>Atlanta, GA  30341</w:t>
      </w:r>
    </w:p>
    <w:p w14:paraId="5817BFF8" w14:textId="77777777" w:rsidR="007E791B" w:rsidRPr="007B7A47" w:rsidRDefault="007E791B" w:rsidP="007E791B">
      <w:pPr>
        <w:tabs>
          <w:tab w:val="right" w:pos="9360"/>
        </w:tabs>
        <w:ind w:left="0"/>
      </w:pPr>
      <w:r w:rsidRPr="007B7A47">
        <w:t>770.488.3949 (o)</w:t>
      </w:r>
    </w:p>
    <w:p w14:paraId="222C64B0" w14:textId="77777777" w:rsidR="007E791B" w:rsidRPr="007B7A47" w:rsidRDefault="007E791B" w:rsidP="007E791B">
      <w:pPr>
        <w:tabs>
          <w:tab w:val="right" w:pos="9360"/>
        </w:tabs>
        <w:ind w:left="0"/>
      </w:pPr>
      <w:r w:rsidRPr="007B7A47">
        <w:t>770.488.3410 (f)</w:t>
      </w:r>
    </w:p>
    <w:p w14:paraId="1C1F7461" w14:textId="2710397E" w:rsidR="007E791B" w:rsidRPr="007B7A47" w:rsidRDefault="00725852" w:rsidP="007E791B">
      <w:pPr>
        <w:tabs>
          <w:tab w:val="right" w:pos="9360"/>
        </w:tabs>
        <w:ind w:left="0"/>
      </w:pPr>
      <w:hyperlink r:id="rId14" w:history="1">
        <w:r w:rsidR="00127290" w:rsidRPr="00987AE2">
          <w:rPr>
            <w:rStyle w:val="Hyperlink"/>
          </w:rPr>
          <w:t>aos9@cdc.gov</w:t>
        </w:r>
      </w:hyperlink>
      <w:r w:rsidR="00127290">
        <w:t xml:space="preserve"> </w:t>
      </w:r>
    </w:p>
    <w:p w14:paraId="52A3C4F0" w14:textId="77777777" w:rsidR="00691031" w:rsidRDefault="00691031" w:rsidP="00BC6896">
      <w:pPr>
        <w:ind w:left="0"/>
        <w:rPr>
          <w:color w:val="0070C0"/>
        </w:rPr>
      </w:pPr>
    </w:p>
    <w:p w14:paraId="6FC715CF" w14:textId="77777777" w:rsidR="00691031" w:rsidRDefault="00691031" w:rsidP="00BC6896">
      <w:pPr>
        <w:ind w:left="0"/>
        <w:rPr>
          <w:color w:val="0070C0"/>
        </w:rPr>
      </w:pPr>
    </w:p>
    <w:p w14:paraId="439C923F" w14:textId="77777777" w:rsidR="00691031" w:rsidRDefault="00691031" w:rsidP="00BC6896">
      <w:pPr>
        <w:ind w:left="0"/>
        <w:rPr>
          <w:color w:val="0070C0"/>
        </w:rPr>
      </w:pPr>
    </w:p>
    <w:p w14:paraId="72E59235" w14:textId="7D718A6D" w:rsidR="00EC45F0" w:rsidRDefault="00EC45F0" w:rsidP="00BC6896">
      <w:pPr>
        <w:ind w:left="0"/>
        <w:rPr>
          <w:color w:val="0070C0"/>
        </w:rPr>
      </w:pPr>
    </w:p>
    <w:p w14:paraId="07D87FE5" w14:textId="36AA2BDB" w:rsidR="007B7A47" w:rsidRDefault="007B7A47" w:rsidP="00BC6896">
      <w:pPr>
        <w:ind w:left="0"/>
        <w:rPr>
          <w:color w:val="0070C0"/>
        </w:rPr>
      </w:pPr>
    </w:p>
    <w:p w14:paraId="3961357E" w14:textId="77777777" w:rsidR="007B7A47" w:rsidRDefault="007B7A47" w:rsidP="00BC6896">
      <w:pPr>
        <w:ind w:left="0"/>
        <w:rPr>
          <w:color w:val="0070C0"/>
        </w:rPr>
      </w:pPr>
    </w:p>
    <w:p w14:paraId="6C26DF22" w14:textId="77777777" w:rsidR="00EC45F0" w:rsidRDefault="00EC45F0" w:rsidP="00BC6896">
      <w:pPr>
        <w:ind w:left="0"/>
        <w:rPr>
          <w:color w:val="0070C0"/>
        </w:rPr>
      </w:pPr>
    </w:p>
    <w:p w14:paraId="2A4AFA23" w14:textId="77777777" w:rsidR="00EC45F0" w:rsidRPr="0042604A" w:rsidRDefault="00EC45F0" w:rsidP="00BC6896">
      <w:pPr>
        <w:ind w:left="0"/>
        <w:rPr>
          <w:color w:val="0070C0"/>
        </w:rPr>
      </w:pPr>
    </w:p>
    <w:p w14:paraId="6B5884A0" w14:textId="77777777" w:rsidR="00245F1F" w:rsidRPr="000A538D" w:rsidRDefault="00245F1F" w:rsidP="00BC6896">
      <w:pPr>
        <w:pStyle w:val="Heading3"/>
      </w:pPr>
      <w:bookmarkStart w:id="1" w:name="_Toc413847909"/>
      <w:r>
        <w:lastRenderedPageBreak/>
        <w:t>Table of Contents</w:t>
      </w:r>
      <w:bookmarkEnd w:id="1"/>
    </w:p>
    <w:p w14:paraId="3DE4D30E" w14:textId="2D627480"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0E818D57" w14:textId="3FF5C41B" w:rsidR="00245F1F" w:rsidRPr="000A538D" w:rsidRDefault="00725852">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487E55" w:rsidRPr="000A538D">
          <w:rPr>
            <w:rStyle w:val="Hyperlink"/>
            <w:noProof/>
            <w:color w:val="auto"/>
          </w:rPr>
          <w:t>Data collection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B828CA">
          <w:rPr>
            <w:noProof/>
            <w:webHidden/>
          </w:rPr>
          <w:t>3</w:t>
        </w:r>
        <w:r w:rsidR="00245F1F" w:rsidRPr="000A538D">
          <w:rPr>
            <w:noProof/>
            <w:webHidden/>
          </w:rPr>
          <w:fldChar w:fldCharType="end"/>
        </w:r>
      </w:hyperlink>
    </w:p>
    <w:p w14:paraId="1B180080" w14:textId="59257024" w:rsidR="00245F1F" w:rsidRPr="000A538D" w:rsidRDefault="00725852"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B828CA">
          <w:rPr>
            <w:noProof/>
            <w:webHidden/>
          </w:rPr>
          <w:t>3</w:t>
        </w:r>
        <w:r w:rsidR="00245F1F" w:rsidRPr="000A538D">
          <w:rPr>
            <w:noProof/>
            <w:webHidden/>
          </w:rPr>
          <w:fldChar w:fldCharType="end"/>
        </w:r>
      </w:hyperlink>
    </w:p>
    <w:p w14:paraId="02D7E354" w14:textId="5994EDF8" w:rsidR="00245F1F" w:rsidRPr="000A538D" w:rsidRDefault="00725852"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B828CA">
          <w:rPr>
            <w:noProof/>
            <w:webHidden/>
          </w:rPr>
          <w:t>3</w:t>
        </w:r>
        <w:r w:rsidR="00245F1F" w:rsidRPr="000A538D">
          <w:rPr>
            <w:noProof/>
            <w:webHidden/>
          </w:rPr>
          <w:fldChar w:fldCharType="end"/>
        </w:r>
      </w:hyperlink>
    </w:p>
    <w:p w14:paraId="2F38C32A" w14:textId="095AD8F5" w:rsidR="00245F1F" w:rsidRPr="000A538D" w:rsidRDefault="00725852"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B828CA">
          <w:rPr>
            <w:noProof/>
            <w:webHidden/>
          </w:rPr>
          <w:t>4</w:t>
        </w:r>
        <w:r w:rsidR="00245F1F" w:rsidRPr="000A538D">
          <w:rPr>
            <w:noProof/>
            <w:webHidden/>
          </w:rPr>
          <w:fldChar w:fldCharType="end"/>
        </w:r>
      </w:hyperlink>
    </w:p>
    <w:p w14:paraId="2FA3FE33" w14:textId="66913836" w:rsidR="00245F1F" w:rsidRPr="000A538D" w:rsidRDefault="00725852"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B828CA">
          <w:rPr>
            <w:noProof/>
            <w:webHidden/>
          </w:rPr>
          <w:t>4</w:t>
        </w:r>
        <w:r w:rsidR="00245F1F" w:rsidRPr="000A538D">
          <w:rPr>
            <w:noProof/>
            <w:webHidden/>
          </w:rPr>
          <w:fldChar w:fldCharType="end"/>
        </w:r>
      </w:hyperlink>
    </w:p>
    <w:p w14:paraId="415BB023" w14:textId="17803547" w:rsidR="00245F1F" w:rsidRPr="000A538D" w:rsidRDefault="00725852"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B828CA">
          <w:rPr>
            <w:noProof/>
            <w:webHidden/>
          </w:rPr>
          <w:t>4</w:t>
        </w:r>
        <w:r w:rsidR="00245F1F" w:rsidRPr="000A538D">
          <w:rPr>
            <w:noProof/>
            <w:webHidden/>
          </w:rPr>
          <w:fldChar w:fldCharType="end"/>
        </w:r>
      </w:hyperlink>
    </w:p>
    <w:p w14:paraId="7580FEBC" w14:textId="105A5454" w:rsidR="00245F1F" w:rsidRPr="000A538D" w:rsidRDefault="00725852">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B828CA">
          <w:rPr>
            <w:noProof/>
            <w:webHidden/>
          </w:rPr>
          <w:t>5</w:t>
        </w:r>
        <w:r w:rsidR="00245F1F" w:rsidRPr="000A538D">
          <w:rPr>
            <w:noProof/>
            <w:webHidden/>
          </w:rPr>
          <w:fldChar w:fldCharType="end"/>
        </w:r>
      </w:hyperlink>
    </w:p>
    <w:p w14:paraId="70B97232" w14:textId="77777777" w:rsidR="00245F1F" w:rsidRDefault="00245F1F" w:rsidP="00BC6896">
      <w:pPr>
        <w:pStyle w:val="Heading3"/>
      </w:pPr>
      <w:r w:rsidRPr="000A538D">
        <w:fldChar w:fldCharType="end"/>
      </w:r>
    </w:p>
    <w:p w14:paraId="155EEAC4" w14:textId="72F71C4C" w:rsidR="00245F1F" w:rsidRDefault="00245F1F">
      <w:pPr>
        <w:spacing w:after="200"/>
        <w:ind w:left="0"/>
        <w:rPr>
          <w:b/>
          <w:sz w:val="28"/>
        </w:rPr>
      </w:pPr>
      <w:bookmarkStart w:id="2" w:name="_Toc413847910"/>
      <w:r>
        <w:br w:type="page"/>
      </w:r>
    </w:p>
    <w:p w14:paraId="75612BC1" w14:textId="3F4D1465" w:rsidR="00B12F51" w:rsidRPr="00BC6896" w:rsidRDefault="00B12F51" w:rsidP="00BC6896">
      <w:pPr>
        <w:pStyle w:val="Heading3"/>
      </w:pPr>
      <w:r w:rsidRPr="00BC6896">
        <w:lastRenderedPageBreak/>
        <w:t xml:space="preserve">Section B – </w:t>
      </w:r>
      <w:r w:rsidR="00487E55">
        <w:t>Data collection</w:t>
      </w:r>
      <w:r w:rsidR="00287E2F" w:rsidRPr="00BC6896">
        <w:t xml:space="preserve"> Procedures</w:t>
      </w:r>
      <w:bookmarkEnd w:id="2"/>
    </w:p>
    <w:p w14:paraId="2BD8810D" w14:textId="77777777" w:rsidR="00287E2F" w:rsidRDefault="00287E2F" w:rsidP="002955E6">
      <w:pPr>
        <w:spacing w:line="240" w:lineRule="auto"/>
      </w:pPr>
    </w:p>
    <w:p w14:paraId="2BDBA5F7" w14:textId="0FB26171" w:rsidR="00A75D1C" w:rsidRPr="00BC6896" w:rsidRDefault="009759F3" w:rsidP="002955E6">
      <w:pPr>
        <w:pStyle w:val="Heading4"/>
        <w:spacing w:after="0" w:line="240" w:lineRule="auto"/>
      </w:pPr>
      <w:bookmarkStart w:id="3" w:name="_Toc413847911"/>
      <w:r w:rsidRPr="00BC6896">
        <w:t xml:space="preserve">Respondent </w:t>
      </w:r>
      <w:r w:rsidR="00DE2D45">
        <w:t>Uni</w:t>
      </w:r>
      <w:r w:rsidR="001960AE" w:rsidRPr="00BC6896">
        <w:t xml:space="preserve">verse and </w:t>
      </w:r>
      <w:r w:rsidR="001960AE" w:rsidRPr="00991BF9">
        <w:t>Sampling</w:t>
      </w:r>
      <w:r w:rsidR="001960AE" w:rsidRPr="00BC6896">
        <w:t xml:space="preserve"> Methods </w:t>
      </w:r>
      <w:bookmarkEnd w:id="3"/>
    </w:p>
    <w:p w14:paraId="67F70FD0" w14:textId="77777777" w:rsidR="002955E6" w:rsidRDefault="002955E6" w:rsidP="002955E6">
      <w:pPr>
        <w:spacing w:line="240" w:lineRule="auto"/>
        <w:ind w:left="360"/>
        <w:rPr>
          <w:b/>
          <w:color w:val="0070C0"/>
        </w:rPr>
      </w:pPr>
    </w:p>
    <w:p w14:paraId="3AC081AD" w14:textId="663F8B8D" w:rsidR="00663D65" w:rsidRDefault="00892478" w:rsidP="00663D65">
      <w:pPr>
        <w:ind w:left="0"/>
      </w:pPr>
      <w:r w:rsidRPr="00DA4BA1">
        <w:t xml:space="preserve">Data will be collected from </w:t>
      </w:r>
      <w:r>
        <w:t>3</w:t>
      </w:r>
      <w:r w:rsidR="00E87343">
        <w:t>,</w:t>
      </w:r>
      <w:r>
        <w:t>440</w:t>
      </w:r>
      <w:r w:rsidRPr="00DA4BA1">
        <w:t xml:space="preserve"> </w:t>
      </w:r>
      <w:r>
        <w:t xml:space="preserve">(50 state, 3000 local, 380 tribal, and 10 territorial) </w:t>
      </w:r>
      <w:r w:rsidRPr="00DA4BA1">
        <w:t>health departments.</w:t>
      </w:r>
      <w:r w:rsidR="00663D65">
        <w:t xml:space="preserve"> </w:t>
      </w:r>
      <w:r w:rsidR="00726DE7">
        <w:t>Participants</w:t>
      </w:r>
      <w:r w:rsidR="00663D65">
        <w:t xml:space="preserve"> will include individuals </w:t>
      </w:r>
      <w:r w:rsidR="00286F8B">
        <w:t>designated as “preparedness coordinators”</w:t>
      </w:r>
      <w:r w:rsidR="00663D65">
        <w:t xml:space="preserve"> within their agencies.</w:t>
      </w:r>
      <w:r w:rsidR="00286F8B">
        <w:t xml:space="preserve"> These individuals will be identified by working with partner organizations (e.g., Association of State and Territorial Health Officials, National Association of County and City Health Officials) or through regional CDC staff.</w:t>
      </w:r>
    </w:p>
    <w:p w14:paraId="063BAD6E" w14:textId="77777777" w:rsidR="00663D65" w:rsidRDefault="00663D65" w:rsidP="00663D65">
      <w:pPr>
        <w:ind w:left="0"/>
      </w:pPr>
    </w:p>
    <w:p w14:paraId="66C03CF5" w14:textId="79AD4FEA" w:rsidR="004D70EE" w:rsidRPr="007377A5" w:rsidRDefault="00663D65" w:rsidP="007377A5">
      <w:pPr>
        <w:ind w:left="0"/>
      </w:pPr>
      <w:r>
        <w:t>Sampling methods will not be used, as the entire universe of U.S. STLT</w:t>
      </w:r>
      <w:r w:rsidR="00180364">
        <w:t xml:space="preserve"> health department</w:t>
      </w:r>
      <w:r>
        <w:t>s will be included in this collection.</w:t>
      </w:r>
      <w:r w:rsidR="00BF67C0">
        <w:t xml:space="preserve"> We have chosen not to sample for several reasons, including a lack of existing data on this topic, a lack of knowledge about innovative practices (which may be missed if we sampled), and widely differing health department structures/operations across different STLTs.</w:t>
      </w:r>
    </w:p>
    <w:p w14:paraId="16B82430" w14:textId="77777777" w:rsidR="00F52BCC" w:rsidRDefault="00F52BCC" w:rsidP="002955E6">
      <w:pPr>
        <w:spacing w:line="240" w:lineRule="auto"/>
        <w:ind w:left="360"/>
      </w:pPr>
    </w:p>
    <w:p w14:paraId="315101AE" w14:textId="77777777" w:rsidR="00287E2F" w:rsidRPr="009759F3" w:rsidRDefault="00287E2F" w:rsidP="002955E6">
      <w:pPr>
        <w:pStyle w:val="Heading4"/>
        <w:spacing w:after="0" w:line="240" w:lineRule="auto"/>
      </w:pPr>
      <w:bookmarkStart w:id="4" w:name="_Toc413847912"/>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260C996C" w14:textId="77777777" w:rsidR="001D461D" w:rsidRDefault="001D461D" w:rsidP="002955E6">
      <w:pPr>
        <w:spacing w:line="240" w:lineRule="auto"/>
        <w:ind w:left="360"/>
      </w:pPr>
    </w:p>
    <w:p w14:paraId="71219EF4" w14:textId="7234EAB8" w:rsidR="00E33BBA" w:rsidRPr="009011A8" w:rsidRDefault="00E33BBA" w:rsidP="00365EF5">
      <w:pPr>
        <w:ind w:left="0"/>
      </w:pPr>
      <w:r>
        <w:t>D</w:t>
      </w:r>
      <w:r w:rsidRPr="003163A2">
        <w:t xml:space="preserve">ata will be collected </w:t>
      </w:r>
      <w:r>
        <w:t xml:space="preserve">via </w:t>
      </w:r>
      <w:r w:rsidR="00B14E37">
        <w:t>online</w:t>
      </w:r>
      <w:r w:rsidR="00635692" w:rsidRPr="00635692">
        <w:t xml:space="preserve"> </w:t>
      </w:r>
      <w:r w:rsidR="003D706A">
        <w:t>assessment</w:t>
      </w:r>
      <w:r w:rsidR="003D706A" w:rsidRPr="00635692">
        <w:t xml:space="preserve"> </w:t>
      </w:r>
      <w:r w:rsidRPr="00635692">
        <w:t xml:space="preserve">and </w:t>
      </w:r>
      <w:r>
        <w:t>respondents</w:t>
      </w:r>
      <w:r w:rsidRPr="003163A2">
        <w:t xml:space="preserve"> will be recruited through a</w:t>
      </w:r>
      <w:r>
        <w:t xml:space="preserve"> notification</w:t>
      </w:r>
      <w:r w:rsidRPr="003163A2">
        <w:t xml:space="preserve"> </w:t>
      </w:r>
      <w:r w:rsidRPr="009011A8">
        <w:t xml:space="preserve">(see </w:t>
      </w:r>
      <w:r w:rsidRPr="007377A5">
        <w:rPr>
          <w:b/>
        </w:rPr>
        <w:t xml:space="preserve">Attachment </w:t>
      </w:r>
      <w:r w:rsidR="00736345" w:rsidRPr="007377A5">
        <w:rPr>
          <w:b/>
        </w:rPr>
        <w:t>C</w:t>
      </w:r>
      <w:r w:rsidRPr="007377A5">
        <w:rPr>
          <w:b/>
        </w:rPr>
        <w:t>—</w:t>
      </w:r>
      <w:r w:rsidR="00F47872" w:rsidRPr="007377A5">
        <w:rPr>
          <w:b/>
        </w:rPr>
        <w:t>Invitation Email</w:t>
      </w:r>
      <w:r w:rsidRPr="009011A8">
        <w:t>)</w:t>
      </w:r>
      <w:r w:rsidRPr="0069580C">
        <w:t xml:space="preserve"> </w:t>
      </w:r>
      <w:r>
        <w:t>to the respondent universe</w:t>
      </w:r>
      <w:r w:rsidRPr="009011A8">
        <w:t xml:space="preserve">.  The notification email will explain: </w:t>
      </w:r>
    </w:p>
    <w:p w14:paraId="31DBDEB8" w14:textId="1EE9F79A" w:rsidR="00E33BBA" w:rsidRDefault="00E33BBA" w:rsidP="00E33BBA">
      <w:pPr>
        <w:pStyle w:val="ListParagraph"/>
        <w:numPr>
          <w:ilvl w:val="0"/>
          <w:numId w:val="24"/>
        </w:numPr>
        <w:ind w:left="1080"/>
      </w:pPr>
      <w:r w:rsidRPr="009011A8">
        <w:t xml:space="preserve">The purpose of the </w:t>
      </w:r>
      <w:r w:rsidR="006C1771">
        <w:t>data collection</w:t>
      </w:r>
      <w:r w:rsidRPr="009011A8">
        <w:t xml:space="preserve">, and why their participation is important </w:t>
      </w:r>
    </w:p>
    <w:p w14:paraId="5AFBF7DB" w14:textId="77777777" w:rsidR="00E33BBA" w:rsidRPr="009011A8" w:rsidRDefault="00E33BBA" w:rsidP="00E33BBA">
      <w:pPr>
        <w:pStyle w:val="ListParagraph"/>
        <w:numPr>
          <w:ilvl w:val="0"/>
          <w:numId w:val="24"/>
        </w:numPr>
        <w:ind w:left="1080"/>
      </w:pPr>
      <w:r>
        <w:t>Instructions for participating</w:t>
      </w:r>
    </w:p>
    <w:p w14:paraId="0F60838C" w14:textId="77777777" w:rsidR="00E33BBA" w:rsidRPr="009011A8" w:rsidRDefault="00E33BBA" w:rsidP="00E33BBA">
      <w:pPr>
        <w:pStyle w:val="ListParagraph"/>
        <w:numPr>
          <w:ilvl w:val="0"/>
          <w:numId w:val="24"/>
        </w:numPr>
        <w:ind w:left="1080"/>
      </w:pPr>
      <w:r w:rsidRPr="009011A8">
        <w:t xml:space="preserve">Method to safeguard their responses </w:t>
      </w:r>
    </w:p>
    <w:p w14:paraId="04A3566C" w14:textId="77777777" w:rsidR="00E33BBA" w:rsidRPr="009011A8" w:rsidRDefault="00E33BBA" w:rsidP="00E33BBA">
      <w:pPr>
        <w:pStyle w:val="ListParagraph"/>
        <w:numPr>
          <w:ilvl w:val="0"/>
          <w:numId w:val="24"/>
        </w:numPr>
        <w:ind w:left="1080"/>
      </w:pPr>
      <w:r w:rsidRPr="009011A8">
        <w:t>That participation is voluntary</w:t>
      </w:r>
    </w:p>
    <w:p w14:paraId="1AA9CF1B" w14:textId="13FB9525" w:rsidR="000279A9" w:rsidRDefault="00E33BBA" w:rsidP="000279A9">
      <w:pPr>
        <w:pStyle w:val="ListParagraph"/>
        <w:numPr>
          <w:ilvl w:val="0"/>
          <w:numId w:val="24"/>
        </w:numPr>
        <w:ind w:left="1080"/>
      </w:pPr>
      <w:r w:rsidRPr="009011A8">
        <w:t xml:space="preserve">The expected time to complete the </w:t>
      </w:r>
      <w:r w:rsidR="006C1771">
        <w:t>instrument</w:t>
      </w:r>
      <w:r w:rsidRPr="009011A8">
        <w:t xml:space="preserve"> </w:t>
      </w:r>
    </w:p>
    <w:p w14:paraId="1617C7CB" w14:textId="421FA2EB" w:rsidR="00691031" w:rsidRDefault="00E33BBA" w:rsidP="000279A9">
      <w:pPr>
        <w:pStyle w:val="ListParagraph"/>
        <w:numPr>
          <w:ilvl w:val="0"/>
          <w:numId w:val="24"/>
        </w:numPr>
        <w:ind w:left="1080"/>
      </w:pPr>
      <w:r w:rsidRPr="009011A8">
        <w:t xml:space="preserve">Contact information for the </w:t>
      </w:r>
      <w:r w:rsidR="006C1771">
        <w:t>project</w:t>
      </w:r>
      <w:r w:rsidRPr="009011A8">
        <w:t xml:space="preserve"> team</w:t>
      </w:r>
    </w:p>
    <w:p w14:paraId="409C569F" w14:textId="77777777" w:rsidR="00691031" w:rsidRDefault="00691031" w:rsidP="00365EF5">
      <w:pPr>
        <w:spacing w:line="240" w:lineRule="auto"/>
        <w:ind w:left="0"/>
      </w:pPr>
    </w:p>
    <w:p w14:paraId="14640F9B" w14:textId="73FEE38C" w:rsidR="00F47872" w:rsidRDefault="00F47872" w:rsidP="007377A5">
      <w:pPr>
        <w:ind w:left="0"/>
      </w:pPr>
      <w:r>
        <w:t xml:space="preserve">The </w:t>
      </w:r>
      <w:r w:rsidRPr="00360BB0">
        <w:t xml:space="preserve">email will </w:t>
      </w:r>
      <w:r w:rsidR="00B14E37">
        <w:t xml:space="preserve">also </w:t>
      </w:r>
      <w:r>
        <w:t xml:space="preserve">include </w:t>
      </w:r>
      <w:r w:rsidRPr="00360BB0">
        <w:t>a link to the</w:t>
      </w:r>
      <w:r>
        <w:t xml:space="preserve"> instrument</w:t>
      </w:r>
      <w:r w:rsidRPr="00360BB0">
        <w:t>.</w:t>
      </w:r>
      <w:r>
        <w:t xml:space="preserve"> </w:t>
      </w:r>
      <w:r w:rsidRPr="00360BB0">
        <w:t xml:space="preserve">Respondents will be asked </w:t>
      </w:r>
      <w:r>
        <w:t xml:space="preserve">to complete the assessment </w:t>
      </w:r>
      <w:r w:rsidRPr="00360BB0">
        <w:t xml:space="preserve">within a </w:t>
      </w:r>
      <w:r w:rsidRPr="00F32AF0">
        <w:t>four-</w:t>
      </w:r>
      <w:r w:rsidRPr="00360BB0">
        <w:t xml:space="preserve">week period. Respondents may complete the assessment in multiple sessions, if necessary. </w:t>
      </w:r>
    </w:p>
    <w:p w14:paraId="5DB75D69" w14:textId="77777777" w:rsidR="00F47872" w:rsidRDefault="00F47872" w:rsidP="007377A5">
      <w:pPr>
        <w:ind w:left="0"/>
      </w:pPr>
    </w:p>
    <w:p w14:paraId="5E877682" w14:textId="214844ED" w:rsidR="00F47872" w:rsidRDefault="00F47872" w:rsidP="007377A5">
      <w:pPr>
        <w:ind w:left="0"/>
      </w:pPr>
      <w:r>
        <w:t>Following the notification email, r</w:t>
      </w:r>
      <w:r w:rsidRPr="00360BB0">
        <w:t xml:space="preserve">eminders will be sent on the </w:t>
      </w:r>
      <w:r w:rsidRPr="00F32AF0">
        <w:t xml:space="preserve">second </w:t>
      </w:r>
      <w:r w:rsidRPr="00360BB0">
        <w:t xml:space="preserve">week to </w:t>
      </w:r>
      <w:r>
        <w:t>those who have not yet responded</w:t>
      </w:r>
      <w:r w:rsidRPr="00360BB0">
        <w:t xml:space="preserve"> to urge them to complete the assessment (</w:t>
      </w:r>
      <w:r w:rsidR="00736345">
        <w:rPr>
          <w:b/>
        </w:rPr>
        <w:t>see Attachment D</w:t>
      </w:r>
      <w:r w:rsidRPr="00360BB0">
        <w:rPr>
          <w:b/>
        </w:rPr>
        <w:t>—Reminder Email</w:t>
      </w:r>
      <w:r w:rsidRPr="00360BB0">
        <w:t>).</w:t>
      </w:r>
      <w:r>
        <w:t xml:space="preserve"> </w:t>
      </w:r>
      <w:r w:rsidRPr="00360BB0">
        <w:t xml:space="preserve">Those who do </w:t>
      </w:r>
      <w:r>
        <w:t xml:space="preserve">not respond to the reminder email within 2 weeks, or </w:t>
      </w:r>
      <w:r w:rsidR="00180364">
        <w:t xml:space="preserve">by </w:t>
      </w:r>
      <w:r>
        <w:t>the end of the 4-week information collection period, will be considered non-responders.</w:t>
      </w:r>
    </w:p>
    <w:p w14:paraId="0DDA529D" w14:textId="77777777" w:rsidR="00F47872" w:rsidRPr="00360BB0" w:rsidRDefault="00F47872" w:rsidP="007377A5">
      <w:pPr>
        <w:ind w:left="0"/>
      </w:pPr>
    </w:p>
    <w:p w14:paraId="5109A1D6" w14:textId="4A68CE64" w:rsidR="00B920E2" w:rsidRDefault="00736345" w:rsidP="007377A5">
      <w:pPr>
        <w:ind w:left="0"/>
      </w:pPr>
      <w:r>
        <w:rPr>
          <w:rFonts w:cs="Arial"/>
        </w:rPr>
        <w:t>Once the 4-week data collection period has closed, respondent data will be downloaded</w:t>
      </w:r>
      <w:r w:rsidR="00B53DA6">
        <w:rPr>
          <w:rFonts w:cs="Arial"/>
        </w:rPr>
        <w:t>,</w:t>
      </w:r>
      <w:r>
        <w:rPr>
          <w:rFonts w:cs="Arial"/>
        </w:rPr>
        <w:t xml:space="preserve"> </w:t>
      </w:r>
      <w:r>
        <w:t>exported to an Excel spreadsheet</w:t>
      </w:r>
      <w:r w:rsidR="00B53DA6">
        <w:t>, and stored in a secure environment maintained by CDC.</w:t>
      </w:r>
      <w:r>
        <w:t xml:space="preserve"> Data will be analyzed using Microsoft Excel and</w:t>
      </w:r>
      <w:r w:rsidR="00B53DA6">
        <w:t>/or</w:t>
      </w:r>
      <w:r>
        <w:t xml:space="preserve"> EpiInfo to create summary reports showing the frequency and counts of responses for each question of the online assessment. Descriptive statistical analyses will be conducted on responses to multiple-choice questions and qualitative analyses on response to open-ended questions</w:t>
      </w:r>
      <w:r w:rsidRPr="00F315F8">
        <w:t>.</w:t>
      </w:r>
      <w:r w:rsidR="00FF2714">
        <w:t xml:space="preserve"> Data collected during the assessment will be shared only in aggregate form.  </w:t>
      </w:r>
    </w:p>
    <w:p w14:paraId="31C2B370" w14:textId="77777777" w:rsidR="00B920E2" w:rsidRDefault="00B920E2" w:rsidP="007377A5">
      <w:pPr>
        <w:ind w:left="0"/>
      </w:pPr>
    </w:p>
    <w:p w14:paraId="2E71A48E" w14:textId="2EA3B0D0" w:rsidR="009759F3" w:rsidRPr="009759F3" w:rsidRDefault="00287E2F" w:rsidP="002955E6">
      <w:pPr>
        <w:pStyle w:val="Heading4"/>
        <w:spacing w:after="0" w:line="240" w:lineRule="auto"/>
      </w:pPr>
      <w:bookmarkStart w:id="5" w:name="_Toc413847913"/>
      <w:r w:rsidRPr="00D26A64">
        <w:t>Methods to Maximize Response Rates</w:t>
      </w:r>
      <w:r w:rsidR="00F725B5">
        <w:t xml:space="preserve"> </w:t>
      </w:r>
      <w:r w:rsidR="009759F3" w:rsidRPr="009759F3">
        <w:t>Deal with Nonresponse</w:t>
      </w:r>
      <w:bookmarkEnd w:id="5"/>
    </w:p>
    <w:p w14:paraId="4AF28A6D" w14:textId="77777777" w:rsidR="001D461D" w:rsidRDefault="001D461D" w:rsidP="002955E6">
      <w:pPr>
        <w:spacing w:line="240" w:lineRule="auto"/>
        <w:ind w:left="360"/>
        <w:rPr>
          <w:b/>
          <w:color w:val="0070C0"/>
        </w:rPr>
      </w:pPr>
    </w:p>
    <w:p w14:paraId="58C2AAA2" w14:textId="17DA5147" w:rsidR="00991BF9" w:rsidRPr="007377A5" w:rsidRDefault="00991BF9" w:rsidP="007377A5">
      <w:pPr>
        <w:pStyle w:val="ListParagraph"/>
        <w:ind w:left="360"/>
        <w:rPr>
          <w:rFonts w:cs="Times New Roman"/>
        </w:rPr>
      </w:pPr>
      <w:r w:rsidRPr="007377A5">
        <w:rPr>
          <w:rFonts w:cs="Times New Roman"/>
        </w:rPr>
        <w:t xml:space="preserve">Although participation in the </w:t>
      </w:r>
      <w:r w:rsidR="00687C5F" w:rsidRPr="007377A5">
        <w:rPr>
          <w:rFonts w:cs="Times New Roman"/>
        </w:rPr>
        <w:t xml:space="preserve">data collection </w:t>
      </w:r>
      <w:r w:rsidRPr="007377A5">
        <w:rPr>
          <w:rFonts w:cs="Times New Roman"/>
        </w:rPr>
        <w:t xml:space="preserve">is voluntary, the </w:t>
      </w:r>
      <w:r w:rsidR="00687C5F" w:rsidRPr="007377A5">
        <w:rPr>
          <w:rFonts w:cs="Times New Roman"/>
        </w:rPr>
        <w:t xml:space="preserve">project team </w:t>
      </w:r>
      <w:r w:rsidR="006C1771" w:rsidRPr="007377A5">
        <w:rPr>
          <w:rFonts w:cs="Times New Roman"/>
        </w:rPr>
        <w:t xml:space="preserve">will make every </w:t>
      </w:r>
      <w:r w:rsidRPr="007377A5">
        <w:rPr>
          <w:rFonts w:cs="Times New Roman"/>
        </w:rPr>
        <w:t xml:space="preserve">effort to maximize the rate of response. The </w:t>
      </w:r>
      <w:r w:rsidR="00687C5F" w:rsidRPr="007377A5">
        <w:rPr>
          <w:rFonts w:cs="Times New Roman"/>
        </w:rPr>
        <w:t>data collection instrument</w:t>
      </w:r>
      <w:r w:rsidRPr="007377A5">
        <w:rPr>
          <w:rFonts w:cs="Times New Roman"/>
        </w:rPr>
        <w:t xml:space="preserve"> was designed with particular focus on </w:t>
      </w:r>
      <w:r w:rsidR="00690D68" w:rsidRPr="007377A5">
        <w:rPr>
          <w:rFonts w:cs="Times New Roman"/>
        </w:rPr>
        <w:t>asking the minimal number of questions necessary</w:t>
      </w:r>
      <w:r w:rsidRPr="007377A5">
        <w:rPr>
          <w:rFonts w:cs="Times New Roman"/>
        </w:rPr>
        <w:t xml:space="preserve">, thereby minimizing response burden. </w:t>
      </w:r>
    </w:p>
    <w:p w14:paraId="16AC71A3" w14:textId="77777777" w:rsidR="00687C5F" w:rsidRPr="007377A5" w:rsidRDefault="00687C5F" w:rsidP="007377A5">
      <w:pPr>
        <w:pStyle w:val="ListParagraph"/>
        <w:ind w:left="360"/>
        <w:rPr>
          <w:rFonts w:cs="Times New Roman"/>
        </w:rPr>
      </w:pPr>
    </w:p>
    <w:p w14:paraId="417CE5D4" w14:textId="3B133875" w:rsidR="001D461D" w:rsidRPr="00176E14" w:rsidRDefault="001D461D" w:rsidP="007377A5">
      <w:pPr>
        <w:ind w:left="360"/>
        <w:rPr>
          <w:rFonts w:cs="Arial"/>
        </w:rPr>
      </w:pPr>
      <w:r w:rsidRPr="007377A5">
        <w:t xml:space="preserve">Following the distribution of the invitation to participate in the </w:t>
      </w:r>
      <w:r w:rsidR="00487E55" w:rsidRPr="007377A5">
        <w:t>data collection</w:t>
      </w:r>
      <w:r w:rsidRPr="007377A5">
        <w:t xml:space="preserve">, </w:t>
      </w:r>
      <w:r w:rsidR="007377A5" w:rsidRPr="009011A8">
        <w:t xml:space="preserve">(see </w:t>
      </w:r>
      <w:r w:rsidR="007377A5" w:rsidRPr="007377A5">
        <w:rPr>
          <w:b/>
        </w:rPr>
        <w:t>Attachment C—Invitation Email</w:t>
      </w:r>
      <w:r w:rsidR="007377A5" w:rsidRPr="009011A8">
        <w:t>)</w:t>
      </w:r>
      <w:r w:rsidR="00687C5F" w:rsidRPr="007377A5">
        <w:t xml:space="preserve">, respondents will have </w:t>
      </w:r>
      <w:r w:rsidR="000D3F1F" w:rsidRPr="007377A5">
        <w:t>4</w:t>
      </w:r>
      <w:r w:rsidR="00687C5F" w:rsidRPr="007377A5">
        <w:t xml:space="preserve"> </w:t>
      </w:r>
      <w:r w:rsidR="000D3F1F" w:rsidRPr="007377A5">
        <w:t>weeks</w:t>
      </w:r>
      <w:r w:rsidR="00687C5F" w:rsidRPr="007377A5">
        <w:t xml:space="preserve"> to complete the instrument. Those who do not respond within </w:t>
      </w:r>
      <w:r w:rsidR="000D3F1F" w:rsidRPr="007377A5">
        <w:t>2 weeks</w:t>
      </w:r>
      <w:r w:rsidR="00687C5F" w:rsidRPr="007377A5">
        <w:t xml:space="preserve"> will receive a</w:t>
      </w:r>
      <w:r w:rsidR="000D3F1F" w:rsidRPr="007377A5">
        <w:t>n email</w:t>
      </w:r>
      <w:r w:rsidR="00687C5F" w:rsidRPr="007377A5">
        <w:t xml:space="preserve"> reminder </w:t>
      </w:r>
      <w:r w:rsidR="007377A5" w:rsidRPr="00360BB0">
        <w:t>(</w:t>
      </w:r>
      <w:r w:rsidR="007377A5">
        <w:rPr>
          <w:b/>
        </w:rPr>
        <w:t>see Attachment D</w:t>
      </w:r>
      <w:r w:rsidR="007377A5" w:rsidRPr="00360BB0">
        <w:rPr>
          <w:b/>
        </w:rPr>
        <w:t>—Reminder Email</w:t>
      </w:r>
      <w:r w:rsidR="007377A5" w:rsidRPr="00360BB0">
        <w:t>)</w:t>
      </w:r>
      <w:r w:rsidR="00687C5F" w:rsidRPr="007377A5">
        <w:t xml:space="preserve"> urging them to complete the </w:t>
      </w:r>
      <w:r w:rsidR="006C1771" w:rsidRPr="007377A5">
        <w:t>instrument</w:t>
      </w:r>
      <w:r w:rsidR="00687C5F" w:rsidRPr="007377A5">
        <w:t xml:space="preserve">. </w:t>
      </w:r>
      <w:r w:rsidR="00687C5F" w:rsidRPr="007377A5">
        <w:rPr>
          <w:rFonts w:cs="Arial"/>
        </w:rPr>
        <w:t xml:space="preserve">Those who do not respond within </w:t>
      </w:r>
      <w:r w:rsidR="000D3F1F" w:rsidRPr="007377A5">
        <w:rPr>
          <w:rFonts w:cs="Arial"/>
        </w:rPr>
        <w:t>2 weeks</w:t>
      </w:r>
      <w:r w:rsidR="00687C5F" w:rsidRPr="007377A5">
        <w:rPr>
          <w:rFonts w:cs="Arial"/>
        </w:rPr>
        <w:t xml:space="preserve"> from the reminder email</w:t>
      </w:r>
      <w:r w:rsidRPr="007377A5">
        <w:rPr>
          <w:rFonts w:cs="Arial"/>
        </w:rPr>
        <w:t xml:space="preserve"> </w:t>
      </w:r>
      <w:r w:rsidR="00687C5F" w:rsidRPr="007377A5">
        <w:rPr>
          <w:rFonts w:cs="Arial"/>
        </w:rPr>
        <w:t>will be considered non-responders.</w:t>
      </w:r>
    </w:p>
    <w:p w14:paraId="5AD60BAD" w14:textId="77777777" w:rsidR="00691031" w:rsidRPr="00176E14" w:rsidRDefault="00691031" w:rsidP="001D461D">
      <w:pPr>
        <w:spacing w:line="240" w:lineRule="auto"/>
        <w:ind w:left="360"/>
        <w:rPr>
          <w:rFonts w:cs="Arial"/>
        </w:rPr>
      </w:pPr>
    </w:p>
    <w:p w14:paraId="3C5DE833" w14:textId="77777777" w:rsidR="00F52BCC" w:rsidRPr="00F52F51" w:rsidRDefault="00287E2F" w:rsidP="002955E6">
      <w:pPr>
        <w:pStyle w:val="Heading4"/>
        <w:spacing w:after="0" w:line="240" w:lineRule="auto"/>
      </w:pPr>
      <w:bookmarkStart w:id="6" w:name="_Toc413847914"/>
      <w:r w:rsidRPr="00F52F51">
        <w:t xml:space="preserve">Test of Procedures </w:t>
      </w:r>
      <w:r w:rsidR="009759F3" w:rsidRPr="00F52F51">
        <w:t>or Methods to be Undertaken</w:t>
      </w:r>
      <w:bookmarkEnd w:id="6"/>
    </w:p>
    <w:p w14:paraId="72649700" w14:textId="77777777" w:rsidR="00865573" w:rsidRPr="00E87343" w:rsidRDefault="00865573" w:rsidP="002955E6">
      <w:pPr>
        <w:spacing w:line="240" w:lineRule="auto"/>
        <w:ind w:left="360"/>
        <w:rPr>
          <w:lang w:eastAsia="zh-CN"/>
        </w:rPr>
      </w:pPr>
    </w:p>
    <w:p w14:paraId="63AC01B8" w14:textId="10C6AC76" w:rsidR="004D70EE" w:rsidRPr="00E87343" w:rsidRDefault="00991BF9" w:rsidP="007377A5">
      <w:pPr>
        <w:ind w:left="360"/>
      </w:pPr>
      <w:r w:rsidRPr="00E87343">
        <w:rPr>
          <w:lang w:eastAsia="zh-CN"/>
        </w:rPr>
        <w:t xml:space="preserve">The estimate for burden hours is based on a pilot test of the </w:t>
      </w:r>
      <w:r w:rsidR="00487E55" w:rsidRPr="00E87343">
        <w:rPr>
          <w:lang w:eastAsia="zh-CN"/>
        </w:rPr>
        <w:t>data collection</w:t>
      </w:r>
      <w:r w:rsidRPr="00E87343">
        <w:rPr>
          <w:lang w:eastAsia="zh-CN"/>
        </w:rPr>
        <w:t xml:space="preserve"> instrument by </w:t>
      </w:r>
      <w:r w:rsidR="000D3F1F" w:rsidRPr="00E87343">
        <w:rPr>
          <w:lang w:eastAsia="zh-CN"/>
        </w:rPr>
        <w:t>five</w:t>
      </w:r>
      <w:r w:rsidRPr="00E87343">
        <w:rPr>
          <w:lang w:eastAsia="zh-CN"/>
        </w:rPr>
        <w:t xml:space="preserve"> public health professionals. In the pilot test, the average time to complete the instrument including time for reviewing instructions, gathering needed information and completing the instrument, was approximately </w:t>
      </w:r>
      <w:r w:rsidR="00F52F51" w:rsidRPr="00E87343">
        <w:rPr>
          <w:lang w:eastAsia="zh-CN"/>
        </w:rPr>
        <w:t>15</w:t>
      </w:r>
      <w:r w:rsidRPr="00E87343">
        <w:rPr>
          <w:lang w:eastAsia="zh-CN"/>
        </w:rPr>
        <w:t xml:space="preserve"> minutes</w:t>
      </w:r>
      <w:r w:rsidR="0069580C" w:rsidRPr="00E87343">
        <w:rPr>
          <w:lang w:eastAsia="zh-CN"/>
        </w:rPr>
        <w:t xml:space="preserve"> (range: </w:t>
      </w:r>
      <w:r w:rsidR="00F52F51" w:rsidRPr="00E87343">
        <w:rPr>
          <w:lang w:eastAsia="zh-CN"/>
        </w:rPr>
        <w:t>10</w:t>
      </w:r>
      <w:r w:rsidR="0069580C" w:rsidRPr="00E87343">
        <w:rPr>
          <w:lang w:eastAsia="zh-CN"/>
        </w:rPr>
        <w:t xml:space="preserve"> to </w:t>
      </w:r>
      <w:r w:rsidR="00F52F51" w:rsidRPr="00E87343">
        <w:rPr>
          <w:lang w:eastAsia="zh-CN"/>
        </w:rPr>
        <w:t>20</w:t>
      </w:r>
      <w:r w:rsidR="0069580C" w:rsidRPr="00E87343">
        <w:rPr>
          <w:lang w:eastAsia="zh-CN"/>
        </w:rPr>
        <w:t xml:space="preserve"> minutes)</w:t>
      </w:r>
      <w:r w:rsidRPr="00E87343">
        <w:rPr>
          <w:lang w:eastAsia="zh-CN"/>
        </w:rPr>
        <w:t xml:space="preserve">. For the purposes of estimating burden hours, the upper limit of this range (i.e., </w:t>
      </w:r>
      <w:r w:rsidR="00F52F51" w:rsidRPr="00E87343">
        <w:rPr>
          <w:lang w:eastAsia="zh-CN"/>
        </w:rPr>
        <w:t>20</w:t>
      </w:r>
      <w:r w:rsidRPr="00E87343">
        <w:rPr>
          <w:lang w:eastAsia="zh-CN"/>
        </w:rPr>
        <w:t xml:space="preserve"> minutes) is used.</w:t>
      </w:r>
    </w:p>
    <w:p w14:paraId="55A3999F" w14:textId="77777777" w:rsidR="004D70EE" w:rsidRDefault="004D70EE" w:rsidP="004D70EE">
      <w:pPr>
        <w:spacing w:line="240" w:lineRule="auto"/>
        <w:ind w:left="360"/>
      </w:pPr>
    </w:p>
    <w:p w14:paraId="4A6A5476" w14:textId="77777777" w:rsidR="009759F3" w:rsidRDefault="009759F3" w:rsidP="002955E6">
      <w:pPr>
        <w:pStyle w:val="Heading4"/>
        <w:spacing w:after="0" w:line="240" w:lineRule="auto"/>
      </w:pPr>
      <w:bookmarkStart w:id="7" w:name="_Toc413847915"/>
      <w:r w:rsidRPr="009759F3">
        <w:t>Individuals Consulted on Statistical Aspects and Individuals Collecting and/or Analyzing Data</w:t>
      </w:r>
      <w:bookmarkEnd w:id="7"/>
    </w:p>
    <w:p w14:paraId="688F2969" w14:textId="0CB50A1E" w:rsidR="00AA019E" w:rsidRDefault="00AA019E" w:rsidP="007377A5">
      <w:pPr>
        <w:spacing w:line="240" w:lineRule="auto"/>
        <w:ind w:left="0"/>
        <w:rPr>
          <w:rStyle w:val="Hyperlink"/>
          <w:b/>
          <w:color w:val="0070C0"/>
        </w:rPr>
      </w:pPr>
    </w:p>
    <w:p w14:paraId="331548B0" w14:textId="77777777" w:rsidR="00E87343" w:rsidRPr="007377A5" w:rsidRDefault="00E87343" w:rsidP="00E87343">
      <w:pPr>
        <w:tabs>
          <w:tab w:val="right" w:pos="9360"/>
        </w:tabs>
        <w:ind w:left="360"/>
        <w:rPr>
          <w:b/>
        </w:rPr>
      </w:pPr>
      <w:r w:rsidRPr="007377A5">
        <w:rPr>
          <w:b/>
        </w:rPr>
        <w:t>Angela Salazar</w:t>
      </w:r>
    </w:p>
    <w:p w14:paraId="52925EB4" w14:textId="77777777" w:rsidR="00E87343" w:rsidRPr="007377A5" w:rsidRDefault="00E87343" w:rsidP="00E87343">
      <w:pPr>
        <w:tabs>
          <w:tab w:val="right" w:pos="9360"/>
        </w:tabs>
        <w:ind w:left="360"/>
      </w:pPr>
      <w:r w:rsidRPr="007377A5">
        <w:t>Public Health Advisor</w:t>
      </w:r>
    </w:p>
    <w:p w14:paraId="54480644" w14:textId="77777777" w:rsidR="00E87343" w:rsidRPr="007377A5" w:rsidRDefault="00E87343" w:rsidP="00E87343">
      <w:pPr>
        <w:tabs>
          <w:tab w:val="right" w:pos="9360"/>
        </w:tabs>
        <w:ind w:left="360"/>
      </w:pPr>
      <w:r w:rsidRPr="007377A5">
        <w:t>National Center for Environmental Health</w:t>
      </w:r>
    </w:p>
    <w:p w14:paraId="6A25479A" w14:textId="77777777" w:rsidR="00E87343" w:rsidRPr="007377A5" w:rsidRDefault="00E87343" w:rsidP="00E87343">
      <w:pPr>
        <w:tabs>
          <w:tab w:val="right" w:pos="9360"/>
        </w:tabs>
        <w:ind w:left="360"/>
      </w:pPr>
      <w:r w:rsidRPr="007377A5">
        <w:t>4770 Buford Highway NE MS F60</w:t>
      </w:r>
    </w:p>
    <w:p w14:paraId="3338C42D" w14:textId="77777777" w:rsidR="00E87343" w:rsidRPr="007377A5" w:rsidRDefault="00E87343" w:rsidP="00E87343">
      <w:pPr>
        <w:tabs>
          <w:tab w:val="right" w:pos="9360"/>
        </w:tabs>
        <w:ind w:left="360"/>
      </w:pPr>
      <w:r w:rsidRPr="007377A5">
        <w:t>Atlanta, GA  30341</w:t>
      </w:r>
    </w:p>
    <w:p w14:paraId="23CAB509" w14:textId="77777777" w:rsidR="00E87343" w:rsidRPr="007377A5" w:rsidRDefault="00E87343" w:rsidP="00E87343">
      <w:pPr>
        <w:tabs>
          <w:tab w:val="right" w:pos="9360"/>
        </w:tabs>
        <w:ind w:left="360"/>
      </w:pPr>
      <w:r w:rsidRPr="007377A5">
        <w:t>770.488.3949 (o)</w:t>
      </w:r>
    </w:p>
    <w:p w14:paraId="328FE712" w14:textId="77777777" w:rsidR="00E87343" w:rsidRPr="007377A5" w:rsidRDefault="00E87343" w:rsidP="00E87343">
      <w:pPr>
        <w:tabs>
          <w:tab w:val="right" w:pos="9360"/>
        </w:tabs>
        <w:ind w:left="360"/>
      </w:pPr>
      <w:r w:rsidRPr="007377A5">
        <w:t>770.488.3410 (f)</w:t>
      </w:r>
    </w:p>
    <w:p w14:paraId="1851E204" w14:textId="52D05809" w:rsidR="00E87343" w:rsidRPr="00E87343" w:rsidRDefault="00725852" w:rsidP="00E87343">
      <w:pPr>
        <w:ind w:left="360"/>
        <w:rPr>
          <w:rStyle w:val="Hyperlink"/>
          <w:color w:val="0070C0"/>
          <w:u w:val="none"/>
        </w:rPr>
      </w:pPr>
      <w:hyperlink r:id="rId15" w:history="1">
        <w:r w:rsidR="00E87343" w:rsidRPr="007377A5">
          <w:rPr>
            <w:rStyle w:val="Hyperlink"/>
          </w:rPr>
          <w:t>aos9@cdc.gov</w:t>
        </w:r>
      </w:hyperlink>
    </w:p>
    <w:p w14:paraId="5A34968D" w14:textId="77777777" w:rsidR="00E87343" w:rsidRDefault="00E87343" w:rsidP="00F52F51">
      <w:pPr>
        <w:ind w:left="360"/>
        <w:rPr>
          <w:b/>
          <w:noProof/>
        </w:rPr>
      </w:pPr>
    </w:p>
    <w:p w14:paraId="207B0D4B" w14:textId="56642036" w:rsidR="00F52F51" w:rsidRPr="007377A5" w:rsidRDefault="00F52F51" w:rsidP="00F52F51">
      <w:pPr>
        <w:ind w:left="360"/>
        <w:rPr>
          <w:b/>
          <w:noProof/>
        </w:rPr>
      </w:pPr>
      <w:r w:rsidRPr="007377A5">
        <w:rPr>
          <w:b/>
          <w:noProof/>
        </w:rPr>
        <w:t>Melanie Chansky</w:t>
      </w:r>
    </w:p>
    <w:p w14:paraId="2BB9B27D" w14:textId="77777777" w:rsidR="00F52F51" w:rsidRPr="007377A5" w:rsidRDefault="00F52F51" w:rsidP="00F52F51">
      <w:pPr>
        <w:ind w:left="360"/>
        <w:rPr>
          <w:noProof/>
        </w:rPr>
      </w:pPr>
      <w:r w:rsidRPr="007377A5">
        <w:rPr>
          <w:noProof/>
        </w:rPr>
        <w:t>Senior Study Director</w:t>
      </w:r>
    </w:p>
    <w:p w14:paraId="0E0140C0" w14:textId="77777777" w:rsidR="00F52F51" w:rsidRPr="007377A5" w:rsidRDefault="00F52F51" w:rsidP="00F52F51">
      <w:pPr>
        <w:ind w:left="360"/>
        <w:rPr>
          <w:noProof/>
        </w:rPr>
      </w:pPr>
      <w:r w:rsidRPr="007377A5">
        <w:rPr>
          <w:noProof/>
        </w:rPr>
        <w:t>Westat</w:t>
      </w:r>
    </w:p>
    <w:p w14:paraId="611DC955" w14:textId="77777777" w:rsidR="00F52F51" w:rsidRPr="007377A5" w:rsidRDefault="00F52F51" w:rsidP="00F52F51">
      <w:pPr>
        <w:ind w:left="360"/>
        <w:rPr>
          <w:noProof/>
        </w:rPr>
      </w:pPr>
      <w:r w:rsidRPr="007377A5">
        <w:rPr>
          <w:noProof/>
        </w:rPr>
        <w:t>1600 Research Blvd.</w:t>
      </w:r>
    </w:p>
    <w:p w14:paraId="4EC1BBF0" w14:textId="77777777" w:rsidR="00F52F51" w:rsidRPr="007377A5" w:rsidRDefault="00F52F51" w:rsidP="00F52F51">
      <w:pPr>
        <w:ind w:left="360"/>
        <w:rPr>
          <w:noProof/>
        </w:rPr>
      </w:pPr>
      <w:r w:rsidRPr="007377A5">
        <w:rPr>
          <w:noProof/>
        </w:rPr>
        <w:t>Rockville, MD 20850</w:t>
      </w:r>
    </w:p>
    <w:p w14:paraId="7953BBE7" w14:textId="77777777" w:rsidR="00F52F51" w:rsidRPr="007377A5" w:rsidRDefault="00F52F51" w:rsidP="00F52F51">
      <w:pPr>
        <w:ind w:left="360"/>
        <w:rPr>
          <w:noProof/>
        </w:rPr>
      </w:pPr>
      <w:r w:rsidRPr="007377A5">
        <w:rPr>
          <w:noProof/>
        </w:rPr>
        <w:t>P: 301-517-4019</w:t>
      </w:r>
    </w:p>
    <w:p w14:paraId="1C5C8555" w14:textId="77777777" w:rsidR="00F52F51" w:rsidRPr="007377A5" w:rsidRDefault="00725852" w:rsidP="00F52F51">
      <w:pPr>
        <w:ind w:left="360"/>
        <w:rPr>
          <w:rStyle w:val="Hyperlink"/>
          <w:color w:val="0070C0"/>
        </w:rPr>
      </w:pPr>
      <w:hyperlink r:id="rId16" w:history="1">
        <w:r w:rsidR="00F52F51" w:rsidRPr="007377A5">
          <w:rPr>
            <w:rStyle w:val="Hyperlink"/>
            <w:noProof/>
          </w:rPr>
          <w:t>melaniechansky@westat.com</w:t>
        </w:r>
      </w:hyperlink>
    </w:p>
    <w:p w14:paraId="3EA19358" w14:textId="06826296" w:rsidR="00F52F51" w:rsidRDefault="00F52F51" w:rsidP="00F52F51">
      <w:pPr>
        <w:ind w:left="0"/>
        <w:rPr>
          <w:noProof/>
        </w:rPr>
      </w:pPr>
    </w:p>
    <w:p w14:paraId="530CCF9C" w14:textId="0578C920" w:rsidR="00E87343" w:rsidRDefault="00E87343" w:rsidP="00F52F51">
      <w:pPr>
        <w:ind w:left="0"/>
        <w:rPr>
          <w:noProof/>
        </w:rPr>
      </w:pPr>
    </w:p>
    <w:p w14:paraId="05C873EC" w14:textId="2C9D0401" w:rsidR="00E87343" w:rsidRDefault="00E87343" w:rsidP="00F52F51">
      <w:pPr>
        <w:ind w:left="0"/>
        <w:rPr>
          <w:noProof/>
        </w:rPr>
      </w:pPr>
    </w:p>
    <w:p w14:paraId="1EAF722E" w14:textId="77777777" w:rsidR="00E87343" w:rsidRPr="007377A5" w:rsidRDefault="00E87343" w:rsidP="00F52F51">
      <w:pPr>
        <w:ind w:left="0"/>
        <w:rPr>
          <w:noProof/>
        </w:rPr>
      </w:pPr>
    </w:p>
    <w:p w14:paraId="579E5D66" w14:textId="77777777" w:rsidR="00F52F51" w:rsidRPr="007377A5" w:rsidRDefault="00F52F51" w:rsidP="00F52F51">
      <w:pPr>
        <w:ind w:left="360"/>
        <w:rPr>
          <w:b/>
          <w:noProof/>
        </w:rPr>
      </w:pPr>
      <w:r w:rsidRPr="007377A5">
        <w:rPr>
          <w:b/>
          <w:noProof/>
        </w:rPr>
        <w:t>Saloni Sapru</w:t>
      </w:r>
    </w:p>
    <w:p w14:paraId="7172085D" w14:textId="77777777" w:rsidR="00F52F51" w:rsidRPr="007377A5" w:rsidRDefault="00F52F51" w:rsidP="00F52F51">
      <w:pPr>
        <w:ind w:left="360"/>
        <w:rPr>
          <w:noProof/>
        </w:rPr>
      </w:pPr>
      <w:r w:rsidRPr="007377A5">
        <w:rPr>
          <w:noProof/>
        </w:rPr>
        <w:t>Senior Study Director</w:t>
      </w:r>
    </w:p>
    <w:p w14:paraId="3EB7D0B8" w14:textId="77777777" w:rsidR="00F52F51" w:rsidRPr="007377A5" w:rsidRDefault="00F52F51" w:rsidP="00F52F51">
      <w:pPr>
        <w:ind w:left="360"/>
        <w:rPr>
          <w:noProof/>
        </w:rPr>
      </w:pPr>
      <w:r w:rsidRPr="007377A5">
        <w:rPr>
          <w:noProof/>
        </w:rPr>
        <w:t>Westat</w:t>
      </w:r>
    </w:p>
    <w:p w14:paraId="2CCF0347" w14:textId="77777777" w:rsidR="00F52F51" w:rsidRPr="007377A5" w:rsidRDefault="00F52F51" w:rsidP="00F52F51">
      <w:pPr>
        <w:ind w:left="360"/>
        <w:rPr>
          <w:noProof/>
        </w:rPr>
      </w:pPr>
      <w:r w:rsidRPr="007377A5">
        <w:rPr>
          <w:noProof/>
        </w:rPr>
        <w:t>1600 Research Blvd.</w:t>
      </w:r>
    </w:p>
    <w:p w14:paraId="1CBD8BDE" w14:textId="77777777" w:rsidR="00F52F51" w:rsidRPr="007377A5" w:rsidRDefault="00F52F51" w:rsidP="00F52F51">
      <w:pPr>
        <w:ind w:left="360"/>
        <w:rPr>
          <w:noProof/>
        </w:rPr>
      </w:pPr>
      <w:r w:rsidRPr="007377A5">
        <w:rPr>
          <w:noProof/>
        </w:rPr>
        <w:t>Rockville, MD 20850</w:t>
      </w:r>
    </w:p>
    <w:p w14:paraId="2EAB8BA8" w14:textId="77777777" w:rsidR="00F52F51" w:rsidRPr="007377A5" w:rsidRDefault="00F52F51" w:rsidP="00F52F51">
      <w:pPr>
        <w:ind w:left="360"/>
        <w:rPr>
          <w:noProof/>
        </w:rPr>
      </w:pPr>
      <w:r w:rsidRPr="007377A5">
        <w:rPr>
          <w:noProof/>
        </w:rPr>
        <w:t>P: 240-314-2363</w:t>
      </w:r>
    </w:p>
    <w:p w14:paraId="061974DE" w14:textId="77777777" w:rsidR="00F52F51" w:rsidRPr="007377A5" w:rsidRDefault="00725852" w:rsidP="00F52F51">
      <w:pPr>
        <w:ind w:left="360"/>
        <w:rPr>
          <w:rStyle w:val="Hyperlink"/>
          <w:color w:val="0070C0"/>
        </w:rPr>
      </w:pPr>
      <w:hyperlink r:id="rId17" w:history="1">
        <w:r w:rsidR="00F52F51" w:rsidRPr="007377A5">
          <w:rPr>
            <w:rStyle w:val="Hyperlink"/>
            <w:noProof/>
          </w:rPr>
          <w:t>salonisapru@westat.com</w:t>
        </w:r>
      </w:hyperlink>
    </w:p>
    <w:p w14:paraId="6E08698A" w14:textId="00F67489" w:rsidR="00F52F51" w:rsidRDefault="00F52F51" w:rsidP="007377A5">
      <w:pPr>
        <w:ind w:left="360"/>
        <w:rPr>
          <w:b/>
        </w:rPr>
      </w:pPr>
    </w:p>
    <w:p w14:paraId="6B0821F4" w14:textId="77777777" w:rsidR="00F52F51" w:rsidRPr="00C96641" w:rsidRDefault="00F52F51" w:rsidP="00F52F51">
      <w:pPr>
        <w:ind w:left="360"/>
        <w:rPr>
          <w:b/>
        </w:rPr>
      </w:pPr>
      <w:r w:rsidRPr="00C96641">
        <w:rPr>
          <w:b/>
        </w:rPr>
        <w:t>Dave Stinchcomb</w:t>
      </w:r>
    </w:p>
    <w:p w14:paraId="320B79C3" w14:textId="77777777" w:rsidR="00F52F51" w:rsidRPr="00C96641" w:rsidRDefault="00F52F51" w:rsidP="00F52F51">
      <w:pPr>
        <w:ind w:left="360"/>
      </w:pPr>
      <w:r w:rsidRPr="00C96641">
        <w:t>Senior Study Director</w:t>
      </w:r>
    </w:p>
    <w:p w14:paraId="7D4B0BDF" w14:textId="77777777" w:rsidR="00F52F51" w:rsidRPr="00C96641" w:rsidRDefault="00F52F51" w:rsidP="00F52F51">
      <w:pPr>
        <w:ind w:left="360"/>
      </w:pPr>
      <w:r w:rsidRPr="00C96641">
        <w:t>Westat</w:t>
      </w:r>
    </w:p>
    <w:p w14:paraId="431368A4" w14:textId="77777777" w:rsidR="00F52F51" w:rsidRPr="00C96641" w:rsidRDefault="00F52F51" w:rsidP="00F52F51">
      <w:pPr>
        <w:ind w:left="360"/>
      </w:pPr>
      <w:r w:rsidRPr="00C96641">
        <w:t>1600 Research Blvd</w:t>
      </w:r>
    </w:p>
    <w:p w14:paraId="5AA23484" w14:textId="77777777" w:rsidR="00F52F51" w:rsidRPr="00C96641" w:rsidRDefault="00F52F51" w:rsidP="00F52F51">
      <w:pPr>
        <w:ind w:left="360"/>
      </w:pPr>
      <w:r w:rsidRPr="00C96641">
        <w:t>Rockville MD 20850</w:t>
      </w:r>
    </w:p>
    <w:p w14:paraId="1BC59D19" w14:textId="77777777" w:rsidR="00F52F51" w:rsidRPr="00F52F51" w:rsidRDefault="00F52F51" w:rsidP="00F52F51">
      <w:pPr>
        <w:ind w:left="360"/>
      </w:pPr>
      <w:r w:rsidRPr="00C96641">
        <w:t xml:space="preserve">Email: </w:t>
      </w:r>
      <w:hyperlink r:id="rId18" w:history="1">
        <w:r w:rsidRPr="00F52F51">
          <w:rPr>
            <w:rStyle w:val="Hyperlink"/>
          </w:rPr>
          <w:t>davidstinchcomb@westat.com</w:t>
        </w:r>
      </w:hyperlink>
    </w:p>
    <w:p w14:paraId="09E16E76" w14:textId="739E651C" w:rsidR="00F52F51" w:rsidRPr="00E87343" w:rsidRDefault="00F52F51" w:rsidP="00E87343">
      <w:pPr>
        <w:ind w:left="360"/>
      </w:pPr>
      <w:r w:rsidRPr="00C96641">
        <w:t>Phone: 301-610-5571</w:t>
      </w:r>
    </w:p>
    <w:p w14:paraId="1D7B86DC" w14:textId="77777777" w:rsidR="00865573" w:rsidRPr="00865573" w:rsidRDefault="00865573" w:rsidP="002955E6">
      <w:pPr>
        <w:spacing w:line="240" w:lineRule="auto"/>
        <w:ind w:left="360"/>
        <w:rPr>
          <w:rStyle w:val="Hyperlink"/>
          <w:b/>
          <w:color w:val="0070C0"/>
        </w:rPr>
      </w:pPr>
    </w:p>
    <w:p w14:paraId="1E82E35E" w14:textId="77777777"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435407BF" w14:textId="1CFD9A24" w:rsidR="00400C2C" w:rsidRPr="003C3D1C" w:rsidRDefault="00400C2C" w:rsidP="002955E6">
      <w:pPr>
        <w:spacing w:line="240" w:lineRule="auto"/>
        <w:ind w:left="0"/>
      </w:pPr>
      <w:r w:rsidRPr="00CD1EA8">
        <w:t>Note:</w:t>
      </w:r>
      <w:r>
        <w:t xml:space="preserve"> Attachments are included as separate files as instructed.</w:t>
      </w:r>
    </w:p>
    <w:p w14:paraId="772DFEFB" w14:textId="4EDF8AC7" w:rsidR="00865573" w:rsidRPr="00BB565A" w:rsidRDefault="00736345" w:rsidP="00736345">
      <w:pPr>
        <w:pStyle w:val="ListParagraph"/>
        <w:numPr>
          <w:ilvl w:val="0"/>
          <w:numId w:val="39"/>
        </w:numPr>
        <w:spacing w:line="240" w:lineRule="auto"/>
        <w:rPr>
          <w:rFonts w:ascii="Cambria" w:hAnsi="Cambria"/>
          <w:b/>
        </w:rPr>
      </w:pPr>
      <w:r w:rsidRPr="00BB565A">
        <w:rPr>
          <w:rFonts w:ascii="Cambria" w:hAnsi="Cambria"/>
          <w:b/>
        </w:rPr>
        <w:t>Attachment C</w:t>
      </w:r>
      <w:r w:rsidR="00B8656C" w:rsidRPr="00BB565A">
        <w:rPr>
          <w:rFonts w:ascii="Cambria" w:hAnsi="Cambria"/>
          <w:b/>
        </w:rPr>
        <w:t xml:space="preserve"> </w:t>
      </w:r>
      <w:r w:rsidR="00400C2C" w:rsidRPr="00BB565A">
        <w:rPr>
          <w:rFonts w:ascii="Cambria" w:hAnsi="Cambria"/>
          <w:b/>
        </w:rPr>
        <w:t>–</w:t>
      </w:r>
      <w:r w:rsidR="00B8656C" w:rsidRPr="00BB565A">
        <w:rPr>
          <w:rFonts w:ascii="Cambria" w:hAnsi="Cambria"/>
          <w:b/>
        </w:rPr>
        <w:t xml:space="preserve"> </w:t>
      </w:r>
      <w:r w:rsidRPr="00BB565A">
        <w:rPr>
          <w:rFonts w:ascii="Cambria" w:hAnsi="Cambria"/>
          <w:b/>
        </w:rPr>
        <w:t>Invitation Email</w:t>
      </w:r>
      <w:r w:rsidR="00400C2C" w:rsidRPr="00BB565A">
        <w:rPr>
          <w:rFonts w:ascii="Cambria" w:hAnsi="Cambria"/>
          <w:b/>
        </w:rPr>
        <w:t xml:space="preserve"> </w:t>
      </w:r>
    </w:p>
    <w:p w14:paraId="65A9CF0F" w14:textId="3CFE0ED3" w:rsidR="00865573" w:rsidRPr="00BB565A" w:rsidRDefault="00736345" w:rsidP="00736345">
      <w:pPr>
        <w:pStyle w:val="ListParagraph"/>
        <w:numPr>
          <w:ilvl w:val="0"/>
          <w:numId w:val="39"/>
        </w:numPr>
        <w:spacing w:line="240" w:lineRule="auto"/>
        <w:rPr>
          <w:rFonts w:ascii="Cambria" w:hAnsi="Cambria"/>
          <w:b/>
        </w:rPr>
      </w:pPr>
      <w:r w:rsidRPr="00BB565A">
        <w:rPr>
          <w:rFonts w:ascii="Cambria" w:hAnsi="Cambria"/>
          <w:b/>
        </w:rPr>
        <w:t>Attachment D</w:t>
      </w:r>
      <w:r w:rsidR="00D24BCF" w:rsidRPr="00BB565A">
        <w:rPr>
          <w:rFonts w:ascii="Cambria" w:hAnsi="Cambria"/>
          <w:b/>
        </w:rPr>
        <w:t xml:space="preserve"> –</w:t>
      </w:r>
      <w:r w:rsidR="00865573" w:rsidRPr="00BB565A">
        <w:rPr>
          <w:rFonts w:ascii="Cambria" w:hAnsi="Cambria"/>
          <w:b/>
        </w:rPr>
        <w:t xml:space="preserve"> </w:t>
      </w:r>
      <w:r w:rsidRPr="00BB565A">
        <w:rPr>
          <w:rFonts w:ascii="Cambria" w:hAnsi="Cambria"/>
          <w:b/>
        </w:rPr>
        <w:t>Reminder Email</w:t>
      </w:r>
    </w:p>
    <w:p w14:paraId="196A1590" w14:textId="77777777" w:rsidR="00400C2C" w:rsidRPr="00400C2C" w:rsidRDefault="00400C2C" w:rsidP="00400C2C">
      <w:pPr>
        <w:pStyle w:val="ListParagraph"/>
        <w:spacing w:line="240" w:lineRule="auto"/>
        <w:rPr>
          <w:rFonts w:ascii="Cambria" w:hAnsi="Cambria"/>
          <w:b/>
          <w:color w:val="0070C0"/>
        </w:rPr>
      </w:pPr>
    </w:p>
    <w:p w14:paraId="504ACF37" w14:textId="77777777" w:rsidR="00865573" w:rsidRDefault="00865573" w:rsidP="002955E6">
      <w:pPr>
        <w:spacing w:line="240" w:lineRule="auto"/>
        <w:ind w:left="0" w:firstLine="360"/>
        <w:rPr>
          <w:rFonts w:ascii="Cambria" w:hAnsi="Cambria"/>
          <w:color w:val="0070C0"/>
        </w:rPr>
      </w:pPr>
    </w:p>
    <w:sectPr w:rsidR="00865573" w:rsidSect="003E5D57">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26F2" w14:textId="77777777" w:rsidR="00F250C3" w:rsidRDefault="00F250C3" w:rsidP="00BC6896">
      <w:r>
        <w:separator/>
      </w:r>
    </w:p>
    <w:p w14:paraId="4755D799" w14:textId="77777777" w:rsidR="00F250C3" w:rsidRDefault="00F250C3" w:rsidP="00BC6896"/>
  </w:endnote>
  <w:endnote w:type="continuationSeparator" w:id="0">
    <w:p w14:paraId="1159DFD3" w14:textId="77777777" w:rsidR="00F250C3" w:rsidRDefault="00F250C3" w:rsidP="00BC6896">
      <w:r>
        <w:continuationSeparator/>
      </w:r>
    </w:p>
    <w:p w14:paraId="3FEC57D3" w14:textId="77777777" w:rsidR="00F250C3" w:rsidRDefault="00F250C3"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0A670397" w:rsidR="00F250C3" w:rsidRDefault="00F250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85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852">
              <w:rPr>
                <w:b/>
                <w:bCs/>
                <w:noProof/>
              </w:rPr>
              <w:t>2</w:t>
            </w:r>
            <w:r>
              <w:rPr>
                <w:b/>
                <w:bCs/>
                <w:sz w:val="24"/>
                <w:szCs w:val="24"/>
              </w:rPr>
              <w:fldChar w:fldCharType="end"/>
            </w:r>
          </w:p>
        </w:sdtContent>
      </w:sdt>
    </w:sdtContent>
  </w:sdt>
  <w:p w14:paraId="44222E07" w14:textId="77777777" w:rsidR="00F250C3" w:rsidRDefault="00F250C3"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F46F" w14:textId="77777777" w:rsidR="00F250C3" w:rsidRDefault="00F250C3" w:rsidP="00BC6896">
      <w:r>
        <w:separator/>
      </w:r>
    </w:p>
    <w:p w14:paraId="084AEB45" w14:textId="77777777" w:rsidR="00F250C3" w:rsidRDefault="00F250C3" w:rsidP="00BC6896"/>
  </w:footnote>
  <w:footnote w:type="continuationSeparator" w:id="0">
    <w:p w14:paraId="02B5C90C" w14:textId="77777777" w:rsidR="00F250C3" w:rsidRDefault="00F250C3" w:rsidP="00BC6896">
      <w:r>
        <w:continuationSeparator/>
      </w:r>
    </w:p>
    <w:p w14:paraId="12EE7D45" w14:textId="77777777" w:rsidR="00F250C3" w:rsidRDefault="00F250C3"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2A4D9" w14:textId="77777777" w:rsidR="00F250C3" w:rsidRPr="00716F94" w:rsidRDefault="00F250C3" w:rsidP="00BC6896">
    <w:pPr>
      <w:pStyle w:val="Header"/>
      <w:rPr>
        <w:color w:val="0033CC"/>
      </w:rPr>
    </w:pPr>
    <w:r>
      <w:tab/>
    </w:r>
  </w:p>
  <w:p w14:paraId="653AF48B" w14:textId="77777777" w:rsidR="00F250C3" w:rsidRDefault="00F250C3"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740EE"/>
    <w:multiLevelType w:val="hybridMultilevel"/>
    <w:tmpl w:val="62EC7A02"/>
    <w:lvl w:ilvl="0" w:tplc="B986F77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D43517"/>
    <w:multiLevelType w:val="multilevel"/>
    <w:tmpl w:val="DCF6675A"/>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34"/>
  </w:num>
  <w:num w:numId="4">
    <w:abstractNumId w:val="12"/>
  </w:num>
  <w:num w:numId="5">
    <w:abstractNumId w:val="25"/>
  </w:num>
  <w:num w:numId="6">
    <w:abstractNumId w:val="7"/>
  </w:num>
  <w:num w:numId="7">
    <w:abstractNumId w:val="0"/>
  </w:num>
  <w:num w:numId="8">
    <w:abstractNumId w:val="5"/>
  </w:num>
  <w:num w:numId="9">
    <w:abstractNumId w:val="10"/>
  </w:num>
  <w:num w:numId="10">
    <w:abstractNumId w:val="28"/>
  </w:num>
  <w:num w:numId="11">
    <w:abstractNumId w:val="2"/>
  </w:num>
  <w:num w:numId="12">
    <w:abstractNumId w:val="33"/>
  </w:num>
  <w:num w:numId="13">
    <w:abstractNumId w:val="6"/>
  </w:num>
  <w:num w:numId="14">
    <w:abstractNumId w:val="3"/>
  </w:num>
  <w:num w:numId="15">
    <w:abstractNumId w:val="31"/>
  </w:num>
  <w:num w:numId="16">
    <w:abstractNumId w:val="37"/>
  </w:num>
  <w:num w:numId="17">
    <w:abstractNumId w:val="9"/>
  </w:num>
  <w:num w:numId="18">
    <w:abstractNumId w:val="14"/>
  </w:num>
  <w:num w:numId="19">
    <w:abstractNumId w:val="4"/>
  </w:num>
  <w:num w:numId="20">
    <w:abstractNumId w:val="15"/>
  </w:num>
  <w:num w:numId="21">
    <w:abstractNumId w:val="35"/>
  </w:num>
  <w:num w:numId="22">
    <w:abstractNumId w:val="29"/>
  </w:num>
  <w:num w:numId="23">
    <w:abstractNumId w:val="13"/>
  </w:num>
  <w:num w:numId="24">
    <w:abstractNumId w:val="30"/>
  </w:num>
  <w:num w:numId="25">
    <w:abstractNumId w:val="32"/>
  </w:num>
  <w:num w:numId="26">
    <w:abstractNumId w:val="19"/>
  </w:num>
  <w:num w:numId="27">
    <w:abstractNumId w:val="23"/>
  </w:num>
  <w:num w:numId="28">
    <w:abstractNumId w:val="20"/>
  </w:num>
  <w:num w:numId="29">
    <w:abstractNumId w:val="26"/>
  </w:num>
  <w:num w:numId="30">
    <w:abstractNumId w:val="22"/>
  </w:num>
  <w:num w:numId="31">
    <w:abstractNumId w:val="11"/>
  </w:num>
  <w:num w:numId="32">
    <w:abstractNumId w:val="24"/>
  </w:num>
  <w:num w:numId="33">
    <w:abstractNumId w:val="18"/>
  </w:num>
  <w:num w:numId="34">
    <w:abstractNumId w:val="16"/>
  </w:num>
  <w:num w:numId="35">
    <w:abstractNumId w:val="27"/>
  </w:num>
  <w:num w:numId="36">
    <w:abstractNumId w:val="21"/>
  </w:num>
  <w:num w:numId="37">
    <w:abstractNumId w:val="8"/>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2051"/>
    <w:rsid w:val="00012230"/>
    <w:rsid w:val="000130B4"/>
    <w:rsid w:val="00014361"/>
    <w:rsid w:val="000279A9"/>
    <w:rsid w:val="000474FB"/>
    <w:rsid w:val="00052A34"/>
    <w:rsid w:val="00053A92"/>
    <w:rsid w:val="000557D0"/>
    <w:rsid w:val="0005605E"/>
    <w:rsid w:val="00057F36"/>
    <w:rsid w:val="000940C9"/>
    <w:rsid w:val="000A1F30"/>
    <w:rsid w:val="000A538D"/>
    <w:rsid w:val="000D3F1F"/>
    <w:rsid w:val="000E00B0"/>
    <w:rsid w:val="000E6577"/>
    <w:rsid w:val="000E7A19"/>
    <w:rsid w:val="000F36A3"/>
    <w:rsid w:val="000F5EEA"/>
    <w:rsid w:val="001030FC"/>
    <w:rsid w:val="00104A1B"/>
    <w:rsid w:val="0011018B"/>
    <w:rsid w:val="001177DD"/>
    <w:rsid w:val="00127290"/>
    <w:rsid w:val="001308EB"/>
    <w:rsid w:val="001340DA"/>
    <w:rsid w:val="001412D4"/>
    <w:rsid w:val="00144F64"/>
    <w:rsid w:val="00151567"/>
    <w:rsid w:val="00163E17"/>
    <w:rsid w:val="00166F9E"/>
    <w:rsid w:val="00175844"/>
    <w:rsid w:val="00176E14"/>
    <w:rsid w:val="00180364"/>
    <w:rsid w:val="00187D5A"/>
    <w:rsid w:val="001960AE"/>
    <w:rsid w:val="001972D7"/>
    <w:rsid w:val="001A1D81"/>
    <w:rsid w:val="001A28F6"/>
    <w:rsid w:val="001A7D0E"/>
    <w:rsid w:val="001B2831"/>
    <w:rsid w:val="001C0493"/>
    <w:rsid w:val="001C28AD"/>
    <w:rsid w:val="001D2951"/>
    <w:rsid w:val="001D461D"/>
    <w:rsid w:val="001D7FCB"/>
    <w:rsid w:val="001E2B99"/>
    <w:rsid w:val="001E3962"/>
    <w:rsid w:val="001E69B6"/>
    <w:rsid w:val="001F4DBB"/>
    <w:rsid w:val="001F501E"/>
    <w:rsid w:val="001F7124"/>
    <w:rsid w:val="001F7C89"/>
    <w:rsid w:val="0020312D"/>
    <w:rsid w:val="0020495F"/>
    <w:rsid w:val="00206E33"/>
    <w:rsid w:val="00210519"/>
    <w:rsid w:val="00230CEF"/>
    <w:rsid w:val="00237CA1"/>
    <w:rsid w:val="00241B17"/>
    <w:rsid w:val="00241C81"/>
    <w:rsid w:val="00245F1F"/>
    <w:rsid w:val="00252BF8"/>
    <w:rsid w:val="00256392"/>
    <w:rsid w:val="00257A1C"/>
    <w:rsid w:val="002721C7"/>
    <w:rsid w:val="0027234C"/>
    <w:rsid w:val="00272E03"/>
    <w:rsid w:val="00281795"/>
    <w:rsid w:val="002850E3"/>
    <w:rsid w:val="00286F8B"/>
    <w:rsid w:val="00287E2F"/>
    <w:rsid w:val="002955E6"/>
    <w:rsid w:val="002A1948"/>
    <w:rsid w:val="002C0877"/>
    <w:rsid w:val="002C2AE2"/>
    <w:rsid w:val="002D0BA5"/>
    <w:rsid w:val="002D0DCE"/>
    <w:rsid w:val="002E2B10"/>
    <w:rsid w:val="002E2CF3"/>
    <w:rsid w:val="002F1502"/>
    <w:rsid w:val="002F169D"/>
    <w:rsid w:val="002F2069"/>
    <w:rsid w:val="002F3D87"/>
    <w:rsid w:val="002F6F92"/>
    <w:rsid w:val="003041AD"/>
    <w:rsid w:val="0031279F"/>
    <w:rsid w:val="00312D63"/>
    <w:rsid w:val="003161B9"/>
    <w:rsid w:val="00327D05"/>
    <w:rsid w:val="00335EBD"/>
    <w:rsid w:val="00336D96"/>
    <w:rsid w:val="003429C3"/>
    <w:rsid w:val="00344F07"/>
    <w:rsid w:val="003469C8"/>
    <w:rsid w:val="00355EA4"/>
    <w:rsid w:val="003635BE"/>
    <w:rsid w:val="00365EF5"/>
    <w:rsid w:val="00366B5E"/>
    <w:rsid w:val="00372844"/>
    <w:rsid w:val="0038560A"/>
    <w:rsid w:val="003C31C9"/>
    <w:rsid w:val="003C3D1C"/>
    <w:rsid w:val="003C4961"/>
    <w:rsid w:val="003C7C5D"/>
    <w:rsid w:val="003D0AD2"/>
    <w:rsid w:val="003D706A"/>
    <w:rsid w:val="003D7988"/>
    <w:rsid w:val="003E3773"/>
    <w:rsid w:val="003E4383"/>
    <w:rsid w:val="003E4E7D"/>
    <w:rsid w:val="003E5D57"/>
    <w:rsid w:val="003F4962"/>
    <w:rsid w:val="003F5913"/>
    <w:rsid w:val="003F7069"/>
    <w:rsid w:val="00400A50"/>
    <w:rsid w:val="00400C2C"/>
    <w:rsid w:val="004024F8"/>
    <w:rsid w:val="004039E1"/>
    <w:rsid w:val="00407219"/>
    <w:rsid w:val="0041159A"/>
    <w:rsid w:val="00412D0F"/>
    <w:rsid w:val="00414772"/>
    <w:rsid w:val="0042604A"/>
    <w:rsid w:val="004305A8"/>
    <w:rsid w:val="0043150B"/>
    <w:rsid w:val="0043417A"/>
    <w:rsid w:val="00443CA0"/>
    <w:rsid w:val="00450E14"/>
    <w:rsid w:val="00462C65"/>
    <w:rsid w:val="00464BE4"/>
    <w:rsid w:val="00467B14"/>
    <w:rsid w:val="00474EDA"/>
    <w:rsid w:val="0047536D"/>
    <w:rsid w:val="004824FA"/>
    <w:rsid w:val="00484011"/>
    <w:rsid w:val="004841F1"/>
    <w:rsid w:val="00487E55"/>
    <w:rsid w:val="00497BC1"/>
    <w:rsid w:val="004A16E0"/>
    <w:rsid w:val="004A1E3A"/>
    <w:rsid w:val="004B1D39"/>
    <w:rsid w:val="004B4EB5"/>
    <w:rsid w:val="004C4AEA"/>
    <w:rsid w:val="004C5EB4"/>
    <w:rsid w:val="004D70EE"/>
    <w:rsid w:val="004E003C"/>
    <w:rsid w:val="004E16EB"/>
    <w:rsid w:val="004E6665"/>
    <w:rsid w:val="004E7DC8"/>
    <w:rsid w:val="004F424A"/>
    <w:rsid w:val="004F634E"/>
    <w:rsid w:val="004F67A8"/>
    <w:rsid w:val="00522A50"/>
    <w:rsid w:val="00527225"/>
    <w:rsid w:val="0053557D"/>
    <w:rsid w:val="005463DE"/>
    <w:rsid w:val="00546DC2"/>
    <w:rsid w:val="005542E8"/>
    <w:rsid w:val="00556630"/>
    <w:rsid w:val="0055686D"/>
    <w:rsid w:val="005800EE"/>
    <w:rsid w:val="005869D6"/>
    <w:rsid w:val="00593E85"/>
    <w:rsid w:val="005A33F6"/>
    <w:rsid w:val="005A59E5"/>
    <w:rsid w:val="005B7440"/>
    <w:rsid w:val="005C6E9D"/>
    <w:rsid w:val="005E2150"/>
    <w:rsid w:val="005E2995"/>
    <w:rsid w:val="005E73FF"/>
    <w:rsid w:val="005F3ADE"/>
    <w:rsid w:val="005F3FEF"/>
    <w:rsid w:val="00601392"/>
    <w:rsid w:val="006075F6"/>
    <w:rsid w:val="00607F7C"/>
    <w:rsid w:val="006102DA"/>
    <w:rsid w:val="006161CF"/>
    <w:rsid w:val="00621F93"/>
    <w:rsid w:val="006315A3"/>
    <w:rsid w:val="00635692"/>
    <w:rsid w:val="006379E9"/>
    <w:rsid w:val="00637CC1"/>
    <w:rsid w:val="006466BA"/>
    <w:rsid w:val="006579A2"/>
    <w:rsid w:val="00663D65"/>
    <w:rsid w:val="0066423A"/>
    <w:rsid w:val="00667C89"/>
    <w:rsid w:val="006711EE"/>
    <w:rsid w:val="006809BB"/>
    <w:rsid w:val="006809FD"/>
    <w:rsid w:val="00683C7C"/>
    <w:rsid w:val="00687C5F"/>
    <w:rsid w:val="00690D68"/>
    <w:rsid w:val="00691031"/>
    <w:rsid w:val="00691D1F"/>
    <w:rsid w:val="0069580C"/>
    <w:rsid w:val="00697BAE"/>
    <w:rsid w:val="006A63FD"/>
    <w:rsid w:val="006B1B91"/>
    <w:rsid w:val="006B4DDC"/>
    <w:rsid w:val="006B5E55"/>
    <w:rsid w:val="006C1771"/>
    <w:rsid w:val="006D25A1"/>
    <w:rsid w:val="006D6932"/>
    <w:rsid w:val="006E4BB7"/>
    <w:rsid w:val="006F23AF"/>
    <w:rsid w:val="006F6856"/>
    <w:rsid w:val="0071190E"/>
    <w:rsid w:val="007145D0"/>
    <w:rsid w:val="00716F94"/>
    <w:rsid w:val="00725852"/>
    <w:rsid w:val="00726DE7"/>
    <w:rsid w:val="00736345"/>
    <w:rsid w:val="007377A5"/>
    <w:rsid w:val="00760E12"/>
    <w:rsid w:val="00763CF3"/>
    <w:rsid w:val="00772293"/>
    <w:rsid w:val="00783A3C"/>
    <w:rsid w:val="00783C75"/>
    <w:rsid w:val="00784619"/>
    <w:rsid w:val="0078627B"/>
    <w:rsid w:val="0079130E"/>
    <w:rsid w:val="00794E32"/>
    <w:rsid w:val="007B305A"/>
    <w:rsid w:val="007B7A47"/>
    <w:rsid w:val="007B7D55"/>
    <w:rsid w:val="007E3F71"/>
    <w:rsid w:val="007E791B"/>
    <w:rsid w:val="00800993"/>
    <w:rsid w:val="00804E96"/>
    <w:rsid w:val="00810FBF"/>
    <w:rsid w:val="00815C7D"/>
    <w:rsid w:val="00817941"/>
    <w:rsid w:val="008261AB"/>
    <w:rsid w:val="00835CA7"/>
    <w:rsid w:val="008370D4"/>
    <w:rsid w:val="008414AD"/>
    <w:rsid w:val="008428D9"/>
    <w:rsid w:val="00865573"/>
    <w:rsid w:val="008759F6"/>
    <w:rsid w:val="00876B98"/>
    <w:rsid w:val="00884DB9"/>
    <w:rsid w:val="00892478"/>
    <w:rsid w:val="00892720"/>
    <w:rsid w:val="0089676F"/>
    <w:rsid w:val="008C67D2"/>
    <w:rsid w:val="008D1390"/>
    <w:rsid w:val="008E0683"/>
    <w:rsid w:val="008E3319"/>
    <w:rsid w:val="00902DD9"/>
    <w:rsid w:val="00911466"/>
    <w:rsid w:val="00911486"/>
    <w:rsid w:val="009129CA"/>
    <w:rsid w:val="009206B6"/>
    <w:rsid w:val="009263C1"/>
    <w:rsid w:val="00931C02"/>
    <w:rsid w:val="00935FFD"/>
    <w:rsid w:val="00941B4F"/>
    <w:rsid w:val="00963CE3"/>
    <w:rsid w:val="00964F18"/>
    <w:rsid w:val="0097039F"/>
    <w:rsid w:val="00974424"/>
    <w:rsid w:val="009759F3"/>
    <w:rsid w:val="00987F76"/>
    <w:rsid w:val="00991BF9"/>
    <w:rsid w:val="00993088"/>
    <w:rsid w:val="0099664F"/>
    <w:rsid w:val="00997D5D"/>
    <w:rsid w:val="009A0447"/>
    <w:rsid w:val="009B034F"/>
    <w:rsid w:val="009B4A51"/>
    <w:rsid w:val="009C28B1"/>
    <w:rsid w:val="009C61AD"/>
    <w:rsid w:val="009D373D"/>
    <w:rsid w:val="009D77CD"/>
    <w:rsid w:val="009E1D05"/>
    <w:rsid w:val="009F7283"/>
    <w:rsid w:val="00A00C86"/>
    <w:rsid w:val="00A11B0C"/>
    <w:rsid w:val="00A305CE"/>
    <w:rsid w:val="00A33B35"/>
    <w:rsid w:val="00A36419"/>
    <w:rsid w:val="00A37AE0"/>
    <w:rsid w:val="00A578C2"/>
    <w:rsid w:val="00A70EBC"/>
    <w:rsid w:val="00A72652"/>
    <w:rsid w:val="00A750B2"/>
    <w:rsid w:val="00A75D1C"/>
    <w:rsid w:val="00A809AA"/>
    <w:rsid w:val="00A81BF7"/>
    <w:rsid w:val="00A849B3"/>
    <w:rsid w:val="00A8510D"/>
    <w:rsid w:val="00A86AF3"/>
    <w:rsid w:val="00A90BDC"/>
    <w:rsid w:val="00A95477"/>
    <w:rsid w:val="00A975A9"/>
    <w:rsid w:val="00AA019E"/>
    <w:rsid w:val="00AA3192"/>
    <w:rsid w:val="00AB3608"/>
    <w:rsid w:val="00AC5C48"/>
    <w:rsid w:val="00AF0CF4"/>
    <w:rsid w:val="00AF2252"/>
    <w:rsid w:val="00B1129F"/>
    <w:rsid w:val="00B11D61"/>
    <w:rsid w:val="00B12F51"/>
    <w:rsid w:val="00B14E37"/>
    <w:rsid w:val="00B2751E"/>
    <w:rsid w:val="00B3650C"/>
    <w:rsid w:val="00B50A2B"/>
    <w:rsid w:val="00B53DA6"/>
    <w:rsid w:val="00B64BFA"/>
    <w:rsid w:val="00B65C38"/>
    <w:rsid w:val="00B8216F"/>
    <w:rsid w:val="00B828CA"/>
    <w:rsid w:val="00B853F1"/>
    <w:rsid w:val="00B85DE4"/>
    <w:rsid w:val="00B8656C"/>
    <w:rsid w:val="00B91A31"/>
    <w:rsid w:val="00B920E2"/>
    <w:rsid w:val="00BA6DB4"/>
    <w:rsid w:val="00BB565A"/>
    <w:rsid w:val="00BC016A"/>
    <w:rsid w:val="00BC3F3C"/>
    <w:rsid w:val="00BC5BB2"/>
    <w:rsid w:val="00BC6896"/>
    <w:rsid w:val="00BF3F54"/>
    <w:rsid w:val="00BF67C0"/>
    <w:rsid w:val="00C00697"/>
    <w:rsid w:val="00C0376C"/>
    <w:rsid w:val="00C06D77"/>
    <w:rsid w:val="00C06E7F"/>
    <w:rsid w:val="00C14BA6"/>
    <w:rsid w:val="00C347E7"/>
    <w:rsid w:val="00C3485C"/>
    <w:rsid w:val="00C420D4"/>
    <w:rsid w:val="00C665D3"/>
    <w:rsid w:val="00C71C6A"/>
    <w:rsid w:val="00C84DC3"/>
    <w:rsid w:val="00CA2004"/>
    <w:rsid w:val="00CA6A49"/>
    <w:rsid w:val="00CB334D"/>
    <w:rsid w:val="00CB56D5"/>
    <w:rsid w:val="00CC57B3"/>
    <w:rsid w:val="00CD0771"/>
    <w:rsid w:val="00CD1DC4"/>
    <w:rsid w:val="00CD1EA8"/>
    <w:rsid w:val="00CE6C2A"/>
    <w:rsid w:val="00CF0CE8"/>
    <w:rsid w:val="00CF5ABD"/>
    <w:rsid w:val="00CF63CE"/>
    <w:rsid w:val="00D067C1"/>
    <w:rsid w:val="00D13B13"/>
    <w:rsid w:val="00D16E78"/>
    <w:rsid w:val="00D17EFE"/>
    <w:rsid w:val="00D201D3"/>
    <w:rsid w:val="00D24BCF"/>
    <w:rsid w:val="00D26A64"/>
    <w:rsid w:val="00D328FA"/>
    <w:rsid w:val="00D33BF9"/>
    <w:rsid w:val="00D4221A"/>
    <w:rsid w:val="00D52B9A"/>
    <w:rsid w:val="00D5367E"/>
    <w:rsid w:val="00D57C7E"/>
    <w:rsid w:val="00D649E7"/>
    <w:rsid w:val="00D724CC"/>
    <w:rsid w:val="00D7285C"/>
    <w:rsid w:val="00D77CAA"/>
    <w:rsid w:val="00D77D27"/>
    <w:rsid w:val="00D861ED"/>
    <w:rsid w:val="00D873E0"/>
    <w:rsid w:val="00D87BAD"/>
    <w:rsid w:val="00D94F8B"/>
    <w:rsid w:val="00DA147A"/>
    <w:rsid w:val="00DA4EA9"/>
    <w:rsid w:val="00DA5988"/>
    <w:rsid w:val="00DC317C"/>
    <w:rsid w:val="00DC4FF2"/>
    <w:rsid w:val="00DC79CC"/>
    <w:rsid w:val="00DE2D45"/>
    <w:rsid w:val="00E00A37"/>
    <w:rsid w:val="00E134F4"/>
    <w:rsid w:val="00E23568"/>
    <w:rsid w:val="00E245B5"/>
    <w:rsid w:val="00E24C20"/>
    <w:rsid w:val="00E33229"/>
    <w:rsid w:val="00E33BBA"/>
    <w:rsid w:val="00E33E1B"/>
    <w:rsid w:val="00E34D3E"/>
    <w:rsid w:val="00E42F3A"/>
    <w:rsid w:val="00E81C5E"/>
    <w:rsid w:val="00E83B3C"/>
    <w:rsid w:val="00E87343"/>
    <w:rsid w:val="00E8736B"/>
    <w:rsid w:val="00E90275"/>
    <w:rsid w:val="00E925D4"/>
    <w:rsid w:val="00E97226"/>
    <w:rsid w:val="00EB63B3"/>
    <w:rsid w:val="00EC45F0"/>
    <w:rsid w:val="00ED6878"/>
    <w:rsid w:val="00EE295E"/>
    <w:rsid w:val="00EF0EC8"/>
    <w:rsid w:val="00EF33CD"/>
    <w:rsid w:val="00F13481"/>
    <w:rsid w:val="00F176DB"/>
    <w:rsid w:val="00F2267A"/>
    <w:rsid w:val="00F250C3"/>
    <w:rsid w:val="00F27049"/>
    <w:rsid w:val="00F300CB"/>
    <w:rsid w:val="00F3050B"/>
    <w:rsid w:val="00F42C3A"/>
    <w:rsid w:val="00F47872"/>
    <w:rsid w:val="00F52BCC"/>
    <w:rsid w:val="00F52F51"/>
    <w:rsid w:val="00F5313F"/>
    <w:rsid w:val="00F57581"/>
    <w:rsid w:val="00F725B5"/>
    <w:rsid w:val="00F73381"/>
    <w:rsid w:val="00F76B06"/>
    <w:rsid w:val="00F81A48"/>
    <w:rsid w:val="00FB1DB3"/>
    <w:rsid w:val="00FC5B1F"/>
    <w:rsid w:val="00FD17C9"/>
    <w:rsid w:val="00FD1EF0"/>
    <w:rsid w:val="00FD2A5B"/>
    <w:rsid w:val="00FD632C"/>
    <w:rsid w:val="00FE0E1C"/>
    <w:rsid w:val="00FE6A5C"/>
    <w:rsid w:val="00FF2714"/>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530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avidstinchcomb@westa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alonisapru@westat.com" TargetMode="External"/><Relationship Id="rId2" Type="http://schemas.openxmlformats.org/officeDocument/2006/relationships/customXml" Target="../customXml/item2.xml"/><Relationship Id="rId16" Type="http://schemas.openxmlformats.org/officeDocument/2006/relationships/hyperlink" Target="mailto:melaniechansky@westa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os9@cdc.gov"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os9@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SC_StateB_TableB_1_Entity4 xmlns="bd99c180-279b-44c3-9486-dd050336677e">=&gt;Enter entity 4 or delete this comment&lt;=</OSC_StateB_TableB_1_Entity4>
    <OSC_StateB_TableB_1_N3 xmlns="bd99c180-279b-44c3-9486-dd050336677e">0</OSC_StateB_TableB_1_N3>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2 xmlns="bd99c180-279b-44c3-9486-dd050336677e">=&gt;Enter entity 2 or delete this comment&lt;=</OSC_StateB_TableB_1_Entity2>
    <GenICPIFax xmlns="bd99c180-279b-44c3-9486-dd050336677e">=&gt;###-###-####&lt;=</GenICPIFax>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_dlc_DocId xmlns="b5c0ca00-073d-4463-9985-b654f14791fe">OSTLTSDOC-727-162</_dlc_DocId>
    <GenICNickname xmlns="15b1c282-9287-45cb-9b41-eae3a76919a0" xsi:nil="true"/>
    <OSC_StateB_TableB_1_N_Total xmlns="bd99c180-279b-44c3-9486-dd050336677e">0</OSC_StateB_TableB_1_N_Total>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DCID xmlns="bd99c180-279b-44c3-9486-dd050336677e" xsi:nil="true"/>
    <GenICPICIO xmlns="bd99c180-279b-44c3-9486-dd050336677e" xsi:nil="true"/>
    <OSC_StateB_TableB_1_Entity1 xmlns="bd99c180-279b-44c3-9486-dd050336677e">=&gt;Enter entity 1 or delete this comment&lt;=</OSC_StateB_TableB_1_Entity1>
    <GenICPIDivisionOROfficeTitle xmlns="bd99c180-279b-44c3-9486-dd050336677e">=&gt;Enter division or office title&lt;=</GenICPIDivisionOROfficeTitle>
    <GenICPICenterDivisionBranch xmlns="bd99c180-279b-44c3-9486-dd050336677e" xsi:nil="true"/>
    <GenICPIPhone xmlns="bd99c180-279b-44c3-9486-dd050336677e">=&gt;###-###-####&lt;=</GenICPIPhone>
    <_dlc_DocIdUrl xmlns="b5c0ca00-073d-4463-9985-b654f14791fe">
      <Url>https://esp.cdc.gov/sites/ostlts/pip/osc/_layouts/15/DocIdRedir.aspx?ID=OSTLTSDOC-727-162</Url>
      <Description>OSTLTSDOC-727-162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6494-CB35-4B0B-BAB5-AD7E84EA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9823F-25B6-4992-8095-B5366D53314E}">
  <ds:schemaRefs>
    <ds:schemaRef ds:uri="http://schemas.microsoft.com/sharepoint/v3/contenttype/forms"/>
  </ds:schemaRefs>
</ds:datastoreItem>
</file>

<file path=customXml/itemProps3.xml><?xml version="1.0" encoding="utf-8"?>
<ds:datastoreItem xmlns:ds="http://schemas.openxmlformats.org/officeDocument/2006/customXml" ds:itemID="{789C884B-D64F-49A8-8BFA-3EE651E40335}">
  <ds:schemaRefs>
    <ds:schemaRef ds:uri="http://schemas.microsoft.com/office/2006/metadata/customXsn"/>
  </ds:schemaRefs>
</ds:datastoreItem>
</file>

<file path=customXml/itemProps4.xml><?xml version="1.0" encoding="utf-8"?>
<ds:datastoreItem xmlns:ds="http://schemas.openxmlformats.org/officeDocument/2006/customXml" ds:itemID="{5CBD1C69-5F17-4D45-B595-5F340F827904}">
  <ds:schemaRefs>
    <ds:schemaRef ds:uri="http://schemas.microsoft.com/sharepoint/events"/>
  </ds:schemaRefs>
</ds:datastoreItem>
</file>

<file path=customXml/itemProps5.xml><?xml version="1.0" encoding="utf-8"?>
<ds:datastoreItem xmlns:ds="http://schemas.openxmlformats.org/officeDocument/2006/customXml" ds:itemID="{D5C0B577-CEC9-4EC0-B9D2-91C26B89932F}">
  <ds:schemaRefs>
    <ds:schemaRef ds:uri="http://schemas.microsoft.com/office/2006/metadata/properties"/>
    <ds:schemaRef ds:uri="15b1c282-9287-45cb-9b41-eae3a76919a0"/>
    <ds:schemaRef ds:uri="http://purl.org/dc/terms/"/>
    <ds:schemaRef ds:uri="http://schemas.openxmlformats.org/package/2006/metadata/core-properties"/>
    <ds:schemaRef ds:uri="http://schemas.microsoft.com/office/2006/documentManagement/types"/>
    <ds:schemaRef ds:uri="b5c0ca00-073d-4463-9985-b654f14791fe"/>
    <ds:schemaRef ds:uri="http://schemas.microsoft.com/office/infopath/2007/PartnerControls"/>
    <ds:schemaRef ds:uri="http://purl.org/dc/elements/1.1/"/>
    <ds:schemaRef ds:uri="bd99c180-279b-44c3-9486-dd050336677e"/>
    <ds:schemaRef ds:uri="http://www.w3.org/XML/1998/namespace"/>
    <ds:schemaRef ds:uri="http://purl.org/dc/dcmitype/"/>
  </ds:schemaRefs>
</ds:datastoreItem>
</file>

<file path=customXml/itemProps6.xml><?xml version="1.0" encoding="utf-8"?>
<ds:datastoreItem xmlns:ds="http://schemas.openxmlformats.org/officeDocument/2006/customXml" ds:itemID="{F15C78AC-3430-4DBD-A990-29054FA0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SYSTEM</cp:lastModifiedBy>
  <cp:revision>2</cp:revision>
  <cp:lastPrinted>2011-06-07T15:53:00Z</cp:lastPrinted>
  <dcterms:created xsi:type="dcterms:W3CDTF">2018-08-14T17:19:00Z</dcterms:created>
  <dcterms:modified xsi:type="dcterms:W3CDTF">2018-08-14T17:19:00Z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e1dc4ede-6273-4189-8f2c-ea2f9dbe8f08</vt:lpwstr>
  </property>
</Properties>
</file>